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pageBreakBefore w:val="0"/>
        <w:kinsoku/>
        <w:wordWrap/>
        <w:overflowPunct/>
        <w:topLinePunct w:val="0"/>
        <w:bidi w:val="0"/>
        <w:spacing w:after="0" w:line="288" w:lineRule="auto"/>
        <w:ind w:firstLine="420"/>
      </w:pPr>
    </w:p>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5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7600" w:type="dxa"/>
            <w:gridSpan w:val="2"/>
            <w:tcBorders>
              <w:top w:val="nil"/>
              <w:left w:val="nil"/>
              <w:right w:val="nil"/>
            </w:tcBorders>
          </w:tcPr>
          <w:p>
            <w:pPr>
              <w:pageBreakBefore w:val="0"/>
              <w:kinsoku/>
              <w:wordWrap/>
              <w:overflowPunct/>
              <w:topLinePunct w:val="0"/>
              <w:bidi w:val="0"/>
              <w:snapToGrid w:val="0"/>
              <w:spacing w:after="0" w:line="288" w:lineRule="auto"/>
              <w:jc w:val="center"/>
              <w:rPr>
                <w:rFonts w:ascii="Arial" w:hAnsi="Arial" w:cs="Arial"/>
                <w:b/>
                <w:sz w:val="60"/>
                <w:szCs w:val="60"/>
              </w:rPr>
            </w:pPr>
            <w:r>
              <w:rPr>
                <w:rFonts w:ascii="Arial" w:hAnsi="Arial" w:cs="Arial"/>
                <w:b/>
                <w:sz w:val="60"/>
                <w:szCs w:val="60"/>
              </w:rPr>
              <w:t>招 标 文 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699" w:type="dxa"/>
            <w:vAlign w:val="center"/>
          </w:tcPr>
          <w:p>
            <w:pPr>
              <w:pageBreakBefore w:val="0"/>
              <w:kinsoku/>
              <w:wordWrap/>
              <w:overflowPunct/>
              <w:topLinePunct w:val="0"/>
              <w:bidi w:val="0"/>
              <w:spacing w:after="0" w:line="288" w:lineRule="auto"/>
              <w:rPr>
                <w:rFonts w:ascii="Arial" w:hAnsi="Arial" w:cs="Arial"/>
                <w:b/>
                <w:sz w:val="32"/>
                <w:szCs w:val="32"/>
              </w:rPr>
            </w:pPr>
            <w:r>
              <w:rPr>
                <w:rFonts w:ascii="Arial" w:hAnsi="Arial" w:cs="Arial"/>
                <w:b/>
                <w:sz w:val="32"/>
                <w:szCs w:val="32"/>
              </w:rPr>
              <w:t>项目名称</w:t>
            </w:r>
            <w:r>
              <w:rPr>
                <w:rFonts w:hint="eastAsia" w:ascii="Arial" w:hAnsi="Arial" w:cs="Arial"/>
                <w:b/>
                <w:sz w:val="32"/>
                <w:szCs w:val="32"/>
              </w:rPr>
              <w:t>：</w:t>
            </w:r>
          </w:p>
        </w:tc>
        <w:tc>
          <w:tcPr>
            <w:tcW w:w="5901" w:type="dxa"/>
            <w:vAlign w:val="center"/>
          </w:tcPr>
          <w:p>
            <w:pPr>
              <w:pageBreakBefore w:val="0"/>
              <w:kinsoku/>
              <w:wordWrap/>
              <w:overflowPunct/>
              <w:topLinePunct w:val="0"/>
              <w:bidi w:val="0"/>
              <w:spacing w:after="0" w:line="288" w:lineRule="auto"/>
              <w:rPr>
                <w:rFonts w:ascii="Arial" w:hAnsi="Arial" w:cs="Arial"/>
                <w:b/>
                <w:sz w:val="32"/>
                <w:szCs w:val="32"/>
              </w:rPr>
            </w:pPr>
            <w:r>
              <w:rPr>
                <w:rFonts w:hint="eastAsia" w:ascii="Arial" w:hAnsi="Arial" w:cs="Arial"/>
                <w:b/>
                <w:sz w:val="32"/>
                <w:szCs w:val="32"/>
              </w:rPr>
              <w:t>血液透析室设备采购项目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699" w:type="dxa"/>
            <w:vAlign w:val="center"/>
          </w:tcPr>
          <w:p>
            <w:pPr>
              <w:pageBreakBefore w:val="0"/>
              <w:kinsoku/>
              <w:wordWrap/>
              <w:overflowPunct/>
              <w:topLinePunct w:val="0"/>
              <w:bidi w:val="0"/>
              <w:spacing w:after="0" w:line="288" w:lineRule="auto"/>
              <w:rPr>
                <w:rFonts w:ascii="Arial" w:hAnsi="Arial" w:cs="Arial"/>
                <w:b/>
                <w:sz w:val="32"/>
                <w:szCs w:val="32"/>
              </w:rPr>
            </w:pPr>
            <w:r>
              <w:rPr>
                <w:rFonts w:ascii="Arial" w:hAnsi="Arial" w:cs="Arial"/>
                <w:b/>
                <w:sz w:val="32"/>
                <w:szCs w:val="32"/>
              </w:rPr>
              <w:t>项目编号</w:t>
            </w:r>
            <w:r>
              <w:rPr>
                <w:rFonts w:hint="eastAsia" w:ascii="Arial" w:hAnsi="Arial" w:cs="Arial"/>
                <w:b/>
                <w:sz w:val="32"/>
                <w:szCs w:val="32"/>
              </w:rPr>
              <w:t>：</w:t>
            </w:r>
          </w:p>
        </w:tc>
        <w:tc>
          <w:tcPr>
            <w:tcW w:w="5901" w:type="dxa"/>
            <w:vAlign w:val="center"/>
          </w:tcPr>
          <w:p>
            <w:pPr>
              <w:pageBreakBefore w:val="0"/>
              <w:kinsoku/>
              <w:wordWrap/>
              <w:overflowPunct/>
              <w:topLinePunct w:val="0"/>
              <w:bidi w:val="0"/>
              <w:spacing w:after="0" w:line="288" w:lineRule="auto"/>
              <w:rPr>
                <w:rFonts w:hint="eastAsia" w:ascii="Arial" w:hAnsi="Arial" w:eastAsia="宋体" w:cs="Arial"/>
                <w:b/>
                <w:sz w:val="32"/>
                <w:szCs w:val="32"/>
                <w:lang w:eastAsia="zh-CN"/>
              </w:rPr>
            </w:pPr>
            <w:r>
              <w:rPr>
                <w:rFonts w:hint="eastAsia" w:ascii="Arial" w:hAnsi="Arial" w:cs="Arial"/>
                <w:b/>
                <w:sz w:val="32"/>
                <w:szCs w:val="32"/>
                <w:lang w:eastAsia="zh-CN"/>
              </w:rPr>
              <w:t>GLZC2025-G1-250032-JDZB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699" w:type="dxa"/>
            <w:tcBorders>
              <w:bottom w:val="single" w:color="auto" w:sz="4" w:space="0"/>
            </w:tcBorders>
            <w:vAlign w:val="center"/>
          </w:tcPr>
          <w:p>
            <w:pPr>
              <w:pageBreakBefore w:val="0"/>
              <w:kinsoku/>
              <w:wordWrap/>
              <w:overflowPunct/>
              <w:topLinePunct w:val="0"/>
              <w:bidi w:val="0"/>
              <w:spacing w:after="0" w:line="288" w:lineRule="auto"/>
              <w:rPr>
                <w:rFonts w:ascii="Arial" w:hAnsi="Arial" w:cs="Arial"/>
                <w:b/>
                <w:sz w:val="32"/>
                <w:szCs w:val="32"/>
              </w:rPr>
            </w:pPr>
            <w:r>
              <w:rPr>
                <w:rFonts w:ascii="Arial" w:hAnsi="Arial" w:cs="Arial"/>
                <w:b/>
                <w:sz w:val="32"/>
                <w:szCs w:val="32"/>
              </w:rPr>
              <w:t>联系电话</w:t>
            </w:r>
            <w:r>
              <w:rPr>
                <w:rFonts w:hint="eastAsia" w:ascii="Arial" w:hAnsi="Arial" w:cs="Arial"/>
                <w:b/>
                <w:sz w:val="32"/>
                <w:szCs w:val="32"/>
              </w:rPr>
              <w:t>：</w:t>
            </w:r>
          </w:p>
        </w:tc>
        <w:tc>
          <w:tcPr>
            <w:tcW w:w="5901" w:type="dxa"/>
            <w:tcBorders>
              <w:bottom w:val="single" w:color="auto" w:sz="4" w:space="0"/>
            </w:tcBorders>
            <w:vAlign w:val="center"/>
          </w:tcPr>
          <w:p>
            <w:pPr>
              <w:pageBreakBefore w:val="0"/>
              <w:kinsoku/>
              <w:wordWrap/>
              <w:overflowPunct/>
              <w:topLinePunct w:val="0"/>
              <w:bidi w:val="0"/>
              <w:spacing w:after="0" w:line="288" w:lineRule="auto"/>
              <w:rPr>
                <w:rFonts w:ascii="Arial" w:hAnsi="Arial" w:cs="Arial"/>
                <w:b/>
                <w:sz w:val="32"/>
                <w:szCs w:val="32"/>
              </w:rPr>
            </w:pPr>
            <w:r>
              <w:rPr>
                <w:rFonts w:hint="eastAsia" w:ascii="Arial" w:hAnsi="Arial" w:cs="Arial"/>
                <w:b/>
                <w:sz w:val="32"/>
                <w:szCs w:val="32"/>
              </w:rPr>
              <w:t>0773-3696789转2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699" w:type="dxa"/>
            <w:tcBorders>
              <w:bottom w:val="single" w:color="auto" w:sz="4" w:space="0"/>
            </w:tcBorders>
            <w:vAlign w:val="center"/>
          </w:tcPr>
          <w:p>
            <w:pPr>
              <w:pageBreakBefore w:val="0"/>
              <w:kinsoku/>
              <w:wordWrap/>
              <w:overflowPunct/>
              <w:topLinePunct w:val="0"/>
              <w:bidi w:val="0"/>
              <w:spacing w:after="0" w:line="288" w:lineRule="auto"/>
              <w:rPr>
                <w:rFonts w:ascii="Arial" w:hAnsi="Arial" w:cs="Arial"/>
                <w:b/>
                <w:sz w:val="32"/>
                <w:szCs w:val="32"/>
              </w:rPr>
            </w:pPr>
            <w:r>
              <w:rPr>
                <w:rFonts w:ascii="Arial" w:hAnsi="Arial" w:cs="Arial"/>
                <w:b/>
                <w:sz w:val="32"/>
                <w:szCs w:val="32"/>
              </w:rPr>
              <w:t>传    真</w:t>
            </w:r>
            <w:r>
              <w:rPr>
                <w:rFonts w:hint="eastAsia" w:ascii="Arial" w:hAnsi="Arial" w:cs="Arial"/>
                <w:b/>
                <w:sz w:val="32"/>
                <w:szCs w:val="32"/>
              </w:rPr>
              <w:t>：</w:t>
            </w:r>
          </w:p>
        </w:tc>
        <w:tc>
          <w:tcPr>
            <w:tcW w:w="5901" w:type="dxa"/>
            <w:tcBorders>
              <w:bottom w:val="single" w:color="auto" w:sz="4" w:space="0"/>
            </w:tcBorders>
            <w:vAlign w:val="center"/>
          </w:tcPr>
          <w:p>
            <w:pPr>
              <w:pageBreakBefore w:val="0"/>
              <w:kinsoku/>
              <w:wordWrap/>
              <w:overflowPunct/>
              <w:topLinePunct w:val="0"/>
              <w:bidi w:val="0"/>
              <w:spacing w:after="0" w:line="288" w:lineRule="auto"/>
              <w:rPr>
                <w:rFonts w:ascii="Arial" w:hAnsi="Arial" w:cs="Arial"/>
                <w:b/>
                <w:sz w:val="32"/>
                <w:szCs w:val="32"/>
              </w:rPr>
            </w:pPr>
            <w:r>
              <w:rPr>
                <w:rFonts w:ascii="Arial" w:hAnsi="Arial" w:cs="Arial"/>
                <w:b/>
                <w:sz w:val="32"/>
                <w:szCs w:val="32"/>
              </w:rPr>
              <w:t>0773-3602333</w:t>
            </w:r>
          </w:p>
        </w:tc>
      </w:tr>
    </w:tbl>
    <w:p>
      <w:pPr>
        <w:pageBreakBefore w:val="0"/>
        <w:kinsoku/>
        <w:wordWrap/>
        <w:overflowPunct/>
        <w:topLinePunct w:val="0"/>
        <w:bidi w:val="0"/>
        <w:spacing w:after="0" w:line="288" w:lineRule="auto"/>
        <w:rPr>
          <w:rFonts w:ascii="Arial" w:hAnsi="Arial" w:cs="Arial"/>
          <w:sz w:val="32"/>
        </w:rPr>
      </w:pPr>
    </w:p>
    <w:p>
      <w:pPr>
        <w:pageBreakBefore w:val="0"/>
        <w:kinsoku/>
        <w:wordWrap/>
        <w:overflowPunct/>
        <w:topLinePunct w:val="0"/>
        <w:bidi w:val="0"/>
        <w:spacing w:after="0" w:line="288" w:lineRule="auto"/>
        <w:ind w:left="103" w:leftChars="49" w:firstLine="2240" w:firstLineChars="700"/>
        <w:jc w:val="center"/>
        <w:rPr>
          <w:rFonts w:ascii="Arial" w:hAnsi="Arial" w:cs="Arial"/>
          <w:sz w:val="32"/>
        </w:rPr>
      </w:pPr>
    </w:p>
    <w:p>
      <w:pPr>
        <w:pStyle w:val="2"/>
        <w:rPr>
          <w:rFonts w:ascii="Arial" w:hAnsi="Arial" w:cs="Arial"/>
          <w:sz w:val="32"/>
        </w:rPr>
      </w:pPr>
    </w:p>
    <w:p>
      <w:pPr>
        <w:pStyle w:val="2"/>
        <w:rPr>
          <w:rFonts w:ascii="Arial" w:hAnsi="Arial" w:cs="Arial"/>
          <w:sz w:val="32"/>
        </w:rPr>
      </w:pPr>
    </w:p>
    <w:tbl>
      <w:tblPr>
        <w:tblStyle w:val="49"/>
        <w:tblW w:w="0" w:type="auto"/>
        <w:jc w:val="center"/>
        <w:tblLayout w:type="fixed"/>
        <w:tblCellMar>
          <w:top w:w="0" w:type="dxa"/>
          <w:left w:w="108" w:type="dxa"/>
          <w:bottom w:w="0" w:type="dxa"/>
          <w:right w:w="108" w:type="dxa"/>
        </w:tblCellMar>
      </w:tblPr>
      <w:tblGrid>
        <w:gridCol w:w="2507"/>
        <w:gridCol w:w="4539"/>
      </w:tblGrid>
      <w:tr>
        <w:tblPrEx>
          <w:tblCellMar>
            <w:top w:w="0" w:type="dxa"/>
            <w:left w:w="108" w:type="dxa"/>
            <w:bottom w:w="0" w:type="dxa"/>
            <w:right w:w="108" w:type="dxa"/>
          </w:tblCellMar>
        </w:tblPrEx>
        <w:trPr>
          <w:trHeight w:val="703" w:hRule="atLeast"/>
          <w:jc w:val="center"/>
        </w:trPr>
        <w:tc>
          <w:tcPr>
            <w:tcW w:w="2507" w:type="dxa"/>
          </w:tcPr>
          <w:p>
            <w:pPr>
              <w:pageBreakBefore w:val="0"/>
              <w:kinsoku/>
              <w:wordWrap/>
              <w:overflowPunct/>
              <w:topLinePunct w:val="0"/>
              <w:autoSpaceDE w:val="0"/>
              <w:autoSpaceDN w:val="0"/>
              <w:bidi w:val="0"/>
              <w:adjustRightInd w:val="0"/>
              <w:spacing w:after="0" w:line="288" w:lineRule="auto"/>
              <w:ind w:firstLine="1124" w:firstLineChars="400"/>
              <w:rPr>
                <w:rFonts w:ascii="Arial" w:hAnsi="Arial" w:cs="Arial"/>
                <w:b/>
                <w:sz w:val="28"/>
                <w:szCs w:val="32"/>
              </w:rPr>
            </w:pPr>
            <w:r>
              <w:rPr>
                <w:rFonts w:ascii="Arial" w:hAnsi="Arial" w:cs="Arial"/>
                <w:b/>
                <w:sz w:val="28"/>
                <w:szCs w:val="32"/>
              </w:rPr>
              <w:t>采购人：</w:t>
            </w:r>
          </w:p>
        </w:tc>
        <w:tc>
          <w:tcPr>
            <w:tcW w:w="4539" w:type="dxa"/>
          </w:tcPr>
          <w:p>
            <w:pPr>
              <w:pageBreakBefore w:val="0"/>
              <w:kinsoku/>
              <w:wordWrap/>
              <w:overflowPunct/>
              <w:topLinePunct w:val="0"/>
              <w:autoSpaceDE w:val="0"/>
              <w:autoSpaceDN w:val="0"/>
              <w:bidi w:val="0"/>
              <w:adjustRightInd w:val="0"/>
              <w:spacing w:after="0" w:line="288" w:lineRule="auto"/>
              <w:rPr>
                <w:rFonts w:ascii="Arial" w:hAnsi="Arial" w:cs="Arial"/>
                <w:b/>
                <w:sz w:val="28"/>
                <w:szCs w:val="32"/>
              </w:rPr>
            </w:pPr>
            <w:r>
              <w:rPr>
                <w:rFonts w:hint="eastAsia" w:ascii="Arial" w:hAnsi="Arial" w:cs="Arial"/>
                <w:b/>
                <w:sz w:val="28"/>
                <w:szCs w:val="32"/>
              </w:rPr>
              <w:t>兴安县高尚镇中心卫生院</w:t>
            </w:r>
          </w:p>
        </w:tc>
      </w:tr>
      <w:tr>
        <w:tblPrEx>
          <w:tblCellMar>
            <w:top w:w="0" w:type="dxa"/>
            <w:left w:w="108" w:type="dxa"/>
            <w:bottom w:w="0" w:type="dxa"/>
            <w:right w:w="108" w:type="dxa"/>
          </w:tblCellMar>
        </w:tblPrEx>
        <w:trPr>
          <w:trHeight w:val="703" w:hRule="atLeast"/>
          <w:jc w:val="center"/>
        </w:trPr>
        <w:tc>
          <w:tcPr>
            <w:tcW w:w="2507" w:type="dxa"/>
          </w:tcPr>
          <w:p>
            <w:pPr>
              <w:pageBreakBefore w:val="0"/>
              <w:kinsoku/>
              <w:wordWrap/>
              <w:overflowPunct/>
              <w:topLinePunct w:val="0"/>
              <w:autoSpaceDE w:val="0"/>
              <w:autoSpaceDN w:val="0"/>
              <w:bidi w:val="0"/>
              <w:adjustRightInd w:val="0"/>
              <w:spacing w:after="0" w:line="288" w:lineRule="auto"/>
              <w:jc w:val="right"/>
              <w:rPr>
                <w:rFonts w:ascii="Arial" w:hAnsi="Arial" w:cs="Arial"/>
                <w:b/>
                <w:sz w:val="28"/>
                <w:szCs w:val="32"/>
              </w:rPr>
            </w:pPr>
            <w:r>
              <w:rPr>
                <w:rFonts w:ascii="Arial" w:hAnsi="Arial" w:cs="Arial"/>
                <w:b/>
                <w:sz w:val="28"/>
                <w:szCs w:val="32"/>
              </w:rPr>
              <w:t>采购代理机构：</w:t>
            </w:r>
          </w:p>
        </w:tc>
        <w:tc>
          <w:tcPr>
            <w:tcW w:w="4539" w:type="dxa"/>
          </w:tcPr>
          <w:p>
            <w:pPr>
              <w:pageBreakBefore w:val="0"/>
              <w:kinsoku/>
              <w:wordWrap/>
              <w:overflowPunct/>
              <w:topLinePunct w:val="0"/>
              <w:autoSpaceDE w:val="0"/>
              <w:autoSpaceDN w:val="0"/>
              <w:bidi w:val="0"/>
              <w:adjustRightInd w:val="0"/>
              <w:spacing w:after="0" w:line="288" w:lineRule="auto"/>
              <w:rPr>
                <w:rFonts w:ascii="Arial" w:hAnsi="Arial" w:cs="Arial"/>
                <w:b/>
                <w:sz w:val="28"/>
                <w:szCs w:val="32"/>
                <w:u w:val="single"/>
              </w:rPr>
            </w:pPr>
            <w:r>
              <w:rPr>
                <w:rFonts w:ascii="Arial" w:hAnsi="Arial" w:cs="Arial"/>
                <w:b/>
                <w:sz w:val="28"/>
                <w:szCs w:val="32"/>
              </w:rPr>
              <w:t>广西机电设备招标有限公司</w:t>
            </w:r>
          </w:p>
        </w:tc>
      </w:tr>
    </w:tbl>
    <w:p>
      <w:pPr>
        <w:pageBreakBefore w:val="0"/>
        <w:kinsoku/>
        <w:wordWrap/>
        <w:overflowPunct/>
        <w:topLinePunct w:val="0"/>
        <w:bidi w:val="0"/>
        <w:spacing w:after="0" w:line="288" w:lineRule="auto"/>
        <w:rPr>
          <w:rFonts w:ascii="Arial" w:hAnsi="Arial" w:cs="Arial"/>
        </w:rPr>
      </w:pPr>
    </w:p>
    <w:p>
      <w:pPr>
        <w:pStyle w:val="28"/>
        <w:pageBreakBefore w:val="0"/>
        <w:kinsoku/>
        <w:wordWrap/>
        <w:overflowPunct/>
        <w:topLinePunct w:val="0"/>
        <w:bidi w:val="0"/>
        <w:spacing w:after="0" w:line="288" w:lineRule="auto"/>
        <w:ind w:firstLine="3855" w:firstLineChars="1200"/>
        <w:rPr>
          <w:rFonts w:ascii="Arial" w:hAnsi="Arial" w:cs="Arial"/>
          <w:b/>
          <w:sz w:val="32"/>
          <w:szCs w:val="32"/>
        </w:rPr>
      </w:pPr>
      <w:r>
        <w:rPr>
          <w:rFonts w:hint="eastAsia" w:ascii="Arial" w:hAnsi="Arial" w:cs="Arial"/>
          <w:b/>
          <w:sz w:val="32"/>
          <w:szCs w:val="32"/>
        </w:rPr>
        <w:t>2025年</w:t>
      </w:r>
      <w:r>
        <w:rPr>
          <w:rFonts w:hint="eastAsia" w:ascii="Arial" w:hAnsi="Arial" w:cs="Arial"/>
          <w:b/>
          <w:sz w:val="32"/>
          <w:szCs w:val="32"/>
          <w:lang w:val="en-US" w:eastAsia="zh-CN"/>
        </w:rPr>
        <w:t>6</w:t>
      </w:r>
      <w:r>
        <w:rPr>
          <w:rFonts w:hint="eastAsia" w:ascii="Arial" w:hAnsi="Arial" w:cs="Arial"/>
          <w:b/>
          <w:sz w:val="32"/>
          <w:szCs w:val="32"/>
        </w:rPr>
        <w:t>月</w:t>
      </w:r>
    </w:p>
    <w:p>
      <w:pPr>
        <w:pageBreakBefore w:val="0"/>
        <w:kinsoku/>
        <w:wordWrap/>
        <w:overflowPunct/>
        <w:topLinePunct w:val="0"/>
        <w:bidi w:val="0"/>
        <w:spacing w:after="0" w:line="288" w:lineRule="auto"/>
        <w:rPr>
          <w:rFonts w:ascii="Arial" w:hAnsi="Arial" w:cs="Arial"/>
          <w:b/>
          <w:bCs/>
          <w:sz w:val="28"/>
          <w:szCs w:val="28"/>
        </w:rPr>
        <w:sectPr>
          <w:headerReference r:id="rId4" w:type="first"/>
          <w:headerReference r:id="rId3" w:type="even"/>
          <w:footerReference r:id="rId5" w:type="even"/>
          <w:pgSz w:w="11906" w:h="16838"/>
          <w:pgMar w:top="1134" w:right="1134" w:bottom="1134" w:left="1134" w:header="720" w:footer="720" w:gutter="0"/>
          <w:pgNumType w:start="0"/>
          <w:cols w:space="720" w:num="1"/>
          <w:titlePg/>
          <w:docGrid w:type="lines" w:linePitch="331" w:charSpace="0"/>
        </w:sectPr>
      </w:pPr>
    </w:p>
    <w:sdt>
      <w:sdtPr>
        <w:rPr>
          <w:rFonts w:ascii="Arial" w:hAnsi="Arial" w:cs="Arial"/>
          <w:b/>
          <w:bCs/>
          <w:sz w:val="28"/>
          <w:szCs w:val="28"/>
        </w:rPr>
        <w:id w:val="147463927"/>
        <w:docPartObj>
          <w:docPartGallery w:val="Table of Contents"/>
          <w:docPartUnique/>
        </w:docPartObj>
      </w:sdtPr>
      <w:sdtEndPr>
        <w:rPr>
          <w:rFonts w:ascii="Arial" w:hAnsi="Arial" w:cs="Arial"/>
          <w:b/>
          <w:bCs/>
          <w:sz w:val="21"/>
          <w:szCs w:val="24"/>
        </w:rPr>
      </w:sdtEndPr>
      <w:sdtContent>
        <w:p>
          <w:pPr>
            <w:pageBreakBefore w:val="0"/>
            <w:kinsoku/>
            <w:wordWrap/>
            <w:overflowPunct/>
            <w:topLinePunct w:val="0"/>
            <w:bidi w:val="0"/>
            <w:spacing w:after="0" w:line="288" w:lineRule="auto"/>
            <w:jc w:val="center"/>
            <w:rPr>
              <w:rFonts w:ascii="Arial" w:hAnsi="Arial" w:cs="Arial"/>
              <w:b/>
              <w:bCs/>
              <w:sz w:val="28"/>
              <w:szCs w:val="28"/>
            </w:rPr>
          </w:pPr>
          <w:r>
            <w:rPr>
              <w:rFonts w:ascii="Arial" w:hAnsi="Arial" w:cs="Arial"/>
              <w:b/>
              <w:bCs/>
              <w:sz w:val="28"/>
              <w:szCs w:val="28"/>
            </w:rPr>
            <w:t>目录</w:t>
          </w:r>
        </w:p>
        <w:p>
          <w:pPr>
            <w:pStyle w:val="35"/>
            <w:pageBreakBefore w:val="0"/>
            <w:tabs>
              <w:tab w:val="right" w:leader="dot" w:pos="9638"/>
            </w:tabs>
            <w:kinsoku/>
            <w:wordWrap/>
            <w:overflowPunct/>
            <w:topLinePunct w:val="0"/>
            <w:bidi w:val="0"/>
            <w:spacing w:after="0" w:line="288" w:lineRule="auto"/>
            <w:rPr>
              <w:rFonts w:ascii="Arial" w:hAnsi="Arial" w:cs="Arial"/>
            </w:rPr>
          </w:pPr>
          <w:r>
            <w:rPr>
              <w:rFonts w:ascii="Arial" w:hAnsi="Arial" w:cs="Arial"/>
            </w:rPr>
            <w:fldChar w:fldCharType="begin"/>
          </w:r>
          <w:r>
            <w:rPr>
              <w:rFonts w:ascii="Arial" w:hAnsi="Arial" w:cs="Arial"/>
            </w:rPr>
            <w:instrText xml:space="preserve">TOC \o "1-3" \h \u </w:instrText>
          </w:r>
          <w:r>
            <w:rPr>
              <w:rFonts w:ascii="Arial" w:hAnsi="Arial" w:cs="Arial"/>
            </w:rPr>
            <w:fldChar w:fldCharType="separate"/>
          </w:r>
          <w:r>
            <w:fldChar w:fldCharType="begin"/>
          </w:r>
          <w:r>
            <w:instrText xml:space="preserve"> HYPERLINK \l "_Toc6839" </w:instrText>
          </w:r>
          <w:r>
            <w:fldChar w:fldCharType="separate"/>
          </w:r>
          <w:r>
            <w:rPr>
              <w:rFonts w:ascii="Arial" w:hAnsi="Arial" w:cs="Arial"/>
            </w:rPr>
            <w:t>第一章  公开招标公告</w:t>
          </w:r>
          <w:r>
            <w:rPr>
              <w:rFonts w:ascii="Arial" w:hAnsi="Arial" w:cs="Arial"/>
            </w:rPr>
            <w:tab/>
          </w:r>
          <w:r>
            <w:rPr>
              <w:rFonts w:ascii="Arial" w:hAnsi="Arial" w:cs="Arial"/>
            </w:rPr>
            <w:fldChar w:fldCharType="begin"/>
          </w:r>
          <w:r>
            <w:rPr>
              <w:rFonts w:ascii="Arial" w:hAnsi="Arial" w:cs="Arial"/>
            </w:rPr>
            <w:instrText xml:space="preserve"> PAGEREF _Toc6839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fldChar w:fldCharType="end"/>
          </w:r>
        </w:p>
        <w:p>
          <w:pPr>
            <w:pStyle w:val="35"/>
            <w:pageBreakBefore w:val="0"/>
            <w:tabs>
              <w:tab w:val="right" w:leader="dot" w:pos="9638"/>
            </w:tabs>
            <w:kinsoku/>
            <w:wordWrap/>
            <w:overflowPunct/>
            <w:topLinePunct w:val="0"/>
            <w:bidi w:val="0"/>
            <w:spacing w:after="0" w:line="288" w:lineRule="auto"/>
            <w:rPr>
              <w:rFonts w:ascii="Arial" w:hAnsi="Arial" w:cs="Arial"/>
            </w:rPr>
          </w:pPr>
          <w:r>
            <w:fldChar w:fldCharType="begin"/>
          </w:r>
          <w:r>
            <w:instrText xml:space="preserve"> HYPERLINK \l "_Toc20293" </w:instrText>
          </w:r>
          <w:r>
            <w:fldChar w:fldCharType="separate"/>
          </w:r>
          <w:r>
            <w:rPr>
              <w:rFonts w:ascii="Arial" w:hAnsi="Arial" w:cs="Arial"/>
            </w:rPr>
            <w:t>第二章  投标人须知</w:t>
          </w:r>
          <w:r>
            <w:rPr>
              <w:rFonts w:ascii="Arial" w:hAnsi="Arial" w:cs="Arial"/>
            </w:rPr>
            <w:tab/>
          </w:r>
          <w:r>
            <w:rPr>
              <w:rFonts w:ascii="Arial" w:hAnsi="Arial" w:cs="Arial"/>
            </w:rPr>
            <w:fldChar w:fldCharType="begin"/>
          </w:r>
          <w:r>
            <w:rPr>
              <w:rFonts w:ascii="Arial" w:hAnsi="Arial" w:cs="Arial"/>
            </w:rPr>
            <w:instrText xml:space="preserve"> PAGEREF _Toc20293 \h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fldChar w:fldCharType="end"/>
          </w:r>
        </w:p>
        <w:p>
          <w:pPr>
            <w:pStyle w:val="27"/>
            <w:pageBreakBefore w:val="0"/>
            <w:tabs>
              <w:tab w:val="right" w:leader="dot" w:pos="9638"/>
            </w:tabs>
            <w:kinsoku/>
            <w:wordWrap/>
            <w:overflowPunct/>
            <w:topLinePunct w:val="0"/>
            <w:bidi w:val="0"/>
            <w:spacing w:after="0" w:line="288" w:lineRule="auto"/>
            <w:ind w:left="0" w:leftChars="0"/>
            <w:rPr>
              <w:rFonts w:ascii="Arial" w:hAnsi="Arial" w:cs="Arial"/>
            </w:rPr>
          </w:pPr>
          <w:r>
            <w:fldChar w:fldCharType="begin"/>
          </w:r>
          <w:r>
            <w:instrText xml:space="preserve"> HYPERLINK \l "_Toc25342" </w:instrText>
          </w:r>
          <w:r>
            <w:fldChar w:fldCharType="separate"/>
          </w:r>
          <w:r>
            <w:rPr>
              <w:rFonts w:ascii="Arial" w:hAnsi="Arial" w:cs="Arial"/>
            </w:rPr>
            <w:t>第三章　货物采购需求</w:t>
          </w:r>
          <w:r>
            <w:rPr>
              <w:rFonts w:ascii="Arial" w:hAnsi="Arial" w:cs="Arial"/>
            </w:rPr>
            <w:tab/>
          </w:r>
          <w:r>
            <w:rPr>
              <w:rFonts w:ascii="Arial" w:hAnsi="Arial" w:cs="Arial"/>
            </w:rPr>
            <w:fldChar w:fldCharType="begin"/>
          </w:r>
          <w:r>
            <w:rPr>
              <w:rFonts w:ascii="Arial" w:hAnsi="Arial" w:cs="Arial"/>
            </w:rPr>
            <w:instrText xml:space="preserve"> PAGEREF _Toc25342 \h </w:instrText>
          </w:r>
          <w:r>
            <w:rPr>
              <w:rFonts w:ascii="Arial" w:hAnsi="Arial" w:cs="Arial"/>
            </w:rPr>
            <w:fldChar w:fldCharType="separate"/>
          </w:r>
          <w:r>
            <w:rPr>
              <w:rFonts w:ascii="Arial" w:hAnsi="Arial" w:cs="Arial"/>
            </w:rPr>
            <w:t>27</w:t>
          </w:r>
          <w:r>
            <w:rPr>
              <w:rFonts w:ascii="Arial" w:hAnsi="Arial" w:cs="Arial"/>
            </w:rPr>
            <w:fldChar w:fldCharType="end"/>
          </w:r>
          <w:r>
            <w:rPr>
              <w:rFonts w:ascii="Arial" w:hAnsi="Arial" w:cs="Arial"/>
            </w:rPr>
            <w:fldChar w:fldCharType="end"/>
          </w:r>
        </w:p>
        <w:p>
          <w:pPr>
            <w:pStyle w:val="35"/>
            <w:pageBreakBefore w:val="0"/>
            <w:tabs>
              <w:tab w:val="right" w:leader="dot" w:pos="9638"/>
            </w:tabs>
            <w:kinsoku/>
            <w:wordWrap/>
            <w:overflowPunct/>
            <w:topLinePunct w:val="0"/>
            <w:bidi w:val="0"/>
            <w:spacing w:after="0" w:line="288" w:lineRule="auto"/>
            <w:rPr>
              <w:rFonts w:ascii="Arial" w:hAnsi="Arial" w:cs="Arial"/>
            </w:rPr>
          </w:pPr>
          <w:r>
            <w:fldChar w:fldCharType="begin"/>
          </w:r>
          <w:r>
            <w:instrText xml:space="preserve"> HYPERLINK \l "_Toc15829" </w:instrText>
          </w:r>
          <w:r>
            <w:fldChar w:fldCharType="separate"/>
          </w:r>
          <w:r>
            <w:rPr>
              <w:rFonts w:ascii="Arial" w:hAnsi="Arial" w:cs="Arial"/>
            </w:rPr>
            <w:t>第四章  评标办法</w:t>
          </w:r>
          <w:r>
            <w:rPr>
              <w:rFonts w:ascii="Arial" w:hAnsi="Arial" w:cs="Arial"/>
            </w:rPr>
            <w:tab/>
          </w:r>
          <w:r>
            <w:rPr>
              <w:rFonts w:ascii="Arial" w:hAnsi="Arial" w:cs="Arial"/>
            </w:rPr>
            <w:fldChar w:fldCharType="begin"/>
          </w:r>
          <w:r>
            <w:rPr>
              <w:rFonts w:ascii="Arial" w:hAnsi="Arial" w:cs="Arial"/>
            </w:rPr>
            <w:instrText xml:space="preserve"> PAGEREF _Toc15829 \h </w:instrText>
          </w:r>
          <w:r>
            <w:rPr>
              <w:rFonts w:ascii="Arial" w:hAnsi="Arial" w:cs="Arial"/>
            </w:rPr>
            <w:fldChar w:fldCharType="separate"/>
          </w:r>
          <w:r>
            <w:rPr>
              <w:rFonts w:ascii="Arial" w:hAnsi="Arial" w:cs="Arial"/>
            </w:rPr>
            <w:t>36</w:t>
          </w:r>
          <w:r>
            <w:rPr>
              <w:rFonts w:ascii="Arial" w:hAnsi="Arial" w:cs="Arial"/>
            </w:rPr>
            <w:fldChar w:fldCharType="end"/>
          </w:r>
          <w:r>
            <w:rPr>
              <w:rFonts w:ascii="Arial" w:hAnsi="Arial" w:cs="Arial"/>
            </w:rPr>
            <w:fldChar w:fldCharType="end"/>
          </w:r>
        </w:p>
        <w:p>
          <w:pPr>
            <w:pStyle w:val="35"/>
            <w:pageBreakBefore w:val="0"/>
            <w:tabs>
              <w:tab w:val="right" w:leader="dot" w:pos="9638"/>
            </w:tabs>
            <w:kinsoku/>
            <w:wordWrap/>
            <w:overflowPunct/>
            <w:topLinePunct w:val="0"/>
            <w:bidi w:val="0"/>
            <w:spacing w:after="0" w:line="288" w:lineRule="auto"/>
            <w:rPr>
              <w:rFonts w:ascii="Arial" w:hAnsi="Arial" w:cs="Arial"/>
            </w:rPr>
          </w:pPr>
          <w:r>
            <w:fldChar w:fldCharType="begin"/>
          </w:r>
          <w:r>
            <w:instrText xml:space="preserve"> HYPERLINK \l "_Toc6894" </w:instrText>
          </w:r>
          <w:r>
            <w:fldChar w:fldCharType="separate"/>
          </w:r>
          <w:r>
            <w:rPr>
              <w:rFonts w:ascii="Arial" w:hAnsi="Arial" w:cs="Arial"/>
            </w:rPr>
            <w:t>第五章  政府采购合同（合同主要条款及格式）</w:t>
          </w:r>
          <w:r>
            <w:rPr>
              <w:rFonts w:ascii="Arial" w:hAnsi="Arial" w:cs="Arial"/>
            </w:rPr>
            <w:tab/>
          </w:r>
          <w:r>
            <w:rPr>
              <w:rFonts w:ascii="Arial" w:hAnsi="Arial" w:cs="Arial"/>
            </w:rPr>
            <w:fldChar w:fldCharType="begin"/>
          </w:r>
          <w:r>
            <w:rPr>
              <w:rFonts w:ascii="Arial" w:hAnsi="Arial" w:cs="Arial"/>
            </w:rPr>
            <w:instrText xml:space="preserve"> PAGEREF _Toc6894 \h </w:instrText>
          </w:r>
          <w:r>
            <w:rPr>
              <w:rFonts w:ascii="Arial" w:hAnsi="Arial" w:cs="Arial"/>
            </w:rPr>
            <w:fldChar w:fldCharType="separate"/>
          </w:r>
          <w:r>
            <w:rPr>
              <w:rFonts w:ascii="Arial" w:hAnsi="Arial" w:cs="Arial"/>
            </w:rPr>
            <w:t>42</w:t>
          </w:r>
          <w:r>
            <w:rPr>
              <w:rFonts w:ascii="Arial" w:hAnsi="Arial" w:cs="Arial"/>
            </w:rPr>
            <w:fldChar w:fldCharType="end"/>
          </w:r>
          <w:r>
            <w:rPr>
              <w:rFonts w:ascii="Arial" w:hAnsi="Arial" w:cs="Arial"/>
            </w:rPr>
            <w:fldChar w:fldCharType="end"/>
          </w:r>
        </w:p>
        <w:p>
          <w:pPr>
            <w:pStyle w:val="35"/>
            <w:pageBreakBefore w:val="0"/>
            <w:tabs>
              <w:tab w:val="right" w:leader="dot" w:pos="9638"/>
            </w:tabs>
            <w:kinsoku/>
            <w:wordWrap/>
            <w:overflowPunct/>
            <w:topLinePunct w:val="0"/>
            <w:bidi w:val="0"/>
            <w:spacing w:after="0" w:line="288" w:lineRule="auto"/>
            <w:rPr>
              <w:rFonts w:ascii="Arial" w:hAnsi="Arial" w:cs="Arial"/>
            </w:rPr>
          </w:pPr>
          <w:r>
            <w:fldChar w:fldCharType="begin"/>
          </w:r>
          <w:r>
            <w:instrText xml:space="preserve"> HYPERLINK \l "_Toc8228" </w:instrText>
          </w:r>
          <w:r>
            <w:fldChar w:fldCharType="separate"/>
          </w:r>
          <w:r>
            <w:rPr>
              <w:rFonts w:ascii="Arial" w:hAnsi="Arial" w:cs="Arial"/>
            </w:rPr>
            <w:t>第六章  投标文件格式</w:t>
          </w:r>
          <w:bookmarkStart w:id="58" w:name="_GoBack"/>
          <w:bookmarkEnd w:id="58"/>
          <w:r>
            <w:rPr>
              <w:rFonts w:ascii="Arial" w:hAnsi="Arial" w:cs="Arial"/>
            </w:rPr>
            <w:tab/>
          </w:r>
          <w:r>
            <w:rPr>
              <w:rFonts w:ascii="Arial" w:hAnsi="Arial" w:cs="Arial"/>
            </w:rPr>
            <w:fldChar w:fldCharType="begin"/>
          </w:r>
          <w:r>
            <w:rPr>
              <w:rFonts w:ascii="Arial" w:hAnsi="Arial" w:cs="Arial"/>
            </w:rPr>
            <w:instrText xml:space="preserve"> PAGEREF _Toc8228 \h </w:instrText>
          </w:r>
          <w:r>
            <w:rPr>
              <w:rFonts w:ascii="Arial" w:hAnsi="Arial" w:cs="Arial"/>
            </w:rPr>
            <w:fldChar w:fldCharType="separate"/>
          </w:r>
          <w:r>
            <w:rPr>
              <w:rFonts w:ascii="Arial" w:hAnsi="Arial" w:cs="Arial"/>
            </w:rPr>
            <w:t>46</w:t>
          </w:r>
          <w:r>
            <w:rPr>
              <w:rFonts w:ascii="Arial" w:hAnsi="Arial" w:cs="Arial"/>
            </w:rPr>
            <w:fldChar w:fldCharType="end"/>
          </w:r>
          <w:r>
            <w:rPr>
              <w:rFonts w:ascii="Arial" w:hAnsi="Arial" w:cs="Arial"/>
            </w:rPr>
            <w:fldChar w:fldCharType="end"/>
          </w:r>
        </w:p>
        <w:p>
          <w:pPr>
            <w:pageBreakBefore w:val="0"/>
            <w:kinsoku/>
            <w:wordWrap/>
            <w:overflowPunct/>
            <w:topLinePunct w:val="0"/>
            <w:bidi w:val="0"/>
            <w:spacing w:after="0" w:line="288" w:lineRule="auto"/>
            <w:jc w:val="center"/>
            <w:rPr>
              <w:rFonts w:ascii="Arial" w:hAnsi="Arial" w:cs="Arial"/>
              <w:b/>
              <w:sz w:val="32"/>
              <w:szCs w:val="32"/>
            </w:rPr>
          </w:pPr>
          <w:r>
            <w:rPr>
              <w:rFonts w:ascii="Arial" w:hAnsi="Arial" w:cs="Arial"/>
            </w:rPr>
            <w:fldChar w:fldCharType="end"/>
          </w:r>
        </w:p>
      </w:sdtContent>
    </w:sdt>
    <w:p>
      <w:pPr>
        <w:pageBreakBefore w:val="0"/>
        <w:kinsoku/>
        <w:wordWrap/>
        <w:overflowPunct/>
        <w:topLinePunct w:val="0"/>
        <w:bidi w:val="0"/>
        <w:spacing w:after="0" w:line="288" w:lineRule="auto"/>
        <w:jc w:val="center"/>
        <w:rPr>
          <w:rFonts w:ascii="Arial" w:hAnsi="Arial" w:cs="Arial"/>
          <w:b/>
          <w:sz w:val="32"/>
          <w:szCs w:val="32"/>
        </w:rPr>
      </w:pPr>
    </w:p>
    <w:p>
      <w:pPr>
        <w:pageBreakBefore w:val="0"/>
        <w:kinsoku/>
        <w:wordWrap/>
        <w:overflowPunct/>
        <w:topLinePunct w:val="0"/>
        <w:bidi w:val="0"/>
        <w:spacing w:after="0" w:line="288" w:lineRule="auto"/>
        <w:jc w:val="center"/>
        <w:rPr>
          <w:rFonts w:ascii="Arial" w:hAnsi="Arial" w:cs="Arial"/>
          <w:b/>
          <w:sz w:val="32"/>
          <w:szCs w:val="32"/>
        </w:rPr>
      </w:pPr>
    </w:p>
    <w:p>
      <w:pPr>
        <w:pStyle w:val="46"/>
        <w:pageBreakBefore w:val="0"/>
        <w:kinsoku/>
        <w:wordWrap/>
        <w:overflowPunct/>
        <w:topLinePunct w:val="0"/>
        <w:bidi w:val="0"/>
        <w:spacing w:before="0" w:after="0" w:line="288" w:lineRule="auto"/>
        <w:rPr>
          <w:rFonts w:ascii="Arial" w:hAnsi="Arial" w:cs="Arial"/>
        </w:rPr>
        <w:sectPr>
          <w:footerReference r:id="rId7" w:type="first"/>
          <w:footerReference r:id="rId6" w:type="default"/>
          <w:pgSz w:w="11906" w:h="16838"/>
          <w:pgMar w:top="1134" w:right="1134" w:bottom="1134" w:left="1134" w:header="720" w:footer="720" w:gutter="0"/>
          <w:pgNumType w:start="1"/>
          <w:cols w:space="720" w:num="1"/>
          <w:docGrid w:type="lines" w:linePitch="331" w:charSpace="0"/>
        </w:sectPr>
      </w:pPr>
      <w:bookmarkStart w:id="0" w:name="_Toc524017821"/>
      <w:bookmarkStart w:id="1" w:name="_Toc524017688"/>
    </w:p>
    <w:p>
      <w:pPr>
        <w:pStyle w:val="46"/>
        <w:pageBreakBefore w:val="0"/>
        <w:kinsoku/>
        <w:wordWrap/>
        <w:overflowPunct/>
        <w:topLinePunct w:val="0"/>
        <w:bidi w:val="0"/>
        <w:spacing w:before="0" w:after="0" w:line="288" w:lineRule="auto"/>
        <w:rPr>
          <w:rFonts w:ascii="Arial" w:hAnsi="Arial" w:cs="Arial"/>
        </w:rPr>
      </w:pPr>
      <w:bookmarkStart w:id="2" w:name="_Toc6839"/>
      <w:bookmarkStart w:id="3" w:name="_Toc82079325"/>
      <w:bookmarkStart w:id="4" w:name="_Toc82079277"/>
      <w:r>
        <w:rPr>
          <w:rFonts w:ascii="Arial" w:hAnsi="Arial" w:cs="Arial"/>
        </w:rPr>
        <w:t>第一章  公开招标公告</w:t>
      </w:r>
      <w:bookmarkEnd w:id="0"/>
      <w:bookmarkEnd w:id="1"/>
      <w:bookmarkEnd w:id="2"/>
      <w:bookmarkEnd w:id="3"/>
      <w:bookmarkEnd w:id="4"/>
    </w:p>
    <w:p>
      <w:pPr>
        <w:pageBreakBefore w:val="0"/>
        <w:pBdr>
          <w:top w:val="single" w:color="auto" w:sz="4" w:space="1"/>
          <w:left w:val="single" w:color="auto" w:sz="4" w:space="0"/>
          <w:bottom w:val="single" w:color="auto" w:sz="4" w:space="1"/>
          <w:right w:val="single" w:color="auto" w:sz="4" w:space="4"/>
        </w:pBdr>
        <w:kinsoku/>
        <w:wordWrap/>
        <w:overflowPunct/>
        <w:topLinePunct w:val="0"/>
        <w:bidi w:val="0"/>
        <w:spacing w:after="0" w:line="288" w:lineRule="auto"/>
        <w:rPr>
          <w:rFonts w:ascii="Arial" w:hAnsi="Arial" w:cs="Arial"/>
        </w:rPr>
      </w:pPr>
      <w:r>
        <w:rPr>
          <w:rFonts w:ascii="Arial" w:hAnsi="Arial" w:cs="Arial"/>
        </w:rPr>
        <w:t>项目概况：</w:t>
      </w:r>
    </w:p>
    <w:p>
      <w:pPr>
        <w:pageBreakBefore w:val="0"/>
        <w:pBdr>
          <w:top w:val="single" w:color="auto" w:sz="4" w:space="1"/>
          <w:left w:val="single" w:color="auto" w:sz="4" w:space="0"/>
          <w:bottom w:val="single" w:color="auto" w:sz="4" w:space="1"/>
          <w:right w:val="single" w:color="auto" w:sz="4" w:space="4"/>
        </w:pBdr>
        <w:kinsoku/>
        <w:wordWrap/>
        <w:overflowPunct/>
        <w:topLinePunct w:val="0"/>
        <w:bidi w:val="0"/>
        <w:spacing w:after="0" w:line="288" w:lineRule="auto"/>
        <w:ind w:firstLine="420" w:firstLineChars="200"/>
        <w:rPr>
          <w:rFonts w:ascii="Arial" w:hAnsi="Arial" w:cs="Arial"/>
        </w:rPr>
      </w:pPr>
      <w:r>
        <w:rPr>
          <w:rFonts w:ascii="Arial" w:hAnsi="Arial" w:cs="Arial"/>
        </w:rPr>
        <w:t>“</w:t>
      </w:r>
      <w:r>
        <w:rPr>
          <w:rFonts w:hint="eastAsia" w:ascii="Arial" w:hAnsi="Arial" w:cs="Arial"/>
          <w:szCs w:val="21"/>
        </w:rPr>
        <w:t>血液透析室设备采购项目</w:t>
      </w:r>
      <w:r>
        <w:rPr>
          <w:rFonts w:ascii="Arial" w:hAnsi="Arial" w:cs="Arial"/>
        </w:rPr>
        <w:t>”采购项目的潜在供应商应登录</w:t>
      </w:r>
      <w:r>
        <w:rPr>
          <w:rFonts w:hint="eastAsia" w:ascii="Arial" w:hAnsi="Arial" w:cs="Arial"/>
        </w:rPr>
        <w:t>广西政府采购云平台（www.gcy.zfcg.gxzf.gov.cn/）获取采购文件</w:t>
      </w:r>
      <w:r>
        <w:rPr>
          <w:rFonts w:ascii="Arial" w:hAnsi="Arial" w:cs="Arial"/>
        </w:rPr>
        <w:t>，</w:t>
      </w:r>
      <w:r>
        <w:rPr>
          <w:rFonts w:hint="eastAsia" w:ascii="Arial" w:hAnsi="Arial" w:cs="Arial"/>
        </w:rPr>
        <w:t>2025年</w:t>
      </w:r>
      <w:r>
        <w:rPr>
          <w:rFonts w:hint="eastAsia" w:ascii="Arial" w:hAnsi="Arial" w:cs="Arial"/>
          <w:lang w:eastAsia="zh-CN"/>
        </w:rPr>
        <w:t>7月1日</w:t>
      </w:r>
      <w:r>
        <w:rPr>
          <w:rFonts w:ascii="Arial" w:hAnsi="Arial" w:cs="Arial"/>
        </w:rPr>
        <w:t>9时30分（北京时间）前递交投标文件。</w:t>
      </w:r>
    </w:p>
    <w:p>
      <w:pPr>
        <w:pageBreakBefore w:val="0"/>
        <w:kinsoku/>
        <w:wordWrap/>
        <w:overflowPunct/>
        <w:topLinePunct w:val="0"/>
        <w:bidi w:val="0"/>
        <w:spacing w:after="0" w:line="288" w:lineRule="auto"/>
        <w:ind w:left="420" w:leftChars="200"/>
        <w:rPr>
          <w:rFonts w:ascii="Arial" w:hAnsi="Arial" w:cs="Arial"/>
          <w:b/>
          <w:bCs/>
        </w:rPr>
      </w:pPr>
      <w:r>
        <w:rPr>
          <w:rFonts w:ascii="Arial" w:hAnsi="Arial" w:cs="Arial"/>
          <w:b/>
          <w:bCs/>
          <w:szCs w:val="21"/>
        </w:rPr>
        <w:t>一、项目基本情况</w:t>
      </w:r>
    </w:p>
    <w:p>
      <w:pPr>
        <w:pageBreakBefore w:val="0"/>
        <w:kinsoku/>
        <w:wordWrap/>
        <w:overflowPunct/>
        <w:topLinePunct w:val="0"/>
        <w:bidi w:val="0"/>
        <w:spacing w:after="0" w:line="288" w:lineRule="auto"/>
        <w:ind w:firstLine="420" w:firstLineChars="200"/>
        <w:jc w:val="left"/>
        <w:rPr>
          <w:rFonts w:hint="eastAsia" w:ascii="Arial" w:hAnsi="Arial" w:eastAsia="宋体" w:cs="Arial"/>
          <w:lang w:eastAsia="zh-CN"/>
        </w:rPr>
      </w:pPr>
      <w:r>
        <w:rPr>
          <w:rFonts w:ascii="Arial" w:hAnsi="Arial" w:cs="Arial"/>
        </w:rPr>
        <w:t>项目编号：</w:t>
      </w:r>
      <w:r>
        <w:rPr>
          <w:rFonts w:hint="eastAsia" w:ascii="Arial" w:hAnsi="Arial" w:cs="Arial"/>
          <w:lang w:eastAsia="zh-CN"/>
        </w:rPr>
        <w:t xml:space="preserve"> GLZC2025-G1-250032-JDZB</w:t>
      </w:r>
    </w:p>
    <w:p>
      <w:pPr>
        <w:pageBreakBefore w:val="0"/>
        <w:kinsoku/>
        <w:wordWrap/>
        <w:overflowPunct/>
        <w:topLinePunct w:val="0"/>
        <w:bidi w:val="0"/>
        <w:spacing w:after="0" w:line="288" w:lineRule="auto"/>
        <w:ind w:firstLine="420" w:firstLineChars="200"/>
        <w:jc w:val="left"/>
        <w:rPr>
          <w:rFonts w:ascii="Arial" w:hAnsi="Arial" w:cs="Arial"/>
        </w:rPr>
      </w:pPr>
      <w:r>
        <w:rPr>
          <w:rFonts w:ascii="Arial" w:hAnsi="Arial" w:cs="Arial"/>
        </w:rPr>
        <w:t>项目名称：</w:t>
      </w:r>
      <w:bookmarkStart w:id="5" w:name="_Hlk44605545"/>
      <w:r>
        <w:rPr>
          <w:rFonts w:hint="eastAsia" w:ascii="Arial" w:hAnsi="Arial" w:cs="Arial"/>
        </w:rPr>
        <w:t>血液透析室设备采购项目</w:t>
      </w:r>
    </w:p>
    <w:bookmarkEnd w:id="5"/>
    <w:p>
      <w:pPr>
        <w:pageBreakBefore w:val="0"/>
        <w:kinsoku/>
        <w:wordWrap/>
        <w:overflowPunct/>
        <w:topLinePunct w:val="0"/>
        <w:bidi w:val="0"/>
        <w:spacing w:after="0" w:line="288" w:lineRule="auto"/>
        <w:ind w:left="420" w:leftChars="200"/>
        <w:rPr>
          <w:rFonts w:ascii="Arial" w:hAnsi="Arial" w:cs="Arial"/>
          <w:szCs w:val="21"/>
        </w:rPr>
      </w:pPr>
      <w:r>
        <w:rPr>
          <w:rFonts w:hint="eastAsia" w:ascii="Arial" w:hAnsi="Arial" w:cs="Arial"/>
          <w:szCs w:val="21"/>
        </w:rPr>
        <w:t>采购人</w:t>
      </w:r>
      <w:r>
        <w:rPr>
          <w:rFonts w:ascii="Arial" w:hAnsi="Arial" w:cs="Arial"/>
          <w:szCs w:val="21"/>
        </w:rPr>
        <w:t xml:space="preserve">式：公开招标 </w:t>
      </w:r>
    </w:p>
    <w:p>
      <w:pPr>
        <w:pageBreakBefore w:val="0"/>
        <w:kinsoku/>
        <w:wordWrap/>
        <w:overflowPunct/>
        <w:topLinePunct w:val="0"/>
        <w:bidi w:val="0"/>
        <w:spacing w:after="0" w:line="288" w:lineRule="auto"/>
        <w:ind w:left="420"/>
        <w:rPr>
          <w:rFonts w:ascii="Arial" w:hAnsi="Arial" w:cs="Arial"/>
        </w:rPr>
      </w:pPr>
      <w:r>
        <w:rPr>
          <w:rFonts w:ascii="Arial" w:hAnsi="Arial" w:cs="Arial"/>
        </w:rPr>
        <w:t>预算金额</w:t>
      </w:r>
      <w:r>
        <w:rPr>
          <w:rFonts w:hint="eastAsia" w:ascii="Arial" w:hAnsi="Arial" w:cs="Arial"/>
        </w:rPr>
        <w:t>（元）</w:t>
      </w:r>
      <w:r>
        <w:rPr>
          <w:rFonts w:ascii="Arial" w:hAnsi="Arial" w:cs="Arial"/>
        </w:rPr>
        <w:t>：</w:t>
      </w:r>
      <w:r>
        <w:rPr>
          <w:rFonts w:hint="eastAsia" w:ascii="Arial" w:hAnsi="Arial" w:cs="Arial"/>
        </w:rPr>
        <w:t>2860000</w:t>
      </w:r>
    </w:p>
    <w:p>
      <w:pPr>
        <w:pageBreakBefore w:val="0"/>
        <w:kinsoku/>
        <w:wordWrap/>
        <w:overflowPunct/>
        <w:topLinePunct w:val="0"/>
        <w:bidi w:val="0"/>
        <w:spacing w:after="0" w:line="288" w:lineRule="auto"/>
        <w:ind w:firstLine="420" w:firstLineChars="200"/>
        <w:rPr>
          <w:rFonts w:ascii="Arial" w:hAnsi="Arial" w:cs="Arial"/>
          <w:kern w:val="0"/>
          <w:szCs w:val="21"/>
        </w:rPr>
      </w:pPr>
      <w:r>
        <w:rPr>
          <w:rFonts w:hint="eastAsia" w:ascii="Arial" w:hAnsi="Arial" w:cs="Arial"/>
          <w:kern w:val="0"/>
          <w:szCs w:val="21"/>
        </w:rPr>
        <w:t>采购需求：</w:t>
      </w:r>
    </w:p>
    <w:p>
      <w:pPr>
        <w:pageBreakBefore w:val="0"/>
        <w:kinsoku/>
        <w:wordWrap/>
        <w:overflowPunct/>
        <w:topLinePunct w:val="0"/>
        <w:bidi w:val="0"/>
        <w:spacing w:after="0" w:line="288" w:lineRule="auto"/>
        <w:ind w:firstLine="840" w:firstLineChars="400"/>
        <w:rPr>
          <w:rFonts w:ascii="Arial" w:hAnsi="Arial" w:cs="Arial"/>
          <w:kern w:val="0"/>
          <w:szCs w:val="21"/>
        </w:rPr>
      </w:pPr>
      <w:r>
        <w:rPr>
          <w:rFonts w:hint="eastAsia" w:ascii="Arial" w:hAnsi="Arial" w:cs="Arial"/>
          <w:kern w:val="0"/>
          <w:szCs w:val="21"/>
        </w:rPr>
        <w:t xml:space="preserve">标项名称: </w:t>
      </w:r>
      <w:r>
        <w:rPr>
          <w:rFonts w:hint="eastAsia" w:ascii="Arial" w:hAnsi="Arial" w:cs="Arial"/>
        </w:rPr>
        <w:t>血液透析室设备采购项目</w:t>
      </w:r>
    </w:p>
    <w:p>
      <w:pPr>
        <w:pageBreakBefore w:val="0"/>
        <w:kinsoku/>
        <w:wordWrap/>
        <w:overflowPunct/>
        <w:topLinePunct w:val="0"/>
        <w:bidi w:val="0"/>
        <w:spacing w:after="0" w:line="288" w:lineRule="auto"/>
        <w:ind w:firstLine="420" w:firstLineChars="200"/>
        <w:rPr>
          <w:rFonts w:ascii="Arial" w:hAnsi="Arial" w:cs="Arial"/>
          <w:kern w:val="0"/>
          <w:szCs w:val="21"/>
        </w:rPr>
      </w:pPr>
      <w:r>
        <w:rPr>
          <w:rFonts w:hint="eastAsia" w:ascii="Arial" w:hAnsi="Arial" w:cs="Arial"/>
          <w:kern w:val="0"/>
          <w:szCs w:val="21"/>
        </w:rPr>
        <w:t xml:space="preserve">    数量: 1</w:t>
      </w:r>
    </w:p>
    <w:p>
      <w:pPr>
        <w:pageBreakBefore w:val="0"/>
        <w:kinsoku/>
        <w:wordWrap/>
        <w:overflowPunct/>
        <w:topLinePunct w:val="0"/>
        <w:bidi w:val="0"/>
        <w:spacing w:after="0" w:line="288" w:lineRule="auto"/>
        <w:ind w:firstLine="420" w:firstLineChars="200"/>
        <w:rPr>
          <w:rFonts w:ascii="Arial" w:hAnsi="Arial" w:cs="Arial"/>
          <w:kern w:val="0"/>
          <w:szCs w:val="21"/>
        </w:rPr>
      </w:pPr>
      <w:r>
        <w:rPr>
          <w:rFonts w:hint="eastAsia" w:ascii="Arial" w:hAnsi="Arial" w:cs="Arial"/>
          <w:kern w:val="0"/>
          <w:szCs w:val="21"/>
        </w:rPr>
        <w:t xml:space="preserve">    预算金额（元）：</w:t>
      </w:r>
      <w:r>
        <w:rPr>
          <w:rFonts w:hint="eastAsia" w:ascii="Arial" w:hAnsi="Arial" w:cs="Arial"/>
        </w:rPr>
        <w:t>2860000</w:t>
      </w:r>
    </w:p>
    <w:p>
      <w:pPr>
        <w:pageBreakBefore w:val="0"/>
        <w:kinsoku/>
        <w:wordWrap/>
        <w:overflowPunct/>
        <w:topLinePunct w:val="0"/>
        <w:bidi w:val="0"/>
        <w:spacing w:after="0" w:line="288" w:lineRule="auto"/>
        <w:ind w:firstLine="420" w:firstLineChars="200"/>
        <w:rPr>
          <w:rFonts w:ascii="Arial" w:hAnsi="Arial" w:cs="Arial"/>
          <w:kern w:val="0"/>
          <w:szCs w:val="21"/>
        </w:rPr>
      </w:pPr>
      <w:r>
        <w:rPr>
          <w:rFonts w:hint="eastAsia" w:ascii="Arial" w:hAnsi="Arial" w:cs="Arial"/>
          <w:kern w:val="0"/>
          <w:szCs w:val="21"/>
        </w:rPr>
        <w:t xml:space="preserve">    简要规格描述或项目基本概况介绍、用途：</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3424"/>
        <w:gridCol w:w="822"/>
        <w:gridCol w:w="775"/>
        <w:gridCol w:w="2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03" w:type="dxa"/>
            <w:vAlign w:val="center"/>
          </w:tcPr>
          <w:p>
            <w:pPr>
              <w:pageBreakBefore w:val="0"/>
              <w:kinsoku/>
              <w:wordWrap/>
              <w:overflowPunct/>
              <w:topLinePunct w:val="0"/>
              <w:bidi w:val="0"/>
              <w:snapToGrid w:val="0"/>
              <w:spacing w:after="0" w:line="288" w:lineRule="auto"/>
              <w:jc w:val="center"/>
              <w:textAlignment w:val="center"/>
              <w:rPr>
                <w:rFonts w:ascii="Arial" w:hAnsi="Arial" w:cs="Arial"/>
                <w:b/>
                <w:szCs w:val="21"/>
              </w:rPr>
            </w:pPr>
            <w:r>
              <w:rPr>
                <w:rFonts w:ascii="Arial" w:hAnsi="Arial" w:cs="Arial"/>
                <w:b/>
                <w:szCs w:val="21"/>
              </w:rPr>
              <w:t>序号</w:t>
            </w:r>
          </w:p>
        </w:tc>
        <w:tc>
          <w:tcPr>
            <w:tcW w:w="3424" w:type="dxa"/>
            <w:vAlign w:val="center"/>
          </w:tcPr>
          <w:p>
            <w:pPr>
              <w:pageBreakBefore w:val="0"/>
              <w:kinsoku/>
              <w:wordWrap/>
              <w:overflowPunct/>
              <w:topLinePunct w:val="0"/>
              <w:bidi w:val="0"/>
              <w:snapToGrid w:val="0"/>
              <w:spacing w:after="0" w:line="288" w:lineRule="auto"/>
              <w:jc w:val="center"/>
              <w:textAlignment w:val="center"/>
              <w:rPr>
                <w:rFonts w:ascii="Arial" w:hAnsi="Arial" w:cs="Arial"/>
                <w:b/>
                <w:szCs w:val="21"/>
              </w:rPr>
            </w:pPr>
            <w:r>
              <w:rPr>
                <w:rFonts w:ascii="Arial" w:hAnsi="Arial" w:cs="Arial"/>
                <w:b/>
                <w:szCs w:val="21"/>
              </w:rPr>
              <w:t>货 物 名 称</w:t>
            </w:r>
          </w:p>
        </w:tc>
        <w:tc>
          <w:tcPr>
            <w:tcW w:w="822" w:type="dxa"/>
            <w:vAlign w:val="center"/>
          </w:tcPr>
          <w:p>
            <w:pPr>
              <w:pageBreakBefore w:val="0"/>
              <w:kinsoku/>
              <w:wordWrap/>
              <w:overflowPunct/>
              <w:topLinePunct w:val="0"/>
              <w:bidi w:val="0"/>
              <w:snapToGrid w:val="0"/>
              <w:spacing w:after="0" w:line="288" w:lineRule="auto"/>
              <w:jc w:val="center"/>
              <w:textAlignment w:val="center"/>
              <w:rPr>
                <w:rFonts w:ascii="Arial" w:hAnsi="Arial" w:cs="Arial"/>
                <w:b/>
                <w:szCs w:val="21"/>
              </w:rPr>
            </w:pPr>
            <w:r>
              <w:rPr>
                <w:rFonts w:ascii="Arial" w:hAnsi="Arial" w:cs="Arial"/>
                <w:b/>
                <w:szCs w:val="21"/>
              </w:rPr>
              <w:t>数量</w:t>
            </w:r>
          </w:p>
        </w:tc>
        <w:tc>
          <w:tcPr>
            <w:tcW w:w="775" w:type="dxa"/>
            <w:vAlign w:val="center"/>
          </w:tcPr>
          <w:p>
            <w:pPr>
              <w:pageBreakBefore w:val="0"/>
              <w:kinsoku/>
              <w:wordWrap/>
              <w:overflowPunct/>
              <w:topLinePunct w:val="0"/>
              <w:bidi w:val="0"/>
              <w:snapToGrid w:val="0"/>
              <w:spacing w:after="0" w:line="288" w:lineRule="auto"/>
              <w:jc w:val="center"/>
              <w:textAlignment w:val="center"/>
              <w:rPr>
                <w:rFonts w:ascii="Arial" w:hAnsi="Arial" w:cs="Arial"/>
                <w:b/>
                <w:szCs w:val="21"/>
              </w:rPr>
            </w:pPr>
            <w:r>
              <w:rPr>
                <w:rFonts w:ascii="Arial" w:hAnsi="Arial" w:cs="Arial"/>
                <w:b/>
                <w:szCs w:val="21"/>
              </w:rPr>
              <w:t>单位</w:t>
            </w:r>
          </w:p>
        </w:tc>
        <w:tc>
          <w:tcPr>
            <w:tcW w:w="2174" w:type="dxa"/>
            <w:tcBorders>
              <w:bottom w:val="single" w:color="auto" w:sz="4" w:space="0"/>
            </w:tcBorders>
            <w:vAlign w:val="center"/>
          </w:tcPr>
          <w:p>
            <w:pPr>
              <w:pageBreakBefore w:val="0"/>
              <w:kinsoku/>
              <w:wordWrap/>
              <w:overflowPunct/>
              <w:topLinePunct w:val="0"/>
              <w:bidi w:val="0"/>
              <w:snapToGrid w:val="0"/>
              <w:spacing w:after="0" w:line="288" w:lineRule="auto"/>
              <w:jc w:val="center"/>
              <w:textAlignment w:val="center"/>
              <w:rPr>
                <w:rFonts w:ascii="Arial" w:hAnsi="Arial" w:cs="Arial"/>
                <w:b/>
                <w:szCs w:val="21"/>
              </w:rPr>
            </w:pPr>
            <w:r>
              <w:rPr>
                <w:rFonts w:ascii="Arial" w:hAnsi="Arial" w:cs="Arial"/>
                <w:b/>
                <w:szCs w:val="21"/>
              </w:rPr>
              <w:t>预算（元）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03" w:type="dxa"/>
            <w:vAlign w:val="center"/>
          </w:tcPr>
          <w:p>
            <w:pPr>
              <w:pageBreakBefore w:val="0"/>
              <w:widowControl/>
              <w:kinsoku/>
              <w:wordWrap/>
              <w:overflowPunct/>
              <w:topLinePunct w:val="0"/>
              <w:bidi w:val="0"/>
              <w:snapToGrid w:val="0"/>
              <w:spacing w:after="0" w:line="288" w:lineRule="auto"/>
              <w:jc w:val="center"/>
              <w:rPr>
                <w:rFonts w:ascii="Arial" w:hAnsi="Arial" w:cs="Arial"/>
                <w:kern w:val="0"/>
                <w:szCs w:val="21"/>
              </w:rPr>
            </w:pPr>
            <w:r>
              <w:rPr>
                <w:rFonts w:ascii="Arial" w:hAnsi="Arial" w:cs="Arial"/>
                <w:kern w:val="0"/>
                <w:szCs w:val="21"/>
              </w:rPr>
              <w:t>1</w:t>
            </w:r>
          </w:p>
        </w:tc>
        <w:tc>
          <w:tcPr>
            <w:tcW w:w="3424" w:type="dxa"/>
            <w:vAlign w:val="center"/>
          </w:tcPr>
          <w:p>
            <w:pPr>
              <w:pageBreakBefore w:val="0"/>
              <w:widowControl/>
              <w:kinsoku/>
              <w:wordWrap/>
              <w:overflowPunct/>
              <w:topLinePunct w:val="0"/>
              <w:bidi w:val="0"/>
              <w:snapToGrid w:val="0"/>
              <w:spacing w:after="0" w:line="288" w:lineRule="auto"/>
              <w:jc w:val="center"/>
              <w:textAlignment w:val="center"/>
              <w:rPr>
                <w:rFonts w:ascii="Arial" w:hAnsi="Arial" w:cs="Arial"/>
                <w:kern w:val="0"/>
                <w:szCs w:val="21"/>
              </w:rPr>
            </w:pPr>
            <w:r>
              <w:rPr>
                <w:rFonts w:ascii="Arial" w:hAnsi="Arial" w:cs="Arial"/>
                <w:szCs w:val="21"/>
              </w:rPr>
              <w:t>血液透析用制水设备</w:t>
            </w:r>
          </w:p>
        </w:tc>
        <w:tc>
          <w:tcPr>
            <w:tcW w:w="822" w:type="dxa"/>
            <w:vAlign w:val="center"/>
          </w:tcPr>
          <w:p>
            <w:pPr>
              <w:pageBreakBefore w:val="0"/>
              <w:widowControl/>
              <w:kinsoku/>
              <w:wordWrap/>
              <w:overflowPunct/>
              <w:topLinePunct w:val="0"/>
              <w:bidi w:val="0"/>
              <w:snapToGrid w:val="0"/>
              <w:spacing w:after="0" w:line="288" w:lineRule="auto"/>
              <w:jc w:val="center"/>
              <w:rPr>
                <w:rFonts w:ascii="Arial" w:hAnsi="Arial" w:cs="Arial"/>
                <w:kern w:val="0"/>
                <w:szCs w:val="21"/>
              </w:rPr>
            </w:pPr>
            <w:r>
              <w:rPr>
                <w:rFonts w:ascii="Arial" w:hAnsi="Arial" w:cs="Arial"/>
                <w:kern w:val="0"/>
                <w:szCs w:val="21"/>
              </w:rPr>
              <w:t>1</w:t>
            </w:r>
          </w:p>
        </w:tc>
        <w:tc>
          <w:tcPr>
            <w:tcW w:w="775" w:type="dxa"/>
            <w:tcBorders>
              <w:right w:val="single" w:color="auto" w:sz="4" w:space="0"/>
            </w:tcBorders>
            <w:vAlign w:val="center"/>
          </w:tcPr>
          <w:p>
            <w:pPr>
              <w:pageBreakBefore w:val="0"/>
              <w:widowControl/>
              <w:kinsoku/>
              <w:wordWrap/>
              <w:overflowPunct/>
              <w:topLinePunct w:val="0"/>
              <w:bidi w:val="0"/>
              <w:snapToGrid w:val="0"/>
              <w:spacing w:after="0" w:line="288" w:lineRule="auto"/>
              <w:jc w:val="center"/>
              <w:rPr>
                <w:rFonts w:ascii="Arial" w:hAnsi="Arial" w:cs="Arial"/>
                <w:kern w:val="0"/>
                <w:szCs w:val="21"/>
              </w:rPr>
            </w:pPr>
            <w:r>
              <w:rPr>
                <w:rFonts w:ascii="Arial" w:hAnsi="Arial" w:cs="Arial"/>
                <w:kern w:val="0"/>
                <w:szCs w:val="21"/>
              </w:rPr>
              <w:t>套</w:t>
            </w:r>
          </w:p>
        </w:tc>
        <w:tc>
          <w:tcPr>
            <w:tcW w:w="2174" w:type="dxa"/>
            <w:tcBorders>
              <w:top w:val="single" w:color="auto" w:sz="4" w:space="0"/>
              <w:left w:val="single" w:color="auto" w:sz="4" w:space="0"/>
            </w:tcBorders>
            <w:vAlign w:val="center"/>
          </w:tcPr>
          <w:p>
            <w:pPr>
              <w:pageBreakBefore w:val="0"/>
              <w:widowControl/>
              <w:kinsoku/>
              <w:wordWrap/>
              <w:overflowPunct/>
              <w:topLinePunct w:val="0"/>
              <w:bidi w:val="0"/>
              <w:snapToGrid w:val="0"/>
              <w:spacing w:after="0" w:line="288" w:lineRule="auto"/>
              <w:jc w:val="center"/>
              <w:textAlignment w:val="center"/>
              <w:rPr>
                <w:rFonts w:ascii="Arial" w:hAnsi="Arial" w:cs="Arial"/>
                <w:szCs w:val="21"/>
              </w:rPr>
            </w:pPr>
            <w:r>
              <w:rPr>
                <w:rFonts w:ascii="Arial" w:hAnsi="Arial" w:cs="Arial"/>
                <w:szCs w:val="21"/>
              </w:rPr>
              <w:t>300000.00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03" w:type="dxa"/>
            <w:vAlign w:val="center"/>
          </w:tcPr>
          <w:p>
            <w:pPr>
              <w:pageBreakBefore w:val="0"/>
              <w:widowControl/>
              <w:kinsoku/>
              <w:wordWrap/>
              <w:overflowPunct/>
              <w:topLinePunct w:val="0"/>
              <w:bidi w:val="0"/>
              <w:snapToGrid w:val="0"/>
              <w:spacing w:after="0" w:line="288" w:lineRule="auto"/>
              <w:jc w:val="center"/>
              <w:rPr>
                <w:rFonts w:ascii="Arial" w:hAnsi="Arial" w:cs="Arial"/>
                <w:kern w:val="0"/>
                <w:szCs w:val="21"/>
              </w:rPr>
            </w:pPr>
            <w:r>
              <w:rPr>
                <w:rFonts w:ascii="Arial" w:hAnsi="Arial" w:cs="Arial"/>
                <w:kern w:val="0"/>
                <w:szCs w:val="21"/>
              </w:rPr>
              <w:t>2</w:t>
            </w:r>
          </w:p>
        </w:tc>
        <w:tc>
          <w:tcPr>
            <w:tcW w:w="3424" w:type="dxa"/>
            <w:vAlign w:val="center"/>
          </w:tcPr>
          <w:p>
            <w:pPr>
              <w:pageBreakBefore w:val="0"/>
              <w:widowControl/>
              <w:kinsoku/>
              <w:wordWrap/>
              <w:overflowPunct/>
              <w:topLinePunct w:val="0"/>
              <w:bidi w:val="0"/>
              <w:snapToGrid w:val="0"/>
              <w:spacing w:after="0" w:line="288" w:lineRule="auto"/>
              <w:jc w:val="center"/>
              <w:textAlignment w:val="center"/>
              <w:rPr>
                <w:rFonts w:ascii="Arial" w:hAnsi="Arial" w:cs="Arial"/>
                <w:kern w:val="0"/>
                <w:szCs w:val="21"/>
              </w:rPr>
            </w:pPr>
            <w:r>
              <w:rPr>
                <w:rFonts w:ascii="Arial" w:hAnsi="Arial" w:cs="Arial"/>
                <w:szCs w:val="21"/>
              </w:rPr>
              <w:t>血液透析机</w:t>
            </w:r>
          </w:p>
        </w:tc>
        <w:tc>
          <w:tcPr>
            <w:tcW w:w="822" w:type="dxa"/>
            <w:vAlign w:val="center"/>
          </w:tcPr>
          <w:p>
            <w:pPr>
              <w:pageBreakBefore w:val="0"/>
              <w:widowControl/>
              <w:kinsoku/>
              <w:wordWrap/>
              <w:overflowPunct/>
              <w:topLinePunct w:val="0"/>
              <w:bidi w:val="0"/>
              <w:snapToGrid w:val="0"/>
              <w:spacing w:after="0" w:line="288" w:lineRule="auto"/>
              <w:jc w:val="center"/>
              <w:rPr>
                <w:rFonts w:ascii="Arial" w:hAnsi="Arial" w:cs="Arial"/>
                <w:kern w:val="0"/>
                <w:szCs w:val="21"/>
              </w:rPr>
            </w:pPr>
            <w:r>
              <w:rPr>
                <w:rFonts w:ascii="Arial" w:hAnsi="Arial" w:cs="Arial"/>
                <w:kern w:val="0"/>
                <w:szCs w:val="21"/>
              </w:rPr>
              <w:t>11</w:t>
            </w:r>
          </w:p>
        </w:tc>
        <w:tc>
          <w:tcPr>
            <w:tcW w:w="775" w:type="dxa"/>
            <w:tcBorders>
              <w:right w:val="single" w:color="auto" w:sz="4" w:space="0"/>
            </w:tcBorders>
            <w:vAlign w:val="center"/>
          </w:tcPr>
          <w:p>
            <w:pPr>
              <w:pageBreakBefore w:val="0"/>
              <w:widowControl/>
              <w:kinsoku/>
              <w:wordWrap/>
              <w:overflowPunct/>
              <w:topLinePunct w:val="0"/>
              <w:bidi w:val="0"/>
              <w:snapToGrid w:val="0"/>
              <w:spacing w:after="0" w:line="288" w:lineRule="auto"/>
              <w:jc w:val="center"/>
              <w:rPr>
                <w:rFonts w:ascii="Arial" w:hAnsi="Arial" w:cs="Arial"/>
                <w:kern w:val="0"/>
                <w:szCs w:val="21"/>
              </w:rPr>
            </w:pPr>
            <w:r>
              <w:rPr>
                <w:rFonts w:ascii="Arial" w:hAnsi="Arial" w:cs="Arial"/>
                <w:kern w:val="0"/>
                <w:szCs w:val="21"/>
              </w:rPr>
              <w:t>套</w:t>
            </w:r>
          </w:p>
        </w:tc>
        <w:tc>
          <w:tcPr>
            <w:tcW w:w="2174" w:type="dxa"/>
            <w:tcBorders>
              <w:left w:val="single" w:color="auto" w:sz="4" w:space="0"/>
            </w:tcBorders>
            <w:vAlign w:val="center"/>
          </w:tcPr>
          <w:p>
            <w:pPr>
              <w:pageBreakBefore w:val="0"/>
              <w:widowControl/>
              <w:kinsoku/>
              <w:wordWrap/>
              <w:overflowPunct/>
              <w:topLinePunct w:val="0"/>
              <w:bidi w:val="0"/>
              <w:snapToGrid w:val="0"/>
              <w:spacing w:after="0" w:line="288" w:lineRule="auto"/>
              <w:jc w:val="center"/>
              <w:textAlignment w:val="center"/>
              <w:rPr>
                <w:rFonts w:ascii="Arial" w:hAnsi="Arial" w:cs="Arial"/>
                <w:szCs w:val="21"/>
              </w:rPr>
            </w:pPr>
            <w:r>
              <w:rPr>
                <w:rFonts w:ascii="Arial" w:hAnsi="Arial" w:cs="Arial"/>
                <w:szCs w:val="21"/>
              </w:rPr>
              <w:t>1870000.00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03" w:type="dxa"/>
            <w:vAlign w:val="center"/>
          </w:tcPr>
          <w:p>
            <w:pPr>
              <w:pageBreakBefore w:val="0"/>
              <w:widowControl/>
              <w:kinsoku/>
              <w:wordWrap/>
              <w:overflowPunct/>
              <w:topLinePunct w:val="0"/>
              <w:bidi w:val="0"/>
              <w:snapToGrid w:val="0"/>
              <w:spacing w:after="0" w:line="288" w:lineRule="auto"/>
              <w:jc w:val="center"/>
              <w:rPr>
                <w:rFonts w:ascii="Arial" w:hAnsi="Arial" w:cs="Arial"/>
                <w:kern w:val="0"/>
                <w:szCs w:val="21"/>
              </w:rPr>
            </w:pPr>
            <w:r>
              <w:rPr>
                <w:rFonts w:ascii="Arial" w:hAnsi="Arial" w:cs="Arial"/>
                <w:kern w:val="0"/>
                <w:szCs w:val="21"/>
              </w:rPr>
              <w:t>3</w:t>
            </w:r>
          </w:p>
        </w:tc>
        <w:tc>
          <w:tcPr>
            <w:tcW w:w="3424" w:type="dxa"/>
            <w:vAlign w:val="center"/>
          </w:tcPr>
          <w:p>
            <w:pPr>
              <w:pageBreakBefore w:val="0"/>
              <w:widowControl/>
              <w:kinsoku/>
              <w:wordWrap/>
              <w:overflowPunct/>
              <w:topLinePunct w:val="0"/>
              <w:bidi w:val="0"/>
              <w:snapToGrid w:val="0"/>
              <w:spacing w:after="0" w:line="288" w:lineRule="auto"/>
              <w:jc w:val="center"/>
              <w:textAlignment w:val="center"/>
              <w:rPr>
                <w:rFonts w:ascii="Arial" w:hAnsi="Arial" w:cs="Arial"/>
                <w:kern w:val="0"/>
                <w:szCs w:val="21"/>
              </w:rPr>
            </w:pPr>
            <w:r>
              <w:rPr>
                <w:rFonts w:ascii="Arial" w:hAnsi="Arial" w:cs="Arial"/>
                <w:szCs w:val="21"/>
              </w:rPr>
              <w:t>血液透析滤过机</w:t>
            </w:r>
          </w:p>
        </w:tc>
        <w:tc>
          <w:tcPr>
            <w:tcW w:w="822" w:type="dxa"/>
            <w:vAlign w:val="center"/>
          </w:tcPr>
          <w:p>
            <w:pPr>
              <w:pageBreakBefore w:val="0"/>
              <w:widowControl/>
              <w:kinsoku/>
              <w:wordWrap/>
              <w:overflowPunct/>
              <w:topLinePunct w:val="0"/>
              <w:bidi w:val="0"/>
              <w:snapToGrid w:val="0"/>
              <w:spacing w:after="0" w:line="288" w:lineRule="auto"/>
              <w:jc w:val="center"/>
              <w:rPr>
                <w:rFonts w:ascii="Arial" w:hAnsi="Arial" w:cs="Arial"/>
                <w:kern w:val="0"/>
                <w:szCs w:val="21"/>
              </w:rPr>
            </w:pPr>
            <w:r>
              <w:rPr>
                <w:rFonts w:ascii="Arial" w:hAnsi="Arial" w:cs="Arial"/>
                <w:kern w:val="0"/>
                <w:szCs w:val="21"/>
              </w:rPr>
              <w:t>1</w:t>
            </w:r>
          </w:p>
        </w:tc>
        <w:tc>
          <w:tcPr>
            <w:tcW w:w="775" w:type="dxa"/>
            <w:tcBorders>
              <w:right w:val="single" w:color="auto" w:sz="4" w:space="0"/>
            </w:tcBorders>
            <w:vAlign w:val="center"/>
          </w:tcPr>
          <w:p>
            <w:pPr>
              <w:pageBreakBefore w:val="0"/>
              <w:widowControl/>
              <w:kinsoku/>
              <w:wordWrap/>
              <w:overflowPunct/>
              <w:topLinePunct w:val="0"/>
              <w:bidi w:val="0"/>
              <w:snapToGrid w:val="0"/>
              <w:spacing w:after="0" w:line="288" w:lineRule="auto"/>
              <w:jc w:val="center"/>
              <w:rPr>
                <w:rFonts w:ascii="Arial" w:hAnsi="Arial" w:cs="Arial"/>
                <w:kern w:val="0"/>
                <w:szCs w:val="21"/>
              </w:rPr>
            </w:pPr>
            <w:r>
              <w:rPr>
                <w:rFonts w:ascii="Arial" w:hAnsi="Arial" w:cs="Arial"/>
                <w:kern w:val="0"/>
                <w:szCs w:val="21"/>
              </w:rPr>
              <w:t>套</w:t>
            </w:r>
          </w:p>
        </w:tc>
        <w:tc>
          <w:tcPr>
            <w:tcW w:w="2174" w:type="dxa"/>
            <w:tcBorders>
              <w:left w:val="single" w:color="auto" w:sz="4" w:space="0"/>
            </w:tcBorders>
            <w:vAlign w:val="center"/>
          </w:tcPr>
          <w:p>
            <w:pPr>
              <w:pageBreakBefore w:val="0"/>
              <w:widowControl/>
              <w:kinsoku/>
              <w:wordWrap/>
              <w:overflowPunct/>
              <w:topLinePunct w:val="0"/>
              <w:bidi w:val="0"/>
              <w:snapToGrid w:val="0"/>
              <w:spacing w:after="0" w:line="288" w:lineRule="auto"/>
              <w:jc w:val="center"/>
              <w:textAlignment w:val="center"/>
              <w:rPr>
                <w:rFonts w:ascii="Arial" w:hAnsi="Arial" w:cs="Arial"/>
                <w:szCs w:val="21"/>
              </w:rPr>
            </w:pPr>
            <w:r>
              <w:rPr>
                <w:rFonts w:ascii="Arial" w:hAnsi="Arial" w:cs="Arial"/>
                <w:szCs w:val="21"/>
              </w:rPr>
              <w:t>300000.00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03" w:type="dxa"/>
            <w:vAlign w:val="center"/>
          </w:tcPr>
          <w:p>
            <w:pPr>
              <w:pageBreakBefore w:val="0"/>
              <w:widowControl/>
              <w:kinsoku/>
              <w:wordWrap/>
              <w:overflowPunct/>
              <w:topLinePunct w:val="0"/>
              <w:bidi w:val="0"/>
              <w:snapToGrid w:val="0"/>
              <w:spacing w:after="0" w:line="288" w:lineRule="auto"/>
              <w:jc w:val="center"/>
              <w:rPr>
                <w:rFonts w:ascii="Arial" w:hAnsi="Arial" w:cs="Arial"/>
                <w:kern w:val="0"/>
                <w:szCs w:val="21"/>
              </w:rPr>
            </w:pPr>
            <w:r>
              <w:rPr>
                <w:rFonts w:ascii="Arial" w:hAnsi="Arial" w:cs="Arial"/>
                <w:kern w:val="0"/>
                <w:szCs w:val="21"/>
              </w:rPr>
              <w:t>4</w:t>
            </w:r>
          </w:p>
        </w:tc>
        <w:tc>
          <w:tcPr>
            <w:tcW w:w="3424" w:type="dxa"/>
            <w:vAlign w:val="center"/>
          </w:tcPr>
          <w:p>
            <w:pPr>
              <w:pageBreakBefore w:val="0"/>
              <w:widowControl/>
              <w:kinsoku/>
              <w:wordWrap/>
              <w:overflowPunct/>
              <w:topLinePunct w:val="0"/>
              <w:bidi w:val="0"/>
              <w:snapToGrid w:val="0"/>
              <w:spacing w:after="0" w:line="288" w:lineRule="auto"/>
              <w:jc w:val="center"/>
              <w:textAlignment w:val="center"/>
              <w:rPr>
                <w:rFonts w:ascii="Arial" w:hAnsi="Arial" w:cs="Arial"/>
                <w:kern w:val="0"/>
                <w:szCs w:val="21"/>
              </w:rPr>
            </w:pPr>
            <w:r>
              <w:rPr>
                <w:rFonts w:ascii="Arial" w:hAnsi="Arial" w:cs="Arial"/>
                <w:szCs w:val="21"/>
              </w:rPr>
              <w:t>装修改造</w:t>
            </w:r>
          </w:p>
        </w:tc>
        <w:tc>
          <w:tcPr>
            <w:tcW w:w="822" w:type="dxa"/>
            <w:vAlign w:val="center"/>
          </w:tcPr>
          <w:p>
            <w:pPr>
              <w:pageBreakBefore w:val="0"/>
              <w:widowControl/>
              <w:kinsoku/>
              <w:wordWrap/>
              <w:overflowPunct/>
              <w:topLinePunct w:val="0"/>
              <w:bidi w:val="0"/>
              <w:snapToGrid w:val="0"/>
              <w:spacing w:after="0" w:line="288" w:lineRule="auto"/>
              <w:jc w:val="center"/>
              <w:rPr>
                <w:rFonts w:ascii="Arial" w:hAnsi="Arial" w:cs="Arial"/>
                <w:kern w:val="0"/>
                <w:szCs w:val="21"/>
              </w:rPr>
            </w:pPr>
            <w:r>
              <w:rPr>
                <w:rFonts w:ascii="Arial" w:hAnsi="Arial" w:cs="Arial"/>
                <w:kern w:val="0"/>
                <w:szCs w:val="21"/>
              </w:rPr>
              <w:t>1</w:t>
            </w:r>
          </w:p>
        </w:tc>
        <w:tc>
          <w:tcPr>
            <w:tcW w:w="775" w:type="dxa"/>
            <w:tcBorders>
              <w:right w:val="single" w:color="auto" w:sz="4" w:space="0"/>
            </w:tcBorders>
            <w:vAlign w:val="center"/>
          </w:tcPr>
          <w:p>
            <w:pPr>
              <w:pageBreakBefore w:val="0"/>
              <w:widowControl/>
              <w:kinsoku/>
              <w:wordWrap/>
              <w:overflowPunct/>
              <w:topLinePunct w:val="0"/>
              <w:bidi w:val="0"/>
              <w:snapToGrid w:val="0"/>
              <w:spacing w:after="0" w:line="288" w:lineRule="auto"/>
              <w:jc w:val="center"/>
              <w:rPr>
                <w:rFonts w:ascii="Arial" w:hAnsi="Arial" w:cs="Arial"/>
                <w:kern w:val="0"/>
                <w:szCs w:val="21"/>
              </w:rPr>
            </w:pPr>
            <w:r>
              <w:rPr>
                <w:rFonts w:ascii="Arial" w:hAnsi="Arial" w:cs="Arial"/>
                <w:kern w:val="0"/>
                <w:szCs w:val="21"/>
              </w:rPr>
              <w:t>项</w:t>
            </w:r>
          </w:p>
        </w:tc>
        <w:tc>
          <w:tcPr>
            <w:tcW w:w="2174" w:type="dxa"/>
            <w:tcBorders>
              <w:left w:val="single" w:color="auto" w:sz="4" w:space="0"/>
            </w:tcBorders>
            <w:vAlign w:val="center"/>
          </w:tcPr>
          <w:p>
            <w:pPr>
              <w:pageBreakBefore w:val="0"/>
              <w:widowControl/>
              <w:kinsoku/>
              <w:wordWrap/>
              <w:overflowPunct/>
              <w:topLinePunct w:val="0"/>
              <w:bidi w:val="0"/>
              <w:snapToGrid w:val="0"/>
              <w:spacing w:after="0" w:line="288" w:lineRule="auto"/>
              <w:jc w:val="center"/>
              <w:textAlignment w:val="center"/>
              <w:rPr>
                <w:rFonts w:ascii="Arial" w:hAnsi="Arial" w:cs="Arial"/>
                <w:szCs w:val="21"/>
              </w:rPr>
            </w:pPr>
            <w:r>
              <w:rPr>
                <w:rFonts w:ascii="Arial" w:hAnsi="Arial" w:cs="Arial"/>
                <w:szCs w:val="21"/>
              </w:rPr>
              <w:t>390000.00</w:t>
            </w:r>
          </w:p>
        </w:tc>
      </w:tr>
    </w:tbl>
    <w:p>
      <w:pPr>
        <w:pageBreakBefore w:val="0"/>
        <w:kinsoku/>
        <w:wordWrap/>
        <w:overflowPunct/>
        <w:topLinePunct w:val="0"/>
        <w:bidi w:val="0"/>
        <w:spacing w:after="0" w:line="288" w:lineRule="auto"/>
        <w:ind w:firstLine="420" w:firstLineChars="200"/>
        <w:rPr>
          <w:rFonts w:ascii="Arial" w:hAnsi="Arial" w:cs="Arial"/>
          <w:kern w:val="0"/>
          <w:szCs w:val="21"/>
        </w:rPr>
      </w:pPr>
      <w:r>
        <w:rPr>
          <w:rFonts w:hint="eastAsia" w:ascii="Arial" w:hAnsi="Arial" w:cs="Arial"/>
          <w:kern w:val="0"/>
          <w:szCs w:val="21"/>
        </w:rPr>
        <w:t xml:space="preserve">详见招标文件 </w:t>
      </w:r>
    </w:p>
    <w:p>
      <w:pPr>
        <w:pageBreakBefore w:val="0"/>
        <w:kinsoku/>
        <w:wordWrap/>
        <w:overflowPunct/>
        <w:topLinePunct w:val="0"/>
        <w:bidi w:val="0"/>
        <w:spacing w:after="0" w:line="288" w:lineRule="auto"/>
        <w:ind w:firstLine="420" w:firstLineChars="200"/>
        <w:rPr>
          <w:rFonts w:ascii="Arial" w:hAnsi="Arial" w:cs="Arial"/>
          <w:szCs w:val="21"/>
        </w:rPr>
      </w:pPr>
      <w:r>
        <w:rPr>
          <w:rFonts w:hint="eastAsia" w:ascii="Arial" w:hAnsi="Arial" w:cs="Arial"/>
          <w:kern w:val="0"/>
          <w:szCs w:val="21"/>
        </w:rPr>
        <w:t xml:space="preserve">    备注：</w:t>
      </w:r>
    </w:p>
    <w:p>
      <w:pPr>
        <w:pageBreakBefore w:val="0"/>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合同履行期限：</w:t>
      </w:r>
      <w:r>
        <w:rPr>
          <w:rFonts w:hint="eastAsia" w:ascii="Arial" w:hAnsi="Arial" w:cs="Arial"/>
          <w:szCs w:val="21"/>
        </w:rPr>
        <w:t>自合同签订之日起90日内交货并安装调试、交付使用</w:t>
      </w:r>
      <w:r>
        <w:rPr>
          <w:rFonts w:ascii="Arial" w:hAnsi="Arial" w:cs="Arial"/>
          <w:szCs w:val="21"/>
        </w:rPr>
        <w:t>；</w:t>
      </w:r>
    </w:p>
    <w:p>
      <w:pPr>
        <w:pageBreakBefore w:val="0"/>
        <w:kinsoku/>
        <w:wordWrap/>
        <w:overflowPunct/>
        <w:topLinePunct w:val="0"/>
        <w:bidi w:val="0"/>
        <w:spacing w:after="0" w:line="288" w:lineRule="auto"/>
        <w:ind w:firstLine="420" w:firstLineChars="200"/>
        <w:rPr>
          <w:rFonts w:ascii="Arial" w:hAnsi="Arial" w:cs="Arial"/>
          <w:szCs w:val="21"/>
        </w:rPr>
      </w:pPr>
      <w:r>
        <w:rPr>
          <w:rFonts w:hint="eastAsia" w:ascii="Arial" w:hAnsi="Arial" w:cs="Arial"/>
          <w:szCs w:val="21"/>
        </w:rPr>
        <w:t>本项目（否）接受联合体投标</w:t>
      </w:r>
      <w:r>
        <w:rPr>
          <w:rFonts w:ascii="Arial" w:hAnsi="Arial" w:cs="Arial"/>
          <w:szCs w:val="21"/>
        </w:rPr>
        <w:t>。</w:t>
      </w:r>
    </w:p>
    <w:p>
      <w:pPr>
        <w:pageBreakBefore w:val="0"/>
        <w:kinsoku/>
        <w:wordWrap/>
        <w:overflowPunct/>
        <w:topLinePunct w:val="0"/>
        <w:bidi w:val="0"/>
        <w:spacing w:after="0" w:line="288" w:lineRule="auto"/>
        <w:ind w:firstLine="420" w:firstLineChars="200"/>
        <w:rPr>
          <w:rFonts w:ascii="Arial" w:hAnsi="Arial" w:cs="Arial"/>
          <w:b/>
          <w:bCs/>
          <w:szCs w:val="21"/>
        </w:rPr>
      </w:pPr>
      <w:r>
        <w:rPr>
          <w:rFonts w:ascii="Arial" w:hAnsi="Arial" w:cs="Arial"/>
          <w:b/>
          <w:bCs/>
          <w:szCs w:val="21"/>
        </w:rPr>
        <w:t>二、申请人的资格要求：</w:t>
      </w:r>
    </w:p>
    <w:p>
      <w:pPr>
        <w:pageBreakBefore w:val="0"/>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1.满足《中华人民共和国政府采购法》第二十二条规定；</w:t>
      </w:r>
    </w:p>
    <w:p>
      <w:pPr>
        <w:pageBreakBefore w:val="0"/>
        <w:kinsoku/>
        <w:wordWrap/>
        <w:overflowPunct/>
        <w:topLinePunct w:val="0"/>
        <w:bidi w:val="0"/>
        <w:spacing w:after="0" w:line="288" w:lineRule="auto"/>
        <w:ind w:firstLine="420" w:firstLineChars="200"/>
        <w:rPr>
          <w:rFonts w:ascii="Arial" w:hAnsi="Arial" w:cs="Arial"/>
          <w:szCs w:val="21"/>
          <w:highlight w:val="none"/>
        </w:rPr>
      </w:pPr>
      <w:r>
        <w:rPr>
          <w:rFonts w:ascii="Arial" w:hAnsi="Arial" w:cs="Arial"/>
          <w:szCs w:val="21"/>
        </w:rPr>
        <w:t>2.落实政府采购政策需满足的资格</w:t>
      </w:r>
      <w:r>
        <w:rPr>
          <w:rFonts w:ascii="Arial" w:hAnsi="Arial" w:cs="Arial"/>
          <w:szCs w:val="21"/>
          <w:highlight w:val="none"/>
        </w:rPr>
        <w:t>要求：本项目非专门面向中小微企业采购。</w:t>
      </w:r>
    </w:p>
    <w:p>
      <w:pPr>
        <w:pageBreakBefore w:val="0"/>
        <w:kinsoku/>
        <w:wordWrap/>
        <w:overflowPunct/>
        <w:topLinePunct w:val="0"/>
        <w:bidi w:val="0"/>
        <w:spacing w:after="0" w:line="288" w:lineRule="auto"/>
        <w:ind w:firstLine="420" w:firstLineChars="200"/>
        <w:rPr>
          <w:rFonts w:ascii="Arial" w:hAnsi="Arial" w:cs="Arial"/>
          <w:szCs w:val="21"/>
          <w:highlight w:val="none"/>
        </w:rPr>
      </w:pPr>
      <w:r>
        <w:rPr>
          <w:rFonts w:ascii="Arial" w:hAnsi="Arial" w:cs="Arial"/>
          <w:szCs w:val="21"/>
          <w:highlight w:val="none"/>
        </w:rPr>
        <w:t>3.本项目的特定资格要求：</w:t>
      </w:r>
    </w:p>
    <w:p>
      <w:pPr>
        <w:pageBreakBefore w:val="0"/>
        <w:kinsoku/>
        <w:wordWrap/>
        <w:overflowPunct/>
        <w:topLinePunct w:val="0"/>
        <w:bidi w:val="0"/>
        <w:spacing w:after="0" w:line="288" w:lineRule="auto"/>
        <w:ind w:firstLine="420" w:firstLineChars="200"/>
        <w:rPr>
          <w:rFonts w:ascii="Arial" w:hAnsi="Arial" w:cs="Arial"/>
          <w:szCs w:val="21"/>
          <w:highlight w:val="none"/>
        </w:rPr>
      </w:pPr>
      <w:r>
        <w:rPr>
          <w:rFonts w:ascii="Arial" w:hAnsi="Arial" w:cs="Arial"/>
          <w:szCs w:val="21"/>
          <w:highlight w:val="none"/>
        </w:rPr>
        <w:t>（1）</w:t>
      </w:r>
      <w:r>
        <w:rPr>
          <w:rFonts w:hint="eastAsia" w:ascii="Arial" w:hAnsi="Arial" w:cs="Arial"/>
          <w:szCs w:val="21"/>
          <w:highlight w:val="none"/>
        </w:rPr>
        <w:t>具有药品监督管理的部门颁发有效的医疗器械经营许可或者备案（按《医疗器械监督管理条例》免于经营备案和无需办理医疗器械经营许可或者备案的情形除外）</w:t>
      </w:r>
      <w:r>
        <w:rPr>
          <w:rFonts w:ascii="Arial" w:hAnsi="Arial" w:cs="Arial"/>
          <w:szCs w:val="21"/>
          <w:highlight w:val="none"/>
        </w:rPr>
        <w:t>；</w:t>
      </w:r>
    </w:p>
    <w:p>
      <w:pPr>
        <w:pageBreakBefore w:val="0"/>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2）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pPr>
        <w:pageBreakBefore w:val="0"/>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3）单位负责人为同一人或者存在直接控股、管理关系的不同供应商，不得参加同一合同项下的政府采购活动。除单一来源采购项目外，为本采购项目提供整体设计、规范编制或者项目管理、监理、检测等服务的供应商，不得再参加该采购项目的其他采购活动。</w:t>
      </w:r>
    </w:p>
    <w:p>
      <w:pPr>
        <w:pageBreakBefore w:val="0"/>
        <w:kinsoku/>
        <w:wordWrap/>
        <w:overflowPunct/>
        <w:topLinePunct w:val="0"/>
        <w:bidi w:val="0"/>
        <w:spacing w:after="0" w:line="288" w:lineRule="auto"/>
        <w:ind w:firstLine="420" w:firstLineChars="200"/>
        <w:rPr>
          <w:rFonts w:ascii="Arial" w:hAnsi="Arial" w:cs="Arial"/>
          <w:b/>
          <w:bCs/>
          <w:szCs w:val="21"/>
        </w:rPr>
      </w:pPr>
      <w:r>
        <w:rPr>
          <w:rFonts w:ascii="Arial" w:hAnsi="Arial" w:cs="Arial"/>
          <w:b/>
          <w:bCs/>
          <w:szCs w:val="21"/>
        </w:rPr>
        <w:t>三、获取招标文件</w:t>
      </w:r>
    </w:p>
    <w:p>
      <w:pPr>
        <w:pageBreakBefore w:val="0"/>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时间：</w:t>
      </w:r>
      <w:r>
        <w:rPr>
          <w:rFonts w:hint="eastAsia" w:ascii="Arial" w:hAnsi="Arial" w:cs="Arial"/>
          <w:szCs w:val="21"/>
        </w:rPr>
        <w:t>2025年</w:t>
      </w:r>
      <w:r>
        <w:rPr>
          <w:rFonts w:hint="eastAsia" w:ascii="Arial" w:hAnsi="Arial" w:cs="Arial"/>
          <w:szCs w:val="21"/>
          <w:lang w:val="en-US" w:eastAsia="zh-CN"/>
        </w:rPr>
        <w:t>6</w:t>
      </w:r>
      <w:r>
        <w:rPr>
          <w:rFonts w:hint="eastAsia" w:ascii="Arial" w:hAnsi="Arial" w:cs="Arial"/>
          <w:szCs w:val="21"/>
        </w:rPr>
        <w:t>月</w:t>
      </w:r>
      <w:r>
        <w:rPr>
          <w:rFonts w:hint="eastAsia" w:ascii="Arial" w:hAnsi="Arial" w:cs="Arial"/>
          <w:szCs w:val="21"/>
          <w:lang w:val="en-US" w:eastAsia="zh-CN"/>
        </w:rPr>
        <w:t>9</w:t>
      </w:r>
      <w:r>
        <w:rPr>
          <w:rFonts w:hint="eastAsia" w:ascii="Arial" w:hAnsi="Arial" w:cs="Arial"/>
          <w:szCs w:val="21"/>
        </w:rPr>
        <w:t>日</w:t>
      </w:r>
      <w:r>
        <w:rPr>
          <w:rFonts w:ascii="Arial" w:hAnsi="Arial" w:cs="Arial"/>
          <w:szCs w:val="21"/>
        </w:rPr>
        <w:t>至</w:t>
      </w:r>
      <w:r>
        <w:rPr>
          <w:rFonts w:hint="eastAsia" w:ascii="Arial" w:hAnsi="Arial" w:cs="Arial"/>
          <w:szCs w:val="21"/>
        </w:rPr>
        <w:t>2025年</w:t>
      </w:r>
      <w:r>
        <w:rPr>
          <w:rFonts w:hint="eastAsia" w:ascii="Arial" w:hAnsi="Arial" w:cs="Arial"/>
          <w:lang w:eastAsia="zh-CN"/>
        </w:rPr>
        <w:t>7月1日</w:t>
      </w:r>
      <w:r>
        <w:rPr>
          <w:rFonts w:ascii="Arial" w:hAnsi="Arial" w:cs="Arial"/>
          <w:szCs w:val="21"/>
        </w:rPr>
        <w:t>9时30分前</w:t>
      </w:r>
    </w:p>
    <w:p>
      <w:pPr>
        <w:pageBreakBefore w:val="0"/>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方式：潜在供应商登录</w:t>
      </w:r>
      <w:r>
        <w:rPr>
          <w:rFonts w:hint="eastAsia" w:ascii="Arial" w:hAnsi="Arial" w:cs="Arial"/>
        </w:rPr>
        <w:t>广西政府采购云平台（www.gcy.zfcg.gxzf.gov.cn/）</w:t>
      </w:r>
      <w:r>
        <w:rPr>
          <w:rFonts w:ascii="Arial" w:hAnsi="Arial" w:cs="Arial"/>
          <w:szCs w:val="21"/>
        </w:rPr>
        <w:t>，从网上下载招标文件电子版。</w:t>
      </w:r>
    </w:p>
    <w:p>
      <w:pPr>
        <w:pageBreakBefore w:val="0"/>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售价：免费下载。</w:t>
      </w:r>
    </w:p>
    <w:p>
      <w:pPr>
        <w:pageBreakBefore w:val="0"/>
        <w:kinsoku/>
        <w:wordWrap/>
        <w:overflowPunct/>
        <w:topLinePunct w:val="0"/>
        <w:bidi w:val="0"/>
        <w:spacing w:after="0" w:line="288" w:lineRule="auto"/>
        <w:ind w:firstLine="420" w:firstLineChars="200"/>
        <w:rPr>
          <w:rFonts w:ascii="Arial" w:hAnsi="Arial" w:cs="Arial"/>
          <w:b/>
          <w:bCs/>
          <w:szCs w:val="21"/>
        </w:rPr>
      </w:pPr>
      <w:r>
        <w:rPr>
          <w:rFonts w:ascii="Arial" w:hAnsi="Arial" w:cs="Arial"/>
          <w:b/>
          <w:bCs/>
          <w:szCs w:val="21"/>
        </w:rPr>
        <w:t>四、提交投标文件截止时间、开标时间和地点</w:t>
      </w:r>
    </w:p>
    <w:p>
      <w:pPr>
        <w:pageBreakBefore w:val="0"/>
        <w:kinsoku/>
        <w:wordWrap/>
        <w:overflowPunct/>
        <w:topLinePunct w:val="0"/>
        <w:bidi w:val="0"/>
        <w:spacing w:after="0" w:line="288" w:lineRule="auto"/>
        <w:ind w:firstLine="420" w:firstLineChars="200"/>
        <w:rPr>
          <w:rFonts w:ascii="Arial" w:hAnsi="Arial" w:cs="Arial"/>
          <w:b/>
          <w:bCs/>
        </w:rPr>
      </w:pPr>
      <w:r>
        <w:rPr>
          <w:rFonts w:ascii="Arial" w:hAnsi="Arial" w:cs="Arial"/>
          <w:szCs w:val="21"/>
        </w:rPr>
        <w:t>截止时间：</w:t>
      </w:r>
      <w:r>
        <w:rPr>
          <w:rFonts w:hint="eastAsia" w:ascii="Arial" w:hAnsi="Arial" w:cs="Arial"/>
        </w:rPr>
        <w:t>2025年</w:t>
      </w:r>
      <w:r>
        <w:rPr>
          <w:rFonts w:hint="eastAsia" w:ascii="Arial" w:hAnsi="Arial" w:cs="Arial"/>
          <w:lang w:eastAsia="zh-CN"/>
        </w:rPr>
        <w:t>7月1日</w:t>
      </w:r>
      <w:r>
        <w:rPr>
          <w:rFonts w:ascii="Arial" w:hAnsi="Arial" w:cs="Arial"/>
          <w:szCs w:val="21"/>
        </w:rPr>
        <w:t>9时30分（北京时间）。</w:t>
      </w:r>
    </w:p>
    <w:p>
      <w:pPr>
        <w:pageBreakBefore w:val="0"/>
        <w:kinsoku/>
        <w:wordWrap/>
        <w:overflowPunct/>
        <w:topLinePunct w:val="0"/>
        <w:bidi w:val="0"/>
        <w:spacing w:after="0" w:line="288" w:lineRule="auto"/>
        <w:ind w:firstLine="420" w:firstLineChars="200"/>
        <w:rPr>
          <w:rFonts w:ascii="Arial" w:hAnsi="Arial" w:cs="Arial"/>
        </w:rPr>
      </w:pPr>
      <w:r>
        <w:rPr>
          <w:rFonts w:ascii="Arial" w:hAnsi="Arial" w:cs="Arial"/>
        </w:rPr>
        <w:t>地    点：通过</w:t>
      </w:r>
      <w:r>
        <w:rPr>
          <w:rFonts w:ascii="Arial" w:hAnsi="Arial" w:cs="Arial"/>
          <w:szCs w:val="21"/>
        </w:rPr>
        <w:t>广西政府采购云平台</w:t>
      </w:r>
      <w:r>
        <w:rPr>
          <w:rFonts w:ascii="Arial" w:hAnsi="Arial" w:cs="Arial"/>
        </w:rPr>
        <w:t>实行在线投标。</w:t>
      </w:r>
    </w:p>
    <w:p>
      <w:pPr>
        <w:pageBreakBefore w:val="0"/>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开标时间：</w:t>
      </w:r>
      <w:r>
        <w:rPr>
          <w:rFonts w:hint="eastAsia" w:ascii="Arial" w:hAnsi="Arial" w:cs="Arial"/>
        </w:rPr>
        <w:t>2025年</w:t>
      </w:r>
      <w:r>
        <w:rPr>
          <w:rFonts w:hint="eastAsia" w:ascii="Arial" w:hAnsi="Arial" w:cs="Arial"/>
          <w:lang w:eastAsia="zh-CN"/>
        </w:rPr>
        <w:t>7月1日</w:t>
      </w:r>
      <w:r>
        <w:rPr>
          <w:rFonts w:ascii="Arial" w:hAnsi="Arial" w:cs="Arial"/>
          <w:szCs w:val="21"/>
        </w:rPr>
        <w:t>9时30分（北京时间）截标后。</w:t>
      </w:r>
    </w:p>
    <w:p>
      <w:pPr>
        <w:pageBreakBefore w:val="0"/>
        <w:tabs>
          <w:tab w:val="left" w:pos="7200"/>
        </w:tabs>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地点：通过广西政府采购云平台实行在线解密开启。</w:t>
      </w:r>
    </w:p>
    <w:p>
      <w:pPr>
        <w:pageBreakBefore w:val="0"/>
        <w:kinsoku/>
        <w:wordWrap/>
        <w:overflowPunct/>
        <w:topLinePunct w:val="0"/>
        <w:bidi w:val="0"/>
        <w:spacing w:after="0" w:line="288" w:lineRule="auto"/>
        <w:ind w:firstLine="420" w:firstLineChars="200"/>
        <w:rPr>
          <w:rFonts w:ascii="Arial" w:hAnsi="Arial" w:cs="Arial"/>
          <w:b/>
          <w:bCs/>
          <w:szCs w:val="21"/>
        </w:rPr>
      </w:pPr>
      <w:r>
        <w:rPr>
          <w:rFonts w:ascii="Arial" w:hAnsi="Arial" w:cs="Arial"/>
          <w:b/>
          <w:bCs/>
          <w:szCs w:val="21"/>
        </w:rPr>
        <w:t>五、公告期限</w:t>
      </w:r>
    </w:p>
    <w:p>
      <w:pPr>
        <w:pageBreakBefore w:val="0"/>
        <w:kinsoku/>
        <w:wordWrap/>
        <w:overflowPunct/>
        <w:topLinePunct w:val="0"/>
        <w:bidi w:val="0"/>
        <w:spacing w:after="0" w:line="288" w:lineRule="auto"/>
        <w:ind w:firstLine="420" w:firstLineChars="200"/>
        <w:rPr>
          <w:rFonts w:ascii="Arial" w:hAnsi="Arial" w:cs="Arial"/>
        </w:rPr>
      </w:pPr>
      <w:r>
        <w:rPr>
          <w:rFonts w:ascii="Arial" w:hAnsi="Arial" w:cs="Arial"/>
          <w:szCs w:val="21"/>
        </w:rPr>
        <w:t>自本公告发布之日起5个工作日。</w:t>
      </w:r>
    </w:p>
    <w:p>
      <w:pPr>
        <w:pageBreakBefore w:val="0"/>
        <w:kinsoku/>
        <w:wordWrap/>
        <w:overflowPunct/>
        <w:topLinePunct w:val="0"/>
        <w:bidi w:val="0"/>
        <w:spacing w:after="0" w:line="288" w:lineRule="auto"/>
        <w:ind w:firstLine="420" w:firstLineChars="200"/>
        <w:rPr>
          <w:rFonts w:ascii="Arial" w:hAnsi="Arial" w:cs="Arial"/>
          <w:b/>
          <w:bCs/>
          <w:szCs w:val="21"/>
        </w:rPr>
      </w:pPr>
      <w:r>
        <w:rPr>
          <w:rFonts w:ascii="Arial" w:hAnsi="Arial" w:cs="Arial"/>
          <w:b/>
          <w:bCs/>
          <w:szCs w:val="21"/>
        </w:rPr>
        <w:t>六、其他补充事宜：</w:t>
      </w:r>
    </w:p>
    <w:p>
      <w:pPr>
        <w:pageBreakBefore w:val="0"/>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1、信息公告发布媒体：中国政府采购网、广西壮族自治区政府采购网、桂林市政府采购网</w:t>
      </w:r>
      <w:r>
        <w:rPr>
          <w:rFonts w:hint="eastAsia" w:ascii="Arial" w:hAnsi="Arial" w:cs="Arial"/>
          <w:szCs w:val="21"/>
        </w:rPr>
        <w:t>。</w:t>
      </w:r>
    </w:p>
    <w:p>
      <w:pPr>
        <w:pageBreakBefore w:val="0"/>
        <w:kinsoku/>
        <w:wordWrap/>
        <w:overflowPunct/>
        <w:topLinePunct w:val="0"/>
        <w:bidi w:val="0"/>
        <w:spacing w:after="0" w:line="288" w:lineRule="auto"/>
        <w:ind w:firstLine="420" w:firstLineChars="200"/>
        <w:rPr>
          <w:rFonts w:ascii="Arial" w:hAnsi="Arial" w:cs="Arial"/>
          <w:szCs w:val="21"/>
        </w:rPr>
      </w:pPr>
      <w:r>
        <w:rPr>
          <w:rFonts w:hint="eastAsia" w:ascii="Arial" w:hAnsi="Arial" w:cs="Arial"/>
          <w:szCs w:val="21"/>
        </w:rPr>
        <w:t>2</w:t>
      </w:r>
      <w:r>
        <w:rPr>
          <w:rFonts w:ascii="Arial" w:hAnsi="Arial" w:cs="Arial"/>
          <w:szCs w:val="21"/>
        </w:rPr>
        <w:t>、本项目需要落实的政府采购政策：</w:t>
      </w:r>
    </w:p>
    <w:p>
      <w:pPr>
        <w:pageBreakBefore w:val="0"/>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①《政府采购促进中小企业发展管理办法》（财库〔2020〕46号）、《关于进一步加大政府采购支持中小企业力度的通知》（财库〔2022〕19号）。②《关于政府采购支持监狱企业发展有关问题的通知》（财库[2014]68号）。③《关于促进残疾人就业政府采购政策的通知》（财库[2017]141号）。④强制采购节能产品；优先采购环境标志产品、节能产品。</w:t>
      </w:r>
      <w:r>
        <w:rPr>
          <w:rFonts w:ascii="Arial" w:hAnsi="Arial" w:cs="Arial"/>
          <w:szCs w:val="21"/>
        </w:rPr>
        <w:fldChar w:fldCharType="begin"/>
      </w:r>
      <w:r>
        <w:rPr>
          <w:rFonts w:ascii="Arial" w:hAnsi="Arial" w:cs="Arial"/>
          <w:szCs w:val="21"/>
        </w:rPr>
        <w:instrText xml:space="preserve"> = 5 \* GB3 </w:instrText>
      </w:r>
      <w:r>
        <w:rPr>
          <w:rFonts w:ascii="Arial" w:hAnsi="Arial" w:cs="Arial"/>
          <w:szCs w:val="21"/>
        </w:rPr>
        <w:fldChar w:fldCharType="separate"/>
      </w:r>
      <w:r>
        <w:rPr>
          <w:rFonts w:ascii="Arial" w:hAnsi="Arial" w:cs="Arial"/>
          <w:szCs w:val="21"/>
        </w:rPr>
        <w:t>⑤</w:t>
      </w:r>
      <w:r>
        <w:rPr>
          <w:rFonts w:ascii="Arial" w:hAnsi="Arial" w:cs="Arial"/>
          <w:szCs w:val="21"/>
        </w:rPr>
        <w:fldChar w:fldCharType="end"/>
      </w:r>
      <w:r>
        <w:rPr>
          <w:rFonts w:ascii="Arial" w:hAnsi="Arial" w:cs="Arial"/>
          <w:bCs/>
          <w:szCs w:val="21"/>
        </w:rPr>
        <w:t>政府采购支持采用本国产品的政策。</w:t>
      </w:r>
    </w:p>
    <w:p>
      <w:pPr>
        <w:pageBreakBefore w:val="0"/>
        <w:kinsoku/>
        <w:wordWrap/>
        <w:overflowPunct/>
        <w:topLinePunct w:val="0"/>
        <w:bidi w:val="0"/>
        <w:spacing w:after="0" w:line="288" w:lineRule="auto"/>
        <w:ind w:firstLine="420" w:firstLineChars="200"/>
        <w:rPr>
          <w:rFonts w:ascii="Arial" w:hAnsi="Arial" w:cs="Arial"/>
          <w:szCs w:val="21"/>
        </w:rPr>
      </w:pPr>
      <w:r>
        <w:rPr>
          <w:rFonts w:hint="eastAsia" w:ascii="Arial" w:hAnsi="Arial" w:cs="Arial"/>
          <w:szCs w:val="21"/>
        </w:rPr>
        <w:t>3</w:t>
      </w:r>
      <w:r>
        <w:rPr>
          <w:rFonts w:ascii="Arial" w:hAnsi="Arial" w:cs="Arial"/>
          <w:szCs w:val="21"/>
        </w:rPr>
        <w:t>、</w:t>
      </w:r>
      <w:r>
        <w:rPr>
          <w:rFonts w:ascii="Arial" w:hAnsi="Arial" w:cs="Arial"/>
          <w:b/>
          <w:bCs/>
          <w:szCs w:val="21"/>
        </w:rPr>
        <w:t>广西政府采购云平台电子投标相关事宜</w:t>
      </w:r>
      <w:r>
        <w:rPr>
          <w:rFonts w:ascii="Arial" w:hAnsi="Arial" w:cs="Arial"/>
          <w:szCs w:val="21"/>
        </w:rPr>
        <w:t>：</w:t>
      </w:r>
    </w:p>
    <w:p>
      <w:pPr>
        <w:pageBreakBefore w:val="0"/>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1）本项目实行全流程电子化采购，投标人通过广西政府采购云平台参与电子投标，并应做好以下相关准备工作：①在广西政府采购云平台注册成为正式供应商（操作方法详见广西壮族自治区政府采购网—办事服务—办事指南）；②完成CA证书申领和绑定（费用由投标人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桂采云电子投标客户端”）并安装成功，投标人应当在提交投标文件截止时间前在广西政府采购云平台完成的身份认证，确保能够对相关数据电文进行加密和使用电子签章；④自备计算机和网络设备并确保能接入互联网（费用由投标人自行承担，设备确保可进行视频通话和读取广西政府采购云平台CA证书）。因投标人未做好相关准备工作等自身原因导致无法参加本项目电子投标或投标失败的，造成的一切后果，由投标人自行承担。</w:t>
      </w:r>
    </w:p>
    <w:p>
      <w:pPr>
        <w:pageBreakBefore w:val="0"/>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（2）电子投标具体操作流程参考《政府采购项目电子交易管理操作指南-供应商》（详见桂林市政府采购网—采购资讯—重要通知）；如遇平台技术问题详询95763。</w:t>
      </w:r>
    </w:p>
    <w:p>
      <w:pPr>
        <w:pageBreakBefore w:val="0"/>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（3）电子投标文件的制作、加密、提交、解密等相关事宜详见第二章“投标人须知”。</w:t>
      </w:r>
    </w:p>
    <w:p>
      <w:pPr>
        <w:pageBreakBefore w:val="0"/>
        <w:kinsoku/>
        <w:wordWrap/>
        <w:overflowPunct/>
        <w:topLinePunct w:val="0"/>
        <w:bidi w:val="0"/>
        <w:spacing w:after="0" w:line="288" w:lineRule="auto"/>
        <w:ind w:firstLine="420" w:firstLineChars="200"/>
        <w:rPr>
          <w:rFonts w:ascii="Arial" w:hAnsi="Arial" w:cs="Arial"/>
          <w:b/>
          <w:bCs/>
          <w:szCs w:val="21"/>
        </w:rPr>
      </w:pPr>
      <w:r>
        <w:rPr>
          <w:rFonts w:ascii="Arial" w:hAnsi="Arial" w:cs="Arial"/>
          <w:b/>
          <w:bCs/>
        </w:rPr>
        <w:t>七、对本次招标提出询问，请按以下方式联系。</w:t>
      </w:r>
    </w:p>
    <w:p>
      <w:pPr>
        <w:pageBreakBefore w:val="0"/>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1.采购人信息</w:t>
      </w:r>
    </w:p>
    <w:p>
      <w:pPr>
        <w:pageBreakBefore w:val="0"/>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名称：</w:t>
      </w:r>
      <w:r>
        <w:rPr>
          <w:rFonts w:hint="eastAsia" w:ascii="Arial" w:hAnsi="Arial" w:cs="Arial"/>
          <w:szCs w:val="21"/>
        </w:rPr>
        <w:t>兴安县高尚镇中心卫生院</w:t>
      </w:r>
    </w:p>
    <w:p>
      <w:pPr>
        <w:pageBreakBefore w:val="0"/>
        <w:kinsoku/>
        <w:wordWrap/>
        <w:overflowPunct/>
        <w:topLinePunct w:val="0"/>
        <w:bidi w:val="0"/>
        <w:spacing w:after="0" w:line="288" w:lineRule="auto"/>
        <w:ind w:firstLine="420" w:firstLineChars="200"/>
        <w:rPr>
          <w:rFonts w:ascii="Arial" w:hAnsi="Arial" w:cs="Arial"/>
          <w:szCs w:val="21"/>
          <w:highlight w:val="none"/>
        </w:rPr>
      </w:pPr>
      <w:r>
        <w:rPr>
          <w:rFonts w:ascii="Arial" w:hAnsi="Arial" w:cs="Arial"/>
          <w:szCs w:val="21"/>
          <w:highlight w:val="none"/>
        </w:rPr>
        <w:t>地址：</w:t>
      </w:r>
      <w:r>
        <w:rPr>
          <w:rFonts w:hint="eastAsia" w:ascii="Arial" w:hAnsi="Arial" w:cs="Arial"/>
          <w:szCs w:val="21"/>
          <w:highlight w:val="none"/>
        </w:rPr>
        <w:t>桂林市兴安县高尚镇北街28号</w:t>
      </w:r>
    </w:p>
    <w:p>
      <w:pPr>
        <w:pageBreakBefore w:val="0"/>
        <w:kinsoku/>
        <w:wordWrap/>
        <w:overflowPunct/>
        <w:topLinePunct w:val="0"/>
        <w:bidi w:val="0"/>
        <w:spacing w:after="0" w:line="288" w:lineRule="auto"/>
        <w:ind w:firstLine="420" w:firstLineChars="200"/>
        <w:rPr>
          <w:rFonts w:ascii="Arial" w:hAnsi="Arial" w:cs="Arial"/>
          <w:szCs w:val="21"/>
          <w:highlight w:val="none"/>
        </w:rPr>
      </w:pPr>
      <w:r>
        <w:rPr>
          <w:rFonts w:hint="eastAsia" w:ascii="Arial" w:hAnsi="Arial" w:cs="Arial"/>
          <w:szCs w:val="21"/>
          <w:highlight w:val="none"/>
        </w:rPr>
        <w:t>项目联系人：魏寿堤</w:t>
      </w:r>
    </w:p>
    <w:p>
      <w:pPr>
        <w:pageBreakBefore w:val="0"/>
        <w:kinsoku/>
        <w:wordWrap/>
        <w:overflowPunct/>
        <w:topLinePunct w:val="0"/>
        <w:bidi w:val="0"/>
        <w:spacing w:after="0" w:line="288" w:lineRule="auto"/>
        <w:ind w:firstLine="420" w:firstLineChars="200"/>
        <w:rPr>
          <w:rFonts w:ascii="Arial" w:hAnsi="Arial" w:cs="Arial"/>
          <w:szCs w:val="21"/>
          <w:highlight w:val="none"/>
        </w:rPr>
      </w:pPr>
      <w:r>
        <w:rPr>
          <w:rFonts w:ascii="Arial" w:hAnsi="Arial" w:cs="Arial"/>
          <w:szCs w:val="21"/>
          <w:highlight w:val="none"/>
        </w:rPr>
        <w:t>联系方式：</w:t>
      </w:r>
      <w:r>
        <w:rPr>
          <w:rFonts w:hint="eastAsia" w:ascii="Arial" w:hAnsi="Arial" w:cs="Arial"/>
          <w:szCs w:val="21"/>
          <w:highlight w:val="none"/>
          <w:lang w:val="en-US" w:eastAsia="zh-CN"/>
        </w:rPr>
        <w:t>0773-</w:t>
      </w:r>
      <w:r>
        <w:rPr>
          <w:rFonts w:hint="eastAsia" w:ascii="Arial" w:hAnsi="Arial" w:cs="Arial"/>
          <w:szCs w:val="21"/>
          <w:highlight w:val="none"/>
        </w:rPr>
        <w:t>6183396</w:t>
      </w:r>
    </w:p>
    <w:p>
      <w:pPr>
        <w:pageBreakBefore w:val="0"/>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2.采购代理机构信息</w:t>
      </w:r>
    </w:p>
    <w:p>
      <w:pPr>
        <w:pageBreakBefore w:val="0"/>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名称：广西机电设备招标有限公司</w:t>
      </w:r>
    </w:p>
    <w:p>
      <w:pPr>
        <w:pageBreakBefore w:val="0"/>
        <w:kinsoku/>
        <w:wordWrap/>
        <w:overflowPunct/>
        <w:topLinePunct w:val="0"/>
        <w:bidi w:val="0"/>
        <w:spacing w:after="0" w:line="288" w:lineRule="auto"/>
        <w:ind w:firstLine="420" w:firstLineChars="200"/>
        <w:rPr>
          <w:rFonts w:ascii="Arial" w:hAnsi="Arial" w:cs="Arial"/>
        </w:rPr>
      </w:pPr>
      <w:r>
        <w:rPr>
          <w:rFonts w:ascii="Arial" w:hAnsi="Arial" w:cs="Arial"/>
          <w:szCs w:val="21"/>
        </w:rPr>
        <w:t>地址</w:t>
      </w:r>
      <w:r>
        <w:rPr>
          <w:rFonts w:ascii="Arial" w:hAnsi="Arial" w:cs="Arial"/>
        </w:rPr>
        <w:t>：广西桂林市七星区骖鸾路31号湘商大厦603</w:t>
      </w:r>
    </w:p>
    <w:p>
      <w:pPr>
        <w:pageBreakBefore w:val="0"/>
        <w:kinsoku/>
        <w:wordWrap/>
        <w:overflowPunct/>
        <w:topLinePunct w:val="0"/>
        <w:bidi w:val="0"/>
        <w:spacing w:after="0" w:line="288" w:lineRule="auto"/>
        <w:ind w:firstLine="420"/>
        <w:rPr>
          <w:rFonts w:ascii="Arial" w:hAnsi="Arial" w:cs="Arial"/>
          <w:szCs w:val="21"/>
        </w:rPr>
      </w:pPr>
      <w:r>
        <w:rPr>
          <w:rFonts w:ascii="Arial" w:hAnsi="Arial" w:cs="Arial"/>
        </w:rPr>
        <w:t>联系方式</w:t>
      </w:r>
      <w:r>
        <w:rPr>
          <w:rFonts w:hint="eastAsia" w:ascii="Arial" w:hAnsi="Arial" w:cs="Arial"/>
        </w:rPr>
        <w:t>：曾昭卉</w:t>
      </w:r>
      <w:r>
        <w:rPr>
          <w:rFonts w:ascii="Arial" w:hAnsi="Arial" w:cs="Arial"/>
        </w:rPr>
        <w:t>，</w:t>
      </w:r>
      <w:r>
        <w:rPr>
          <w:rFonts w:hint="eastAsia" w:ascii="Arial" w:hAnsi="Arial" w:cs="Arial"/>
        </w:rPr>
        <w:t>0773-3696789转2</w:t>
      </w:r>
      <w:r>
        <w:rPr>
          <w:rFonts w:ascii="Arial" w:hAnsi="Arial" w:cs="Arial"/>
        </w:rPr>
        <w:t xml:space="preserve">     </w:t>
      </w:r>
    </w:p>
    <w:p>
      <w:pPr>
        <w:pageBreakBefore w:val="0"/>
        <w:kinsoku/>
        <w:wordWrap/>
        <w:overflowPunct/>
        <w:topLinePunct w:val="0"/>
        <w:bidi w:val="0"/>
        <w:spacing w:after="0" w:line="288" w:lineRule="auto"/>
        <w:ind w:right="480" w:firstLine="5880" w:firstLineChars="2800"/>
        <w:rPr>
          <w:rFonts w:ascii="Arial" w:hAnsi="Arial" w:cs="Arial"/>
          <w:szCs w:val="21"/>
        </w:rPr>
      </w:pPr>
    </w:p>
    <w:p>
      <w:pPr>
        <w:pageBreakBefore w:val="0"/>
        <w:kinsoku/>
        <w:wordWrap/>
        <w:overflowPunct/>
        <w:topLinePunct w:val="0"/>
        <w:bidi w:val="0"/>
        <w:spacing w:after="0" w:line="288" w:lineRule="auto"/>
        <w:ind w:right="-59" w:firstLine="5880" w:firstLineChars="2800"/>
        <w:jc w:val="right"/>
        <w:rPr>
          <w:rFonts w:ascii="Arial" w:hAnsi="Arial" w:cs="Arial"/>
        </w:rPr>
      </w:pPr>
      <w:r>
        <w:rPr>
          <w:rFonts w:ascii="Arial" w:hAnsi="Arial" w:cs="Arial"/>
        </w:rPr>
        <w:t>广西机电设备招标有限公司</w:t>
      </w:r>
    </w:p>
    <w:p>
      <w:pPr>
        <w:pageBreakBefore w:val="0"/>
        <w:kinsoku/>
        <w:wordWrap/>
        <w:overflowPunct/>
        <w:topLinePunct w:val="0"/>
        <w:bidi w:val="0"/>
        <w:spacing w:after="0" w:line="288" w:lineRule="auto"/>
        <w:ind w:right="-59" w:firstLine="5880" w:firstLineChars="2800"/>
        <w:jc w:val="right"/>
        <w:rPr>
          <w:rFonts w:ascii="Arial" w:hAnsi="Arial" w:cs="Arial"/>
        </w:rPr>
      </w:pPr>
      <w:r>
        <w:rPr>
          <w:rFonts w:hint="eastAsia" w:ascii="Arial" w:hAnsi="Arial" w:cs="Arial"/>
        </w:rPr>
        <w:t>2025年</w:t>
      </w:r>
      <w:r>
        <w:rPr>
          <w:rFonts w:hint="eastAsia" w:ascii="Arial" w:hAnsi="Arial" w:cs="Arial"/>
          <w:szCs w:val="21"/>
          <w:lang w:val="en-US" w:eastAsia="zh-CN"/>
        </w:rPr>
        <w:t>6</w:t>
      </w:r>
      <w:r>
        <w:rPr>
          <w:rFonts w:hint="eastAsia" w:ascii="Arial" w:hAnsi="Arial" w:cs="Arial"/>
          <w:szCs w:val="21"/>
        </w:rPr>
        <w:t>月</w:t>
      </w:r>
      <w:r>
        <w:rPr>
          <w:rFonts w:hint="eastAsia" w:ascii="Arial" w:hAnsi="Arial" w:cs="Arial"/>
          <w:szCs w:val="21"/>
          <w:lang w:val="en-US" w:eastAsia="zh-CN"/>
        </w:rPr>
        <w:t>9</w:t>
      </w:r>
      <w:r>
        <w:rPr>
          <w:rFonts w:hint="eastAsia" w:ascii="Arial" w:hAnsi="Arial" w:cs="Arial"/>
        </w:rPr>
        <w:t>日</w:t>
      </w:r>
    </w:p>
    <w:p>
      <w:pPr>
        <w:pStyle w:val="46"/>
        <w:pageBreakBefore w:val="0"/>
        <w:kinsoku/>
        <w:wordWrap/>
        <w:overflowPunct/>
        <w:topLinePunct w:val="0"/>
        <w:bidi w:val="0"/>
        <w:spacing w:before="0" w:after="0" w:line="288" w:lineRule="auto"/>
        <w:rPr>
          <w:rFonts w:ascii="Arial" w:hAnsi="Arial" w:cs="Arial"/>
        </w:rPr>
      </w:pPr>
      <w:bookmarkStart w:id="6" w:name="_Toc524017689"/>
      <w:bookmarkStart w:id="7" w:name="_Toc524017822"/>
      <w:r>
        <w:rPr>
          <w:rFonts w:ascii="Arial" w:hAnsi="Arial" w:cs="Arial"/>
        </w:rPr>
        <w:br w:type="page"/>
      </w:r>
      <w:bookmarkStart w:id="8" w:name="_Toc82079326"/>
      <w:bookmarkStart w:id="9" w:name="_Toc82079278"/>
      <w:bookmarkStart w:id="10" w:name="_Toc20293"/>
      <w:r>
        <w:rPr>
          <w:rFonts w:ascii="Arial" w:hAnsi="Arial" w:cs="Arial"/>
        </w:rPr>
        <w:t>第二章  投标人须知</w:t>
      </w:r>
      <w:bookmarkEnd w:id="6"/>
      <w:bookmarkEnd w:id="7"/>
      <w:bookmarkEnd w:id="8"/>
      <w:bookmarkEnd w:id="9"/>
      <w:bookmarkEnd w:id="10"/>
    </w:p>
    <w:p>
      <w:pPr>
        <w:pageBreakBefore w:val="0"/>
        <w:tabs>
          <w:tab w:val="left" w:pos="1065"/>
          <w:tab w:val="center" w:pos="4411"/>
        </w:tabs>
        <w:kinsoku/>
        <w:wordWrap/>
        <w:overflowPunct/>
        <w:topLinePunct w:val="0"/>
        <w:bidi w:val="0"/>
        <w:spacing w:after="0" w:line="288" w:lineRule="auto"/>
        <w:jc w:val="center"/>
        <w:rPr>
          <w:rFonts w:ascii="Arial" w:hAnsi="Arial" w:cs="Arial"/>
          <w:b/>
          <w:sz w:val="24"/>
        </w:rPr>
      </w:pPr>
      <w:r>
        <w:rPr>
          <w:rFonts w:ascii="Arial" w:hAnsi="Arial" w:cs="Arial"/>
          <w:b/>
          <w:sz w:val="24"/>
        </w:rPr>
        <w:t>投标人须知前附表</w:t>
      </w:r>
    </w:p>
    <w:tbl>
      <w:tblPr>
        <w:tblStyle w:val="49"/>
        <w:tblW w:w="10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852"/>
        <w:gridCol w:w="2213"/>
        <w:gridCol w:w="6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25"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序号</w:t>
            </w:r>
          </w:p>
        </w:tc>
        <w:tc>
          <w:tcPr>
            <w:tcW w:w="852"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条款号</w:t>
            </w:r>
          </w:p>
        </w:tc>
        <w:tc>
          <w:tcPr>
            <w:tcW w:w="2213"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条款名称</w:t>
            </w:r>
          </w:p>
        </w:tc>
        <w:tc>
          <w:tcPr>
            <w:tcW w:w="6387"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25"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1</w:t>
            </w:r>
          </w:p>
        </w:tc>
        <w:tc>
          <w:tcPr>
            <w:tcW w:w="852"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1</w:t>
            </w:r>
          </w:p>
        </w:tc>
        <w:tc>
          <w:tcPr>
            <w:tcW w:w="2213" w:type="dxa"/>
            <w:vAlign w:val="center"/>
          </w:tcPr>
          <w:p>
            <w:pPr>
              <w:pageBreakBefore w:val="0"/>
              <w:kinsoku/>
              <w:wordWrap/>
              <w:overflowPunct/>
              <w:topLinePunct w:val="0"/>
              <w:bidi w:val="0"/>
              <w:spacing w:after="0" w:line="288" w:lineRule="auto"/>
              <w:jc w:val="center"/>
              <w:rPr>
                <w:rFonts w:ascii="Arial" w:hAnsi="Arial" w:cs="Arial"/>
              </w:rPr>
            </w:pPr>
            <w:r>
              <w:rPr>
                <w:rFonts w:ascii="Arial" w:hAnsi="Arial" w:cs="Arial"/>
              </w:rPr>
              <w:t>项目名称及项目编号</w:t>
            </w:r>
          </w:p>
        </w:tc>
        <w:tc>
          <w:tcPr>
            <w:tcW w:w="6387" w:type="dxa"/>
            <w:vAlign w:val="center"/>
          </w:tcPr>
          <w:p>
            <w:pPr>
              <w:pageBreakBefore w:val="0"/>
              <w:kinsoku/>
              <w:wordWrap/>
              <w:overflowPunct/>
              <w:topLinePunct w:val="0"/>
              <w:bidi w:val="0"/>
              <w:spacing w:after="0" w:line="288" w:lineRule="auto"/>
              <w:rPr>
                <w:rFonts w:ascii="Arial" w:hAnsi="Arial" w:cs="Arial"/>
              </w:rPr>
            </w:pPr>
            <w:r>
              <w:rPr>
                <w:rFonts w:ascii="Arial" w:hAnsi="Arial" w:cs="Arial"/>
              </w:rPr>
              <w:t>项目名称：</w:t>
            </w:r>
            <w:r>
              <w:rPr>
                <w:rFonts w:hint="eastAsia" w:ascii="Arial" w:hAnsi="Arial" w:cs="Arial"/>
              </w:rPr>
              <w:t>血液透析室设备采购项目</w:t>
            </w:r>
          </w:p>
          <w:p>
            <w:pPr>
              <w:pageBreakBefore w:val="0"/>
              <w:kinsoku/>
              <w:wordWrap/>
              <w:overflowPunct/>
              <w:topLinePunct w:val="0"/>
              <w:bidi w:val="0"/>
              <w:spacing w:after="0" w:line="288" w:lineRule="auto"/>
              <w:rPr>
                <w:rFonts w:hint="eastAsia" w:ascii="Arial" w:hAnsi="Arial" w:eastAsia="宋体" w:cs="Arial"/>
                <w:lang w:eastAsia="zh-CN"/>
              </w:rPr>
            </w:pPr>
            <w:r>
              <w:rPr>
                <w:rFonts w:ascii="Arial" w:hAnsi="Arial" w:cs="Arial"/>
              </w:rPr>
              <w:t>项目编号：</w:t>
            </w:r>
            <w:r>
              <w:rPr>
                <w:rFonts w:hint="eastAsia" w:ascii="Arial" w:hAnsi="Arial" w:cs="Arial"/>
                <w:lang w:eastAsia="zh-CN"/>
              </w:rPr>
              <w:t xml:space="preserve"> GLZC2025-G1-250032-JDZB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25"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2</w:t>
            </w:r>
          </w:p>
        </w:tc>
        <w:tc>
          <w:tcPr>
            <w:tcW w:w="852"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5</w:t>
            </w:r>
          </w:p>
        </w:tc>
        <w:tc>
          <w:tcPr>
            <w:tcW w:w="2213"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投标人资格</w:t>
            </w:r>
          </w:p>
        </w:tc>
        <w:tc>
          <w:tcPr>
            <w:tcW w:w="6387" w:type="dxa"/>
            <w:vAlign w:val="center"/>
          </w:tcPr>
          <w:p>
            <w:pPr>
              <w:pageBreakBefore w:val="0"/>
              <w:kinsoku/>
              <w:wordWrap/>
              <w:overflowPunct/>
              <w:topLinePunct w:val="0"/>
              <w:bidi w:val="0"/>
              <w:spacing w:after="0" w:line="288" w:lineRule="auto"/>
              <w:rPr>
                <w:rFonts w:ascii="Arial" w:hAnsi="Arial" w:cs="Arial"/>
                <w:szCs w:val="21"/>
              </w:rPr>
            </w:pPr>
            <w:r>
              <w:rPr>
                <w:rFonts w:ascii="Arial" w:hAnsi="Arial" w:cs="Arial"/>
                <w:szCs w:val="21"/>
              </w:rPr>
              <w:t>5.1满足《中华人民共和国政府采购法》第二十二条规定；</w:t>
            </w:r>
          </w:p>
          <w:p>
            <w:pPr>
              <w:pageBreakBefore w:val="0"/>
              <w:kinsoku/>
              <w:wordWrap/>
              <w:overflowPunct/>
              <w:topLinePunct w:val="0"/>
              <w:bidi w:val="0"/>
              <w:spacing w:after="0" w:line="288" w:lineRule="auto"/>
              <w:rPr>
                <w:rFonts w:ascii="Arial" w:hAnsi="Arial" w:cs="Arial"/>
                <w:szCs w:val="21"/>
              </w:rPr>
            </w:pPr>
            <w:r>
              <w:rPr>
                <w:rFonts w:ascii="Arial" w:hAnsi="Arial" w:cs="Arial"/>
                <w:szCs w:val="21"/>
              </w:rPr>
              <w:t>5.2落实政府采购政策需满足的资格要求：本项目非专门面向中小微企业采购。</w:t>
            </w:r>
          </w:p>
          <w:p>
            <w:pPr>
              <w:pageBreakBefore w:val="0"/>
              <w:kinsoku/>
              <w:wordWrap/>
              <w:overflowPunct/>
              <w:topLinePunct w:val="0"/>
              <w:bidi w:val="0"/>
              <w:spacing w:after="0" w:line="288" w:lineRule="auto"/>
              <w:rPr>
                <w:rFonts w:ascii="Arial" w:hAnsi="Arial" w:cs="Arial"/>
                <w:szCs w:val="21"/>
              </w:rPr>
            </w:pPr>
            <w:r>
              <w:rPr>
                <w:rFonts w:ascii="Arial" w:hAnsi="Arial" w:cs="Arial"/>
                <w:szCs w:val="21"/>
              </w:rPr>
              <w:t>5.3本项目的特定资格要求：</w:t>
            </w:r>
          </w:p>
          <w:p>
            <w:pPr>
              <w:pageBreakBefore w:val="0"/>
              <w:kinsoku/>
              <w:wordWrap/>
              <w:overflowPunct/>
              <w:topLinePunct w:val="0"/>
              <w:bidi w:val="0"/>
              <w:spacing w:after="0" w:line="288" w:lineRule="auto"/>
              <w:rPr>
                <w:rFonts w:ascii="Arial" w:hAnsi="Arial" w:cs="Arial"/>
                <w:szCs w:val="21"/>
              </w:rPr>
            </w:pPr>
            <w:r>
              <w:rPr>
                <w:rFonts w:ascii="Arial" w:hAnsi="Arial" w:cs="Arial"/>
                <w:szCs w:val="21"/>
              </w:rPr>
              <w:t>（1）</w:t>
            </w:r>
            <w:r>
              <w:rPr>
                <w:rFonts w:ascii="Arial" w:hAnsi="Arial" w:cs="Arial"/>
                <w:color w:val="auto"/>
                <w:kern w:val="0"/>
                <w:szCs w:val="21"/>
              </w:rPr>
              <w:t>具有药品监督管理的部门颁发有效的医疗器械经营许可或者备案（按《医疗器械监督管理条例》免于经营备案和无需办理医疗器械经营许可或者备案的情形除外）</w:t>
            </w:r>
            <w:r>
              <w:rPr>
                <w:rFonts w:ascii="Arial" w:hAnsi="Arial" w:cs="Arial"/>
                <w:szCs w:val="21"/>
              </w:rPr>
              <w:t>；</w:t>
            </w:r>
          </w:p>
          <w:p>
            <w:pPr>
              <w:pageBreakBefore w:val="0"/>
              <w:kinsoku/>
              <w:wordWrap/>
              <w:overflowPunct/>
              <w:topLinePunct w:val="0"/>
              <w:bidi w:val="0"/>
              <w:spacing w:after="0" w:line="288" w:lineRule="auto"/>
              <w:rPr>
                <w:rFonts w:ascii="Arial" w:hAnsi="Arial" w:cs="Arial"/>
                <w:szCs w:val="21"/>
              </w:rPr>
            </w:pPr>
            <w:r>
              <w:rPr>
                <w:rFonts w:ascii="Arial" w:hAnsi="Arial" w:cs="Arial"/>
                <w:szCs w:val="21"/>
              </w:rPr>
              <w:t>（2）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pPr>
              <w:pageBreakBefore w:val="0"/>
              <w:kinsoku/>
              <w:wordWrap/>
              <w:overflowPunct/>
              <w:topLinePunct w:val="0"/>
              <w:bidi w:val="0"/>
              <w:spacing w:after="0" w:line="288" w:lineRule="auto"/>
              <w:rPr>
                <w:rFonts w:ascii="Arial" w:hAnsi="Arial" w:cs="Arial"/>
                <w:szCs w:val="21"/>
              </w:rPr>
            </w:pPr>
            <w:r>
              <w:rPr>
                <w:rFonts w:ascii="Arial" w:hAnsi="Arial" w:cs="Arial"/>
                <w:szCs w:val="21"/>
              </w:rPr>
              <w:t>（3）单位负责人为同一人或者存在直接控股、管理关系的不同供应商，不得参加同一合同项下的政府采购活动。除单一来源采购项目外，为本采购项目提供整体设计、规范编制或者项目管理、监理、检测等服务的供应商，不得再参加该采购项目的其他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25"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3</w:t>
            </w:r>
          </w:p>
        </w:tc>
        <w:tc>
          <w:tcPr>
            <w:tcW w:w="852"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6</w:t>
            </w:r>
          </w:p>
        </w:tc>
        <w:tc>
          <w:tcPr>
            <w:tcW w:w="2213"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kern w:val="0"/>
                <w:szCs w:val="21"/>
              </w:rPr>
              <w:t>参与电子投标的准备工作</w:t>
            </w:r>
          </w:p>
        </w:tc>
        <w:tc>
          <w:tcPr>
            <w:tcW w:w="6387" w:type="dxa"/>
            <w:vAlign w:val="center"/>
          </w:tcPr>
          <w:p>
            <w:pPr>
              <w:pageBreakBefore w:val="0"/>
              <w:kinsoku/>
              <w:wordWrap/>
              <w:overflowPunct/>
              <w:topLinePunct w:val="0"/>
              <w:bidi w:val="0"/>
              <w:spacing w:after="0" w:line="288" w:lineRule="auto"/>
              <w:rPr>
                <w:rFonts w:ascii="Arial" w:hAnsi="Arial" w:cs="Arial"/>
                <w:kern w:val="0"/>
                <w:szCs w:val="21"/>
              </w:rPr>
            </w:pPr>
            <w:r>
              <w:rPr>
                <w:rFonts w:ascii="Arial" w:hAnsi="Arial" w:cs="Arial"/>
                <w:kern w:val="0"/>
                <w:szCs w:val="21"/>
              </w:rPr>
              <w:t>6.1</w:t>
            </w:r>
            <w:r>
              <w:rPr>
                <w:rFonts w:ascii="Arial" w:hAnsi="Arial" w:cs="Arial"/>
                <w:szCs w:val="21"/>
              </w:rPr>
              <w:t>本项目实行全流程电子化采购，投标人通过广西政府采购云平台参与电子投标，并应做好以下相关准备工作：①在广西政府采购云平台注册成为正式供应商（操作方法详见广西壮族自治区政府采购网—办事服务—办事指南）；②完成CA证书申领和绑定（费用由投标人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桂采云电子投标客户端”）并安装成功，投标人应当在提交投标文件截止时间前在广西政府采购云平台完成的身份认证，确保能够对相关数据电文进行加密和使用电子签章；④自备计算机和网络设备并确保能接入互联网（费用由投标人自行承担，设备确保可进行视频通话和读取广西政府采购云平台CA证书）。因投标人未做好相关准备工作等自身原因导致无法参加本项目电子投标或投标失败的，造成的一切后果，由投标人自行承担。</w:t>
            </w:r>
          </w:p>
          <w:p>
            <w:pPr>
              <w:pageBreakBefore w:val="0"/>
              <w:kinsoku/>
              <w:wordWrap/>
              <w:overflowPunct/>
              <w:topLinePunct w:val="0"/>
              <w:bidi w:val="0"/>
              <w:spacing w:after="0" w:line="288" w:lineRule="auto"/>
              <w:rPr>
                <w:rFonts w:ascii="Arial" w:hAnsi="Arial" w:cs="Arial"/>
                <w:kern w:val="0"/>
                <w:szCs w:val="21"/>
              </w:rPr>
            </w:pPr>
            <w:r>
              <w:rPr>
                <w:rFonts w:ascii="Arial" w:hAnsi="Arial" w:cs="Arial"/>
                <w:kern w:val="0"/>
                <w:szCs w:val="21"/>
              </w:rPr>
              <w:t>6.2电子投标具体操作流程参考《政府采购项目电子交易管理操作指南-供应商》（详见桂林市政府采购网—采购资讯—重要通知）；如遇平台技术问题详询95763。</w:t>
            </w:r>
          </w:p>
          <w:p>
            <w:pPr>
              <w:pageBreakBefore w:val="0"/>
              <w:kinsoku/>
              <w:wordWrap/>
              <w:overflowPunct/>
              <w:topLinePunct w:val="0"/>
              <w:bidi w:val="0"/>
              <w:spacing w:after="0" w:line="288" w:lineRule="auto"/>
              <w:rPr>
                <w:rFonts w:ascii="Arial" w:hAnsi="Arial" w:cs="Arial"/>
              </w:rPr>
            </w:pPr>
            <w:r>
              <w:rPr>
                <w:rFonts w:ascii="Arial" w:hAnsi="Arial" w:cs="Arial"/>
                <w:kern w:val="0"/>
                <w:szCs w:val="21"/>
              </w:rPr>
              <w:t>6.3不论投标结果如何，投标人均应自行承担所有与投标有关的全部费用。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25"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4</w:t>
            </w:r>
          </w:p>
        </w:tc>
        <w:tc>
          <w:tcPr>
            <w:tcW w:w="852" w:type="dxa"/>
            <w:vAlign w:val="center"/>
          </w:tcPr>
          <w:p>
            <w:pPr>
              <w:pageBreakBefore w:val="0"/>
              <w:kinsoku/>
              <w:wordWrap/>
              <w:overflowPunct/>
              <w:topLinePunct w:val="0"/>
              <w:bidi w:val="0"/>
              <w:spacing w:after="0" w:line="288" w:lineRule="auto"/>
              <w:jc w:val="center"/>
              <w:rPr>
                <w:rFonts w:ascii="Arial" w:hAnsi="Arial" w:cs="Arial"/>
                <w:position w:val="-2"/>
                <w:szCs w:val="21"/>
              </w:rPr>
            </w:pPr>
            <w:r>
              <w:rPr>
                <w:rFonts w:ascii="Arial" w:hAnsi="Arial" w:cs="Arial"/>
                <w:position w:val="-2"/>
                <w:szCs w:val="21"/>
              </w:rPr>
              <w:t>15</w:t>
            </w:r>
          </w:p>
        </w:tc>
        <w:tc>
          <w:tcPr>
            <w:tcW w:w="2213"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投标报价</w:t>
            </w:r>
          </w:p>
        </w:tc>
        <w:tc>
          <w:tcPr>
            <w:tcW w:w="6387" w:type="dxa"/>
            <w:vAlign w:val="center"/>
          </w:tcPr>
          <w:p>
            <w:pPr>
              <w:pageBreakBefore w:val="0"/>
              <w:kinsoku/>
              <w:wordWrap/>
              <w:overflowPunct/>
              <w:topLinePunct w:val="0"/>
              <w:bidi w:val="0"/>
              <w:spacing w:after="0" w:line="288" w:lineRule="auto"/>
              <w:rPr>
                <w:rFonts w:ascii="Arial" w:hAnsi="Arial" w:cs="Arial"/>
                <w:szCs w:val="21"/>
              </w:rPr>
            </w:pPr>
            <w:r>
              <w:rPr>
                <w:rFonts w:ascii="Arial" w:hAnsi="Arial" w:cs="Arial"/>
                <w:szCs w:val="21"/>
              </w:rPr>
              <w:t>15.1投标报价应按招标文件中第六章“投标文件（格式）”填写，</w:t>
            </w:r>
            <w:bookmarkStart w:id="11" w:name="_Hlk81985358"/>
            <w:r>
              <w:rPr>
                <w:rFonts w:ascii="Arial" w:hAnsi="Arial" w:cs="Arial"/>
              </w:rPr>
              <w:t>所投</w:t>
            </w:r>
            <w:bookmarkEnd w:id="11"/>
            <w:r>
              <w:rPr>
                <w:rFonts w:ascii="Arial" w:hAnsi="Arial" w:cs="Arial"/>
              </w:rPr>
              <w:t>报价超采购预算总金额的，投标文件作无效处理。</w:t>
            </w:r>
          </w:p>
          <w:p>
            <w:pPr>
              <w:pageBreakBefore w:val="0"/>
              <w:kinsoku/>
              <w:wordWrap/>
              <w:overflowPunct/>
              <w:topLinePunct w:val="0"/>
              <w:bidi w:val="0"/>
              <w:spacing w:after="0" w:line="288" w:lineRule="auto"/>
              <w:rPr>
                <w:rFonts w:ascii="Arial" w:hAnsi="Arial" w:cs="Arial"/>
                <w:szCs w:val="21"/>
              </w:rPr>
            </w:pPr>
            <w:r>
              <w:rPr>
                <w:rFonts w:ascii="Arial" w:hAnsi="Arial" w:cs="Arial"/>
                <w:szCs w:val="21"/>
              </w:rPr>
              <w:t>15.2投标人必须就“货物采购需求”中所投的所有内容作完整唯一报价，否则，其投标将被拒绝；投标文件只允许有一个报价，有选择的或有条件的报价将不予接受。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25"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5</w:t>
            </w:r>
          </w:p>
        </w:tc>
        <w:tc>
          <w:tcPr>
            <w:tcW w:w="852"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16.1</w:t>
            </w:r>
          </w:p>
        </w:tc>
        <w:tc>
          <w:tcPr>
            <w:tcW w:w="2213"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投标有效期</w:t>
            </w:r>
          </w:p>
        </w:tc>
        <w:tc>
          <w:tcPr>
            <w:tcW w:w="6387" w:type="dxa"/>
            <w:vAlign w:val="center"/>
          </w:tcPr>
          <w:p>
            <w:pPr>
              <w:pageBreakBefore w:val="0"/>
              <w:kinsoku/>
              <w:wordWrap/>
              <w:overflowPunct/>
              <w:topLinePunct w:val="0"/>
              <w:bidi w:val="0"/>
              <w:spacing w:after="0" w:line="288" w:lineRule="auto"/>
              <w:rPr>
                <w:rFonts w:ascii="Arial" w:hAnsi="Arial" w:cs="Arial"/>
                <w:szCs w:val="21"/>
              </w:rPr>
            </w:pPr>
            <w:r>
              <w:rPr>
                <w:rFonts w:ascii="Arial" w:hAnsi="Arial" w:cs="Arial"/>
              </w:rPr>
              <w:t>投标截止时间之日起90天。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25"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6</w:t>
            </w:r>
          </w:p>
        </w:tc>
        <w:tc>
          <w:tcPr>
            <w:tcW w:w="852"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17</w:t>
            </w:r>
          </w:p>
        </w:tc>
        <w:tc>
          <w:tcPr>
            <w:tcW w:w="2213"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rPr>
              <w:t>投标保证金</w:t>
            </w:r>
          </w:p>
        </w:tc>
        <w:tc>
          <w:tcPr>
            <w:tcW w:w="6387" w:type="dxa"/>
            <w:vAlign w:val="center"/>
          </w:tcPr>
          <w:p>
            <w:pPr>
              <w:pageBreakBefore w:val="0"/>
              <w:kinsoku/>
              <w:wordWrap/>
              <w:overflowPunct/>
              <w:topLinePunct w:val="0"/>
              <w:bidi w:val="0"/>
              <w:spacing w:after="0" w:line="288" w:lineRule="auto"/>
              <w:rPr>
                <w:rFonts w:ascii="Arial" w:hAnsi="Arial" w:cs="Arial"/>
                <w:szCs w:val="21"/>
              </w:rPr>
            </w:pPr>
            <w:r>
              <w:rPr>
                <w:rFonts w:ascii="Arial" w:hAnsi="Arial" w:cs="Arial"/>
              </w:rPr>
              <w:t>本项目无需缴纳投标保证金。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25"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7</w:t>
            </w:r>
          </w:p>
        </w:tc>
        <w:tc>
          <w:tcPr>
            <w:tcW w:w="852" w:type="dxa"/>
            <w:vAlign w:val="center"/>
          </w:tcPr>
          <w:p>
            <w:pPr>
              <w:pageBreakBefore w:val="0"/>
              <w:kinsoku/>
              <w:wordWrap/>
              <w:overflowPunct/>
              <w:topLinePunct w:val="0"/>
              <w:bidi w:val="0"/>
              <w:spacing w:after="0" w:line="288" w:lineRule="auto"/>
              <w:jc w:val="center"/>
              <w:rPr>
                <w:rFonts w:ascii="Arial" w:hAnsi="Arial" w:cs="Arial"/>
                <w:position w:val="10"/>
                <w:szCs w:val="21"/>
              </w:rPr>
            </w:pPr>
            <w:r>
              <w:rPr>
                <w:rFonts w:ascii="Arial" w:hAnsi="Arial" w:cs="Arial"/>
                <w:szCs w:val="21"/>
              </w:rPr>
              <w:t>18.1</w:t>
            </w:r>
          </w:p>
        </w:tc>
        <w:tc>
          <w:tcPr>
            <w:tcW w:w="2213" w:type="dxa"/>
            <w:vAlign w:val="center"/>
          </w:tcPr>
          <w:p>
            <w:pPr>
              <w:pageBreakBefore w:val="0"/>
              <w:kinsoku/>
              <w:wordWrap/>
              <w:overflowPunct/>
              <w:topLinePunct w:val="0"/>
              <w:bidi w:val="0"/>
              <w:spacing w:after="0" w:line="288" w:lineRule="auto"/>
              <w:jc w:val="center"/>
              <w:rPr>
                <w:rFonts w:ascii="Arial" w:hAnsi="Arial" w:cs="Arial"/>
                <w:position w:val="10"/>
                <w:szCs w:val="21"/>
              </w:rPr>
            </w:pPr>
            <w:r>
              <w:rPr>
                <w:rFonts w:ascii="Arial" w:hAnsi="Arial" w:cs="Arial"/>
                <w:szCs w:val="21"/>
              </w:rPr>
              <w:t>电子投标文件的制作、加密</w:t>
            </w:r>
          </w:p>
        </w:tc>
        <w:tc>
          <w:tcPr>
            <w:tcW w:w="6387" w:type="dxa"/>
            <w:vAlign w:val="center"/>
          </w:tcPr>
          <w:p>
            <w:pPr>
              <w:pageBreakBefore w:val="0"/>
              <w:kinsoku/>
              <w:wordWrap/>
              <w:overflowPunct/>
              <w:topLinePunct w:val="0"/>
              <w:bidi w:val="0"/>
              <w:snapToGrid w:val="0"/>
              <w:spacing w:after="0" w:line="288" w:lineRule="auto"/>
              <w:rPr>
                <w:rFonts w:ascii="Arial" w:hAnsi="Arial" w:cs="Arial"/>
                <w:bCs/>
                <w:szCs w:val="21"/>
              </w:rPr>
            </w:pPr>
            <w:r>
              <w:rPr>
                <w:rFonts w:ascii="Arial" w:hAnsi="Arial" w:cs="Arial"/>
                <w:kern w:val="0"/>
                <w:szCs w:val="21"/>
              </w:rPr>
              <w:t>18.1.1</w:t>
            </w:r>
            <w:r>
              <w:rPr>
                <w:rFonts w:ascii="Arial" w:hAnsi="Arial" w:cs="Arial"/>
                <w:bCs/>
                <w:szCs w:val="21"/>
              </w:rPr>
              <w:t>投标人制作电子投标文件前，必须登录</w:t>
            </w:r>
            <w:r>
              <w:rPr>
                <w:rFonts w:ascii="Arial" w:hAnsi="Arial" w:cs="Arial"/>
                <w:szCs w:val="21"/>
              </w:rPr>
              <w:t>广西政府采购云平台</w:t>
            </w:r>
            <w:r>
              <w:rPr>
                <w:rFonts w:ascii="Arial" w:hAnsi="Arial" w:cs="Arial"/>
                <w:bCs/>
                <w:szCs w:val="21"/>
              </w:rPr>
              <w:t>进行招标文件的获取操作。</w:t>
            </w:r>
          </w:p>
          <w:p>
            <w:pPr>
              <w:pageBreakBefore w:val="0"/>
              <w:kinsoku/>
              <w:wordWrap/>
              <w:overflowPunct/>
              <w:topLinePunct w:val="0"/>
              <w:bidi w:val="0"/>
              <w:snapToGrid w:val="0"/>
              <w:spacing w:after="0" w:line="288" w:lineRule="auto"/>
              <w:rPr>
                <w:rFonts w:ascii="Arial" w:hAnsi="Arial" w:cs="Arial"/>
                <w:bCs/>
                <w:szCs w:val="21"/>
              </w:rPr>
            </w:pPr>
            <w:r>
              <w:rPr>
                <w:rFonts w:ascii="Arial" w:hAnsi="Arial" w:cs="Arial"/>
                <w:bCs/>
                <w:szCs w:val="21"/>
              </w:rPr>
              <w:t>18.</w:t>
            </w:r>
            <w:r>
              <w:rPr>
                <w:rFonts w:ascii="Arial" w:hAnsi="Arial" w:cs="Arial"/>
                <w:kern w:val="0"/>
                <w:szCs w:val="21"/>
              </w:rPr>
              <w:t>1.</w:t>
            </w:r>
            <w:r>
              <w:rPr>
                <w:rFonts w:ascii="Arial" w:hAnsi="Arial" w:cs="Arial"/>
                <w:bCs/>
                <w:szCs w:val="21"/>
              </w:rPr>
              <w:t>2投标人下载或获取招标文件后，登录“</w:t>
            </w:r>
            <w:r>
              <w:rPr>
                <w:rFonts w:ascii="Arial" w:hAnsi="Arial" w:cs="Arial"/>
                <w:szCs w:val="21"/>
              </w:rPr>
              <w:t>广西政府采购云平台</w:t>
            </w:r>
            <w:r>
              <w:rPr>
                <w:rFonts w:ascii="Arial" w:hAnsi="Arial" w:cs="Arial"/>
                <w:bCs/>
                <w:szCs w:val="21"/>
              </w:rPr>
              <w:t>电子投标客户端”，按照本招标文件</w:t>
            </w:r>
            <w:r>
              <w:rPr>
                <w:rFonts w:ascii="Arial" w:hAnsi="Arial" w:cs="Arial"/>
                <w:szCs w:val="21"/>
              </w:rPr>
              <w:t>规定的投标文件格式、顺序</w:t>
            </w:r>
            <w:r>
              <w:rPr>
                <w:rFonts w:ascii="Arial" w:hAnsi="Arial" w:cs="Arial"/>
                <w:bCs/>
                <w:szCs w:val="21"/>
              </w:rPr>
              <w:t>以及</w:t>
            </w:r>
            <w:r>
              <w:rPr>
                <w:rFonts w:ascii="Arial" w:hAnsi="Arial" w:cs="Arial"/>
                <w:szCs w:val="21"/>
              </w:rPr>
              <w:t>广西政府采购云平台</w:t>
            </w:r>
            <w:r>
              <w:rPr>
                <w:rFonts w:ascii="Arial" w:hAnsi="Arial" w:cs="Arial"/>
                <w:bCs/>
                <w:szCs w:val="21"/>
              </w:rPr>
              <w:t>的要求，通过“</w:t>
            </w:r>
            <w:r>
              <w:rPr>
                <w:rFonts w:ascii="Arial" w:hAnsi="Arial" w:cs="Arial"/>
                <w:szCs w:val="21"/>
              </w:rPr>
              <w:t>广西政府采购云平台</w:t>
            </w:r>
            <w:r>
              <w:rPr>
                <w:rFonts w:ascii="Arial" w:hAnsi="Arial" w:cs="Arial"/>
                <w:bCs/>
                <w:szCs w:val="21"/>
              </w:rPr>
              <w:t>电子投标客户端”编制电子投标文件。</w:t>
            </w:r>
          </w:p>
          <w:p>
            <w:pPr>
              <w:pageBreakBefore w:val="0"/>
              <w:kinsoku/>
              <w:wordWrap/>
              <w:overflowPunct/>
              <w:topLinePunct w:val="0"/>
              <w:bidi w:val="0"/>
              <w:snapToGrid w:val="0"/>
              <w:spacing w:after="0" w:line="288" w:lineRule="auto"/>
              <w:rPr>
                <w:rFonts w:ascii="Arial" w:hAnsi="Arial" w:cs="Arial"/>
                <w:szCs w:val="21"/>
              </w:rPr>
            </w:pPr>
            <w:r>
              <w:rPr>
                <w:rFonts w:ascii="Arial" w:hAnsi="Arial" w:cs="Arial"/>
                <w:szCs w:val="21"/>
              </w:rPr>
              <w:t>18.</w:t>
            </w:r>
            <w:r>
              <w:rPr>
                <w:rFonts w:ascii="Arial" w:hAnsi="Arial" w:cs="Arial"/>
                <w:kern w:val="0"/>
                <w:szCs w:val="21"/>
              </w:rPr>
              <w:t>1.</w:t>
            </w:r>
            <w:r>
              <w:rPr>
                <w:rFonts w:ascii="Arial" w:hAnsi="Arial" w:cs="Arial"/>
                <w:szCs w:val="21"/>
              </w:rPr>
              <w:t>3投标人应按“广西政府采购云平台电子投标客户端”载明的“标书关联”功能进行电子投标文件相应内容的关联定位，以便评标委员会在评审时点击相应评审项可直接定位到该评审内容；如投标人的电子投标文件未能关联定位相应内容，或者关联定位的内容与该评审项不符，导致评标委员会无法查询并做出对投标人不利的评审，相关后果由投标人自行承担。</w:t>
            </w:r>
          </w:p>
          <w:p>
            <w:pPr>
              <w:pageBreakBefore w:val="0"/>
              <w:kinsoku/>
              <w:wordWrap/>
              <w:overflowPunct/>
              <w:topLinePunct w:val="0"/>
              <w:bidi w:val="0"/>
              <w:snapToGrid w:val="0"/>
              <w:spacing w:after="0" w:line="288" w:lineRule="auto"/>
              <w:rPr>
                <w:rFonts w:ascii="Arial" w:hAnsi="Arial" w:cs="Arial"/>
                <w:szCs w:val="21"/>
              </w:rPr>
            </w:pPr>
            <w:r>
              <w:rPr>
                <w:rFonts w:ascii="Arial" w:hAnsi="Arial" w:cs="Arial"/>
                <w:szCs w:val="21"/>
              </w:rPr>
              <w:t>18.</w:t>
            </w:r>
            <w:r>
              <w:rPr>
                <w:rFonts w:ascii="Arial" w:hAnsi="Arial" w:cs="Arial"/>
                <w:kern w:val="0"/>
                <w:szCs w:val="21"/>
              </w:rPr>
              <w:t>1.</w:t>
            </w:r>
            <w:r>
              <w:rPr>
                <w:rFonts w:ascii="Arial" w:hAnsi="Arial" w:cs="Arial"/>
                <w:szCs w:val="21"/>
              </w:rPr>
              <w:t>4电子投标文件不得涂改，若有修改错漏处，须由法定代表人（负责人）或授权委托代理人通过“广西政府采购云平台电子投标客户端”采用广西政府采购云平台个人CA证书签章，没有办理广西政府采购云平台个人CA证书签章的，在投标文件中响应位置手写签字后扫描或者拍照做成 PDF 的格式上传。因投标文件字迹潦草、表达不清、内容不完整、编排混乱导致投标文件被误读、漏读，或者在按招标文件规定的部位查找不到相关内容的，其不利后果由供应商自行承担。</w:t>
            </w:r>
          </w:p>
          <w:p>
            <w:pPr>
              <w:pageBreakBefore w:val="0"/>
              <w:kinsoku/>
              <w:wordWrap/>
              <w:overflowPunct/>
              <w:topLinePunct w:val="0"/>
              <w:bidi w:val="0"/>
              <w:spacing w:after="0" w:line="288" w:lineRule="auto"/>
              <w:rPr>
                <w:rFonts w:ascii="Arial" w:hAnsi="Arial" w:cs="Arial"/>
                <w:szCs w:val="21"/>
              </w:rPr>
            </w:pPr>
            <w:r>
              <w:rPr>
                <w:rFonts w:ascii="Arial" w:hAnsi="Arial" w:cs="Arial"/>
                <w:szCs w:val="21"/>
              </w:rPr>
              <w:t>18.</w:t>
            </w:r>
            <w:r>
              <w:rPr>
                <w:rFonts w:ascii="Arial" w:hAnsi="Arial" w:cs="Arial"/>
                <w:kern w:val="0"/>
                <w:szCs w:val="21"/>
              </w:rPr>
              <w:t>1.</w:t>
            </w:r>
            <w:r>
              <w:rPr>
                <w:rFonts w:ascii="Arial" w:hAnsi="Arial" w:cs="Arial"/>
                <w:szCs w:val="21"/>
              </w:rPr>
              <w:t>5投标人编制、生成电子投标文件后应当</w:t>
            </w:r>
            <w:r>
              <w:rPr>
                <w:rFonts w:ascii="Arial" w:hAnsi="Arial" w:cs="Arial"/>
                <w:bCs/>
                <w:szCs w:val="21"/>
              </w:rPr>
              <w:t>加密投标文件。</w:t>
            </w:r>
            <w:r>
              <w:rPr>
                <w:rFonts w:ascii="Arial" w:hAnsi="Arial" w:cs="Arial"/>
                <w:szCs w:val="21"/>
              </w:rPr>
              <w:t>投标人</w:t>
            </w:r>
            <w:r>
              <w:rPr>
                <w:rFonts w:ascii="Arial" w:hAnsi="Arial" w:cs="Arial"/>
                <w:bCs/>
                <w:szCs w:val="21"/>
              </w:rPr>
              <w:t>未按规定编制并加密的投标文件，</w:t>
            </w:r>
            <w:r>
              <w:rPr>
                <w:rFonts w:ascii="Arial" w:hAnsi="Arial" w:cs="Arial"/>
                <w:szCs w:val="21"/>
              </w:rPr>
              <w:t>广西政府采购云平台</w:t>
            </w:r>
            <w:r>
              <w:rPr>
                <w:rFonts w:ascii="Arial" w:hAnsi="Arial" w:cs="Arial"/>
                <w:bCs/>
                <w:szCs w:val="21"/>
              </w:rPr>
              <w:t>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25"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8</w:t>
            </w:r>
          </w:p>
        </w:tc>
        <w:tc>
          <w:tcPr>
            <w:tcW w:w="852"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18.2</w:t>
            </w:r>
          </w:p>
        </w:tc>
        <w:tc>
          <w:tcPr>
            <w:tcW w:w="2213"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kern w:val="0"/>
                <w:szCs w:val="21"/>
              </w:rPr>
              <w:t>投标人公章及签字</w:t>
            </w:r>
          </w:p>
        </w:tc>
        <w:tc>
          <w:tcPr>
            <w:tcW w:w="6387" w:type="dxa"/>
            <w:vAlign w:val="center"/>
          </w:tcPr>
          <w:p>
            <w:pPr>
              <w:pageBreakBefore w:val="0"/>
              <w:kinsoku/>
              <w:wordWrap/>
              <w:overflowPunct/>
              <w:topLinePunct w:val="0"/>
              <w:bidi w:val="0"/>
              <w:snapToGrid w:val="0"/>
              <w:spacing w:after="0" w:line="288" w:lineRule="auto"/>
              <w:jc w:val="left"/>
              <w:rPr>
                <w:rFonts w:ascii="Arial" w:hAnsi="Arial" w:cs="Arial"/>
              </w:rPr>
            </w:pPr>
            <w:r>
              <w:rPr>
                <w:rFonts w:ascii="Arial" w:hAnsi="Arial" w:cs="Arial"/>
              </w:rPr>
              <w:t>18.2.1本招标文件中描述投标人的“公章”是指投标人通过指定电子化政府采购平台办理数字证书（CA认证证书）获得的以法定主体行为名称制作的电子印章。</w:t>
            </w:r>
          </w:p>
          <w:p>
            <w:pPr>
              <w:pageBreakBefore w:val="0"/>
              <w:kinsoku/>
              <w:wordWrap/>
              <w:overflowPunct/>
              <w:topLinePunct w:val="0"/>
              <w:bidi w:val="0"/>
              <w:snapToGrid w:val="0"/>
              <w:spacing w:after="0" w:line="288" w:lineRule="auto"/>
              <w:jc w:val="left"/>
              <w:rPr>
                <w:rFonts w:ascii="Arial" w:hAnsi="Arial" w:cs="Arial"/>
              </w:rPr>
            </w:pPr>
            <w:r>
              <w:rPr>
                <w:rFonts w:ascii="Arial" w:hAnsi="Arial" w:cs="Arial"/>
              </w:rPr>
              <w:t>18.2.2本招标文件中要求投标人对其电子投标文件的相关内容加盖公章的，均指采用CA证书签章。</w:t>
            </w:r>
          </w:p>
          <w:p>
            <w:pPr>
              <w:pageBreakBefore w:val="0"/>
              <w:kinsoku/>
              <w:wordWrap/>
              <w:overflowPunct/>
              <w:topLinePunct w:val="0"/>
              <w:bidi w:val="0"/>
              <w:snapToGrid w:val="0"/>
              <w:spacing w:after="0" w:line="288" w:lineRule="auto"/>
              <w:rPr>
                <w:rFonts w:ascii="Arial" w:hAnsi="Arial" w:cs="Arial"/>
                <w:kern w:val="0"/>
                <w:szCs w:val="21"/>
              </w:rPr>
            </w:pPr>
            <w:r>
              <w:rPr>
                <w:rFonts w:ascii="Arial" w:hAnsi="Arial" w:cs="Arial"/>
              </w:rPr>
              <w:t>18.2.3本招标文件中描述投标人的“签字”是指投标人通过指定电子化政府采购平台办理数字证书（CA认证证书）获得的以投标人法定代表人（负责人）或者委托代理人姓名制作的个人电子印章或手写签字。没有办理个人CA证书的，可以为手写签字的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25"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9</w:t>
            </w:r>
          </w:p>
        </w:tc>
        <w:tc>
          <w:tcPr>
            <w:tcW w:w="852"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19.1</w:t>
            </w:r>
          </w:p>
        </w:tc>
        <w:tc>
          <w:tcPr>
            <w:tcW w:w="2213"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投标文件的补充、修改和撤回</w:t>
            </w:r>
          </w:p>
        </w:tc>
        <w:tc>
          <w:tcPr>
            <w:tcW w:w="6387" w:type="dxa"/>
            <w:vAlign w:val="center"/>
          </w:tcPr>
          <w:p>
            <w:pPr>
              <w:pageBreakBefore w:val="0"/>
              <w:kinsoku/>
              <w:wordWrap/>
              <w:overflowPunct/>
              <w:topLinePunct w:val="0"/>
              <w:bidi w:val="0"/>
              <w:spacing w:after="0" w:line="288" w:lineRule="auto"/>
              <w:rPr>
                <w:rFonts w:ascii="Arial" w:hAnsi="Arial" w:cs="Arial"/>
                <w:szCs w:val="21"/>
              </w:rPr>
            </w:pPr>
            <w:r>
              <w:rPr>
                <w:rFonts w:ascii="Arial" w:hAnsi="Arial" w:cs="Arial"/>
                <w:szCs w:val="21"/>
              </w:rPr>
              <w:t>19.1 投标文件递交截止时间前可以撤回电子投标文件。补充或者修改电子投标文件的，应当先行撤回原文件，补充、修改后重新传输递交，投标文件递交截止时间前未完成传输的，视为撤回投标文件。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25"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10</w:t>
            </w:r>
          </w:p>
        </w:tc>
        <w:tc>
          <w:tcPr>
            <w:tcW w:w="852"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20.1</w:t>
            </w:r>
          </w:p>
        </w:tc>
        <w:tc>
          <w:tcPr>
            <w:tcW w:w="2213"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投标文件递交</w:t>
            </w:r>
          </w:p>
        </w:tc>
        <w:tc>
          <w:tcPr>
            <w:tcW w:w="6387" w:type="dxa"/>
            <w:vAlign w:val="center"/>
          </w:tcPr>
          <w:p>
            <w:pPr>
              <w:pageBreakBefore w:val="0"/>
              <w:kinsoku/>
              <w:wordWrap/>
              <w:overflowPunct/>
              <w:topLinePunct w:val="0"/>
              <w:bidi w:val="0"/>
              <w:spacing w:after="0" w:line="288" w:lineRule="auto"/>
              <w:rPr>
                <w:rFonts w:ascii="Arial" w:hAnsi="Arial" w:cs="Arial"/>
                <w:szCs w:val="21"/>
              </w:rPr>
            </w:pPr>
            <w:r>
              <w:rPr>
                <w:rFonts w:ascii="Arial" w:hAnsi="Arial" w:cs="Arial"/>
                <w:szCs w:val="21"/>
              </w:rPr>
              <w:t>20.1投标文件递交截止时间：于</w:t>
            </w:r>
            <w:r>
              <w:rPr>
                <w:rFonts w:hint="eastAsia" w:ascii="Arial" w:hAnsi="Arial" w:cs="Arial"/>
                <w:szCs w:val="21"/>
                <w:u w:val="single"/>
              </w:rPr>
              <w:t>2025年</w:t>
            </w:r>
            <w:r>
              <w:rPr>
                <w:rFonts w:hint="eastAsia" w:ascii="Arial" w:hAnsi="Arial" w:cs="Arial"/>
                <w:szCs w:val="21"/>
                <w:u w:val="single"/>
                <w:lang w:eastAsia="zh-CN"/>
              </w:rPr>
              <w:t>7月1日</w:t>
            </w:r>
            <w:r>
              <w:rPr>
                <w:rFonts w:ascii="Arial" w:hAnsi="Arial" w:cs="Arial"/>
                <w:szCs w:val="21"/>
                <w:u w:val="single"/>
              </w:rPr>
              <w:t>上午9时30分</w:t>
            </w:r>
            <w:r>
              <w:rPr>
                <w:rFonts w:ascii="Arial" w:hAnsi="Arial" w:cs="Arial"/>
                <w:szCs w:val="21"/>
              </w:rPr>
              <w:t>之前将电子投标文件上传到广西政府采购云平台。应按照本项目招标文件和广西政府采购云平台的要求编制、加密传输投标文件。供应商在使用系统进行投标的过程中遇到涉及平台使用的任何问题，可致电广西政府采购云平台技术支持热线咨询，联系方式：95763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25"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11</w:t>
            </w:r>
          </w:p>
        </w:tc>
        <w:tc>
          <w:tcPr>
            <w:tcW w:w="852"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20.2</w:t>
            </w:r>
          </w:p>
        </w:tc>
        <w:tc>
          <w:tcPr>
            <w:tcW w:w="2213"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投标文件解密</w:t>
            </w:r>
          </w:p>
        </w:tc>
        <w:tc>
          <w:tcPr>
            <w:tcW w:w="6387" w:type="dxa"/>
            <w:vAlign w:val="center"/>
          </w:tcPr>
          <w:p>
            <w:pPr>
              <w:pageBreakBefore w:val="0"/>
              <w:kinsoku/>
              <w:wordWrap/>
              <w:overflowPunct/>
              <w:topLinePunct w:val="0"/>
              <w:bidi w:val="0"/>
              <w:spacing w:after="0" w:line="288" w:lineRule="auto"/>
              <w:rPr>
                <w:rFonts w:ascii="Arial" w:hAnsi="Arial" w:cs="Arial"/>
                <w:szCs w:val="21"/>
              </w:rPr>
            </w:pPr>
            <w:r>
              <w:rPr>
                <w:rFonts w:ascii="Arial" w:hAnsi="Arial" w:cs="Arial"/>
                <w:szCs w:val="21"/>
              </w:rPr>
              <w:t>20.2</w:t>
            </w:r>
            <w:r>
              <w:rPr>
                <w:rFonts w:ascii="Arial" w:hAnsi="Arial" w:cs="Arial"/>
              </w:rPr>
              <w:t>投标文件解密时间：截标时间后</w:t>
            </w:r>
            <w:r>
              <w:rPr>
                <w:rFonts w:ascii="Arial" w:hAnsi="Arial" w:cs="Arial"/>
                <w:u w:val="single"/>
              </w:rPr>
              <w:t>30</w:t>
            </w:r>
            <w:r>
              <w:rPr>
                <w:rFonts w:ascii="Arial" w:hAnsi="Arial" w:cs="Arial"/>
              </w:rPr>
              <w:t>分钟内（</w:t>
            </w:r>
            <w:r>
              <w:rPr>
                <w:rFonts w:hint="eastAsia" w:ascii="Arial" w:hAnsi="Arial" w:cs="Arial"/>
                <w:u w:val="single"/>
              </w:rPr>
              <w:t>2025年</w:t>
            </w:r>
            <w:r>
              <w:rPr>
                <w:rFonts w:hint="eastAsia" w:ascii="Arial" w:hAnsi="Arial" w:cs="Arial"/>
                <w:u w:val="single"/>
                <w:lang w:eastAsia="zh-CN"/>
              </w:rPr>
              <w:t>7月1日</w:t>
            </w:r>
            <w:r>
              <w:rPr>
                <w:rFonts w:ascii="Arial" w:hAnsi="Arial" w:cs="Arial"/>
                <w:u w:val="single"/>
              </w:rPr>
              <w:t>上午9时30分至10时00分</w:t>
            </w:r>
            <w:r>
              <w:rPr>
                <w:rFonts w:ascii="Arial" w:hAnsi="Arial" w:cs="Arial"/>
              </w:rPr>
              <w:t>)投标人可以登录</w:t>
            </w:r>
            <w:r>
              <w:rPr>
                <w:rFonts w:ascii="Arial" w:hAnsi="Arial" w:cs="Arial"/>
                <w:szCs w:val="21"/>
              </w:rPr>
              <w:t>广西政府采购云平台</w:t>
            </w:r>
            <w:r>
              <w:rPr>
                <w:rFonts w:ascii="Arial" w:hAnsi="Arial" w:cs="Arial"/>
              </w:rPr>
              <w:t>，用“项目采购-开标评标”功能进行解密投标文件。若投标人在规定时间内无法解密或解密失败，可以以电子备份投标文件作为依据</w:t>
            </w:r>
            <w:r>
              <w:rPr>
                <w:rFonts w:ascii="Arial" w:hAnsi="Arial" w:cs="Arial"/>
                <w:b/>
                <w:bCs/>
              </w:rPr>
              <w:t>【在接到无法解密或解密失败的通知后，投标人可根据自身实际情况按通知时要求的时间到桂林市公共资源交易中心</w:t>
            </w:r>
            <w:r>
              <w:rPr>
                <w:rFonts w:hint="eastAsia" w:ascii="Arial" w:hAnsi="Arial" w:cs="Arial"/>
                <w:b/>
                <w:bCs/>
                <w:lang w:val="en-US" w:eastAsia="zh-CN"/>
              </w:rPr>
              <w:t>4</w:t>
            </w:r>
            <w:r>
              <w:rPr>
                <w:rFonts w:hint="eastAsia" w:ascii="Arial" w:hAnsi="Arial" w:cs="Arial"/>
                <w:b/>
                <w:bCs/>
              </w:rPr>
              <w:t>号开标仓</w:t>
            </w:r>
            <w:r>
              <w:rPr>
                <w:rFonts w:ascii="Arial" w:hAnsi="Arial" w:cs="Arial"/>
                <w:b/>
                <w:bCs/>
              </w:rPr>
              <w:t>现场提交或以电子邮件的形式（以系统通知时所告知的电子邮箱地址为准）提交电子备份投标文件】</w:t>
            </w:r>
            <w:r>
              <w:rPr>
                <w:rFonts w:ascii="Arial" w:hAnsi="Arial" w:cs="Arial"/>
              </w:rPr>
              <w:t>，若投标人在规定时间内无法解密或解密失败且未提供电子备份投标文件的(包含提供的电子备份文件无效或无法解密的情况)，视为投标无效。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25"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12</w:t>
            </w:r>
          </w:p>
        </w:tc>
        <w:tc>
          <w:tcPr>
            <w:tcW w:w="852"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21.1</w:t>
            </w:r>
          </w:p>
        </w:tc>
        <w:tc>
          <w:tcPr>
            <w:tcW w:w="2213"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开标时间及地点</w:t>
            </w:r>
          </w:p>
        </w:tc>
        <w:tc>
          <w:tcPr>
            <w:tcW w:w="6387" w:type="dxa"/>
          </w:tcPr>
          <w:p>
            <w:pPr>
              <w:pageBreakBefore w:val="0"/>
              <w:kinsoku/>
              <w:wordWrap/>
              <w:overflowPunct/>
              <w:topLinePunct w:val="0"/>
              <w:bidi w:val="0"/>
              <w:spacing w:after="0" w:line="288" w:lineRule="auto"/>
              <w:rPr>
                <w:rFonts w:ascii="Arial" w:hAnsi="Arial" w:cs="Arial"/>
                <w:szCs w:val="21"/>
              </w:rPr>
            </w:pPr>
            <w:r>
              <w:rPr>
                <w:rFonts w:ascii="Arial" w:hAnsi="Arial" w:cs="Arial"/>
                <w:szCs w:val="21"/>
              </w:rPr>
              <w:t>开标时间：</w:t>
            </w:r>
            <w:r>
              <w:rPr>
                <w:rFonts w:hint="eastAsia" w:ascii="Arial" w:hAnsi="Arial" w:cs="Arial"/>
              </w:rPr>
              <w:t>2025年</w:t>
            </w:r>
            <w:r>
              <w:rPr>
                <w:rFonts w:hint="eastAsia" w:ascii="Arial" w:hAnsi="Arial" w:cs="Arial"/>
                <w:lang w:eastAsia="zh-CN"/>
              </w:rPr>
              <w:t>7月1日</w:t>
            </w:r>
            <w:r>
              <w:rPr>
                <w:rFonts w:ascii="Arial" w:hAnsi="Arial" w:cs="Arial"/>
                <w:szCs w:val="21"/>
              </w:rPr>
              <w:t>9时30分（北京时间）截标后。地点：通过广西政府采购云平台实行在线解密开启。提交电子备份投标文件方式：</w:t>
            </w:r>
            <w:r>
              <w:rPr>
                <w:rFonts w:ascii="Arial" w:hAnsi="Arial" w:cs="Arial"/>
                <w:b/>
                <w:bCs/>
              </w:rPr>
              <w:t>在接到无法解密或解密失败的通知后，投标人可根据自身实际情况按通知时要求的时间到桂林市公共资源交易中心</w:t>
            </w:r>
            <w:r>
              <w:rPr>
                <w:rFonts w:hint="eastAsia" w:ascii="Arial" w:hAnsi="Arial" w:cs="Arial"/>
                <w:b/>
                <w:bCs/>
                <w:lang w:val="en-US" w:eastAsia="zh-CN"/>
              </w:rPr>
              <w:t>4</w:t>
            </w:r>
            <w:r>
              <w:rPr>
                <w:rFonts w:hint="eastAsia" w:ascii="Arial" w:hAnsi="Arial" w:cs="Arial"/>
                <w:b/>
                <w:bCs/>
              </w:rPr>
              <w:t>号开标仓</w:t>
            </w:r>
            <w:r>
              <w:rPr>
                <w:rFonts w:ascii="Arial" w:hAnsi="Arial" w:cs="Arial"/>
                <w:b/>
                <w:bCs/>
              </w:rPr>
              <w:t>现场提交或以电子邮件的形式（以通知时所告知的电子邮箱地址为准）提交电子备份投标文件</w:t>
            </w:r>
            <w:r>
              <w:rPr>
                <w:rFonts w:ascii="Arial" w:hAnsi="Arial" w:cs="Arial"/>
                <w:szCs w:val="21"/>
              </w:rPr>
              <w:t>。</w:t>
            </w:r>
            <w:r>
              <w:rPr>
                <w:rFonts w:ascii="Arial" w:hAnsi="Arial" w:cs="Arial"/>
              </w:rPr>
              <w:t>投标人可以由法定代表人、负责人、自然人或其委托代理人出席开标会议。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25"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13</w:t>
            </w:r>
          </w:p>
        </w:tc>
        <w:tc>
          <w:tcPr>
            <w:tcW w:w="852"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24</w:t>
            </w:r>
          </w:p>
        </w:tc>
        <w:tc>
          <w:tcPr>
            <w:tcW w:w="2213"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评标委员会组成</w:t>
            </w:r>
          </w:p>
        </w:tc>
        <w:tc>
          <w:tcPr>
            <w:tcW w:w="6387" w:type="dxa"/>
            <w:vAlign w:val="center"/>
          </w:tcPr>
          <w:p>
            <w:pPr>
              <w:pageBreakBefore w:val="0"/>
              <w:kinsoku/>
              <w:wordWrap/>
              <w:overflowPunct/>
              <w:topLinePunct w:val="0"/>
              <w:bidi w:val="0"/>
              <w:spacing w:after="0" w:line="288" w:lineRule="auto"/>
              <w:rPr>
                <w:rFonts w:ascii="Arial" w:hAnsi="Arial" w:cs="Arial"/>
                <w:szCs w:val="21"/>
              </w:rPr>
            </w:pPr>
            <w:r>
              <w:rPr>
                <w:rFonts w:ascii="Arial" w:hAnsi="Arial" w:cs="Arial"/>
                <w:szCs w:val="21"/>
              </w:rPr>
              <w:t>评标委员会由采购人代表和有关技术、经济等方面的专家组成，成员人数共</w:t>
            </w:r>
            <w:r>
              <w:rPr>
                <w:rFonts w:hint="eastAsia" w:ascii="Arial" w:hAnsi="Arial" w:cs="Arial"/>
                <w:szCs w:val="21"/>
              </w:rPr>
              <w:t>5</w:t>
            </w:r>
            <w:r>
              <w:rPr>
                <w:rFonts w:ascii="Arial" w:hAnsi="Arial" w:cs="Arial"/>
                <w:szCs w:val="21"/>
              </w:rPr>
              <w:t xml:space="preserve">人，其中采购人代表1人，技术、经济等专家 </w:t>
            </w:r>
            <w:r>
              <w:rPr>
                <w:rFonts w:hint="eastAsia" w:ascii="Arial" w:hAnsi="Arial" w:cs="Arial"/>
                <w:szCs w:val="21"/>
              </w:rPr>
              <w:t>4</w:t>
            </w:r>
            <w:r>
              <w:rPr>
                <w:rFonts w:ascii="Arial" w:hAnsi="Arial" w:cs="Arial"/>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25"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14</w:t>
            </w:r>
          </w:p>
        </w:tc>
        <w:tc>
          <w:tcPr>
            <w:tcW w:w="852"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25.1</w:t>
            </w:r>
          </w:p>
        </w:tc>
        <w:tc>
          <w:tcPr>
            <w:tcW w:w="2213" w:type="dxa"/>
            <w:vAlign w:val="center"/>
          </w:tcPr>
          <w:p>
            <w:pPr>
              <w:pageBreakBefore w:val="0"/>
              <w:tabs>
                <w:tab w:val="left" w:pos="1140"/>
              </w:tabs>
              <w:kinsoku/>
              <w:wordWrap/>
              <w:overflowPunct/>
              <w:topLinePunct w:val="0"/>
              <w:bidi w:val="0"/>
              <w:spacing w:after="0" w:line="288" w:lineRule="auto"/>
              <w:jc w:val="center"/>
              <w:rPr>
                <w:rFonts w:ascii="Arial" w:hAnsi="Arial" w:cs="Arial"/>
                <w:szCs w:val="21"/>
              </w:rPr>
            </w:pPr>
            <w:r>
              <w:rPr>
                <w:rFonts w:ascii="Arial" w:hAnsi="Arial" w:cs="Arial"/>
                <w:szCs w:val="21"/>
              </w:rPr>
              <w:t>评标办法</w:t>
            </w:r>
          </w:p>
        </w:tc>
        <w:tc>
          <w:tcPr>
            <w:tcW w:w="6387" w:type="dxa"/>
            <w:vAlign w:val="center"/>
          </w:tcPr>
          <w:p>
            <w:pPr>
              <w:pStyle w:val="248"/>
              <w:pageBreakBefore w:val="0"/>
              <w:kinsoku/>
              <w:wordWrap/>
              <w:overflowPunct/>
              <w:topLinePunct w:val="0"/>
              <w:bidi w:val="0"/>
              <w:spacing w:after="0" w:line="288" w:lineRule="auto"/>
              <w:rPr>
                <w:rFonts w:ascii="Arial" w:hAnsi="Arial" w:cs="Arial"/>
                <w:szCs w:val="21"/>
              </w:rPr>
            </w:pPr>
            <w:r>
              <w:rPr>
                <w:rFonts w:ascii="Arial" w:hAnsi="Arial" w:cs="Arial"/>
                <w:szCs w:val="21"/>
              </w:rPr>
              <w:t>综合评分法，具体评标内容及标准详见第四章。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25"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15</w:t>
            </w:r>
          </w:p>
        </w:tc>
        <w:tc>
          <w:tcPr>
            <w:tcW w:w="852"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32</w:t>
            </w:r>
          </w:p>
        </w:tc>
        <w:tc>
          <w:tcPr>
            <w:tcW w:w="2213"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信用查询</w:t>
            </w:r>
          </w:p>
        </w:tc>
        <w:tc>
          <w:tcPr>
            <w:tcW w:w="6387" w:type="dxa"/>
            <w:vAlign w:val="center"/>
          </w:tcPr>
          <w:p>
            <w:pPr>
              <w:pageBreakBefore w:val="0"/>
              <w:kinsoku/>
              <w:wordWrap/>
              <w:overflowPunct/>
              <w:topLinePunct w:val="0"/>
              <w:autoSpaceDE w:val="0"/>
              <w:autoSpaceDN w:val="0"/>
              <w:bidi w:val="0"/>
              <w:snapToGrid w:val="0"/>
              <w:spacing w:after="0" w:line="288" w:lineRule="auto"/>
              <w:textAlignment w:val="bottom"/>
              <w:rPr>
                <w:rFonts w:ascii="Arial" w:hAnsi="Arial" w:cs="Arial"/>
                <w:szCs w:val="21"/>
              </w:rPr>
            </w:pPr>
            <w:r>
              <w:rPr>
                <w:rFonts w:ascii="Arial" w:hAnsi="Arial" w:cs="Arial"/>
                <w:szCs w:val="21"/>
              </w:rPr>
              <w:t>根据《关于做好政府采购有关信用主体标识码登记及在政府采购活动中查询使用信用记录有关问题的通知》（桂财采〔2016〕37号的通知），由采购代理机构对第一中标候选供应商进行信用查询：</w:t>
            </w:r>
          </w:p>
          <w:p>
            <w:pPr>
              <w:pageBreakBefore w:val="0"/>
              <w:kinsoku/>
              <w:wordWrap/>
              <w:overflowPunct/>
              <w:topLinePunct w:val="0"/>
              <w:autoSpaceDE w:val="0"/>
              <w:autoSpaceDN w:val="0"/>
              <w:bidi w:val="0"/>
              <w:snapToGrid w:val="0"/>
              <w:spacing w:after="0" w:line="288" w:lineRule="auto"/>
              <w:textAlignment w:val="bottom"/>
              <w:rPr>
                <w:rFonts w:ascii="Arial" w:hAnsi="Arial" w:cs="Arial"/>
                <w:szCs w:val="21"/>
              </w:rPr>
            </w:pPr>
            <w:r>
              <w:rPr>
                <w:rFonts w:ascii="Arial" w:hAnsi="Arial" w:cs="Arial"/>
                <w:szCs w:val="21"/>
              </w:rPr>
              <w:t>⑴查询渠道：“信用中国”网站(www.creditchina.gov.cn)、中国政府采购网(www.ccgp.gov.cn)等；</w:t>
            </w:r>
          </w:p>
          <w:p>
            <w:pPr>
              <w:pageBreakBefore w:val="0"/>
              <w:kinsoku/>
              <w:wordWrap/>
              <w:overflowPunct/>
              <w:topLinePunct w:val="0"/>
              <w:autoSpaceDE w:val="0"/>
              <w:autoSpaceDN w:val="0"/>
              <w:bidi w:val="0"/>
              <w:snapToGrid w:val="0"/>
              <w:spacing w:after="0" w:line="288" w:lineRule="auto"/>
              <w:textAlignment w:val="bottom"/>
              <w:rPr>
                <w:rFonts w:ascii="Arial" w:hAnsi="Arial" w:cs="Arial"/>
                <w:szCs w:val="21"/>
              </w:rPr>
            </w:pPr>
            <w:r>
              <w:rPr>
                <w:rFonts w:ascii="Arial" w:hAnsi="Arial" w:cs="Arial"/>
                <w:szCs w:val="21"/>
              </w:rPr>
              <w:t>⑵查询时间：中标通知书发出前；</w:t>
            </w:r>
          </w:p>
          <w:p>
            <w:pPr>
              <w:pageBreakBefore w:val="0"/>
              <w:kinsoku/>
              <w:wordWrap/>
              <w:overflowPunct/>
              <w:topLinePunct w:val="0"/>
              <w:autoSpaceDE w:val="0"/>
              <w:autoSpaceDN w:val="0"/>
              <w:bidi w:val="0"/>
              <w:snapToGrid w:val="0"/>
              <w:spacing w:after="0" w:line="288" w:lineRule="auto"/>
              <w:textAlignment w:val="bottom"/>
              <w:rPr>
                <w:rFonts w:ascii="Arial" w:hAnsi="Arial" w:cs="Arial"/>
                <w:szCs w:val="21"/>
              </w:rPr>
            </w:pPr>
            <w:r>
              <w:rPr>
                <w:rFonts w:ascii="Arial" w:hAnsi="Arial" w:cs="Arial"/>
                <w:szCs w:val="21"/>
              </w:rPr>
              <w:t>⑶信用信息查询记录和证据留存方式：在查询网站中直接打印查询记录，打印材料作为采购活动资料保存；</w:t>
            </w:r>
          </w:p>
          <w:p>
            <w:pPr>
              <w:pageBreakBefore w:val="0"/>
              <w:kinsoku/>
              <w:wordWrap/>
              <w:overflowPunct/>
              <w:topLinePunct w:val="0"/>
              <w:bidi w:val="0"/>
              <w:spacing w:after="0" w:line="288" w:lineRule="auto"/>
              <w:rPr>
                <w:rFonts w:ascii="Arial" w:hAnsi="Arial" w:cs="Arial"/>
                <w:szCs w:val="21"/>
              </w:rPr>
            </w:pPr>
            <w:r>
              <w:rPr>
                <w:rFonts w:ascii="Arial" w:hAnsi="Arial" w:cs="Arial"/>
                <w:szCs w:val="21"/>
              </w:rPr>
              <w:t>⑷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取消其中标候选供应商资格。</w:t>
            </w:r>
          </w:p>
          <w:p>
            <w:pPr>
              <w:pageBreakBefore w:val="0"/>
              <w:kinsoku/>
              <w:wordWrap/>
              <w:overflowPunct/>
              <w:topLinePunct w:val="0"/>
              <w:bidi w:val="0"/>
              <w:spacing w:after="0" w:line="288" w:lineRule="auto"/>
              <w:rPr>
                <w:rFonts w:ascii="Arial" w:hAnsi="Arial" w:cs="Arial"/>
                <w:szCs w:val="21"/>
              </w:rPr>
            </w:pPr>
            <w:r>
              <w:rPr>
                <w:rFonts w:ascii="Arial" w:hAnsi="Arial" w:cs="Arial"/>
                <w:szCs w:val="21"/>
              </w:rPr>
              <w:t>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25"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16</w:t>
            </w:r>
          </w:p>
        </w:tc>
        <w:tc>
          <w:tcPr>
            <w:tcW w:w="852"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33</w:t>
            </w:r>
          </w:p>
        </w:tc>
        <w:tc>
          <w:tcPr>
            <w:tcW w:w="2213"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中标公告及中标通知书</w:t>
            </w:r>
          </w:p>
        </w:tc>
        <w:tc>
          <w:tcPr>
            <w:tcW w:w="6387" w:type="dxa"/>
            <w:vAlign w:val="center"/>
          </w:tcPr>
          <w:p>
            <w:pPr>
              <w:pageBreakBefore w:val="0"/>
              <w:tabs>
                <w:tab w:val="left" w:pos="455"/>
              </w:tabs>
              <w:kinsoku/>
              <w:wordWrap/>
              <w:overflowPunct/>
              <w:topLinePunct w:val="0"/>
              <w:bidi w:val="0"/>
              <w:spacing w:after="0" w:line="288" w:lineRule="auto"/>
              <w:rPr>
                <w:rFonts w:ascii="Arial" w:hAnsi="Arial" w:cs="Arial"/>
                <w:szCs w:val="21"/>
              </w:rPr>
            </w:pPr>
            <w:r>
              <w:rPr>
                <w:rFonts w:ascii="Arial" w:hAnsi="Arial" w:cs="Arial"/>
                <w:szCs w:val="21"/>
              </w:rPr>
              <w:t>33.1采购代理机构于评标结束后两个工作日内将评标报告送交采购人，采购人应当自收到评标报告五个工作日内在评标报告推荐的中标候选供应商中按顺序确定中标供应商；采购代理机构在中标供应商确定之日起两个工作日内在指定媒体上公告中标结果，中标公告期限为一个工作日。</w:t>
            </w:r>
          </w:p>
          <w:p>
            <w:pPr>
              <w:pageBreakBefore w:val="0"/>
              <w:widowControl/>
              <w:kinsoku/>
              <w:wordWrap/>
              <w:overflowPunct/>
              <w:topLinePunct w:val="0"/>
              <w:bidi w:val="0"/>
              <w:spacing w:after="0" w:line="288" w:lineRule="auto"/>
              <w:jc w:val="left"/>
              <w:rPr>
                <w:rFonts w:ascii="Arial" w:hAnsi="Arial" w:cs="Arial"/>
                <w:szCs w:val="21"/>
              </w:rPr>
            </w:pPr>
            <w:r>
              <w:rPr>
                <w:rFonts w:ascii="Arial" w:hAnsi="Arial" w:cs="Arial"/>
                <w:szCs w:val="21"/>
              </w:rPr>
              <w:t>33.2中标公告发布的同时，采购代理机构向中标供应商发出中标通知书，中标供应商应自接到通知之日起七个工作日内，办理中标通知书领取手续。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25"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17</w:t>
            </w:r>
          </w:p>
        </w:tc>
        <w:tc>
          <w:tcPr>
            <w:tcW w:w="852"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34</w:t>
            </w:r>
          </w:p>
        </w:tc>
        <w:tc>
          <w:tcPr>
            <w:tcW w:w="2213"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履约保证金</w:t>
            </w:r>
          </w:p>
        </w:tc>
        <w:tc>
          <w:tcPr>
            <w:tcW w:w="6387" w:type="dxa"/>
            <w:vAlign w:val="center"/>
          </w:tcPr>
          <w:p>
            <w:pPr>
              <w:pageBreakBefore w:val="0"/>
              <w:kinsoku/>
              <w:wordWrap/>
              <w:overflowPunct/>
              <w:topLinePunct w:val="0"/>
              <w:bidi w:val="0"/>
              <w:spacing w:after="0" w:line="288" w:lineRule="auto"/>
              <w:rPr>
                <w:rFonts w:ascii="Arial" w:hAnsi="Arial" w:cs="Arial"/>
                <w:b/>
                <w:bCs/>
                <w:szCs w:val="21"/>
              </w:rPr>
            </w:pPr>
            <w:r>
              <w:rPr>
                <w:rFonts w:hint="eastAsia" w:ascii="Arial" w:hAnsi="Arial" w:cs="Arial"/>
                <w:b/>
                <w:bCs/>
                <w:szCs w:val="21"/>
              </w:rPr>
              <w:t>本项目无须缴纳履约保证金。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25"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18</w:t>
            </w:r>
          </w:p>
        </w:tc>
        <w:tc>
          <w:tcPr>
            <w:tcW w:w="852"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35.1</w:t>
            </w:r>
          </w:p>
        </w:tc>
        <w:tc>
          <w:tcPr>
            <w:tcW w:w="2213" w:type="dxa"/>
            <w:vAlign w:val="center"/>
          </w:tcPr>
          <w:p>
            <w:pPr>
              <w:pageBreakBefore w:val="0"/>
              <w:kinsoku/>
              <w:wordWrap/>
              <w:overflowPunct/>
              <w:topLinePunct w:val="0"/>
              <w:bidi w:val="0"/>
              <w:spacing w:after="0" w:line="288" w:lineRule="auto"/>
              <w:jc w:val="center"/>
              <w:rPr>
                <w:rFonts w:ascii="Arial" w:hAnsi="Arial" w:cs="Arial"/>
                <w:szCs w:val="21"/>
                <w:highlight w:val="none"/>
              </w:rPr>
            </w:pPr>
            <w:r>
              <w:rPr>
                <w:rFonts w:ascii="Arial" w:hAnsi="Arial" w:cs="Arial"/>
                <w:szCs w:val="21"/>
                <w:highlight w:val="none"/>
              </w:rPr>
              <w:t>签订合同时间</w:t>
            </w:r>
          </w:p>
        </w:tc>
        <w:tc>
          <w:tcPr>
            <w:tcW w:w="6387" w:type="dxa"/>
            <w:vAlign w:val="center"/>
          </w:tcPr>
          <w:p>
            <w:pPr>
              <w:pageBreakBefore w:val="0"/>
              <w:kinsoku/>
              <w:wordWrap/>
              <w:overflowPunct/>
              <w:topLinePunct w:val="0"/>
              <w:bidi w:val="0"/>
              <w:spacing w:after="0" w:line="288" w:lineRule="auto"/>
              <w:rPr>
                <w:rFonts w:ascii="Arial" w:hAnsi="Arial" w:cs="Arial"/>
                <w:szCs w:val="21"/>
                <w:highlight w:val="none"/>
              </w:rPr>
            </w:pPr>
            <w:r>
              <w:rPr>
                <w:rFonts w:ascii="Arial" w:hAnsi="Arial" w:cs="Arial"/>
                <w:szCs w:val="21"/>
                <w:highlight w:val="none"/>
              </w:rPr>
              <w:t>中标通知书发出之日起</w:t>
            </w:r>
            <w:r>
              <w:rPr>
                <w:rFonts w:hint="eastAsia" w:ascii="Arial" w:hAnsi="Arial" w:cs="Arial"/>
                <w:szCs w:val="21"/>
                <w:highlight w:val="none"/>
              </w:rPr>
              <w:t>八个工作日内</w:t>
            </w:r>
            <w:r>
              <w:rPr>
                <w:rFonts w:ascii="Arial" w:hAnsi="Arial" w:cs="Arial"/>
                <w:szCs w:val="21"/>
                <w:highlight w:val="none"/>
              </w:rPr>
              <w:t>。中标供应商领取中标通知书后，应按规定与采购人签订合同。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25"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19</w:t>
            </w:r>
          </w:p>
        </w:tc>
        <w:tc>
          <w:tcPr>
            <w:tcW w:w="852"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35.3</w:t>
            </w:r>
          </w:p>
        </w:tc>
        <w:tc>
          <w:tcPr>
            <w:tcW w:w="2213"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合同备案存档</w:t>
            </w:r>
          </w:p>
        </w:tc>
        <w:tc>
          <w:tcPr>
            <w:tcW w:w="6387" w:type="dxa"/>
            <w:vAlign w:val="center"/>
          </w:tcPr>
          <w:p>
            <w:pPr>
              <w:pageBreakBefore w:val="0"/>
              <w:kinsoku/>
              <w:wordWrap/>
              <w:overflowPunct/>
              <w:topLinePunct w:val="0"/>
              <w:bidi w:val="0"/>
              <w:spacing w:after="0" w:line="288" w:lineRule="auto"/>
              <w:rPr>
                <w:rFonts w:ascii="Arial" w:hAnsi="Arial" w:cs="Arial"/>
              </w:rPr>
            </w:pPr>
            <w:r>
              <w:rPr>
                <w:rFonts w:ascii="Arial" w:hAnsi="Arial" w:cs="Arial"/>
                <w:szCs w:val="21"/>
              </w:rPr>
              <w:t>政府采购合同双方自签订之日起1个工作日内将合同原件</w:t>
            </w:r>
            <w:r>
              <w:rPr>
                <w:rFonts w:hint="eastAsia" w:ascii="Arial" w:hAnsi="Arial" w:cs="Arial"/>
                <w:szCs w:val="21"/>
              </w:rPr>
              <w:t>1份</w:t>
            </w:r>
            <w:r>
              <w:rPr>
                <w:rFonts w:ascii="Arial" w:hAnsi="Arial" w:cs="Arial"/>
                <w:szCs w:val="21"/>
              </w:rPr>
              <w:t>交采购代理机构。采购代理机构将政府采购合同在省级以上人民政府财政部门指定媒体上公告。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25" w:type="dxa"/>
            <w:vAlign w:val="center"/>
          </w:tcPr>
          <w:p>
            <w:pPr>
              <w:pageBreakBefore w:val="0"/>
              <w:kinsoku/>
              <w:wordWrap/>
              <w:overflowPunct/>
              <w:topLinePunct w:val="0"/>
              <w:bidi w:val="0"/>
              <w:spacing w:after="0" w:line="288" w:lineRule="auto"/>
              <w:jc w:val="center"/>
              <w:rPr>
                <w:rFonts w:ascii="Arial" w:hAnsi="Arial" w:cs="Arial"/>
                <w:szCs w:val="21"/>
              </w:rPr>
            </w:pPr>
            <w:bookmarkStart w:id="12" w:name="_Hlk87451375"/>
            <w:r>
              <w:rPr>
                <w:rFonts w:ascii="Arial" w:hAnsi="Arial" w:cs="Arial"/>
                <w:szCs w:val="21"/>
              </w:rPr>
              <w:t>20</w:t>
            </w:r>
          </w:p>
        </w:tc>
        <w:tc>
          <w:tcPr>
            <w:tcW w:w="852"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36.1</w:t>
            </w:r>
          </w:p>
        </w:tc>
        <w:tc>
          <w:tcPr>
            <w:tcW w:w="2213" w:type="dxa"/>
            <w:vAlign w:val="center"/>
          </w:tcPr>
          <w:p>
            <w:pPr>
              <w:pageBreakBefore w:val="0"/>
              <w:kinsoku/>
              <w:wordWrap/>
              <w:overflowPunct/>
              <w:topLinePunct w:val="0"/>
              <w:bidi w:val="0"/>
              <w:spacing w:after="0" w:line="288" w:lineRule="auto"/>
              <w:jc w:val="center"/>
              <w:rPr>
                <w:rFonts w:ascii="Arial" w:hAnsi="Arial" w:cs="Arial"/>
                <w:szCs w:val="21"/>
                <w:highlight w:val="none"/>
              </w:rPr>
            </w:pPr>
            <w:r>
              <w:rPr>
                <w:rFonts w:ascii="Arial" w:hAnsi="Arial" w:cs="Arial"/>
                <w:szCs w:val="21"/>
                <w:highlight w:val="none"/>
              </w:rPr>
              <w:t>招标代理服务费</w:t>
            </w:r>
          </w:p>
        </w:tc>
        <w:tc>
          <w:tcPr>
            <w:tcW w:w="6387" w:type="dxa"/>
            <w:vAlign w:val="center"/>
          </w:tcPr>
          <w:p>
            <w:pPr>
              <w:pageBreakBefore w:val="0"/>
              <w:kinsoku/>
              <w:wordWrap/>
              <w:overflowPunct/>
              <w:topLinePunct w:val="0"/>
              <w:bidi w:val="0"/>
              <w:spacing w:after="0" w:line="288" w:lineRule="auto"/>
              <w:rPr>
                <w:rFonts w:ascii="Arial" w:hAnsi="Arial" w:cs="Arial"/>
                <w:szCs w:val="21"/>
                <w:highlight w:val="none"/>
              </w:rPr>
            </w:pPr>
            <w:r>
              <w:rPr>
                <w:rFonts w:ascii="Arial" w:hAnsi="Arial" w:cs="Arial"/>
                <w:szCs w:val="21"/>
                <w:highlight w:val="none"/>
              </w:rPr>
              <w:t>本项目的采购代理服务收费标准按计价格[2002]1980号《招标代理服务收费管理暂行办法》货物类收费标准向中标供应商收取，由中标人在领取中标通知书前，向采购代理机构一次性支付。</w:t>
            </w:r>
          </w:p>
        </w:tc>
      </w:tr>
      <w:bookmark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825"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21</w:t>
            </w:r>
          </w:p>
        </w:tc>
        <w:tc>
          <w:tcPr>
            <w:tcW w:w="852"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38</w:t>
            </w:r>
          </w:p>
        </w:tc>
        <w:tc>
          <w:tcPr>
            <w:tcW w:w="2213"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解释权</w:t>
            </w:r>
          </w:p>
        </w:tc>
        <w:tc>
          <w:tcPr>
            <w:tcW w:w="6387" w:type="dxa"/>
            <w:vAlign w:val="center"/>
          </w:tcPr>
          <w:p>
            <w:pPr>
              <w:pageBreakBefore w:val="0"/>
              <w:kinsoku/>
              <w:wordWrap/>
              <w:overflowPunct/>
              <w:topLinePunct w:val="0"/>
              <w:bidi w:val="0"/>
              <w:spacing w:after="0" w:line="288" w:lineRule="auto"/>
              <w:rPr>
                <w:rFonts w:ascii="Arial" w:hAnsi="Arial" w:cs="Arial"/>
                <w:szCs w:val="21"/>
              </w:rPr>
            </w:pPr>
            <w:r>
              <w:rPr>
                <w:rFonts w:ascii="Arial" w:hAnsi="Arial" w:cs="Arial"/>
              </w:rPr>
              <w:t>本招标文件是根据《中华人民共和国政府采购法》、《中华人民共和国政府采购法实施条例》及</w:t>
            </w:r>
            <w:r>
              <w:rPr>
                <w:rFonts w:ascii="Arial" w:hAnsi="Arial" w:cs="Arial"/>
                <w:bCs/>
              </w:rPr>
              <w:t>财政部令第87号</w:t>
            </w:r>
            <w:r>
              <w:rPr>
                <w:rFonts w:ascii="Arial" w:hAnsi="Arial" w:cs="Arial"/>
              </w:rPr>
              <w:t>《政府采购货物和服务招标投标管理办法》和政府采购管理有关规定编制，</w:t>
            </w:r>
            <w:r>
              <w:rPr>
                <w:rFonts w:ascii="Arial" w:hAnsi="Arial" w:cs="Arial"/>
                <w:szCs w:val="21"/>
              </w:rPr>
              <w:t>本招标文件的解释权属于采购代理机构。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25"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22</w:t>
            </w:r>
          </w:p>
        </w:tc>
        <w:tc>
          <w:tcPr>
            <w:tcW w:w="852" w:type="dxa"/>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39</w:t>
            </w:r>
          </w:p>
        </w:tc>
        <w:tc>
          <w:tcPr>
            <w:tcW w:w="2213" w:type="dxa"/>
            <w:vAlign w:val="center"/>
          </w:tcPr>
          <w:p>
            <w:pPr>
              <w:pageBreakBefore w:val="0"/>
              <w:kinsoku/>
              <w:wordWrap/>
              <w:overflowPunct/>
              <w:topLinePunct w:val="0"/>
              <w:bidi w:val="0"/>
              <w:spacing w:after="0" w:line="288" w:lineRule="auto"/>
              <w:jc w:val="center"/>
              <w:rPr>
                <w:rFonts w:ascii="Arial" w:hAnsi="Arial" w:cs="Arial"/>
                <w:position w:val="10"/>
                <w:szCs w:val="21"/>
                <w:highlight w:val="none"/>
              </w:rPr>
            </w:pPr>
            <w:r>
              <w:rPr>
                <w:rFonts w:ascii="Arial" w:hAnsi="Arial" w:cs="Arial"/>
                <w:szCs w:val="21"/>
                <w:highlight w:val="none"/>
              </w:rPr>
              <w:t>监督管理机构</w:t>
            </w:r>
          </w:p>
        </w:tc>
        <w:tc>
          <w:tcPr>
            <w:tcW w:w="6387" w:type="dxa"/>
            <w:vAlign w:val="center"/>
          </w:tcPr>
          <w:p>
            <w:pPr>
              <w:pageBreakBefore w:val="0"/>
              <w:kinsoku/>
              <w:wordWrap/>
              <w:overflowPunct/>
              <w:topLinePunct w:val="0"/>
              <w:bidi w:val="0"/>
              <w:spacing w:after="0" w:line="288" w:lineRule="auto"/>
              <w:rPr>
                <w:rFonts w:ascii="Arial" w:hAnsi="Arial" w:cs="Arial"/>
                <w:szCs w:val="21"/>
                <w:highlight w:val="none"/>
              </w:rPr>
            </w:pPr>
            <w:r>
              <w:rPr>
                <w:rFonts w:hint="eastAsia" w:ascii="Arial" w:hAnsi="Arial" w:cs="Arial"/>
                <w:szCs w:val="21"/>
                <w:highlight w:val="none"/>
              </w:rPr>
              <w:t>兴安县财政局； 联系电话：0773-6220651</w:t>
            </w:r>
          </w:p>
        </w:tc>
      </w:tr>
    </w:tbl>
    <w:p>
      <w:pPr>
        <w:pageBreakBefore w:val="0"/>
        <w:kinsoku/>
        <w:wordWrap/>
        <w:overflowPunct/>
        <w:topLinePunct w:val="0"/>
        <w:bidi w:val="0"/>
        <w:spacing w:after="0" w:line="288" w:lineRule="auto"/>
        <w:ind w:firstLine="548" w:firstLineChars="196"/>
        <w:jc w:val="center"/>
        <w:rPr>
          <w:rFonts w:ascii="Arial" w:hAnsi="Arial" w:cs="Arial"/>
          <w:b/>
          <w:sz w:val="28"/>
          <w:szCs w:val="28"/>
        </w:rPr>
      </w:pPr>
      <w:r>
        <w:rPr>
          <w:rFonts w:ascii="Arial" w:hAnsi="Arial" w:cs="Arial"/>
          <w:b/>
          <w:sz w:val="28"/>
          <w:szCs w:val="28"/>
        </w:rPr>
        <w:br w:type="page"/>
      </w:r>
      <w:r>
        <w:rPr>
          <w:rFonts w:ascii="Arial" w:hAnsi="Arial" w:cs="Arial"/>
          <w:b/>
          <w:sz w:val="28"/>
          <w:szCs w:val="28"/>
        </w:rPr>
        <w:t>一、总则</w:t>
      </w:r>
    </w:p>
    <w:p>
      <w:pPr>
        <w:pageBreakBefore w:val="0"/>
        <w:kinsoku/>
        <w:wordWrap/>
        <w:overflowPunct/>
        <w:topLinePunct w:val="0"/>
        <w:bidi w:val="0"/>
        <w:spacing w:after="0" w:line="288" w:lineRule="auto"/>
        <w:ind w:firstLine="411" w:firstLineChars="196"/>
        <w:rPr>
          <w:rFonts w:ascii="Arial" w:hAnsi="Arial" w:cs="Arial"/>
          <w:b/>
          <w:szCs w:val="21"/>
        </w:rPr>
      </w:pPr>
      <w:r>
        <w:rPr>
          <w:rFonts w:ascii="Arial" w:hAnsi="Arial" w:cs="Arial"/>
          <w:b/>
          <w:szCs w:val="21"/>
        </w:rPr>
        <w:t>1. 项目名称及项目编号</w:t>
      </w:r>
    </w:p>
    <w:p>
      <w:pPr>
        <w:pageBreakBefore w:val="0"/>
        <w:kinsoku/>
        <w:wordWrap/>
        <w:overflowPunct/>
        <w:topLinePunct w:val="0"/>
        <w:bidi w:val="0"/>
        <w:spacing w:after="0" w:line="288" w:lineRule="auto"/>
        <w:ind w:firstLine="435"/>
        <w:rPr>
          <w:rFonts w:ascii="Arial" w:hAnsi="Arial" w:cs="Arial"/>
          <w:szCs w:val="21"/>
        </w:rPr>
      </w:pPr>
      <w:r>
        <w:rPr>
          <w:rFonts w:ascii="Arial" w:hAnsi="Arial" w:cs="Arial"/>
          <w:szCs w:val="21"/>
        </w:rPr>
        <w:t>项目名称：</w:t>
      </w:r>
      <w:r>
        <w:rPr>
          <w:rFonts w:hint="eastAsia" w:ascii="Arial" w:hAnsi="Arial" w:cs="Arial"/>
          <w:szCs w:val="21"/>
        </w:rPr>
        <w:t>血液透析室设备采购项目</w:t>
      </w:r>
    </w:p>
    <w:p>
      <w:pPr>
        <w:pageBreakBefore w:val="0"/>
        <w:kinsoku/>
        <w:wordWrap/>
        <w:overflowPunct/>
        <w:topLinePunct w:val="0"/>
        <w:bidi w:val="0"/>
        <w:spacing w:after="0" w:line="288" w:lineRule="auto"/>
        <w:ind w:firstLine="435"/>
        <w:rPr>
          <w:rFonts w:hint="eastAsia" w:ascii="Arial" w:hAnsi="Arial" w:eastAsia="宋体" w:cs="Arial"/>
          <w:szCs w:val="21"/>
          <w:lang w:eastAsia="zh-CN"/>
        </w:rPr>
      </w:pPr>
      <w:r>
        <w:rPr>
          <w:rFonts w:ascii="Arial" w:hAnsi="Arial" w:cs="Arial"/>
          <w:szCs w:val="21"/>
        </w:rPr>
        <w:t>项目编号：</w:t>
      </w:r>
      <w:r>
        <w:rPr>
          <w:rFonts w:hint="eastAsia" w:ascii="Arial" w:hAnsi="Arial" w:cs="Arial"/>
          <w:szCs w:val="21"/>
          <w:lang w:eastAsia="zh-CN"/>
        </w:rPr>
        <w:t xml:space="preserve"> GLZC2025-G1-250032-JDZB</w:t>
      </w:r>
    </w:p>
    <w:p>
      <w:pPr>
        <w:pageBreakBefore w:val="0"/>
        <w:kinsoku/>
        <w:wordWrap/>
        <w:overflowPunct/>
        <w:topLinePunct w:val="0"/>
        <w:bidi w:val="0"/>
        <w:spacing w:after="0" w:line="288" w:lineRule="auto"/>
        <w:ind w:firstLine="411" w:firstLineChars="196"/>
        <w:rPr>
          <w:rFonts w:ascii="Arial" w:hAnsi="Arial" w:cs="Arial"/>
          <w:b/>
          <w:szCs w:val="21"/>
        </w:rPr>
      </w:pPr>
      <w:r>
        <w:rPr>
          <w:rFonts w:ascii="Arial" w:hAnsi="Arial" w:cs="Arial"/>
          <w:b/>
          <w:szCs w:val="21"/>
        </w:rPr>
        <w:t>2. 适应范围</w:t>
      </w:r>
    </w:p>
    <w:p>
      <w:pPr>
        <w:pageBreakBefore w:val="0"/>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本招标文件适用本招标采购项目的招标、投标、评标、合同履约、验收、付款等行为（法律、法规另有规定的，从其规定）。</w:t>
      </w:r>
    </w:p>
    <w:p>
      <w:pPr>
        <w:pageBreakBefore w:val="0"/>
        <w:kinsoku/>
        <w:wordWrap/>
        <w:overflowPunct/>
        <w:topLinePunct w:val="0"/>
        <w:bidi w:val="0"/>
        <w:spacing w:after="0" w:line="288" w:lineRule="auto"/>
        <w:ind w:firstLine="435"/>
        <w:rPr>
          <w:rFonts w:ascii="Arial" w:hAnsi="Arial" w:cs="Arial"/>
          <w:b/>
          <w:szCs w:val="21"/>
        </w:rPr>
      </w:pPr>
      <w:r>
        <w:rPr>
          <w:rFonts w:ascii="Arial" w:hAnsi="Arial" w:cs="Arial"/>
          <w:b/>
          <w:szCs w:val="21"/>
        </w:rPr>
        <w:t>3. 定义</w:t>
      </w:r>
    </w:p>
    <w:p>
      <w:pPr>
        <w:pageBreakBefore w:val="0"/>
        <w:kinsoku/>
        <w:wordWrap/>
        <w:overflowPunct/>
        <w:topLinePunct w:val="0"/>
        <w:bidi w:val="0"/>
        <w:spacing w:after="0" w:line="288" w:lineRule="auto"/>
        <w:ind w:firstLine="435"/>
        <w:rPr>
          <w:rFonts w:ascii="Arial" w:hAnsi="Arial" w:cs="Arial"/>
          <w:szCs w:val="21"/>
        </w:rPr>
      </w:pPr>
      <w:r>
        <w:rPr>
          <w:rFonts w:ascii="Arial" w:hAnsi="Arial" w:cs="Arial"/>
          <w:szCs w:val="21"/>
        </w:rPr>
        <w:t>3.1“投标人”是指响应招标、参加投标竞争的法人、其他组织或者自然人。</w:t>
      </w:r>
    </w:p>
    <w:p>
      <w:pPr>
        <w:pageBreakBefore w:val="0"/>
        <w:kinsoku/>
        <w:wordWrap/>
        <w:overflowPunct/>
        <w:topLinePunct w:val="0"/>
        <w:bidi w:val="0"/>
        <w:spacing w:after="0" w:line="288" w:lineRule="auto"/>
        <w:ind w:firstLine="435"/>
        <w:rPr>
          <w:rFonts w:ascii="Arial" w:hAnsi="Arial" w:cs="Arial"/>
          <w:szCs w:val="21"/>
        </w:rPr>
      </w:pPr>
      <w:r>
        <w:rPr>
          <w:rFonts w:ascii="Arial" w:hAnsi="Arial" w:cs="Arial"/>
          <w:szCs w:val="21"/>
        </w:rPr>
        <w:t>3.2“货物”系指按招标文件规定，投标人须向采购人提供的一切设备、保险、税金、备品备件、工具、手册及其它有关技术资料和材料。</w:t>
      </w:r>
    </w:p>
    <w:p>
      <w:pPr>
        <w:pageBreakBefore w:val="0"/>
        <w:kinsoku/>
        <w:wordWrap/>
        <w:overflowPunct/>
        <w:topLinePunct w:val="0"/>
        <w:bidi w:val="0"/>
        <w:spacing w:after="0" w:line="288" w:lineRule="auto"/>
        <w:ind w:firstLine="435"/>
        <w:rPr>
          <w:rFonts w:ascii="Arial" w:hAnsi="Arial" w:cs="Arial"/>
          <w:szCs w:val="21"/>
        </w:rPr>
      </w:pPr>
      <w:r>
        <w:rPr>
          <w:rFonts w:ascii="Arial" w:hAnsi="Arial" w:cs="Arial"/>
          <w:szCs w:val="21"/>
        </w:rPr>
        <w:t>3.3“服务”系指按招标文件规定，投标人须承担的安装、调试、技术协助、校准、培训、技术指导以及其他类似的义务。</w:t>
      </w:r>
    </w:p>
    <w:p>
      <w:pPr>
        <w:pageBreakBefore w:val="0"/>
        <w:kinsoku/>
        <w:wordWrap/>
        <w:overflowPunct/>
        <w:topLinePunct w:val="0"/>
        <w:bidi w:val="0"/>
        <w:spacing w:after="0" w:line="288" w:lineRule="auto"/>
        <w:ind w:firstLine="435"/>
        <w:rPr>
          <w:rFonts w:ascii="Arial" w:hAnsi="Arial" w:cs="Arial"/>
          <w:szCs w:val="21"/>
        </w:rPr>
      </w:pPr>
      <w:r>
        <w:rPr>
          <w:rFonts w:ascii="Arial" w:hAnsi="Arial" w:cs="Arial"/>
          <w:szCs w:val="21"/>
        </w:rPr>
        <w:t>3.4“项目”系指投标人按招标文件规定向采购人提供的货物和服务。</w:t>
      </w:r>
    </w:p>
    <w:p>
      <w:pPr>
        <w:pageBreakBefore w:val="0"/>
        <w:kinsoku/>
        <w:wordWrap/>
        <w:overflowPunct/>
        <w:topLinePunct w:val="0"/>
        <w:bidi w:val="0"/>
        <w:spacing w:after="0" w:line="288" w:lineRule="auto"/>
        <w:ind w:firstLine="435"/>
        <w:rPr>
          <w:rFonts w:ascii="Arial" w:hAnsi="Arial" w:cs="Arial"/>
          <w:szCs w:val="21"/>
        </w:rPr>
      </w:pPr>
      <w:r>
        <w:rPr>
          <w:rFonts w:ascii="Arial" w:hAnsi="Arial" w:cs="Arial"/>
          <w:szCs w:val="21"/>
        </w:rPr>
        <w:t>3.5“书面形式”包括信函、传真、电报。</w:t>
      </w:r>
    </w:p>
    <w:p>
      <w:pPr>
        <w:pageBreakBefore w:val="0"/>
        <w:kinsoku/>
        <w:wordWrap/>
        <w:overflowPunct/>
        <w:topLinePunct w:val="0"/>
        <w:bidi w:val="0"/>
        <w:spacing w:after="0" w:line="288" w:lineRule="auto"/>
        <w:ind w:firstLine="420" w:firstLineChars="175"/>
        <w:rPr>
          <w:rFonts w:ascii="Arial" w:hAnsi="Arial" w:cs="Arial"/>
          <w:b/>
          <w:sz w:val="24"/>
        </w:rPr>
      </w:pPr>
      <w:r>
        <w:rPr>
          <w:rFonts w:ascii="Arial" w:hAnsi="Arial" w:cs="Arial"/>
          <w:b/>
          <w:sz w:val="24"/>
        </w:rPr>
        <w:t>3.6实质性要求：</w:t>
      </w:r>
    </w:p>
    <w:p>
      <w:pPr>
        <w:pageBreakBefore w:val="0"/>
        <w:kinsoku/>
        <w:wordWrap/>
        <w:overflowPunct/>
        <w:topLinePunct w:val="0"/>
        <w:bidi w:val="0"/>
        <w:spacing w:after="0" w:line="288" w:lineRule="auto"/>
        <w:ind w:firstLine="420" w:firstLineChars="175"/>
        <w:rPr>
          <w:rFonts w:ascii="Arial" w:hAnsi="Arial" w:cs="Arial"/>
          <w:b/>
          <w:sz w:val="24"/>
          <w:highlight w:val="none"/>
        </w:rPr>
      </w:pPr>
      <w:r>
        <w:rPr>
          <w:rFonts w:hint="eastAsia" w:ascii="Arial" w:hAnsi="Arial" w:cs="Arial"/>
          <w:b/>
          <w:sz w:val="24"/>
          <w:highlight w:val="none"/>
        </w:rPr>
        <w:t>“货物采购需求”中的“★”为实质性要求，不得存在负偏离，否则按废标处理。</w:t>
      </w:r>
    </w:p>
    <w:p>
      <w:pPr>
        <w:pageBreakBefore w:val="0"/>
        <w:kinsoku/>
        <w:wordWrap/>
        <w:overflowPunct/>
        <w:topLinePunct w:val="0"/>
        <w:bidi w:val="0"/>
        <w:spacing w:after="0" w:line="288" w:lineRule="auto"/>
        <w:ind w:firstLine="435"/>
        <w:rPr>
          <w:rFonts w:ascii="Arial" w:hAnsi="Arial" w:cs="Arial"/>
          <w:szCs w:val="21"/>
          <w:highlight w:val="none"/>
        </w:rPr>
      </w:pPr>
      <w:r>
        <w:rPr>
          <w:rFonts w:ascii="Arial" w:hAnsi="Arial" w:cs="Arial"/>
          <w:szCs w:val="21"/>
          <w:highlight w:val="none"/>
        </w:rPr>
        <w:t>4. 招标方式、评分办法</w:t>
      </w:r>
    </w:p>
    <w:p>
      <w:pPr>
        <w:pageBreakBefore w:val="0"/>
        <w:kinsoku/>
        <w:wordWrap/>
        <w:overflowPunct/>
        <w:topLinePunct w:val="0"/>
        <w:bidi w:val="0"/>
        <w:spacing w:after="0" w:line="288" w:lineRule="auto"/>
        <w:ind w:firstLine="735" w:firstLineChars="350"/>
        <w:rPr>
          <w:rFonts w:ascii="Arial" w:hAnsi="Arial" w:cs="Arial"/>
          <w:szCs w:val="21"/>
        </w:rPr>
      </w:pPr>
      <w:r>
        <w:rPr>
          <w:rFonts w:ascii="Arial" w:hAnsi="Arial" w:cs="Arial"/>
          <w:szCs w:val="21"/>
        </w:rPr>
        <w:t>公开招标、综合评分法</w:t>
      </w:r>
    </w:p>
    <w:p>
      <w:pPr>
        <w:pageBreakBefore w:val="0"/>
        <w:kinsoku/>
        <w:wordWrap/>
        <w:overflowPunct/>
        <w:topLinePunct w:val="0"/>
        <w:bidi w:val="0"/>
        <w:spacing w:after="0" w:line="288" w:lineRule="auto"/>
        <w:ind w:firstLine="435"/>
        <w:rPr>
          <w:rFonts w:ascii="Arial" w:hAnsi="Arial" w:cs="Arial"/>
          <w:b/>
          <w:sz w:val="24"/>
        </w:rPr>
      </w:pPr>
      <w:r>
        <w:rPr>
          <w:rFonts w:ascii="Arial" w:hAnsi="Arial" w:cs="Arial"/>
          <w:b/>
          <w:sz w:val="24"/>
        </w:rPr>
        <w:t>5. 投标人资格</w:t>
      </w:r>
    </w:p>
    <w:p>
      <w:pPr>
        <w:pageBreakBefore w:val="0"/>
        <w:tabs>
          <w:tab w:val="left" w:pos="1635"/>
        </w:tabs>
        <w:kinsoku/>
        <w:wordWrap/>
        <w:overflowPunct/>
        <w:topLinePunct w:val="0"/>
        <w:bidi w:val="0"/>
        <w:spacing w:after="0" w:line="288" w:lineRule="auto"/>
        <w:ind w:firstLine="435"/>
        <w:rPr>
          <w:rFonts w:ascii="Arial" w:hAnsi="Arial" w:cs="Arial"/>
          <w:b/>
          <w:szCs w:val="21"/>
        </w:rPr>
      </w:pPr>
      <w:r>
        <w:rPr>
          <w:rFonts w:ascii="Arial" w:hAnsi="Arial" w:cs="Arial"/>
          <w:b/>
          <w:szCs w:val="21"/>
        </w:rPr>
        <w:t>5.1满足《中华人民共和国政府采购法》第二十二条规定；</w:t>
      </w:r>
    </w:p>
    <w:p>
      <w:pPr>
        <w:pageBreakBefore w:val="0"/>
        <w:tabs>
          <w:tab w:val="left" w:pos="1635"/>
        </w:tabs>
        <w:kinsoku/>
        <w:wordWrap/>
        <w:overflowPunct/>
        <w:topLinePunct w:val="0"/>
        <w:bidi w:val="0"/>
        <w:spacing w:after="0" w:line="288" w:lineRule="auto"/>
        <w:ind w:firstLine="435"/>
        <w:rPr>
          <w:rFonts w:ascii="Arial" w:hAnsi="Arial" w:cs="Arial"/>
          <w:b/>
          <w:szCs w:val="21"/>
        </w:rPr>
      </w:pPr>
      <w:r>
        <w:rPr>
          <w:rFonts w:ascii="Arial" w:hAnsi="Arial" w:cs="Arial"/>
          <w:b/>
          <w:szCs w:val="21"/>
        </w:rPr>
        <w:t>5.2落实政府采购政策需满足的资格要求：本项目非专门面向中小微企业采购。</w:t>
      </w:r>
    </w:p>
    <w:p>
      <w:pPr>
        <w:pageBreakBefore w:val="0"/>
        <w:tabs>
          <w:tab w:val="left" w:pos="1635"/>
        </w:tabs>
        <w:kinsoku/>
        <w:wordWrap/>
        <w:overflowPunct/>
        <w:topLinePunct w:val="0"/>
        <w:bidi w:val="0"/>
        <w:spacing w:after="0" w:line="288" w:lineRule="auto"/>
        <w:ind w:firstLine="435"/>
        <w:rPr>
          <w:rFonts w:ascii="Arial" w:hAnsi="Arial" w:cs="Arial"/>
          <w:b/>
          <w:szCs w:val="21"/>
        </w:rPr>
      </w:pPr>
      <w:r>
        <w:rPr>
          <w:rFonts w:ascii="Arial" w:hAnsi="Arial" w:cs="Arial"/>
          <w:b/>
          <w:szCs w:val="21"/>
        </w:rPr>
        <w:t>5.3本项目的特定资格要求：</w:t>
      </w:r>
    </w:p>
    <w:p>
      <w:pPr>
        <w:pageBreakBefore w:val="0"/>
        <w:tabs>
          <w:tab w:val="left" w:pos="1635"/>
        </w:tabs>
        <w:kinsoku/>
        <w:wordWrap/>
        <w:overflowPunct/>
        <w:topLinePunct w:val="0"/>
        <w:bidi w:val="0"/>
        <w:spacing w:after="0" w:line="288" w:lineRule="auto"/>
        <w:ind w:firstLine="435"/>
        <w:rPr>
          <w:rFonts w:ascii="Arial" w:hAnsi="Arial" w:cs="Arial"/>
          <w:bCs/>
          <w:szCs w:val="21"/>
        </w:rPr>
      </w:pPr>
      <w:r>
        <w:rPr>
          <w:rFonts w:ascii="Arial" w:hAnsi="Arial" w:cs="Arial"/>
          <w:bCs/>
          <w:szCs w:val="21"/>
        </w:rPr>
        <w:t>（1）</w:t>
      </w:r>
      <w:r>
        <w:rPr>
          <w:rFonts w:ascii="Arial" w:hAnsi="Arial" w:cs="Arial"/>
          <w:color w:val="auto"/>
          <w:kern w:val="0"/>
          <w:szCs w:val="21"/>
        </w:rPr>
        <w:t>具有药品监督管理的部门颁发有效的医疗器械经营许可或者备案（按《医疗器械监督管理条例》免于经营备案和无需办理医疗器械经营许可或者备案的情形除外）</w:t>
      </w:r>
      <w:r>
        <w:rPr>
          <w:rFonts w:ascii="Arial" w:hAnsi="Arial" w:cs="Arial"/>
          <w:bCs/>
          <w:szCs w:val="21"/>
        </w:rPr>
        <w:t>；</w:t>
      </w:r>
    </w:p>
    <w:p>
      <w:pPr>
        <w:pageBreakBefore w:val="0"/>
        <w:tabs>
          <w:tab w:val="left" w:pos="1635"/>
        </w:tabs>
        <w:kinsoku/>
        <w:wordWrap/>
        <w:overflowPunct/>
        <w:topLinePunct w:val="0"/>
        <w:bidi w:val="0"/>
        <w:spacing w:after="0" w:line="288" w:lineRule="auto"/>
        <w:ind w:firstLine="435"/>
        <w:rPr>
          <w:rFonts w:ascii="Arial" w:hAnsi="Arial" w:cs="Arial"/>
          <w:bCs/>
          <w:szCs w:val="21"/>
        </w:rPr>
      </w:pPr>
      <w:r>
        <w:rPr>
          <w:rFonts w:ascii="Arial" w:hAnsi="Arial" w:cs="Arial"/>
          <w:bCs/>
          <w:szCs w:val="21"/>
        </w:rPr>
        <w:t>（2）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pPr>
        <w:pageBreakBefore w:val="0"/>
        <w:tabs>
          <w:tab w:val="left" w:pos="1635"/>
        </w:tabs>
        <w:kinsoku/>
        <w:wordWrap/>
        <w:overflowPunct/>
        <w:topLinePunct w:val="0"/>
        <w:bidi w:val="0"/>
        <w:spacing w:after="0" w:line="288" w:lineRule="auto"/>
        <w:ind w:firstLine="435"/>
        <w:rPr>
          <w:rFonts w:ascii="Arial" w:hAnsi="Arial" w:cs="Arial"/>
          <w:bCs/>
          <w:szCs w:val="21"/>
        </w:rPr>
      </w:pPr>
      <w:r>
        <w:rPr>
          <w:rFonts w:ascii="Arial" w:hAnsi="Arial" w:cs="Arial"/>
          <w:bCs/>
          <w:szCs w:val="21"/>
        </w:rPr>
        <w:t>（3）单位负责人为同一人或者存在直接控股、管理关系的不同供应商，不得参加同一合同项下的政府采购活动。除单一来源采购项目外，为本采购项目提供整体设计、规范编制或者项目管理、监理、检测等服务的供应商，不得再参加该采购项目的其他采购活动。</w:t>
      </w:r>
    </w:p>
    <w:p>
      <w:pPr>
        <w:pageBreakBefore w:val="0"/>
        <w:tabs>
          <w:tab w:val="left" w:pos="1635"/>
        </w:tabs>
        <w:kinsoku/>
        <w:wordWrap/>
        <w:overflowPunct/>
        <w:topLinePunct w:val="0"/>
        <w:bidi w:val="0"/>
        <w:spacing w:after="0" w:line="288" w:lineRule="auto"/>
        <w:ind w:firstLine="435"/>
        <w:rPr>
          <w:rFonts w:ascii="Arial" w:hAnsi="Arial" w:cs="Arial"/>
          <w:b/>
          <w:szCs w:val="21"/>
        </w:rPr>
      </w:pPr>
      <w:r>
        <w:rPr>
          <w:rFonts w:ascii="Arial" w:hAnsi="Arial" w:cs="Arial"/>
          <w:b/>
          <w:szCs w:val="21"/>
        </w:rPr>
        <w:t>6. 参与电子投标的准备工作</w:t>
      </w:r>
    </w:p>
    <w:p>
      <w:pPr>
        <w:pageBreakBefore w:val="0"/>
        <w:tabs>
          <w:tab w:val="left" w:pos="1635"/>
        </w:tabs>
        <w:kinsoku/>
        <w:wordWrap/>
        <w:overflowPunct/>
        <w:topLinePunct w:val="0"/>
        <w:bidi w:val="0"/>
        <w:spacing w:after="0" w:line="288" w:lineRule="auto"/>
        <w:ind w:firstLine="435"/>
        <w:rPr>
          <w:rFonts w:ascii="Arial" w:hAnsi="Arial" w:cs="Arial"/>
          <w:kern w:val="0"/>
          <w:szCs w:val="21"/>
        </w:rPr>
      </w:pPr>
      <w:r>
        <w:rPr>
          <w:rFonts w:ascii="Arial" w:hAnsi="Arial" w:cs="Arial"/>
          <w:kern w:val="0"/>
          <w:szCs w:val="21"/>
        </w:rPr>
        <w:t>6.1</w:t>
      </w:r>
      <w:r>
        <w:rPr>
          <w:rFonts w:ascii="Arial" w:hAnsi="Arial" w:cs="Arial"/>
          <w:bCs/>
        </w:rPr>
        <w:t>本项目实行全流程电子化采购，投标人通过</w:t>
      </w:r>
      <w:r>
        <w:rPr>
          <w:rFonts w:ascii="Arial" w:hAnsi="Arial" w:cs="Arial"/>
          <w:szCs w:val="21"/>
        </w:rPr>
        <w:t>广西政府采购云平台</w:t>
      </w:r>
      <w:r>
        <w:rPr>
          <w:rFonts w:ascii="Arial" w:hAnsi="Arial" w:cs="Arial"/>
          <w:bCs/>
        </w:rPr>
        <w:t>参与电子投标，并应做好以下相关准备工作：①在</w:t>
      </w:r>
      <w:r>
        <w:rPr>
          <w:rFonts w:ascii="Arial" w:hAnsi="Arial" w:cs="Arial"/>
          <w:szCs w:val="21"/>
        </w:rPr>
        <w:t>广西政府采购云平台</w:t>
      </w:r>
      <w:r>
        <w:rPr>
          <w:rFonts w:ascii="Arial" w:hAnsi="Arial" w:cs="Arial"/>
          <w:bCs/>
        </w:rPr>
        <w:t>注册成为正式供应商（操作方法详见广西壮族自治区政府采购网—办事服务—办事指南）；②完成CA证书申领和绑定（费用由投标人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w:t>
      </w:r>
      <w:r>
        <w:rPr>
          <w:rFonts w:ascii="Arial" w:hAnsi="Arial" w:cs="Arial"/>
          <w:szCs w:val="21"/>
        </w:rPr>
        <w:t>桂采云电子投标客户端</w:t>
      </w:r>
      <w:r>
        <w:rPr>
          <w:rFonts w:ascii="Arial" w:hAnsi="Arial" w:cs="Arial"/>
          <w:bCs/>
        </w:rPr>
        <w:t>”）并安装成功，投标人应当在提交投标文件截止时间前在</w:t>
      </w:r>
      <w:r>
        <w:rPr>
          <w:rFonts w:ascii="Arial" w:hAnsi="Arial" w:cs="Arial"/>
          <w:szCs w:val="21"/>
        </w:rPr>
        <w:t>广西政府采购云平台</w:t>
      </w:r>
      <w:r>
        <w:rPr>
          <w:rFonts w:ascii="Arial" w:hAnsi="Arial" w:cs="Arial"/>
          <w:bCs/>
        </w:rPr>
        <w:t>完成的身份认证，确保能够对相关数据电文进行加密和使用电子签章；④自备计算机和网络设备并确保能接入互联网（费用由投标人自行承担，设备确保可进行视频通话和读取</w:t>
      </w:r>
      <w:r>
        <w:rPr>
          <w:rFonts w:ascii="Arial" w:hAnsi="Arial" w:cs="Arial"/>
          <w:szCs w:val="21"/>
        </w:rPr>
        <w:t>广西政府采购云平台</w:t>
      </w:r>
      <w:r>
        <w:rPr>
          <w:rFonts w:ascii="Arial" w:hAnsi="Arial" w:cs="Arial"/>
          <w:bCs/>
        </w:rPr>
        <w:t>CA证书）。因投标人未做好相关准备工作等自身原因导致无法参加本项目电子投标或投标失败的，造成的一切后果，由投标人自行承担</w:t>
      </w:r>
      <w:r>
        <w:rPr>
          <w:rFonts w:ascii="Arial" w:hAnsi="Arial" w:cs="Arial"/>
          <w:kern w:val="0"/>
          <w:szCs w:val="21"/>
        </w:rPr>
        <w:t>。</w:t>
      </w:r>
    </w:p>
    <w:p>
      <w:pPr>
        <w:pageBreakBefore w:val="0"/>
        <w:tabs>
          <w:tab w:val="left" w:pos="1635"/>
        </w:tabs>
        <w:kinsoku/>
        <w:wordWrap/>
        <w:overflowPunct/>
        <w:topLinePunct w:val="0"/>
        <w:bidi w:val="0"/>
        <w:spacing w:after="0" w:line="288" w:lineRule="auto"/>
        <w:ind w:firstLine="435"/>
        <w:rPr>
          <w:rFonts w:ascii="Arial" w:hAnsi="Arial" w:cs="Arial"/>
          <w:kern w:val="0"/>
          <w:szCs w:val="21"/>
        </w:rPr>
      </w:pPr>
      <w:r>
        <w:rPr>
          <w:rFonts w:ascii="Arial" w:hAnsi="Arial" w:cs="Arial"/>
          <w:kern w:val="0"/>
          <w:szCs w:val="21"/>
        </w:rPr>
        <w:t>6.2电子投标具体操作流程参考《政府采购项目电子交易管理操作指南-供应商》（详见桂林市政府采购网—采购资讯—重要通知）；如遇平台技术问题详询95763。</w:t>
      </w:r>
    </w:p>
    <w:p>
      <w:pPr>
        <w:pageBreakBefore w:val="0"/>
        <w:tabs>
          <w:tab w:val="left" w:pos="1635"/>
        </w:tabs>
        <w:kinsoku/>
        <w:wordWrap/>
        <w:overflowPunct/>
        <w:topLinePunct w:val="0"/>
        <w:bidi w:val="0"/>
        <w:spacing w:after="0" w:line="288" w:lineRule="auto"/>
        <w:ind w:firstLine="435"/>
        <w:rPr>
          <w:rFonts w:ascii="Arial" w:hAnsi="Arial" w:cs="Arial"/>
          <w:kern w:val="0"/>
          <w:szCs w:val="21"/>
        </w:rPr>
      </w:pPr>
      <w:r>
        <w:rPr>
          <w:rFonts w:ascii="Arial" w:hAnsi="Arial" w:cs="Arial"/>
          <w:kern w:val="0"/>
          <w:szCs w:val="21"/>
        </w:rPr>
        <w:t>6.3不论投标结果如何，投标人均应自行承担所有与投标有关的全部费用。</w:t>
      </w:r>
    </w:p>
    <w:p>
      <w:pPr>
        <w:pageBreakBefore w:val="0"/>
        <w:kinsoku/>
        <w:wordWrap/>
        <w:overflowPunct/>
        <w:topLinePunct w:val="0"/>
        <w:bidi w:val="0"/>
        <w:spacing w:after="0" w:line="288" w:lineRule="auto"/>
        <w:ind w:firstLine="435"/>
        <w:rPr>
          <w:rFonts w:ascii="Arial" w:hAnsi="Arial" w:cs="Arial"/>
          <w:b/>
          <w:szCs w:val="21"/>
        </w:rPr>
      </w:pPr>
      <w:r>
        <w:rPr>
          <w:rFonts w:ascii="Arial" w:hAnsi="Arial" w:cs="Arial"/>
          <w:b/>
          <w:szCs w:val="21"/>
        </w:rPr>
        <w:t>7. 联合体投标要求</w:t>
      </w:r>
    </w:p>
    <w:p>
      <w:pPr>
        <w:pageBreakBefore w:val="0"/>
        <w:kinsoku/>
        <w:wordWrap/>
        <w:overflowPunct/>
        <w:topLinePunct w:val="0"/>
        <w:bidi w:val="0"/>
        <w:snapToGrid w:val="0"/>
        <w:spacing w:after="0" w:line="288" w:lineRule="auto"/>
        <w:ind w:firstLine="420" w:firstLineChars="200"/>
        <w:jc w:val="left"/>
        <w:rPr>
          <w:rFonts w:ascii="Arial" w:hAnsi="Arial" w:cs="Arial"/>
          <w:szCs w:val="21"/>
        </w:rPr>
      </w:pPr>
      <w:r>
        <w:rPr>
          <w:rFonts w:ascii="Arial" w:hAnsi="Arial" w:cs="Arial"/>
          <w:szCs w:val="21"/>
        </w:rPr>
        <w:t>本项目不接受联合体投标。</w:t>
      </w:r>
    </w:p>
    <w:p>
      <w:pPr>
        <w:pageBreakBefore w:val="0"/>
        <w:tabs>
          <w:tab w:val="left" w:pos="1635"/>
        </w:tabs>
        <w:kinsoku/>
        <w:wordWrap/>
        <w:overflowPunct/>
        <w:topLinePunct w:val="0"/>
        <w:bidi w:val="0"/>
        <w:spacing w:after="0" w:line="288" w:lineRule="auto"/>
        <w:ind w:firstLine="435"/>
        <w:rPr>
          <w:rFonts w:ascii="Arial" w:hAnsi="Arial" w:cs="Arial"/>
          <w:b/>
          <w:szCs w:val="21"/>
        </w:rPr>
      </w:pPr>
      <w:r>
        <w:rPr>
          <w:rFonts w:ascii="Arial" w:hAnsi="Arial" w:cs="Arial"/>
          <w:b/>
          <w:szCs w:val="21"/>
        </w:rPr>
        <w:t>8. 转包与分包</w:t>
      </w:r>
    </w:p>
    <w:p>
      <w:pPr>
        <w:pageBreakBefore w:val="0"/>
        <w:tabs>
          <w:tab w:val="left" w:pos="1635"/>
        </w:tabs>
        <w:kinsoku/>
        <w:wordWrap/>
        <w:overflowPunct/>
        <w:topLinePunct w:val="0"/>
        <w:bidi w:val="0"/>
        <w:spacing w:after="0" w:line="288" w:lineRule="auto"/>
        <w:ind w:firstLine="435"/>
        <w:rPr>
          <w:rFonts w:ascii="Arial" w:hAnsi="Arial" w:cs="Arial"/>
          <w:szCs w:val="21"/>
        </w:rPr>
      </w:pPr>
      <w:r>
        <w:rPr>
          <w:rFonts w:ascii="Arial" w:hAnsi="Arial" w:cs="Arial"/>
          <w:szCs w:val="21"/>
        </w:rPr>
        <w:t>8.1本项目不允许转包。</w:t>
      </w:r>
    </w:p>
    <w:p>
      <w:pPr>
        <w:pageBreakBefore w:val="0"/>
        <w:tabs>
          <w:tab w:val="left" w:pos="1635"/>
        </w:tabs>
        <w:kinsoku/>
        <w:wordWrap/>
        <w:overflowPunct/>
        <w:topLinePunct w:val="0"/>
        <w:bidi w:val="0"/>
        <w:spacing w:after="0" w:line="288" w:lineRule="auto"/>
        <w:ind w:firstLine="435"/>
        <w:rPr>
          <w:rFonts w:ascii="Arial" w:hAnsi="Arial" w:cs="Arial"/>
          <w:b/>
          <w:bCs/>
          <w:szCs w:val="21"/>
          <w:highlight w:val="none"/>
        </w:rPr>
      </w:pPr>
      <w:r>
        <w:rPr>
          <w:rFonts w:ascii="Arial" w:hAnsi="Arial" w:cs="Arial"/>
          <w:b/>
          <w:bCs/>
          <w:szCs w:val="21"/>
          <w:highlight w:val="none"/>
        </w:rPr>
        <w:t>8.2本项目</w:t>
      </w:r>
      <w:r>
        <w:rPr>
          <w:rFonts w:hint="eastAsia" w:ascii="Arial" w:hAnsi="Arial" w:cs="Arial"/>
          <w:b/>
          <w:bCs/>
          <w:szCs w:val="21"/>
          <w:highlight w:val="none"/>
          <w:lang w:val="en-US" w:eastAsia="zh-CN"/>
        </w:rPr>
        <w:t>装修改造部分允许分包，</w:t>
      </w:r>
      <w:r>
        <w:rPr>
          <w:rFonts w:hint="eastAsia"/>
          <w:b/>
          <w:bCs/>
          <w:color w:val="auto"/>
          <w:highlight w:val="none"/>
          <w:lang w:val="en-US" w:eastAsia="zh-CN"/>
        </w:rPr>
        <w:t>分包方必须具备相关资质</w:t>
      </w:r>
      <w:r>
        <w:rPr>
          <w:rFonts w:ascii="Arial" w:hAnsi="Arial" w:cs="Arial"/>
          <w:b/>
          <w:bCs/>
          <w:szCs w:val="21"/>
          <w:highlight w:val="none"/>
        </w:rPr>
        <w:t>。</w:t>
      </w:r>
    </w:p>
    <w:p>
      <w:pPr>
        <w:pageBreakBefore w:val="0"/>
        <w:tabs>
          <w:tab w:val="left" w:pos="1635"/>
        </w:tabs>
        <w:kinsoku/>
        <w:wordWrap/>
        <w:overflowPunct/>
        <w:topLinePunct w:val="0"/>
        <w:bidi w:val="0"/>
        <w:spacing w:after="0" w:line="288" w:lineRule="auto"/>
        <w:ind w:firstLine="435"/>
        <w:rPr>
          <w:rFonts w:ascii="Arial" w:hAnsi="Arial" w:cs="Arial"/>
          <w:b/>
          <w:szCs w:val="21"/>
        </w:rPr>
      </w:pPr>
      <w:r>
        <w:rPr>
          <w:rFonts w:ascii="Arial" w:hAnsi="Arial" w:cs="Arial"/>
          <w:b/>
          <w:szCs w:val="21"/>
        </w:rPr>
        <w:t>9. 特别说明</w:t>
      </w:r>
    </w:p>
    <w:p>
      <w:pPr>
        <w:pageBreakBefore w:val="0"/>
        <w:tabs>
          <w:tab w:val="left" w:pos="1635"/>
        </w:tabs>
        <w:kinsoku/>
        <w:wordWrap/>
        <w:overflowPunct/>
        <w:topLinePunct w:val="0"/>
        <w:bidi w:val="0"/>
        <w:spacing w:after="0" w:line="288" w:lineRule="auto"/>
        <w:ind w:firstLine="435"/>
        <w:rPr>
          <w:rFonts w:ascii="Arial" w:hAnsi="Arial" w:cs="Arial"/>
          <w:b/>
          <w:szCs w:val="21"/>
        </w:rPr>
      </w:pPr>
      <w:r>
        <w:rPr>
          <w:rFonts w:ascii="Arial" w:hAnsi="Arial" w:cs="Arial"/>
          <w:b/>
          <w:szCs w:val="21"/>
        </w:rPr>
        <w:t>9.1使用综合评分法的采购项目，提供相同品牌产品且通过资格审查、符合性审查的不同投标人参加同一合同项下投标的，按一家投标人计算，评审后得分最高的同品牌投标人获得中标人推荐资格；评审得分相同的，评标报价最低的同品牌投标人获得中标人推荐资格，评标报价也相同的，由评标委员会以抽签方式确定中标候选人，其他同品牌投标人不作为中标候选人。</w:t>
      </w:r>
    </w:p>
    <w:p>
      <w:pPr>
        <w:pageBreakBefore w:val="0"/>
        <w:tabs>
          <w:tab w:val="left" w:pos="1635"/>
        </w:tabs>
        <w:kinsoku/>
        <w:wordWrap/>
        <w:overflowPunct/>
        <w:topLinePunct w:val="0"/>
        <w:bidi w:val="0"/>
        <w:spacing w:after="0" w:line="288" w:lineRule="auto"/>
        <w:ind w:firstLine="435"/>
        <w:rPr>
          <w:rFonts w:ascii="Arial" w:hAnsi="Arial" w:cs="Arial"/>
          <w:b/>
          <w:szCs w:val="21"/>
        </w:rPr>
      </w:pPr>
      <w:r>
        <w:rPr>
          <w:rFonts w:ascii="Arial" w:hAnsi="Arial" w:cs="Arial"/>
          <w:b/>
          <w:szCs w:val="21"/>
        </w:rPr>
        <w:t>多家投标人提供的核心产品品牌相同的，按前款规定处理。</w:t>
      </w:r>
    </w:p>
    <w:p>
      <w:pPr>
        <w:pageBreakBefore w:val="0"/>
        <w:tabs>
          <w:tab w:val="left" w:pos="1635"/>
        </w:tabs>
        <w:kinsoku/>
        <w:wordWrap/>
        <w:overflowPunct/>
        <w:topLinePunct w:val="0"/>
        <w:bidi w:val="0"/>
        <w:spacing w:after="0" w:line="288" w:lineRule="auto"/>
        <w:ind w:firstLine="435"/>
        <w:rPr>
          <w:rFonts w:ascii="Arial" w:hAnsi="Arial" w:cs="Arial"/>
          <w:szCs w:val="21"/>
        </w:rPr>
      </w:pPr>
      <w:r>
        <w:rPr>
          <w:rFonts w:ascii="Arial" w:hAnsi="Arial" w:cs="Arial"/>
          <w:szCs w:val="21"/>
        </w:rPr>
        <w:t>9.2关联供应商不得参加同一合同项下政府采购活动，否则投标文件将被视为无效：</w:t>
      </w:r>
    </w:p>
    <w:p>
      <w:pPr>
        <w:pageBreakBefore w:val="0"/>
        <w:tabs>
          <w:tab w:val="left" w:pos="1635"/>
        </w:tabs>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（1）单位负责人为同一人或者存在直接控股、管理关系的不同供应商，不得参加同一合同项下的政府采购活动。</w:t>
      </w:r>
    </w:p>
    <w:p>
      <w:pPr>
        <w:pageBreakBefore w:val="0"/>
        <w:tabs>
          <w:tab w:val="left" w:pos="1635"/>
        </w:tabs>
        <w:kinsoku/>
        <w:wordWrap/>
        <w:overflowPunct/>
        <w:topLinePunct w:val="0"/>
        <w:bidi w:val="0"/>
        <w:spacing w:after="0" w:line="288" w:lineRule="auto"/>
        <w:ind w:firstLine="435"/>
        <w:rPr>
          <w:rFonts w:ascii="Arial" w:hAnsi="Arial" w:cs="Arial"/>
          <w:szCs w:val="21"/>
        </w:rPr>
      </w:pPr>
      <w:r>
        <w:rPr>
          <w:rFonts w:ascii="Arial" w:hAnsi="Arial" w:cs="Arial"/>
          <w:szCs w:val="21"/>
        </w:rPr>
        <w:t>（2）为本采购项目提供整体设计、规范编制或者项目管理、监理、检测等服务的供应商，不得再参加本次采购活动。</w:t>
      </w:r>
    </w:p>
    <w:p>
      <w:pPr>
        <w:pageBreakBefore w:val="0"/>
        <w:tabs>
          <w:tab w:val="left" w:pos="1635"/>
        </w:tabs>
        <w:kinsoku/>
        <w:wordWrap/>
        <w:overflowPunct/>
        <w:topLinePunct w:val="0"/>
        <w:bidi w:val="0"/>
        <w:spacing w:after="0" w:line="288" w:lineRule="auto"/>
        <w:ind w:firstLine="435"/>
        <w:rPr>
          <w:rFonts w:ascii="Arial" w:hAnsi="Arial" w:cs="Arial"/>
          <w:szCs w:val="21"/>
        </w:rPr>
      </w:pPr>
      <w:r>
        <w:rPr>
          <w:rFonts w:ascii="Arial" w:hAnsi="Arial" w:cs="Arial"/>
          <w:szCs w:val="21"/>
        </w:rPr>
        <w:t>9.3投标人应仔细阅读招标文件的所有内容，按照招标文件的要求提交投标文件，并对所提供的全部资料的真实性承担法律责任。</w:t>
      </w:r>
    </w:p>
    <w:p>
      <w:pPr>
        <w:pageBreakBefore w:val="0"/>
        <w:tabs>
          <w:tab w:val="left" w:pos="1635"/>
        </w:tabs>
        <w:kinsoku/>
        <w:wordWrap/>
        <w:overflowPunct/>
        <w:topLinePunct w:val="0"/>
        <w:bidi w:val="0"/>
        <w:spacing w:after="0" w:line="288" w:lineRule="auto"/>
        <w:ind w:firstLine="435"/>
        <w:rPr>
          <w:rFonts w:ascii="Arial" w:hAnsi="Arial" w:cs="Arial"/>
          <w:b/>
          <w:szCs w:val="21"/>
        </w:rPr>
      </w:pPr>
      <w:r>
        <w:rPr>
          <w:rFonts w:ascii="Arial" w:hAnsi="Arial" w:cs="Arial"/>
          <w:szCs w:val="21"/>
        </w:rPr>
        <w:t>9.4投标人在投标活动中提供任何虚假材料，其投标无效，并报监管部门查处；中标后发现的，中标人须依照《中华人民共和国消费者权益保护法》赔偿采购人，且民事赔偿并不免除违法投标人的行政与刑事责任。</w:t>
      </w:r>
    </w:p>
    <w:p>
      <w:pPr>
        <w:pageBreakBefore w:val="0"/>
        <w:tabs>
          <w:tab w:val="left" w:pos="2190"/>
        </w:tabs>
        <w:kinsoku/>
        <w:wordWrap/>
        <w:overflowPunct/>
        <w:topLinePunct w:val="0"/>
        <w:bidi w:val="0"/>
        <w:spacing w:after="0" w:line="288" w:lineRule="auto"/>
        <w:ind w:firstLine="411" w:firstLineChars="196"/>
        <w:rPr>
          <w:rFonts w:ascii="Arial" w:hAnsi="Arial" w:cs="Arial"/>
          <w:b/>
          <w:szCs w:val="21"/>
        </w:rPr>
      </w:pPr>
      <w:r>
        <w:rPr>
          <w:rFonts w:ascii="Arial" w:hAnsi="Arial" w:cs="Arial"/>
          <w:b/>
          <w:szCs w:val="21"/>
        </w:rPr>
        <w:t>10. 质疑和投诉</w:t>
      </w:r>
      <w:r>
        <w:rPr>
          <w:rFonts w:ascii="Arial" w:hAnsi="Arial" w:cs="Arial"/>
          <w:b/>
          <w:szCs w:val="21"/>
        </w:rPr>
        <w:tab/>
      </w:r>
    </w:p>
    <w:p>
      <w:pPr>
        <w:pageBreakBefore w:val="0"/>
        <w:tabs>
          <w:tab w:val="left" w:pos="2190"/>
        </w:tabs>
        <w:kinsoku/>
        <w:wordWrap/>
        <w:overflowPunct/>
        <w:topLinePunct w:val="0"/>
        <w:bidi w:val="0"/>
        <w:spacing w:after="0" w:line="288" w:lineRule="auto"/>
        <w:ind w:firstLine="435"/>
        <w:rPr>
          <w:rFonts w:ascii="Arial" w:hAnsi="Arial" w:cs="Arial"/>
          <w:szCs w:val="21"/>
        </w:rPr>
      </w:pPr>
      <w:r>
        <w:rPr>
          <w:rFonts w:ascii="Arial" w:hAnsi="Arial" w:cs="Arial"/>
          <w:szCs w:val="21"/>
        </w:rPr>
        <w:t>10.1投标人认为招标文件使自己的合法权益受到损害的，</w:t>
      </w:r>
      <w:bookmarkStart w:id="13" w:name="_Hlk44336759"/>
      <w:r>
        <w:rPr>
          <w:rFonts w:ascii="Arial" w:hAnsi="Arial" w:cs="Arial"/>
          <w:szCs w:val="21"/>
        </w:rPr>
        <w:t>可以在本项目公告期限截止之日起七个工作日内</w:t>
      </w:r>
      <w:bookmarkEnd w:id="13"/>
      <w:r>
        <w:rPr>
          <w:rFonts w:ascii="Arial" w:hAnsi="Arial" w:cs="Arial"/>
          <w:szCs w:val="21"/>
        </w:rPr>
        <w:t>以书面形式向采购代理机构提出质疑；投标人认为招标过程或中标结果使自己的合法权益受到损害的，应当在各采购程序环节结束之日或中标公告期限届满之日起七个工作日内，以书面形式向采购代理机构提出质疑。采购代理机构应认真做好质疑处理工作。投标人在法定质疑期内应一次性提出与项目相关的质疑，投标人在提出与项目相关的质疑前应当做好全面且详细的工作，代理机构不再受理投标人针对同一采购程序环节的再次质疑</w:t>
      </w:r>
      <w:r>
        <w:rPr>
          <w:rFonts w:ascii="Arial" w:hAnsi="Arial" w:cs="Arial"/>
          <w:b/>
          <w:szCs w:val="21"/>
        </w:rPr>
        <w:t>（“质疑函”格式见附表1）</w:t>
      </w:r>
      <w:r>
        <w:rPr>
          <w:rFonts w:ascii="Arial" w:hAnsi="Arial" w:cs="Arial"/>
          <w:szCs w:val="21"/>
        </w:rPr>
        <w:t>。</w:t>
      </w:r>
    </w:p>
    <w:p>
      <w:pPr>
        <w:pageBreakBefore w:val="0"/>
        <w:tabs>
          <w:tab w:val="left" w:pos="2190"/>
        </w:tabs>
        <w:kinsoku/>
        <w:wordWrap/>
        <w:overflowPunct/>
        <w:topLinePunct w:val="0"/>
        <w:bidi w:val="0"/>
        <w:spacing w:after="0" w:line="288" w:lineRule="auto"/>
        <w:ind w:firstLine="435"/>
        <w:rPr>
          <w:rFonts w:ascii="Arial" w:hAnsi="Arial" w:cs="Arial"/>
          <w:szCs w:val="21"/>
        </w:rPr>
      </w:pPr>
      <w:r>
        <w:rPr>
          <w:rFonts w:ascii="Arial" w:hAnsi="Arial" w:cs="Arial"/>
          <w:szCs w:val="21"/>
        </w:rPr>
        <w:t>10.2投标人对采购代理机构的答复不满意或者采购代理机构未在规定的时间内作出答复的，可以在答复期满后十五个工作日内向</w:t>
      </w:r>
      <w:r>
        <w:rPr>
          <w:rFonts w:hint="eastAsia" w:ascii="宋体" w:hAnsi="宋体"/>
        </w:rPr>
        <w:t>阳朔县人民政府采购管理办公室</w:t>
      </w:r>
      <w:r>
        <w:rPr>
          <w:rFonts w:ascii="Arial" w:hAnsi="Arial" w:cs="Arial"/>
          <w:szCs w:val="21"/>
        </w:rPr>
        <w:t>投诉</w:t>
      </w:r>
      <w:r>
        <w:rPr>
          <w:rFonts w:ascii="Arial" w:hAnsi="Arial" w:cs="Arial"/>
          <w:b/>
          <w:szCs w:val="21"/>
        </w:rPr>
        <w:t>（“投诉书”格式见附表2）</w:t>
      </w:r>
      <w:r>
        <w:rPr>
          <w:rFonts w:ascii="Arial" w:hAnsi="Arial" w:cs="Arial"/>
          <w:szCs w:val="21"/>
        </w:rPr>
        <w:t>。</w:t>
      </w:r>
    </w:p>
    <w:p>
      <w:pPr>
        <w:pageBreakBefore w:val="0"/>
        <w:tabs>
          <w:tab w:val="left" w:pos="2190"/>
        </w:tabs>
        <w:kinsoku/>
        <w:wordWrap/>
        <w:overflowPunct/>
        <w:topLinePunct w:val="0"/>
        <w:bidi w:val="0"/>
        <w:spacing w:after="0" w:line="288" w:lineRule="auto"/>
        <w:ind w:firstLine="435"/>
        <w:rPr>
          <w:rFonts w:ascii="Arial" w:hAnsi="Arial" w:cs="Arial"/>
          <w:szCs w:val="21"/>
        </w:rPr>
      </w:pPr>
      <w:r>
        <w:rPr>
          <w:rFonts w:ascii="Arial" w:hAnsi="Arial" w:cs="Arial"/>
          <w:szCs w:val="21"/>
        </w:rPr>
        <w:t>10.3质疑、投诉应当采用书面形式，质疑书、投诉书实行实名制，均应明确阐述招标文件、招标过程或中标结果中使自己合法权益受到损害的实质性内容，并提供必要的证明材料。</w:t>
      </w:r>
    </w:p>
    <w:p>
      <w:pPr>
        <w:pageBreakBefore w:val="0"/>
        <w:tabs>
          <w:tab w:val="left" w:pos="2190"/>
        </w:tabs>
        <w:kinsoku/>
        <w:wordWrap/>
        <w:overflowPunct/>
        <w:topLinePunct w:val="0"/>
        <w:bidi w:val="0"/>
        <w:spacing w:after="0" w:line="288" w:lineRule="auto"/>
        <w:ind w:firstLine="435"/>
        <w:rPr>
          <w:rFonts w:ascii="Arial" w:hAnsi="Arial" w:cs="Arial"/>
          <w:szCs w:val="21"/>
        </w:rPr>
      </w:pPr>
      <w:r>
        <w:rPr>
          <w:rFonts w:ascii="Arial" w:hAnsi="Arial" w:cs="Arial"/>
          <w:szCs w:val="21"/>
        </w:rPr>
        <w:t>投标人提出质疑应当提交质疑函和必要的证明材料，针对同一采购程序环节的质疑必须在法定质疑期内一次性提出。质疑函应当包括下列内容：</w:t>
      </w:r>
    </w:p>
    <w:p>
      <w:pPr>
        <w:pageBreakBefore w:val="0"/>
        <w:tabs>
          <w:tab w:val="left" w:pos="2190"/>
        </w:tabs>
        <w:kinsoku/>
        <w:wordWrap/>
        <w:overflowPunct/>
        <w:topLinePunct w:val="0"/>
        <w:bidi w:val="0"/>
        <w:spacing w:after="0" w:line="288" w:lineRule="auto"/>
        <w:ind w:firstLine="435"/>
        <w:rPr>
          <w:rFonts w:ascii="Arial" w:hAnsi="Arial" w:cs="Arial"/>
          <w:szCs w:val="21"/>
        </w:rPr>
      </w:pPr>
      <w:r>
        <w:rPr>
          <w:rFonts w:ascii="Arial" w:hAnsi="Arial" w:cs="Arial"/>
          <w:szCs w:val="21"/>
        </w:rPr>
        <w:t>（1）供应商的姓名或者名称、地址、邮编、联系人及联系电话；</w:t>
      </w:r>
    </w:p>
    <w:p>
      <w:pPr>
        <w:pageBreakBefore w:val="0"/>
        <w:tabs>
          <w:tab w:val="left" w:pos="2190"/>
        </w:tabs>
        <w:kinsoku/>
        <w:wordWrap/>
        <w:overflowPunct/>
        <w:topLinePunct w:val="0"/>
        <w:bidi w:val="0"/>
        <w:spacing w:after="0" w:line="288" w:lineRule="auto"/>
        <w:ind w:firstLine="435"/>
        <w:rPr>
          <w:rFonts w:ascii="Arial" w:hAnsi="Arial" w:cs="Arial"/>
          <w:szCs w:val="21"/>
        </w:rPr>
      </w:pPr>
      <w:r>
        <w:rPr>
          <w:rFonts w:ascii="Arial" w:hAnsi="Arial" w:cs="Arial"/>
          <w:szCs w:val="21"/>
        </w:rPr>
        <w:t>（2）质疑项目的名称、编号；</w:t>
      </w:r>
    </w:p>
    <w:p>
      <w:pPr>
        <w:pageBreakBefore w:val="0"/>
        <w:tabs>
          <w:tab w:val="left" w:pos="2190"/>
        </w:tabs>
        <w:kinsoku/>
        <w:wordWrap/>
        <w:overflowPunct/>
        <w:topLinePunct w:val="0"/>
        <w:bidi w:val="0"/>
        <w:spacing w:after="0" w:line="288" w:lineRule="auto"/>
        <w:ind w:firstLine="435"/>
        <w:rPr>
          <w:rFonts w:ascii="Arial" w:hAnsi="Arial" w:cs="Arial"/>
          <w:szCs w:val="21"/>
        </w:rPr>
      </w:pPr>
      <w:r>
        <w:rPr>
          <w:rFonts w:ascii="Arial" w:hAnsi="Arial" w:cs="Arial"/>
          <w:szCs w:val="21"/>
        </w:rPr>
        <w:t>（3）具体、明确的质疑事项和与质疑事项相关的请求；</w:t>
      </w:r>
    </w:p>
    <w:p>
      <w:pPr>
        <w:pageBreakBefore w:val="0"/>
        <w:tabs>
          <w:tab w:val="left" w:pos="2190"/>
        </w:tabs>
        <w:kinsoku/>
        <w:wordWrap/>
        <w:overflowPunct/>
        <w:topLinePunct w:val="0"/>
        <w:bidi w:val="0"/>
        <w:spacing w:after="0" w:line="288" w:lineRule="auto"/>
        <w:ind w:firstLine="435"/>
        <w:rPr>
          <w:rFonts w:ascii="Arial" w:hAnsi="Arial" w:cs="Arial"/>
          <w:szCs w:val="21"/>
        </w:rPr>
      </w:pPr>
      <w:r>
        <w:rPr>
          <w:rFonts w:ascii="Arial" w:hAnsi="Arial" w:cs="Arial"/>
          <w:szCs w:val="21"/>
        </w:rPr>
        <w:t>（4）事实依据；</w:t>
      </w:r>
    </w:p>
    <w:p>
      <w:pPr>
        <w:pageBreakBefore w:val="0"/>
        <w:tabs>
          <w:tab w:val="left" w:pos="2190"/>
        </w:tabs>
        <w:kinsoku/>
        <w:wordWrap/>
        <w:overflowPunct/>
        <w:topLinePunct w:val="0"/>
        <w:bidi w:val="0"/>
        <w:spacing w:after="0" w:line="288" w:lineRule="auto"/>
        <w:ind w:firstLine="435"/>
        <w:rPr>
          <w:rFonts w:ascii="Arial" w:hAnsi="Arial" w:cs="Arial"/>
          <w:szCs w:val="21"/>
        </w:rPr>
      </w:pPr>
      <w:r>
        <w:rPr>
          <w:rFonts w:ascii="Arial" w:hAnsi="Arial" w:cs="Arial"/>
          <w:szCs w:val="21"/>
        </w:rPr>
        <w:t>（5）必要的法律依据；</w:t>
      </w:r>
    </w:p>
    <w:p>
      <w:pPr>
        <w:pageBreakBefore w:val="0"/>
        <w:tabs>
          <w:tab w:val="left" w:pos="2190"/>
        </w:tabs>
        <w:kinsoku/>
        <w:wordWrap/>
        <w:overflowPunct/>
        <w:topLinePunct w:val="0"/>
        <w:bidi w:val="0"/>
        <w:spacing w:after="0" w:line="288" w:lineRule="auto"/>
        <w:ind w:firstLine="435"/>
        <w:rPr>
          <w:rFonts w:ascii="Arial" w:hAnsi="Arial" w:cs="Arial"/>
          <w:szCs w:val="21"/>
        </w:rPr>
      </w:pPr>
      <w:r>
        <w:rPr>
          <w:rFonts w:ascii="Arial" w:hAnsi="Arial" w:cs="Arial"/>
          <w:szCs w:val="21"/>
        </w:rPr>
        <w:t>（6）提出质疑的日期。</w:t>
      </w:r>
    </w:p>
    <w:p>
      <w:pPr>
        <w:pageBreakBefore w:val="0"/>
        <w:tabs>
          <w:tab w:val="left" w:pos="2190"/>
        </w:tabs>
        <w:kinsoku/>
        <w:wordWrap/>
        <w:overflowPunct/>
        <w:topLinePunct w:val="0"/>
        <w:bidi w:val="0"/>
        <w:spacing w:after="0" w:line="288" w:lineRule="auto"/>
        <w:ind w:firstLine="435"/>
        <w:rPr>
          <w:rFonts w:ascii="Arial" w:hAnsi="Arial" w:cs="Arial"/>
          <w:szCs w:val="21"/>
        </w:rPr>
      </w:pPr>
      <w:r>
        <w:rPr>
          <w:rFonts w:ascii="Arial" w:hAnsi="Arial" w:cs="Arial"/>
          <w:szCs w:val="21"/>
        </w:rPr>
        <w:t>供应商为自然人的，应当由本人签字；供应商为法人或者其他组织的，应当由法定代表人、主要负责人，或者其授权代表签字或者盖章，并加盖公章。</w:t>
      </w:r>
    </w:p>
    <w:p>
      <w:pPr>
        <w:pageBreakBefore w:val="0"/>
        <w:tabs>
          <w:tab w:val="left" w:pos="2190"/>
        </w:tabs>
        <w:kinsoku/>
        <w:wordWrap/>
        <w:overflowPunct/>
        <w:topLinePunct w:val="0"/>
        <w:bidi w:val="0"/>
        <w:spacing w:after="0" w:line="288" w:lineRule="auto"/>
        <w:ind w:firstLine="435"/>
        <w:rPr>
          <w:rFonts w:ascii="Arial" w:hAnsi="Arial" w:cs="Arial"/>
          <w:szCs w:val="21"/>
        </w:rPr>
      </w:pPr>
      <w:r>
        <w:rPr>
          <w:rFonts w:ascii="Arial" w:hAnsi="Arial" w:cs="Arial"/>
          <w:szCs w:val="21"/>
        </w:rPr>
        <w:t>接收质疑函方式：以书面形式</w:t>
      </w:r>
    </w:p>
    <w:p>
      <w:pPr>
        <w:pageBreakBefore w:val="0"/>
        <w:tabs>
          <w:tab w:val="left" w:pos="2190"/>
        </w:tabs>
        <w:kinsoku/>
        <w:wordWrap/>
        <w:overflowPunct/>
        <w:topLinePunct w:val="0"/>
        <w:bidi w:val="0"/>
        <w:spacing w:after="0" w:line="288" w:lineRule="auto"/>
        <w:ind w:firstLine="435"/>
        <w:jc w:val="left"/>
        <w:rPr>
          <w:rFonts w:ascii="Arial" w:hAnsi="Arial" w:cs="Arial"/>
          <w:b/>
          <w:sz w:val="28"/>
          <w:szCs w:val="28"/>
        </w:rPr>
      </w:pPr>
      <w:r>
        <w:rPr>
          <w:rFonts w:ascii="Arial" w:hAnsi="Arial" w:cs="Arial"/>
          <w:szCs w:val="21"/>
        </w:rPr>
        <w:t>质疑联系部门及联系方式：广西机电设备招标有限公司，联系人：</w:t>
      </w:r>
      <w:r>
        <w:rPr>
          <w:rFonts w:hint="eastAsia" w:ascii="Arial" w:hAnsi="Arial" w:cs="Arial"/>
          <w:szCs w:val="21"/>
        </w:rPr>
        <w:t>曾昭卉</w:t>
      </w:r>
      <w:r>
        <w:rPr>
          <w:rFonts w:ascii="Arial" w:hAnsi="Arial" w:cs="Arial"/>
          <w:szCs w:val="21"/>
        </w:rPr>
        <w:t>，联系电话：</w:t>
      </w:r>
      <w:r>
        <w:rPr>
          <w:rFonts w:hint="eastAsia" w:ascii="Arial" w:hAnsi="Arial" w:cs="Arial"/>
          <w:szCs w:val="21"/>
        </w:rPr>
        <w:t>0773-3696789转2</w:t>
      </w:r>
      <w:r>
        <w:rPr>
          <w:rFonts w:ascii="Arial" w:hAnsi="Arial" w:cs="Arial"/>
          <w:szCs w:val="21"/>
        </w:rPr>
        <w:t>。通讯地址：</w:t>
      </w:r>
      <w:r>
        <w:rPr>
          <w:rFonts w:ascii="Arial" w:hAnsi="Arial" w:cs="Arial"/>
        </w:rPr>
        <w:t>广西桂林市七星区骖鸾路31号湘商大厦603</w:t>
      </w:r>
      <w:r>
        <w:rPr>
          <w:rFonts w:ascii="Arial" w:hAnsi="Arial" w:cs="Arial"/>
          <w:szCs w:val="21"/>
        </w:rPr>
        <w:t>广西机电设备招标有限公司。</w:t>
      </w:r>
    </w:p>
    <w:p>
      <w:pPr>
        <w:pageBreakBefore w:val="0"/>
        <w:tabs>
          <w:tab w:val="left" w:pos="2190"/>
        </w:tabs>
        <w:kinsoku/>
        <w:wordWrap/>
        <w:overflowPunct/>
        <w:topLinePunct w:val="0"/>
        <w:bidi w:val="0"/>
        <w:spacing w:after="0" w:line="288" w:lineRule="auto"/>
        <w:ind w:firstLine="435"/>
        <w:jc w:val="center"/>
        <w:rPr>
          <w:rFonts w:ascii="Arial" w:hAnsi="Arial" w:cs="Arial"/>
          <w:b/>
          <w:sz w:val="28"/>
          <w:szCs w:val="28"/>
        </w:rPr>
      </w:pPr>
    </w:p>
    <w:p>
      <w:pPr>
        <w:pageBreakBefore w:val="0"/>
        <w:tabs>
          <w:tab w:val="left" w:pos="2190"/>
        </w:tabs>
        <w:kinsoku/>
        <w:wordWrap/>
        <w:overflowPunct/>
        <w:topLinePunct w:val="0"/>
        <w:bidi w:val="0"/>
        <w:spacing w:after="0" w:line="288" w:lineRule="auto"/>
        <w:ind w:firstLine="435"/>
        <w:jc w:val="center"/>
        <w:rPr>
          <w:rFonts w:ascii="Arial" w:hAnsi="Arial" w:cs="Arial"/>
          <w:b/>
          <w:sz w:val="28"/>
          <w:szCs w:val="28"/>
        </w:rPr>
      </w:pPr>
      <w:r>
        <w:rPr>
          <w:rFonts w:ascii="Arial" w:hAnsi="Arial" w:cs="Arial"/>
          <w:b/>
          <w:sz w:val="28"/>
          <w:szCs w:val="28"/>
        </w:rPr>
        <w:t>二、招标文件</w:t>
      </w:r>
    </w:p>
    <w:p>
      <w:pPr>
        <w:pageBreakBefore w:val="0"/>
        <w:tabs>
          <w:tab w:val="left" w:pos="2190"/>
        </w:tabs>
        <w:kinsoku/>
        <w:wordWrap/>
        <w:overflowPunct/>
        <w:topLinePunct w:val="0"/>
        <w:bidi w:val="0"/>
        <w:spacing w:after="0" w:line="288" w:lineRule="auto"/>
        <w:ind w:firstLine="437"/>
        <w:rPr>
          <w:rFonts w:ascii="Arial" w:hAnsi="Arial" w:cs="Arial"/>
          <w:b/>
          <w:szCs w:val="21"/>
        </w:rPr>
      </w:pPr>
      <w:r>
        <w:rPr>
          <w:rFonts w:ascii="Arial" w:hAnsi="Arial" w:cs="Arial"/>
          <w:b/>
          <w:szCs w:val="21"/>
        </w:rPr>
        <w:t>11. 招标文件的构成</w:t>
      </w:r>
    </w:p>
    <w:p>
      <w:pPr>
        <w:pageBreakBefore w:val="0"/>
        <w:tabs>
          <w:tab w:val="left" w:pos="2190"/>
        </w:tabs>
        <w:kinsoku/>
        <w:wordWrap/>
        <w:overflowPunct/>
        <w:topLinePunct w:val="0"/>
        <w:bidi w:val="0"/>
        <w:spacing w:after="0" w:line="288" w:lineRule="auto"/>
        <w:ind w:firstLine="437"/>
        <w:rPr>
          <w:rFonts w:ascii="Arial" w:hAnsi="Arial" w:cs="Arial"/>
          <w:szCs w:val="21"/>
        </w:rPr>
      </w:pPr>
      <w:r>
        <w:rPr>
          <w:rFonts w:ascii="Arial" w:hAnsi="Arial" w:cs="Arial"/>
          <w:szCs w:val="21"/>
        </w:rPr>
        <w:t>（1）招标公告；</w:t>
      </w:r>
    </w:p>
    <w:p>
      <w:pPr>
        <w:pageBreakBefore w:val="0"/>
        <w:tabs>
          <w:tab w:val="left" w:pos="2190"/>
        </w:tabs>
        <w:kinsoku/>
        <w:wordWrap/>
        <w:overflowPunct/>
        <w:topLinePunct w:val="0"/>
        <w:bidi w:val="0"/>
        <w:spacing w:after="0" w:line="288" w:lineRule="auto"/>
        <w:ind w:firstLine="437"/>
        <w:rPr>
          <w:rFonts w:ascii="Arial" w:hAnsi="Arial" w:cs="Arial"/>
          <w:szCs w:val="21"/>
        </w:rPr>
      </w:pPr>
      <w:r>
        <w:rPr>
          <w:rFonts w:ascii="Arial" w:hAnsi="Arial" w:cs="Arial"/>
          <w:szCs w:val="21"/>
        </w:rPr>
        <w:t>（2）投标人须知；</w:t>
      </w:r>
    </w:p>
    <w:p>
      <w:pPr>
        <w:pageBreakBefore w:val="0"/>
        <w:tabs>
          <w:tab w:val="left" w:pos="2190"/>
        </w:tabs>
        <w:kinsoku/>
        <w:wordWrap/>
        <w:overflowPunct/>
        <w:topLinePunct w:val="0"/>
        <w:bidi w:val="0"/>
        <w:spacing w:after="0" w:line="288" w:lineRule="auto"/>
        <w:ind w:firstLine="437"/>
        <w:rPr>
          <w:rFonts w:ascii="Arial" w:hAnsi="Arial" w:cs="Arial"/>
          <w:szCs w:val="21"/>
        </w:rPr>
      </w:pPr>
      <w:r>
        <w:rPr>
          <w:rFonts w:ascii="Arial" w:hAnsi="Arial" w:cs="Arial"/>
          <w:szCs w:val="21"/>
        </w:rPr>
        <w:t>（3）货物采购需求；</w:t>
      </w:r>
    </w:p>
    <w:p>
      <w:pPr>
        <w:pageBreakBefore w:val="0"/>
        <w:tabs>
          <w:tab w:val="left" w:pos="2190"/>
        </w:tabs>
        <w:kinsoku/>
        <w:wordWrap/>
        <w:overflowPunct/>
        <w:topLinePunct w:val="0"/>
        <w:bidi w:val="0"/>
        <w:spacing w:after="0" w:line="288" w:lineRule="auto"/>
        <w:ind w:firstLine="437"/>
        <w:rPr>
          <w:rFonts w:ascii="Arial" w:hAnsi="Arial" w:cs="Arial"/>
          <w:szCs w:val="21"/>
        </w:rPr>
      </w:pPr>
      <w:r>
        <w:rPr>
          <w:rFonts w:ascii="Arial" w:hAnsi="Arial" w:cs="Arial"/>
          <w:szCs w:val="21"/>
        </w:rPr>
        <w:t>（4）评标办法；</w:t>
      </w:r>
    </w:p>
    <w:p>
      <w:pPr>
        <w:pageBreakBefore w:val="0"/>
        <w:tabs>
          <w:tab w:val="left" w:pos="2190"/>
        </w:tabs>
        <w:kinsoku/>
        <w:wordWrap/>
        <w:overflowPunct/>
        <w:topLinePunct w:val="0"/>
        <w:bidi w:val="0"/>
        <w:spacing w:after="0" w:line="288" w:lineRule="auto"/>
        <w:ind w:firstLine="437"/>
        <w:rPr>
          <w:rFonts w:ascii="Arial" w:hAnsi="Arial" w:cs="Arial"/>
          <w:szCs w:val="21"/>
        </w:rPr>
      </w:pPr>
      <w:r>
        <w:rPr>
          <w:rFonts w:ascii="Arial" w:hAnsi="Arial" w:cs="Arial"/>
          <w:szCs w:val="21"/>
        </w:rPr>
        <w:t>（5）政府采购合同（合同主要条款及格式）；</w:t>
      </w:r>
    </w:p>
    <w:p>
      <w:pPr>
        <w:pageBreakBefore w:val="0"/>
        <w:tabs>
          <w:tab w:val="left" w:pos="2190"/>
          <w:tab w:val="right" w:pos="9638"/>
        </w:tabs>
        <w:kinsoku/>
        <w:wordWrap/>
        <w:overflowPunct/>
        <w:topLinePunct w:val="0"/>
        <w:bidi w:val="0"/>
        <w:spacing w:after="0" w:line="288" w:lineRule="auto"/>
        <w:ind w:firstLine="437"/>
        <w:rPr>
          <w:rFonts w:ascii="Arial" w:hAnsi="Arial" w:cs="Arial"/>
          <w:szCs w:val="21"/>
        </w:rPr>
      </w:pPr>
      <w:r>
        <w:rPr>
          <w:rFonts w:ascii="Arial" w:hAnsi="Arial" w:cs="Arial"/>
          <w:szCs w:val="21"/>
        </w:rPr>
        <w:t>（6）投标文件（格式）。</w:t>
      </w:r>
      <w:r>
        <w:rPr>
          <w:rFonts w:ascii="Arial" w:hAnsi="Arial" w:cs="Arial"/>
          <w:szCs w:val="21"/>
        </w:rPr>
        <w:tab/>
      </w:r>
    </w:p>
    <w:p>
      <w:pPr>
        <w:pageBreakBefore w:val="0"/>
        <w:tabs>
          <w:tab w:val="left" w:pos="2190"/>
        </w:tabs>
        <w:kinsoku/>
        <w:wordWrap/>
        <w:overflowPunct/>
        <w:topLinePunct w:val="0"/>
        <w:bidi w:val="0"/>
        <w:spacing w:after="0" w:line="288" w:lineRule="auto"/>
        <w:ind w:firstLine="437"/>
        <w:rPr>
          <w:rFonts w:ascii="Arial" w:hAnsi="Arial" w:cs="Arial"/>
          <w:b/>
          <w:szCs w:val="21"/>
        </w:rPr>
      </w:pPr>
      <w:r>
        <w:rPr>
          <w:rFonts w:ascii="Arial" w:hAnsi="Arial" w:cs="Arial"/>
          <w:b/>
          <w:szCs w:val="21"/>
        </w:rPr>
        <w:t>12. 招标文件的澄清与修改</w:t>
      </w:r>
    </w:p>
    <w:p>
      <w:pPr>
        <w:pageBreakBefore w:val="0"/>
        <w:tabs>
          <w:tab w:val="left" w:pos="2190"/>
        </w:tabs>
        <w:kinsoku/>
        <w:wordWrap/>
        <w:overflowPunct/>
        <w:topLinePunct w:val="0"/>
        <w:bidi w:val="0"/>
        <w:spacing w:after="0" w:line="288" w:lineRule="auto"/>
        <w:ind w:firstLine="437"/>
        <w:rPr>
          <w:rFonts w:ascii="Arial" w:hAnsi="Arial" w:cs="Arial"/>
          <w:szCs w:val="21"/>
        </w:rPr>
      </w:pPr>
      <w:r>
        <w:rPr>
          <w:rFonts w:ascii="Arial" w:hAnsi="Arial" w:cs="Arial"/>
          <w:szCs w:val="21"/>
        </w:rPr>
        <w:t>12.1投标人应认真阅读招标文件，发现其中有误或有不合理要求的，投标人可以在本项目公告期限截止之日起七个工作日内以书面形式要求采购代理机构澄清。</w:t>
      </w:r>
    </w:p>
    <w:p>
      <w:pPr>
        <w:pageBreakBefore w:val="0"/>
        <w:tabs>
          <w:tab w:val="left" w:pos="2190"/>
        </w:tabs>
        <w:kinsoku/>
        <w:wordWrap/>
        <w:overflowPunct/>
        <w:topLinePunct w:val="0"/>
        <w:bidi w:val="0"/>
        <w:spacing w:after="0" w:line="288" w:lineRule="auto"/>
        <w:ind w:firstLine="437"/>
        <w:rPr>
          <w:rFonts w:ascii="Arial" w:hAnsi="Arial" w:cs="Arial"/>
          <w:szCs w:val="21"/>
        </w:rPr>
      </w:pPr>
      <w:r>
        <w:rPr>
          <w:rFonts w:ascii="Arial" w:hAnsi="Arial" w:cs="Arial"/>
          <w:szCs w:val="21"/>
        </w:rPr>
        <w:t>12.2采购代理机构可以对已发出的招标文件进行必要的澄清或者修改，但不得改变采购标的和资格条件。澄清或者修改应当在原公告发布媒体上发布澄清公告。澄清或者修改的内容为招标文件的组成部分。澄清或者修改的内容可能影响投标文件编制的，采购代理机构应当在投标截止时间至少15日前在本招标项目招标公告发布的同一媒体上发布更正公告；不足15日的，采购代理机构应当顺延提交投标文件的截止时间。</w:t>
      </w:r>
    </w:p>
    <w:p>
      <w:pPr>
        <w:pageBreakBefore w:val="0"/>
        <w:tabs>
          <w:tab w:val="left" w:pos="2190"/>
        </w:tabs>
        <w:kinsoku/>
        <w:wordWrap/>
        <w:overflowPunct/>
        <w:topLinePunct w:val="0"/>
        <w:bidi w:val="0"/>
        <w:spacing w:after="0" w:line="288" w:lineRule="auto"/>
        <w:ind w:firstLine="437"/>
        <w:rPr>
          <w:rFonts w:ascii="Arial" w:hAnsi="Arial" w:cs="Arial"/>
          <w:szCs w:val="21"/>
        </w:rPr>
      </w:pPr>
      <w:r>
        <w:rPr>
          <w:rFonts w:ascii="Arial" w:hAnsi="Arial" w:cs="Arial"/>
          <w:szCs w:val="21"/>
        </w:rPr>
        <w:t>12.3必要的澄清、修改的内容为招标文件的组成部分。当澄清、修改通知就同一内容的表述不一致时，以最后发出的书面文件为准。</w:t>
      </w:r>
    </w:p>
    <w:p>
      <w:pPr>
        <w:pageBreakBefore w:val="0"/>
        <w:tabs>
          <w:tab w:val="left" w:pos="2190"/>
        </w:tabs>
        <w:kinsoku/>
        <w:wordWrap/>
        <w:overflowPunct/>
        <w:topLinePunct w:val="0"/>
        <w:bidi w:val="0"/>
        <w:spacing w:after="0" w:line="288" w:lineRule="auto"/>
        <w:ind w:firstLine="437"/>
        <w:rPr>
          <w:rFonts w:ascii="Arial" w:hAnsi="Arial" w:cs="Arial"/>
          <w:szCs w:val="21"/>
        </w:rPr>
      </w:pPr>
      <w:r>
        <w:rPr>
          <w:rFonts w:ascii="Arial" w:hAnsi="Arial" w:cs="Arial"/>
          <w:szCs w:val="21"/>
        </w:rPr>
        <w:t>12.4招标文件的澄清、修改都应该通过采购代理机构以法定形式发布，采购人非通过本机构，不得擅自澄清、修改招标文件。</w:t>
      </w:r>
    </w:p>
    <w:p>
      <w:pPr>
        <w:pageBreakBefore w:val="0"/>
        <w:tabs>
          <w:tab w:val="left" w:pos="2190"/>
        </w:tabs>
        <w:kinsoku/>
        <w:wordWrap/>
        <w:overflowPunct/>
        <w:topLinePunct w:val="0"/>
        <w:bidi w:val="0"/>
        <w:spacing w:after="0" w:line="288" w:lineRule="auto"/>
        <w:ind w:firstLine="437"/>
        <w:rPr>
          <w:rFonts w:ascii="Arial" w:hAnsi="Arial" w:cs="Arial"/>
          <w:szCs w:val="21"/>
        </w:rPr>
      </w:pPr>
      <w:r>
        <w:rPr>
          <w:rFonts w:ascii="Arial" w:hAnsi="Arial" w:cs="Arial"/>
          <w:szCs w:val="21"/>
        </w:rPr>
        <w:t xml:space="preserve">12.5采购人或者采购代理机构可以视采购具体情况，延长投标截止时间和开标时间，并在本项目招标公告发布的同一媒体上发布变更公告。 </w:t>
      </w:r>
    </w:p>
    <w:p>
      <w:pPr>
        <w:pageBreakBefore w:val="0"/>
        <w:tabs>
          <w:tab w:val="left" w:pos="2190"/>
        </w:tabs>
        <w:kinsoku/>
        <w:wordWrap/>
        <w:overflowPunct/>
        <w:topLinePunct w:val="0"/>
        <w:bidi w:val="0"/>
        <w:spacing w:after="0" w:line="288" w:lineRule="auto"/>
        <w:ind w:firstLine="435"/>
        <w:rPr>
          <w:rFonts w:ascii="Arial" w:hAnsi="Arial" w:cs="Arial"/>
          <w:szCs w:val="21"/>
        </w:rPr>
      </w:pPr>
    </w:p>
    <w:p>
      <w:pPr>
        <w:pageBreakBefore w:val="0"/>
        <w:tabs>
          <w:tab w:val="left" w:pos="2190"/>
        </w:tabs>
        <w:kinsoku/>
        <w:wordWrap/>
        <w:overflowPunct/>
        <w:topLinePunct w:val="0"/>
        <w:bidi w:val="0"/>
        <w:spacing w:after="0" w:line="288" w:lineRule="auto"/>
        <w:ind w:firstLine="435"/>
        <w:jc w:val="center"/>
        <w:rPr>
          <w:rFonts w:ascii="Arial" w:hAnsi="Arial" w:cs="Arial"/>
          <w:b/>
          <w:sz w:val="28"/>
          <w:szCs w:val="28"/>
        </w:rPr>
      </w:pPr>
      <w:r>
        <w:rPr>
          <w:rFonts w:ascii="Arial" w:hAnsi="Arial" w:cs="Arial"/>
          <w:b/>
          <w:sz w:val="28"/>
          <w:szCs w:val="28"/>
        </w:rPr>
        <w:t>三、投标文件的编制</w:t>
      </w:r>
    </w:p>
    <w:p>
      <w:pPr>
        <w:pageBreakBefore w:val="0"/>
        <w:tabs>
          <w:tab w:val="left" w:pos="1305"/>
        </w:tabs>
        <w:kinsoku/>
        <w:wordWrap/>
        <w:overflowPunct/>
        <w:topLinePunct w:val="0"/>
        <w:bidi w:val="0"/>
        <w:spacing w:after="0" w:line="288" w:lineRule="auto"/>
        <w:ind w:firstLine="420" w:firstLineChars="200"/>
        <w:rPr>
          <w:rFonts w:ascii="Arial" w:hAnsi="Arial" w:cs="Arial"/>
          <w:b/>
          <w:szCs w:val="21"/>
        </w:rPr>
      </w:pPr>
      <w:r>
        <w:rPr>
          <w:rFonts w:ascii="Arial" w:hAnsi="Arial" w:cs="Arial"/>
          <w:b/>
          <w:szCs w:val="21"/>
        </w:rPr>
        <w:t>13. 投标文件的组成及要求</w:t>
      </w:r>
    </w:p>
    <w:p>
      <w:pPr>
        <w:pageBreakBefore w:val="0"/>
        <w:tabs>
          <w:tab w:val="left" w:pos="2190"/>
        </w:tabs>
        <w:kinsoku/>
        <w:wordWrap/>
        <w:overflowPunct/>
        <w:topLinePunct w:val="0"/>
        <w:bidi w:val="0"/>
        <w:spacing w:after="0" w:line="288" w:lineRule="auto"/>
        <w:ind w:firstLine="435"/>
        <w:rPr>
          <w:rFonts w:ascii="Arial" w:hAnsi="Arial" w:cs="Arial"/>
          <w:b/>
          <w:szCs w:val="21"/>
        </w:rPr>
      </w:pPr>
      <w:r>
        <w:rPr>
          <w:rFonts w:ascii="Arial" w:hAnsi="Arial" w:cs="Arial"/>
          <w:b/>
          <w:szCs w:val="21"/>
        </w:rPr>
        <w:t>13.1本项目实行电子投标，供应商应准备电子投标文件。</w:t>
      </w:r>
    </w:p>
    <w:p>
      <w:pPr>
        <w:pageBreakBefore w:val="0"/>
        <w:tabs>
          <w:tab w:val="left" w:pos="2190"/>
        </w:tabs>
        <w:kinsoku/>
        <w:wordWrap/>
        <w:overflowPunct/>
        <w:topLinePunct w:val="0"/>
        <w:bidi w:val="0"/>
        <w:spacing w:after="0" w:line="288" w:lineRule="auto"/>
        <w:ind w:firstLine="435"/>
        <w:rPr>
          <w:rFonts w:ascii="Arial" w:hAnsi="Arial" w:cs="Arial"/>
          <w:b/>
          <w:szCs w:val="21"/>
        </w:rPr>
      </w:pPr>
      <w:r>
        <w:rPr>
          <w:rFonts w:ascii="Arial" w:hAnsi="Arial" w:cs="Arial"/>
          <w:b/>
          <w:szCs w:val="21"/>
        </w:rPr>
        <w:t>13.1.1 电子投标文件按广西政府采购云平台要求及本招标文件要求制作、加密并递交。具体操作流程可参考《政府采购项目电子交易管理操作指南-供应商》，指南可在 “http</w:t>
      </w:r>
      <w:r>
        <w:rPr>
          <w:rFonts w:hint="eastAsia" w:ascii="Arial" w:hAnsi="Arial" w:cs="Arial"/>
          <w:b/>
          <w:szCs w:val="21"/>
        </w:rPr>
        <w:t>：</w:t>
      </w:r>
      <w:r>
        <w:rPr>
          <w:rFonts w:ascii="Arial" w:hAnsi="Arial" w:cs="Arial"/>
          <w:b/>
          <w:szCs w:val="21"/>
        </w:rPr>
        <w:t>//www.ccgp-guangxi.gov.cn/PurchaseAdvisory/ImportantNotice/2866753.html”下载。</w:t>
      </w:r>
    </w:p>
    <w:p>
      <w:pPr>
        <w:pageBreakBefore w:val="0"/>
        <w:tabs>
          <w:tab w:val="left" w:pos="2190"/>
        </w:tabs>
        <w:kinsoku/>
        <w:wordWrap/>
        <w:overflowPunct/>
        <w:topLinePunct w:val="0"/>
        <w:bidi w:val="0"/>
        <w:spacing w:after="0" w:line="288" w:lineRule="auto"/>
        <w:ind w:firstLine="435"/>
        <w:rPr>
          <w:rFonts w:ascii="Arial" w:hAnsi="Arial" w:cs="Arial"/>
          <w:b/>
          <w:szCs w:val="21"/>
        </w:rPr>
      </w:pPr>
      <w:r>
        <w:rPr>
          <w:rFonts w:ascii="Arial" w:hAnsi="Arial" w:cs="Arial"/>
          <w:b/>
          <w:bCs/>
          <w:szCs w:val="21"/>
        </w:rPr>
        <w:t>13.2投标</w:t>
      </w:r>
      <w:r>
        <w:rPr>
          <w:rFonts w:ascii="Arial" w:hAnsi="Arial" w:cs="Arial"/>
          <w:b/>
          <w:szCs w:val="21"/>
        </w:rPr>
        <w:t>文件组成【格式见第六章“投标文件（格式）”】</w:t>
      </w:r>
    </w:p>
    <w:p>
      <w:pPr>
        <w:pageBreakBefore w:val="0"/>
        <w:kinsoku/>
        <w:wordWrap/>
        <w:overflowPunct/>
        <w:topLinePunct w:val="0"/>
        <w:bidi w:val="0"/>
        <w:snapToGrid w:val="0"/>
        <w:spacing w:after="0" w:line="288" w:lineRule="auto"/>
        <w:ind w:firstLine="420" w:firstLineChars="200"/>
        <w:outlineLvl w:val="4"/>
        <w:rPr>
          <w:rFonts w:ascii="Arial" w:hAnsi="Arial" w:cs="Arial"/>
          <w:szCs w:val="21"/>
        </w:rPr>
      </w:pPr>
      <w:r>
        <w:rPr>
          <w:rFonts w:ascii="Arial" w:hAnsi="Arial" w:cs="Arial"/>
          <w:szCs w:val="21"/>
        </w:rPr>
        <w:t>13.2.1</w:t>
      </w:r>
      <w:bookmarkStart w:id="14" w:name="_Hlk35097745"/>
      <w:r>
        <w:rPr>
          <w:rFonts w:ascii="Arial" w:hAnsi="Arial" w:cs="Arial"/>
          <w:szCs w:val="21"/>
        </w:rPr>
        <w:t>投标报价表</w:t>
      </w:r>
      <w:bookmarkEnd w:id="14"/>
      <w:r>
        <w:rPr>
          <w:rFonts w:ascii="Arial" w:hAnsi="Arial" w:cs="Arial"/>
          <w:b/>
          <w:bCs/>
          <w:szCs w:val="21"/>
        </w:rPr>
        <w:t>（格式见附件）（必须提供）</w:t>
      </w:r>
      <w:r>
        <w:rPr>
          <w:rFonts w:ascii="Arial" w:hAnsi="Arial" w:cs="Arial"/>
          <w:szCs w:val="21"/>
        </w:rPr>
        <w:t>；</w:t>
      </w:r>
    </w:p>
    <w:p>
      <w:pPr>
        <w:pageBreakBefore w:val="0"/>
        <w:kinsoku/>
        <w:wordWrap/>
        <w:overflowPunct/>
        <w:topLinePunct w:val="0"/>
        <w:bidi w:val="0"/>
        <w:snapToGrid w:val="0"/>
        <w:spacing w:after="0" w:line="288" w:lineRule="auto"/>
        <w:ind w:firstLine="420" w:firstLineChars="200"/>
        <w:outlineLvl w:val="4"/>
        <w:rPr>
          <w:rFonts w:ascii="Arial" w:hAnsi="Arial" w:cs="Arial"/>
          <w:szCs w:val="21"/>
        </w:rPr>
      </w:pPr>
      <w:r>
        <w:rPr>
          <w:rFonts w:ascii="Arial" w:hAnsi="Arial" w:cs="Arial"/>
          <w:szCs w:val="21"/>
        </w:rPr>
        <w:t>13.2.2资格性响应证明材料：</w:t>
      </w:r>
    </w:p>
    <w:p>
      <w:pPr>
        <w:pageBreakBefore w:val="0"/>
        <w:tabs>
          <w:tab w:val="left" w:pos="1305"/>
        </w:tabs>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（1）响应声明书</w:t>
      </w:r>
      <w:r>
        <w:rPr>
          <w:rFonts w:ascii="Arial" w:hAnsi="Arial" w:cs="Arial"/>
          <w:b/>
          <w:bCs/>
          <w:szCs w:val="21"/>
        </w:rPr>
        <w:t>（必须提供）；</w:t>
      </w:r>
    </w:p>
    <w:p>
      <w:pPr>
        <w:pageBreakBefore w:val="0"/>
        <w:tabs>
          <w:tab w:val="left" w:pos="1305"/>
        </w:tabs>
        <w:kinsoku/>
        <w:wordWrap/>
        <w:overflowPunct/>
        <w:topLinePunct w:val="0"/>
        <w:bidi w:val="0"/>
        <w:spacing w:after="0" w:line="288" w:lineRule="auto"/>
        <w:ind w:firstLine="420" w:firstLineChars="200"/>
        <w:rPr>
          <w:rFonts w:ascii="Arial" w:hAnsi="Arial" w:cs="Arial"/>
          <w:szCs w:val="21"/>
        </w:rPr>
      </w:pPr>
      <w:r>
        <w:rPr>
          <w:rFonts w:hint="eastAsia" w:ascii="Arial" w:hAnsi="Arial" w:cs="Arial"/>
          <w:szCs w:val="21"/>
        </w:rPr>
        <w:t>（2）</w:t>
      </w:r>
      <w:r>
        <w:rPr>
          <w:rFonts w:ascii="Arial" w:hAnsi="Arial" w:cs="Arial"/>
          <w:szCs w:val="21"/>
        </w:rPr>
        <w:t>投标人相应的法定代表人、负责人、自然人身份证正反面复印件</w:t>
      </w:r>
      <w:r>
        <w:rPr>
          <w:rFonts w:ascii="Arial" w:hAnsi="Arial" w:cs="Arial"/>
          <w:b/>
          <w:bCs/>
          <w:szCs w:val="21"/>
        </w:rPr>
        <w:t>（必须提供）；</w:t>
      </w:r>
    </w:p>
    <w:p>
      <w:pPr>
        <w:pageBreakBefore w:val="0"/>
        <w:tabs>
          <w:tab w:val="left" w:pos="1305"/>
        </w:tabs>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w:t>
      </w:r>
      <w:r>
        <w:rPr>
          <w:rFonts w:hint="eastAsia" w:ascii="Arial" w:hAnsi="Arial" w:cs="Arial"/>
          <w:szCs w:val="21"/>
        </w:rPr>
        <w:t>3</w:t>
      </w:r>
      <w:r>
        <w:rPr>
          <w:rFonts w:ascii="Arial" w:hAnsi="Arial" w:cs="Arial"/>
          <w:szCs w:val="21"/>
        </w:rPr>
        <w:t>）</w:t>
      </w:r>
      <w:bookmarkStart w:id="15" w:name="OLE_LINK3"/>
      <w:r>
        <w:rPr>
          <w:rFonts w:ascii="Arial" w:hAnsi="Arial" w:cs="Arial"/>
          <w:szCs w:val="21"/>
        </w:rPr>
        <w:t>投标人的法人授权委托书原件（格式见附件）、委托代理人有效的身份证正反两面复印件以及由县级以上（含县级）社会养老保险经办机构出具的投标人为委托代理人交纳的</w:t>
      </w:r>
      <w:r>
        <w:rPr>
          <w:rFonts w:hint="eastAsia" w:ascii="Arial" w:hAnsi="Arial" w:cs="Arial"/>
          <w:szCs w:val="21"/>
        </w:rPr>
        <w:t>投标截止时间前6个月内任意一个月</w:t>
      </w:r>
      <w:r>
        <w:rPr>
          <w:rFonts w:ascii="Arial" w:hAnsi="Arial" w:cs="Arial"/>
          <w:szCs w:val="21"/>
        </w:rPr>
        <w:t>的社保证明复印件</w:t>
      </w:r>
      <w:bookmarkEnd w:id="15"/>
      <w:r>
        <w:rPr>
          <w:rFonts w:ascii="Arial" w:hAnsi="Arial" w:cs="Arial"/>
          <w:b/>
          <w:szCs w:val="21"/>
        </w:rPr>
        <w:t>（委托代理时必须提供）</w:t>
      </w:r>
      <w:r>
        <w:rPr>
          <w:rFonts w:ascii="Arial" w:hAnsi="Arial" w:cs="Arial"/>
          <w:szCs w:val="21"/>
        </w:rPr>
        <w:t>；</w:t>
      </w:r>
    </w:p>
    <w:p>
      <w:pPr>
        <w:pageBreakBefore w:val="0"/>
        <w:tabs>
          <w:tab w:val="left" w:pos="1305"/>
        </w:tabs>
        <w:kinsoku/>
        <w:wordWrap/>
        <w:overflowPunct/>
        <w:topLinePunct w:val="0"/>
        <w:bidi w:val="0"/>
        <w:spacing w:after="0" w:line="288" w:lineRule="auto"/>
        <w:ind w:firstLine="420" w:firstLineChars="200"/>
        <w:rPr>
          <w:rFonts w:ascii="Arial" w:hAnsi="Arial" w:cs="Arial"/>
          <w:szCs w:val="21"/>
        </w:rPr>
      </w:pPr>
      <w:r>
        <w:rPr>
          <w:rFonts w:ascii="Arial" w:hAnsi="Arial" w:cs="Arial"/>
          <w:b/>
          <w:szCs w:val="21"/>
        </w:rPr>
        <w:t>注：投标人</w:t>
      </w:r>
      <w:r>
        <w:rPr>
          <w:rFonts w:ascii="Arial" w:hAnsi="Arial" w:cs="Arial"/>
          <w:b/>
          <w:bCs/>
          <w:szCs w:val="21"/>
        </w:rPr>
        <w:t>成立不足1个月的，无须提供社保缴费证明加盖投标人公章</w:t>
      </w:r>
    </w:p>
    <w:p>
      <w:pPr>
        <w:pageBreakBefore w:val="0"/>
        <w:tabs>
          <w:tab w:val="left" w:pos="1305"/>
        </w:tabs>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w:t>
      </w:r>
      <w:r>
        <w:rPr>
          <w:rFonts w:hint="eastAsia" w:ascii="Arial" w:hAnsi="Arial" w:cs="Arial"/>
          <w:szCs w:val="21"/>
        </w:rPr>
        <w:t>4</w:t>
      </w:r>
      <w:r>
        <w:rPr>
          <w:rFonts w:ascii="Arial" w:hAnsi="Arial" w:cs="Arial"/>
          <w:szCs w:val="21"/>
        </w:rPr>
        <w:t>）投标人参加采购活动前三年内在经营活动中没有重大违法记录的书面声明</w:t>
      </w:r>
      <w:r>
        <w:rPr>
          <w:rFonts w:ascii="Arial" w:hAnsi="Arial" w:cs="Arial"/>
          <w:b/>
          <w:szCs w:val="21"/>
        </w:rPr>
        <w:t>（必须提供）；</w:t>
      </w:r>
    </w:p>
    <w:p>
      <w:pPr>
        <w:pStyle w:val="28"/>
        <w:pageBreakBefore w:val="0"/>
        <w:kinsoku/>
        <w:wordWrap/>
        <w:overflowPunct/>
        <w:topLinePunct w:val="0"/>
        <w:bidi w:val="0"/>
        <w:spacing w:after="0" w:line="288" w:lineRule="auto"/>
        <w:ind w:left="420" w:leftChars="200"/>
        <w:rPr>
          <w:rFonts w:hAnsi="宋体" w:cs="宋体"/>
          <w:b/>
          <w:szCs w:val="21"/>
        </w:rPr>
      </w:pPr>
      <w:r>
        <w:rPr>
          <w:rFonts w:hint="eastAsia" w:hAnsi="宋体" w:cs="宋体"/>
          <w:b/>
          <w:bCs/>
        </w:rPr>
        <w:t>（5）</w:t>
      </w:r>
      <w:r>
        <w:rPr>
          <w:rFonts w:hint="eastAsia" w:hAnsi="宋体" w:cs="宋体"/>
        </w:rPr>
        <w:t>投标人</w:t>
      </w:r>
      <w:r>
        <w:rPr>
          <w:rFonts w:hAnsi="宋体" w:cs="宋体"/>
          <w:szCs w:val="21"/>
        </w:rPr>
        <w:t>按以下要求提供医疗器械的有关证明材料复印件</w:t>
      </w:r>
      <w:r>
        <w:rPr>
          <w:rFonts w:hint="eastAsia" w:hAnsi="宋体" w:cs="宋体"/>
          <w:b/>
          <w:szCs w:val="21"/>
        </w:rPr>
        <w:t>（必须提供）</w:t>
      </w:r>
      <w:r>
        <w:rPr>
          <w:rFonts w:hAnsi="宋体" w:cs="宋体"/>
          <w:b/>
          <w:szCs w:val="21"/>
        </w:rPr>
        <w:t>：</w:t>
      </w:r>
    </w:p>
    <w:p>
      <w:pPr>
        <w:pStyle w:val="28"/>
        <w:pageBreakBefore w:val="0"/>
        <w:kinsoku/>
        <w:wordWrap/>
        <w:overflowPunct/>
        <w:topLinePunct w:val="0"/>
        <w:bidi w:val="0"/>
        <w:spacing w:after="0" w:line="288" w:lineRule="auto"/>
        <w:ind w:left="420" w:leftChars="200"/>
        <w:rPr>
          <w:rFonts w:hAnsi="宋体" w:cs="宋体"/>
        </w:rPr>
      </w:pPr>
      <w:r>
        <w:rPr>
          <w:rFonts w:hint="eastAsia" w:hAnsi="宋体" w:cs="宋体"/>
        </w:rPr>
        <w:t>①有第二类医疗器械的，应提供有效的医疗器械经营备案凭证（经营范围包含采购的第二类医疗器械），符合《医疗器械监督管理条例》（国务院令第739号）第四十一条第二款规定的除外；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竞产品的名称和规格型号，格式自拟）；</w:t>
      </w:r>
    </w:p>
    <w:p>
      <w:pPr>
        <w:pStyle w:val="28"/>
        <w:pageBreakBefore w:val="0"/>
        <w:kinsoku/>
        <w:wordWrap/>
        <w:overflowPunct/>
        <w:topLinePunct w:val="0"/>
        <w:bidi w:val="0"/>
        <w:spacing w:after="0" w:line="288" w:lineRule="auto"/>
        <w:ind w:left="420" w:leftChars="200"/>
        <w:rPr>
          <w:rFonts w:hAnsi="宋体" w:cs="宋体"/>
        </w:rPr>
      </w:pPr>
      <w:r>
        <w:rPr>
          <w:rFonts w:hint="eastAsia" w:hAnsi="宋体" w:cs="宋体"/>
        </w:rPr>
        <w:t>②有第三类医疗器械的，应提供有效的医疗器械经营许可证（经营范围包含采购的第三类医疗器械）；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对应竞标产品的名称和规格型号，格式自拟）；</w:t>
      </w:r>
    </w:p>
    <w:p>
      <w:pPr>
        <w:pStyle w:val="28"/>
        <w:pageBreakBefore w:val="0"/>
        <w:kinsoku/>
        <w:wordWrap/>
        <w:overflowPunct/>
        <w:topLinePunct w:val="0"/>
        <w:bidi w:val="0"/>
        <w:spacing w:after="0" w:line="288" w:lineRule="auto"/>
        <w:ind w:left="420" w:leftChars="200"/>
        <w:rPr>
          <w:rFonts w:ascii="Arial" w:hAnsi="Arial" w:cs="Arial"/>
          <w:szCs w:val="21"/>
        </w:rPr>
      </w:pPr>
      <w:r>
        <w:rPr>
          <w:rFonts w:hint="eastAsia" w:hAnsi="宋体" w:cs="宋体"/>
        </w:rPr>
        <w:t xml:space="preserve"> ③有第二类和第三类医疗器械的，应按上述①②要求提供。</w:t>
      </w:r>
    </w:p>
    <w:p>
      <w:pPr>
        <w:pageBreakBefore w:val="0"/>
        <w:tabs>
          <w:tab w:val="left" w:pos="1305"/>
        </w:tabs>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w:t>
      </w:r>
      <w:r>
        <w:rPr>
          <w:rFonts w:hint="eastAsia" w:ascii="Arial" w:hAnsi="Arial" w:cs="Arial"/>
          <w:szCs w:val="21"/>
        </w:rPr>
        <w:t>6</w:t>
      </w:r>
      <w:r>
        <w:rPr>
          <w:rFonts w:ascii="Arial" w:hAnsi="Arial" w:cs="Arial"/>
          <w:szCs w:val="21"/>
        </w:rPr>
        <w:t>）</w:t>
      </w:r>
      <w:bookmarkStart w:id="16" w:name="_Hlk35098422"/>
      <w:r>
        <w:rPr>
          <w:rFonts w:ascii="Arial" w:hAnsi="Arial" w:cs="Arial"/>
          <w:szCs w:val="21"/>
        </w:rPr>
        <w:t>投标人的法人或者其他组织营业执照等证明文件复印件</w:t>
      </w:r>
      <w:r>
        <w:rPr>
          <w:rFonts w:ascii="Arial" w:hAnsi="Arial" w:cs="Arial"/>
          <w:b/>
          <w:szCs w:val="21"/>
        </w:rPr>
        <w:t>（必须提供，自然人除外）</w:t>
      </w:r>
      <w:r>
        <w:rPr>
          <w:rFonts w:ascii="Arial" w:hAnsi="Arial" w:cs="Arial"/>
          <w:szCs w:val="21"/>
        </w:rPr>
        <w:t>；</w:t>
      </w:r>
      <w:bookmarkEnd w:id="16"/>
    </w:p>
    <w:p>
      <w:pPr>
        <w:pageBreakBefore w:val="0"/>
        <w:tabs>
          <w:tab w:val="left" w:pos="1305"/>
        </w:tabs>
        <w:kinsoku/>
        <w:wordWrap/>
        <w:overflowPunct/>
        <w:topLinePunct w:val="0"/>
        <w:bidi w:val="0"/>
        <w:spacing w:after="0" w:line="288" w:lineRule="auto"/>
        <w:ind w:firstLine="420" w:firstLineChars="200"/>
        <w:rPr>
          <w:rFonts w:ascii="Arial" w:hAnsi="Arial" w:cs="Arial"/>
          <w:b/>
          <w:bCs/>
          <w:szCs w:val="21"/>
        </w:rPr>
      </w:pPr>
      <w:r>
        <w:rPr>
          <w:rFonts w:ascii="Arial" w:hAnsi="Arial" w:cs="Arial"/>
          <w:b/>
          <w:bCs/>
          <w:szCs w:val="21"/>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pPr>
        <w:pageBreakBefore w:val="0"/>
        <w:kinsoku/>
        <w:wordWrap/>
        <w:overflowPunct/>
        <w:topLinePunct w:val="0"/>
        <w:bidi w:val="0"/>
        <w:snapToGrid w:val="0"/>
        <w:spacing w:after="0" w:line="288" w:lineRule="auto"/>
        <w:ind w:firstLine="420" w:firstLineChars="200"/>
        <w:outlineLvl w:val="4"/>
        <w:rPr>
          <w:rFonts w:ascii="Arial" w:hAnsi="Arial" w:cs="Arial"/>
          <w:szCs w:val="21"/>
        </w:rPr>
      </w:pPr>
      <w:r>
        <w:rPr>
          <w:rFonts w:ascii="Arial" w:hAnsi="Arial" w:cs="Arial"/>
          <w:szCs w:val="21"/>
        </w:rPr>
        <w:t>13.2.</w:t>
      </w:r>
      <w:bookmarkStart w:id="17" w:name="_Hlk524014759"/>
      <w:r>
        <w:rPr>
          <w:rFonts w:ascii="Arial" w:hAnsi="Arial" w:cs="Arial"/>
          <w:szCs w:val="21"/>
        </w:rPr>
        <w:t>3商务、技术性响应证明材料</w:t>
      </w:r>
      <w:bookmarkEnd w:id="17"/>
      <w:r>
        <w:rPr>
          <w:rFonts w:ascii="Arial" w:hAnsi="Arial" w:cs="Arial"/>
          <w:szCs w:val="21"/>
        </w:rPr>
        <w:t>：</w:t>
      </w:r>
    </w:p>
    <w:p>
      <w:pPr>
        <w:pageBreakBefore w:val="0"/>
        <w:tabs>
          <w:tab w:val="left" w:pos="1305"/>
        </w:tabs>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（1）技术规格、商务要求偏离表（格式见附件）</w:t>
      </w:r>
      <w:r>
        <w:rPr>
          <w:rFonts w:ascii="Arial" w:hAnsi="Arial" w:cs="Arial"/>
          <w:b/>
          <w:szCs w:val="21"/>
        </w:rPr>
        <w:t>（必须提供）</w:t>
      </w:r>
      <w:r>
        <w:rPr>
          <w:rFonts w:ascii="Arial" w:hAnsi="Arial" w:cs="Arial"/>
          <w:szCs w:val="21"/>
        </w:rPr>
        <w:t>；</w:t>
      </w:r>
    </w:p>
    <w:p>
      <w:pPr>
        <w:pageBreakBefore w:val="0"/>
        <w:tabs>
          <w:tab w:val="left" w:pos="1305"/>
        </w:tabs>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（2）投标人的售后服务承诺书</w:t>
      </w:r>
      <w:r>
        <w:rPr>
          <w:rFonts w:ascii="Arial" w:hAnsi="Arial" w:cs="Arial"/>
          <w:b/>
          <w:szCs w:val="21"/>
        </w:rPr>
        <w:t>（必须提供）；</w:t>
      </w:r>
    </w:p>
    <w:p>
      <w:pPr>
        <w:pageBreakBefore w:val="0"/>
        <w:tabs>
          <w:tab w:val="left" w:pos="1305"/>
        </w:tabs>
        <w:kinsoku/>
        <w:wordWrap/>
        <w:overflowPunct/>
        <w:topLinePunct w:val="0"/>
        <w:bidi w:val="0"/>
        <w:spacing w:after="0" w:line="288" w:lineRule="auto"/>
        <w:ind w:firstLine="420" w:firstLineChars="200"/>
        <w:rPr>
          <w:rFonts w:ascii="Arial" w:hAnsi="Arial" w:cs="Arial"/>
          <w:b/>
          <w:szCs w:val="21"/>
        </w:rPr>
      </w:pPr>
      <w:r>
        <w:rPr>
          <w:rFonts w:ascii="Arial" w:hAnsi="Arial" w:cs="Arial"/>
          <w:szCs w:val="21"/>
        </w:rPr>
        <w:t>（3）项目实施人员一览表 【如有，请提供，并一起提供由县级以上（含县级）社会养老保险经办机构出具的投标人为项目实施人员交纳社保证明复印件】</w:t>
      </w:r>
      <w:r>
        <w:rPr>
          <w:rFonts w:ascii="Arial" w:hAnsi="Arial" w:cs="Arial"/>
          <w:b/>
          <w:szCs w:val="21"/>
        </w:rPr>
        <w:t>；</w:t>
      </w:r>
    </w:p>
    <w:p>
      <w:pPr>
        <w:pageBreakBefore w:val="0"/>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（4）投标人</w:t>
      </w:r>
      <w:r>
        <w:rPr>
          <w:rFonts w:hint="eastAsia" w:ascii="Arial" w:hAnsi="Arial" w:cs="Arial"/>
          <w:szCs w:val="21"/>
        </w:rPr>
        <w:t>2023年度或者2024年度</w:t>
      </w:r>
      <w:r>
        <w:rPr>
          <w:rFonts w:ascii="Arial" w:hAnsi="Arial" w:cs="Arial"/>
          <w:szCs w:val="21"/>
        </w:rPr>
        <w:t>通过中介审计的有效财务审计报告复印件（如有，请提供）；</w:t>
      </w:r>
    </w:p>
    <w:p>
      <w:pPr>
        <w:pageBreakBefore w:val="0"/>
        <w:kinsoku/>
        <w:wordWrap/>
        <w:overflowPunct/>
        <w:topLinePunct w:val="0"/>
        <w:bidi w:val="0"/>
        <w:spacing w:after="0" w:line="288" w:lineRule="auto"/>
        <w:ind w:firstLine="420" w:firstLineChars="200"/>
        <w:rPr>
          <w:rFonts w:ascii="Arial" w:hAnsi="Arial" w:cs="Arial"/>
          <w:b/>
          <w:bCs/>
          <w:szCs w:val="21"/>
        </w:rPr>
      </w:pPr>
      <w:r>
        <w:rPr>
          <w:rFonts w:ascii="Arial" w:hAnsi="Arial" w:cs="Arial"/>
          <w:b/>
          <w:bCs/>
          <w:szCs w:val="21"/>
        </w:rPr>
        <w:t>注：对于从取得营业执照时间起到</w:t>
      </w:r>
      <w:r>
        <w:rPr>
          <w:rFonts w:hint="eastAsia" w:ascii="Arial" w:hAnsi="Arial" w:cs="Arial"/>
          <w:b/>
          <w:bCs/>
          <w:szCs w:val="21"/>
        </w:rPr>
        <w:t>投标文件</w:t>
      </w:r>
      <w:r>
        <w:rPr>
          <w:rFonts w:ascii="Arial" w:hAnsi="Arial" w:cs="Arial"/>
          <w:b/>
          <w:bCs/>
          <w:szCs w:val="21"/>
        </w:rPr>
        <w:t>递交截止时间为止不足1年的供应商，只需提交</w:t>
      </w:r>
      <w:r>
        <w:rPr>
          <w:rFonts w:hint="eastAsia" w:ascii="Arial" w:hAnsi="Arial" w:cs="Arial"/>
          <w:b/>
          <w:bCs/>
          <w:szCs w:val="21"/>
        </w:rPr>
        <w:t>投标文件</w:t>
      </w:r>
      <w:r>
        <w:rPr>
          <w:rFonts w:ascii="Arial" w:hAnsi="Arial" w:cs="Arial"/>
          <w:b/>
          <w:bCs/>
          <w:szCs w:val="21"/>
        </w:rPr>
        <w:t>递交截止时间前一个月的财务状况报告（表）复印件。</w:t>
      </w:r>
    </w:p>
    <w:p>
      <w:pPr>
        <w:pageBreakBefore w:val="0"/>
        <w:kinsoku/>
        <w:wordWrap/>
        <w:overflowPunct/>
        <w:topLinePunct w:val="0"/>
        <w:bidi w:val="0"/>
        <w:spacing w:after="0" w:line="288" w:lineRule="auto"/>
        <w:ind w:firstLine="420" w:firstLineChars="200"/>
        <w:rPr>
          <w:rFonts w:ascii="Arial" w:hAnsi="Arial" w:cs="Arial"/>
          <w:b/>
          <w:szCs w:val="21"/>
        </w:rPr>
      </w:pPr>
      <w:r>
        <w:rPr>
          <w:rFonts w:ascii="Arial" w:hAnsi="Arial" w:cs="Arial"/>
          <w:bCs/>
          <w:szCs w:val="21"/>
        </w:rPr>
        <w:t>（5）</w:t>
      </w:r>
      <w:r>
        <w:rPr>
          <w:rFonts w:ascii="Arial" w:hAnsi="Arial" w:cs="Arial"/>
          <w:szCs w:val="21"/>
        </w:rPr>
        <w:t>投标人同类产品销售业绩的相关证明材料(无不良记录，以中标（成交）通知书及相应的销售合同或验收单为准,能清晰反映该项目的项目名称、种类)（如有，请提供）；</w:t>
      </w:r>
    </w:p>
    <w:p>
      <w:pPr>
        <w:pageBreakBefore w:val="0"/>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（6）节能方面的资质证书复印件（如有，请提供）；</w:t>
      </w:r>
    </w:p>
    <w:p>
      <w:pPr>
        <w:pageBreakBefore w:val="0"/>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（7）环保方面的资质证书复印件（如有，请提供）；</w:t>
      </w:r>
    </w:p>
    <w:p>
      <w:pPr>
        <w:pageBreakBefore w:val="0"/>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（8）投标人相关获奖证书、认证证书等复印件；（如有，请提供）；</w:t>
      </w:r>
    </w:p>
    <w:p>
      <w:pPr>
        <w:pageBreakBefore w:val="0"/>
        <w:kinsoku/>
        <w:wordWrap/>
        <w:overflowPunct/>
        <w:topLinePunct w:val="0"/>
        <w:bidi w:val="0"/>
        <w:spacing w:after="0" w:line="288" w:lineRule="auto"/>
        <w:ind w:left="420" w:leftChars="200"/>
        <w:rPr>
          <w:rFonts w:ascii="Arial" w:hAnsi="Arial" w:cs="Arial"/>
          <w:szCs w:val="21"/>
        </w:rPr>
      </w:pPr>
      <w:r>
        <w:rPr>
          <w:rFonts w:ascii="Arial" w:hAnsi="Arial" w:cs="Arial"/>
          <w:szCs w:val="21"/>
        </w:rPr>
        <w:t>（9）“货物采购需求”需提供的有效证明文件；</w:t>
      </w:r>
    </w:p>
    <w:p>
      <w:pPr>
        <w:pageBreakBefore w:val="0"/>
        <w:kinsoku/>
        <w:wordWrap/>
        <w:overflowPunct/>
        <w:topLinePunct w:val="0"/>
        <w:bidi w:val="0"/>
        <w:spacing w:after="0" w:line="288" w:lineRule="auto"/>
        <w:ind w:firstLine="420" w:firstLineChars="200"/>
        <w:rPr>
          <w:rFonts w:ascii="Arial" w:hAnsi="Arial" w:cs="Arial"/>
          <w:szCs w:val="21"/>
        </w:rPr>
      </w:pPr>
      <w:r>
        <w:rPr>
          <w:rFonts w:ascii="Arial" w:hAnsi="Arial" w:cs="Arial"/>
          <w:b/>
          <w:bCs/>
        </w:rPr>
        <w:t>具有药品监督管理的部门颁发有效的医疗器械经营许可或者备案（按《医疗器械监督管理条例》免于经营备案和无需办理医疗器械经营许可或者备案的情形除外）。（属于医疗器械产品的必须提供）</w:t>
      </w:r>
    </w:p>
    <w:p>
      <w:pPr>
        <w:pStyle w:val="28"/>
        <w:pageBreakBefore w:val="0"/>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（10）</w:t>
      </w:r>
      <w:r>
        <w:rPr>
          <w:rFonts w:ascii="Arial" w:hAnsi="Arial" w:cs="Arial"/>
        </w:rPr>
        <w:t>中小企业声明函（见附件）【如投标人所提供的产品为小、微型企业的产品，中标结果将同时公告企业《中小企业声明函》】（如有，请提供）；</w:t>
      </w:r>
    </w:p>
    <w:p>
      <w:pPr>
        <w:pageBreakBefore w:val="0"/>
        <w:tabs>
          <w:tab w:val="left" w:pos="1305"/>
        </w:tabs>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（11）</w:t>
      </w:r>
      <w:r>
        <w:rPr>
          <w:rFonts w:ascii="Arial" w:hAnsi="Arial" w:cs="Arial"/>
          <w:bCs/>
        </w:rPr>
        <w:t>监狱企业由省级以上监狱管理局、戒毒管理局（含新疆生产建设兵团）出具的属于监狱企业的证明文件</w:t>
      </w:r>
      <w:r>
        <w:rPr>
          <w:rFonts w:ascii="Arial" w:hAnsi="Arial" w:cs="Arial"/>
          <w:b/>
        </w:rPr>
        <w:t>（如有，请提供）</w:t>
      </w:r>
      <w:r>
        <w:rPr>
          <w:rFonts w:ascii="Arial" w:hAnsi="Arial" w:cs="Arial"/>
        </w:rPr>
        <w:t>；</w:t>
      </w:r>
    </w:p>
    <w:p>
      <w:pPr>
        <w:pageBreakBefore w:val="0"/>
        <w:tabs>
          <w:tab w:val="left" w:pos="1305"/>
        </w:tabs>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（12）</w:t>
      </w:r>
      <w:r>
        <w:rPr>
          <w:rFonts w:ascii="Arial" w:hAnsi="Arial" w:cs="Arial"/>
        </w:rPr>
        <w:t>符合条件的残疾人福利性单位在参加政府采购活动时，应当提供《残疾人福利性单位声明函》（见附件），并对声明的真实性负责。</w:t>
      </w:r>
    </w:p>
    <w:p>
      <w:pPr>
        <w:pageBreakBefore w:val="0"/>
        <w:tabs>
          <w:tab w:val="left" w:pos="1305"/>
        </w:tabs>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（13）投标人可结合本项目的评标办法视自身情况自行提交相关证明材料</w:t>
      </w:r>
      <w:r>
        <w:rPr>
          <w:rFonts w:ascii="Arial" w:hAnsi="Arial" w:cs="Arial"/>
          <w:b/>
          <w:bCs/>
          <w:szCs w:val="21"/>
        </w:rPr>
        <w:t>（如有，请提供）</w:t>
      </w:r>
      <w:r>
        <w:rPr>
          <w:rFonts w:ascii="Arial" w:hAnsi="Arial" w:cs="Arial"/>
          <w:szCs w:val="21"/>
        </w:rPr>
        <w:t>。</w:t>
      </w:r>
    </w:p>
    <w:p>
      <w:pPr>
        <w:pStyle w:val="28"/>
        <w:pageBreakBefore w:val="0"/>
        <w:kinsoku/>
        <w:wordWrap/>
        <w:overflowPunct/>
        <w:topLinePunct w:val="0"/>
        <w:bidi w:val="0"/>
        <w:spacing w:after="0" w:line="288" w:lineRule="auto"/>
        <w:ind w:firstLine="420"/>
        <w:rPr>
          <w:rFonts w:ascii="Arial" w:hAnsi="Arial" w:cs="Arial"/>
          <w:b/>
          <w:sz w:val="24"/>
          <w:szCs w:val="24"/>
        </w:rPr>
      </w:pPr>
      <w:r>
        <w:rPr>
          <w:rFonts w:ascii="Arial" w:hAnsi="Arial" w:cs="Arial"/>
          <w:b/>
          <w:sz w:val="24"/>
          <w:szCs w:val="24"/>
        </w:rPr>
        <w:t>投标人提供的以上相关证明材料属于“必须提供”的文件应加盖投标人公章（CA签章）/自然人签字或加盖个人CA签章，否则投标无效。</w:t>
      </w:r>
    </w:p>
    <w:p>
      <w:pPr>
        <w:pStyle w:val="28"/>
        <w:pageBreakBefore w:val="0"/>
        <w:kinsoku/>
        <w:wordWrap/>
        <w:overflowPunct/>
        <w:topLinePunct w:val="0"/>
        <w:bidi w:val="0"/>
        <w:spacing w:after="0" w:line="288" w:lineRule="auto"/>
        <w:ind w:firstLine="420"/>
        <w:rPr>
          <w:rFonts w:ascii="Arial" w:hAnsi="Arial" w:cs="Arial"/>
        </w:rPr>
      </w:pPr>
      <w:r>
        <w:rPr>
          <w:rFonts w:ascii="Arial" w:hAnsi="Arial" w:cs="Arial"/>
          <w:szCs w:val="21"/>
        </w:rPr>
        <w:t>13.3</w:t>
      </w:r>
      <w:r>
        <w:rPr>
          <w:rFonts w:ascii="Arial" w:hAnsi="Arial" w:cs="Arial"/>
        </w:rPr>
        <w:t>投标人应按招标文件第六章“投标文件（格式）”编制投标文件。</w:t>
      </w:r>
    </w:p>
    <w:p>
      <w:pPr>
        <w:pStyle w:val="28"/>
        <w:pageBreakBefore w:val="0"/>
        <w:kinsoku/>
        <w:wordWrap/>
        <w:overflowPunct/>
        <w:topLinePunct w:val="0"/>
        <w:bidi w:val="0"/>
        <w:spacing w:after="0" w:line="288" w:lineRule="auto"/>
        <w:ind w:firstLine="420"/>
        <w:rPr>
          <w:rFonts w:ascii="Arial" w:hAnsi="Arial" w:cs="Arial"/>
        </w:rPr>
      </w:pPr>
      <w:r>
        <w:rPr>
          <w:rFonts w:ascii="Arial" w:hAnsi="Arial" w:cs="Arial"/>
        </w:rPr>
        <w:t>13.4投标文件应当对招标文件提出的要求和条件作出明确响应。</w:t>
      </w:r>
    </w:p>
    <w:p>
      <w:pPr>
        <w:pStyle w:val="28"/>
        <w:pageBreakBefore w:val="0"/>
        <w:kinsoku/>
        <w:wordWrap/>
        <w:overflowPunct/>
        <w:topLinePunct w:val="0"/>
        <w:bidi w:val="0"/>
        <w:spacing w:after="0" w:line="288" w:lineRule="auto"/>
        <w:ind w:firstLine="420"/>
        <w:rPr>
          <w:rFonts w:ascii="Arial" w:hAnsi="Arial" w:cs="Arial"/>
          <w:b/>
          <w:bCs/>
        </w:rPr>
      </w:pPr>
      <w:r>
        <w:rPr>
          <w:rFonts w:ascii="Arial" w:hAnsi="Arial" w:cs="Arial"/>
          <w:b/>
          <w:bCs/>
        </w:rPr>
        <w:t>特别说明：</w:t>
      </w:r>
    </w:p>
    <w:p>
      <w:pPr>
        <w:pStyle w:val="28"/>
        <w:pageBreakBefore w:val="0"/>
        <w:kinsoku/>
        <w:wordWrap/>
        <w:overflowPunct/>
        <w:topLinePunct w:val="0"/>
        <w:bidi w:val="0"/>
        <w:spacing w:after="0" w:line="288" w:lineRule="auto"/>
        <w:ind w:firstLine="420"/>
        <w:rPr>
          <w:rFonts w:ascii="Arial" w:hAnsi="Arial" w:cs="Arial"/>
          <w:b/>
          <w:bCs/>
        </w:rPr>
      </w:pPr>
      <w:r>
        <w:rPr>
          <w:rFonts w:ascii="Arial" w:hAnsi="Arial" w:cs="Arial"/>
          <w:b/>
          <w:bCs/>
        </w:rPr>
        <w:t>（1）投标文件（电子</w:t>
      </w:r>
      <w:r>
        <w:rPr>
          <w:rFonts w:hint="eastAsia" w:ascii="Arial" w:hAnsi="Arial" w:cs="Arial"/>
          <w:b/>
          <w:bCs/>
        </w:rPr>
        <w:t>投标文件</w:t>
      </w:r>
      <w:r>
        <w:rPr>
          <w:rFonts w:ascii="Arial" w:hAnsi="Arial" w:cs="Arial"/>
          <w:b/>
          <w:bCs/>
        </w:rPr>
        <w:t>），其中电子投标文件中所须加盖公章部分均采用CA签章。若招标文件中有专门标注的某关联点，并要求投标人在电子投标系统中作出响应的，如投标人未对关联点进行响应或者在投标文件其它内容进行描述，造成电子评审不能查询的责任由投标人自行承担。</w:t>
      </w:r>
    </w:p>
    <w:p>
      <w:pPr>
        <w:pStyle w:val="28"/>
        <w:pageBreakBefore w:val="0"/>
        <w:kinsoku/>
        <w:wordWrap/>
        <w:overflowPunct/>
        <w:topLinePunct w:val="0"/>
        <w:bidi w:val="0"/>
        <w:spacing w:after="0" w:line="288" w:lineRule="auto"/>
        <w:ind w:firstLine="420"/>
        <w:rPr>
          <w:rFonts w:ascii="Arial" w:hAnsi="Arial" w:cs="Arial"/>
          <w:b/>
          <w:bCs/>
        </w:rPr>
      </w:pPr>
      <w:r>
        <w:rPr>
          <w:rFonts w:ascii="Arial" w:hAnsi="Arial" w:cs="Arial"/>
          <w:b/>
          <w:bCs/>
        </w:rPr>
        <w:t>（2）招标文件要求法定代表人（负责人）或委托代理人签字的部分必须签字然后扫描或者拍照做成 pdf 格式上传（或加盖个人CA签章），无签字的视为投标无效。</w:t>
      </w:r>
    </w:p>
    <w:p>
      <w:pPr>
        <w:pageBreakBefore w:val="0"/>
        <w:tabs>
          <w:tab w:val="left" w:pos="1305"/>
        </w:tabs>
        <w:kinsoku/>
        <w:wordWrap/>
        <w:overflowPunct/>
        <w:topLinePunct w:val="0"/>
        <w:bidi w:val="0"/>
        <w:spacing w:after="0" w:line="288" w:lineRule="auto"/>
        <w:ind w:firstLine="420" w:firstLineChars="200"/>
        <w:rPr>
          <w:rFonts w:ascii="Arial" w:hAnsi="Arial" w:cs="Arial"/>
          <w:b/>
          <w:szCs w:val="21"/>
        </w:rPr>
      </w:pPr>
      <w:r>
        <w:rPr>
          <w:rFonts w:ascii="Arial" w:hAnsi="Arial" w:cs="Arial"/>
          <w:b/>
          <w:szCs w:val="21"/>
        </w:rPr>
        <w:t>14. 投标文件的语言及计量</w:t>
      </w:r>
    </w:p>
    <w:p>
      <w:pPr>
        <w:pageBreakBefore w:val="0"/>
        <w:tabs>
          <w:tab w:val="left" w:pos="1305"/>
        </w:tabs>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14.1投标文件以及投标人与采购人或者采购代理机构就有关投标事宜的所有来往函电，均应以中文汉语书写。投标人提交的支持文件和印刷的文献可以使用别的语言，但其相应内容必须附有中文翻译文本，在解释投标文件时以中文翻译文本为主。</w:t>
      </w:r>
    </w:p>
    <w:p>
      <w:pPr>
        <w:pageBreakBefore w:val="0"/>
        <w:tabs>
          <w:tab w:val="left" w:pos="1305"/>
        </w:tabs>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14.2投标计量单位，招标文件已有明确规定的，使用招标文件规定的计量单位；招标文件没有规定的，应采用中华人民共和国法定计量单位（货币单位：元人民币），否则视同未响应。</w:t>
      </w:r>
    </w:p>
    <w:p>
      <w:pPr>
        <w:pageBreakBefore w:val="0"/>
        <w:tabs>
          <w:tab w:val="left" w:pos="1305"/>
        </w:tabs>
        <w:kinsoku/>
        <w:wordWrap/>
        <w:overflowPunct/>
        <w:topLinePunct w:val="0"/>
        <w:bidi w:val="0"/>
        <w:spacing w:after="0" w:line="288" w:lineRule="auto"/>
        <w:ind w:firstLine="420" w:firstLineChars="200"/>
        <w:rPr>
          <w:rFonts w:ascii="Arial" w:hAnsi="Arial" w:cs="Arial"/>
          <w:b/>
          <w:szCs w:val="21"/>
        </w:rPr>
      </w:pPr>
      <w:r>
        <w:rPr>
          <w:rFonts w:ascii="Arial" w:hAnsi="Arial" w:cs="Arial"/>
          <w:b/>
          <w:szCs w:val="21"/>
        </w:rPr>
        <w:t>15.投标报价</w:t>
      </w:r>
    </w:p>
    <w:p>
      <w:pPr>
        <w:pageBreakBefore w:val="0"/>
        <w:kinsoku/>
        <w:wordWrap/>
        <w:overflowPunct/>
        <w:topLinePunct w:val="0"/>
        <w:bidi w:val="0"/>
        <w:spacing w:after="0" w:line="288" w:lineRule="auto"/>
        <w:ind w:firstLine="420" w:firstLineChars="200"/>
        <w:rPr>
          <w:rFonts w:ascii="Arial" w:hAnsi="Arial" w:cs="Arial"/>
        </w:rPr>
      </w:pPr>
      <w:r>
        <w:rPr>
          <w:rFonts w:ascii="Arial" w:hAnsi="Arial" w:cs="Arial"/>
          <w:szCs w:val="21"/>
        </w:rPr>
        <w:t>15.1</w:t>
      </w:r>
      <w:r>
        <w:rPr>
          <w:rFonts w:ascii="Arial" w:hAnsi="Arial" w:cs="Arial"/>
          <w:b/>
          <w:sz w:val="24"/>
        </w:rPr>
        <w:t>投标报价应按招标文件中第六章“投标文件（格式）”填写，所投报价超采购预算总金额的，投标文件作无效处理。</w:t>
      </w:r>
    </w:p>
    <w:p>
      <w:pPr>
        <w:pageBreakBefore w:val="0"/>
        <w:kinsoku/>
        <w:wordWrap/>
        <w:overflowPunct/>
        <w:topLinePunct w:val="0"/>
        <w:bidi w:val="0"/>
        <w:spacing w:after="0" w:line="288" w:lineRule="auto"/>
        <w:ind w:firstLine="420" w:firstLineChars="200"/>
        <w:rPr>
          <w:rFonts w:ascii="Arial" w:hAnsi="Arial" w:cs="Arial"/>
          <w:b/>
          <w:sz w:val="24"/>
        </w:rPr>
      </w:pPr>
      <w:r>
        <w:rPr>
          <w:rFonts w:ascii="Arial" w:hAnsi="Arial" w:cs="Arial"/>
          <w:szCs w:val="21"/>
        </w:rPr>
        <w:t>15.2</w:t>
      </w:r>
      <w:r>
        <w:rPr>
          <w:rFonts w:ascii="Arial" w:hAnsi="Arial" w:cs="Arial"/>
          <w:b/>
          <w:sz w:val="24"/>
        </w:rPr>
        <w:t>投标人必须就“货物采购需求”中所投的所有内容作完整唯一报价，否则，其投标将被拒绝；投标文件只允许有一个报价，有选择的或有条件的报价将不予接受。</w:t>
      </w:r>
    </w:p>
    <w:p>
      <w:pPr>
        <w:pageBreakBefore w:val="0"/>
        <w:kinsoku/>
        <w:wordWrap/>
        <w:overflowPunct/>
        <w:topLinePunct w:val="0"/>
        <w:bidi w:val="0"/>
        <w:spacing w:after="0" w:line="288" w:lineRule="auto"/>
        <w:ind w:firstLine="420" w:firstLineChars="200"/>
        <w:rPr>
          <w:rFonts w:ascii="宋体" w:hAnsi="宋体" w:cs="宋体"/>
          <w:szCs w:val="21"/>
        </w:rPr>
      </w:pPr>
      <w:r>
        <w:rPr>
          <w:rFonts w:ascii="Arial" w:hAnsi="Arial" w:cs="Arial"/>
          <w:szCs w:val="21"/>
        </w:rPr>
        <w:t>15.3</w:t>
      </w:r>
      <w:r>
        <w:rPr>
          <w:rFonts w:hint="eastAsia" w:ascii="宋体" w:hAnsi="宋体" w:cs="宋体"/>
        </w:rPr>
        <w:t>投标人的投标报价</w:t>
      </w:r>
      <w:r>
        <w:rPr>
          <w:rFonts w:hint="eastAsia" w:ascii="宋体" w:hAnsi="宋体" w:cs="宋体"/>
          <w:szCs w:val="21"/>
        </w:rPr>
        <w:t>包括本次采购范围内货物价款、货物随配标准附件、包装、运输、装卸、保险、税金、货到位以及安装、调试、检验、售后服务、培训、保修以及</w:t>
      </w:r>
      <w:r>
        <w:rPr>
          <w:rFonts w:hint="eastAsia" w:ascii="宋体" w:hAnsi="宋体" w:cs="宋体"/>
          <w:kern w:val="0"/>
        </w:rPr>
        <w:t>对于本文件中未列明，而投标人认为完成项目所必须的费用等</w:t>
      </w:r>
      <w:r>
        <w:rPr>
          <w:rFonts w:hint="eastAsia" w:ascii="宋体" w:hAnsi="宋体" w:cs="宋体"/>
          <w:szCs w:val="21"/>
        </w:rPr>
        <w:t>其他所有成本费用的总和；</w:t>
      </w:r>
      <w:r>
        <w:rPr>
          <w:rFonts w:hint="eastAsia" w:ascii="宋体" w:hAnsi="宋体" w:cs="宋体"/>
        </w:rPr>
        <w:t>投标人综合考虑在报价中</w:t>
      </w:r>
      <w:r>
        <w:rPr>
          <w:rFonts w:hint="eastAsia" w:ascii="宋体" w:hAnsi="宋体" w:cs="宋体"/>
          <w:kern w:val="0"/>
        </w:rPr>
        <w:t>。</w:t>
      </w:r>
    </w:p>
    <w:p>
      <w:pPr>
        <w:pageBreakBefore w:val="0"/>
        <w:kinsoku/>
        <w:wordWrap/>
        <w:overflowPunct/>
        <w:topLinePunct w:val="0"/>
        <w:bidi w:val="0"/>
        <w:spacing w:after="0" w:line="288" w:lineRule="auto"/>
        <w:ind w:firstLine="420" w:firstLineChars="200"/>
        <w:rPr>
          <w:rFonts w:ascii="Arial" w:hAnsi="Arial" w:cs="Arial"/>
          <w:szCs w:val="21"/>
        </w:rPr>
      </w:pPr>
    </w:p>
    <w:p>
      <w:pPr>
        <w:pageBreakBefore w:val="0"/>
        <w:kinsoku/>
        <w:wordWrap/>
        <w:overflowPunct/>
        <w:topLinePunct w:val="0"/>
        <w:bidi w:val="0"/>
        <w:spacing w:after="0" w:line="288" w:lineRule="auto"/>
        <w:ind w:left="420" w:hanging="420"/>
        <w:rPr>
          <w:rFonts w:ascii="Arial" w:hAnsi="Arial" w:cs="Arial"/>
          <w:b/>
          <w:szCs w:val="21"/>
        </w:rPr>
      </w:pPr>
      <w:r>
        <w:rPr>
          <w:rFonts w:ascii="Arial" w:hAnsi="Arial" w:cs="Arial"/>
          <w:b/>
          <w:szCs w:val="21"/>
        </w:rPr>
        <w:t>16. 投标有效期</w:t>
      </w:r>
    </w:p>
    <w:p>
      <w:pPr>
        <w:pageBreakBefore w:val="0"/>
        <w:tabs>
          <w:tab w:val="left" w:pos="1305"/>
        </w:tabs>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16.1</w:t>
      </w:r>
      <w:r>
        <w:rPr>
          <w:rFonts w:ascii="Arial" w:hAnsi="Arial" w:cs="Arial"/>
          <w:b/>
          <w:sz w:val="24"/>
        </w:rPr>
        <w:t>投标有效期：投标截止时间之日起90天。</w:t>
      </w:r>
    </w:p>
    <w:p>
      <w:pPr>
        <w:pageBreakBefore w:val="0"/>
        <w:tabs>
          <w:tab w:val="left" w:pos="1305"/>
        </w:tabs>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16.2出现特殊情况下，需要延长投标有效期的，采购代理机构以书面形式通知投标人延长投标有效期。投标人同意延长，但不能修改投标文件。投标人拒绝延长的，其投标无效。</w:t>
      </w:r>
    </w:p>
    <w:p>
      <w:pPr>
        <w:pageBreakBefore w:val="0"/>
        <w:tabs>
          <w:tab w:val="left" w:pos="1305"/>
        </w:tabs>
        <w:kinsoku/>
        <w:wordWrap/>
        <w:overflowPunct/>
        <w:topLinePunct w:val="0"/>
        <w:bidi w:val="0"/>
        <w:spacing w:after="0" w:line="288" w:lineRule="auto"/>
        <w:ind w:firstLine="420" w:firstLineChars="200"/>
        <w:rPr>
          <w:rFonts w:ascii="Arial" w:hAnsi="Arial" w:cs="Arial"/>
          <w:szCs w:val="21"/>
        </w:rPr>
      </w:pPr>
      <w:r>
        <w:rPr>
          <w:rFonts w:ascii="Arial" w:hAnsi="Arial" w:cs="Arial"/>
          <w:b/>
          <w:bCs/>
          <w:szCs w:val="21"/>
        </w:rPr>
        <w:t>17.投标保证金</w:t>
      </w:r>
      <w:r>
        <w:rPr>
          <w:rFonts w:ascii="Arial" w:hAnsi="Arial" w:cs="Arial"/>
          <w:b/>
          <w:szCs w:val="21"/>
        </w:rPr>
        <w:t>：无投标保证金</w:t>
      </w:r>
    </w:p>
    <w:p>
      <w:pPr>
        <w:pageBreakBefore w:val="0"/>
        <w:tabs>
          <w:tab w:val="left" w:pos="1305"/>
        </w:tabs>
        <w:kinsoku/>
        <w:wordWrap/>
        <w:overflowPunct/>
        <w:topLinePunct w:val="0"/>
        <w:bidi w:val="0"/>
        <w:spacing w:after="0" w:line="288" w:lineRule="auto"/>
        <w:ind w:firstLine="420" w:firstLineChars="200"/>
        <w:jc w:val="left"/>
        <w:rPr>
          <w:rFonts w:ascii="Arial" w:hAnsi="Arial" w:cs="Arial"/>
          <w:b/>
          <w:szCs w:val="21"/>
        </w:rPr>
      </w:pPr>
      <w:r>
        <w:rPr>
          <w:rFonts w:ascii="Arial" w:hAnsi="Arial" w:cs="Arial"/>
          <w:b/>
          <w:szCs w:val="21"/>
        </w:rPr>
        <w:t>18.投标文件的制作</w:t>
      </w:r>
    </w:p>
    <w:p>
      <w:pPr>
        <w:pageBreakBefore w:val="0"/>
        <w:tabs>
          <w:tab w:val="left" w:pos="1305"/>
        </w:tabs>
        <w:kinsoku/>
        <w:wordWrap/>
        <w:overflowPunct/>
        <w:topLinePunct w:val="0"/>
        <w:bidi w:val="0"/>
        <w:spacing w:after="0" w:line="288" w:lineRule="auto"/>
        <w:ind w:firstLine="420" w:firstLineChars="200"/>
        <w:rPr>
          <w:rFonts w:ascii="Arial" w:hAnsi="Arial" w:cs="Arial"/>
          <w:b/>
          <w:szCs w:val="21"/>
        </w:rPr>
      </w:pPr>
      <w:r>
        <w:rPr>
          <w:rFonts w:ascii="Arial" w:hAnsi="Arial" w:cs="Arial"/>
          <w:b/>
          <w:szCs w:val="21"/>
        </w:rPr>
        <w:t>18.1电子投标文件的制作、加密</w:t>
      </w:r>
    </w:p>
    <w:p>
      <w:pPr>
        <w:pageBreakBefore w:val="0"/>
        <w:tabs>
          <w:tab w:val="left" w:pos="1305"/>
        </w:tabs>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18.1.1投标人制作电子投标文件前，必须登录广西政府采购云平台进行招标文件的获取操作。</w:t>
      </w:r>
    </w:p>
    <w:p>
      <w:pPr>
        <w:pageBreakBefore w:val="0"/>
        <w:tabs>
          <w:tab w:val="left" w:pos="1305"/>
        </w:tabs>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18.1.2投标人下载或获取招标文件后，登录“广西政府采购云平台电子投标客户端”，按照本招标文件规定的投标文件格式、顺序以及广西政府采购云平台的要求，通过“广西政府采购云平台电子投标客户端”编制电子投标文件。</w:t>
      </w:r>
    </w:p>
    <w:p>
      <w:pPr>
        <w:pageBreakBefore w:val="0"/>
        <w:tabs>
          <w:tab w:val="left" w:pos="1305"/>
        </w:tabs>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18.1.3投标人应按“广西政府采购云平台电子投标客户端”载明的“标书关联”功能进行电子投标文件相应内容的关联定位，以便评标委员会在评审时点击相应评审项可直接定位到该评审内容；如投标人的电子投标文件未能关联定位相应内容，或者关联定位的内容与该评审项不符，导致评标委员会无法查询并做出对投标人不利的评审，相关后果由投标人自行承担。</w:t>
      </w:r>
    </w:p>
    <w:p>
      <w:pPr>
        <w:pageBreakBefore w:val="0"/>
        <w:tabs>
          <w:tab w:val="left" w:pos="1305"/>
        </w:tabs>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18.1.4电子投标文件不得涂改，若有修改错漏处，须由法定代表人（负责人）或授权委托代理人通过“广西政府采购云平台电子投标客户端”采用广西政府采购云平台个人CA证书签章，没有办理广西政府采购云平台个人CA证书签章的，在投标文件中响应位置手写签字后扫描或者拍照做成 PDF 的格式上传。因投标文件字迹潦草、表达不清、内容不完整、编排混乱导致投标文件被误读、漏读，或者在按招标文件规定的部位查找不到相关内容的，其不利后果由供应商自行承担。</w:t>
      </w:r>
    </w:p>
    <w:p>
      <w:pPr>
        <w:pageBreakBefore w:val="0"/>
        <w:tabs>
          <w:tab w:val="left" w:pos="1305"/>
        </w:tabs>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18.1.5投标人编制、生成电子投标文件后应当加密投标文件。投标人未按规定编制并加密的投标文件，广西政府采购云平台将予以拒收。</w:t>
      </w:r>
    </w:p>
    <w:p>
      <w:pPr>
        <w:pageBreakBefore w:val="0"/>
        <w:tabs>
          <w:tab w:val="left" w:pos="1305"/>
        </w:tabs>
        <w:kinsoku/>
        <w:wordWrap/>
        <w:overflowPunct/>
        <w:topLinePunct w:val="0"/>
        <w:bidi w:val="0"/>
        <w:spacing w:after="0" w:line="288" w:lineRule="auto"/>
        <w:ind w:firstLine="420" w:firstLineChars="200"/>
        <w:rPr>
          <w:rFonts w:ascii="Arial" w:hAnsi="Arial" w:cs="Arial"/>
          <w:b/>
          <w:szCs w:val="21"/>
        </w:rPr>
      </w:pPr>
      <w:r>
        <w:rPr>
          <w:rFonts w:ascii="Arial" w:hAnsi="Arial" w:cs="Arial"/>
          <w:b/>
          <w:szCs w:val="21"/>
        </w:rPr>
        <w:t>18.2投标人公章及签字</w:t>
      </w:r>
    </w:p>
    <w:p>
      <w:pPr>
        <w:pageBreakBefore w:val="0"/>
        <w:tabs>
          <w:tab w:val="left" w:pos="1305"/>
        </w:tabs>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18.2.1本招标文件中描述投标人的“公章”是指投标人通过指定电子化政府采购平台办理数字证书（CA认证证书）获得的以法定主体行为名称制作的电子印章。</w:t>
      </w:r>
    </w:p>
    <w:p>
      <w:pPr>
        <w:pageBreakBefore w:val="0"/>
        <w:tabs>
          <w:tab w:val="left" w:pos="1305"/>
        </w:tabs>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18.2.2本招标文件中要求投标人对其电子投标文件的相关内容加盖公章的，均指采用CA证书签章。</w:t>
      </w:r>
    </w:p>
    <w:p>
      <w:pPr>
        <w:pageBreakBefore w:val="0"/>
        <w:tabs>
          <w:tab w:val="left" w:pos="1305"/>
        </w:tabs>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18.2.3本招标文件中描述投标人的“签字”是指投标人通过指定电子化政府采购平台办理数字证书（CA认证证书）获得的以投标人法定代表人（负责人）或者委托代理人姓名制作的个人电子印章或手写签字。没有办理个人CA证书的，可以为手写签字的形式。</w:t>
      </w:r>
    </w:p>
    <w:p>
      <w:pPr>
        <w:pageBreakBefore w:val="0"/>
        <w:tabs>
          <w:tab w:val="left" w:pos="1305"/>
        </w:tabs>
        <w:kinsoku/>
        <w:wordWrap/>
        <w:overflowPunct/>
        <w:topLinePunct w:val="0"/>
        <w:bidi w:val="0"/>
        <w:spacing w:after="0" w:line="288" w:lineRule="auto"/>
        <w:ind w:firstLine="420" w:firstLineChars="200"/>
        <w:jc w:val="left"/>
        <w:rPr>
          <w:rFonts w:ascii="Arial" w:hAnsi="Arial" w:cs="Arial"/>
          <w:b/>
          <w:szCs w:val="21"/>
        </w:rPr>
      </w:pPr>
      <w:r>
        <w:rPr>
          <w:rFonts w:ascii="Arial" w:hAnsi="Arial" w:cs="Arial"/>
          <w:b/>
          <w:szCs w:val="21"/>
        </w:rPr>
        <w:t>19. 投标文件的补充、修改和撤回</w:t>
      </w:r>
    </w:p>
    <w:p>
      <w:pPr>
        <w:pageBreakBefore w:val="0"/>
        <w:tabs>
          <w:tab w:val="left" w:pos="1305"/>
        </w:tabs>
        <w:kinsoku/>
        <w:wordWrap/>
        <w:overflowPunct/>
        <w:topLinePunct w:val="0"/>
        <w:bidi w:val="0"/>
        <w:spacing w:after="0" w:line="288" w:lineRule="auto"/>
        <w:ind w:firstLine="420" w:firstLineChars="200"/>
        <w:jc w:val="left"/>
        <w:rPr>
          <w:rFonts w:ascii="Arial" w:hAnsi="Arial" w:cs="Arial"/>
          <w:bCs/>
          <w:szCs w:val="21"/>
        </w:rPr>
      </w:pPr>
      <w:r>
        <w:rPr>
          <w:rFonts w:ascii="Arial" w:hAnsi="Arial" w:cs="Arial"/>
          <w:bCs/>
          <w:szCs w:val="21"/>
        </w:rPr>
        <w:t>19.1 投标文件递交截止时间前可以撤回电子投标文件。补充或者修改电子投标文件的，应当先行撤回原文件，补充、修改后重新传输递交，投标文件递交截止时间前未完成传输的，视为撤回投标文件。</w:t>
      </w:r>
    </w:p>
    <w:p>
      <w:pPr>
        <w:pageBreakBefore w:val="0"/>
        <w:tabs>
          <w:tab w:val="left" w:pos="1305"/>
        </w:tabs>
        <w:kinsoku/>
        <w:wordWrap/>
        <w:overflowPunct/>
        <w:topLinePunct w:val="0"/>
        <w:bidi w:val="0"/>
        <w:spacing w:after="0" w:line="288" w:lineRule="auto"/>
        <w:ind w:firstLine="420" w:firstLineChars="200"/>
        <w:jc w:val="left"/>
        <w:rPr>
          <w:rFonts w:ascii="Arial" w:hAnsi="Arial" w:cs="Arial"/>
          <w:bCs/>
          <w:szCs w:val="21"/>
        </w:rPr>
      </w:pPr>
      <w:r>
        <w:rPr>
          <w:rFonts w:ascii="Arial" w:hAnsi="Arial" w:cs="Arial"/>
          <w:bCs/>
          <w:szCs w:val="21"/>
        </w:rPr>
        <w:t>19.2 在投标文件递交截止时间后的投标文件有效期内，供应商不得撤回其投标文件。</w:t>
      </w:r>
    </w:p>
    <w:p>
      <w:pPr>
        <w:pageBreakBefore w:val="0"/>
        <w:tabs>
          <w:tab w:val="left" w:pos="1305"/>
        </w:tabs>
        <w:kinsoku/>
        <w:wordWrap/>
        <w:overflowPunct/>
        <w:topLinePunct w:val="0"/>
        <w:bidi w:val="0"/>
        <w:spacing w:after="0" w:line="288" w:lineRule="auto"/>
        <w:ind w:firstLine="420" w:firstLineChars="200"/>
        <w:jc w:val="left"/>
        <w:rPr>
          <w:rFonts w:ascii="Arial" w:hAnsi="Arial" w:cs="Arial"/>
          <w:b/>
          <w:szCs w:val="21"/>
        </w:rPr>
      </w:pPr>
      <w:r>
        <w:rPr>
          <w:rFonts w:ascii="Arial" w:hAnsi="Arial" w:cs="Arial"/>
          <w:b/>
          <w:szCs w:val="21"/>
        </w:rPr>
        <w:t>20. 投标文件的递交和解密</w:t>
      </w:r>
    </w:p>
    <w:p>
      <w:pPr>
        <w:pageBreakBefore w:val="0"/>
        <w:tabs>
          <w:tab w:val="left" w:pos="1305"/>
        </w:tabs>
        <w:kinsoku/>
        <w:wordWrap/>
        <w:overflowPunct/>
        <w:topLinePunct w:val="0"/>
        <w:bidi w:val="0"/>
        <w:spacing w:after="0" w:line="288" w:lineRule="auto"/>
        <w:ind w:firstLine="420" w:firstLineChars="200"/>
        <w:jc w:val="left"/>
        <w:rPr>
          <w:rFonts w:ascii="Arial" w:hAnsi="Arial" w:cs="Arial"/>
          <w:bCs/>
          <w:szCs w:val="21"/>
        </w:rPr>
      </w:pPr>
      <w:r>
        <w:rPr>
          <w:rFonts w:ascii="Arial" w:hAnsi="Arial" w:cs="Arial"/>
          <w:bCs/>
          <w:szCs w:val="21"/>
        </w:rPr>
        <w:t>20.1投标文件递交截止时间：于</w:t>
      </w:r>
      <w:r>
        <w:rPr>
          <w:rFonts w:hint="eastAsia" w:ascii="Arial" w:hAnsi="Arial" w:cs="Arial"/>
        </w:rPr>
        <w:t>2025年</w:t>
      </w:r>
      <w:r>
        <w:rPr>
          <w:rFonts w:hint="eastAsia" w:ascii="Arial" w:hAnsi="Arial" w:cs="Arial"/>
          <w:lang w:eastAsia="zh-CN"/>
        </w:rPr>
        <w:t>7月1日</w:t>
      </w:r>
      <w:r>
        <w:rPr>
          <w:rFonts w:ascii="Arial" w:hAnsi="Arial" w:cs="Arial"/>
          <w:bCs/>
          <w:szCs w:val="21"/>
        </w:rPr>
        <w:t>上午9时30分之前将电子投标文件上传到</w:t>
      </w:r>
      <w:r>
        <w:rPr>
          <w:rFonts w:ascii="Arial" w:hAnsi="Arial" w:cs="Arial"/>
          <w:szCs w:val="21"/>
        </w:rPr>
        <w:t>广西政府采购云平台</w:t>
      </w:r>
      <w:r>
        <w:rPr>
          <w:rFonts w:ascii="Arial" w:hAnsi="Arial" w:cs="Arial"/>
          <w:bCs/>
          <w:szCs w:val="21"/>
        </w:rPr>
        <w:t>。应按照本项目招标文件和</w:t>
      </w:r>
      <w:r>
        <w:rPr>
          <w:rFonts w:ascii="Arial" w:hAnsi="Arial" w:cs="Arial"/>
          <w:szCs w:val="21"/>
        </w:rPr>
        <w:t>广西政府采购云平台</w:t>
      </w:r>
      <w:r>
        <w:rPr>
          <w:rFonts w:ascii="Arial" w:hAnsi="Arial" w:cs="Arial"/>
          <w:bCs/>
          <w:szCs w:val="21"/>
        </w:rPr>
        <w:t>的要求编制、加密传输投标文件。供应商在使用系统进行投标的过程中遇到涉及平台使用的任何问题，可致电</w:t>
      </w:r>
      <w:r>
        <w:rPr>
          <w:rFonts w:ascii="Arial" w:hAnsi="Arial" w:cs="Arial"/>
          <w:szCs w:val="21"/>
        </w:rPr>
        <w:t>广西政府采购云平台</w:t>
      </w:r>
      <w:r>
        <w:rPr>
          <w:rFonts w:ascii="Arial" w:hAnsi="Arial" w:cs="Arial"/>
          <w:bCs/>
          <w:szCs w:val="21"/>
        </w:rPr>
        <w:t>技术支持热线咨询，联系方式：95763。</w:t>
      </w:r>
    </w:p>
    <w:p>
      <w:pPr>
        <w:pageBreakBefore w:val="0"/>
        <w:tabs>
          <w:tab w:val="left" w:pos="1305"/>
        </w:tabs>
        <w:kinsoku/>
        <w:wordWrap/>
        <w:overflowPunct/>
        <w:topLinePunct w:val="0"/>
        <w:bidi w:val="0"/>
        <w:spacing w:after="0" w:line="288" w:lineRule="auto"/>
        <w:ind w:firstLine="420" w:firstLineChars="200"/>
        <w:jc w:val="left"/>
        <w:rPr>
          <w:rFonts w:ascii="Arial" w:hAnsi="Arial" w:cs="Arial"/>
          <w:bCs/>
          <w:szCs w:val="21"/>
        </w:rPr>
      </w:pPr>
      <w:r>
        <w:rPr>
          <w:rFonts w:ascii="Arial" w:hAnsi="Arial" w:cs="Arial"/>
          <w:bCs/>
          <w:szCs w:val="21"/>
        </w:rPr>
        <w:t>20.2投标文件解密时间：截标时间后30分钟内（</w:t>
      </w:r>
      <w:r>
        <w:rPr>
          <w:rFonts w:hint="eastAsia" w:ascii="Arial" w:hAnsi="Arial" w:cs="Arial"/>
        </w:rPr>
        <w:t>2025年</w:t>
      </w:r>
      <w:r>
        <w:rPr>
          <w:rFonts w:hint="eastAsia" w:ascii="Arial" w:hAnsi="Arial" w:cs="Arial"/>
          <w:lang w:eastAsia="zh-CN"/>
        </w:rPr>
        <w:t>7月1日</w:t>
      </w:r>
      <w:r>
        <w:rPr>
          <w:rFonts w:ascii="Arial" w:hAnsi="Arial" w:cs="Arial"/>
          <w:bCs/>
          <w:szCs w:val="21"/>
        </w:rPr>
        <w:t>上午9时30分至10时00分)投标人可以登录</w:t>
      </w:r>
      <w:r>
        <w:rPr>
          <w:rFonts w:ascii="Arial" w:hAnsi="Arial" w:cs="Arial"/>
          <w:szCs w:val="21"/>
        </w:rPr>
        <w:t>广西政府采购云平台</w:t>
      </w:r>
      <w:r>
        <w:rPr>
          <w:rFonts w:ascii="Arial" w:hAnsi="Arial" w:cs="Arial"/>
          <w:bCs/>
          <w:szCs w:val="21"/>
        </w:rPr>
        <w:t>，用“项目采购-开标评标”功能进行解密投标文件。若投标人在规定时间内无法解密或解密失败，可以以电子备份投标文件作为依据【在接到无法解密或解密失败的通知后，投标人可根据自身实际情况按通知时要求的时间到桂林市公共资源交易中心</w:t>
      </w:r>
      <w:r>
        <w:rPr>
          <w:rFonts w:hint="eastAsia" w:ascii="Arial" w:hAnsi="Arial" w:cs="Arial"/>
          <w:bCs/>
          <w:szCs w:val="21"/>
          <w:lang w:val="en-US" w:eastAsia="zh-CN"/>
        </w:rPr>
        <w:t>4</w:t>
      </w:r>
      <w:r>
        <w:rPr>
          <w:rFonts w:hint="eastAsia" w:ascii="Arial" w:hAnsi="Arial" w:cs="Arial"/>
          <w:bCs/>
          <w:szCs w:val="21"/>
        </w:rPr>
        <w:t>号开标仓</w:t>
      </w:r>
      <w:r>
        <w:rPr>
          <w:rFonts w:ascii="Arial" w:hAnsi="Arial" w:cs="Arial"/>
          <w:bCs/>
          <w:szCs w:val="21"/>
        </w:rPr>
        <w:t>现场提交或以电子邮件的形式（以通知时所告知的电子邮箱地址为准）提交电子备份投标文件】，若电子备份投标文件与</w:t>
      </w:r>
      <w:r>
        <w:rPr>
          <w:rFonts w:ascii="Arial" w:hAnsi="Arial" w:cs="Arial"/>
          <w:szCs w:val="21"/>
        </w:rPr>
        <w:t>广西政府采购云平台</w:t>
      </w:r>
      <w:r>
        <w:rPr>
          <w:rFonts w:ascii="Arial" w:hAnsi="Arial" w:cs="Arial"/>
          <w:bCs/>
          <w:szCs w:val="21"/>
        </w:rPr>
        <w:t>上传的电子投标文件被识别为不一致的，以电子备份投标文件作为评审依据；投标人按时在线解密投标文件的，以在线解密的投标文件作为评审依据。若投标人在规定时间内无法解密或解密失败且未提供电子备份投标文件的(包含提供的电子备份文件无效或无法解密的情况)，视为投标无效。</w:t>
      </w:r>
    </w:p>
    <w:p>
      <w:pPr>
        <w:pageBreakBefore w:val="0"/>
        <w:tabs>
          <w:tab w:val="left" w:pos="1305"/>
        </w:tabs>
        <w:kinsoku/>
        <w:wordWrap/>
        <w:overflowPunct/>
        <w:topLinePunct w:val="0"/>
        <w:bidi w:val="0"/>
        <w:spacing w:after="0" w:line="288" w:lineRule="auto"/>
        <w:ind w:firstLine="420" w:firstLineChars="200"/>
        <w:jc w:val="left"/>
        <w:rPr>
          <w:rFonts w:ascii="Arial" w:hAnsi="Arial" w:cs="Arial"/>
          <w:bCs/>
          <w:szCs w:val="21"/>
        </w:rPr>
      </w:pPr>
      <w:r>
        <w:rPr>
          <w:rFonts w:ascii="Arial" w:hAnsi="Arial" w:cs="Arial"/>
          <w:bCs/>
          <w:szCs w:val="21"/>
        </w:rPr>
        <w:t>20.3 除招标文件另有规定外，供应商所递交的投标文件不予退还。</w:t>
      </w:r>
    </w:p>
    <w:p>
      <w:pPr>
        <w:pageBreakBefore w:val="0"/>
        <w:tabs>
          <w:tab w:val="left" w:pos="1305"/>
        </w:tabs>
        <w:kinsoku/>
        <w:wordWrap/>
        <w:overflowPunct/>
        <w:topLinePunct w:val="0"/>
        <w:bidi w:val="0"/>
        <w:spacing w:after="0" w:line="288" w:lineRule="auto"/>
        <w:ind w:firstLine="420" w:firstLineChars="200"/>
        <w:jc w:val="left"/>
        <w:rPr>
          <w:rFonts w:ascii="Arial" w:hAnsi="Arial" w:cs="Arial"/>
          <w:bCs/>
          <w:szCs w:val="21"/>
        </w:rPr>
      </w:pPr>
      <w:r>
        <w:rPr>
          <w:rFonts w:ascii="Arial" w:hAnsi="Arial" w:cs="Arial"/>
          <w:bCs/>
          <w:szCs w:val="21"/>
        </w:rPr>
        <w:t>20.4 电子投标文件的相关说明</w:t>
      </w:r>
    </w:p>
    <w:p>
      <w:pPr>
        <w:pageBreakBefore w:val="0"/>
        <w:tabs>
          <w:tab w:val="left" w:pos="1305"/>
        </w:tabs>
        <w:kinsoku/>
        <w:wordWrap/>
        <w:overflowPunct/>
        <w:topLinePunct w:val="0"/>
        <w:bidi w:val="0"/>
        <w:spacing w:after="0" w:line="288" w:lineRule="auto"/>
        <w:ind w:firstLine="420" w:firstLineChars="200"/>
        <w:jc w:val="left"/>
        <w:rPr>
          <w:rFonts w:ascii="Arial" w:hAnsi="Arial" w:cs="Arial"/>
          <w:bCs/>
          <w:szCs w:val="21"/>
        </w:rPr>
      </w:pPr>
      <w:r>
        <w:rPr>
          <w:rFonts w:ascii="Arial" w:hAnsi="Arial" w:cs="Arial"/>
          <w:bCs/>
          <w:szCs w:val="21"/>
        </w:rPr>
        <w:t xml:space="preserve">（1）供应商进行电子投标应安装客户端软件，并按照采购文件和电子交易平台的要求编制并加密投标文件。供应商未按规定加密的投标文件，电子交易平台将拒收。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 </w:t>
      </w:r>
    </w:p>
    <w:p>
      <w:pPr>
        <w:pageBreakBefore w:val="0"/>
        <w:tabs>
          <w:tab w:val="left" w:pos="1305"/>
        </w:tabs>
        <w:kinsoku/>
        <w:wordWrap/>
        <w:overflowPunct/>
        <w:topLinePunct w:val="0"/>
        <w:bidi w:val="0"/>
        <w:spacing w:after="0" w:line="288" w:lineRule="auto"/>
        <w:ind w:firstLine="420" w:firstLineChars="200"/>
        <w:jc w:val="left"/>
        <w:rPr>
          <w:rFonts w:ascii="Arial" w:hAnsi="Arial" w:cs="Arial"/>
          <w:bCs/>
          <w:sz w:val="28"/>
          <w:szCs w:val="28"/>
        </w:rPr>
      </w:pPr>
      <w:r>
        <w:rPr>
          <w:rFonts w:ascii="Arial" w:hAnsi="Arial" w:cs="Arial"/>
          <w:bCs/>
          <w:szCs w:val="21"/>
        </w:rPr>
        <w:t>（2）如有特殊情况，采购代理机构延长截止时间和开标时间，采购代理机构和供应商的权利和义务将受到新的截止时间和开标时间的约束。</w:t>
      </w:r>
    </w:p>
    <w:p>
      <w:pPr>
        <w:pageBreakBefore w:val="0"/>
        <w:tabs>
          <w:tab w:val="left" w:pos="1305"/>
        </w:tabs>
        <w:kinsoku/>
        <w:wordWrap/>
        <w:overflowPunct/>
        <w:topLinePunct w:val="0"/>
        <w:bidi w:val="0"/>
        <w:spacing w:after="0" w:line="288" w:lineRule="auto"/>
        <w:ind w:firstLine="560" w:firstLineChars="200"/>
        <w:jc w:val="center"/>
        <w:rPr>
          <w:rFonts w:ascii="Arial" w:hAnsi="Arial" w:cs="Arial"/>
          <w:b/>
          <w:sz w:val="28"/>
          <w:szCs w:val="28"/>
        </w:rPr>
      </w:pPr>
      <w:r>
        <w:rPr>
          <w:rFonts w:ascii="Arial" w:hAnsi="Arial" w:cs="Arial"/>
          <w:b/>
          <w:sz w:val="28"/>
          <w:szCs w:val="28"/>
        </w:rPr>
        <w:t>四、开标</w:t>
      </w:r>
    </w:p>
    <w:p>
      <w:pPr>
        <w:pageBreakBefore w:val="0"/>
        <w:tabs>
          <w:tab w:val="left" w:pos="1305"/>
        </w:tabs>
        <w:kinsoku/>
        <w:wordWrap/>
        <w:overflowPunct/>
        <w:topLinePunct w:val="0"/>
        <w:bidi w:val="0"/>
        <w:spacing w:after="0" w:line="288" w:lineRule="auto"/>
        <w:ind w:firstLine="420" w:firstLineChars="200"/>
        <w:rPr>
          <w:rFonts w:ascii="Arial" w:hAnsi="Arial" w:cs="Arial"/>
          <w:b/>
          <w:szCs w:val="21"/>
        </w:rPr>
      </w:pPr>
      <w:r>
        <w:rPr>
          <w:rFonts w:ascii="Arial" w:hAnsi="Arial" w:cs="Arial"/>
          <w:b/>
          <w:szCs w:val="21"/>
        </w:rPr>
        <w:t>21. 开标时间及地点</w:t>
      </w:r>
    </w:p>
    <w:p>
      <w:pPr>
        <w:pageBreakBefore w:val="0"/>
        <w:tabs>
          <w:tab w:val="left" w:pos="1305"/>
        </w:tabs>
        <w:kinsoku/>
        <w:wordWrap/>
        <w:overflowPunct/>
        <w:topLinePunct w:val="0"/>
        <w:bidi w:val="0"/>
        <w:spacing w:after="0" w:line="288" w:lineRule="auto"/>
        <w:ind w:firstLine="420" w:firstLineChars="200"/>
        <w:rPr>
          <w:rFonts w:ascii="Arial" w:hAnsi="Arial" w:cs="Arial"/>
          <w:b/>
          <w:szCs w:val="21"/>
        </w:rPr>
      </w:pPr>
      <w:r>
        <w:rPr>
          <w:rFonts w:ascii="Arial" w:hAnsi="Arial" w:cs="Arial"/>
          <w:b/>
          <w:szCs w:val="21"/>
        </w:rPr>
        <w:t>21.1开标时间及地点：</w:t>
      </w:r>
    </w:p>
    <w:p>
      <w:pPr>
        <w:pageBreakBefore w:val="0"/>
        <w:tabs>
          <w:tab w:val="left" w:pos="1305"/>
        </w:tabs>
        <w:kinsoku/>
        <w:wordWrap/>
        <w:overflowPunct/>
        <w:topLinePunct w:val="0"/>
        <w:bidi w:val="0"/>
        <w:spacing w:after="0" w:line="288" w:lineRule="auto"/>
        <w:ind w:firstLine="420" w:firstLineChars="200"/>
        <w:rPr>
          <w:rFonts w:ascii="Arial" w:hAnsi="Arial" w:cs="Arial"/>
          <w:bCs/>
          <w:szCs w:val="21"/>
        </w:rPr>
      </w:pPr>
      <w:r>
        <w:rPr>
          <w:rFonts w:ascii="Arial" w:hAnsi="Arial" w:cs="Arial"/>
          <w:bCs/>
          <w:szCs w:val="21"/>
        </w:rPr>
        <w:t>开标时间：</w:t>
      </w:r>
      <w:r>
        <w:rPr>
          <w:rFonts w:hint="eastAsia" w:ascii="Arial" w:hAnsi="Arial" w:cs="Arial"/>
        </w:rPr>
        <w:t>2025年</w:t>
      </w:r>
      <w:r>
        <w:rPr>
          <w:rFonts w:hint="eastAsia" w:ascii="Arial" w:hAnsi="Arial" w:cs="Arial"/>
          <w:lang w:eastAsia="zh-CN"/>
        </w:rPr>
        <w:t>7月1日</w:t>
      </w:r>
      <w:r>
        <w:rPr>
          <w:rFonts w:ascii="Arial" w:hAnsi="Arial" w:cs="Arial"/>
          <w:bCs/>
          <w:szCs w:val="21"/>
        </w:rPr>
        <w:t>9时30分（北京时间）截标后。</w:t>
      </w:r>
    </w:p>
    <w:p>
      <w:pPr>
        <w:pageBreakBefore w:val="0"/>
        <w:tabs>
          <w:tab w:val="left" w:pos="1305"/>
        </w:tabs>
        <w:kinsoku/>
        <w:wordWrap/>
        <w:overflowPunct/>
        <w:topLinePunct w:val="0"/>
        <w:bidi w:val="0"/>
        <w:spacing w:after="0" w:line="288" w:lineRule="auto"/>
        <w:ind w:firstLine="420" w:firstLineChars="200"/>
        <w:rPr>
          <w:rFonts w:ascii="Arial" w:hAnsi="Arial" w:cs="Arial"/>
          <w:bCs/>
          <w:szCs w:val="21"/>
        </w:rPr>
      </w:pPr>
      <w:r>
        <w:rPr>
          <w:rFonts w:ascii="Arial" w:hAnsi="Arial" w:cs="Arial"/>
          <w:bCs/>
          <w:szCs w:val="21"/>
        </w:rPr>
        <w:t>地    点：通过</w:t>
      </w:r>
      <w:r>
        <w:rPr>
          <w:rFonts w:ascii="Arial" w:hAnsi="Arial" w:cs="Arial"/>
          <w:szCs w:val="21"/>
        </w:rPr>
        <w:t>广西政府采购云平台</w:t>
      </w:r>
      <w:r>
        <w:rPr>
          <w:rFonts w:ascii="Arial" w:hAnsi="Arial" w:cs="Arial"/>
          <w:bCs/>
          <w:szCs w:val="21"/>
        </w:rPr>
        <w:t>实行在线解密开启。</w:t>
      </w:r>
    </w:p>
    <w:p>
      <w:pPr>
        <w:pageBreakBefore w:val="0"/>
        <w:tabs>
          <w:tab w:val="left" w:pos="1305"/>
        </w:tabs>
        <w:kinsoku/>
        <w:wordWrap/>
        <w:overflowPunct/>
        <w:topLinePunct w:val="0"/>
        <w:bidi w:val="0"/>
        <w:spacing w:after="0" w:line="288" w:lineRule="auto"/>
        <w:ind w:firstLine="420" w:firstLineChars="200"/>
        <w:rPr>
          <w:rFonts w:ascii="Arial" w:hAnsi="Arial" w:cs="Arial"/>
          <w:bCs/>
          <w:szCs w:val="21"/>
        </w:rPr>
      </w:pPr>
      <w:r>
        <w:rPr>
          <w:rFonts w:ascii="Arial" w:hAnsi="Arial" w:cs="Arial"/>
          <w:bCs/>
          <w:szCs w:val="21"/>
        </w:rPr>
        <w:t>提交电子备份投标文件方式：在接到无法解密或解密失败的通知后，投标人可根据自身实际情况按通知时要求的时间到桂林市公共资源交易中心</w:t>
      </w:r>
      <w:r>
        <w:rPr>
          <w:rFonts w:hint="eastAsia" w:ascii="Arial" w:hAnsi="Arial" w:cs="Arial"/>
          <w:bCs/>
          <w:szCs w:val="21"/>
        </w:rPr>
        <w:t xml:space="preserve"> </w:t>
      </w:r>
      <w:r>
        <w:rPr>
          <w:rFonts w:hint="eastAsia" w:ascii="Arial" w:hAnsi="Arial" w:cs="Arial"/>
          <w:bCs/>
          <w:szCs w:val="21"/>
          <w:lang w:val="en-US" w:eastAsia="zh-CN"/>
        </w:rPr>
        <w:t>4</w:t>
      </w:r>
      <w:r>
        <w:rPr>
          <w:rFonts w:hint="eastAsia" w:ascii="Arial" w:hAnsi="Arial" w:cs="Arial"/>
          <w:bCs/>
          <w:szCs w:val="21"/>
        </w:rPr>
        <w:t>号开标仓</w:t>
      </w:r>
      <w:r>
        <w:rPr>
          <w:rFonts w:ascii="Arial" w:hAnsi="Arial" w:cs="Arial"/>
          <w:bCs/>
          <w:szCs w:val="21"/>
        </w:rPr>
        <w:t>现场提交或以电子邮件的形式（以通知时所告知的电子邮箱地址为准）提交电子备份投标文件。投标人可以由法定代表人、负责人、自然人或其委托代理人出席开标会议。</w:t>
      </w:r>
    </w:p>
    <w:p>
      <w:pPr>
        <w:pageBreakBefore w:val="0"/>
        <w:tabs>
          <w:tab w:val="left" w:pos="1305"/>
        </w:tabs>
        <w:kinsoku/>
        <w:wordWrap/>
        <w:overflowPunct/>
        <w:topLinePunct w:val="0"/>
        <w:bidi w:val="0"/>
        <w:spacing w:after="0" w:line="288" w:lineRule="auto"/>
        <w:ind w:firstLine="420" w:firstLineChars="200"/>
        <w:rPr>
          <w:rFonts w:ascii="Arial" w:hAnsi="Arial" w:cs="Arial"/>
          <w:bCs/>
          <w:szCs w:val="21"/>
        </w:rPr>
      </w:pPr>
      <w:r>
        <w:rPr>
          <w:rFonts w:ascii="Arial" w:hAnsi="Arial" w:cs="Arial"/>
          <w:bCs/>
          <w:szCs w:val="21"/>
        </w:rPr>
        <w:t>21.2投标人不足3家的，不得开标，采购人或者采购代理机构应当重新组织采购。</w:t>
      </w:r>
    </w:p>
    <w:p>
      <w:pPr>
        <w:pageBreakBefore w:val="0"/>
        <w:tabs>
          <w:tab w:val="left" w:pos="1305"/>
        </w:tabs>
        <w:kinsoku/>
        <w:wordWrap/>
        <w:overflowPunct/>
        <w:topLinePunct w:val="0"/>
        <w:bidi w:val="0"/>
        <w:spacing w:after="0" w:line="288" w:lineRule="auto"/>
        <w:ind w:firstLine="420" w:firstLineChars="200"/>
        <w:rPr>
          <w:rFonts w:ascii="Arial" w:hAnsi="Arial" w:cs="Arial"/>
          <w:b/>
          <w:szCs w:val="21"/>
        </w:rPr>
      </w:pPr>
      <w:r>
        <w:rPr>
          <w:rFonts w:ascii="Arial" w:hAnsi="Arial" w:cs="Arial"/>
          <w:b/>
          <w:szCs w:val="21"/>
        </w:rPr>
        <w:t>22. 开标程序</w:t>
      </w:r>
    </w:p>
    <w:p>
      <w:pPr>
        <w:pageBreakBefore w:val="0"/>
        <w:tabs>
          <w:tab w:val="left" w:pos="1305"/>
        </w:tabs>
        <w:kinsoku/>
        <w:wordWrap/>
        <w:overflowPunct/>
        <w:topLinePunct w:val="0"/>
        <w:bidi w:val="0"/>
        <w:spacing w:after="0" w:line="288" w:lineRule="auto"/>
        <w:ind w:firstLine="420" w:firstLineChars="200"/>
        <w:rPr>
          <w:rFonts w:ascii="Arial" w:hAnsi="Arial" w:cs="Arial"/>
          <w:bCs/>
          <w:szCs w:val="21"/>
        </w:rPr>
      </w:pPr>
      <w:r>
        <w:rPr>
          <w:rFonts w:ascii="Arial" w:hAnsi="Arial" w:cs="Arial"/>
          <w:bCs/>
          <w:szCs w:val="21"/>
        </w:rPr>
        <w:t>22.1开标准备</w:t>
      </w:r>
    </w:p>
    <w:p>
      <w:pPr>
        <w:pageBreakBefore w:val="0"/>
        <w:tabs>
          <w:tab w:val="left" w:pos="1305"/>
        </w:tabs>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22.1.1.开标的准备工作由本公司负责落实；</w:t>
      </w:r>
    </w:p>
    <w:p>
      <w:pPr>
        <w:pageBreakBefore w:val="0"/>
        <w:tabs>
          <w:tab w:val="left" w:pos="1305"/>
        </w:tabs>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22.1.2.本</w:t>
      </w:r>
      <w:r>
        <w:rPr>
          <w:rFonts w:hint="eastAsia" w:ascii="Arial" w:hAnsi="Arial" w:cs="Arial"/>
          <w:szCs w:val="21"/>
        </w:rPr>
        <w:t>公司</w:t>
      </w:r>
      <w:r>
        <w:rPr>
          <w:rFonts w:ascii="Arial" w:hAnsi="Arial" w:cs="Arial"/>
          <w:szCs w:val="21"/>
        </w:rPr>
        <w:t>将按照招标文件规定的时间通过“政府采购云平台”组织开标、开启投标文件，所有供应商均应当准时在线参加。投标供应商如不参加开标会的，视同认可开标结果，事后不得对采购相关人员、开标过程和开标结果提出异议，同时投标供应商因未在线参加开标而导致投标文件无法按时解密等一切后果由供应商自己承担。</w:t>
      </w:r>
    </w:p>
    <w:p>
      <w:pPr>
        <w:pageBreakBefore w:val="0"/>
        <w:tabs>
          <w:tab w:val="left" w:pos="1305"/>
        </w:tabs>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22.2开标程序</w:t>
      </w:r>
    </w:p>
    <w:p>
      <w:pPr>
        <w:pageBreakBefore w:val="0"/>
        <w:tabs>
          <w:tab w:val="left" w:pos="1305"/>
        </w:tabs>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22.2.1.向各投标供应商发出电子加密投标文件【开始解密】通知，由供应商按招标文件规定的时间内自行进行投标文件解密。投标供应商在规定的时间内无法完成已递交的“电子加密投标文件”解密的，如已按规定递交了电子备份投标文件的，将由采购组织机构按“政府采购云平台”操作规范将备份投标文件上传至“政府采购云平台”，上传成功后，“电子加密投标文件”自动失效。如未提供备份电子投标文件，将不进行再次解密程序。无法在线解密视为投标人放弃投标。在线解密时间为30分钟。</w:t>
      </w:r>
    </w:p>
    <w:p>
      <w:pPr>
        <w:pageBreakBefore w:val="0"/>
        <w:tabs>
          <w:tab w:val="left" w:pos="1305"/>
        </w:tabs>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22.2.2.投标文件解密结束后，开标活动组织人员在线开启投标文件。</w:t>
      </w:r>
    </w:p>
    <w:p>
      <w:pPr>
        <w:pageBreakBefore w:val="0"/>
        <w:tabs>
          <w:tab w:val="left" w:pos="1305"/>
        </w:tabs>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22.2.3.开启投标人报价文件，广西政府采购云平台在线向投标人公开开标（报价）一览表有关内容，投标人代表如果认为开标信息有误，可以当场或在线提出异议。</w:t>
      </w:r>
    </w:p>
    <w:p>
      <w:pPr>
        <w:pageBreakBefore w:val="0"/>
        <w:tabs>
          <w:tab w:val="left" w:pos="1305"/>
        </w:tabs>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开标结束后，如发现开标结果与报价文件不一致者，由评标委员会根据报价文件内容进行修正。</w:t>
      </w:r>
    </w:p>
    <w:p>
      <w:pPr>
        <w:pageBreakBefore w:val="0"/>
        <w:tabs>
          <w:tab w:val="left" w:pos="1305"/>
        </w:tabs>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特别说明：如遇广西政府采购云平台电子化开标或评审程序调整的，按调整后程序执行。</w:t>
      </w:r>
    </w:p>
    <w:p>
      <w:pPr>
        <w:pageBreakBefore w:val="0"/>
        <w:tabs>
          <w:tab w:val="left" w:pos="1305"/>
        </w:tabs>
        <w:kinsoku/>
        <w:wordWrap/>
        <w:overflowPunct/>
        <w:topLinePunct w:val="0"/>
        <w:bidi w:val="0"/>
        <w:spacing w:after="0" w:line="288" w:lineRule="auto"/>
        <w:ind w:firstLine="560" w:firstLineChars="200"/>
        <w:jc w:val="center"/>
        <w:rPr>
          <w:rFonts w:ascii="Arial" w:hAnsi="Arial" w:cs="Arial"/>
          <w:b/>
          <w:sz w:val="28"/>
          <w:szCs w:val="28"/>
        </w:rPr>
      </w:pPr>
      <w:r>
        <w:rPr>
          <w:rFonts w:ascii="Arial" w:hAnsi="Arial" w:cs="Arial"/>
          <w:b/>
          <w:sz w:val="28"/>
          <w:szCs w:val="28"/>
        </w:rPr>
        <w:t>五、资格性审查</w:t>
      </w:r>
    </w:p>
    <w:p>
      <w:pPr>
        <w:pageBreakBefore w:val="0"/>
        <w:tabs>
          <w:tab w:val="left" w:pos="1305"/>
        </w:tabs>
        <w:kinsoku/>
        <w:wordWrap/>
        <w:overflowPunct/>
        <w:topLinePunct w:val="0"/>
        <w:bidi w:val="0"/>
        <w:spacing w:after="0" w:line="288" w:lineRule="auto"/>
        <w:ind w:firstLine="420" w:firstLineChars="200"/>
        <w:rPr>
          <w:rFonts w:ascii="Arial" w:hAnsi="Arial" w:cs="Arial"/>
          <w:b/>
          <w:szCs w:val="21"/>
        </w:rPr>
      </w:pPr>
      <w:r>
        <w:rPr>
          <w:rFonts w:ascii="Arial" w:hAnsi="Arial" w:cs="Arial"/>
          <w:b/>
          <w:szCs w:val="21"/>
        </w:rPr>
        <w:t>23. 资格性审查</w:t>
      </w:r>
    </w:p>
    <w:p>
      <w:pPr>
        <w:pageBreakBefore w:val="0"/>
        <w:tabs>
          <w:tab w:val="left" w:pos="1305"/>
        </w:tabs>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23.1公开招标采购项目开标结束后，采购人或者采购代理机构应当依法对投标人的资格进行审查。合格投标人不足3家的，不得评标。</w:t>
      </w:r>
    </w:p>
    <w:p>
      <w:pPr>
        <w:pageBreakBefore w:val="0"/>
        <w:kinsoku/>
        <w:wordWrap/>
        <w:overflowPunct/>
        <w:topLinePunct w:val="0"/>
        <w:bidi w:val="0"/>
        <w:spacing w:after="0" w:line="288" w:lineRule="auto"/>
        <w:ind w:firstLine="420" w:firstLineChars="200"/>
        <w:rPr>
          <w:rFonts w:ascii="Arial" w:hAnsi="Arial" w:cs="Arial"/>
          <w:b/>
          <w:szCs w:val="21"/>
        </w:rPr>
      </w:pPr>
      <w:r>
        <w:rPr>
          <w:rFonts w:ascii="Arial" w:hAnsi="Arial" w:cs="Arial"/>
          <w:b/>
          <w:szCs w:val="21"/>
        </w:rPr>
        <w:t>23.2</w:t>
      </w:r>
      <w:r>
        <w:rPr>
          <w:rFonts w:ascii="Arial" w:hAnsi="Arial" w:cs="Arial"/>
          <w:b/>
          <w:sz w:val="24"/>
        </w:rPr>
        <w:t>采购人或者采购代理机构在对投标人进行资格性审查时，将对投标人企业股东及出资等信息进行查询。根据《中华人民共和国政府采购法实施条例》第十八条第一款规定，审查中如发现投标人存在单位负责人为同一人或者存在直接控股、管理关系的不同供应商参加同一合同项下的政府采购活动的，按资格审查不通过处理。</w:t>
      </w:r>
    </w:p>
    <w:p>
      <w:pPr>
        <w:pageBreakBefore w:val="0"/>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查询渠道：《国家企业信用信息公示系统》（网址：</w:t>
      </w:r>
      <w:r>
        <w:fldChar w:fldCharType="begin"/>
      </w:r>
      <w:r>
        <w:instrText xml:space="preserve"> HYPERLINK "http://www.gsxt.gov.cn/index.html" </w:instrText>
      </w:r>
      <w:r>
        <w:fldChar w:fldCharType="separate"/>
      </w:r>
      <w:r>
        <w:rPr>
          <w:rFonts w:ascii="Arial" w:hAnsi="Arial" w:cs="Arial"/>
          <w:szCs w:val="21"/>
        </w:rPr>
        <w:t>http：//www.gsxt.gov.cn/index.html</w:t>
      </w:r>
      <w:r>
        <w:rPr>
          <w:rFonts w:ascii="Arial" w:hAnsi="Arial" w:cs="Arial"/>
          <w:szCs w:val="21"/>
        </w:rPr>
        <w:fldChar w:fldCharType="end"/>
      </w:r>
      <w:r>
        <w:rPr>
          <w:rFonts w:ascii="Arial" w:hAnsi="Arial" w:cs="Arial"/>
          <w:szCs w:val="21"/>
        </w:rPr>
        <w:t>）</w:t>
      </w:r>
    </w:p>
    <w:p>
      <w:pPr>
        <w:pageBreakBefore w:val="0"/>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审查流程：</w:t>
      </w:r>
    </w:p>
    <w:p>
      <w:pPr>
        <w:pageBreakBefore w:val="0"/>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（1）进入《国家企业信用信息公示系统》（网址：http：//www.gsxt.gov.cn/index.html），输入企业名称，进入企业信息主页面；</w:t>
      </w:r>
    </w:p>
    <w:p>
      <w:pPr>
        <w:pageBreakBefore w:val="0"/>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（2）查看主页“股东及出资信息”栏，或年报中的“股东及出资信息”栏信息；</w:t>
      </w:r>
    </w:p>
    <w:p>
      <w:pPr>
        <w:pageBreakBefore w:val="0"/>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（3）将各投标人的股东及出资信息进行比对，得出审查结论；</w:t>
      </w:r>
    </w:p>
    <w:p>
      <w:pPr>
        <w:pageBreakBefore w:val="0"/>
        <w:kinsoku/>
        <w:wordWrap/>
        <w:overflowPunct/>
        <w:topLinePunct w:val="0"/>
        <w:bidi w:val="0"/>
        <w:snapToGrid w:val="0"/>
        <w:spacing w:after="0" w:line="288" w:lineRule="auto"/>
        <w:ind w:firstLine="420" w:firstLineChars="200"/>
        <w:rPr>
          <w:rFonts w:ascii="Arial" w:hAnsi="Arial" w:cs="Arial"/>
          <w:szCs w:val="21"/>
        </w:rPr>
      </w:pPr>
      <w:r>
        <w:rPr>
          <w:rFonts w:ascii="Arial" w:hAnsi="Arial" w:cs="Arial"/>
          <w:szCs w:val="21"/>
        </w:rPr>
        <w:t>（4）将相关资料作为评审资料打印存档。</w:t>
      </w:r>
    </w:p>
    <w:p>
      <w:pPr>
        <w:pageBreakBefore w:val="0"/>
        <w:tabs>
          <w:tab w:val="left" w:pos="1305"/>
        </w:tabs>
        <w:kinsoku/>
        <w:wordWrap/>
        <w:overflowPunct/>
        <w:topLinePunct w:val="0"/>
        <w:bidi w:val="0"/>
        <w:spacing w:after="0" w:line="288" w:lineRule="auto"/>
        <w:rPr>
          <w:rFonts w:ascii="Arial" w:hAnsi="Arial" w:cs="Arial"/>
          <w:szCs w:val="21"/>
        </w:rPr>
      </w:pPr>
      <w:r>
        <w:rPr>
          <w:rFonts w:ascii="Arial" w:hAnsi="Arial" w:cs="Arial"/>
          <w:b/>
          <w:sz w:val="24"/>
        </w:rPr>
        <w:t>注：以上审查过程中，如出现查询企业网页主页面无法显示股东及出资信息的或仅以主页面信息内容无法认定投标人之间存在单位负责人为同一人或者存在直接控股、管理关系的，当时审查程序可继续进行，待评审结束后将对以上投标人作进一步核实确认，如确认投标人之间存在有上述关联供应商情形的，关联供应商均按投标无效处理。</w:t>
      </w:r>
    </w:p>
    <w:p>
      <w:pPr>
        <w:pageBreakBefore w:val="0"/>
        <w:tabs>
          <w:tab w:val="center" w:pos="4411"/>
          <w:tab w:val="left" w:pos="5475"/>
        </w:tabs>
        <w:kinsoku/>
        <w:wordWrap/>
        <w:overflowPunct/>
        <w:topLinePunct w:val="0"/>
        <w:bidi w:val="0"/>
        <w:spacing w:after="0" w:line="288" w:lineRule="auto"/>
        <w:jc w:val="center"/>
        <w:rPr>
          <w:rFonts w:ascii="Arial" w:hAnsi="Arial" w:cs="Arial"/>
          <w:b/>
          <w:sz w:val="28"/>
          <w:szCs w:val="28"/>
        </w:rPr>
      </w:pPr>
    </w:p>
    <w:p>
      <w:pPr>
        <w:pageBreakBefore w:val="0"/>
        <w:tabs>
          <w:tab w:val="center" w:pos="4411"/>
          <w:tab w:val="left" w:pos="5475"/>
        </w:tabs>
        <w:kinsoku/>
        <w:wordWrap/>
        <w:overflowPunct/>
        <w:topLinePunct w:val="0"/>
        <w:bidi w:val="0"/>
        <w:spacing w:after="0" w:line="288" w:lineRule="auto"/>
        <w:jc w:val="center"/>
        <w:rPr>
          <w:rFonts w:ascii="Arial" w:hAnsi="Arial" w:cs="Arial"/>
          <w:b/>
          <w:sz w:val="28"/>
          <w:szCs w:val="28"/>
        </w:rPr>
      </w:pPr>
      <w:r>
        <w:rPr>
          <w:rFonts w:ascii="Arial" w:hAnsi="Arial" w:cs="Arial"/>
          <w:b/>
          <w:sz w:val="28"/>
          <w:szCs w:val="28"/>
        </w:rPr>
        <w:t>六、评标</w:t>
      </w:r>
    </w:p>
    <w:p>
      <w:pPr>
        <w:pageBreakBefore w:val="0"/>
        <w:tabs>
          <w:tab w:val="center" w:pos="4411"/>
          <w:tab w:val="left" w:pos="5475"/>
        </w:tabs>
        <w:kinsoku/>
        <w:wordWrap/>
        <w:overflowPunct/>
        <w:topLinePunct w:val="0"/>
        <w:bidi w:val="0"/>
        <w:spacing w:after="0" w:line="288" w:lineRule="auto"/>
        <w:ind w:firstLine="420" w:firstLineChars="200"/>
        <w:jc w:val="left"/>
        <w:rPr>
          <w:rFonts w:ascii="Arial" w:hAnsi="Arial" w:cs="Arial"/>
          <w:b/>
          <w:szCs w:val="21"/>
        </w:rPr>
      </w:pPr>
      <w:r>
        <w:rPr>
          <w:rFonts w:ascii="Arial" w:hAnsi="Arial" w:cs="Arial"/>
          <w:b/>
          <w:szCs w:val="21"/>
        </w:rPr>
        <w:t>24. 评标委员会组成</w:t>
      </w:r>
    </w:p>
    <w:p>
      <w:pPr>
        <w:pageBreakBefore w:val="0"/>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评标委员会由采购人代表和有关技术、经济等方面的专家组成，成员人数共</w:t>
      </w:r>
      <w:r>
        <w:rPr>
          <w:rFonts w:hint="eastAsia" w:ascii="Arial" w:hAnsi="Arial" w:cs="Arial"/>
          <w:szCs w:val="21"/>
        </w:rPr>
        <w:t>5</w:t>
      </w:r>
      <w:r>
        <w:rPr>
          <w:rFonts w:ascii="Arial" w:hAnsi="Arial" w:cs="Arial"/>
          <w:szCs w:val="21"/>
        </w:rPr>
        <w:t>人，其中采购人代表1人，技术、经济等专家</w:t>
      </w:r>
      <w:r>
        <w:rPr>
          <w:rFonts w:hint="eastAsia" w:ascii="Arial" w:hAnsi="Arial" w:cs="Arial"/>
          <w:szCs w:val="21"/>
        </w:rPr>
        <w:t>4</w:t>
      </w:r>
      <w:r>
        <w:rPr>
          <w:rFonts w:ascii="Arial" w:hAnsi="Arial" w:cs="Arial"/>
          <w:szCs w:val="21"/>
        </w:rPr>
        <w:t>人。</w:t>
      </w:r>
    </w:p>
    <w:p>
      <w:pPr>
        <w:pageBreakBefore w:val="0"/>
        <w:tabs>
          <w:tab w:val="left" w:pos="1140"/>
        </w:tabs>
        <w:kinsoku/>
        <w:wordWrap/>
        <w:overflowPunct/>
        <w:topLinePunct w:val="0"/>
        <w:bidi w:val="0"/>
        <w:spacing w:after="0" w:line="288" w:lineRule="auto"/>
        <w:ind w:left="419" w:leftChars="172" w:hanging="58" w:hangingChars="28"/>
        <w:rPr>
          <w:rFonts w:ascii="Arial" w:hAnsi="Arial" w:cs="Arial"/>
          <w:b/>
          <w:szCs w:val="21"/>
        </w:rPr>
      </w:pPr>
      <w:r>
        <w:rPr>
          <w:rFonts w:ascii="Arial" w:hAnsi="Arial" w:cs="Arial"/>
          <w:b/>
          <w:szCs w:val="21"/>
        </w:rPr>
        <w:t>25. 评标办法</w:t>
      </w:r>
    </w:p>
    <w:p>
      <w:pPr>
        <w:pageBreakBefore w:val="0"/>
        <w:tabs>
          <w:tab w:val="left" w:pos="1140"/>
        </w:tabs>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25.1评标办法：综合评分法，具体评标内容及标准详见第四章。</w:t>
      </w:r>
    </w:p>
    <w:p>
      <w:pPr>
        <w:pageBreakBefore w:val="0"/>
        <w:tabs>
          <w:tab w:val="left" w:pos="1140"/>
        </w:tabs>
        <w:kinsoku/>
        <w:wordWrap/>
        <w:overflowPunct/>
        <w:topLinePunct w:val="0"/>
        <w:bidi w:val="0"/>
        <w:spacing w:after="0" w:line="288" w:lineRule="auto"/>
        <w:ind w:firstLine="420" w:firstLineChars="200"/>
        <w:rPr>
          <w:rFonts w:ascii="Arial" w:hAnsi="Arial" w:cs="Arial"/>
        </w:rPr>
      </w:pPr>
      <w:r>
        <w:rPr>
          <w:rFonts w:ascii="Arial" w:hAnsi="Arial" w:cs="Arial"/>
          <w:szCs w:val="21"/>
        </w:rPr>
        <w:t>25.2评标委员会应按招标文件进行评标，不得擅自更改评标办法。</w:t>
      </w:r>
    </w:p>
    <w:p>
      <w:pPr>
        <w:pageBreakBefore w:val="0"/>
        <w:tabs>
          <w:tab w:val="left" w:pos="1140"/>
        </w:tabs>
        <w:kinsoku/>
        <w:wordWrap/>
        <w:overflowPunct/>
        <w:topLinePunct w:val="0"/>
        <w:bidi w:val="0"/>
        <w:spacing w:after="0" w:line="288" w:lineRule="auto"/>
        <w:ind w:firstLine="420" w:firstLineChars="200"/>
        <w:rPr>
          <w:rFonts w:ascii="Arial" w:hAnsi="Arial" w:cs="Arial"/>
          <w:b/>
          <w:szCs w:val="21"/>
        </w:rPr>
      </w:pPr>
      <w:r>
        <w:rPr>
          <w:rFonts w:ascii="Arial" w:hAnsi="Arial" w:cs="Arial"/>
          <w:b/>
          <w:szCs w:val="21"/>
        </w:rPr>
        <w:t>26. 评标</w:t>
      </w:r>
    </w:p>
    <w:p>
      <w:pPr>
        <w:pageBreakBefore w:val="0"/>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26.1采购代理机构负责组织评标工作；宣布评标工作纪律，公布投标人名单，告知评审专家应当回避的情形，组织评标委员会推选评标组长，采购人代表不得担任组长；在评标期间采取必要的通讯管理措施，保证评标活动不受外界干扰；根据评标委员会的要求介绍政府采购相关政策法规、招标文件；维护评标秩序，监督评标委员会依照招标文件规定的评标程序、方法和标准进行独立评审，及时制止和纠正采购人代表、评审专家的倾向性言论或者违法违规行为；核对评标结果，有投标无效情形的，要求评标委员会复核或者书面说明理由，评标委员会拒绝的，应予记录并向本级财政部门报告；评审工作完成后，按照规定向评审专家支付劳务报酬和异地评审差旅费，不得向评审专家以外的其他人员支付评审劳务报酬；</w:t>
      </w:r>
    </w:p>
    <w:p>
      <w:pPr>
        <w:pStyle w:val="44"/>
        <w:pageBreakBefore w:val="0"/>
        <w:shd w:val="clear" w:color="auto" w:fill="FFFFFF"/>
        <w:kinsoku/>
        <w:wordWrap/>
        <w:overflowPunct/>
        <w:topLinePunct w:val="0"/>
        <w:bidi w:val="0"/>
        <w:spacing w:before="0" w:beforeAutospacing="0" w:after="0" w:afterAutospacing="0" w:line="288" w:lineRule="auto"/>
        <w:ind w:firstLine="420" w:firstLineChars="200"/>
        <w:rPr>
          <w:rFonts w:ascii="Arial" w:hAnsi="Arial" w:cs="Arial"/>
          <w:kern w:val="2"/>
          <w:sz w:val="21"/>
          <w:szCs w:val="21"/>
        </w:rPr>
      </w:pPr>
      <w:r>
        <w:rPr>
          <w:rFonts w:ascii="Arial" w:hAnsi="Arial" w:cs="Arial"/>
          <w:kern w:val="2"/>
          <w:sz w:val="21"/>
          <w:szCs w:val="21"/>
        </w:rPr>
        <w:t>26.2评标委员会负责具体评标事务；审查、评价投标文件是否符合招标文件的商务、技术等实质性要求；要求投标人对投标文件有关事项作出澄清或者说明；对投标文件进行比较和评价；确定中标候选人名单，以及根据采购人委托直接确定中标人；向采购人、采购代理机构或者有关部门报告评标中发现的违法行为。</w:t>
      </w:r>
    </w:p>
    <w:p>
      <w:pPr>
        <w:pStyle w:val="44"/>
        <w:pageBreakBefore w:val="0"/>
        <w:shd w:val="clear" w:color="auto" w:fill="FFFFFF"/>
        <w:kinsoku/>
        <w:wordWrap/>
        <w:overflowPunct/>
        <w:topLinePunct w:val="0"/>
        <w:bidi w:val="0"/>
        <w:spacing w:before="0" w:beforeAutospacing="0" w:after="0" w:afterAutospacing="0" w:line="288" w:lineRule="auto"/>
        <w:ind w:firstLine="420" w:firstLineChars="200"/>
        <w:rPr>
          <w:rFonts w:ascii="Arial" w:hAnsi="Arial" w:cs="Arial"/>
          <w:kern w:val="2"/>
          <w:sz w:val="21"/>
          <w:szCs w:val="21"/>
        </w:rPr>
      </w:pPr>
      <w:r>
        <w:rPr>
          <w:rFonts w:ascii="Arial" w:hAnsi="Arial" w:cs="Arial"/>
          <w:kern w:val="2"/>
          <w:sz w:val="21"/>
          <w:szCs w:val="21"/>
        </w:rPr>
        <w:t>26.3在评标过程中，评标委员会任何人不得对某个投标人发表任何倾向性意见，不得向其他专家评委明示或者暗示自己的评审意见。</w:t>
      </w:r>
    </w:p>
    <w:p>
      <w:pPr>
        <w:pageBreakBefore w:val="0"/>
        <w:tabs>
          <w:tab w:val="left" w:pos="1140"/>
        </w:tabs>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26.4评标委员会应当对符合资格的投标人的投标文件进行符合性审查，以确定其是否满足招标文件的实质性要求。</w:t>
      </w:r>
    </w:p>
    <w:p>
      <w:pPr>
        <w:pageBreakBefore w:val="0"/>
        <w:tabs>
          <w:tab w:val="left" w:pos="1140"/>
        </w:tabs>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26.5对于投标文件中含义不明确、同类问题表述不一致或者有明显文字和计算错误的内容，评标委员会应当以书面形式要求投标人作出必要的澄清、说明或者补正。</w:t>
      </w:r>
    </w:p>
    <w:p>
      <w:pPr>
        <w:pageBreakBefore w:val="0"/>
        <w:tabs>
          <w:tab w:val="left" w:pos="1140"/>
        </w:tabs>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投标人的澄清、说明或者补正应当采用书面形式，并加盖公章，或者由法定代表人或其授权的代表签字。投标人的澄清、说明或者补正不得超出投标文件的范围或者改变投标文件的实质性内容。</w:t>
      </w:r>
    </w:p>
    <w:p>
      <w:pPr>
        <w:pStyle w:val="28"/>
        <w:pageBreakBefore w:val="0"/>
        <w:kinsoku/>
        <w:wordWrap/>
        <w:overflowPunct/>
        <w:topLinePunct w:val="0"/>
        <w:bidi w:val="0"/>
        <w:spacing w:after="0" w:line="288" w:lineRule="auto"/>
        <w:ind w:firstLine="411" w:firstLineChars="196"/>
        <w:rPr>
          <w:rFonts w:ascii="Arial" w:hAnsi="Arial" w:cs="Arial"/>
          <w:szCs w:val="21"/>
        </w:rPr>
      </w:pPr>
      <w:r>
        <w:rPr>
          <w:rFonts w:ascii="Arial" w:hAnsi="Arial" w:cs="Arial"/>
          <w:szCs w:val="21"/>
        </w:rPr>
        <w:t>26.6评标委员会应当按照招标文件中规定的评标方法和标准，对符合性审查合格的投标文件进行商务和技术评估，综合比较与评价。</w:t>
      </w:r>
    </w:p>
    <w:p>
      <w:pPr>
        <w:pStyle w:val="44"/>
        <w:pageBreakBefore w:val="0"/>
        <w:shd w:val="clear" w:color="auto" w:fill="FFFFFF"/>
        <w:kinsoku/>
        <w:wordWrap/>
        <w:overflowPunct/>
        <w:topLinePunct w:val="0"/>
        <w:bidi w:val="0"/>
        <w:spacing w:before="0" w:beforeAutospacing="0" w:after="0" w:afterAutospacing="0" w:line="288" w:lineRule="auto"/>
        <w:ind w:firstLine="480" w:firstLineChars="200"/>
        <w:rPr>
          <w:rFonts w:ascii="Arial" w:hAnsi="Arial" w:cs="Arial"/>
          <w:b/>
          <w:kern w:val="2"/>
        </w:rPr>
      </w:pPr>
      <w:r>
        <w:rPr>
          <w:rFonts w:ascii="Arial" w:hAnsi="Arial" w:cs="Arial"/>
          <w:b/>
          <w:kern w:val="2"/>
        </w:rPr>
        <w:t>26.7投标文件报价出现前后不一致的，除招标文件另有规定外，按照下列规定修正：</w:t>
      </w:r>
    </w:p>
    <w:p>
      <w:pPr>
        <w:pStyle w:val="44"/>
        <w:pageBreakBefore w:val="0"/>
        <w:shd w:val="clear" w:color="auto" w:fill="FFFFFF"/>
        <w:kinsoku/>
        <w:wordWrap/>
        <w:overflowPunct/>
        <w:topLinePunct w:val="0"/>
        <w:bidi w:val="0"/>
        <w:spacing w:before="0" w:beforeAutospacing="0" w:after="0" w:afterAutospacing="0" w:line="288" w:lineRule="auto"/>
        <w:rPr>
          <w:rFonts w:ascii="Arial" w:hAnsi="Arial" w:cs="Arial"/>
          <w:b/>
          <w:kern w:val="2"/>
        </w:rPr>
      </w:pPr>
      <w:r>
        <w:rPr>
          <w:rFonts w:ascii="Arial" w:hAnsi="Arial" w:cs="Arial"/>
          <w:b/>
          <w:kern w:val="2"/>
        </w:rPr>
        <w:t>　　（1）投标文件中投标报价表内容与投标文件中相应内容不一致的，以投标报价表为准；</w:t>
      </w:r>
    </w:p>
    <w:p>
      <w:pPr>
        <w:pStyle w:val="44"/>
        <w:pageBreakBefore w:val="0"/>
        <w:shd w:val="clear" w:color="auto" w:fill="FFFFFF"/>
        <w:kinsoku/>
        <w:wordWrap/>
        <w:overflowPunct/>
        <w:topLinePunct w:val="0"/>
        <w:bidi w:val="0"/>
        <w:spacing w:before="0" w:beforeAutospacing="0" w:after="0" w:afterAutospacing="0" w:line="288" w:lineRule="auto"/>
        <w:rPr>
          <w:rFonts w:ascii="Arial" w:hAnsi="Arial" w:cs="Arial"/>
          <w:b/>
          <w:kern w:val="2"/>
        </w:rPr>
      </w:pPr>
      <w:r>
        <w:rPr>
          <w:rFonts w:ascii="Arial" w:hAnsi="Arial" w:cs="Arial"/>
          <w:b/>
          <w:kern w:val="2"/>
        </w:rPr>
        <w:t>　　（2）大写金额和小写金额不一致的，以大写金额为准；</w:t>
      </w:r>
    </w:p>
    <w:p>
      <w:pPr>
        <w:pStyle w:val="44"/>
        <w:pageBreakBefore w:val="0"/>
        <w:shd w:val="clear" w:color="auto" w:fill="FFFFFF"/>
        <w:kinsoku/>
        <w:wordWrap/>
        <w:overflowPunct/>
        <w:topLinePunct w:val="0"/>
        <w:bidi w:val="0"/>
        <w:spacing w:before="0" w:beforeAutospacing="0" w:after="0" w:afterAutospacing="0" w:line="288" w:lineRule="auto"/>
        <w:rPr>
          <w:rFonts w:ascii="Arial" w:hAnsi="Arial" w:cs="Arial"/>
          <w:b/>
          <w:kern w:val="2"/>
        </w:rPr>
      </w:pPr>
      <w:r>
        <w:rPr>
          <w:rFonts w:ascii="Arial" w:hAnsi="Arial" w:cs="Arial"/>
          <w:b/>
          <w:kern w:val="2"/>
        </w:rPr>
        <w:t>　　（3）单价金额小数点或者百分比有明显错位的，以投标报价表的总价为准，并修改单价；</w:t>
      </w:r>
    </w:p>
    <w:p>
      <w:pPr>
        <w:pStyle w:val="44"/>
        <w:pageBreakBefore w:val="0"/>
        <w:shd w:val="clear" w:color="auto" w:fill="FFFFFF"/>
        <w:kinsoku/>
        <w:wordWrap/>
        <w:overflowPunct/>
        <w:topLinePunct w:val="0"/>
        <w:bidi w:val="0"/>
        <w:spacing w:before="0" w:beforeAutospacing="0" w:after="0" w:afterAutospacing="0" w:line="288" w:lineRule="auto"/>
        <w:rPr>
          <w:rFonts w:ascii="Arial" w:hAnsi="Arial" w:cs="Arial"/>
          <w:b/>
          <w:kern w:val="2"/>
        </w:rPr>
      </w:pPr>
      <w:r>
        <w:rPr>
          <w:rFonts w:ascii="Arial" w:hAnsi="Arial" w:cs="Arial"/>
          <w:b/>
          <w:kern w:val="2"/>
        </w:rPr>
        <w:t>　　（4）总价金额与按单价汇总金额不一致的，以单价金额计算结果为准。</w:t>
      </w:r>
    </w:p>
    <w:p>
      <w:pPr>
        <w:pStyle w:val="44"/>
        <w:pageBreakBefore w:val="0"/>
        <w:shd w:val="clear" w:color="auto" w:fill="FFFFFF"/>
        <w:kinsoku/>
        <w:wordWrap/>
        <w:overflowPunct/>
        <w:topLinePunct w:val="0"/>
        <w:bidi w:val="0"/>
        <w:spacing w:before="0" w:beforeAutospacing="0" w:after="0" w:afterAutospacing="0" w:line="288" w:lineRule="auto"/>
        <w:rPr>
          <w:rFonts w:ascii="Arial" w:hAnsi="Arial" w:cs="Arial"/>
          <w:b/>
          <w:kern w:val="2"/>
        </w:rPr>
      </w:pPr>
      <w:r>
        <w:rPr>
          <w:rFonts w:ascii="Arial" w:hAnsi="Arial" w:cs="Arial"/>
          <w:b/>
          <w:kern w:val="2"/>
        </w:rPr>
        <w:t>　　同时出现两种以上不一致的，按照前款规定的顺序修正。修正后的报价（不得超出投标文件的范围或者改变投标文件的实质性内容）经投标人确认后产生约束力，投标人不确认的，其投标无效。</w:t>
      </w:r>
    </w:p>
    <w:p>
      <w:pPr>
        <w:pStyle w:val="28"/>
        <w:pageBreakBefore w:val="0"/>
        <w:kinsoku/>
        <w:wordWrap/>
        <w:overflowPunct/>
        <w:topLinePunct w:val="0"/>
        <w:bidi w:val="0"/>
        <w:spacing w:after="0" w:line="288" w:lineRule="auto"/>
        <w:ind w:firstLine="470" w:firstLineChars="196"/>
        <w:rPr>
          <w:rFonts w:ascii="Arial" w:hAnsi="Arial" w:cs="Arial"/>
          <w:sz w:val="24"/>
          <w:szCs w:val="24"/>
        </w:rPr>
      </w:pPr>
      <w:r>
        <w:rPr>
          <w:rFonts w:ascii="Arial" w:hAnsi="Arial" w:cs="Arial"/>
          <w:b/>
          <w:sz w:val="24"/>
          <w:szCs w:val="24"/>
        </w:rPr>
        <w:t>26.8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8"/>
        <w:pageBreakBefore w:val="0"/>
        <w:kinsoku/>
        <w:wordWrap/>
        <w:overflowPunct/>
        <w:topLinePunct w:val="0"/>
        <w:bidi w:val="0"/>
        <w:spacing w:after="0" w:line="288" w:lineRule="auto"/>
        <w:ind w:firstLine="411" w:firstLineChars="196"/>
        <w:rPr>
          <w:rFonts w:ascii="Arial" w:hAnsi="Arial" w:cs="Arial"/>
          <w:szCs w:val="21"/>
        </w:rPr>
      </w:pPr>
      <w:r>
        <w:rPr>
          <w:rFonts w:ascii="Arial" w:hAnsi="Arial" w:cs="Arial"/>
          <w:szCs w:val="21"/>
        </w:rPr>
        <w:t>26.9评标委员会成员对需要共同认定的事项存在争议的，应当按照少数服从多数的原则作出结论。持不同意见的评标委员会成员应当在评标报告上签署不同意见及理由，否则视为同意评标报告。</w:t>
      </w:r>
    </w:p>
    <w:p>
      <w:pPr>
        <w:pStyle w:val="28"/>
        <w:pageBreakBefore w:val="0"/>
        <w:kinsoku/>
        <w:wordWrap/>
        <w:overflowPunct/>
        <w:topLinePunct w:val="0"/>
        <w:bidi w:val="0"/>
        <w:spacing w:after="0" w:line="288" w:lineRule="auto"/>
        <w:ind w:firstLine="411" w:firstLineChars="196"/>
        <w:rPr>
          <w:rFonts w:ascii="Arial" w:hAnsi="Arial" w:cs="Arial"/>
          <w:szCs w:val="21"/>
        </w:rPr>
      </w:pPr>
      <w:r>
        <w:rPr>
          <w:rFonts w:ascii="Arial" w:hAnsi="Arial" w:cs="Arial"/>
          <w:b/>
          <w:bCs/>
          <w:szCs w:val="21"/>
          <w:shd w:val="clear" w:color="auto" w:fill="FFFFFF"/>
        </w:rPr>
        <w:t>26.10根据财库〔2019〕38号《关于促进政府采购公平竞争优化营商环境的通知》以及桂财采〔2019〕41号《广西壮族自治区财政厅转发财政部关于促进政府采购公平竞争优化营商环境的通知》规定，评标委员会认定投标有效性时不得因装订、纸张、文件排序等非实质性的格式、形式问题否决投标，从而限制和影响供应商投标（响应）。</w:t>
      </w:r>
    </w:p>
    <w:p>
      <w:pPr>
        <w:pageBreakBefore w:val="0"/>
        <w:kinsoku/>
        <w:wordWrap/>
        <w:overflowPunct/>
        <w:topLinePunct w:val="0"/>
        <w:bidi w:val="0"/>
        <w:snapToGrid w:val="0"/>
        <w:spacing w:after="0" w:line="288" w:lineRule="auto"/>
        <w:ind w:firstLine="420" w:firstLineChars="200"/>
        <w:rPr>
          <w:rFonts w:ascii="Arial" w:hAnsi="Arial" w:cs="Arial"/>
          <w:szCs w:val="21"/>
        </w:rPr>
      </w:pPr>
      <w:r>
        <w:rPr>
          <w:rFonts w:ascii="Arial" w:hAnsi="Arial" w:cs="Arial"/>
          <w:szCs w:val="21"/>
        </w:rPr>
        <w:t>26.11评标结果汇总完成后，除下列情形外，任何人不得修改评标结果：</w:t>
      </w:r>
    </w:p>
    <w:p>
      <w:pPr>
        <w:pageBreakBefore w:val="0"/>
        <w:kinsoku/>
        <w:wordWrap/>
        <w:overflowPunct/>
        <w:topLinePunct w:val="0"/>
        <w:bidi w:val="0"/>
        <w:snapToGrid w:val="0"/>
        <w:spacing w:after="0" w:line="288" w:lineRule="auto"/>
        <w:ind w:firstLine="420" w:firstLineChars="200"/>
        <w:rPr>
          <w:rFonts w:ascii="Arial" w:hAnsi="Arial" w:cs="Arial"/>
          <w:szCs w:val="21"/>
        </w:rPr>
      </w:pPr>
      <w:r>
        <w:rPr>
          <w:rFonts w:ascii="Arial" w:hAnsi="Arial" w:cs="Arial"/>
          <w:szCs w:val="21"/>
        </w:rPr>
        <w:t>（一）分值汇总计算错误的；</w:t>
      </w:r>
    </w:p>
    <w:p>
      <w:pPr>
        <w:pageBreakBefore w:val="0"/>
        <w:kinsoku/>
        <w:wordWrap/>
        <w:overflowPunct/>
        <w:topLinePunct w:val="0"/>
        <w:bidi w:val="0"/>
        <w:snapToGrid w:val="0"/>
        <w:spacing w:after="0" w:line="288" w:lineRule="auto"/>
        <w:ind w:firstLine="420" w:firstLineChars="200"/>
        <w:rPr>
          <w:rFonts w:ascii="Arial" w:hAnsi="Arial" w:cs="Arial"/>
          <w:szCs w:val="21"/>
        </w:rPr>
      </w:pPr>
      <w:r>
        <w:rPr>
          <w:rFonts w:ascii="Arial" w:hAnsi="Arial" w:cs="Arial"/>
          <w:szCs w:val="21"/>
        </w:rPr>
        <w:t>（二）分项评分超出评分标准范围的；</w:t>
      </w:r>
    </w:p>
    <w:p>
      <w:pPr>
        <w:pageBreakBefore w:val="0"/>
        <w:kinsoku/>
        <w:wordWrap/>
        <w:overflowPunct/>
        <w:topLinePunct w:val="0"/>
        <w:bidi w:val="0"/>
        <w:snapToGrid w:val="0"/>
        <w:spacing w:after="0" w:line="288" w:lineRule="auto"/>
        <w:ind w:firstLine="420" w:firstLineChars="200"/>
        <w:rPr>
          <w:rFonts w:ascii="Arial" w:hAnsi="Arial" w:cs="Arial"/>
          <w:szCs w:val="21"/>
        </w:rPr>
      </w:pPr>
      <w:r>
        <w:rPr>
          <w:rFonts w:ascii="Arial" w:hAnsi="Arial" w:cs="Arial"/>
          <w:szCs w:val="21"/>
        </w:rPr>
        <w:t>（三）评标委员会成员对客观评审因素评分不一致的；</w:t>
      </w:r>
    </w:p>
    <w:p>
      <w:pPr>
        <w:pageBreakBefore w:val="0"/>
        <w:kinsoku/>
        <w:wordWrap/>
        <w:overflowPunct/>
        <w:topLinePunct w:val="0"/>
        <w:bidi w:val="0"/>
        <w:snapToGrid w:val="0"/>
        <w:spacing w:after="0" w:line="288" w:lineRule="auto"/>
        <w:ind w:firstLine="420" w:firstLineChars="200"/>
        <w:rPr>
          <w:rFonts w:ascii="Arial" w:hAnsi="Arial" w:cs="Arial"/>
          <w:szCs w:val="21"/>
        </w:rPr>
      </w:pPr>
      <w:r>
        <w:rPr>
          <w:rFonts w:ascii="Arial" w:hAnsi="Arial" w:cs="Arial"/>
          <w:szCs w:val="21"/>
        </w:rPr>
        <w:t>（四）经评标委员会认定评分畸高、畸低的。</w:t>
      </w:r>
    </w:p>
    <w:p>
      <w:pPr>
        <w:pageBreakBefore w:val="0"/>
        <w:kinsoku/>
        <w:wordWrap/>
        <w:overflowPunct/>
        <w:topLinePunct w:val="0"/>
        <w:bidi w:val="0"/>
        <w:snapToGrid w:val="0"/>
        <w:spacing w:after="0" w:line="288" w:lineRule="auto"/>
        <w:ind w:firstLine="420" w:firstLineChars="200"/>
        <w:rPr>
          <w:rFonts w:ascii="Arial" w:hAnsi="Arial" w:cs="Arial"/>
          <w:szCs w:val="21"/>
        </w:rPr>
      </w:pPr>
      <w:r>
        <w:rPr>
          <w:rFonts w:ascii="Arial" w:hAnsi="Arial" w:cs="Arial"/>
          <w:szCs w:val="21"/>
        </w:rPr>
        <w:t>评标报告签署前，经复核发现存在以上情形之一的，评标委员会应当当场修改评标结果，并在评标</w:t>
      </w:r>
    </w:p>
    <w:p>
      <w:pPr>
        <w:pageBreakBefore w:val="0"/>
        <w:kinsoku/>
        <w:wordWrap/>
        <w:overflowPunct/>
        <w:topLinePunct w:val="0"/>
        <w:bidi w:val="0"/>
        <w:snapToGrid w:val="0"/>
        <w:spacing w:after="0" w:line="288" w:lineRule="auto"/>
        <w:rPr>
          <w:rFonts w:ascii="Arial" w:hAnsi="Arial" w:cs="Arial"/>
          <w:szCs w:val="21"/>
        </w:rPr>
      </w:pPr>
      <w:r>
        <w:rPr>
          <w:rFonts w:ascii="Arial" w:hAnsi="Arial" w:cs="Arial"/>
          <w:szCs w:val="21"/>
        </w:rPr>
        <w:t>报告中记载；评标报告签署后，采购人或者采购代理机构发现存在以上情形之一的，应当组织原评标委员会进行重新评审，重新评审改变评标结果的，书面报告本级财政部门。</w:t>
      </w:r>
    </w:p>
    <w:p>
      <w:pPr>
        <w:pageBreakBefore w:val="0"/>
        <w:kinsoku/>
        <w:wordWrap/>
        <w:overflowPunct/>
        <w:topLinePunct w:val="0"/>
        <w:bidi w:val="0"/>
        <w:snapToGrid w:val="0"/>
        <w:spacing w:after="0" w:line="288" w:lineRule="auto"/>
        <w:ind w:firstLine="420" w:firstLineChars="200"/>
        <w:rPr>
          <w:rFonts w:ascii="Arial" w:hAnsi="Arial" w:cs="Arial"/>
          <w:szCs w:val="21"/>
        </w:rPr>
      </w:pPr>
      <w:r>
        <w:rPr>
          <w:rFonts w:ascii="Arial" w:hAnsi="Arial" w:cs="Arial"/>
          <w:szCs w:val="21"/>
        </w:rPr>
        <w:t>投标人对本条第一款情形提出质疑的，采购人或者采购代理机构可以组织原评标委员会进行重新评审，重新评审改变评标结果的，应当书面报告本级财政部门。</w:t>
      </w:r>
    </w:p>
    <w:p>
      <w:pPr>
        <w:pStyle w:val="28"/>
        <w:pageBreakBefore w:val="0"/>
        <w:kinsoku/>
        <w:wordWrap/>
        <w:overflowPunct/>
        <w:topLinePunct w:val="0"/>
        <w:bidi w:val="0"/>
        <w:spacing w:after="0" w:line="288" w:lineRule="auto"/>
        <w:ind w:firstLine="411" w:firstLineChars="196"/>
        <w:rPr>
          <w:rFonts w:ascii="Arial" w:hAnsi="Arial" w:cs="Arial"/>
          <w:szCs w:val="21"/>
        </w:rPr>
      </w:pPr>
      <w:r>
        <w:rPr>
          <w:rFonts w:ascii="Arial" w:hAnsi="Arial" w:cs="Arial"/>
          <w:szCs w:val="21"/>
        </w:rPr>
        <w:t>26.12采购代理机构发现评标委员会有明显的违规倾向或歧视现象，或不按评标办法进行，或其他不正常行为的，应当及时制止。如制止无效，应及时向</w:t>
      </w:r>
      <w:r>
        <w:rPr>
          <w:rFonts w:hint="eastAsia" w:hAnsi="宋体"/>
        </w:rPr>
        <w:t>阳朔县人民政府采购管理办公室</w:t>
      </w:r>
      <w:r>
        <w:rPr>
          <w:rFonts w:ascii="Arial" w:hAnsi="Arial" w:cs="Arial"/>
          <w:szCs w:val="21"/>
        </w:rPr>
        <w:t>报告。</w:t>
      </w:r>
    </w:p>
    <w:p>
      <w:pPr>
        <w:pStyle w:val="28"/>
        <w:pageBreakBefore w:val="0"/>
        <w:tabs>
          <w:tab w:val="left" w:pos="4214"/>
        </w:tabs>
        <w:kinsoku/>
        <w:wordWrap/>
        <w:overflowPunct/>
        <w:topLinePunct w:val="0"/>
        <w:bidi w:val="0"/>
        <w:spacing w:after="0" w:line="288" w:lineRule="auto"/>
        <w:ind w:firstLine="420" w:firstLineChars="200"/>
        <w:rPr>
          <w:rFonts w:ascii="Arial" w:hAnsi="Arial" w:cs="Arial"/>
          <w:b/>
        </w:rPr>
      </w:pPr>
      <w:r>
        <w:rPr>
          <w:rFonts w:ascii="Arial" w:hAnsi="Arial" w:cs="Arial"/>
          <w:b/>
        </w:rPr>
        <w:t>27</w:t>
      </w:r>
      <w:r>
        <w:rPr>
          <w:rFonts w:ascii="Arial" w:hAnsi="Arial" w:cs="Arial"/>
        </w:rPr>
        <w:t xml:space="preserve">. </w:t>
      </w:r>
      <w:r>
        <w:rPr>
          <w:rFonts w:ascii="Arial" w:hAnsi="Arial" w:cs="Arial"/>
          <w:b/>
        </w:rPr>
        <w:t>推荐及确定中标候选供应商原则</w:t>
      </w:r>
    </w:p>
    <w:p>
      <w:pPr>
        <w:pStyle w:val="28"/>
        <w:pageBreakBefore w:val="0"/>
        <w:tabs>
          <w:tab w:val="left" w:pos="4214"/>
        </w:tabs>
        <w:kinsoku/>
        <w:wordWrap/>
        <w:overflowPunct/>
        <w:topLinePunct w:val="0"/>
        <w:bidi w:val="0"/>
        <w:spacing w:after="0" w:line="288" w:lineRule="auto"/>
        <w:ind w:firstLine="420" w:firstLineChars="200"/>
        <w:rPr>
          <w:rFonts w:ascii="Arial" w:hAnsi="Arial" w:cs="Arial"/>
          <w:sz w:val="22"/>
          <w:szCs w:val="22"/>
        </w:rPr>
      </w:pPr>
      <w:r>
        <w:rPr>
          <w:rFonts w:ascii="Arial" w:hAnsi="Arial" w:cs="Arial"/>
          <w:szCs w:val="21"/>
        </w:rPr>
        <w:t>（1）评标委员会根据综合得分由高到低排列次序，若得分相同时，按投标报价由低到高顺序排列；得分相同且投标报价也相同的由评标委员会按照抽签的方式决定排列次序</w:t>
      </w:r>
      <w:r>
        <w:rPr>
          <w:rFonts w:ascii="Arial" w:hAnsi="Arial" w:cs="Arial"/>
          <w:sz w:val="22"/>
          <w:szCs w:val="22"/>
        </w:rPr>
        <w:t>。</w:t>
      </w:r>
    </w:p>
    <w:p>
      <w:pPr>
        <w:pStyle w:val="28"/>
        <w:pageBreakBefore w:val="0"/>
        <w:tabs>
          <w:tab w:val="left" w:pos="4214"/>
        </w:tabs>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（2）评标委员会可推荐前三名为中标候选人，采购人应当确定评标委员会推荐排名第一的中标候选人为中标人。</w:t>
      </w:r>
    </w:p>
    <w:p>
      <w:pPr>
        <w:pStyle w:val="28"/>
        <w:pageBreakBefore w:val="0"/>
        <w:tabs>
          <w:tab w:val="left" w:pos="4214"/>
        </w:tabs>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3）排名第一的中标候选人放弃中标、因不可抗力提出不能履行合同，或者招标文件规定应当提交履约保证金而在规定的期限内未能提交的，或因失信行为被取消中标候选人资格的，采购人可以确定排名第二的中标候选人为中标人，并依此类推。</w:t>
      </w:r>
    </w:p>
    <w:p>
      <w:pPr>
        <w:pStyle w:val="28"/>
        <w:pageBreakBefore w:val="0"/>
        <w:tabs>
          <w:tab w:val="left" w:pos="4214"/>
        </w:tabs>
        <w:kinsoku/>
        <w:wordWrap/>
        <w:overflowPunct/>
        <w:topLinePunct w:val="0"/>
        <w:bidi w:val="0"/>
        <w:spacing w:after="0" w:line="288" w:lineRule="auto"/>
        <w:ind w:firstLine="420" w:firstLineChars="200"/>
        <w:rPr>
          <w:rFonts w:ascii="Arial" w:hAnsi="Arial" w:cs="Arial"/>
          <w:b/>
          <w:szCs w:val="21"/>
        </w:rPr>
      </w:pPr>
      <w:r>
        <w:rPr>
          <w:rFonts w:ascii="Arial" w:hAnsi="Arial" w:cs="Arial"/>
          <w:b/>
          <w:szCs w:val="21"/>
        </w:rPr>
        <w:t>28.属于下列情况之一者，投标无效：</w:t>
      </w:r>
    </w:p>
    <w:p>
      <w:pPr>
        <w:pStyle w:val="28"/>
        <w:pageBreakBefore w:val="0"/>
        <w:tabs>
          <w:tab w:val="left" w:pos="4214"/>
        </w:tabs>
        <w:kinsoku/>
        <w:wordWrap/>
        <w:overflowPunct/>
        <w:topLinePunct w:val="0"/>
        <w:bidi w:val="0"/>
        <w:spacing w:after="0" w:line="288" w:lineRule="auto"/>
        <w:ind w:firstLine="420" w:firstLineChars="200"/>
        <w:rPr>
          <w:rFonts w:ascii="Arial" w:hAnsi="Arial" w:cs="Arial"/>
          <w:b/>
          <w:szCs w:val="21"/>
        </w:rPr>
      </w:pPr>
      <w:r>
        <w:rPr>
          <w:rFonts w:ascii="Arial" w:hAnsi="Arial" w:cs="Arial"/>
          <w:b/>
          <w:szCs w:val="21"/>
        </w:rPr>
        <w:t>（1）未按照招标文件规定完整线上提交</w:t>
      </w:r>
      <w:r>
        <w:rPr>
          <w:rFonts w:hint="eastAsia" w:ascii="Arial" w:hAnsi="Arial" w:cs="Arial"/>
          <w:b/>
          <w:szCs w:val="21"/>
        </w:rPr>
        <w:t>投标文件</w:t>
      </w:r>
      <w:r>
        <w:rPr>
          <w:rFonts w:ascii="Arial" w:hAnsi="Arial" w:cs="Arial"/>
          <w:b/>
          <w:szCs w:val="21"/>
        </w:rPr>
        <w:t>或未按规定要求线上签字、签章的；</w:t>
      </w:r>
    </w:p>
    <w:p>
      <w:pPr>
        <w:pStyle w:val="28"/>
        <w:pageBreakBefore w:val="0"/>
        <w:tabs>
          <w:tab w:val="left" w:pos="4214"/>
        </w:tabs>
        <w:kinsoku/>
        <w:wordWrap/>
        <w:overflowPunct/>
        <w:topLinePunct w:val="0"/>
        <w:bidi w:val="0"/>
        <w:spacing w:after="0" w:line="288" w:lineRule="auto"/>
        <w:ind w:firstLine="420" w:firstLineChars="200"/>
        <w:rPr>
          <w:rFonts w:ascii="Arial" w:hAnsi="Arial" w:cs="Arial"/>
          <w:b/>
          <w:szCs w:val="21"/>
        </w:rPr>
      </w:pPr>
      <w:r>
        <w:rPr>
          <w:rFonts w:ascii="Arial" w:hAnsi="Arial" w:cs="Arial"/>
          <w:b/>
          <w:szCs w:val="21"/>
        </w:rPr>
        <w:t>（2）投标报价超过招标文件中规定的预算金额</w:t>
      </w:r>
      <w:r>
        <w:rPr>
          <w:rFonts w:hint="eastAsia" w:ascii="Arial" w:hAnsi="Arial" w:cs="Arial"/>
          <w:b/>
          <w:szCs w:val="21"/>
          <w:lang w:val="en-US" w:eastAsia="zh-CN"/>
        </w:rPr>
        <w:t>及预算单价</w:t>
      </w:r>
      <w:r>
        <w:rPr>
          <w:rFonts w:ascii="Arial" w:hAnsi="Arial" w:cs="Arial"/>
          <w:b/>
          <w:szCs w:val="21"/>
        </w:rPr>
        <w:t>的；</w:t>
      </w:r>
    </w:p>
    <w:p>
      <w:pPr>
        <w:pStyle w:val="28"/>
        <w:pageBreakBefore w:val="0"/>
        <w:tabs>
          <w:tab w:val="left" w:pos="4214"/>
        </w:tabs>
        <w:kinsoku/>
        <w:wordWrap/>
        <w:overflowPunct/>
        <w:topLinePunct w:val="0"/>
        <w:bidi w:val="0"/>
        <w:spacing w:after="0" w:line="288" w:lineRule="auto"/>
        <w:ind w:firstLine="420" w:firstLineChars="200"/>
        <w:rPr>
          <w:rFonts w:ascii="Arial" w:hAnsi="Arial" w:cs="Arial"/>
          <w:b/>
          <w:szCs w:val="21"/>
        </w:rPr>
      </w:pPr>
      <w:r>
        <w:rPr>
          <w:rFonts w:ascii="Arial" w:hAnsi="Arial" w:cs="Arial"/>
          <w:b/>
          <w:szCs w:val="21"/>
        </w:rPr>
        <w:t>（3）不具备招标文件中规定的资格要求的；</w:t>
      </w:r>
    </w:p>
    <w:p>
      <w:pPr>
        <w:pStyle w:val="28"/>
        <w:pageBreakBefore w:val="0"/>
        <w:tabs>
          <w:tab w:val="left" w:pos="4214"/>
        </w:tabs>
        <w:kinsoku/>
        <w:wordWrap/>
        <w:overflowPunct/>
        <w:topLinePunct w:val="0"/>
        <w:bidi w:val="0"/>
        <w:spacing w:after="0" w:line="288" w:lineRule="auto"/>
        <w:ind w:firstLine="420" w:firstLineChars="200"/>
        <w:rPr>
          <w:rFonts w:ascii="Arial" w:hAnsi="Arial" w:cs="Arial"/>
          <w:b/>
          <w:szCs w:val="21"/>
        </w:rPr>
      </w:pPr>
      <w:r>
        <w:rPr>
          <w:rFonts w:ascii="Arial" w:hAnsi="Arial" w:cs="Arial"/>
          <w:b/>
          <w:szCs w:val="21"/>
        </w:rPr>
        <w:t>（4）投标文件含有采购人不能接受的附加条件的；</w:t>
      </w:r>
    </w:p>
    <w:p>
      <w:pPr>
        <w:pStyle w:val="28"/>
        <w:pageBreakBefore w:val="0"/>
        <w:tabs>
          <w:tab w:val="left" w:pos="4214"/>
        </w:tabs>
        <w:kinsoku/>
        <w:wordWrap/>
        <w:overflowPunct/>
        <w:topLinePunct w:val="0"/>
        <w:bidi w:val="0"/>
        <w:spacing w:after="0" w:line="288" w:lineRule="auto"/>
        <w:ind w:firstLine="420" w:firstLineChars="200"/>
        <w:rPr>
          <w:rFonts w:ascii="Arial" w:hAnsi="Arial" w:cs="Arial"/>
          <w:b/>
          <w:szCs w:val="21"/>
        </w:rPr>
      </w:pPr>
      <w:r>
        <w:rPr>
          <w:rFonts w:ascii="Arial" w:hAnsi="Arial" w:cs="Arial"/>
          <w:b/>
          <w:szCs w:val="21"/>
        </w:rPr>
        <w:t>（5）投标文件未按招标文件的内容和要求编制，或提供虚假或无效材料的；</w:t>
      </w:r>
    </w:p>
    <w:p>
      <w:pPr>
        <w:pStyle w:val="28"/>
        <w:pageBreakBefore w:val="0"/>
        <w:tabs>
          <w:tab w:val="left" w:pos="4214"/>
        </w:tabs>
        <w:kinsoku/>
        <w:wordWrap/>
        <w:overflowPunct/>
        <w:topLinePunct w:val="0"/>
        <w:bidi w:val="0"/>
        <w:spacing w:after="0" w:line="288" w:lineRule="auto"/>
        <w:ind w:firstLine="420" w:firstLineChars="200"/>
        <w:rPr>
          <w:rFonts w:ascii="Arial" w:hAnsi="Arial" w:cs="Arial"/>
          <w:b/>
          <w:szCs w:val="21"/>
        </w:rPr>
      </w:pPr>
      <w:r>
        <w:rPr>
          <w:rFonts w:ascii="Arial" w:hAnsi="Arial" w:cs="Arial"/>
          <w:b/>
          <w:szCs w:val="21"/>
        </w:rPr>
        <w:t>（6）投标人未就“货物采购需求”中的所有内容作完整唯一报价的；</w:t>
      </w:r>
    </w:p>
    <w:p>
      <w:pPr>
        <w:pStyle w:val="28"/>
        <w:pageBreakBefore w:val="0"/>
        <w:tabs>
          <w:tab w:val="left" w:pos="4214"/>
        </w:tabs>
        <w:kinsoku/>
        <w:wordWrap/>
        <w:overflowPunct/>
        <w:topLinePunct w:val="0"/>
        <w:bidi w:val="0"/>
        <w:spacing w:after="0" w:line="288" w:lineRule="auto"/>
        <w:ind w:firstLine="420" w:firstLineChars="200"/>
        <w:rPr>
          <w:rFonts w:ascii="Arial" w:hAnsi="Arial" w:cs="Arial"/>
          <w:b/>
          <w:szCs w:val="21"/>
        </w:rPr>
      </w:pPr>
      <w:r>
        <w:rPr>
          <w:rFonts w:ascii="Arial" w:hAnsi="Arial" w:cs="Arial"/>
          <w:b/>
          <w:szCs w:val="21"/>
        </w:rPr>
        <w:t>（7）未完全响应招标文件实质性要求的；</w:t>
      </w:r>
    </w:p>
    <w:p>
      <w:pPr>
        <w:pStyle w:val="28"/>
        <w:pageBreakBefore w:val="0"/>
        <w:tabs>
          <w:tab w:val="left" w:pos="4214"/>
        </w:tabs>
        <w:kinsoku/>
        <w:wordWrap/>
        <w:overflowPunct/>
        <w:topLinePunct w:val="0"/>
        <w:bidi w:val="0"/>
        <w:spacing w:after="0" w:line="288" w:lineRule="auto"/>
        <w:ind w:firstLine="420" w:firstLineChars="200"/>
        <w:rPr>
          <w:rFonts w:ascii="Arial" w:hAnsi="Arial" w:cs="Arial"/>
          <w:b/>
          <w:szCs w:val="21"/>
        </w:rPr>
      </w:pPr>
      <w:r>
        <w:rPr>
          <w:rFonts w:ascii="Arial" w:hAnsi="Arial" w:cs="Arial"/>
          <w:b/>
          <w:szCs w:val="21"/>
        </w:rPr>
        <w:t>（8）单位负责人为同一人或者存在直接控股、管理关系的不同投标人参加同一合同项下分标或未划分分标的同一合同项下的政府采购活动；</w:t>
      </w:r>
    </w:p>
    <w:p>
      <w:pPr>
        <w:pStyle w:val="28"/>
        <w:pageBreakBefore w:val="0"/>
        <w:tabs>
          <w:tab w:val="left" w:pos="4214"/>
        </w:tabs>
        <w:kinsoku/>
        <w:wordWrap/>
        <w:overflowPunct/>
        <w:topLinePunct w:val="0"/>
        <w:bidi w:val="0"/>
        <w:spacing w:after="0" w:line="288" w:lineRule="auto"/>
        <w:ind w:firstLine="420" w:firstLineChars="200"/>
        <w:rPr>
          <w:rFonts w:ascii="Arial" w:hAnsi="Arial" w:cs="Arial"/>
          <w:b/>
          <w:szCs w:val="21"/>
        </w:rPr>
      </w:pPr>
      <w:r>
        <w:rPr>
          <w:rFonts w:ascii="Arial" w:hAnsi="Arial" w:cs="Arial"/>
          <w:b/>
          <w:szCs w:val="21"/>
        </w:rPr>
        <w:t>（9）法律、法规和招标文件规定的其他无效情形。</w:t>
      </w:r>
    </w:p>
    <w:p>
      <w:pPr>
        <w:pStyle w:val="28"/>
        <w:pageBreakBefore w:val="0"/>
        <w:tabs>
          <w:tab w:val="left" w:pos="4214"/>
        </w:tabs>
        <w:kinsoku/>
        <w:wordWrap/>
        <w:overflowPunct/>
        <w:topLinePunct w:val="0"/>
        <w:bidi w:val="0"/>
        <w:spacing w:after="0" w:line="288" w:lineRule="auto"/>
        <w:ind w:firstLine="420" w:firstLineChars="200"/>
        <w:rPr>
          <w:rFonts w:ascii="Arial" w:hAnsi="Arial" w:cs="Arial"/>
          <w:b/>
          <w:szCs w:val="21"/>
        </w:rPr>
      </w:pPr>
      <w:r>
        <w:rPr>
          <w:rFonts w:ascii="Arial" w:hAnsi="Arial" w:cs="Arial"/>
          <w:b/>
          <w:szCs w:val="21"/>
        </w:rPr>
        <w:t>29.投标人有下列情形之一的，视为串通投标，投标文件将被视为无效：</w:t>
      </w:r>
    </w:p>
    <w:p>
      <w:pPr>
        <w:pStyle w:val="28"/>
        <w:pageBreakBefore w:val="0"/>
        <w:tabs>
          <w:tab w:val="left" w:pos="4214"/>
        </w:tabs>
        <w:kinsoku/>
        <w:wordWrap/>
        <w:overflowPunct/>
        <w:topLinePunct w:val="0"/>
        <w:bidi w:val="0"/>
        <w:spacing w:after="0" w:line="288" w:lineRule="auto"/>
        <w:ind w:firstLine="420" w:firstLineChars="200"/>
        <w:rPr>
          <w:rFonts w:ascii="Arial" w:hAnsi="Arial" w:cs="Arial"/>
          <w:b/>
          <w:szCs w:val="21"/>
        </w:rPr>
      </w:pPr>
      <w:r>
        <w:rPr>
          <w:rFonts w:ascii="Arial" w:hAnsi="Arial" w:cs="Arial"/>
          <w:b/>
          <w:szCs w:val="21"/>
        </w:rPr>
        <w:t>（1）不同投标人的投标文件由同一单位或者个人编制；</w:t>
      </w:r>
    </w:p>
    <w:p>
      <w:pPr>
        <w:pStyle w:val="28"/>
        <w:pageBreakBefore w:val="0"/>
        <w:tabs>
          <w:tab w:val="left" w:pos="4214"/>
        </w:tabs>
        <w:kinsoku/>
        <w:wordWrap/>
        <w:overflowPunct/>
        <w:topLinePunct w:val="0"/>
        <w:bidi w:val="0"/>
        <w:spacing w:after="0" w:line="288" w:lineRule="auto"/>
        <w:ind w:firstLine="420" w:firstLineChars="200"/>
        <w:rPr>
          <w:rFonts w:ascii="Arial" w:hAnsi="Arial" w:cs="Arial"/>
          <w:b/>
          <w:szCs w:val="21"/>
        </w:rPr>
      </w:pPr>
      <w:r>
        <w:rPr>
          <w:rFonts w:ascii="Arial" w:hAnsi="Arial" w:cs="Arial"/>
          <w:b/>
          <w:szCs w:val="21"/>
        </w:rPr>
        <w:t>（2）不同投标人委托同一单位或者个人办理投标事宜；</w:t>
      </w:r>
    </w:p>
    <w:p>
      <w:pPr>
        <w:pStyle w:val="28"/>
        <w:pageBreakBefore w:val="0"/>
        <w:tabs>
          <w:tab w:val="left" w:pos="4214"/>
        </w:tabs>
        <w:kinsoku/>
        <w:wordWrap/>
        <w:overflowPunct/>
        <w:topLinePunct w:val="0"/>
        <w:bidi w:val="0"/>
        <w:spacing w:after="0" w:line="288" w:lineRule="auto"/>
        <w:ind w:firstLine="420" w:firstLineChars="200"/>
        <w:rPr>
          <w:rFonts w:ascii="Arial" w:hAnsi="Arial" w:cs="Arial"/>
          <w:b/>
          <w:szCs w:val="21"/>
        </w:rPr>
      </w:pPr>
      <w:r>
        <w:rPr>
          <w:rFonts w:ascii="Arial" w:hAnsi="Arial" w:cs="Arial"/>
          <w:b/>
          <w:szCs w:val="21"/>
        </w:rPr>
        <w:t>（3）不同的投标人的投标文件载明的项目管理员为同一个人；</w:t>
      </w:r>
    </w:p>
    <w:p>
      <w:pPr>
        <w:pStyle w:val="28"/>
        <w:pageBreakBefore w:val="0"/>
        <w:tabs>
          <w:tab w:val="left" w:pos="4214"/>
        </w:tabs>
        <w:kinsoku/>
        <w:wordWrap/>
        <w:overflowPunct/>
        <w:topLinePunct w:val="0"/>
        <w:bidi w:val="0"/>
        <w:spacing w:after="0" w:line="288" w:lineRule="auto"/>
        <w:ind w:firstLine="420" w:firstLineChars="200"/>
        <w:rPr>
          <w:rFonts w:ascii="Arial" w:hAnsi="Arial" w:cs="Arial"/>
          <w:b/>
          <w:szCs w:val="21"/>
        </w:rPr>
      </w:pPr>
      <w:r>
        <w:rPr>
          <w:rFonts w:ascii="Arial" w:hAnsi="Arial" w:cs="Arial"/>
          <w:b/>
          <w:szCs w:val="21"/>
        </w:rPr>
        <w:t xml:space="preserve">（4）不同投标人的投标文件异常一致或投标报价呈规律性差异； </w:t>
      </w:r>
    </w:p>
    <w:p>
      <w:pPr>
        <w:pStyle w:val="28"/>
        <w:pageBreakBefore w:val="0"/>
        <w:tabs>
          <w:tab w:val="left" w:pos="4214"/>
        </w:tabs>
        <w:kinsoku/>
        <w:wordWrap/>
        <w:overflowPunct/>
        <w:topLinePunct w:val="0"/>
        <w:bidi w:val="0"/>
        <w:spacing w:after="0" w:line="288" w:lineRule="auto"/>
        <w:ind w:firstLine="420" w:firstLineChars="200"/>
        <w:rPr>
          <w:rFonts w:ascii="Arial" w:hAnsi="Arial" w:cs="Arial"/>
          <w:b/>
          <w:szCs w:val="21"/>
        </w:rPr>
      </w:pPr>
      <w:r>
        <w:rPr>
          <w:rFonts w:ascii="Arial" w:hAnsi="Arial" w:cs="Arial"/>
          <w:b/>
          <w:szCs w:val="21"/>
        </w:rPr>
        <w:t>（5）不同投标人的投标文件相互混装。</w:t>
      </w:r>
    </w:p>
    <w:p>
      <w:pPr>
        <w:pStyle w:val="28"/>
        <w:pageBreakBefore w:val="0"/>
        <w:tabs>
          <w:tab w:val="left" w:pos="4214"/>
        </w:tabs>
        <w:kinsoku/>
        <w:wordWrap/>
        <w:overflowPunct/>
        <w:topLinePunct w:val="0"/>
        <w:bidi w:val="0"/>
        <w:spacing w:after="0" w:line="288" w:lineRule="auto"/>
        <w:ind w:firstLine="420" w:firstLineChars="200"/>
        <w:rPr>
          <w:rFonts w:ascii="Arial" w:hAnsi="Arial" w:cs="Arial"/>
          <w:b/>
          <w:szCs w:val="21"/>
        </w:rPr>
      </w:pPr>
      <w:r>
        <w:rPr>
          <w:rFonts w:ascii="Arial" w:hAnsi="Arial" w:cs="Arial"/>
          <w:b/>
          <w:szCs w:val="21"/>
        </w:rPr>
        <w:t>30. 属于下列情形之一的，应予废标：</w:t>
      </w:r>
    </w:p>
    <w:p>
      <w:pPr>
        <w:pStyle w:val="28"/>
        <w:pageBreakBefore w:val="0"/>
        <w:tabs>
          <w:tab w:val="left" w:pos="4214"/>
        </w:tabs>
        <w:kinsoku/>
        <w:wordWrap/>
        <w:overflowPunct/>
        <w:topLinePunct w:val="0"/>
        <w:bidi w:val="0"/>
        <w:spacing w:after="0" w:line="288" w:lineRule="auto"/>
        <w:ind w:firstLine="420" w:firstLineChars="200"/>
        <w:rPr>
          <w:rFonts w:ascii="Arial" w:hAnsi="Arial" w:cs="Arial"/>
          <w:b/>
          <w:szCs w:val="21"/>
        </w:rPr>
      </w:pPr>
      <w:r>
        <w:rPr>
          <w:rFonts w:ascii="Arial" w:hAnsi="Arial" w:cs="Arial"/>
          <w:b/>
          <w:szCs w:val="21"/>
        </w:rPr>
        <w:t>（1）符合专业条件的供应商或者对招标文件作实质响应的供应商不足3家的；</w:t>
      </w:r>
    </w:p>
    <w:p>
      <w:pPr>
        <w:pStyle w:val="28"/>
        <w:pageBreakBefore w:val="0"/>
        <w:tabs>
          <w:tab w:val="left" w:pos="4214"/>
        </w:tabs>
        <w:kinsoku/>
        <w:wordWrap/>
        <w:overflowPunct/>
        <w:topLinePunct w:val="0"/>
        <w:bidi w:val="0"/>
        <w:spacing w:after="0" w:line="288" w:lineRule="auto"/>
        <w:ind w:firstLine="420" w:firstLineChars="200"/>
        <w:rPr>
          <w:rFonts w:ascii="Arial" w:hAnsi="Arial" w:cs="Arial"/>
          <w:b/>
          <w:szCs w:val="21"/>
        </w:rPr>
      </w:pPr>
      <w:r>
        <w:rPr>
          <w:rFonts w:ascii="Arial" w:hAnsi="Arial" w:cs="Arial"/>
          <w:b/>
          <w:szCs w:val="21"/>
        </w:rPr>
        <w:t>（2）出现影响采购公正的违法、违规行为的；</w:t>
      </w:r>
    </w:p>
    <w:p>
      <w:pPr>
        <w:pStyle w:val="28"/>
        <w:pageBreakBefore w:val="0"/>
        <w:tabs>
          <w:tab w:val="left" w:pos="4214"/>
        </w:tabs>
        <w:kinsoku/>
        <w:wordWrap/>
        <w:overflowPunct/>
        <w:topLinePunct w:val="0"/>
        <w:bidi w:val="0"/>
        <w:spacing w:after="0" w:line="288" w:lineRule="auto"/>
        <w:ind w:firstLine="420" w:firstLineChars="200"/>
        <w:rPr>
          <w:rFonts w:ascii="Arial" w:hAnsi="Arial" w:cs="Arial"/>
          <w:b/>
          <w:szCs w:val="21"/>
        </w:rPr>
      </w:pPr>
      <w:r>
        <w:rPr>
          <w:rFonts w:ascii="Arial" w:hAnsi="Arial" w:cs="Arial"/>
          <w:b/>
          <w:szCs w:val="21"/>
        </w:rPr>
        <w:t>（3）采购文件内容违反国家有关强制性规定的；</w:t>
      </w:r>
    </w:p>
    <w:p>
      <w:pPr>
        <w:pStyle w:val="28"/>
        <w:pageBreakBefore w:val="0"/>
        <w:tabs>
          <w:tab w:val="left" w:pos="4214"/>
        </w:tabs>
        <w:kinsoku/>
        <w:wordWrap/>
        <w:overflowPunct/>
        <w:topLinePunct w:val="0"/>
        <w:bidi w:val="0"/>
        <w:spacing w:after="0" w:line="288" w:lineRule="auto"/>
        <w:ind w:firstLine="420" w:firstLineChars="200"/>
        <w:rPr>
          <w:rFonts w:ascii="Arial" w:hAnsi="Arial" w:cs="Arial"/>
          <w:b/>
          <w:szCs w:val="21"/>
        </w:rPr>
      </w:pPr>
      <w:r>
        <w:rPr>
          <w:rFonts w:ascii="Arial" w:hAnsi="Arial" w:cs="Arial"/>
          <w:b/>
          <w:szCs w:val="21"/>
        </w:rPr>
        <w:t>（4）因重大变故，采购任务取消的。</w:t>
      </w:r>
    </w:p>
    <w:p>
      <w:pPr>
        <w:pStyle w:val="28"/>
        <w:pageBreakBefore w:val="0"/>
        <w:kinsoku/>
        <w:wordWrap/>
        <w:overflowPunct/>
        <w:topLinePunct w:val="0"/>
        <w:bidi w:val="0"/>
        <w:spacing w:after="0" w:line="288" w:lineRule="auto"/>
        <w:ind w:firstLine="411" w:firstLineChars="196"/>
        <w:rPr>
          <w:rFonts w:ascii="Arial" w:hAnsi="Arial" w:cs="Arial"/>
          <w:b/>
        </w:rPr>
      </w:pPr>
      <w:r>
        <w:rPr>
          <w:rFonts w:ascii="Arial" w:hAnsi="Arial" w:cs="Arial"/>
          <w:b/>
        </w:rPr>
        <w:t>31.开标、评标过程的监控</w:t>
      </w:r>
    </w:p>
    <w:p>
      <w:pPr>
        <w:pStyle w:val="28"/>
        <w:pageBreakBefore w:val="0"/>
        <w:kinsoku/>
        <w:wordWrap/>
        <w:overflowPunct/>
        <w:topLinePunct w:val="0"/>
        <w:bidi w:val="0"/>
        <w:spacing w:after="0" w:line="288" w:lineRule="auto"/>
        <w:ind w:firstLine="411" w:firstLineChars="196"/>
        <w:rPr>
          <w:rFonts w:ascii="Arial" w:hAnsi="Arial" w:cs="Arial"/>
        </w:rPr>
      </w:pPr>
      <w:r>
        <w:rPr>
          <w:rFonts w:ascii="Arial" w:hAnsi="Arial" w:cs="Arial"/>
        </w:rPr>
        <w:t>本项目开标、评标过程实行全程录音、录像监控，投标人在评标过程中所进行的试图影响评标结果的不公正活动，可能导致其投标被拒绝。</w:t>
      </w:r>
    </w:p>
    <w:p>
      <w:pPr>
        <w:pStyle w:val="28"/>
        <w:pageBreakBefore w:val="0"/>
        <w:kinsoku/>
        <w:wordWrap/>
        <w:overflowPunct/>
        <w:topLinePunct w:val="0"/>
        <w:bidi w:val="0"/>
        <w:spacing w:after="0" w:line="288" w:lineRule="auto"/>
        <w:ind w:firstLine="411" w:firstLineChars="196"/>
        <w:rPr>
          <w:rFonts w:ascii="Arial" w:hAnsi="Arial" w:cs="Arial"/>
          <w:b/>
        </w:rPr>
      </w:pPr>
      <w:r>
        <w:rPr>
          <w:rFonts w:ascii="Arial" w:hAnsi="Arial" w:cs="Arial"/>
          <w:b/>
        </w:rPr>
        <w:t>32.信用查询</w:t>
      </w:r>
    </w:p>
    <w:p>
      <w:pPr>
        <w:pStyle w:val="28"/>
        <w:pageBreakBefore w:val="0"/>
        <w:kinsoku/>
        <w:wordWrap/>
        <w:overflowPunct/>
        <w:topLinePunct w:val="0"/>
        <w:bidi w:val="0"/>
        <w:spacing w:after="0" w:line="288" w:lineRule="auto"/>
        <w:ind w:firstLine="411" w:firstLineChars="196"/>
        <w:rPr>
          <w:rFonts w:ascii="Arial" w:hAnsi="Arial" w:cs="Arial"/>
        </w:rPr>
      </w:pPr>
      <w:r>
        <w:rPr>
          <w:rFonts w:ascii="Arial" w:hAnsi="Arial" w:cs="Arial"/>
        </w:rPr>
        <w:t>根据《关于做好政府采购有关信用主体标识码登记及在政府采购活动中查询使用信用记录有关问题的通知》桂财采〔201</w:t>
      </w:r>
      <w:r>
        <w:rPr>
          <w:rFonts w:hint="eastAsia" w:ascii="Arial" w:hAnsi="Arial" w:cs="Arial"/>
        </w:rPr>
        <w:t>6</w:t>
      </w:r>
      <w:r>
        <w:rPr>
          <w:rFonts w:ascii="Arial" w:hAnsi="Arial" w:cs="Arial"/>
        </w:rPr>
        <w:t>〕37号的通知，中标通知书发出前，由采购代理机构对第一中标候选供应商进行信用查询：</w:t>
      </w:r>
    </w:p>
    <w:p>
      <w:pPr>
        <w:pStyle w:val="28"/>
        <w:pageBreakBefore w:val="0"/>
        <w:kinsoku/>
        <w:wordWrap/>
        <w:overflowPunct/>
        <w:topLinePunct w:val="0"/>
        <w:bidi w:val="0"/>
        <w:spacing w:after="0" w:line="288" w:lineRule="auto"/>
        <w:ind w:firstLine="411" w:firstLineChars="196"/>
        <w:rPr>
          <w:rFonts w:ascii="Arial" w:hAnsi="Arial" w:cs="Arial"/>
        </w:rPr>
      </w:pPr>
      <w:r>
        <w:rPr>
          <w:rFonts w:ascii="Arial" w:hAnsi="Arial" w:cs="Arial"/>
        </w:rPr>
        <w:t>⑴查询渠道：“信用中国”网站（www.creditchina.gov.cn）、中国政府采购网（www.ccgp.gov.cn）等；</w:t>
      </w:r>
    </w:p>
    <w:p>
      <w:pPr>
        <w:pStyle w:val="28"/>
        <w:pageBreakBefore w:val="0"/>
        <w:kinsoku/>
        <w:wordWrap/>
        <w:overflowPunct/>
        <w:topLinePunct w:val="0"/>
        <w:bidi w:val="0"/>
        <w:spacing w:after="0" w:line="288" w:lineRule="auto"/>
        <w:ind w:firstLine="411" w:firstLineChars="196"/>
        <w:rPr>
          <w:rFonts w:ascii="Arial" w:hAnsi="Arial" w:cs="Arial"/>
        </w:rPr>
      </w:pPr>
      <w:r>
        <w:rPr>
          <w:rFonts w:ascii="Arial" w:hAnsi="Arial" w:cs="Arial"/>
        </w:rPr>
        <w:t>⑵查询截止时间：中标通知书发出前；</w:t>
      </w:r>
    </w:p>
    <w:p>
      <w:pPr>
        <w:pStyle w:val="28"/>
        <w:pageBreakBefore w:val="0"/>
        <w:kinsoku/>
        <w:wordWrap/>
        <w:overflowPunct/>
        <w:topLinePunct w:val="0"/>
        <w:bidi w:val="0"/>
        <w:spacing w:after="0" w:line="288" w:lineRule="auto"/>
        <w:ind w:firstLine="411" w:firstLineChars="196"/>
        <w:rPr>
          <w:rFonts w:ascii="Arial" w:hAnsi="Arial" w:cs="Arial"/>
        </w:rPr>
      </w:pPr>
      <w:r>
        <w:rPr>
          <w:rFonts w:ascii="Arial" w:hAnsi="Arial" w:cs="Arial"/>
        </w:rPr>
        <w:t>⑶信用信息查询记录和证据留存方式：在查询网站中直接打印查询记录，打印材料作为采购活动资料保存；</w:t>
      </w:r>
    </w:p>
    <w:p>
      <w:pPr>
        <w:pStyle w:val="28"/>
        <w:pageBreakBefore w:val="0"/>
        <w:kinsoku/>
        <w:wordWrap/>
        <w:overflowPunct/>
        <w:topLinePunct w:val="0"/>
        <w:bidi w:val="0"/>
        <w:spacing w:after="0" w:line="288" w:lineRule="auto"/>
        <w:ind w:firstLine="411" w:firstLineChars="196"/>
        <w:rPr>
          <w:rFonts w:ascii="Arial" w:hAnsi="Arial" w:cs="Arial"/>
        </w:rPr>
      </w:pPr>
      <w:r>
        <w:rPr>
          <w:rFonts w:ascii="Arial" w:hAnsi="Arial" w:cs="Arial"/>
        </w:rPr>
        <w:t>⑷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取消其中标候选供应商资格。</w:t>
      </w:r>
    </w:p>
    <w:p>
      <w:pPr>
        <w:pStyle w:val="28"/>
        <w:pageBreakBefore w:val="0"/>
        <w:kinsoku/>
        <w:wordWrap/>
        <w:overflowPunct/>
        <w:topLinePunct w:val="0"/>
        <w:bidi w:val="0"/>
        <w:spacing w:after="0" w:line="288" w:lineRule="auto"/>
        <w:ind w:firstLine="411" w:firstLineChars="196"/>
        <w:rPr>
          <w:rFonts w:ascii="Arial" w:hAnsi="Arial" w:cs="Arial"/>
          <w:b/>
        </w:rPr>
      </w:pPr>
      <w:r>
        <w:rPr>
          <w:rFonts w:ascii="Arial" w:hAnsi="Arial" w:cs="Arial"/>
          <w:b/>
        </w:rPr>
        <w:t>33. 中标公告及中标通知书</w:t>
      </w:r>
    </w:p>
    <w:p>
      <w:pPr>
        <w:pStyle w:val="28"/>
        <w:pageBreakBefore w:val="0"/>
        <w:tabs>
          <w:tab w:val="left" w:pos="455"/>
        </w:tabs>
        <w:kinsoku/>
        <w:wordWrap/>
        <w:overflowPunct/>
        <w:topLinePunct w:val="0"/>
        <w:bidi w:val="0"/>
        <w:spacing w:after="0" w:line="288" w:lineRule="auto"/>
        <w:ind w:firstLine="420" w:firstLineChars="200"/>
        <w:rPr>
          <w:rFonts w:ascii="Arial" w:hAnsi="Arial" w:cs="Arial"/>
        </w:rPr>
      </w:pPr>
      <w:r>
        <w:rPr>
          <w:rFonts w:ascii="Arial" w:hAnsi="Arial" w:cs="Arial"/>
          <w:szCs w:val="21"/>
        </w:rPr>
        <w:t>33.1采购代理机构于评标结束后两个工作日内将评标报告送交采购人，采购人应当自收到评标报告五个工作日内在评标报告推荐的中标候选供应商中按顺序确定中标供应商；采购人在收到评标报告五个工作日内未按评标报告推荐的中标候选人顺序确定中标人，又不能说明合法理由的，视同按评标报告推荐的顺序确定排名第一的中标候选人为中标人。采购代理机构在中标供应商确定之日起两个工作日内在指定媒体上公告中标结果，中标公告期限为1个工作日。</w:t>
      </w:r>
    </w:p>
    <w:p>
      <w:pPr>
        <w:pStyle w:val="28"/>
        <w:pageBreakBefore w:val="0"/>
        <w:kinsoku/>
        <w:wordWrap/>
        <w:overflowPunct/>
        <w:topLinePunct w:val="0"/>
        <w:bidi w:val="0"/>
        <w:spacing w:after="0" w:line="288" w:lineRule="auto"/>
        <w:ind w:firstLine="420" w:firstLineChars="200"/>
        <w:rPr>
          <w:rFonts w:ascii="Arial" w:hAnsi="Arial" w:cs="Arial"/>
        </w:rPr>
      </w:pPr>
      <w:r>
        <w:rPr>
          <w:rFonts w:ascii="Arial" w:hAnsi="Arial" w:cs="Arial"/>
          <w:szCs w:val="21"/>
        </w:rPr>
        <w:t>33.2中标公告发布同时，采购代理机构向中标供应商发出中标通知书，中标供应商应自接到通知之日起七个工作日内，办理中标通知书领取手续。</w:t>
      </w:r>
    </w:p>
    <w:p>
      <w:pPr>
        <w:pageBreakBefore w:val="0"/>
        <w:tabs>
          <w:tab w:val="left" w:pos="1140"/>
        </w:tabs>
        <w:kinsoku/>
        <w:wordWrap/>
        <w:overflowPunct/>
        <w:topLinePunct w:val="0"/>
        <w:bidi w:val="0"/>
        <w:spacing w:after="0" w:line="288" w:lineRule="auto"/>
        <w:ind w:left="420" w:leftChars="200"/>
        <w:rPr>
          <w:rFonts w:ascii="Arial" w:hAnsi="Arial" w:cs="Arial"/>
          <w:b/>
          <w:sz w:val="28"/>
          <w:szCs w:val="28"/>
        </w:rPr>
      </w:pPr>
    </w:p>
    <w:p>
      <w:pPr>
        <w:pageBreakBefore w:val="0"/>
        <w:tabs>
          <w:tab w:val="left" w:pos="1140"/>
        </w:tabs>
        <w:kinsoku/>
        <w:wordWrap/>
        <w:overflowPunct/>
        <w:topLinePunct w:val="0"/>
        <w:bidi w:val="0"/>
        <w:spacing w:after="0" w:line="288" w:lineRule="auto"/>
        <w:ind w:left="420" w:leftChars="200"/>
        <w:jc w:val="center"/>
        <w:rPr>
          <w:rFonts w:ascii="Arial" w:hAnsi="Arial" w:cs="Arial"/>
          <w:b/>
          <w:sz w:val="28"/>
          <w:szCs w:val="28"/>
        </w:rPr>
      </w:pPr>
      <w:r>
        <w:rPr>
          <w:rFonts w:ascii="Arial" w:hAnsi="Arial" w:cs="Arial"/>
          <w:b/>
          <w:sz w:val="28"/>
          <w:szCs w:val="28"/>
        </w:rPr>
        <w:t>七、履约保证金及签订合同</w:t>
      </w:r>
    </w:p>
    <w:p>
      <w:pPr>
        <w:pageBreakBefore w:val="0"/>
        <w:tabs>
          <w:tab w:val="left" w:pos="1305"/>
        </w:tabs>
        <w:kinsoku/>
        <w:wordWrap/>
        <w:overflowPunct/>
        <w:topLinePunct w:val="0"/>
        <w:bidi w:val="0"/>
        <w:spacing w:after="0" w:line="288" w:lineRule="auto"/>
        <w:ind w:firstLine="315" w:firstLineChars="150"/>
        <w:rPr>
          <w:rFonts w:ascii="Arial" w:hAnsi="Arial" w:cs="Arial"/>
          <w:szCs w:val="21"/>
        </w:rPr>
      </w:pPr>
      <w:r>
        <w:rPr>
          <w:rFonts w:ascii="Arial" w:hAnsi="Arial" w:cs="Arial"/>
          <w:b/>
        </w:rPr>
        <w:t>34</w:t>
      </w:r>
      <w:r>
        <w:rPr>
          <w:rFonts w:ascii="Arial" w:hAnsi="Arial" w:cs="Arial"/>
          <w:b/>
          <w:szCs w:val="21"/>
        </w:rPr>
        <w:t>. 履约保证金</w:t>
      </w:r>
    </w:p>
    <w:p>
      <w:pPr>
        <w:pStyle w:val="28"/>
        <w:pageBreakBefore w:val="0"/>
        <w:kinsoku/>
        <w:wordWrap/>
        <w:overflowPunct/>
        <w:topLinePunct w:val="0"/>
        <w:bidi w:val="0"/>
        <w:spacing w:after="0" w:line="288" w:lineRule="auto"/>
        <w:ind w:left="6" w:leftChars="3" w:firstLine="420" w:firstLineChars="200"/>
        <w:rPr>
          <w:rFonts w:ascii="Arial" w:hAnsi="Arial" w:cs="Arial"/>
          <w:b/>
          <w:bCs/>
        </w:rPr>
      </w:pPr>
      <w:r>
        <w:rPr>
          <w:rFonts w:hint="eastAsia" w:ascii="Arial" w:hAnsi="Arial" w:cs="Arial"/>
          <w:b/>
          <w:bCs/>
          <w:szCs w:val="21"/>
        </w:rPr>
        <w:t>本项目无须缴纳履约保证金</w:t>
      </w:r>
      <w:r>
        <w:rPr>
          <w:rFonts w:ascii="Arial" w:hAnsi="Arial" w:cs="Arial"/>
          <w:b/>
          <w:bCs/>
        </w:rPr>
        <w:t>。</w:t>
      </w:r>
    </w:p>
    <w:p>
      <w:pPr>
        <w:pageBreakBefore w:val="0"/>
        <w:tabs>
          <w:tab w:val="left" w:pos="1140"/>
        </w:tabs>
        <w:kinsoku/>
        <w:wordWrap/>
        <w:overflowPunct/>
        <w:topLinePunct w:val="0"/>
        <w:bidi w:val="0"/>
        <w:spacing w:after="0" w:line="288" w:lineRule="auto"/>
        <w:ind w:firstLine="420" w:firstLineChars="200"/>
        <w:rPr>
          <w:rFonts w:ascii="Arial" w:hAnsi="Arial" w:cs="Arial"/>
          <w:b/>
          <w:bCs/>
          <w:szCs w:val="21"/>
        </w:rPr>
      </w:pPr>
      <w:r>
        <w:rPr>
          <w:rFonts w:ascii="Arial" w:hAnsi="Arial" w:cs="Arial"/>
          <w:b/>
          <w:bCs/>
          <w:szCs w:val="21"/>
        </w:rPr>
        <w:t>35. 签订合同</w:t>
      </w:r>
    </w:p>
    <w:p>
      <w:pPr>
        <w:pStyle w:val="28"/>
        <w:pageBreakBefore w:val="0"/>
        <w:kinsoku/>
        <w:wordWrap/>
        <w:overflowPunct/>
        <w:topLinePunct w:val="0"/>
        <w:bidi w:val="0"/>
        <w:spacing w:after="0" w:line="288" w:lineRule="auto"/>
        <w:ind w:left="2" w:leftChars="1" w:firstLine="420" w:firstLineChars="200"/>
        <w:rPr>
          <w:rFonts w:ascii="Arial" w:hAnsi="Arial" w:cs="Arial"/>
          <w:szCs w:val="21"/>
        </w:rPr>
      </w:pPr>
      <w:r>
        <w:rPr>
          <w:rFonts w:ascii="Arial" w:hAnsi="Arial" w:cs="Arial"/>
          <w:szCs w:val="21"/>
        </w:rPr>
        <w:t>35.1签订合同时间：中标通知书发出之日起</w:t>
      </w:r>
      <w:r>
        <w:rPr>
          <w:rFonts w:hint="eastAsia" w:ascii="Arial" w:hAnsi="Arial" w:cs="Arial"/>
          <w:szCs w:val="21"/>
        </w:rPr>
        <w:t>八个工作日内</w:t>
      </w:r>
      <w:r>
        <w:rPr>
          <w:rFonts w:ascii="Arial" w:hAnsi="Arial" w:cs="Arial"/>
          <w:szCs w:val="21"/>
        </w:rPr>
        <w:t>。中标供应商领取中标通知书后，应按规定与采购人签订合同。</w:t>
      </w:r>
    </w:p>
    <w:p>
      <w:pPr>
        <w:pStyle w:val="28"/>
        <w:pageBreakBefore w:val="0"/>
        <w:kinsoku/>
        <w:wordWrap/>
        <w:overflowPunct/>
        <w:topLinePunct w:val="0"/>
        <w:bidi w:val="0"/>
        <w:spacing w:after="0" w:line="288" w:lineRule="auto"/>
        <w:ind w:left="2" w:leftChars="1" w:firstLine="420" w:firstLineChars="200"/>
        <w:rPr>
          <w:rFonts w:ascii="Arial" w:hAnsi="Arial" w:cs="Arial"/>
          <w:szCs w:val="21"/>
        </w:rPr>
      </w:pPr>
      <w:r>
        <w:rPr>
          <w:rFonts w:ascii="Arial" w:hAnsi="Arial" w:cs="Arial"/>
          <w:szCs w:val="21"/>
        </w:rPr>
        <w:t>35.2如中标供应商有下列情形之一的，情节严重的，由财政部门将其列入不良行为记录名单，在一至三年内禁止参加政府采购活动，并予以通报。采购人或者采购代理机构可从评标委员会推荐的中标候选供应商中按顺序重新确定中标供应商或重新组织招标。</w:t>
      </w:r>
    </w:p>
    <w:p>
      <w:pPr>
        <w:pStyle w:val="28"/>
        <w:pageBreakBefore w:val="0"/>
        <w:kinsoku/>
        <w:wordWrap/>
        <w:overflowPunct/>
        <w:topLinePunct w:val="0"/>
        <w:bidi w:val="0"/>
        <w:spacing w:after="0" w:line="288" w:lineRule="auto"/>
        <w:ind w:firstLine="315" w:firstLineChars="150"/>
        <w:rPr>
          <w:rFonts w:ascii="Arial" w:hAnsi="Arial" w:cs="Arial"/>
          <w:szCs w:val="21"/>
        </w:rPr>
      </w:pPr>
      <w:r>
        <w:rPr>
          <w:rFonts w:ascii="Arial" w:hAnsi="Arial" w:cs="Arial"/>
          <w:szCs w:val="21"/>
        </w:rPr>
        <w:t>（1）中标后不与采购人签订合同的（不可抗力除外）；</w:t>
      </w:r>
    </w:p>
    <w:p>
      <w:pPr>
        <w:pStyle w:val="28"/>
        <w:pageBreakBefore w:val="0"/>
        <w:kinsoku/>
        <w:wordWrap/>
        <w:overflowPunct/>
        <w:topLinePunct w:val="0"/>
        <w:bidi w:val="0"/>
        <w:spacing w:after="0" w:line="288" w:lineRule="auto"/>
        <w:ind w:left="2" w:leftChars="1" w:firstLine="315" w:firstLineChars="150"/>
        <w:rPr>
          <w:rFonts w:ascii="Arial" w:hAnsi="Arial" w:cs="Arial"/>
          <w:szCs w:val="21"/>
        </w:rPr>
      </w:pPr>
      <w:r>
        <w:rPr>
          <w:rFonts w:ascii="Arial" w:hAnsi="Arial" w:cs="Arial"/>
          <w:szCs w:val="21"/>
        </w:rPr>
        <w:t>（2）将中标项目转让给他人，或者在投标文件中未说明，且未经采购人同意，将中标项目分包给他人的；</w:t>
      </w:r>
    </w:p>
    <w:p>
      <w:pPr>
        <w:pStyle w:val="28"/>
        <w:pageBreakBefore w:val="0"/>
        <w:kinsoku/>
        <w:wordWrap/>
        <w:overflowPunct/>
        <w:topLinePunct w:val="0"/>
        <w:bidi w:val="0"/>
        <w:spacing w:after="0" w:line="288" w:lineRule="auto"/>
        <w:ind w:firstLine="315" w:firstLineChars="150"/>
        <w:rPr>
          <w:rFonts w:ascii="Arial" w:hAnsi="Arial" w:cs="Arial"/>
          <w:szCs w:val="21"/>
        </w:rPr>
      </w:pPr>
      <w:r>
        <w:rPr>
          <w:rFonts w:ascii="Arial" w:hAnsi="Arial" w:cs="Arial"/>
          <w:szCs w:val="21"/>
        </w:rPr>
        <w:t>（3）拒绝履行合同义务的。</w:t>
      </w:r>
    </w:p>
    <w:p>
      <w:pPr>
        <w:pStyle w:val="28"/>
        <w:pageBreakBefore w:val="0"/>
        <w:kinsoku/>
        <w:wordWrap/>
        <w:overflowPunct/>
        <w:topLinePunct w:val="0"/>
        <w:bidi w:val="0"/>
        <w:spacing w:after="0" w:line="288" w:lineRule="auto"/>
        <w:ind w:left="2" w:leftChars="1" w:firstLine="420" w:firstLineChars="200"/>
        <w:rPr>
          <w:rFonts w:ascii="Arial" w:hAnsi="Arial" w:cs="Arial"/>
          <w:szCs w:val="21"/>
        </w:rPr>
      </w:pPr>
      <w:r>
        <w:rPr>
          <w:rFonts w:ascii="Arial" w:hAnsi="Arial" w:cs="Arial"/>
          <w:szCs w:val="21"/>
        </w:rPr>
        <w:t>35.3合同备案存档：政府采购合同双方自签订之日起1个工作日内将合同原件</w:t>
      </w:r>
      <w:r>
        <w:rPr>
          <w:rFonts w:hint="eastAsia" w:ascii="Arial" w:hAnsi="Arial" w:cs="Arial"/>
          <w:szCs w:val="21"/>
        </w:rPr>
        <w:t>1份</w:t>
      </w:r>
      <w:r>
        <w:rPr>
          <w:rFonts w:ascii="Arial" w:hAnsi="Arial" w:cs="Arial"/>
          <w:szCs w:val="21"/>
        </w:rPr>
        <w:t>交采购代理机构</w:t>
      </w:r>
      <w:r>
        <w:rPr>
          <w:rFonts w:hint="eastAsia" w:ascii="Arial" w:hAnsi="Arial" w:cs="Arial"/>
          <w:szCs w:val="21"/>
        </w:rPr>
        <w:t>，</w:t>
      </w:r>
      <w:r>
        <w:rPr>
          <w:rFonts w:ascii="Arial" w:hAnsi="Arial" w:cs="Arial"/>
          <w:szCs w:val="21"/>
        </w:rPr>
        <w:t>采购代理机构将政府采购合同在省级以上人民政府财政部门指定媒体上公告。</w:t>
      </w:r>
    </w:p>
    <w:p>
      <w:pPr>
        <w:pStyle w:val="28"/>
        <w:pageBreakBefore w:val="0"/>
        <w:kinsoku/>
        <w:wordWrap/>
        <w:overflowPunct/>
        <w:topLinePunct w:val="0"/>
        <w:bidi w:val="0"/>
        <w:spacing w:after="0" w:line="288" w:lineRule="auto"/>
        <w:ind w:left="2" w:leftChars="1" w:firstLine="420" w:firstLineChars="200"/>
        <w:rPr>
          <w:rFonts w:ascii="Arial" w:hAnsi="Arial" w:cs="Arial"/>
          <w:szCs w:val="21"/>
        </w:rPr>
      </w:pPr>
    </w:p>
    <w:p>
      <w:pPr>
        <w:pStyle w:val="28"/>
        <w:pageBreakBefore w:val="0"/>
        <w:kinsoku/>
        <w:wordWrap/>
        <w:overflowPunct/>
        <w:topLinePunct w:val="0"/>
        <w:bidi w:val="0"/>
        <w:spacing w:after="0" w:line="288" w:lineRule="auto"/>
        <w:ind w:left="3"/>
        <w:jc w:val="center"/>
        <w:rPr>
          <w:rFonts w:ascii="Arial" w:hAnsi="Arial" w:cs="Arial"/>
          <w:b/>
          <w:sz w:val="28"/>
          <w:szCs w:val="28"/>
        </w:rPr>
      </w:pPr>
      <w:r>
        <w:rPr>
          <w:rFonts w:ascii="Arial" w:hAnsi="Arial" w:cs="Arial"/>
          <w:b/>
          <w:sz w:val="28"/>
          <w:szCs w:val="28"/>
        </w:rPr>
        <w:t>八、其他事项</w:t>
      </w:r>
    </w:p>
    <w:p>
      <w:pPr>
        <w:pStyle w:val="28"/>
        <w:pageBreakBefore w:val="0"/>
        <w:kinsoku/>
        <w:wordWrap/>
        <w:overflowPunct/>
        <w:topLinePunct w:val="0"/>
        <w:bidi w:val="0"/>
        <w:spacing w:after="0" w:line="288" w:lineRule="auto"/>
        <w:ind w:firstLine="420" w:firstLineChars="200"/>
        <w:rPr>
          <w:rFonts w:ascii="Arial" w:hAnsi="Arial" w:cs="Arial"/>
          <w:b/>
        </w:rPr>
      </w:pPr>
      <w:r>
        <w:rPr>
          <w:rFonts w:ascii="Arial" w:hAnsi="Arial" w:cs="Arial"/>
          <w:b/>
        </w:rPr>
        <w:t>36.招标代理服务费</w:t>
      </w:r>
    </w:p>
    <w:p>
      <w:pPr>
        <w:pageBreakBefore w:val="0"/>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36.1本项目的采购代理服务收费标准按计价格[2002]1980号《招标代理服务收费管理暂行办法》货物类收费标准向中标供应商收取，由中标人在领取中标通知书前以银行转账或现金形式支付代理服务费，向采购代理机构一次性支付。</w:t>
      </w:r>
    </w:p>
    <w:p>
      <w:pPr>
        <w:pageBreakBefore w:val="0"/>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36.2招标代理服务收费标准：</w:t>
      </w:r>
    </w:p>
    <w:tbl>
      <w:tblPr>
        <w:tblStyle w:val="49"/>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880" w:type="dxa"/>
          </w:tcPr>
          <w:p>
            <w:pPr>
              <w:pStyle w:val="28"/>
              <w:pageBreakBefore w:val="0"/>
              <w:kinsoku/>
              <w:wordWrap/>
              <w:overflowPunct/>
              <w:topLinePunct w:val="0"/>
              <w:bidi w:val="0"/>
              <w:spacing w:after="0" w:line="288" w:lineRule="auto"/>
              <w:ind w:left="25"/>
              <w:rPr>
                <w:rFonts w:ascii="Arial" w:hAnsi="Arial" w:cs="Arial"/>
              </w:rPr>
            </w:pPr>
            <w:r>
              <w:rPr>
                <w:rFonts w:ascii="Arial" w:hAnsi="Arial" w:cs="Arial"/>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463675" cy="653415"/>
                      <wp:effectExtent l="1905" t="4445" r="7620" b="15240"/>
                      <wp:wrapNone/>
                      <wp:docPr id="1" name="直线 109"/>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09" o:spid="_x0000_s1026" o:spt="20" style="position:absolute;left:0pt;margin-left:23.35pt;margin-top:0.85pt;height:51.45pt;width:115.25pt;z-index:251659264;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IBUzTW&#10;AAAACAEAAA8AAAAAAAAAAQAgAAAAIgAAAGRycy9kb3ducmV2LnhtbFBLAQIUABQAAAAIAIdO4kDC&#10;VvJP6QEAAOQDAAAOAAAAAAAAAAEAIAAAACUBAABkcnMvZTJvRG9jLnhtbFBLBQYAAAAABgAGAFkB&#10;AACABQAAAAA=&#10;">
                      <v:fill on="f" focussize="0,0"/>
                      <v:stroke color="#000000" joinstyle="round"/>
                      <v:imagedata o:title=""/>
                      <o:lock v:ext="edit" aspectratio="f"/>
                    </v:line>
                  </w:pict>
                </mc:Fallback>
              </mc:AlternateContent>
            </w:r>
            <w:r>
              <w:rPr>
                <w:rFonts w:ascii="Arial" w:hAnsi="Arial" w:cs="Arial"/>
              </w:rPr>
              <w:t>费率           服务类型</w:t>
            </w:r>
          </w:p>
          <w:p>
            <w:pPr>
              <w:pStyle w:val="28"/>
              <w:pageBreakBefore w:val="0"/>
              <w:kinsoku/>
              <w:wordWrap/>
              <w:overflowPunct/>
              <w:topLinePunct w:val="0"/>
              <w:bidi w:val="0"/>
              <w:spacing w:after="0" w:line="288" w:lineRule="auto"/>
              <w:ind w:left="25"/>
              <w:rPr>
                <w:rFonts w:ascii="Arial" w:hAnsi="Arial" w:cs="Arial"/>
              </w:rPr>
            </w:pPr>
            <w:r>
              <w:rPr>
                <w:rFonts w:ascii="Arial" w:hAnsi="Arial" w:cs="Arial"/>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39370</wp:posOffset>
                      </wp:positionV>
                      <wp:extent cx="1828800" cy="396240"/>
                      <wp:effectExtent l="1270" t="4445" r="11430" b="5715"/>
                      <wp:wrapNone/>
                      <wp:docPr id="2" name="直线 110"/>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10" o:spid="_x0000_s1026" o:spt="20" style="position:absolute;left:0pt;margin-left:-5.4pt;margin-top:3.1pt;height:31.2pt;width:144pt;z-index:251660288;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A6v&#10;RNYAAAAIAQAADwAAAAAAAAABACAAAAAiAAAAZHJzL2Rvd25yZXYueG1sUEsBAhQAFAAAAAgAh07i&#10;QMVmbkLrAQAA5AMAAA4AAAAAAAAAAQAgAAAAJQEAAGRycy9lMm9Eb2MueG1sUEsFBgAAAAAGAAYA&#10;WQEAAIIFAAAAAA==&#10;">
                      <v:fill on="f" focussize="0,0"/>
                      <v:stroke color="#000000" joinstyle="round"/>
                      <v:imagedata o:title=""/>
                      <o:lock v:ext="edit" aspectratio="f"/>
                    </v:line>
                  </w:pict>
                </mc:Fallback>
              </mc:AlternateContent>
            </w:r>
          </w:p>
          <w:p>
            <w:pPr>
              <w:pStyle w:val="28"/>
              <w:pageBreakBefore w:val="0"/>
              <w:kinsoku/>
              <w:wordWrap/>
              <w:overflowPunct/>
              <w:topLinePunct w:val="0"/>
              <w:bidi w:val="0"/>
              <w:spacing w:after="0" w:line="288" w:lineRule="auto"/>
              <w:ind w:left="25"/>
              <w:rPr>
                <w:rFonts w:ascii="Arial" w:hAnsi="Arial" w:cs="Arial"/>
              </w:rPr>
            </w:pPr>
            <w:r>
              <w:rPr>
                <w:rFonts w:ascii="Arial" w:hAnsi="Arial" w:cs="Arial"/>
              </w:rPr>
              <w:t>中标金额</w:t>
            </w:r>
          </w:p>
        </w:tc>
        <w:tc>
          <w:tcPr>
            <w:tcW w:w="1841" w:type="dxa"/>
            <w:vAlign w:val="center"/>
          </w:tcPr>
          <w:p>
            <w:pPr>
              <w:pStyle w:val="28"/>
              <w:pageBreakBefore w:val="0"/>
              <w:kinsoku/>
              <w:wordWrap/>
              <w:overflowPunct/>
              <w:topLinePunct w:val="0"/>
              <w:bidi w:val="0"/>
              <w:spacing w:after="0" w:line="288" w:lineRule="auto"/>
              <w:ind w:left="25"/>
              <w:jc w:val="center"/>
              <w:rPr>
                <w:rFonts w:ascii="Arial" w:hAnsi="Arial" w:cs="Arial"/>
              </w:rPr>
            </w:pPr>
            <w:r>
              <w:rPr>
                <w:rFonts w:ascii="Arial" w:hAnsi="Arial" w:cs="Arial"/>
              </w:rPr>
              <w:t>货物招标</w:t>
            </w:r>
          </w:p>
        </w:tc>
        <w:tc>
          <w:tcPr>
            <w:tcW w:w="1992" w:type="dxa"/>
            <w:vAlign w:val="center"/>
          </w:tcPr>
          <w:p>
            <w:pPr>
              <w:pStyle w:val="28"/>
              <w:pageBreakBefore w:val="0"/>
              <w:kinsoku/>
              <w:wordWrap/>
              <w:overflowPunct/>
              <w:topLinePunct w:val="0"/>
              <w:bidi w:val="0"/>
              <w:spacing w:after="0" w:line="288" w:lineRule="auto"/>
              <w:ind w:left="25"/>
              <w:jc w:val="center"/>
              <w:rPr>
                <w:rFonts w:ascii="Arial" w:hAnsi="Arial" w:cs="Arial"/>
              </w:rPr>
            </w:pPr>
            <w:r>
              <w:rPr>
                <w:rFonts w:ascii="Arial" w:hAnsi="Arial" w:cs="Arial"/>
              </w:rPr>
              <w:t>服务招标</w:t>
            </w:r>
          </w:p>
        </w:tc>
        <w:tc>
          <w:tcPr>
            <w:tcW w:w="2293" w:type="dxa"/>
            <w:vAlign w:val="center"/>
          </w:tcPr>
          <w:p>
            <w:pPr>
              <w:pStyle w:val="28"/>
              <w:pageBreakBefore w:val="0"/>
              <w:kinsoku/>
              <w:wordWrap/>
              <w:overflowPunct/>
              <w:topLinePunct w:val="0"/>
              <w:bidi w:val="0"/>
              <w:spacing w:after="0" w:line="288" w:lineRule="auto"/>
              <w:ind w:left="25"/>
              <w:jc w:val="center"/>
              <w:rPr>
                <w:rFonts w:ascii="Arial" w:hAnsi="Arial" w:cs="Arial"/>
              </w:rPr>
            </w:pPr>
            <w:r>
              <w:rPr>
                <w:rFonts w:ascii="Arial" w:hAnsi="Arial" w:cs="Arial"/>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tcPr>
          <w:p>
            <w:pPr>
              <w:pStyle w:val="28"/>
              <w:pageBreakBefore w:val="0"/>
              <w:kinsoku/>
              <w:wordWrap/>
              <w:overflowPunct/>
              <w:topLinePunct w:val="0"/>
              <w:bidi w:val="0"/>
              <w:spacing w:after="0" w:line="288" w:lineRule="auto"/>
              <w:ind w:left="25"/>
              <w:rPr>
                <w:rFonts w:ascii="Arial" w:hAnsi="Arial" w:cs="Arial"/>
              </w:rPr>
            </w:pPr>
            <w:r>
              <w:rPr>
                <w:rFonts w:ascii="Arial" w:hAnsi="Arial" w:cs="Arial"/>
              </w:rPr>
              <w:t>100万元以下</w:t>
            </w:r>
          </w:p>
        </w:tc>
        <w:tc>
          <w:tcPr>
            <w:tcW w:w="1841" w:type="dxa"/>
          </w:tcPr>
          <w:p>
            <w:pPr>
              <w:pStyle w:val="314"/>
              <w:pageBreakBefore w:val="0"/>
              <w:kinsoku/>
              <w:wordWrap/>
              <w:overflowPunct/>
              <w:topLinePunct w:val="0"/>
              <w:bidi w:val="0"/>
              <w:spacing w:after="0" w:line="288" w:lineRule="auto"/>
              <w:ind w:left="25"/>
              <w:jc w:val="center"/>
              <w:rPr>
                <w:rFonts w:ascii="Arial" w:hAnsi="Arial" w:cs="Arial"/>
              </w:rPr>
            </w:pPr>
            <w:r>
              <w:rPr>
                <w:rFonts w:ascii="Arial" w:hAnsi="Arial" w:cs="Arial"/>
              </w:rPr>
              <w:t>1.5%</w:t>
            </w:r>
          </w:p>
        </w:tc>
        <w:tc>
          <w:tcPr>
            <w:tcW w:w="1992" w:type="dxa"/>
          </w:tcPr>
          <w:p>
            <w:pPr>
              <w:pStyle w:val="314"/>
              <w:pageBreakBefore w:val="0"/>
              <w:kinsoku/>
              <w:wordWrap/>
              <w:overflowPunct/>
              <w:topLinePunct w:val="0"/>
              <w:bidi w:val="0"/>
              <w:spacing w:after="0" w:line="288" w:lineRule="auto"/>
              <w:ind w:left="25"/>
              <w:jc w:val="center"/>
              <w:rPr>
                <w:rFonts w:ascii="Arial" w:hAnsi="Arial" w:cs="Arial"/>
              </w:rPr>
            </w:pPr>
            <w:r>
              <w:rPr>
                <w:rFonts w:ascii="Arial" w:hAnsi="Arial" w:cs="Arial"/>
              </w:rPr>
              <w:t>1.5%</w:t>
            </w:r>
          </w:p>
        </w:tc>
        <w:tc>
          <w:tcPr>
            <w:tcW w:w="2293" w:type="dxa"/>
          </w:tcPr>
          <w:p>
            <w:pPr>
              <w:pStyle w:val="314"/>
              <w:pageBreakBefore w:val="0"/>
              <w:kinsoku/>
              <w:wordWrap/>
              <w:overflowPunct/>
              <w:topLinePunct w:val="0"/>
              <w:bidi w:val="0"/>
              <w:spacing w:after="0" w:line="288" w:lineRule="auto"/>
              <w:ind w:left="25"/>
              <w:jc w:val="center"/>
              <w:rPr>
                <w:rFonts w:ascii="Arial" w:hAnsi="Arial" w:cs="Arial"/>
              </w:rPr>
            </w:pPr>
            <w:r>
              <w:rPr>
                <w:rFonts w:ascii="Arial" w:hAnsi="Arial" w:cs="Aria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tcPr>
          <w:p>
            <w:pPr>
              <w:pStyle w:val="28"/>
              <w:pageBreakBefore w:val="0"/>
              <w:kinsoku/>
              <w:wordWrap/>
              <w:overflowPunct/>
              <w:topLinePunct w:val="0"/>
              <w:bidi w:val="0"/>
              <w:spacing w:after="0" w:line="288" w:lineRule="auto"/>
              <w:ind w:left="25"/>
              <w:rPr>
                <w:rFonts w:ascii="Arial" w:hAnsi="Arial" w:cs="Arial"/>
              </w:rPr>
            </w:pPr>
            <w:r>
              <w:rPr>
                <w:rFonts w:ascii="Arial" w:hAnsi="Arial" w:cs="Arial"/>
              </w:rPr>
              <w:t>100～500万元</w:t>
            </w:r>
          </w:p>
        </w:tc>
        <w:tc>
          <w:tcPr>
            <w:tcW w:w="1841" w:type="dxa"/>
          </w:tcPr>
          <w:p>
            <w:pPr>
              <w:pStyle w:val="314"/>
              <w:pageBreakBefore w:val="0"/>
              <w:kinsoku/>
              <w:wordWrap/>
              <w:overflowPunct/>
              <w:topLinePunct w:val="0"/>
              <w:bidi w:val="0"/>
              <w:spacing w:after="0" w:line="288" w:lineRule="auto"/>
              <w:ind w:left="25"/>
              <w:jc w:val="center"/>
              <w:rPr>
                <w:rFonts w:ascii="Arial" w:hAnsi="Arial" w:cs="Arial"/>
              </w:rPr>
            </w:pPr>
            <w:r>
              <w:rPr>
                <w:rFonts w:ascii="Arial" w:hAnsi="Arial" w:cs="Arial"/>
              </w:rPr>
              <w:t>1.1%</w:t>
            </w:r>
          </w:p>
        </w:tc>
        <w:tc>
          <w:tcPr>
            <w:tcW w:w="1992" w:type="dxa"/>
          </w:tcPr>
          <w:p>
            <w:pPr>
              <w:pStyle w:val="314"/>
              <w:pageBreakBefore w:val="0"/>
              <w:kinsoku/>
              <w:wordWrap/>
              <w:overflowPunct/>
              <w:topLinePunct w:val="0"/>
              <w:bidi w:val="0"/>
              <w:spacing w:after="0" w:line="288" w:lineRule="auto"/>
              <w:ind w:left="25"/>
              <w:jc w:val="center"/>
              <w:rPr>
                <w:rFonts w:ascii="Arial" w:hAnsi="Arial" w:cs="Arial"/>
              </w:rPr>
            </w:pPr>
            <w:r>
              <w:rPr>
                <w:rFonts w:ascii="Arial" w:hAnsi="Arial" w:cs="Arial"/>
              </w:rPr>
              <w:t>0.8%</w:t>
            </w:r>
          </w:p>
        </w:tc>
        <w:tc>
          <w:tcPr>
            <w:tcW w:w="2293" w:type="dxa"/>
          </w:tcPr>
          <w:p>
            <w:pPr>
              <w:pStyle w:val="314"/>
              <w:pageBreakBefore w:val="0"/>
              <w:kinsoku/>
              <w:wordWrap/>
              <w:overflowPunct/>
              <w:topLinePunct w:val="0"/>
              <w:bidi w:val="0"/>
              <w:spacing w:after="0" w:line="288" w:lineRule="auto"/>
              <w:ind w:left="25"/>
              <w:jc w:val="center"/>
              <w:rPr>
                <w:rFonts w:ascii="Arial" w:hAnsi="Arial" w:cs="Arial"/>
              </w:rPr>
            </w:pPr>
            <w:r>
              <w:rPr>
                <w:rFonts w:ascii="Arial" w:hAnsi="Arial" w:cs="Arial"/>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pPr>
              <w:pStyle w:val="28"/>
              <w:pageBreakBefore w:val="0"/>
              <w:kinsoku/>
              <w:wordWrap/>
              <w:overflowPunct/>
              <w:topLinePunct w:val="0"/>
              <w:bidi w:val="0"/>
              <w:spacing w:after="0" w:line="288" w:lineRule="auto"/>
              <w:ind w:left="25"/>
              <w:rPr>
                <w:rFonts w:ascii="Arial" w:hAnsi="Arial" w:cs="Arial"/>
              </w:rPr>
            </w:pPr>
            <w:r>
              <w:rPr>
                <w:rFonts w:ascii="Arial" w:hAnsi="Arial" w:cs="Arial"/>
              </w:rPr>
              <w:t>500～1000万元</w:t>
            </w:r>
          </w:p>
        </w:tc>
        <w:tc>
          <w:tcPr>
            <w:tcW w:w="1841" w:type="dxa"/>
          </w:tcPr>
          <w:p>
            <w:pPr>
              <w:pStyle w:val="28"/>
              <w:pageBreakBefore w:val="0"/>
              <w:kinsoku/>
              <w:wordWrap/>
              <w:overflowPunct/>
              <w:topLinePunct w:val="0"/>
              <w:bidi w:val="0"/>
              <w:spacing w:after="0" w:line="288" w:lineRule="auto"/>
              <w:ind w:left="25"/>
              <w:jc w:val="center"/>
              <w:rPr>
                <w:rFonts w:ascii="Arial" w:hAnsi="Arial" w:cs="Arial"/>
              </w:rPr>
            </w:pPr>
            <w:r>
              <w:rPr>
                <w:rFonts w:ascii="Arial" w:hAnsi="Arial" w:cs="Arial"/>
              </w:rPr>
              <w:t>0.8%</w:t>
            </w:r>
          </w:p>
        </w:tc>
        <w:tc>
          <w:tcPr>
            <w:tcW w:w="1992" w:type="dxa"/>
          </w:tcPr>
          <w:p>
            <w:pPr>
              <w:pStyle w:val="28"/>
              <w:pageBreakBefore w:val="0"/>
              <w:kinsoku/>
              <w:wordWrap/>
              <w:overflowPunct/>
              <w:topLinePunct w:val="0"/>
              <w:bidi w:val="0"/>
              <w:spacing w:after="0" w:line="288" w:lineRule="auto"/>
              <w:ind w:left="25"/>
              <w:jc w:val="center"/>
              <w:rPr>
                <w:rFonts w:ascii="Arial" w:hAnsi="Arial" w:cs="Arial"/>
              </w:rPr>
            </w:pPr>
            <w:r>
              <w:rPr>
                <w:rFonts w:ascii="Arial" w:hAnsi="Arial" w:cs="Arial"/>
              </w:rPr>
              <w:t>0.45%</w:t>
            </w:r>
          </w:p>
        </w:tc>
        <w:tc>
          <w:tcPr>
            <w:tcW w:w="2293" w:type="dxa"/>
          </w:tcPr>
          <w:p>
            <w:pPr>
              <w:pStyle w:val="28"/>
              <w:pageBreakBefore w:val="0"/>
              <w:kinsoku/>
              <w:wordWrap/>
              <w:overflowPunct/>
              <w:topLinePunct w:val="0"/>
              <w:bidi w:val="0"/>
              <w:spacing w:after="0" w:line="288" w:lineRule="auto"/>
              <w:ind w:left="25"/>
              <w:jc w:val="center"/>
              <w:rPr>
                <w:rFonts w:ascii="Arial" w:hAnsi="Arial" w:cs="Arial"/>
              </w:rPr>
            </w:pPr>
            <w:r>
              <w:rPr>
                <w:rFonts w:ascii="Arial" w:hAnsi="Arial" w:cs="Arial"/>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pPr>
              <w:pStyle w:val="28"/>
              <w:pageBreakBefore w:val="0"/>
              <w:kinsoku/>
              <w:wordWrap/>
              <w:overflowPunct/>
              <w:topLinePunct w:val="0"/>
              <w:bidi w:val="0"/>
              <w:spacing w:after="0" w:line="288" w:lineRule="auto"/>
              <w:ind w:left="25"/>
              <w:rPr>
                <w:rFonts w:ascii="Arial" w:hAnsi="Arial" w:cs="Arial"/>
              </w:rPr>
            </w:pPr>
            <w:r>
              <w:rPr>
                <w:rFonts w:ascii="Arial" w:hAnsi="Arial" w:cs="Arial"/>
              </w:rPr>
              <w:t>1000～5000万元</w:t>
            </w:r>
          </w:p>
        </w:tc>
        <w:tc>
          <w:tcPr>
            <w:tcW w:w="1841" w:type="dxa"/>
          </w:tcPr>
          <w:p>
            <w:pPr>
              <w:pStyle w:val="28"/>
              <w:pageBreakBefore w:val="0"/>
              <w:kinsoku/>
              <w:wordWrap/>
              <w:overflowPunct/>
              <w:topLinePunct w:val="0"/>
              <w:bidi w:val="0"/>
              <w:spacing w:after="0" w:line="288" w:lineRule="auto"/>
              <w:ind w:left="25"/>
              <w:jc w:val="center"/>
              <w:rPr>
                <w:rFonts w:ascii="Arial" w:hAnsi="Arial" w:cs="Arial"/>
              </w:rPr>
            </w:pPr>
            <w:r>
              <w:rPr>
                <w:rFonts w:ascii="Arial" w:hAnsi="Arial" w:cs="Arial"/>
              </w:rPr>
              <w:t>0.5%</w:t>
            </w:r>
          </w:p>
        </w:tc>
        <w:tc>
          <w:tcPr>
            <w:tcW w:w="1992" w:type="dxa"/>
          </w:tcPr>
          <w:p>
            <w:pPr>
              <w:pStyle w:val="28"/>
              <w:pageBreakBefore w:val="0"/>
              <w:kinsoku/>
              <w:wordWrap/>
              <w:overflowPunct/>
              <w:topLinePunct w:val="0"/>
              <w:bidi w:val="0"/>
              <w:spacing w:after="0" w:line="288" w:lineRule="auto"/>
              <w:ind w:left="25"/>
              <w:jc w:val="center"/>
              <w:rPr>
                <w:rFonts w:ascii="Arial" w:hAnsi="Arial" w:cs="Arial"/>
              </w:rPr>
            </w:pPr>
            <w:r>
              <w:rPr>
                <w:rFonts w:ascii="Arial" w:hAnsi="Arial" w:cs="Arial"/>
              </w:rPr>
              <w:t>0.25%</w:t>
            </w:r>
          </w:p>
        </w:tc>
        <w:tc>
          <w:tcPr>
            <w:tcW w:w="2293" w:type="dxa"/>
          </w:tcPr>
          <w:p>
            <w:pPr>
              <w:pStyle w:val="28"/>
              <w:pageBreakBefore w:val="0"/>
              <w:kinsoku/>
              <w:wordWrap/>
              <w:overflowPunct/>
              <w:topLinePunct w:val="0"/>
              <w:bidi w:val="0"/>
              <w:spacing w:after="0" w:line="288" w:lineRule="auto"/>
              <w:ind w:left="25"/>
              <w:jc w:val="center"/>
              <w:rPr>
                <w:rFonts w:ascii="Arial" w:hAnsi="Arial" w:cs="Arial"/>
              </w:rPr>
            </w:pPr>
            <w:r>
              <w:rPr>
                <w:rFonts w:ascii="Arial" w:hAnsi="Arial" w:cs="Arial"/>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pPr>
              <w:pStyle w:val="28"/>
              <w:pageBreakBefore w:val="0"/>
              <w:kinsoku/>
              <w:wordWrap/>
              <w:overflowPunct/>
              <w:topLinePunct w:val="0"/>
              <w:bidi w:val="0"/>
              <w:spacing w:after="0" w:line="288" w:lineRule="auto"/>
              <w:ind w:left="25"/>
              <w:rPr>
                <w:rFonts w:ascii="Arial" w:hAnsi="Arial" w:cs="Arial"/>
              </w:rPr>
            </w:pPr>
            <w:r>
              <w:rPr>
                <w:rFonts w:ascii="Arial" w:hAnsi="Arial" w:cs="Arial"/>
              </w:rPr>
              <w:t>5000万元～1亿元</w:t>
            </w:r>
          </w:p>
        </w:tc>
        <w:tc>
          <w:tcPr>
            <w:tcW w:w="1841" w:type="dxa"/>
          </w:tcPr>
          <w:p>
            <w:pPr>
              <w:pStyle w:val="28"/>
              <w:pageBreakBefore w:val="0"/>
              <w:kinsoku/>
              <w:wordWrap/>
              <w:overflowPunct/>
              <w:topLinePunct w:val="0"/>
              <w:bidi w:val="0"/>
              <w:spacing w:after="0" w:line="288" w:lineRule="auto"/>
              <w:ind w:left="25"/>
              <w:jc w:val="center"/>
              <w:rPr>
                <w:rFonts w:ascii="Arial" w:hAnsi="Arial" w:cs="Arial"/>
              </w:rPr>
            </w:pPr>
            <w:r>
              <w:rPr>
                <w:rFonts w:ascii="Arial" w:hAnsi="Arial" w:cs="Arial"/>
              </w:rPr>
              <w:t>0.25%</w:t>
            </w:r>
          </w:p>
        </w:tc>
        <w:tc>
          <w:tcPr>
            <w:tcW w:w="1992" w:type="dxa"/>
          </w:tcPr>
          <w:p>
            <w:pPr>
              <w:pStyle w:val="28"/>
              <w:pageBreakBefore w:val="0"/>
              <w:kinsoku/>
              <w:wordWrap/>
              <w:overflowPunct/>
              <w:topLinePunct w:val="0"/>
              <w:bidi w:val="0"/>
              <w:spacing w:after="0" w:line="288" w:lineRule="auto"/>
              <w:ind w:left="25"/>
              <w:jc w:val="center"/>
              <w:rPr>
                <w:rFonts w:ascii="Arial" w:hAnsi="Arial" w:cs="Arial"/>
              </w:rPr>
            </w:pPr>
            <w:r>
              <w:rPr>
                <w:rFonts w:ascii="Arial" w:hAnsi="Arial" w:cs="Arial"/>
              </w:rPr>
              <w:t>0.1%</w:t>
            </w:r>
          </w:p>
        </w:tc>
        <w:tc>
          <w:tcPr>
            <w:tcW w:w="2293" w:type="dxa"/>
          </w:tcPr>
          <w:p>
            <w:pPr>
              <w:pStyle w:val="28"/>
              <w:pageBreakBefore w:val="0"/>
              <w:kinsoku/>
              <w:wordWrap/>
              <w:overflowPunct/>
              <w:topLinePunct w:val="0"/>
              <w:bidi w:val="0"/>
              <w:spacing w:after="0" w:line="288" w:lineRule="auto"/>
              <w:ind w:left="25"/>
              <w:jc w:val="center"/>
              <w:rPr>
                <w:rFonts w:ascii="Arial" w:hAnsi="Arial" w:cs="Arial"/>
              </w:rPr>
            </w:pPr>
            <w:r>
              <w:rPr>
                <w:rFonts w:ascii="Arial" w:hAnsi="Arial" w:cs="Arial"/>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pPr>
              <w:pStyle w:val="28"/>
              <w:pageBreakBefore w:val="0"/>
              <w:kinsoku/>
              <w:wordWrap/>
              <w:overflowPunct/>
              <w:topLinePunct w:val="0"/>
              <w:bidi w:val="0"/>
              <w:spacing w:after="0" w:line="288" w:lineRule="auto"/>
              <w:ind w:left="25"/>
              <w:rPr>
                <w:rFonts w:ascii="Arial" w:hAnsi="Arial" w:cs="Arial"/>
              </w:rPr>
            </w:pPr>
            <w:r>
              <w:rPr>
                <w:rFonts w:ascii="Arial" w:hAnsi="Arial" w:cs="Arial"/>
              </w:rPr>
              <w:t>1～5亿元</w:t>
            </w:r>
          </w:p>
        </w:tc>
        <w:tc>
          <w:tcPr>
            <w:tcW w:w="1841" w:type="dxa"/>
          </w:tcPr>
          <w:p>
            <w:pPr>
              <w:pStyle w:val="28"/>
              <w:pageBreakBefore w:val="0"/>
              <w:kinsoku/>
              <w:wordWrap/>
              <w:overflowPunct/>
              <w:topLinePunct w:val="0"/>
              <w:bidi w:val="0"/>
              <w:spacing w:after="0" w:line="288" w:lineRule="auto"/>
              <w:ind w:left="25"/>
              <w:jc w:val="center"/>
              <w:rPr>
                <w:rFonts w:ascii="Arial" w:hAnsi="Arial" w:cs="Arial"/>
              </w:rPr>
            </w:pPr>
            <w:r>
              <w:rPr>
                <w:rFonts w:ascii="Arial" w:hAnsi="Arial" w:cs="Arial"/>
              </w:rPr>
              <w:t>0.05%</w:t>
            </w:r>
          </w:p>
        </w:tc>
        <w:tc>
          <w:tcPr>
            <w:tcW w:w="1992" w:type="dxa"/>
          </w:tcPr>
          <w:p>
            <w:pPr>
              <w:pStyle w:val="28"/>
              <w:pageBreakBefore w:val="0"/>
              <w:kinsoku/>
              <w:wordWrap/>
              <w:overflowPunct/>
              <w:topLinePunct w:val="0"/>
              <w:bidi w:val="0"/>
              <w:spacing w:after="0" w:line="288" w:lineRule="auto"/>
              <w:ind w:left="25"/>
              <w:jc w:val="center"/>
              <w:rPr>
                <w:rFonts w:ascii="Arial" w:hAnsi="Arial" w:cs="Arial"/>
              </w:rPr>
            </w:pPr>
            <w:r>
              <w:rPr>
                <w:rFonts w:ascii="Arial" w:hAnsi="Arial" w:cs="Arial"/>
              </w:rPr>
              <w:t>0.05%</w:t>
            </w:r>
          </w:p>
        </w:tc>
        <w:tc>
          <w:tcPr>
            <w:tcW w:w="2293" w:type="dxa"/>
          </w:tcPr>
          <w:p>
            <w:pPr>
              <w:pStyle w:val="28"/>
              <w:pageBreakBefore w:val="0"/>
              <w:kinsoku/>
              <w:wordWrap/>
              <w:overflowPunct/>
              <w:topLinePunct w:val="0"/>
              <w:bidi w:val="0"/>
              <w:spacing w:after="0" w:line="288" w:lineRule="auto"/>
              <w:ind w:left="25"/>
              <w:jc w:val="center"/>
              <w:rPr>
                <w:rFonts w:ascii="Arial" w:hAnsi="Arial" w:cs="Arial"/>
              </w:rPr>
            </w:pPr>
            <w:r>
              <w:rPr>
                <w:rFonts w:ascii="Arial" w:hAnsi="Arial" w:cs="Arial"/>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pPr>
              <w:pStyle w:val="28"/>
              <w:pageBreakBefore w:val="0"/>
              <w:kinsoku/>
              <w:wordWrap/>
              <w:overflowPunct/>
              <w:topLinePunct w:val="0"/>
              <w:bidi w:val="0"/>
              <w:spacing w:after="0" w:line="288" w:lineRule="auto"/>
              <w:ind w:left="25"/>
              <w:rPr>
                <w:rFonts w:ascii="Arial" w:hAnsi="Arial" w:cs="Arial"/>
              </w:rPr>
            </w:pPr>
            <w:r>
              <w:rPr>
                <w:rFonts w:ascii="Arial" w:hAnsi="Arial" w:cs="Arial"/>
              </w:rPr>
              <w:t>5～10亿元</w:t>
            </w:r>
          </w:p>
        </w:tc>
        <w:tc>
          <w:tcPr>
            <w:tcW w:w="1841" w:type="dxa"/>
          </w:tcPr>
          <w:p>
            <w:pPr>
              <w:pStyle w:val="28"/>
              <w:pageBreakBefore w:val="0"/>
              <w:kinsoku/>
              <w:wordWrap/>
              <w:overflowPunct/>
              <w:topLinePunct w:val="0"/>
              <w:bidi w:val="0"/>
              <w:spacing w:after="0" w:line="288" w:lineRule="auto"/>
              <w:ind w:left="25"/>
              <w:jc w:val="center"/>
              <w:rPr>
                <w:rFonts w:ascii="Arial" w:hAnsi="Arial" w:cs="Arial"/>
              </w:rPr>
            </w:pPr>
            <w:r>
              <w:rPr>
                <w:rFonts w:ascii="Arial" w:hAnsi="Arial" w:cs="Arial"/>
              </w:rPr>
              <w:t>0.035%</w:t>
            </w:r>
          </w:p>
        </w:tc>
        <w:tc>
          <w:tcPr>
            <w:tcW w:w="1992" w:type="dxa"/>
          </w:tcPr>
          <w:p>
            <w:pPr>
              <w:pStyle w:val="28"/>
              <w:pageBreakBefore w:val="0"/>
              <w:kinsoku/>
              <w:wordWrap/>
              <w:overflowPunct/>
              <w:topLinePunct w:val="0"/>
              <w:bidi w:val="0"/>
              <w:spacing w:after="0" w:line="288" w:lineRule="auto"/>
              <w:ind w:left="25"/>
              <w:jc w:val="center"/>
              <w:rPr>
                <w:rFonts w:ascii="Arial" w:hAnsi="Arial" w:cs="Arial"/>
              </w:rPr>
            </w:pPr>
            <w:r>
              <w:rPr>
                <w:rFonts w:ascii="Arial" w:hAnsi="Arial" w:cs="Arial"/>
              </w:rPr>
              <w:t>0.035%</w:t>
            </w:r>
          </w:p>
        </w:tc>
        <w:tc>
          <w:tcPr>
            <w:tcW w:w="2293" w:type="dxa"/>
          </w:tcPr>
          <w:p>
            <w:pPr>
              <w:pStyle w:val="28"/>
              <w:pageBreakBefore w:val="0"/>
              <w:kinsoku/>
              <w:wordWrap/>
              <w:overflowPunct/>
              <w:topLinePunct w:val="0"/>
              <w:bidi w:val="0"/>
              <w:spacing w:after="0" w:line="288" w:lineRule="auto"/>
              <w:ind w:left="25"/>
              <w:jc w:val="center"/>
              <w:rPr>
                <w:rFonts w:ascii="Arial" w:hAnsi="Arial" w:cs="Arial"/>
              </w:rPr>
            </w:pPr>
            <w:r>
              <w:rPr>
                <w:rFonts w:ascii="Arial" w:hAnsi="Arial" w:cs="Arial"/>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pPr>
              <w:pStyle w:val="28"/>
              <w:pageBreakBefore w:val="0"/>
              <w:kinsoku/>
              <w:wordWrap/>
              <w:overflowPunct/>
              <w:topLinePunct w:val="0"/>
              <w:bidi w:val="0"/>
              <w:spacing w:after="0" w:line="288" w:lineRule="auto"/>
              <w:ind w:left="25"/>
              <w:rPr>
                <w:rFonts w:ascii="Arial" w:hAnsi="Arial" w:cs="Arial"/>
              </w:rPr>
            </w:pPr>
            <w:r>
              <w:rPr>
                <w:rFonts w:ascii="Arial" w:hAnsi="Arial" w:cs="Arial"/>
              </w:rPr>
              <w:t>10～50亿元</w:t>
            </w:r>
          </w:p>
        </w:tc>
        <w:tc>
          <w:tcPr>
            <w:tcW w:w="1841" w:type="dxa"/>
          </w:tcPr>
          <w:p>
            <w:pPr>
              <w:pStyle w:val="28"/>
              <w:pageBreakBefore w:val="0"/>
              <w:kinsoku/>
              <w:wordWrap/>
              <w:overflowPunct/>
              <w:topLinePunct w:val="0"/>
              <w:bidi w:val="0"/>
              <w:spacing w:after="0" w:line="288" w:lineRule="auto"/>
              <w:ind w:left="25"/>
              <w:jc w:val="center"/>
              <w:rPr>
                <w:rFonts w:ascii="Arial" w:hAnsi="Arial" w:cs="Arial"/>
              </w:rPr>
            </w:pPr>
            <w:r>
              <w:rPr>
                <w:rFonts w:ascii="Arial" w:hAnsi="Arial" w:cs="Arial"/>
              </w:rPr>
              <w:t>0.008%</w:t>
            </w:r>
          </w:p>
        </w:tc>
        <w:tc>
          <w:tcPr>
            <w:tcW w:w="1992" w:type="dxa"/>
          </w:tcPr>
          <w:p>
            <w:pPr>
              <w:pStyle w:val="28"/>
              <w:pageBreakBefore w:val="0"/>
              <w:kinsoku/>
              <w:wordWrap/>
              <w:overflowPunct/>
              <w:topLinePunct w:val="0"/>
              <w:bidi w:val="0"/>
              <w:spacing w:after="0" w:line="288" w:lineRule="auto"/>
              <w:ind w:left="25"/>
              <w:jc w:val="center"/>
              <w:rPr>
                <w:rFonts w:ascii="Arial" w:hAnsi="Arial" w:cs="Arial"/>
              </w:rPr>
            </w:pPr>
            <w:r>
              <w:rPr>
                <w:rFonts w:ascii="Arial" w:hAnsi="Arial" w:cs="Arial"/>
              </w:rPr>
              <w:t>0.008%</w:t>
            </w:r>
          </w:p>
        </w:tc>
        <w:tc>
          <w:tcPr>
            <w:tcW w:w="2293" w:type="dxa"/>
          </w:tcPr>
          <w:p>
            <w:pPr>
              <w:pStyle w:val="28"/>
              <w:pageBreakBefore w:val="0"/>
              <w:kinsoku/>
              <w:wordWrap/>
              <w:overflowPunct/>
              <w:topLinePunct w:val="0"/>
              <w:bidi w:val="0"/>
              <w:spacing w:after="0" w:line="288" w:lineRule="auto"/>
              <w:ind w:left="25"/>
              <w:jc w:val="center"/>
              <w:rPr>
                <w:rFonts w:ascii="Arial" w:hAnsi="Arial" w:cs="Arial"/>
              </w:rPr>
            </w:pPr>
            <w:r>
              <w:rPr>
                <w:rFonts w:ascii="Arial" w:hAnsi="Arial" w:cs="Arial"/>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pPr>
              <w:pStyle w:val="28"/>
              <w:pageBreakBefore w:val="0"/>
              <w:kinsoku/>
              <w:wordWrap/>
              <w:overflowPunct/>
              <w:topLinePunct w:val="0"/>
              <w:bidi w:val="0"/>
              <w:spacing w:after="0" w:line="288" w:lineRule="auto"/>
              <w:ind w:left="25"/>
              <w:rPr>
                <w:rFonts w:ascii="Arial" w:hAnsi="Arial" w:cs="Arial"/>
              </w:rPr>
            </w:pPr>
            <w:r>
              <w:rPr>
                <w:rFonts w:ascii="Arial" w:hAnsi="Arial" w:cs="Arial"/>
              </w:rPr>
              <w:t>50～100亿元</w:t>
            </w:r>
          </w:p>
        </w:tc>
        <w:tc>
          <w:tcPr>
            <w:tcW w:w="1841" w:type="dxa"/>
          </w:tcPr>
          <w:p>
            <w:pPr>
              <w:pStyle w:val="28"/>
              <w:pageBreakBefore w:val="0"/>
              <w:kinsoku/>
              <w:wordWrap/>
              <w:overflowPunct/>
              <w:topLinePunct w:val="0"/>
              <w:bidi w:val="0"/>
              <w:spacing w:after="0" w:line="288" w:lineRule="auto"/>
              <w:ind w:left="25"/>
              <w:jc w:val="center"/>
              <w:rPr>
                <w:rFonts w:ascii="Arial" w:hAnsi="Arial" w:cs="Arial"/>
              </w:rPr>
            </w:pPr>
            <w:r>
              <w:rPr>
                <w:rFonts w:ascii="Arial" w:hAnsi="Arial" w:cs="Arial"/>
              </w:rPr>
              <w:t>0.006%</w:t>
            </w:r>
          </w:p>
        </w:tc>
        <w:tc>
          <w:tcPr>
            <w:tcW w:w="1992" w:type="dxa"/>
          </w:tcPr>
          <w:p>
            <w:pPr>
              <w:pStyle w:val="28"/>
              <w:pageBreakBefore w:val="0"/>
              <w:kinsoku/>
              <w:wordWrap/>
              <w:overflowPunct/>
              <w:topLinePunct w:val="0"/>
              <w:bidi w:val="0"/>
              <w:spacing w:after="0" w:line="288" w:lineRule="auto"/>
              <w:ind w:left="25"/>
              <w:jc w:val="center"/>
              <w:rPr>
                <w:rFonts w:ascii="Arial" w:hAnsi="Arial" w:cs="Arial"/>
              </w:rPr>
            </w:pPr>
            <w:r>
              <w:rPr>
                <w:rFonts w:ascii="Arial" w:hAnsi="Arial" w:cs="Arial"/>
              </w:rPr>
              <w:t>0.006%</w:t>
            </w:r>
          </w:p>
        </w:tc>
        <w:tc>
          <w:tcPr>
            <w:tcW w:w="2293" w:type="dxa"/>
          </w:tcPr>
          <w:p>
            <w:pPr>
              <w:pStyle w:val="28"/>
              <w:pageBreakBefore w:val="0"/>
              <w:kinsoku/>
              <w:wordWrap/>
              <w:overflowPunct/>
              <w:topLinePunct w:val="0"/>
              <w:bidi w:val="0"/>
              <w:spacing w:after="0" w:line="288" w:lineRule="auto"/>
              <w:ind w:left="25"/>
              <w:jc w:val="center"/>
              <w:rPr>
                <w:rFonts w:ascii="Arial" w:hAnsi="Arial" w:cs="Arial"/>
              </w:rPr>
            </w:pPr>
            <w:r>
              <w:rPr>
                <w:rFonts w:ascii="Arial" w:hAnsi="Arial" w:cs="Arial"/>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pPr>
              <w:pStyle w:val="28"/>
              <w:pageBreakBefore w:val="0"/>
              <w:kinsoku/>
              <w:wordWrap/>
              <w:overflowPunct/>
              <w:topLinePunct w:val="0"/>
              <w:bidi w:val="0"/>
              <w:spacing w:after="0" w:line="288" w:lineRule="auto"/>
              <w:ind w:left="25"/>
              <w:rPr>
                <w:rFonts w:ascii="Arial" w:hAnsi="Arial" w:cs="Arial"/>
              </w:rPr>
            </w:pPr>
            <w:r>
              <w:rPr>
                <w:rFonts w:ascii="Arial" w:hAnsi="Arial" w:cs="Arial"/>
              </w:rPr>
              <w:t>100亿以上</w:t>
            </w:r>
          </w:p>
        </w:tc>
        <w:tc>
          <w:tcPr>
            <w:tcW w:w="1841" w:type="dxa"/>
          </w:tcPr>
          <w:p>
            <w:pPr>
              <w:pStyle w:val="28"/>
              <w:pageBreakBefore w:val="0"/>
              <w:kinsoku/>
              <w:wordWrap/>
              <w:overflowPunct/>
              <w:topLinePunct w:val="0"/>
              <w:bidi w:val="0"/>
              <w:spacing w:after="0" w:line="288" w:lineRule="auto"/>
              <w:ind w:left="25"/>
              <w:jc w:val="center"/>
              <w:rPr>
                <w:rFonts w:ascii="Arial" w:hAnsi="Arial" w:cs="Arial"/>
              </w:rPr>
            </w:pPr>
            <w:r>
              <w:rPr>
                <w:rFonts w:ascii="Arial" w:hAnsi="Arial" w:cs="Arial"/>
              </w:rPr>
              <w:t>0.004%</w:t>
            </w:r>
          </w:p>
        </w:tc>
        <w:tc>
          <w:tcPr>
            <w:tcW w:w="1992" w:type="dxa"/>
          </w:tcPr>
          <w:p>
            <w:pPr>
              <w:pStyle w:val="28"/>
              <w:pageBreakBefore w:val="0"/>
              <w:kinsoku/>
              <w:wordWrap/>
              <w:overflowPunct/>
              <w:topLinePunct w:val="0"/>
              <w:bidi w:val="0"/>
              <w:spacing w:after="0" w:line="288" w:lineRule="auto"/>
              <w:ind w:left="25"/>
              <w:jc w:val="center"/>
              <w:rPr>
                <w:rFonts w:ascii="Arial" w:hAnsi="Arial" w:cs="Arial"/>
              </w:rPr>
            </w:pPr>
            <w:r>
              <w:rPr>
                <w:rFonts w:ascii="Arial" w:hAnsi="Arial" w:cs="Arial"/>
              </w:rPr>
              <w:t>0.004%</w:t>
            </w:r>
          </w:p>
        </w:tc>
        <w:tc>
          <w:tcPr>
            <w:tcW w:w="2293" w:type="dxa"/>
          </w:tcPr>
          <w:p>
            <w:pPr>
              <w:pStyle w:val="28"/>
              <w:pageBreakBefore w:val="0"/>
              <w:kinsoku/>
              <w:wordWrap/>
              <w:overflowPunct/>
              <w:topLinePunct w:val="0"/>
              <w:bidi w:val="0"/>
              <w:spacing w:after="0" w:line="288" w:lineRule="auto"/>
              <w:ind w:left="25"/>
              <w:jc w:val="center"/>
              <w:rPr>
                <w:rFonts w:ascii="Arial" w:hAnsi="Arial" w:cs="Arial"/>
              </w:rPr>
            </w:pPr>
            <w:r>
              <w:rPr>
                <w:rFonts w:ascii="Arial" w:hAnsi="Arial" w:cs="Arial"/>
              </w:rPr>
              <w:t>0.004%</w:t>
            </w:r>
          </w:p>
        </w:tc>
      </w:tr>
    </w:tbl>
    <w:p>
      <w:pPr>
        <w:pStyle w:val="28"/>
        <w:pageBreakBefore w:val="0"/>
        <w:kinsoku/>
        <w:wordWrap/>
        <w:overflowPunct/>
        <w:topLinePunct w:val="0"/>
        <w:bidi w:val="0"/>
        <w:spacing w:after="0" w:line="288" w:lineRule="auto"/>
        <w:ind w:left="25"/>
        <w:rPr>
          <w:rFonts w:ascii="Arial" w:hAnsi="Arial" w:cs="Arial"/>
        </w:rPr>
      </w:pPr>
      <w:r>
        <w:rPr>
          <w:rFonts w:ascii="Arial" w:hAnsi="Arial" w:cs="Arial"/>
        </w:rPr>
        <w:t>注：招标代理服务收费按差额定率累进法计算。</w:t>
      </w:r>
    </w:p>
    <w:p>
      <w:pPr>
        <w:pStyle w:val="28"/>
        <w:pageBreakBefore w:val="0"/>
        <w:kinsoku/>
        <w:wordWrap/>
        <w:overflowPunct/>
        <w:topLinePunct w:val="0"/>
        <w:bidi w:val="0"/>
        <w:snapToGrid w:val="0"/>
        <w:spacing w:after="0" w:line="288" w:lineRule="auto"/>
        <w:ind w:firstLine="420" w:firstLineChars="200"/>
        <w:rPr>
          <w:rFonts w:ascii="Arial" w:hAnsi="Arial" w:cs="Arial"/>
          <w:b/>
          <w:szCs w:val="24"/>
        </w:rPr>
      </w:pPr>
      <w:r>
        <w:rPr>
          <w:rFonts w:ascii="Arial" w:hAnsi="Arial" w:cs="Arial"/>
          <w:b/>
          <w:szCs w:val="24"/>
        </w:rPr>
        <w:t>37. 采购代理机构银行账户：</w:t>
      </w:r>
    </w:p>
    <w:p>
      <w:pPr>
        <w:pStyle w:val="28"/>
        <w:pageBreakBefore w:val="0"/>
        <w:kinsoku/>
        <w:wordWrap/>
        <w:overflowPunct/>
        <w:topLinePunct w:val="0"/>
        <w:bidi w:val="0"/>
        <w:snapToGrid w:val="0"/>
        <w:spacing w:after="0" w:line="288" w:lineRule="auto"/>
        <w:ind w:firstLine="420" w:firstLineChars="200"/>
        <w:rPr>
          <w:rFonts w:ascii="Arial" w:hAnsi="Arial" w:cs="Arial"/>
          <w:b/>
          <w:szCs w:val="24"/>
        </w:rPr>
      </w:pPr>
      <w:r>
        <w:rPr>
          <w:rFonts w:ascii="Arial" w:hAnsi="Arial" w:cs="Arial"/>
          <w:b/>
          <w:szCs w:val="24"/>
        </w:rPr>
        <w:t>公司名称：广西机电设备招标有限公司桂林七星分公司</w:t>
      </w:r>
    </w:p>
    <w:p>
      <w:pPr>
        <w:pStyle w:val="28"/>
        <w:pageBreakBefore w:val="0"/>
        <w:kinsoku/>
        <w:wordWrap/>
        <w:overflowPunct/>
        <w:topLinePunct w:val="0"/>
        <w:bidi w:val="0"/>
        <w:snapToGrid w:val="0"/>
        <w:spacing w:after="0" w:line="288" w:lineRule="auto"/>
        <w:ind w:firstLine="420" w:firstLineChars="200"/>
        <w:rPr>
          <w:rFonts w:ascii="Arial" w:hAnsi="Arial" w:cs="Arial"/>
          <w:b/>
          <w:szCs w:val="24"/>
        </w:rPr>
      </w:pPr>
      <w:r>
        <w:rPr>
          <w:rFonts w:ascii="Arial" w:hAnsi="Arial" w:cs="Arial"/>
          <w:b/>
          <w:szCs w:val="24"/>
        </w:rPr>
        <w:t>开户银行：交通银行桂林高新支行</w:t>
      </w:r>
    </w:p>
    <w:p>
      <w:pPr>
        <w:pStyle w:val="28"/>
        <w:pageBreakBefore w:val="0"/>
        <w:kinsoku/>
        <w:wordWrap/>
        <w:overflowPunct/>
        <w:topLinePunct w:val="0"/>
        <w:bidi w:val="0"/>
        <w:snapToGrid w:val="0"/>
        <w:spacing w:after="0" w:line="288" w:lineRule="auto"/>
        <w:ind w:firstLine="420" w:firstLineChars="200"/>
        <w:rPr>
          <w:rFonts w:ascii="Arial" w:hAnsi="Arial" w:cs="Arial"/>
          <w:b/>
          <w:szCs w:val="24"/>
        </w:rPr>
      </w:pPr>
      <w:r>
        <w:rPr>
          <w:rFonts w:ascii="Arial" w:hAnsi="Arial" w:cs="Arial"/>
          <w:b/>
          <w:szCs w:val="24"/>
        </w:rPr>
        <w:t xml:space="preserve">银行账号：453060811013000380456  </w:t>
      </w:r>
    </w:p>
    <w:p>
      <w:pPr>
        <w:pStyle w:val="28"/>
        <w:pageBreakBefore w:val="0"/>
        <w:kinsoku/>
        <w:wordWrap/>
        <w:overflowPunct/>
        <w:topLinePunct w:val="0"/>
        <w:bidi w:val="0"/>
        <w:snapToGrid w:val="0"/>
        <w:spacing w:after="0" w:line="288" w:lineRule="auto"/>
        <w:ind w:firstLine="420" w:firstLineChars="200"/>
        <w:rPr>
          <w:rFonts w:ascii="Arial" w:hAnsi="Arial" w:cs="Arial"/>
        </w:rPr>
      </w:pPr>
      <w:r>
        <w:rPr>
          <w:rFonts w:ascii="Arial" w:hAnsi="Arial" w:cs="Arial"/>
          <w:b/>
        </w:rPr>
        <w:t>38. 解释权：</w:t>
      </w:r>
      <w:r>
        <w:rPr>
          <w:rFonts w:ascii="Arial" w:hAnsi="Arial" w:cs="Arial"/>
        </w:rPr>
        <w:t>本招标文件是</w:t>
      </w:r>
      <w:r>
        <w:rPr>
          <w:rFonts w:ascii="Arial" w:hAnsi="Arial" w:cs="Arial"/>
          <w:sz w:val="22"/>
          <w:szCs w:val="22"/>
        </w:rPr>
        <w:t>根据《中华人民共和国政府采购法》、《中华人民共和国政府采购法实施条例》及</w:t>
      </w:r>
      <w:r>
        <w:rPr>
          <w:rFonts w:ascii="Arial" w:hAnsi="Arial" w:cs="Arial"/>
          <w:bCs/>
        </w:rPr>
        <w:t>财政部令第87号</w:t>
      </w:r>
      <w:r>
        <w:rPr>
          <w:rFonts w:ascii="Arial" w:hAnsi="Arial" w:cs="Arial"/>
          <w:sz w:val="22"/>
          <w:szCs w:val="22"/>
        </w:rPr>
        <w:t>《政府采购货物和服务招标投标管理办法》和政府采购管理有关规定编制，本招标文件的解释权属于采购代理机构。</w:t>
      </w:r>
    </w:p>
    <w:p>
      <w:pPr>
        <w:pStyle w:val="28"/>
        <w:pageBreakBefore w:val="0"/>
        <w:kinsoku/>
        <w:wordWrap/>
        <w:overflowPunct/>
        <w:topLinePunct w:val="0"/>
        <w:bidi w:val="0"/>
        <w:snapToGrid w:val="0"/>
        <w:spacing w:after="0" w:line="288" w:lineRule="auto"/>
        <w:ind w:firstLine="420" w:firstLineChars="200"/>
        <w:rPr>
          <w:rFonts w:ascii="Arial" w:hAnsi="Arial" w:cs="Arial"/>
          <w:szCs w:val="21"/>
          <w:highlight w:val="none"/>
        </w:rPr>
      </w:pPr>
      <w:r>
        <w:rPr>
          <w:rFonts w:ascii="Arial" w:hAnsi="Arial" w:cs="Arial"/>
          <w:b/>
        </w:rPr>
        <w:t>39.</w:t>
      </w:r>
      <w:r>
        <w:rPr>
          <w:rFonts w:ascii="Arial" w:hAnsi="Arial" w:cs="Arial"/>
          <w:b/>
          <w:szCs w:val="21"/>
        </w:rPr>
        <w:t>监督管理机构</w:t>
      </w:r>
      <w:r>
        <w:rPr>
          <w:rFonts w:ascii="Arial" w:hAnsi="Arial" w:cs="Arial"/>
          <w:b/>
          <w:szCs w:val="21"/>
          <w:highlight w:val="none"/>
        </w:rPr>
        <w:t>：</w:t>
      </w:r>
      <w:r>
        <w:rPr>
          <w:rFonts w:hint="eastAsia" w:ascii="Arial" w:hAnsi="Arial" w:cs="Arial"/>
          <w:b/>
          <w:szCs w:val="21"/>
          <w:highlight w:val="none"/>
        </w:rPr>
        <w:t>兴安县财政局； 联系电话：0773-6220651</w:t>
      </w:r>
    </w:p>
    <w:p>
      <w:pPr>
        <w:pStyle w:val="28"/>
        <w:pageBreakBefore w:val="0"/>
        <w:kinsoku/>
        <w:wordWrap/>
        <w:overflowPunct/>
        <w:topLinePunct w:val="0"/>
        <w:bidi w:val="0"/>
        <w:snapToGrid w:val="0"/>
        <w:spacing w:after="0" w:line="288" w:lineRule="auto"/>
        <w:rPr>
          <w:rFonts w:ascii="Arial" w:hAnsi="Arial" w:cs="Arial"/>
          <w:b/>
          <w:sz w:val="24"/>
          <w:szCs w:val="24"/>
        </w:rPr>
      </w:pPr>
      <w:r>
        <w:rPr>
          <w:rFonts w:ascii="Arial" w:hAnsi="Arial" w:cs="Arial"/>
          <w:b/>
          <w:sz w:val="32"/>
          <w:szCs w:val="32"/>
        </w:rPr>
        <w:br w:type="page"/>
      </w:r>
      <w:r>
        <w:rPr>
          <w:rFonts w:ascii="Arial" w:hAnsi="Arial" w:cs="Arial"/>
          <w:b/>
          <w:sz w:val="24"/>
          <w:szCs w:val="24"/>
        </w:rPr>
        <w:t>附表1：</w:t>
      </w:r>
    </w:p>
    <w:p>
      <w:pPr>
        <w:pageBreakBefore w:val="0"/>
        <w:kinsoku/>
        <w:wordWrap/>
        <w:overflowPunct/>
        <w:topLinePunct w:val="0"/>
        <w:bidi w:val="0"/>
        <w:spacing w:after="0" w:line="288" w:lineRule="auto"/>
        <w:jc w:val="center"/>
        <w:rPr>
          <w:rFonts w:ascii="Arial" w:hAnsi="Arial" w:cs="Arial"/>
          <w:sz w:val="44"/>
        </w:rPr>
      </w:pPr>
      <w:r>
        <w:rPr>
          <w:rFonts w:ascii="Arial" w:hAnsi="Arial" w:cs="Arial"/>
          <w:sz w:val="44"/>
        </w:rPr>
        <w:t>质疑函（格式）</w:t>
      </w:r>
    </w:p>
    <w:p>
      <w:pPr>
        <w:pStyle w:val="28"/>
        <w:pageBreakBefore w:val="0"/>
        <w:kinsoku/>
        <w:wordWrap/>
        <w:overflowPunct/>
        <w:topLinePunct w:val="0"/>
        <w:bidi w:val="0"/>
        <w:snapToGrid w:val="0"/>
        <w:spacing w:after="0" w:line="288" w:lineRule="auto"/>
        <w:ind w:firstLine="420" w:firstLineChars="200"/>
        <w:rPr>
          <w:rFonts w:ascii="Arial" w:hAnsi="Arial" w:cs="Arial"/>
          <w:b/>
          <w:bCs/>
        </w:rPr>
      </w:pPr>
      <w:r>
        <w:rPr>
          <w:rFonts w:ascii="Arial" w:hAnsi="Arial" w:cs="Arial"/>
          <w:b/>
          <w:bCs/>
        </w:rPr>
        <w:t>一、质疑供应商基本信息：</w:t>
      </w:r>
    </w:p>
    <w:p>
      <w:pPr>
        <w:pStyle w:val="28"/>
        <w:pageBreakBefore w:val="0"/>
        <w:kinsoku/>
        <w:wordWrap/>
        <w:overflowPunct/>
        <w:topLinePunct w:val="0"/>
        <w:bidi w:val="0"/>
        <w:snapToGrid w:val="0"/>
        <w:spacing w:after="0" w:line="288" w:lineRule="auto"/>
        <w:ind w:firstLine="420" w:firstLineChars="200"/>
        <w:rPr>
          <w:rFonts w:ascii="Arial" w:hAnsi="Arial" w:cs="Arial"/>
          <w:bCs/>
          <w:u w:val="single"/>
        </w:rPr>
      </w:pPr>
      <w:r>
        <w:rPr>
          <w:rFonts w:ascii="Arial" w:hAnsi="Arial" w:cs="Arial"/>
          <w:bCs/>
        </w:rPr>
        <w:t>质疑供应商：</w:t>
      </w:r>
    </w:p>
    <w:p>
      <w:pPr>
        <w:pStyle w:val="28"/>
        <w:pageBreakBefore w:val="0"/>
        <w:kinsoku/>
        <w:wordWrap/>
        <w:overflowPunct/>
        <w:topLinePunct w:val="0"/>
        <w:bidi w:val="0"/>
        <w:snapToGrid w:val="0"/>
        <w:spacing w:after="0" w:line="288" w:lineRule="auto"/>
        <w:ind w:firstLine="420" w:firstLineChars="200"/>
        <w:rPr>
          <w:rFonts w:ascii="Arial" w:hAnsi="Arial" w:cs="Arial"/>
          <w:bCs/>
        </w:rPr>
      </w:pPr>
      <w:r>
        <w:rPr>
          <w:rFonts w:ascii="Arial" w:hAnsi="Arial" w:cs="Arial"/>
          <w:bCs/>
        </w:rPr>
        <w:t>地址：邮编：</w:t>
      </w:r>
    </w:p>
    <w:p>
      <w:pPr>
        <w:pStyle w:val="28"/>
        <w:pageBreakBefore w:val="0"/>
        <w:kinsoku/>
        <w:wordWrap/>
        <w:overflowPunct/>
        <w:topLinePunct w:val="0"/>
        <w:bidi w:val="0"/>
        <w:snapToGrid w:val="0"/>
        <w:spacing w:after="0" w:line="288" w:lineRule="auto"/>
        <w:ind w:firstLine="420" w:firstLineChars="200"/>
        <w:rPr>
          <w:rFonts w:ascii="Arial" w:hAnsi="Arial" w:cs="Arial"/>
          <w:bCs/>
        </w:rPr>
      </w:pPr>
      <w:r>
        <w:rPr>
          <w:rFonts w:ascii="Arial" w:hAnsi="Arial" w:cs="Arial"/>
          <w:bCs/>
        </w:rPr>
        <w:t>联系人：联系电话：</w:t>
      </w:r>
    </w:p>
    <w:p>
      <w:pPr>
        <w:pStyle w:val="28"/>
        <w:pageBreakBefore w:val="0"/>
        <w:kinsoku/>
        <w:wordWrap/>
        <w:overflowPunct/>
        <w:topLinePunct w:val="0"/>
        <w:bidi w:val="0"/>
        <w:snapToGrid w:val="0"/>
        <w:spacing w:after="0" w:line="288" w:lineRule="auto"/>
        <w:ind w:firstLine="420" w:firstLineChars="200"/>
        <w:rPr>
          <w:rFonts w:ascii="Arial" w:hAnsi="Arial" w:cs="Arial"/>
          <w:bCs/>
        </w:rPr>
      </w:pPr>
      <w:r>
        <w:rPr>
          <w:rFonts w:ascii="Arial" w:hAnsi="Arial" w:cs="Arial"/>
          <w:bCs/>
        </w:rPr>
        <w:t>授权代表：</w:t>
      </w:r>
    </w:p>
    <w:p>
      <w:pPr>
        <w:pStyle w:val="28"/>
        <w:pageBreakBefore w:val="0"/>
        <w:kinsoku/>
        <w:wordWrap/>
        <w:overflowPunct/>
        <w:topLinePunct w:val="0"/>
        <w:bidi w:val="0"/>
        <w:snapToGrid w:val="0"/>
        <w:spacing w:after="0" w:line="288" w:lineRule="auto"/>
        <w:ind w:firstLine="420" w:firstLineChars="200"/>
        <w:rPr>
          <w:rFonts w:ascii="Arial" w:hAnsi="Arial" w:cs="Arial"/>
          <w:bCs/>
          <w:u w:val="single"/>
        </w:rPr>
      </w:pPr>
      <w:r>
        <w:rPr>
          <w:rFonts w:ascii="Arial" w:hAnsi="Arial" w:cs="Arial"/>
          <w:bCs/>
        </w:rPr>
        <w:t>联系电话：</w:t>
      </w:r>
    </w:p>
    <w:p>
      <w:pPr>
        <w:pStyle w:val="28"/>
        <w:pageBreakBefore w:val="0"/>
        <w:kinsoku/>
        <w:wordWrap/>
        <w:overflowPunct/>
        <w:topLinePunct w:val="0"/>
        <w:bidi w:val="0"/>
        <w:snapToGrid w:val="0"/>
        <w:spacing w:after="0" w:line="288" w:lineRule="auto"/>
        <w:ind w:firstLine="420" w:firstLineChars="200"/>
        <w:rPr>
          <w:rFonts w:ascii="Arial" w:hAnsi="Arial" w:cs="Arial"/>
          <w:bCs/>
        </w:rPr>
      </w:pPr>
      <w:r>
        <w:rPr>
          <w:rFonts w:ascii="Arial" w:hAnsi="Arial" w:cs="Arial"/>
          <w:bCs/>
        </w:rPr>
        <w:t>地址：邮编：</w:t>
      </w:r>
    </w:p>
    <w:p>
      <w:pPr>
        <w:pStyle w:val="28"/>
        <w:pageBreakBefore w:val="0"/>
        <w:kinsoku/>
        <w:wordWrap/>
        <w:overflowPunct/>
        <w:topLinePunct w:val="0"/>
        <w:bidi w:val="0"/>
        <w:snapToGrid w:val="0"/>
        <w:spacing w:after="0" w:line="288" w:lineRule="auto"/>
        <w:ind w:firstLine="420" w:firstLineChars="200"/>
        <w:rPr>
          <w:rFonts w:ascii="Arial" w:hAnsi="Arial" w:cs="Arial"/>
          <w:b/>
          <w:bCs/>
        </w:rPr>
      </w:pPr>
      <w:r>
        <w:rPr>
          <w:rFonts w:ascii="Arial" w:hAnsi="Arial" w:cs="Arial"/>
          <w:b/>
          <w:bCs/>
        </w:rPr>
        <w:t>二、质疑项目基本情况：</w:t>
      </w:r>
    </w:p>
    <w:p>
      <w:pPr>
        <w:pStyle w:val="28"/>
        <w:pageBreakBefore w:val="0"/>
        <w:kinsoku/>
        <w:wordWrap/>
        <w:overflowPunct/>
        <w:topLinePunct w:val="0"/>
        <w:bidi w:val="0"/>
        <w:spacing w:after="0" w:line="288" w:lineRule="auto"/>
        <w:ind w:left="25" w:leftChars="12" w:firstLine="413" w:firstLineChars="197"/>
        <w:rPr>
          <w:rFonts w:ascii="Arial" w:hAnsi="Arial" w:cs="Arial"/>
          <w:szCs w:val="21"/>
        </w:rPr>
      </w:pPr>
      <w:r>
        <w:rPr>
          <w:rFonts w:ascii="Arial" w:hAnsi="Arial" w:cs="Arial"/>
          <w:bCs/>
        </w:rPr>
        <w:t>质疑</w:t>
      </w:r>
      <w:r>
        <w:rPr>
          <w:rFonts w:ascii="Arial" w:hAnsi="Arial" w:cs="Arial"/>
          <w:szCs w:val="21"/>
        </w:rPr>
        <w:t>项目的名称：</w:t>
      </w:r>
    </w:p>
    <w:p>
      <w:pPr>
        <w:pStyle w:val="28"/>
        <w:pageBreakBefore w:val="0"/>
        <w:kinsoku/>
        <w:wordWrap/>
        <w:overflowPunct/>
        <w:topLinePunct w:val="0"/>
        <w:bidi w:val="0"/>
        <w:spacing w:after="0" w:line="288" w:lineRule="auto"/>
        <w:ind w:left="25" w:leftChars="12" w:firstLine="413" w:firstLineChars="197"/>
        <w:rPr>
          <w:rFonts w:ascii="Arial" w:hAnsi="Arial" w:cs="Arial"/>
          <w:szCs w:val="21"/>
        </w:rPr>
      </w:pPr>
      <w:r>
        <w:rPr>
          <w:rFonts w:ascii="Arial" w:hAnsi="Arial" w:cs="Arial"/>
          <w:bCs/>
        </w:rPr>
        <w:t>质疑</w:t>
      </w:r>
      <w:r>
        <w:rPr>
          <w:rFonts w:ascii="Arial" w:hAnsi="Arial" w:cs="Arial"/>
          <w:szCs w:val="21"/>
        </w:rPr>
        <w:t>项目的编号：</w:t>
      </w:r>
    </w:p>
    <w:p>
      <w:pPr>
        <w:pStyle w:val="28"/>
        <w:pageBreakBefore w:val="0"/>
        <w:kinsoku/>
        <w:wordWrap/>
        <w:overflowPunct/>
        <w:topLinePunct w:val="0"/>
        <w:bidi w:val="0"/>
        <w:spacing w:after="0" w:line="288" w:lineRule="auto"/>
        <w:ind w:left="25" w:leftChars="12" w:firstLine="413" w:firstLineChars="197"/>
        <w:rPr>
          <w:rFonts w:ascii="Arial" w:hAnsi="Arial" w:cs="Arial"/>
          <w:szCs w:val="21"/>
        </w:rPr>
      </w:pPr>
      <w:r>
        <w:rPr>
          <w:rFonts w:ascii="Arial" w:hAnsi="Arial" w:cs="Arial"/>
          <w:szCs w:val="21"/>
        </w:rPr>
        <w:t>采购人名称：</w:t>
      </w:r>
    </w:p>
    <w:p>
      <w:pPr>
        <w:pStyle w:val="28"/>
        <w:pageBreakBefore w:val="0"/>
        <w:kinsoku/>
        <w:wordWrap/>
        <w:overflowPunct/>
        <w:topLinePunct w:val="0"/>
        <w:bidi w:val="0"/>
        <w:spacing w:after="0" w:line="288" w:lineRule="auto"/>
        <w:ind w:left="25" w:leftChars="12" w:firstLine="413" w:firstLineChars="197"/>
        <w:rPr>
          <w:rFonts w:ascii="Arial" w:hAnsi="Arial" w:cs="Arial"/>
          <w:szCs w:val="21"/>
        </w:rPr>
      </w:pPr>
      <w:r>
        <w:rPr>
          <w:rFonts w:ascii="Arial" w:hAnsi="Arial" w:cs="Arial"/>
          <w:szCs w:val="21"/>
        </w:rPr>
        <w:t>质疑事项：</w:t>
      </w:r>
    </w:p>
    <w:p>
      <w:pPr>
        <w:pStyle w:val="28"/>
        <w:pageBreakBefore w:val="0"/>
        <w:kinsoku/>
        <w:wordWrap/>
        <w:overflowPunct/>
        <w:topLinePunct w:val="0"/>
        <w:bidi w:val="0"/>
        <w:spacing w:after="0" w:line="288" w:lineRule="auto"/>
        <w:ind w:left="25" w:leftChars="12" w:firstLine="441" w:firstLineChars="147"/>
        <w:rPr>
          <w:rFonts w:ascii="Arial" w:hAnsi="Arial" w:cs="Arial"/>
          <w:szCs w:val="21"/>
        </w:rPr>
      </w:pPr>
      <w:r>
        <w:rPr>
          <w:rFonts w:ascii="Arial" w:hAnsi="Arial" w:cs="Arial"/>
          <w:sz w:val="30"/>
          <w:szCs w:val="30"/>
        </w:rPr>
        <w:t>□</w:t>
      </w:r>
      <w:r>
        <w:rPr>
          <w:rFonts w:ascii="Arial" w:hAnsi="Arial" w:cs="Arial"/>
          <w:szCs w:val="21"/>
        </w:rPr>
        <w:t>采购文件   采购文件获取日期：</w:t>
      </w:r>
    </w:p>
    <w:p>
      <w:pPr>
        <w:pStyle w:val="28"/>
        <w:pageBreakBefore w:val="0"/>
        <w:kinsoku/>
        <w:wordWrap/>
        <w:overflowPunct/>
        <w:topLinePunct w:val="0"/>
        <w:bidi w:val="0"/>
        <w:spacing w:after="0" w:line="288" w:lineRule="auto"/>
        <w:ind w:left="25" w:leftChars="12" w:firstLine="441" w:firstLineChars="147"/>
        <w:rPr>
          <w:rFonts w:ascii="Arial" w:hAnsi="Arial" w:cs="Arial"/>
          <w:szCs w:val="21"/>
        </w:rPr>
      </w:pPr>
      <w:r>
        <w:rPr>
          <w:rFonts w:ascii="Arial" w:hAnsi="Arial" w:cs="Arial"/>
          <w:sz w:val="30"/>
          <w:szCs w:val="30"/>
        </w:rPr>
        <w:t>□</w:t>
      </w:r>
      <w:r>
        <w:rPr>
          <w:rFonts w:ascii="Arial" w:hAnsi="Arial" w:cs="Arial"/>
          <w:szCs w:val="21"/>
        </w:rPr>
        <w:t xml:space="preserve">采购过程   </w:t>
      </w:r>
    </w:p>
    <w:p>
      <w:pPr>
        <w:pStyle w:val="28"/>
        <w:pageBreakBefore w:val="0"/>
        <w:kinsoku/>
        <w:wordWrap/>
        <w:overflowPunct/>
        <w:topLinePunct w:val="0"/>
        <w:bidi w:val="0"/>
        <w:spacing w:after="0" w:line="288" w:lineRule="auto"/>
        <w:ind w:left="25" w:leftChars="12" w:firstLine="441" w:firstLineChars="147"/>
        <w:rPr>
          <w:rFonts w:ascii="Arial" w:hAnsi="Arial" w:cs="Arial"/>
          <w:bCs/>
          <w:u w:val="single"/>
        </w:rPr>
      </w:pPr>
      <w:r>
        <w:rPr>
          <w:rFonts w:ascii="Arial" w:hAnsi="Arial" w:cs="Arial"/>
          <w:sz w:val="30"/>
          <w:szCs w:val="30"/>
        </w:rPr>
        <w:t>□</w:t>
      </w:r>
      <w:r>
        <w:rPr>
          <w:rFonts w:ascii="Arial" w:hAnsi="Arial" w:cs="Arial"/>
          <w:szCs w:val="21"/>
        </w:rPr>
        <w:t xml:space="preserve">成交结果   </w:t>
      </w:r>
    </w:p>
    <w:p>
      <w:pPr>
        <w:pStyle w:val="28"/>
        <w:pageBreakBefore w:val="0"/>
        <w:kinsoku/>
        <w:wordWrap/>
        <w:overflowPunct/>
        <w:topLinePunct w:val="0"/>
        <w:bidi w:val="0"/>
        <w:spacing w:after="0" w:line="288" w:lineRule="auto"/>
        <w:ind w:left="25" w:leftChars="12" w:firstLine="411" w:firstLineChars="196"/>
        <w:rPr>
          <w:rFonts w:ascii="Arial" w:hAnsi="Arial" w:cs="Arial"/>
          <w:b/>
          <w:szCs w:val="21"/>
        </w:rPr>
      </w:pPr>
      <w:r>
        <w:rPr>
          <w:rFonts w:ascii="Arial" w:hAnsi="Arial" w:cs="Arial"/>
          <w:b/>
          <w:szCs w:val="21"/>
        </w:rPr>
        <w:t>三、质疑事项具体内容</w:t>
      </w:r>
    </w:p>
    <w:p>
      <w:pPr>
        <w:pStyle w:val="28"/>
        <w:pageBreakBefore w:val="0"/>
        <w:kinsoku/>
        <w:wordWrap/>
        <w:overflowPunct/>
        <w:topLinePunct w:val="0"/>
        <w:bidi w:val="0"/>
        <w:spacing w:after="0" w:line="288" w:lineRule="auto"/>
        <w:ind w:left="25" w:leftChars="12" w:firstLine="413" w:firstLineChars="197"/>
        <w:rPr>
          <w:rFonts w:ascii="Arial" w:hAnsi="Arial" w:cs="Arial"/>
          <w:szCs w:val="21"/>
        </w:rPr>
      </w:pPr>
      <w:r>
        <w:rPr>
          <w:rFonts w:ascii="Arial" w:hAnsi="Arial" w:cs="Arial"/>
          <w:szCs w:val="21"/>
        </w:rPr>
        <w:t>质疑事项1：</w:t>
      </w:r>
    </w:p>
    <w:p>
      <w:pPr>
        <w:pStyle w:val="28"/>
        <w:pageBreakBefore w:val="0"/>
        <w:kinsoku/>
        <w:wordWrap/>
        <w:overflowPunct/>
        <w:topLinePunct w:val="0"/>
        <w:bidi w:val="0"/>
        <w:spacing w:after="0" w:line="288" w:lineRule="auto"/>
        <w:ind w:left="25" w:leftChars="12" w:firstLine="413" w:firstLineChars="197"/>
        <w:rPr>
          <w:rFonts w:ascii="Arial" w:hAnsi="Arial" w:cs="Arial"/>
          <w:szCs w:val="21"/>
        </w:rPr>
      </w:pPr>
      <w:r>
        <w:rPr>
          <w:rFonts w:ascii="Arial" w:hAnsi="Arial" w:cs="Arial"/>
          <w:szCs w:val="21"/>
        </w:rPr>
        <w:t>事实依据：</w:t>
      </w:r>
    </w:p>
    <w:p>
      <w:pPr>
        <w:pStyle w:val="28"/>
        <w:pageBreakBefore w:val="0"/>
        <w:kinsoku/>
        <w:wordWrap/>
        <w:overflowPunct/>
        <w:topLinePunct w:val="0"/>
        <w:bidi w:val="0"/>
        <w:spacing w:after="0" w:line="288" w:lineRule="auto"/>
        <w:ind w:left="25" w:leftChars="12" w:firstLine="413" w:firstLineChars="197"/>
        <w:rPr>
          <w:rFonts w:ascii="Arial" w:hAnsi="Arial" w:cs="Arial"/>
          <w:szCs w:val="21"/>
        </w:rPr>
      </w:pPr>
      <w:r>
        <w:rPr>
          <w:rFonts w:ascii="Arial" w:hAnsi="Arial" w:cs="Arial"/>
          <w:szCs w:val="21"/>
        </w:rPr>
        <w:t>法律依据：</w:t>
      </w:r>
    </w:p>
    <w:p>
      <w:pPr>
        <w:pStyle w:val="28"/>
        <w:pageBreakBefore w:val="0"/>
        <w:kinsoku/>
        <w:wordWrap/>
        <w:overflowPunct/>
        <w:topLinePunct w:val="0"/>
        <w:bidi w:val="0"/>
        <w:spacing w:after="0" w:line="288" w:lineRule="auto"/>
        <w:ind w:left="25" w:leftChars="12" w:firstLine="413" w:firstLineChars="197"/>
        <w:rPr>
          <w:rFonts w:ascii="Arial" w:hAnsi="Arial" w:cs="Arial"/>
          <w:szCs w:val="21"/>
        </w:rPr>
      </w:pPr>
      <w:r>
        <w:rPr>
          <w:rFonts w:ascii="Arial" w:hAnsi="Arial" w:cs="Arial"/>
          <w:szCs w:val="21"/>
        </w:rPr>
        <w:t>质疑事项2</w:t>
      </w:r>
    </w:p>
    <w:p>
      <w:pPr>
        <w:pStyle w:val="28"/>
        <w:pageBreakBefore w:val="0"/>
        <w:kinsoku/>
        <w:wordWrap/>
        <w:overflowPunct/>
        <w:topLinePunct w:val="0"/>
        <w:bidi w:val="0"/>
        <w:spacing w:after="0" w:line="288" w:lineRule="auto"/>
        <w:ind w:left="25" w:leftChars="12" w:firstLine="413" w:firstLineChars="197"/>
        <w:rPr>
          <w:rFonts w:ascii="Arial" w:hAnsi="Arial" w:cs="Arial"/>
          <w:szCs w:val="21"/>
        </w:rPr>
      </w:pPr>
      <w:r>
        <w:rPr>
          <w:rFonts w:ascii="Arial" w:hAnsi="Arial" w:cs="Arial"/>
          <w:szCs w:val="21"/>
        </w:rPr>
        <w:t>……</w:t>
      </w:r>
    </w:p>
    <w:p>
      <w:pPr>
        <w:pStyle w:val="28"/>
        <w:pageBreakBefore w:val="0"/>
        <w:kinsoku/>
        <w:wordWrap/>
        <w:overflowPunct/>
        <w:topLinePunct w:val="0"/>
        <w:bidi w:val="0"/>
        <w:spacing w:after="0" w:line="288" w:lineRule="auto"/>
        <w:ind w:left="25" w:leftChars="12" w:firstLine="413" w:firstLineChars="197"/>
        <w:rPr>
          <w:rFonts w:ascii="Arial" w:hAnsi="Arial" w:cs="Arial"/>
          <w:szCs w:val="21"/>
        </w:rPr>
      </w:pPr>
      <w:r>
        <w:rPr>
          <w:rFonts w:ascii="Arial" w:hAnsi="Arial" w:cs="Arial"/>
          <w:szCs w:val="21"/>
        </w:rPr>
        <w:t>四、与质疑事项相关的质疑请求：</w:t>
      </w:r>
    </w:p>
    <w:p>
      <w:pPr>
        <w:pStyle w:val="28"/>
        <w:pageBreakBefore w:val="0"/>
        <w:kinsoku/>
        <w:wordWrap/>
        <w:overflowPunct/>
        <w:topLinePunct w:val="0"/>
        <w:bidi w:val="0"/>
        <w:spacing w:after="0" w:line="288" w:lineRule="auto"/>
        <w:ind w:left="25" w:leftChars="12" w:firstLine="413" w:firstLineChars="197"/>
        <w:rPr>
          <w:rFonts w:ascii="Arial" w:hAnsi="Arial" w:cs="Arial"/>
          <w:szCs w:val="21"/>
        </w:rPr>
      </w:pPr>
      <w:r>
        <w:rPr>
          <w:rFonts w:ascii="Arial" w:hAnsi="Arial" w:cs="Arial"/>
          <w:szCs w:val="21"/>
        </w:rPr>
        <w:t>请求：</w:t>
      </w:r>
    </w:p>
    <w:p>
      <w:pPr>
        <w:pStyle w:val="28"/>
        <w:pageBreakBefore w:val="0"/>
        <w:kinsoku/>
        <w:wordWrap/>
        <w:overflowPunct/>
        <w:topLinePunct w:val="0"/>
        <w:bidi w:val="0"/>
        <w:spacing w:after="0" w:line="288" w:lineRule="auto"/>
        <w:ind w:left="25" w:leftChars="12" w:firstLine="308" w:firstLineChars="147"/>
        <w:rPr>
          <w:rFonts w:ascii="Arial" w:hAnsi="Arial" w:cs="Arial"/>
          <w:szCs w:val="21"/>
        </w:rPr>
      </w:pPr>
    </w:p>
    <w:p>
      <w:pPr>
        <w:pStyle w:val="28"/>
        <w:pageBreakBefore w:val="0"/>
        <w:kinsoku/>
        <w:wordWrap/>
        <w:overflowPunct/>
        <w:topLinePunct w:val="0"/>
        <w:bidi w:val="0"/>
        <w:spacing w:after="0" w:line="288" w:lineRule="auto"/>
        <w:ind w:left="25" w:leftChars="12" w:firstLine="413" w:firstLineChars="197"/>
        <w:rPr>
          <w:rFonts w:ascii="Arial" w:hAnsi="Arial" w:cs="Arial"/>
          <w:szCs w:val="21"/>
        </w:rPr>
      </w:pPr>
      <w:r>
        <w:rPr>
          <w:rFonts w:ascii="Arial" w:hAnsi="Arial" w:cs="Arial"/>
          <w:szCs w:val="21"/>
        </w:rPr>
        <w:t>签字（签章）：                                       公章：</w:t>
      </w:r>
    </w:p>
    <w:p>
      <w:pPr>
        <w:pStyle w:val="28"/>
        <w:pageBreakBefore w:val="0"/>
        <w:kinsoku/>
        <w:wordWrap/>
        <w:overflowPunct/>
        <w:topLinePunct w:val="0"/>
        <w:bidi w:val="0"/>
        <w:spacing w:after="0" w:line="288" w:lineRule="auto"/>
        <w:ind w:left="25" w:leftChars="12" w:firstLine="308" w:firstLineChars="147"/>
        <w:rPr>
          <w:rFonts w:ascii="Arial" w:hAnsi="Arial" w:cs="Arial"/>
          <w:szCs w:val="21"/>
        </w:rPr>
      </w:pPr>
    </w:p>
    <w:p>
      <w:pPr>
        <w:pStyle w:val="28"/>
        <w:pageBreakBefore w:val="0"/>
        <w:kinsoku/>
        <w:wordWrap/>
        <w:overflowPunct/>
        <w:topLinePunct w:val="0"/>
        <w:bidi w:val="0"/>
        <w:spacing w:after="0" w:line="288" w:lineRule="auto"/>
        <w:ind w:left="25" w:leftChars="12" w:firstLine="413" w:firstLineChars="197"/>
        <w:rPr>
          <w:rFonts w:ascii="Arial" w:hAnsi="Arial" w:cs="Arial"/>
          <w:szCs w:val="21"/>
        </w:rPr>
      </w:pPr>
      <w:r>
        <w:rPr>
          <w:rFonts w:ascii="Arial" w:hAnsi="Arial" w:cs="Arial"/>
          <w:szCs w:val="21"/>
        </w:rPr>
        <w:t>日期：</w:t>
      </w:r>
    </w:p>
    <w:p>
      <w:pPr>
        <w:pStyle w:val="28"/>
        <w:pageBreakBefore w:val="0"/>
        <w:kinsoku/>
        <w:wordWrap/>
        <w:overflowPunct/>
        <w:topLinePunct w:val="0"/>
        <w:bidi w:val="0"/>
        <w:snapToGrid w:val="0"/>
        <w:spacing w:after="0" w:line="288" w:lineRule="auto"/>
        <w:rPr>
          <w:rFonts w:ascii="Arial" w:hAnsi="Arial" w:cs="Arial"/>
          <w:b/>
          <w:szCs w:val="21"/>
        </w:rPr>
      </w:pPr>
      <w:r>
        <w:rPr>
          <w:rFonts w:ascii="Arial" w:hAnsi="Arial" w:cs="Arial"/>
          <w:b/>
          <w:szCs w:val="21"/>
        </w:rPr>
        <w:t>说明：</w:t>
      </w:r>
    </w:p>
    <w:p>
      <w:pPr>
        <w:pStyle w:val="28"/>
        <w:pageBreakBefore w:val="0"/>
        <w:kinsoku/>
        <w:wordWrap/>
        <w:overflowPunct/>
        <w:topLinePunct w:val="0"/>
        <w:bidi w:val="0"/>
        <w:spacing w:after="0" w:line="288" w:lineRule="auto"/>
        <w:ind w:left="25" w:leftChars="12" w:firstLine="308" w:firstLineChars="147"/>
        <w:rPr>
          <w:rFonts w:ascii="Arial" w:hAnsi="Arial" w:cs="Arial"/>
          <w:b/>
          <w:bCs/>
        </w:rPr>
      </w:pPr>
      <w:r>
        <w:rPr>
          <w:rFonts w:ascii="Arial" w:hAnsi="Arial" w:cs="Arial"/>
          <w:b/>
          <w:szCs w:val="21"/>
        </w:rPr>
        <w:t>1.供应商提出质疑时，应提交质疑函和必要的证明材料</w:t>
      </w:r>
      <w:r>
        <w:rPr>
          <w:rFonts w:ascii="Arial" w:hAnsi="Arial" w:cs="Arial"/>
          <w:b/>
          <w:bCs/>
        </w:rPr>
        <w:t>。</w:t>
      </w:r>
    </w:p>
    <w:p>
      <w:pPr>
        <w:pStyle w:val="28"/>
        <w:pageBreakBefore w:val="0"/>
        <w:kinsoku/>
        <w:wordWrap/>
        <w:overflowPunct/>
        <w:topLinePunct w:val="0"/>
        <w:bidi w:val="0"/>
        <w:spacing w:after="0" w:line="288" w:lineRule="auto"/>
        <w:ind w:left="25" w:leftChars="12" w:firstLine="308" w:firstLineChars="147"/>
        <w:rPr>
          <w:rFonts w:ascii="Arial" w:hAnsi="Arial" w:cs="Arial"/>
          <w:b/>
          <w:szCs w:val="21"/>
        </w:rPr>
      </w:pPr>
      <w:r>
        <w:rPr>
          <w:rFonts w:ascii="Arial" w:hAnsi="Arial" w:cs="Arial"/>
          <w:b/>
          <w:szCs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28"/>
        <w:pageBreakBefore w:val="0"/>
        <w:kinsoku/>
        <w:wordWrap/>
        <w:overflowPunct/>
        <w:topLinePunct w:val="0"/>
        <w:bidi w:val="0"/>
        <w:spacing w:after="0" w:line="288" w:lineRule="auto"/>
        <w:ind w:left="25" w:leftChars="12" w:firstLine="308" w:firstLineChars="147"/>
        <w:rPr>
          <w:rFonts w:ascii="Arial" w:hAnsi="Arial" w:cs="Arial"/>
          <w:b/>
          <w:szCs w:val="21"/>
        </w:rPr>
      </w:pPr>
      <w:r>
        <w:rPr>
          <w:rFonts w:ascii="Arial" w:hAnsi="Arial" w:cs="Arial"/>
          <w:b/>
          <w:szCs w:val="21"/>
        </w:rPr>
        <w:t>3.质疑函的质疑事项应具体、明确，并有必要的事实依据和法律依据。</w:t>
      </w:r>
    </w:p>
    <w:p>
      <w:pPr>
        <w:pStyle w:val="28"/>
        <w:pageBreakBefore w:val="0"/>
        <w:kinsoku/>
        <w:wordWrap/>
        <w:overflowPunct/>
        <w:topLinePunct w:val="0"/>
        <w:bidi w:val="0"/>
        <w:spacing w:after="0" w:line="288" w:lineRule="auto"/>
        <w:ind w:left="25" w:leftChars="12" w:firstLine="308" w:firstLineChars="147"/>
        <w:rPr>
          <w:rFonts w:ascii="Arial" w:hAnsi="Arial" w:cs="Arial"/>
          <w:b/>
          <w:szCs w:val="21"/>
        </w:rPr>
      </w:pPr>
      <w:r>
        <w:rPr>
          <w:rFonts w:ascii="Arial" w:hAnsi="Arial" w:cs="Arial"/>
          <w:b/>
          <w:szCs w:val="21"/>
        </w:rPr>
        <w:t>4.质疑函的质疑请求应与质疑事项相关。</w:t>
      </w:r>
    </w:p>
    <w:p>
      <w:pPr>
        <w:pStyle w:val="28"/>
        <w:pageBreakBefore w:val="0"/>
        <w:kinsoku/>
        <w:wordWrap/>
        <w:overflowPunct/>
        <w:topLinePunct w:val="0"/>
        <w:bidi w:val="0"/>
        <w:spacing w:after="0" w:line="288" w:lineRule="auto"/>
        <w:ind w:left="25" w:leftChars="12" w:firstLine="308" w:firstLineChars="147"/>
        <w:rPr>
          <w:rFonts w:ascii="Arial" w:hAnsi="Arial" w:cs="Arial"/>
          <w:b/>
          <w:szCs w:val="21"/>
        </w:rPr>
      </w:pPr>
      <w:r>
        <w:rPr>
          <w:rFonts w:ascii="Arial" w:hAnsi="Arial" w:cs="Arial"/>
          <w:b/>
          <w:szCs w:val="21"/>
        </w:rPr>
        <w:t>5.质疑供应商为自然人的，质疑函应由本人签字；质疑供应商为法人或者其他组织的，质疑函应由法定代表人、主要负责人，或者其授权代表签字或者盖章，并加盖公章。</w:t>
      </w:r>
    </w:p>
    <w:p>
      <w:pPr>
        <w:pStyle w:val="28"/>
        <w:pageBreakBefore w:val="0"/>
        <w:kinsoku/>
        <w:wordWrap/>
        <w:overflowPunct/>
        <w:topLinePunct w:val="0"/>
        <w:bidi w:val="0"/>
        <w:spacing w:after="0" w:line="288" w:lineRule="auto"/>
        <w:ind w:left="25" w:leftChars="12" w:firstLine="308" w:firstLineChars="147"/>
        <w:rPr>
          <w:rFonts w:ascii="Arial" w:hAnsi="Arial" w:cs="Arial"/>
          <w:b/>
          <w:szCs w:val="21"/>
        </w:rPr>
      </w:pPr>
    </w:p>
    <w:p>
      <w:pPr>
        <w:pStyle w:val="28"/>
        <w:pageBreakBefore w:val="0"/>
        <w:kinsoku/>
        <w:wordWrap/>
        <w:overflowPunct/>
        <w:topLinePunct w:val="0"/>
        <w:bidi w:val="0"/>
        <w:snapToGrid w:val="0"/>
        <w:spacing w:after="0" w:line="288" w:lineRule="auto"/>
        <w:rPr>
          <w:rFonts w:ascii="Arial" w:hAnsi="Arial" w:cs="Arial"/>
          <w:b/>
          <w:sz w:val="24"/>
          <w:szCs w:val="24"/>
        </w:rPr>
      </w:pPr>
    </w:p>
    <w:p>
      <w:pPr>
        <w:pStyle w:val="28"/>
        <w:pageBreakBefore w:val="0"/>
        <w:kinsoku/>
        <w:wordWrap/>
        <w:overflowPunct/>
        <w:topLinePunct w:val="0"/>
        <w:bidi w:val="0"/>
        <w:snapToGrid w:val="0"/>
        <w:spacing w:after="0" w:line="288" w:lineRule="auto"/>
        <w:rPr>
          <w:rFonts w:ascii="Arial" w:hAnsi="Arial" w:cs="Arial"/>
          <w:b/>
          <w:sz w:val="24"/>
          <w:szCs w:val="24"/>
        </w:rPr>
      </w:pPr>
    </w:p>
    <w:p>
      <w:pPr>
        <w:pageBreakBefore w:val="0"/>
        <w:kinsoku/>
        <w:wordWrap/>
        <w:overflowPunct/>
        <w:topLinePunct w:val="0"/>
        <w:bidi w:val="0"/>
        <w:spacing w:after="0" w:line="288" w:lineRule="auto"/>
        <w:rPr>
          <w:rFonts w:ascii="Arial" w:hAnsi="Arial" w:cs="Arial"/>
          <w:b/>
          <w:sz w:val="24"/>
        </w:rPr>
      </w:pPr>
      <w:r>
        <w:rPr>
          <w:rFonts w:ascii="Arial" w:hAnsi="Arial" w:cs="Arial"/>
          <w:b/>
          <w:sz w:val="24"/>
        </w:rPr>
        <w:br w:type="page"/>
      </w:r>
    </w:p>
    <w:p>
      <w:pPr>
        <w:pStyle w:val="28"/>
        <w:pageBreakBefore w:val="0"/>
        <w:kinsoku/>
        <w:wordWrap/>
        <w:overflowPunct/>
        <w:topLinePunct w:val="0"/>
        <w:bidi w:val="0"/>
        <w:snapToGrid w:val="0"/>
        <w:spacing w:after="0" w:line="288" w:lineRule="auto"/>
        <w:rPr>
          <w:rFonts w:ascii="Arial" w:hAnsi="Arial" w:cs="Arial"/>
          <w:b/>
          <w:sz w:val="24"/>
          <w:szCs w:val="24"/>
        </w:rPr>
      </w:pPr>
      <w:r>
        <w:rPr>
          <w:rFonts w:ascii="Arial" w:hAnsi="Arial" w:cs="Arial"/>
          <w:b/>
          <w:sz w:val="24"/>
          <w:szCs w:val="24"/>
        </w:rPr>
        <w:t>附表2：</w:t>
      </w:r>
    </w:p>
    <w:p>
      <w:pPr>
        <w:pageBreakBefore w:val="0"/>
        <w:kinsoku/>
        <w:wordWrap/>
        <w:overflowPunct/>
        <w:topLinePunct w:val="0"/>
        <w:bidi w:val="0"/>
        <w:spacing w:after="0" w:line="288" w:lineRule="auto"/>
        <w:jc w:val="center"/>
        <w:rPr>
          <w:rFonts w:ascii="Arial" w:hAnsi="Arial" w:cs="Arial"/>
          <w:sz w:val="44"/>
        </w:rPr>
      </w:pPr>
      <w:r>
        <w:rPr>
          <w:rFonts w:ascii="Arial" w:hAnsi="Arial" w:cs="Arial"/>
          <w:sz w:val="44"/>
        </w:rPr>
        <w:t>投诉书（格式）</w:t>
      </w:r>
    </w:p>
    <w:p>
      <w:pPr>
        <w:pStyle w:val="28"/>
        <w:pageBreakBefore w:val="0"/>
        <w:kinsoku/>
        <w:wordWrap/>
        <w:overflowPunct/>
        <w:topLinePunct w:val="0"/>
        <w:bidi w:val="0"/>
        <w:snapToGrid w:val="0"/>
        <w:spacing w:after="0" w:line="288" w:lineRule="auto"/>
        <w:ind w:firstLine="420" w:firstLineChars="200"/>
        <w:rPr>
          <w:rFonts w:ascii="Arial" w:hAnsi="Arial" w:cs="Arial"/>
          <w:b/>
          <w:bCs/>
        </w:rPr>
      </w:pPr>
      <w:r>
        <w:rPr>
          <w:rFonts w:ascii="Arial" w:hAnsi="Arial" w:cs="Arial"/>
          <w:b/>
          <w:bCs/>
        </w:rPr>
        <w:t>一、投诉相关主体基本情况：</w:t>
      </w:r>
    </w:p>
    <w:p>
      <w:pPr>
        <w:pStyle w:val="28"/>
        <w:pageBreakBefore w:val="0"/>
        <w:kinsoku/>
        <w:wordWrap/>
        <w:overflowPunct/>
        <w:topLinePunct w:val="0"/>
        <w:bidi w:val="0"/>
        <w:snapToGrid w:val="0"/>
        <w:spacing w:after="0" w:line="288" w:lineRule="auto"/>
        <w:ind w:firstLine="420" w:firstLineChars="200"/>
        <w:rPr>
          <w:rFonts w:ascii="Arial" w:hAnsi="Arial" w:cs="Arial"/>
          <w:bCs/>
          <w:u w:val="single"/>
        </w:rPr>
      </w:pPr>
      <w:r>
        <w:rPr>
          <w:rFonts w:ascii="Arial" w:hAnsi="Arial" w:cs="Arial"/>
          <w:bCs/>
        </w:rPr>
        <w:t>投标人：</w:t>
      </w:r>
    </w:p>
    <w:p>
      <w:pPr>
        <w:pStyle w:val="28"/>
        <w:pageBreakBefore w:val="0"/>
        <w:kinsoku/>
        <w:wordWrap/>
        <w:overflowPunct/>
        <w:topLinePunct w:val="0"/>
        <w:bidi w:val="0"/>
        <w:snapToGrid w:val="0"/>
        <w:spacing w:after="0" w:line="288" w:lineRule="auto"/>
        <w:ind w:firstLine="420" w:firstLineChars="200"/>
        <w:rPr>
          <w:rFonts w:ascii="Arial" w:hAnsi="Arial" w:cs="Arial"/>
          <w:bCs/>
        </w:rPr>
      </w:pPr>
      <w:r>
        <w:rPr>
          <w:rFonts w:ascii="Arial" w:hAnsi="Arial" w:cs="Arial"/>
          <w:bCs/>
        </w:rPr>
        <w:t>地址：邮编：</w:t>
      </w:r>
    </w:p>
    <w:p>
      <w:pPr>
        <w:pStyle w:val="28"/>
        <w:pageBreakBefore w:val="0"/>
        <w:kinsoku/>
        <w:wordWrap/>
        <w:overflowPunct/>
        <w:topLinePunct w:val="0"/>
        <w:bidi w:val="0"/>
        <w:snapToGrid w:val="0"/>
        <w:spacing w:after="0" w:line="288" w:lineRule="auto"/>
        <w:ind w:firstLine="420" w:firstLineChars="200"/>
        <w:rPr>
          <w:rFonts w:ascii="Arial" w:hAnsi="Arial" w:cs="Arial"/>
          <w:bCs/>
          <w:u w:val="single"/>
        </w:rPr>
      </w:pPr>
      <w:r>
        <w:rPr>
          <w:rFonts w:ascii="Arial" w:hAnsi="Arial" w:cs="Arial"/>
          <w:bCs/>
        </w:rPr>
        <w:t>法定代表人/主要负责人：</w:t>
      </w:r>
    </w:p>
    <w:p>
      <w:pPr>
        <w:pStyle w:val="28"/>
        <w:pageBreakBefore w:val="0"/>
        <w:kinsoku/>
        <w:wordWrap/>
        <w:overflowPunct/>
        <w:topLinePunct w:val="0"/>
        <w:bidi w:val="0"/>
        <w:snapToGrid w:val="0"/>
        <w:spacing w:after="0" w:line="288" w:lineRule="auto"/>
        <w:ind w:firstLine="420" w:firstLineChars="200"/>
        <w:rPr>
          <w:rFonts w:ascii="Arial" w:hAnsi="Arial" w:cs="Arial"/>
          <w:bCs/>
        </w:rPr>
      </w:pPr>
      <w:r>
        <w:rPr>
          <w:rFonts w:ascii="Arial" w:hAnsi="Arial" w:cs="Arial"/>
          <w:bCs/>
        </w:rPr>
        <w:t>联系电话：</w:t>
      </w:r>
    </w:p>
    <w:p>
      <w:pPr>
        <w:pStyle w:val="28"/>
        <w:pageBreakBefore w:val="0"/>
        <w:kinsoku/>
        <w:wordWrap/>
        <w:overflowPunct/>
        <w:topLinePunct w:val="0"/>
        <w:bidi w:val="0"/>
        <w:snapToGrid w:val="0"/>
        <w:spacing w:after="0" w:line="288" w:lineRule="auto"/>
        <w:ind w:firstLine="420" w:firstLineChars="200"/>
        <w:rPr>
          <w:rFonts w:ascii="Arial" w:hAnsi="Arial" w:cs="Arial"/>
          <w:bCs/>
          <w:u w:val="single"/>
        </w:rPr>
      </w:pPr>
      <w:r>
        <w:rPr>
          <w:rFonts w:ascii="Arial" w:hAnsi="Arial" w:cs="Arial"/>
          <w:bCs/>
        </w:rPr>
        <w:t>授权代表：联系电话：</w:t>
      </w:r>
    </w:p>
    <w:p>
      <w:pPr>
        <w:pStyle w:val="28"/>
        <w:pageBreakBefore w:val="0"/>
        <w:kinsoku/>
        <w:wordWrap/>
        <w:overflowPunct/>
        <w:topLinePunct w:val="0"/>
        <w:bidi w:val="0"/>
        <w:snapToGrid w:val="0"/>
        <w:spacing w:after="0" w:line="288" w:lineRule="auto"/>
        <w:ind w:firstLine="420" w:firstLineChars="200"/>
        <w:rPr>
          <w:rFonts w:ascii="Arial" w:hAnsi="Arial" w:cs="Arial"/>
          <w:bCs/>
        </w:rPr>
      </w:pPr>
      <w:r>
        <w:rPr>
          <w:rFonts w:ascii="Arial" w:hAnsi="Arial" w:cs="Arial"/>
          <w:bCs/>
        </w:rPr>
        <w:t>地址：邮编：</w:t>
      </w:r>
    </w:p>
    <w:p>
      <w:pPr>
        <w:pStyle w:val="28"/>
        <w:pageBreakBefore w:val="0"/>
        <w:kinsoku/>
        <w:wordWrap/>
        <w:overflowPunct/>
        <w:topLinePunct w:val="0"/>
        <w:bidi w:val="0"/>
        <w:snapToGrid w:val="0"/>
        <w:spacing w:after="0" w:line="288" w:lineRule="auto"/>
        <w:ind w:firstLine="420" w:firstLineChars="200"/>
        <w:rPr>
          <w:rFonts w:ascii="Arial" w:hAnsi="Arial" w:cs="Arial"/>
          <w:bCs/>
        </w:rPr>
      </w:pPr>
      <w:r>
        <w:rPr>
          <w:rFonts w:ascii="Arial" w:hAnsi="Arial" w:cs="Arial"/>
          <w:bCs/>
        </w:rPr>
        <w:t>被投诉人1：</w:t>
      </w:r>
    </w:p>
    <w:p>
      <w:pPr>
        <w:pStyle w:val="28"/>
        <w:pageBreakBefore w:val="0"/>
        <w:kinsoku/>
        <w:wordWrap/>
        <w:overflowPunct/>
        <w:topLinePunct w:val="0"/>
        <w:bidi w:val="0"/>
        <w:snapToGrid w:val="0"/>
        <w:spacing w:after="0" w:line="288" w:lineRule="auto"/>
        <w:ind w:firstLine="420" w:firstLineChars="200"/>
        <w:rPr>
          <w:rFonts w:ascii="Arial" w:hAnsi="Arial" w:cs="Arial"/>
          <w:bCs/>
        </w:rPr>
      </w:pPr>
      <w:r>
        <w:rPr>
          <w:rFonts w:ascii="Arial" w:hAnsi="Arial" w:cs="Arial"/>
          <w:bCs/>
        </w:rPr>
        <w:t>地址：邮编：</w:t>
      </w:r>
    </w:p>
    <w:p>
      <w:pPr>
        <w:pStyle w:val="28"/>
        <w:pageBreakBefore w:val="0"/>
        <w:kinsoku/>
        <w:wordWrap/>
        <w:overflowPunct/>
        <w:topLinePunct w:val="0"/>
        <w:bidi w:val="0"/>
        <w:snapToGrid w:val="0"/>
        <w:spacing w:after="0" w:line="288" w:lineRule="auto"/>
        <w:ind w:firstLine="420" w:firstLineChars="200"/>
        <w:rPr>
          <w:rFonts w:ascii="Arial" w:hAnsi="Arial" w:cs="Arial"/>
          <w:bCs/>
          <w:u w:val="single"/>
        </w:rPr>
      </w:pPr>
      <w:r>
        <w:rPr>
          <w:rFonts w:ascii="Arial" w:hAnsi="Arial" w:cs="Arial"/>
          <w:bCs/>
        </w:rPr>
        <w:t>联系人：联系电话：</w:t>
      </w:r>
    </w:p>
    <w:p>
      <w:pPr>
        <w:pStyle w:val="28"/>
        <w:pageBreakBefore w:val="0"/>
        <w:kinsoku/>
        <w:wordWrap/>
        <w:overflowPunct/>
        <w:topLinePunct w:val="0"/>
        <w:bidi w:val="0"/>
        <w:snapToGrid w:val="0"/>
        <w:spacing w:after="0" w:line="288" w:lineRule="auto"/>
        <w:ind w:firstLine="420" w:firstLineChars="200"/>
        <w:rPr>
          <w:rFonts w:ascii="Arial" w:hAnsi="Arial" w:cs="Arial"/>
          <w:bCs/>
        </w:rPr>
      </w:pPr>
      <w:r>
        <w:rPr>
          <w:rFonts w:ascii="Arial" w:hAnsi="Arial" w:cs="Arial"/>
          <w:bCs/>
        </w:rPr>
        <w:t>被投诉人2：</w:t>
      </w:r>
    </w:p>
    <w:p>
      <w:pPr>
        <w:pStyle w:val="28"/>
        <w:pageBreakBefore w:val="0"/>
        <w:kinsoku/>
        <w:wordWrap/>
        <w:overflowPunct/>
        <w:topLinePunct w:val="0"/>
        <w:bidi w:val="0"/>
        <w:snapToGrid w:val="0"/>
        <w:spacing w:after="0" w:line="288" w:lineRule="auto"/>
        <w:ind w:firstLine="420" w:firstLineChars="200"/>
        <w:rPr>
          <w:rFonts w:ascii="Arial" w:hAnsi="Arial" w:cs="Arial"/>
          <w:bCs/>
        </w:rPr>
      </w:pPr>
      <w:r>
        <w:rPr>
          <w:rFonts w:ascii="Arial" w:hAnsi="Arial" w:cs="Arial"/>
          <w:bCs/>
        </w:rPr>
        <w:t>……</w:t>
      </w:r>
    </w:p>
    <w:p>
      <w:pPr>
        <w:pStyle w:val="28"/>
        <w:pageBreakBefore w:val="0"/>
        <w:kinsoku/>
        <w:wordWrap/>
        <w:overflowPunct/>
        <w:topLinePunct w:val="0"/>
        <w:bidi w:val="0"/>
        <w:snapToGrid w:val="0"/>
        <w:spacing w:after="0" w:line="288" w:lineRule="auto"/>
        <w:ind w:firstLine="420" w:firstLineChars="200"/>
        <w:rPr>
          <w:rFonts w:ascii="Arial" w:hAnsi="Arial" w:cs="Arial"/>
          <w:bCs/>
          <w:u w:val="single"/>
        </w:rPr>
      </w:pPr>
      <w:r>
        <w:rPr>
          <w:rFonts w:ascii="Arial" w:hAnsi="Arial" w:cs="Arial"/>
          <w:bCs/>
        </w:rPr>
        <w:t>相关供应商：</w:t>
      </w:r>
    </w:p>
    <w:p>
      <w:pPr>
        <w:pStyle w:val="28"/>
        <w:pageBreakBefore w:val="0"/>
        <w:kinsoku/>
        <w:wordWrap/>
        <w:overflowPunct/>
        <w:topLinePunct w:val="0"/>
        <w:bidi w:val="0"/>
        <w:snapToGrid w:val="0"/>
        <w:spacing w:after="0" w:line="288" w:lineRule="auto"/>
        <w:ind w:firstLine="420" w:firstLineChars="200"/>
        <w:rPr>
          <w:rFonts w:ascii="Arial" w:hAnsi="Arial" w:cs="Arial"/>
          <w:bCs/>
          <w:u w:val="single"/>
        </w:rPr>
      </w:pPr>
      <w:r>
        <w:rPr>
          <w:rFonts w:ascii="Arial" w:hAnsi="Arial" w:cs="Arial"/>
          <w:bCs/>
        </w:rPr>
        <w:t>地址：邮编：</w:t>
      </w:r>
    </w:p>
    <w:p>
      <w:pPr>
        <w:pStyle w:val="28"/>
        <w:pageBreakBefore w:val="0"/>
        <w:kinsoku/>
        <w:wordWrap/>
        <w:overflowPunct/>
        <w:topLinePunct w:val="0"/>
        <w:bidi w:val="0"/>
        <w:snapToGrid w:val="0"/>
        <w:spacing w:after="0" w:line="288" w:lineRule="auto"/>
        <w:ind w:firstLine="420" w:firstLineChars="200"/>
        <w:rPr>
          <w:rFonts w:ascii="Arial" w:hAnsi="Arial" w:cs="Arial"/>
          <w:bCs/>
        </w:rPr>
      </w:pPr>
      <w:r>
        <w:rPr>
          <w:rFonts w:ascii="Arial" w:hAnsi="Arial" w:cs="Arial"/>
          <w:bCs/>
        </w:rPr>
        <w:t>联系人：联系电话：</w:t>
      </w:r>
    </w:p>
    <w:p>
      <w:pPr>
        <w:pStyle w:val="28"/>
        <w:pageBreakBefore w:val="0"/>
        <w:kinsoku/>
        <w:wordWrap/>
        <w:overflowPunct/>
        <w:topLinePunct w:val="0"/>
        <w:bidi w:val="0"/>
        <w:snapToGrid w:val="0"/>
        <w:spacing w:after="0" w:line="288" w:lineRule="auto"/>
        <w:ind w:firstLine="420" w:firstLineChars="200"/>
        <w:rPr>
          <w:rFonts w:ascii="Arial" w:hAnsi="Arial" w:cs="Arial"/>
          <w:b/>
          <w:bCs/>
        </w:rPr>
      </w:pPr>
      <w:r>
        <w:rPr>
          <w:rFonts w:ascii="Arial" w:hAnsi="Arial" w:cs="Arial"/>
          <w:b/>
          <w:bCs/>
        </w:rPr>
        <w:t>二、投诉项目基本情况：</w:t>
      </w:r>
    </w:p>
    <w:p>
      <w:pPr>
        <w:pStyle w:val="28"/>
        <w:pageBreakBefore w:val="0"/>
        <w:kinsoku/>
        <w:wordWrap/>
        <w:overflowPunct/>
        <w:topLinePunct w:val="0"/>
        <w:bidi w:val="0"/>
        <w:spacing w:after="0" w:line="288" w:lineRule="auto"/>
        <w:ind w:left="25" w:leftChars="12" w:firstLine="413" w:firstLineChars="197"/>
        <w:rPr>
          <w:rFonts w:ascii="Arial" w:hAnsi="Arial" w:cs="Arial"/>
          <w:szCs w:val="21"/>
        </w:rPr>
      </w:pPr>
      <w:r>
        <w:rPr>
          <w:rFonts w:ascii="Arial" w:hAnsi="Arial" w:cs="Arial"/>
          <w:bCs/>
        </w:rPr>
        <w:t>采购</w:t>
      </w:r>
      <w:r>
        <w:rPr>
          <w:rFonts w:ascii="Arial" w:hAnsi="Arial" w:cs="Arial"/>
          <w:szCs w:val="21"/>
        </w:rPr>
        <w:t>项目的名称：</w:t>
      </w:r>
    </w:p>
    <w:p>
      <w:pPr>
        <w:pStyle w:val="28"/>
        <w:pageBreakBefore w:val="0"/>
        <w:kinsoku/>
        <w:wordWrap/>
        <w:overflowPunct/>
        <w:topLinePunct w:val="0"/>
        <w:bidi w:val="0"/>
        <w:spacing w:after="0" w:line="288" w:lineRule="auto"/>
        <w:ind w:left="25" w:leftChars="12" w:firstLine="413" w:firstLineChars="197"/>
        <w:rPr>
          <w:rFonts w:ascii="Arial" w:hAnsi="Arial" w:cs="Arial"/>
          <w:szCs w:val="21"/>
        </w:rPr>
      </w:pPr>
      <w:r>
        <w:rPr>
          <w:rFonts w:ascii="Arial" w:hAnsi="Arial" w:cs="Arial"/>
          <w:bCs/>
        </w:rPr>
        <w:t>采购</w:t>
      </w:r>
      <w:r>
        <w:rPr>
          <w:rFonts w:ascii="Arial" w:hAnsi="Arial" w:cs="Arial"/>
          <w:szCs w:val="21"/>
        </w:rPr>
        <w:t>项目的编号：</w:t>
      </w:r>
    </w:p>
    <w:p>
      <w:pPr>
        <w:pStyle w:val="28"/>
        <w:pageBreakBefore w:val="0"/>
        <w:kinsoku/>
        <w:wordWrap/>
        <w:overflowPunct/>
        <w:topLinePunct w:val="0"/>
        <w:bidi w:val="0"/>
        <w:spacing w:after="0" w:line="288" w:lineRule="auto"/>
        <w:ind w:left="25" w:leftChars="12" w:firstLine="413" w:firstLineChars="197"/>
        <w:rPr>
          <w:rFonts w:ascii="Arial" w:hAnsi="Arial" w:cs="Arial"/>
          <w:bCs/>
          <w:u w:val="single"/>
        </w:rPr>
      </w:pPr>
      <w:r>
        <w:rPr>
          <w:rFonts w:ascii="Arial" w:hAnsi="Arial" w:cs="Arial"/>
          <w:szCs w:val="21"/>
        </w:rPr>
        <w:t>采购人名称：</w:t>
      </w:r>
    </w:p>
    <w:p>
      <w:pPr>
        <w:pStyle w:val="28"/>
        <w:pageBreakBefore w:val="0"/>
        <w:kinsoku/>
        <w:wordWrap/>
        <w:overflowPunct/>
        <w:topLinePunct w:val="0"/>
        <w:bidi w:val="0"/>
        <w:spacing w:after="0" w:line="288" w:lineRule="auto"/>
        <w:ind w:left="25" w:leftChars="12" w:firstLine="413" w:firstLineChars="197"/>
        <w:rPr>
          <w:rFonts w:ascii="Arial" w:hAnsi="Arial" w:cs="Arial"/>
          <w:bCs/>
          <w:u w:val="single"/>
        </w:rPr>
      </w:pPr>
      <w:r>
        <w:rPr>
          <w:rFonts w:ascii="Arial" w:hAnsi="Arial" w:cs="Arial"/>
          <w:szCs w:val="21"/>
        </w:rPr>
        <w:t>代理机构名称：</w:t>
      </w:r>
    </w:p>
    <w:p>
      <w:pPr>
        <w:pStyle w:val="28"/>
        <w:pageBreakBefore w:val="0"/>
        <w:kinsoku/>
        <w:wordWrap/>
        <w:overflowPunct/>
        <w:topLinePunct w:val="0"/>
        <w:bidi w:val="0"/>
        <w:spacing w:after="0" w:line="288" w:lineRule="auto"/>
        <w:ind w:left="25" w:leftChars="12" w:firstLine="413" w:firstLineChars="197"/>
        <w:rPr>
          <w:rFonts w:ascii="Arial" w:hAnsi="Arial" w:cs="Arial"/>
          <w:bCs/>
          <w:u w:val="single"/>
        </w:rPr>
      </w:pPr>
      <w:r>
        <w:rPr>
          <w:rFonts w:ascii="Arial" w:hAnsi="Arial" w:cs="Arial"/>
          <w:bCs/>
        </w:rPr>
        <w:t>采购文件公告：</w:t>
      </w:r>
      <w:r>
        <w:rPr>
          <w:rFonts w:ascii="Arial" w:hAnsi="Arial" w:cs="Arial"/>
          <w:bCs/>
          <w:u w:val="single"/>
        </w:rPr>
        <w:t>是/否</w:t>
      </w:r>
      <w:r>
        <w:rPr>
          <w:rFonts w:ascii="Arial" w:hAnsi="Arial" w:cs="Arial"/>
          <w:bCs/>
        </w:rPr>
        <w:t>公告期限：</w:t>
      </w:r>
    </w:p>
    <w:p>
      <w:pPr>
        <w:pStyle w:val="28"/>
        <w:pageBreakBefore w:val="0"/>
        <w:kinsoku/>
        <w:wordWrap/>
        <w:overflowPunct/>
        <w:topLinePunct w:val="0"/>
        <w:bidi w:val="0"/>
        <w:spacing w:after="0" w:line="288" w:lineRule="auto"/>
        <w:ind w:left="25" w:leftChars="12" w:firstLine="413" w:firstLineChars="197"/>
        <w:rPr>
          <w:rFonts w:ascii="Arial" w:hAnsi="Arial" w:cs="Arial"/>
          <w:b/>
          <w:szCs w:val="21"/>
        </w:rPr>
      </w:pPr>
      <w:r>
        <w:rPr>
          <w:rFonts w:ascii="Arial" w:hAnsi="Arial" w:cs="Arial"/>
          <w:bCs/>
        </w:rPr>
        <w:t>采购结果公告：</w:t>
      </w:r>
      <w:r>
        <w:rPr>
          <w:rFonts w:ascii="Arial" w:hAnsi="Arial" w:cs="Arial"/>
          <w:bCs/>
          <w:u w:val="single"/>
        </w:rPr>
        <w:t>是/否</w:t>
      </w:r>
      <w:r>
        <w:rPr>
          <w:rFonts w:ascii="Arial" w:hAnsi="Arial" w:cs="Arial"/>
          <w:bCs/>
        </w:rPr>
        <w:t>公告期限：</w:t>
      </w:r>
    </w:p>
    <w:p>
      <w:pPr>
        <w:pStyle w:val="28"/>
        <w:pageBreakBefore w:val="0"/>
        <w:kinsoku/>
        <w:wordWrap/>
        <w:overflowPunct/>
        <w:topLinePunct w:val="0"/>
        <w:bidi w:val="0"/>
        <w:spacing w:after="0" w:line="288" w:lineRule="auto"/>
        <w:ind w:left="25" w:leftChars="12" w:firstLine="411" w:firstLineChars="196"/>
        <w:rPr>
          <w:rFonts w:ascii="Arial" w:hAnsi="Arial" w:cs="Arial"/>
          <w:b/>
          <w:szCs w:val="21"/>
        </w:rPr>
      </w:pPr>
      <w:r>
        <w:rPr>
          <w:rFonts w:ascii="Arial" w:hAnsi="Arial" w:cs="Arial"/>
          <w:b/>
          <w:szCs w:val="21"/>
        </w:rPr>
        <w:t>三、质疑基本情况</w:t>
      </w:r>
    </w:p>
    <w:p>
      <w:pPr>
        <w:pStyle w:val="28"/>
        <w:pageBreakBefore w:val="0"/>
        <w:kinsoku/>
        <w:wordWrap/>
        <w:overflowPunct/>
        <w:topLinePunct w:val="0"/>
        <w:bidi w:val="0"/>
        <w:spacing w:after="0" w:line="288" w:lineRule="auto"/>
        <w:ind w:left="25" w:leftChars="12" w:firstLine="833" w:firstLineChars="397"/>
        <w:rPr>
          <w:rFonts w:ascii="Arial" w:hAnsi="Arial" w:cs="Arial"/>
          <w:szCs w:val="21"/>
        </w:rPr>
      </w:pPr>
      <w:r>
        <w:rPr>
          <w:rFonts w:ascii="Arial" w:hAnsi="Arial" w:cs="Arial"/>
          <w:szCs w:val="21"/>
        </w:rPr>
        <w:t>投诉人于年月日，向提出质疑，质疑事项为：</w:t>
      </w:r>
    </w:p>
    <w:p>
      <w:pPr>
        <w:pStyle w:val="28"/>
        <w:pageBreakBefore w:val="0"/>
        <w:kinsoku/>
        <w:wordWrap/>
        <w:overflowPunct/>
        <w:topLinePunct w:val="0"/>
        <w:bidi w:val="0"/>
        <w:spacing w:after="0" w:line="288" w:lineRule="auto"/>
        <w:rPr>
          <w:rFonts w:ascii="Arial" w:hAnsi="Arial" w:cs="Arial"/>
          <w:bCs/>
          <w:u w:val="single"/>
        </w:rPr>
      </w:pPr>
    </w:p>
    <w:p>
      <w:pPr>
        <w:pStyle w:val="28"/>
        <w:pageBreakBefore w:val="0"/>
        <w:kinsoku/>
        <w:wordWrap/>
        <w:overflowPunct/>
        <w:topLinePunct w:val="0"/>
        <w:bidi w:val="0"/>
        <w:spacing w:after="0" w:line="288" w:lineRule="auto"/>
        <w:rPr>
          <w:rFonts w:ascii="Arial" w:hAnsi="Arial" w:cs="Arial"/>
          <w:bCs/>
          <w:u w:val="single"/>
        </w:rPr>
      </w:pPr>
    </w:p>
    <w:p>
      <w:pPr>
        <w:pStyle w:val="28"/>
        <w:pageBreakBefore w:val="0"/>
        <w:kinsoku/>
        <w:wordWrap/>
        <w:overflowPunct/>
        <w:topLinePunct w:val="0"/>
        <w:bidi w:val="0"/>
        <w:spacing w:after="0" w:line="288" w:lineRule="auto"/>
        <w:rPr>
          <w:rFonts w:ascii="Arial" w:hAnsi="Arial" w:cs="Arial"/>
          <w:szCs w:val="21"/>
        </w:rPr>
      </w:pPr>
      <w:r>
        <w:rPr>
          <w:rFonts w:ascii="Arial" w:hAnsi="Arial" w:cs="Arial"/>
          <w:bCs/>
          <w:u w:val="single"/>
        </w:rPr>
        <w:t>采购人/代理机构</w:t>
      </w:r>
      <w:r>
        <w:rPr>
          <w:rFonts w:ascii="Arial" w:hAnsi="Arial" w:cs="Arial"/>
          <w:bCs/>
        </w:rPr>
        <w:t>于</w:t>
      </w:r>
      <w:r>
        <w:rPr>
          <w:rFonts w:ascii="Arial" w:hAnsi="Arial" w:cs="Arial"/>
          <w:szCs w:val="21"/>
        </w:rPr>
        <w:t>年月日，</w:t>
      </w:r>
      <w:r>
        <w:rPr>
          <w:rFonts w:ascii="Arial" w:hAnsi="Arial" w:cs="Arial"/>
          <w:bCs/>
        </w:rPr>
        <w:t xml:space="preserve">就质疑事项作出了答复/没有在法定期限内作出答复。    </w:t>
      </w:r>
    </w:p>
    <w:p>
      <w:pPr>
        <w:pStyle w:val="28"/>
        <w:pageBreakBefore w:val="0"/>
        <w:kinsoku/>
        <w:wordWrap/>
        <w:overflowPunct/>
        <w:topLinePunct w:val="0"/>
        <w:bidi w:val="0"/>
        <w:spacing w:after="0" w:line="288" w:lineRule="auto"/>
        <w:ind w:left="25" w:leftChars="12" w:firstLine="411" w:firstLineChars="196"/>
        <w:rPr>
          <w:rFonts w:ascii="Arial" w:hAnsi="Arial" w:cs="Arial"/>
          <w:b/>
          <w:szCs w:val="21"/>
        </w:rPr>
      </w:pPr>
      <w:r>
        <w:rPr>
          <w:rFonts w:ascii="Arial" w:hAnsi="Arial" w:cs="Arial"/>
          <w:b/>
          <w:szCs w:val="21"/>
        </w:rPr>
        <w:t>四、投诉事项具体内容</w:t>
      </w:r>
    </w:p>
    <w:p>
      <w:pPr>
        <w:pStyle w:val="28"/>
        <w:pageBreakBefore w:val="0"/>
        <w:kinsoku/>
        <w:wordWrap/>
        <w:overflowPunct/>
        <w:topLinePunct w:val="0"/>
        <w:bidi w:val="0"/>
        <w:spacing w:after="0" w:line="288" w:lineRule="auto"/>
        <w:ind w:left="25" w:leftChars="12" w:firstLine="413" w:firstLineChars="197"/>
        <w:rPr>
          <w:rFonts w:ascii="Arial" w:hAnsi="Arial" w:cs="Arial"/>
          <w:bCs/>
          <w:u w:val="single"/>
        </w:rPr>
      </w:pPr>
      <w:r>
        <w:rPr>
          <w:rFonts w:ascii="Arial" w:hAnsi="Arial" w:cs="Arial"/>
          <w:szCs w:val="21"/>
        </w:rPr>
        <w:t>投诉事项1：</w:t>
      </w:r>
    </w:p>
    <w:p>
      <w:pPr>
        <w:pStyle w:val="28"/>
        <w:pageBreakBefore w:val="0"/>
        <w:kinsoku/>
        <w:wordWrap/>
        <w:overflowPunct/>
        <w:topLinePunct w:val="0"/>
        <w:bidi w:val="0"/>
        <w:spacing w:after="0" w:line="288" w:lineRule="auto"/>
        <w:ind w:firstLine="420" w:firstLineChars="200"/>
        <w:rPr>
          <w:rFonts w:ascii="Arial" w:hAnsi="Arial" w:cs="Arial"/>
          <w:bCs/>
          <w:u w:val="single"/>
        </w:rPr>
      </w:pPr>
      <w:r>
        <w:rPr>
          <w:rFonts w:ascii="Arial" w:hAnsi="Arial" w:cs="Arial"/>
          <w:bCs/>
        </w:rPr>
        <w:t>事实依据：</w:t>
      </w:r>
    </w:p>
    <w:p>
      <w:pPr>
        <w:pStyle w:val="28"/>
        <w:pageBreakBefore w:val="0"/>
        <w:kinsoku/>
        <w:wordWrap/>
        <w:overflowPunct/>
        <w:topLinePunct w:val="0"/>
        <w:bidi w:val="0"/>
        <w:spacing w:after="0" w:line="288" w:lineRule="auto"/>
        <w:ind w:left="25" w:leftChars="12" w:firstLine="413" w:firstLineChars="197"/>
        <w:rPr>
          <w:rFonts w:ascii="Arial" w:hAnsi="Arial" w:cs="Arial"/>
          <w:szCs w:val="21"/>
        </w:rPr>
      </w:pPr>
    </w:p>
    <w:p>
      <w:pPr>
        <w:pStyle w:val="28"/>
        <w:pageBreakBefore w:val="0"/>
        <w:kinsoku/>
        <w:wordWrap/>
        <w:overflowPunct/>
        <w:topLinePunct w:val="0"/>
        <w:bidi w:val="0"/>
        <w:spacing w:after="0" w:line="288" w:lineRule="auto"/>
        <w:ind w:firstLine="420" w:firstLineChars="200"/>
        <w:rPr>
          <w:rFonts w:ascii="Arial" w:hAnsi="Arial" w:cs="Arial"/>
          <w:bCs/>
          <w:u w:val="single"/>
        </w:rPr>
      </w:pPr>
      <w:r>
        <w:rPr>
          <w:rFonts w:ascii="Arial" w:hAnsi="Arial" w:cs="Arial"/>
          <w:bCs/>
        </w:rPr>
        <w:t>法律依据：</w:t>
      </w:r>
    </w:p>
    <w:p>
      <w:pPr>
        <w:pStyle w:val="28"/>
        <w:pageBreakBefore w:val="0"/>
        <w:kinsoku/>
        <w:wordWrap/>
        <w:overflowPunct/>
        <w:topLinePunct w:val="0"/>
        <w:bidi w:val="0"/>
        <w:spacing w:after="0" w:line="288" w:lineRule="auto"/>
        <w:ind w:left="25" w:leftChars="12" w:firstLine="308" w:firstLineChars="147"/>
        <w:rPr>
          <w:rFonts w:ascii="Arial" w:hAnsi="Arial" w:cs="Arial"/>
          <w:bCs/>
          <w:u w:val="single"/>
        </w:rPr>
      </w:pPr>
    </w:p>
    <w:p>
      <w:pPr>
        <w:pStyle w:val="28"/>
        <w:pageBreakBefore w:val="0"/>
        <w:kinsoku/>
        <w:wordWrap/>
        <w:overflowPunct/>
        <w:topLinePunct w:val="0"/>
        <w:bidi w:val="0"/>
        <w:spacing w:after="0" w:line="288" w:lineRule="auto"/>
        <w:ind w:left="25" w:leftChars="12" w:firstLine="413" w:firstLineChars="197"/>
        <w:rPr>
          <w:rFonts w:ascii="Arial" w:hAnsi="Arial" w:cs="Arial"/>
          <w:bCs/>
        </w:rPr>
      </w:pPr>
      <w:r>
        <w:rPr>
          <w:rFonts w:ascii="Arial" w:hAnsi="Arial" w:cs="Arial"/>
          <w:szCs w:val="21"/>
        </w:rPr>
        <w:t xml:space="preserve">投诉事项2  </w:t>
      </w:r>
    </w:p>
    <w:p>
      <w:pPr>
        <w:pStyle w:val="28"/>
        <w:pageBreakBefore w:val="0"/>
        <w:kinsoku/>
        <w:wordWrap/>
        <w:overflowPunct/>
        <w:topLinePunct w:val="0"/>
        <w:bidi w:val="0"/>
        <w:spacing w:after="0" w:line="288" w:lineRule="auto"/>
        <w:ind w:left="25" w:leftChars="12" w:firstLine="413" w:firstLineChars="197"/>
        <w:rPr>
          <w:rFonts w:ascii="Arial" w:hAnsi="Arial" w:cs="Arial"/>
          <w:bCs/>
        </w:rPr>
      </w:pPr>
      <w:r>
        <w:rPr>
          <w:rFonts w:ascii="Arial" w:hAnsi="Arial" w:cs="Arial"/>
          <w:bCs/>
        </w:rPr>
        <w:t>……</w:t>
      </w:r>
    </w:p>
    <w:p>
      <w:pPr>
        <w:pStyle w:val="28"/>
        <w:pageBreakBefore w:val="0"/>
        <w:kinsoku/>
        <w:wordWrap/>
        <w:overflowPunct/>
        <w:topLinePunct w:val="0"/>
        <w:bidi w:val="0"/>
        <w:spacing w:after="0" w:line="288" w:lineRule="auto"/>
        <w:ind w:left="25" w:leftChars="12" w:firstLine="411" w:firstLineChars="196"/>
        <w:rPr>
          <w:rFonts w:ascii="Arial" w:hAnsi="Arial" w:cs="Arial"/>
          <w:b/>
          <w:szCs w:val="21"/>
        </w:rPr>
      </w:pPr>
      <w:r>
        <w:rPr>
          <w:rFonts w:ascii="Arial" w:hAnsi="Arial" w:cs="Arial"/>
          <w:b/>
          <w:szCs w:val="21"/>
        </w:rPr>
        <w:t>五、与投诉事项相关的投诉请求：</w:t>
      </w:r>
    </w:p>
    <w:p>
      <w:pPr>
        <w:pStyle w:val="28"/>
        <w:pageBreakBefore w:val="0"/>
        <w:kinsoku/>
        <w:wordWrap/>
        <w:overflowPunct/>
        <w:topLinePunct w:val="0"/>
        <w:bidi w:val="0"/>
        <w:spacing w:after="0" w:line="288" w:lineRule="auto"/>
        <w:ind w:left="25" w:leftChars="12" w:firstLine="413" w:firstLineChars="197"/>
        <w:rPr>
          <w:rFonts w:ascii="Arial" w:hAnsi="Arial" w:cs="Arial"/>
          <w:szCs w:val="21"/>
        </w:rPr>
      </w:pPr>
      <w:r>
        <w:rPr>
          <w:rFonts w:ascii="Arial" w:hAnsi="Arial" w:cs="Arial"/>
          <w:szCs w:val="21"/>
        </w:rPr>
        <w:t>请求：</w:t>
      </w:r>
    </w:p>
    <w:p>
      <w:pPr>
        <w:pStyle w:val="28"/>
        <w:pageBreakBefore w:val="0"/>
        <w:kinsoku/>
        <w:wordWrap/>
        <w:overflowPunct/>
        <w:topLinePunct w:val="0"/>
        <w:bidi w:val="0"/>
        <w:spacing w:after="0" w:line="288" w:lineRule="auto"/>
        <w:ind w:left="25" w:leftChars="12" w:firstLine="308" w:firstLineChars="147"/>
        <w:rPr>
          <w:rFonts w:ascii="Arial" w:hAnsi="Arial" w:cs="Arial"/>
          <w:szCs w:val="21"/>
        </w:rPr>
      </w:pPr>
    </w:p>
    <w:p>
      <w:pPr>
        <w:pStyle w:val="28"/>
        <w:pageBreakBefore w:val="0"/>
        <w:kinsoku/>
        <w:wordWrap/>
        <w:overflowPunct/>
        <w:topLinePunct w:val="0"/>
        <w:bidi w:val="0"/>
        <w:spacing w:after="0" w:line="288" w:lineRule="auto"/>
        <w:ind w:left="25" w:leftChars="12" w:firstLine="413" w:firstLineChars="197"/>
        <w:rPr>
          <w:rFonts w:ascii="Arial" w:hAnsi="Arial" w:cs="Arial"/>
          <w:szCs w:val="21"/>
        </w:rPr>
      </w:pPr>
      <w:r>
        <w:rPr>
          <w:rFonts w:ascii="Arial" w:hAnsi="Arial" w:cs="Arial"/>
          <w:szCs w:val="21"/>
        </w:rPr>
        <w:t>签字（签章）：                                       公章：</w:t>
      </w:r>
    </w:p>
    <w:p>
      <w:pPr>
        <w:pStyle w:val="28"/>
        <w:pageBreakBefore w:val="0"/>
        <w:kinsoku/>
        <w:wordWrap/>
        <w:overflowPunct/>
        <w:topLinePunct w:val="0"/>
        <w:bidi w:val="0"/>
        <w:spacing w:after="0" w:line="288" w:lineRule="auto"/>
        <w:ind w:left="25" w:leftChars="12" w:firstLine="308" w:firstLineChars="147"/>
        <w:rPr>
          <w:rFonts w:ascii="Arial" w:hAnsi="Arial" w:cs="Arial"/>
          <w:szCs w:val="21"/>
        </w:rPr>
      </w:pPr>
    </w:p>
    <w:p>
      <w:pPr>
        <w:pStyle w:val="28"/>
        <w:pageBreakBefore w:val="0"/>
        <w:kinsoku/>
        <w:wordWrap/>
        <w:overflowPunct/>
        <w:topLinePunct w:val="0"/>
        <w:bidi w:val="0"/>
        <w:spacing w:after="0" w:line="288" w:lineRule="auto"/>
        <w:ind w:left="25" w:leftChars="12" w:firstLine="413" w:firstLineChars="197"/>
        <w:rPr>
          <w:rFonts w:ascii="Arial" w:hAnsi="Arial" w:cs="Arial"/>
          <w:szCs w:val="21"/>
        </w:rPr>
      </w:pPr>
      <w:r>
        <w:rPr>
          <w:rFonts w:ascii="Arial" w:hAnsi="Arial" w:cs="Arial"/>
          <w:szCs w:val="21"/>
        </w:rPr>
        <w:t>日期：</w:t>
      </w:r>
    </w:p>
    <w:p>
      <w:pPr>
        <w:pStyle w:val="28"/>
        <w:pageBreakBefore w:val="0"/>
        <w:kinsoku/>
        <w:wordWrap/>
        <w:overflowPunct/>
        <w:topLinePunct w:val="0"/>
        <w:bidi w:val="0"/>
        <w:spacing w:after="0" w:line="288" w:lineRule="auto"/>
        <w:ind w:left="25" w:leftChars="12" w:firstLine="413" w:firstLineChars="197"/>
        <w:rPr>
          <w:rFonts w:ascii="Arial" w:hAnsi="Arial" w:cs="Arial"/>
          <w:szCs w:val="21"/>
        </w:rPr>
      </w:pPr>
    </w:p>
    <w:p>
      <w:pPr>
        <w:pStyle w:val="28"/>
        <w:pageBreakBefore w:val="0"/>
        <w:kinsoku/>
        <w:wordWrap/>
        <w:overflowPunct/>
        <w:topLinePunct w:val="0"/>
        <w:bidi w:val="0"/>
        <w:snapToGrid w:val="0"/>
        <w:spacing w:after="0" w:line="288" w:lineRule="auto"/>
        <w:rPr>
          <w:rFonts w:ascii="Arial" w:hAnsi="Arial" w:cs="Arial"/>
          <w:b/>
          <w:szCs w:val="21"/>
        </w:rPr>
      </w:pPr>
    </w:p>
    <w:p>
      <w:pPr>
        <w:pStyle w:val="28"/>
        <w:pageBreakBefore w:val="0"/>
        <w:kinsoku/>
        <w:wordWrap/>
        <w:overflowPunct/>
        <w:topLinePunct w:val="0"/>
        <w:bidi w:val="0"/>
        <w:snapToGrid w:val="0"/>
        <w:spacing w:after="0" w:line="288" w:lineRule="auto"/>
        <w:rPr>
          <w:rFonts w:ascii="Arial" w:hAnsi="Arial" w:cs="Arial"/>
          <w:b/>
          <w:szCs w:val="21"/>
        </w:rPr>
      </w:pPr>
      <w:r>
        <w:rPr>
          <w:rFonts w:ascii="Arial" w:hAnsi="Arial" w:cs="Arial"/>
          <w:b/>
          <w:szCs w:val="21"/>
        </w:rPr>
        <w:t>说明：</w:t>
      </w:r>
    </w:p>
    <w:p>
      <w:pPr>
        <w:pStyle w:val="28"/>
        <w:pageBreakBefore w:val="0"/>
        <w:kinsoku/>
        <w:wordWrap/>
        <w:overflowPunct/>
        <w:topLinePunct w:val="0"/>
        <w:bidi w:val="0"/>
        <w:spacing w:after="0" w:line="288" w:lineRule="auto"/>
        <w:ind w:left="25" w:leftChars="12" w:firstLine="308" w:firstLineChars="147"/>
        <w:rPr>
          <w:rFonts w:ascii="Arial" w:hAnsi="Arial" w:cs="Arial"/>
          <w:b/>
          <w:bCs/>
        </w:rPr>
      </w:pPr>
      <w:r>
        <w:rPr>
          <w:rFonts w:ascii="Arial" w:hAnsi="Arial" w:cs="Arial"/>
          <w:b/>
          <w:szCs w:val="21"/>
        </w:rPr>
        <w:t>1.投诉人提起投诉时，应当提交投诉书和必要的证明材料，并按照被投诉人和与投诉事项有关的供应商数量提供投诉书副本</w:t>
      </w:r>
      <w:r>
        <w:rPr>
          <w:rFonts w:ascii="Arial" w:hAnsi="Arial" w:cs="Arial"/>
          <w:b/>
          <w:bCs/>
        </w:rPr>
        <w:t>。</w:t>
      </w:r>
    </w:p>
    <w:p>
      <w:pPr>
        <w:pStyle w:val="28"/>
        <w:pageBreakBefore w:val="0"/>
        <w:kinsoku/>
        <w:wordWrap/>
        <w:overflowPunct/>
        <w:topLinePunct w:val="0"/>
        <w:bidi w:val="0"/>
        <w:spacing w:after="0" w:line="288" w:lineRule="auto"/>
        <w:ind w:left="25" w:leftChars="12" w:firstLine="308" w:firstLineChars="147"/>
        <w:rPr>
          <w:rFonts w:ascii="Arial" w:hAnsi="Arial" w:cs="Arial"/>
          <w:b/>
          <w:szCs w:val="21"/>
        </w:rPr>
      </w:pPr>
      <w:r>
        <w:rPr>
          <w:rFonts w:ascii="Arial" w:hAnsi="Arial" w:cs="Arial"/>
          <w:b/>
          <w:szCs w:val="21"/>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pStyle w:val="28"/>
        <w:pageBreakBefore w:val="0"/>
        <w:kinsoku/>
        <w:wordWrap/>
        <w:overflowPunct/>
        <w:topLinePunct w:val="0"/>
        <w:bidi w:val="0"/>
        <w:spacing w:after="0" w:line="288" w:lineRule="auto"/>
        <w:ind w:left="25" w:leftChars="12" w:firstLine="308" w:firstLineChars="147"/>
        <w:rPr>
          <w:rFonts w:ascii="Arial" w:hAnsi="Arial" w:cs="Arial"/>
          <w:b/>
          <w:szCs w:val="21"/>
        </w:rPr>
      </w:pPr>
      <w:r>
        <w:rPr>
          <w:rFonts w:ascii="Arial" w:hAnsi="Arial" w:cs="Arial"/>
          <w:b/>
          <w:szCs w:val="21"/>
        </w:rPr>
        <w:t>3.投诉书应简要列明质疑事项，质疑函、质疑答复等作为附件材料提供。</w:t>
      </w:r>
    </w:p>
    <w:p>
      <w:pPr>
        <w:pStyle w:val="28"/>
        <w:pageBreakBefore w:val="0"/>
        <w:kinsoku/>
        <w:wordWrap/>
        <w:overflowPunct/>
        <w:topLinePunct w:val="0"/>
        <w:bidi w:val="0"/>
        <w:spacing w:after="0" w:line="288" w:lineRule="auto"/>
        <w:ind w:left="25" w:leftChars="12" w:firstLine="308" w:firstLineChars="147"/>
        <w:rPr>
          <w:rFonts w:ascii="Arial" w:hAnsi="Arial" w:cs="Arial"/>
          <w:b/>
          <w:szCs w:val="21"/>
        </w:rPr>
      </w:pPr>
      <w:r>
        <w:rPr>
          <w:rFonts w:ascii="Arial" w:hAnsi="Arial" w:cs="Arial"/>
          <w:b/>
          <w:szCs w:val="21"/>
        </w:rPr>
        <w:t>4.投诉书的投诉事项应具体、明确，并有必要的事实依据和法律依据。</w:t>
      </w:r>
    </w:p>
    <w:p>
      <w:pPr>
        <w:pStyle w:val="28"/>
        <w:pageBreakBefore w:val="0"/>
        <w:kinsoku/>
        <w:wordWrap/>
        <w:overflowPunct/>
        <w:topLinePunct w:val="0"/>
        <w:bidi w:val="0"/>
        <w:spacing w:after="0" w:line="288" w:lineRule="auto"/>
        <w:ind w:left="25" w:leftChars="12" w:firstLine="308" w:firstLineChars="147"/>
        <w:rPr>
          <w:rFonts w:ascii="Arial" w:hAnsi="Arial" w:cs="Arial"/>
          <w:b/>
          <w:szCs w:val="21"/>
        </w:rPr>
      </w:pPr>
      <w:r>
        <w:rPr>
          <w:rFonts w:ascii="Arial" w:hAnsi="Arial" w:cs="Arial"/>
          <w:b/>
          <w:szCs w:val="21"/>
        </w:rPr>
        <w:t>5.投诉书的投诉请求应与投诉事项相关。</w:t>
      </w:r>
    </w:p>
    <w:p>
      <w:pPr>
        <w:pStyle w:val="28"/>
        <w:pageBreakBefore w:val="0"/>
        <w:kinsoku/>
        <w:wordWrap/>
        <w:overflowPunct/>
        <w:topLinePunct w:val="0"/>
        <w:bidi w:val="0"/>
        <w:snapToGrid w:val="0"/>
        <w:spacing w:after="0" w:line="288" w:lineRule="auto"/>
        <w:ind w:firstLine="315" w:firstLineChars="150"/>
        <w:rPr>
          <w:rFonts w:ascii="Arial" w:hAnsi="Arial" w:cs="Arial"/>
          <w:b/>
          <w:sz w:val="32"/>
          <w:szCs w:val="32"/>
        </w:rPr>
      </w:pPr>
      <w:r>
        <w:rPr>
          <w:rFonts w:ascii="Arial" w:hAnsi="Arial" w:cs="Arial"/>
          <w:b/>
          <w:szCs w:val="21"/>
        </w:rPr>
        <w:t>6.投诉人为自然人的，投诉书应由本人签字；投诉人为法人或者其他组织的，投诉书应由法定代表人、主要负责人，或者其授权代表签字或者盖章，并加盖公章。</w:t>
      </w:r>
    </w:p>
    <w:p>
      <w:pPr>
        <w:pStyle w:val="28"/>
        <w:pageBreakBefore w:val="0"/>
        <w:kinsoku/>
        <w:wordWrap/>
        <w:overflowPunct/>
        <w:topLinePunct w:val="0"/>
        <w:bidi w:val="0"/>
        <w:snapToGrid w:val="0"/>
        <w:spacing w:after="0" w:line="288" w:lineRule="auto"/>
        <w:ind w:firstLine="480" w:firstLineChars="150"/>
        <w:rPr>
          <w:rFonts w:ascii="Arial" w:hAnsi="Arial" w:cs="Arial"/>
          <w:b/>
          <w:sz w:val="32"/>
          <w:szCs w:val="32"/>
        </w:rPr>
      </w:pPr>
    </w:p>
    <w:p>
      <w:pPr>
        <w:pStyle w:val="28"/>
        <w:pageBreakBefore w:val="0"/>
        <w:kinsoku/>
        <w:wordWrap/>
        <w:overflowPunct/>
        <w:topLinePunct w:val="0"/>
        <w:bidi w:val="0"/>
        <w:snapToGrid w:val="0"/>
        <w:spacing w:after="0" w:line="288" w:lineRule="auto"/>
        <w:ind w:firstLine="640" w:firstLineChars="200"/>
        <w:rPr>
          <w:rFonts w:ascii="Arial" w:hAnsi="Arial" w:cs="Arial"/>
          <w:b/>
          <w:sz w:val="32"/>
          <w:szCs w:val="32"/>
        </w:rPr>
      </w:pPr>
    </w:p>
    <w:p>
      <w:pPr>
        <w:pStyle w:val="28"/>
        <w:pageBreakBefore w:val="0"/>
        <w:kinsoku/>
        <w:wordWrap/>
        <w:overflowPunct/>
        <w:topLinePunct w:val="0"/>
        <w:bidi w:val="0"/>
        <w:snapToGrid w:val="0"/>
        <w:spacing w:after="0" w:line="288" w:lineRule="auto"/>
        <w:ind w:firstLine="640" w:firstLineChars="200"/>
        <w:rPr>
          <w:rFonts w:ascii="Arial" w:hAnsi="Arial" w:cs="Arial"/>
          <w:b/>
          <w:sz w:val="32"/>
          <w:szCs w:val="32"/>
        </w:rPr>
      </w:pPr>
    </w:p>
    <w:p>
      <w:pPr>
        <w:pageBreakBefore w:val="0"/>
        <w:kinsoku/>
        <w:wordWrap/>
        <w:overflowPunct/>
        <w:topLinePunct w:val="0"/>
        <w:bidi w:val="0"/>
        <w:spacing w:after="0" w:line="288" w:lineRule="auto"/>
        <w:rPr>
          <w:rFonts w:ascii="Arial" w:hAnsi="Arial" w:cs="Arial"/>
          <w:b/>
          <w:sz w:val="32"/>
          <w:szCs w:val="32"/>
        </w:rPr>
      </w:pPr>
    </w:p>
    <w:p>
      <w:pPr>
        <w:pageBreakBefore w:val="0"/>
        <w:kinsoku/>
        <w:wordWrap/>
        <w:overflowPunct/>
        <w:topLinePunct w:val="0"/>
        <w:bidi w:val="0"/>
        <w:spacing w:after="0" w:line="288" w:lineRule="auto"/>
        <w:jc w:val="center"/>
        <w:rPr>
          <w:rFonts w:ascii="Arial" w:hAnsi="Arial" w:cs="Arial"/>
          <w:b/>
          <w:sz w:val="32"/>
          <w:szCs w:val="32"/>
        </w:rPr>
      </w:pPr>
    </w:p>
    <w:p>
      <w:pPr>
        <w:pageBreakBefore w:val="0"/>
        <w:kinsoku/>
        <w:wordWrap/>
        <w:overflowPunct/>
        <w:topLinePunct w:val="0"/>
        <w:bidi w:val="0"/>
        <w:spacing w:after="0" w:line="288" w:lineRule="auto"/>
        <w:jc w:val="center"/>
        <w:rPr>
          <w:rFonts w:ascii="Arial" w:hAnsi="Arial" w:cs="Arial"/>
          <w:b/>
          <w:sz w:val="32"/>
          <w:szCs w:val="32"/>
        </w:rPr>
      </w:pPr>
    </w:p>
    <w:p>
      <w:pPr>
        <w:pageBreakBefore w:val="0"/>
        <w:kinsoku/>
        <w:wordWrap/>
        <w:overflowPunct/>
        <w:topLinePunct w:val="0"/>
        <w:bidi w:val="0"/>
        <w:spacing w:after="0" w:line="288" w:lineRule="auto"/>
        <w:jc w:val="center"/>
        <w:rPr>
          <w:rFonts w:ascii="Arial" w:hAnsi="Arial" w:cs="Arial"/>
          <w:b/>
          <w:sz w:val="32"/>
          <w:szCs w:val="32"/>
        </w:rPr>
      </w:pPr>
    </w:p>
    <w:p>
      <w:pPr>
        <w:pageBreakBefore w:val="0"/>
        <w:kinsoku/>
        <w:wordWrap/>
        <w:overflowPunct/>
        <w:topLinePunct w:val="0"/>
        <w:bidi w:val="0"/>
        <w:spacing w:after="0" w:line="288" w:lineRule="auto"/>
        <w:jc w:val="center"/>
        <w:rPr>
          <w:rFonts w:ascii="Arial" w:hAnsi="Arial" w:cs="Arial"/>
          <w:b/>
          <w:sz w:val="32"/>
          <w:szCs w:val="32"/>
        </w:rPr>
      </w:pPr>
    </w:p>
    <w:p>
      <w:pPr>
        <w:pageBreakBefore w:val="0"/>
        <w:kinsoku/>
        <w:wordWrap/>
        <w:overflowPunct/>
        <w:topLinePunct w:val="0"/>
        <w:bidi w:val="0"/>
        <w:spacing w:after="0" w:line="288" w:lineRule="auto"/>
        <w:rPr>
          <w:rFonts w:ascii="Arial" w:hAnsi="Arial" w:cs="Arial"/>
          <w:b/>
          <w:sz w:val="32"/>
          <w:szCs w:val="32"/>
        </w:rPr>
      </w:pPr>
    </w:p>
    <w:p>
      <w:pPr>
        <w:pStyle w:val="5"/>
        <w:pageBreakBefore w:val="0"/>
        <w:kinsoku/>
        <w:wordWrap/>
        <w:overflowPunct/>
        <w:topLinePunct w:val="0"/>
        <w:bidi w:val="0"/>
        <w:spacing w:before="0" w:after="0" w:line="288" w:lineRule="auto"/>
        <w:jc w:val="center"/>
        <w:rPr>
          <w:rFonts w:ascii="Arial" w:hAnsi="Arial" w:cs="Arial"/>
        </w:rPr>
      </w:pPr>
      <w:bookmarkStart w:id="18" w:name="_Toc524017690"/>
      <w:bookmarkStart w:id="19" w:name="_Toc524017823"/>
      <w:r>
        <w:rPr>
          <w:rFonts w:ascii="Arial" w:hAnsi="Arial" w:cs="Arial"/>
        </w:rPr>
        <w:br w:type="page"/>
      </w:r>
      <w:bookmarkStart w:id="20" w:name="_Toc82079327"/>
      <w:bookmarkStart w:id="21" w:name="_Toc25342"/>
      <w:bookmarkStart w:id="22" w:name="_Toc82079279"/>
      <w:r>
        <w:rPr>
          <w:rFonts w:ascii="Arial" w:hAnsi="Arial" w:cs="Arial"/>
        </w:rPr>
        <w:t>第三章　</w:t>
      </w:r>
      <w:bookmarkEnd w:id="18"/>
      <w:bookmarkEnd w:id="19"/>
      <w:bookmarkStart w:id="23" w:name="_Hlk92263589"/>
      <w:r>
        <w:rPr>
          <w:rFonts w:ascii="Arial" w:hAnsi="Arial" w:cs="Arial"/>
        </w:rPr>
        <w:t>货物采购需求</w:t>
      </w:r>
      <w:bookmarkEnd w:id="20"/>
      <w:bookmarkEnd w:id="21"/>
      <w:bookmarkEnd w:id="22"/>
    </w:p>
    <w:p>
      <w:pPr>
        <w:pStyle w:val="32"/>
        <w:pageBreakBefore w:val="0"/>
        <w:kinsoku/>
        <w:wordWrap/>
        <w:overflowPunct/>
        <w:topLinePunct w:val="0"/>
        <w:bidi w:val="0"/>
        <w:spacing w:after="0" w:line="288" w:lineRule="auto"/>
        <w:ind w:firstLine="630" w:firstLineChars="300"/>
        <w:rPr>
          <w:rFonts w:ascii="Arial" w:hAnsi="Arial" w:cs="Arial"/>
          <w:b/>
          <w:bCs/>
          <w:sz w:val="21"/>
          <w:szCs w:val="21"/>
        </w:rPr>
      </w:pPr>
      <w:r>
        <w:rPr>
          <w:rFonts w:ascii="Arial" w:hAnsi="Arial" w:cs="Arial"/>
          <w:b/>
          <w:bCs/>
          <w:sz w:val="21"/>
          <w:szCs w:val="21"/>
        </w:rPr>
        <w:t>说明：</w:t>
      </w:r>
    </w:p>
    <w:p>
      <w:pPr>
        <w:pageBreakBefore w:val="0"/>
        <w:kinsoku/>
        <w:wordWrap/>
        <w:overflowPunct/>
        <w:topLinePunct w:val="0"/>
        <w:bidi w:val="0"/>
        <w:adjustRightInd w:val="0"/>
        <w:spacing w:after="0" w:line="288" w:lineRule="auto"/>
        <w:ind w:firstLine="431"/>
        <w:rPr>
          <w:rFonts w:ascii="Arial" w:hAnsi="Arial" w:cs="Arial"/>
          <w:b/>
          <w:szCs w:val="21"/>
        </w:rPr>
      </w:pPr>
      <w:r>
        <w:rPr>
          <w:rFonts w:ascii="Arial" w:hAnsi="Arial" w:cs="Arial"/>
          <w:bCs/>
          <w:i/>
        </w:rPr>
        <w:t>一、</w:t>
      </w:r>
      <w:r>
        <w:rPr>
          <w:rFonts w:ascii="Arial" w:hAnsi="Arial" w:cs="Arial"/>
          <w:b/>
          <w:szCs w:val="21"/>
        </w:rPr>
        <w:t>本表中的品牌、规格型号仅起参考作用，供应商可选用其他品牌、规格型号替代，但这些替代的品牌、规格型号要实质上相当于或优于参考品牌、规格型号要求。</w:t>
      </w:r>
    </w:p>
    <w:p>
      <w:pPr>
        <w:pageBreakBefore w:val="0"/>
        <w:kinsoku/>
        <w:wordWrap/>
        <w:overflowPunct/>
        <w:topLinePunct w:val="0"/>
        <w:bidi w:val="0"/>
        <w:adjustRightInd w:val="0"/>
        <w:spacing w:after="0" w:line="288" w:lineRule="auto"/>
        <w:ind w:firstLine="431"/>
        <w:rPr>
          <w:rFonts w:ascii="Arial" w:hAnsi="Arial" w:cs="Arial"/>
          <w:b/>
          <w:bCs/>
          <w:highlight w:val="none"/>
        </w:rPr>
      </w:pPr>
      <w:r>
        <w:rPr>
          <w:rFonts w:ascii="Arial" w:hAnsi="Arial" w:cs="Arial"/>
          <w:b/>
          <w:bCs/>
          <w:highlight w:val="none"/>
        </w:rPr>
        <w:t>二、</w:t>
      </w:r>
      <w:r>
        <w:rPr>
          <w:rFonts w:hint="eastAsia" w:ascii="Arial" w:hAnsi="Arial" w:cs="Arial"/>
          <w:b/>
          <w:bCs/>
          <w:highlight w:val="none"/>
        </w:rPr>
        <w:t xml:space="preserve">“货物采购需求”中的“★”为实质性要求，不得存在负偏离，否则按废标处理。 </w:t>
      </w:r>
    </w:p>
    <w:p>
      <w:pPr>
        <w:pageBreakBefore w:val="0"/>
        <w:kinsoku/>
        <w:wordWrap/>
        <w:overflowPunct/>
        <w:topLinePunct w:val="0"/>
        <w:bidi w:val="0"/>
        <w:adjustRightInd w:val="0"/>
        <w:spacing w:after="0" w:line="288" w:lineRule="auto"/>
        <w:ind w:firstLine="420" w:firstLineChars="200"/>
        <w:rPr>
          <w:rFonts w:ascii="Arial" w:hAnsi="Arial" w:cs="Arial"/>
          <w:b/>
          <w:szCs w:val="21"/>
        </w:rPr>
      </w:pPr>
      <w:r>
        <w:rPr>
          <w:rFonts w:ascii="Arial" w:hAnsi="Arial" w:cs="Arial"/>
          <w:b/>
          <w:szCs w:val="21"/>
        </w:rPr>
        <w:t>三、本表中参考品牌、规格型号、采购需求（技术参数、性能、配置等要求）不明确或有误的，或供应商选用其他品牌、规格型号替代的，请以详细、正确的品牌、规格型号、技术参数、性能、配置填写投标报价表。</w:t>
      </w:r>
    </w:p>
    <w:p>
      <w:pPr>
        <w:pageBreakBefore w:val="0"/>
        <w:kinsoku/>
        <w:wordWrap/>
        <w:overflowPunct/>
        <w:topLinePunct w:val="0"/>
        <w:bidi w:val="0"/>
        <w:adjustRightInd w:val="0"/>
        <w:spacing w:after="0" w:line="288" w:lineRule="auto"/>
        <w:ind w:firstLine="431"/>
        <w:rPr>
          <w:rFonts w:ascii="Arial" w:hAnsi="Arial" w:cs="Arial"/>
          <w:b/>
          <w:szCs w:val="21"/>
        </w:rPr>
      </w:pPr>
      <w:r>
        <w:rPr>
          <w:rFonts w:ascii="Arial" w:hAnsi="Arial" w:cs="Arial"/>
          <w:b/>
          <w:szCs w:val="21"/>
        </w:rPr>
        <w:t>四、本项目所要执行的政府采购政策：</w:t>
      </w:r>
    </w:p>
    <w:p>
      <w:pPr>
        <w:pageBreakBefore w:val="0"/>
        <w:kinsoku/>
        <w:wordWrap/>
        <w:overflowPunct/>
        <w:topLinePunct w:val="0"/>
        <w:bidi w:val="0"/>
        <w:spacing w:after="0" w:line="288" w:lineRule="auto"/>
        <w:ind w:firstLine="420" w:firstLineChars="200"/>
        <w:rPr>
          <w:rFonts w:ascii="Arial" w:hAnsi="Arial" w:cs="Arial"/>
          <w:b/>
          <w:szCs w:val="21"/>
        </w:rPr>
      </w:pPr>
      <w:r>
        <w:rPr>
          <w:rFonts w:ascii="Arial" w:hAnsi="Arial" w:cs="Arial"/>
          <w:b/>
          <w:szCs w:val="21"/>
        </w:rPr>
        <w:t>1. 根据《政府采购促进中小企业发展管理办法》（财库[2020]46号）、《关于进一步加大政府采购支持中小企业力度的通知》（财库〔2022〕19号），</w:t>
      </w:r>
      <w:r>
        <w:rPr>
          <w:rFonts w:ascii="Arial" w:hAnsi="Arial" w:cs="Arial"/>
          <w:b/>
        </w:rPr>
        <w:t>供应商认定所提供的产品为小型、微型企业产品的</w:t>
      </w:r>
      <w:r>
        <w:rPr>
          <w:rFonts w:ascii="Arial" w:hAnsi="Arial" w:cs="Arial"/>
          <w:b/>
          <w:szCs w:val="21"/>
        </w:rPr>
        <w:t>，该产品报价给予</w:t>
      </w:r>
      <w:r>
        <w:rPr>
          <w:rFonts w:hint="eastAsia" w:ascii="Arial" w:hAnsi="Arial" w:cs="Arial"/>
          <w:b/>
          <w:szCs w:val="21"/>
        </w:rPr>
        <w:t>1</w:t>
      </w:r>
      <w:r>
        <w:rPr>
          <w:rFonts w:ascii="Arial" w:hAnsi="Arial" w:cs="Arial"/>
          <w:b/>
          <w:szCs w:val="21"/>
        </w:rPr>
        <w:t>0%的扣除。</w:t>
      </w:r>
    </w:p>
    <w:p>
      <w:pPr>
        <w:pageBreakBefore w:val="0"/>
        <w:kinsoku/>
        <w:wordWrap/>
        <w:overflowPunct/>
        <w:topLinePunct w:val="0"/>
        <w:bidi w:val="0"/>
        <w:spacing w:after="0" w:line="288" w:lineRule="auto"/>
        <w:ind w:firstLine="420" w:firstLineChars="200"/>
        <w:rPr>
          <w:rFonts w:ascii="Arial" w:hAnsi="Arial" w:cs="Arial"/>
          <w:b/>
          <w:szCs w:val="21"/>
        </w:rPr>
      </w:pPr>
      <w:r>
        <w:rPr>
          <w:rFonts w:ascii="Arial" w:hAnsi="Arial" w:cs="Arial"/>
          <w:b/>
          <w:szCs w:val="21"/>
        </w:rPr>
        <w:t>2.根据财政部、司法部关于政府采购支持监狱企业发展有关问题的通知（财库[2014]68号），监狱企业视同小型、微型企业，</w:t>
      </w:r>
      <w:r>
        <w:rPr>
          <w:rFonts w:ascii="Arial" w:hAnsi="Arial" w:cs="Arial"/>
          <w:b/>
          <w:bCs/>
        </w:rPr>
        <w:t>享受预留份额、评审中价格扣除等政府采购政策。</w:t>
      </w:r>
    </w:p>
    <w:p>
      <w:pPr>
        <w:pageBreakBefore w:val="0"/>
        <w:kinsoku/>
        <w:wordWrap/>
        <w:overflowPunct/>
        <w:topLinePunct w:val="0"/>
        <w:bidi w:val="0"/>
        <w:spacing w:after="0" w:line="288" w:lineRule="auto"/>
        <w:ind w:firstLine="420" w:firstLineChars="200"/>
        <w:textAlignment w:val="center"/>
        <w:rPr>
          <w:rFonts w:hint="eastAsia" w:ascii="Arial" w:hAnsi="Arial" w:cs="Arial"/>
          <w:b/>
          <w:bCs/>
          <w:szCs w:val="21"/>
          <w:lang w:val="en-US" w:eastAsia="zh-CN"/>
        </w:rPr>
      </w:pPr>
      <w:r>
        <w:rPr>
          <w:rFonts w:ascii="Arial" w:hAnsi="Arial" w:cs="Arial"/>
          <w:b/>
          <w:szCs w:val="21"/>
        </w:rPr>
        <w:t>3.</w:t>
      </w:r>
      <w:r>
        <w:rPr>
          <w:rFonts w:ascii="Arial" w:hAnsi="Arial" w:cs="Arial"/>
          <w:b/>
        </w:rPr>
        <w:t>按照</w:t>
      </w:r>
      <w:r>
        <w:rPr>
          <w:rFonts w:ascii="Arial" w:hAnsi="Arial" w:cs="Arial"/>
          <w:b/>
          <w:bCs/>
        </w:rPr>
        <w:t>《关于促进残疾人就业政府采购政策的通知》（财库〔2017〕141号）的规定，残疾人福利性单位视同小型、微型企业，享受预留份额、评审中价格扣除等促进中小企业发展的政府采购</w:t>
      </w:r>
      <w:r>
        <w:rPr>
          <w:rFonts w:hint="eastAsia" w:ascii="Arial" w:hAnsi="Arial" w:cs="Arial"/>
          <w:b/>
          <w:bCs/>
          <w:szCs w:val="21"/>
          <w:lang w:val="en-US" w:eastAsia="zh-CN"/>
        </w:rPr>
        <w:t>政策。残疾人福利性单位属于小型、微型企业的，不重复享受政策。</w:t>
      </w:r>
    </w:p>
    <w:p>
      <w:pPr>
        <w:pageBreakBefore w:val="0"/>
        <w:kinsoku/>
        <w:wordWrap/>
        <w:overflowPunct/>
        <w:topLinePunct w:val="0"/>
        <w:bidi w:val="0"/>
        <w:spacing w:after="0" w:line="288" w:lineRule="auto"/>
        <w:ind w:firstLine="420" w:firstLineChars="200"/>
        <w:textAlignment w:val="center"/>
        <w:rPr>
          <w:rFonts w:hint="eastAsia" w:ascii="Arial" w:hAnsi="Arial" w:cs="Arial"/>
          <w:b/>
          <w:bCs/>
          <w:szCs w:val="21"/>
          <w:lang w:val="en-US" w:eastAsia="zh-CN"/>
        </w:rPr>
      </w:pPr>
      <w:r>
        <w:rPr>
          <w:rFonts w:hint="eastAsia" w:ascii="Arial" w:hAnsi="Arial" w:cs="Arial"/>
          <w:b/>
          <w:bCs/>
          <w:szCs w:val="21"/>
          <w:lang w:val="en-US" w:eastAsia="zh-CN"/>
        </w:rPr>
        <w:t>4.根据财库〔2019〕9 号及财库〔2019〕19 号文件规定，台式计算机，便携式计算机、平板式微型计算机，激光打印机，针式打印机，液晶显示器，制冷压缩机（冷水机组、水源热泵机组、溴化锂吸收式冷水机组），空调机组[多联式空调（热泵）机组（制冷量＞14000W），单元式空气调节机（制冷量＞14000W）]， 专用制冷、空调设备（机房空调），镇流器（管型荧光灯镇流器），空调机[房间空气调节器、多联式空调（热泵）机组（制冷量≤14000W）、单元式空气调节机（制冷量≤14000W）]，电热水器，普通照明用双端荧光灯，电视设备[普通电视设备（电视机）]，视频设备（视频监控设备、监视器），便器（坐便器、蹲便器、小便器），水嘴均为节能产品政府采购品目清单内标注“▲”的品目，属于政府强制采购节能产品。</w:t>
      </w:r>
    </w:p>
    <w:p>
      <w:pPr>
        <w:pageBreakBefore w:val="0"/>
        <w:kinsoku/>
        <w:wordWrap/>
        <w:overflowPunct/>
        <w:topLinePunct w:val="0"/>
        <w:bidi w:val="0"/>
        <w:spacing w:after="0" w:line="288" w:lineRule="auto"/>
        <w:ind w:firstLine="420" w:firstLineChars="200"/>
        <w:textAlignment w:val="center"/>
        <w:rPr>
          <w:rFonts w:hint="eastAsia" w:ascii="Arial" w:hAnsi="Arial" w:cs="Arial"/>
          <w:b/>
          <w:bCs/>
          <w:szCs w:val="21"/>
          <w:lang w:val="en-US" w:eastAsia="zh-CN"/>
        </w:rPr>
      </w:pPr>
      <w:r>
        <w:rPr>
          <w:rFonts w:hint="eastAsia" w:ascii="Arial" w:hAnsi="Arial" w:cs="Arial"/>
          <w:b/>
          <w:bCs/>
          <w:szCs w:val="21"/>
          <w:lang w:val="en-US" w:eastAsia="zh-CN"/>
        </w:rPr>
        <w:t>五、本项目所属行业：工业（制造业）</w:t>
      </w:r>
      <w:bookmarkEnd w:id="23"/>
      <w:bookmarkStart w:id="24" w:name="_Toc524017824"/>
      <w:bookmarkStart w:id="25" w:name="_Toc524017691"/>
    </w:p>
    <w:p>
      <w:pPr>
        <w:pageBreakBefore w:val="0"/>
        <w:kinsoku/>
        <w:wordWrap/>
        <w:overflowPunct/>
        <w:topLinePunct w:val="0"/>
        <w:bidi w:val="0"/>
        <w:spacing w:after="0" w:line="288" w:lineRule="auto"/>
        <w:ind w:firstLine="420" w:firstLineChars="200"/>
        <w:textAlignment w:val="center"/>
        <w:rPr>
          <w:rFonts w:hint="eastAsia" w:ascii="Arial" w:hAnsi="Arial" w:cs="Arial"/>
          <w:b/>
          <w:bCs/>
          <w:szCs w:val="21"/>
          <w:lang w:val="en-US" w:eastAsia="zh-CN"/>
        </w:rPr>
      </w:pPr>
      <w:r>
        <w:rPr>
          <w:rFonts w:hint="eastAsia" w:ascii="Arial" w:hAnsi="Arial" w:cs="Arial"/>
          <w:b/>
          <w:bCs/>
          <w:szCs w:val="21"/>
          <w:lang w:val="en-US" w:eastAsia="zh-CN"/>
        </w:rPr>
        <w:t>六、本项目为货物采购项目，核心产品为：  序号2 血液透析机</w:t>
      </w:r>
    </w:p>
    <w:p>
      <w:pPr>
        <w:pageBreakBefore w:val="0"/>
        <w:kinsoku/>
        <w:wordWrap/>
        <w:overflowPunct/>
        <w:topLinePunct w:val="0"/>
        <w:bidi w:val="0"/>
        <w:spacing w:after="0" w:line="288" w:lineRule="auto"/>
        <w:ind w:firstLine="420" w:firstLineChars="200"/>
        <w:textAlignment w:val="center"/>
        <w:rPr>
          <w:rFonts w:hint="eastAsia" w:ascii="Arial" w:hAnsi="Arial" w:cs="Arial"/>
          <w:b/>
          <w:bCs/>
          <w:szCs w:val="21"/>
          <w:lang w:val="en-US" w:eastAsia="zh-CN"/>
        </w:rPr>
      </w:pPr>
      <w:r>
        <w:rPr>
          <w:rFonts w:hint="eastAsia" w:ascii="Arial" w:hAnsi="Arial" w:cs="Arial"/>
          <w:b/>
          <w:bCs/>
          <w:szCs w:val="21"/>
          <w:lang w:val="en-US" w:eastAsia="zh-CN"/>
        </w:rPr>
        <w:t>七、是否接受进口产品：本项目采购货物均不接受进口产品</w:t>
      </w:r>
    </w:p>
    <w:p>
      <w:pPr>
        <w:pageBreakBefore w:val="0"/>
        <w:kinsoku/>
        <w:wordWrap/>
        <w:overflowPunct/>
        <w:topLinePunct w:val="0"/>
        <w:bidi w:val="0"/>
        <w:spacing w:after="0" w:line="288" w:lineRule="auto"/>
        <w:ind w:firstLine="420" w:firstLineChars="200"/>
        <w:textAlignment w:val="center"/>
        <w:rPr>
          <w:rFonts w:hint="eastAsia" w:ascii="Arial" w:hAnsi="Arial" w:cs="Arial"/>
          <w:b/>
          <w:bCs/>
          <w:szCs w:val="21"/>
          <w:highlight w:val="none"/>
          <w:lang w:val="en-US" w:eastAsia="zh-CN"/>
        </w:rPr>
      </w:pPr>
      <w:r>
        <w:rPr>
          <w:rFonts w:hint="eastAsia" w:ascii="Arial" w:hAnsi="Arial" w:cs="Arial"/>
          <w:b/>
          <w:bCs/>
          <w:szCs w:val="21"/>
          <w:highlight w:val="none"/>
          <w:lang w:val="en-US" w:eastAsia="zh-CN"/>
        </w:rPr>
        <w:t>★八、配套血液透析中心智能化管理软件一套（实现所投血透设备与科室血液透析中心智能管理系统直接联网，采集透析设备数据，支持操作界面、患者管理、患者排班管理、透析管理、耗材库房管理、医嘱管理、设备管理、数据统计分析、质量管理、患者自助签到终端、医护交互平台、医护排班、数据上报、费用管理、工程师工作站、待办事项、设备联机、系统管理、慢病管理）。</w:t>
      </w:r>
    </w:p>
    <w:p>
      <w:pPr>
        <w:pageBreakBefore w:val="0"/>
        <w:kinsoku/>
        <w:wordWrap/>
        <w:overflowPunct/>
        <w:topLinePunct w:val="0"/>
        <w:bidi w:val="0"/>
        <w:spacing w:after="0" w:line="288" w:lineRule="auto"/>
        <w:rPr>
          <w:rFonts w:ascii="Arial" w:hAnsi="Arial" w:cs="Arial"/>
          <w:b/>
          <w:bCs/>
          <w:sz w:val="28"/>
          <w:szCs w:val="36"/>
          <w:highlight w:val="none"/>
        </w:rPr>
      </w:pPr>
      <w:r>
        <w:rPr>
          <w:rFonts w:hint="eastAsia" w:ascii="Arial" w:hAnsi="Arial" w:cs="Arial"/>
          <w:b/>
          <w:bCs/>
          <w:sz w:val="28"/>
          <w:szCs w:val="36"/>
          <w:highlight w:val="none"/>
        </w:rPr>
        <w:br w:type="page"/>
      </w:r>
    </w:p>
    <w:tbl>
      <w:tblPr>
        <w:tblStyle w:val="49"/>
        <w:tblW w:w="55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52"/>
        <w:gridCol w:w="1277"/>
        <w:gridCol w:w="57"/>
        <w:gridCol w:w="713"/>
        <w:gridCol w:w="7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4" w:hRule="atLeast"/>
          <w:jc w:val="center"/>
        </w:trPr>
        <w:tc>
          <w:tcPr>
            <w:tcW w:w="5000" w:type="pct"/>
            <w:gridSpan w:val="5"/>
            <w:noWrap w:val="0"/>
            <w:tcMar>
              <w:top w:w="13"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val="0"/>
              <w:spacing w:after="0" w:line="288" w:lineRule="auto"/>
              <w:jc w:val="left"/>
              <w:rPr>
                <w:rFonts w:ascii="Arial" w:hAnsi="Arial" w:cs="Arial"/>
                <w:b/>
                <w:bCs/>
                <w:szCs w:val="21"/>
              </w:rPr>
            </w:pPr>
            <w:r>
              <w:rPr>
                <w:rFonts w:ascii="Arial" w:hAnsi="Arial" w:cs="Arial"/>
                <w:b/>
                <w:bCs/>
                <w:szCs w:val="21"/>
              </w:rPr>
              <w:t>一、技术要求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319" w:type="pct"/>
            <w:noWrap w:val="0"/>
            <w:tcMar>
              <w:top w:w="13"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after="0" w:line="288" w:lineRule="auto"/>
              <w:jc w:val="center"/>
              <w:rPr>
                <w:rFonts w:ascii="Arial" w:hAnsi="Arial" w:cs="Arial"/>
                <w:b/>
                <w:bCs/>
                <w:szCs w:val="21"/>
              </w:rPr>
            </w:pPr>
            <w:r>
              <w:rPr>
                <w:rFonts w:ascii="Arial" w:hAnsi="Arial" w:cs="Arial"/>
                <w:b/>
                <w:bCs/>
                <w:szCs w:val="21"/>
              </w:rPr>
              <w:t>序号</w:t>
            </w:r>
          </w:p>
        </w:tc>
        <w:tc>
          <w:tcPr>
            <w:tcW w:w="625" w:type="pct"/>
            <w:noWrap w:val="0"/>
            <w:tcMar>
              <w:top w:w="13"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after="0" w:line="288" w:lineRule="auto"/>
              <w:jc w:val="center"/>
              <w:rPr>
                <w:rFonts w:ascii="Arial" w:hAnsi="Arial" w:cs="Arial"/>
                <w:b/>
                <w:bCs/>
                <w:szCs w:val="21"/>
              </w:rPr>
            </w:pPr>
            <w:r>
              <w:rPr>
                <w:rFonts w:ascii="Arial" w:hAnsi="Arial" w:cs="Arial"/>
                <w:b/>
                <w:bCs/>
                <w:szCs w:val="21"/>
              </w:rPr>
              <w:t>标的名称</w:t>
            </w:r>
          </w:p>
        </w:tc>
        <w:tc>
          <w:tcPr>
            <w:tcW w:w="377" w:type="pct"/>
            <w:gridSpan w:val="2"/>
            <w:noWrap w:val="0"/>
            <w:tcMar>
              <w:top w:w="13"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after="0" w:line="288" w:lineRule="auto"/>
              <w:jc w:val="center"/>
              <w:rPr>
                <w:rFonts w:ascii="Arial" w:hAnsi="Arial" w:cs="Arial"/>
                <w:b/>
                <w:bCs/>
                <w:szCs w:val="21"/>
              </w:rPr>
            </w:pPr>
            <w:r>
              <w:rPr>
                <w:rFonts w:ascii="Arial" w:hAnsi="Arial" w:cs="Arial"/>
                <w:b/>
                <w:bCs/>
                <w:szCs w:val="21"/>
              </w:rPr>
              <w:t>数量/</w:t>
            </w:r>
          </w:p>
          <w:p>
            <w:pPr>
              <w:keepNext w:val="0"/>
              <w:keepLines w:val="0"/>
              <w:pageBreakBefore w:val="0"/>
              <w:kinsoku/>
              <w:wordWrap/>
              <w:overflowPunct/>
              <w:topLinePunct w:val="0"/>
              <w:autoSpaceDE/>
              <w:autoSpaceDN/>
              <w:bidi w:val="0"/>
              <w:adjustRightInd w:val="0"/>
              <w:snapToGrid w:val="0"/>
              <w:spacing w:after="0" w:line="288" w:lineRule="auto"/>
              <w:jc w:val="center"/>
              <w:rPr>
                <w:rFonts w:ascii="Arial" w:hAnsi="Arial" w:cs="Arial"/>
                <w:b/>
                <w:bCs/>
                <w:szCs w:val="21"/>
              </w:rPr>
            </w:pPr>
            <w:r>
              <w:rPr>
                <w:rFonts w:ascii="Arial" w:hAnsi="Arial" w:cs="Arial"/>
                <w:b/>
                <w:bCs/>
                <w:szCs w:val="21"/>
              </w:rPr>
              <w:t>单位</w:t>
            </w:r>
          </w:p>
        </w:tc>
        <w:tc>
          <w:tcPr>
            <w:tcW w:w="3677" w:type="pct"/>
            <w:noWrap w:val="0"/>
            <w:tcMar>
              <w:top w:w="13"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after="0" w:line="288" w:lineRule="auto"/>
              <w:jc w:val="center"/>
              <w:rPr>
                <w:rFonts w:ascii="Arial" w:hAnsi="Arial" w:cs="Arial"/>
                <w:b/>
                <w:bCs/>
                <w:szCs w:val="21"/>
              </w:rPr>
            </w:pPr>
            <w:r>
              <w:rPr>
                <w:rFonts w:ascii="Arial" w:hAnsi="Arial" w:cs="Arial"/>
                <w:b/>
                <w:bCs/>
                <w:szCs w:val="21"/>
              </w:rPr>
              <w:t>技术及服务要求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9" w:type="pct"/>
            <w:noWrap w:val="0"/>
            <w:tcMar>
              <w:top w:w="13"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after="0" w:line="288" w:lineRule="auto"/>
              <w:jc w:val="center"/>
              <w:rPr>
                <w:rFonts w:ascii="Arial" w:hAnsi="Arial" w:cs="Arial"/>
                <w:szCs w:val="21"/>
              </w:rPr>
            </w:pPr>
            <w:r>
              <w:rPr>
                <w:rFonts w:ascii="Arial" w:hAnsi="Arial" w:cs="Arial"/>
                <w:szCs w:val="21"/>
              </w:rPr>
              <w:t>1</w:t>
            </w:r>
          </w:p>
        </w:tc>
        <w:tc>
          <w:tcPr>
            <w:tcW w:w="625" w:type="pct"/>
            <w:noWrap w:val="0"/>
            <w:tcMar>
              <w:top w:w="13"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88" w:lineRule="auto"/>
              <w:jc w:val="center"/>
              <w:rPr>
                <w:rFonts w:ascii="Arial" w:hAnsi="Arial" w:cs="Arial"/>
                <w:szCs w:val="21"/>
              </w:rPr>
            </w:pPr>
            <w:r>
              <w:rPr>
                <w:rFonts w:ascii="Arial" w:hAnsi="Arial" w:cs="Arial"/>
                <w:szCs w:val="21"/>
              </w:rPr>
              <w:t>血液透析用制水设备</w:t>
            </w:r>
          </w:p>
        </w:tc>
        <w:tc>
          <w:tcPr>
            <w:tcW w:w="377" w:type="pct"/>
            <w:gridSpan w:val="2"/>
            <w:noWrap w:val="0"/>
            <w:tcMar>
              <w:top w:w="13"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88" w:lineRule="auto"/>
              <w:jc w:val="center"/>
              <w:rPr>
                <w:rFonts w:ascii="Arial" w:hAnsi="Arial" w:cs="Arial"/>
                <w:szCs w:val="21"/>
              </w:rPr>
            </w:pPr>
            <w:r>
              <w:rPr>
                <w:rFonts w:ascii="Arial" w:hAnsi="Arial" w:cs="Arial"/>
                <w:szCs w:val="21"/>
              </w:rPr>
              <w:t>1套</w:t>
            </w:r>
          </w:p>
        </w:tc>
        <w:tc>
          <w:tcPr>
            <w:tcW w:w="3677" w:type="pct"/>
            <w:noWrap w:val="0"/>
            <w:tcMar>
              <w:top w:w="13"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ascii="Arial" w:hAnsi="Arial" w:cs="Arial"/>
                <w:b/>
                <w:szCs w:val="21"/>
              </w:rPr>
            </w:pPr>
            <w:r>
              <w:rPr>
                <w:rFonts w:ascii="Arial" w:hAnsi="Arial" w:cs="Arial"/>
                <w:kern w:val="0"/>
                <w:szCs w:val="21"/>
              </w:rPr>
              <w:t>1、</w:t>
            </w:r>
            <w:r>
              <w:rPr>
                <w:rFonts w:ascii="Arial" w:hAnsi="Arial" w:cs="Arial"/>
                <w:szCs w:val="21"/>
              </w:rPr>
              <w:t>水质完全符合YY0572-2015血液透析和相关治疗用水标准.</w:t>
            </w:r>
          </w:p>
          <w:p>
            <w:pPr>
              <w:keepNext w:val="0"/>
              <w:keepLines w:val="0"/>
              <w:pageBreakBefore w:val="0"/>
              <w:kinsoku/>
              <w:wordWrap/>
              <w:overflowPunct/>
              <w:topLinePunct w:val="0"/>
              <w:autoSpaceDE/>
              <w:autoSpaceDN/>
              <w:bidi w:val="0"/>
              <w:adjustRightInd w:val="0"/>
              <w:snapToGrid w:val="0"/>
              <w:spacing w:after="0" w:line="288" w:lineRule="auto"/>
              <w:textAlignment w:val="auto"/>
              <w:rPr>
                <w:rFonts w:ascii="Arial" w:hAnsi="Arial" w:cs="Arial"/>
                <w:szCs w:val="21"/>
              </w:rPr>
            </w:pPr>
            <w:r>
              <w:rPr>
                <w:rFonts w:ascii="Arial" w:hAnsi="Arial" w:cs="Arial"/>
                <w:szCs w:val="21"/>
              </w:rPr>
              <w:t>2、产水量：产水量≥1000L/H（25℃），能同时满足≥25台血透机使用。</w:t>
            </w:r>
          </w:p>
          <w:p>
            <w:pPr>
              <w:keepNext w:val="0"/>
              <w:keepLines w:val="0"/>
              <w:pageBreakBefore w:val="0"/>
              <w:tabs>
                <w:tab w:val="left" w:pos="5565"/>
              </w:tabs>
              <w:kinsoku/>
              <w:wordWrap/>
              <w:overflowPunct/>
              <w:topLinePunct w:val="0"/>
              <w:autoSpaceDE/>
              <w:autoSpaceDN/>
              <w:bidi w:val="0"/>
              <w:adjustRightInd w:val="0"/>
              <w:snapToGrid w:val="0"/>
              <w:spacing w:after="0" w:line="288" w:lineRule="auto"/>
              <w:textAlignment w:val="auto"/>
              <w:rPr>
                <w:rFonts w:ascii="Arial" w:hAnsi="Arial" w:cs="Arial"/>
                <w:szCs w:val="21"/>
              </w:rPr>
            </w:pPr>
            <w:r>
              <w:rPr>
                <w:rFonts w:ascii="Arial" w:hAnsi="Arial" w:cs="Arial"/>
                <w:szCs w:val="21"/>
              </w:rPr>
              <w:t>3、溶解盐去除率：≥97% 。</w:t>
            </w:r>
            <w:bookmarkStart w:id="26" w:name="_Hlk47598710"/>
            <w:r>
              <w:rPr>
                <w:rFonts w:ascii="Arial" w:hAnsi="Arial" w:cs="Arial"/>
                <w:szCs w:val="21"/>
              </w:rPr>
              <w:t>回收率≥75%。</w:t>
            </w:r>
            <w:bookmarkEnd w:id="26"/>
          </w:p>
          <w:p>
            <w:pPr>
              <w:keepNext w:val="0"/>
              <w:keepLines w:val="0"/>
              <w:pageBreakBefore w:val="0"/>
              <w:tabs>
                <w:tab w:val="left" w:pos="5565"/>
              </w:tabs>
              <w:kinsoku/>
              <w:wordWrap/>
              <w:overflowPunct/>
              <w:topLinePunct w:val="0"/>
              <w:autoSpaceDE/>
              <w:autoSpaceDN/>
              <w:bidi w:val="0"/>
              <w:adjustRightInd w:val="0"/>
              <w:snapToGrid w:val="0"/>
              <w:spacing w:after="0" w:line="288" w:lineRule="auto"/>
              <w:textAlignment w:val="auto"/>
              <w:rPr>
                <w:rFonts w:ascii="Arial" w:hAnsi="Arial" w:cs="Arial"/>
                <w:szCs w:val="21"/>
              </w:rPr>
            </w:pPr>
            <w:r>
              <w:rPr>
                <w:rFonts w:ascii="Arial" w:hAnsi="Arial" w:cs="Arial"/>
                <w:szCs w:val="21"/>
              </w:rPr>
              <w:t>4、水质要求细菌总数 &lt;100cfu/ml; 内毒素&lt;0.03EU/ml （</w:t>
            </w:r>
            <w:r>
              <w:rPr>
                <w:rFonts w:hint="eastAsia"/>
              </w:rPr>
              <w:t>投标人于投标文件中提供国家认可的第三方检测报告复印件并加盖单位公章</w:t>
            </w:r>
            <w:r>
              <w:rPr>
                <w:rFonts w:ascii="Arial" w:hAnsi="Arial" w:cs="Arial"/>
                <w:szCs w:val="21"/>
              </w:rPr>
              <w:t xml:space="preserve">）      </w:t>
            </w:r>
          </w:p>
          <w:p>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ascii="Arial" w:hAnsi="Arial" w:cs="Arial"/>
                <w:b/>
                <w:bCs/>
                <w:kern w:val="0"/>
                <w:szCs w:val="21"/>
              </w:rPr>
            </w:pPr>
            <w:r>
              <w:rPr>
                <w:rFonts w:ascii="Arial" w:hAnsi="Arial" w:cs="Arial"/>
                <w:kern w:val="0"/>
                <w:szCs w:val="21"/>
              </w:rPr>
              <w:t>5、控制方式：</w:t>
            </w:r>
            <w:r>
              <w:rPr>
                <w:rFonts w:ascii="Arial" w:hAnsi="Arial" w:cs="Arial"/>
                <w:szCs w:val="21"/>
              </w:rPr>
              <w:t>运用PLC控制技术、全自动运行。</w:t>
            </w:r>
          </w:p>
          <w:p>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ascii="Arial" w:hAnsi="Arial" w:cs="Arial"/>
                <w:kern w:val="0"/>
                <w:szCs w:val="21"/>
              </w:rPr>
            </w:pPr>
            <w:r>
              <w:rPr>
                <w:rFonts w:ascii="Arial" w:hAnsi="Arial" w:cs="Arial"/>
                <w:kern w:val="0"/>
                <w:szCs w:val="21"/>
              </w:rPr>
              <w:t>6、水处理工艺：双级反渗透耦合，系统</w:t>
            </w:r>
            <w:r>
              <w:rPr>
                <w:rFonts w:hint="eastAsia" w:ascii="Arial" w:hAnsi="Arial" w:cs="Arial"/>
                <w:kern w:val="0"/>
                <w:szCs w:val="21"/>
              </w:rPr>
              <w:t>为</w:t>
            </w:r>
            <w:r>
              <w:rPr>
                <w:rFonts w:ascii="Arial" w:hAnsi="Arial" w:cs="Arial"/>
                <w:kern w:val="0"/>
                <w:szCs w:val="21"/>
              </w:rPr>
              <w:t>一二级全封闭直接对接方式。</w:t>
            </w:r>
          </w:p>
          <w:p>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ascii="Arial" w:hAnsi="Arial" w:cs="Arial"/>
                <w:kern w:val="0"/>
                <w:szCs w:val="21"/>
              </w:rPr>
            </w:pPr>
            <w:r>
              <w:rPr>
                <w:rFonts w:ascii="Arial" w:hAnsi="Arial" w:cs="Arial"/>
                <w:kern w:val="0"/>
                <w:szCs w:val="21"/>
              </w:rPr>
              <w:t>7、预处理提示功能：当系统运行时，预处理发生时间错误，导致再生和冲洗时，会自动关闭进水阀，出现报警并提示请将预处理调整到正常工作位置，防止硬水和无过滤水进入反渗透系统，提高透析安全。</w:t>
            </w:r>
          </w:p>
          <w:p>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ascii="Arial" w:hAnsi="Arial" w:cs="Arial"/>
                <w:b/>
                <w:bCs/>
                <w:kern w:val="0"/>
                <w:szCs w:val="21"/>
              </w:rPr>
            </w:pPr>
            <w:r>
              <w:rPr>
                <w:rFonts w:ascii="Arial" w:hAnsi="Arial" w:cs="Arial"/>
                <w:b/>
                <w:bCs/>
                <w:szCs w:val="21"/>
              </w:rPr>
              <w:t>★8、</w:t>
            </w:r>
            <w:r>
              <w:rPr>
                <w:rFonts w:ascii="Arial" w:hAnsi="Arial" w:cs="Arial"/>
                <w:b/>
                <w:bCs/>
                <w:kern w:val="0"/>
                <w:szCs w:val="21"/>
              </w:rPr>
              <w:t>工作模式：多种工作模式、</w:t>
            </w:r>
            <w:r>
              <w:rPr>
                <w:rFonts w:hint="eastAsia" w:ascii="Arial" w:hAnsi="Arial" w:cs="Arial"/>
                <w:b/>
                <w:bCs/>
                <w:kern w:val="0"/>
                <w:szCs w:val="21"/>
              </w:rPr>
              <w:t>单一级、单二级</w:t>
            </w:r>
            <w:r>
              <w:rPr>
                <w:rFonts w:ascii="Arial" w:hAnsi="Arial" w:cs="Arial"/>
                <w:b/>
                <w:bCs/>
                <w:kern w:val="0"/>
                <w:szCs w:val="21"/>
              </w:rPr>
              <w:t xml:space="preserve">可切换单独使用. </w:t>
            </w:r>
          </w:p>
          <w:p>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ascii="Arial" w:hAnsi="Arial" w:cs="Arial"/>
                <w:kern w:val="0"/>
                <w:szCs w:val="21"/>
              </w:rPr>
            </w:pPr>
            <w:r>
              <w:rPr>
                <w:rFonts w:ascii="Arial" w:hAnsi="Arial" w:cs="Arial"/>
                <w:kern w:val="0"/>
                <w:szCs w:val="21"/>
              </w:rPr>
              <w:t>9、抑菌功能：设备全自动运行，可设置周一到周日的自动开、停机时间，待机状态下系统管路自动冲洗功能，有效抑制菌类的滋生.</w:t>
            </w:r>
          </w:p>
          <w:p>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ascii="Arial" w:hAnsi="Arial" w:cs="Arial"/>
                <w:b/>
                <w:bCs/>
                <w:kern w:val="0"/>
                <w:szCs w:val="21"/>
              </w:rPr>
            </w:pPr>
            <w:r>
              <w:rPr>
                <w:rFonts w:ascii="Arial" w:hAnsi="Arial" w:cs="Arial"/>
                <w:b/>
                <w:bCs/>
                <w:szCs w:val="21"/>
              </w:rPr>
              <w:t>★</w:t>
            </w:r>
            <w:r>
              <w:rPr>
                <w:rFonts w:ascii="Arial" w:hAnsi="Arial" w:cs="Arial"/>
                <w:b/>
                <w:bCs/>
                <w:kern w:val="0"/>
                <w:szCs w:val="21"/>
              </w:rPr>
              <w:t>10、 消毒功能：系统自带一键式化学消毒和一键式热消毒功能；消毒运行后具有声音提示，在线显示运行时间、并记录消毒液清洗运行时间，并可对消毒运行是否完整进行验证，确保消毒的安全。</w:t>
            </w:r>
            <w:r>
              <w:rPr>
                <w:rFonts w:ascii="Arial" w:hAnsi="Arial" w:cs="Arial"/>
                <w:b/>
                <w:bCs/>
                <w:szCs w:val="21"/>
              </w:rPr>
              <w:t>一键式热消毒系统，</w:t>
            </w:r>
            <w:r>
              <w:rPr>
                <w:rFonts w:ascii="Arial" w:hAnsi="Arial" w:cs="Arial"/>
                <w:b/>
                <w:bCs/>
                <w:kern w:val="0"/>
                <w:szCs w:val="21"/>
              </w:rPr>
              <w:t>热消毒装置采用无接触式电磁感应加热技术，热效率≥98％，加热系统无储存水箱，正常运行时无死腔全循环。</w:t>
            </w:r>
            <w:r>
              <w:rPr>
                <w:rFonts w:ascii="Arial" w:hAnsi="Arial" w:cs="Arial"/>
                <w:b/>
                <w:bCs/>
                <w:szCs w:val="21"/>
              </w:rPr>
              <w:t>安全高效、节能环保,并具备定时开关功能：无需人员值守，全自动完成，并记录消毒过程和消毒温度。</w:t>
            </w:r>
          </w:p>
          <w:p>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ascii="Arial" w:hAnsi="Arial" w:cs="Arial"/>
                <w:kern w:val="0"/>
                <w:szCs w:val="21"/>
              </w:rPr>
            </w:pPr>
            <w:r>
              <w:rPr>
                <w:rFonts w:ascii="Arial" w:hAnsi="Arial" w:cs="Arial"/>
                <w:kern w:val="0"/>
                <w:szCs w:val="21"/>
              </w:rPr>
              <w:t>11、反渗透膜自动冲洗，间隔时间可调，开机、关机自动大流量冲洗，排出淤积水，同时运行中自动检测工作状况，随时进行冲洗。停用后，具有反渗透膜及管道自动冲洗功能，防止系统细菌滋生。</w:t>
            </w:r>
          </w:p>
          <w:p>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ascii="Arial" w:hAnsi="Arial" w:cs="Arial"/>
                <w:kern w:val="0"/>
                <w:szCs w:val="21"/>
              </w:rPr>
            </w:pPr>
            <w:r>
              <w:rPr>
                <w:rFonts w:ascii="Arial" w:hAnsi="Arial" w:cs="Arial"/>
                <w:kern w:val="0"/>
                <w:szCs w:val="21"/>
              </w:rPr>
              <w:t>12、智能安全保护措施，密码进入操作界面。有运行温度/电导率显示和记录，具有记录高压泵、电动阀等部件使用程度的长期数据，以备运行状态分析所用，同时自动保存。</w:t>
            </w:r>
          </w:p>
          <w:p>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ascii="Arial" w:hAnsi="Arial" w:cs="Arial"/>
                <w:kern w:val="0"/>
                <w:szCs w:val="21"/>
              </w:rPr>
            </w:pPr>
            <w:r>
              <w:rPr>
                <w:rFonts w:ascii="Arial" w:hAnsi="Arial" w:cs="Arial"/>
                <w:kern w:val="0"/>
                <w:szCs w:val="21"/>
              </w:rPr>
              <w:t xml:space="preserve">13、在线监测一、二级纯水水质，具有纯水水质超标报警功能：具有完善的无水、压力、电源保护多种安全自锁功能 </w:t>
            </w:r>
          </w:p>
          <w:p>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ascii="Arial" w:hAnsi="Arial" w:cs="Arial"/>
                <w:kern w:val="0"/>
                <w:szCs w:val="21"/>
              </w:rPr>
            </w:pPr>
            <w:r>
              <w:rPr>
                <w:rFonts w:ascii="Arial" w:hAnsi="Arial" w:cs="Arial"/>
                <w:kern w:val="0"/>
                <w:szCs w:val="21"/>
              </w:rPr>
              <w:t>14、控制屏：全彩触摸屏尺寸要求≥7"，工艺过程及运行参数实时显示.自动累计工作时间和部件使用频率。</w:t>
            </w:r>
          </w:p>
          <w:p>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ascii="Arial" w:hAnsi="Arial" w:cs="Arial"/>
                <w:b/>
                <w:szCs w:val="21"/>
              </w:rPr>
            </w:pPr>
            <w:r>
              <w:rPr>
                <w:rFonts w:ascii="Arial" w:hAnsi="Arial" w:cs="Arial"/>
                <w:kern w:val="0"/>
                <w:szCs w:val="21"/>
              </w:rPr>
              <w:t>15、采用直连式无死腔反渗透膜壳，使反渗透膜在运行时能实现全循环，可避免反渗透膜细菌的滋生</w:t>
            </w:r>
            <w:r>
              <w:rPr>
                <w:rFonts w:ascii="Arial" w:hAnsi="Arial" w:cs="Arial"/>
                <w:b/>
                <w:szCs w:val="21"/>
              </w:rPr>
              <w:t>。</w:t>
            </w:r>
          </w:p>
          <w:p>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ascii="Arial" w:hAnsi="Arial" w:cs="Arial"/>
                <w:kern w:val="0"/>
                <w:szCs w:val="21"/>
              </w:rPr>
            </w:pPr>
            <w:r>
              <w:rPr>
                <w:rFonts w:ascii="Arial" w:hAnsi="Arial" w:cs="Arial"/>
                <w:kern w:val="0"/>
                <w:szCs w:val="21"/>
              </w:rPr>
              <w:t>16、故障的应急功能：自检解决帮助功能、多种应急方案以保证设备的运行。</w:t>
            </w:r>
          </w:p>
          <w:p>
            <w:pPr>
              <w:keepNext w:val="0"/>
              <w:keepLines w:val="0"/>
              <w:pageBreakBefore w:val="0"/>
              <w:kinsoku/>
              <w:wordWrap/>
              <w:overflowPunct/>
              <w:topLinePunct w:val="0"/>
              <w:autoSpaceDE/>
              <w:autoSpaceDN/>
              <w:bidi w:val="0"/>
              <w:adjustRightInd w:val="0"/>
              <w:snapToGrid w:val="0"/>
              <w:spacing w:after="0" w:line="288" w:lineRule="auto"/>
              <w:textAlignment w:val="auto"/>
              <w:rPr>
                <w:rFonts w:ascii="Arial" w:hAnsi="Arial" w:cs="Arial"/>
                <w:szCs w:val="21"/>
              </w:rPr>
            </w:pPr>
            <w:r>
              <w:rPr>
                <w:rFonts w:ascii="Arial" w:hAnsi="Arial" w:cs="Arial"/>
                <w:szCs w:val="21"/>
              </w:rPr>
              <w:t>17、原水增压泵：独立变频，压力变送器控制，全自动加压泵组件，带有低压不锈钢保护装置，可防止加压泵无水空转。</w:t>
            </w:r>
          </w:p>
          <w:p>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ascii="Arial" w:hAnsi="Arial" w:cs="Arial"/>
                <w:b/>
                <w:szCs w:val="21"/>
              </w:rPr>
            </w:pPr>
            <w:r>
              <w:rPr>
                <w:rFonts w:ascii="Arial" w:hAnsi="Arial" w:cs="Arial"/>
                <w:szCs w:val="21"/>
              </w:rPr>
              <w:t>18、纯水供水采用大循环恒压供水模式，管路中应增加留样功能装置</w:t>
            </w:r>
          </w:p>
          <w:p>
            <w:pPr>
              <w:keepNext w:val="0"/>
              <w:keepLines w:val="0"/>
              <w:pageBreakBefore w:val="0"/>
              <w:kinsoku/>
              <w:wordWrap/>
              <w:overflowPunct/>
              <w:topLinePunct w:val="0"/>
              <w:autoSpaceDE/>
              <w:autoSpaceDN/>
              <w:bidi w:val="0"/>
              <w:adjustRightInd w:val="0"/>
              <w:snapToGrid w:val="0"/>
              <w:spacing w:after="0" w:line="288" w:lineRule="auto"/>
              <w:jc w:val="left"/>
              <w:textAlignment w:val="auto"/>
              <w:rPr>
                <w:rFonts w:ascii="Arial" w:hAnsi="Arial" w:cs="Arial"/>
                <w:szCs w:val="21"/>
              </w:rPr>
            </w:pPr>
            <w:r>
              <w:rPr>
                <w:rFonts w:ascii="Arial" w:hAnsi="Arial" w:cs="Arial"/>
                <w:szCs w:val="21"/>
              </w:rPr>
              <w:t>19、采用压力传感器监测压力。</w:t>
            </w:r>
          </w:p>
          <w:p>
            <w:pPr>
              <w:keepNext w:val="0"/>
              <w:keepLines w:val="0"/>
              <w:pageBreakBefore w:val="0"/>
              <w:kinsoku/>
              <w:wordWrap/>
              <w:overflowPunct/>
              <w:topLinePunct w:val="0"/>
              <w:autoSpaceDE/>
              <w:autoSpaceDN/>
              <w:bidi w:val="0"/>
              <w:adjustRightInd w:val="0"/>
              <w:snapToGrid w:val="0"/>
              <w:spacing w:after="0" w:line="288" w:lineRule="auto"/>
              <w:jc w:val="left"/>
              <w:textAlignment w:val="auto"/>
              <w:rPr>
                <w:rFonts w:ascii="Arial" w:hAnsi="Arial" w:cs="Arial"/>
                <w:b/>
                <w:kern w:val="0"/>
                <w:szCs w:val="21"/>
              </w:rPr>
            </w:pPr>
          </w:p>
          <w:p>
            <w:pPr>
              <w:keepNext w:val="0"/>
              <w:keepLines w:val="0"/>
              <w:pageBreakBefore w:val="0"/>
              <w:kinsoku/>
              <w:wordWrap/>
              <w:overflowPunct/>
              <w:topLinePunct w:val="0"/>
              <w:autoSpaceDE/>
              <w:autoSpaceDN/>
              <w:bidi w:val="0"/>
              <w:adjustRightInd w:val="0"/>
              <w:snapToGrid w:val="0"/>
              <w:spacing w:after="0" w:line="288" w:lineRule="auto"/>
              <w:jc w:val="left"/>
              <w:textAlignment w:val="auto"/>
              <w:rPr>
                <w:rFonts w:ascii="Arial" w:hAnsi="Arial" w:cs="Arial"/>
                <w:b/>
                <w:kern w:val="0"/>
                <w:szCs w:val="21"/>
              </w:rPr>
            </w:pPr>
            <w:r>
              <w:rPr>
                <w:rFonts w:ascii="Arial" w:hAnsi="Arial" w:cs="Arial"/>
                <w:b/>
                <w:kern w:val="0"/>
                <w:szCs w:val="21"/>
              </w:rPr>
              <w:t>二、配置要求</w:t>
            </w:r>
          </w:p>
          <w:p>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ascii="Arial" w:hAnsi="Arial" w:cs="Arial"/>
                <w:szCs w:val="21"/>
              </w:rPr>
            </w:pPr>
            <w:r>
              <w:rPr>
                <w:rFonts w:ascii="Arial" w:hAnsi="Arial" w:cs="Arial"/>
                <w:kern w:val="0"/>
                <w:szCs w:val="21"/>
              </w:rPr>
              <w:t xml:space="preserve">2.1、前处理系统 </w:t>
            </w:r>
          </w:p>
          <w:p>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ascii="Arial" w:hAnsi="Arial" w:cs="Arial"/>
                <w:kern w:val="0"/>
                <w:szCs w:val="21"/>
              </w:rPr>
            </w:pPr>
            <w:r>
              <w:rPr>
                <w:rFonts w:ascii="Arial" w:hAnsi="Arial" w:cs="Arial"/>
                <w:kern w:val="0"/>
                <w:szCs w:val="21"/>
              </w:rPr>
              <w:t>2.1.1 原水加压泵（不锈钢材料：</w:t>
            </w:r>
            <w:r>
              <w:rPr>
                <w:rFonts w:ascii="Arial" w:hAnsi="Arial" w:cs="Arial"/>
                <w:szCs w:val="21"/>
              </w:rPr>
              <w:t>泵，配变频器</w:t>
            </w:r>
            <w:r>
              <w:rPr>
                <w:rFonts w:ascii="Arial" w:hAnsi="Arial" w:cs="Arial"/>
                <w:kern w:val="0"/>
                <w:szCs w:val="21"/>
              </w:rPr>
              <w:t>）1套</w:t>
            </w:r>
          </w:p>
          <w:p>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ascii="Arial" w:hAnsi="Arial" w:cs="Arial"/>
                <w:kern w:val="0"/>
                <w:szCs w:val="21"/>
              </w:rPr>
            </w:pPr>
            <w:r>
              <w:rPr>
                <w:rFonts w:ascii="Arial" w:hAnsi="Arial" w:cs="Arial"/>
                <w:kern w:val="0"/>
                <w:szCs w:val="21"/>
              </w:rPr>
              <w:t>2.1.2多介质过滤器（规格≥1665，玻璃钢材料；配有自动冲洗控制器；石英砂填料） 1套</w:t>
            </w:r>
          </w:p>
          <w:p>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ascii="Arial" w:hAnsi="Arial" w:cs="Arial"/>
                <w:kern w:val="0"/>
                <w:szCs w:val="21"/>
              </w:rPr>
            </w:pPr>
            <w:r>
              <w:rPr>
                <w:rFonts w:ascii="Arial" w:hAnsi="Arial" w:cs="Arial"/>
                <w:kern w:val="0"/>
                <w:szCs w:val="21"/>
              </w:rPr>
              <w:t>2.1.3活性炭过滤器（规格≥1665，玻璃钢材料；配有自动冲洗控制器；活性碳填料）1套</w:t>
            </w:r>
          </w:p>
          <w:p>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ascii="Arial" w:hAnsi="Arial" w:cs="Arial"/>
                <w:kern w:val="0"/>
                <w:szCs w:val="21"/>
              </w:rPr>
            </w:pPr>
            <w:r>
              <w:rPr>
                <w:rFonts w:ascii="Arial" w:hAnsi="Arial" w:cs="Arial"/>
                <w:kern w:val="0"/>
                <w:szCs w:val="21"/>
              </w:rPr>
              <w:t>2.1.4 软化器（规格≥1665，玻璃钢材料；配有自动冲洗控制器；阳树脂填料） 1套</w:t>
            </w:r>
          </w:p>
          <w:p>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ascii="Arial" w:hAnsi="Arial" w:cs="Arial"/>
                <w:kern w:val="0"/>
                <w:szCs w:val="21"/>
              </w:rPr>
            </w:pPr>
            <w:r>
              <w:rPr>
                <w:rFonts w:ascii="Arial" w:hAnsi="Arial" w:cs="Arial"/>
                <w:kern w:val="0"/>
                <w:szCs w:val="21"/>
              </w:rPr>
              <w:t>2.1.5 精密/保安过滤器（SUS304材质；规格≥25英寸5芯） 1套</w:t>
            </w:r>
          </w:p>
          <w:p>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ascii="Arial" w:hAnsi="Arial" w:cs="Arial"/>
                <w:b/>
                <w:kern w:val="0"/>
                <w:szCs w:val="21"/>
              </w:rPr>
            </w:pPr>
            <w:r>
              <w:rPr>
                <w:rFonts w:ascii="Arial" w:hAnsi="Arial" w:cs="Arial"/>
                <w:kern w:val="0"/>
                <w:szCs w:val="21"/>
              </w:rPr>
              <w:t>2.1.6 平衡器（容积≥70L，</w:t>
            </w:r>
            <w:r>
              <w:rPr>
                <w:rFonts w:hint="eastAsia" w:ascii="Arial" w:hAnsi="Arial" w:cs="Arial"/>
                <w:kern w:val="0"/>
                <w:szCs w:val="21"/>
              </w:rPr>
              <w:t>SUS</w:t>
            </w:r>
            <w:r>
              <w:rPr>
                <w:rFonts w:ascii="Arial" w:hAnsi="Arial" w:cs="Arial"/>
                <w:kern w:val="0"/>
                <w:szCs w:val="21"/>
              </w:rPr>
              <w:t>304不锈钢材料） 1套</w:t>
            </w:r>
          </w:p>
          <w:p>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ascii="Arial" w:hAnsi="Arial" w:cs="Arial"/>
                <w:b/>
                <w:kern w:val="0"/>
                <w:szCs w:val="21"/>
              </w:rPr>
            </w:pPr>
            <w:r>
              <w:rPr>
                <w:rFonts w:ascii="Arial" w:hAnsi="Arial" w:cs="Arial"/>
                <w:b/>
                <w:kern w:val="0"/>
                <w:szCs w:val="21"/>
              </w:rPr>
              <w:t>2.2 反渗透系统</w:t>
            </w:r>
          </w:p>
          <w:p>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ascii="Arial" w:hAnsi="Arial" w:cs="Arial"/>
                <w:kern w:val="0"/>
                <w:szCs w:val="21"/>
              </w:rPr>
            </w:pPr>
            <w:r>
              <w:rPr>
                <w:rFonts w:ascii="Arial" w:hAnsi="Arial" w:cs="Arial"/>
                <w:kern w:val="0"/>
                <w:szCs w:val="21"/>
              </w:rPr>
              <w:t>2.2.1 一级高压泵（不锈钢材料；</w:t>
            </w:r>
            <w:r>
              <w:rPr>
                <w:rFonts w:ascii="Arial" w:hAnsi="Arial" w:cs="Arial"/>
                <w:szCs w:val="21"/>
              </w:rPr>
              <w:t>离心泵</w:t>
            </w:r>
            <w:r>
              <w:rPr>
                <w:rFonts w:ascii="Arial" w:hAnsi="Arial" w:cs="Arial"/>
                <w:kern w:val="0"/>
                <w:szCs w:val="21"/>
              </w:rPr>
              <w:t>） 1台</w:t>
            </w:r>
          </w:p>
          <w:p>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ascii="Arial" w:hAnsi="Arial" w:cs="Arial"/>
                <w:kern w:val="0"/>
                <w:szCs w:val="21"/>
              </w:rPr>
            </w:pPr>
            <w:r>
              <w:rPr>
                <w:rFonts w:ascii="Arial" w:hAnsi="Arial" w:cs="Arial"/>
                <w:kern w:val="0"/>
                <w:szCs w:val="21"/>
              </w:rPr>
              <w:t>2.2.2 二级高压泵（不锈钢材料；</w:t>
            </w:r>
            <w:r>
              <w:rPr>
                <w:rFonts w:ascii="Arial" w:hAnsi="Arial" w:cs="Arial"/>
                <w:szCs w:val="21"/>
              </w:rPr>
              <w:t>离心泵</w:t>
            </w:r>
            <w:r>
              <w:rPr>
                <w:rFonts w:ascii="Arial" w:hAnsi="Arial" w:cs="Arial"/>
                <w:kern w:val="0"/>
                <w:szCs w:val="21"/>
              </w:rPr>
              <w:t>） 1台</w:t>
            </w:r>
          </w:p>
          <w:p>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ascii="Arial" w:hAnsi="Arial" w:cs="Arial"/>
                <w:kern w:val="0"/>
                <w:szCs w:val="21"/>
              </w:rPr>
            </w:pPr>
            <w:r>
              <w:rPr>
                <w:rFonts w:ascii="Arial" w:hAnsi="Arial" w:cs="Arial"/>
                <w:kern w:val="0"/>
                <w:szCs w:val="21"/>
              </w:rPr>
              <w:t>2.2.3 一级反渗膜≥5支</w:t>
            </w:r>
          </w:p>
          <w:p>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ascii="Arial" w:hAnsi="Arial" w:cs="Arial"/>
                <w:kern w:val="0"/>
                <w:szCs w:val="21"/>
              </w:rPr>
            </w:pPr>
            <w:r>
              <w:rPr>
                <w:rFonts w:ascii="Arial" w:hAnsi="Arial" w:cs="Arial"/>
                <w:kern w:val="0"/>
                <w:szCs w:val="21"/>
              </w:rPr>
              <w:t>2.2.4 二级反渗膜≥3支</w:t>
            </w:r>
          </w:p>
          <w:p>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ascii="Arial" w:hAnsi="Arial" w:cs="Arial"/>
                <w:kern w:val="0"/>
                <w:szCs w:val="21"/>
              </w:rPr>
            </w:pPr>
            <w:r>
              <w:rPr>
                <w:rFonts w:ascii="Arial" w:hAnsi="Arial" w:cs="Arial"/>
                <w:kern w:val="0"/>
                <w:szCs w:val="21"/>
              </w:rPr>
              <w:t>2.2.5 控制系统（PLC、触摸屏控制） 1套</w:t>
            </w:r>
          </w:p>
          <w:p>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ascii="Arial" w:hAnsi="Arial" w:cs="Arial"/>
                <w:kern w:val="0"/>
                <w:szCs w:val="21"/>
              </w:rPr>
            </w:pPr>
            <w:bookmarkStart w:id="27" w:name="_Hlk47598650"/>
            <w:r>
              <w:rPr>
                <w:rFonts w:ascii="Arial" w:hAnsi="Arial" w:cs="Arial"/>
                <w:kern w:val="0"/>
                <w:szCs w:val="21"/>
              </w:rPr>
              <w:t>2.2.</w:t>
            </w:r>
            <w:bookmarkEnd w:id="27"/>
            <w:r>
              <w:rPr>
                <w:rFonts w:ascii="Arial" w:hAnsi="Arial" w:cs="Arial"/>
                <w:kern w:val="0"/>
                <w:szCs w:val="21"/>
              </w:rPr>
              <w:t>6 电动阀、流量变送器、压力开关、传感器等配件 1套</w:t>
            </w:r>
          </w:p>
          <w:p>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ascii="Arial" w:hAnsi="Arial" w:cs="Arial"/>
                <w:b/>
                <w:kern w:val="0"/>
                <w:szCs w:val="21"/>
              </w:rPr>
            </w:pPr>
            <w:r>
              <w:rPr>
                <w:rFonts w:ascii="Arial" w:hAnsi="Arial" w:cs="Arial"/>
                <w:b/>
                <w:kern w:val="0"/>
                <w:szCs w:val="21"/>
              </w:rPr>
              <w:t>2.3 后处理系统</w:t>
            </w:r>
          </w:p>
          <w:p>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ascii="Arial" w:hAnsi="Arial" w:cs="Arial"/>
                <w:kern w:val="0"/>
                <w:szCs w:val="21"/>
              </w:rPr>
            </w:pPr>
            <w:r>
              <w:rPr>
                <w:rFonts w:ascii="Arial" w:hAnsi="Arial" w:cs="Arial"/>
                <w:kern w:val="0"/>
                <w:szCs w:val="21"/>
              </w:rPr>
              <w:t>2.3.1供水系统（采用循环直接供水方式，</w:t>
            </w:r>
            <w:r>
              <w:rPr>
                <w:rFonts w:hint="eastAsia" w:ascii="Arial" w:hAnsi="Arial" w:cs="Arial"/>
                <w:kern w:val="0"/>
                <w:szCs w:val="21"/>
              </w:rPr>
              <w:t>恒</w:t>
            </w:r>
            <w:r>
              <w:rPr>
                <w:rFonts w:ascii="Arial" w:hAnsi="Arial" w:cs="Arial"/>
                <w:kern w:val="0"/>
                <w:szCs w:val="21"/>
              </w:rPr>
              <w:t>压供水系统）1套</w:t>
            </w:r>
          </w:p>
          <w:p>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ascii="Arial" w:hAnsi="Arial" w:cs="Arial"/>
                <w:b/>
                <w:kern w:val="0"/>
                <w:szCs w:val="21"/>
              </w:rPr>
            </w:pPr>
            <w:r>
              <w:rPr>
                <w:rFonts w:ascii="Arial" w:hAnsi="Arial" w:cs="Arial"/>
                <w:kern w:val="0"/>
                <w:szCs w:val="21"/>
              </w:rPr>
              <w:t>2.3.2热消毒系统1套</w:t>
            </w:r>
          </w:p>
          <w:p>
            <w:pPr>
              <w:pStyle w:val="2"/>
              <w:keepNext w:val="0"/>
              <w:keepLines w:val="0"/>
              <w:pageBreakBefore w:val="0"/>
              <w:kinsoku/>
              <w:wordWrap/>
              <w:overflowPunct/>
              <w:topLinePunct w:val="0"/>
              <w:autoSpaceDE/>
              <w:autoSpaceDN/>
              <w:bidi w:val="0"/>
              <w:spacing w:after="0" w:line="288" w:lineRule="auto"/>
              <w:ind w:firstLine="0" w:firstLineChars="0"/>
              <w:textAlignment w:val="auto"/>
              <w:rPr>
                <w:rFonts w:ascii="Arial" w:hAnsi="Arial" w:cs="Arial"/>
                <w:szCs w:val="21"/>
              </w:rPr>
            </w:pPr>
            <w:r>
              <w:rPr>
                <w:rFonts w:ascii="Arial" w:hAnsi="Arial" w:cs="Arial"/>
                <w:b/>
                <w:bCs/>
                <w:szCs w:val="21"/>
              </w:rPr>
              <w:t>★</w:t>
            </w:r>
            <w:r>
              <w:rPr>
                <w:rFonts w:ascii="Arial" w:hAnsi="Arial" w:cs="Arial"/>
                <w:b/>
                <w:bCs/>
                <w:kern w:val="0"/>
                <w:szCs w:val="21"/>
              </w:rPr>
              <w:t>2.3.3 供水管路采用304不锈钢管路1套。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9" w:type="pct"/>
            <w:noWrap w:val="0"/>
            <w:tcMar>
              <w:top w:w="13" w:type="dxa"/>
              <w:left w:w="57" w:type="dxa"/>
              <w:bottom w:w="0" w:type="dxa"/>
              <w:right w:w="57" w:type="dxa"/>
            </w:tcMar>
            <w:vAlign w:val="center"/>
          </w:tcPr>
          <w:p>
            <w:pPr>
              <w:keepNext w:val="0"/>
              <w:keepLines w:val="0"/>
              <w:pageBreakBefore w:val="0"/>
              <w:kinsoku/>
              <w:wordWrap/>
              <w:overflowPunct/>
              <w:topLinePunct w:val="0"/>
              <w:autoSpaceDE/>
              <w:autoSpaceDN/>
              <w:bidi w:val="0"/>
              <w:spacing w:after="0" w:line="288" w:lineRule="auto"/>
              <w:jc w:val="center"/>
              <w:rPr>
                <w:rFonts w:ascii="Arial" w:hAnsi="Arial" w:cs="Arial"/>
                <w:szCs w:val="21"/>
              </w:rPr>
            </w:pPr>
            <w:r>
              <w:rPr>
                <w:rFonts w:ascii="Arial" w:hAnsi="Arial" w:cs="Arial"/>
                <w:szCs w:val="21"/>
              </w:rPr>
              <w:t>2</w:t>
            </w:r>
          </w:p>
        </w:tc>
        <w:tc>
          <w:tcPr>
            <w:tcW w:w="625" w:type="pct"/>
            <w:noWrap w:val="0"/>
            <w:tcMar>
              <w:top w:w="13"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after="0" w:line="288" w:lineRule="auto"/>
              <w:jc w:val="center"/>
              <w:textAlignment w:val="center"/>
              <w:rPr>
                <w:rFonts w:ascii="Arial" w:hAnsi="Arial" w:cs="Arial"/>
                <w:szCs w:val="21"/>
              </w:rPr>
            </w:pPr>
            <w:r>
              <w:rPr>
                <w:rFonts w:ascii="Arial" w:hAnsi="Arial" w:cs="Arial"/>
                <w:szCs w:val="21"/>
              </w:rPr>
              <w:t>血液透析机</w:t>
            </w:r>
          </w:p>
        </w:tc>
        <w:tc>
          <w:tcPr>
            <w:tcW w:w="377" w:type="pct"/>
            <w:gridSpan w:val="2"/>
            <w:noWrap w:val="0"/>
            <w:tcMar>
              <w:top w:w="13"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ascii="Arial" w:hAnsi="Arial" w:cs="Arial"/>
                <w:szCs w:val="21"/>
              </w:rPr>
            </w:pPr>
            <w:r>
              <w:rPr>
                <w:rFonts w:ascii="Arial" w:hAnsi="Arial" w:cs="Arial"/>
                <w:szCs w:val="21"/>
              </w:rPr>
              <w:t>11套</w:t>
            </w:r>
          </w:p>
        </w:tc>
        <w:tc>
          <w:tcPr>
            <w:tcW w:w="3677" w:type="pct"/>
            <w:noWrap w:val="0"/>
            <w:tcMar>
              <w:top w:w="13"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after="0" w:line="288" w:lineRule="auto"/>
              <w:rPr>
                <w:rFonts w:ascii="Arial" w:hAnsi="Arial" w:cs="Arial"/>
                <w:b/>
                <w:bCs/>
                <w:szCs w:val="21"/>
              </w:rPr>
            </w:pPr>
            <w:r>
              <w:rPr>
                <w:rFonts w:ascii="Arial" w:hAnsi="Arial" w:cs="Arial"/>
                <w:b/>
                <w:bCs/>
                <w:szCs w:val="21"/>
              </w:rPr>
              <w:t>一、技术特点</w:t>
            </w:r>
          </w:p>
          <w:p>
            <w:pPr>
              <w:keepNext w:val="0"/>
              <w:keepLines w:val="0"/>
              <w:pageBreakBefore w:val="0"/>
              <w:kinsoku/>
              <w:wordWrap/>
              <w:overflowPunct/>
              <w:topLinePunct w:val="0"/>
              <w:autoSpaceDE/>
              <w:autoSpaceDN/>
              <w:bidi w:val="0"/>
              <w:adjustRightInd w:val="0"/>
              <w:snapToGrid w:val="0"/>
              <w:spacing w:after="0" w:line="288" w:lineRule="auto"/>
              <w:rPr>
                <w:rFonts w:ascii="Arial" w:hAnsi="Arial" w:cs="Arial"/>
                <w:szCs w:val="21"/>
              </w:rPr>
            </w:pPr>
            <w:r>
              <w:rPr>
                <w:rFonts w:ascii="Arial" w:hAnsi="Arial" w:cs="Arial"/>
                <w:szCs w:val="21"/>
              </w:rPr>
              <w:t>1.适用于血液透析、单纯超滤等治疗模式。</w:t>
            </w:r>
          </w:p>
          <w:p>
            <w:pPr>
              <w:keepNext w:val="0"/>
              <w:keepLines w:val="0"/>
              <w:pageBreakBefore w:val="0"/>
              <w:kinsoku/>
              <w:wordWrap/>
              <w:overflowPunct/>
              <w:topLinePunct w:val="0"/>
              <w:autoSpaceDE/>
              <w:autoSpaceDN/>
              <w:bidi w:val="0"/>
              <w:adjustRightInd w:val="0"/>
              <w:snapToGrid w:val="0"/>
              <w:spacing w:after="0" w:line="288" w:lineRule="auto"/>
              <w:rPr>
                <w:rFonts w:ascii="Arial" w:hAnsi="Arial" w:cs="Arial"/>
                <w:szCs w:val="21"/>
              </w:rPr>
            </w:pPr>
            <w:r>
              <w:rPr>
                <w:rFonts w:ascii="Arial" w:hAnsi="Arial" w:cs="Arial"/>
                <w:szCs w:val="21"/>
              </w:rPr>
              <w:t>2.采用</w:t>
            </w:r>
            <w:r>
              <w:rPr>
                <w:rFonts w:ascii="Arial" w:hAnsi="Arial" w:cs="Arial"/>
                <w:kern w:val="0"/>
                <w:szCs w:val="21"/>
              </w:rPr>
              <w:t>≥</w:t>
            </w:r>
            <w:r>
              <w:rPr>
                <w:rFonts w:ascii="Arial" w:hAnsi="Arial" w:cs="Arial"/>
                <w:szCs w:val="21"/>
              </w:rPr>
              <w:t>15 英寸液晶触摸屏，中英文等多种语言界面。</w:t>
            </w:r>
          </w:p>
          <w:p>
            <w:pPr>
              <w:keepNext w:val="0"/>
              <w:keepLines w:val="0"/>
              <w:pageBreakBefore w:val="0"/>
              <w:kinsoku/>
              <w:wordWrap/>
              <w:overflowPunct/>
              <w:topLinePunct w:val="0"/>
              <w:autoSpaceDE/>
              <w:autoSpaceDN/>
              <w:bidi w:val="0"/>
              <w:adjustRightInd w:val="0"/>
              <w:snapToGrid w:val="0"/>
              <w:spacing w:after="0" w:line="288" w:lineRule="auto"/>
              <w:rPr>
                <w:rFonts w:ascii="Arial" w:hAnsi="Arial" w:cs="Arial"/>
                <w:szCs w:val="21"/>
              </w:rPr>
            </w:pPr>
            <w:r>
              <w:rPr>
                <w:rFonts w:ascii="Arial" w:hAnsi="Arial" w:cs="Arial"/>
                <w:szCs w:val="21"/>
              </w:rPr>
              <w:t>3.具有多种钠离子、超滤速率、碳酸氢盐、肝素流量、透析液流量、透析液温度等标准曲线和自设曲线功能，可为患者提供个性化治疗。</w:t>
            </w:r>
          </w:p>
          <w:p>
            <w:pPr>
              <w:keepNext w:val="0"/>
              <w:keepLines w:val="0"/>
              <w:pageBreakBefore w:val="0"/>
              <w:kinsoku/>
              <w:wordWrap/>
              <w:overflowPunct/>
              <w:topLinePunct w:val="0"/>
              <w:autoSpaceDE/>
              <w:autoSpaceDN/>
              <w:bidi w:val="0"/>
              <w:adjustRightInd w:val="0"/>
              <w:snapToGrid w:val="0"/>
              <w:spacing w:after="0" w:line="288" w:lineRule="auto"/>
              <w:rPr>
                <w:rFonts w:ascii="Arial" w:hAnsi="Arial" w:cs="Arial"/>
                <w:szCs w:val="21"/>
              </w:rPr>
            </w:pPr>
            <w:r>
              <w:rPr>
                <w:rFonts w:ascii="Arial" w:hAnsi="Arial" w:cs="Arial"/>
                <w:szCs w:val="21"/>
              </w:rPr>
              <w:t>4.预设多种标准透析液配制比例，亦可自设比例，适应市面上各种品牌的透析粉或浓缩液。</w:t>
            </w:r>
          </w:p>
          <w:p>
            <w:pPr>
              <w:keepNext w:val="0"/>
              <w:keepLines w:val="0"/>
              <w:pageBreakBefore w:val="0"/>
              <w:kinsoku/>
              <w:wordWrap/>
              <w:overflowPunct/>
              <w:topLinePunct w:val="0"/>
              <w:autoSpaceDE/>
              <w:autoSpaceDN/>
              <w:bidi w:val="0"/>
              <w:adjustRightInd w:val="0"/>
              <w:snapToGrid w:val="0"/>
              <w:spacing w:after="0" w:line="288" w:lineRule="auto"/>
              <w:rPr>
                <w:rFonts w:ascii="Arial" w:hAnsi="Arial" w:cs="Arial"/>
                <w:szCs w:val="21"/>
              </w:rPr>
            </w:pPr>
            <w:r>
              <w:rPr>
                <w:rFonts w:ascii="Arial" w:hAnsi="Arial" w:cs="Arial"/>
                <w:szCs w:val="21"/>
              </w:rPr>
              <w:t>5.容量平衡反馈控制系统，超滤更精确。</w:t>
            </w:r>
          </w:p>
          <w:p>
            <w:pPr>
              <w:keepNext w:val="0"/>
              <w:keepLines w:val="0"/>
              <w:pageBreakBefore w:val="0"/>
              <w:kinsoku/>
              <w:wordWrap/>
              <w:overflowPunct/>
              <w:topLinePunct w:val="0"/>
              <w:autoSpaceDE/>
              <w:autoSpaceDN/>
              <w:bidi w:val="0"/>
              <w:adjustRightInd w:val="0"/>
              <w:snapToGrid w:val="0"/>
              <w:spacing w:after="0" w:line="288" w:lineRule="auto"/>
              <w:rPr>
                <w:rFonts w:ascii="Arial" w:hAnsi="Arial" w:cs="Arial"/>
                <w:szCs w:val="21"/>
              </w:rPr>
            </w:pPr>
            <w:r>
              <w:rPr>
                <w:rFonts w:ascii="Arial" w:hAnsi="Arial" w:cs="Arial"/>
                <w:szCs w:val="21"/>
              </w:rPr>
              <w:t>6.序贯透析（透析←→单纯超滤）、高低钠序贯透析。</w:t>
            </w:r>
          </w:p>
          <w:p>
            <w:pPr>
              <w:keepNext w:val="0"/>
              <w:keepLines w:val="0"/>
              <w:pageBreakBefore w:val="0"/>
              <w:kinsoku/>
              <w:wordWrap/>
              <w:overflowPunct/>
              <w:topLinePunct w:val="0"/>
              <w:autoSpaceDE/>
              <w:autoSpaceDN/>
              <w:bidi w:val="0"/>
              <w:adjustRightInd w:val="0"/>
              <w:snapToGrid w:val="0"/>
              <w:spacing w:after="0" w:line="288" w:lineRule="auto"/>
              <w:rPr>
                <w:rFonts w:ascii="Arial" w:hAnsi="Arial" w:cs="Arial"/>
                <w:szCs w:val="21"/>
              </w:rPr>
            </w:pPr>
            <w:r>
              <w:rPr>
                <w:rFonts w:ascii="Arial" w:hAnsi="Arial" w:cs="Arial"/>
                <w:szCs w:val="21"/>
              </w:rPr>
              <w:t>7.透析液配制反馈控制系统，透析液离子浓度准确。</w:t>
            </w:r>
          </w:p>
          <w:p>
            <w:pPr>
              <w:keepNext w:val="0"/>
              <w:keepLines w:val="0"/>
              <w:pageBreakBefore w:val="0"/>
              <w:kinsoku/>
              <w:wordWrap/>
              <w:overflowPunct/>
              <w:topLinePunct w:val="0"/>
              <w:autoSpaceDE/>
              <w:autoSpaceDN/>
              <w:bidi w:val="0"/>
              <w:adjustRightInd w:val="0"/>
              <w:snapToGrid w:val="0"/>
              <w:spacing w:after="0" w:line="288" w:lineRule="auto"/>
              <w:rPr>
                <w:rFonts w:ascii="Arial" w:hAnsi="Arial" w:cs="Arial"/>
                <w:szCs w:val="21"/>
              </w:rPr>
            </w:pPr>
            <w:r>
              <w:rPr>
                <w:rFonts w:ascii="Arial" w:hAnsi="Arial" w:cs="Arial"/>
                <w:szCs w:val="21"/>
              </w:rPr>
              <w:t>8.红、黄、绿三级警示灯，配合多种音乐提示和报警。</w:t>
            </w:r>
          </w:p>
          <w:p>
            <w:pPr>
              <w:keepNext w:val="0"/>
              <w:keepLines w:val="0"/>
              <w:pageBreakBefore w:val="0"/>
              <w:kinsoku/>
              <w:wordWrap/>
              <w:overflowPunct/>
              <w:topLinePunct w:val="0"/>
              <w:autoSpaceDE/>
              <w:autoSpaceDN/>
              <w:bidi w:val="0"/>
              <w:adjustRightInd w:val="0"/>
              <w:snapToGrid w:val="0"/>
              <w:spacing w:after="0" w:line="288" w:lineRule="auto"/>
              <w:rPr>
                <w:rFonts w:ascii="Arial" w:hAnsi="Arial" w:cs="Arial"/>
                <w:szCs w:val="21"/>
              </w:rPr>
            </w:pPr>
            <w:r>
              <w:rPr>
                <w:rFonts w:ascii="Arial" w:hAnsi="Arial" w:cs="Arial"/>
                <w:szCs w:val="21"/>
              </w:rPr>
              <w:t>9.内置后备电源，停电后可维持血液回路工作 30 分钟以上。</w:t>
            </w:r>
          </w:p>
          <w:p>
            <w:pPr>
              <w:keepNext w:val="0"/>
              <w:keepLines w:val="0"/>
              <w:pageBreakBefore w:val="0"/>
              <w:kinsoku/>
              <w:wordWrap/>
              <w:overflowPunct/>
              <w:topLinePunct w:val="0"/>
              <w:autoSpaceDE/>
              <w:autoSpaceDN/>
              <w:bidi w:val="0"/>
              <w:adjustRightInd w:val="0"/>
              <w:snapToGrid w:val="0"/>
              <w:spacing w:after="0" w:line="288" w:lineRule="auto"/>
              <w:rPr>
                <w:rFonts w:ascii="Arial" w:hAnsi="Arial" w:cs="Arial"/>
                <w:szCs w:val="21"/>
              </w:rPr>
            </w:pPr>
            <w:r>
              <w:rPr>
                <w:rFonts w:ascii="Arial" w:hAnsi="Arial" w:cs="Arial"/>
                <w:szCs w:val="21"/>
              </w:rPr>
              <w:t>10.可使用 10mL、 20mL、 30 mL、50mL 注射器，自动检测注射器型号，</w:t>
            </w:r>
            <w:r>
              <w:rPr>
                <w:rFonts w:hint="eastAsia" w:ascii="Arial" w:hAnsi="Arial" w:cs="Arial"/>
                <w:szCs w:val="21"/>
              </w:rPr>
              <w:t>具有</w:t>
            </w:r>
            <w:r>
              <w:rPr>
                <w:rFonts w:ascii="Arial" w:hAnsi="Arial" w:cs="Arial"/>
                <w:szCs w:val="21"/>
              </w:rPr>
              <w:t>功能自检和报警系统，支持肝素曲线。</w:t>
            </w:r>
          </w:p>
          <w:p>
            <w:pPr>
              <w:keepNext w:val="0"/>
              <w:keepLines w:val="0"/>
              <w:pageBreakBefore w:val="0"/>
              <w:kinsoku/>
              <w:wordWrap/>
              <w:overflowPunct/>
              <w:topLinePunct w:val="0"/>
              <w:autoSpaceDE/>
              <w:autoSpaceDN/>
              <w:bidi w:val="0"/>
              <w:adjustRightInd w:val="0"/>
              <w:snapToGrid w:val="0"/>
              <w:spacing w:after="0" w:line="288" w:lineRule="auto"/>
              <w:rPr>
                <w:rFonts w:ascii="Arial" w:hAnsi="Arial" w:cs="Arial"/>
                <w:szCs w:val="21"/>
              </w:rPr>
            </w:pPr>
            <w:r>
              <w:rPr>
                <w:rFonts w:ascii="Arial" w:hAnsi="Arial" w:cs="Arial"/>
                <w:szCs w:val="21"/>
              </w:rPr>
              <w:t>11.引导式操作界面，医护人员操作。</w:t>
            </w:r>
          </w:p>
          <w:p>
            <w:pPr>
              <w:keepNext w:val="0"/>
              <w:keepLines w:val="0"/>
              <w:pageBreakBefore w:val="0"/>
              <w:kinsoku/>
              <w:wordWrap/>
              <w:overflowPunct/>
              <w:topLinePunct w:val="0"/>
              <w:autoSpaceDE/>
              <w:autoSpaceDN/>
              <w:bidi w:val="0"/>
              <w:adjustRightInd w:val="0"/>
              <w:snapToGrid w:val="0"/>
              <w:spacing w:after="0" w:line="288" w:lineRule="auto"/>
              <w:rPr>
                <w:rFonts w:ascii="Arial" w:hAnsi="Arial" w:cs="Arial"/>
                <w:szCs w:val="21"/>
              </w:rPr>
            </w:pPr>
            <w:r>
              <w:rPr>
                <w:rFonts w:ascii="Arial" w:hAnsi="Arial" w:cs="Arial"/>
                <w:szCs w:val="21"/>
              </w:rPr>
              <w:t>12.</w:t>
            </w:r>
            <w:r>
              <w:rPr>
                <w:rFonts w:ascii="Arial" w:hAnsi="Arial" w:cs="Arial"/>
                <w:bCs/>
                <w:szCs w:val="21"/>
              </w:rPr>
              <w:t>在线无创血压监测，可自动检测和记录患者透析期间的心率、血压变化。</w:t>
            </w:r>
          </w:p>
          <w:p>
            <w:pPr>
              <w:keepNext w:val="0"/>
              <w:keepLines w:val="0"/>
              <w:pageBreakBefore w:val="0"/>
              <w:kinsoku/>
              <w:wordWrap/>
              <w:overflowPunct/>
              <w:topLinePunct w:val="0"/>
              <w:autoSpaceDE/>
              <w:autoSpaceDN/>
              <w:bidi w:val="0"/>
              <w:adjustRightInd w:val="0"/>
              <w:snapToGrid w:val="0"/>
              <w:spacing w:after="0" w:line="288" w:lineRule="auto"/>
              <w:rPr>
                <w:rFonts w:ascii="Arial" w:hAnsi="Arial" w:cs="Arial"/>
                <w:b/>
                <w:bCs/>
                <w:szCs w:val="21"/>
              </w:rPr>
            </w:pPr>
            <w:r>
              <w:rPr>
                <w:rFonts w:ascii="Arial" w:hAnsi="Arial" w:cs="Arial"/>
                <w:b/>
                <w:bCs/>
                <w:szCs w:val="21"/>
              </w:rPr>
              <w:t>二、技术参数:</w:t>
            </w:r>
          </w:p>
          <w:p>
            <w:pPr>
              <w:keepNext w:val="0"/>
              <w:keepLines w:val="0"/>
              <w:pageBreakBefore w:val="0"/>
              <w:kinsoku/>
              <w:wordWrap/>
              <w:overflowPunct/>
              <w:topLinePunct w:val="0"/>
              <w:autoSpaceDE/>
              <w:autoSpaceDN/>
              <w:bidi w:val="0"/>
              <w:adjustRightInd w:val="0"/>
              <w:snapToGrid w:val="0"/>
              <w:spacing w:after="0" w:line="288" w:lineRule="auto"/>
              <w:rPr>
                <w:rFonts w:ascii="Arial" w:hAnsi="Arial" w:cs="Arial"/>
                <w:b/>
                <w:bCs/>
                <w:szCs w:val="21"/>
              </w:rPr>
            </w:pPr>
            <w:r>
              <w:rPr>
                <w:rFonts w:ascii="Arial" w:hAnsi="Arial" w:cs="Arial"/>
                <w:b/>
                <w:bCs/>
                <w:szCs w:val="21"/>
              </w:rPr>
              <w:t>1.</w:t>
            </w:r>
            <w:r>
              <w:rPr>
                <w:rFonts w:ascii="Arial" w:hAnsi="Arial" w:cs="Arial"/>
                <w:b/>
                <w:bCs/>
              </w:rPr>
              <w:t>◆</w:t>
            </w:r>
            <w:r>
              <w:rPr>
                <w:rFonts w:ascii="Arial" w:hAnsi="Arial" w:cs="Arial"/>
                <w:b/>
                <w:bCs/>
                <w:szCs w:val="21"/>
              </w:rPr>
              <w:t>动脉压监测: -400mmHg～600mmHg，精度可达：±10 mmHg</w:t>
            </w:r>
          </w:p>
          <w:p>
            <w:pPr>
              <w:keepNext w:val="0"/>
              <w:keepLines w:val="0"/>
              <w:pageBreakBefore w:val="0"/>
              <w:kinsoku/>
              <w:wordWrap/>
              <w:overflowPunct/>
              <w:topLinePunct w:val="0"/>
              <w:autoSpaceDE/>
              <w:autoSpaceDN/>
              <w:bidi w:val="0"/>
              <w:adjustRightInd w:val="0"/>
              <w:snapToGrid w:val="0"/>
              <w:spacing w:after="0" w:line="288" w:lineRule="auto"/>
              <w:rPr>
                <w:rFonts w:ascii="Arial" w:hAnsi="Arial" w:cs="Arial"/>
                <w:b/>
                <w:bCs/>
                <w:szCs w:val="21"/>
              </w:rPr>
            </w:pPr>
            <w:r>
              <w:rPr>
                <w:rFonts w:ascii="Arial" w:hAnsi="Arial" w:cs="Arial"/>
                <w:b/>
                <w:bCs/>
                <w:szCs w:val="21"/>
              </w:rPr>
              <w:t>2.</w:t>
            </w:r>
            <w:r>
              <w:rPr>
                <w:rFonts w:ascii="Arial" w:hAnsi="Arial" w:cs="Arial"/>
                <w:b/>
                <w:bCs/>
              </w:rPr>
              <w:t>◆</w:t>
            </w:r>
            <w:r>
              <w:rPr>
                <w:rFonts w:ascii="Arial" w:hAnsi="Arial" w:cs="Arial"/>
                <w:b/>
                <w:bCs/>
                <w:szCs w:val="21"/>
              </w:rPr>
              <w:t>静脉压监测: -400mmHg～600mmHg，精度可达: ±10 mmHg</w:t>
            </w:r>
          </w:p>
          <w:p>
            <w:pPr>
              <w:keepNext w:val="0"/>
              <w:keepLines w:val="0"/>
              <w:pageBreakBefore w:val="0"/>
              <w:kinsoku/>
              <w:wordWrap/>
              <w:overflowPunct/>
              <w:topLinePunct w:val="0"/>
              <w:autoSpaceDE/>
              <w:autoSpaceDN/>
              <w:bidi w:val="0"/>
              <w:adjustRightInd w:val="0"/>
              <w:snapToGrid w:val="0"/>
              <w:spacing w:after="0" w:line="288" w:lineRule="auto"/>
              <w:rPr>
                <w:rFonts w:ascii="Arial" w:hAnsi="Arial" w:cs="Arial"/>
                <w:szCs w:val="21"/>
              </w:rPr>
            </w:pPr>
            <w:r>
              <w:rPr>
                <w:rFonts w:ascii="Arial" w:hAnsi="Arial" w:cs="Arial"/>
                <w:szCs w:val="21"/>
              </w:rPr>
              <w:t>3.跨膜压监测: -180mmHg～600mmHg，精度可达: ±10 mmHg</w:t>
            </w:r>
          </w:p>
          <w:p>
            <w:pPr>
              <w:keepNext w:val="0"/>
              <w:keepLines w:val="0"/>
              <w:pageBreakBefore w:val="0"/>
              <w:kinsoku/>
              <w:wordWrap/>
              <w:overflowPunct/>
              <w:topLinePunct w:val="0"/>
              <w:autoSpaceDE/>
              <w:autoSpaceDN/>
              <w:bidi w:val="0"/>
              <w:adjustRightInd w:val="0"/>
              <w:snapToGrid w:val="0"/>
              <w:spacing w:after="0" w:line="288" w:lineRule="auto"/>
              <w:rPr>
                <w:rFonts w:ascii="Arial" w:hAnsi="Arial" w:cs="Arial"/>
                <w:b/>
                <w:bCs/>
                <w:szCs w:val="21"/>
              </w:rPr>
            </w:pPr>
            <w:r>
              <w:rPr>
                <w:rFonts w:ascii="Arial" w:hAnsi="Arial" w:cs="Arial"/>
                <w:b/>
                <w:bCs/>
                <w:szCs w:val="21"/>
              </w:rPr>
              <w:t>4.</w:t>
            </w:r>
            <w:r>
              <w:rPr>
                <w:rFonts w:ascii="Arial" w:hAnsi="Arial" w:cs="Arial"/>
                <w:b/>
                <w:bCs/>
              </w:rPr>
              <w:t>◆</w:t>
            </w:r>
            <w:r>
              <w:rPr>
                <w:rFonts w:ascii="Arial" w:hAnsi="Arial" w:cs="Arial"/>
                <w:b/>
                <w:bCs/>
                <w:szCs w:val="21"/>
              </w:rPr>
              <w:t>透析液流量：100mL/min～800mL/min，精度：±5％</w:t>
            </w:r>
          </w:p>
          <w:p>
            <w:pPr>
              <w:keepNext w:val="0"/>
              <w:keepLines w:val="0"/>
              <w:pageBreakBefore w:val="0"/>
              <w:kinsoku/>
              <w:wordWrap/>
              <w:overflowPunct/>
              <w:topLinePunct w:val="0"/>
              <w:autoSpaceDE/>
              <w:autoSpaceDN/>
              <w:bidi w:val="0"/>
              <w:adjustRightInd w:val="0"/>
              <w:snapToGrid w:val="0"/>
              <w:spacing w:after="0" w:line="288" w:lineRule="auto"/>
              <w:rPr>
                <w:rFonts w:ascii="Arial" w:hAnsi="Arial" w:cs="Arial"/>
                <w:szCs w:val="21"/>
              </w:rPr>
            </w:pPr>
            <w:r>
              <w:rPr>
                <w:rFonts w:ascii="Arial" w:hAnsi="Arial" w:cs="Arial"/>
                <w:szCs w:val="21"/>
              </w:rPr>
              <w:t>5.透析液温度范围：33℃～40℃，精度±0.5℃</w:t>
            </w:r>
          </w:p>
          <w:p>
            <w:pPr>
              <w:keepNext w:val="0"/>
              <w:keepLines w:val="0"/>
              <w:pageBreakBefore w:val="0"/>
              <w:kinsoku/>
              <w:wordWrap/>
              <w:overflowPunct/>
              <w:topLinePunct w:val="0"/>
              <w:autoSpaceDE/>
              <w:autoSpaceDN/>
              <w:bidi w:val="0"/>
              <w:adjustRightInd w:val="0"/>
              <w:snapToGrid w:val="0"/>
              <w:spacing w:after="0" w:line="288" w:lineRule="auto"/>
              <w:rPr>
                <w:rFonts w:ascii="Arial" w:hAnsi="Arial" w:cs="Arial"/>
                <w:szCs w:val="21"/>
              </w:rPr>
            </w:pPr>
            <w:r>
              <w:rPr>
                <w:rFonts w:ascii="Arial" w:hAnsi="Arial" w:cs="Arial"/>
                <w:szCs w:val="21"/>
              </w:rPr>
              <w:t>6.透析液电导率: 12mS/cm～18mS/cm，精度: ±0.1 mS/cm</w:t>
            </w:r>
          </w:p>
          <w:p>
            <w:pPr>
              <w:keepNext w:val="0"/>
              <w:keepLines w:val="0"/>
              <w:pageBreakBefore w:val="0"/>
              <w:kinsoku/>
              <w:wordWrap/>
              <w:overflowPunct/>
              <w:topLinePunct w:val="0"/>
              <w:autoSpaceDE/>
              <w:autoSpaceDN/>
              <w:bidi w:val="0"/>
              <w:adjustRightInd w:val="0"/>
              <w:snapToGrid w:val="0"/>
              <w:spacing w:after="0" w:line="288" w:lineRule="auto"/>
              <w:rPr>
                <w:rFonts w:ascii="Arial" w:hAnsi="Arial" w:cs="Arial"/>
                <w:b/>
                <w:bCs/>
                <w:szCs w:val="21"/>
              </w:rPr>
            </w:pPr>
            <w:r>
              <w:rPr>
                <w:rFonts w:ascii="Arial" w:hAnsi="Arial" w:cs="Arial"/>
                <w:b/>
                <w:bCs/>
                <w:szCs w:val="21"/>
              </w:rPr>
              <w:t>7.</w:t>
            </w:r>
            <w:r>
              <w:rPr>
                <w:rFonts w:ascii="Arial" w:hAnsi="Arial" w:cs="Arial"/>
                <w:b/>
                <w:bCs/>
              </w:rPr>
              <w:t>◆</w:t>
            </w:r>
            <w:r>
              <w:rPr>
                <w:rFonts w:ascii="Arial" w:hAnsi="Arial" w:cs="Arial"/>
                <w:b/>
                <w:bCs/>
                <w:szCs w:val="21"/>
              </w:rPr>
              <w:t>血流量：30～600mL/min，精度±10%</w:t>
            </w:r>
          </w:p>
          <w:p>
            <w:pPr>
              <w:keepNext w:val="0"/>
              <w:keepLines w:val="0"/>
              <w:pageBreakBefore w:val="0"/>
              <w:kinsoku/>
              <w:wordWrap/>
              <w:overflowPunct/>
              <w:topLinePunct w:val="0"/>
              <w:autoSpaceDE/>
              <w:autoSpaceDN/>
              <w:bidi w:val="0"/>
              <w:adjustRightInd w:val="0"/>
              <w:snapToGrid w:val="0"/>
              <w:spacing w:after="0" w:line="288" w:lineRule="auto"/>
              <w:rPr>
                <w:rFonts w:ascii="Arial" w:hAnsi="Arial" w:cs="Arial"/>
                <w:b/>
                <w:bCs/>
                <w:szCs w:val="21"/>
              </w:rPr>
            </w:pPr>
            <w:r>
              <w:rPr>
                <w:rFonts w:ascii="Arial" w:hAnsi="Arial" w:cs="Arial"/>
                <w:b/>
                <w:bCs/>
                <w:szCs w:val="21"/>
              </w:rPr>
              <w:t>8.</w:t>
            </w:r>
            <w:r>
              <w:rPr>
                <w:rFonts w:ascii="Arial" w:hAnsi="Arial" w:cs="Arial"/>
                <w:b/>
                <w:bCs/>
              </w:rPr>
              <w:t>◆</w:t>
            </w:r>
            <w:r>
              <w:rPr>
                <w:rFonts w:ascii="Arial" w:hAnsi="Arial" w:cs="Arial"/>
                <w:b/>
                <w:bCs/>
                <w:szCs w:val="21"/>
              </w:rPr>
              <w:t>超滤控制 超滤率：100～5000mL/h，精度：±30mL/h</w:t>
            </w:r>
          </w:p>
          <w:p>
            <w:pPr>
              <w:keepNext w:val="0"/>
              <w:keepLines w:val="0"/>
              <w:pageBreakBefore w:val="0"/>
              <w:kinsoku/>
              <w:wordWrap/>
              <w:overflowPunct/>
              <w:topLinePunct w:val="0"/>
              <w:autoSpaceDE/>
              <w:autoSpaceDN/>
              <w:bidi w:val="0"/>
              <w:adjustRightInd w:val="0"/>
              <w:snapToGrid w:val="0"/>
              <w:spacing w:after="0" w:line="288" w:lineRule="auto"/>
              <w:rPr>
                <w:rFonts w:ascii="Arial" w:hAnsi="Arial" w:cs="Arial"/>
                <w:szCs w:val="21"/>
              </w:rPr>
            </w:pPr>
            <w:r>
              <w:rPr>
                <w:rFonts w:ascii="Arial" w:hAnsi="Arial" w:cs="Arial"/>
                <w:szCs w:val="21"/>
              </w:rPr>
              <w:t>9.肝素泵注入流量：0～10ml/h</w:t>
            </w:r>
          </w:p>
          <w:p>
            <w:pPr>
              <w:keepNext w:val="0"/>
              <w:keepLines w:val="0"/>
              <w:pageBreakBefore w:val="0"/>
              <w:kinsoku/>
              <w:wordWrap/>
              <w:overflowPunct/>
              <w:topLinePunct w:val="0"/>
              <w:autoSpaceDE/>
              <w:autoSpaceDN/>
              <w:bidi w:val="0"/>
              <w:adjustRightInd w:val="0"/>
              <w:snapToGrid w:val="0"/>
              <w:spacing w:after="0" w:line="288" w:lineRule="auto"/>
              <w:rPr>
                <w:rFonts w:ascii="Arial" w:hAnsi="Arial" w:cs="Arial"/>
                <w:szCs w:val="21"/>
              </w:rPr>
            </w:pPr>
            <w:r>
              <w:rPr>
                <w:rFonts w:ascii="Arial" w:hAnsi="Arial" w:cs="Arial"/>
                <w:szCs w:val="21"/>
              </w:rPr>
              <w:t>10.气泡检测器：可监测＞0.02 mL 的气泡，可监测液面和累积气泡</w:t>
            </w:r>
          </w:p>
          <w:p>
            <w:pPr>
              <w:keepNext w:val="0"/>
              <w:keepLines w:val="0"/>
              <w:pageBreakBefore w:val="0"/>
              <w:kinsoku/>
              <w:wordWrap/>
              <w:overflowPunct/>
              <w:topLinePunct w:val="0"/>
              <w:autoSpaceDE/>
              <w:autoSpaceDN/>
              <w:bidi w:val="0"/>
              <w:adjustRightInd w:val="0"/>
              <w:snapToGrid w:val="0"/>
              <w:spacing w:after="0" w:line="288" w:lineRule="auto"/>
              <w:rPr>
                <w:rFonts w:ascii="Arial" w:hAnsi="Arial" w:cs="Arial"/>
                <w:szCs w:val="21"/>
              </w:rPr>
            </w:pPr>
            <w:r>
              <w:rPr>
                <w:rFonts w:ascii="Arial" w:hAnsi="Arial" w:cs="Arial"/>
                <w:szCs w:val="21"/>
              </w:rPr>
              <w:t>11.漏血监测：可监测 ≤0.35mL/min 的漏血（HCT32%）</w:t>
            </w:r>
          </w:p>
          <w:p>
            <w:pPr>
              <w:keepNext w:val="0"/>
              <w:keepLines w:val="0"/>
              <w:pageBreakBefore w:val="0"/>
              <w:kinsoku/>
              <w:wordWrap/>
              <w:overflowPunct/>
              <w:topLinePunct w:val="0"/>
              <w:autoSpaceDE/>
              <w:autoSpaceDN/>
              <w:bidi w:val="0"/>
              <w:adjustRightInd w:val="0"/>
              <w:snapToGrid w:val="0"/>
              <w:spacing w:after="0" w:line="288" w:lineRule="auto"/>
              <w:rPr>
                <w:rFonts w:ascii="Arial" w:hAnsi="Arial" w:cs="Arial"/>
                <w:szCs w:val="21"/>
              </w:rPr>
            </w:pPr>
            <w:r>
              <w:rPr>
                <w:rFonts w:ascii="Arial" w:hAnsi="Arial" w:cs="Arial"/>
                <w:szCs w:val="21"/>
              </w:rPr>
              <w:t>12.消毒功能：具有化学剂消毒和热消毒两种，热消毒最高温度大于93℃</w:t>
            </w:r>
          </w:p>
          <w:p>
            <w:pPr>
              <w:keepNext w:val="0"/>
              <w:keepLines w:val="0"/>
              <w:pageBreakBefore w:val="0"/>
              <w:kinsoku/>
              <w:wordWrap/>
              <w:overflowPunct/>
              <w:topLinePunct w:val="0"/>
              <w:autoSpaceDE/>
              <w:autoSpaceDN/>
              <w:bidi w:val="0"/>
              <w:spacing w:after="0" w:line="288" w:lineRule="auto"/>
              <w:rPr>
                <w:rFonts w:ascii="Arial" w:hAnsi="Arial" w:cs="Arial"/>
                <w:szCs w:val="21"/>
              </w:rPr>
            </w:pPr>
            <w:r>
              <w:rPr>
                <w:rFonts w:ascii="Arial" w:hAnsi="Arial" w:cs="Arial"/>
                <w:szCs w:val="21"/>
              </w:rPr>
              <w:t>13.供水条件温度：进水压 1.5～7.0bar</w:t>
            </w:r>
            <w:r>
              <w:rPr>
                <w:rFonts w:ascii="Arial" w:hAnsi="Arial" w:cs="Arial"/>
                <w:szCs w:val="21"/>
              </w:rPr>
              <w:tab/>
            </w:r>
            <w:r>
              <w:rPr>
                <w:rFonts w:ascii="Arial" w:hAnsi="Arial" w:cs="Arial"/>
                <w:szCs w:val="21"/>
              </w:rPr>
              <w:t>进水温度 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9" w:type="pct"/>
            <w:noWrap w:val="0"/>
            <w:tcMar>
              <w:top w:w="13" w:type="dxa"/>
              <w:left w:w="57" w:type="dxa"/>
              <w:bottom w:w="0" w:type="dxa"/>
              <w:right w:w="57" w:type="dxa"/>
            </w:tcMar>
            <w:vAlign w:val="center"/>
          </w:tcPr>
          <w:p>
            <w:pPr>
              <w:keepNext w:val="0"/>
              <w:keepLines w:val="0"/>
              <w:pageBreakBefore w:val="0"/>
              <w:kinsoku/>
              <w:wordWrap/>
              <w:overflowPunct/>
              <w:topLinePunct w:val="0"/>
              <w:autoSpaceDE/>
              <w:autoSpaceDN/>
              <w:bidi w:val="0"/>
              <w:spacing w:after="0" w:line="288" w:lineRule="auto"/>
              <w:jc w:val="center"/>
              <w:rPr>
                <w:rFonts w:ascii="Arial" w:hAnsi="Arial" w:cs="Arial"/>
                <w:szCs w:val="21"/>
              </w:rPr>
            </w:pPr>
            <w:r>
              <w:rPr>
                <w:rFonts w:ascii="Arial" w:hAnsi="Arial" w:cs="Arial"/>
                <w:szCs w:val="21"/>
              </w:rPr>
              <w:t>3</w:t>
            </w:r>
          </w:p>
        </w:tc>
        <w:tc>
          <w:tcPr>
            <w:tcW w:w="625" w:type="pct"/>
            <w:noWrap w:val="0"/>
            <w:tcMar>
              <w:top w:w="13"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after="0" w:line="288" w:lineRule="auto"/>
              <w:jc w:val="center"/>
              <w:textAlignment w:val="center"/>
              <w:rPr>
                <w:rFonts w:ascii="Arial" w:hAnsi="Arial" w:cs="Arial"/>
                <w:szCs w:val="21"/>
              </w:rPr>
            </w:pPr>
            <w:r>
              <w:rPr>
                <w:rFonts w:ascii="Arial" w:hAnsi="Arial" w:cs="Arial"/>
                <w:szCs w:val="21"/>
              </w:rPr>
              <w:t>血液透析滤过机</w:t>
            </w:r>
          </w:p>
        </w:tc>
        <w:tc>
          <w:tcPr>
            <w:tcW w:w="377" w:type="pct"/>
            <w:gridSpan w:val="2"/>
            <w:noWrap w:val="0"/>
            <w:tcMar>
              <w:top w:w="13"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szCs w:val="21"/>
              </w:rPr>
              <w:t>1套</w:t>
            </w:r>
          </w:p>
        </w:tc>
        <w:tc>
          <w:tcPr>
            <w:tcW w:w="3677" w:type="pct"/>
            <w:noWrap w:val="0"/>
            <w:tcMar>
              <w:top w:w="13" w:type="dxa"/>
              <w:left w:w="57" w:type="dxa"/>
              <w:bottom w:w="0" w:type="dxa"/>
              <w:right w:w="57" w:type="dxa"/>
            </w:tcMar>
            <w:vAlign w:val="center"/>
          </w:tcPr>
          <w:p>
            <w:pPr>
              <w:keepNext w:val="0"/>
              <w:keepLines w:val="0"/>
              <w:pageBreakBefore w:val="0"/>
              <w:kinsoku/>
              <w:wordWrap/>
              <w:overflowPunct/>
              <w:topLinePunct w:val="0"/>
              <w:autoSpaceDE/>
              <w:autoSpaceDN/>
              <w:bidi w:val="0"/>
              <w:snapToGrid w:val="0"/>
              <w:spacing w:after="0" w:line="288" w:lineRule="auto"/>
              <w:rPr>
                <w:rFonts w:ascii="Arial" w:hAnsi="Arial" w:cs="Arial"/>
                <w:szCs w:val="21"/>
              </w:rPr>
            </w:pPr>
            <w:r>
              <w:rPr>
                <w:rFonts w:ascii="Arial" w:hAnsi="Arial" w:cs="Arial"/>
                <w:b/>
                <w:bCs/>
                <w:szCs w:val="21"/>
              </w:rPr>
              <w:t>一、技术特点</w:t>
            </w:r>
          </w:p>
          <w:p>
            <w:pPr>
              <w:keepNext w:val="0"/>
              <w:keepLines w:val="0"/>
              <w:pageBreakBefore w:val="0"/>
              <w:kinsoku/>
              <w:wordWrap/>
              <w:overflowPunct/>
              <w:topLinePunct w:val="0"/>
              <w:autoSpaceDE/>
              <w:autoSpaceDN/>
              <w:bidi w:val="0"/>
              <w:snapToGrid w:val="0"/>
              <w:spacing w:after="0" w:line="288" w:lineRule="auto"/>
              <w:rPr>
                <w:rFonts w:ascii="Arial" w:hAnsi="Arial" w:cs="Arial"/>
                <w:szCs w:val="21"/>
              </w:rPr>
            </w:pPr>
            <w:r>
              <w:rPr>
                <w:rFonts w:ascii="Arial" w:hAnsi="Arial" w:cs="Arial"/>
                <w:szCs w:val="21"/>
              </w:rPr>
              <w:t>1.适用于血液透析、在线血液滤过（HF-online）、在线血液透析滤过（HDF-online）、单纯超滤等治疗模式。</w:t>
            </w:r>
          </w:p>
          <w:p>
            <w:pPr>
              <w:keepNext w:val="0"/>
              <w:keepLines w:val="0"/>
              <w:pageBreakBefore w:val="0"/>
              <w:kinsoku/>
              <w:wordWrap/>
              <w:overflowPunct/>
              <w:topLinePunct w:val="0"/>
              <w:autoSpaceDE/>
              <w:autoSpaceDN/>
              <w:bidi w:val="0"/>
              <w:snapToGrid w:val="0"/>
              <w:spacing w:after="0" w:line="288" w:lineRule="auto"/>
              <w:rPr>
                <w:rFonts w:ascii="Arial" w:hAnsi="Arial" w:cs="Arial"/>
                <w:szCs w:val="21"/>
              </w:rPr>
            </w:pPr>
            <w:r>
              <w:rPr>
                <w:rFonts w:ascii="Arial" w:hAnsi="Arial" w:cs="Arial"/>
                <w:szCs w:val="21"/>
              </w:rPr>
              <w:t>2.采用≧15 英寸液晶触摸屏，中英文等多种语言界面。</w:t>
            </w:r>
          </w:p>
          <w:p>
            <w:pPr>
              <w:keepNext w:val="0"/>
              <w:keepLines w:val="0"/>
              <w:pageBreakBefore w:val="0"/>
              <w:kinsoku/>
              <w:wordWrap/>
              <w:overflowPunct/>
              <w:topLinePunct w:val="0"/>
              <w:autoSpaceDE/>
              <w:autoSpaceDN/>
              <w:bidi w:val="0"/>
              <w:snapToGrid w:val="0"/>
              <w:spacing w:after="0" w:line="288" w:lineRule="auto"/>
              <w:rPr>
                <w:rFonts w:ascii="Arial" w:hAnsi="Arial" w:cs="Arial"/>
                <w:szCs w:val="21"/>
              </w:rPr>
            </w:pPr>
            <w:r>
              <w:rPr>
                <w:rFonts w:ascii="Arial" w:hAnsi="Arial" w:cs="Arial"/>
                <w:szCs w:val="21"/>
              </w:rPr>
              <w:t>3.具有多种钠离子、超滤速率、碳酸氢盐、肝素流量、透析液流量、透析液温度等标准曲线和自设曲线功能，可为患者提供个性化治疗。</w:t>
            </w:r>
          </w:p>
          <w:p>
            <w:pPr>
              <w:keepNext w:val="0"/>
              <w:keepLines w:val="0"/>
              <w:pageBreakBefore w:val="0"/>
              <w:kinsoku/>
              <w:wordWrap/>
              <w:overflowPunct/>
              <w:topLinePunct w:val="0"/>
              <w:autoSpaceDE/>
              <w:autoSpaceDN/>
              <w:bidi w:val="0"/>
              <w:snapToGrid w:val="0"/>
              <w:spacing w:after="0" w:line="288" w:lineRule="auto"/>
              <w:rPr>
                <w:rFonts w:ascii="Arial" w:hAnsi="Arial" w:cs="Arial"/>
                <w:szCs w:val="21"/>
              </w:rPr>
            </w:pPr>
            <w:r>
              <w:rPr>
                <w:rFonts w:ascii="Arial" w:hAnsi="Arial" w:cs="Arial"/>
                <w:szCs w:val="21"/>
              </w:rPr>
              <w:t>4.预设多种标准透析液配制比例，亦可自设比例，适应市面上各种品牌的透析粉或浓缩液。</w:t>
            </w:r>
          </w:p>
          <w:p>
            <w:pPr>
              <w:keepNext w:val="0"/>
              <w:keepLines w:val="0"/>
              <w:pageBreakBefore w:val="0"/>
              <w:kinsoku/>
              <w:wordWrap/>
              <w:overflowPunct/>
              <w:topLinePunct w:val="0"/>
              <w:autoSpaceDE/>
              <w:autoSpaceDN/>
              <w:bidi w:val="0"/>
              <w:snapToGrid w:val="0"/>
              <w:spacing w:after="0" w:line="288" w:lineRule="auto"/>
              <w:rPr>
                <w:rFonts w:ascii="Arial" w:hAnsi="Arial" w:cs="Arial"/>
                <w:szCs w:val="21"/>
              </w:rPr>
            </w:pPr>
            <w:r>
              <w:rPr>
                <w:rFonts w:ascii="Arial" w:hAnsi="Arial" w:cs="Arial"/>
                <w:szCs w:val="21"/>
              </w:rPr>
              <w:t>5.容量平衡反馈控制系统，超滤精确。</w:t>
            </w:r>
          </w:p>
          <w:p>
            <w:pPr>
              <w:keepNext w:val="0"/>
              <w:keepLines w:val="0"/>
              <w:pageBreakBefore w:val="0"/>
              <w:kinsoku/>
              <w:wordWrap/>
              <w:overflowPunct/>
              <w:topLinePunct w:val="0"/>
              <w:autoSpaceDE/>
              <w:autoSpaceDN/>
              <w:bidi w:val="0"/>
              <w:snapToGrid w:val="0"/>
              <w:spacing w:after="0" w:line="288" w:lineRule="auto"/>
              <w:rPr>
                <w:rFonts w:ascii="Arial" w:hAnsi="Arial" w:cs="Arial"/>
                <w:szCs w:val="21"/>
              </w:rPr>
            </w:pPr>
            <w:r>
              <w:rPr>
                <w:rFonts w:ascii="Arial" w:hAnsi="Arial" w:cs="Arial"/>
                <w:szCs w:val="21"/>
              </w:rPr>
              <w:t>6.序贯透析（透析←→单纯超滤）、高低钠序贯透析。</w:t>
            </w:r>
          </w:p>
          <w:p>
            <w:pPr>
              <w:keepNext w:val="0"/>
              <w:keepLines w:val="0"/>
              <w:pageBreakBefore w:val="0"/>
              <w:kinsoku/>
              <w:wordWrap/>
              <w:overflowPunct/>
              <w:topLinePunct w:val="0"/>
              <w:autoSpaceDE/>
              <w:autoSpaceDN/>
              <w:bidi w:val="0"/>
              <w:snapToGrid w:val="0"/>
              <w:spacing w:after="0" w:line="288" w:lineRule="auto"/>
              <w:rPr>
                <w:rFonts w:ascii="Arial" w:hAnsi="Arial" w:cs="Arial"/>
                <w:szCs w:val="21"/>
              </w:rPr>
            </w:pPr>
            <w:r>
              <w:rPr>
                <w:rFonts w:ascii="Arial" w:hAnsi="Arial" w:cs="Arial"/>
                <w:szCs w:val="21"/>
              </w:rPr>
              <w:t>7.透析液配制反馈控制系统，透析液离子浓度准确。</w:t>
            </w:r>
          </w:p>
          <w:p>
            <w:pPr>
              <w:keepNext w:val="0"/>
              <w:keepLines w:val="0"/>
              <w:pageBreakBefore w:val="0"/>
              <w:kinsoku/>
              <w:wordWrap/>
              <w:overflowPunct/>
              <w:topLinePunct w:val="0"/>
              <w:autoSpaceDE/>
              <w:autoSpaceDN/>
              <w:bidi w:val="0"/>
              <w:snapToGrid w:val="0"/>
              <w:spacing w:after="0" w:line="288" w:lineRule="auto"/>
              <w:rPr>
                <w:rFonts w:ascii="Arial" w:hAnsi="Arial" w:cs="Arial"/>
                <w:szCs w:val="21"/>
              </w:rPr>
            </w:pPr>
            <w:r>
              <w:rPr>
                <w:rFonts w:ascii="Arial" w:hAnsi="Arial" w:cs="Arial"/>
                <w:szCs w:val="21"/>
              </w:rPr>
              <w:t>8.醒目的红、黄、绿三级警示灯，配合多种音乐提示和报警，兼顾安全与人性化。</w:t>
            </w:r>
          </w:p>
          <w:p>
            <w:pPr>
              <w:keepNext w:val="0"/>
              <w:keepLines w:val="0"/>
              <w:pageBreakBefore w:val="0"/>
              <w:kinsoku/>
              <w:wordWrap/>
              <w:overflowPunct/>
              <w:topLinePunct w:val="0"/>
              <w:autoSpaceDE/>
              <w:autoSpaceDN/>
              <w:bidi w:val="0"/>
              <w:snapToGrid w:val="0"/>
              <w:spacing w:after="0" w:line="288" w:lineRule="auto"/>
              <w:rPr>
                <w:rFonts w:ascii="Arial" w:hAnsi="Arial" w:cs="Arial"/>
                <w:szCs w:val="21"/>
                <w:highlight w:val="yellow"/>
              </w:rPr>
            </w:pPr>
            <w:r>
              <w:rPr>
                <w:rFonts w:ascii="Arial" w:hAnsi="Arial" w:cs="Arial"/>
                <w:szCs w:val="21"/>
              </w:rPr>
              <w:t>9.内置后备电源，停电后可维持治疗血液回路工作 30 分钟以上。</w:t>
            </w:r>
          </w:p>
          <w:p>
            <w:pPr>
              <w:keepNext w:val="0"/>
              <w:keepLines w:val="0"/>
              <w:pageBreakBefore w:val="0"/>
              <w:kinsoku/>
              <w:wordWrap/>
              <w:overflowPunct/>
              <w:topLinePunct w:val="0"/>
              <w:autoSpaceDE/>
              <w:autoSpaceDN/>
              <w:bidi w:val="0"/>
              <w:snapToGrid w:val="0"/>
              <w:spacing w:after="0" w:line="288" w:lineRule="auto"/>
              <w:rPr>
                <w:rFonts w:ascii="Arial" w:hAnsi="Arial" w:cs="Arial"/>
                <w:szCs w:val="21"/>
              </w:rPr>
            </w:pPr>
            <w:r>
              <w:rPr>
                <w:rFonts w:ascii="Arial" w:hAnsi="Arial" w:cs="Arial"/>
                <w:szCs w:val="21"/>
              </w:rPr>
              <w:t>10.可使用10mL、20mL、 30 mL、50mL 注射器，自动检测注射器型号，</w:t>
            </w:r>
            <w:r>
              <w:rPr>
                <w:rFonts w:hint="eastAsia" w:ascii="Arial" w:hAnsi="Arial" w:cs="Arial"/>
                <w:szCs w:val="21"/>
              </w:rPr>
              <w:t>具有</w:t>
            </w:r>
            <w:r>
              <w:rPr>
                <w:rFonts w:ascii="Arial" w:hAnsi="Arial" w:cs="Arial"/>
                <w:szCs w:val="21"/>
              </w:rPr>
              <w:t>功能自检和报警系统，支持肝素曲线。</w:t>
            </w:r>
          </w:p>
          <w:p>
            <w:pPr>
              <w:keepNext w:val="0"/>
              <w:keepLines w:val="0"/>
              <w:pageBreakBefore w:val="0"/>
              <w:kinsoku/>
              <w:wordWrap/>
              <w:overflowPunct/>
              <w:topLinePunct w:val="0"/>
              <w:autoSpaceDE/>
              <w:autoSpaceDN/>
              <w:bidi w:val="0"/>
              <w:snapToGrid w:val="0"/>
              <w:spacing w:after="0" w:line="288" w:lineRule="auto"/>
              <w:rPr>
                <w:rFonts w:ascii="Arial" w:hAnsi="Arial" w:cs="Arial"/>
                <w:szCs w:val="21"/>
              </w:rPr>
            </w:pPr>
            <w:r>
              <w:rPr>
                <w:rFonts w:ascii="Arial" w:hAnsi="Arial" w:cs="Arial"/>
                <w:szCs w:val="21"/>
              </w:rPr>
              <w:t>11.引导式操作界面，医护人员操作简单、快捷。</w:t>
            </w:r>
          </w:p>
          <w:p>
            <w:pPr>
              <w:keepNext w:val="0"/>
              <w:keepLines w:val="0"/>
              <w:pageBreakBefore w:val="0"/>
              <w:kinsoku/>
              <w:wordWrap/>
              <w:overflowPunct/>
              <w:topLinePunct w:val="0"/>
              <w:autoSpaceDE/>
              <w:autoSpaceDN/>
              <w:bidi w:val="0"/>
              <w:snapToGrid w:val="0"/>
              <w:spacing w:after="0" w:line="288" w:lineRule="auto"/>
              <w:rPr>
                <w:rFonts w:ascii="Arial" w:hAnsi="Arial" w:cs="Arial"/>
                <w:szCs w:val="21"/>
              </w:rPr>
            </w:pPr>
            <w:r>
              <w:rPr>
                <w:rFonts w:ascii="Arial" w:hAnsi="Arial" w:cs="Arial"/>
                <w:szCs w:val="21"/>
              </w:rPr>
              <w:t>12.置换液自动充管，大幅度减低医护人员工作强度和降低使用成本。</w:t>
            </w:r>
          </w:p>
          <w:p>
            <w:pPr>
              <w:keepNext w:val="0"/>
              <w:keepLines w:val="0"/>
              <w:pageBreakBefore w:val="0"/>
              <w:kinsoku/>
              <w:wordWrap/>
              <w:overflowPunct/>
              <w:topLinePunct w:val="0"/>
              <w:autoSpaceDE/>
              <w:autoSpaceDN/>
              <w:bidi w:val="0"/>
              <w:snapToGrid w:val="0"/>
              <w:spacing w:after="0" w:line="288" w:lineRule="auto"/>
              <w:rPr>
                <w:rFonts w:ascii="Arial" w:hAnsi="Arial" w:cs="Arial"/>
                <w:szCs w:val="21"/>
              </w:rPr>
            </w:pPr>
            <w:r>
              <w:rPr>
                <w:rFonts w:ascii="Arial" w:hAnsi="Arial" w:cs="Arial"/>
                <w:szCs w:val="21"/>
              </w:rPr>
              <w:t>13.具有双级内毒素过滤功能（HDF-online），保证置换液高于静脉注射用液的标准。</w:t>
            </w:r>
          </w:p>
          <w:p>
            <w:pPr>
              <w:keepNext w:val="0"/>
              <w:keepLines w:val="0"/>
              <w:pageBreakBefore w:val="0"/>
              <w:kinsoku/>
              <w:wordWrap/>
              <w:overflowPunct/>
              <w:topLinePunct w:val="0"/>
              <w:autoSpaceDE/>
              <w:autoSpaceDN/>
              <w:bidi w:val="0"/>
              <w:snapToGrid w:val="0"/>
              <w:spacing w:after="0" w:line="288" w:lineRule="auto"/>
              <w:rPr>
                <w:rFonts w:ascii="Arial" w:hAnsi="Arial" w:cs="Arial"/>
                <w:szCs w:val="21"/>
              </w:rPr>
            </w:pPr>
            <w:r>
              <w:rPr>
                <w:rFonts w:ascii="Arial" w:hAnsi="Arial" w:cs="Arial"/>
                <w:szCs w:val="21"/>
              </w:rPr>
              <w:t>14.在线Kt/V功能，用于评价透析治疗的充分性。</w:t>
            </w:r>
          </w:p>
          <w:p>
            <w:pPr>
              <w:keepNext w:val="0"/>
              <w:keepLines w:val="0"/>
              <w:pageBreakBefore w:val="0"/>
              <w:kinsoku/>
              <w:wordWrap/>
              <w:overflowPunct/>
              <w:topLinePunct w:val="0"/>
              <w:autoSpaceDE/>
              <w:autoSpaceDN/>
              <w:bidi w:val="0"/>
              <w:snapToGrid w:val="0"/>
              <w:spacing w:after="0" w:line="288" w:lineRule="auto"/>
              <w:rPr>
                <w:rFonts w:ascii="Arial" w:hAnsi="Arial" w:cs="Arial"/>
                <w:szCs w:val="21"/>
              </w:rPr>
            </w:pPr>
            <w:r>
              <w:rPr>
                <w:rFonts w:ascii="Arial" w:hAnsi="Arial" w:cs="Arial"/>
                <w:szCs w:val="21"/>
              </w:rPr>
              <w:t>15.</w:t>
            </w:r>
            <w:r>
              <w:rPr>
                <w:rFonts w:ascii="Arial" w:hAnsi="Arial" w:cs="Arial"/>
                <w:bCs/>
                <w:szCs w:val="21"/>
              </w:rPr>
              <w:t>在线无创血压监测，可自动检测和记录患者透析期间的心率、血压变化。</w:t>
            </w:r>
          </w:p>
          <w:p>
            <w:pPr>
              <w:keepNext w:val="0"/>
              <w:keepLines w:val="0"/>
              <w:pageBreakBefore w:val="0"/>
              <w:kinsoku/>
              <w:wordWrap/>
              <w:overflowPunct/>
              <w:topLinePunct w:val="0"/>
              <w:autoSpaceDE/>
              <w:autoSpaceDN/>
              <w:bidi w:val="0"/>
              <w:snapToGrid w:val="0"/>
              <w:spacing w:after="0" w:line="288" w:lineRule="auto"/>
              <w:rPr>
                <w:rFonts w:ascii="Arial" w:hAnsi="Arial" w:cs="Arial"/>
                <w:b/>
                <w:bCs/>
                <w:szCs w:val="21"/>
              </w:rPr>
            </w:pPr>
            <w:r>
              <w:rPr>
                <w:rFonts w:ascii="Arial" w:hAnsi="Arial" w:cs="Arial"/>
                <w:b/>
                <w:bCs/>
                <w:szCs w:val="21"/>
              </w:rPr>
              <w:t>二、技术参数</w:t>
            </w:r>
          </w:p>
          <w:p>
            <w:pPr>
              <w:keepNext w:val="0"/>
              <w:keepLines w:val="0"/>
              <w:pageBreakBefore w:val="0"/>
              <w:kinsoku/>
              <w:wordWrap/>
              <w:overflowPunct/>
              <w:topLinePunct w:val="0"/>
              <w:autoSpaceDE/>
              <w:autoSpaceDN/>
              <w:bidi w:val="0"/>
              <w:snapToGrid w:val="0"/>
              <w:spacing w:after="0" w:line="288" w:lineRule="auto"/>
              <w:rPr>
                <w:rFonts w:ascii="Arial" w:hAnsi="Arial" w:cs="Arial"/>
                <w:b/>
                <w:bCs/>
                <w:szCs w:val="21"/>
              </w:rPr>
            </w:pPr>
            <w:r>
              <w:rPr>
                <w:rFonts w:ascii="Arial" w:hAnsi="Arial" w:cs="Arial"/>
                <w:b/>
                <w:bCs/>
                <w:szCs w:val="21"/>
              </w:rPr>
              <w:t>1．</w:t>
            </w:r>
            <w:r>
              <w:rPr>
                <w:rFonts w:ascii="Arial" w:hAnsi="Arial" w:cs="Arial"/>
                <w:b/>
                <w:bCs/>
              </w:rPr>
              <w:t>◆</w:t>
            </w:r>
            <w:r>
              <w:rPr>
                <w:rFonts w:ascii="Arial" w:hAnsi="Arial" w:cs="Arial"/>
                <w:b/>
                <w:bCs/>
                <w:szCs w:val="21"/>
              </w:rPr>
              <w:t>动脉压监测: -400mmHg～600mmHg，精度可达：±10 mmHg</w:t>
            </w:r>
          </w:p>
          <w:p>
            <w:pPr>
              <w:keepNext w:val="0"/>
              <w:keepLines w:val="0"/>
              <w:pageBreakBefore w:val="0"/>
              <w:kinsoku/>
              <w:wordWrap/>
              <w:overflowPunct/>
              <w:topLinePunct w:val="0"/>
              <w:autoSpaceDE/>
              <w:autoSpaceDN/>
              <w:bidi w:val="0"/>
              <w:snapToGrid w:val="0"/>
              <w:spacing w:after="0" w:line="288" w:lineRule="auto"/>
              <w:rPr>
                <w:rFonts w:ascii="Arial" w:hAnsi="Arial" w:cs="Arial"/>
                <w:b/>
                <w:bCs/>
                <w:szCs w:val="21"/>
              </w:rPr>
            </w:pPr>
            <w:r>
              <w:rPr>
                <w:rFonts w:ascii="Arial" w:hAnsi="Arial" w:cs="Arial"/>
                <w:b/>
                <w:bCs/>
                <w:szCs w:val="21"/>
              </w:rPr>
              <w:t>2．</w:t>
            </w:r>
            <w:r>
              <w:rPr>
                <w:rFonts w:ascii="Arial" w:hAnsi="Arial" w:cs="Arial"/>
                <w:b/>
                <w:bCs/>
              </w:rPr>
              <w:t>◆</w:t>
            </w:r>
            <w:r>
              <w:rPr>
                <w:rFonts w:ascii="Arial" w:hAnsi="Arial" w:cs="Arial"/>
                <w:b/>
                <w:bCs/>
                <w:szCs w:val="21"/>
              </w:rPr>
              <w:t>静脉压监测: -400mmHg～600mmHg，精度可达: ±10 mmHg</w:t>
            </w:r>
          </w:p>
          <w:p>
            <w:pPr>
              <w:keepNext w:val="0"/>
              <w:keepLines w:val="0"/>
              <w:pageBreakBefore w:val="0"/>
              <w:kinsoku/>
              <w:wordWrap/>
              <w:overflowPunct/>
              <w:topLinePunct w:val="0"/>
              <w:autoSpaceDE/>
              <w:autoSpaceDN/>
              <w:bidi w:val="0"/>
              <w:snapToGrid w:val="0"/>
              <w:spacing w:after="0" w:line="288" w:lineRule="auto"/>
              <w:rPr>
                <w:rFonts w:ascii="Arial" w:hAnsi="Arial" w:cs="Arial"/>
                <w:szCs w:val="21"/>
              </w:rPr>
            </w:pPr>
            <w:r>
              <w:rPr>
                <w:rFonts w:ascii="Arial" w:hAnsi="Arial" w:cs="Arial"/>
                <w:szCs w:val="21"/>
              </w:rPr>
              <w:t>3．跨膜压监测: -180mmHg～600mmHg，精度可达: ±10 mmHg</w:t>
            </w:r>
          </w:p>
          <w:p>
            <w:pPr>
              <w:keepNext w:val="0"/>
              <w:keepLines w:val="0"/>
              <w:pageBreakBefore w:val="0"/>
              <w:kinsoku/>
              <w:wordWrap/>
              <w:overflowPunct/>
              <w:topLinePunct w:val="0"/>
              <w:autoSpaceDE/>
              <w:autoSpaceDN/>
              <w:bidi w:val="0"/>
              <w:snapToGrid w:val="0"/>
              <w:spacing w:after="0" w:line="288" w:lineRule="auto"/>
              <w:rPr>
                <w:rFonts w:ascii="Arial" w:hAnsi="Arial" w:cs="Arial"/>
                <w:b/>
                <w:bCs/>
                <w:szCs w:val="21"/>
              </w:rPr>
            </w:pPr>
            <w:r>
              <w:rPr>
                <w:rFonts w:ascii="Arial" w:hAnsi="Arial" w:cs="Arial"/>
                <w:b/>
                <w:bCs/>
                <w:szCs w:val="21"/>
              </w:rPr>
              <w:t>4．</w:t>
            </w:r>
            <w:r>
              <w:rPr>
                <w:rFonts w:ascii="Arial" w:hAnsi="Arial" w:cs="Arial"/>
                <w:b/>
                <w:bCs/>
              </w:rPr>
              <w:t>◆</w:t>
            </w:r>
            <w:r>
              <w:rPr>
                <w:rFonts w:ascii="Arial" w:hAnsi="Arial" w:cs="Arial"/>
                <w:b/>
                <w:bCs/>
                <w:szCs w:val="21"/>
              </w:rPr>
              <w:t>透析液流量：100mL/min～800mL/min，精度：±5%</w:t>
            </w:r>
          </w:p>
          <w:p>
            <w:pPr>
              <w:keepNext w:val="0"/>
              <w:keepLines w:val="0"/>
              <w:pageBreakBefore w:val="0"/>
              <w:kinsoku/>
              <w:wordWrap/>
              <w:overflowPunct/>
              <w:topLinePunct w:val="0"/>
              <w:autoSpaceDE/>
              <w:autoSpaceDN/>
              <w:bidi w:val="0"/>
              <w:snapToGrid w:val="0"/>
              <w:spacing w:after="0" w:line="288" w:lineRule="auto"/>
              <w:rPr>
                <w:rFonts w:ascii="Arial" w:hAnsi="Arial" w:cs="Arial"/>
                <w:szCs w:val="21"/>
              </w:rPr>
            </w:pPr>
            <w:r>
              <w:rPr>
                <w:rFonts w:ascii="Arial" w:hAnsi="Arial" w:cs="Arial"/>
                <w:szCs w:val="21"/>
              </w:rPr>
              <w:t>5．透析液温度范围：33℃～40℃，精度±0.5℃</w:t>
            </w:r>
          </w:p>
          <w:p>
            <w:pPr>
              <w:keepNext w:val="0"/>
              <w:keepLines w:val="0"/>
              <w:pageBreakBefore w:val="0"/>
              <w:kinsoku/>
              <w:wordWrap/>
              <w:overflowPunct/>
              <w:topLinePunct w:val="0"/>
              <w:autoSpaceDE/>
              <w:autoSpaceDN/>
              <w:bidi w:val="0"/>
              <w:snapToGrid w:val="0"/>
              <w:spacing w:after="0" w:line="288" w:lineRule="auto"/>
              <w:rPr>
                <w:rFonts w:ascii="Arial" w:hAnsi="Arial" w:cs="Arial"/>
                <w:b/>
                <w:bCs/>
                <w:szCs w:val="21"/>
              </w:rPr>
            </w:pPr>
            <w:r>
              <w:rPr>
                <w:rFonts w:ascii="Arial" w:hAnsi="Arial" w:cs="Arial"/>
                <w:b/>
                <w:bCs/>
                <w:szCs w:val="21"/>
              </w:rPr>
              <w:t>6．</w:t>
            </w:r>
            <w:r>
              <w:rPr>
                <w:rFonts w:ascii="Arial" w:hAnsi="Arial" w:cs="Arial"/>
                <w:b/>
                <w:bCs/>
              </w:rPr>
              <w:t>◆</w:t>
            </w:r>
            <w:r>
              <w:rPr>
                <w:rFonts w:ascii="Arial" w:hAnsi="Arial" w:cs="Arial"/>
                <w:b/>
                <w:bCs/>
                <w:szCs w:val="21"/>
              </w:rPr>
              <w:t>透析液电导率: 12.0mS/cm～18.0mS/cm</w:t>
            </w:r>
            <w:r>
              <w:rPr>
                <w:rFonts w:ascii="Arial" w:hAnsi="Arial" w:cs="Arial"/>
                <w:b/>
                <w:bCs/>
                <w:szCs w:val="21"/>
              </w:rPr>
              <w:tab/>
            </w:r>
            <w:r>
              <w:rPr>
                <w:rFonts w:ascii="Arial" w:hAnsi="Arial" w:cs="Arial"/>
                <w:b/>
                <w:bCs/>
                <w:szCs w:val="21"/>
              </w:rPr>
              <w:t>，精度: ±0.1 mS/cm</w:t>
            </w:r>
          </w:p>
          <w:p>
            <w:pPr>
              <w:keepNext w:val="0"/>
              <w:keepLines w:val="0"/>
              <w:pageBreakBefore w:val="0"/>
              <w:kinsoku/>
              <w:wordWrap/>
              <w:overflowPunct/>
              <w:topLinePunct w:val="0"/>
              <w:autoSpaceDE/>
              <w:autoSpaceDN/>
              <w:bidi w:val="0"/>
              <w:snapToGrid w:val="0"/>
              <w:spacing w:after="0" w:line="288" w:lineRule="auto"/>
              <w:rPr>
                <w:rFonts w:ascii="Arial" w:hAnsi="Arial" w:cs="Arial"/>
                <w:b/>
                <w:bCs/>
                <w:szCs w:val="21"/>
              </w:rPr>
            </w:pPr>
            <w:r>
              <w:rPr>
                <w:rFonts w:ascii="Arial" w:hAnsi="Arial" w:cs="Arial"/>
                <w:b/>
                <w:bCs/>
                <w:szCs w:val="21"/>
              </w:rPr>
              <w:t>7．</w:t>
            </w:r>
            <w:r>
              <w:rPr>
                <w:rFonts w:ascii="Arial" w:hAnsi="Arial" w:cs="Arial"/>
                <w:b/>
                <w:bCs/>
              </w:rPr>
              <w:t>◆</w:t>
            </w:r>
            <w:r>
              <w:rPr>
                <w:rFonts w:ascii="Arial" w:hAnsi="Arial" w:cs="Arial"/>
                <w:b/>
                <w:bCs/>
                <w:szCs w:val="21"/>
              </w:rPr>
              <w:t>置换液流量：30～600mL/min(HDF-online)</w:t>
            </w:r>
            <w:r>
              <w:rPr>
                <w:rFonts w:ascii="Arial" w:hAnsi="Arial" w:cs="Arial"/>
                <w:b/>
                <w:bCs/>
                <w:szCs w:val="21"/>
              </w:rPr>
              <w:tab/>
            </w:r>
          </w:p>
          <w:p>
            <w:pPr>
              <w:keepNext w:val="0"/>
              <w:keepLines w:val="0"/>
              <w:pageBreakBefore w:val="0"/>
              <w:kinsoku/>
              <w:wordWrap/>
              <w:overflowPunct/>
              <w:topLinePunct w:val="0"/>
              <w:autoSpaceDE/>
              <w:autoSpaceDN/>
              <w:bidi w:val="0"/>
              <w:snapToGrid w:val="0"/>
              <w:spacing w:after="0" w:line="288" w:lineRule="auto"/>
              <w:rPr>
                <w:rFonts w:ascii="Arial" w:hAnsi="Arial" w:cs="Arial"/>
                <w:b/>
                <w:bCs/>
                <w:szCs w:val="21"/>
              </w:rPr>
            </w:pPr>
            <w:r>
              <w:rPr>
                <w:rFonts w:ascii="Arial" w:hAnsi="Arial" w:cs="Arial"/>
                <w:b/>
                <w:bCs/>
                <w:szCs w:val="21"/>
              </w:rPr>
              <w:t>8．</w:t>
            </w:r>
            <w:r>
              <w:rPr>
                <w:rFonts w:ascii="Arial" w:hAnsi="Arial" w:cs="Arial"/>
                <w:b/>
                <w:bCs/>
              </w:rPr>
              <w:t>◆</w:t>
            </w:r>
            <w:r>
              <w:rPr>
                <w:rFonts w:ascii="Arial" w:hAnsi="Arial" w:cs="Arial"/>
                <w:b/>
                <w:bCs/>
                <w:szCs w:val="21"/>
              </w:rPr>
              <w:t>血流量：30～600mL/min，精度±10%</w:t>
            </w:r>
          </w:p>
          <w:p>
            <w:pPr>
              <w:keepNext w:val="0"/>
              <w:keepLines w:val="0"/>
              <w:pageBreakBefore w:val="0"/>
              <w:kinsoku/>
              <w:wordWrap/>
              <w:overflowPunct/>
              <w:topLinePunct w:val="0"/>
              <w:autoSpaceDE/>
              <w:autoSpaceDN/>
              <w:bidi w:val="0"/>
              <w:snapToGrid w:val="0"/>
              <w:spacing w:after="0" w:line="288" w:lineRule="auto"/>
              <w:rPr>
                <w:rFonts w:ascii="Arial" w:hAnsi="Arial" w:cs="Arial"/>
                <w:b/>
                <w:bCs/>
                <w:szCs w:val="21"/>
              </w:rPr>
            </w:pPr>
            <w:r>
              <w:rPr>
                <w:rFonts w:ascii="Arial" w:hAnsi="Arial" w:cs="Arial"/>
                <w:b/>
                <w:bCs/>
                <w:szCs w:val="21"/>
              </w:rPr>
              <w:t>9．</w:t>
            </w:r>
            <w:r>
              <w:rPr>
                <w:rFonts w:ascii="Arial" w:hAnsi="Arial" w:cs="Arial"/>
                <w:b/>
                <w:bCs/>
              </w:rPr>
              <w:t>◆</w:t>
            </w:r>
            <w:r>
              <w:rPr>
                <w:rFonts w:ascii="Arial" w:hAnsi="Arial" w:cs="Arial"/>
                <w:b/>
                <w:bCs/>
                <w:szCs w:val="21"/>
              </w:rPr>
              <w:t>超滤控制 超滤率：100～5000mL/h，精度：±30mL/h</w:t>
            </w:r>
          </w:p>
          <w:p>
            <w:pPr>
              <w:keepNext w:val="0"/>
              <w:keepLines w:val="0"/>
              <w:pageBreakBefore w:val="0"/>
              <w:kinsoku/>
              <w:wordWrap/>
              <w:overflowPunct/>
              <w:topLinePunct w:val="0"/>
              <w:autoSpaceDE/>
              <w:autoSpaceDN/>
              <w:bidi w:val="0"/>
              <w:snapToGrid w:val="0"/>
              <w:spacing w:after="0" w:line="288" w:lineRule="auto"/>
              <w:rPr>
                <w:rFonts w:ascii="Arial" w:hAnsi="Arial" w:cs="Arial"/>
                <w:szCs w:val="21"/>
              </w:rPr>
            </w:pPr>
            <w:r>
              <w:rPr>
                <w:rFonts w:ascii="Arial" w:hAnsi="Arial" w:cs="Arial"/>
                <w:szCs w:val="21"/>
              </w:rPr>
              <w:t>10．肝素泵注入流量：0～10ml/h</w:t>
            </w:r>
          </w:p>
          <w:p>
            <w:pPr>
              <w:keepNext w:val="0"/>
              <w:keepLines w:val="0"/>
              <w:pageBreakBefore w:val="0"/>
              <w:kinsoku/>
              <w:wordWrap/>
              <w:overflowPunct/>
              <w:topLinePunct w:val="0"/>
              <w:autoSpaceDE/>
              <w:autoSpaceDN/>
              <w:bidi w:val="0"/>
              <w:snapToGrid w:val="0"/>
              <w:spacing w:after="0" w:line="288" w:lineRule="auto"/>
              <w:rPr>
                <w:rFonts w:ascii="Arial" w:hAnsi="Arial" w:cs="Arial"/>
                <w:szCs w:val="21"/>
              </w:rPr>
            </w:pPr>
            <w:r>
              <w:rPr>
                <w:rFonts w:ascii="Arial" w:hAnsi="Arial" w:cs="Arial"/>
                <w:szCs w:val="21"/>
              </w:rPr>
              <w:t>11．气泡检测器：可监测＞0.02 mL的气泡，可监测液面和累积气泡</w:t>
            </w:r>
          </w:p>
          <w:p>
            <w:pPr>
              <w:keepNext w:val="0"/>
              <w:keepLines w:val="0"/>
              <w:pageBreakBefore w:val="0"/>
              <w:kinsoku/>
              <w:wordWrap/>
              <w:overflowPunct/>
              <w:topLinePunct w:val="0"/>
              <w:autoSpaceDE/>
              <w:autoSpaceDN/>
              <w:bidi w:val="0"/>
              <w:snapToGrid w:val="0"/>
              <w:spacing w:after="0" w:line="288" w:lineRule="auto"/>
              <w:rPr>
                <w:rFonts w:ascii="Arial" w:hAnsi="Arial" w:cs="Arial"/>
                <w:szCs w:val="21"/>
              </w:rPr>
            </w:pPr>
            <w:r>
              <w:rPr>
                <w:rFonts w:ascii="Arial" w:hAnsi="Arial" w:cs="Arial"/>
                <w:szCs w:val="21"/>
              </w:rPr>
              <w:t>12．漏血监测：可监测 ≤0.35mL/min 的漏血(HCT32%)</w:t>
            </w:r>
          </w:p>
          <w:p>
            <w:pPr>
              <w:keepNext w:val="0"/>
              <w:keepLines w:val="0"/>
              <w:pageBreakBefore w:val="0"/>
              <w:kinsoku/>
              <w:wordWrap/>
              <w:overflowPunct/>
              <w:topLinePunct w:val="0"/>
              <w:autoSpaceDE/>
              <w:autoSpaceDN/>
              <w:bidi w:val="0"/>
              <w:snapToGrid w:val="0"/>
              <w:spacing w:after="0" w:line="288" w:lineRule="auto"/>
              <w:rPr>
                <w:rFonts w:ascii="Arial" w:hAnsi="Arial" w:cs="Arial"/>
                <w:szCs w:val="21"/>
              </w:rPr>
            </w:pPr>
            <w:r>
              <w:rPr>
                <w:rFonts w:ascii="Arial" w:hAnsi="Arial" w:cs="Arial"/>
                <w:szCs w:val="21"/>
              </w:rPr>
              <w:t>13．消毒功能：具有化学剂消毒和热消毒两种，热消毒最高温度大于93℃</w:t>
            </w:r>
          </w:p>
          <w:p>
            <w:pPr>
              <w:keepNext w:val="0"/>
              <w:keepLines w:val="0"/>
              <w:pageBreakBefore w:val="0"/>
              <w:kinsoku/>
              <w:wordWrap/>
              <w:overflowPunct/>
              <w:topLinePunct w:val="0"/>
              <w:autoSpaceDE/>
              <w:autoSpaceDN/>
              <w:bidi w:val="0"/>
              <w:snapToGrid w:val="0"/>
              <w:spacing w:after="0" w:line="288" w:lineRule="auto"/>
              <w:rPr>
                <w:rFonts w:ascii="Arial" w:hAnsi="Arial" w:cs="Arial"/>
                <w:szCs w:val="21"/>
              </w:rPr>
            </w:pPr>
            <w:r>
              <w:rPr>
                <w:rFonts w:ascii="Arial" w:hAnsi="Arial" w:cs="Arial"/>
                <w:szCs w:val="21"/>
              </w:rPr>
              <w:t>14．供水条件温度：进水压：1.5-7.0bar，供水温度：5～30℃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3" w:hRule="atLeast"/>
          <w:jc w:val="center"/>
        </w:trPr>
        <w:tc>
          <w:tcPr>
            <w:tcW w:w="319" w:type="pct"/>
            <w:noWrap w:val="0"/>
            <w:tcMar>
              <w:top w:w="13" w:type="dxa"/>
              <w:left w:w="57" w:type="dxa"/>
              <w:bottom w:w="0" w:type="dxa"/>
              <w:right w:w="57" w:type="dxa"/>
            </w:tcMar>
            <w:vAlign w:val="center"/>
          </w:tcPr>
          <w:p>
            <w:pPr>
              <w:keepNext w:val="0"/>
              <w:keepLines w:val="0"/>
              <w:pageBreakBefore w:val="0"/>
              <w:kinsoku/>
              <w:wordWrap/>
              <w:overflowPunct/>
              <w:topLinePunct w:val="0"/>
              <w:autoSpaceDE/>
              <w:autoSpaceDN/>
              <w:bidi w:val="0"/>
              <w:spacing w:after="0" w:line="288" w:lineRule="auto"/>
              <w:jc w:val="center"/>
              <w:rPr>
                <w:rFonts w:ascii="Arial" w:hAnsi="Arial" w:cs="Arial"/>
                <w:szCs w:val="21"/>
              </w:rPr>
            </w:pPr>
            <w:r>
              <w:rPr>
                <w:rFonts w:ascii="Arial" w:hAnsi="Arial" w:cs="Arial"/>
                <w:szCs w:val="21"/>
              </w:rPr>
              <w:t>4</w:t>
            </w:r>
          </w:p>
        </w:tc>
        <w:tc>
          <w:tcPr>
            <w:tcW w:w="625" w:type="pct"/>
            <w:noWrap w:val="0"/>
            <w:tcMar>
              <w:top w:w="13"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after="0" w:line="288" w:lineRule="auto"/>
              <w:jc w:val="center"/>
              <w:textAlignment w:val="center"/>
              <w:rPr>
                <w:rFonts w:ascii="Arial" w:hAnsi="Arial" w:cs="Arial"/>
                <w:szCs w:val="21"/>
              </w:rPr>
            </w:pPr>
            <w:r>
              <w:rPr>
                <w:rFonts w:ascii="Arial" w:hAnsi="Arial" w:cs="Arial"/>
                <w:szCs w:val="21"/>
              </w:rPr>
              <w:t>装修改造</w:t>
            </w:r>
          </w:p>
        </w:tc>
        <w:tc>
          <w:tcPr>
            <w:tcW w:w="377" w:type="pct"/>
            <w:gridSpan w:val="2"/>
            <w:noWrap w:val="0"/>
            <w:tcMar>
              <w:top w:w="13"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after="0" w:line="288" w:lineRule="auto"/>
              <w:jc w:val="center"/>
              <w:textAlignment w:val="center"/>
              <w:rPr>
                <w:rFonts w:ascii="Arial" w:hAnsi="Arial" w:cs="Arial"/>
                <w:szCs w:val="21"/>
              </w:rPr>
            </w:pPr>
            <w:r>
              <w:rPr>
                <w:rFonts w:ascii="Arial" w:hAnsi="Arial" w:cs="Arial"/>
                <w:szCs w:val="21"/>
              </w:rPr>
              <w:t>1项</w:t>
            </w:r>
          </w:p>
        </w:tc>
        <w:tc>
          <w:tcPr>
            <w:tcW w:w="3677" w:type="pct"/>
            <w:noWrap w:val="0"/>
            <w:tcMar>
              <w:top w:w="13" w:type="dxa"/>
              <w:left w:w="57" w:type="dxa"/>
              <w:bottom w:w="0" w:type="dxa"/>
              <w:right w:w="57" w:type="dxa"/>
            </w:tcMar>
            <w:vAlign w:val="center"/>
          </w:tcPr>
          <w:tbl>
            <w:tblPr>
              <w:tblStyle w:val="49"/>
              <w:tblpPr w:leftFromText="180" w:rightFromText="180" w:vertAnchor="text" w:horzAnchor="page" w:tblpX="455" w:tblpY="-1964"/>
              <w:tblOverlap w:val="never"/>
              <w:tblW w:w="63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
              <w:gridCol w:w="947"/>
              <w:gridCol w:w="558"/>
              <w:gridCol w:w="859"/>
              <w:gridCol w:w="3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b/>
                      <w:bCs/>
                      <w:kern w:val="0"/>
                      <w:szCs w:val="21"/>
                      <w:lang w:bidi="ar"/>
                    </w:rPr>
                    <w:t>序号</w:t>
                  </w:r>
                </w:p>
              </w:tc>
              <w:tc>
                <w:tcPr>
                  <w:tcW w:w="947"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b/>
                      <w:bCs/>
                      <w:kern w:val="0"/>
                      <w:szCs w:val="21"/>
                      <w:lang w:bidi="ar"/>
                    </w:rPr>
                    <w:t>项目</w:t>
                  </w:r>
                </w:p>
              </w:tc>
              <w:tc>
                <w:tcPr>
                  <w:tcW w:w="558"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b/>
                      <w:bCs/>
                      <w:kern w:val="0"/>
                      <w:szCs w:val="21"/>
                      <w:lang w:bidi="ar"/>
                    </w:rPr>
                    <w:t>单位</w:t>
                  </w:r>
                </w:p>
              </w:tc>
              <w:tc>
                <w:tcPr>
                  <w:tcW w:w="85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hint="eastAsia" w:ascii="Arial" w:hAnsi="Arial" w:cs="Arial"/>
                      <w:b/>
                      <w:bCs/>
                      <w:kern w:val="0"/>
                      <w:szCs w:val="21"/>
                      <w:lang w:bidi="ar"/>
                    </w:rPr>
                    <w:t>工程</w:t>
                  </w:r>
                  <w:r>
                    <w:rPr>
                      <w:rFonts w:ascii="Arial" w:hAnsi="Arial" w:cs="Arial"/>
                      <w:b/>
                      <w:bCs/>
                      <w:kern w:val="0"/>
                      <w:szCs w:val="21"/>
                      <w:lang w:bidi="ar"/>
                    </w:rPr>
                    <w:t>量</w:t>
                  </w:r>
                </w:p>
              </w:tc>
              <w:tc>
                <w:tcPr>
                  <w:tcW w:w="352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b/>
                      <w:bCs/>
                      <w:kern w:val="0"/>
                      <w:szCs w:val="21"/>
                      <w:lang w:bidi="ar"/>
                    </w:rPr>
                  </w:pPr>
                  <w:r>
                    <w:rPr>
                      <w:rFonts w:ascii="Arial" w:hAnsi="Arial" w:cs="Arial"/>
                      <w:b/>
                      <w:bCs/>
                      <w:kern w:val="0"/>
                      <w:szCs w:val="21"/>
                      <w:lang w:bidi="ar"/>
                    </w:rPr>
                    <w:t>材料说明</w:t>
                  </w:r>
                </w:p>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b/>
                      <w:bCs/>
                      <w:kern w:val="0"/>
                      <w:szCs w:val="21"/>
                      <w:lang w:bidi="ar"/>
                    </w:rPr>
                    <w:t>（填空）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1</w:t>
                  </w:r>
                </w:p>
              </w:tc>
              <w:tc>
                <w:tcPr>
                  <w:tcW w:w="947"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铝扣吊顶</w:t>
                  </w:r>
                </w:p>
              </w:tc>
              <w:tc>
                <w:tcPr>
                  <w:tcW w:w="558"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w:t>
                  </w:r>
                </w:p>
              </w:tc>
              <w:tc>
                <w:tcPr>
                  <w:tcW w:w="85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210.22</w:t>
                  </w:r>
                </w:p>
              </w:tc>
              <w:tc>
                <w:tcPr>
                  <w:tcW w:w="352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left"/>
                    <w:textAlignment w:val="center"/>
                    <w:rPr>
                      <w:rFonts w:ascii="Arial" w:hAnsi="Arial" w:cs="Arial"/>
                      <w:szCs w:val="21"/>
                    </w:rPr>
                  </w:pPr>
                  <w:r>
                    <w:rPr>
                      <w:rFonts w:ascii="Arial" w:hAnsi="Arial" w:cs="Arial"/>
                      <w:kern w:val="0"/>
                      <w:szCs w:val="21"/>
                      <w:lang w:bidi="ar"/>
                    </w:rPr>
                    <w:t>≥0.7</w:t>
                  </w:r>
                  <w:r>
                    <w:rPr>
                      <w:rFonts w:hint="eastAsia" w:ascii="Arial" w:hAnsi="Arial" w:cs="Arial"/>
                      <w:kern w:val="0"/>
                      <w:szCs w:val="21"/>
                      <w:lang w:bidi="ar"/>
                    </w:rPr>
                    <w:t>mm</w:t>
                  </w:r>
                  <w:r>
                    <w:rPr>
                      <w:rFonts w:ascii="Arial" w:hAnsi="Arial" w:cs="Arial"/>
                      <w:kern w:val="0"/>
                      <w:szCs w:val="21"/>
                      <w:lang w:bidi="ar"/>
                    </w:rPr>
                    <w:t>厚≥600*600</w:t>
                  </w:r>
                  <w:r>
                    <w:rPr>
                      <w:rFonts w:hint="eastAsia"/>
                    </w:rPr>
                    <w:t>mm</w:t>
                  </w:r>
                  <w:r>
                    <w:rPr>
                      <w:rFonts w:ascii="Arial" w:hAnsi="Arial" w:cs="Arial"/>
                      <w:kern w:val="0"/>
                      <w:szCs w:val="21"/>
                      <w:lang w:bidi="ar"/>
                    </w:rPr>
                    <w:t>铝扣板。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2</w:t>
                  </w:r>
                </w:p>
              </w:tc>
              <w:tc>
                <w:tcPr>
                  <w:tcW w:w="947"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PVC地胶</w:t>
                  </w:r>
                </w:p>
              </w:tc>
              <w:tc>
                <w:tcPr>
                  <w:tcW w:w="558"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w:t>
                  </w:r>
                </w:p>
              </w:tc>
              <w:tc>
                <w:tcPr>
                  <w:tcW w:w="85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206.32</w:t>
                  </w:r>
                </w:p>
              </w:tc>
              <w:tc>
                <w:tcPr>
                  <w:tcW w:w="352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left"/>
                    <w:textAlignment w:val="center"/>
                    <w:rPr>
                      <w:rFonts w:ascii="Arial" w:hAnsi="Arial" w:cs="Arial"/>
                      <w:szCs w:val="21"/>
                    </w:rPr>
                  </w:pPr>
                  <w:r>
                    <w:rPr>
                      <w:rFonts w:ascii="Arial" w:hAnsi="Arial" w:cs="Arial"/>
                      <w:kern w:val="0"/>
                      <w:szCs w:val="21"/>
                      <w:lang w:bidi="ar"/>
                    </w:rPr>
                    <w:t>≥2.0mm</w:t>
                  </w:r>
                  <w:r>
                    <w:rPr>
                      <w:rFonts w:hint="eastAsia"/>
                    </w:rPr>
                    <w:t>厚</w:t>
                  </w:r>
                  <w:r>
                    <w:rPr>
                      <w:rFonts w:ascii="Arial" w:hAnsi="Arial" w:cs="Arial"/>
                      <w:kern w:val="0"/>
                      <w:szCs w:val="21"/>
                      <w:lang w:bidi="ar"/>
                    </w:rPr>
                    <w:t>同质透心卷材，带晶盾涂层同质透心碎花纹PVC卷材地板。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3</w:t>
                  </w:r>
                </w:p>
              </w:tc>
              <w:tc>
                <w:tcPr>
                  <w:tcW w:w="947"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地面抬高</w:t>
                  </w:r>
                </w:p>
              </w:tc>
              <w:tc>
                <w:tcPr>
                  <w:tcW w:w="558"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w:t>
                  </w:r>
                </w:p>
              </w:tc>
              <w:tc>
                <w:tcPr>
                  <w:tcW w:w="85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210.22</w:t>
                  </w:r>
                </w:p>
              </w:tc>
              <w:tc>
                <w:tcPr>
                  <w:tcW w:w="352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left"/>
                    <w:textAlignment w:val="center"/>
                    <w:rPr>
                      <w:rFonts w:ascii="Arial" w:hAnsi="Arial" w:cs="Arial"/>
                      <w:szCs w:val="21"/>
                    </w:rPr>
                  </w:pPr>
                  <w:r>
                    <w:rPr>
                      <w:rFonts w:ascii="Arial" w:hAnsi="Arial" w:cs="Arial"/>
                      <w:kern w:val="0"/>
                      <w:szCs w:val="21"/>
                      <w:lang w:bidi="ar"/>
                    </w:rPr>
                    <w:t>≥</w:t>
                  </w:r>
                  <w:r>
                    <w:rPr>
                      <w:rFonts w:hint="eastAsia" w:ascii="Arial" w:hAnsi="Arial" w:cs="Arial"/>
                      <w:kern w:val="0"/>
                      <w:szCs w:val="21"/>
                      <w:lang w:bidi="ar"/>
                    </w:rPr>
                    <w:t>C20</w:t>
                  </w:r>
                  <w:r>
                    <w:rPr>
                      <w:rFonts w:ascii="Arial" w:hAnsi="Arial" w:cs="Arial"/>
                      <w:kern w:val="0"/>
                      <w:szCs w:val="21"/>
                      <w:lang w:bidi="ar"/>
                    </w:rPr>
                    <w:t>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4</w:t>
                  </w:r>
                </w:p>
              </w:tc>
              <w:tc>
                <w:tcPr>
                  <w:tcW w:w="947"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水电</w:t>
                  </w:r>
                </w:p>
              </w:tc>
              <w:tc>
                <w:tcPr>
                  <w:tcW w:w="558"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w:t>
                  </w:r>
                </w:p>
              </w:tc>
              <w:tc>
                <w:tcPr>
                  <w:tcW w:w="85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210.22</w:t>
                  </w:r>
                </w:p>
              </w:tc>
              <w:tc>
                <w:tcPr>
                  <w:tcW w:w="352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left"/>
                    <w:textAlignment w:val="center"/>
                    <w:rPr>
                      <w:rFonts w:ascii="Arial" w:hAnsi="Arial" w:cs="Arial"/>
                      <w:szCs w:val="21"/>
                    </w:rPr>
                  </w:pPr>
                  <w:r>
                    <w:rPr>
                      <w:rFonts w:ascii="Arial" w:hAnsi="Arial" w:cs="Arial"/>
                      <w:kern w:val="0"/>
                      <w:szCs w:val="21"/>
                      <w:lang w:bidi="ar"/>
                    </w:rPr>
                    <w:t>PPR管，排水管，灯，插座。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5</w:t>
                  </w:r>
                </w:p>
              </w:tc>
              <w:tc>
                <w:tcPr>
                  <w:tcW w:w="947"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弱电</w:t>
                  </w:r>
                </w:p>
              </w:tc>
              <w:tc>
                <w:tcPr>
                  <w:tcW w:w="558"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w:t>
                  </w:r>
                </w:p>
              </w:tc>
              <w:tc>
                <w:tcPr>
                  <w:tcW w:w="85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210.22</w:t>
                  </w:r>
                </w:p>
              </w:tc>
              <w:tc>
                <w:tcPr>
                  <w:tcW w:w="352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left"/>
                    <w:textAlignment w:val="center"/>
                    <w:rPr>
                      <w:rFonts w:ascii="Arial" w:hAnsi="Arial" w:cs="Arial"/>
                      <w:szCs w:val="21"/>
                    </w:rPr>
                  </w:pPr>
                  <w:r>
                    <w:rPr>
                      <w:rFonts w:ascii="Arial" w:hAnsi="Arial" w:cs="Arial"/>
                      <w:kern w:val="0"/>
                      <w:szCs w:val="21"/>
                      <w:lang w:bidi="ar"/>
                    </w:rPr>
                    <w:t>超六类网线。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0"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6</w:t>
                  </w:r>
                </w:p>
              </w:tc>
              <w:tc>
                <w:tcPr>
                  <w:tcW w:w="947"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洗手台</w:t>
                  </w:r>
                </w:p>
              </w:tc>
              <w:tc>
                <w:tcPr>
                  <w:tcW w:w="558"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套</w:t>
                  </w:r>
                </w:p>
              </w:tc>
              <w:tc>
                <w:tcPr>
                  <w:tcW w:w="85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4</w:t>
                  </w:r>
                </w:p>
              </w:tc>
              <w:tc>
                <w:tcPr>
                  <w:tcW w:w="352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left"/>
                    <w:textAlignment w:val="center"/>
                    <w:rPr>
                      <w:rFonts w:ascii="Arial" w:hAnsi="Arial" w:cs="Arial"/>
                      <w:szCs w:val="21"/>
                    </w:rPr>
                  </w:pPr>
                  <w:r>
                    <w:rPr>
                      <w:rFonts w:hint="eastAsia" w:ascii="Arial" w:hAnsi="Arial" w:cs="Arial"/>
                      <w:kern w:val="0"/>
                      <w:szCs w:val="21"/>
                      <w:lang w:bidi="ar"/>
                    </w:rPr>
                    <w:t>500~</w:t>
                  </w:r>
                  <w:r>
                    <w:rPr>
                      <w:rFonts w:ascii="Arial" w:hAnsi="Arial" w:cs="Arial"/>
                      <w:kern w:val="0"/>
                      <w:szCs w:val="21"/>
                      <w:lang w:bidi="ar"/>
                    </w:rPr>
                    <w:t>600</w:t>
                  </w:r>
                  <w:r>
                    <w:rPr>
                      <w:rFonts w:hint="eastAsia" w:ascii="Arial" w:hAnsi="Arial" w:cs="Arial"/>
                      <w:kern w:val="0"/>
                      <w:szCs w:val="21"/>
                      <w:lang w:bidi="ar"/>
                    </w:rPr>
                    <w:t>mm</w:t>
                  </w:r>
                  <w:r>
                    <w:rPr>
                      <w:rFonts w:ascii="Arial" w:hAnsi="Arial" w:cs="Arial"/>
                      <w:kern w:val="0"/>
                      <w:szCs w:val="21"/>
                      <w:lang w:bidi="ar"/>
                    </w:rPr>
                    <w:t>宽洗手台。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7</w:t>
                  </w:r>
                </w:p>
              </w:tc>
              <w:tc>
                <w:tcPr>
                  <w:tcW w:w="947"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定制柜</w:t>
                  </w:r>
                </w:p>
              </w:tc>
              <w:tc>
                <w:tcPr>
                  <w:tcW w:w="558"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w:t>
                  </w:r>
                </w:p>
              </w:tc>
              <w:tc>
                <w:tcPr>
                  <w:tcW w:w="85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29</w:t>
                  </w:r>
                </w:p>
              </w:tc>
              <w:tc>
                <w:tcPr>
                  <w:tcW w:w="352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left"/>
                    <w:textAlignment w:val="center"/>
                    <w:rPr>
                      <w:rFonts w:ascii="Arial" w:hAnsi="Arial" w:cs="Arial"/>
                      <w:szCs w:val="21"/>
                    </w:rPr>
                  </w:pPr>
                  <w:r>
                    <w:rPr>
                      <w:rFonts w:hint="eastAsia" w:ascii="Arial" w:hAnsi="Arial" w:cs="Arial"/>
                      <w:kern w:val="0"/>
                      <w:szCs w:val="21"/>
                      <w:lang w:bidi="ar"/>
                    </w:rPr>
                    <w:t>15~</w:t>
                  </w:r>
                  <w:r>
                    <w:rPr>
                      <w:rFonts w:ascii="Arial" w:hAnsi="Arial" w:cs="Arial"/>
                      <w:kern w:val="0"/>
                      <w:szCs w:val="21"/>
                      <w:lang w:bidi="ar"/>
                    </w:rPr>
                    <w:t>18cm</w:t>
                  </w:r>
                  <w:r>
                    <w:rPr>
                      <w:rFonts w:hint="eastAsia" w:ascii="Arial" w:hAnsi="Arial" w:cs="Arial"/>
                      <w:kern w:val="0"/>
                      <w:szCs w:val="21"/>
                      <w:lang w:bidi="ar"/>
                    </w:rPr>
                    <w:t>厚</w:t>
                  </w:r>
                  <w:r>
                    <w:rPr>
                      <w:rFonts w:ascii="Arial" w:hAnsi="Arial" w:cs="Arial"/>
                      <w:kern w:val="0"/>
                      <w:szCs w:val="21"/>
                      <w:lang w:bidi="ar"/>
                    </w:rPr>
                    <w:t>多层板定制实木柜。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0"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8</w:t>
                  </w:r>
                </w:p>
              </w:tc>
              <w:tc>
                <w:tcPr>
                  <w:tcW w:w="947"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阴性区矮柜</w:t>
                  </w:r>
                </w:p>
              </w:tc>
              <w:tc>
                <w:tcPr>
                  <w:tcW w:w="558"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w:t>
                  </w:r>
                </w:p>
              </w:tc>
              <w:tc>
                <w:tcPr>
                  <w:tcW w:w="85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31.41</w:t>
                  </w:r>
                </w:p>
              </w:tc>
              <w:tc>
                <w:tcPr>
                  <w:tcW w:w="352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left"/>
                    <w:textAlignment w:val="center"/>
                    <w:rPr>
                      <w:rFonts w:ascii="Arial" w:hAnsi="Arial" w:cs="Arial"/>
                      <w:szCs w:val="21"/>
                    </w:rPr>
                  </w:pPr>
                  <w:r>
                    <w:rPr>
                      <w:rFonts w:hint="eastAsia" w:ascii="Arial" w:hAnsi="Arial" w:cs="Arial"/>
                      <w:kern w:val="0"/>
                      <w:szCs w:val="21"/>
                      <w:lang w:bidi="ar"/>
                    </w:rPr>
                    <w:t>15~</w:t>
                  </w:r>
                  <w:r>
                    <w:rPr>
                      <w:rFonts w:ascii="Arial" w:hAnsi="Arial" w:cs="Arial"/>
                      <w:kern w:val="0"/>
                      <w:szCs w:val="21"/>
                      <w:lang w:bidi="ar"/>
                    </w:rPr>
                    <w:t>18cm多层板定制实木柜。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9</w:t>
                  </w:r>
                </w:p>
              </w:tc>
              <w:tc>
                <w:tcPr>
                  <w:tcW w:w="947"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铝合金窗</w:t>
                  </w:r>
                </w:p>
              </w:tc>
              <w:tc>
                <w:tcPr>
                  <w:tcW w:w="558"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w:t>
                  </w:r>
                </w:p>
              </w:tc>
              <w:tc>
                <w:tcPr>
                  <w:tcW w:w="85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4</w:t>
                  </w:r>
                </w:p>
              </w:tc>
              <w:tc>
                <w:tcPr>
                  <w:tcW w:w="352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left"/>
                    <w:textAlignment w:val="center"/>
                    <w:rPr>
                      <w:rFonts w:ascii="Arial" w:hAnsi="Arial" w:cs="Arial"/>
                      <w:szCs w:val="21"/>
                    </w:rPr>
                  </w:pPr>
                  <w:r>
                    <w:rPr>
                      <w:rFonts w:ascii="Arial" w:hAnsi="Arial" w:cs="Arial"/>
                      <w:kern w:val="0"/>
                      <w:szCs w:val="21"/>
                      <w:lang w:bidi="ar"/>
                    </w:rPr>
                    <w:t>LOW-E中空玻璃≥（6+12A+6）</w:t>
                  </w:r>
                  <w:r>
                    <w:rPr>
                      <w:rFonts w:hint="eastAsia" w:ascii="Arial" w:hAnsi="Arial" w:cs="Arial"/>
                      <w:kern w:val="0"/>
                      <w:szCs w:val="21"/>
                      <w:lang w:bidi="ar"/>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10</w:t>
                  </w:r>
                </w:p>
              </w:tc>
              <w:tc>
                <w:tcPr>
                  <w:tcW w:w="947"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玻镁板隔墙</w:t>
                  </w:r>
                </w:p>
              </w:tc>
              <w:tc>
                <w:tcPr>
                  <w:tcW w:w="558"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w:t>
                  </w:r>
                </w:p>
              </w:tc>
              <w:tc>
                <w:tcPr>
                  <w:tcW w:w="85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377.1</w:t>
                  </w:r>
                </w:p>
              </w:tc>
              <w:tc>
                <w:tcPr>
                  <w:tcW w:w="352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left"/>
                    <w:textAlignment w:val="center"/>
                    <w:rPr>
                      <w:rFonts w:ascii="Arial" w:hAnsi="Arial" w:cs="Arial"/>
                      <w:szCs w:val="21"/>
                    </w:rPr>
                  </w:pPr>
                  <w:r>
                    <w:rPr>
                      <w:rFonts w:hint="eastAsia" w:ascii="Arial" w:hAnsi="Arial" w:cs="Arial"/>
                      <w:kern w:val="0"/>
                      <w:szCs w:val="21"/>
                      <w:lang w:bidi="ar"/>
                    </w:rPr>
                    <w:t>40~</w:t>
                  </w:r>
                  <w:r>
                    <w:rPr>
                      <w:rFonts w:ascii="Arial" w:hAnsi="Arial" w:cs="Arial"/>
                      <w:kern w:val="0"/>
                      <w:szCs w:val="21"/>
                      <w:lang w:bidi="ar"/>
                    </w:rPr>
                    <w:t>50mm厚玻镁板，钢板厚≥0.426mm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11</w:t>
                  </w:r>
                </w:p>
              </w:tc>
              <w:tc>
                <w:tcPr>
                  <w:tcW w:w="947"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门</w:t>
                  </w:r>
                </w:p>
              </w:tc>
              <w:tc>
                <w:tcPr>
                  <w:tcW w:w="558"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w:t>
                  </w:r>
                </w:p>
              </w:tc>
              <w:tc>
                <w:tcPr>
                  <w:tcW w:w="85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46</w:t>
                  </w:r>
                </w:p>
              </w:tc>
              <w:tc>
                <w:tcPr>
                  <w:tcW w:w="352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left"/>
                    <w:textAlignment w:val="center"/>
                    <w:rPr>
                      <w:rFonts w:ascii="Arial" w:hAnsi="Arial" w:cs="Arial"/>
                      <w:szCs w:val="21"/>
                    </w:rPr>
                  </w:pPr>
                  <w:r>
                    <w:rPr>
                      <w:rFonts w:ascii="Arial" w:hAnsi="Arial" w:cs="Arial"/>
                      <w:kern w:val="0"/>
                      <w:szCs w:val="21"/>
                      <w:lang w:bidi="ar"/>
                    </w:rPr>
                    <w:t>气密洁净门。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0"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12</w:t>
                  </w:r>
                </w:p>
              </w:tc>
              <w:tc>
                <w:tcPr>
                  <w:tcW w:w="947"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马桶</w:t>
                  </w:r>
                </w:p>
              </w:tc>
              <w:tc>
                <w:tcPr>
                  <w:tcW w:w="558"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个</w:t>
                  </w:r>
                </w:p>
              </w:tc>
              <w:tc>
                <w:tcPr>
                  <w:tcW w:w="85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2</w:t>
                  </w:r>
                </w:p>
              </w:tc>
              <w:tc>
                <w:tcPr>
                  <w:tcW w:w="352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left"/>
                    <w:textAlignment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13</w:t>
                  </w:r>
                </w:p>
              </w:tc>
              <w:tc>
                <w:tcPr>
                  <w:tcW w:w="947"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中央空调外机</w:t>
                  </w:r>
                </w:p>
              </w:tc>
              <w:tc>
                <w:tcPr>
                  <w:tcW w:w="558"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台</w:t>
                  </w:r>
                </w:p>
              </w:tc>
              <w:tc>
                <w:tcPr>
                  <w:tcW w:w="85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1</w:t>
                  </w:r>
                </w:p>
              </w:tc>
              <w:tc>
                <w:tcPr>
                  <w:tcW w:w="352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left"/>
                    <w:textAlignment w:val="center"/>
                    <w:rPr>
                      <w:rFonts w:ascii="Arial" w:hAnsi="Arial" w:cs="Arial"/>
                      <w:szCs w:val="21"/>
                    </w:rPr>
                  </w:pPr>
                  <w:r>
                    <w:rPr>
                      <w:rFonts w:ascii="Arial" w:hAnsi="Arial" w:cs="Arial"/>
                      <w:kern w:val="0"/>
                      <w:szCs w:val="21"/>
                      <w:lang w:bidi="ar"/>
                    </w:rPr>
                    <w:t>直流变频多联空调机组（一拖五）制冷量：≥50.40kW 制热量：≥56.50kW 制冷额定功率：≥12.70kW 制热额定功率：≥13.50kW APF：≥4.80噪音值：≥61dB（A)电源380V~50Hz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14</w:t>
                  </w:r>
                </w:p>
              </w:tc>
              <w:tc>
                <w:tcPr>
                  <w:tcW w:w="947"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风管式室内机</w:t>
                  </w:r>
                </w:p>
              </w:tc>
              <w:tc>
                <w:tcPr>
                  <w:tcW w:w="558"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台</w:t>
                  </w:r>
                </w:p>
              </w:tc>
              <w:tc>
                <w:tcPr>
                  <w:tcW w:w="85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2</w:t>
                  </w:r>
                </w:p>
              </w:tc>
              <w:tc>
                <w:tcPr>
                  <w:tcW w:w="352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left"/>
                    <w:textAlignment w:val="center"/>
                    <w:rPr>
                      <w:rFonts w:ascii="Arial" w:hAnsi="Arial" w:cs="Arial"/>
                      <w:szCs w:val="21"/>
                    </w:rPr>
                  </w:pPr>
                  <w:r>
                    <w:rPr>
                      <w:rFonts w:ascii="Arial" w:hAnsi="Arial" w:cs="Arial"/>
                      <w:kern w:val="0"/>
                      <w:szCs w:val="21"/>
                      <w:lang w:bidi="ar"/>
                    </w:rPr>
                    <w:t>制冷量：≥3.6kW制热量：≥4.0kW额定功率：≥49W循环风量：≥570m3/h静压：10-30Pa噪音值：25-32dB（A)配线控器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15</w:t>
                  </w:r>
                </w:p>
              </w:tc>
              <w:tc>
                <w:tcPr>
                  <w:tcW w:w="947"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风管式室内机</w:t>
                  </w:r>
                </w:p>
              </w:tc>
              <w:tc>
                <w:tcPr>
                  <w:tcW w:w="558"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台</w:t>
                  </w:r>
                </w:p>
              </w:tc>
              <w:tc>
                <w:tcPr>
                  <w:tcW w:w="85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1</w:t>
                  </w:r>
                </w:p>
              </w:tc>
              <w:tc>
                <w:tcPr>
                  <w:tcW w:w="352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left"/>
                    <w:textAlignment w:val="center"/>
                    <w:rPr>
                      <w:rFonts w:ascii="Arial" w:hAnsi="Arial" w:cs="Arial"/>
                      <w:szCs w:val="21"/>
                    </w:rPr>
                  </w:pPr>
                  <w:r>
                    <w:rPr>
                      <w:rFonts w:ascii="Arial" w:hAnsi="Arial" w:cs="Arial"/>
                      <w:kern w:val="0"/>
                      <w:szCs w:val="21"/>
                      <w:lang w:bidi="ar"/>
                    </w:rPr>
                    <w:t>制冷量：≥7.1kW制热量：≥8.0kW额定功率：≥103W循环风量：≥1145m3/h静压：10-50Pa噪音值：29-38dB（A)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16</w:t>
                  </w:r>
                </w:p>
              </w:tc>
              <w:tc>
                <w:tcPr>
                  <w:tcW w:w="947"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风管式室内机</w:t>
                  </w:r>
                </w:p>
              </w:tc>
              <w:tc>
                <w:tcPr>
                  <w:tcW w:w="558"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台</w:t>
                  </w:r>
                </w:p>
              </w:tc>
              <w:tc>
                <w:tcPr>
                  <w:tcW w:w="85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2</w:t>
                  </w:r>
                </w:p>
              </w:tc>
              <w:tc>
                <w:tcPr>
                  <w:tcW w:w="352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left"/>
                    <w:textAlignment w:val="center"/>
                    <w:rPr>
                      <w:rFonts w:ascii="Arial" w:hAnsi="Arial" w:cs="Arial"/>
                      <w:szCs w:val="21"/>
                    </w:rPr>
                  </w:pPr>
                  <w:r>
                    <w:rPr>
                      <w:rFonts w:ascii="Arial" w:hAnsi="Arial" w:cs="Arial"/>
                      <w:kern w:val="0"/>
                      <w:szCs w:val="21"/>
                      <w:lang w:bidi="ar"/>
                    </w:rPr>
                    <w:t>制冷量：≥12.5kW制热量：≥14.0kW额定功率：≥170W循环风量：≥2050m3/h静压：10-95Pa噪音值：30-43dB（A)配线控器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17</w:t>
                  </w:r>
                </w:p>
              </w:tc>
              <w:tc>
                <w:tcPr>
                  <w:tcW w:w="947"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新风系统</w:t>
                  </w:r>
                </w:p>
              </w:tc>
              <w:tc>
                <w:tcPr>
                  <w:tcW w:w="558"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项</w:t>
                  </w:r>
                </w:p>
              </w:tc>
              <w:tc>
                <w:tcPr>
                  <w:tcW w:w="85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1</w:t>
                  </w:r>
                </w:p>
              </w:tc>
              <w:tc>
                <w:tcPr>
                  <w:tcW w:w="352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left"/>
                    <w:textAlignment w:val="center"/>
                    <w:rPr>
                      <w:rFonts w:ascii="Arial" w:hAnsi="Arial" w:cs="Arial"/>
                      <w:szCs w:val="21"/>
                    </w:rPr>
                  </w:pPr>
                  <w:r>
                    <w:rPr>
                      <w:rFonts w:ascii="Arial" w:hAnsi="Arial" w:cs="Arial"/>
                      <w:kern w:val="0"/>
                      <w:szCs w:val="21"/>
                      <w:lang w:bidi="ar"/>
                    </w:rPr>
                    <w:t>1.循环风量：≥200m3/h两台</w:t>
                  </w:r>
                  <w:r>
                    <w:rPr>
                      <w:rFonts w:ascii="Arial" w:hAnsi="Arial" w:cs="Arial"/>
                      <w:kern w:val="0"/>
                      <w:szCs w:val="21"/>
                      <w:lang w:bidi="ar"/>
                    </w:rPr>
                    <w:br w:type="textWrapping"/>
                  </w:r>
                  <w:r>
                    <w:rPr>
                      <w:rFonts w:ascii="Arial" w:hAnsi="Arial" w:cs="Arial"/>
                      <w:kern w:val="0"/>
                      <w:szCs w:val="21"/>
                      <w:lang w:bidi="ar"/>
                    </w:rPr>
                    <w:t>2.循环风量：≥300m3/h三台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18</w:t>
                  </w:r>
                </w:p>
              </w:tc>
              <w:tc>
                <w:tcPr>
                  <w:tcW w:w="947"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设备带-蓝色</w:t>
                  </w:r>
                </w:p>
              </w:tc>
              <w:tc>
                <w:tcPr>
                  <w:tcW w:w="558"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米</w:t>
                  </w:r>
                </w:p>
              </w:tc>
              <w:tc>
                <w:tcPr>
                  <w:tcW w:w="85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54</w:t>
                  </w:r>
                </w:p>
              </w:tc>
              <w:tc>
                <w:tcPr>
                  <w:tcW w:w="352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left"/>
                    <w:textAlignment w:val="center"/>
                    <w:rPr>
                      <w:rFonts w:ascii="Arial" w:hAnsi="Arial" w:cs="Arial"/>
                      <w:szCs w:val="21"/>
                    </w:rPr>
                  </w:pPr>
                  <w:r>
                    <w:rPr>
                      <w:rFonts w:ascii="Arial" w:hAnsi="Arial" w:cs="Arial"/>
                      <w:kern w:val="0"/>
                      <w:szCs w:val="21"/>
                      <w:lang w:bidi="ar"/>
                    </w:rPr>
                    <w:t>≥200*55*1.2mm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19</w:t>
                  </w:r>
                </w:p>
              </w:tc>
              <w:tc>
                <w:tcPr>
                  <w:tcW w:w="947"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插座</w:t>
                  </w:r>
                </w:p>
              </w:tc>
              <w:tc>
                <w:tcPr>
                  <w:tcW w:w="558"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个</w:t>
                  </w:r>
                </w:p>
              </w:tc>
              <w:tc>
                <w:tcPr>
                  <w:tcW w:w="85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48</w:t>
                  </w:r>
                </w:p>
              </w:tc>
              <w:tc>
                <w:tcPr>
                  <w:tcW w:w="352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left"/>
                    <w:textAlignment w:val="center"/>
                    <w:rPr>
                      <w:rFonts w:ascii="Arial" w:hAnsi="Arial" w:cs="Arial"/>
                      <w:szCs w:val="21"/>
                    </w:rPr>
                  </w:pPr>
                  <w:r>
                    <w:rPr>
                      <w:rFonts w:ascii="Arial" w:hAnsi="Arial" w:cs="Arial"/>
                      <w:kern w:val="0"/>
                      <w:szCs w:val="21"/>
                      <w:lang w:bidi="ar"/>
                    </w:rPr>
                    <w:t>3孔16A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20</w:t>
                  </w:r>
                </w:p>
              </w:tc>
              <w:tc>
                <w:tcPr>
                  <w:tcW w:w="947"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缝隙条</w:t>
                  </w:r>
                </w:p>
              </w:tc>
              <w:tc>
                <w:tcPr>
                  <w:tcW w:w="558"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个</w:t>
                  </w:r>
                </w:p>
              </w:tc>
              <w:tc>
                <w:tcPr>
                  <w:tcW w:w="85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60</w:t>
                  </w:r>
                </w:p>
              </w:tc>
              <w:tc>
                <w:tcPr>
                  <w:tcW w:w="352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left"/>
                    <w:textAlignment w:val="center"/>
                    <w:rPr>
                      <w:rFonts w:ascii="Arial" w:hAnsi="Arial" w:cs="Arial"/>
                      <w:szCs w:val="21"/>
                    </w:rPr>
                  </w:pPr>
                  <w:r>
                    <w:rPr>
                      <w:rFonts w:ascii="Arial" w:hAnsi="Arial" w:cs="Arial"/>
                      <w:kern w:val="0"/>
                      <w:szCs w:val="21"/>
                      <w:lang w:bidi="ar"/>
                    </w:rPr>
                    <w:t>白色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21</w:t>
                  </w:r>
                </w:p>
              </w:tc>
              <w:tc>
                <w:tcPr>
                  <w:tcW w:w="947"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封头</w:t>
                  </w:r>
                </w:p>
              </w:tc>
              <w:tc>
                <w:tcPr>
                  <w:tcW w:w="558"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个</w:t>
                  </w:r>
                </w:p>
              </w:tc>
              <w:tc>
                <w:tcPr>
                  <w:tcW w:w="85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14</w:t>
                  </w:r>
                </w:p>
              </w:tc>
              <w:tc>
                <w:tcPr>
                  <w:tcW w:w="352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left"/>
                    <w:textAlignment w:val="center"/>
                    <w:rPr>
                      <w:rFonts w:ascii="Arial" w:hAnsi="Arial" w:cs="Arial"/>
                      <w:szCs w:val="21"/>
                    </w:rPr>
                  </w:pPr>
                  <w:r>
                    <w:rPr>
                      <w:rFonts w:ascii="Arial" w:hAnsi="Arial" w:cs="Arial"/>
                      <w:kern w:val="0"/>
                      <w:szCs w:val="21"/>
                      <w:lang w:bidi="ar"/>
                    </w:rPr>
                    <w:t>白色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22</w:t>
                  </w:r>
                </w:p>
              </w:tc>
              <w:tc>
                <w:tcPr>
                  <w:tcW w:w="947"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氧气终端</w:t>
                  </w:r>
                </w:p>
              </w:tc>
              <w:tc>
                <w:tcPr>
                  <w:tcW w:w="558"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个</w:t>
                  </w:r>
                </w:p>
              </w:tc>
              <w:tc>
                <w:tcPr>
                  <w:tcW w:w="85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20</w:t>
                  </w:r>
                </w:p>
              </w:tc>
              <w:tc>
                <w:tcPr>
                  <w:tcW w:w="352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left"/>
                    <w:textAlignment w:val="center"/>
                    <w:rPr>
                      <w:rFonts w:ascii="Arial" w:hAnsi="Arial" w:cs="Arial"/>
                      <w:szCs w:val="21"/>
                    </w:rPr>
                  </w:pPr>
                  <w:r>
                    <w:rPr>
                      <w:rFonts w:ascii="Arial" w:hAnsi="Arial" w:cs="Arial"/>
                      <w:kern w:val="0"/>
                      <w:szCs w:val="21"/>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23</w:t>
                  </w:r>
                </w:p>
              </w:tc>
              <w:tc>
                <w:tcPr>
                  <w:tcW w:w="947"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吸引终端</w:t>
                  </w:r>
                </w:p>
              </w:tc>
              <w:tc>
                <w:tcPr>
                  <w:tcW w:w="558"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个</w:t>
                  </w:r>
                </w:p>
              </w:tc>
              <w:tc>
                <w:tcPr>
                  <w:tcW w:w="85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20</w:t>
                  </w:r>
                </w:p>
              </w:tc>
              <w:tc>
                <w:tcPr>
                  <w:tcW w:w="352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left"/>
                    <w:textAlignment w:val="center"/>
                    <w:rPr>
                      <w:rFonts w:ascii="Arial" w:hAnsi="Arial" w:cs="Arial"/>
                      <w:szCs w:val="21"/>
                    </w:rPr>
                  </w:pPr>
                  <w:r>
                    <w:rPr>
                      <w:rFonts w:ascii="Arial" w:hAnsi="Arial" w:cs="Arial"/>
                      <w:kern w:val="0"/>
                      <w:szCs w:val="21"/>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24</w:t>
                  </w:r>
                </w:p>
              </w:tc>
              <w:tc>
                <w:tcPr>
                  <w:tcW w:w="947"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房间维修阀</w:t>
                  </w:r>
                </w:p>
              </w:tc>
              <w:tc>
                <w:tcPr>
                  <w:tcW w:w="558"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个</w:t>
                  </w:r>
                </w:p>
              </w:tc>
              <w:tc>
                <w:tcPr>
                  <w:tcW w:w="85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6</w:t>
                  </w:r>
                </w:p>
              </w:tc>
              <w:tc>
                <w:tcPr>
                  <w:tcW w:w="352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left"/>
                    <w:textAlignment w:val="center"/>
                    <w:rPr>
                      <w:rFonts w:ascii="Arial" w:hAnsi="Arial" w:cs="Arial"/>
                      <w:szCs w:val="21"/>
                    </w:rPr>
                  </w:pPr>
                  <w:r>
                    <w:rPr>
                      <w:rFonts w:ascii="Arial" w:hAnsi="Arial" w:cs="Arial"/>
                      <w:kern w:val="0"/>
                      <w:szCs w:val="21"/>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25</w:t>
                  </w:r>
                </w:p>
              </w:tc>
              <w:tc>
                <w:tcPr>
                  <w:tcW w:w="947"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楼层维修阀</w:t>
                  </w:r>
                </w:p>
              </w:tc>
              <w:tc>
                <w:tcPr>
                  <w:tcW w:w="558"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个</w:t>
                  </w:r>
                </w:p>
              </w:tc>
              <w:tc>
                <w:tcPr>
                  <w:tcW w:w="85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1</w:t>
                  </w:r>
                </w:p>
              </w:tc>
              <w:tc>
                <w:tcPr>
                  <w:tcW w:w="352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left"/>
                    <w:textAlignment w:val="center"/>
                    <w:rPr>
                      <w:rFonts w:ascii="Arial" w:hAnsi="Arial" w:cs="Arial"/>
                      <w:szCs w:val="21"/>
                    </w:rPr>
                  </w:pPr>
                  <w:r>
                    <w:rPr>
                      <w:rFonts w:ascii="Arial" w:hAnsi="Arial" w:cs="Arial"/>
                      <w:kern w:val="0"/>
                      <w:szCs w:val="21"/>
                      <w:lang w:bidi="ar"/>
                    </w:rPr>
                    <w:t>国标≥12mm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26</w:t>
                  </w:r>
                </w:p>
              </w:tc>
              <w:tc>
                <w:tcPr>
                  <w:tcW w:w="947"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气体报警器</w:t>
                  </w:r>
                </w:p>
              </w:tc>
              <w:tc>
                <w:tcPr>
                  <w:tcW w:w="558"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台</w:t>
                  </w:r>
                </w:p>
              </w:tc>
              <w:tc>
                <w:tcPr>
                  <w:tcW w:w="85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1</w:t>
                  </w:r>
                </w:p>
              </w:tc>
              <w:tc>
                <w:tcPr>
                  <w:tcW w:w="352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left"/>
                    <w:textAlignment w:val="center"/>
                    <w:rPr>
                      <w:rFonts w:ascii="Arial" w:hAnsi="Arial" w:cs="Arial"/>
                      <w:szCs w:val="21"/>
                    </w:rPr>
                  </w:pPr>
                  <w:r>
                    <w:rPr>
                      <w:rFonts w:ascii="Arial" w:hAnsi="Arial" w:cs="Arial"/>
                      <w:kern w:val="0"/>
                      <w:szCs w:val="21"/>
                      <w:lang w:bidi="ar"/>
                    </w:rPr>
                    <w:t>双气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27</w:t>
                  </w:r>
                </w:p>
              </w:tc>
              <w:tc>
                <w:tcPr>
                  <w:tcW w:w="947"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二级稳压箱</w:t>
                  </w:r>
                </w:p>
              </w:tc>
              <w:tc>
                <w:tcPr>
                  <w:tcW w:w="558"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台</w:t>
                  </w:r>
                </w:p>
              </w:tc>
              <w:tc>
                <w:tcPr>
                  <w:tcW w:w="85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1</w:t>
                  </w:r>
                </w:p>
              </w:tc>
              <w:tc>
                <w:tcPr>
                  <w:tcW w:w="352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left"/>
                    <w:textAlignment w:val="center"/>
                    <w:rPr>
                      <w:rFonts w:ascii="Arial" w:hAnsi="Arial" w:cs="Arial"/>
                      <w:szCs w:val="21"/>
                    </w:rPr>
                  </w:pPr>
                  <w:r>
                    <w:rPr>
                      <w:rFonts w:ascii="Arial" w:hAnsi="Arial" w:cs="Arial"/>
                      <w:kern w:val="0"/>
                      <w:szCs w:val="21"/>
                      <w:lang w:bidi="ar"/>
                    </w:rPr>
                    <w:t>双路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28</w:t>
                  </w:r>
                </w:p>
              </w:tc>
              <w:tc>
                <w:tcPr>
                  <w:tcW w:w="947" w:type="dxa"/>
                  <w:vMerge w:val="restart"/>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铜管</w:t>
                  </w:r>
                </w:p>
              </w:tc>
              <w:tc>
                <w:tcPr>
                  <w:tcW w:w="558"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米</w:t>
                  </w:r>
                </w:p>
              </w:tc>
              <w:tc>
                <w:tcPr>
                  <w:tcW w:w="85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60</w:t>
                  </w:r>
                </w:p>
              </w:tc>
              <w:tc>
                <w:tcPr>
                  <w:tcW w:w="352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left"/>
                    <w:textAlignment w:val="center"/>
                    <w:rPr>
                      <w:rFonts w:ascii="Arial" w:hAnsi="Arial" w:cs="Arial"/>
                      <w:szCs w:val="21"/>
                    </w:rPr>
                  </w:pPr>
                  <w:r>
                    <w:rPr>
                      <w:rFonts w:ascii="Arial" w:hAnsi="Arial" w:cs="Arial"/>
                      <w:kern w:val="0"/>
                      <w:szCs w:val="21"/>
                      <w:lang w:bidi="ar"/>
                    </w:rPr>
                    <w:t>脱氧紫铜管≥16mm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29</w:t>
                  </w:r>
                </w:p>
              </w:tc>
              <w:tc>
                <w:tcPr>
                  <w:tcW w:w="947" w:type="dxa"/>
                  <w:vMerge w:val="continue"/>
                  <w:noWrap w:val="0"/>
                  <w:vAlign w:val="center"/>
                </w:tcPr>
                <w:p>
                  <w:pPr>
                    <w:keepNext w:val="0"/>
                    <w:keepLines w:val="0"/>
                    <w:pageBreakBefore w:val="0"/>
                    <w:kinsoku/>
                    <w:wordWrap/>
                    <w:overflowPunct/>
                    <w:topLinePunct w:val="0"/>
                    <w:autoSpaceDE/>
                    <w:autoSpaceDN/>
                    <w:bidi w:val="0"/>
                    <w:snapToGrid w:val="0"/>
                    <w:spacing w:after="0" w:line="288" w:lineRule="auto"/>
                    <w:jc w:val="center"/>
                    <w:rPr>
                      <w:rFonts w:ascii="Arial" w:hAnsi="Arial" w:cs="Arial"/>
                      <w:szCs w:val="21"/>
                    </w:rPr>
                  </w:pPr>
                </w:p>
              </w:tc>
              <w:tc>
                <w:tcPr>
                  <w:tcW w:w="558"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米</w:t>
                  </w:r>
                </w:p>
              </w:tc>
              <w:tc>
                <w:tcPr>
                  <w:tcW w:w="85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60</w:t>
                  </w:r>
                </w:p>
              </w:tc>
              <w:tc>
                <w:tcPr>
                  <w:tcW w:w="352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left"/>
                    <w:textAlignment w:val="center"/>
                    <w:rPr>
                      <w:rFonts w:ascii="Arial" w:hAnsi="Arial" w:cs="Arial"/>
                      <w:szCs w:val="21"/>
                    </w:rPr>
                  </w:pPr>
                  <w:r>
                    <w:rPr>
                      <w:rFonts w:ascii="Arial" w:hAnsi="Arial" w:cs="Arial"/>
                      <w:kern w:val="0"/>
                      <w:szCs w:val="21"/>
                      <w:lang w:bidi="ar"/>
                    </w:rPr>
                    <w:t>脱氧紫铜管≥12mm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30</w:t>
                  </w:r>
                </w:p>
              </w:tc>
              <w:tc>
                <w:tcPr>
                  <w:tcW w:w="947" w:type="dxa"/>
                  <w:vMerge w:val="continue"/>
                  <w:noWrap w:val="0"/>
                  <w:vAlign w:val="center"/>
                </w:tcPr>
                <w:p>
                  <w:pPr>
                    <w:keepNext w:val="0"/>
                    <w:keepLines w:val="0"/>
                    <w:pageBreakBefore w:val="0"/>
                    <w:kinsoku/>
                    <w:wordWrap/>
                    <w:overflowPunct/>
                    <w:topLinePunct w:val="0"/>
                    <w:autoSpaceDE/>
                    <w:autoSpaceDN/>
                    <w:bidi w:val="0"/>
                    <w:snapToGrid w:val="0"/>
                    <w:spacing w:after="0" w:line="288" w:lineRule="auto"/>
                    <w:jc w:val="center"/>
                    <w:rPr>
                      <w:rFonts w:ascii="Arial" w:hAnsi="Arial" w:cs="Arial"/>
                      <w:szCs w:val="21"/>
                    </w:rPr>
                  </w:pPr>
                </w:p>
              </w:tc>
              <w:tc>
                <w:tcPr>
                  <w:tcW w:w="558"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米</w:t>
                  </w:r>
                </w:p>
              </w:tc>
              <w:tc>
                <w:tcPr>
                  <w:tcW w:w="85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110</w:t>
                  </w:r>
                </w:p>
              </w:tc>
              <w:tc>
                <w:tcPr>
                  <w:tcW w:w="352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left"/>
                    <w:textAlignment w:val="center"/>
                    <w:rPr>
                      <w:rFonts w:ascii="Arial" w:hAnsi="Arial" w:cs="Arial"/>
                      <w:szCs w:val="21"/>
                    </w:rPr>
                  </w:pPr>
                  <w:r>
                    <w:rPr>
                      <w:rFonts w:ascii="Arial" w:hAnsi="Arial" w:cs="Arial"/>
                      <w:kern w:val="0"/>
                      <w:szCs w:val="21"/>
                      <w:lang w:bidi="ar"/>
                    </w:rPr>
                    <w:t>脱氧紫铜管≥18mm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31</w:t>
                  </w:r>
                </w:p>
              </w:tc>
              <w:tc>
                <w:tcPr>
                  <w:tcW w:w="947"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铜接头</w:t>
                  </w:r>
                </w:p>
              </w:tc>
              <w:tc>
                <w:tcPr>
                  <w:tcW w:w="558"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套</w:t>
                  </w:r>
                </w:p>
              </w:tc>
              <w:tc>
                <w:tcPr>
                  <w:tcW w:w="85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1</w:t>
                  </w:r>
                </w:p>
              </w:tc>
              <w:tc>
                <w:tcPr>
                  <w:tcW w:w="352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left"/>
                    <w:textAlignment w:val="center"/>
                    <w:rPr>
                      <w:rFonts w:ascii="Arial" w:hAnsi="Arial" w:cs="Arial"/>
                      <w:szCs w:val="21"/>
                    </w:rPr>
                  </w:pPr>
                  <w:r>
                    <w:rPr>
                      <w:rFonts w:ascii="Arial" w:hAnsi="Arial" w:cs="Arial"/>
                      <w:kern w:val="0"/>
                      <w:szCs w:val="21"/>
                      <w:lang w:bidi="ar"/>
                    </w:rPr>
                    <w:t>三通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32</w:t>
                  </w:r>
                </w:p>
              </w:tc>
              <w:tc>
                <w:tcPr>
                  <w:tcW w:w="947"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呼叫器主机</w:t>
                  </w:r>
                </w:p>
              </w:tc>
              <w:tc>
                <w:tcPr>
                  <w:tcW w:w="558"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台</w:t>
                  </w:r>
                </w:p>
              </w:tc>
              <w:tc>
                <w:tcPr>
                  <w:tcW w:w="85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1</w:t>
                  </w:r>
                </w:p>
              </w:tc>
              <w:tc>
                <w:tcPr>
                  <w:tcW w:w="352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left"/>
                    <w:textAlignment w:val="center"/>
                    <w:rPr>
                      <w:rFonts w:ascii="Arial" w:hAnsi="Arial" w:cs="Arial"/>
                      <w:szCs w:val="21"/>
                    </w:rPr>
                  </w:pPr>
                  <w:r>
                    <w:rPr>
                      <w:rFonts w:ascii="Arial" w:hAnsi="Arial" w:cs="Arial"/>
                      <w:kern w:val="0"/>
                      <w:szCs w:val="21"/>
                      <w:lang w:bidi="ar"/>
                    </w:rPr>
                    <w:t>智能款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33</w:t>
                  </w:r>
                </w:p>
              </w:tc>
              <w:tc>
                <w:tcPr>
                  <w:tcW w:w="947"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呼叫器分机</w:t>
                  </w:r>
                </w:p>
              </w:tc>
              <w:tc>
                <w:tcPr>
                  <w:tcW w:w="558"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个</w:t>
                  </w:r>
                </w:p>
              </w:tc>
              <w:tc>
                <w:tcPr>
                  <w:tcW w:w="85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16</w:t>
                  </w:r>
                </w:p>
              </w:tc>
              <w:tc>
                <w:tcPr>
                  <w:tcW w:w="352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left"/>
                    <w:textAlignment w:val="center"/>
                    <w:rPr>
                      <w:rFonts w:ascii="Arial" w:hAnsi="Arial" w:cs="Arial"/>
                      <w:szCs w:val="21"/>
                    </w:rPr>
                  </w:pPr>
                  <w:r>
                    <w:rPr>
                      <w:rFonts w:ascii="Arial" w:hAnsi="Arial" w:cs="Arial"/>
                      <w:kern w:val="0"/>
                      <w:szCs w:val="21"/>
                      <w:lang w:bidi="ar"/>
                    </w:rPr>
                    <w:t>金属直线款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34</w:t>
                  </w:r>
                </w:p>
              </w:tc>
              <w:tc>
                <w:tcPr>
                  <w:tcW w:w="947"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走廊显示屏</w:t>
                  </w:r>
                </w:p>
              </w:tc>
              <w:tc>
                <w:tcPr>
                  <w:tcW w:w="558"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台</w:t>
                  </w:r>
                </w:p>
              </w:tc>
              <w:tc>
                <w:tcPr>
                  <w:tcW w:w="85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2</w:t>
                  </w:r>
                </w:p>
              </w:tc>
              <w:tc>
                <w:tcPr>
                  <w:tcW w:w="352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left"/>
                    <w:textAlignment w:val="center"/>
                    <w:rPr>
                      <w:rFonts w:ascii="Arial" w:hAnsi="Arial" w:cs="Arial"/>
                      <w:szCs w:val="21"/>
                    </w:rPr>
                  </w:pPr>
                  <w:r>
                    <w:rPr>
                      <w:rFonts w:ascii="Arial" w:hAnsi="Arial" w:cs="Arial"/>
                      <w:kern w:val="0"/>
                      <w:szCs w:val="21"/>
                      <w:lang w:bidi="ar"/>
                    </w:rPr>
                    <w:t>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35</w:t>
                  </w:r>
                </w:p>
              </w:tc>
              <w:tc>
                <w:tcPr>
                  <w:tcW w:w="947"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壁挂式空气消毒机</w:t>
                  </w:r>
                </w:p>
              </w:tc>
              <w:tc>
                <w:tcPr>
                  <w:tcW w:w="558"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台</w:t>
                  </w:r>
                </w:p>
              </w:tc>
              <w:tc>
                <w:tcPr>
                  <w:tcW w:w="85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center"/>
                    <w:textAlignment w:val="center"/>
                    <w:rPr>
                      <w:rFonts w:ascii="Arial" w:hAnsi="Arial" w:cs="Arial"/>
                      <w:szCs w:val="21"/>
                    </w:rPr>
                  </w:pPr>
                  <w:r>
                    <w:rPr>
                      <w:rFonts w:ascii="Arial" w:hAnsi="Arial" w:cs="Arial"/>
                      <w:kern w:val="0"/>
                      <w:szCs w:val="21"/>
                      <w:lang w:bidi="ar"/>
                    </w:rPr>
                    <w:t>2</w:t>
                  </w:r>
                </w:p>
              </w:tc>
              <w:tc>
                <w:tcPr>
                  <w:tcW w:w="3529" w:type="dxa"/>
                  <w:noWrap w:val="0"/>
                  <w:vAlign w:val="center"/>
                </w:tcPr>
                <w:p>
                  <w:pPr>
                    <w:keepNext w:val="0"/>
                    <w:keepLines w:val="0"/>
                    <w:pageBreakBefore w:val="0"/>
                    <w:widowControl/>
                    <w:kinsoku/>
                    <w:wordWrap/>
                    <w:overflowPunct/>
                    <w:topLinePunct w:val="0"/>
                    <w:autoSpaceDE/>
                    <w:autoSpaceDN/>
                    <w:bidi w:val="0"/>
                    <w:snapToGrid w:val="0"/>
                    <w:spacing w:after="0" w:line="288" w:lineRule="auto"/>
                    <w:jc w:val="left"/>
                    <w:textAlignment w:val="center"/>
                    <w:rPr>
                      <w:rFonts w:ascii="Arial" w:hAnsi="Arial" w:cs="Arial"/>
                      <w:szCs w:val="21"/>
                    </w:rPr>
                  </w:pPr>
                  <w:r>
                    <w:rPr>
                      <w:rFonts w:ascii="Arial" w:hAnsi="Arial" w:cs="Arial"/>
                      <w:b/>
                      <w:bCs/>
                      <w:kern w:val="0"/>
                      <w:szCs w:val="21"/>
                      <w:lang w:bidi="ar"/>
                    </w:rPr>
                    <w:t>1.消毒机壳体选用全金属材质，经防潮喷塑工艺制成，坚固耐用防碰撞，阻燃性强。</w:t>
                  </w:r>
                  <w:r>
                    <w:rPr>
                      <w:rFonts w:ascii="Arial" w:hAnsi="Arial" w:cs="Arial"/>
                      <w:b/>
                      <w:bCs/>
                      <w:kern w:val="0"/>
                      <w:szCs w:val="21"/>
                      <w:lang w:bidi="ar"/>
                    </w:rPr>
                    <w:br w:type="textWrapping"/>
                  </w:r>
                  <w:r>
                    <w:rPr>
                      <w:rFonts w:ascii="Arial" w:hAnsi="Arial" w:cs="Arial"/>
                      <w:b/>
                      <w:bCs/>
                      <w:kern w:val="0"/>
                      <w:szCs w:val="21"/>
                      <w:lang w:bidi="ar"/>
                    </w:rPr>
                    <w:t>2.液晶显示屏，配合操控面板和遥控器。</w:t>
                  </w:r>
                  <w:r>
                    <w:rPr>
                      <w:rFonts w:ascii="Arial" w:hAnsi="Arial" w:cs="Arial"/>
                      <w:kern w:val="0"/>
                      <w:szCs w:val="21"/>
                      <w:lang w:bidi="ar"/>
                    </w:rPr>
                    <w:br w:type="textWrapping"/>
                  </w:r>
                  <w:r>
                    <w:rPr>
                      <w:rFonts w:hint="eastAsia" w:ascii="Arial" w:hAnsi="Arial" w:cs="Arial"/>
                      <w:b/>
                      <w:bCs/>
                      <w:kern w:val="0"/>
                      <w:szCs w:val="21"/>
                      <w:lang w:bidi="ar"/>
                    </w:rPr>
                    <w:t>3</w:t>
                  </w:r>
                  <w:r>
                    <w:rPr>
                      <w:rFonts w:ascii="Arial" w:hAnsi="Arial" w:cs="Arial"/>
                      <w:b/>
                      <w:bCs/>
                      <w:kern w:val="0"/>
                      <w:szCs w:val="21"/>
                      <w:lang w:bidi="ar"/>
                    </w:rPr>
                    <w:t>.采用微电脑控制系统，自动记忆工作模式功能，断电保护，只需设置一次，永久使用。</w:t>
                  </w:r>
                  <w:r>
                    <w:rPr>
                      <w:rFonts w:ascii="Arial" w:hAnsi="Arial" w:cs="Arial"/>
                      <w:b/>
                      <w:bCs/>
                      <w:kern w:val="0"/>
                      <w:szCs w:val="21"/>
                      <w:lang w:bidi="ar"/>
                    </w:rPr>
                    <w:br w:type="textWrapping"/>
                  </w:r>
                  <w:r>
                    <w:rPr>
                      <w:rFonts w:hint="eastAsia" w:ascii="Arial" w:hAnsi="Arial" w:cs="Arial"/>
                      <w:b/>
                      <w:bCs/>
                      <w:kern w:val="0"/>
                      <w:szCs w:val="21"/>
                      <w:lang w:bidi="ar"/>
                    </w:rPr>
                    <w:t>4</w:t>
                  </w:r>
                  <w:r>
                    <w:rPr>
                      <w:rFonts w:ascii="Arial" w:hAnsi="Arial" w:cs="Arial"/>
                      <w:b/>
                      <w:bCs/>
                      <w:kern w:val="0"/>
                      <w:szCs w:val="21"/>
                      <w:lang w:bidi="ar"/>
                    </w:rPr>
                    <w:t>.自动熄屏锁屏功能，有效防止误操作。</w:t>
                  </w:r>
                  <w:r>
                    <w:rPr>
                      <w:rFonts w:ascii="Arial" w:hAnsi="Arial" w:cs="Arial"/>
                      <w:b/>
                      <w:bCs/>
                      <w:kern w:val="0"/>
                      <w:szCs w:val="21"/>
                      <w:lang w:bidi="ar"/>
                    </w:rPr>
                    <w:br w:type="textWrapping"/>
                  </w:r>
                  <w:r>
                    <w:rPr>
                      <w:rFonts w:hint="eastAsia" w:ascii="Arial" w:hAnsi="Arial" w:cs="Arial"/>
                      <w:b/>
                      <w:bCs/>
                      <w:kern w:val="0"/>
                      <w:szCs w:val="21"/>
                      <w:lang w:bidi="ar"/>
                    </w:rPr>
                    <w:t>5</w:t>
                  </w:r>
                  <w:r>
                    <w:rPr>
                      <w:rFonts w:ascii="Arial" w:hAnsi="Arial" w:cs="Arial"/>
                      <w:b/>
                      <w:bCs/>
                      <w:kern w:val="0"/>
                      <w:szCs w:val="21"/>
                      <w:lang w:bidi="ar"/>
                    </w:rPr>
                    <w:t>.高强度紫外线灯管照射，灯管使用寿命≥8000小时，消毒能力更强。</w:t>
                  </w:r>
                  <w:r>
                    <w:rPr>
                      <w:rFonts w:ascii="Arial" w:hAnsi="Arial" w:cs="Arial"/>
                      <w:b/>
                      <w:bCs/>
                      <w:kern w:val="0"/>
                      <w:szCs w:val="21"/>
                      <w:lang w:bidi="ar"/>
                    </w:rPr>
                    <w:br w:type="textWrapping"/>
                  </w:r>
                  <w:r>
                    <w:rPr>
                      <w:rFonts w:hint="eastAsia" w:ascii="Arial" w:hAnsi="Arial" w:cs="Arial"/>
                      <w:b/>
                      <w:bCs/>
                      <w:kern w:val="0"/>
                      <w:szCs w:val="21"/>
                      <w:lang w:bidi="ar"/>
                    </w:rPr>
                    <w:t>6</w:t>
                  </w:r>
                  <w:r>
                    <w:rPr>
                      <w:rFonts w:ascii="Arial" w:hAnsi="Arial" w:cs="Arial"/>
                      <w:b/>
                      <w:bCs/>
                      <w:kern w:val="0"/>
                      <w:szCs w:val="21"/>
                      <w:lang w:bidi="ar"/>
                    </w:rPr>
                    <w:t>.风道设计，下进上出，配合专业风机，超大循环风量，辐射区域广，消毒效果显著。</w:t>
                  </w:r>
                  <w:r>
                    <w:rPr>
                      <w:rFonts w:ascii="Arial" w:hAnsi="Arial" w:cs="Arial"/>
                      <w:b/>
                      <w:bCs/>
                      <w:kern w:val="0"/>
                      <w:szCs w:val="21"/>
                      <w:lang w:bidi="ar"/>
                    </w:rPr>
                    <w:br w:type="textWrapping"/>
                  </w:r>
                  <w:r>
                    <w:rPr>
                      <w:rFonts w:hint="eastAsia" w:ascii="Arial" w:hAnsi="Arial" w:cs="Arial"/>
                      <w:b/>
                      <w:bCs/>
                      <w:kern w:val="0"/>
                      <w:szCs w:val="21"/>
                      <w:lang w:bidi="ar"/>
                    </w:rPr>
                    <w:t>7</w:t>
                  </w:r>
                  <w:r>
                    <w:rPr>
                      <w:rFonts w:ascii="Arial" w:hAnsi="Arial" w:cs="Arial"/>
                      <w:b/>
                      <w:bCs/>
                      <w:kern w:val="0"/>
                      <w:szCs w:val="21"/>
                      <w:lang w:bidi="ar"/>
                    </w:rPr>
                    <w:t>.紫外线灯管故障检测自动报警，并自动启动备用灯管保障消毒效果。</w:t>
                  </w:r>
                  <w:r>
                    <w:rPr>
                      <w:rFonts w:ascii="Arial" w:hAnsi="Arial" w:cs="Arial"/>
                      <w:kern w:val="0"/>
                      <w:szCs w:val="21"/>
                      <w:lang w:bidi="ar"/>
                    </w:rPr>
                    <w:br w:type="textWrapping"/>
                  </w:r>
                  <w:r>
                    <w:rPr>
                      <w:rFonts w:hint="eastAsia" w:ascii="Arial" w:hAnsi="Arial" w:cs="Arial"/>
                      <w:b/>
                      <w:bCs/>
                      <w:kern w:val="0"/>
                      <w:szCs w:val="21"/>
                      <w:lang w:bidi="ar"/>
                    </w:rPr>
                    <w:t>8</w:t>
                  </w:r>
                  <w:r>
                    <w:rPr>
                      <w:rFonts w:ascii="Arial" w:hAnsi="Arial" w:cs="Arial"/>
                      <w:b/>
                      <w:bCs/>
                      <w:kern w:val="0"/>
                      <w:szCs w:val="21"/>
                      <w:lang w:bidi="ar"/>
                    </w:rPr>
                    <w:t>.技术指标及参数</w:t>
                  </w:r>
                  <w:r>
                    <w:rPr>
                      <w:rFonts w:ascii="Arial" w:hAnsi="Arial" w:cs="Arial"/>
                      <w:b/>
                      <w:bCs/>
                      <w:kern w:val="0"/>
                      <w:szCs w:val="21"/>
                      <w:lang w:bidi="ar"/>
                    </w:rPr>
                    <w:br w:type="textWrapping"/>
                  </w:r>
                  <w:r>
                    <w:rPr>
                      <w:rFonts w:ascii="Arial" w:hAnsi="Arial" w:cs="Arial"/>
                      <w:b/>
                      <w:bCs/>
                      <w:kern w:val="0"/>
                      <w:szCs w:val="21"/>
                      <w:lang w:bidi="ar"/>
                    </w:rPr>
                    <w:t>1)环境温度：5℃～40℃</w:t>
                  </w:r>
                  <w:r>
                    <w:rPr>
                      <w:rFonts w:ascii="Arial" w:hAnsi="Arial" w:cs="Arial"/>
                      <w:b/>
                      <w:bCs/>
                      <w:kern w:val="0"/>
                      <w:szCs w:val="21"/>
                      <w:lang w:bidi="ar"/>
                    </w:rPr>
                    <w:br w:type="textWrapping"/>
                  </w:r>
                  <w:r>
                    <w:rPr>
                      <w:rFonts w:ascii="Arial" w:hAnsi="Arial" w:cs="Arial"/>
                      <w:b/>
                      <w:bCs/>
                      <w:kern w:val="0"/>
                      <w:szCs w:val="21"/>
                      <w:lang w:bidi="ar"/>
                    </w:rPr>
                    <w:t>2)相对湿度：≤85%</w:t>
                  </w:r>
                  <w:r>
                    <w:rPr>
                      <w:rFonts w:ascii="Arial" w:hAnsi="Arial" w:cs="Arial"/>
                      <w:b/>
                      <w:bCs/>
                      <w:kern w:val="0"/>
                      <w:szCs w:val="21"/>
                      <w:lang w:bidi="ar"/>
                    </w:rPr>
                    <w:br w:type="textWrapping"/>
                  </w:r>
                  <w:r>
                    <w:rPr>
                      <w:rFonts w:ascii="Arial" w:hAnsi="Arial" w:cs="Arial"/>
                      <w:b/>
                      <w:bCs/>
                      <w:kern w:val="0"/>
                      <w:szCs w:val="21"/>
                      <w:lang w:bidi="ar"/>
                    </w:rPr>
                    <w:t>3)大气压力：86KPa～106KPa</w:t>
                  </w:r>
                  <w:r>
                    <w:rPr>
                      <w:rFonts w:ascii="Arial" w:hAnsi="Arial" w:cs="Arial"/>
                      <w:b/>
                      <w:bCs/>
                      <w:kern w:val="0"/>
                      <w:szCs w:val="21"/>
                      <w:lang w:bidi="ar"/>
                    </w:rPr>
                    <w:br w:type="textWrapping"/>
                  </w:r>
                  <w:r>
                    <w:rPr>
                      <w:rFonts w:ascii="Arial" w:hAnsi="Arial" w:cs="Arial"/>
                      <w:b/>
                      <w:bCs/>
                      <w:kern w:val="0"/>
                      <w:szCs w:val="21"/>
                      <w:lang w:bidi="ar"/>
                    </w:rPr>
                    <w:t>4)电源：AC220V±22V  50Hz±1Hz</w:t>
                  </w:r>
                  <w:r>
                    <w:rPr>
                      <w:rFonts w:ascii="Arial" w:hAnsi="Arial" w:cs="Arial"/>
                      <w:b/>
                      <w:bCs/>
                      <w:kern w:val="0"/>
                      <w:szCs w:val="21"/>
                      <w:lang w:bidi="ar"/>
                    </w:rPr>
                    <w:br w:type="textWrapping"/>
                  </w:r>
                  <w:r>
                    <w:rPr>
                      <w:rFonts w:hint="eastAsia" w:ascii="Arial" w:hAnsi="Arial" w:cs="Arial"/>
                      <w:b/>
                      <w:bCs/>
                      <w:kern w:val="0"/>
                      <w:szCs w:val="21"/>
                      <w:lang w:bidi="ar"/>
                    </w:rPr>
                    <w:t>5</w:t>
                  </w:r>
                  <w:r>
                    <w:rPr>
                      <w:rFonts w:ascii="Arial" w:hAnsi="Arial" w:cs="Arial"/>
                      <w:b/>
                      <w:bCs/>
                      <w:kern w:val="0"/>
                      <w:szCs w:val="21"/>
                      <w:lang w:bidi="ar"/>
                    </w:rPr>
                    <w:t>)单根紫外线辐射强度（μW/cm2）≥85</w:t>
                  </w:r>
                  <w:r>
                    <w:rPr>
                      <w:rFonts w:ascii="Arial" w:hAnsi="Arial" w:cs="Arial"/>
                      <w:b/>
                      <w:bCs/>
                      <w:kern w:val="0"/>
                      <w:szCs w:val="21"/>
                      <w:lang w:bidi="ar"/>
                    </w:rPr>
                    <w:br w:type="textWrapping"/>
                  </w:r>
                  <w:r>
                    <w:rPr>
                      <w:rFonts w:hint="eastAsia" w:ascii="Arial" w:hAnsi="Arial" w:cs="Arial"/>
                      <w:b/>
                      <w:bCs/>
                      <w:kern w:val="0"/>
                      <w:szCs w:val="21"/>
                      <w:lang w:bidi="ar"/>
                    </w:rPr>
                    <w:t>6</w:t>
                  </w:r>
                  <w:r>
                    <w:rPr>
                      <w:rFonts w:ascii="Arial" w:hAnsi="Arial" w:cs="Arial"/>
                      <w:b/>
                      <w:bCs/>
                      <w:kern w:val="0"/>
                      <w:szCs w:val="21"/>
                      <w:lang w:bidi="ar"/>
                    </w:rPr>
                    <w:t>)循环消毒风量(m3/h)≥800</w:t>
                  </w:r>
                  <w:r>
                    <w:rPr>
                      <w:rFonts w:ascii="Arial" w:hAnsi="Arial" w:cs="Arial"/>
                      <w:b/>
                      <w:bCs/>
                      <w:kern w:val="0"/>
                      <w:szCs w:val="21"/>
                      <w:lang w:bidi="ar"/>
                    </w:rPr>
                    <w:br w:type="textWrapping"/>
                  </w:r>
                  <w:r>
                    <w:rPr>
                      <w:rFonts w:hint="eastAsia" w:ascii="Arial" w:hAnsi="Arial" w:cs="Arial"/>
                      <w:b/>
                      <w:bCs/>
                      <w:kern w:val="0"/>
                      <w:szCs w:val="21"/>
                      <w:lang w:bidi="ar"/>
                    </w:rPr>
                    <w:t>7</w:t>
                  </w:r>
                  <w:r>
                    <w:rPr>
                      <w:rFonts w:ascii="Arial" w:hAnsi="Arial" w:cs="Arial"/>
                      <w:b/>
                      <w:bCs/>
                      <w:kern w:val="0"/>
                      <w:szCs w:val="21"/>
                      <w:lang w:bidi="ar"/>
                    </w:rPr>
                    <w:t>)消毒时空气中的臭氧泄露量(mg/m3)≤0.07</w:t>
                  </w:r>
                </w:p>
              </w:tc>
            </w:tr>
          </w:tbl>
          <w:p>
            <w:pPr>
              <w:keepNext w:val="0"/>
              <w:keepLines w:val="0"/>
              <w:pageBreakBefore w:val="0"/>
              <w:kinsoku/>
              <w:wordWrap/>
              <w:overflowPunct/>
              <w:topLinePunct w:val="0"/>
              <w:autoSpaceDE/>
              <w:autoSpaceDN/>
              <w:bidi w:val="0"/>
              <w:spacing w:after="0" w:line="288" w:lineRule="auto"/>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5000" w:type="pct"/>
            <w:gridSpan w:val="5"/>
            <w:noWrap w:val="0"/>
            <w:tcMar>
              <w:top w:w="13"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val="0"/>
              <w:spacing w:after="0" w:line="288" w:lineRule="auto"/>
              <w:rPr>
                <w:rFonts w:ascii="Arial" w:hAnsi="Arial" w:cs="Arial"/>
                <w:b/>
                <w:bCs/>
                <w:szCs w:val="21"/>
              </w:rPr>
            </w:pPr>
            <w:r>
              <w:rPr>
                <w:rFonts w:ascii="Arial" w:hAnsi="Arial" w:cs="Arial"/>
                <w:b/>
                <w:bCs/>
                <w:szCs w:val="21"/>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72" w:type="pct"/>
            <w:gridSpan w:val="3"/>
            <w:noWrap w:val="0"/>
            <w:tcMar>
              <w:top w:w="13" w:type="dxa"/>
              <w:left w:w="57" w:type="dxa"/>
              <w:bottom w:w="0" w:type="dxa"/>
              <w:right w:w="57" w:type="dxa"/>
            </w:tcMar>
            <w:vAlign w:val="center"/>
          </w:tcPr>
          <w:p>
            <w:pPr>
              <w:keepNext w:val="0"/>
              <w:keepLines w:val="0"/>
              <w:pageBreakBefore w:val="0"/>
              <w:kinsoku/>
              <w:wordWrap/>
              <w:overflowPunct/>
              <w:topLinePunct w:val="0"/>
              <w:autoSpaceDE/>
              <w:autoSpaceDN/>
              <w:bidi w:val="0"/>
              <w:snapToGrid w:val="0"/>
              <w:spacing w:after="0" w:line="288" w:lineRule="auto"/>
              <w:jc w:val="center"/>
              <w:rPr>
                <w:rFonts w:ascii="Arial" w:hAnsi="Arial" w:cs="Arial"/>
                <w:szCs w:val="21"/>
              </w:rPr>
            </w:pPr>
            <w:r>
              <w:rPr>
                <w:rFonts w:ascii="Arial" w:hAnsi="Arial" w:cs="Arial"/>
                <w:b/>
                <w:bCs/>
                <w:szCs w:val="21"/>
              </w:rPr>
              <w:t>报价要求</w:t>
            </w:r>
          </w:p>
        </w:tc>
        <w:tc>
          <w:tcPr>
            <w:tcW w:w="4027" w:type="pct"/>
            <w:gridSpan w:val="2"/>
            <w:noWrap w:val="0"/>
            <w:tcMar>
              <w:top w:w="0" w:type="dxa"/>
              <w:left w:w="57" w:type="dxa"/>
              <w:bottom w:w="0" w:type="dxa"/>
              <w:right w:w="57" w:type="dxa"/>
            </w:tcMar>
            <w:vAlign w:val="top"/>
          </w:tcPr>
          <w:p>
            <w:pPr>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ascii="Arial" w:hAnsi="Arial" w:cs="Arial"/>
                <w:szCs w:val="21"/>
              </w:rPr>
            </w:pPr>
            <w:r>
              <w:rPr>
                <w:rFonts w:ascii="Arial" w:hAnsi="Arial" w:cs="Arial"/>
                <w:szCs w:val="21"/>
              </w:rPr>
              <w:t>本次报价须为人民币报价，包含产品价、运输费（含装卸费）、保险费、施工、安装调试费、税费、培训费、产品检测费、产品质保期内维护费等费用。对于本文件中明确列明必须报价的货物或服务，供应商应分别报价。对于本文件中未列明，而供应商认为必需的费用也需列入总报价。在合同实施时，采购人将不予支付中标供应商没有列入的项目费用，并认为此项目的费用已包括在投标总报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5" w:hRule="atLeast"/>
          <w:jc w:val="center"/>
        </w:trPr>
        <w:tc>
          <w:tcPr>
            <w:tcW w:w="972" w:type="pct"/>
            <w:gridSpan w:val="3"/>
            <w:noWrap w:val="0"/>
            <w:tcMar>
              <w:top w:w="13" w:type="dxa"/>
              <w:left w:w="57" w:type="dxa"/>
              <w:bottom w:w="0" w:type="dxa"/>
              <w:right w:w="57" w:type="dxa"/>
            </w:tcMar>
            <w:vAlign w:val="center"/>
          </w:tcPr>
          <w:p>
            <w:pPr>
              <w:keepNext w:val="0"/>
              <w:keepLines w:val="0"/>
              <w:pageBreakBefore w:val="0"/>
              <w:kinsoku/>
              <w:wordWrap/>
              <w:overflowPunct/>
              <w:topLinePunct w:val="0"/>
              <w:autoSpaceDE/>
              <w:autoSpaceDN/>
              <w:bidi w:val="0"/>
              <w:spacing w:after="0" w:line="288" w:lineRule="auto"/>
              <w:jc w:val="center"/>
              <w:rPr>
                <w:b/>
                <w:bCs/>
              </w:rPr>
            </w:pPr>
            <w:r>
              <w:rPr>
                <w:b/>
                <w:bCs/>
              </w:rPr>
              <w:t>合同签</w:t>
            </w:r>
          </w:p>
          <w:p>
            <w:pPr>
              <w:keepNext w:val="0"/>
              <w:keepLines w:val="0"/>
              <w:pageBreakBefore w:val="0"/>
              <w:kinsoku/>
              <w:wordWrap/>
              <w:overflowPunct/>
              <w:topLinePunct w:val="0"/>
              <w:autoSpaceDE/>
              <w:autoSpaceDN/>
              <w:bidi w:val="0"/>
              <w:spacing w:after="0" w:line="288" w:lineRule="auto"/>
              <w:jc w:val="center"/>
              <w:rPr>
                <w:b/>
                <w:bCs/>
              </w:rPr>
            </w:pPr>
            <w:r>
              <w:rPr>
                <w:b/>
                <w:bCs/>
              </w:rPr>
              <w:t>订期</w:t>
            </w:r>
          </w:p>
        </w:tc>
        <w:tc>
          <w:tcPr>
            <w:tcW w:w="4027" w:type="pct"/>
            <w:gridSpan w:val="2"/>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after="0" w:line="288" w:lineRule="auto"/>
              <w:jc w:val="both"/>
              <w:textAlignment w:val="auto"/>
              <w:rPr>
                <w:rFonts w:ascii="Arial" w:hAnsi="Arial" w:cs="Arial"/>
                <w:szCs w:val="21"/>
              </w:rPr>
            </w:pPr>
            <w:r>
              <w:rPr>
                <w:rFonts w:hint="eastAsia" w:ascii="Arial" w:hAnsi="Arial" w:cs="Arial"/>
                <w:bCs/>
                <w:szCs w:val="21"/>
              </w:rPr>
              <w:t>中标通知书发出之日起八个工作日内。</w:t>
            </w:r>
            <w:r>
              <w:rPr>
                <w:rFonts w:hint="eastAsia" w:ascii="Arial" w:hAnsi="Arial" w:cs="Arial"/>
                <w:bCs/>
                <w:szCs w:val="21"/>
                <w:lang w:val="en-US" w:eastAsia="zh-CN"/>
              </w:rPr>
              <w:t>投标人</w:t>
            </w:r>
            <w:r>
              <w:rPr>
                <w:rFonts w:hint="eastAsia" w:ascii="Arial" w:hAnsi="Arial" w:cs="Arial"/>
                <w:bCs/>
                <w:szCs w:val="21"/>
              </w:rPr>
              <w:t>领取中标通知书后，应按规定与采购人签订合同</w:t>
            </w:r>
            <w:r>
              <w:rPr>
                <w:rFonts w:ascii="Arial" w:hAnsi="Arial" w:cs="Arial"/>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72" w:type="pct"/>
            <w:gridSpan w:val="3"/>
            <w:noWrap w:val="0"/>
            <w:tcMar>
              <w:top w:w="13" w:type="dxa"/>
              <w:left w:w="57" w:type="dxa"/>
              <w:bottom w:w="0" w:type="dxa"/>
              <w:right w:w="57" w:type="dxa"/>
            </w:tcMar>
            <w:vAlign w:val="center"/>
          </w:tcPr>
          <w:p>
            <w:pPr>
              <w:keepNext w:val="0"/>
              <w:keepLines w:val="0"/>
              <w:pageBreakBefore w:val="0"/>
              <w:kinsoku/>
              <w:wordWrap/>
              <w:overflowPunct/>
              <w:topLinePunct w:val="0"/>
              <w:autoSpaceDE/>
              <w:autoSpaceDN/>
              <w:bidi w:val="0"/>
              <w:spacing w:after="0" w:line="288" w:lineRule="auto"/>
              <w:jc w:val="center"/>
              <w:rPr>
                <w:b/>
                <w:bCs/>
              </w:rPr>
            </w:pPr>
            <w:r>
              <w:rPr>
                <w:b/>
                <w:bCs/>
              </w:rPr>
              <w:t>服务时间</w:t>
            </w:r>
          </w:p>
          <w:p>
            <w:pPr>
              <w:keepNext w:val="0"/>
              <w:keepLines w:val="0"/>
              <w:pageBreakBefore w:val="0"/>
              <w:kinsoku/>
              <w:wordWrap/>
              <w:overflowPunct/>
              <w:topLinePunct w:val="0"/>
              <w:autoSpaceDE/>
              <w:autoSpaceDN/>
              <w:bidi w:val="0"/>
              <w:spacing w:after="0" w:line="288" w:lineRule="auto"/>
              <w:jc w:val="center"/>
              <w:rPr>
                <w:b/>
                <w:bCs/>
              </w:rPr>
            </w:pPr>
            <w:r>
              <w:rPr>
                <w:b/>
                <w:bCs/>
              </w:rPr>
              <w:t>及地点</w:t>
            </w:r>
          </w:p>
        </w:tc>
        <w:tc>
          <w:tcPr>
            <w:tcW w:w="4027" w:type="pct"/>
            <w:gridSpan w:val="2"/>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after="0" w:line="288" w:lineRule="auto"/>
              <w:jc w:val="both"/>
              <w:textAlignment w:val="auto"/>
              <w:rPr>
                <w:rFonts w:ascii="Arial" w:hAnsi="Arial" w:cs="Arial"/>
                <w:szCs w:val="21"/>
              </w:rPr>
            </w:pPr>
            <w:r>
              <w:rPr>
                <w:rFonts w:ascii="Arial" w:hAnsi="Arial" w:cs="Arial"/>
                <w:szCs w:val="21"/>
              </w:rPr>
              <w:t>1.交付时间：</w:t>
            </w:r>
            <w:r>
              <w:rPr>
                <w:rFonts w:ascii="Arial" w:hAnsi="Arial" w:cs="Arial"/>
                <w:szCs w:val="21"/>
                <w:u w:val="single"/>
              </w:rPr>
              <w:t>自合同签订之日起90日内</w:t>
            </w:r>
            <w:r>
              <w:rPr>
                <w:rFonts w:hint="eastAsia" w:ascii="Arial" w:hAnsi="Arial" w:cs="Arial"/>
                <w:szCs w:val="21"/>
                <w:u w:val="single"/>
              </w:rPr>
              <w:t>交货并安装调试、交付使用</w:t>
            </w:r>
            <w:r>
              <w:rPr>
                <w:rFonts w:ascii="Arial" w:hAnsi="Arial" w:cs="Arial"/>
                <w:szCs w:val="21"/>
              </w:rPr>
              <w:t>；</w:t>
            </w:r>
          </w:p>
          <w:p>
            <w:pPr>
              <w:keepNext w:val="0"/>
              <w:keepLines w:val="0"/>
              <w:pageBreakBefore w:val="0"/>
              <w:widowControl w:val="0"/>
              <w:kinsoku/>
              <w:wordWrap/>
              <w:overflowPunct/>
              <w:topLinePunct w:val="0"/>
              <w:autoSpaceDE/>
              <w:autoSpaceDN/>
              <w:bidi w:val="0"/>
              <w:adjustRightInd/>
              <w:snapToGrid w:val="0"/>
              <w:spacing w:after="0" w:line="288" w:lineRule="auto"/>
              <w:jc w:val="both"/>
              <w:textAlignment w:val="auto"/>
              <w:rPr>
                <w:rFonts w:ascii="Arial" w:hAnsi="Arial" w:cs="Arial"/>
                <w:szCs w:val="21"/>
              </w:rPr>
            </w:pPr>
            <w:r>
              <w:rPr>
                <w:rFonts w:ascii="Arial" w:hAnsi="Arial" w:cs="Arial"/>
                <w:szCs w:val="21"/>
              </w:rPr>
              <w:t>2.交付地点：广西桂林市兴安县高尚镇中心卫生院。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7" w:hRule="atLeast"/>
          <w:jc w:val="center"/>
        </w:trPr>
        <w:tc>
          <w:tcPr>
            <w:tcW w:w="972" w:type="pct"/>
            <w:gridSpan w:val="3"/>
            <w:noWrap w:val="0"/>
            <w:tcMar>
              <w:top w:w="13" w:type="dxa"/>
              <w:left w:w="57" w:type="dxa"/>
              <w:bottom w:w="0" w:type="dxa"/>
              <w:right w:w="57" w:type="dxa"/>
            </w:tcMar>
            <w:vAlign w:val="center"/>
          </w:tcPr>
          <w:p>
            <w:pPr>
              <w:keepNext w:val="0"/>
              <w:keepLines w:val="0"/>
              <w:pageBreakBefore w:val="0"/>
              <w:kinsoku/>
              <w:wordWrap/>
              <w:overflowPunct/>
              <w:topLinePunct w:val="0"/>
              <w:autoSpaceDE/>
              <w:autoSpaceDN/>
              <w:bidi w:val="0"/>
              <w:spacing w:after="0" w:line="288" w:lineRule="auto"/>
              <w:jc w:val="center"/>
              <w:rPr>
                <w:b/>
                <w:bCs/>
              </w:rPr>
            </w:pPr>
            <w:r>
              <w:rPr>
                <w:b/>
                <w:bCs/>
              </w:rPr>
              <w:t>质保期限</w:t>
            </w:r>
          </w:p>
        </w:tc>
        <w:tc>
          <w:tcPr>
            <w:tcW w:w="4027" w:type="pct"/>
            <w:gridSpan w:val="2"/>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after="0" w:line="288" w:lineRule="auto"/>
              <w:jc w:val="both"/>
              <w:textAlignment w:val="auto"/>
              <w:rPr>
                <w:rFonts w:ascii="Arial" w:hAnsi="Arial" w:cs="Arial"/>
                <w:szCs w:val="21"/>
              </w:rPr>
            </w:pPr>
            <w:r>
              <w:rPr>
                <w:rFonts w:hint="eastAsia" w:ascii="Arial" w:hAnsi="Arial" w:cs="Arial"/>
                <w:szCs w:val="21"/>
              </w:rPr>
              <w:t>投标人</w:t>
            </w:r>
            <w:r>
              <w:rPr>
                <w:rFonts w:ascii="Arial" w:hAnsi="Arial" w:cs="Arial"/>
                <w:szCs w:val="21"/>
              </w:rPr>
              <w:t>应明确承诺采购文件采购需求部分如无特别要求,其中水机、透析、血滤质</w:t>
            </w:r>
            <w:r>
              <w:rPr>
                <w:rFonts w:ascii="Arial" w:hAnsi="Arial" w:cs="Arial"/>
                <w:color w:val="000000"/>
                <w:szCs w:val="21"/>
              </w:rPr>
              <w:t>保期为自验收合格之日起</w:t>
            </w:r>
            <w:r>
              <w:rPr>
                <w:rFonts w:hint="eastAsia" w:ascii="Arial" w:hAnsi="Arial" w:cs="Arial"/>
                <w:color w:val="000000"/>
                <w:szCs w:val="21"/>
              </w:rPr>
              <w:t>不低于</w:t>
            </w:r>
            <w:r>
              <w:rPr>
                <w:rFonts w:ascii="Arial" w:hAnsi="Arial" w:cs="Arial"/>
                <w:color w:val="000000"/>
                <w:szCs w:val="21"/>
              </w:rPr>
              <w:t>3年，</w:t>
            </w:r>
            <w:r>
              <w:rPr>
                <w:rFonts w:ascii="Arial" w:hAnsi="Arial" w:cs="Arial"/>
                <w:szCs w:val="21"/>
              </w:rPr>
              <w:t>质保期内全免费维修和更换零配件。采购文件采购需求部分有特别要求的则以技术参数要求表为准。若厂家质保期超过此年限的，合同履行过程中按厂家规定执行。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72" w:type="pct"/>
            <w:gridSpan w:val="3"/>
            <w:noWrap w:val="0"/>
            <w:tcMar>
              <w:top w:w="13" w:type="dxa"/>
              <w:left w:w="57" w:type="dxa"/>
              <w:bottom w:w="0" w:type="dxa"/>
              <w:right w:w="57" w:type="dxa"/>
            </w:tcMar>
            <w:vAlign w:val="center"/>
          </w:tcPr>
          <w:p>
            <w:pPr>
              <w:keepNext w:val="0"/>
              <w:keepLines w:val="0"/>
              <w:pageBreakBefore w:val="0"/>
              <w:kinsoku/>
              <w:wordWrap/>
              <w:overflowPunct/>
              <w:topLinePunct w:val="0"/>
              <w:autoSpaceDE/>
              <w:autoSpaceDN/>
              <w:bidi w:val="0"/>
              <w:snapToGrid w:val="0"/>
              <w:spacing w:after="0" w:line="288" w:lineRule="auto"/>
              <w:jc w:val="center"/>
              <w:rPr>
                <w:rFonts w:ascii="Arial" w:hAnsi="Arial" w:cs="Arial"/>
                <w:b/>
                <w:bCs/>
                <w:szCs w:val="21"/>
              </w:rPr>
            </w:pPr>
            <w:r>
              <w:rPr>
                <w:rFonts w:ascii="Arial" w:hAnsi="Arial" w:cs="Arial"/>
                <w:b/>
                <w:bCs/>
                <w:szCs w:val="21"/>
              </w:rPr>
              <w:t>售后服务要求</w:t>
            </w:r>
          </w:p>
        </w:tc>
        <w:tc>
          <w:tcPr>
            <w:tcW w:w="4027" w:type="pct"/>
            <w:gridSpan w:val="2"/>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ascii="Arial" w:hAnsi="Arial" w:cs="Arial"/>
                <w:szCs w:val="21"/>
              </w:rPr>
            </w:pPr>
            <w:r>
              <w:rPr>
                <w:rFonts w:ascii="Arial" w:hAnsi="Arial" w:cs="Arial"/>
                <w:szCs w:val="21"/>
              </w:rPr>
              <w:t>1.</w:t>
            </w:r>
            <w:r>
              <w:rPr>
                <w:rFonts w:hint="eastAsia" w:ascii="Arial" w:hAnsi="Arial" w:cs="Arial"/>
                <w:szCs w:val="21"/>
              </w:rPr>
              <w:t>投标人</w:t>
            </w:r>
            <w:r>
              <w:rPr>
                <w:rFonts w:ascii="Arial" w:hAnsi="Arial" w:cs="Arial"/>
                <w:szCs w:val="21"/>
              </w:rPr>
              <w:t>应按照国家有关法律法规和“三包”规定以及采购文件、响应文件、合同及附件的规定，为采购人提供售后服务。</w:t>
            </w:r>
            <w:r>
              <w:rPr>
                <w:rFonts w:hint="eastAsia" w:ascii="Arial" w:hAnsi="Arial" w:cs="Arial"/>
                <w:szCs w:val="21"/>
              </w:rPr>
              <w:t>投标人</w:t>
            </w:r>
            <w:r>
              <w:rPr>
                <w:rFonts w:ascii="Arial" w:hAnsi="Arial" w:cs="Arial"/>
                <w:szCs w:val="21"/>
              </w:rPr>
              <w:t>承诺质量保证期优于国家“三包”规定的，或优于采购文件规定的，按</w:t>
            </w:r>
            <w:r>
              <w:rPr>
                <w:rFonts w:hint="eastAsia" w:ascii="Arial" w:hAnsi="Arial" w:cs="Arial"/>
                <w:szCs w:val="21"/>
              </w:rPr>
              <w:t>投标人</w:t>
            </w:r>
            <w:r>
              <w:rPr>
                <w:rFonts w:ascii="Arial" w:hAnsi="Arial" w:cs="Arial"/>
                <w:szCs w:val="21"/>
              </w:rPr>
              <w:t>实际承诺执行。</w:t>
            </w:r>
          </w:p>
          <w:p>
            <w:pPr>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ascii="Arial" w:hAnsi="Arial" w:cs="Arial"/>
                <w:szCs w:val="21"/>
              </w:rPr>
            </w:pPr>
            <w:r>
              <w:rPr>
                <w:rFonts w:ascii="Arial" w:hAnsi="Arial" w:cs="Arial"/>
                <w:szCs w:val="21"/>
              </w:rPr>
              <w:t>2.</w:t>
            </w:r>
            <w:r>
              <w:rPr>
                <w:rFonts w:hint="eastAsia" w:ascii="Arial" w:hAnsi="Arial" w:cs="Arial"/>
                <w:szCs w:val="21"/>
              </w:rPr>
              <w:t>中标</w:t>
            </w:r>
            <w:r>
              <w:rPr>
                <w:rFonts w:ascii="Arial" w:hAnsi="Arial" w:cs="Arial"/>
                <w:szCs w:val="21"/>
              </w:rPr>
              <w:t>后产品或服务由制造商（指产品生产制造商或服务实际提供人）负责质保期内的售后服务的，</w:t>
            </w:r>
            <w:r>
              <w:rPr>
                <w:rFonts w:hint="eastAsia" w:ascii="Arial" w:hAnsi="Arial" w:cs="Arial"/>
                <w:szCs w:val="21"/>
              </w:rPr>
              <w:t>投标人</w:t>
            </w:r>
            <w:r>
              <w:rPr>
                <w:rFonts w:ascii="Arial" w:hAnsi="Arial" w:cs="Arial"/>
                <w:szCs w:val="21"/>
              </w:rPr>
              <w:t>应当在响应文件中予以明确说明，制造商提供的售后服务也应达到采购文件要求的标准，相关的售后服务费用由</w:t>
            </w:r>
            <w:r>
              <w:rPr>
                <w:rFonts w:hint="eastAsia" w:ascii="Arial" w:hAnsi="Arial" w:cs="Arial"/>
                <w:szCs w:val="21"/>
              </w:rPr>
              <w:t>投标人</w:t>
            </w:r>
            <w:r>
              <w:rPr>
                <w:rFonts w:ascii="Arial" w:hAnsi="Arial" w:cs="Arial"/>
                <w:szCs w:val="21"/>
              </w:rPr>
              <w:t>向制造商支付，</w:t>
            </w:r>
            <w:r>
              <w:rPr>
                <w:rFonts w:hint="eastAsia" w:ascii="Arial" w:hAnsi="Arial" w:cs="Arial"/>
                <w:szCs w:val="21"/>
              </w:rPr>
              <w:t>投标人</w:t>
            </w:r>
            <w:r>
              <w:rPr>
                <w:rFonts w:ascii="Arial" w:hAnsi="Arial" w:cs="Arial"/>
                <w:szCs w:val="21"/>
              </w:rPr>
              <w:t>可视情况在响应报价中予以考虑，采购人不予另行支付。</w:t>
            </w:r>
          </w:p>
          <w:p>
            <w:pPr>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ascii="Arial" w:hAnsi="Arial" w:cs="Arial"/>
                <w:szCs w:val="21"/>
              </w:rPr>
            </w:pPr>
            <w:r>
              <w:rPr>
                <w:rFonts w:ascii="Arial" w:hAnsi="Arial" w:cs="Arial"/>
                <w:szCs w:val="21"/>
              </w:rPr>
              <w:t>3.</w:t>
            </w:r>
            <w:r>
              <w:rPr>
                <w:rFonts w:hint="eastAsia" w:ascii="Arial" w:hAnsi="Arial" w:cs="Arial"/>
                <w:szCs w:val="21"/>
              </w:rPr>
              <w:t>投标人</w:t>
            </w:r>
            <w:r>
              <w:rPr>
                <w:rFonts w:ascii="Arial" w:hAnsi="Arial" w:cs="Arial"/>
                <w:szCs w:val="21"/>
              </w:rPr>
              <w:t>售后服务中，维修使用的备品备件及易损件应为原厂配件，未经采购人同意不得使用非原厂配件，质保期内维修使用的备品备件及易损件的费用，由</w:t>
            </w:r>
            <w:r>
              <w:rPr>
                <w:rFonts w:hint="eastAsia" w:ascii="Arial" w:hAnsi="Arial" w:cs="Arial"/>
                <w:szCs w:val="21"/>
              </w:rPr>
              <w:t>投标人</w:t>
            </w:r>
            <w:r>
              <w:rPr>
                <w:rFonts w:ascii="Arial" w:hAnsi="Arial" w:cs="Arial"/>
                <w:szCs w:val="21"/>
              </w:rPr>
              <w:t>承担。质量保证期过后，采购人需要继续由原</w:t>
            </w:r>
            <w:r>
              <w:rPr>
                <w:rFonts w:hint="eastAsia" w:ascii="Arial" w:hAnsi="Arial" w:cs="Arial"/>
                <w:szCs w:val="21"/>
              </w:rPr>
              <w:t>投标人</w:t>
            </w:r>
            <w:r>
              <w:rPr>
                <w:rFonts w:ascii="Arial" w:hAnsi="Arial" w:cs="Arial"/>
                <w:szCs w:val="21"/>
              </w:rPr>
              <w:t>提供售后服务的，该</w:t>
            </w:r>
            <w:r>
              <w:rPr>
                <w:rFonts w:hint="eastAsia" w:ascii="Arial" w:hAnsi="Arial" w:cs="Arial"/>
                <w:szCs w:val="21"/>
              </w:rPr>
              <w:t>投标人</w:t>
            </w:r>
            <w:r>
              <w:rPr>
                <w:rFonts w:ascii="Arial" w:hAnsi="Arial" w:cs="Arial"/>
                <w:szCs w:val="21"/>
              </w:rPr>
              <w:t>应以优惠价格提供售后服务，常用的、容易损坏的备品备件及易损件的优惠价格清单须在响应文件中列出。</w:t>
            </w:r>
          </w:p>
          <w:p>
            <w:pPr>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ascii="Arial" w:hAnsi="Arial" w:cs="Arial"/>
                <w:szCs w:val="21"/>
              </w:rPr>
            </w:pPr>
            <w:r>
              <w:rPr>
                <w:rFonts w:ascii="Arial" w:hAnsi="Arial" w:cs="Arial"/>
                <w:szCs w:val="21"/>
              </w:rPr>
              <w:t>4.质量保证期内的服务和费用</w:t>
            </w:r>
          </w:p>
          <w:p>
            <w:pPr>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ascii="Arial" w:hAnsi="Arial" w:cs="Arial"/>
                <w:szCs w:val="21"/>
              </w:rPr>
            </w:pPr>
            <w:r>
              <w:rPr>
                <w:rFonts w:ascii="Arial" w:hAnsi="Arial" w:cs="Arial"/>
                <w:szCs w:val="21"/>
              </w:rPr>
              <w:t>（1）提供良好的售后服务支持，能及时快捷的提供维修服务，接到电话半小时内响应，24 小时内到达现场；</w:t>
            </w:r>
          </w:p>
          <w:p>
            <w:pPr>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ascii="Arial" w:hAnsi="Arial" w:cs="Arial"/>
                <w:szCs w:val="21"/>
              </w:rPr>
            </w:pPr>
            <w:r>
              <w:rPr>
                <w:rFonts w:ascii="Arial" w:hAnsi="Arial" w:cs="Arial"/>
                <w:szCs w:val="21"/>
              </w:rPr>
              <w:t>（2）质量保证期内</w:t>
            </w:r>
            <w:r>
              <w:rPr>
                <w:rFonts w:hint="eastAsia" w:ascii="Arial" w:hAnsi="Arial" w:cs="Arial"/>
                <w:szCs w:val="21"/>
              </w:rPr>
              <w:t>投标人</w:t>
            </w:r>
            <w:r>
              <w:rPr>
                <w:rFonts w:ascii="Arial" w:hAnsi="Arial" w:cs="Arial"/>
                <w:szCs w:val="21"/>
              </w:rPr>
              <w:t>为采购人所提供的所有技术支持和服务费用以及上门维修、更换零部件费用均包含在响应报价中，采购人不再另行支付。</w:t>
            </w:r>
          </w:p>
          <w:p>
            <w:pPr>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ascii="Arial" w:hAnsi="Arial" w:cs="Arial"/>
                <w:szCs w:val="21"/>
              </w:rPr>
            </w:pPr>
            <w:r>
              <w:rPr>
                <w:rFonts w:ascii="Arial" w:hAnsi="Arial" w:cs="Arial"/>
                <w:szCs w:val="21"/>
              </w:rPr>
              <w:t>5.质保期过后的服务要求</w:t>
            </w:r>
          </w:p>
          <w:p>
            <w:pPr>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ascii="Arial" w:hAnsi="Arial" w:cs="Arial"/>
                <w:szCs w:val="21"/>
              </w:rPr>
            </w:pPr>
            <w:r>
              <w:rPr>
                <w:rFonts w:ascii="Arial" w:hAnsi="Arial" w:cs="Arial"/>
                <w:szCs w:val="21"/>
              </w:rPr>
              <w:t>电话咨询：产品质量保证期过后，</w:t>
            </w:r>
            <w:r>
              <w:rPr>
                <w:rFonts w:hint="eastAsia" w:ascii="Arial" w:hAnsi="Arial" w:cs="Arial"/>
                <w:szCs w:val="21"/>
              </w:rPr>
              <w:t>投标人</w:t>
            </w:r>
            <w:r>
              <w:rPr>
                <w:rFonts w:ascii="Arial" w:hAnsi="Arial" w:cs="Arial"/>
                <w:szCs w:val="21"/>
              </w:rPr>
              <w:t>应当为采购人提供技术援助电话，解答采购人在使用中遇到的问题，及时为采购人提出解决问题的建议，并不予收费。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72" w:type="pct"/>
            <w:gridSpan w:val="3"/>
            <w:noWrap w:val="0"/>
            <w:tcMar>
              <w:top w:w="13" w:type="dxa"/>
              <w:left w:w="57" w:type="dxa"/>
              <w:bottom w:w="0" w:type="dxa"/>
              <w:right w:w="57" w:type="dxa"/>
            </w:tcMar>
            <w:vAlign w:val="center"/>
          </w:tcPr>
          <w:p>
            <w:pPr>
              <w:keepNext w:val="0"/>
              <w:keepLines w:val="0"/>
              <w:pageBreakBefore w:val="0"/>
              <w:kinsoku/>
              <w:wordWrap/>
              <w:overflowPunct/>
              <w:topLinePunct w:val="0"/>
              <w:autoSpaceDE/>
              <w:autoSpaceDN/>
              <w:bidi w:val="0"/>
              <w:spacing w:after="0" w:line="288" w:lineRule="auto"/>
              <w:jc w:val="center"/>
              <w:rPr>
                <w:rFonts w:ascii="Arial" w:hAnsi="Arial" w:cs="Arial"/>
                <w:b/>
                <w:bCs/>
                <w:szCs w:val="21"/>
              </w:rPr>
            </w:pPr>
            <w:r>
              <w:rPr>
                <w:rFonts w:ascii="Arial" w:hAnsi="Arial" w:cs="Arial"/>
                <w:b/>
                <w:bCs/>
                <w:szCs w:val="21"/>
              </w:rPr>
              <w:t>付款方式</w:t>
            </w:r>
          </w:p>
        </w:tc>
        <w:tc>
          <w:tcPr>
            <w:tcW w:w="4027" w:type="pct"/>
            <w:gridSpan w:val="2"/>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ascii="Arial" w:hAnsi="Arial" w:cs="Arial"/>
                <w:szCs w:val="21"/>
              </w:rPr>
            </w:pPr>
            <w:r>
              <w:rPr>
                <w:rFonts w:ascii="Arial" w:hAnsi="Arial" w:cs="Arial"/>
                <w:szCs w:val="21"/>
              </w:rPr>
              <w:t>（1）预付款金额及方式：在合同签订后10个工作日内支付30%的合同款；</w:t>
            </w:r>
          </w:p>
          <w:p>
            <w:pPr>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ascii="Arial" w:hAnsi="Arial" w:cs="Arial"/>
                <w:szCs w:val="21"/>
              </w:rPr>
            </w:pPr>
            <w:r>
              <w:rPr>
                <w:rFonts w:ascii="Arial" w:hAnsi="Arial" w:cs="Arial"/>
                <w:szCs w:val="21"/>
              </w:rPr>
              <w:t>（2）</w:t>
            </w:r>
            <w:r>
              <w:rPr>
                <w:rFonts w:hint="eastAsia" w:ascii="Arial" w:hAnsi="Arial" w:cs="Arial"/>
                <w:szCs w:val="21"/>
                <w:lang w:val="en-US" w:eastAsia="zh-CN"/>
              </w:rPr>
              <w:t>中标供应商</w:t>
            </w:r>
            <w:r>
              <w:rPr>
                <w:rFonts w:ascii="Arial" w:hAnsi="Arial" w:cs="Arial"/>
                <w:szCs w:val="21"/>
              </w:rPr>
              <w:t>按验收流程要求通过最终验收后，采购人签署项目验收报告或验收书；</w:t>
            </w:r>
          </w:p>
          <w:p>
            <w:pPr>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ascii="Arial" w:hAnsi="Arial" w:cs="Arial"/>
                <w:szCs w:val="21"/>
              </w:rPr>
            </w:pPr>
            <w:r>
              <w:rPr>
                <w:rFonts w:ascii="Arial" w:hAnsi="Arial" w:cs="Arial"/>
                <w:szCs w:val="21"/>
              </w:rPr>
              <w:t>（3）</w:t>
            </w:r>
            <w:r>
              <w:rPr>
                <w:rFonts w:hint="eastAsia" w:ascii="Arial" w:hAnsi="Arial" w:cs="Arial"/>
                <w:szCs w:val="21"/>
                <w:lang w:val="en-US" w:eastAsia="zh-CN"/>
              </w:rPr>
              <w:t>中标供应商</w:t>
            </w:r>
            <w:r>
              <w:rPr>
                <w:rFonts w:ascii="Arial" w:hAnsi="Arial" w:cs="Arial"/>
                <w:szCs w:val="21"/>
              </w:rPr>
              <w:t>向采购人提供付款申请书，并附与付款申请书等额的发票和验收书；</w:t>
            </w:r>
          </w:p>
          <w:p>
            <w:pPr>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ascii="Arial" w:hAnsi="Arial" w:cs="Arial"/>
                <w:szCs w:val="21"/>
              </w:rPr>
            </w:pPr>
            <w:r>
              <w:rPr>
                <w:rFonts w:ascii="Arial" w:hAnsi="Arial" w:cs="Arial"/>
                <w:szCs w:val="21"/>
              </w:rPr>
              <w:t>（4）票据要求：</w:t>
            </w:r>
            <w:r>
              <w:rPr>
                <w:rFonts w:hint="eastAsia" w:ascii="Arial" w:hAnsi="Arial" w:cs="Arial"/>
                <w:szCs w:val="21"/>
                <w:lang w:val="en-US" w:eastAsia="zh-CN"/>
              </w:rPr>
              <w:t>中标供应商</w:t>
            </w:r>
            <w:r>
              <w:rPr>
                <w:rFonts w:ascii="Arial" w:hAnsi="Arial" w:cs="Arial"/>
                <w:szCs w:val="21"/>
              </w:rPr>
              <w:t>必须按照采购人要求提供真实、有效、合法的正式发票。一旦发现</w:t>
            </w:r>
            <w:r>
              <w:rPr>
                <w:rFonts w:hint="eastAsia" w:ascii="Arial" w:hAnsi="Arial" w:cs="Arial"/>
                <w:szCs w:val="21"/>
              </w:rPr>
              <w:t>投标人</w:t>
            </w:r>
            <w:r>
              <w:rPr>
                <w:rFonts w:ascii="Arial" w:hAnsi="Arial" w:cs="Arial"/>
                <w:szCs w:val="21"/>
              </w:rPr>
              <w:t>提供虚假发票，除须向采购人补开合法发票外，须赔偿采购人发票票面金额一倍的违约金，且采购人有权终止合同，</w:t>
            </w:r>
            <w:r>
              <w:rPr>
                <w:rFonts w:hint="eastAsia" w:ascii="Arial" w:hAnsi="Arial" w:cs="Arial"/>
                <w:szCs w:val="21"/>
                <w:lang w:val="en-US" w:eastAsia="zh-CN"/>
              </w:rPr>
              <w:t>中标供应商</w:t>
            </w:r>
            <w:r>
              <w:rPr>
                <w:rFonts w:ascii="Arial" w:hAnsi="Arial" w:cs="Arial"/>
                <w:szCs w:val="21"/>
              </w:rPr>
              <w:t>不得提出异议，因终止合同而产生的一切损失均由</w:t>
            </w:r>
            <w:r>
              <w:rPr>
                <w:rFonts w:hint="eastAsia" w:ascii="Arial" w:hAnsi="Arial" w:cs="Arial"/>
                <w:szCs w:val="21"/>
                <w:lang w:val="en-US" w:eastAsia="zh-CN"/>
              </w:rPr>
              <w:t>中标供应商</w:t>
            </w:r>
            <w:r>
              <w:rPr>
                <w:rFonts w:ascii="Arial" w:hAnsi="Arial" w:cs="Arial"/>
                <w:szCs w:val="21"/>
              </w:rPr>
              <w:t>承担。</w:t>
            </w:r>
          </w:p>
          <w:p>
            <w:pPr>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ascii="Arial" w:hAnsi="Arial" w:cs="Arial"/>
                <w:szCs w:val="21"/>
              </w:rPr>
            </w:pPr>
            <w:r>
              <w:rPr>
                <w:rFonts w:ascii="Arial" w:hAnsi="Arial" w:cs="Arial"/>
                <w:szCs w:val="21"/>
              </w:rPr>
              <w:t>（5）对于满足合同约定支付条件的，采购人应当自收到发票后10个工作日内将</w:t>
            </w:r>
            <w:r>
              <w:rPr>
                <w:rFonts w:hint="eastAsia" w:ascii="Arial" w:hAnsi="Arial" w:cs="Arial"/>
                <w:szCs w:val="21"/>
                <w:lang w:val="en-US" w:eastAsia="zh-CN"/>
              </w:rPr>
              <w:t>剩余的70%</w:t>
            </w:r>
            <w:r>
              <w:rPr>
                <w:rFonts w:ascii="Arial" w:hAnsi="Arial" w:cs="Arial"/>
                <w:szCs w:val="21"/>
              </w:rPr>
              <w:t>资金支付到合同约定</w:t>
            </w:r>
            <w:r>
              <w:rPr>
                <w:rFonts w:ascii="Arial" w:hAnsi="Arial" w:cs="Arial"/>
                <w:szCs w:val="21"/>
                <w:highlight w:val="none"/>
              </w:rPr>
              <w:t>的</w:t>
            </w:r>
            <w:r>
              <w:rPr>
                <w:rFonts w:hint="eastAsia" w:ascii="Arial" w:hAnsi="Arial" w:cs="Arial"/>
                <w:szCs w:val="21"/>
                <w:lang w:val="en-US" w:eastAsia="zh-CN"/>
              </w:rPr>
              <w:t>中标供应商</w:t>
            </w:r>
            <w:r>
              <w:rPr>
                <w:rFonts w:ascii="Arial" w:hAnsi="Arial" w:cs="Arial"/>
                <w:szCs w:val="21"/>
                <w:highlight w:val="none"/>
              </w:rPr>
              <w:t>账户。</w:t>
            </w:r>
          </w:p>
          <w:p>
            <w:pPr>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ascii="Arial" w:hAnsi="Arial" w:cs="Arial"/>
                <w:szCs w:val="21"/>
              </w:rPr>
            </w:pPr>
            <w:r>
              <w:rPr>
                <w:rFonts w:ascii="Arial" w:hAnsi="Arial" w:cs="Arial"/>
                <w:szCs w:val="21"/>
              </w:rPr>
              <w:t>（6）合同款支付形式为：转账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72" w:type="pct"/>
            <w:gridSpan w:val="3"/>
            <w:noWrap w:val="0"/>
            <w:tcMar>
              <w:top w:w="13" w:type="dxa"/>
              <w:left w:w="57" w:type="dxa"/>
              <w:bottom w:w="0" w:type="dxa"/>
              <w:right w:w="57" w:type="dxa"/>
            </w:tcMar>
            <w:vAlign w:val="center"/>
          </w:tcPr>
          <w:p>
            <w:pPr>
              <w:keepNext w:val="0"/>
              <w:keepLines w:val="0"/>
              <w:pageBreakBefore w:val="0"/>
              <w:kinsoku/>
              <w:wordWrap/>
              <w:overflowPunct/>
              <w:topLinePunct w:val="0"/>
              <w:autoSpaceDE/>
              <w:autoSpaceDN/>
              <w:bidi w:val="0"/>
              <w:spacing w:after="0" w:line="288" w:lineRule="auto"/>
              <w:jc w:val="center"/>
              <w:rPr>
                <w:rFonts w:ascii="Arial" w:hAnsi="Arial" w:cs="Arial"/>
                <w:b/>
                <w:bCs/>
                <w:szCs w:val="21"/>
              </w:rPr>
            </w:pPr>
            <w:r>
              <w:rPr>
                <w:rFonts w:ascii="Arial" w:hAnsi="Arial" w:cs="Arial"/>
                <w:b/>
                <w:bCs/>
                <w:szCs w:val="21"/>
              </w:rPr>
              <w:t>履约保证金</w:t>
            </w:r>
          </w:p>
        </w:tc>
        <w:tc>
          <w:tcPr>
            <w:tcW w:w="4027" w:type="pct"/>
            <w:gridSpan w:val="2"/>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default" w:ascii="Arial" w:hAnsi="Arial" w:eastAsia="宋体" w:cs="Arial"/>
                <w:szCs w:val="21"/>
                <w:lang w:val="en-US" w:eastAsia="zh-CN"/>
              </w:rPr>
            </w:pPr>
            <w:r>
              <w:rPr>
                <w:rFonts w:hint="eastAsia" w:ascii="Arial" w:hAnsi="Arial" w:cs="Arial"/>
                <w:szCs w:val="21"/>
                <w:lang w:val="en-US" w:eastAsia="zh-CN"/>
              </w:rPr>
              <w:t>本项目无需缴纳履约保证金。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72" w:type="pct"/>
            <w:gridSpan w:val="3"/>
            <w:noWrap w:val="0"/>
            <w:tcMar>
              <w:top w:w="13" w:type="dxa"/>
              <w:left w:w="57" w:type="dxa"/>
              <w:bottom w:w="0" w:type="dxa"/>
              <w:right w:w="57" w:type="dxa"/>
            </w:tcMar>
            <w:vAlign w:val="center"/>
          </w:tcPr>
          <w:p>
            <w:pPr>
              <w:keepNext w:val="0"/>
              <w:keepLines w:val="0"/>
              <w:pageBreakBefore w:val="0"/>
              <w:kinsoku/>
              <w:wordWrap/>
              <w:overflowPunct/>
              <w:topLinePunct w:val="0"/>
              <w:autoSpaceDE/>
              <w:autoSpaceDN/>
              <w:bidi w:val="0"/>
              <w:spacing w:after="0" w:line="288" w:lineRule="auto"/>
              <w:jc w:val="center"/>
              <w:rPr>
                <w:rFonts w:ascii="Arial" w:hAnsi="Arial" w:cs="Arial"/>
                <w:b/>
                <w:bCs/>
                <w:szCs w:val="21"/>
              </w:rPr>
            </w:pPr>
            <w:r>
              <w:rPr>
                <w:rFonts w:ascii="Arial" w:hAnsi="Arial" w:cs="Arial"/>
                <w:b/>
                <w:bCs/>
                <w:szCs w:val="21"/>
              </w:rPr>
              <w:t>验收标准及要求</w:t>
            </w:r>
          </w:p>
        </w:tc>
        <w:tc>
          <w:tcPr>
            <w:tcW w:w="4027" w:type="pct"/>
            <w:gridSpan w:val="2"/>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ascii="Arial" w:hAnsi="Arial" w:cs="Arial"/>
                <w:szCs w:val="21"/>
              </w:rPr>
            </w:pPr>
            <w:r>
              <w:rPr>
                <w:rFonts w:ascii="Arial" w:hAnsi="Arial" w:cs="Arial"/>
                <w:szCs w:val="21"/>
              </w:rPr>
              <w:t>1.验收依据</w:t>
            </w:r>
          </w:p>
          <w:p>
            <w:pPr>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ascii="Arial" w:hAnsi="Arial" w:cs="Arial"/>
                <w:szCs w:val="21"/>
              </w:rPr>
            </w:pPr>
            <w:r>
              <w:rPr>
                <w:rFonts w:ascii="Arial" w:hAnsi="Arial" w:cs="Arial"/>
                <w:szCs w:val="21"/>
              </w:rPr>
              <w:t>按合同要求、中标人的项目投标文件及国家标准进行验收。</w:t>
            </w:r>
          </w:p>
          <w:p>
            <w:pPr>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ascii="Arial" w:hAnsi="Arial" w:cs="Arial"/>
                <w:szCs w:val="21"/>
              </w:rPr>
            </w:pPr>
            <w:r>
              <w:rPr>
                <w:rFonts w:ascii="Arial" w:hAnsi="Arial" w:cs="Arial"/>
                <w:szCs w:val="21"/>
              </w:rPr>
              <w:t>2.验收标准</w:t>
            </w:r>
          </w:p>
          <w:p>
            <w:pPr>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ascii="Arial" w:hAnsi="Arial" w:cs="Arial"/>
                <w:szCs w:val="21"/>
              </w:rPr>
            </w:pPr>
            <w:r>
              <w:rPr>
                <w:rFonts w:ascii="Arial" w:hAnsi="Arial" w:cs="Arial"/>
                <w:szCs w:val="21"/>
              </w:rPr>
              <w:t>（1）所有产品均已运输至指定地点，并安装调试完毕。</w:t>
            </w:r>
          </w:p>
          <w:p>
            <w:pPr>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ascii="Arial" w:hAnsi="Arial" w:cs="Arial"/>
                <w:szCs w:val="21"/>
              </w:rPr>
            </w:pPr>
            <w:r>
              <w:rPr>
                <w:rFonts w:ascii="Arial" w:hAnsi="Arial" w:cs="Arial"/>
                <w:szCs w:val="21"/>
              </w:rPr>
              <w:t>（2）采购文件采购需求及采购合同约定的附件、工具、技术资料等齐全。</w:t>
            </w:r>
          </w:p>
          <w:p>
            <w:pPr>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ascii="Arial" w:hAnsi="Arial" w:cs="Arial"/>
                <w:szCs w:val="21"/>
              </w:rPr>
            </w:pPr>
            <w:r>
              <w:rPr>
                <w:rFonts w:ascii="Arial" w:hAnsi="Arial" w:cs="Arial"/>
                <w:szCs w:val="21"/>
              </w:rPr>
              <w:t>3.验收要求</w:t>
            </w:r>
          </w:p>
          <w:p>
            <w:pPr>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ascii="Arial" w:hAnsi="Arial" w:cs="Arial"/>
                <w:szCs w:val="21"/>
              </w:rPr>
            </w:pPr>
            <w:r>
              <w:rPr>
                <w:rFonts w:ascii="Arial" w:hAnsi="Arial" w:cs="Arial"/>
                <w:szCs w:val="21"/>
              </w:rPr>
              <w:t>（1）验收过程中所产生的一切费用均由中标人承担，报价时应考虑相关费用。</w:t>
            </w:r>
          </w:p>
          <w:p>
            <w:pPr>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ascii="Arial" w:hAnsi="Arial" w:cs="Arial"/>
                <w:szCs w:val="21"/>
              </w:rPr>
            </w:pPr>
            <w:r>
              <w:rPr>
                <w:rFonts w:ascii="Arial" w:hAnsi="Arial" w:cs="Arial"/>
                <w:szCs w:val="21"/>
              </w:rPr>
              <w:t>（2）采购人可以根据采购项目具体情况自行组织验收，如委托第三方机构组织实施的，由验收小组对照采购文件的技术参数要求核对检验，如不符合采购文件的技术参数要求的，按合同约定执行，中标人承担所有责任和费用。采购人保留进一步追究责任的权利。</w:t>
            </w:r>
          </w:p>
          <w:p>
            <w:pPr>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ascii="Arial" w:hAnsi="Arial" w:cs="Arial"/>
                <w:szCs w:val="21"/>
              </w:rPr>
            </w:pPr>
            <w:r>
              <w:rPr>
                <w:rFonts w:ascii="Arial" w:hAnsi="Arial" w:cs="Arial"/>
                <w:szCs w:val="21"/>
              </w:rPr>
              <w:t>①验收活动开始前，中标人应对货物作出全面检查和对验收文件进行整理，并列出清单，作为采购人收货验收和使用的技术条件依据。</w:t>
            </w:r>
          </w:p>
          <w:p>
            <w:pPr>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ascii="Arial" w:hAnsi="Arial" w:cs="Arial"/>
                <w:szCs w:val="21"/>
              </w:rPr>
            </w:pPr>
            <w:r>
              <w:rPr>
                <w:rFonts w:ascii="Arial" w:hAnsi="Arial" w:cs="Arial"/>
                <w:szCs w:val="21"/>
              </w:rPr>
              <w:t>②因验收不合格的，需要再次组织验收的，由此产生相关成本费用由中标人承担。</w:t>
            </w:r>
          </w:p>
          <w:p>
            <w:pPr>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ascii="Arial" w:hAnsi="Arial" w:cs="Arial"/>
                <w:szCs w:val="21"/>
              </w:rPr>
            </w:pPr>
            <w:r>
              <w:rPr>
                <w:rFonts w:ascii="Arial" w:hAnsi="Arial" w:cs="Arial"/>
                <w:szCs w:val="21"/>
              </w:rPr>
              <w:t>（3）验收时中标人提供验收文档，具体如下：技术方案、实施方案、售后服务方案、培训方案、测试文档、使用说明书、电子文档（如有）等。</w:t>
            </w:r>
          </w:p>
          <w:p>
            <w:pPr>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ascii="Arial" w:hAnsi="Arial" w:cs="Arial"/>
                <w:szCs w:val="21"/>
              </w:rPr>
            </w:pPr>
            <w:r>
              <w:rPr>
                <w:rFonts w:ascii="Arial" w:hAnsi="Arial" w:cs="Arial"/>
                <w:szCs w:val="21"/>
              </w:rPr>
              <w:t>（4）对所有要求出具的证明文件的原件进行核查，如不符合采购文件的技术需求及要求，以及提供虚假承诺的，按相关规定做退货处理及违约处理，中标人承担所有责任和费用，采购人保留进一步追究责任的权利。</w:t>
            </w:r>
          </w:p>
          <w:p>
            <w:pPr>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ascii="Arial" w:hAnsi="Arial" w:cs="Arial"/>
                <w:szCs w:val="21"/>
              </w:rPr>
            </w:pPr>
            <w:r>
              <w:rPr>
                <w:rFonts w:ascii="Arial" w:hAnsi="Arial" w:cs="Arial"/>
                <w:szCs w:val="21"/>
              </w:rPr>
              <w:t>（5）项目验收过程中，需委托第三方检测机构介入的，费用由中标人另行承担。</w:t>
            </w:r>
          </w:p>
          <w:p>
            <w:pPr>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ascii="Arial" w:hAnsi="Arial" w:cs="Arial"/>
                <w:szCs w:val="21"/>
              </w:rPr>
            </w:pPr>
            <w:r>
              <w:rPr>
                <w:rFonts w:ascii="Arial" w:hAnsi="Arial" w:cs="Arial"/>
                <w:szCs w:val="21"/>
              </w:rPr>
              <w:t>（6）在验收过程中发现中标人有违约问题，可暂缓资金结算，待违约问题解决后，方可办理资金结算事宜。</w:t>
            </w:r>
          </w:p>
          <w:p>
            <w:pPr>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ascii="Arial" w:hAnsi="Arial" w:cs="Arial"/>
                <w:szCs w:val="21"/>
              </w:rPr>
            </w:pPr>
            <w:r>
              <w:rPr>
                <w:rFonts w:ascii="Arial" w:hAnsi="Arial" w:cs="Arial"/>
                <w:szCs w:val="21"/>
              </w:rPr>
              <w:t>（7）中标人提交服务成果前应对提交的服务成果作出全面检查和对验收文件进行整理，并列出清单，作为采购人验收和使用的技术条件依据，检验的结果应随服务成果交给采购人。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atLeast"/>
          <w:jc w:val="center"/>
        </w:trPr>
        <w:tc>
          <w:tcPr>
            <w:tcW w:w="972" w:type="pct"/>
            <w:gridSpan w:val="3"/>
            <w:noWrap w:val="0"/>
            <w:tcMar>
              <w:top w:w="13" w:type="dxa"/>
              <w:left w:w="57" w:type="dxa"/>
              <w:bottom w:w="0" w:type="dxa"/>
              <w:right w:w="57" w:type="dxa"/>
            </w:tcMar>
            <w:vAlign w:val="center"/>
          </w:tcPr>
          <w:p>
            <w:pPr>
              <w:keepNext w:val="0"/>
              <w:keepLines w:val="0"/>
              <w:pageBreakBefore w:val="0"/>
              <w:kinsoku/>
              <w:wordWrap/>
              <w:overflowPunct/>
              <w:topLinePunct w:val="0"/>
              <w:autoSpaceDE/>
              <w:autoSpaceDN/>
              <w:bidi w:val="0"/>
              <w:spacing w:after="0" w:line="288" w:lineRule="auto"/>
              <w:jc w:val="center"/>
              <w:rPr>
                <w:rFonts w:ascii="Arial" w:hAnsi="Arial" w:cs="Arial"/>
                <w:b/>
                <w:bCs/>
                <w:szCs w:val="21"/>
              </w:rPr>
            </w:pPr>
            <w:r>
              <w:rPr>
                <w:rFonts w:ascii="Arial" w:hAnsi="Arial" w:cs="Arial"/>
                <w:b/>
                <w:bCs/>
                <w:szCs w:val="21"/>
              </w:rPr>
              <w:t>商务条款其他要求</w:t>
            </w:r>
          </w:p>
        </w:tc>
        <w:tc>
          <w:tcPr>
            <w:tcW w:w="4027" w:type="pct"/>
            <w:gridSpan w:val="2"/>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ascii="Arial" w:hAnsi="Arial" w:cs="Arial"/>
                <w:szCs w:val="21"/>
              </w:rPr>
            </w:pPr>
            <w:r>
              <w:rPr>
                <w:rFonts w:ascii="Arial" w:hAnsi="Arial" w:cs="Arial"/>
                <w:szCs w:val="21"/>
              </w:rPr>
              <w:t>1、</w:t>
            </w:r>
            <w:r>
              <w:rPr>
                <w:rFonts w:hint="eastAsia" w:ascii="Arial" w:hAnsi="Arial" w:cs="Arial"/>
                <w:szCs w:val="21"/>
              </w:rPr>
              <w:t>投标人</w:t>
            </w:r>
            <w:r>
              <w:rPr>
                <w:rFonts w:ascii="Arial" w:hAnsi="Arial" w:cs="Arial"/>
                <w:szCs w:val="21"/>
              </w:rPr>
              <w:t>须对血液透析室的整体采购、安装调试，包括现场弱电路改造布局、管线布局、现场安装、项目计划、实施、技术性能及保修等负全责。</w:t>
            </w:r>
          </w:p>
          <w:p>
            <w:pPr>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ascii="Arial" w:hAnsi="Arial" w:cs="Arial"/>
                <w:szCs w:val="21"/>
              </w:rPr>
            </w:pPr>
            <w:r>
              <w:rPr>
                <w:rFonts w:ascii="Arial" w:hAnsi="Arial" w:cs="Arial"/>
                <w:szCs w:val="21"/>
              </w:rPr>
              <w:t>2、</w:t>
            </w:r>
            <w:r>
              <w:rPr>
                <w:rFonts w:hint="eastAsia" w:ascii="Arial" w:hAnsi="Arial" w:cs="Arial"/>
                <w:szCs w:val="21"/>
              </w:rPr>
              <w:t>投标人</w:t>
            </w:r>
            <w:r>
              <w:rPr>
                <w:rFonts w:ascii="Arial" w:hAnsi="Arial" w:cs="Arial"/>
                <w:szCs w:val="21"/>
              </w:rPr>
              <w:t>在中标后需提供全套血液透析室设备采购项目的实施深化图纸并经采购人确认后方可实施。</w:t>
            </w:r>
          </w:p>
          <w:p>
            <w:pPr>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ascii="Arial" w:hAnsi="Arial" w:cs="Arial"/>
                <w:szCs w:val="21"/>
              </w:rPr>
            </w:pPr>
            <w:r>
              <w:rPr>
                <w:rFonts w:ascii="Arial" w:hAnsi="Arial" w:cs="Arial"/>
                <w:szCs w:val="21"/>
              </w:rPr>
              <w:t>3、中标后，</w:t>
            </w:r>
            <w:r>
              <w:rPr>
                <w:rFonts w:hint="eastAsia" w:ascii="Arial" w:hAnsi="Arial" w:cs="Arial"/>
                <w:szCs w:val="21"/>
              </w:rPr>
              <w:t>投标人</w:t>
            </w:r>
            <w:r>
              <w:rPr>
                <w:rFonts w:ascii="Arial" w:hAnsi="Arial" w:cs="Arial"/>
                <w:szCs w:val="21"/>
              </w:rPr>
              <w:t>需要必须加装和改造方能达到采购人正常使用的，所需费用视为含在竞标时总包干价格内，不另外计算费用。安装完毕后，必须达到采购人使用和安全要求。</w:t>
            </w:r>
          </w:p>
        </w:tc>
      </w:tr>
    </w:tbl>
    <w:p>
      <w:pPr>
        <w:pageBreakBefore w:val="0"/>
        <w:kinsoku/>
        <w:wordWrap/>
        <w:overflowPunct/>
        <w:topLinePunct w:val="0"/>
        <w:bidi w:val="0"/>
        <w:spacing w:after="0" w:line="288" w:lineRule="auto"/>
        <w:rPr>
          <w:rFonts w:ascii="Arial" w:hAnsi="Arial" w:cs="Arial"/>
        </w:rPr>
      </w:pPr>
      <w:r>
        <w:rPr>
          <w:rFonts w:ascii="Arial" w:hAnsi="Arial" w:cs="Arial"/>
        </w:rPr>
        <w:br w:type="page"/>
      </w:r>
    </w:p>
    <w:bookmarkEnd w:id="24"/>
    <w:bookmarkEnd w:id="25"/>
    <w:p>
      <w:pPr>
        <w:pStyle w:val="46"/>
        <w:pageBreakBefore w:val="0"/>
        <w:kinsoku/>
        <w:wordWrap/>
        <w:overflowPunct/>
        <w:topLinePunct w:val="0"/>
        <w:bidi w:val="0"/>
        <w:spacing w:before="0" w:after="0" w:line="288" w:lineRule="auto"/>
        <w:rPr>
          <w:rFonts w:ascii="Arial" w:hAnsi="Arial" w:cs="Arial"/>
        </w:rPr>
      </w:pPr>
      <w:bookmarkStart w:id="28" w:name="_Toc82079280"/>
      <w:bookmarkStart w:id="29" w:name="_Toc15829"/>
      <w:bookmarkStart w:id="30" w:name="_Toc82079328"/>
      <w:r>
        <w:rPr>
          <w:rFonts w:ascii="Arial" w:hAnsi="Arial" w:cs="Arial"/>
        </w:rPr>
        <w:t>第四章 评标办法</w:t>
      </w:r>
      <w:bookmarkEnd w:id="28"/>
      <w:bookmarkEnd w:id="29"/>
      <w:bookmarkEnd w:id="30"/>
    </w:p>
    <w:p>
      <w:pPr>
        <w:pStyle w:val="23"/>
        <w:pageBreakBefore w:val="0"/>
        <w:kinsoku/>
        <w:wordWrap/>
        <w:overflowPunct/>
        <w:topLinePunct w:val="0"/>
        <w:bidi w:val="0"/>
        <w:spacing w:after="0" w:line="288" w:lineRule="auto"/>
        <w:ind w:firstLine="352" w:firstLineChars="168"/>
        <w:outlineLvl w:val="0"/>
        <w:rPr>
          <w:rFonts w:ascii="Arial" w:hAnsi="Arial" w:cs="Arial"/>
          <w:b/>
          <w:color w:val="auto"/>
          <w:szCs w:val="21"/>
        </w:rPr>
      </w:pPr>
      <w:bookmarkStart w:id="31" w:name="_Toc14828"/>
      <w:r>
        <w:rPr>
          <w:rFonts w:ascii="Arial" w:hAnsi="Arial" w:cs="Arial"/>
          <w:b/>
          <w:color w:val="auto"/>
          <w:szCs w:val="21"/>
        </w:rPr>
        <w:t>一、评标原则</w:t>
      </w:r>
      <w:bookmarkEnd w:id="31"/>
    </w:p>
    <w:p>
      <w:pPr>
        <w:pStyle w:val="23"/>
        <w:pageBreakBefore w:val="0"/>
        <w:kinsoku/>
        <w:wordWrap/>
        <w:overflowPunct/>
        <w:topLinePunct w:val="0"/>
        <w:bidi w:val="0"/>
        <w:spacing w:after="0" w:line="288" w:lineRule="auto"/>
        <w:ind w:firstLine="352" w:firstLineChars="168"/>
        <w:rPr>
          <w:rFonts w:ascii="Arial" w:hAnsi="Arial" w:cs="Arial"/>
          <w:color w:val="auto"/>
          <w:szCs w:val="21"/>
        </w:rPr>
      </w:pPr>
      <w:r>
        <w:rPr>
          <w:rFonts w:ascii="Arial" w:hAnsi="Arial" w:cs="Arial"/>
          <w:color w:val="auto"/>
          <w:szCs w:val="21"/>
        </w:rPr>
        <w:t xml:space="preserve"> (一)评标委员会组成：评标委员会由采购人代表和评审专家组成，成员人数应当为5人以上单数，其中评审专家不得少于成员总数的三分之二。</w:t>
      </w:r>
    </w:p>
    <w:p>
      <w:pPr>
        <w:pStyle w:val="23"/>
        <w:pageBreakBefore w:val="0"/>
        <w:kinsoku/>
        <w:wordWrap/>
        <w:overflowPunct/>
        <w:topLinePunct w:val="0"/>
        <w:bidi w:val="0"/>
        <w:spacing w:after="0" w:line="288" w:lineRule="auto"/>
        <w:ind w:firstLine="352" w:firstLineChars="168"/>
        <w:rPr>
          <w:rFonts w:ascii="Arial" w:hAnsi="Arial" w:cs="Arial"/>
          <w:color w:val="auto"/>
          <w:szCs w:val="21"/>
        </w:rPr>
      </w:pPr>
      <w:r>
        <w:rPr>
          <w:rFonts w:ascii="Arial" w:hAnsi="Arial" w:cs="Arial"/>
          <w:color w:val="auto"/>
          <w:szCs w:val="21"/>
        </w:rPr>
        <w:t>（二）评标依据：评委将以招投标文件为评标依据，对投标人的投标报价、商务评审、技术评审等方面内容按百分制打分。</w:t>
      </w:r>
    </w:p>
    <w:p>
      <w:pPr>
        <w:pStyle w:val="23"/>
        <w:pageBreakBefore w:val="0"/>
        <w:kinsoku/>
        <w:wordWrap/>
        <w:overflowPunct/>
        <w:topLinePunct w:val="0"/>
        <w:bidi w:val="0"/>
        <w:spacing w:after="0" w:line="288" w:lineRule="auto"/>
        <w:ind w:firstLine="352" w:firstLineChars="168"/>
        <w:rPr>
          <w:rFonts w:ascii="Arial" w:hAnsi="Arial" w:cs="Arial"/>
          <w:color w:val="auto"/>
          <w:szCs w:val="21"/>
        </w:rPr>
      </w:pPr>
      <w:r>
        <w:rPr>
          <w:rFonts w:ascii="Arial" w:hAnsi="Arial" w:cs="Arial"/>
          <w:color w:val="auto"/>
          <w:szCs w:val="21"/>
        </w:rPr>
        <w:t>（三）评标方式：以封闭方式进行。</w:t>
      </w:r>
    </w:p>
    <w:p>
      <w:pPr>
        <w:pStyle w:val="23"/>
        <w:pageBreakBefore w:val="0"/>
        <w:kinsoku/>
        <w:wordWrap/>
        <w:overflowPunct/>
        <w:topLinePunct w:val="0"/>
        <w:bidi w:val="0"/>
        <w:spacing w:after="0" w:line="288" w:lineRule="auto"/>
        <w:ind w:firstLine="352" w:firstLineChars="168"/>
        <w:rPr>
          <w:rFonts w:ascii="Arial" w:hAnsi="Arial" w:cs="Arial"/>
          <w:color w:val="auto"/>
          <w:szCs w:val="21"/>
        </w:rPr>
      </w:pPr>
      <w:r>
        <w:rPr>
          <w:rFonts w:ascii="Arial" w:hAnsi="Arial" w:cs="Arial"/>
          <w:color w:val="auto"/>
          <w:szCs w:val="21"/>
        </w:rPr>
        <w:t>（四）采购人和采购代理机构、评标委员会成员要严格遵守政府采购相关法律制度，依法履行各自职责，公正、客观、审慎地组织和参与评审工作。</w:t>
      </w:r>
    </w:p>
    <w:p>
      <w:pPr>
        <w:pStyle w:val="23"/>
        <w:pageBreakBefore w:val="0"/>
        <w:kinsoku/>
        <w:wordWrap/>
        <w:overflowPunct/>
        <w:topLinePunct w:val="0"/>
        <w:bidi w:val="0"/>
        <w:spacing w:after="0" w:line="288" w:lineRule="auto"/>
        <w:ind w:firstLine="210" w:firstLineChars="100"/>
        <w:outlineLvl w:val="0"/>
        <w:rPr>
          <w:rFonts w:ascii="Arial" w:hAnsi="Arial" w:cs="Arial"/>
          <w:b/>
          <w:color w:val="auto"/>
          <w:szCs w:val="21"/>
        </w:rPr>
      </w:pPr>
      <w:bookmarkStart w:id="32" w:name="_Toc17608"/>
      <w:r>
        <w:rPr>
          <w:rFonts w:ascii="Arial" w:hAnsi="Arial" w:cs="Arial"/>
          <w:b/>
          <w:color w:val="auto"/>
          <w:szCs w:val="21"/>
        </w:rPr>
        <w:t>二、评标方法：</w:t>
      </w:r>
      <w:bookmarkEnd w:id="32"/>
    </w:p>
    <w:p>
      <w:pPr>
        <w:pStyle w:val="23"/>
        <w:pageBreakBefore w:val="0"/>
        <w:kinsoku/>
        <w:wordWrap/>
        <w:overflowPunct/>
        <w:topLinePunct w:val="0"/>
        <w:bidi w:val="0"/>
        <w:spacing w:after="0" w:line="288" w:lineRule="auto"/>
        <w:ind w:firstLine="210" w:firstLineChars="100"/>
        <w:outlineLvl w:val="0"/>
        <w:rPr>
          <w:rFonts w:ascii="Arial" w:hAnsi="Arial" w:cs="Arial"/>
          <w:color w:val="auto"/>
          <w:szCs w:val="21"/>
        </w:rPr>
      </w:pPr>
      <w:bookmarkStart w:id="33" w:name="_Toc18456"/>
      <w:r>
        <w:rPr>
          <w:rFonts w:ascii="Arial" w:hAnsi="Arial" w:cs="Arial"/>
          <w:b/>
          <w:color w:val="auto"/>
          <w:szCs w:val="21"/>
        </w:rPr>
        <w:t>（一）</w:t>
      </w:r>
      <w:r>
        <w:rPr>
          <w:rFonts w:ascii="Arial" w:hAnsi="Arial" w:cs="Arial"/>
          <w:color w:val="auto"/>
          <w:szCs w:val="21"/>
        </w:rPr>
        <w:t>对进入详细评审的投标文件，采用综合评分法。</w:t>
      </w:r>
      <w:bookmarkEnd w:id="33"/>
    </w:p>
    <w:p>
      <w:pPr>
        <w:pStyle w:val="23"/>
        <w:pageBreakBefore w:val="0"/>
        <w:kinsoku/>
        <w:wordWrap/>
        <w:overflowPunct/>
        <w:topLinePunct w:val="0"/>
        <w:bidi w:val="0"/>
        <w:spacing w:after="0" w:line="288" w:lineRule="auto"/>
        <w:ind w:firstLine="210" w:firstLineChars="100"/>
        <w:outlineLvl w:val="0"/>
        <w:rPr>
          <w:rFonts w:ascii="Arial" w:hAnsi="Arial" w:cs="Arial"/>
          <w:color w:val="auto"/>
          <w:szCs w:val="21"/>
        </w:rPr>
      </w:pPr>
      <w:bookmarkStart w:id="34" w:name="_Toc16497"/>
      <w:r>
        <w:rPr>
          <w:rFonts w:ascii="Arial" w:hAnsi="Arial" w:cs="Arial"/>
          <w:b/>
          <w:color w:val="auto"/>
          <w:szCs w:val="21"/>
        </w:rPr>
        <w:t>（二）计分办法</w:t>
      </w:r>
      <w:r>
        <w:rPr>
          <w:rFonts w:ascii="Arial" w:hAnsi="Arial" w:cs="Arial"/>
          <w:color w:val="auto"/>
          <w:szCs w:val="21"/>
        </w:rPr>
        <w:t>（按四舍五入取至小数点后二位）：</w:t>
      </w:r>
      <w:bookmarkEnd w:id="34"/>
    </w:p>
    <w:p>
      <w:pPr>
        <w:pStyle w:val="23"/>
        <w:pageBreakBefore w:val="0"/>
        <w:kinsoku/>
        <w:wordWrap/>
        <w:overflowPunct/>
        <w:topLinePunct w:val="0"/>
        <w:bidi w:val="0"/>
        <w:spacing w:after="0" w:line="288" w:lineRule="auto"/>
        <w:ind w:firstLine="315" w:firstLineChars="150"/>
        <w:outlineLvl w:val="0"/>
        <w:rPr>
          <w:rFonts w:ascii="Arial" w:hAnsi="Arial" w:cs="Arial"/>
          <w:b/>
          <w:color w:val="auto"/>
          <w:szCs w:val="21"/>
        </w:rPr>
      </w:pPr>
      <w:bookmarkStart w:id="35" w:name="_Toc18109"/>
      <w:r>
        <w:rPr>
          <w:rFonts w:ascii="Arial" w:hAnsi="Arial" w:cs="Arial"/>
          <w:b/>
          <w:color w:val="auto"/>
          <w:szCs w:val="21"/>
        </w:rPr>
        <w:t>1、报价评审……………………………………………………………………满分30分</w:t>
      </w:r>
      <w:bookmarkEnd w:id="35"/>
    </w:p>
    <w:p>
      <w:pPr>
        <w:pStyle w:val="28"/>
        <w:pageBreakBefore w:val="0"/>
        <w:kinsoku/>
        <w:wordWrap/>
        <w:overflowPunct/>
        <w:topLinePunct w:val="0"/>
        <w:bidi w:val="0"/>
        <w:spacing w:after="0" w:line="288" w:lineRule="auto"/>
        <w:ind w:firstLine="420" w:firstLineChars="200"/>
        <w:rPr>
          <w:rFonts w:ascii="Arial" w:hAnsi="Arial" w:cs="Arial"/>
          <w:color w:val="auto"/>
        </w:rPr>
      </w:pPr>
      <w:r>
        <w:rPr>
          <w:rFonts w:ascii="Arial" w:hAnsi="Arial" w:cs="Arial"/>
          <w:bCs/>
          <w:color w:val="auto"/>
        </w:rPr>
        <w:t>（1）符合《政府采购促进中小企业发展管理办法》（财库〔2020〕46号）规定条件且按该办法中规定的格式提供了《中小企业声明函》的，对其投标价给予</w:t>
      </w:r>
      <w:r>
        <w:rPr>
          <w:rFonts w:hint="eastAsia" w:ascii="Arial" w:hAnsi="Arial" w:cs="Arial"/>
          <w:bCs/>
          <w:color w:val="auto"/>
          <w:lang w:val="en-US" w:eastAsia="zh-CN"/>
        </w:rPr>
        <w:t>1</w:t>
      </w:r>
      <w:r>
        <w:rPr>
          <w:rFonts w:ascii="Arial" w:hAnsi="Arial" w:cs="Arial"/>
          <w:bCs/>
          <w:color w:val="auto"/>
        </w:rPr>
        <w:t>0%的扣除，扣除后的价格为评标价，即评标价=投标价×（1-</w:t>
      </w:r>
      <w:r>
        <w:rPr>
          <w:rFonts w:hint="eastAsia" w:ascii="Arial" w:hAnsi="Arial" w:cs="Arial"/>
          <w:bCs/>
          <w:color w:val="auto"/>
          <w:lang w:val="en-US" w:eastAsia="zh-CN"/>
        </w:rPr>
        <w:t>1</w:t>
      </w:r>
      <w:r>
        <w:rPr>
          <w:rFonts w:ascii="Arial" w:hAnsi="Arial" w:cs="Arial"/>
          <w:bCs/>
          <w:color w:val="auto"/>
        </w:rPr>
        <w:t>0%）。</w:t>
      </w:r>
    </w:p>
    <w:p>
      <w:pPr>
        <w:pStyle w:val="28"/>
        <w:pageBreakBefore w:val="0"/>
        <w:kinsoku/>
        <w:wordWrap/>
        <w:overflowPunct/>
        <w:topLinePunct w:val="0"/>
        <w:bidi w:val="0"/>
        <w:spacing w:after="0" w:line="288" w:lineRule="auto"/>
        <w:ind w:firstLine="420"/>
        <w:rPr>
          <w:rFonts w:ascii="Arial" w:hAnsi="Arial" w:cs="Arial"/>
          <w:color w:val="auto"/>
        </w:rPr>
      </w:pPr>
      <w:r>
        <w:rPr>
          <w:rFonts w:ascii="Arial" w:hAnsi="Arial" w:cs="Arial"/>
          <w:b/>
          <w:color w:val="auto"/>
        </w:rPr>
        <w:t>注：中小微型企业划分标准按照《国家统计局关于印发〈统计上大中小微型企业划分办法〉〔2017〕的通知》（国统字〔2017〕213号）执行，具体划分标准见附表《统计上大中小微型企业划分标准》。</w:t>
      </w:r>
    </w:p>
    <w:p>
      <w:pPr>
        <w:pStyle w:val="28"/>
        <w:pageBreakBefore w:val="0"/>
        <w:numPr>
          <w:ilvl w:val="0"/>
          <w:numId w:val="3"/>
        </w:numPr>
        <w:kinsoku/>
        <w:wordWrap/>
        <w:overflowPunct/>
        <w:topLinePunct w:val="0"/>
        <w:bidi w:val="0"/>
        <w:spacing w:after="0" w:line="288" w:lineRule="auto"/>
        <w:ind w:firstLine="420"/>
        <w:rPr>
          <w:rFonts w:ascii="Arial" w:hAnsi="Arial" w:cs="Arial"/>
          <w:color w:val="auto"/>
        </w:rPr>
      </w:pPr>
      <w:r>
        <w:rPr>
          <w:rFonts w:ascii="Arial" w:hAnsi="Arial" w:cs="Arial"/>
          <w:color w:val="auto"/>
        </w:rPr>
        <w:t>根据《关于政府采购支持监狱企业发展有关问题的通知》（财库〔2014〕68号）和《关于促进残疾人就业政府采购政策的通知》（财库〔2017〕141号），监狱企业和符合条件的残疾人企业视同小型、微型企业，享受小型、微型企业评审中价格扣除的政府采购政策。</w:t>
      </w:r>
    </w:p>
    <w:p>
      <w:pPr>
        <w:pStyle w:val="28"/>
        <w:pageBreakBefore w:val="0"/>
        <w:numPr>
          <w:ilvl w:val="0"/>
          <w:numId w:val="3"/>
        </w:numPr>
        <w:kinsoku/>
        <w:wordWrap/>
        <w:overflowPunct/>
        <w:topLinePunct w:val="0"/>
        <w:bidi w:val="0"/>
        <w:spacing w:after="0" w:line="288" w:lineRule="auto"/>
        <w:ind w:firstLine="420"/>
        <w:rPr>
          <w:rFonts w:ascii="Arial" w:hAnsi="Arial" w:cs="Arial"/>
          <w:color w:val="auto"/>
        </w:rPr>
      </w:pPr>
      <w:r>
        <w:rPr>
          <w:rFonts w:ascii="Arial" w:hAnsi="Arial" w:cs="Arial"/>
          <w:color w:val="auto"/>
        </w:rPr>
        <w:t>根据《关于促进残疾人就业政府采购政策的通知》（财库〔2017〕141号）规定，残疾人福利性单位视同小型、微型企业，评审中对价格给予折扣，残疾人福利性单位属于小型、微型企业的，不重复享受政策。符合条件的残疾人福利性单位在参加政府采购活动时，应当提供本通知规定的《残疾人福利性单位声明函》（见附件），并对声明的真实性负责。中标为残疾人福利性单位的，采购代理机构应当随中标、成交结果同时公告其《残疾人福利性单位声明函》，接受社会监督。</w:t>
      </w:r>
    </w:p>
    <w:p>
      <w:pPr>
        <w:pStyle w:val="28"/>
        <w:pageBreakBefore w:val="0"/>
        <w:kinsoku/>
        <w:wordWrap/>
        <w:overflowPunct/>
        <w:topLinePunct w:val="0"/>
        <w:bidi w:val="0"/>
        <w:spacing w:after="0" w:line="288" w:lineRule="auto"/>
        <w:ind w:firstLine="420" w:firstLineChars="200"/>
        <w:rPr>
          <w:rFonts w:ascii="Arial" w:hAnsi="Arial" w:cs="Arial"/>
          <w:color w:val="auto"/>
        </w:rPr>
      </w:pPr>
      <w:r>
        <w:rPr>
          <w:rFonts w:ascii="Arial" w:hAnsi="Arial" w:cs="Arial"/>
          <w:color w:val="auto"/>
        </w:rPr>
        <w:t>对于不属于以上情形的投标人，其投标报价即为评标价。</w:t>
      </w:r>
    </w:p>
    <w:p>
      <w:pPr>
        <w:pStyle w:val="28"/>
        <w:pageBreakBefore w:val="0"/>
        <w:kinsoku/>
        <w:wordWrap/>
        <w:overflowPunct/>
        <w:topLinePunct w:val="0"/>
        <w:bidi w:val="0"/>
        <w:spacing w:after="0" w:line="288" w:lineRule="auto"/>
        <w:ind w:firstLine="420"/>
        <w:rPr>
          <w:rFonts w:ascii="Arial" w:hAnsi="Arial" w:cs="Arial"/>
          <w:color w:val="auto"/>
        </w:rPr>
      </w:pPr>
      <w:r>
        <w:rPr>
          <w:rFonts w:ascii="Arial" w:hAnsi="Arial" w:cs="Arial"/>
          <w:color w:val="auto"/>
        </w:rPr>
        <w:t>（4）价格分采用低价优先法计算，即满足招标文件要求且评标报价最低的评标报价为评标基准价，其价格分为30分。</w:t>
      </w:r>
    </w:p>
    <w:p>
      <w:pPr>
        <w:pStyle w:val="28"/>
        <w:pageBreakBefore w:val="0"/>
        <w:kinsoku/>
        <w:wordWrap/>
        <w:overflowPunct/>
        <w:topLinePunct w:val="0"/>
        <w:bidi w:val="0"/>
        <w:spacing w:after="0" w:line="288" w:lineRule="auto"/>
        <w:ind w:firstLine="420"/>
        <w:rPr>
          <w:rFonts w:ascii="Arial" w:hAnsi="Arial" w:cs="Arial"/>
          <w:color w:val="auto"/>
        </w:rPr>
      </w:pPr>
      <w:r>
        <w:rPr>
          <w:rFonts w:ascii="Arial" w:hAnsi="Arial" w:cs="Arial"/>
          <w:bCs/>
          <w:color w:val="auto"/>
        </w:rPr>
        <w:t>（5）</w:t>
      </w:r>
      <w:r>
        <w:rPr>
          <w:rFonts w:ascii="Arial" w:hAnsi="Arial" w:cs="Arial"/>
          <w:color w:val="auto"/>
        </w:rPr>
        <w:t>价格分计算公式：</w:t>
      </w:r>
    </w:p>
    <w:p>
      <w:pPr>
        <w:pStyle w:val="28"/>
        <w:pageBreakBefore w:val="0"/>
        <w:kinsoku/>
        <w:wordWrap/>
        <w:overflowPunct/>
        <w:topLinePunct w:val="0"/>
        <w:bidi w:val="0"/>
        <w:spacing w:after="0" w:line="288" w:lineRule="auto"/>
        <w:ind w:firstLine="840" w:firstLineChars="400"/>
        <w:rPr>
          <w:rFonts w:ascii="Arial" w:hAnsi="Arial" w:cs="Arial"/>
          <w:color w:val="auto"/>
        </w:rPr>
      </w:pPr>
      <w:r>
        <w:rPr>
          <w:rFonts w:ascii="Arial" w:hAnsi="Arial" w:cs="Arial"/>
          <w:bCs/>
          <w:color w:val="auto"/>
        </w:rPr>
        <w:t>某投标人价格分 =（最低投标人</w:t>
      </w:r>
      <w:r>
        <w:rPr>
          <w:rFonts w:ascii="Arial" w:hAnsi="Arial" w:cs="Arial"/>
          <w:color w:val="auto"/>
        </w:rPr>
        <w:t>评标报价</w:t>
      </w:r>
      <w:r>
        <w:rPr>
          <w:rFonts w:ascii="Arial" w:hAnsi="Arial" w:cs="Arial"/>
          <w:bCs/>
          <w:color w:val="auto"/>
        </w:rPr>
        <w:t>金额/  某投标人</w:t>
      </w:r>
      <w:r>
        <w:rPr>
          <w:rFonts w:ascii="Arial" w:hAnsi="Arial" w:cs="Arial"/>
          <w:color w:val="auto"/>
        </w:rPr>
        <w:t>评标报价</w:t>
      </w:r>
      <w:r>
        <w:rPr>
          <w:rFonts w:ascii="Arial" w:hAnsi="Arial" w:cs="Arial"/>
          <w:bCs/>
          <w:color w:val="auto"/>
        </w:rPr>
        <w:t xml:space="preserve">金额） ×  30分 </w:t>
      </w:r>
    </w:p>
    <w:p>
      <w:pPr>
        <w:pStyle w:val="28"/>
        <w:pageBreakBefore w:val="0"/>
        <w:kinsoku/>
        <w:wordWrap/>
        <w:overflowPunct/>
        <w:topLinePunct w:val="0"/>
        <w:bidi w:val="0"/>
        <w:spacing w:after="0" w:line="288" w:lineRule="auto"/>
        <w:ind w:firstLine="420" w:firstLineChars="200"/>
        <w:rPr>
          <w:rFonts w:ascii="Arial" w:hAnsi="Arial" w:cs="Arial"/>
          <w:b/>
          <w:bCs/>
          <w:color w:val="auto"/>
        </w:rPr>
      </w:pPr>
      <w:r>
        <w:rPr>
          <w:rFonts w:ascii="Arial" w:hAnsi="Arial" w:cs="Arial"/>
          <w:b/>
          <w:bCs/>
          <w:color w:val="auto"/>
        </w:rPr>
        <w:t>2.技术评审……………………………………………………………………57分</w:t>
      </w:r>
    </w:p>
    <w:p>
      <w:pPr>
        <w:pStyle w:val="28"/>
        <w:pageBreakBefore w:val="0"/>
        <w:kinsoku/>
        <w:wordWrap/>
        <w:overflowPunct/>
        <w:topLinePunct w:val="0"/>
        <w:bidi w:val="0"/>
        <w:spacing w:after="0" w:line="288" w:lineRule="auto"/>
        <w:ind w:firstLine="420" w:firstLineChars="200"/>
        <w:rPr>
          <w:rFonts w:ascii="Arial" w:hAnsi="Arial" w:cs="Arial"/>
          <w:color w:val="auto"/>
        </w:rPr>
      </w:pPr>
      <w:r>
        <w:rPr>
          <w:rFonts w:ascii="Arial" w:hAnsi="Arial" w:cs="Arial"/>
          <w:color w:val="auto"/>
        </w:rPr>
        <w:t>评委根据招标文件要求，对通过资格性和符合性审查进入详评的各投标人投标文件的“项目要求及技术需求”偏离情况进行独立评审，并按如下计分方式确定得分：</w:t>
      </w:r>
    </w:p>
    <w:p>
      <w:pPr>
        <w:pStyle w:val="28"/>
        <w:pageBreakBefore w:val="0"/>
        <w:kinsoku/>
        <w:wordWrap/>
        <w:overflowPunct/>
        <w:topLinePunct w:val="0"/>
        <w:bidi w:val="0"/>
        <w:spacing w:after="0" w:line="288" w:lineRule="auto"/>
        <w:ind w:firstLine="420" w:firstLineChars="200"/>
        <w:rPr>
          <w:rFonts w:ascii="Arial" w:hAnsi="Arial" w:cs="Arial"/>
          <w:b/>
          <w:bCs/>
          <w:color w:val="auto"/>
        </w:rPr>
      </w:pPr>
      <w:r>
        <w:rPr>
          <w:rFonts w:ascii="Arial" w:hAnsi="Arial" w:cs="Arial"/>
          <w:b/>
          <w:bCs/>
          <w:color w:val="auto"/>
        </w:rPr>
        <w:t>（1）产品参数分…………………………………………………………………40分</w:t>
      </w:r>
    </w:p>
    <w:p>
      <w:pPr>
        <w:pStyle w:val="28"/>
        <w:pageBreakBefore w:val="0"/>
        <w:kinsoku/>
        <w:wordWrap/>
        <w:overflowPunct/>
        <w:topLinePunct w:val="0"/>
        <w:bidi w:val="0"/>
        <w:spacing w:after="0" w:line="288" w:lineRule="auto"/>
        <w:ind w:firstLine="420" w:firstLineChars="200"/>
        <w:rPr>
          <w:rFonts w:ascii="Arial" w:hAnsi="Arial" w:cs="Arial"/>
          <w:color w:val="auto"/>
        </w:rPr>
      </w:pPr>
      <w:r>
        <w:rPr>
          <w:rFonts w:ascii="Arial" w:hAnsi="Arial" w:cs="Arial"/>
          <w:color w:val="auto"/>
        </w:rPr>
        <w:t>（1.1）投标产品每项带“</w:t>
      </w:r>
      <w:r>
        <w:rPr>
          <w:rFonts w:ascii="Arial" w:hAnsi="Arial" w:cs="Arial"/>
          <w:b/>
          <w:bCs/>
          <w:color w:val="auto"/>
        </w:rPr>
        <w:t>◆</w:t>
      </w:r>
      <w:r>
        <w:rPr>
          <w:rFonts w:ascii="Arial" w:hAnsi="Arial" w:cs="Arial"/>
          <w:color w:val="auto"/>
        </w:rPr>
        <w:t>”参数为重要参数，重要参数（标注“</w:t>
      </w:r>
      <w:r>
        <w:rPr>
          <w:rFonts w:ascii="Arial" w:hAnsi="Arial" w:cs="Arial"/>
          <w:b/>
          <w:bCs/>
          <w:color w:val="auto"/>
        </w:rPr>
        <w:t>◆</w:t>
      </w:r>
      <w:r>
        <w:rPr>
          <w:rFonts w:ascii="Arial" w:hAnsi="Arial" w:cs="Arial"/>
          <w:color w:val="auto"/>
        </w:rPr>
        <w:t>”的技术参数）有负偏离的得分如下：</w:t>
      </w:r>
    </w:p>
    <w:p>
      <w:pPr>
        <w:pStyle w:val="28"/>
        <w:pageBreakBefore w:val="0"/>
        <w:kinsoku/>
        <w:wordWrap/>
        <w:overflowPunct/>
        <w:topLinePunct w:val="0"/>
        <w:bidi w:val="0"/>
        <w:spacing w:after="0" w:line="288" w:lineRule="auto"/>
        <w:ind w:firstLine="420" w:firstLineChars="200"/>
        <w:rPr>
          <w:rFonts w:ascii="Arial" w:hAnsi="Arial" w:cs="Arial"/>
          <w:color w:val="auto"/>
        </w:rPr>
      </w:pPr>
      <w:r>
        <w:rPr>
          <w:rFonts w:ascii="Arial" w:hAnsi="Arial" w:cs="Arial"/>
          <w:color w:val="auto"/>
        </w:rPr>
        <w:t>一档（0分）：重要技术参数（标注“</w:t>
      </w:r>
      <w:r>
        <w:rPr>
          <w:rFonts w:ascii="Arial" w:hAnsi="Arial" w:cs="Arial"/>
          <w:b/>
          <w:bCs/>
          <w:color w:val="auto"/>
        </w:rPr>
        <w:t>◆</w:t>
      </w:r>
      <w:r>
        <w:rPr>
          <w:rFonts w:ascii="Arial" w:hAnsi="Arial" w:cs="Arial"/>
          <w:color w:val="auto"/>
        </w:rPr>
        <w:t>”的技术参数）有</w:t>
      </w:r>
      <w:r>
        <w:rPr>
          <w:rFonts w:hint="eastAsia" w:ascii="Arial" w:hAnsi="Arial" w:cs="Arial"/>
          <w:color w:val="auto"/>
        </w:rPr>
        <w:t>8</w:t>
      </w:r>
      <w:r>
        <w:rPr>
          <w:rFonts w:ascii="Arial" w:hAnsi="Arial" w:cs="Arial"/>
          <w:color w:val="auto"/>
        </w:rPr>
        <w:t>项或</w:t>
      </w:r>
      <w:r>
        <w:rPr>
          <w:rFonts w:hint="eastAsia" w:ascii="Arial" w:hAnsi="Arial" w:cs="Arial"/>
          <w:color w:val="auto"/>
        </w:rPr>
        <w:t>8</w:t>
      </w:r>
      <w:r>
        <w:rPr>
          <w:rFonts w:ascii="Arial" w:hAnsi="Arial" w:cs="Arial"/>
          <w:color w:val="auto"/>
        </w:rPr>
        <w:t>项以上负偏离得0分。</w:t>
      </w:r>
    </w:p>
    <w:p>
      <w:pPr>
        <w:pStyle w:val="28"/>
        <w:pageBreakBefore w:val="0"/>
        <w:kinsoku/>
        <w:wordWrap/>
        <w:overflowPunct/>
        <w:topLinePunct w:val="0"/>
        <w:bidi w:val="0"/>
        <w:spacing w:after="0" w:line="288" w:lineRule="auto"/>
        <w:ind w:firstLine="420" w:firstLineChars="200"/>
        <w:rPr>
          <w:rFonts w:ascii="Arial" w:hAnsi="Arial" w:cs="Arial"/>
          <w:color w:val="auto"/>
        </w:rPr>
      </w:pPr>
      <w:r>
        <w:rPr>
          <w:rFonts w:hint="eastAsia" w:ascii="Arial" w:hAnsi="Arial" w:cs="Arial"/>
          <w:color w:val="auto"/>
        </w:rPr>
        <w:t>二</w:t>
      </w:r>
      <w:r>
        <w:rPr>
          <w:rFonts w:ascii="Arial" w:hAnsi="Arial" w:cs="Arial"/>
          <w:color w:val="auto"/>
        </w:rPr>
        <w:t>档（4分）：重要技术参数（标注“</w:t>
      </w:r>
      <w:r>
        <w:rPr>
          <w:rFonts w:ascii="Arial" w:hAnsi="Arial" w:cs="Arial"/>
          <w:b/>
          <w:bCs/>
          <w:color w:val="auto"/>
        </w:rPr>
        <w:t>◆</w:t>
      </w:r>
      <w:r>
        <w:rPr>
          <w:rFonts w:ascii="Arial" w:hAnsi="Arial" w:cs="Arial"/>
          <w:color w:val="auto"/>
        </w:rPr>
        <w:t>”的技术参数）有</w:t>
      </w:r>
      <w:r>
        <w:rPr>
          <w:rFonts w:hint="eastAsia" w:ascii="Arial" w:hAnsi="Arial" w:cs="Arial"/>
          <w:color w:val="auto"/>
        </w:rPr>
        <w:t>7</w:t>
      </w:r>
      <w:r>
        <w:rPr>
          <w:rFonts w:ascii="Arial" w:hAnsi="Arial" w:cs="Arial"/>
          <w:color w:val="auto"/>
        </w:rPr>
        <w:t>项负偏离得</w:t>
      </w:r>
      <w:r>
        <w:rPr>
          <w:rFonts w:hint="eastAsia" w:ascii="Arial" w:hAnsi="Arial" w:cs="Arial"/>
          <w:color w:val="auto"/>
        </w:rPr>
        <w:t>4</w:t>
      </w:r>
      <w:r>
        <w:rPr>
          <w:rFonts w:ascii="Arial" w:hAnsi="Arial" w:cs="Arial"/>
          <w:color w:val="auto"/>
        </w:rPr>
        <w:t>分。</w:t>
      </w:r>
    </w:p>
    <w:p>
      <w:pPr>
        <w:pStyle w:val="28"/>
        <w:pageBreakBefore w:val="0"/>
        <w:kinsoku/>
        <w:wordWrap/>
        <w:overflowPunct/>
        <w:topLinePunct w:val="0"/>
        <w:bidi w:val="0"/>
        <w:spacing w:after="0" w:line="288" w:lineRule="auto"/>
        <w:ind w:firstLine="420" w:firstLineChars="200"/>
        <w:rPr>
          <w:rFonts w:ascii="Arial" w:hAnsi="Arial" w:cs="Arial"/>
          <w:color w:val="auto"/>
        </w:rPr>
      </w:pPr>
      <w:r>
        <w:rPr>
          <w:rFonts w:hint="eastAsia" w:ascii="Arial" w:hAnsi="Arial" w:cs="Arial"/>
          <w:color w:val="auto"/>
        </w:rPr>
        <w:t>三</w:t>
      </w:r>
      <w:r>
        <w:rPr>
          <w:rFonts w:ascii="Arial" w:hAnsi="Arial" w:cs="Arial"/>
          <w:color w:val="auto"/>
        </w:rPr>
        <w:t>档（8分）：重要技术参数（标注“</w:t>
      </w:r>
      <w:r>
        <w:rPr>
          <w:rFonts w:ascii="Arial" w:hAnsi="Arial" w:cs="Arial"/>
          <w:b/>
          <w:bCs/>
          <w:color w:val="auto"/>
        </w:rPr>
        <w:t>◆</w:t>
      </w:r>
      <w:r>
        <w:rPr>
          <w:rFonts w:ascii="Arial" w:hAnsi="Arial" w:cs="Arial"/>
          <w:color w:val="auto"/>
        </w:rPr>
        <w:t>”的技术参数）有</w:t>
      </w:r>
      <w:r>
        <w:rPr>
          <w:rFonts w:hint="eastAsia" w:ascii="Arial" w:hAnsi="Arial" w:cs="Arial"/>
          <w:color w:val="auto"/>
        </w:rPr>
        <w:t>6</w:t>
      </w:r>
      <w:r>
        <w:rPr>
          <w:rFonts w:ascii="Arial" w:hAnsi="Arial" w:cs="Arial"/>
          <w:color w:val="auto"/>
        </w:rPr>
        <w:t>项负偏离得</w:t>
      </w:r>
      <w:r>
        <w:rPr>
          <w:rFonts w:hint="eastAsia" w:ascii="Arial" w:hAnsi="Arial" w:cs="Arial"/>
          <w:color w:val="auto"/>
        </w:rPr>
        <w:t>8</w:t>
      </w:r>
      <w:r>
        <w:rPr>
          <w:rFonts w:ascii="Arial" w:hAnsi="Arial" w:cs="Arial"/>
          <w:color w:val="auto"/>
        </w:rPr>
        <w:t>分。</w:t>
      </w:r>
    </w:p>
    <w:p>
      <w:pPr>
        <w:pStyle w:val="28"/>
        <w:pageBreakBefore w:val="0"/>
        <w:kinsoku/>
        <w:wordWrap/>
        <w:overflowPunct/>
        <w:topLinePunct w:val="0"/>
        <w:bidi w:val="0"/>
        <w:spacing w:after="0" w:line="288" w:lineRule="auto"/>
        <w:ind w:firstLine="420" w:firstLineChars="200"/>
        <w:rPr>
          <w:rFonts w:ascii="Arial" w:hAnsi="Arial" w:cs="Arial"/>
          <w:color w:val="auto"/>
        </w:rPr>
      </w:pPr>
      <w:r>
        <w:rPr>
          <w:rFonts w:hint="eastAsia" w:ascii="Arial" w:hAnsi="Arial" w:cs="Arial"/>
          <w:color w:val="auto"/>
        </w:rPr>
        <w:t>四</w:t>
      </w:r>
      <w:r>
        <w:rPr>
          <w:rFonts w:ascii="Arial" w:hAnsi="Arial" w:cs="Arial"/>
          <w:color w:val="auto"/>
        </w:rPr>
        <w:t>档（</w:t>
      </w:r>
      <w:r>
        <w:rPr>
          <w:rFonts w:hint="eastAsia" w:ascii="Arial" w:hAnsi="Arial" w:cs="Arial"/>
          <w:color w:val="auto"/>
        </w:rPr>
        <w:t>12</w:t>
      </w:r>
      <w:r>
        <w:rPr>
          <w:rFonts w:ascii="Arial" w:hAnsi="Arial" w:cs="Arial"/>
          <w:color w:val="auto"/>
        </w:rPr>
        <w:t>分）：重要技术参数（标注“</w:t>
      </w:r>
      <w:r>
        <w:rPr>
          <w:rFonts w:ascii="Arial" w:hAnsi="Arial" w:cs="Arial"/>
          <w:b/>
          <w:bCs/>
          <w:color w:val="auto"/>
        </w:rPr>
        <w:t>◆</w:t>
      </w:r>
      <w:r>
        <w:rPr>
          <w:rFonts w:ascii="Arial" w:hAnsi="Arial" w:cs="Arial"/>
          <w:color w:val="auto"/>
        </w:rPr>
        <w:t>”的技术参数）有</w:t>
      </w:r>
      <w:r>
        <w:rPr>
          <w:rFonts w:hint="eastAsia" w:ascii="Arial" w:hAnsi="Arial" w:cs="Arial"/>
          <w:color w:val="auto"/>
        </w:rPr>
        <w:t>5</w:t>
      </w:r>
      <w:r>
        <w:rPr>
          <w:rFonts w:ascii="Arial" w:hAnsi="Arial" w:cs="Arial"/>
          <w:color w:val="auto"/>
        </w:rPr>
        <w:t>项负偏离得</w:t>
      </w:r>
      <w:r>
        <w:rPr>
          <w:rFonts w:hint="eastAsia" w:ascii="Arial" w:hAnsi="Arial" w:cs="Arial"/>
          <w:color w:val="auto"/>
        </w:rPr>
        <w:t>12</w:t>
      </w:r>
      <w:r>
        <w:rPr>
          <w:rFonts w:ascii="Arial" w:hAnsi="Arial" w:cs="Arial"/>
          <w:color w:val="auto"/>
        </w:rPr>
        <w:t>分。</w:t>
      </w:r>
    </w:p>
    <w:p>
      <w:pPr>
        <w:pStyle w:val="28"/>
        <w:pageBreakBefore w:val="0"/>
        <w:kinsoku/>
        <w:wordWrap/>
        <w:overflowPunct/>
        <w:topLinePunct w:val="0"/>
        <w:bidi w:val="0"/>
        <w:spacing w:after="0" w:line="288" w:lineRule="auto"/>
        <w:ind w:firstLine="420" w:firstLineChars="200"/>
        <w:rPr>
          <w:rFonts w:ascii="Arial" w:hAnsi="Arial" w:cs="Arial"/>
          <w:color w:val="auto"/>
        </w:rPr>
      </w:pPr>
      <w:r>
        <w:rPr>
          <w:rFonts w:hint="eastAsia" w:ascii="Arial" w:hAnsi="Arial" w:cs="Arial"/>
          <w:color w:val="auto"/>
        </w:rPr>
        <w:t>五</w:t>
      </w:r>
      <w:r>
        <w:rPr>
          <w:rFonts w:ascii="Arial" w:hAnsi="Arial" w:cs="Arial"/>
          <w:color w:val="auto"/>
        </w:rPr>
        <w:t>档（</w:t>
      </w:r>
      <w:r>
        <w:rPr>
          <w:rFonts w:hint="eastAsia" w:ascii="Arial" w:hAnsi="Arial" w:cs="Arial"/>
          <w:color w:val="auto"/>
        </w:rPr>
        <w:t>16</w:t>
      </w:r>
      <w:r>
        <w:rPr>
          <w:rFonts w:ascii="Arial" w:hAnsi="Arial" w:cs="Arial"/>
          <w:color w:val="auto"/>
        </w:rPr>
        <w:t>分）：重要技术参数（标注“</w:t>
      </w:r>
      <w:r>
        <w:rPr>
          <w:rFonts w:ascii="Arial" w:hAnsi="Arial" w:cs="Arial"/>
          <w:b/>
          <w:bCs/>
          <w:color w:val="auto"/>
        </w:rPr>
        <w:t>◆</w:t>
      </w:r>
      <w:r>
        <w:rPr>
          <w:rFonts w:ascii="Arial" w:hAnsi="Arial" w:cs="Arial"/>
          <w:color w:val="auto"/>
        </w:rPr>
        <w:t>”的技术参数）有</w:t>
      </w:r>
      <w:r>
        <w:rPr>
          <w:rFonts w:hint="eastAsia" w:ascii="Arial" w:hAnsi="Arial" w:cs="Arial"/>
          <w:color w:val="auto"/>
        </w:rPr>
        <w:t>4</w:t>
      </w:r>
      <w:r>
        <w:rPr>
          <w:rFonts w:ascii="Arial" w:hAnsi="Arial" w:cs="Arial"/>
          <w:color w:val="auto"/>
        </w:rPr>
        <w:t>项负偏离得</w:t>
      </w:r>
      <w:r>
        <w:rPr>
          <w:rFonts w:hint="eastAsia" w:ascii="Arial" w:hAnsi="Arial" w:cs="Arial"/>
          <w:color w:val="auto"/>
        </w:rPr>
        <w:t>16</w:t>
      </w:r>
      <w:r>
        <w:rPr>
          <w:rFonts w:ascii="Arial" w:hAnsi="Arial" w:cs="Arial"/>
          <w:color w:val="auto"/>
        </w:rPr>
        <w:t>分。</w:t>
      </w:r>
    </w:p>
    <w:p>
      <w:pPr>
        <w:pStyle w:val="28"/>
        <w:pageBreakBefore w:val="0"/>
        <w:kinsoku/>
        <w:wordWrap/>
        <w:overflowPunct/>
        <w:topLinePunct w:val="0"/>
        <w:bidi w:val="0"/>
        <w:spacing w:after="0" w:line="288" w:lineRule="auto"/>
        <w:ind w:firstLine="420" w:firstLineChars="200"/>
        <w:rPr>
          <w:rFonts w:ascii="Arial" w:hAnsi="Arial" w:cs="Arial"/>
          <w:color w:val="auto"/>
        </w:rPr>
      </w:pPr>
      <w:r>
        <w:rPr>
          <w:rFonts w:hint="eastAsia" w:ascii="Arial" w:hAnsi="Arial" w:cs="Arial"/>
          <w:color w:val="auto"/>
        </w:rPr>
        <w:t>六</w:t>
      </w:r>
      <w:r>
        <w:rPr>
          <w:rFonts w:ascii="Arial" w:hAnsi="Arial" w:cs="Arial"/>
          <w:color w:val="auto"/>
        </w:rPr>
        <w:t>档（</w:t>
      </w:r>
      <w:r>
        <w:rPr>
          <w:rFonts w:hint="eastAsia" w:ascii="Arial" w:hAnsi="Arial" w:cs="Arial"/>
          <w:color w:val="auto"/>
        </w:rPr>
        <w:t>20</w:t>
      </w:r>
      <w:r>
        <w:rPr>
          <w:rFonts w:ascii="Arial" w:hAnsi="Arial" w:cs="Arial"/>
          <w:color w:val="auto"/>
        </w:rPr>
        <w:t>分）：重要技术参数（标注“</w:t>
      </w:r>
      <w:r>
        <w:rPr>
          <w:rFonts w:ascii="Arial" w:hAnsi="Arial" w:cs="Arial"/>
          <w:b/>
          <w:bCs/>
          <w:color w:val="auto"/>
        </w:rPr>
        <w:t>◆</w:t>
      </w:r>
      <w:r>
        <w:rPr>
          <w:rFonts w:ascii="Arial" w:hAnsi="Arial" w:cs="Arial"/>
          <w:color w:val="auto"/>
        </w:rPr>
        <w:t>”的技术参数）有</w:t>
      </w:r>
      <w:r>
        <w:rPr>
          <w:rFonts w:hint="eastAsia" w:ascii="Arial" w:hAnsi="Arial" w:cs="Arial"/>
          <w:color w:val="auto"/>
        </w:rPr>
        <w:t>3</w:t>
      </w:r>
      <w:r>
        <w:rPr>
          <w:rFonts w:ascii="Arial" w:hAnsi="Arial" w:cs="Arial"/>
          <w:color w:val="auto"/>
        </w:rPr>
        <w:t>项负偏离得</w:t>
      </w:r>
      <w:r>
        <w:rPr>
          <w:rFonts w:hint="eastAsia" w:ascii="Arial" w:hAnsi="Arial" w:cs="Arial"/>
          <w:color w:val="auto"/>
        </w:rPr>
        <w:t>20</w:t>
      </w:r>
      <w:r>
        <w:rPr>
          <w:rFonts w:ascii="Arial" w:hAnsi="Arial" w:cs="Arial"/>
          <w:color w:val="auto"/>
        </w:rPr>
        <w:t>分。</w:t>
      </w:r>
    </w:p>
    <w:p>
      <w:pPr>
        <w:pStyle w:val="28"/>
        <w:pageBreakBefore w:val="0"/>
        <w:kinsoku/>
        <w:wordWrap/>
        <w:overflowPunct/>
        <w:topLinePunct w:val="0"/>
        <w:bidi w:val="0"/>
        <w:spacing w:after="0" w:line="288" w:lineRule="auto"/>
        <w:ind w:firstLine="420" w:firstLineChars="200"/>
        <w:rPr>
          <w:rFonts w:ascii="Arial" w:hAnsi="Arial" w:cs="Arial"/>
          <w:color w:val="auto"/>
        </w:rPr>
      </w:pPr>
      <w:r>
        <w:rPr>
          <w:rFonts w:hint="eastAsia" w:ascii="Arial" w:hAnsi="Arial" w:cs="Arial"/>
          <w:color w:val="auto"/>
        </w:rPr>
        <w:t>七</w:t>
      </w:r>
      <w:r>
        <w:rPr>
          <w:rFonts w:ascii="Arial" w:hAnsi="Arial" w:cs="Arial"/>
          <w:color w:val="auto"/>
        </w:rPr>
        <w:t>档（</w:t>
      </w:r>
      <w:r>
        <w:rPr>
          <w:rFonts w:hint="eastAsia" w:ascii="Arial" w:hAnsi="Arial" w:cs="Arial"/>
          <w:color w:val="auto"/>
        </w:rPr>
        <w:t>24</w:t>
      </w:r>
      <w:r>
        <w:rPr>
          <w:rFonts w:ascii="Arial" w:hAnsi="Arial" w:cs="Arial"/>
          <w:color w:val="auto"/>
        </w:rPr>
        <w:t>分）：重要技术参数（标注“</w:t>
      </w:r>
      <w:r>
        <w:rPr>
          <w:rFonts w:ascii="Arial" w:hAnsi="Arial" w:cs="Arial"/>
          <w:b/>
          <w:bCs/>
          <w:color w:val="auto"/>
        </w:rPr>
        <w:t>◆</w:t>
      </w:r>
      <w:r>
        <w:rPr>
          <w:rFonts w:ascii="Arial" w:hAnsi="Arial" w:cs="Arial"/>
          <w:color w:val="auto"/>
        </w:rPr>
        <w:t>”的技术参数）有2项负偏离得</w:t>
      </w:r>
      <w:r>
        <w:rPr>
          <w:rFonts w:hint="eastAsia" w:ascii="Arial" w:hAnsi="Arial" w:cs="Arial"/>
          <w:color w:val="auto"/>
        </w:rPr>
        <w:t>24</w:t>
      </w:r>
      <w:r>
        <w:rPr>
          <w:rFonts w:ascii="Arial" w:hAnsi="Arial" w:cs="Arial"/>
          <w:color w:val="auto"/>
        </w:rPr>
        <w:t>分。</w:t>
      </w:r>
    </w:p>
    <w:p>
      <w:pPr>
        <w:pStyle w:val="28"/>
        <w:pageBreakBefore w:val="0"/>
        <w:kinsoku/>
        <w:wordWrap/>
        <w:overflowPunct/>
        <w:topLinePunct w:val="0"/>
        <w:bidi w:val="0"/>
        <w:spacing w:after="0" w:line="288" w:lineRule="auto"/>
        <w:ind w:firstLine="420" w:firstLineChars="200"/>
        <w:rPr>
          <w:rFonts w:ascii="Arial" w:hAnsi="Arial" w:cs="Arial"/>
          <w:color w:val="auto"/>
        </w:rPr>
      </w:pPr>
      <w:r>
        <w:rPr>
          <w:rFonts w:hint="eastAsia" w:ascii="Arial" w:hAnsi="Arial" w:cs="Arial"/>
          <w:color w:val="auto"/>
        </w:rPr>
        <w:t>八</w:t>
      </w:r>
      <w:r>
        <w:rPr>
          <w:rFonts w:ascii="Arial" w:hAnsi="Arial" w:cs="Arial"/>
          <w:color w:val="auto"/>
        </w:rPr>
        <w:t>档（</w:t>
      </w:r>
      <w:r>
        <w:rPr>
          <w:rFonts w:hint="eastAsia" w:ascii="Arial" w:hAnsi="Arial" w:cs="Arial"/>
          <w:color w:val="auto"/>
        </w:rPr>
        <w:t>28</w:t>
      </w:r>
      <w:r>
        <w:rPr>
          <w:rFonts w:ascii="Arial" w:hAnsi="Arial" w:cs="Arial"/>
          <w:color w:val="auto"/>
        </w:rPr>
        <w:t>分）：重要技术参数（标注“</w:t>
      </w:r>
      <w:r>
        <w:rPr>
          <w:rFonts w:ascii="Arial" w:hAnsi="Arial" w:cs="Arial"/>
          <w:b/>
          <w:bCs/>
          <w:color w:val="auto"/>
        </w:rPr>
        <w:t>◆</w:t>
      </w:r>
      <w:r>
        <w:rPr>
          <w:rFonts w:ascii="Arial" w:hAnsi="Arial" w:cs="Arial"/>
          <w:color w:val="auto"/>
        </w:rPr>
        <w:t>”的技术参数）有1项负偏离得</w:t>
      </w:r>
      <w:r>
        <w:rPr>
          <w:rFonts w:hint="eastAsia" w:ascii="Arial" w:hAnsi="Arial" w:cs="Arial"/>
          <w:color w:val="auto"/>
        </w:rPr>
        <w:t>28</w:t>
      </w:r>
      <w:r>
        <w:rPr>
          <w:rFonts w:ascii="Arial" w:hAnsi="Arial" w:cs="Arial"/>
          <w:color w:val="auto"/>
        </w:rPr>
        <w:t>分。</w:t>
      </w:r>
    </w:p>
    <w:p>
      <w:pPr>
        <w:pStyle w:val="28"/>
        <w:pageBreakBefore w:val="0"/>
        <w:kinsoku/>
        <w:wordWrap/>
        <w:overflowPunct/>
        <w:topLinePunct w:val="0"/>
        <w:bidi w:val="0"/>
        <w:spacing w:after="0" w:line="288" w:lineRule="auto"/>
        <w:ind w:firstLine="420" w:firstLineChars="200"/>
        <w:rPr>
          <w:rFonts w:ascii="Arial" w:hAnsi="Arial" w:cs="Arial"/>
          <w:color w:val="auto"/>
        </w:rPr>
      </w:pPr>
      <w:r>
        <w:rPr>
          <w:rFonts w:hint="eastAsia" w:ascii="Arial" w:hAnsi="Arial" w:cs="Arial"/>
          <w:color w:val="auto"/>
        </w:rPr>
        <w:t>九</w:t>
      </w:r>
      <w:r>
        <w:rPr>
          <w:rFonts w:ascii="Arial" w:hAnsi="Arial" w:cs="Arial"/>
          <w:color w:val="auto"/>
        </w:rPr>
        <w:t>档（</w:t>
      </w:r>
      <w:r>
        <w:rPr>
          <w:rFonts w:hint="eastAsia" w:ascii="Arial" w:hAnsi="Arial" w:cs="Arial"/>
          <w:color w:val="auto"/>
        </w:rPr>
        <w:t>32</w:t>
      </w:r>
      <w:r>
        <w:rPr>
          <w:rFonts w:ascii="Arial" w:hAnsi="Arial" w:cs="Arial"/>
          <w:color w:val="auto"/>
        </w:rPr>
        <w:t>分）：重要技术参数（标注“</w:t>
      </w:r>
      <w:r>
        <w:rPr>
          <w:rFonts w:ascii="Arial" w:hAnsi="Arial" w:cs="Arial"/>
          <w:b/>
          <w:bCs/>
          <w:color w:val="auto"/>
        </w:rPr>
        <w:t>◆</w:t>
      </w:r>
      <w:r>
        <w:rPr>
          <w:rFonts w:ascii="Arial" w:hAnsi="Arial" w:cs="Arial"/>
          <w:color w:val="auto"/>
        </w:rPr>
        <w:t>”的技术参数）无负偏离得</w:t>
      </w:r>
      <w:r>
        <w:rPr>
          <w:rFonts w:hint="eastAsia" w:ascii="Arial" w:hAnsi="Arial" w:cs="Arial"/>
          <w:color w:val="auto"/>
        </w:rPr>
        <w:t>32</w:t>
      </w:r>
      <w:r>
        <w:rPr>
          <w:rFonts w:ascii="Arial" w:hAnsi="Arial" w:cs="Arial"/>
          <w:color w:val="auto"/>
        </w:rPr>
        <w:t>分。</w:t>
      </w:r>
    </w:p>
    <w:p>
      <w:pPr>
        <w:pStyle w:val="28"/>
        <w:pageBreakBefore w:val="0"/>
        <w:kinsoku/>
        <w:wordWrap/>
        <w:overflowPunct/>
        <w:topLinePunct w:val="0"/>
        <w:bidi w:val="0"/>
        <w:spacing w:after="0" w:line="288" w:lineRule="auto"/>
        <w:ind w:firstLine="420" w:firstLineChars="200"/>
        <w:rPr>
          <w:rFonts w:ascii="Arial" w:hAnsi="Arial" w:cs="Arial"/>
          <w:color w:val="auto"/>
        </w:rPr>
      </w:pPr>
      <w:r>
        <w:rPr>
          <w:rFonts w:ascii="Arial" w:hAnsi="Arial" w:cs="Arial"/>
          <w:color w:val="auto"/>
        </w:rPr>
        <w:t>（1.2）投标产品每项不带“</w:t>
      </w:r>
      <w:r>
        <w:rPr>
          <w:rFonts w:ascii="Arial" w:hAnsi="Arial" w:cs="Arial"/>
          <w:b/>
          <w:bCs/>
          <w:color w:val="auto"/>
        </w:rPr>
        <w:t>◆</w:t>
      </w:r>
      <w:r>
        <w:rPr>
          <w:rFonts w:ascii="Arial" w:hAnsi="Arial" w:cs="Arial"/>
          <w:color w:val="auto"/>
        </w:rPr>
        <w:t>”、不带“★”参数为一般参数，一般参数（未标注“</w:t>
      </w:r>
      <w:r>
        <w:rPr>
          <w:rFonts w:ascii="Arial" w:hAnsi="Arial" w:cs="Arial"/>
          <w:b/>
          <w:bCs/>
          <w:color w:val="auto"/>
        </w:rPr>
        <w:t>◆</w:t>
      </w:r>
      <w:r>
        <w:rPr>
          <w:rFonts w:ascii="Arial" w:hAnsi="Arial" w:cs="Arial"/>
          <w:color w:val="auto"/>
        </w:rPr>
        <w:t>”、“★”的技术参数）有负偏离的得分如下：</w:t>
      </w:r>
    </w:p>
    <w:p>
      <w:pPr>
        <w:pStyle w:val="28"/>
        <w:pageBreakBefore w:val="0"/>
        <w:kinsoku/>
        <w:wordWrap/>
        <w:overflowPunct/>
        <w:topLinePunct w:val="0"/>
        <w:bidi w:val="0"/>
        <w:spacing w:after="0" w:line="288" w:lineRule="auto"/>
        <w:ind w:firstLine="420" w:firstLineChars="200"/>
        <w:rPr>
          <w:rFonts w:ascii="Arial" w:hAnsi="Arial" w:cs="Arial"/>
          <w:color w:val="auto"/>
        </w:rPr>
      </w:pPr>
      <w:r>
        <w:rPr>
          <w:rFonts w:ascii="Arial" w:hAnsi="Arial" w:cs="Arial"/>
          <w:color w:val="auto"/>
        </w:rPr>
        <w:t>一档（0分）：一般性参数（未标注“</w:t>
      </w:r>
      <w:r>
        <w:rPr>
          <w:rFonts w:ascii="Arial" w:hAnsi="Arial" w:cs="Arial"/>
          <w:b/>
          <w:bCs/>
          <w:color w:val="auto"/>
        </w:rPr>
        <w:t>◆</w:t>
      </w:r>
      <w:r>
        <w:rPr>
          <w:rFonts w:ascii="Arial" w:hAnsi="Arial" w:cs="Arial"/>
          <w:color w:val="auto"/>
        </w:rPr>
        <w:t>”、“★”的技术参数）有</w:t>
      </w:r>
      <w:r>
        <w:rPr>
          <w:rFonts w:hint="eastAsia" w:ascii="Arial" w:hAnsi="Arial" w:cs="Arial"/>
          <w:color w:val="auto"/>
        </w:rPr>
        <w:t>4</w:t>
      </w:r>
      <w:r>
        <w:rPr>
          <w:rFonts w:ascii="Arial" w:hAnsi="Arial" w:cs="Arial"/>
          <w:color w:val="auto"/>
        </w:rPr>
        <w:t>项或</w:t>
      </w:r>
      <w:r>
        <w:rPr>
          <w:rFonts w:hint="eastAsia" w:ascii="Arial" w:hAnsi="Arial" w:cs="Arial"/>
          <w:color w:val="auto"/>
        </w:rPr>
        <w:t>4</w:t>
      </w:r>
      <w:r>
        <w:rPr>
          <w:rFonts w:ascii="Arial" w:hAnsi="Arial" w:cs="Arial"/>
          <w:color w:val="auto"/>
        </w:rPr>
        <w:t>项以上负偏离得0分。</w:t>
      </w:r>
    </w:p>
    <w:p>
      <w:pPr>
        <w:pStyle w:val="28"/>
        <w:pageBreakBefore w:val="0"/>
        <w:kinsoku/>
        <w:wordWrap/>
        <w:overflowPunct/>
        <w:topLinePunct w:val="0"/>
        <w:bidi w:val="0"/>
        <w:spacing w:after="0" w:line="288" w:lineRule="auto"/>
        <w:ind w:firstLine="420" w:firstLineChars="200"/>
        <w:rPr>
          <w:rFonts w:ascii="Arial" w:hAnsi="Arial" w:cs="Arial"/>
          <w:color w:val="auto"/>
        </w:rPr>
      </w:pPr>
      <w:r>
        <w:rPr>
          <w:rFonts w:ascii="Arial" w:hAnsi="Arial" w:cs="Arial"/>
          <w:color w:val="auto"/>
        </w:rPr>
        <w:t>二档（2分）：一般性参数（未标注“</w:t>
      </w:r>
      <w:r>
        <w:rPr>
          <w:rFonts w:ascii="Arial" w:hAnsi="Arial" w:cs="Arial"/>
          <w:b/>
          <w:bCs/>
          <w:color w:val="auto"/>
        </w:rPr>
        <w:t>◆</w:t>
      </w:r>
      <w:r>
        <w:rPr>
          <w:rFonts w:ascii="Arial" w:hAnsi="Arial" w:cs="Arial"/>
          <w:color w:val="auto"/>
        </w:rPr>
        <w:t>”、“★”的技术参数）有</w:t>
      </w:r>
      <w:r>
        <w:rPr>
          <w:rFonts w:hint="eastAsia" w:ascii="Arial" w:hAnsi="Arial" w:cs="Arial"/>
          <w:color w:val="auto"/>
        </w:rPr>
        <w:t>3</w:t>
      </w:r>
      <w:r>
        <w:rPr>
          <w:rFonts w:ascii="Arial" w:hAnsi="Arial" w:cs="Arial"/>
          <w:color w:val="auto"/>
        </w:rPr>
        <w:t>项负偏离得2分。</w:t>
      </w:r>
    </w:p>
    <w:p>
      <w:pPr>
        <w:pStyle w:val="28"/>
        <w:pageBreakBefore w:val="0"/>
        <w:kinsoku/>
        <w:wordWrap/>
        <w:overflowPunct/>
        <w:topLinePunct w:val="0"/>
        <w:bidi w:val="0"/>
        <w:spacing w:after="0" w:line="288" w:lineRule="auto"/>
        <w:ind w:firstLine="420" w:firstLineChars="200"/>
        <w:rPr>
          <w:rFonts w:ascii="Arial" w:hAnsi="Arial" w:cs="Arial"/>
          <w:color w:val="auto"/>
        </w:rPr>
      </w:pPr>
      <w:r>
        <w:rPr>
          <w:rFonts w:hint="eastAsia" w:ascii="Arial" w:hAnsi="Arial" w:cs="Arial"/>
          <w:color w:val="auto"/>
        </w:rPr>
        <w:t>三</w:t>
      </w:r>
      <w:r>
        <w:rPr>
          <w:rFonts w:ascii="Arial" w:hAnsi="Arial" w:cs="Arial"/>
          <w:color w:val="auto"/>
        </w:rPr>
        <w:t>档（4分）：一般性参数（未标注“</w:t>
      </w:r>
      <w:r>
        <w:rPr>
          <w:rFonts w:ascii="Arial" w:hAnsi="Arial" w:cs="Arial"/>
          <w:b/>
          <w:bCs/>
          <w:color w:val="auto"/>
        </w:rPr>
        <w:t>◆</w:t>
      </w:r>
      <w:r>
        <w:rPr>
          <w:rFonts w:ascii="Arial" w:hAnsi="Arial" w:cs="Arial"/>
          <w:color w:val="auto"/>
        </w:rPr>
        <w:t>”、“★”的技术参数）有</w:t>
      </w:r>
      <w:r>
        <w:rPr>
          <w:rFonts w:hint="eastAsia" w:ascii="Arial" w:hAnsi="Arial" w:cs="Arial"/>
          <w:color w:val="auto"/>
        </w:rPr>
        <w:t>2</w:t>
      </w:r>
      <w:r>
        <w:rPr>
          <w:rFonts w:ascii="Arial" w:hAnsi="Arial" w:cs="Arial"/>
          <w:color w:val="auto"/>
        </w:rPr>
        <w:t>项负偏离得4分。</w:t>
      </w:r>
    </w:p>
    <w:p>
      <w:pPr>
        <w:pStyle w:val="28"/>
        <w:pageBreakBefore w:val="0"/>
        <w:kinsoku/>
        <w:wordWrap/>
        <w:overflowPunct/>
        <w:topLinePunct w:val="0"/>
        <w:bidi w:val="0"/>
        <w:spacing w:after="0" w:line="288" w:lineRule="auto"/>
        <w:ind w:firstLine="420" w:firstLineChars="200"/>
        <w:rPr>
          <w:rFonts w:ascii="Arial" w:hAnsi="Arial" w:cs="Arial"/>
          <w:color w:val="auto"/>
        </w:rPr>
      </w:pPr>
      <w:r>
        <w:rPr>
          <w:rFonts w:hint="eastAsia" w:ascii="Arial" w:hAnsi="Arial" w:cs="Arial"/>
          <w:color w:val="auto"/>
        </w:rPr>
        <w:t>四</w:t>
      </w:r>
      <w:r>
        <w:rPr>
          <w:rFonts w:ascii="Arial" w:hAnsi="Arial" w:cs="Arial"/>
          <w:color w:val="auto"/>
        </w:rPr>
        <w:t>档（6分）：一般性参数（未标注“</w:t>
      </w:r>
      <w:r>
        <w:rPr>
          <w:rFonts w:ascii="Arial" w:hAnsi="Arial" w:cs="Arial"/>
          <w:b/>
          <w:bCs/>
          <w:color w:val="auto"/>
        </w:rPr>
        <w:t>◆</w:t>
      </w:r>
      <w:r>
        <w:rPr>
          <w:rFonts w:ascii="Arial" w:hAnsi="Arial" w:cs="Arial"/>
          <w:color w:val="auto"/>
        </w:rPr>
        <w:t>”、“★”的技术参数）有</w:t>
      </w:r>
      <w:r>
        <w:rPr>
          <w:rFonts w:hint="eastAsia" w:ascii="Arial" w:hAnsi="Arial" w:cs="Arial"/>
          <w:color w:val="auto"/>
        </w:rPr>
        <w:t>1</w:t>
      </w:r>
      <w:r>
        <w:rPr>
          <w:rFonts w:ascii="Arial" w:hAnsi="Arial" w:cs="Arial"/>
          <w:color w:val="auto"/>
        </w:rPr>
        <w:t>项负偏离得6分。</w:t>
      </w:r>
    </w:p>
    <w:p>
      <w:pPr>
        <w:pStyle w:val="28"/>
        <w:pageBreakBefore w:val="0"/>
        <w:kinsoku/>
        <w:wordWrap/>
        <w:overflowPunct/>
        <w:topLinePunct w:val="0"/>
        <w:bidi w:val="0"/>
        <w:spacing w:after="0" w:line="288" w:lineRule="auto"/>
        <w:ind w:firstLine="420" w:firstLineChars="200"/>
        <w:rPr>
          <w:rFonts w:ascii="Arial" w:hAnsi="Arial" w:cs="Arial"/>
          <w:color w:val="auto"/>
        </w:rPr>
      </w:pPr>
      <w:r>
        <w:rPr>
          <w:rFonts w:hint="eastAsia" w:ascii="Arial" w:hAnsi="Arial" w:cs="Arial"/>
          <w:color w:val="auto"/>
        </w:rPr>
        <w:t>五</w:t>
      </w:r>
      <w:r>
        <w:rPr>
          <w:rFonts w:ascii="Arial" w:hAnsi="Arial" w:cs="Arial"/>
          <w:color w:val="auto"/>
        </w:rPr>
        <w:t>档（8分）：一般性参数（未标注“</w:t>
      </w:r>
      <w:r>
        <w:rPr>
          <w:rFonts w:ascii="Arial" w:hAnsi="Arial" w:cs="Arial"/>
          <w:b/>
          <w:bCs/>
          <w:color w:val="auto"/>
        </w:rPr>
        <w:t>◆</w:t>
      </w:r>
      <w:r>
        <w:rPr>
          <w:rFonts w:ascii="Arial" w:hAnsi="Arial" w:cs="Arial"/>
          <w:color w:val="auto"/>
        </w:rPr>
        <w:t>”、“★”的技术参数）无负偏离得</w:t>
      </w:r>
      <w:r>
        <w:rPr>
          <w:rFonts w:hint="eastAsia" w:ascii="Arial" w:hAnsi="Arial" w:cs="Arial"/>
          <w:color w:val="auto"/>
        </w:rPr>
        <w:t>8</w:t>
      </w:r>
      <w:r>
        <w:rPr>
          <w:rFonts w:ascii="Arial" w:hAnsi="Arial" w:cs="Arial"/>
          <w:color w:val="auto"/>
        </w:rPr>
        <w:t>分。</w:t>
      </w:r>
    </w:p>
    <w:p>
      <w:pPr>
        <w:pStyle w:val="28"/>
        <w:pageBreakBefore w:val="0"/>
        <w:kinsoku/>
        <w:wordWrap/>
        <w:overflowPunct/>
        <w:topLinePunct w:val="0"/>
        <w:bidi w:val="0"/>
        <w:spacing w:after="0" w:line="288" w:lineRule="auto"/>
        <w:ind w:firstLine="420" w:firstLineChars="200"/>
        <w:rPr>
          <w:rFonts w:ascii="Arial" w:hAnsi="Arial" w:cs="Arial"/>
          <w:color w:val="auto"/>
        </w:rPr>
      </w:pPr>
      <w:bookmarkStart w:id="36" w:name="OLE_LINK4"/>
      <w:r>
        <w:rPr>
          <w:rFonts w:ascii="Arial" w:hAnsi="Arial" w:cs="Arial"/>
          <w:color w:val="auto"/>
        </w:rPr>
        <w:t>注：①投标文件对于采购需求技术参数的重要条款（</w:t>
      </w:r>
      <w:r>
        <w:rPr>
          <w:rFonts w:ascii="Arial" w:hAnsi="Arial" w:cs="Arial"/>
          <w:b/>
          <w:bCs/>
          <w:color w:val="auto"/>
        </w:rPr>
        <w:t>◆</w:t>
      </w:r>
      <w:r>
        <w:rPr>
          <w:rFonts w:ascii="Arial" w:hAnsi="Arial" w:cs="Arial"/>
          <w:color w:val="auto"/>
        </w:rPr>
        <w:t>条款）、有指定要求的条款需提供技术证明文件（提供扫描件加盖投标人公章）。技术证明文件指：①注册/备案检验报告（只需包括产品此次招标技术要求的相关内容）</w:t>
      </w:r>
      <w:r>
        <w:rPr>
          <w:rFonts w:hint="eastAsia" w:ascii="Arial" w:hAnsi="Arial" w:cs="Arial"/>
          <w:color w:val="auto"/>
        </w:rPr>
        <w:t>或</w:t>
      </w:r>
      <w:r>
        <w:rPr>
          <w:rFonts w:ascii="Arial" w:hAnsi="Arial" w:cs="Arial"/>
          <w:color w:val="auto"/>
        </w:rPr>
        <w:t>②产品彩页或第三方检测报告或印刷版技术白皮书或招标文件指定的其它证明材料（提供扫描件加盖投标人公章）（如有不一致的以注册/备案检验报告为准）。</w:t>
      </w:r>
    </w:p>
    <w:p>
      <w:pPr>
        <w:pStyle w:val="28"/>
        <w:pageBreakBefore w:val="0"/>
        <w:kinsoku/>
        <w:wordWrap/>
        <w:overflowPunct/>
        <w:topLinePunct w:val="0"/>
        <w:bidi w:val="0"/>
        <w:spacing w:after="0" w:line="288" w:lineRule="auto"/>
        <w:ind w:firstLine="420" w:firstLineChars="200"/>
        <w:rPr>
          <w:rFonts w:ascii="Arial" w:hAnsi="Arial" w:cs="Arial"/>
          <w:color w:val="auto"/>
        </w:rPr>
      </w:pPr>
      <w:r>
        <w:rPr>
          <w:rFonts w:ascii="Arial" w:hAnsi="Arial" w:cs="Arial"/>
          <w:color w:val="auto"/>
        </w:rPr>
        <w:t>②投标文件需对技术参数的重要条款（</w:t>
      </w:r>
      <w:r>
        <w:rPr>
          <w:rFonts w:ascii="Arial" w:hAnsi="Arial" w:cs="Arial"/>
          <w:b/>
          <w:bCs/>
          <w:color w:val="auto"/>
        </w:rPr>
        <w:t>◆</w:t>
      </w:r>
      <w:r>
        <w:rPr>
          <w:rFonts w:ascii="Arial" w:hAnsi="Arial" w:cs="Arial"/>
          <w:color w:val="auto"/>
        </w:rPr>
        <w:t>条款）、有指定要求的条款提供的技术证明文件，未按要求提供技术证明文件的，或响应文件与技术证明文件不符的视同负偏离。</w:t>
      </w:r>
    </w:p>
    <w:p>
      <w:pPr>
        <w:pStyle w:val="28"/>
        <w:pageBreakBefore w:val="0"/>
        <w:kinsoku/>
        <w:wordWrap/>
        <w:overflowPunct/>
        <w:topLinePunct w:val="0"/>
        <w:bidi w:val="0"/>
        <w:spacing w:after="0" w:line="288" w:lineRule="auto"/>
        <w:ind w:firstLine="420" w:firstLineChars="200"/>
        <w:rPr>
          <w:rFonts w:ascii="Arial" w:hAnsi="Arial" w:cs="Arial"/>
          <w:color w:val="auto"/>
        </w:rPr>
      </w:pPr>
      <w:r>
        <w:rPr>
          <w:rFonts w:ascii="Arial" w:hAnsi="Arial" w:cs="Arial"/>
          <w:color w:val="auto"/>
        </w:rPr>
        <w:t>③如投标文件中技术参数的重要条款（</w:t>
      </w:r>
      <w:r>
        <w:rPr>
          <w:rFonts w:ascii="Arial" w:hAnsi="Arial" w:cs="Arial"/>
          <w:b/>
          <w:bCs/>
          <w:color w:val="auto"/>
        </w:rPr>
        <w:t>◆</w:t>
      </w:r>
      <w:r>
        <w:rPr>
          <w:rFonts w:ascii="Arial" w:hAnsi="Arial" w:cs="Arial"/>
          <w:color w:val="auto"/>
        </w:rPr>
        <w:t>条款）为配置清单、技术要求时，则只需提供投标人承诺函并加盖投标人公章，如未提供视为负偏离，按单项内容计算。</w:t>
      </w:r>
    </w:p>
    <w:p>
      <w:pPr>
        <w:pStyle w:val="28"/>
        <w:pageBreakBefore w:val="0"/>
        <w:kinsoku/>
        <w:wordWrap/>
        <w:overflowPunct/>
        <w:topLinePunct w:val="0"/>
        <w:bidi w:val="0"/>
        <w:spacing w:after="0" w:line="288" w:lineRule="auto"/>
        <w:ind w:firstLine="420" w:firstLineChars="200"/>
        <w:rPr>
          <w:rFonts w:ascii="Arial" w:hAnsi="Arial" w:cs="Arial"/>
          <w:b/>
          <w:bCs/>
          <w:color w:val="auto"/>
        </w:rPr>
      </w:pPr>
      <w:r>
        <w:rPr>
          <w:rFonts w:ascii="Arial" w:hAnsi="Arial" w:cs="Arial"/>
          <w:color w:val="auto"/>
        </w:rPr>
        <w:t>④负偏离包括但不限于：配置不详，技术参数、技术要求不清楚或缺漏项或前后不一致。如应答时缺项，则该项作负偏离处理。投标文件对于采购需求技术参数的重要条款（</w:t>
      </w:r>
      <w:r>
        <w:rPr>
          <w:rFonts w:ascii="Arial" w:hAnsi="Arial" w:cs="Arial"/>
          <w:b/>
          <w:bCs/>
          <w:color w:val="auto"/>
        </w:rPr>
        <w:t>◆</w:t>
      </w:r>
      <w:r>
        <w:rPr>
          <w:rFonts w:ascii="Arial" w:hAnsi="Arial" w:cs="Arial"/>
          <w:color w:val="auto"/>
        </w:rPr>
        <w:t>条款）、有指定要求的条款需提供技术证明文件未提供对应证明文件的，视同为负偏离。）</w:t>
      </w:r>
    </w:p>
    <w:bookmarkEnd w:id="36"/>
    <w:p>
      <w:pPr>
        <w:pStyle w:val="28"/>
        <w:pageBreakBefore w:val="0"/>
        <w:kinsoku/>
        <w:wordWrap/>
        <w:overflowPunct/>
        <w:topLinePunct w:val="0"/>
        <w:bidi w:val="0"/>
        <w:spacing w:after="0" w:line="288" w:lineRule="auto"/>
        <w:ind w:firstLine="420" w:firstLineChars="200"/>
        <w:rPr>
          <w:rFonts w:ascii="Arial" w:hAnsi="Arial" w:cs="Arial"/>
          <w:b/>
          <w:bCs/>
          <w:color w:val="auto"/>
        </w:rPr>
      </w:pPr>
      <w:r>
        <w:rPr>
          <w:rFonts w:ascii="Arial" w:hAnsi="Arial" w:cs="Arial"/>
          <w:b/>
          <w:bCs/>
          <w:color w:val="auto"/>
        </w:rPr>
        <w:t>（2）配送及安装实施方案分……………………………………………………………8分</w:t>
      </w:r>
    </w:p>
    <w:p>
      <w:pPr>
        <w:pStyle w:val="28"/>
        <w:pageBreakBefore w:val="0"/>
        <w:kinsoku/>
        <w:wordWrap/>
        <w:overflowPunct/>
        <w:topLinePunct w:val="0"/>
        <w:bidi w:val="0"/>
        <w:spacing w:after="0" w:line="288" w:lineRule="auto"/>
        <w:ind w:firstLine="420" w:firstLineChars="200"/>
        <w:rPr>
          <w:rFonts w:ascii="Arial" w:hAnsi="Arial" w:cs="Arial"/>
          <w:color w:val="auto"/>
        </w:rPr>
      </w:pPr>
      <w:r>
        <w:rPr>
          <w:rFonts w:ascii="Arial" w:hAnsi="Arial" w:cs="Arial"/>
          <w:color w:val="auto"/>
        </w:rPr>
        <w:t xml:space="preserve"> 评标委员会对投标人提供的所投产品（核心产品）的配送及安装方案，包括但不仅限于①配送计划②安装方案③设备调试④设备试运行等内容进行评价：</w:t>
      </w:r>
    </w:p>
    <w:p>
      <w:pPr>
        <w:pStyle w:val="28"/>
        <w:pageBreakBefore w:val="0"/>
        <w:kinsoku/>
        <w:wordWrap/>
        <w:overflowPunct/>
        <w:topLinePunct w:val="0"/>
        <w:bidi w:val="0"/>
        <w:spacing w:after="0" w:line="288" w:lineRule="auto"/>
        <w:ind w:firstLine="420" w:firstLineChars="200"/>
        <w:rPr>
          <w:rFonts w:ascii="Arial" w:hAnsi="Arial" w:cs="Arial"/>
          <w:color w:val="auto"/>
        </w:rPr>
      </w:pPr>
      <w:r>
        <w:rPr>
          <w:rFonts w:ascii="Arial" w:hAnsi="Arial" w:cs="Arial"/>
          <w:color w:val="auto"/>
        </w:rPr>
        <w:t>一档（2分）配送及安装实施方案内容齐全，4项评审内容有1项经评审具有针对性、可操作性、且内容科学合理；</w:t>
      </w:r>
    </w:p>
    <w:p>
      <w:pPr>
        <w:pStyle w:val="28"/>
        <w:pageBreakBefore w:val="0"/>
        <w:kinsoku/>
        <w:wordWrap/>
        <w:overflowPunct/>
        <w:topLinePunct w:val="0"/>
        <w:bidi w:val="0"/>
        <w:spacing w:after="0" w:line="288" w:lineRule="auto"/>
        <w:ind w:firstLine="420" w:firstLineChars="200"/>
        <w:rPr>
          <w:rFonts w:ascii="Arial" w:hAnsi="Arial" w:cs="Arial"/>
          <w:color w:val="auto"/>
        </w:rPr>
      </w:pPr>
      <w:r>
        <w:rPr>
          <w:rFonts w:ascii="Arial" w:hAnsi="Arial" w:cs="Arial"/>
          <w:color w:val="auto"/>
        </w:rPr>
        <w:t>二档（4分）配送及安装实施方案内容齐全，4项评审内容有2项经评审具有针对性、可操作性、且内容科学合理；</w:t>
      </w:r>
    </w:p>
    <w:p>
      <w:pPr>
        <w:pStyle w:val="28"/>
        <w:pageBreakBefore w:val="0"/>
        <w:kinsoku/>
        <w:wordWrap/>
        <w:overflowPunct/>
        <w:topLinePunct w:val="0"/>
        <w:bidi w:val="0"/>
        <w:spacing w:after="0" w:line="288" w:lineRule="auto"/>
        <w:ind w:firstLine="420" w:firstLineChars="200"/>
        <w:rPr>
          <w:rFonts w:ascii="Arial" w:hAnsi="Arial" w:cs="Arial"/>
          <w:color w:val="auto"/>
        </w:rPr>
      </w:pPr>
      <w:r>
        <w:rPr>
          <w:rFonts w:ascii="Arial" w:hAnsi="Arial" w:cs="Arial"/>
          <w:color w:val="auto"/>
        </w:rPr>
        <w:t>三档（6分）配送及安装实施方案内容齐全，4项评审内容3项经评审具有针对性、可操作性、且内容科学合理；</w:t>
      </w:r>
    </w:p>
    <w:p>
      <w:pPr>
        <w:pStyle w:val="28"/>
        <w:pageBreakBefore w:val="0"/>
        <w:kinsoku/>
        <w:wordWrap/>
        <w:overflowPunct/>
        <w:topLinePunct w:val="0"/>
        <w:bidi w:val="0"/>
        <w:spacing w:after="0" w:line="288" w:lineRule="auto"/>
        <w:ind w:firstLine="420" w:firstLineChars="200"/>
        <w:rPr>
          <w:rFonts w:ascii="Arial" w:hAnsi="Arial" w:cs="Arial"/>
          <w:color w:val="auto"/>
        </w:rPr>
      </w:pPr>
      <w:r>
        <w:rPr>
          <w:rFonts w:ascii="Arial" w:hAnsi="Arial" w:cs="Arial"/>
          <w:color w:val="auto"/>
        </w:rPr>
        <w:t>四档（8分）配送及安装实施方案内容齐全，4项评审内容4项经评审具有针对性、可操作性、且内容科学合理。</w:t>
      </w:r>
    </w:p>
    <w:p>
      <w:pPr>
        <w:pStyle w:val="28"/>
        <w:pageBreakBefore w:val="0"/>
        <w:kinsoku/>
        <w:wordWrap/>
        <w:overflowPunct/>
        <w:topLinePunct w:val="0"/>
        <w:bidi w:val="0"/>
        <w:spacing w:after="0" w:line="288" w:lineRule="auto"/>
        <w:ind w:firstLine="420" w:firstLineChars="200"/>
        <w:rPr>
          <w:rFonts w:ascii="Arial" w:hAnsi="Arial" w:cs="Arial"/>
          <w:color w:val="auto"/>
        </w:rPr>
      </w:pPr>
      <w:bookmarkStart w:id="37" w:name="_Toc17214"/>
      <w:r>
        <w:rPr>
          <w:rFonts w:ascii="Arial" w:hAnsi="Arial" w:cs="Arial"/>
          <w:b/>
          <w:bCs/>
          <w:color w:val="auto"/>
        </w:rPr>
        <w:t>（3）售后服务分…………………………………………………………………9分</w:t>
      </w:r>
      <w:bookmarkEnd w:id="37"/>
    </w:p>
    <w:p>
      <w:pPr>
        <w:pStyle w:val="28"/>
        <w:pageBreakBefore w:val="0"/>
        <w:kinsoku/>
        <w:wordWrap/>
        <w:overflowPunct/>
        <w:topLinePunct w:val="0"/>
        <w:bidi w:val="0"/>
        <w:spacing w:after="0" w:line="288" w:lineRule="auto"/>
        <w:ind w:firstLine="420" w:firstLineChars="200"/>
        <w:rPr>
          <w:rFonts w:ascii="Arial" w:hAnsi="Arial" w:cs="Arial"/>
          <w:color w:val="auto"/>
        </w:rPr>
      </w:pPr>
      <w:bookmarkStart w:id="38" w:name="_Toc6080"/>
      <w:r>
        <w:rPr>
          <w:rFonts w:ascii="Arial" w:hAnsi="Arial" w:cs="Arial"/>
          <w:color w:val="auto"/>
        </w:rPr>
        <w:t>评标委员会对</w:t>
      </w:r>
      <w:r>
        <w:rPr>
          <w:rFonts w:hint="eastAsia" w:ascii="Arial" w:hAnsi="Arial" w:cs="Arial"/>
          <w:color w:val="auto"/>
        </w:rPr>
        <w:t>投</w:t>
      </w:r>
      <w:r>
        <w:rPr>
          <w:rFonts w:ascii="Arial" w:hAnsi="Arial" w:cs="Arial"/>
          <w:color w:val="auto"/>
        </w:rPr>
        <w:t xml:space="preserve">标人提供的所投产品（核心产品）的售后服务方案，包括但不仅限于①售后服务计划②售后服务人员配置③售后保障举措④应急预案等内容进行评价： </w:t>
      </w:r>
    </w:p>
    <w:p>
      <w:pPr>
        <w:pStyle w:val="28"/>
        <w:pageBreakBefore w:val="0"/>
        <w:kinsoku/>
        <w:wordWrap/>
        <w:overflowPunct/>
        <w:topLinePunct w:val="0"/>
        <w:bidi w:val="0"/>
        <w:spacing w:after="0" w:line="288" w:lineRule="auto"/>
        <w:ind w:firstLine="420" w:firstLineChars="200"/>
        <w:rPr>
          <w:rFonts w:ascii="Arial" w:hAnsi="Arial" w:cs="Arial"/>
          <w:color w:val="auto"/>
        </w:rPr>
      </w:pPr>
      <w:r>
        <w:rPr>
          <w:rFonts w:ascii="Arial" w:hAnsi="Arial" w:cs="Arial"/>
          <w:color w:val="auto"/>
        </w:rPr>
        <w:t>一档（2分）售后服务方案内容齐全，4项评审内容有1项经评审具有针对性、可操作性、且内容科学合理；</w:t>
      </w:r>
    </w:p>
    <w:p>
      <w:pPr>
        <w:pStyle w:val="28"/>
        <w:pageBreakBefore w:val="0"/>
        <w:kinsoku/>
        <w:wordWrap/>
        <w:overflowPunct/>
        <w:topLinePunct w:val="0"/>
        <w:bidi w:val="0"/>
        <w:spacing w:after="0" w:line="288" w:lineRule="auto"/>
        <w:ind w:firstLine="420" w:firstLineChars="200"/>
        <w:rPr>
          <w:rFonts w:ascii="Arial" w:hAnsi="Arial" w:cs="Arial"/>
          <w:color w:val="auto"/>
        </w:rPr>
      </w:pPr>
      <w:r>
        <w:rPr>
          <w:rFonts w:ascii="Arial" w:hAnsi="Arial" w:cs="Arial"/>
          <w:color w:val="auto"/>
        </w:rPr>
        <w:t>二档（4分）售后服务方案内容齐全，4项评审内容有2项经评审具有针对性、可操作性、且内容科学合理；</w:t>
      </w:r>
    </w:p>
    <w:p>
      <w:pPr>
        <w:pStyle w:val="28"/>
        <w:pageBreakBefore w:val="0"/>
        <w:kinsoku/>
        <w:wordWrap/>
        <w:overflowPunct/>
        <w:topLinePunct w:val="0"/>
        <w:bidi w:val="0"/>
        <w:spacing w:after="0" w:line="288" w:lineRule="auto"/>
        <w:ind w:firstLine="420" w:firstLineChars="200"/>
        <w:rPr>
          <w:rFonts w:ascii="Arial" w:hAnsi="Arial" w:cs="Arial"/>
          <w:color w:val="auto"/>
        </w:rPr>
      </w:pPr>
      <w:r>
        <w:rPr>
          <w:rFonts w:ascii="Arial" w:hAnsi="Arial" w:cs="Arial"/>
          <w:color w:val="auto"/>
        </w:rPr>
        <w:t>三档（6分）售后服务方案内容齐全，4项评审内容3项经评审具有针对性、可操作性、且内容科学合理；</w:t>
      </w:r>
    </w:p>
    <w:p>
      <w:pPr>
        <w:pStyle w:val="28"/>
        <w:pageBreakBefore w:val="0"/>
        <w:kinsoku/>
        <w:wordWrap/>
        <w:overflowPunct/>
        <w:topLinePunct w:val="0"/>
        <w:bidi w:val="0"/>
        <w:spacing w:after="0" w:line="288" w:lineRule="auto"/>
        <w:ind w:firstLine="420" w:firstLineChars="200"/>
        <w:rPr>
          <w:rFonts w:ascii="Arial" w:hAnsi="Arial" w:cs="Arial"/>
          <w:color w:val="auto"/>
        </w:rPr>
      </w:pPr>
      <w:r>
        <w:rPr>
          <w:rFonts w:ascii="Arial" w:hAnsi="Arial" w:cs="Arial"/>
          <w:color w:val="auto"/>
        </w:rPr>
        <w:t>四档（9分）售后服务方案内容齐全，4项评审内容4项经评审具有针对性、可操作性、且内容科学合理.</w:t>
      </w:r>
    </w:p>
    <w:p>
      <w:pPr>
        <w:pStyle w:val="28"/>
        <w:pageBreakBefore w:val="0"/>
        <w:kinsoku/>
        <w:wordWrap/>
        <w:overflowPunct/>
        <w:topLinePunct w:val="0"/>
        <w:bidi w:val="0"/>
        <w:spacing w:after="0" w:line="288" w:lineRule="auto"/>
        <w:ind w:firstLine="420" w:firstLineChars="200"/>
        <w:rPr>
          <w:rFonts w:ascii="Arial" w:hAnsi="Arial" w:cs="Arial"/>
          <w:b/>
          <w:bCs/>
          <w:color w:val="auto"/>
        </w:rPr>
      </w:pPr>
      <w:r>
        <w:rPr>
          <w:rFonts w:ascii="Arial" w:hAnsi="Arial" w:cs="Arial"/>
          <w:b/>
          <w:bCs/>
          <w:color w:val="auto"/>
        </w:rPr>
        <w:t>3.商务评审………………………………………………………………………………13分</w:t>
      </w:r>
    </w:p>
    <w:bookmarkEnd w:id="38"/>
    <w:p>
      <w:pPr>
        <w:pStyle w:val="28"/>
        <w:pageBreakBefore w:val="0"/>
        <w:kinsoku/>
        <w:wordWrap/>
        <w:overflowPunct/>
        <w:topLinePunct w:val="0"/>
        <w:bidi w:val="0"/>
        <w:spacing w:after="0" w:line="288" w:lineRule="auto"/>
        <w:ind w:firstLine="420" w:firstLineChars="200"/>
        <w:rPr>
          <w:rFonts w:ascii="Arial" w:hAnsi="Arial" w:cs="Arial"/>
          <w:b/>
          <w:bCs/>
          <w:color w:val="auto"/>
        </w:rPr>
      </w:pPr>
      <w:r>
        <w:rPr>
          <w:rFonts w:ascii="Arial" w:hAnsi="Arial" w:cs="Arial"/>
          <w:b/>
          <w:bCs/>
          <w:color w:val="auto"/>
        </w:rPr>
        <w:t>（1）业绩分………………………………………………………………………………6分</w:t>
      </w:r>
    </w:p>
    <w:p>
      <w:pPr>
        <w:pStyle w:val="28"/>
        <w:pageBreakBefore w:val="0"/>
        <w:kinsoku/>
        <w:wordWrap/>
        <w:overflowPunct/>
        <w:topLinePunct w:val="0"/>
        <w:bidi w:val="0"/>
        <w:spacing w:after="0" w:line="288" w:lineRule="auto"/>
        <w:ind w:firstLine="420" w:firstLineChars="200"/>
        <w:rPr>
          <w:rFonts w:ascii="Arial" w:hAnsi="Arial" w:cs="Arial"/>
          <w:color w:val="auto"/>
        </w:rPr>
      </w:pPr>
      <w:r>
        <w:rPr>
          <w:rFonts w:ascii="Arial" w:hAnsi="Arial" w:cs="Arial"/>
          <w:color w:val="auto"/>
        </w:rPr>
        <w:t>投标人或生产厂家2021年以来所投产品（核心产品）同型号设备的销售业绩，每提供一份供货合同或中标通知书复印件计2分，满分6分，没有不计分。合同复印件如有多页需带有骑缝章，否则不计分。</w:t>
      </w:r>
    </w:p>
    <w:p>
      <w:pPr>
        <w:pStyle w:val="28"/>
        <w:pageBreakBefore w:val="0"/>
        <w:kinsoku/>
        <w:wordWrap/>
        <w:overflowPunct/>
        <w:topLinePunct w:val="0"/>
        <w:bidi w:val="0"/>
        <w:spacing w:after="0" w:line="288" w:lineRule="auto"/>
        <w:ind w:firstLine="420" w:firstLineChars="200"/>
        <w:rPr>
          <w:rFonts w:ascii="Arial" w:hAnsi="Arial" w:cs="Arial"/>
          <w:b/>
          <w:bCs/>
          <w:color w:val="auto"/>
        </w:rPr>
      </w:pPr>
      <w:r>
        <w:rPr>
          <w:rFonts w:ascii="Arial" w:hAnsi="Arial" w:cs="Arial"/>
          <w:b/>
          <w:bCs/>
          <w:color w:val="auto"/>
        </w:rPr>
        <w:t>（2）质保期………………………………………………………………………………5分</w:t>
      </w:r>
    </w:p>
    <w:p>
      <w:pPr>
        <w:pStyle w:val="28"/>
        <w:pageBreakBefore w:val="0"/>
        <w:kinsoku/>
        <w:wordWrap/>
        <w:overflowPunct/>
        <w:topLinePunct w:val="0"/>
        <w:bidi w:val="0"/>
        <w:spacing w:after="0" w:line="288" w:lineRule="auto"/>
        <w:ind w:firstLine="420" w:firstLineChars="200"/>
        <w:rPr>
          <w:rFonts w:ascii="Arial" w:hAnsi="Arial" w:cs="Arial"/>
          <w:color w:val="auto"/>
        </w:rPr>
      </w:pPr>
      <w:bookmarkStart w:id="39" w:name="OLE_LINK1"/>
      <w:r>
        <w:rPr>
          <w:rFonts w:ascii="Arial" w:hAnsi="Arial" w:cs="Arial"/>
          <w:color w:val="auto"/>
        </w:rPr>
        <w:t>在满足招标文件要求前提下，</w:t>
      </w:r>
      <w:bookmarkEnd w:id="39"/>
      <w:r>
        <w:rPr>
          <w:rFonts w:hint="eastAsia" w:ascii="Arial" w:hAnsi="Arial" w:cs="Arial"/>
          <w:color w:val="auto"/>
          <w:lang w:val="en-US" w:eastAsia="zh-CN"/>
        </w:rPr>
        <w:t>得基本分3分，</w:t>
      </w:r>
      <w:r>
        <w:rPr>
          <w:rFonts w:ascii="Arial" w:hAnsi="Arial" w:cs="Arial"/>
          <w:color w:val="auto"/>
        </w:rPr>
        <w:t>所投产品（核心产品）每延长一年投标设备生产厂家整机全保的计1分，最多</w:t>
      </w:r>
      <w:r>
        <w:rPr>
          <w:rFonts w:hint="eastAsia" w:ascii="Arial" w:hAnsi="Arial" w:cs="Arial"/>
          <w:color w:val="auto"/>
          <w:lang w:val="en-US" w:eastAsia="zh-CN"/>
        </w:rPr>
        <w:t>加2</w:t>
      </w:r>
      <w:r>
        <w:rPr>
          <w:rFonts w:ascii="Arial" w:hAnsi="Arial" w:cs="Arial"/>
          <w:color w:val="auto"/>
        </w:rPr>
        <w:t>分。</w:t>
      </w:r>
      <w:r>
        <w:rPr>
          <w:rFonts w:hint="eastAsia" w:ascii="Arial" w:hAnsi="Arial" w:cs="Arial"/>
          <w:color w:val="auto"/>
          <w:lang w:val="en-US" w:eastAsia="zh-CN"/>
        </w:rPr>
        <w:t>本项满分5分。</w:t>
      </w:r>
      <w:r>
        <w:rPr>
          <w:rFonts w:ascii="Arial" w:hAnsi="Arial" w:cs="Arial"/>
          <w:color w:val="auto"/>
        </w:rPr>
        <w:t>投标人必须在投标文件中做出相应承诺，如无相应承诺函这此项不计分。维保费用应包含在投标总价中，采购人不再支付任何额外费用。</w:t>
      </w:r>
    </w:p>
    <w:p>
      <w:pPr>
        <w:pStyle w:val="28"/>
        <w:pageBreakBefore w:val="0"/>
        <w:kinsoku/>
        <w:wordWrap/>
        <w:overflowPunct/>
        <w:topLinePunct w:val="0"/>
        <w:bidi w:val="0"/>
        <w:spacing w:after="0" w:line="288" w:lineRule="auto"/>
        <w:ind w:firstLine="420" w:firstLineChars="200"/>
        <w:rPr>
          <w:rFonts w:ascii="Arial" w:hAnsi="Arial" w:cs="Arial"/>
          <w:b/>
          <w:bCs/>
          <w:color w:val="auto"/>
        </w:rPr>
      </w:pPr>
      <w:r>
        <w:rPr>
          <w:rFonts w:ascii="Arial" w:hAnsi="Arial" w:cs="Arial"/>
          <w:b/>
          <w:bCs/>
          <w:color w:val="auto"/>
        </w:rPr>
        <w:t>（3）政策功能分…………………………………………………………………………2分</w:t>
      </w:r>
    </w:p>
    <w:p>
      <w:pPr>
        <w:pStyle w:val="28"/>
        <w:pageBreakBefore w:val="0"/>
        <w:kinsoku/>
        <w:wordWrap/>
        <w:overflowPunct/>
        <w:topLinePunct w:val="0"/>
        <w:bidi w:val="0"/>
        <w:spacing w:after="0" w:line="288" w:lineRule="auto"/>
        <w:ind w:firstLine="420" w:firstLineChars="200"/>
        <w:rPr>
          <w:rFonts w:ascii="Arial" w:hAnsi="Arial" w:cs="Arial"/>
          <w:color w:val="auto"/>
        </w:rPr>
      </w:pPr>
      <w:r>
        <w:rPr>
          <w:rFonts w:ascii="Arial" w:hAnsi="Arial" w:cs="Arial"/>
          <w:color w:val="auto"/>
        </w:rPr>
        <w:t>①节能产品分（1分）供应商投标产品属于节能产品政府采购品目清单范围内优先采购的，每有一项得0.2分，最多得1分。采购内容中的强制产品不加分。</w:t>
      </w:r>
    </w:p>
    <w:p>
      <w:pPr>
        <w:pStyle w:val="28"/>
        <w:pageBreakBefore w:val="0"/>
        <w:kinsoku/>
        <w:wordWrap/>
        <w:overflowPunct/>
        <w:topLinePunct w:val="0"/>
        <w:bidi w:val="0"/>
        <w:spacing w:after="0" w:line="288" w:lineRule="auto"/>
        <w:ind w:firstLine="420" w:firstLineChars="200"/>
        <w:rPr>
          <w:rFonts w:ascii="Arial" w:hAnsi="Arial" w:cs="Arial"/>
          <w:color w:val="auto"/>
        </w:rPr>
      </w:pPr>
      <w:r>
        <w:rPr>
          <w:rFonts w:ascii="Arial" w:hAnsi="Arial" w:cs="Arial"/>
          <w:color w:val="auto"/>
        </w:rPr>
        <w:t>②环境标志产品分（1分）供应商投标产品属于环境标志产品政府采购品目清单范围内优先采购的，每有一项得0.2分，最多得分。</w:t>
      </w:r>
    </w:p>
    <w:p>
      <w:pPr>
        <w:pStyle w:val="28"/>
        <w:pageBreakBefore w:val="0"/>
        <w:kinsoku/>
        <w:wordWrap/>
        <w:overflowPunct/>
        <w:topLinePunct w:val="0"/>
        <w:bidi w:val="0"/>
        <w:spacing w:after="0" w:line="288" w:lineRule="auto"/>
        <w:ind w:firstLine="420" w:firstLineChars="200"/>
        <w:rPr>
          <w:rFonts w:ascii="Arial" w:hAnsi="Arial" w:cs="Arial"/>
          <w:color w:val="auto"/>
        </w:rPr>
      </w:pPr>
      <w:r>
        <w:rPr>
          <w:rFonts w:ascii="Arial" w:hAnsi="Arial" w:cs="Arial"/>
          <w:color w:val="auto"/>
        </w:rPr>
        <w:t>（三）、总得分＝1+2+3</w:t>
      </w:r>
    </w:p>
    <w:p>
      <w:pPr>
        <w:pStyle w:val="28"/>
        <w:pageBreakBefore w:val="0"/>
        <w:kinsoku/>
        <w:wordWrap/>
        <w:overflowPunct/>
        <w:topLinePunct w:val="0"/>
        <w:bidi w:val="0"/>
        <w:spacing w:after="0" w:line="288" w:lineRule="auto"/>
        <w:ind w:firstLine="420" w:firstLineChars="200"/>
        <w:rPr>
          <w:rFonts w:ascii="Arial" w:hAnsi="Arial" w:cs="Arial"/>
          <w:color w:val="auto"/>
        </w:rPr>
      </w:pPr>
      <w:bookmarkStart w:id="40" w:name="_Toc30196"/>
      <w:r>
        <w:rPr>
          <w:rFonts w:ascii="Arial" w:hAnsi="Arial" w:cs="Arial"/>
          <w:color w:val="auto"/>
        </w:rPr>
        <w:t>三、中标候选人推荐原则</w:t>
      </w:r>
      <w:bookmarkEnd w:id="40"/>
    </w:p>
    <w:p>
      <w:pPr>
        <w:pStyle w:val="28"/>
        <w:pageBreakBefore w:val="0"/>
        <w:kinsoku/>
        <w:wordWrap/>
        <w:overflowPunct/>
        <w:topLinePunct w:val="0"/>
        <w:bidi w:val="0"/>
        <w:spacing w:after="0" w:line="288" w:lineRule="auto"/>
        <w:ind w:firstLine="420" w:firstLineChars="200"/>
        <w:rPr>
          <w:rFonts w:ascii="Arial" w:hAnsi="Arial" w:cs="Arial"/>
          <w:color w:val="auto"/>
        </w:rPr>
      </w:pPr>
      <w:r>
        <w:rPr>
          <w:rFonts w:ascii="Arial" w:hAnsi="Arial" w:cs="Arial"/>
          <w:color w:val="auto"/>
        </w:rPr>
        <w:t>（1）评标委员会根据综合得分由高到低排列次序，若得分相同时，按投标报价由低到高顺序排列；得分相同且投标报价也相同的，由评标委员会按照售后服务方案得分由高到低顺序排列。</w:t>
      </w:r>
    </w:p>
    <w:p>
      <w:pPr>
        <w:pStyle w:val="28"/>
        <w:pageBreakBefore w:val="0"/>
        <w:kinsoku/>
        <w:wordWrap/>
        <w:overflowPunct/>
        <w:topLinePunct w:val="0"/>
        <w:bidi w:val="0"/>
        <w:spacing w:after="0" w:line="288" w:lineRule="auto"/>
        <w:ind w:firstLine="420" w:firstLineChars="200"/>
        <w:rPr>
          <w:rFonts w:ascii="Arial" w:hAnsi="Arial" w:cs="Arial"/>
          <w:color w:val="auto"/>
        </w:rPr>
      </w:pPr>
      <w:r>
        <w:rPr>
          <w:rFonts w:ascii="Arial" w:hAnsi="Arial" w:cs="Arial"/>
          <w:color w:val="auto"/>
        </w:rPr>
        <w:t>（2）评标委员会可推荐前三名为中标候选人，采购人应当确定评标委员会推荐排名第一的中标候选人为中标人。</w:t>
      </w:r>
    </w:p>
    <w:p>
      <w:pPr>
        <w:pStyle w:val="28"/>
        <w:pageBreakBefore w:val="0"/>
        <w:kinsoku/>
        <w:wordWrap/>
        <w:overflowPunct/>
        <w:topLinePunct w:val="0"/>
        <w:bidi w:val="0"/>
        <w:spacing w:after="0" w:line="288" w:lineRule="auto"/>
        <w:ind w:firstLine="420" w:firstLineChars="200"/>
        <w:rPr>
          <w:rFonts w:ascii="Arial" w:hAnsi="Arial" w:cs="Arial"/>
          <w:color w:val="auto"/>
        </w:rPr>
      </w:pPr>
      <w:r>
        <w:rPr>
          <w:rFonts w:ascii="Arial" w:hAnsi="Arial" w:cs="Arial"/>
          <w:color w:val="auto"/>
        </w:rPr>
        <w:t>（3）排名第一的中标候选人放弃中标、因不可抗力提出不能履行合同，或者招标文件规定应当提交履约保证金而在规定的期限内未能提交的，或因失信行为被取消中标候选人资格的，采购人可以确定排名第二的中标候选人为中标人，并依此类推。</w:t>
      </w:r>
    </w:p>
    <w:p>
      <w:pPr>
        <w:pStyle w:val="28"/>
        <w:pageBreakBefore w:val="0"/>
        <w:kinsoku/>
        <w:wordWrap/>
        <w:overflowPunct/>
        <w:topLinePunct w:val="0"/>
        <w:bidi w:val="0"/>
        <w:spacing w:after="0" w:line="288" w:lineRule="auto"/>
        <w:ind w:firstLine="420" w:firstLineChars="200"/>
        <w:rPr>
          <w:rFonts w:ascii="Arial" w:hAnsi="Arial" w:cs="Arial"/>
          <w:b/>
          <w:bCs/>
          <w:color w:val="auto"/>
        </w:rPr>
      </w:pPr>
      <w:r>
        <w:rPr>
          <w:rFonts w:ascii="Arial" w:hAnsi="Arial" w:cs="Arial"/>
          <w:b/>
          <w:bCs/>
          <w:color w:val="auto"/>
        </w:rPr>
        <w:t>四、特别说明</w:t>
      </w:r>
    </w:p>
    <w:p>
      <w:pPr>
        <w:pageBreakBefore w:val="0"/>
        <w:kinsoku/>
        <w:wordWrap/>
        <w:overflowPunct/>
        <w:topLinePunct w:val="0"/>
        <w:bidi w:val="0"/>
        <w:spacing w:after="0" w:line="288" w:lineRule="auto"/>
        <w:ind w:left="-12" w:leftChars="-6" w:firstLine="420" w:firstLineChars="200"/>
        <w:rPr>
          <w:rFonts w:ascii="Arial" w:hAnsi="Arial" w:cs="Arial"/>
          <w:b/>
          <w:bCs/>
          <w:szCs w:val="21"/>
          <w:u w:val="single"/>
        </w:rPr>
      </w:pPr>
      <w:r>
        <w:rPr>
          <w:rFonts w:ascii="Arial" w:hAnsi="Arial" w:cs="Arial"/>
          <w:b/>
          <w:bCs/>
          <w:color w:val="auto"/>
          <w:szCs w:val="21"/>
          <w:u w:val="single"/>
        </w:rPr>
        <w:t>项目评审时，评标委员会认为投标人的报价明显低于其他通过符合性审查投标人的报价，有可能影响产品质量或者不能诚信履约的，其应当在评标现场合理的时间内提供书面说明，必要时提交相关证明材料；投标人不能证明其报价合理性的，评标委员会将其作为无效投标处理。</w:t>
      </w:r>
      <w:r>
        <w:rPr>
          <w:rFonts w:ascii="Arial" w:hAnsi="Arial" w:cs="Arial"/>
          <w:b/>
          <w:bCs/>
          <w:szCs w:val="21"/>
          <w:u w:val="single"/>
        </w:rPr>
        <w:br w:type="page"/>
      </w:r>
    </w:p>
    <w:p>
      <w:pPr>
        <w:pageBreakBefore w:val="0"/>
        <w:kinsoku/>
        <w:wordWrap/>
        <w:overflowPunct/>
        <w:topLinePunct w:val="0"/>
        <w:bidi w:val="0"/>
        <w:spacing w:after="0" w:line="288" w:lineRule="auto"/>
        <w:ind w:left="-12" w:leftChars="-6" w:firstLine="420" w:firstLineChars="200"/>
        <w:rPr>
          <w:rFonts w:ascii="Arial" w:hAnsi="Arial" w:cs="Arial"/>
          <w:szCs w:val="21"/>
        </w:rPr>
      </w:pPr>
      <w:r>
        <w:rPr>
          <w:rFonts w:ascii="Arial" w:hAnsi="Arial" w:cs="Arial"/>
          <w:szCs w:val="21"/>
        </w:rPr>
        <w:t>附表</w:t>
      </w:r>
    </w:p>
    <w:p>
      <w:pPr>
        <w:pageBreakBefore w:val="0"/>
        <w:kinsoku/>
        <w:wordWrap/>
        <w:overflowPunct/>
        <w:topLinePunct w:val="0"/>
        <w:bidi w:val="0"/>
        <w:spacing w:after="0" w:line="288" w:lineRule="auto"/>
        <w:ind w:left="1871" w:firstLine="1680" w:firstLineChars="600"/>
        <w:rPr>
          <w:rFonts w:ascii="Arial" w:hAnsi="Arial" w:cs="Arial"/>
          <w:b/>
          <w:bCs/>
          <w:sz w:val="28"/>
          <w:szCs w:val="28"/>
        </w:rPr>
      </w:pPr>
      <w:r>
        <w:rPr>
          <w:rFonts w:ascii="Arial" w:hAnsi="Arial" w:cs="Arial"/>
          <w:b/>
          <w:bCs/>
          <w:sz w:val="28"/>
          <w:szCs w:val="28"/>
        </w:rPr>
        <w:t>中小微企业划型标准</w:t>
      </w:r>
    </w:p>
    <w:tbl>
      <w:tblPr>
        <w:tblStyle w:val="49"/>
        <w:tblW w:w="9223" w:type="dxa"/>
        <w:jc w:val="center"/>
        <w:tblLayout w:type="fixed"/>
        <w:tblCellMar>
          <w:top w:w="0" w:type="dxa"/>
          <w:left w:w="108" w:type="dxa"/>
          <w:bottom w:w="0" w:type="dxa"/>
          <w:right w:w="108" w:type="dxa"/>
        </w:tblCellMar>
      </w:tblPr>
      <w:tblGrid>
        <w:gridCol w:w="1704"/>
        <w:gridCol w:w="1702"/>
        <w:gridCol w:w="1079"/>
        <w:gridCol w:w="1920"/>
        <w:gridCol w:w="1670"/>
        <w:gridCol w:w="1148"/>
      </w:tblGrid>
      <w:tr>
        <w:tblPrEx>
          <w:tblCellMar>
            <w:top w:w="0" w:type="dxa"/>
            <w:left w:w="108" w:type="dxa"/>
            <w:bottom w:w="0" w:type="dxa"/>
            <w:right w:w="108" w:type="dxa"/>
          </w:tblCellMar>
        </w:tblPrEx>
        <w:trPr>
          <w:trHeight w:val="90"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行业名称</w:t>
            </w:r>
          </w:p>
        </w:tc>
        <w:tc>
          <w:tcPr>
            <w:tcW w:w="1702"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指标名称</w:t>
            </w:r>
          </w:p>
        </w:tc>
        <w:tc>
          <w:tcPr>
            <w:tcW w:w="1079"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计量单位</w:t>
            </w:r>
          </w:p>
        </w:tc>
        <w:tc>
          <w:tcPr>
            <w:tcW w:w="1920"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中型</w:t>
            </w:r>
          </w:p>
        </w:tc>
        <w:tc>
          <w:tcPr>
            <w:tcW w:w="1670"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小型</w:t>
            </w:r>
          </w:p>
        </w:tc>
        <w:tc>
          <w:tcPr>
            <w:tcW w:w="1148"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微型</w:t>
            </w:r>
          </w:p>
        </w:tc>
      </w:tr>
      <w:tr>
        <w:tblPrEx>
          <w:tblCellMar>
            <w:top w:w="0" w:type="dxa"/>
            <w:left w:w="108" w:type="dxa"/>
            <w:bottom w:w="0" w:type="dxa"/>
            <w:right w:w="108" w:type="dxa"/>
          </w:tblCellMar>
        </w:tblPrEx>
        <w:trPr>
          <w:trHeight w:val="90" w:hRule="atLeast"/>
          <w:jc w:val="center"/>
        </w:trPr>
        <w:tc>
          <w:tcPr>
            <w:tcW w:w="1704"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农、林、牧、渔</w:t>
            </w:r>
          </w:p>
        </w:tc>
        <w:tc>
          <w:tcPr>
            <w:tcW w:w="1702"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营业收入（Y）</w:t>
            </w:r>
          </w:p>
        </w:tc>
        <w:tc>
          <w:tcPr>
            <w:tcW w:w="1079"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万元</w:t>
            </w:r>
          </w:p>
        </w:tc>
        <w:tc>
          <w:tcPr>
            <w:tcW w:w="192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500</w:t>
            </w:r>
            <w:r>
              <w:rPr>
                <w:rFonts w:hint="eastAsia" w:ascii="Arial" w:hAnsi="Arial" w:cs="Arial"/>
                <w:bCs/>
                <w:kern w:val="0"/>
                <w:szCs w:val="21"/>
              </w:rPr>
              <w:t>≤</w:t>
            </w:r>
            <w:r>
              <w:rPr>
                <w:rFonts w:ascii="Arial" w:hAnsi="Arial" w:cs="Arial"/>
                <w:bCs/>
                <w:kern w:val="0"/>
                <w:szCs w:val="21"/>
              </w:rPr>
              <w:t>Y＜20000</w:t>
            </w:r>
          </w:p>
        </w:tc>
        <w:tc>
          <w:tcPr>
            <w:tcW w:w="167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50</w:t>
            </w:r>
            <w:r>
              <w:rPr>
                <w:rFonts w:hint="eastAsia" w:ascii="Arial" w:hAnsi="Arial" w:cs="Arial"/>
                <w:bCs/>
                <w:kern w:val="0"/>
                <w:szCs w:val="21"/>
              </w:rPr>
              <w:t>≤</w:t>
            </w:r>
            <w:r>
              <w:rPr>
                <w:rFonts w:ascii="Arial" w:hAnsi="Arial" w:cs="Arial"/>
                <w:bCs/>
                <w:kern w:val="0"/>
                <w:szCs w:val="21"/>
              </w:rPr>
              <w:t>Y＜500</w:t>
            </w:r>
          </w:p>
        </w:tc>
        <w:tc>
          <w:tcPr>
            <w:tcW w:w="1148"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Y＜50</w:t>
            </w:r>
          </w:p>
        </w:tc>
      </w:tr>
      <w:tr>
        <w:tblPrEx>
          <w:tblCellMar>
            <w:top w:w="0" w:type="dxa"/>
            <w:left w:w="108" w:type="dxa"/>
            <w:bottom w:w="0" w:type="dxa"/>
            <w:right w:w="108" w:type="dxa"/>
          </w:tblCellMar>
        </w:tblPrEx>
        <w:trPr>
          <w:trHeight w:val="90" w:hRule="atLeast"/>
          <w:jc w:val="center"/>
        </w:trPr>
        <w:tc>
          <w:tcPr>
            <w:tcW w:w="1704" w:type="dxa"/>
            <w:vMerge w:val="restart"/>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工业</w:t>
            </w:r>
          </w:p>
        </w:tc>
        <w:tc>
          <w:tcPr>
            <w:tcW w:w="1702"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从业人员（X）</w:t>
            </w:r>
          </w:p>
        </w:tc>
        <w:tc>
          <w:tcPr>
            <w:tcW w:w="1079"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人</w:t>
            </w:r>
          </w:p>
        </w:tc>
        <w:tc>
          <w:tcPr>
            <w:tcW w:w="192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300</w:t>
            </w:r>
            <w:r>
              <w:rPr>
                <w:rFonts w:hint="eastAsia" w:ascii="Arial" w:hAnsi="Arial" w:cs="Arial"/>
                <w:bCs/>
                <w:kern w:val="0"/>
                <w:szCs w:val="21"/>
              </w:rPr>
              <w:t>≤</w:t>
            </w:r>
            <w:r>
              <w:rPr>
                <w:rFonts w:ascii="Arial" w:hAnsi="Arial" w:cs="Arial"/>
                <w:bCs/>
                <w:kern w:val="0"/>
                <w:szCs w:val="21"/>
              </w:rPr>
              <w:t>X＜1000</w:t>
            </w:r>
          </w:p>
        </w:tc>
        <w:tc>
          <w:tcPr>
            <w:tcW w:w="167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20</w:t>
            </w:r>
            <w:r>
              <w:rPr>
                <w:rFonts w:hint="eastAsia" w:ascii="Arial" w:hAnsi="Arial" w:cs="Arial"/>
                <w:bCs/>
                <w:kern w:val="0"/>
                <w:szCs w:val="21"/>
              </w:rPr>
              <w:t>≤</w:t>
            </w:r>
            <w:r>
              <w:rPr>
                <w:rFonts w:ascii="Arial" w:hAnsi="Arial" w:cs="Arial"/>
                <w:bCs/>
                <w:kern w:val="0"/>
                <w:szCs w:val="21"/>
              </w:rPr>
              <w:t>X＜300</w:t>
            </w:r>
          </w:p>
        </w:tc>
        <w:tc>
          <w:tcPr>
            <w:tcW w:w="1148"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X＜20</w:t>
            </w:r>
          </w:p>
        </w:tc>
      </w:tr>
      <w:tr>
        <w:tblPrEx>
          <w:tblCellMar>
            <w:top w:w="0" w:type="dxa"/>
            <w:left w:w="108" w:type="dxa"/>
            <w:bottom w:w="0" w:type="dxa"/>
            <w:right w:w="108" w:type="dxa"/>
          </w:tblCellMar>
        </w:tblPrEx>
        <w:trPr>
          <w:trHeight w:val="90" w:hRule="atLeast"/>
          <w:jc w:val="center"/>
        </w:trPr>
        <w:tc>
          <w:tcPr>
            <w:tcW w:w="1704"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p>
        </w:tc>
        <w:tc>
          <w:tcPr>
            <w:tcW w:w="1702"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营业收入（Y）</w:t>
            </w:r>
          </w:p>
        </w:tc>
        <w:tc>
          <w:tcPr>
            <w:tcW w:w="1079"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万元</w:t>
            </w:r>
          </w:p>
        </w:tc>
        <w:tc>
          <w:tcPr>
            <w:tcW w:w="192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2000</w:t>
            </w:r>
            <w:r>
              <w:rPr>
                <w:rFonts w:hint="eastAsia" w:ascii="Arial" w:hAnsi="Arial" w:cs="Arial"/>
                <w:bCs/>
                <w:kern w:val="0"/>
                <w:szCs w:val="21"/>
              </w:rPr>
              <w:t>≤</w:t>
            </w:r>
            <w:r>
              <w:rPr>
                <w:rFonts w:ascii="Arial" w:hAnsi="Arial" w:cs="Arial"/>
                <w:bCs/>
                <w:kern w:val="0"/>
                <w:szCs w:val="21"/>
              </w:rPr>
              <w:t>Y＜40000</w:t>
            </w:r>
          </w:p>
        </w:tc>
        <w:tc>
          <w:tcPr>
            <w:tcW w:w="167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300</w:t>
            </w:r>
            <w:r>
              <w:rPr>
                <w:rFonts w:hint="eastAsia" w:ascii="Arial" w:hAnsi="Arial" w:cs="Arial"/>
                <w:bCs/>
                <w:kern w:val="0"/>
                <w:szCs w:val="21"/>
              </w:rPr>
              <w:t>≤</w:t>
            </w:r>
            <w:r>
              <w:rPr>
                <w:rFonts w:ascii="Arial" w:hAnsi="Arial" w:cs="Arial"/>
                <w:bCs/>
                <w:kern w:val="0"/>
                <w:szCs w:val="21"/>
              </w:rPr>
              <w:t>Y＜2000</w:t>
            </w:r>
          </w:p>
        </w:tc>
        <w:tc>
          <w:tcPr>
            <w:tcW w:w="1148"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Y＜300</w:t>
            </w:r>
          </w:p>
        </w:tc>
      </w:tr>
      <w:tr>
        <w:tblPrEx>
          <w:tblCellMar>
            <w:top w:w="0" w:type="dxa"/>
            <w:left w:w="108" w:type="dxa"/>
            <w:bottom w:w="0" w:type="dxa"/>
            <w:right w:w="108" w:type="dxa"/>
          </w:tblCellMar>
        </w:tblPrEx>
        <w:trPr>
          <w:trHeight w:val="90" w:hRule="atLeast"/>
          <w:jc w:val="center"/>
        </w:trPr>
        <w:tc>
          <w:tcPr>
            <w:tcW w:w="1704" w:type="dxa"/>
            <w:vMerge w:val="restart"/>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建筑业</w:t>
            </w:r>
          </w:p>
        </w:tc>
        <w:tc>
          <w:tcPr>
            <w:tcW w:w="1702"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营业收入（Y）</w:t>
            </w:r>
          </w:p>
        </w:tc>
        <w:tc>
          <w:tcPr>
            <w:tcW w:w="1079"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万元</w:t>
            </w:r>
          </w:p>
        </w:tc>
        <w:tc>
          <w:tcPr>
            <w:tcW w:w="192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6000</w:t>
            </w:r>
            <w:r>
              <w:rPr>
                <w:rFonts w:hint="eastAsia" w:ascii="Arial" w:hAnsi="Arial" w:cs="Arial"/>
                <w:bCs/>
                <w:kern w:val="0"/>
                <w:szCs w:val="21"/>
              </w:rPr>
              <w:t>≤</w:t>
            </w:r>
            <w:r>
              <w:rPr>
                <w:rFonts w:ascii="Arial" w:hAnsi="Arial" w:cs="Arial"/>
                <w:bCs/>
                <w:kern w:val="0"/>
                <w:szCs w:val="21"/>
              </w:rPr>
              <w:t>Y＜80000</w:t>
            </w:r>
          </w:p>
        </w:tc>
        <w:tc>
          <w:tcPr>
            <w:tcW w:w="167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300</w:t>
            </w:r>
            <w:r>
              <w:rPr>
                <w:rFonts w:hint="eastAsia" w:ascii="Arial" w:hAnsi="Arial" w:cs="Arial"/>
                <w:bCs/>
                <w:kern w:val="0"/>
                <w:szCs w:val="21"/>
              </w:rPr>
              <w:t>≤</w:t>
            </w:r>
            <w:r>
              <w:rPr>
                <w:rFonts w:ascii="Arial" w:hAnsi="Arial" w:cs="Arial"/>
                <w:bCs/>
                <w:kern w:val="0"/>
                <w:szCs w:val="21"/>
              </w:rPr>
              <w:t>Y＜6000</w:t>
            </w:r>
          </w:p>
        </w:tc>
        <w:tc>
          <w:tcPr>
            <w:tcW w:w="1148"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Y＜300</w:t>
            </w:r>
          </w:p>
        </w:tc>
      </w:tr>
      <w:tr>
        <w:tblPrEx>
          <w:tblCellMar>
            <w:top w:w="0" w:type="dxa"/>
            <w:left w:w="108" w:type="dxa"/>
            <w:bottom w:w="0" w:type="dxa"/>
            <w:right w:w="108" w:type="dxa"/>
          </w:tblCellMar>
        </w:tblPrEx>
        <w:trPr>
          <w:trHeight w:val="90" w:hRule="atLeast"/>
          <w:jc w:val="center"/>
        </w:trPr>
        <w:tc>
          <w:tcPr>
            <w:tcW w:w="1704"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p>
        </w:tc>
        <w:tc>
          <w:tcPr>
            <w:tcW w:w="1702"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资产总额（Z）</w:t>
            </w:r>
          </w:p>
        </w:tc>
        <w:tc>
          <w:tcPr>
            <w:tcW w:w="1079"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万元</w:t>
            </w:r>
          </w:p>
        </w:tc>
        <w:tc>
          <w:tcPr>
            <w:tcW w:w="192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5000</w:t>
            </w:r>
            <w:r>
              <w:rPr>
                <w:rFonts w:hint="eastAsia" w:ascii="Arial" w:hAnsi="Arial" w:cs="Arial"/>
                <w:bCs/>
                <w:kern w:val="0"/>
                <w:szCs w:val="21"/>
              </w:rPr>
              <w:t>≤</w:t>
            </w:r>
            <w:r>
              <w:rPr>
                <w:rFonts w:ascii="Arial" w:hAnsi="Arial" w:cs="Arial"/>
                <w:bCs/>
                <w:kern w:val="0"/>
                <w:szCs w:val="21"/>
              </w:rPr>
              <w:t>Z＜80000</w:t>
            </w:r>
          </w:p>
        </w:tc>
        <w:tc>
          <w:tcPr>
            <w:tcW w:w="167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300</w:t>
            </w:r>
            <w:r>
              <w:rPr>
                <w:rFonts w:hint="eastAsia" w:ascii="Arial" w:hAnsi="Arial" w:cs="Arial"/>
                <w:bCs/>
                <w:kern w:val="0"/>
                <w:szCs w:val="21"/>
              </w:rPr>
              <w:t>≤</w:t>
            </w:r>
            <w:r>
              <w:rPr>
                <w:rFonts w:ascii="Arial" w:hAnsi="Arial" w:cs="Arial"/>
                <w:bCs/>
                <w:kern w:val="0"/>
                <w:szCs w:val="21"/>
              </w:rPr>
              <w:t>Z＜5000</w:t>
            </w:r>
          </w:p>
        </w:tc>
        <w:tc>
          <w:tcPr>
            <w:tcW w:w="1148"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Z＜300</w:t>
            </w:r>
          </w:p>
        </w:tc>
      </w:tr>
      <w:tr>
        <w:tblPrEx>
          <w:tblCellMar>
            <w:top w:w="0" w:type="dxa"/>
            <w:left w:w="108" w:type="dxa"/>
            <w:bottom w:w="0" w:type="dxa"/>
            <w:right w:w="108" w:type="dxa"/>
          </w:tblCellMar>
        </w:tblPrEx>
        <w:trPr>
          <w:trHeight w:val="90" w:hRule="atLeast"/>
          <w:jc w:val="center"/>
        </w:trPr>
        <w:tc>
          <w:tcPr>
            <w:tcW w:w="1704" w:type="dxa"/>
            <w:vMerge w:val="restart"/>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批发业</w:t>
            </w:r>
          </w:p>
        </w:tc>
        <w:tc>
          <w:tcPr>
            <w:tcW w:w="1702"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从业人员（X）</w:t>
            </w:r>
          </w:p>
        </w:tc>
        <w:tc>
          <w:tcPr>
            <w:tcW w:w="1079"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人</w:t>
            </w:r>
          </w:p>
        </w:tc>
        <w:tc>
          <w:tcPr>
            <w:tcW w:w="192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20</w:t>
            </w:r>
            <w:r>
              <w:rPr>
                <w:rFonts w:hint="eastAsia" w:ascii="Arial" w:hAnsi="Arial" w:cs="Arial"/>
                <w:bCs/>
                <w:kern w:val="0"/>
                <w:szCs w:val="21"/>
              </w:rPr>
              <w:t>≤</w:t>
            </w:r>
            <w:r>
              <w:rPr>
                <w:rFonts w:ascii="Arial" w:hAnsi="Arial" w:cs="Arial"/>
                <w:bCs/>
                <w:kern w:val="0"/>
                <w:szCs w:val="21"/>
              </w:rPr>
              <w:t>X＜200</w:t>
            </w:r>
          </w:p>
        </w:tc>
        <w:tc>
          <w:tcPr>
            <w:tcW w:w="167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5</w:t>
            </w:r>
            <w:r>
              <w:rPr>
                <w:rFonts w:hint="eastAsia" w:ascii="Arial" w:hAnsi="Arial" w:cs="Arial"/>
                <w:bCs/>
                <w:kern w:val="0"/>
                <w:szCs w:val="21"/>
              </w:rPr>
              <w:t>≤</w:t>
            </w:r>
            <w:r>
              <w:rPr>
                <w:rFonts w:ascii="Arial" w:hAnsi="Arial" w:cs="Arial"/>
                <w:bCs/>
                <w:kern w:val="0"/>
                <w:szCs w:val="21"/>
              </w:rPr>
              <w:t>X＜20</w:t>
            </w:r>
          </w:p>
        </w:tc>
        <w:tc>
          <w:tcPr>
            <w:tcW w:w="1148"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X＜5</w:t>
            </w:r>
          </w:p>
        </w:tc>
      </w:tr>
      <w:tr>
        <w:tblPrEx>
          <w:tblCellMar>
            <w:top w:w="0" w:type="dxa"/>
            <w:left w:w="108" w:type="dxa"/>
            <w:bottom w:w="0" w:type="dxa"/>
            <w:right w:w="108" w:type="dxa"/>
          </w:tblCellMar>
        </w:tblPrEx>
        <w:trPr>
          <w:trHeight w:val="90" w:hRule="atLeast"/>
          <w:jc w:val="center"/>
        </w:trPr>
        <w:tc>
          <w:tcPr>
            <w:tcW w:w="1704"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p>
        </w:tc>
        <w:tc>
          <w:tcPr>
            <w:tcW w:w="1702"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营业收入（Y）</w:t>
            </w:r>
          </w:p>
        </w:tc>
        <w:tc>
          <w:tcPr>
            <w:tcW w:w="1079"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万元</w:t>
            </w:r>
          </w:p>
        </w:tc>
        <w:tc>
          <w:tcPr>
            <w:tcW w:w="192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5000</w:t>
            </w:r>
            <w:r>
              <w:rPr>
                <w:rFonts w:hint="eastAsia" w:ascii="Arial" w:hAnsi="Arial" w:cs="Arial"/>
                <w:bCs/>
                <w:kern w:val="0"/>
                <w:szCs w:val="21"/>
              </w:rPr>
              <w:t>≤</w:t>
            </w:r>
            <w:r>
              <w:rPr>
                <w:rFonts w:ascii="Arial" w:hAnsi="Arial" w:cs="Arial"/>
                <w:bCs/>
                <w:kern w:val="0"/>
                <w:szCs w:val="21"/>
              </w:rPr>
              <w:t>Y＜40000</w:t>
            </w:r>
          </w:p>
        </w:tc>
        <w:tc>
          <w:tcPr>
            <w:tcW w:w="167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1000</w:t>
            </w:r>
            <w:r>
              <w:rPr>
                <w:rFonts w:hint="eastAsia" w:ascii="Arial" w:hAnsi="Arial" w:cs="Arial"/>
                <w:bCs/>
                <w:kern w:val="0"/>
                <w:szCs w:val="21"/>
              </w:rPr>
              <w:t>≤</w:t>
            </w:r>
            <w:r>
              <w:rPr>
                <w:rFonts w:ascii="Arial" w:hAnsi="Arial" w:cs="Arial"/>
                <w:bCs/>
                <w:kern w:val="0"/>
                <w:szCs w:val="21"/>
              </w:rPr>
              <w:t>Y＜5000</w:t>
            </w:r>
          </w:p>
        </w:tc>
        <w:tc>
          <w:tcPr>
            <w:tcW w:w="1148"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Y＜1000</w:t>
            </w:r>
          </w:p>
        </w:tc>
      </w:tr>
      <w:tr>
        <w:tblPrEx>
          <w:tblCellMar>
            <w:top w:w="0" w:type="dxa"/>
            <w:left w:w="108" w:type="dxa"/>
            <w:bottom w:w="0" w:type="dxa"/>
            <w:right w:w="108" w:type="dxa"/>
          </w:tblCellMar>
        </w:tblPrEx>
        <w:trPr>
          <w:trHeight w:val="90" w:hRule="atLeast"/>
          <w:jc w:val="center"/>
        </w:trPr>
        <w:tc>
          <w:tcPr>
            <w:tcW w:w="1704" w:type="dxa"/>
            <w:vMerge w:val="restart"/>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零售业</w:t>
            </w:r>
          </w:p>
        </w:tc>
        <w:tc>
          <w:tcPr>
            <w:tcW w:w="1702"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从业人员（X）</w:t>
            </w:r>
          </w:p>
        </w:tc>
        <w:tc>
          <w:tcPr>
            <w:tcW w:w="1079"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人</w:t>
            </w:r>
          </w:p>
        </w:tc>
        <w:tc>
          <w:tcPr>
            <w:tcW w:w="192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50</w:t>
            </w:r>
            <w:r>
              <w:rPr>
                <w:rFonts w:hint="eastAsia" w:ascii="Arial" w:hAnsi="Arial" w:cs="Arial"/>
                <w:bCs/>
                <w:kern w:val="0"/>
                <w:szCs w:val="21"/>
              </w:rPr>
              <w:t>≤</w:t>
            </w:r>
            <w:r>
              <w:rPr>
                <w:rFonts w:ascii="Arial" w:hAnsi="Arial" w:cs="Arial"/>
                <w:bCs/>
                <w:kern w:val="0"/>
                <w:szCs w:val="21"/>
              </w:rPr>
              <w:t>X＜300</w:t>
            </w:r>
          </w:p>
        </w:tc>
        <w:tc>
          <w:tcPr>
            <w:tcW w:w="167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10</w:t>
            </w:r>
            <w:r>
              <w:rPr>
                <w:rFonts w:hint="eastAsia" w:ascii="Arial" w:hAnsi="Arial" w:cs="Arial"/>
                <w:bCs/>
                <w:kern w:val="0"/>
                <w:szCs w:val="21"/>
              </w:rPr>
              <w:t>≤</w:t>
            </w:r>
            <w:r>
              <w:rPr>
                <w:rFonts w:ascii="Arial" w:hAnsi="Arial" w:cs="Arial"/>
                <w:bCs/>
                <w:kern w:val="0"/>
                <w:szCs w:val="21"/>
              </w:rPr>
              <w:t>X＜50</w:t>
            </w:r>
          </w:p>
        </w:tc>
        <w:tc>
          <w:tcPr>
            <w:tcW w:w="1148"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X＜10</w:t>
            </w:r>
          </w:p>
        </w:tc>
      </w:tr>
      <w:tr>
        <w:tblPrEx>
          <w:tblCellMar>
            <w:top w:w="0" w:type="dxa"/>
            <w:left w:w="108" w:type="dxa"/>
            <w:bottom w:w="0" w:type="dxa"/>
            <w:right w:w="108" w:type="dxa"/>
          </w:tblCellMar>
        </w:tblPrEx>
        <w:trPr>
          <w:trHeight w:val="90" w:hRule="atLeast"/>
          <w:jc w:val="center"/>
        </w:trPr>
        <w:tc>
          <w:tcPr>
            <w:tcW w:w="1704"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p>
        </w:tc>
        <w:tc>
          <w:tcPr>
            <w:tcW w:w="1702"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营业收入（Y）</w:t>
            </w:r>
          </w:p>
        </w:tc>
        <w:tc>
          <w:tcPr>
            <w:tcW w:w="1079"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万元</w:t>
            </w:r>
          </w:p>
        </w:tc>
        <w:tc>
          <w:tcPr>
            <w:tcW w:w="192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500</w:t>
            </w:r>
            <w:r>
              <w:rPr>
                <w:rFonts w:hint="eastAsia" w:ascii="Arial" w:hAnsi="Arial" w:cs="Arial"/>
                <w:bCs/>
                <w:kern w:val="0"/>
                <w:szCs w:val="21"/>
              </w:rPr>
              <w:t>≤</w:t>
            </w:r>
            <w:r>
              <w:rPr>
                <w:rFonts w:ascii="Arial" w:hAnsi="Arial" w:cs="Arial"/>
                <w:bCs/>
                <w:kern w:val="0"/>
                <w:szCs w:val="21"/>
              </w:rPr>
              <w:t>Y＜20000</w:t>
            </w:r>
          </w:p>
        </w:tc>
        <w:tc>
          <w:tcPr>
            <w:tcW w:w="167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100</w:t>
            </w:r>
            <w:r>
              <w:rPr>
                <w:rFonts w:hint="eastAsia" w:ascii="Arial" w:hAnsi="Arial" w:cs="Arial"/>
                <w:bCs/>
                <w:kern w:val="0"/>
                <w:szCs w:val="21"/>
              </w:rPr>
              <w:t>≤</w:t>
            </w:r>
            <w:r>
              <w:rPr>
                <w:rFonts w:ascii="Arial" w:hAnsi="Arial" w:cs="Arial"/>
                <w:bCs/>
                <w:kern w:val="0"/>
                <w:szCs w:val="21"/>
              </w:rPr>
              <w:t>Y＜500</w:t>
            </w:r>
          </w:p>
        </w:tc>
        <w:tc>
          <w:tcPr>
            <w:tcW w:w="1148"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Y＜100</w:t>
            </w:r>
          </w:p>
        </w:tc>
      </w:tr>
      <w:tr>
        <w:tblPrEx>
          <w:tblCellMar>
            <w:top w:w="0" w:type="dxa"/>
            <w:left w:w="108" w:type="dxa"/>
            <w:bottom w:w="0" w:type="dxa"/>
            <w:right w:w="108" w:type="dxa"/>
          </w:tblCellMar>
        </w:tblPrEx>
        <w:trPr>
          <w:trHeight w:val="90" w:hRule="atLeast"/>
          <w:jc w:val="center"/>
        </w:trPr>
        <w:tc>
          <w:tcPr>
            <w:tcW w:w="1704" w:type="dxa"/>
            <w:vMerge w:val="restart"/>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交通运输业</w:t>
            </w:r>
          </w:p>
        </w:tc>
        <w:tc>
          <w:tcPr>
            <w:tcW w:w="1702"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从业人员（X）</w:t>
            </w:r>
          </w:p>
        </w:tc>
        <w:tc>
          <w:tcPr>
            <w:tcW w:w="1079"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人</w:t>
            </w:r>
          </w:p>
        </w:tc>
        <w:tc>
          <w:tcPr>
            <w:tcW w:w="192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300</w:t>
            </w:r>
            <w:r>
              <w:rPr>
                <w:rFonts w:hint="eastAsia" w:ascii="Arial" w:hAnsi="Arial" w:cs="Arial"/>
                <w:bCs/>
                <w:kern w:val="0"/>
                <w:szCs w:val="21"/>
              </w:rPr>
              <w:t>≤</w:t>
            </w:r>
            <w:r>
              <w:rPr>
                <w:rFonts w:ascii="Arial" w:hAnsi="Arial" w:cs="Arial"/>
                <w:bCs/>
                <w:kern w:val="0"/>
                <w:szCs w:val="21"/>
              </w:rPr>
              <w:t>X＜1000</w:t>
            </w:r>
          </w:p>
        </w:tc>
        <w:tc>
          <w:tcPr>
            <w:tcW w:w="167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20</w:t>
            </w:r>
            <w:r>
              <w:rPr>
                <w:rFonts w:hint="eastAsia" w:ascii="Arial" w:hAnsi="Arial" w:cs="Arial"/>
                <w:bCs/>
                <w:kern w:val="0"/>
                <w:szCs w:val="21"/>
              </w:rPr>
              <w:t>≤</w:t>
            </w:r>
            <w:r>
              <w:rPr>
                <w:rFonts w:ascii="Arial" w:hAnsi="Arial" w:cs="Arial"/>
                <w:bCs/>
                <w:kern w:val="0"/>
                <w:szCs w:val="21"/>
              </w:rPr>
              <w:t>X＜300</w:t>
            </w:r>
          </w:p>
        </w:tc>
        <w:tc>
          <w:tcPr>
            <w:tcW w:w="1148"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X＜20</w:t>
            </w:r>
          </w:p>
        </w:tc>
      </w:tr>
      <w:tr>
        <w:tblPrEx>
          <w:tblCellMar>
            <w:top w:w="0" w:type="dxa"/>
            <w:left w:w="108" w:type="dxa"/>
            <w:bottom w:w="0" w:type="dxa"/>
            <w:right w:w="108" w:type="dxa"/>
          </w:tblCellMar>
        </w:tblPrEx>
        <w:trPr>
          <w:trHeight w:val="90" w:hRule="atLeast"/>
          <w:jc w:val="center"/>
        </w:trPr>
        <w:tc>
          <w:tcPr>
            <w:tcW w:w="1704"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p>
        </w:tc>
        <w:tc>
          <w:tcPr>
            <w:tcW w:w="1702"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营业收入（Y）</w:t>
            </w:r>
          </w:p>
        </w:tc>
        <w:tc>
          <w:tcPr>
            <w:tcW w:w="1079"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万元</w:t>
            </w:r>
          </w:p>
        </w:tc>
        <w:tc>
          <w:tcPr>
            <w:tcW w:w="192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3000</w:t>
            </w:r>
            <w:r>
              <w:rPr>
                <w:rFonts w:hint="eastAsia" w:ascii="Arial" w:hAnsi="Arial" w:cs="Arial"/>
                <w:bCs/>
                <w:kern w:val="0"/>
                <w:szCs w:val="21"/>
              </w:rPr>
              <w:t>≤</w:t>
            </w:r>
            <w:r>
              <w:rPr>
                <w:rFonts w:ascii="Arial" w:hAnsi="Arial" w:cs="Arial"/>
                <w:bCs/>
                <w:kern w:val="0"/>
                <w:szCs w:val="21"/>
              </w:rPr>
              <w:t>Y＜30000</w:t>
            </w:r>
          </w:p>
        </w:tc>
        <w:tc>
          <w:tcPr>
            <w:tcW w:w="167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200</w:t>
            </w:r>
            <w:r>
              <w:rPr>
                <w:rFonts w:hint="eastAsia" w:ascii="Arial" w:hAnsi="Arial" w:cs="Arial"/>
                <w:bCs/>
                <w:kern w:val="0"/>
                <w:szCs w:val="21"/>
              </w:rPr>
              <w:t>≤</w:t>
            </w:r>
            <w:r>
              <w:rPr>
                <w:rFonts w:ascii="Arial" w:hAnsi="Arial" w:cs="Arial"/>
                <w:bCs/>
                <w:kern w:val="0"/>
                <w:szCs w:val="21"/>
              </w:rPr>
              <w:t>Y＜3000</w:t>
            </w:r>
          </w:p>
        </w:tc>
        <w:tc>
          <w:tcPr>
            <w:tcW w:w="1148"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Y＜200</w:t>
            </w:r>
          </w:p>
        </w:tc>
      </w:tr>
      <w:tr>
        <w:tblPrEx>
          <w:tblCellMar>
            <w:top w:w="0" w:type="dxa"/>
            <w:left w:w="108" w:type="dxa"/>
            <w:bottom w:w="0" w:type="dxa"/>
            <w:right w:w="108" w:type="dxa"/>
          </w:tblCellMar>
        </w:tblPrEx>
        <w:trPr>
          <w:trHeight w:val="90" w:hRule="atLeast"/>
          <w:jc w:val="center"/>
        </w:trPr>
        <w:tc>
          <w:tcPr>
            <w:tcW w:w="1704" w:type="dxa"/>
            <w:vMerge w:val="restart"/>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仓储业</w:t>
            </w:r>
          </w:p>
        </w:tc>
        <w:tc>
          <w:tcPr>
            <w:tcW w:w="1702"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从业人员（X）</w:t>
            </w:r>
          </w:p>
        </w:tc>
        <w:tc>
          <w:tcPr>
            <w:tcW w:w="1079"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人</w:t>
            </w:r>
          </w:p>
        </w:tc>
        <w:tc>
          <w:tcPr>
            <w:tcW w:w="192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100</w:t>
            </w:r>
            <w:r>
              <w:rPr>
                <w:rFonts w:hint="eastAsia" w:ascii="Arial" w:hAnsi="Arial" w:cs="Arial"/>
                <w:bCs/>
                <w:kern w:val="0"/>
                <w:szCs w:val="21"/>
              </w:rPr>
              <w:t>≤</w:t>
            </w:r>
            <w:r>
              <w:rPr>
                <w:rFonts w:ascii="Arial" w:hAnsi="Arial" w:cs="Arial"/>
                <w:bCs/>
                <w:kern w:val="0"/>
                <w:szCs w:val="21"/>
              </w:rPr>
              <w:t>X＜200</w:t>
            </w:r>
          </w:p>
        </w:tc>
        <w:tc>
          <w:tcPr>
            <w:tcW w:w="167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20</w:t>
            </w:r>
            <w:r>
              <w:rPr>
                <w:rFonts w:hint="eastAsia" w:ascii="Arial" w:hAnsi="Arial" w:cs="Arial"/>
                <w:bCs/>
                <w:kern w:val="0"/>
                <w:szCs w:val="21"/>
              </w:rPr>
              <w:t>≤</w:t>
            </w:r>
            <w:r>
              <w:rPr>
                <w:rFonts w:ascii="Arial" w:hAnsi="Arial" w:cs="Arial"/>
                <w:bCs/>
                <w:kern w:val="0"/>
                <w:szCs w:val="21"/>
              </w:rPr>
              <w:t>X＜100</w:t>
            </w:r>
          </w:p>
        </w:tc>
        <w:tc>
          <w:tcPr>
            <w:tcW w:w="1148"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X＜20</w:t>
            </w:r>
          </w:p>
        </w:tc>
      </w:tr>
      <w:tr>
        <w:tblPrEx>
          <w:tblCellMar>
            <w:top w:w="0" w:type="dxa"/>
            <w:left w:w="108" w:type="dxa"/>
            <w:bottom w:w="0" w:type="dxa"/>
            <w:right w:w="108" w:type="dxa"/>
          </w:tblCellMar>
        </w:tblPrEx>
        <w:trPr>
          <w:trHeight w:val="90" w:hRule="atLeast"/>
          <w:jc w:val="center"/>
        </w:trPr>
        <w:tc>
          <w:tcPr>
            <w:tcW w:w="1704"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p>
        </w:tc>
        <w:tc>
          <w:tcPr>
            <w:tcW w:w="1702"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营业收入（Y）</w:t>
            </w:r>
          </w:p>
        </w:tc>
        <w:tc>
          <w:tcPr>
            <w:tcW w:w="1079"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万元</w:t>
            </w:r>
          </w:p>
        </w:tc>
        <w:tc>
          <w:tcPr>
            <w:tcW w:w="192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1000</w:t>
            </w:r>
            <w:r>
              <w:rPr>
                <w:rFonts w:hint="eastAsia" w:ascii="Arial" w:hAnsi="Arial" w:cs="Arial"/>
                <w:bCs/>
                <w:kern w:val="0"/>
                <w:szCs w:val="21"/>
              </w:rPr>
              <w:t>≤</w:t>
            </w:r>
            <w:r>
              <w:rPr>
                <w:rFonts w:ascii="Arial" w:hAnsi="Arial" w:cs="Arial"/>
                <w:bCs/>
                <w:kern w:val="0"/>
                <w:szCs w:val="21"/>
              </w:rPr>
              <w:t>Y＜30000</w:t>
            </w:r>
          </w:p>
        </w:tc>
        <w:tc>
          <w:tcPr>
            <w:tcW w:w="167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100</w:t>
            </w:r>
            <w:r>
              <w:rPr>
                <w:rFonts w:hint="eastAsia" w:ascii="Arial" w:hAnsi="Arial" w:cs="Arial"/>
                <w:bCs/>
                <w:kern w:val="0"/>
                <w:szCs w:val="21"/>
              </w:rPr>
              <w:t>≤</w:t>
            </w:r>
            <w:r>
              <w:rPr>
                <w:rFonts w:ascii="Arial" w:hAnsi="Arial" w:cs="Arial"/>
                <w:bCs/>
                <w:kern w:val="0"/>
                <w:szCs w:val="21"/>
              </w:rPr>
              <w:t>Y＜1000</w:t>
            </w:r>
          </w:p>
        </w:tc>
        <w:tc>
          <w:tcPr>
            <w:tcW w:w="1148"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Y＜100</w:t>
            </w:r>
          </w:p>
        </w:tc>
      </w:tr>
      <w:tr>
        <w:tblPrEx>
          <w:tblCellMar>
            <w:top w:w="0" w:type="dxa"/>
            <w:left w:w="108" w:type="dxa"/>
            <w:bottom w:w="0" w:type="dxa"/>
            <w:right w:w="108" w:type="dxa"/>
          </w:tblCellMar>
        </w:tblPrEx>
        <w:trPr>
          <w:trHeight w:val="90" w:hRule="atLeast"/>
          <w:jc w:val="center"/>
        </w:trPr>
        <w:tc>
          <w:tcPr>
            <w:tcW w:w="1704" w:type="dxa"/>
            <w:vMerge w:val="restart"/>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邮政业</w:t>
            </w:r>
          </w:p>
        </w:tc>
        <w:tc>
          <w:tcPr>
            <w:tcW w:w="1702"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从业人员（X）</w:t>
            </w:r>
          </w:p>
        </w:tc>
        <w:tc>
          <w:tcPr>
            <w:tcW w:w="1079"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人</w:t>
            </w:r>
          </w:p>
        </w:tc>
        <w:tc>
          <w:tcPr>
            <w:tcW w:w="192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300</w:t>
            </w:r>
            <w:r>
              <w:rPr>
                <w:rFonts w:hint="eastAsia" w:ascii="Arial" w:hAnsi="Arial" w:cs="Arial"/>
                <w:bCs/>
                <w:kern w:val="0"/>
                <w:szCs w:val="21"/>
              </w:rPr>
              <w:t>≤</w:t>
            </w:r>
            <w:r>
              <w:rPr>
                <w:rFonts w:ascii="Arial" w:hAnsi="Arial" w:cs="Arial"/>
                <w:bCs/>
                <w:kern w:val="0"/>
                <w:szCs w:val="21"/>
              </w:rPr>
              <w:t>X＜1000</w:t>
            </w:r>
          </w:p>
        </w:tc>
        <w:tc>
          <w:tcPr>
            <w:tcW w:w="167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20</w:t>
            </w:r>
            <w:r>
              <w:rPr>
                <w:rFonts w:hint="eastAsia" w:ascii="Arial" w:hAnsi="Arial" w:cs="Arial"/>
                <w:bCs/>
                <w:kern w:val="0"/>
                <w:szCs w:val="21"/>
              </w:rPr>
              <w:t>≤</w:t>
            </w:r>
            <w:r>
              <w:rPr>
                <w:rFonts w:ascii="Arial" w:hAnsi="Arial" w:cs="Arial"/>
                <w:bCs/>
                <w:kern w:val="0"/>
                <w:szCs w:val="21"/>
              </w:rPr>
              <w:t>X＜300</w:t>
            </w:r>
          </w:p>
        </w:tc>
        <w:tc>
          <w:tcPr>
            <w:tcW w:w="1148"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X＜20</w:t>
            </w:r>
          </w:p>
        </w:tc>
      </w:tr>
      <w:tr>
        <w:tblPrEx>
          <w:tblCellMar>
            <w:top w:w="0" w:type="dxa"/>
            <w:left w:w="108" w:type="dxa"/>
            <w:bottom w:w="0" w:type="dxa"/>
            <w:right w:w="108" w:type="dxa"/>
          </w:tblCellMar>
        </w:tblPrEx>
        <w:trPr>
          <w:trHeight w:val="90" w:hRule="atLeast"/>
          <w:jc w:val="center"/>
        </w:trPr>
        <w:tc>
          <w:tcPr>
            <w:tcW w:w="1704"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p>
        </w:tc>
        <w:tc>
          <w:tcPr>
            <w:tcW w:w="1702"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营业收入（Y）</w:t>
            </w:r>
          </w:p>
        </w:tc>
        <w:tc>
          <w:tcPr>
            <w:tcW w:w="1079"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万元</w:t>
            </w:r>
          </w:p>
        </w:tc>
        <w:tc>
          <w:tcPr>
            <w:tcW w:w="192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2000</w:t>
            </w:r>
            <w:r>
              <w:rPr>
                <w:rFonts w:hint="eastAsia" w:ascii="Arial" w:hAnsi="Arial" w:cs="Arial"/>
                <w:bCs/>
                <w:kern w:val="0"/>
                <w:szCs w:val="21"/>
              </w:rPr>
              <w:t>≤</w:t>
            </w:r>
            <w:r>
              <w:rPr>
                <w:rFonts w:ascii="Arial" w:hAnsi="Arial" w:cs="Arial"/>
                <w:bCs/>
                <w:kern w:val="0"/>
                <w:szCs w:val="21"/>
              </w:rPr>
              <w:t>Y＜30000</w:t>
            </w:r>
          </w:p>
        </w:tc>
        <w:tc>
          <w:tcPr>
            <w:tcW w:w="167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100</w:t>
            </w:r>
            <w:r>
              <w:rPr>
                <w:rFonts w:hint="eastAsia" w:ascii="Arial" w:hAnsi="Arial" w:cs="Arial"/>
                <w:bCs/>
                <w:kern w:val="0"/>
                <w:szCs w:val="21"/>
              </w:rPr>
              <w:t>≤</w:t>
            </w:r>
            <w:r>
              <w:rPr>
                <w:rFonts w:ascii="Arial" w:hAnsi="Arial" w:cs="Arial"/>
                <w:bCs/>
                <w:kern w:val="0"/>
                <w:szCs w:val="21"/>
              </w:rPr>
              <w:t>Y＜2000</w:t>
            </w:r>
          </w:p>
        </w:tc>
        <w:tc>
          <w:tcPr>
            <w:tcW w:w="1148"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Y＜100</w:t>
            </w:r>
          </w:p>
        </w:tc>
      </w:tr>
      <w:tr>
        <w:tblPrEx>
          <w:tblCellMar>
            <w:top w:w="0" w:type="dxa"/>
            <w:left w:w="108" w:type="dxa"/>
            <w:bottom w:w="0" w:type="dxa"/>
            <w:right w:w="108" w:type="dxa"/>
          </w:tblCellMar>
        </w:tblPrEx>
        <w:trPr>
          <w:trHeight w:val="90" w:hRule="atLeast"/>
          <w:jc w:val="center"/>
        </w:trPr>
        <w:tc>
          <w:tcPr>
            <w:tcW w:w="1704" w:type="dxa"/>
            <w:vMerge w:val="restart"/>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住宿业</w:t>
            </w:r>
          </w:p>
        </w:tc>
        <w:tc>
          <w:tcPr>
            <w:tcW w:w="1702"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从业人员（X）</w:t>
            </w:r>
          </w:p>
        </w:tc>
        <w:tc>
          <w:tcPr>
            <w:tcW w:w="1079"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人</w:t>
            </w:r>
          </w:p>
        </w:tc>
        <w:tc>
          <w:tcPr>
            <w:tcW w:w="192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100</w:t>
            </w:r>
            <w:r>
              <w:rPr>
                <w:rFonts w:hint="eastAsia" w:ascii="Arial" w:hAnsi="Arial" w:cs="Arial"/>
                <w:bCs/>
                <w:kern w:val="0"/>
                <w:szCs w:val="21"/>
              </w:rPr>
              <w:t>≤</w:t>
            </w:r>
            <w:r>
              <w:rPr>
                <w:rFonts w:ascii="Arial" w:hAnsi="Arial" w:cs="Arial"/>
                <w:bCs/>
                <w:kern w:val="0"/>
                <w:szCs w:val="21"/>
              </w:rPr>
              <w:t>X＜300</w:t>
            </w:r>
          </w:p>
        </w:tc>
        <w:tc>
          <w:tcPr>
            <w:tcW w:w="167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10</w:t>
            </w:r>
            <w:r>
              <w:rPr>
                <w:rFonts w:hint="eastAsia" w:ascii="Arial" w:hAnsi="Arial" w:cs="Arial"/>
                <w:bCs/>
                <w:kern w:val="0"/>
                <w:szCs w:val="21"/>
              </w:rPr>
              <w:t>≤</w:t>
            </w:r>
            <w:r>
              <w:rPr>
                <w:rFonts w:ascii="Arial" w:hAnsi="Arial" w:cs="Arial"/>
                <w:bCs/>
                <w:kern w:val="0"/>
                <w:szCs w:val="21"/>
              </w:rPr>
              <w:t>X＜100</w:t>
            </w:r>
          </w:p>
        </w:tc>
        <w:tc>
          <w:tcPr>
            <w:tcW w:w="1148"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X＜10</w:t>
            </w:r>
          </w:p>
        </w:tc>
      </w:tr>
      <w:tr>
        <w:tblPrEx>
          <w:tblCellMar>
            <w:top w:w="0" w:type="dxa"/>
            <w:left w:w="108" w:type="dxa"/>
            <w:bottom w:w="0" w:type="dxa"/>
            <w:right w:w="108" w:type="dxa"/>
          </w:tblCellMar>
        </w:tblPrEx>
        <w:trPr>
          <w:trHeight w:val="90" w:hRule="atLeast"/>
          <w:jc w:val="center"/>
        </w:trPr>
        <w:tc>
          <w:tcPr>
            <w:tcW w:w="1704"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p>
        </w:tc>
        <w:tc>
          <w:tcPr>
            <w:tcW w:w="1702"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营业收入（Y）</w:t>
            </w:r>
          </w:p>
        </w:tc>
        <w:tc>
          <w:tcPr>
            <w:tcW w:w="1079"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万元</w:t>
            </w:r>
          </w:p>
        </w:tc>
        <w:tc>
          <w:tcPr>
            <w:tcW w:w="192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2000</w:t>
            </w:r>
            <w:r>
              <w:rPr>
                <w:rFonts w:hint="eastAsia" w:ascii="Arial" w:hAnsi="Arial" w:cs="Arial"/>
                <w:bCs/>
                <w:kern w:val="0"/>
                <w:szCs w:val="21"/>
              </w:rPr>
              <w:t>≤</w:t>
            </w:r>
            <w:r>
              <w:rPr>
                <w:rFonts w:ascii="Arial" w:hAnsi="Arial" w:cs="Arial"/>
                <w:bCs/>
                <w:kern w:val="0"/>
                <w:szCs w:val="21"/>
              </w:rPr>
              <w:t>Y＜10000</w:t>
            </w:r>
          </w:p>
        </w:tc>
        <w:tc>
          <w:tcPr>
            <w:tcW w:w="167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100</w:t>
            </w:r>
            <w:r>
              <w:rPr>
                <w:rFonts w:hint="eastAsia" w:ascii="Arial" w:hAnsi="Arial" w:cs="Arial"/>
                <w:bCs/>
                <w:kern w:val="0"/>
                <w:szCs w:val="21"/>
              </w:rPr>
              <w:t>≤</w:t>
            </w:r>
            <w:r>
              <w:rPr>
                <w:rFonts w:ascii="Arial" w:hAnsi="Arial" w:cs="Arial"/>
                <w:bCs/>
                <w:kern w:val="0"/>
                <w:szCs w:val="21"/>
              </w:rPr>
              <w:t>Y＜2000</w:t>
            </w:r>
          </w:p>
        </w:tc>
        <w:tc>
          <w:tcPr>
            <w:tcW w:w="1148"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Y＜100</w:t>
            </w:r>
          </w:p>
        </w:tc>
      </w:tr>
      <w:tr>
        <w:tblPrEx>
          <w:tblCellMar>
            <w:top w:w="0" w:type="dxa"/>
            <w:left w:w="108" w:type="dxa"/>
            <w:bottom w:w="0" w:type="dxa"/>
            <w:right w:w="108" w:type="dxa"/>
          </w:tblCellMar>
        </w:tblPrEx>
        <w:trPr>
          <w:trHeight w:val="90" w:hRule="atLeast"/>
          <w:jc w:val="center"/>
        </w:trPr>
        <w:tc>
          <w:tcPr>
            <w:tcW w:w="1704" w:type="dxa"/>
            <w:vMerge w:val="restart"/>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餐饮业</w:t>
            </w:r>
          </w:p>
        </w:tc>
        <w:tc>
          <w:tcPr>
            <w:tcW w:w="1702"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从业人员（X）</w:t>
            </w:r>
          </w:p>
        </w:tc>
        <w:tc>
          <w:tcPr>
            <w:tcW w:w="1079"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人</w:t>
            </w:r>
          </w:p>
        </w:tc>
        <w:tc>
          <w:tcPr>
            <w:tcW w:w="192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100</w:t>
            </w:r>
            <w:r>
              <w:rPr>
                <w:rFonts w:hint="eastAsia" w:ascii="Arial" w:hAnsi="Arial" w:cs="Arial"/>
                <w:bCs/>
                <w:kern w:val="0"/>
                <w:szCs w:val="21"/>
              </w:rPr>
              <w:t>≤</w:t>
            </w:r>
            <w:r>
              <w:rPr>
                <w:rFonts w:ascii="Arial" w:hAnsi="Arial" w:cs="Arial"/>
                <w:bCs/>
                <w:kern w:val="0"/>
                <w:szCs w:val="21"/>
              </w:rPr>
              <w:t>X＜300</w:t>
            </w:r>
          </w:p>
        </w:tc>
        <w:tc>
          <w:tcPr>
            <w:tcW w:w="167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10</w:t>
            </w:r>
            <w:r>
              <w:rPr>
                <w:rFonts w:hint="eastAsia" w:ascii="Arial" w:hAnsi="Arial" w:cs="Arial"/>
                <w:bCs/>
                <w:kern w:val="0"/>
                <w:szCs w:val="21"/>
              </w:rPr>
              <w:t>≤</w:t>
            </w:r>
            <w:r>
              <w:rPr>
                <w:rFonts w:ascii="Arial" w:hAnsi="Arial" w:cs="Arial"/>
                <w:bCs/>
                <w:kern w:val="0"/>
                <w:szCs w:val="21"/>
              </w:rPr>
              <w:t>X＜100</w:t>
            </w:r>
          </w:p>
        </w:tc>
        <w:tc>
          <w:tcPr>
            <w:tcW w:w="1148"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X＜10</w:t>
            </w:r>
          </w:p>
        </w:tc>
      </w:tr>
      <w:tr>
        <w:tblPrEx>
          <w:tblCellMar>
            <w:top w:w="0" w:type="dxa"/>
            <w:left w:w="108" w:type="dxa"/>
            <w:bottom w:w="0" w:type="dxa"/>
            <w:right w:w="108" w:type="dxa"/>
          </w:tblCellMar>
        </w:tblPrEx>
        <w:trPr>
          <w:trHeight w:val="90" w:hRule="atLeast"/>
          <w:jc w:val="center"/>
        </w:trPr>
        <w:tc>
          <w:tcPr>
            <w:tcW w:w="1704"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p>
        </w:tc>
        <w:tc>
          <w:tcPr>
            <w:tcW w:w="1702"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营业收入（Y）</w:t>
            </w:r>
          </w:p>
        </w:tc>
        <w:tc>
          <w:tcPr>
            <w:tcW w:w="1079"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万元</w:t>
            </w:r>
          </w:p>
        </w:tc>
        <w:tc>
          <w:tcPr>
            <w:tcW w:w="192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2000</w:t>
            </w:r>
            <w:r>
              <w:rPr>
                <w:rFonts w:hint="eastAsia" w:ascii="Arial" w:hAnsi="Arial" w:cs="Arial"/>
                <w:bCs/>
                <w:kern w:val="0"/>
                <w:szCs w:val="21"/>
              </w:rPr>
              <w:t>≤</w:t>
            </w:r>
            <w:r>
              <w:rPr>
                <w:rFonts w:ascii="Arial" w:hAnsi="Arial" w:cs="Arial"/>
                <w:bCs/>
                <w:kern w:val="0"/>
                <w:szCs w:val="21"/>
              </w:rPr>
              <w:t>Y＜10000</w:t>
            </w:r>
          </w:p>
        </w:tc>
        <w:tc>
          <w:tcPr>
            <w:tcW w:w="167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100</w:t>
            </w:r>
            <w:r>
              <w:rPr>
                <w:rFonts w:hint="eastAsia" w:ascii="Arial" w:hAnsi="Arial" w:cs="Arial"/>
                <w:bCs/>
                <w:kern w:val="0"/>
                <w:szCs w:val="21"/>
              </w:rPr>
              <w:t>≤</w:t>
            </w:r>
            <w:r>
              <w:rPr>
                <w:rFonts w:ascii="Arial" w:hAnsi="Arial" w:cs="Arial"/>
                <w:bCs/>
                <w:kern w:val="0"/>
                <w:szCs w:val="21"/>
              </w:rPr>
              <w:t>Y＜2000</w:t>
            </w:r>
          </w:p>
        </w:tc>
        <w:tc>
          <w:tcPr>
            <w:tcW w:w="1148"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Y＜100</w:t>
            </w:r>
          </w:p>
        </w:tc>
      </w:tr>
      <w:tr>
        <w:tblPrEx>
          <w:tblCellMar>
            <w:top w:w="0" w:type="dxa"/>
            <w:left w:w="108" w:type="dxa"/>
            <w:bottom w:w="0" w:type="dxa"/>
            <w:right w:w="108" w:type="dxa"/>
          </w:tblCellMar>
        </w:tblPrEx>
        <w:trPr>
          <w:trHeight w:val="90" w:hRule="atLeast"/>
          <w:jc w:val="center"/>
        </w:trPr>
        <w:tc>
          <w:tcPr>
            <w:tcW w:w="1704" w:type="dxa"/>
            <w:vMerge w:val="restart"/>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信息传输业</w:t>
            </w:r>
          </w:p>
        </w:tc>
        <w:tc>
          <w:tcPr>
            <w:tcW w:w="1702"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从业人员（X）</w:t>
            </w:r>
          </w:p>
        </w:tc>
        <w:tc>
          <w:tcPr>
            <w:tcW w:w="1079"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人</w:t>
            </w:r>
          </w:p>
        </w:tc>
        <w:tc>
          <w:tcPr>
            <w:tcW w:w="192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100</w:t>
            </w:r>
            <w:r>
              <w:rPr>
                <w:rFonts w:hint="eastAsia" w:ascii="Arial" w:hAnsi="Arial" w:cs="Arial"/>
                <w:bCs/>
                <w:kern w:val="0"/>
                <w:szCs w:val="21"/>
              </w:rPr>
              <w:t>≤</w:t>
            </w:r>
            <w:r>
              <w:rPr>
                <w:rFonts w:ascii="Arial" w:hAnsi="Arial" w:cs="Arial"/>
                <w:bCs/>
                <w:kern w:val="0"/>
                <w:szCs w:val="21"/>
              </w:rPr>
              <w:t>X＜2000</w:t>
            </w:r>
          </w:p>
        </w:tc>
        <w:tc>
          <w:tcPr>
            <w:tcW w:w="167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10</w:t>
            </w:r>
            <w:r>
              <w:rPr>
                <w:rFonts w:hint="eastAsia" w:ascii="Arial" w:hAnsi="Arial" w:cs="Arial"/>
                <w:bCs/>
                <w:kern w:val="0"/>
                <w:szCs w:val="21"/>
              </w:rPr>
              <w:t>≤</w:t>
            </w:r>
            <w:r>
              <w:rPr>
                <w:rFonts w:ascii="Arial" w:hAnsi="Arial" w:cs="Arial"/>
                <w:bCs/>
                <w:kern w:val="0"/>
                <w:szCs w:val="21"/>
              </w:rPr>
              <w:t>X＜100</w:t>
            </w:r>
          </w:p>
        </w:tc>
        <w:tc>
          <w:tcPr>
            <w:tcW w:w="1148"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X＜10</w:t>
            </w:r>
          </w:p>
        </w:tc>
      </w:tr>
      <w:tr>
        <w:tblPrEx>
          <w:tblCellMar>
            <w:top w:w="0" w:type="dxa"/>
            <w:left w:w="108" w:type="dxa"/>
            <w:bottom w:w="0" w:type="dxa"/>
            <w:right w:w="108" w:type="dxa"/>
          </w:tblCellMar>
        </w:tblPrEx>
        <w:trPr>
          <w:trHeight w:val="90" w:hRule="atLeast"/>
          <w:jc w:val="center"/>
        </w:trPr>
        <w:tc>
          <w:tcPr>
            <w:tcW w:w="1704"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p>
        </w:tc>
        <w:tc>
          <w:tcPr>
            <w:tcW w:w="1702"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营业收入（Y）</w:t>
            </w:r>
          </w:p>
        </w:tc>
        <w:tc>
          <w:tcPr>
            <w:tcW w:w="1079"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万元</w:t>
            </w:r>
          </w:p>
        </w:tc>
        <w:tc>
          <w:tcPr>
            <w:tcW w:w="192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1000</w:t>
            </w:r>
            <w:r>
              <w:rPr>
                <w:rFonts w:hint="eastAsia" w:ascii="Arial" w:hAnsi="Arial" w:cs="Arial"/>
                <w:bCs/>
                <w:kern w:val="0"/>
                <w:szCs w:val="21"/>
              </w:rPr>
              <w:t>≤</w:t>
            </w:r>
            <w:r>
              <w:rPr>
                <w:rFonts w:ascii="Arial" w:hAnsi="Arial" w:cs="Arial"/>
                <w:bCs/>
                <w:kern w:val="0"/>
                <w:szCs w:val="21"/>
              </w:rPr>
              <w:t>Y＜100000</w:t>
            </w:r>
          </w:p>
        </w:tc>
        <w:tc>
          <w:tcPr>
            <w:tcW w:w="167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100</w:t>
            </w:r>
            <w:r>
              <w:rPr>
                <w:rFonts w:hint="eastAsia" w:ascii="Arial" w:hAnsi="Arial" w:cs="Arial"/>
                <w:bCs/>
                <w:kern w:val="0"/>
                <w:szCs w:val="21"/>
              </w:rPr>
              <w:t>≤</w:t>
            </w:r>
            <w:r>
              <w:rPr>
                <w:rFonts w:ascii="Arial" w:hAnsi="Arial" w:cs="Arial"/>
                <w:bCs/>
                <w:kern w:val="0"/>
                <w:szCs w:val="21"/>
              </w:rPr>
              <w:t>Y＜1000</w:t>
            </w:r>
          </w:p>
        </w:tc>
        <w:tc>
          <w:tcPr>
            <w:tcW w:w="1148"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Y＜100</w:t>
            </w:r>
          </w:p>
        </w:tc>
      </w:tr>
      <w:tr>
        <w:tblPrEx>
          <w:tblCellMar>
            <w:top w:w="0" w:type="dxa"/>
            <w:left w:w="108" w:type="dxa"/>
            <w:bottom w:w="0" w:type="dxa"/>
            <w:right w:w="108" w:type="dxa"/>
          </w:tblCellMar>
        </w:tblPrEx>
        <w:trPr>
          <w:trHeight w:val="90" w:hRule="atLeast"/>
          <w:jc w:val="center"/>
        </w:trPr>
        <w:tc>
          <w:tcPr>
            <w:tcW w:w="1704" w:type="dxa"/>
            <w:vMerge w:val="restart"/>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软件和信息技术服务业</w:t>
            </w:r>
          </w:p>
        </w:tc>
        <w:tc>
          <w:tcPr>
            <w:tcW w:w="1702"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从业人员（X）</w:t>
            </w:r>
          </w:p>
        </w:tc>
        <w:tc>
          <w:tcPr>
            <w:tcW w:w="1079"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人</w:t>
            </w:r>
          </w:p>
        </w:tc>
        <w:tc>
          <w:tcPr>
            <w:tcW w:w="192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100</w:t>
            </w:r>
            <w:r>
              <w:rPr>
                <w:rFonts w:hint="eastAsia" w:ascii="Arial" w:hAnsi="Arial" w:cs="Arial"/>
                <w:bCs/>
                <w:kern w:val="0"/>
                <w:szCs w:val="21"/>
              </w:rPr>
              <w:t>≤</w:t>
            </w:r>
            <w:r>
              <w:rPr>
                <w:rFonts w:ascii="Arial" w:hAnsi="Arial" w:cs="Arial"/>
                <w:bCs/>
                <w:kern w:val="0"/>
                <w:szCs w:val="21"/>
              </w:rPr>
              <w:t>X＜300</w:t>
            </w:r>
          </w:p>
        </w:tc>
        <w:tc>
          <w:tcPr>
            <w:tcW w:w="167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10</w:t>
            </w:r>
            <w:r>
              <w:rPr>
                <w:rFonts w:hint="eastAsia" w:ascii="Arial" w:hAnsi="Arial" w:cs="Arial"/>
                <w:bCs/>
                <w:kern w:val="0"/>
                <w:szCs w:val="21"/>
              </w:rPr>
              <w:t>≤</w:t>
            </w:r>
            <w:r>
              <w:rPr>
                <w:rFonts w:ascii="Arial" w:hAnsi="Arial" w:cs="Arial"/>
                <w:bCs/>
                <w:kern w:val="0"/>
                <w:szCs w:val="21"/>
              </w:rPr>
              <w:t>X＜100</w:t>
            </w:r>
          </w:p>
        </w:tc>
        <w:tc>
          <w:tcPr>
            <w:tcW w:w="1148"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X＜10</w:t>
            </w:r>
          </w:p>
        </w:tc>
      </w:tr>
      <w:tr>
        <w:tblPrEx>
          <w:tblCellMar>
            <w:top w:w="0" w:type="dxa"/>
            <w:left w:w="108" w:type="dxa"/>
            <w:bottom w:w="0" w:type="dxa"/>
            <w:right w:w="108" w:type="dxa"/>
          </w:tblCellMar>
        </w:tblPrEx>
        <w:trPr>
          <w:trHeight w:val="90" w:hRule="atLeast"/>
          <w:jc w:val="center"/>
        </w:trPr>
        <w:tc>
          <w:tcPr>
            <w:tcW w:w="1704"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p>
        </w:tc>
        <w:tc>
          <w:tcPr>
            <w:tcW w:w="1702"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营业收入（Y）</w:t>
            </w:r>
          </w:p>
        </w:tc>
        <w:tc>
          <w:tcPr>
            <w:tcW w:w="1079"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万元</w:t>
            </w:r>
          </w:p>
        </w:tc>
        <w:tc>
          <w:tcPr>
            <w:tcW w:w="192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1000</w:t>
            </w:r>
            <w:r>
              <w:rPr>
                <w:rFonts w:hint="eastAsia" w:ascii="Arial" w:hAnsi="Arial" w:cs="Arial"/>
                <w:bCs/>
                <w:kern w:val="0"/>
                <w:szCs w:val="21"/>
              </w:rPr>
              <w:t>≤</w:t>
            </w:r>
            <w:r>
              <w:rPr>
                <w:rFonts w:ascii="Arial" w:hAnsi="Arial" w:cs="Arial"/>
                <w:bCs/>
                <w:kern w:val="0"/>
                <w:szCs w:val="21"/>
              </w:rPr>
              <w:t>Y＜10000</w:t>
            </w:r>
          </w:p>
        </w:tc>
        <w:tc>
          <w:tcPr>
            <w:tcW w:w="167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50</w:t>
            </w:r>
            <w:r>
              <w:rPr>
                <w:rFonts w:hint="eastAsia" w:ascii="Arial" w:hAnsi="Arial" w:cs="Arial"/>
                <w:bCs/>
                <w:kern w:val="0"/>
                <w:szCs w:val="21"/>
              </w:rPr>
              <w:t>≤</w:t>
            </w:r>
            <w:r>
              <w:rPr>
                <w:rFonts w:ascii="Arial" w:hAnsi="Arial" w:cs="Arial"/>
                <w:bCs/>
                <w:kern w:val="0"/>
                <w:szCs w:val="21"/>
              </w:rPr>
              <w:t>Y＜1000</w:t>
            </w:r>
          </w:p>
        </w:tc>
        <w:tc>
          <w:tcPr>
            <w:tcW w:w="1148"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Y＜50</w:t>
            </w:r>
          </w:p>
        </w:tc>
      </w:tr>
      <w:tr>
        <w:tblPrEx>
          <w:tblCellMar>
            <w:top w:w="0" w:type="dxa"/>
            <w:left w:w="108" w:type="dxa"/>
            <w:bottom w:w="0" w:type="dxa"/>
            <w:right w:w="108" w:type="dxa"/>
          </w:tblCellMar>
        </w:tblPrEx>
        <w:trPr>
          <w:trHeight w:val="90" w:hRule="atLeast"/>
          <w:jc w:val="center"/>
        </w:trPr>
        <w:tc>
          <w:tcPr>
            <w:tcW w:w="1704" w:type="dxa"/>
            <w:vMerge w:val="restart"/>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房地产开发经营</w:t>
            </w:r>
          </w:p>
        </w:tc>
        <w:tc>
          <w:tcPr>
            <w:tcW w:w="1702"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营业收入（Y）</w:t>
            </w:r>
          </w:p>
        </w:tc>
        <w:tc>
          <w:tcPr>
            <w:tcW w:w="1079"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万元</w:t>
            </w:r>
          </w:p>
        </w:tc>
        <w:tc>
          <w:tcPr>
            <w:tcW w:w="192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1000</w:t>
            </w:r>
            <w:r>
              <w:rPr>
                <w:rFonts w:hint="eastAsia" w:ascii="Arial" w:hAnsi="Arial" w:cs="Arial"/>
                <w:bCs/>
                <w:kern w:val="0"/>
                <w:szCs w:val="21"/>
              </w:rPr>
              <w:t>≤</w:t>
            </w:r>
            <w:r>
              <w:rPr>
                <w:rFonts w:ascii="Arial" w:hAnsi="Arial" w:cs="Arial"/>
                <w:bCs/>
                <w:kern w:val="0"/>
                <w:szCs w:val="21"/>
              </w:rPr>
              <w:t>Y＜200000</w:t>
            </w:r>
          </w:p>
        </w:tc>
        <w:tc>
          <w:tcPr>
            <w:tcW w:w="167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100</w:t>
            </w:r>
            <w:r>
              <w:rPr>
                <w:rFonts w:hint="eastAsia" w:ascii="Arial" w:hAnsi="Arial" w:cs="Arial"/>
                <w:bCs/>
                <w:kern w:val="0"/>
                <w:szCs w:val="21"/>
              </w:rPr>
              <w:t>≤</w:t>
            </w:r>
            <w:r>
              <w:rPr>
                <w:rFonts w:ascii="Arial" w:hAnsi="Arial" w:cs="Arial"/>
                <w:bCs/>
                <w:kern w:val="0"/>
                <w:szCs w:val="21"/>
              </w:rPr>
              <w:t>X＜1000</w:t>
            </w:r>
          </w:p>
        </w:tc>
        <w:tc>
          <w:tcPr>
            <w:tcW w:w="1148"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X＜100</w:t>
            </w:r>
          </w:p>
        </w:tc>
      </w:tr>
      <w:tr>
        <w:tblPrEx>
          <w:tblCellMar>
            <w:top w:w="0" w:type="dxa"/>
            <w:left w:w="108" w:type="dxa"/>
            <w:bottom w:w="0" w:type="dxa"/>
            <w:right w:w="108" w:type="dxa"/>
          </w:tblCellMar>
        </w:tblPrEx>
        <w:trPr>
          <w:trHeight w:val="90" w:hRule="atLeast"/>
          <w:jc w:val="center"/>
        </w:trPr>
        <w:tc>
          <w:tcPr>
            <w:tcW w:w="1704"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p>
        </w:tc>
        <w:tc>
          <w:tcPr>
            <w:tcW w:w="1702"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资产总额（Z）</w:t>
            </w:r>
          </w:p>
        </w:tc>
        <w:tc>
          <w:tcPr>
            <w:tcW w:w="1079"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万元</w:t>
            </w:r>
          </w:p>
        </w:tc>
        <w:tc>
          <w:tcPr>
            <w:tcW w:w="192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5000</w:t>
            </w:r>
            <w:r>
              <w:rPr>
                <w:rFonts w:hint="eastAsia" w:ascii="Arial" w:hAnsi="Arial" w:cs="Arial"/>
                <w:bCs/>
                <w:kern w:val="0"/>
                <w:szCs w:val="21"/>
              </w:rPr>
              <w:t>≤</w:t>
            </w:r>
            <w:r>
              <w:rPr>
                <w:rFonts w:ascii="Arial" w:hAnsi="Arial" w:cs="Arial"/>
                <w:bCs/>
                <w:kern w:val="0"/>
                <w:szCs w:val="21"/>
              </w:rPr>
              <w:t>Z＜10000</w:t>
            </w:r>
          </w:p>
        </w:tc>
        <w:tc>
          <w:tcPr>
            <w:tcW w:w="167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2000</w:t>
            </w:r>
            <w:r>
              <w:rPr>
                <w:rFonts w:hint="eastAsia" w:ascii="Arial" w:hAnsi="Arial" w:cs="Arial"/>
                <w:bCs/>
                <w:kern w:val="0"/>
                <w:szCs w:val="21"/>
              </w:rPr>
              <w:t>≤</w:t>
            </w:r>
            <w:r>
              <w:rPr>
                <w:rFonts w:ascii="Arial" w:hAnsi="Arial" w:cs="Arial"/>
                <w:bCs/>
                <w:kern w:val="0"/>
                <w:szCs w:val="21"/>
              </w:rPr>
              <w:t>Y＜5000</w:t>
            </w:r>
          </w:p>
        </w:tc>
        <w:tc>
          <w:tcPr>
            <w:tcW w:w="1148"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Y＜2000</w:t>
            </w:r>
          </w:p>
        </w:tc>
      </w:tr>
      <w:tr>
        <w:tblPrEx>
          <w:tblCellMar>
            <w:top w:w="0" w:type="dxa"/>
            <w:left w:w="108" w:type="dxa"/>
            <w:bottom w:w="0" w:type="dxa"/>
            <w:right w:w="108" w:type="dxa"/>
          </w:tblCellMar>
        </w:tblPrEx>
        <w:trPr>
          <w:trHeight w:val="90" w:hRule="atLeast"/>
          <w:jc w:val="center"/>
        </w:trPr>
        <w:tc>
          <w:tcPr>
            <w:tcW w:w="1704" w:type="dxa"/>
            <w:vMerge w:val="restart"/>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物业管理</w:t>
            </w:r>
          </w:p>
        </w:tc>
        <w:tc>
          <w:tcPr>
            <w:tcW w:w="1702"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从业人员（X）</w:t>
            </w:r>
          </w:p>
        </w:tc>
        <w:tc>
          <w:tcPr>
            <w:tcW w:w="1079"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人</w:t>
            </w:r>
          </w:p>
        </w:tc>
        <w:tc>
          <w:tcPr>
            <w:tcW w:w="192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300</w:t>
            </w:r>
            <w:r>
              <w:rPr>
                <w:rFonts w:hint="eastAsia" w:ascii="Arial" w:hAnsi="Arial" w:cs="Arial"/>
                <w:bCs/>
                <w:kern w:val="0"/>
                <w:szCs w:val="21"/>
              </w:rPr>
              <w:t>≤</w:t>
            </w:r>
            <w:r>
              <w:rPr>
                <w:rFonts w:ascii="Arial" w:hAnsi="Arial" w:cs="Arial"/>
                <w:bCs/>
                <w:kern w:val="0"/>
                <w:szCs w:val="21"/>
              </w:rPr>
              <w:t>X＜1000</w:t>
            </w:r>
          </w:p>
        </w:tc>
        <w:tc>
          <w:tcPr>
            <w:tcW w:w="167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100</w:t>
            </w:r>
            <w:r>
              <w:rPr>
                <w:rFonts w:hint="eastAsia" w:ascii="Arial" w:hAnsi="Arial" w:cs="Arial"/>
                <w:bCs/>
                <w:kern w:val="0"/>
                <w:szCs w:val="21"/>
              </w:rPr>
              <w:t>≤</w:t>
            </w:r>
            <w:r>
              <w:rPr>
                <w:rFonts w:ascii="Arial" w:hAnsi="Arial" w:cs="Arial"/>
                <w:bCs/>
                <w:kern w:val="0"/>
                <w:szCs w:val="21"/>
              </w:rPr>
              <w:t>X＜300</w:t>
            </w:r>
          </w:p>
        </w:tc>
        <w:tc>
          <w:tcPr>
            <w:tcW w:w="1148"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X＜100</w:t>
            </w:r>
          </w:p>
        </w:tc>
      </w:tr>
      <w:tr>
        <w:tblPrEx>
          <w:tblCellMar>
            <w:top w:w="0" w:type="dxa"/>
            <w:left w:w="108" w:type="dxa"/>
            <w:bottom w:w="0" w:type="dxa"/>
            <w:right w:w="108" w:type="dxa"/>
          </w:tblCellMar>
        </w:tblPrEx>
        <w:trPr>
          <w:trHeight w:val="90" w:hRule="atLeast"/>
          <w:jc w:val="center"/>
        </w:trPr>
        <w:tc>
          <w:tcPr>
            <w:tcW w:w="1704"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p>
        </w:tc>
        <w:tc>
          <w:tcPr>
            <w:tcW w:w="1702"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营业收入（Y）</w:t>
            </w:r>
          </w:p>
        </w:tc>
        <w:tc>
          <w:tcPr>
            <w:tcW w:w="1079"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万元</w:t>
            </w:r>
          </w:p>
        </w:tc>
        <w:tc>
          <w:tcPr>
            <w:tcW w:w="192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1000</w:t>
            </w:r>
            <w:r>
              <w:rPr>
                <w:rFonts w:hint="eastAsia" w:ascii="Arial" w:hAnsi="Arial" w:cs="Arial"/>
                <w:bCs/>
                <w:kern w:val="0"/>
                <w:szCs w:val="21"/>
              </w:rPr>
              <w:t>≤</w:t>
            </w:r>
            <w:r>
              <w:rPr>
                <w:rFonts w:ascii="Arial" w:hAnsi="Arial" w:cs="Arial"/>
                <w:bCs/>
                <w:kern w:val="0"/>
                <w:szCs w:val="21"/>
              </w:rPr>
              <w:t>Y＜5000</w:t>
            </w:r>
          </w:p>
        </w:tc>
        <w:tc>
          <w:tcPr>
            <w:tcW w:w="167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500</w:t>
            </w:r>
            <w:r>
              <w:rPr>
                <w:rFonts w:hint="eastAsia" w:ascii="Arial" w:hAnsi="Arial" w:cs="Arial"/>
                <w:bCs/>
                <w:kern w:val="0"/>
                <w:szCs w:val="21"/>
              </w:rPr>
              <w:t>≤</w:t>
            </w:r>
            <w:r>
              <w:rPr>
                <w:rFonts w:ascii="Arial" w:hAnsi="Arial" w:cs="Arial"/>
                <w:bCs/>
                <w:kern w:val="0"/>
                <w:szCs w:val="21"/>
              </w:rPr>
              <w:t>Y＜1000</w:t>
            </w:r>
          </w:p>
        </w:tc>
        <w:tc>
          <w:tcPr>
            <w:tcW w:w="1148"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Y＜500</w:t>
            </w:r>
          </w:p>
        </w:tc>
      </w:tr>
      <w:tr>
        <w:tblPrEx>
          <w:tblCellMar>
            <w:top w:w="0" w:type="dxa"/>
            <w:left w:w="108" w:type="dxa"/>
            <w:bottom w:w="0" w:type="dxa"/>
            <w:right w:w="108" w:type="dxa"/>
          </w:tblCellMar>
        </w:tblPrEx>
        <w:trPr>
          <w:trHeight w:val="90" w:hRule="atLeast"/>
          <w:jc w:val="center"/>
        </w:trPr>
        <w:tc>
          <w:tcPr>
            <w:tcW w:w="1704" w:type="dxa"/>
            <w:vMerge w:val="restart"/>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租赁和商务服务业</w:t>
            </w:r>
          </w:p>
        </w:tc>
        <w:tc>
          <w:tcPr>
            <w:tcW w:w="1702"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从业人员（X）</w:t>
            </w:r>
          </w:p>
        </w:tc>
        <w:tc>
          <w:tcPr>
            <w:tcW w:w="1079"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人</w:t>
            </w:r>
          </w:p>
        </w:tc>
        <w:tc>
          <w:tcPr>
            <w:tcW w:w="192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100</w:t>
            </w:r>
            <w:r>
              <w:rPr>
                <w:rFonts w:hint="eastAsia" w:ascii="Arial" w:hAnsi="Arial" w:cs="Arial"/>
                <w:bCs/>
                <w:kern w:val="0"/>
                <w:szCs w:val="21"/>
              </w:rPr>
              <w:t>≤</w:t>
            </w:r>
            <w:r>
              <w:rPr>
                <w:rFonts w:ascii="Arial" w:hAnsi="Arial" w:cs="Arial"/>
                <w:bCs/>
                <w:kern w:val="0"/>
                <w:szCs w:val="21"/>
              </w:rPr>
              <w:t>X＜300</w:t>
            </w:r>
          </w:p>
        </w:tc>
        <w:tc>
          <w:tcPr>
            <w:tcW w:w="167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10</w:t>
            </w:r>
            <w:r>
              <w:rPr>
                <w:rFonts w:hint="eastAsia" w:ascii="Arial" w:hAnsi="Arial" w:cs="Arial"/>
                <w:bCs/>
                <w:kern w:val="0"/>
                <w:szCs w:val="21"/>
              </w:rPr>
              <w:t>≤</w:t>
            </w:r>
            <w:r>
              <w:rPr>
                <w:rFonts w:ascii="Arial" w:hAnsi="Arial" w:cs="Arial"/>
                <w:bCs/>
                <w:kern w:val="0"/>
                <w:szCs w:val="21"/>
              </w:rPr>
              <w:t>X＜100</w:t>
            </w:r>
          </w:p>
        </w:tc>
        <w:tc>
          <w:tcPr>
            <w:tcW w:w="1148"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X＜10</w:t>
            </w:r>
          </w:p>
        </w:tc>
      </w:tr>
      <w:tr>
        <w:tblPrEx>
          <w:tblCellMar>
            <w:top w:w="0" w:type="dxa"/>
            <w:left w:w="108" w:type="dxa"/>
            <w:bottom w:w="0" w:type="dxa"/>
            <w:right w:w="108" w:type="dxa"/>
          </w:tblCellMar>
        </w:tblPrEx>
        <w:trPr>
          <w:trHeight w:val="90" w:hRule="atLeast"/>
          <w:jc w:val="center"/>
        </w:trPr>
        <w:tc>
          <w:tcPr>
            <w:tcW w:w="1704"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p>
        </w:tc>
        <w:tc>
          <w:tcPr>
            <w:tcW w:w="1702"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资产总额（Z）</w:t>
            </w:r>
          </w:p>
        </w:tc>
        <w:tc>
          <w:tcPr>
            <w:tcW w:w="1079"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万元</w:t>
            </w:r>
          </w:p>
        </w:tc>
        <w:tc>
          <w:tcPr>
            <w:tcW w:w="192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8000</w:t>
            </w:r>
            <w:r>
              <w:rPr>
                <w:rFonts w:hint="eastAsia" w:ascii="Arial" w:hAnsi="Arial" w:cs="Arial"/>
                <w:bCs/>
                <w:kern w:val="0"/>
                <w:szCs w:val="21"/>
              </w:rPr>
              <w:t>≤</w:t>
            </w:r>
            <w:r>
              <w:rPr>
                <w:rFonts w:ascii="Arial" w:hAnsi="Arial" w:cs="Arial"/>
                <w:bCs/>
                <w:kern w:val="0"/>
                <w:szCs w:val="21"/>
              </w:rPr>
              <w:t>Z＜120000</w:t>
            </w:r>
          </w:p>
        </w:tc>
        <w:tc>
          <w:tcPr>
            <w:tcW w:w="167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100</w:t>
            </w:r>
            <w:r>
              <w:rPr>
                <w:rFonts w:hint="eastAsia" w:ascii="Arial" w:hAnsi="Arial" w:cs="Arial"/>
                <w:bCs/>
                <w:kern w:val="0"/>
                <w:szCs w:val="21"/>
              </w:rPr>
              <w:t>≤</w:t>
            </w:r>
            <w:r>
              <w:rPr>
                <w:rFonts w:ascii="Arial" w:hAnsi="Arial" w:cs="Arial"/>
                <w:bCs/>
                <w:kern w:val="0"/>
                <w:szCs w:val="21"/>
              </w:rPr>
              <w:t>Z＜8000</w:t>
            </w:r>
          </w:p>
        </w:tc>
        <w:tc>
          <w:tcPr>
            <w:tcW w:w="1148"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Y＜100</w:t>
            </w:r>
          </w:p>
        </w:tc>
      </w:tr>
      <w:tr>
        <w:tblPrEx>
          <w:tblCellMar>
            <w:top w:w="0" w:type="dxa"/>
            <w:left w:w="108" w:type="dxa"/>
            <w:bottom w:w="0" w:type="dxa"/>
            <w:right w:w="108" w:type="dxa"/>
          </w:tblCellMar>
        </w:tblPrEx>
        <w:trPr>
          <w:trHeight w:val="90" w:hRule="atLeast"/>
          <w:jc w:val="center"/>
        </w:trPr>
        <w:tc>
          <w:tcPr>
            <w:tcW w:w="1704"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其他未列明行业</w:t>
            </w:r>
          </w:p>
        </w:tc>
        <w:tc>
          <w:tcPr>
            <w:tcW w:w="1702"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从业人员（X）</w:t>
            </w:r>
          </w:p>
        </w:tc>
        <w:tc>
          <w:tcPr>
            <w:tcW w:w="1079"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人</w:t>
            </w:r>
          </w:p>
        </w:tc>
        <w:tc>
          <w:tcPr>
            <w:tcW w:w="192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100</w:t>
            </w:r>
            <w:r>
              <w:rPr>
                <w:rFonts w:hint="eastAsia" w:ascii="Arial" w:hAnsi="Arial" w:cs="Arial"/>
                <w:bCs/>
                <w:kern w:val="0"/>
                <w:szCs w:val="21"/>
              </w:rPr>
              <w:t>≤</w:t>
            </w:r>
            <w:r>
              <w:rPr>
                <w:rFonts w:ascii="Arial" w:hAnsi="Arial" w:cs="Arial"/>
                <w:bCs/>
                <w:kern w:val="0"/>
                <w:szCs w:val="21"/>
              </w:rPr>
              <w:t>X＜300</w:t>
            </w:r>
          </w:p>
        </w:tc>
        <w:tc>
          <w:tcPr>
            <w:tcW w:w="1670"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10</w:t>
            </w:r>
            <w:r>
              <w:rPr>
                <w:rFonts w:hint="eastAsia" w:ascii="Arial" w:hAnsi="Arial" w:cs="Arial"/>
                <w:bCs/>
                <w:kern w:val="0"/>
                <w:szCs w:val="21"/>
              </w:rPr>
              <w:t>≤</w:t>
            </w:r>
            <w:r>
              <w:rPr>
                <w:rFonts w:ascii="Arial" w:hAnsi="Arial" w:cs="Arial"/>
                <w:bCs/>
                <w:kern w:val="0"/>
                <w:szCs w:val="21"/>
              </w:rPr>
              <w:t>X＜100</w:t>
            </w:r>
          </w:p>
        </w:tc>
        <w:tc>
          <w:tcPr>
            <w:tcW w:w="1148"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after="0" w:line="288" w:lineRule="auto"/>
              <w:jc w:val="center"/>
              <w:rPr>
                <w:rFonts w:ascii="Arial" w:hAnsi="Arial" w:cs="Arial"/>
                <w:bCs/>
                <w:kern w:val="0"/>
                <w:szCs w:val="21"/>
              </w:rPr>
            </w:pPr>
            <w:r>
              <w:rPr>
                <w:rFonts w:ascii="Arial" w:hAnsi="Arial" w:cs="Arial"/>
                <w:bCs/>
                <w:kern w:val="0"/>
                <w:szCs w:val="21"/>
              </w:rPr>
              <w:t>X＜10</w:t>
            </w:r>
          </w:p>
        </w:tc>
      </w:tr>
    </w:tbl>
    <w:p>
      <w:pPr>
        <w:pageBreakBefore w:val="0"/>
        <w:kinsoku/>
        <w:wordWrap/>
        <w:overflowPunct/>
        <w:topLinePunct w:val="0"/>
        <w:bidi w:val="0"/>
        <w:adjustRightInd w:val="0"/>
        <w:snapToGrid w:val="0"/>
        <w:spacing w:after="0" w:line="288" w:lineRule="auto"/>
        <w:ind w:firstLine="525" w:firstLineChars="250"/>
        <w:rPr>
          <w:rFonts w:ascii="Arial" w:hAnsi="Arial" w:cs="Arial"/>
          <w:szCs w:val="21"/>
        </w:rPr>
      </w:pPr>
      <w:r>
        <w:rPr>
          <w:rFonts w:ascii="Arial" w:hAnsi="Arial" w:cs="Arial"/>
          <w:szCs w:val="21"/>
        </w:rPr>
        <w:t>说明：上述标准参照《关于印发中小企业划型标准规定的通知》（工信部联企业[2011]300号），大型、中型和小型企业须同时满足所列指标的下限，否则下划一档；微型企业只须满足所列指标中的一项即可。</w:t>
      </w:r>
    </w:p>
    <w:p>
      <w:pPr>
        <w:pageBreakBefore w:val="0"/>
        <w:kinsoku/>
        <w:wordWrap/>
        <w:overflowPunct/>
        <w:topLinePunct w:val="0"/>
        <w:bidi w:val="0"/>
        <w:spacing w:after="0" w:line="288" w:lineRule="auto"/>
        <w:ind w:left="-12" w:leftChars="-6" w:firstLine="420" w:firstLineChars="200"/>
        <w:rPr>
          <w:rFonts w:ascii="Arial" w:hAnsi="Arial" w:cs="Arial"/>
          <w:szCs w:val="21"/>
        </w:rPr>
      </w:pPr>
    </w:p>
    <w:p>
      <w:pPr>
        <w:pStyle w:val="28"/>
        <w:pageBreakBefore w:val="0"/>
        <w:kinsoku/>
        <w:wordWrap/>
        <w:overflowPunct/>
        <w:topLinePunct w:val="0"/>
        <w:bidi w:val="0"/>
        <w:spacing w:after="0" w:line="288" w:lineRule="auto"/>
        <w:rPr>
          <w:rFonts w:ascii="Arial" w:hAnsi="Arial" w:cs="Arial"/>
        </w:rPr>
      </w:pPr>
      <w:r>
        <w:rPr>
          <w:rFonts w:ascii="Arial" w:hAnsi="Arial" w:cs="Arial"/>
          <w:b/>
          <w:szCs w:val="21"/>
        </w:rPr>
        <w:br w:type="page"/>
      </w:r>
      <w:bookmarkStart w:id="41" w:name="_Toc524017825"/>
    </w:p>
    <w:p>
      <w:pPr>
        <w:pStyle w:val="46"/>
        <w:pageBreakBefore w:val="0"/>
        <w:kinsoku/>
        <w:wordWrap/>
        <w:overflowPunct/>
        <w:topLinePunct w:val="0"/>
        <w:bidi w:val="0"/>
        <w:spacing w:before="0" w:after="0" w:line="288" w:lineRule="auto"/>
        <w:rPr>
          <w:rFonts w:ascii="黑体" w:hAnsi="黑体" w:eastAsia="黑体"/>
          <w:kern w:val="0"/>
          <w:sz w:val="52"/>
          <w:szCs w:val="52"/>
        </w:rPr>
      </w:pPr>
      <w:bookmarkStart w:id="42" w:name="_Toc82079337"/>
      <w:bookmarkStart w:id="43" w:name="_Toc6894"/>
      <w:bookmarkStart w:id="44" w:name="_Toc82079289"/>
      <w:r>
        <w:rPr>
          <w:rFonts w:ascii="Arial" w:hAnsi="Arial" w:cs="Arial"/>
        </w:rPr>
        <w:t>第五章  政府采购合同（合同主要条款及格式）</w:t>
      </w:r>
      <w:bookmarkEnd w:id="41"/>
      <w:bookmarkEnd w:id="42"/>
      <w:bookmarkEnd w:id="43"/>
      <w:bookmarkEnd w:id="44"/>
    </w:p>
    <w:p>
      <w:pPr>
        <w:pageBreakBefore w:val="0"/>
        <w:kinsoku/>
        <w:wordWrap/>
        <w:overflowPunct/>
        <w:topLinePunct w:val="0"/>
        <w:bidi w:val="0"/>
        <w:spacing w:after="0" w:line="288" w:lineRule="auto"/>
        <w:jc w:val="center"/>
        <w:rPr>
          <w:rFonts w:ascii="宋体" w:hAnsi="宋体"/>
          <w:b/>
          <w:color w:val="auto"/>
          <w:kern w:val="0"/>
          <w:sz w:val="32"/>
          <w:szCs w:val="32"/>
          <w:highlight w:val="none"/>
          <w:u w:val="single"/>
        </w:rPr>
      </w:pPr>
      <w:r>
        <w:rPr>
          <w:rFonts w:hint="eastAsia" w:ascii="宋体" w:hAnsi="宋体"/>
          <w:b/>
          <w:color w:val="auto"/>
          <w:kern w:val="0"/>
          <w:sz w:val="32"/>
          <w:szCs w:val="32"/>
          <w:highlight w:val="none"/>
        </w:rPr>
        <w:t>合同主要条款</w:t>
      </w:r>
    </w:p>
    <w:p>
      <w:pPr>
        <w:pageBreakBefore w:val="0"/>
        <w:kinsoku/>
        <w:wordWrap/>
        <w:overflowPunct/>
        <w:topLinePunct w:val="0"/>
        <w:bidi w:val="0"/>
        <w:adjustRightInd w:val="0"/>
        <w:snapToGrid w:val="0"/>
        <w:spacing w:after="0" w:line="288" w:lineRule="auto"/>
        <w:ind w:firstLine="420" w:firstLineChars="200"/>
        <w:rPr>
          <w:color w:val="auto"/>
          <w:kern w:val="0"/>
          <w:szCs w:val="21"/>
          <w:highlight w:val="none"/>
        </w:rPr>
      </w:pPr>
    </w:p>
    <w:p>
      <w:pPr>
        <w:pageBreakBefore w:val="0"/>
        <w:kinsoku/>
        <w:wordWrap/>
        <w:overflowPunct/>
        <w:topLinePunct w:val="0"/>
        <w:bidi w:val="0"/>
        <w:adjustRightInd w:val="0"/>
        <w:snapToGrid w:val="0"/>
        <w:spacing w:after="0" w:line="288" w:lineRule="auto"/>
        <w:rPr>
          <w:rFonts w:ascii="宋体" w:hAnsi="宋体" w:cs="宋体"/>
          <w:color w:val="auto"/>
          <w:szCs w:val="21"/>
          <w:highlight w:val="none"/>
        </w:rPr>
      </w:pPr>
      <w:r>
        <w:rPr>
          <w:rFonts w:hint="eastAsia" w:ascii="宋体" w:hAnsi="宋体" w:cs="宋体"/>
          <w:color w:val="auto"/>
          <w:szCs w:val="21"/>
          <w:highlight w:val="none"/>
        </w:rPr>
        <w:t>项目名称：</w:t>
      </w:r>
    </w:p>
    <w:p>
      <w:pPr>
        <w:pageBreakBefore w:val="0"/>
        <w:kinsoku/>
        <w:wordWrap/>
        <w:overflowPunct/>
        <w:topLinePunct w:val="0"/>
        <w:bidi w:val="0"/>
        <w:adjustRightInd w:val="0"/>
        <w:snapToGrid w:val="0"/>
        <w:spacing w:after="0" w:line="288" w:lineRule="auto"/>
        <w:rPr>
          <w:rFonts w:ascii="宋体" w:hAnsi="宋体" w:cs="宋体"/>
          <w:color w:val="auto"/>
          <w:szCs w:val="21"/>
          <w:highlight w:val="none"/>
        </w:rPr>
      </w:pPr>
      <w:r>
        <w:rPr>
          <w:rFonts w:hint="eastAsia" w:ascii="宋体" w:hAnsi="宋体" w:cs="宋体"/>
          <w:color w:val="auto"/>
          <w:szCs w:val="21"/>
          <w:highlight w:val="none"/>
        </w:rPr>
        <w:t>项目编号：</w:t>
      </w:r>
    </w:p>
    <w:p>
      <w:pPr>
        <w:pageBreakBefore w:val="0"/>
        <w:kinsoku/>
        <w:wordWrap/>
        <w:overflowPunct/>
        <w:topLinePunct w:val="0"/>
        <w:bidi w:val="0"/>
        <w:adjustRightInd w:val="0"/>
        <w:snapToGrid w:val="0"/>
        <w:spacing w:after="0" w:line="288" w:lineRule="auto"/>
        <w:rPr>
          <w:rFonts w:ascii="宋体" w:hAnsi="宋体" w:cs="宋体"/>
          <w:color w:val="auto"/>
          <w:szCs w:val="21"/>
          <w:highlight w:val="none"/>
        </w:rPr>
      </w:pPr>
      <w:r>
        <w:rPr>
          <w:rFonts w:hint="eastAsia" w:ascii="宋体" w:hAnsi="宋体" w:cs="宋体"/>
          <w:color w:val="auto"/>
          <w:szCs w:val="21"/>
          <w:highlight w:val="none"/>
        </w:rPr>
        <w:t>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（采购人）</w:t>
      </w:r>
    </w:p>
    <w:p>
      <w:pPr>
        <w:pageBreakBefore w:val="0"/>
        <w:kinsoku/>
        <w:wordWrap/>
        <w:overflowPunct/>
        <w:topLinePunct w:val="0"/>
        <w:bidi w:val="0"/>
        <w:adjustRightInd w:val="0"/>
        <w:snapToGrid w:val="0"/>
        <w:spacing w:after="0" w:line="288" w:lineRule="auto"/>
        <w:rPr>
          <w:rFonts w:ascii="宋体" w:hAnsi="宋体" w:cs="宋体"/>
          <w:color w:val="auto"/>
          <w:szCs w:val="21"/>
          <w:highlight w:val="none"/>
        </w:rPr>
      </w:pPr>
      <w:r>
        <w:rPr>
          <w:rFonts w:hint="eastAsia" w:ascii="宋体" w:hAnsi="宋体" w:cs="宋体"/>
          <w:color w:val="auto"/>
          <w:szCs w:val="21"/>
          <w:highlight w:val="none"/>
        </w:rPr>
        <w:t>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（中标供应商）</w:t>
      </w:r>
    </w:p>
    <w:p>
      <w:pPr>
        <w:pageBreakBefore w:val="0"/>
        <w:kinsoku/>
        <w:wordWrap/>
        <w:overflowPunct/>
        <w:topLinePunct w:val="0"/>
        <w:bidi w:val="0"/>
        <w:adjustRightInd w:val="0"/>
        <w:snapToGrid w:val="0"/>
        <w:spacing w:after="0" w:line="288" w:lineRule="auto"/>
        <w:ind w:firstLine="420" w:firstLineChars="200"/>
        <w:rPr>
          <w:rFonts w:ascii="宋体" w:hAnsi="宋体" w:cs="宋体"/>
          <w:color w:val="auto"/>
          <w:szCs w:val="21"/>
          <w:highlight w:val="none"/>
        </w:rPr>
      </w:pPr>
    </w:p>
    <w:p>
      <w:pPr>
        <w:pageBreakBefore w:val="0"/>
        <w:kinsoku/>
        <w:wordWrap/>
        <w:overflowPunct/>
        <w:topLinePunct w:val="0"/>
        <w:bidi w:val="0"/>
        <w:adjustRightInd w:val="0"/>
        <w:snapToGrid w:val="0"/>
        <w:spacing w:after="0" w:line="288"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政府采购法实施条例》、《中华人民共和国民法典》等法律、法规规定，按照招标文件、投标文件规定条款和中标供应商的承诺、甲乙双方签订本采购合同。</w:t>
      </w:r>
    </w:p>
    <w:p>
      <w:pPr>
        <w:pageBreakBefore w:val="0"/>
        <w:kinsoku/>
        <w:wordWrap/>
        <w:overflowPunct/>
        <w:topLinePunct w:val="0"/>
        <w:bidi w:val="0"/>
        <w:adjustRightInd w:val="0"/>
        <w:snapToGrid w:val="0"/>
        <w:spacing w:after="0" w:line="288" w:lineRule="auto"/>
        <w:ind w:firstLine="420" w:firstLineChars="200"/>
        <w:rPr>
          <w:rFonts w:ascii="宋体" w:hAnsi="宋体" w:cs="宋体"/>
          <w:b/>
          <w:color w:val="auto"/>
          <w:szCs w:val="21"/>
          <w:highlight w:val="none"/>
        </w:rPr>
      </w:pPr>
      <w:r>
        <w:rPr>
          <w:rFonts w:ascii="宋体" w:hAnsi="宋体" w:cs="宋体"/>
          <w:b/>
          <w:color w:val="auto"/>
          <w:szCs w:val="21"/>
          <w:highlight w:val="none"/>
        </w:rPr>
        <w:t>第一条</w:t>
      </w:r>
      <w:r>
        <w:rPr>
          <w:rFonts w:hint="eastAsia" w:ascii="宋体" w:hAnsi="宋体" w:cs="宋体"/>
          <w:b/>
          <w:color w:val="auto"/>
          <w:szCs w:val="21"/>
          <w:highlight w:val="none"/>
        </w:rPr>
        <w:t xml:space="preserve"> 合同标的及合同金额</w:t>
      </w:r>
    </w:p>
    <w:tbl>
      <w:tblPr>
        <w:tblStyle w:val="49"/>
        <w:tblW w:w="963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214"/>
        <w:gridCol w:w="1424"/>
        <w:gridCol w:w="1462"/>
        <w:gridCol w:w="1058"/>
        <w:gridCol w:w="704"/>
        <w:gridCol w:w="1523"/>
        <w:gridCol w:w="1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trPr>
        <w:tc>
          <w:tcPr>
            <w:tcW w:w="699" w:type="dxa"/>
            <w:vAlign w:val="center"/>
          </w:tcPr>
          <w:p>
            <w:pPr>
              <w:pageBreakBefore w:val="0"/>
              <w:kinsoku/>
              <w:wordWrap/>
              <w:overflowPunct/>
              <w:topLinePunct w:val="0"/>
              <w:bidi w:val="0"/>
              <w:adjustRightInd w:val="0"/>
              <w:snapToGrid w:val="0"/>
              <w:spacing w:after="0" w:line="288" w:lineRule="auto"/>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1214" w:type="dxa"/>
            <w:vAlign w:val="center"/>
          </w:tcPr>
          <w:p>
            <w:pPr>
              <w:pageBreakBefore w:val="0"/>
              <w:kinsoku/>
              <w:wordWrap/>
              <w:overflowPunct/>
              <w:topLinePunct w:val="0"/>
              <w:bidi w:val="0"/>
              <w:adjustRightInd w:val="0"/>
              <w:snapToGrid w:val="0"/>
              <w:spacing w:after="0" w:line="288" w:lineRule="auto"/>
              <w:jc w:val="center"/>
              <w:rPr>
                <w:rFonts w:ascii="宋体" w:hAnsi="宋体" w:cs="宋体"/>
                <w:color w:val="auto"/>
                <w:szCs w:val="21"/>
                <w:highlight w:val="none"/>
              </w:rPr>
            </w:pPr>
            <w:r>
              <w:rPr>
                <w:rFonts w:hint="eastAsia" w:ascii="宋体" w:hAnsi="宋体" w:cs="宋体"/>
                <w:color w:val="auto"/>
                <w:szCs w:val="21"/>
                <w:highlight w:val="none"/>
              </w:rPr>
              <w:t>货物名称</w:t>
            </w:r>
          </w:p>
        </w:tc>
        <w:tc>
          <w:tcPr>
            <w:tcW w:w="1424" w:type="dxa"/>
            <w:vAlign w:val="center"/>
          </w:tcPr>
          <w:p>
            <w:pPr>
              <w:pageBreakBefore w:val="0"/>
              <w:kinsoku/>
              <w:wordWrap/>
              <w:overflowPunct/>
              <w:topLinePunct w:val="0"/>
              <w:bidi w:val="0"/>
              <w:adjustRightInd w:val="0"/>
              <w:snapToGrid w:val="0"/>
              <w:spacing w:after="0" w:line="288" w:lineRule="auto"/>
              <w:jc w:val="center"/>
              <w:rPr>
                <w:rFonts w:ascii="宋体" w:hAnsi="宋体" w:cs="宋体"/>
                <w:color w:val="auto"/>
                <w:szCs w:val="21"/>
                <w:highlight w:val="none"/>
              </w:rPr>
            </w:pPr>
            <w:r>
              <w:rPr>
                <w:rFonts w:hint="eastAsia" w:ascii="宋体" w:hAnsi="宋体" w:cs="宋体"/>
                <w:color w:val="auto"/>
                <w:szCs w:val="30"/>
                <w:highlight w:val="none"/>
              </w:rPr>
              <w:t>厂家、品牌、规格型号</w:t>
            </w:r>
          </w:p>
        </w:tc>
        <w:tc>
          <w:tcPr>
            <w:tcW w:w="1462" w:type="dxa"/>
            <w:vAlign w:val="center"/>
          </w:tcPr>
          <w:p>
            <w:pPr>
              <w:pageBreakBefore w:val="0"/>
              <w:kinsoku/>
              <w:wordWrap/>
              <w:overflowPunct/>
              <w:topLinePunct w:val="0"/>
              <w:bidi w:val="0"/>
              <w:adjustRightInd w:val="0"/>
              <w:snapToGrid w:val="0"/>
              <w:spacing w:after="0" w:line="288" w:lineRule="auto"/>
              <w:jc w:val="center"/>
              <w:rPr>
                <w:rFonts w:ascii="宋体" w:hAnsi="宋体" w:cs="宋体"/>
                <w:color w:val="auto"/>
                <w:szCs w:val="21"/>
                <w:highlight w:val="none"/>
              </w:rPr>
            </w:pPr>
            <w:r>
              <w:rPr>
                <w:rFonts w:hint="eastAsia" w:ascii="宋体" w:hAnsi="宋体" w:cs="宋体"/>
                <w:color w:val="auto"/>
                <w:szCs w:val="21"/>
                <w:highlight w:val="none"/>
              </w:rPr>
              <w:t>技术参数、性能、配置</w:t>
            </w:r>
          </w:p>
        </w:tc>
        <w:tc>
          <w:tcPr>
            <w:tcW w:w="1058" w:type="dxa"/>
            <w:vAlign w:val="center"/>
          </w:tcPr>
          <w:p>
            <w:pPr>
              <w:pageBreakBefore w:val="0"/>
              <w:kinsoku/>
              <w:wordWrap/>
              <w:overflowPunct/>
              <w:topLinePunct w:val="0"/>
              <w:bidi w:val="0"/>
              <w:adjustRightInd w:val="0"/>
              <w:snapToGrid w:val="0"/>
              <w:spacing w:after="0" w:line="288" w:lineRule="auto"/>
              <w:jc w:val="center"/>
              <w:rPr>
                <w:rFonts w:ascii="宋体" w:hAnsi="宋体" w:cs="宋体"/>
                <w:color w:val="auto"/>
                <w:szCs w:val="21"/>
                <w:highlight w:val="none"/>
              </w:rPr>
            </w:pPr>
            <w:r>
              <w:rPr>
                <w:rFonts w:hint="eastAsia" w:ascii="宋体" w:hAnsi="宋体" w:cs="宋体"/>
                <w:color w:val="auto"/>
                <w:szCs w:val="21"/>
                <w:highlight w:val="none"/>
              </w:rPr>
              <w:t>数量</w:t>
            </w:r>
          </w:p>
          <w:p>
            <w:pPr>
              <w:pageBreakBefore w:val="0"/>
              <w:kinsoku/>
              <w:wordWrap/>
              <w:overflowPunct/>
              <w:topLinePunct w:val="0"/>
              <w:bidi w:val="0"/>
              <w:adjustRightInd w:val="0"/>
              <w:snapToGrid w:val="0"/>
              <w:spacing w:after="0" w:line="288" w:lineRule="auto"/>
              <w:jc w:val="center"/>
              <w:rPr>
                <w:rFonts w:ascii="宋体" w:hAnsi="宋体" w:cs="宋体"/>
                <w:color w:val="auto"/>
                <w:szCs w:val="21"/>
                <w:highlight w:val="none"/>
              </w:rPr>
            </w:pPr>
            <w:r>
              <w:rPr>
                <w:rFonts w:hint="eastAsia" w:ascii="宋体" w:hAnsi="宋体" w:cs="宋体"/>
                <w:color w:val="auto"/>
                <w:szCs w:val="21"/>
                <w:highlight w:val="none"/>
              </w:rPr>
              <w:t>①</w:t>
            </w:r>
          </w:p>
        </w:tc>
        <w:tc>
          <w:tcPr>
            <w:tcW w:w="704" w:type="dxa"/>
            <w:vAlign w:val="center"/>
          </w:tcPr>
          <w:p>
            <w:pPr>
              <w:pageBreakBefore w:val="0"/>
              <w:kinsoku/>
              <w:wordWrap/>
              <w:overflowPunct/>
              <w:topLinePunct w:val="0"/>
              <w:bidi w:val="0"/>
              <w:adjustRightInd w:val="0"/>
              <w:snapToGrid w:val="0"/>
              <w:spacing w:after="0" w:line="288" w:lineRule="auto"/>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1523" w:type="dxa"/>
            <w:vAlign w:val="center"/>
          </w:tcPr>
          <w:p>
            <w:pPr>
              <w:pageBreakBefore w:val="0"/>
              <w:kinsoku/>
              <w:wordWrap/>
              <w:overflowPunct/>
              <w:topLinePunct w:val="0"/>
              <w:bidi w:val="0"/>
              <w:adjustRightInd w:val="0"/>
              <w:snapToGrid w:val="0"/>
              <w:spacing w:after="0" w:line="288" w:lineRule="auto"/>
              <w:jc w:val="center"/>
              <w:rPr>
                <w:rFonts w:ascii="宋体" w:hAnsi="宋体" w:cs="宋体"/>
                <w:color w:val="auto"/>
                <w:szCs w:val="21"/>
                <w:highlight w:val="none"/>
              </w:rPr>
            </w:pPr>
            <w:r>
              <w:rPr>
                <w:rFonts w:hint="eastAsia" w:ascii="宋体" w:hAnsi="宋体" w:cs="宋体"/>
                <w:color w:val="auto"/>
                <w:szCs w:val="21"/>
                <w:highlight w:val="none"/>
              </w:rPr>
              <w:t>单价（元）</w:t>
            </w:r>
          </w:p>
          <w:p>
            <w:pPr>
              <w:pageBreakBefore w:val="0"/>
              <w:kinsoku/>
              <w:wordWrap/>
              <w:overflowPunct/>
              <w:topLinePunct w:val="0"/>
              <w:bidi w:val="0"/>
              <w:adjustRightInd w:val="0"/>
              <w:snapToGrid w:val="0"/>
              <w:spacing w:after="0" w:line="288" w:lineRule="auto"/>
              <w:jc w:val="center"/>
              <w:rPr>
                <w:rFonts w:ascii="宋体" w:hAnsi="宋体" w:cs="宋体"/>
                <w:color w:val="auto"/>
                <w:szCs w:val="21"/>
                <w:highlight w:val="none"/>
              </w:rPr>
            </w:pPr>
            <w:r>
              <w:rPr>
                <w:rFonts w:hint="eastAsia" w:ascii="宋体" w:hAnsi="宋体" w:cs="宋体"/>
                <w:color w:val="auto"/>
                <w:szCs w:val="21"/>
                <w:highlight w:val="none"/>
              </w:rPr>
              <w:t>②</w:t>
            </w:r>
          </w:p>
        </w:tc>
        <w:tc>
          <w:tcPr>
            <w:tcW w:w="1553" w:type="dxa"/>
            <w:vAlign w:val="center"/>
          </w:tcPr>
          <w:p>
            <w:pPr>
              <w:pageBreakBefore w:val="0"/>
              <w:kinsoku/>
              <w:wordWrap/>
              <w:overflowPunct/>
              <w:topLinePunct w:val="0"/>
              <w:bidi w:val="0"/>
              <w:adjustRightInd w:val="0"/>
              <w:snapToGrid w:val="0"/>
              <w:spacing w:after="0" w:line="288" w:lineRule="auto"/>
              <w:jc w:val="center"/>
              <w:rPr>
                <w:rFonts w:ascii="宋体" w:hAnsi="宋体" w:cs="宋体"/>
                <w:color w:val="auto"/>
                <w:szCs w:val="21"/>
                <w:highlight w:val="none"/>
              </w:rPr>
            </w:pPr>
            <w:r>
              <w:rPr>
                <w:rFonts w:hint="eastAsia" w:ascii="宋体" w:hAnsi="宋体" w:cs="宋体"/>
                <w:b/>
                <w:color w:val="auto"/>
                <w:szCs w:val="21"/>
                <w:highlight w:val="none"/>
              </w:rPr>
              <w:t>单项合计金额</w:t>
            </w:r>
            <w:r>
              <w:rPr>
                <w:rFonts w:hint="eastAsia" w:ascii="宋体" w:hAnsi="宋体" w:cs="宋体"/>
                <w:color w:val="auto"/>
                <w:szCs w:val="21"/>
                <w:highlight w:val="none"/>
              </w:rPr>
              <w:t>（元）</w:t>
            </w:r>
          </w:p>
          <w:p>
            <w:pPr>
              <w:pageBreakBefore w:val="0"/>
              <w:kinsoku/>
              <w:wordWrap/>
              <w:overflowPunct/>
              <w:topLinePunct w:val="0"/>
              <w:bidi w:val="0"/>
              <w:adjustRightInd w:val="0"/>
              <w:snapToGrid w:val="0"/>
              <w:spacing w:after="0" w:line="288" w:lineRule="auto"/>
              <w:jc w:val="center"/>
              <w:rPr>
                <w:rFonts w:ascii="宋体" w:hAnsi="宋体" w:cs="宋体"/>
                <w:color w:val="auto"/>
                <w:szCs w:val="21"/>
                <w:highlight w:val="none"/>
              </w:rPr>
            </w:pPr>
            <w:r>
              <w:rPr>
                <w:rFonts w:hint="eastAsia" w:ascii="宋体" w:hAnsi="宋体" w:cs="宋体"/>
                <w:color w:val="auto"/>
                <w:szCs w:val="21"/>
                <w:highlight w:val="none"/>
              </w:rPr>
              <w:t>③＝①×②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699" w:type="dxa"/>
            <w:vAlign w:val="center"/>
          </w:tcPr>
          <w:p>
            <w:pPr>
              <w:pageBreakBefore w:val="0"/>
              <w:kinsoku/>
              <w:wordWrap/>
              <w:overflowPunct/>
              <w:topLinePunct w:val="0"/>
              <w:bidi w:val="0"/>
              <w:adjustRightInd w:val="0"/>
              <w:snapToGrid w:val="0"/>
              <w:spacing w:after="0" w:line="288"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214" w:type="dxa"/>
            <w:vAlign w:val="center"/>
          </w:tcPr>
          <w:p>
            <w:pPr>
              <w:pageBreakBefore w:val="0"/>
              <w:kinsoku/>
              <w:wordWrap/>
              <w:overflowPunct/>
              <w:topLinePunct w:val="0"/>
              <w:bidi w:val="0"/>
              <w:adjustRightInd w:val="0"/>
              <w:snapToGrid w:val="0"/>
              <w:spacing w:after="0" w:line="288" w:lineRule="auto"/>
              <w:jc w:val="center"/>
              <w:rPr>
                <w:rFonts w:ascii="宋体" w:hAnsi="宋体" w:cs="宋体"/>
                <w:color w:val="auto"/>
                <w:szCs w:val="21"/>
                <w:highlight w:val="none"/>
              </w:rPr>
            </w:pPr>
          </w:p>
        </w:tc>
        <w:tc>
          <w:tcPr>
            <w:tcW w:w="1424" w:type="dxa"/>
            <w:vAlign w:val="center"/>
          </w:tcPr>
          <w:p>
            <w:pPr>
              <w:pageBreakBefore w:val="0"/>
              <w:kinsoku/>
              <w:wordWrap/>
              <w:overflowPunct/>
              <w:topLinePunct w:val="0"/>
              <w:bidi w:val="0"/>
              <w:adjustRightInd w:val="0"/>
              <w:snapToGrid w:val="0"/>
              <w:spacing w:after="0" w:line="288" w:lineRule="auto"/>
              <w:rPr>
                <w:rFonts w:ascii="宋体" w:hAnsi="宋体" w:cs="宋体"/>
                <w:color w:val="auto"/>
                <w:szCs w:val="21"/>
                <w:highlight w:val="none"/>
              </w:rPr>
            </w:pPr>
          </w:p>
        </w:tc>
        <w:tc>
          <w:tcPr>
            <w:tcW w:w="1462" w:type="dxa"/>
            <w:vAlign w:val="center"/>
          </w:tcPr>
          <w:p>
            <w:pPr>
              <w:pageBreakBefore w:val="0"/>
              <w:kinsoku/>
              <w:wordWrap/>
              <w:overflowPunct/>
              <w:topLinePunct w:val="0"/>
              <w:bidi w:val="0"/>
              <w:adjustRightInd w:val="0"/>
              <w:snapToGrid w:val="0"/>
              <w:spacing w:after="0" w:line="288" w:lineRule="auto"/>
              <w:rPr>
                <w:rFonts w:ascii="宋体" w:hAnsi="宋体" w:cs="宋体"/>
                <w:color w:val="auto"/>
                <w:szCs w:val="21"/>
                <w:highlight w:val="none"/>
              </w:rPr>
            </w:pPr>
          </w:p>
        </w:tc>
        <w:tc>
          <w:tcPr>
            <w:tcW w:w="1058" w:type="dxa"/>
            <w:vAlign w:val="center"/>
          </w:tcPr>
          <w:p>
            <w:pPr>
              <w:pageBreakBefore w:val="0"/>
              <w:kinsoku/>
              <w:wordWrap/>
              <w:overflowPunct/>
              <w:topLinePunct w:val="0"/>
              <w:bidi w:val="0"/>
              <w:adjustRightInd w:val="0"/>
              <w:snapToGrid w:val="0"/>
              <w:spacing w:after="0" w:line="288" w:lineRule="auto"/>
              <w:jc w:val="center"/>
              <w:rPr>
                <w:rFonts w:ascii="宋体" w:hAnsi="宋体" w:cs="宋体"/>
                <w:color w:val="auto"/>
                <w:szCs w:val="21"/>
                <w:highlight w:val="none"/>
              </w:rPr>
            </w:pPr>
          </w:p>
        </w:tc>
        <w:tc>
          <w:tcPr>
            <w:tcW w:w="704" w:type="dxa"/>
            <w:vAlign w:val="center"/>
          </w:tcPr>
          <w:p>
            <w:pPr>
              <w:pageBreakBefore w:val="0"/>
              <w:kinsoku/>
              <w:wordWrap/>
              <w:overflowPunct/>
              <w:topLinePunct w:val="0"/>
              <w:bidi w:val="0"/>
              <w:adjustRightInd w:val="0"/>
              <w:snapToGrid w:val="0"/>
              <w:spacing w:after="0" w:line="288" w:lineRule="auto"/>
              <w:jc w:val="center"/>
              <w:rPr>
                <w:rFonts w:ascii="宋体" w:hAnsi="宋体" w:cs="宋体"/>
                <w:color w:val="auto"/>
                <w:szCs w:val="21"/>
                <w:highlight w:val="none"/>
              </w:rPr>
            </w:pPr>
          </w:p>
        </w:tc>
        <w:tc>
          <w:tcPr>
            <w:tcW w:w="1523" w:type="dxa"/>
            <w:vAlign w:val="center"/>
          </w:tcPr>
          <w:p>
            <w:pPr>
              <w:pageBreakBefore w:val="0"/>
              <w:kinsoku/>
              <w:wordWrap/>
              <w:overflowPunct/>
              <w:topLinePunct w:val="0"/>
              <w:bidi w:val="0"/>
              <w:adjustRightInd w:val="0"/>
              <w:snapToGrid w:val="0"/>
              <w:spacing w:after="0" w:line="288" w:lineRule="auto"/>
              <w:rPr>
                <w:rFonts w:ascii="宋体" w:hAnsi="宋体" w:cs="宋体"/>
                <w:color w:val="auto"/>
                <w:szCs w:val="21"/>
                <w:highlight w:val="none"/>
              </w:rPr>
            </w:pPr>
          </w:p>
        </w:tc>
        <w:tc>
          <w:tcPr>
            <w:tcW w:w="1553" w:type="dxa"/>
            <w:vAlign w:val="center"/>
          </w:tcPr>
          <w:p>
            <w:pPr>
              <w:pageBreakBefore w:val="0"/>
              <w:kinsoku/>
              <w:wordWrap/>
              <w:overflowPunct/>
              <w:topLinePunct w:val="0"/>
              <w:bidi w:val="0"/>
              <w:adjustRightInd w:val="0"/>
              <w:snapToGrid w:val="0"/>
              <w:spacing w:after="0" w:line="288"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699" w:type="dxa"/>
            <w:vAlign w:val="center"/>
          </w:tcPr>
          <w:p>
            <w:pPr>
              <w:pageBreakBefore w:val="0"/>
              <w:kinsoku/>
              <w:wordWrap/>
              <w:overflowPunct/>
              <w:topLinePunct w:val="0"/>
              <w:bidi w:val="0"/>
              <w:adjustRightInd w:val="0"/>
              <w:snapToGrid w:val="0"/>
              <w:spacing w:after="0" w:line="288"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214" w:type="dxa"/>
            <w:vAlign w:val="center"/>
          </w:tcPr>
          <w:p>
            <w:pPr>
              <w:pageBreakBefore w:val="0"/>
              <w:kinsoku/>
              <w:wordWrap/>
              <w:overflowPunct/>
              <w:topLinePunct w:val="0"/>
              <w:bidi w:val="0"/>
              <w:adjustRightInd w:val="0"/>
              <w:snapToGrid w:val="0"/>
              <w:spacing w:after="0" w:line="288" w:lineRule="auto"/>
              <w:jc w:val="center"/>
              <w:rPr>
                <w:rFonts w:ascii="宋体" w:hAnsi="宋体" w:cs="宋体"/>
                <w:color w:val="auto"/>
                <w:szCs w:val="21"/>
                <w:highlight w:val="none"/>
              </w:rPr>
            </w:pPr>
          </w:p>
        </w:tc>
        <w:tc>
          <w:tcPr>
            <w:tcW w:w="1424" w:type="dxa"/>
            <w:vAlign w:val="center"/>
          </w:tcPr>
          <w:p>
            <w:pPr>
              <w:pageBreakBefore w:val="0"/>
              <w:kinsoku/>
              <w:wordWrap/>
              <w:overflowPunct/>
              <w:topLinePunct w:val="0"/>
              <w:bidi w:val="0"/>
              <w:adjustRightInd w:val="0"/>
              <w:snapToGrid w:val="0"/>
              <w:spacing w:after="0" w:line="288" w:lineRule="auto"/>
              <w:rPr>
                <w:rFonts w:ascii="宋体" w:hAnsi="宋体" w:cs="宋体"/>
                <w:color w:val="auto"/>
                <w:szCs w:val="21"/>
                <w:highlight w:val="none"/>
              </w:rPr>
            </w:pPr>
          </w:p>
        </w:tc>
        <w:tc>
          <w:tcPr>
            <w:tcW w:w="1462" w:type="dxa"/>
            <w:vAlign w:val="center"/>
          </w:tcPr>
          <w:p>
            <w:pPr>
              <w:pageBreakBefore w:val="0"/>
              <w:kinsoku/>
              <w:wordWrap/>
              <w:overflowPunct/>
              <w:topLinePunct w:val="0"/>
              <w:bidi w:val="0"/>
              <w:adjustRightInd w:val="0"/>
              <w:snapToGrid w:val="0"/>
              <w:spacing w:after="0" w:line="288" w:lineRule="auto"/>
              <w:rPr>
                <w:rFonts w:ascii="宋体" w:hAnsi="宋体" w:cs="宋体"/>
                <w:color w:val="auto"/>
                <w:szCs w:val="21"/>
                <w:highlight w:val="none"/>
              </w:rPr>
            </w:pPr>
          </w:p>
        </w:tc>
        <w:tc>
          <w:tcPr>
            <w:tcW w:w="1058" w:type="dxa"/>
            <w:vAlign w:val="center"/>
          </w:tcPr>
          <w:p>
            <w:pPr>
              <w:pageBreakBefore w:val="0"/>
              <w:kinsoku/>
              <w:wordWrap/>
              <w:overflowPunct/>
              <w:topLinePunct w:val="0"/>
              <w:bidi w:val="0"/>
              <w:adjustRightInd w:val="0"/>
              <w:snapToGrid w:val="0"/>
              <w:spacing w:after="0" w:line="288" w:lineRule="auto"/>
              <w:jc w:val="center"/>
              <w:rPr>
                <w:rFonts w:ascii="宋体" w:hAnsi="宋体" w:cs="宋体"/>
                <w:color w:val="auto"/>
                <w:szCs w:val="21"/>
                <w:highlight w:val="none"/>
              </w:rPr>
            </w:pPr>
          </w:p>
        </w:tc>
        <w:tc>
          <w:tcPr>
            <w:tcW w:w="704" w:type="dxa"/>
            <w:vAlign w:val="center"/>
          </w:tcPr>
          <w:p>
            <w:pPr>
              <w:pageBreakBefore w:val="0"/>
              <w:kinsoku/>
              <w:wordWrap/>
              <w:overflowPunct/>
              <w:topLinePunct w:val="0"/>
              <w:bidi w:val="0"/>
              <w:adjustRightInd w:val="0"/>
              <w:snapToGrid w:val="0"/>
              <w:spacing w:after="0" w:line="288" w:lineRule="auto"/>
              <w:jc w:val="center"/>
              <w:rPr>
                <w:rFonts w:ascii="宋体" w:hAnsi="宋体" w:cs="宋体"/>
                <w:color w:val="auto"/>
                <w:szCs w:val="21"/>
                <w:highlight w:val="none"/>
              </w:rPr>
            </w:pPr>
          </w:p>
        </w:tc>
        <w:tc>
          <w:tcPr>
            <w:tcW w:w="1523" w:type="dxa"/>
            <w:vAlign w:val="center"/>
          </w:tcPr>
          <w:p>
            <w:pPr>
              <w:pageBreakBefore w:val="0"/>
              <w:kinsoku/>
              <w:wordWrap/>
              <w:overflowPunct/>
              <w:topLinePunct w:val="0"/>
              <w:bidi w:val="0"/>
              <w:adjustRightInd w:val="0"/>
              <w:snapToGrid w:val="0"/>
              <w:spacing w:after="0" w:line="288" w:lineRule="auto"/>
              <w:rPr>
                <w:rFonts w:ascii="宋体" w:hAnsi="宋体" w:cs="宋体"/>
                <w:color w:val="auto"/>
                <w:szCs w:val="21"/>
                <w:highlight w:val="none"/>
              </w:rPr>
            </w:pPr>
          </w:p>
        </w:tc>
        <w:tc>
          <w:tcPr>
            <w:tcW w:w="1553" w:type="dxa"/>
            <w:vAlign w:val="center"/>
          </w:tcPr>
          <w:p>
            <w:pPr>
              <w:pageBreakBefore w:val="0"/>
              <w:kinsoku/>
              <w:wordWrap/>
              <w:overflowPunct/>
              <w:topLinePunct w:val="0"/>
              <w:bidi w:val="0"/>
              <w:adjustRightInd w:val="0"/>
              <w:snapToGrid w:val="0"/>
              <w:spacing w:after="0" w:line="288"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699" w:type="dxa"/>
            <w:vAlign w:val="center"/>
          </w:tcPr>
          <w:p>
            <w:pPr>
              <w:pageBreakBefore w:val="0"/>
              <w:kinsoku/>
              <w:wordWrap/>
              <w:overflowPunct/>
              <w:topLinePunct w:val="0"/>
              <w:bidi w:val="0"/>
              <w:adjustRightInd w:val="0"/>
              <w:snapToGrid w:val="0"/>
              <w:spacing w:after="0" w:line="288"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1214" w:type="dxa"/>
            <w:vAlign w:val="center"/>
          </w:tcPr>
          <w:p>
            <w:pPr>
              <w:pageBreakBefore w:val="0"/>
              <w:kinsoku/>
              <w:wordWrap/>
              <w:overflowPunct/>
              <w:topLinePunct w:val="0"/>
              <w:bidi w:val="0"/>
              <w:adjustRightInd w:val="0"/>
              <w:snapToGrid w:val="0"/>
              <w:spacing w:after="0" w:line="288" w:lineRule="auto"/>
              <w:jc w:val="center"/>
              <w:rPr>
                <w:rFonts w:ascii="宋体" w:hAnsi="宋体" w:cs="宋体"/>
                <w:color w:val="auto"/>
                <w:szCs w:val="21"/>
                <w:highlight w:val="none"/>
              </w:rPr>
            </w:pPr>
          </w:p>
        </w:tc>
        <w:tc>
          <w:tcPr>
            <w:tcW w:w="1424" w:type="dxa"/>
            <w:vAlign w:val="center"/>
          </w:tcPr>
          <w:p>
            <w:pPr>
              <w:pageBreakBefore w:val="0"/>
              <w:kinsoku/>
              <w:wordWrap/>
              <w:overflowPunct/>
              <w:topLinePunct w:val="0"/>
              <w:bidi w:val="0"/>
              <w:adjustRightInd w:val="0"/>
              <w:snapToGrid w:val="0"/>
              <w:spacing w:after="0" w:line="288" w:lineRule="auto"/>
              <w:rPr>
                <w:rFonts w:ascii="宋体" w:hAnsi="宋体" w:cs="宋体"/>
                <w:color w:val="auto"/>
                <w:szCs w:val="21"/>
                <w:highlight w:val="none"/>
              </w:rPr>
            </w:pPr>
          </w:p>
        </w:tc>
        <w:tc>
          <w:tcPr>
            <w:tcW w:w="1462" w:type="dxa"/>
            <w:vAlign w:val="center"/>
          </w:tcPr>
          <w:p>
            <w:pPr>
              <w:pageBreakBefore w:val="0"/>
              <w:kinsoku/>
              <w:wordWrap/>
              <w:overflowPunct/>
              <w:topLinePunct w:val="0"/>
              <w:bidi w:val="0"/>
              <w:adjustRightInd w:val="0"/>
              <w:snapToGrid w:val="0"/>
              <w:spacing w:after="0" w:line="288" w:lineRule="auto"/>
              <w:rPr>
                <w:rFonts w:ascii="宋体" w:hAnsi="宋体" w:cs="宋体"/>
                <w:color w:val="auto"/>
                <w:szCs w:val="21"/>
                <w:highlight w:val="none"/>
              </w:rPr>
            </w:pPr>
          </w:p>
        </w:tc>
        <w:tc>
          <w:tcPr>
            <w:tcW w:w="1058" w:type="dxa"/>
            <w:vAlign w:val="center"/>
          </w:tcPr>
          <w:p>
            <w:pPr>
              <w:pageBreakBefore w:val="0"/>
              <w:kinsoku/>
              <w:wordWrap/>
              <w:overflowPunct/>
              <w:topLinePunct w:val="0"/>
              <w:bidi w:val="0"/>
              <w:adjustRightInd w:val="0"/>
              <w:snapToGrid w:val="0"/>
              <w:spacing w:after="0" w:line="288" w:lineRule="auto"/>
              <w:jc w:val="center"/>
              <w:rPr>
                <w:rFonts w:ascii="宋体" w:hAnsi="宋体" w:cs="宋体"/>
                <w:color w:val="auto"/>
                <w:szCs w:val="21"/>
                <w:highlight w:val="none"/>
              </w:rPr>
            </w:pPr>
          </w:p>
        </w:tc>
        <w:tc>
          <w:tcPr>
            <w:tcW w:w="704" w:type="dxa"/>
            <w:vAlign w:val="center"/>
          </w:tcPr>
          <w:p>
            <w:pPr>
              <w:pageBreakBefore w:val="0"/>
              <w:kinsoku/>
              <w:wordWrap/>
              <w:overflowPunct/>
              <w:topLinePunct w:val="0"/>
              <w:bidi w:val="0"/>
              <w:adjustRightInd w:val="0"/>
              <w:snapToGrid w:val="0"/>
              <w:spacing w:after="0" w:line="288" w:lineRule="auto"/>
              <w:jc w:val="center"/>
              <w:rPr>
                <w:rFonts w:ascii="宋体" w:hAnsi="宋体" w:cs="宋体"/>
                <w:color w:val="auto"/>
                <w:szCs w:val="21"/>
                <w:highlight w:val="none"/>
              </w:rPr>
            </w:pPr>
          </w:p>
        </w:tc>
        <w:tc>
          <w:tcPr>
            <w:tcW w:w="1523" w:type="dxa"/>
            <w:vAlign w:val="center"/>
          </w:tcPr>
          <w:p>
            <w:pPr>
              <w:pageBreakBefore w:val="0"/>
              <w:kinsoku/>
              <w:wordWrap/>
              <w:overflowPunct/>
              <w:topLinePunct w:val="0"/>
              <w:bidi w:val="0"/>
              <w:adjustRightInd w:val="0"/>
              <w:snapToGrid w:val="0"/>
              <w:spacing w:after="0" w:line="288" w:lineRule="auto"/>
              <w:rPr>
                <w:rFonts w:ascii="宋体" w:hAnsi="宋体" w:cs="宋体"/>
                <w:color w:val="auto"/>
                <w:szCs w:val="21"/>
                <w:highlight w:val="none"/>
              </w:rPr>
            </w:pPr>
          </w:p>
        </w:tc>
        <w:tc>
          <w:tcPr>
            <w:tcW w:w="1553" w:type="dxa"/>
            <w:vAlign w:val="center"/>
          </w:tcPr>
          <w:p>
            <w:pPr>
              <w:pageBreakBefore w:val="0"/>
              <w:kinsoku/>
              <w:wordWrap/>
              <w:overflowPunct/>
              <w:topLinePunct w:val="0"/>
              <w:bidi w:val="0"/>
              <w:adjustRightInd w:val="0"/>
              <w:snapToGrid w:val="0"/>
              <w:spacing w:after="0" w:line="288"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084" w:type="dxa"/>
            <w:gridSpan w:val="7"/>
            <w:vAlign w:val="center"/>
          </w:tcPr>
          <w:p>
            <w:pPr>
              <w:pageBreakBefore w:val="0"/>
              <w:kinsoku/>
              <w:wordWrap/>
              <w:overflowPunct/>
              <w:topLinePunct w:val="0"/>
              <w:bidi w:val="0"/>
              <w:adjustRightInd w:val="0"/>
              <w:snapToGrid w:val="0"/>
              <w:spacing w:after="0" w:line="288" w:lineRule="auto"/>
              <w:rPr>
                <w:rFonts w:ascii="宋体" w:hAnsi="宋体" w:cs="宋体"/>
                <w:color w:val="auto"/>
                <w:szCs w:val="21"/>
                <w:highlight w:val="none"/>
              </w:rPr>
            </w:pPr>
            <w:r>
              <w:rPr>
                <w:rFonts w:hint="eastAsia" w:ascii="宋体" w:hAnsi="宋体" w:cs="宋体"/>
                <w:color w:val="auto"/>
                <w:szCs w:val="21"/>
                <w:highlight w:val="none"/>
              </w:rPr>
              <w:t xml:space="preserve">                                                         合   计</w:t>
            </w:r>
          </w:p>
        </w:tc>
        <w:tc>
          <w:tcPr>
            <w:tcW w:w="1553" w:type="dxa"/>
            <w:vAlign w:val="center"/>
          </w:tcPr>
          <w:p>
            <w:pPr>
              <w:pageBreakBefore w:val="0"/>
              <w:kinsoku/>
              <w:wordWrap/>
              <w:overflowPunct/>
              <w:topLinePunct w:val="0"/>
              <w:bidi w:val="0"/>
              <w:adjustRightInd w:val="0"/>
              <w:snapToGrid w:val="0"/>
              <w:spacing w:after="0" w:line="288" w:lineRule="auto"/>
              <w:rPr>
                <w:rFonts w:ascii="宋体" w:hAnsi="宋体" w:cs="宋体"/>
                <w:color w:val="auto"/>
                <w:szCs w:val="21"/>
                <w:highlight w:val="none"/>
              </w:rPr>
            </w:pPr>
          </w:p>
        </w:tc>
      </w:tr>
    </w:tbl>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ascii="Arial" w:hAnsi="Arial" w:cs="Arial"/>
          <w:color w:val="auto"/>
          <w:szCs w:val="21"/>
          <w:highlight w:val="none"/>
        </w:rPr>
        <w:t>根据《中标通知书》的中标内容，合同的总金额为：（大写）</w:t>
      </w:r>
      <w:r>
        <w:rPr>
          <w:rFonts w:ascii="Arial" w:hAnsi="Arial" w:cs="Arial"/>
          <w:color w:val="auto"/>
          <w:szCs w:val="21"/>
          <w:highlight w:val="none"/>
          <w:u w:val="single"/>
        </w:rPr>
        <w:t>　　　　　　　　　　　　　　　　　</w:t>
      </w:r>
      <w:r>
        <w:rPr>
          <w:rFonts w:ascii="Arial" w:hAnsi="Arial" w:cs="Arial"/>
          <w:color w:val="auto"/>
          <w:szCs w:val="21"/>
          <w:highlight w:val="none"/>
        </w:rPr>
        <w:t>人民币（￥</w:t>
      </w:r>
      <w:r>
        <w:rPr>
          <w:rFonts w:ascii="Arial" w:hAnsi="Arial" w:cs="Arial"/>
          <w:color w:val="auto"/>
          <w:szCs w:val="21"/>
          <w:highlight w:val="none"/>
          <w:u w:val="single"/>
        </w:rPr>
        <w:t>　　　　　　　　　　　　　　　</w:t>
      </w:r>
      <w:r>
        <w:rPr>
          <w:rFonts w:ascii="Arial" w:hAnsi="Arial" w:cs="Arial"/>
          <w:color w:val="auto"/>
          <w:szCs w:val="21"/>
          <w:highlight w:val="none"/>
        </w:rPr>
        <w:t>元）</w:t>
      </w:r>
    </w:p>
    <w:p>
      <w:pPr>
        <w:pageBreakBefore w:val="0"/>
        <w:kinsoku/>
        <w:wordWrap/>
        <w:overflowPunct/>
        <w:topLinePunct w:val="0"/>
        <w:bidi w:val="0"/>
        <w:adjustRightInd w:val="0"/>
        <w:snapToGrid w:val="0"/>
        <w:spacing w:after="0" w:line="288" w:lineRule="auto"/>
        <w:ind w:firstLine="420" w:firstLineChars="200"/>
        <w:rPr>
          <w:rFonts w:ascii="Arial" w:hAnsi="Arial" w:cs="Arial"/>
          <w:b/>
          <w:color w:val="auto"/>
          <w:szCs w:val="21"/>
          <w:highlight w:val="none"/>
        </w:rPr>
      </w:pPr>
      <w:r>
        <w:rPr>
          <w:rFonts w:ascii="Arial" w:hAnsi="Arial" w:cs="Arial"/>
          <w:b/>
          <w:color w:val="auto"/>
          <w:szCs w:val="21"/>
          <w:highlight w:val="none"/>
        </w:rPr>
        <w:t>第二条  质量保证</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ascii="Arial" w:hAnsi="Arial" w:cs="Arial"/>
          <w:color w:val="auto"/>
          <w:szCs w:val="21"/>
          <w:highlight w:val="none"/>
        </w:rPr>
        <w:t>1. 乙方应按投标文件承诺的货物型号、技术规格、技术参数、性能、配置、质量标准向甲方提供未经使用的全新原装产品，且在正常安装、使用和保养条件下，其使用寿命期内各项指标均达到质量标准。乙方提供的节能和环保产品必须是列入政府采购品目清单的产品。</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ascii="Arial" w:hAnsi="Arial" w:cs="Arial"/>
          <w:color w:val="auto"/>
          <w:szCs w:val="21"/>
          <w:highlight w:val="none"/>
        </w:rPr>
        <w:t>2. 乙方提供货物的质量保证期为</w:t>
      </w:r>
      <w:r>
        <w:rPr>
          <w:rFonts w:ascii="Arial" w:hAnsi="Arial" w:cs="Arial"/>
          <w:color w:val="auto"/>
          <w:szCs w:val="21"/>
          <w:highlight w:val="none"/>
          <w:u w:val="single"/>
        </w:rPr>
        <w:t xml:space="preserve">                      </w:t>
      </w:r>
      <w:r>
        <w:rPr>
          <w:rFonts w:ascii="Arial" w:hAnsi="Arial" w:cs="Arial"/>
          <w:color w:val="auto"/>
          <w:szCs w:val="21"/>
          <w:highlight w:val="none"/>
        </w:rPr>
        <w:t>。在质保期内因货物本身的质量问题发生故障，乙方应负责免费修理和更换零部件。对达不到技术要求者，根据实际情况，经双方协商，可按以下办法处理：</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ascii="Arial" w:hAnsi="Arial" w:cs="Arial"/>
          <w:color w:val="auto"/>
          <w:szCs w:val="21"/>
          <w:highlight w:val="none"/>
        </w:rPr>
        <w:t>（1）更换：由乙方承担所有发生的全部费用。</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ascii="Arial" w:hAnsi="Arial" w:cs="Arial"/>
          <w:color w:val="auto"/>
          <w:szCs w:val="21"/>
          <w:highlight w:val="none"/>
        </w:rPr>
        <w:t>（2）贬值处理：由甲乙双方合议定价。</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ascii="Arial" w:hAnsi="Arial" w:cs="Arial"/>
          <w:color w:val="auto"/>
          <w:szCs w:val="21"/>
          <w:highlight w:val="none"/>
        </w:rPr>
        <w:t>（3）退货处理：乙方应退还甲方支付的合同款，同时应承担该货物的直接费用（运输、保险、检验、贷款利息及银行手续费等）。</w:t>
      </w:r>
    </w:p>
    <w:p>
      <w:pPr>
        <w:pageBreakBefore w:val="0"/>
        <w:kinsoku/>
        <w:wordWrap/>
        <w:overflowPunct/>
        <w:topLinePunct w:val="0"/>
        <w:bidi w:val="0"/>
        <w:adjustRightInd w:val="0"/>
        <w:snapToGrid w:val="0"/>
        <w:spacing w:after="0" w:line="288" w:lineRule="auto"/>
        <w:ind w:firstLine="420" w:firstLineChars="200"/>
        <w:rPr>
          <w:rFonts w:ascii="Arial" w:hAnsi="Arial" w:cs="Arial"/>
          <w:b/>
          <w:color w:val="auto"/>
          <w:szCs w:val="21"/>
          <w:highlight w:val="none"/>
        </w:rPr>
      </w:pPr>
      <w:r>
        <w:rPr>
          <w:rFonts w:ascii="Arial" w:hAnsi="Arial" w:cs="Arial"/>
          <w:b/>
          <w:color w:val="auto"/>
          <w:szCs w:val="21"/>
          <w:highlight w:val="none"/>
        </w:rPr>
        <w:t>第三条  权力保证</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ascii="Arial" w:hAnsi="Arial" w:cs="Arial"/>
          <w:color w:val="auto"/>
          <w:szCs w:val="21"/>
          <w:highlight w:val="none"/>
        </w:rPr>
        <w:t>1. 乙方应保证所提供货物在使用时不会侵犯任何第三方的专利权、商标权、工业设计权或其他权利。</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ascii="Arial" w:hAnsi="Arial" w:cs="Arial"/>
          <w:color w:val="auto"/>
          <w:szCs w:val="21"/>
          <w:highlight w:val="none"/>
        </w:rPr>
        <w:t>2. 乙方应按招标文件规定的时间向甲方提供使用货物的有关技术资料。</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ascii="Arial" w:hAnsi="Arial" w:cs="Arial"/>
          <w:color w:val="auto"/>
          <w:szCs w:val="21"/>
          <w:highlight w:val="none"/>
        </w:rPr>
        <w:t>3. 乙方保证所交付的货物的所有权完全属于乙方且无任何抵押、质押、查封等产权瑕疵。</w:t>
      </w:r>
    </w:p>
    <w:p>
      <w:pPr>
        <w:pageBreakBefore w:val="0"/>
        <w:kinsoku/>
        <w:wordWrap/>
        <w:overflowPunct/>
        <w:topLinePunct w:val="0"/>
        <w:bidi w:val="0"/>
        <w:adjustRightInd w:val="0"/>
        <w:snapToGrid w:val="0"/>
        <w:spacing w:after="0" w:line="288" w:lineRule="auto"/>
        <w:ind w:firstLine="420" w:firstLineChars="200"/>
        <w:rPr>
          <w:rFonts w:ascii="Arial" w:hAnsi="Arial" w:cs="Arial"/>
          <w:b/>
          <w:color w:val="auto"/>
          <w:szCs w:val="21"/>
          <w:highlight w:val="none"/>
        </w:rPr>
      </w:pPr>
      <w:r>
        <w:rPr>
          <w:rFonts w:ascii="Arial" w:hAnsi="Arial" w:cs="Arial"/>
          <w:b/>
          <w:color w:val="auto"/>
          <w:szCs w:val="21"/>
          <w:highlight w:val="none"/>
        </w:rPr>
        <w:t>第四条  货物包装、运输</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ascii="Arial" w:hAnsi="Arial" w:cs="Arial"/>
          <w:color w:val="auto"/>
          <w:szCs w:val="21"/>
          <w:highlight w:val="none"/>
        </w:rPr>
        <w:t>1. 乙方应在货物发运前对其进行满足运输距离、防潮、防震、防锈和防破损装卸等要求包装，以保证货物安全运达甲方指定地点。</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ascii="Arial" w:hAnsi="Arial" w:cs="Arial"/>
          <w:color w:val="auto"/>
          <w:szCs w:val="21"/>
          <w:highlight w:val="none"/>
        </w:rPr>
        <w:t>2. 使用说明书（货物属于进口产品的，供货时应同时附上中文使用说明书）、质量检验证明书、随配附</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ascii="Arial" w:hAnsi="Arial" w:cs="Arial"/>
          <w:color w:val="auto"/>
          <w:szCs w:val="21"/>
          <w:highlight w:val="none"/>
        </w:rPr>
        <w:t>件和工具以及清单一并附于货物内。</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ascii="Arial" w:hAnsi="Arial" w:cs="Arial"/>
          <w:color w:val="auto"/>
          <w:szCs w:val="21"/>
          <w:highlight w:val="none"/>
        </w:rPr>
        <w:t>3. 乙方在货物发运手续办理完毕后二十四小时内或货到甲方四十八小时前通知甲方，以准备接货。</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ascii="Arial" w:hAnsi="Arial" w:cs="Arial"/>
          <w:color w:val="auto"/>
          <w:szCs w:val="21"/>
          <w:highlight w:val="none"/>
        </w:rPr>
        <w:t>4. 货物在交付甲方前发生的风险均由乙方负责。</w:t>
      </w:r>
    </w:p>
    <w:p>
      <w:pPr>
        <w:pageBreakBefore w:val="0"/>
        <w:kinsoku/>
        <w:wordWrap/>
        <w:overflowPunct/>
        <w:topLinePunct w:val="0"/>
        <w:bidi w:val="0"/>
        <w:adjustRightInd w:val="0"/>
        <w:snapToGrid w:val="0"/>
        <w:spacing w:after="0" w:line="288" w:lineRule="auto"/>
        <w:ind w:firstLine="420" w:firstLineChars="200"/>
        <w:rPr>
          <w:rFonts w:ascii="Arial" w:hAnsi="Arial" w:cs="Arial"/>
          <w:b/>
          <w:color w:val="auto"/>
          <w:szCs w:val="21"/>
          <w:highlight w:val="none"/>
        </w:rPr>
      </w:pPr>
      <w:r>
        <w:rPr>
          <w:rFonts w:ascii="Arial" w:hAnsi="Arial" w:cs="Arial"/>
          <w:b/>
          <w:color w:val="auto"/>
          <w:szCs w:val="21"/>
          <w:highlight w:val="none"/>
        </w:rPr>
        <w:t>第五条  交付</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ascii="Arial" w:hAnsi="Arial" w:cs="Arial"/>
          <w:color w:val="auto"/>
          <w:szCs w:val="21"/>
          <w:highlight w:val="none"/>
        </w:rPr>
        <w:t>1. 交付时间：</w:t>
      </w:r>
      <w:r>
        <w:rPr>
          <w:rFonts w:ascii="Arial" w:hAnsi="Arial" w:cs="Arial"/>
          <w:color w:val="auto"/>
          <w:szCs w:val="21"/>
          <w:highlight w:val="none"/>
          <w:u w:val="single"/>
        </w:rPr>
        <w:t xml:space="preserve">                 </w:t>
      </w:r>
      <w:r>
        <w:rPr>
          <w:rFonts w:ascii="Arial" w:hAnsi="Arial" w:cs="Arial"/>
          <w:color w:val="auto"/>
          <w:szCs w:val="21"/>
          <w:highlight w:val="none"/>
        </w:rPr>
        <w:t>；交付地点：</w:t>
      </w:r>
      <w:r>
        <w:rPr>
          <w:rFonts w:ascii="Arial" w:hAnsi="Arial" w:cs="Arial"/>
          <w:color w:val="auto"/>
          <w:szCs w:val="21"/>
          <w:highlight w:val="none"/>
          <w:u w:val="single"/>
        </w:rPr>
        <w:t xml:space="preserve">                               </w:t>
      </w:r>
      <w:r>
        <w:rPr>
          <w:rFonts w:ascii="Arial" w:hAnsi="Arial" w:cs="Arial"/>
          <w:color w:val="auto"/>
          <w:szCs w:val="21"/>
          <w:highlight w:val="none"/>
        </w:rPr>
        <w:t>。</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ascii="Arial" w:hAnsi="Arial" w:cs="Arial"/>
          <w:color w:val="auto"/>
          <w:szCs w:val="21"/>
          <w:highlight w:val="none"/>
        </w:rPr>
        <w:t>2. 乙方提供不符合招标文件、投标文件和本合同规定的货物，甲方有权拒绝接受。</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ascii="Arial" w:hAnsi="Arial" w:cs="Arial"/>
          <w:color w:val="auto"/>
          <w:szCs w:val="21"/>
          <w:highlight w:val="none"/>
        </w:rPr>
        <w:t>3. 乙方应将所有提供货物的装箱清单、用户手册、原厂保修卡、随机资料、工具和备用、备件等交付给甲方，货物属于进口产品的，供货时应同时附上中文使用说明书，如有缺失应及时补齐，否则视为逾期交货。</w:t>
      </w:r>
    </w:p>
    <w:p>
      <w:pPr>
        <w:pageBreakBefore w:val="0"/>
        <w:kinsoku/>
        <w:wordWrap/>
        <w:overflowPunct/>
        <w:topLinePunct w:val="0"/>
        <w:bidi w:val="0"/>
        <w:adjustRightInd w:val="0"/>
        <w:snapToGrid w:val="0"/>
        <w:spacing w:after="0" w:line="288" w:lineRule="auto"/>
        <w:ind w:firstLine="420" w:firstLineChars="200"/>
        <w:rPr>
          <w:rFonts w:ascii="Arial" w:hAnsi="Arial" w:cs="Arial"/>
          <w:b/>
          <w:color w:val="auto"/>
          <w:szCs w:val="21"/>
          <w:highlight w:val="none"/>
        </w:rPr>
      </w:pPr>
      <w:r>
        <w:rPr>
          <w:rFonts w:ascii="Arial" w:hAnsi="Arial" w:cs="Arial"/>
          <w:b/>
          <w:color w:val="auto"/>
          <w:szCs w:val="21"/>
          <w:highlight w:val="none"/>
        </w:rPr>
        <w:t>第六条  调试和验收</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ascii="Arial" w:hAnsi="Arial" w:cs="Arial"/>
          <w:color w:val="auto"/>
          <w:szCs w:val="21"/>
          <w:highlight w:val="none"/>
        </w:rPr>
        <w:t>1. 乙方交货前应对产品做出全面的检查和对验收文件进行整理，并列出清单，作为甲方验收和使用的技术条件依据，验收的结果应随货物交甲方。</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ascii="Arial" w:hAnsi="Arial" w:cs="Arial"/>
          <w:color w:val="auto"/>
          <w:szCs w:val="21"/>
          <w:highlight w:val="none"/>
        </w:rPr>
        <w:t>2. 货物安装调试完成后，甲方应在七个工作日内依据招标文件、投标文件的技术规格要求及承诺和国家有关质量标准对货物进行现场验收，验收合格后由甲乙双方签署货物验收单并加盖公章，甲乙双方各执一份。</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ascii="Arial" w:hAnsi="Arial" w:cs="Arial"/>
          <w:color w:val="auto"/>
          <w:szCs w:val="21"/>
          <w:highlight w:val="none"/>
        </w:rPr>
        <w:t>3. 甲方对乙方提供的货物在使用前进行调试时，乙方需负责安装并培训甲方的使用操作人员，并协助甲方一起调试，直到符合技术要求，甲方才做最终验收。</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ascii="Arial" w:hAnsi="Arial" w:cs="Arial"/>
          <w:color w:val="auto"/>
          <w:szCs w:val="21"/>
          <w:highlight w:val="none"/>
        </w:rPr>
        <w:t>4.对技术复杂的货物，甲方应请国家认可的专业检测机构参与初步验收及最终验收，并由其出具质量检测报告。</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ascii="Arial" w:hAnsi="Arial" w:cs="Arial"/>
          <w:color w:val="auto"/>
          <w:szCs w:val="21"/>
          <w:highlight w:val="none"/>
        </w:rPr>
        <w:t>5. 验收时乙方必须在现场，验收完毕后作出验收结果报告，验收费用由乙方负责。</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ascii="Arial" w:hAnsi="Arial" w:cs="Arial"/>
          <w:color w:val="auto"/>
          <w:szCs w:val="21"/>
          <w:highlight w:val="none"/>
        </w:rPr>
        <w:t>6. 甲方对验收有异议的，在验收后五个工作日内以书面形式向乙方提出，乙方应自收到甲方书面异议后</w:t>
      </w:r>
      <w:r>
        <w:rPr>
          <w:rFonts w:ascii="Arial" w:hAnsi="Arial" w:cs="Arial"/>
          <w:color w:val="auto"/>
          <w:szCs w:val="21"/>
          <w:highlight w:val="none"/>
          <w:u w:val="single"/>
        </w:rPr>
        <w:t>　5　</w:t>
      </w:r>
      <w:r>
        <w:rPr>
          <w:rFonts w:ascii="Arial" w:hAnsi="Arial" w:cs="Arial"/>
          <w:color w:val="auto"/>
          <w:szCs w:val="21"/>
          <w:highlight w:val="none"/>
        </w:rPr>
        <w:t>日内及时予以解决。</w:t>
      </w:r>
    </w:p>
    <w:p>
      <w:pPr>
        <w:pageBreakBefore w:val="0"/>
        <w:kinsoku/>
        <w:wordWrap/>
        <w:overflowPunct/>
        <w:topLinePunct w:val="0"/>
        <w:bidi w:val="0"/>
        <w:adjustRightInd w:val="0"/>
        <w:snapToGrid w:val="0"/>
        <w:spacing w:after="0" w:line="288" w:lineRule="auto"/>
        <w:ind w:firstLine="420" w:firstLineChars="200"/>
        <w:rPr>
          <w:rFonts w:ascii="Arial" w:hAnsi="Arial" w:cs="Arial"/>
          <w:b/>
          <w:color w:val="auto"/>
          <w:szCs w:val="21"/>
          <w:highlight w:val="none"/>
        </w:rPr>
      </w:pPr>
      <w:r>
        <w:rPr>
          <w:rFonts w:ascii="Arial" w:hAnsi="Arial" w:cs="Arial"/>
          <w:b/>
          <w:color w:val="auto"/>
          <w:szCs w:val="21"/>
          <w:highlight w:val="none"/>
        </w:rPr>
        <w:t>第七条  安装和培训</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ascii="Arial" w:hAnsi="Arial" w:cs="Arial"/>
          <w:color w:val="auto"/>
          <w:szCs w:val="21"/>
          <w:highlight w:val="none"/>
        </w:rPr>
        <w:t xml:space="preserve"> 1. 甲方应提供必要安装条件（如场地、电源、水源等）。</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ascii="Arial" w:hAnsi="Arial" w:cs="Arial"/>
          <w:color w:val="auto"/>
          <w:szCs w:val="21"/>
          <w:highlight w:val="none"/>
        </w:rPr>
        <w:t xml:space="preserve"> 2. 乙方负责甲方有关人员的培训。培训时间、地点：</w:t>
      </w:r>
      <w:r>
        <w:rPr>
          <w:rFonts w:ascii="Arial" w:hAnsi="Arial" w:cs="Arial"/>
          <w:color w:val="auto"/>
          <w:szCs w:val="21"/>
          <w:highlight w:val="none"/>
          <w:u w:val="single"/>
        </w:rPr>
        <w:t>广西阳朔县采购人指定时间地点</w:t>
      </w:r>
      <w:r>
        <w:rPr>
          <w:rFonts w:ascii="Arial" w:hAnsi="Arial" w:cs="Arial"/>
          <w:color w:val="auto"/>
          <w:szCs w:val="21"/>
          <w:highlight w:val="none"/>
        </w:rPr>
        <w:t>。</w:t>
      </w:r>
    </w:p>
    <w:p>
      <w:pPr>
        <w:pageBreakBefore w:val="0"/>
        <w:kinsoku/>
        <w:wordWrap/>
        <w:overflowPunct/>
        <w:topLinePunct w:val="0"/>
        <w:bidi w:val="0"/>
        <w:adjustRightInd w:val="0"/>
        <w:snapToGrid w:val="0"/>
        <w:spacing w:after="0" w:line="288" w:lineRule="auto"/>
        <w:ind w:firstLine="420" w:firstLineChars="200"/>
        <w:rPr>
          <w:rFonts w:ascii="Arial" w:hAnsi="Arial" w:cs="Arial"/>
          <w:b/>
          <w:color w:val="auto"/>
          <w:szCs w:val="21"/>
          <w:highlight w:val="none"/>
        </w:rPr>
      </w:pPr>
      <w:r>
        <w:rPr>
          <w:rFonts w:ascii="Arial" w:hAnsi="Arial" w:cs="Arial"/>
          <w:b/>
          <w:color w:val="auto"/>
          <w:szCs w:val="21"/>
          <w:highlight w:val="none"/>
        </w:rPr>
        <w:t>第八条  售后服务</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ascii="Arial" w:hAnsi="Arial" w:cs="Arial"/>
          <w:color w:val="auto"/>
          <w:szCs w:val="21"/>
          <w:highlight w:val="none"/>
        </w:rPr>
        <w:t>1. 乙方应按照国家有关法律规定和“三包”规定以及投标文件和本合同所附的《服务承诺》，为甲方提供售后服务。</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ascii="Arial" w:hAnsi="Arial" w:cs="Arial"/>
          <w:color w:val="auto"/>
          <w:szCs w:val="21"/>
          <w:highlight w:val="none"/>
        </w:rPr>
        <w:t>2. 如在使用过程中发生质量问题，乙方在接到甲方通知后在</w:t>
      </w:r>
      <w:r>
        <w:rPr>
          <w:rFonts w:ascii="Arial" w:hAnsi="Arial" w:cs="Arial"/>
          <w:color w:val="auto"/>
          <w:szCs w:val="21"/>
          <w:highlight w:val="none"/>
          <w:u w:val="single"/>
        </w:rPr>
        <w:t>投标文件承诺的时间</w:t>
      </w:r>
      <w:r>
        <w:rPr>
          <w:rFonts w:ascii="Arial" w:hAnsi="Arial" w:cs="Arial"/>
          <w:color w:val="auto"/>
          <w:szCs w:val="21"/>
          <w:highlight w:val="none"/>
        </w:rPr>
        <w:t>内到达甲方现场处理。</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ascii="Arial" w:hAnsi="Arial" w:cs="Arial"/>
          <w:color w:val="auto"/>
          <w:szCs w:val="21"/>
          <w:highlight w:val="none"/>
        </w:rPr>
        <w:t>3. 在质保期内，乙方应对货物出现的质量及安全问题负责处理解决并承担一切费用。</w:t>
      </w:r>
    </w:p>
    <w:p>
      <w:pPr>
        <w:pageBreakBefore w:val="0"/>
        <w:kinsoku/>
        <w:wordWrap/>
        <w:overflowPunct/>
        <w:topLinePunct w:val="0"/>
        <w:bidi w:val="0"/>
        <w:adjustRightInd w:val="0"/>
        <w:snapToGrid w:val="0"/>
        <w:spacing w:after="0" w:line="288" w:lineRule="auto"/>
        <w:ind w:firstLine="420" w:firstLineChars="200"/>
        <w:rPr>
          <w:rFonts w:ascii="Arial" w:hAnsi="Arial" w:cs="Arial"/>
          <w:b/>
          <w:color w:val="auto"/>
          <w:szCs w:val="21"/>
          <w:highlight w:val="none"/>
        </w:rPr>
      </w:pPr>
      <w:r>
        <w:rPr>
          <w:rFonts w:ascii="Arial" w:hAnsi="Arial" w:cs="Arial"/>
          <w:b/>
          <w:color w:val="auto"/>
          <w:szCs w:val="21"/>
          <w:highlight w:val="none"/>
        </w:rPr>
        <w:t>第九条  税费</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ascii="Arial" w:hAnsi="Arial" w:cs="Arial"/>
          <w:color w:val="auto"/>
          <w:szCs w:val="21"/>
          <w:highlight w:val="none"/>
        </w:rPr>
        <w:t>本合同执行中相关的一切税费均由乙方负担。</w:t>
      </w:r>
    </w:p>
    <w:p>
      <w:pPr>
        <w:pageBreakBefore w:val="0"/>
        <w:kinsoku/>
        <w:wordWrap/>
        <w:overflowPunct/>
        <w:topLinePunct w:val="0"/>
        <w:bidi w:val="0"/>
        <w:adjustRightInd w:val="0"/>
        <w:snapToGrid w:val="0"/>
        <w:spacing w:after="0" w:line="288" w:lineRule="auto"/>
        <w:ind w:firstLine="420" w:firstLineChars="200"/>
        <w:rPr>
          <w:rFonts w:ascii="Arial" w:hAnsi="Arial" w:cs="Arial"/>
          <w:b/>
          <w:color w:val="auto"/>
          <w:szCs w:val="21"/>
          <w:highlight w:val="none"/>
        </w:rPr>
      </w:pPr>
      <w:r>
        <w:rPr>
          <w:rFonts w:ascii="Arial" w:hAnsi="Arial" w:cs="Arial"/>
          <w:b/>
          <w:color w:val="auto"/>
          <w:szCs w:val="21"/>
          <w:highlight w:val="none"/>
        </w:rPr>
        <w:t>第十条  付款方式</w:t>
      </w:r>
    </w:p>
    <w:p>
      <w:pPr>
        <w:pageBreakBefore w:val="0"/>
        <w:tabs>
          <w:tab w:val="left" w:pos="2835"/>
        </w:tabs>
        <w:kinsoku/>
        <w:wordWrap/>
        <w:overflowPunct/>
        <w:topLinePunct w:val="0"/>
        <w:bidi w:val="0"/>
        <w:adjustRightInd w:val="0"/>
        <w:snapToGrid w:val="0"/>
        <w:spacing w:after="0" w:line="288" w:lineRule="auto"/>
        <w:ind w:firstLine="420" w:firstLineChars="200"/>
        <w:jc w:val="left"/>
        <w:rPr>
          <w:rFonts w:hint="eastAsia" w:ascii="Arial" w:hAnsi="Arial" w:cs="Arial"/>
          <w:color w:val="auto"/>
          <w:kern w:val="0"/>
          <w:szCs w:val="21"/>
          <w:highlight w:val="none"/>
        </w:rPr>
      </w:pPr>
      <w:bookmarkStart w:id="45" w:name="_Hlk523385487"/>
      <w:r>
        <w:rPr>
          <w:rFonts w:hint="eastAsia" w:ascii="Arial" w:hAnsi="Arial" w:cs="Arial"/>
          <w:color w:val="auto"/>
          <w:kern w:val="0"/>
          <w:szCs w:val="21"/>
          <w:highlight w:val="none"/>
        </w:rPr>
        <w:t>（1）预付款金额及方式：在合同签订后10个工作日内支付30%的合同款；</w:t>
      </w:r>
    </w:p>
    <w:p>
      <w:pPr>
        <w:pageBreakBefore w:val="0"/>
        <w:tabs>
          <w:tab w:val="left" w:pos="2835"/>
        </w:tabs>
        <w:kinsoku/>
        <w:wordWrap/>
        <w:overflowPunct/>
        <w:topLinePunct w:val="0"/>
        <w:bidi w:val="0"/>
        <w:adjustRightInd w:val="0"/>
        <w:snapToGrid w:val="0"/>
        <w:spacing w:after="0" w:line="288" w:lineRule="auto"/>
        <w:ind w:firstLine="420" w:firstLineChars="200"/>
        <w:jc w:val="left"/>
        <w:rPr>
          <w:rFonts w:hint="eastAsia" w:ascii="Arial" w:hAnsi="Arial" w:cs="Arial"/>
          <w:color w:val="auto"/>
          <w:kern w:val="0"/>
          <w:szCs w:val="21"/>
          <w:highlight w:val="none"/>
        </w:rPr>
      </w:pPr>
      <w:r>
        <w:rPr>
          <w:rFonts w:hint="eastAsia" w:ascii="Arial" w:hAnsi="Arial" w:cs="Arial"/>
          <w:color w:val="auto"/>
          <w:kern w:val="0"/>
          <w:szCs w:val="21"/>
          <w:highlight w:val="none"/>
        </w:rPr>
        <w:t>（2）</w:t>
      </w:r>
      <w:r>
        <w:rPr>
          <w:rFonts w:hint="eastAsia" w:ascii="Arial" w:hAnsi="Arial" w:cs="Arial"/>
          <w:color w:val="auto"/>
          <w:kern w:val="0"/>
          <w:szCs w:val="21"/>
          <w:highlight w:val="none"/>
          <w:lang w:val="en-US" w:eastAsia="zh-CN"/>
        </w:rPr>
        <w:t>乙方</w:t>
      </w:r>
      <w:r>
        <w:rPr>
          <w:rFonts w:hint="eastAsia" w:ascii="Arial" w:hAnsi="Arial" w:cs="Arial"/>
          <w:color w:val="auto"/>
          <w:kern w:val="0"/>
          <w:szCs w:val="21"/>
          <w:highlight w:val="none"/>
        </w:rPr>
        <w:t>按验收流程要求通过最终验收后，</w:t>
      </w:r>
      <w:r>
        <w:rPr>
          <w:rFonts w:hint="eastAsia" w:ascii="Arial" w:hAnsi="Arial" w:cs="Arial"/>
          <w:color w:val="auto"/>
          <w:kern w:val="0"/>
          <w:szCs w:val="21"/>
          <w:highlight w:val="none"/>
          <w:lang w:val="en-US" w:eastAsia="zh-CN"/>
        </w:rPr>
        <w:t>甲方</w:t>
      </w:r>
      <w:r>
        <w:rPr>
          <w:rFonts w:hint="eastAsia" w:ascii="Arial" w:hAnsi="Arial" w:cs="Arial"/>
          <w:color w:val="auto"/>
          <w:kern w:val="0"/>
          <w:szCs w:val="21"/>
          <w:highlight w:val="none"/>
        </w:rPr>
        <w:t>签署项目验收报告或验收书；</w:t>
      </w:r>
    </w:p>
    <w:p>
      <w:pPr>
        <w:pageBreakBefore w:val="0"/>
        <w:tabs>
          <w:tab w:val="left" w:pos="2835"/>
        </w:tabs>
        <w:kinsoku/>
        <w:wordWrap/>
        <w:overflowPunct/>
        <w:topLinePunct w:val="0"/>
        <w:bidi w:val="0"/>
        <w:adjustRightInd w:val="0"/>
        <w:snapToGrid w:val="0"/>
        <w:spacing w:after="0" w:line="288" w:lineRule="auto"/>
        <w:ind w:firstLine="420" w:firstLineChars="200"/>
        <w:jc w:val="left"/>
        <w:rPr>
          <w:rFonts w:hint="eastAsia" w:ascii="Arial" w:hAnsi="Arial" w:cs="Arial"/>
          <w:color w:val="auto"/>
          <w:kern w:val="0"/>
          <w:szCs w:val="21"/>
          <w:highlight w:val="none"/>
        </w:rPr>
      </w:pPr>
      <w:r>
        <w:rPr>
          <w:rFonts w:hint="eastAsia" w:ascii="Arial" w:hAnsi="Arial" w:cs="Arial"/>
          <w:color w:val="auto"/>
          <w:kern w:val="0"/>
          <w:szCs w:val="21"/>
          <w:highlight w:val="none"/>
        </w:rPr>
        <w:t>（3）</w:t>
      </w:r>
      <w:r>
        <w:rPr>
          <w:rFonts w:hint="eastAsia" w:ascii="Arial" w:hAnsi="Arial" w:cs="Arial"/>
          <w:color w:val="auto"/>
          <w:kern w:val="0"/>
          <w:szCs w:val="21"/>
          <w:highlight w:val="none"/>
          <w:lang w:val="en-US" w:eastAsia="zh-CN"/>
        </w:rPr>
        <w:t>乙方</w:t>
      </w:r>
      <w:r>
        <w:rPr>
          <w:rFonts w:hint="eastAsia" w:ascii="Arial" w:hAnsi="Arial" w:cs="Arial"/>
          <w:color w:val="auto"/>
          <w:kern w:val="0"/>
          <w:szCs w:val="21"/>
          <w:highlight w:val="none"/>
        </w:rPr>
        <w:t>向</w:t>
      </w:r>
      <w:r>
        <w:rPr>
          <w:rFonts w:hint="eastAsia" w:ascii="Arial" w:hAnsi="Arial" w:cs="Arial"/>
          <w:color w:val="auto"/>
          <w:kern w:val="0"/>
          <w:szCs w:val="21"/>
          <w:highlight w:val="none"/>
          <w:lang w:val="en-US" w:eastAsia="zh-CN"/>
        </w:rPr>
        <w:t>甲方</w:t>
      </w:r>
      <w:r>
        <w:rPr>
          <w:rFonts w:hint="eastAsia" w:ascii="Arial" w:hAnsi="Arial" w:cs="Arial"/>
          <w:color w:val="auto"/>
          <w:kern w:val="0"/>
          <w:szCs w:val="21"/>
          <w:highlight w:val="none"/>
        </w:rPr>
        <w:t>提供付款申请书，并附与付款申请书等额的发票和验收书；</w:t>
      </w:r>
    </w:p>
    <w:p>
      <w:pPr>
        <w:pageBreakBefore w:val="0"/>
        <w:tabs>
          <w:tab w:val="left" w:pos="2835"/>
        </w:tabs>
        <w:kinsoku/>
        <w:wordWrap/>
        <w:overflowPunct/>
        <w:topLinePunct w:val="0"/>
        <w:bidi w:val="0"/>
        <w:adjustRightInd w:val="0"/>
        <w:snapToGrid w:val="0"/>
        <w:spacing w:after="0" w:line="288" w:lineRule="auto"/>
        <w:ind w:firstLine="420" w:firstLineChars="200"/>
        <w:jc w:val="left"/>
        <w:rPr>
          <w:rFonts w:hint="eastAsia" w:ascii="Arial" w:hAnsi="Arial" w:cs="Arial"/>
          <w:color w:val="auto"/>
          <w:kern w:val="0"/>
          <w:szCs w:val="21"/>
          <w:highlight w:val="none"/>
        </w:rPr>
      </w:pPr>
      <w:r>
        <w:rPr>
          <w:rFonts w:hint="eastAsia" w:ascii="Arial" w:hAnsi="Arial" w:cs="Arial"/>
          <w:color w:val="auto"/>
          <w:kern w:val="0"/>
          <w:szCs w:val="21"/>
          <w:highlight w:val="none"/>
        </w:rPr>
        <w:t>（4）票据要求：</w:t>
      </w:r>
      <w:r>
        <w:rPr>
          <w:rFonts w:hint="eastAsia" w:ascii="Arial" w:hAnsi="Arial" w:cs="Arial"/>
          <w:color w:val="auto"/>
          <w:kern w:val="0"/>
          <w:szCs w:val="21"/>
          <w:highlight w:val="none"/>
          <w:lang w:val="en-US" w:eastAsia="zh-CN"/>
        </w:rPr>
        <w:t>乙方</w:t>
      </w:r>
      <w:r>
        <w:rPr>
          <w:rFonts w:hint="eastAsia" w:ascii="Arial" w:hAnsi="Arial" w:cs="Arial"/>
          <w:color w:val="auto"/>
          <w:kern w:val="0"/>
          <w:szCs w:val="21"/>
          <w:highlight w:val="none"/>
        </w:rPr>
        <w:t>必须按照</w:t>
      </w:r>
      <w:r>
        <w:rPr>
          <w:rFonts w:hint="eastAsia" w:ascii="Arial" w:hAnsi="Arial" w:cs="Arial"/>
          <w:color w:val="auto"/>
          <w:kern w:val="0"/>
          <w:szCs w:val="21"/>
          <w:highlight w:val="none"/>
          <w:lang w:val="en-US" w:eastAsia="zh-CN"/>
        </w:rPr>
        <w:t>甲方</w:t>
      </w:r>
      <w:r>
        <w:rPr>
          <w:rFonts w:hint="eastAsia" w:ascii="Arial" w:hAnsi="Arial" w:cs="Arial"/>
          <w:color w:val="auto"/>
          <w:kern w:val="0"/>
          <w:szCs w:val="21"/>
          <w:highlight w:val="none"/>
        </w:rPr>
        <w:t>要求提供真实、有效、合法的正式发票。一旦发现</w:t>
      </w:r>
      <w:r>
        <w:rPr>
          <w:rFonts w:hint="eastAsia" w:ascii="Arial" w:hAnsi="Arial" w:cs="Arial"/>
          <w:color w:val="auto"/>
          <w:kern w:val="0"/>
          <w:szCs w:val="21"/>
          <w:highlight w:val="none"/>
          <w:lang w:val="en-US" w:eastAsia="zh-CN"/>
        </w:rPr>
        <w:t>乙方</w:t>
      </w:r>
      <w:r>
        <w:rPr>
          <w:rFonts w:hint="eastAsia" w:ascii="Arial" w:hAnsi="Arial" w:cs="Arial"/>
          <w:color w:val="auto"/>
          <w:kern w:val="0"/>
          <w:szCs w:val="21"/>
          <w:highlight w:val="none"/>
        </w:rPr>
        <w:t>提供虚假发票，除须向</w:t>
      </w:r>
      <w:r>
        <w:rPr>
          <w:rFonts w:hint="eastAsia" w:ascii="Arial" w:hAnsi="Arial" w:cs="Arial"/>
          <w:color w:val="auto"/>
          <w:kern w:val="0"/>
          <w:szCs w:val="21"/>
          <w:highlight w:val="none"/>
          <w:lang w:val="en-US" w:eastAsia="zh-CN"/>
        </w:rPr>
        <w:t>甲方</w:t>
      </w:r>
      <w:r>
        <w:rPr>
          <w:rFonts w:hint="eastAsia" w:ascii="Arial" w:hAnsi="Arial" w:cs="Arial"/>
          <w:color w:val="auto"/>
          <w:kern w:val="0"/>
          <w:szCs w:val="21"/>
          <w:highlight w:val="none"/>
        </w:rPr>
        <w:t>补开合法发票外，须赔偿采购人发票票面金额一倍的违约金，且</w:t>
      </w:r>
      <w:r>
        <w:rPr>
          <w:rFonts w:hint="eastAsia" w:ascii="Arial" w:hAnsi="Arial" w:cs="Arial"/>
          <w:color w:val="auto"/>
          <w:kern w:val="0"/>
          <w:szCs w:val="21"/>
          <w:highlight w:val="none"/>
          <w:lang w:val="en-US" w:eastAsia="zh-CN"/>
        </w:rPr>
        <w:t>甲方</w:t>
      </w:r>
      <w:r>
        <w:rPr>
          <w:rFonts w:hint="eastAsia" w:ascii="Arial" w:hAnsi="Arial" w:cs="Arial"/>
          <w:color w:val="auto"/>
          <w:kern w:val="0"/>
          <w:szCs w:val="21"/>
          <w:highlight w:val="none"/>
        </w:rPr>
        <w:t>有权终止合同，</w:t>
      </w:r>
      <w:r>
        <w:rPr>
          <w:rFonts w:hint="eastAsia" w:ascii="Arial" w:hAnsi="Arial" w:cs="Arial"/>
          <w:color w:val="auto"/>
          <w:kern w:val="0"/>
          <w:szCs w:val="21"/>
          <w:highlight w:val="none"/>
          <w:lang w:val="en-US" w:eastAsia="zh-CN"/>
        </w:rPr>
        <w:t>乙方</w:t>
      </w:r>
      <w:r>
        <w:rPr>
          <w:rFonts w:hint="eastAsia" w:ascii="Arial" w:hAnsi="Arial" w:cs="Arial"/>
          <w:color w:val="auto"/>
          <w:kern w:val="0"/>
          <w:szCs w:val="21"/>
          <w:highlight w:val="none"/>
        </w:rPr>
        <w:t>不得提出异议，因终止合同而产生的一切损失均由投标人承担。</w:t>
      </w:r>
    </w:p>
    <w:p>
      <w:pPr>
        <w:pageBreakBefore w:val="0"/>
        <w:tabs>
          <w:tab w:val="left" w:pos="2835"/>
        </w:tabs>
        <w:kinsoku/>
        <w:wordWrap/>
        <w:overflowPunct/>
        <w:topLinePunct w:val="0"/>
        <w:bidi w:val="0"/>
        <w:adjustRightInd w:val="0"/>
        <w:snapToGrid w:val="0"/>
        <w:spacing w:after="0" w:line="288" w:lineRule="auto"/>
        <w:ind w:firstLine="420" w:firstLineChars="200"/>
        <w:jc w:val="left"/>
        <w:rPr>
          <w:rFonts w:hint="eastAsia" w:ascii="Arial" w:hAnsi="Arial" w:cs="Arial"/>
          <w:color w:val="auto"/>
          <w:kern w:val="0"/>
          <w:szCs w:val="21"/>
          <w:highlight w:val="none"/>
        </w:rPr>
      </w:pPr>
      <w:r>
        <w:rPr>
          <w:rFonts w:hint="eastAsia" w:ascii="Arial" w:hAnsi="Arial" w:cs="Arial"/>
          <w:color w:val="auto"/>
          <w:kern w:val="0"/>
          <w:szCs w:val="21"/>
          <w:highlight w:val="none"/>
        </w:rPr>
        <w:t>（5）对于满足合同约定支付条件的，</w:t>
      </w:r>
      <w:r>
        <w:rPr>
          <w:rFonts w:hint="eastAsia" w:ascii="Arial" w:hAnsi="Arial" w:cs="Arial"/>
          <w:color w:val="auto"/>
          <w:kern w:val="0"/>
          <w:szCs w:val="21"/>
          <w:highlight w:val="none"/>
          <w:lang w:val="en-US" w:eastAsia="zh-CN"/>
        </w:rPr>
        <w:t>甲方</w:t>
      </w:r>
      <w:r>
        <w:rPr>
          <w:rFonts w:hint="eastAsia" w:ascii="Arial" w:hAnsi="Arial" w:cs="Arial"/>
          <w:color w:val="auto"/>
          <w:kern w:val="0"/>
          <w:szCs w:val="21"/>
          <w:highlight w:val="none"/>
        </w:rPr>
        <w:t>应当自收到发票后10个工作日内将剩余的70%资金支付到合同约定的</w:t>
      </w:r>
      <w:r>
        <w:rPr>
          <w:rFonts w:hint="eastAsia" w:ascii="Arial" w:hAnsi="Arial" w:cs="Arial"/>
          <w:color w:val="auto"/>
          <w:kern w:val="0"/>
          <w:szCs w:val="21"/>
          <w:highlight w:val="none"/>
          <w:lang w:val="en-US" w:eastAsia="zh-CN"/>
        </w:rPr>
        <w:t>乙方</w:t>
      </w:r>
      <w:r>
        <w:rPr>
          <w:rFonts w:hint="eastAsia" w:ascii="Arial" w:hAnsi="Arial" w:cs="Arial"/>
          <w:color w:val="auto"/>
          <w:kern w:val="0"/>
          <w:szCs w:val="21"/>
          <w:highlight w:val="none"/>
        </w:rPr>
        <w:t>账户。</w:t>
      </w:r>
    </w:p>
    <w:p>
      <w:pPr>
        <w:pageBreakBefore w:val="0"/>
        <w:tabs>
          <w:tab w:val="left" w:pos="2835"/>
        </w:tabs>
        <w:kinsoku/>
        <w:wordWrap/>
        <w:overflowPunct/>
        <w:topLinePunct w:val="0"/>
        <w:bidi w:val="0"/>
        <w:adjustRightInd w:val="0"/>
        <w:snapToGrid w:val="0"/>
        <w:spacing w:after="0" w:line="288" w:lineRule="auto"/>
        <w:ind w:firstLine="420" w:firstLineChars="200"/>
        <w:jc w:val="left"/>
        <w:rPr>
          <w:rFonts w:ascii="Arial" w:hAnsi="Arial" w:cs="Arial"/>
          <w:color w:val="auto"/>
          <w:kern w:val="0"/>
          <w:highlight w:val="none"/>
        </w:rPr>
      </w:pPr>
      <w:r>
        <w:rPr>
          <w:rFonts w:hint="eastAsia" w:ascii="Arial" w:hAnsi="Arial" w:cs="Arial"/>
          <w:color w:val="auto"/>
          <w:kern w:val="0"/>
          <w:szCs w:val="21"/>
          <w:highlight w:val="none"/>
        </w:rPr>
        <w:t>（6）合同款支付形式为：转账</w:t>
      </w:r>
      <w:r>
        <w:rPr>
          <w:rFonts w:ascii="Arial" w:hAnsi="Arial" w:cs="Arial"/>
          <w:color w:val="auto"/>
          <w:kern w:val="0"/>
          <w:szCs w:val="21"/>
          <w:highlight w:val="none"/>
        </w:rPr>
        <w:t>。</w:t>
      </w:r>
    </w:p>
    <w:p>
      <w:pPr>
        <w:pageBreakBefore w:val="0"/>
        <w:tabs>
          <w:tab w:val="left" w:pos="2835"/>
        </w:tabs>
        <w:kinsoku/>
        <w:wordWrap/>
        <w:overflowPunct/>
        <w:topLinePunct w:val="0"/>
        <w:bidi w:val="0"/>
        <w:adjustRightInd w:val="0"/>
        <w:snapToGrid w:val="0"/>
        <w:spacing w:after="0" w:line="288" w:lineRule="auto"/>
        <w:ind w:firstLine="420" w:firstLineChars="200"/>
        <w:jc w:val="left"/>
        <w:rPr>
          <w:rFonts w:ascii="Arial" w:hAnsi="Arial" w:cs="Arial"/>
          <w:color w:val="auto"/>
          <w:szCs w:val="21"/>
          <w:highlight w:val="none"/>
        </w:rPr>
      </w:pPr>
      <w:r>
        <w:rPr>
          <w:rFonts w:ascii="Arial" w:hAnsi="Arial" w:cs="Arial"/>
          <w:b/>
          <w:color w:val="auto"/>
          <w:szCs w:val="21"/>
          <w:highlight w:val="none"/>
        </w:rPr>
        <w:t xml:space="preserve">第十一条履约保证金   </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ascii="Arial" w:hAnsi="Arial" w:cs="Arial"/>
          <w:color w:val="auto"/>
          <w:szCs w:val="21"/>
          <w:highlight w:val="none"/>
        </w:rPr>
        <w:t>本项目免收履约保证金。</w:t>
      </w:r>
    </w:p>
    <w:bookmarkEnd w:id="45"/>
    <w:p>
      <w:pPr>
        <w:pageBreakBefore w:val="0"/>
        <w:kinsoku/>
        <w:wordWrap/>
        <w:overflowPunct/>
        <w:topLinePunct w:val="0"/>
        <w:bidi w:val="0"/>
        <w:adjustRightInd w:val="0"/>
        <w:snapToGrid w:val="0"/>
        <w:spacing w:after="0" w:line="288" w:lineRule="auto"/>
        <w:ind w:firstLine="420" w:firstLineChars="200"/>
        <w:rPr>
          <w:rFonts w:ascii="Arial" w:hAnsi="Arial" w:cs="Arial"/>
          <w:b/>
          <w:color w:val="auto"/>
          <w:szCs w:val="21"/>
          <w:highlight w:val="none"/>
        </w:rPr>
      </w:pPr>
      <w:r>
        <w:rPr>
          <w:rFonts w:ascii="Arial" w:hAnsi="Arial" w:cs="Arial"/>
          <w:b/>
          <w:color w:val="auto"/>
          <w:szCs w:val="21"/>
          <w:highlight w:val="none"/>
        </w:rPr>
        <w:t>第十二条  违约责任</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ascii="Arial" w:hAnsi="Arial" w:cs="Arial"/>
          <w:color w:val="auto"/>
          <w:szCs w:val="21"/>
          <w:highlight w:val="none"/>
        </w:rPr>
        <w:t>1. 乙方所提供的货物规格、技术标准、材料等质量不合格的，应及时更换，更换不及时的按逾期交货处罚，乙方应向甲方支付合同金额</w:t>
      </w:r>
      <w:r>
        <w:rPr>
          <w:rFonts w:ascii="Arial" w:hAnsi="Arial" w:cs="Arial"/>
          <w:color w:val="auto"/>
          <w:szCs w:val="21"/>
          <w:highlight w:val="none"/>
          <w:u w:val="single"/>
        </w:rPr>
        <w:t>　5　</w:t>
      </w:r>
      <w:r>
        <w:rPr>
          <w:rFonts w:ascii="Arial" w:hAnsi="Arial" w:cs="Arial"/>
          <w:color w:val="auto"/>
          <w:szCs w:val="21"/>
          <w:highlight w:val="none"/>
        </w:rPr>
        <w:t>%违约金并赔偿甲方经济损失。</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ascii="Arial" w:hAnsi="Arial" w:cs="Arial"/>
          <w:color w:val="auto"/>
          <w:szCs w:val="21"/>
          <w:highlight w:val="none"/>
        </w:rPr>
        <w:t>2. 乙方提供的货物如果侵犯了第三方合法权益而引发的任何纠纷或诉讼，均由乙方负责交涉并承担全部责任。</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ascii="Arial" w:hAnsi="Arial" w:cs="Arial"/>
          <w:color w:val="auto"/>
          <w:szCs w:val="21"/>
          <w:highlight w:val="none"/>
        </w:rPr>
        <w:t>3. 因包装、运输引起的货物损坏，按质量不合格处理。</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ascii="Arial" w:hAnsi="Arial" w:cs="Arial"/>
          <w:color w:val="auto"/>
          <w:szCs w:val="21"/>
          <w:highlight w:val="none"/>
        </w:rPr>
        <w:t>4. 甲方无故延期接收货物、乙方逾期交货的，每天向对方偿付违约货款额</w:t>
      </w:r>
      <w:r>
        <w:rPr>
          <w:rFonts w:ascii="Arial" w:hAnsi="Arial" w:cs="Arial"/>
          <w:color w:val="auto"/>
          <w:szCs w:val="21"/>
          <w:highlight w:val="none"/>
          <w:u w:val="single"/>
        </w:rPr>
        <w:t>3‰</w:t>
      </w:r>
      <w:r>
        <w:rPr>
          <w:rFonts w:ascii="Arial" w:hAnsi="Arial" w:cs="Arial"/>
          <w:color w:val="auto"/>
          <w:szCs w:val="21"/>
          <w:highlight w:val="none"/>
        </w:rPr>
        <w:t>违约金，但违约金累计不得超过违约货款额</w:t>
      </w:r>
      <w:r>
        <w:rPr>
          <w:rFonts w:ascii="Arial" w:hAnsi="Arial" w:cs="Arial"/>
          <w:color w:val="auto"/>
          <w:szCs w:val="21"/>
          <w:highlight w:val="none"/>
          <w:u w:val="single"/>
        </w:rPr>
        <w:t>5%</w:t>
      </w:r>
      <w:r>
        <w:rPr>
          <w:rFonts w:ascii="Arial" w:hAnsi="Arial" w:cs="Arial"/>
          <w:color w:val="auto"/>
          <w:szCs w:val="21"/>
          <w:highlight w:val="none"/>
        </w:rPr>
        <w:t>，超过</w:t>
      </w:r>
      <w:r>
        <w:rPr>
          <w:rFonts w:ascii="Arial" w:hAnsi="Arial" w:cs="Arial"/>
          <w:color w:val="auto"/>
          <w:szCs w:val="21"/>
          <w:highlight w:val="none"/>
          <w:u w:val="single"/>
        </w:rPr>
        <w:t xml:space="preserve">  5 天</w:t>
      </w:r>
      <w:r>
        <w:rPr>
          <w:rFonts w:ascii="Arial" w:hAnsi="Arial" w:cs="Arial"/>
          <w:color w:val="auto"/>
          <w:szCs w:val="21"/>
          <w:highlight w:val="none"/>
        </w:rPr>
        <w:t>对方有权解除合同，违约方承担因此给对方造成经济损失；甲方延期付货款的，每天向乙方偿付延期货款额3‰滞纳金，但滞纳金累计不得超过延期货款额</w:t>
      </w:r>
      <w:r>
        <w:rPr>
          <w:rFonts w:ascii="Arial" w:hAnsi="Arial" w:cs="Arial"/>
          <w:color w:val="auto"/>
          <w:szCs w:val="21"/>
          <w:highlight w:val="none"/>
          <w:u w:val="single"/>
        </w:rPr>
        <w:t>5%</w:t>
      </w:r>
      <w:r>
        <w:rPr>
          <w:rFonts w:ascii="Arial" w:hAnsi="Arial" w:cs="Arial"/>
          <w:color w:val="auto"/>
          <w:szCs w:val="21"/>
          <w:highlight w:val="none"/>
        </w:rPr>
        <w:t>。</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ascii="Arial" w:hAnsi="Arial" w:cs="Arial"/>
          <w:color w:val="auto"/>
          <w:szCs w:val="21"/>
          <w:highlight w:val="none"/>
        </w:rPr>
        <w:t>5. 乙方未按本合同和投标文件中规定的服务承诺提供售后服务的，乙方应按本合同合同金额</w:t>
      </w:r>
      <w:r>
        <w:rPr>
          <w:rFonts w:ascii="Arial" w:hAnsi="Arial" w:cs="Arial"/>
          <w:color w:val="auto"/>
          <w:szCs w:val="21"/>
          <w:highlight w:val="none"/>
          <w:u w:val="single"/>
        </w:rPr>
        <w:t>　5　</w:t>
      </w:r>
      <w:r>
        <w:rPr>
          <w:rFonts w:ascii="Arial" w:hAnsi="Arial" w:cs="Arial"/>
          <w:color w:val="auto"/>
          <w:szCs w:val="21"/>
          <w:highlight w:val="none"/>
        </w:rPr>
        <w:t>%向甲方支付违约金。</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ascii="Arial" w:hAnsi="Arial" w:cs="Arial"/>
          <w:color w:val="auto"/>
          <w:szCs w:val="21"/>
          <w:highlight w:val="none"/>
        </w:rPr>
        <w:t>6. 乙方提供的货物在质保期内，因设计、工艺或材料的缺陷和其他质量原因造成的问题，由乙方负责，费用从履约保证金中扣除，不足另补。</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ascii="Arial" w:hAnsi="Arial" w:cs="Arial"/>
          <w:color w:val="auto"/>
          <w:szCs w:val="21"/>
          <w:highlight w:val="none"/>
        </w:rPr>
        <w:t>7. 其他违约行为按违约货款额</w:t>
      </w:r>
      <w:r>
        <w:rPr>
          <w:rFonts w:ascii="Arial" w:hAnsi="Arial" w:cs="Arial"/>
          <w:color w:val="auto"/>
          <w:szCs w:val="21"/>
          <w:highlight w:val="none"/>
          <w:u w:val="single"/>
        </w:rPr>
        <w:t>　5　</w:t>
      </w:r>
      <w:r>
        <w:rPr>
          <w:rFonts w:ascii="Arial" w:hAnsi="Arial" w:cs="Arial"/>
          <w:color w:val="auto"/>
          <w:szCs w:val="21"/>
          <w:highlight w:val="none"/>
        </w:rPr>
        <w:t>%收取违约金并赔偿经济损失。</w:t>
      </w:r>
    </w:p>
    <w:p>
      <w:pPr>
        <w:pageBreakBefore w:val="0"/>
        <w:kinsoku/>
        <w:wordWrap/>
        <w:overflowPunct/>
        <w:topLinePunct w:val="0"/>
        <w:bidi w:val="0"/>
        <w:adjustRightInd w:val="0"/>
        <w:snapToGrid w:val="0"/>
        <w:spacing w:after="0" w:line="288" w:lineRule="auto"/>
        <w:ind w:firstLine="420" w:firstLineChars="200"/>
        <w:rPr>
          <w:rFonts w:ascii="Arial" w:hAnsi="Arial" w:cs="Arial"/>
          <w:b/>
          <w:color w:val="auto"/>
          <w:szCs w:val="21"/>
          <w:highlight w:val="none"/>
        </w:rPr>
      </w:pPr>
      <w:r>
        <w:rPr>
          <w:rFonts w:ascii="Arial" w:hAnsi="Arial" w:cs="Arial"/>
          <w:b/>
          <w:color w:val="auto"/>
          <w:szCs w:val="21"/>
          <w:highlight w:val="none"/>
        </w:rPr>
        <w:t>第十三条  不可抗力事件处理</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ascii="Arial" w:hAnsi="Arial" w:cs="Arial"/>
          <w:color w:val="auto"/>
          <w:szCs w:val="21"/>
          <w:highlight w:val="none"/>
        </w:rPr>
        <w:t>1. 在合同有效期内，乙方因不可抗力事件导致不能履行合同，则合同履行期可延长，其延长期与不可抗力影响期相同。</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ascii="Arial" w:hAnsi="Arial" w:cs="Arial"/>
          <w:color w:val="auto"/>
          <w:szCs w:val="21"/>
          <w:highlight w:val="none"/>
        </w:rPr>
        <w:t>2. 不可抗力事件发生后，应立即通知对方，并寄送有关权威机构出具的证明。</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ascii="Arial" w:hAnsi="Arial" w:cs="Arial"/>
          <w:color w:val="auto"/>
          <w:szCs w:val="21"/>
          <w:highlight w:val="none"/>
        </w:rPr>
        <w:t>3. 不可抗力事件延续一百二十天以上，双方应通过友好协商，确定是否继续履行合同。</w:t>
      </w:r>
    </w:p>
    <w:p>
      <w:pPr>
        <w:pageBreakBefore w:val="0"/>
        <w:kinsoku/>
        <w:wordWrap/>
        <w:overflowPunct/>
        <w:topLinePunct w:val="0"/>
        <w:bidi w:val="0"/>
        <w:adjustRightInd w:val="0"/>
        <w:snapToGrid w:val="0"/>
        <w:spacing w:after="0" w:line="288" w:lineRule="auto"/>
        <w:ind w:firstLine="420" w:firstLineChars="200"/>
        <w:rPr>
          <w:rFonts w:ascii="Arial" w:hAnsi="Arial" w:cs="Arial"/>
          <w:b/>
          <w:color w:val="auto"/>
          <w:szCs w:val="21"/>
          <w:highlight w:val="none"/>
        </w:rPr>
      </w:pPr>
      <w:r>
        <w:rPr>
          <w:rFonts w:ascii="Arial" w:hAnsi="Arial" w:cs="Arial"/>
          <w:b/>
          <w:color w:val="auto"/>
          <w:szCs w:val="21"/>
          <w:highlight w:val="none"/>
        </w:rPr>
        <w:t>第十四条  合同争议解决</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ascii="Arial" w:hAnsi="Arial" w:cs="Arial"/>
          <w:color w:val="auto"/>
          <w:szCs w:val="21"/>
          <w:highlight w:val="none"/>
        </w:rPr>
        <w:t>1. 因货物质量问题发生争议的，应邀请国家认可的质量检测机构对货物质量进行鉴定。货物符合标准的，鉴定费由甲方承担；货物不符合标准的，鉴定费由乙方承担。</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ascii="Arial" w:hAnsi="Arial" w:cs="Arial"/>
          <w:color w:val="auto"/>
          <w:szCs w:val="21"/>
          <w:highlight w:val="none"/>
        </w:rPr>
        <w:t>2. 因履行本合同引起的或与本合同有关的争议，甲乙双方应首先通过友好协商解决，如果协商不能解决，可向甲方所在地仲裁委员会申请仲裁或向甲方所在地人民法院提起诉讼。</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ascii="Arial" w:hAnsi="Arial" w:cs="Arial"/>
          <w:color w:val="auto"/>
          <w:szCs w:val="21"/>
          <w:highlight w:val="none"/>
        </w:rPr>
        <w:t>3. 诉讼期间，本合同继续履行。</w:t>
      </w:r>
    </w:p>
    <w:p>
      <w:pPr>
        <w:pageBreakBefore w:val="0"/>
        <w:kinsoku/>
        <w:wordWrap/>
        <w:overflowPunct/>
        <w:topLinePunct w:val="0"/>
        <w:bidi w:val="0"/>
        <w:adjustRightInd w:val="0"/>
        <w:snapToGrid w:val="0"/>
        <w:spacing w:after="0" w:line="288" w:lineRule="auto"/>
        <w:ind w:firstLine="420" w:firstLineChars="200"/>
        <w:rPr>
          <w:rFonts w:ascii="Arial" w:hAnsi="Arial" w:cs="Arial"/>
          <w:b/>
          <w:color w:val="auto"/>
          <w:szCs w:val="21"/>
          <w:highlight w:val="none"/>
        </w:rPr>
      </w:pPr>
      <w:r>
        <w:rPr>
          <w:rFonts w:ascii="Arial" w:hAnsi="Arial" w:cs="Arial"/>
          <w:b/>
          <w:color w:val="auto"/>
          <w:szCs w:val="21"/>
          <w:highlight w:val="none"/>
        </w:rPr>
        <w:t>第十五条  合同生效及其它</w:t>
      </w:r>
    </w:p>
    <w:p>
      <w:pPr>
        <w:pageBreakBefore w:val="0"/>
        <w:kinsoku/>
        <w:wordWrap/>
        <w:overflowPunct/>
        <w:topLinePunct w:val="0"/>
        <w:bidi w:val="0"/>
        <w:adjustRightInd w:val="0"/>
        <w:snapToGrid w:val="0"/>
        <w:spacing w:after="0" w:line="288" w:lineRule="auto"/>
        <w:ind w:firstLine="420" w:firstLineChars="200"/>
        <w:rPr>
          <w:rFonts w:ascii="Arial" w:hAnsi="Arial" w:cs="Arial"/>
          <w:b/>
          <w:color w:val="auto"/>
          <w:szCs w:val="21"/>
          <w:highlight w:val="none"/>
        </w:rPr>
      </w:pPr>
      <w:r>
        <w:rPr>
          <w:rFonts w:ascii="Arial" w:hAnsi="Arial" w:cs="Arial"/>
          <w:color w:val="auto"/>
          <w:szCs w:val="21"/>
          <w:highlight w:val="none"/>
        </w:rPr>
        <w:t>1．本合同履行期限为：</w:t>
      </w:r>
      <w:r>
        <w:rPr>
          <w:rFonts w:ascii="Arial" w:hAnsi="Arial" w:cs="Arial"/>
          <w:color w:val="auto"/>
          <w:szCs w:val="21"/>
          <w:highlight w:val="none"/>
          <w:u w:val="single"/>
        </w:rPr>
        <w:t xml:space="preserve">         </w:t>
      </w:r>
      <w:r>
        <w:rPr>
          <w:rFonts w:ascii="Arial" w:hAnsi="Arial" w:cs="Arial"/>
          <w:color w:val="auto"/>
          <w:szCs w:val="21"/>
          <w:highlight w:val="none"/>
        </w:rPr>
        <w:t>；合同履行地点为：</w:t>
      </w:r>
      <w:r>
        <w:rPr>
          <w:rFonts w:ascii="Arial" w:hAnsi="Arial" w:cs="Arial"/>
          <w:color w:val="auto"/>
          <w:szCs w:val="21"/>
          <w:highlight w:val="none"/>
          <w:u w:val="single"/>
        </w:rPr>
        <w:t xml:space="preserve">                    </w:t>
      </w:r>
      <w:r>
        <w:rPr>
          <w:rFonts w:ascii="Arial" w:hAnsi="Arial" w:cs="Arial"/>
          <w:color w:val="auto"/>
          <w:szCs w:val="21"/>
          <w:highlight w:val="none"/>
        </w:rPr>
        <w:t>；合同履行的方式： 按照本合同约定。</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ascii="Arial" w:hAnsi="Arial" w:cs="Arial"/>
          <w:color w:val="auto"/>
          <w:szCs w:val="21"/>
          <w:highlight w:val="none"/>
        </w:rPr>
        <w:t>2. 合同经甲乙双方法定代表人、负责人、自然人或相应的授权代表签字并加盖单位公章后生效。</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ascii="Arial" w:hAnsi="Arial" w:cs="Arial"/>
          <w:color w:val="auto"/>
          <w:szCs w:val="21"/>
          <w:highlight w:val="none"/>
        </w:rPr>
        <w:t>3. 合同执行中涉及采购资金和采购内容修改或补充的，需经阳朔县财政部门审批，并签订书面补充协议报阳朔县政府采购管理办公室备案，方可作为主合同不可分割的一部分。</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ascii="Arial" w:hAnsi="Arial" w:cs="Arial"/>
          <w:color w:val="auto"/>
          <w:szCs w:val="21"/>
          <w:highlight w:val="none"/>
        </w:rPr>
        <w:t>4. 本合同未尽事宜，遵照《民法典》有关条文执行。</w:t>
      </w:r>
    </w:p>
    <w:p>
      <w:pPr>
        <w:pageBreakBefore w:val="0"/>
        <w:kinsoku/>
        <w:wordWrap/>
        <w:overflowPunct/>
        <w:topLinePunct w:val="0"/>
        <w:bidi w:val="0"/>
        <w:adjustRightInd w:val="0"/>
        <w:snapToGrid w:val="0"/>
        <w:spacing w:after="0" w:line="288" w:lineRule="auto"/>
        <w:ind w:firstLine="420" w:firstLineChars="200"/>
        <w:rPr>
          <w:rFonts w:ascii="Arial" w:hAnsi="Arial" w:cs="Arial"/>
          <w:b/>
          <w:color w:val="auto"/>
          <w:szCs w:val="21"/>
          <w:highlight w:val="none"/>
        </w:rPr>
      </w:pPr>
      <w:r>
        <w:rPr>
          <w:rFonts w:ascii="Arial" w:hAnsi="Arial" w:cs="Arial"/>
          <w:b/>
          <w:color w:val="auto"/>
          <w:szCs w:val="21"/>
          <w:highlight w:val="none"/>
        </w:rPr>
        <w:t>第十六条  合同的变更、终止与转让</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ascii="Arial" w:hAnsi="Arial" w:cs="Arial"/>
          <w:color w:val="auto"/>
          <w:szCs w:val="21"/>
          <w:highlight w:val="none"/>
        </w:rPr>
        <w:t>1. 除《中华人民共和国政府采购法》第五十条规定的情形外，本合同一经签订，甲乙双方不得擅自变更，中止或终止。</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ascii="Arial" w:hAnsi="Arial" w:cs="Arial"/>
          <w:color w:val="auto"/>
          <w:szCs w:val="21"/>
          <w:highlight w:val="none"/>
        </w:rPr>
        <w:t>2. 乙方不得擅自转让其应履行的合同义务。</w:t>
      </w:r>
    </w:p>
    <w:p>
      <w:pPr>
        <w:pageBreakBefore w:val="0"/>
        <w:kinsoku/>
        <w:wordWrap/>
        <w:overflowPunct/>
        <w:topLinePunct w:val="0"/>
        <w:bidi w:val="0"/>
        <w:adjustRightInd w:val="0"/>
        <w:snapToGrid w:val="0"/>
        <w:spacing w:after="0" w:line="288" w:lineRule="auto"/>
        <w:ind w:firstLine="420" w:firstLineChars="200"/>
        <w:rPr>
          <w:rFonts w:ascii="Arial" w:hAnsi="Arial" w:cs="Arial"/>
          <w:b/>
          <w:color w:val="auto"/>
          <w:szCs w:val="21"/>
          <w:highlight w:val="none"/>
        </w:rPr>
      </w:pPr>
      <w:r>
        <w:rPr>
          <w:rFonts w:ascii="Arial" w:hAnsi="Arial" w:cs="Arial"/>
          <w:b/>
          <w:color w:val="auto"/>
          <w:szCs w:val="21"/>
          <w:highlight w:val="none"/>
        </w:rPr>
        <w:t>第十七条  签订本合同依据：</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hint="eastAsia" w:ascii="Arial" w:hAnsi="Arial" w:cs="Arial"/>
          <w:color w:val="auto"/>
          <w:szCs w:val="21"/>
          <w:highlight w:val="none"/>
        </w:rPr>
        <w:t xml:space="preserve">1.合同主要条款； </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hint="eastAsia" w:ascii="Arial" w:hAnsi="Arial" w:cs="Arial"/>
          <w:color w:val="auto"/>
          <w:szCs w:val="21"/>
          <w:highlight w:val="none"/>
        </w:rPr>
        <w:t>2.采购需求；</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hint="eastAsia" w:ascii="Arial" w:hAnsi="Arial" w:cs="Arial"/>
          <w:color w:val="auto"/>
          <w:szCs w:val="21"/>
          <w:highlight w:val="none"/>
        </w:rPr>
        <w:t>3.投标函、投标报价表；</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hint="eastAsia" w:ascii="Arial" w:hAnsi="Arial" w:cs="Arial"/>
          <w:color w:val="auto"/>
          <w:szCs w:val="21"/>
          <w:highlight w:val="none"/>
        </w:rPr>
        <w:t xml:space="preserve">4.技术偏离表、商务响应表； </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hint="eastAsia" w:ascii="Arial" w:hAnsi="Arial" w:cs="Arial"/>
          <w:color w:val="auto"/>
          <w:szCs w:val="21"/>
          <w:highlight w:val="none"/>
        </w:rPr>
        <w:t xml:space="preserve">5.售后服务方案（如有）； </w:t>
      </w:r>
    </w:p>
    <w:p>
      <w:pPr>
        <w:pageBreakBefore w:val="0"/>
        <w:kinsoku/>
        <w:wordWrap/>
        <w:overflowPunct/>
        <w:topLinePunct w:val="0"/>
        <w:bidi w:val="0"/>
        <w:adjustRightInd w:val="0"/>
        <w:snapToGrid w:val="0"/>
        <w:spacing w:after="0" w:line="288" w:lineRule="auto"/>
        <w:ind w:firstLine="420" w:firstLineChars="200"/>
        <w:rPr>
          <w:rFonts w:ascii="Arial" w:hAnsi="Arial" w:cs="Arial"/>
          <w:color w:val="auto"/>
          <w:szCs w:val="21"/>
          <w:highlight w:val="none"/>
        </w:rPr>
      </w:pPr>
      <w:r>
        <w:rPr>
          <w:rFonts w:hint="eastAsia" w:ascii="Arial" w:hAnsi="Arial" w:cs="Arial"/>
          <w:color w:val="auto"/>
          <w:szCs w:val="21"/>
          <w:highlight w:val="none"/>
        </w:rPr>
        <w:t>6.中标通知书。</w:t>
      </w:r>
    </w:p>
    <w:p>
      <w:pPr>
        <w:pageBreakBefore w:val="0"/>
        <w:kinsoku/>
        <w:wordWrap/>
        <w:overflowPunct/>
        <w:topLinePunct w:val="0"/>
        <w:bidi w:val="0"/>
        <w:spacing w:after="0" w:line="288" w:lineRule="auto"/>
        <w:ind w:firstLine="420" w:firstLineChars="200"/>
        <w:rPr>
          <w:rFonts w:ascii="宋体" w:hAnsi="宋体" w:cs="宋体"/>
          <w:color w:val="auto"/>
          <w:highlight w:val="none"/>
        </w:rPr>
      </w:pPr>
      <w:r>
        <w:rPr>
          <w:rFonts w:hint="eastAsia" w:ascii="宋体" w:hAnsi="宋体" w:cs="宋体"/>
          <w:color w:val="auto"/>
          <w:szCs w:val="21"/>
          <w:highlight w:val="none"/>
        </w:rPr>
        <w:t>本合同甲乙双方签字盖章后生效，一式伍份，具有同等法律效力，甲、乙双方各贰份，代理机构壹份</w:t>
      </w:r>
      <w:r>
        <w:rPr>
          <w:rFonts w:hint="eastAsia" w:ascii="宋体" w:hAnsi="宋体" w:cs="宋体"/>
          <w:color w:val="auto"/>
          <w:highlight w:val="none"/>
        </w:rPr>
        <w:t>。</w:t>
      </w:r>
    </w:p>
    <w:p>
      <w:pPr>
        <w:pageBreakBefore w:val="0"/>
        <w:kinsoku/>
        <w:wordWrap/>
        <w:overflowPunct/>
        <w:topLinePunct w:val="0"/>
        <w:bidi w:val="0"/>
        <w:spacing w:after="0" w:line="288"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w:t>
      </w:r>
    </w:p>
    <w:p>
      <w:pPr>
        <w:pageBreakBefore w:val="0"/>
        <w:tabs>
          <w:tab w:val="left" w:pos="4320"/>
          <w:tab w:val="left" w:pos="4500"/>
        </w:tabs>
        <w:kinsoku/>
        <w:wordWrap/>
        <w:overflowPunct/>
        <w:topLinePunct w:val="0"/>
        <w:bidi w:val="0"/>
        <w:spacing w:after="0" w:line="288" w:lineRule="auto"/>
        <w:rPr>
          <w:rFonts w:ascii="宋体" w:hAnsi="宋体" w:cs="宋体"/>
          <w:color w:val="auto"/>
          <w:szCs w:val="21"/>
          <w:highlight w:val="none"/>
          <w:u w:val="single"/>
        </w:rPr>
      </w:pPr>
      <w:r>
        <w:rPr>
          <w:rFonts w:hint="eastAsia" w:ascii="宋体" w:hAnsi="宋体" w:cs="宋体"/>
          <w:color w:val="auto"/>
          <w:szCs w:val="21"/>
          <w:highlight w:val="none"/>
        </w:rPr>
        <w:t>甲方名称（公章）：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乙方（公章）：</w:t>
      </w:r>
      <w:r>
        <w:rPr>
          <w:rFonts w:hint="eastAsia" w:ascii="宋体" w:hAnsi="宋体" w:cs="宋体"/>
          <w:color w:val="auto"/>
          <w:szCs w:val="21"/>
          <w:highlight w:val="none"/>
          <w:u w:val="single"/>
        </w:rPr>
        <w:t xml:space="preserve">                             </w:t>
      </w:r>
    </w:p>
    <w:p>
      <w:pPr>
        <w:pageBreakBefore w:val="0"/>
        <w:kinsoku/>
        <w:wordWrap/>
        <w:overflowPunct/>
        <w:topLinePunct w:val="0"/>
        <w:bidi w:val="0"/>
        <w:spacing w:after="0" w:line="288" w:lineRule="auto"/>
        <w:ind w:left="4620" w:hanging="4620" w:hangingChars="2200"/>
        <w:rPr>
          <w:rFonts w:ascii="宋体" w:hAnsi="宋体" w:cs="宋体"/>
          <w:color w:val="auto"/>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highlight w:val="none"/>
        </w:rPr>
        <w:t>法定代表人</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pPr>
        <w:pageBreakBefore w:val="0"/>
        <w:tabs>
          <w:tab w:val="left" w:pos="4680"/>
        </w:tabs>
        <w:kinsoku/>
        <w:wordWrap/>
        <w:overflowPunct/>
        <w:topLinePunct w:val="0"/>
        <w:bidi w:val="0"/>
        <w:spacing w:after="0" w:line="288" w:lineRule="auto"/>
        <w:rPr>
          <w:rFonts w:ascii="宋体" w:hAnsi="宋体" w:cs="宋体"/>
          <w:color w:val="auto"/>
          <w:szCs w:val="21"/>
          <w:highlight w:val="none"/>
          <w:u w:val="singl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w:t>
      </w:r>
      <w:r>
        <w:rPr>
          <w:rFonts w:hint="eastAsia" w:ascii="宋体" w:hAnsi="宋体" w:cs="宋体"/>
          <w:color w:val="auto"/>
          <w:szCs w:val="21"/>
          <w:highlight w:val="none"/>
          <w:u w:val="single"/>
        </w:rPr>
        <w:t xml:space="preserve">                              </w:t>
      </w:r>
    </w:p>
    <w:p>
      <w:pPr>
        <w:pageBreakBefore w:val="0"/>
        <w:tabs>
          <w:tab w:val="left" w:pos="5040"/>
        </w:tabs>
        <w:kinsoku/>
        <w:wordWrap/>
        <w:overflowPunct/>
        <w:topLinePunct w:val="0"/>
        <w:bidi w:val="0"/>
        <w:spacing w:after="0" w:line="288" w:lineRule="auto"/>
        <w:rPr>
          <w:rFonts w:ascii="宋体" w:hAnsi="宋体" w:cs="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 </w:t>
      </w:r>
      <w:r>
        <w:rPr>
          <w:rFonts w:hint="eastAsia" w:ascii="宋体" w:hAnsi="宋体" w:cs="宋体"/>
          <w:color w:val="auto"/>
          <w:szCs w:val="21"/>
          <w:highlight w:val="none"/>
          <w:u w:val="single"/>
        </w:rPr>
        <w:t xml:space="preserve">                                </w:t>
      </w:r>
    </w:p>
    <w:p>
      <w:pPr>
        <w:pageBreakBefore w:val="0"/>
        <w:tabs>
          <w:tab w:val="left" w:pos="5040"/>
        </w:tabs>
        <w:kinsoku/>
        <w:wordWrap/>
        <w:overflowPunct/>
        <w:topLinePunct w:val="0"/>
        <w:bidi w:val="0"/>
        <w:spacing w:after="0" w:line="288" w:lineRule="auto"/>
        <w:rPr>
          <w:rFonts w:ascii="宋体" w:hAnsi="宋体" w:cs="宋体"/>
          <w:color w:val="auto"/>
          <w:szCs w:val="21"/>
          <w:highlight w:val="none"/>
        </w:rPr>
      </w:pPr>
      <w:r>
        <w:rPr>
          <w:rFonts w:hint="eastAsia" w:ascii="宋体" w:hAnsi="宋体" w:cs="宋体"/>
          <w:color w:val="auto"/>
          <w:szCs w:val="21"/>
          <w:highlight w:val="none"/>
        </w:rPr>
        <w:t>开户名称：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pageBreakBefore w:val="0"/>
        <w:tabs>
          <w:tab w:val="left" w:pos="5040"/>
        </w:tabs>
        <w:kinsoku/>
        <w:wordWrap/>
        <w:overflowPunct/>
        <w:topLinePunct w:val="0"/>
        <w:bidi w:val="0"/>
        <w:spacing w:after="0" w:line="288" w:lineRule="auto"/>
        <w:rPr>
          <w:rFonts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pageBreakBefore w:val="0"/>
        <w:tabs>
          <w:tab w:val="left" w:pos="5040"/>
        </w:tabs>
        <w:kinsoku/>
        <w:wordWrap/>
        <w:overflowPunct/>
        <w:topLinePunct w:val="0"/>
        <w:bidi w:val="0"/>
        <w:spacing w:after="0" w:line="288" w:lineRule="auto"/>
        <w:rPr>
          <w:rFonts w:ascii="宋体" w:hAnsi="宋体" w:cs="宋体"/>
          <w:color w:val="auto"/>
          <w:szCs w:val="21"/>
          <w:highlight w:val="none"/>
        </w:rPr>
      </w:pPr>
      <w:r>
        <w:rPr>
          <w:rFonts w:hint="eastAsia" w:ascii="宋体" w:hAnsi="宋体" w:cs="宋体"/>
          <w:color w:val="auto"/>
          <w:szCs w:val="21"/>
          <w:highlight w:val="none"/>
        </w:rPr>
        <w:t>银行账号：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银行账号：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pageBreakBefore w:val="0"/>
        <w:kinsoku/>
        <w:wordWrap/>
        <w:overflowPunct/>
        <w:topLinePunct w:val="0"/>
        <w:bidi w:val="0"/>
        <w:spacing w:after="0" w:line="288" w:lineRule="auto"/>
        <w:jc w:val="both"/>
        <w:rPr>
          <w:rFonts w:ascii="宋体" w:hAnsi="宋体"/>
          <w:b/>
          <w:kern w:val="0"/>
          <w:sz w:val="32"/>
          <w:szCs w:val="32"/>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pageBreakBefore w:val="0"/>
        <w:kinsoku/>
        <w:wordWrap/>
        <w:overflowPunct/>
        <w:topLinePunct w:val="0"/>
        <w:bidi w:val="0"/>
        <w:spacing w:after="0" w:line="288" w:lineRule="auto"/>
        <w:rPr>
          <w:rFonts w:ascii="Arial" w:hAnsi="Arial" w:cs="Arial"/>
          <w:szCs w:val="21"/>
        </w:rPr>
      </w:pPr>
      <w:r>
        <w:rPr>
          <w:rFonts w:ascii="Arial" w:hAnsi="Arial" w:cs="Arial"/>
          <w:szCs w:val="21"/>
        </w:rPr>
        <w:br w:type="page"/>
      </w:r>
    </w:p>
    <w:p>
      <w:pPr>
        <w:pStyle w:val="2"/>
        <w:pageBreakBefore w:val="0"/>
        <w:kinsoku/>
        <w:wordWrap/>
        <w:overflowPunct/>
        <w:topLinePunct w:val="0"/>
        <w:bidi w:val="0"/>
        <w:spacing w:after="0" w:line="288" w:lineRule="auto"/>
      </w:pPr>
    </w:p>
    <w:p>
      <w:pPr>
        <w:pStyle w:val="46"/>
        <w:pageBreakBefore w:val="0"/>
        <w:kinsoku/>
        <w:wordWrap/>
        <w:overflowPunct/>
        <w:topLinePunct w:val="0"/>
        <w:bidi w:val="0"/>
        <w:spacing w:before="0" w:after="0" w:line="288" w:lineRule="auto"/>
        <w:rPr>
          <w:rFonts w:ascii="Arial" w:hAnsi="Arial" w:cs="Arial"/>
        </w:rPr>
      </w:pPr>
    </w:p>
    <w:p>
      <w:pPr>
        <w:pageBreakBefore w:val="0"/>
        <w:kinsoku/>
        <w:wordWrap/>
        <w:overflowPunct/>
        <w:topLinePunct w:val="0"/>
        <w:bidi w:val="0"/>
        <w:spacing w:after="0" w:line="288" w:lineRule="auto"/>
        <w:rPr>
          <w:rFonts w:ascii="Arial" w:hAnsi="Arial" w:cs="Arial"/>
        </w:rPr>
      </w:pPr>
    </w:p>
    <w:p>
      <w:pPr>
        <w:pStyle w:val="46"/>
        <w:pageBreakBefore w:val="0"/>
        <w:kinsoku/>
        <w:wordWrap/>
        <w:overflowPunct/>
        <w:topLinePunct w:val="0"/>
        <w:bidi w:val="0"/>
        <w:spacing w:before="0" w:after="0" w:line="288" w:lineRule="auto"/>
        <w:rPr>
          <w:rFonts w:ascii="Arial" w:hAnsi="Arial" w:cs="Arial"/>
        </w:rPr>
      </w:pPr>
    </w:p>
    <w:p>
      <w:pPr>
        <w:pStyle w:val="46"/>
        <w:pageBreakBefore w:val="0"/>
        <w:kinsoku/>
        <w:wordWrap/>
        <w:overflowPunct/>
        <w:topLinePunct w:val="0"/>
        <w:bidi w:val="0"/>
        <w:spacing w:before="0" w:after="0" w:line="288" w:lineRule="auto"/>
        <w:rPr>
          <w:rFonts w:ascii="Arial" w:hAnsi="Arial" w:cs="Arial"/>
        </w:rPr>
      </w:pPr>
      <w:bookmarkStart w:id="46" w:name="_Toc8228"/>
      <w:bookmarkStart w:id="47" w:name="_Toc82079290"/>
      <w:bookmarkStart w:id="48" w:name="_Toc524017826"/>
      <w:bookmarkStart w:id="49" w:name="_Toc82079338"/>
      <w:bookmarkStart w:id="50" w:name="_Toc524017694"/>
      <w:r>
        <w:rPr>
          <w:rFonts w:ascii="Arial" w:hAnsi="Arial" w:cs="Arial"/>
        </w:rPr>
        <w:t>第六章 投标文件格式</w:t>
      </w:r>
      <w:bookmarkEnd w:id="46"/>
      <w:bookmarkEnd w:id="47"/>
      <w:bookmarkEnd w:id="48"/>
      <w:bookmarkEnd w:id="49"/>
      <w:bookmarkEnd w:id="50"/>
    </w:p>
    <w:p>
      <w:pPr>
        <w:pageBreakBefore w:val="0"/>
        <w:kinsoku/>
        <w:wordWrap/>
        <w:overflowPunct/>
        <w:topLinePunct w:val="0"/>
        <w:bidi w:val="0"/>
        <w:spacing w:after="0" w:line="288" w:lineRule="auto"/>
        <w:jc w:val="center"/>
        <w:rPr>
          <w:rFonts w:ascii="Arial" w:hAnsi="Arial" w:cs="Arial"/>
          <w:b/>
          <w:sz w:val="32"/>
          <w:szCs w:val="32"/>
        </w:rPr>
      </w:pPr>
    </w:p>
    <w:p>
      <w:pPr>
        <w:pageBreakBefore w:val="0"/>
        <w:kinsoku/>
        <w:wordWrap/>
        <w:overflowPunct/>
        <w:topLinePunct w:val="0"/>
        <w:bidi w:val="0"/>
        <w:spacing w:after="0" w:line="288" w:lineRule="auto"/>
        <w:jc w:val="center"/>
        <w:rPr>
          <w:rFonts w:ascii="Arial" w:hAnsi="Arial" w:cs="Arial"/>
          <w:b/>
          <w:sz w:val="32"/>
          <w:szCs w:val="32"/>
        </w:rPr>
      </w:pPr>
    </w:p>
    <w:p>
      <w:pPr>
        <w:pageBreakBefore w:val="0"/>
        <w:kinsoku/>
        <w:wordWrap/>
        <w:overflowPunct/>
        <w:topLinePunct w:val="0"/>
        <w:bidi w:val="0"/>
        <w:spacing w:after="0" w:line="288" w:lineRule="auto"/>
        <w:jc w:val="center"/>
        <w:rPr>
          <w:rFonts w:ascii="Arial" w:hAnsi="Arial" w:cs="Arial"/>
          <w:b/>
          <w:sz w:val="32"/>
          <w:szCs w:val="32"/>
        </w:rPr>
      </w:pPr>
    </w:p>
    <w:p>
      <w:pPr>
        <w:pageBreakBefore w:val="0"/>
        <w:kinsoku/>
        <w:wordWrap/>
        <w:overflowPunct/>
        <w:topLinePunct w:val="0"/>
        <w:bidi w:val="0"/>
        <w:spacing w:after="0" w:line="288" w:lineRule="auto"/>
        <w:jc w:val="center"/>
        <w:rPr>
          <w:rFonts w:ascii="Arial" w:hAnsi="Arial" w:cs="Arial"/>
          <w:b/>
          <w:sz w:val="32"/>
          <w:szCs w:val="32"/>
        </w:rPr>
      </w:pPr>
    </w:p>
    <w:p>
      <w:pPr>
        <w:pageBreakBefore w:val="0"/>
        <w:kinsoku/>
        <w:wordWrap/>
        <w:overflowPunct/>
        <w:topLinePunct w:val="0"/>
        <w:bidi w:val="0"/>
        <w:spacing w:after="0" w:line="288" w:lineRule="auto"/>
        <w:jc w:val="center"/>
        <w:rPr>
          <w:rFonts w:ascii="Arial" w:hAnsi="Arial" w:cs="Arial"/>
          <w:b/>
          <w:sz w:val="32"/>
          <w:szCs w:val="32"/>
        </w:rPr>
      </w:pPr>
    </w:p>
    <w:p>
      <w:pPr>
        <w:pageBreakBefore w:val="0"/>
        <w:kinsoku/>
        <w:wordWrap/>
        <w:overflowPunct/>
        <w:topLinePunct w:val="0"/>
        <w:bidi w:val="0"/>
        <w:spacing w:after="0" w:line="288" w:lineRule="auto"/>
        <w:jc w:val="center"/>
        <w:rPr>
          <w:rFonts w:ascii="Arial" w:hAnsi="Arial" w:cs="Arial"/>
          <w:b/>
          <w:sz w:val="32"/>
          <w:szCs w:val="32"/>
        </w:rPr>
      </w:pPr>
    </w:p>
    <w:p>
      <w:pPr>
        <w:pageBreakBefore w:val="0"/>
        <w:kinsoku/>
        <w:wordWrap/>
        <w:overflowPunct/>
        <w:topLinePunct w:val="0"/>
        <w:bidi w:val="0"/>
        <w:spacing w:after="0" w:line="288" w:lineRule="auto"/>
        <w:jc w:val="center"/>
        <w:rPr>
          <w:rFonts w:ascii="Arial" w:hAnsi="Arial" w:cs="Arial"/>
          <w:b/>
          <w:sz w:val="32"/>
          <w:szCs w:val="32"/>
        </w:rPr>
      </w:pPr>
    </w:p>
    <w:p>
      <w:pPr>
        <w:pageBreakBefore w:val="0"/>
        <w:kinsoku/>
        <w:wordWrap/>
        <w:overflowPunct/>
        <w:topLinePunct w:val="0"/>
        <w:bidi w:val="0"/>
        <w:spacing w:after="0" w:line="288" w:lineRule="auto"/>
        <w:jc w:val="center"/>
        <w:rPr>
          <w:rFonts w:ascii="Arial" w:hAnsi="Arial" w:cs="Arial"/>
          <w:b/>
          <w:sz w:val="32"/>
          <w:szCs w:val="32"/>
        </w:rPr>
      </w:pPr>
    </w:p>
    <w:p>
      <w:pPr>
        <w:pageBreakBefore w:val="0"/>
        <w:kinsoku/>
        <w:wordWrap/>
        <w:overflowPunct/>
        <w:topLinePunct w:val="0"/>
        <w:bidi w:val="0"/>
        <w:spacing w:after="0" w:line="288" w:lineRule="auto"/>
        <w:jc w:val="center"/>
        <w:rPr>
          <w:rFonts w:ascii="Arial" w:hAnsi="Arial" w:cs="Arial"/>
          <w:b/>
          <w:sz w:val="32"/>
          <w:szCs w:val="32"/>
        </w:rPr>
      </w:pPr>
    </w:p>
    <w:p>
      <w:pPr>
        <w:pageBreakBefore w:val="0"/>
        <w:kinsoku/>
        <w:wordWrap/>
        <w:overflowPunct/>
        <w:topLinePunct w:val="0"/>
        <w:bidi w:val="0"/>
        <w:spacing w:after="0" w:line="288" w:lineRule="auto"/>
        <w:jc w:val="center"/>
        <w:rPr>
          <w:rFonts w:ascii="Arial" w:hAnsi="Arial" w:cs="Arial"/>
          <w:b/>
          <w:sz w:val="32"/>
          <w:szCs w:val="32"/>
        </w:rPr>
      </w:pPr>
    </w:p>
    <w:p>
      <w:pPr>
        <w:pageBreakBefore w:val="0"/>
        <w:kinsoku/>
        <w:wordWrap/>
        <w:overflowPunct/>
        <w:topLinePunct w:val="0"/>
        <w:bidi w:val="0"/>
        <w:spacing w:after="0" w:line="288" w:lineRule="auto"/>
        <w:jc w:val="center"/>
        <w:rPr>
          <w:rFonts w:ascii="Arial" w:hAnsi="Arial" w:cs="Arial"/>
          <w:b/>
          <w:sz w:val="32"/>
          <w:szCs w:val="32"/>
        </w:rPr>
      </w:pPr>
    </w:p>
    <w:p>
      <w:pPr>
        <w:pageBreakBefore w:val="0"/>
        <w:kinsoku/>
        <w:wordWrap/>
        <w:overflowPunct/>
        <w:topLinePunct w:val="0"/>
        <w:bidi w:val="0"/>
        <w:spacing w:after="0" w:line="288" w:lineRule="auto"/>
        <w:jc w:val="center"/>
        <w:rPr>
          <w:rFonts w:ascii="Arial" w:hAnsi="Arial" w:cs="Arial"/>
          <w:b/>
          <w:sz w:val="32"/>
          <w:szCs w:val="32"/>
        </w:rPr>
      </w:pPr>
    </w:p>
    <w:p>
      <w:pPr>
        <w:pageBreakBefore w:val="0"/>
        <w:kinsoku/>
        <w:wordWrap/>
        <w:overflowPunct/>
        <w:topLinePunct w:val="0"/>
        <w:bidi w:val="0"/>
        <w:spacing w:after="0" w:line="288" w:lineRule="auto"/>
        <w:jc w:val="center"/>
        <w:rPr>
          <w:rFonts w:ascii="Arial" w:hAnsi="Arial" w:cs="Arial"/>
          <w:b/>
          <w:sz w:val="32"/>
          <w:szCs w:val="32"/>
        </w:rPr>
      </w:pPr>
    </w:p>
    <w:p>
      <w:pPr>
        <w:pageBreakBefore w:val="0"/>
        <w:kinsoku/>
        <w:wordWrap/>
        <w:overflowPunct/>
        <w:topLinePunct w:val="0"/>
        <w:bidi w:val="0"/>
        <w:spacing w:after="0" w:line="288" w:lineRule="auto"/>
        <w:rPr>
          <w:rFonts w:ascii="Arial" w:hAnsi="Arial" w:cs="Arial"/>
          <w:b/>
          <w:sz w:val="32"/>
          <w:szCs w:val="32"/>
        </w:rPr>
      </w:pPr>
    </w:p>
    <w:p>
      <w:pPr>
        <w:pageBreakBefore w:val="0"/>
        <w:kinsoku/>
        <w:wordWrap/>
        <w:overflowPunct/>
        <w:topLinePunct w:val="0"/>
        <w:bidi w:val="0"/>
        <w:spacing w:after="0" w:line="288" w:lineRule="auto"/>
        <w:rPr>
          <w:rFonts w:ascii="Arial" w:hAnsi="Arial" w:cs="Arial"/>
          <w:b/>
          <w:sz w:val="32"/>
          <w:szCs w:val="32"/>
        </w:rPr>
      </w:pPr>
      <w:r>
        <w:rPr>
          <w:rFonts w:ascii="Arial" w:hAnsi="Arial" w:cs="Arial"/>
          <w:b/>
          <w:sz w:val="32"/>
          <w:szCs w:val="32"/>
        </w:rPr>
        <w:br w:type="page"/>
      </w:r>
    </w:p>
    <w:p>
      <w:pPr>
        <w:pageBreakBefore w:val="0"/>
        <w:kinsoku/>
        <w:wordWrap/>
        <w:overflowPunct/>
        <w:topLinePunct w:val="0"/>
        <w:bidi w:val="0"/>
        <w:spacing w:after="0" w:line="288" w:lineRule="auto"/>
        <w:rPr>
          <w:rFonts w:ascii="Arial" w:hAnsi="Arial" w:cs="Arial"/>
          <w:b/>
          <w:sz w:val="32"/>
          <w:szCs w:val="32"/>
        </w:rPr>
      </w:pPr>
      <w:r>
        <w:rPr>
          <w:rFonts w:ascii="Arial" w:hAnsi="Arial" w:cs="Arial"/>
          <w:b/>
          <w:sz w:val="32"/>
          <w:szCs w:val="32"/>
        </w:rPr>
        <w:t>一、投标文件组成</w:t>
      </w:r>
    </w:p>
    <w:p>
      <w:pPr>
        <w:pageBreakBefore w:val="0"/>
        <w:kinsoku/>
        <w:wordWrap/>
        <w:overflowPunct/>
        <w:topLinePunct w:val="0"/>
        <w:bidi w:val="0"/>
        <w:spacing w:after="0" w:line="288" w:lineRule="auto"/>
        <w:rPr>
          <w:rFonts w:ascii="Arial" w:hAnsi="Arial" w:cs="Arial"/>
          <w:b/>
          <w:bCs/>
          <w:sz w:val="24"/>
        </w:rPr>
      </w:pPr>
    </w:p>
    <w:p>
      <w:pPr>
        <w:pageBreakBefore w:val="0"/>
        <w:kinsoku/>
        <w:wordWrap/>
        <w:overflowPunct/>
        <w:topLinePunct w:val="0"/>
        <w:bidi w:val="0"/>
        <w:spacing w:after="0" w:line="288" w:lineRule="auto"/>
        <w:rPr>
          <w:rFonts w:ascii="Arial" w:hAnsi="Arial" w:cs="Arial"/>
          <w:b/>
          <w:bCs/>
          <w:sz w:val="24"/>
        </w:rPr>
      </w:pPr>
    </w:p>
    <w:p>
      <w:pPr>
        <w:pageBreakBefore w:val="0"/>
        <w:kinsoku/>
        <w:wordWrap/>
        <w:overflowPunct/>
        <w:topLinePunct w:val="0"/>
        <w:bidi w:val="0"/>
        <w:spacing w:after="0" w:line="288" w:lineRule="auto"/>
        <w:rPr>
          <w:rFonts w:ascii="Arial" w:hAnsi="Arial" w:cs="Arial"/>
          <w:b/>
          <w:bCs/>
          <w:sz w:val="24"/>
        </w:rPr>
      </w:pPr>
      <w:r>
        <w:rPr>
          <w:rFonts w:ascii="Arial" w:hAnsi="Arial" w:cs="Arial"/>
          <w:b/>
          <w:sz w:val="32"/>
          <w:szCs w:val="32"/>
        </w:rPr>
        <w:t>（一）投标报价表</w:t>
      </w:r>
    </w:p>
    <w:p>
      <w:pPr>
        <w:pageBreakBefore w:val="0"/>
        <w:kinsoku/>
        <w:wordWrap/>
        <w:overflowPunct/>
        <w:topLinePunct w:val="0"/>
        <w:bidi w:val="0"/>
        <w:spacing w:after="0" w:line="288" w:lineRule="auto"/>
        <w:rPr>
          <w:rFonts w:ascii="Arial" w:hAnsi="Arial" w:cs="Arial"/>
          <w:b/>
          <w:bCs/>
          <w:sz w:val="24"/>
        </w:rPr>
      </w:pPr>
    </w:p>
    <w:p>
      <w:pPr>
        <w:pageBreakBefore w:val="0"/>
        <w:kinsoku/>
        <w:wordWrap/>
        <w:overflowPunct/>
        <w:topLinePunct w:val="0"/>
        <w:bidi w:val="0"/>
        <w:spacing w:after="0" w:line="288" w:lineRule="auto"/>
        <w:rPr>
          <w:rFonts w:ascii="Arial" w:hAnsi="Arial" w:cs="Arial"/>
          <w:b/>
          <w:bCs/>
          <w:sz w:val="24"/>
        </w:rPr>
      </w:pPr>
    </w:p>
    <w:p>
      <w:pPr>
        <w:pageBreakBefore w:val="0"/>
        <w:kinsoku/>
        <w:wordWrap/>
        <w:overflowPunct/>
        <w:topLinePunct w:val="0"/>
        <w:bidi w:val="0"/>
        <w:spacing w:after="0" w:line="288" w:lineRule="auto"/>
        <w:rPr>
          <w:rFonts w:ascii="Arial" w:hAnsi="Arial" w:cs="Arial"/>
          <w:b/>
          <w:bCs/>
          <w:sz w:val="24"/>
        </w:rPr>
      </w:pPr>
    </w:p>
    <w:p>
      <w:pPr>
        <w:pageBreakBefore w:val="0"/>
        <w:kinsoku/>
        <w:wordWrap/>
        <w:overflowPunct/>
        <w:topLinePunct w:val="0"/>
        <w:bidi w:val="0"/>
        <w:spacing w:after="0" w:line="288" w:lineRule="auto"/>
        <w:rPr>
          <w:rFonts w:ascii="Arial" w:hAnsi="Arial" w:cs="Arial"/>
          <w:b/>
          <w:bCs/>
          <w:sz w:val="24"/>
        </w:rPr>
      </w:pPr>
      <w:r>
        <w:rPr>
          <w:rFonts w:ascii="Arial" w:hAnsi="Arial" w:cs="Arial"/>
          <w:b/>
          <w:sz w:val="32"/>
          <w:szCs w:val="32"/>
        </w:rPr>
        <w:t>（二）资格性响应证明材料</w:t>
      </w:r>
    </w:p>
    <w:p>
      <w:pPr>
        <w:pageBreakBefore w:val="0"/>
        <w:kinsoku/>
        <w:wordWrap/>
        <w:overflowPunct/>
        <w:topLinePunct w:val="0"/>
        <w:bidi w:val="0"/>
        <w:spacing w:after="0" w:line="288" w:lineRule="auto"/>
        <w:rPr>
          <w:rFonts w:ascii="Arial" w:hAnsi="Arial" w:cs="Arial"/>
          <w:b/>
          <w:bCs/>
          <w:sz w:val="24"/>
        </w:rPr>
      </w:pPr>
    </w:p>
    <w:p>
      <w:pPr>
        <w:pageBreakBefore w:val="0"/>
        <w:kinsoku/>
        <w:wordWrap/>
        <w:overflowPunct/>
        <w:topLinePunct w:val="0"/>
        <w:bidi w:val="0"/>
        <w:spacing w:after="0" w:line="288" w:lineRule="auto"/>
        <w:rPr>
          <w:rFonts w:ascii="Arial" w:hAnsi="Arial" w:cs="Arial"/>
          <w:b/>
          <w:bCs/>
          <w:sz w:val="24"/>
        </w:rPr>
      </w:pPr>
    </w:p>
    <w:p>
      <w:pPr>
        <w:pageBreakBefore w:val="0"/>
        <w:kinsoku/>
        <w:wordWrap/>
        <w:overflowPunct/>
        <w:topLinePunct w:val="0"/>
        <w:bidi w:val="0"/>
        <w:spacing w:after="0" w:line="288" w:lineRule="auto"/>
        <w:rPr>
          <w:rFonts w:ascii="Arial" w:hAnsi="Arial" w:cs="Arial"/>
          <w:b/>
          <w:sz w:val="32"/>
          <w:szCs w:val="32"/>
        </w:rPr>
      </w:pPr>
    </w:p>
    <w:p>
      <w:pPr>
        <w:pageBreakBefore w:val="0"/>
        <w:kinsoku/>
        <w:wordWrap/>
        <w:overflowPunct/>
        <w:topLinePunct w:val="0"/>
        <w:bidi w:val="0"/>
        <w:spacing w:after="0" w:line="288" w:lineRule="auto"/>
        <w:rPr>
          <w:rFonts w:ascii="Arial" w:hAnsi="Arial" w:cs="Arial"/>
          <w:b/>
          <w:sz w:val="32"/>
          <w:szCs w:val="32"/>
        </w:rPr>
      </w:pPr>
      <w:r>
        <w:rPr>
          <w:rFonts w:ascii="Arial" w:hAnsi="Arial" w:cs="Arial"/>
          <w:b/>
          <w:sz w:val="32"/>
          <w:szCs w:val="32"/>
        </w:rPr>
        <w:t>（三）商务、技术性响应证明材料</w:t>
      </w:r>
    </w:p>
    <w:p>
      <w:pPr>
        <w:pageBreakBefore w:val="0"/>
        <w:kinsoku/>
        <w:wordWrap/>
        <w:overflowPunct/>
        <w:topLinePunct w:val="0"/>
        <w:bidi w:val="0"/>
        <w:spacing w:after="0" w:line="288" w:lineRule="auto"/>
        <w:rPr>
          <w:rFonts w:ascii="Arial" w:hAnsi="Arial" w:cs="Arial"/>
          <w:b/>
          <w:sz w:val="32"/>
          <w:szCs w:val="32"/>
        </w:rPr>
      </w:pPr>
    </w:p>
    <w:p>
      <w:pPr>
        <w:pageBreakBefore w:val="0"/>
        <w:kinsoku/>
        <w:wordWrap/>
        <w:overflowPunct/>
        <w:topLinePunct w:val="0"/>
        <w:bidi w:val="0"/>
        <w:spacing w:after="0" w:line="288" w:lineRule="auto"/>
        <w:rPr>
          <w:rFonts w:ascii="Arial" w:hAnsi="Arial" w:cs="Arial"/>
          <w:b/>
          <w:sz w:val="32"/>
          <w:szCs w:val="32"/>
        </w:rPr>
      </w:pPr>
      <w:r>
        <w:rPr>
          <w:rFonts w:ascii="Arial" w:hAnsi="Arial" w:cs="Arial"/>
          <w:b/>
          <w:sz w:val="32"/>
          <w:szCs w:val="32"/>
        </w:rPr>
        <w:br w:type="page"/>
      </w:r>
    </w:p>
    <w:p>
      <w:pPr>
        <w:pageBreakBefore w:val="0"/>
        <w:kinsoku/>
        <w:wordWrap/>
        <w:overflowPunct/>
        <w:topLinePunct w:val="0"/>
        <w:bidi w:val="0"/>
        <w:spacing w:after="0" w:line="288" w:lineRule="auto"/>
        <w:jc w:val="center"/>
        <w:rPr>
          <w:rFonts w:ascii="Arial" w:hAnsi="Arial" w:cs="Arial"/>
          <w:b/>
          <w:sz w:val="32"/>
          <w:szCs w:val="32"/>
        </w:rPr>
      </w:pPr>
      <w:r>
        <w:rPr>
          <w:rFonts w:ascii="Arial" w:hAnsi="Arial" w:cs="Arial"/>
          <w:b/>
          <w:sz w:val="32"/>
          <w:szCs w:val="32"/>
        </w:rPr>
        <w:t>（一）投标报价表</w:t>
      </w:r>
    </w:p>
    <w:p>
      <w:pPr>
        <w:pageBreakBefore w:val="0"/>
        <w:kinsoku/>
        <w:wordWrap/>
        <w:overflowPunct/>
        <w:topLinePunct w:val="0"/>
        <w:bidi w:val="0"/>
        <w:spacing w:after="0" w:line="288" w:lineRule="auto"/>
        <w:jc w:val="center"/>
        <w:rPr>
          <w:rFonts w:ascii="Arial" w:hAnsi="Arial" w:cs="Arial"/>
          <w:b/>
          <w:sz w:val="32"/>
          <w:szCs w:val="32"/>
        </w:rPr>
      </w:pPr>
      <w:r>
        <w:rPr>
          <w:rFonts w:ascii="Arial" w:hAnsi="Arial" w:cs="Arial"/>
          <w:b/>
          <w:sz w:val="32"/>
          <w:szCs w:val="32"/>
        </w:rPr>
        <w:t>投标报价表（格式）</w:t>
      </w:r>
    </w:p>
    <w:p>
      <w:pPr>
        <w:pageBreakBefore w:val="0"/>
        <w:kinsoku/>
        <w:wordWrap/>
        <w:overflowPunct/>
        <w:topLinePunct w:val="0"/>
        <w:bidi w:val="0"/>
        <w:spacing w:after="0" w:line="288" w:lineRule="auto"/>
        <w:jc w:val="center"/>
        <w:rPr>
          <w:rFonts w:ascii="Arial" w:hAnsi="Arial" w:cs="Arial"/>
          <w:sz w:val="32"/>
        </w:rPr>
      </w:pPr>
    </w:p>
    <w:p>
      <w:pPr>
        <w:pageBreakBefore w:val="0"/>
        <w:kinsoku/>
        <w:wordWrap/>
        <w:overflowPunct/>
        <w:topLinePunct w:val="0"/>
        <w:bidi w:val="0"/>
        <w:spacing w:after="0" w:line="288" w:lineRule="auto"/>
        <w:rPr>
          <w:rFonts w:ascii="Arial" w:hAnsi="Arial" w:cs="Arial"/>
        </w:rPr>
      </w:pPr>
      <w:r>
        <w:rPr>
          <w:rFonts w:ascii="Arial" w:hAnsi="Arial" w:cs="Arial"/>
          <w:szCs w:val="21"/>
        </w:rPr>
        <w:t>致：</w:t>
      </w:r>
      <w:r>
        <w:rPr>
          <w:rFonts w:ascii="Arial" w:hAnsi="Arial" w:cs="Arial"/>
          <w:u w:val="single"/>
        </w:rPr>
        <w:t>广西机电设备招标有限公司</w:t>
      </w:r>
    </w:p>
    <w:p>
      <w:pPr>
        <w:pStyle w:val="28"/>
        <w:pageBreakBefore w:val="0"/>
        <w:kinsoku/>
        <w:wordWrap/>
        <w:overflowPunct/>
        <w:topLinePunct w:val="0"/>
        <w:bidi w:val="0"/>
        <w:spacing w:after="0" w:line="288" w:lineRule="auto"/>
        <w:ind w:firstLine="420"/>
        <w:rPr>
          <w:rFonts w:ascii="Arial" w:hAnsi="Arial" w:cs="Arial"/>
        </w:rPr>
      </w:pPr>
      <w:r>
        <w:rPr>
          <w:rFonts w:ascii="Arial" w:hAnsi="Arial" w:cs="Arial"/>
        </w:rPr>
        <w:t>根据贵方</w:t>
      </w:r>
      <w:r>
        <w:rPr>
          <w:rFonts w:ascii="Arial" w:hAnsi="Arial" w:cs="Arial"/>
          <w:u w:val="single"/>
        </w:rPr>
        <w:t xml:space="preserve">          </w:t>
      </w:r>
      <w:r>
        <w:rPr>
          <w:rFonts w:ascii="Arial" w:hAnsi="Arial" w:cs="Arial"/>
        </w:rPr>
        <w:t>项目招标文件，项目编号</w:t>
      </w:r>
      <w:r>
        <w:rPr>
          <w:rFonts w:ascii="Arial" w:hAnsi="Arial" w:cs="Arial"/>
          <w:u w:val="single"/>
        </w:rPr>
        <w:t xml:space="preserve">           </w:t>
      </w:r>
      <w:r>
        <w:rPr>
          <w:rFonts w:ascii="Arial" w:hAnsi="Arial" w:cs="Arial"/>
          <w:szCs w:val="21"/>
        </w:rPr>
        <w:t>，签字代表</w:t>
      </w:r>
      <w:r>
        <w:rPr>
          <w:rFonts w:ascii="Arial" w:hAnsi="Arial" w:cs="Arial"/>
          <w:u w:val="single"/>
        </w:rPr>
        <w:t>（姓  名）</w:t>
      </w:r>
      <w:r>
        <w:rPr>
          <w:rFonts w:ascii="Arial" w:hAnsi="Arial" w:cs="Arial"/>
        </w:rPr>
        <w:t xml:space="preserve">经正式授权并代表投标人 </w:t>
      </w:r>
      <w:r>
        <w:rPr>
          <w:rFonts w:ascii="Arial" w:hAnsi="Arial" w:cs="Arial"/>
          <w:u w:val="single"/>
        </w:rPr>
        <w:t xml:space="preserve">    （投标单位名称）</w:t>
      </w:r>
      <w:r>
        <w:rPr>
          <w:rFonts w:ascii="Arial" w:hAnsi="Arial" w:cs="Arial"/>
        </w:rPr>
        <w:t>，并做出如下报价：</w:t>
      </w:r>
    </w:p>
    <w:p>
      <w:pPr>
        <w:pStyle w:val="28"/>
        <w:pageBreakBefore w:val="0"/>
        <w:kinsoku/>
        <w:wordWrap/>
        <w:overflowPunct/>
        <w:topLinePunct w:val="0"/>
        <w:bidi w:val="0"/>
        <w:spacing w:after="0" w:line="288" w:lineRule="auto"/>
        <w:ind w:firstLine="420" w:firstLineChars="200"/>
      </w:pPr>
      <w:r>
        <w:rPr>
          <w:rFonts w:ascii="Arial" w:hAnsi="Arial" w:cs="Arial"/>
          <w:b/>
          <w:bCs/>
        </w:rPr>
        <w:t>分标：</w:t>
      </w:r>
    </w:p>
    <w:tbl>
      <w:tblPr>
        <w:tblStyle w:val="49"/>
        <w:tblW w:w="998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1"/>
        <w:gridCol w:w="1197"/>
        <w:gridCol w:w="2872"/>
        <w:gridCol w:w="842"/>
        <w:gridCol w:w="841"/>
        <w:gridCol w:w="1404"/>
        <w:gridCol w:w="22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56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after="0" w:line="288" w:lineRule="auto"/>
              <w:jc w:val="center"/>
              <w:rPr>
                <w:rFonts w:ascii="Arial" w:hAnsi="Arial" w:cs="Arial"/>
              </w:rPr>
            </w:pPr>
            <w:r>
              <w:rPr>
                <w:rFonts w:ascii="Arial" w:hAnsi="Arial" w:cs="Arial"/>
              </w:rPr>
              <w:t>项号</w:t>
            </w:r>
          </w:p>
        </w:tc>
        <w:tc>
          <w:tcPr>
            <w:tcW w:w="119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after="0" w:line="288" w:lineRule="auto"/>
              <w:jc w:val="center"/>
              <w:rPr>
                <w:rFonts w:ascii="Arial" w:hAnsi="Arial" w:cs="Arial"/>
              </w:rPr>
            </w:pPr>
            <w:r>
              <w:rPr>
                <w:rFonts w:ascii="Arial" w:hAnsi="Arial" w:cs="Arial"/>
              </w:rPr>
              <w:t>货物名称</w:t>
            </w:r>
          </w:p>
        </w:tc>
        <w:tc>
          <w:tcPr>
            <w:tcW w:w="287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after="0" w:line="288" w:lineRule="auto"/>
              <w:jc w:val="center"/>
              <w:rPr>
                <w:rFonts w:ascii="Arial" w:hAnsi="Arial" w:cs="Arial"/>
              </w:rPr>
            </w:pPr>
            <w:r>
              <w:rPr>
                <w:rFonts w:ascii="Arial" w:hAnsi="Arial" w:cs="Arial"/>
              </w:rPr>
              <w:t>生产厂家、品牌、规格型号</w:t>
            </w:r>
          </w:p>
        </w:tc>
        <w:tc>
          <w:tcPr>
            <w:tcW w:w="84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after="0" w:line="288" w:lineRule="auto"/>
              <w:jc w:val="center"/>
              <w:rPr>
                <w:rFonts w:ascii="Arial" w:hAnsi="Arial" w:cs="Arial"/>
              </w:rPr>
            </w:pPr>
            <w:r>
              <w:rPr>
                <w:rFonts w:ascii="Arial" w:hAnsi="Arial" w:cs="Arial"/>
              </w:rPr>
              <w:t>数量</w:t>
            </w:r>
          </w:p>
          <w:p>
            <w:pPr>
              <w:pageBreakBefore w:val="0"/>
              <w:kinsoku/>
              <w:wordWrap/>
              <w:overflowPunct/>
              <w:topLinePunct w:val="0"/>
              <w:bidi w:val="0"/>
              <w:spacing w:after="0" w:line="288" w:lineRule="auto"/>
              <w:jc w:val="center"/>
              <w:rPr>
                <w:rFonts w:ascii="Arial" w:hAnsi="Arial" w:cs="Arial"/>
              </w:rPr>
            </w:pPr>
            <w:r>
              <w:rPr>
                <w:rFonts w:ascii="Arial" w:hAnsi="Arial" w:cs="Arial"/>
                <w:szCs w:val="21"/>
              </w:rPr>
              <w:t>①</w:t>
            </w:r>
          </w:p>
        </w:tc>
        <w:tc>
          <w:tcPr>
            <w:tcW w:w="84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after="0" w:line="288" w:lineRule="auto"/>
              <w:jc w:val="center"/>
              <w:rPr>
                <w:rFonts w:ascii="Arial" w:hAnsi="Arial" w:cs="Arial"/>
              </w:rPr>
            </w:pPr>
            <w:r>
              <w:rPr>
                <w:rFonts w:ascii="Arial" w:hAnsi="Arial" w:cs="Arial"/>
              </w:rPr>
              <w:t>单位</w:t>
            </w:r>
          </w:p>
        </w:tc>
        <w:tc>
          <w:tcPr>
            <w:tcW w:w="140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after="0" w:line="288" w:lineRule="auto"/>
              <w:jc w:val="center"/>
              <w:rPr>
                <w:rFonts w:ascii="Arial" w:hAnsi="Arial" w:cs="Arial"/>
              </w:rPr>
            </w:pPr>
            <w:r>
              <w:rPr>
                <w:rFonts w:ascii="Arial" w:hAnsi="Arial" w:cs="Arial"/>
              </w:rPr>
              <w:t>单价（元）</w:t>
            </w:r>
          </w:p>
          <w:p>
            <w:pPr>
              <w:pageBreakBefore w:val="0"/>
              <w:kinsoku/>
              <w:wordWrap/>
              <w:overflowPunct/>
              <w:topLinePunct w:val="0"/>
              <w:bidi w:val="0"/>
              <w:spacing w:after="0" w:line="288" w:lineRule="auto"/>
              <w:jc w:val="center"/>
              <w:rPr>
                <w:rFonts w:ascii="Arial" w:hAnsi="Arial" w:cs="Arial"/>
              </w:rPr>
            </w:pPr>
            <w:r>
              <w:rPr>
                <w:rFonts w:ascii="Arial" w:hAnsi="Arial" w:cs="Arial"/>
                <w:szCs w:val="21"/>
              </w:rPr>
              <w:t>②</w:t>
            </w:r>
          </w:p>
        </w:tc>
        <w:tc>
          <w:tcPr>
            <w:tcW w:w="2264" w:type="dxa"/>
            <w:tcBorders>
              <w:top w:val="single" w:color="auto" w:sz="4" w:space="0"/>
              <w:left w:val="single" w:color="auto" w:sz="4" w:space="0"/>
              <w:bottom w:val="single" w:color="auto" w:sz="4" w:space="0"/>
            </w:tcBorders>
            <w:vAlign w:val="center"/>
          </w:tcPr>
          <w:p>
            <w:pPr>
              <w:pageBreakBefore w:val="0"/>
              <w:kinsoku/>
              <w:wordWrap/>
              <w:overflowPunct/>
              <w:topLinePunct w:val="0"/>
              <w:bidi w:val="0"/>
              <w:spacing w:after="0" w:line="288" w:lineRule="auto"/>
              <w:jc w:val="center"/>
              <w:rPr>
                <w:rFonts w:ascii="Arial" w:hAnsi="Arial" w:cs="Arial"/>
              </w:rPr>
            </w:pPr>
            <w:r>
              <w:rPr>
                <w:rFonts w:ascii="Arial" w:hAnsi="Arial" w:cs="Arial"/>
              </w:rPr>
              <w:t>单项合计=数量×单价</w:t>
            </w:r>
          </w:p>
          <w:p>
            <w:pPr>
              <w:pageBreakBefore w:val="0"/>
              <w:kinsoku/>
              <w:wordWrap/>
              <w:overflowPunct/>
              <w:topLinePunct w:val="0"/>
              <w:bidi w:val="0"/>
              <w:spacing w:after="0" w:line="288" w:lineRule="auto"/>
              <w:jc w:val="center"/>
              <w:rPr>
                <w:rFonts w:ascii="Arial" w:hAnsi="Arial" w:cs="Arial"/>
              </w:rPr>
            </w:pPr>
            <w:r>
              <w:rPr>
                <w:rFonts w:ascii="Arial" w:hAnsi="Arial" w:cs="Arial"/>
                <w:szCs w:val="21"/>
              </w:rPr>
              <w:t>③＝①×②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 w:hRule="atLeast"/>
        </w:trPr>
        <w:tc>
          <w:tcPr>
            <w:tcW w:w="56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1</w:t>
            </w:r>
          </w:p>
        </w:tc>
        <w:tc>
          <w:tcPr>
            <w:tcW w:w="119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after="0" w:line="288" w:lineRule="auto"/>
              <w:jc w:val="center"/>
              <w:rPr>
                <w:rFonts w:ascii="Arial" w:hAnsi="Arial" w:cs="Arial"/>
              </w:rPr>
            </w:pPr>
          </w:p>
        </w:tc>
        <w:tc>
          <w:tcPr>
            <w:tcW w:w="287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after="0" w:line="288" w:lineRule="auto"/>
              <w:jc w:val="center"/>
              <w:rPr>
                <w:rFonts w:ascii="Arial" w:hAnsi="Arial" w:cs="Arial"/>
              </w:rPr>
            </w:pPr>
          </w:p>
        </w:tc>
        <w:tc>
          <w:tcPr>
            <w:tcW w:w="84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after="0" w:line="288" w:lineRule="auto"/>
              <w:jc w:val="center"/>
              <w:rPr>
                <w:rFonts w:ascii="Arial" w:hAnsi="Arial" w:cs="Arial"/>
                <w:szCs w:val="21"/>
              </w:rPr>
            </w:pPr>
          </w:p>
        </w:tc>
        <w:tc>
          <w:tcPr>
            <w:tcW w:w="84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after="0" w:line="288" w:lineRule="auto"/>
              <w:jc w:val="center"/>
              <w:rPr>
                <w:rFonts w:ascii="Arial" w:hAnsi="Arial" w:cs="Arial"/>
                <w:szCs w:val="21"/>
              </w:rPr>
            </w:pPr>
          </w:p>
        </w:tc>
        <w:tc>
          <w:tcPr>
            <w:tcW w:w="140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after="0" w:line="288" w:lineRule="auto"/>
              <w:jc w:val="center"/>
              <w:rPr>
                <w:rFonts w:ascii="Arial" w:hAnsi="Arial" w:cs="Arial"/>
                <w:b/>
                <w:bCs/>
              </w:rPr>
            </w:pPr>
          </w:p>
        </w:tc>
        <w:tc>
          <w:tcPr>
            <w:tcW w:w="2264" w:type="dxa"/>
            <w:tcBorders>
              <w:top w:val="single" w:color="auto" w:sz="4" w:space="0"/>
              <w:left w:val="single" w:color="auto" w:sz="4" w:space="0"/>
              <w:bottom w:val="single" w:color="auto" w:sz="4" w:space="0"/>
            </w:tcBorders>
            <w:vAlign w:val="center"/>
          </w:tcPr>
          <w:p>
            <w:pPr>
              <w:pageBreakBefore w:val="0"/>
              <w:kinsoku/>
              <w:wordWrap/>
              <w:overflowPunct/>
              <w:topLinePunct w:val="0"/>
              <w:bidi w:val="0"/>
              <w:spacing w:after="0" w:line="288" w:lineRule="auto"/>
              <w:jc w:val="center"/>
              <w:rPr>
                <w:rFonts w:ascii="Arial" w:hAnsi="Arial" w:cs="Arial"/>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 w:hRule="atLeast"/>
        </w:trPr>
        <w:tc>
          <w:tcPr>
            <w:tcW w:w="56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w:t>
            </w:r>
          </w:p>
        </w:tc>
        <w:tc>
          <w:tcPr>
            <w:tcW w:w="119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after="0" w:line="288" w:lineRule="auto"/>
              <w:jc w:val="center"/>
              <w:rPr>
                <w:rFonts w:ascii="Arial" w:hAnsi="Arial" w:cs="Arial"/>
              </w:rPr>
            </w:pPr>
          </w:p>
        </w:tc>
        <w:tc>
          <w:tcPr>
            <w:tcW w:w="287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after="0" w:line="288" w:lineRule="auto"/>
              <w:jc w:val="center"/>
              <w:rPr>
                <w:rFonts w:ascii="Arial" w:hAnsi="Arial" w:cs="Arial"/>
              </w:rPr>
            </w:pPr>
          </w:p>
        </w:tc>
        <w:tc>
          <w:tcPr>
            <w:tcW w:w="84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after="0" w:line="288" w:lineRule="auto"/>
              <w:jc w:val="center"/>
              <w:rPr>
                <w:rFonts w:ascii="Arial" w:hAnsi="Arial" w:cs="Arial"/>
                <w:szCs w:val="21"/>
              </w:rPr>
            </w:pPr>
          </w:p>
        </w:tc>
        <w:tc>
          <w:tcPr>
            <w:tcW w:w="84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after="0" w:line="288" w:lineRule="auto"/>
              <w:jc w:val="center"/>
              <w:rPr>
                <w:rFonts w:ascii="Arial" w:hAnsi="Arial" w:cs="Arial"/>
                <w:szCs w:val="21"/>
              </w:rPr>
            </w:pPr>
          </w:p>
        </w:tc>
        <w:tc>
          <w:tcPr>
            <w:tcW w:w="140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after="0" w:line="288" w:lineRule="auto"/>
              <w:jc w:val="center"/>
              <w:rPr>
                <w:rFonts w:ascii="Arial" w:hAnsi="Arial" w:cs="Arial"/>
                <w:b/>
                <w:bCs/>
              </w:rPr>
            </w:pPr>
          </w:p>
        </w:tc>
        <w:tc>
          <w:tcPr>
            <w:tcW w:w="2264" w:type="dxa"/>
            <w:tcBorders>
              <w:top w:val="single" w:color="auto" w:sz="4" w:space="0"/>
              <w:left w:val="single" w:color="auto" w:sz="4" w:space="0"/>
              <w:bottom w:val="single" w:color="auto" w:sz="4" w:space="0"/>
            </w:tcBorders>
            <w:vAlign w:val="center"/>
          </w:tcPr>
          <w:p>
            <w:pPr>
              <w:pageBreakBefore w:val="0"/>
              <w:kinsoku/>
              <w:wordWrap/>
              <w:overflowPunct/>
              <w:topLinePunct w:val="0"/>
              <w:bidi w:val="0"/>
              <w:spacing w:after="0" w:line="288" w:lineRule="auto"/>
              <w:jc w:val="center"/>
              <w:rPr>
                <w:rFonts w:ascii="Arial" w:hAnsi="Arial" w:cs="Arial"/>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 w:hRule="atLeast"/>
        </w:trPr>
        <w:tc>
          <w:tcPr>
            <w:tcW w:w="9985" w:type="dxa"/>
            <w:gridSpan w:val="7"/>
            <w:tcBorders>
              <w:top w:val="single" w:color="auto" w:sz="4" w:space="0"/>
              <w:left w:val="single" w:color="auto" w:sz="4" w:space="0"/>
              <w:bottom w:val="single" w:color="auto" w:sz="4" w:space="0"/>
            </w:tcBorders>
            <w:vAlign w:val="center"/>
          </w:tcPr>
          <w:p>
            <w:pPr>
              <w:pageBreakBefore w:val="0"/>
              <w:kinsoku/>
              <w:wordWrap/>
              <w:overflowPunct/>
              <w:topLinePunct w:val="0"/>
              <w:bidi w:val="0"/>
              <w:spacing w:after="0" w:line="288" w:lineRule="auto"/>
              <w:rPr>
                <w:rFonts w:ascii="Arial" w:hAnsi="Arial" w:cs="Arial"/>
                <w:b/>
                <w:bCs/>
              </w:rPr>
            </w:pPr>
            <w:r>
              <w:rPr>
                <w:rFonts w:ascii="Arial" w:hAnsi="Arial" w:cs="Arial"/>
                <w:spacing w:val="-6"/>
              </w:rPr>
              <w:t>投标总报价（大写）：                                            元（￥                      ）人民币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 w:hRule="atLeast"/>
        </w:trPr>
        <w:tc>
          <w:tcPr>
            <w:tcW w:w="9985" w:type="dxa"/>
            <w:gridSpan w:val="7"/>
            <w:tcBorders>
              <w:top w:val="single" w:color="auto" w:sz="4" w:space="0"/>
              <w:left w:val="single" w:color="auto" w:sz="4" w:space="0"/>
              <w:bottom w:val="single" w:color="auto" w:sz="4" w:space="0"/>
            </w:tcBorders>
            <w:vAlign w:val="center"/>
          </w:tcPr>
          <w:p>
            <w:pPr>
              <w:pageBreakBefore w:val="0"/>
              <w:kinsoku/>
              <w:wordWrap/>
              <w:overflowPunct/>
              <w:topLinePunct w:val="0"/>
              <w:bidi w:val="0"/>
              <w:spacing w:after="0" w:line="288" w:lineRule="auto"/>
              <w:rPr>
                <w:rFonts w:ascii="Arial" w:hAnsi="Arial" w:cs="Arial"/>
                <w:spacing w:val="-6"/>
              </w:rPr>
            </w:pPr>
            <w:r>
              <w:rPr>
                <w:rFonts w:ascii="Arial" w:hAnsi="Arial" w:cs="Arial"/>
                <w:spacing w:val="-6"/>
              </w:rPr>
              <w:t>本项目投标有效期为投标截止时间之日起90天。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 w:hRule="atLeast"/>
        </w:trPr>
        <w:tc>
          <w:tcPr>
            <w:tcW w:w="9985" w:type="dxa"/>
            <w:gridSpan w:val="7"/>
            <w:tcBorders>
              <w:top w:val="single" w:color="auto" w:sz="4" w:space="0"/>
              <w:left w:val="single" w:color="auto" w:sz="4" w:space="0"/>
              <w:bottom w:val="single" w:color="auto" w:sz="4" w:space="0"/>
            </w:tcBorders>
            <w:vAlign w:val="center"/>
          </w:tcPr>
          <w:p>
            <w:pPr>
              <w:pageBreakBefore w:val="0"/>
              <w:kinsoku/>
              <w:wordWrap/>
              <w:overflowPunct/>
              <w:topLinePunct w:val="0"/>
              <w:bidi w:val="0"/>
              <w:spacing w:after="0" w:line="288" w:lineRule="auto"/>
              <w:rPr>
                <w:rFonts w:ascii="Arial" w:hAnsi="Arial" w:cs="Arial"/>
                <w:spacing w:val="-6"/>
              </w:rPr>
            </w:pPr>
            <w:r>
              <w:rPr>
                <w:rFonts w:ascii="Arial" w:hAnsi="Arial" w:cs="Arial"/>
                <w:spacing w:val="-6"/>
              </w:rPr>
              <w:t>保修期：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 w:hRule="atLeast"/>
        </w:trPr>
        <w:tc>
          <w:tcPr>
            <w:tcW w:w="9985" w:type="dxa"/>
            <w:gridSpan w:val="7"/>
            <w:tcBorders>
              <w:top w:val="single" w:color="auto" w:sz="4" w:space="0"/>
              <w:left w:val="single" w:color="auto" w:sz="4" w:space="0"/>
              <w:bottom w:val="single" w:color="auto" w:sz="4" w:space="0"/>
            </w:tcBorders>
            <w:vAlign w:val="center"/>
          </w:tcPr>
          <w:p>
            <w:pPr>
              <w:pageBreakBefore w:val="0"/>
              <w:kinsoku/>
              <w:wordWrap/>
              <w:overflowPunct/>
              <w:topLinePunct w:val="0"/>
              <w:bidi w:val="0"/>
              <w:spacing w:after="0" w:line="288" w:lineRule="auto"/>
              <w:rPr>
                <w:rFonts w:ascii="Arial" w:hAnsi="Arial" w:cs="Arial"/>
              </w:rPr>
            </w:pPr>
            <w:r>
              <w:rPr>
                <w:rFonts w:ascii="Arial" w:hAnsi="Arial" w:cs="Arial"/>
              </w:rPr>
              <w:t xml:space="preserve">其中：属于财政部《节能产品政府采购品目清单》内产品的总金额为人民币（大写）：      元 （￥    ）； </w:t>
            </w:r>
          </w:p>
          <w:p>
            <w:pPr>
              <w:pageBreakBefore w:val="0"/>
              <w:kinsoku/>
              <w:wordWrap/>
              <w:overflowPunct/>
              <w:topLinePunct w:val="0"/>
              <w:bidi w:val="0"/>
              <w:spacing w:after="0" w:line="288" w:lineRule="auto"/>
              <w:rPr>
                <w:rFonts w:ascii="Arial" w:hAnsi="Arial" w:cs="Arial"/>
              </w:rPr>
            </w:pPr>
            <w:r>
              <w:rPr>
                <w:rFonts w:ascii="Arial" w:hAnsi="Arial" w:cs="Arial"/>
              </w:rPr>
              <w:t>属于财政部《环境标志产品政府采购品目清单》内产品的总金额为人民币（大写）：     元 （￥    ）。</w:t>
            </w:r>
          </w:p>
          <w:p>
            <w:pPr>
              <w:pageBreakBefore w:val="0"/>
              <w:kinsoku/>
              <w:wordWrap/>
              <w:overflowPunct/>
              <w:topLinePunct w:val="0"/>
              <w:bidi w:val="0"/>
              <w:spacing w:after="0" w:line="288" w:lineRule="auto"/>
              <w:rPr>
                <w:rFonts w:ascii="Arial" w:hAnsi="Arial" w:cs="Arial"/>
                <w:b/>
                <w:bCs/>
                <w:spacing w:val="-6"/>
              </w:rPr>
            </w:pPr>
            <w:r>
              <w:rPr>
                <w:rFonts w:ascii="Arial" w:hAnsi="Arial" w:cs="Arial"/>
                <w:b/>
                <w:bCs/>
              </w:rPr>
              <w:t>备注：若不属于财政部《节能产品政府采购品目清单》及《环境标志产品政府采购品目清单》内产品的，则 该处填写“无”字样。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 w:hRule="atLeast"/>
        </w:trPr>
        <w:tc>
          <w:tcPr>
            <w:tcW w:w="9985" w:type="dxa"/>
            <w:gridSpan w:val="7"/>
            <w:tcBorders>
              <w:top w:val="single" w:color="auto" w:sz="4" w:space="0"/>
              <w:left w:val="single" w:color="auto" w:sz="4" w:space="0"/>
              <w:bottom w:val="single" w:color="auto" w:sz="4" w:space="0"/>
            </w:tcBorders>
            <w:vAlign w:val="center"/>
          </w:tcPr>
          <w:p>
            <w:pPr>
              <w:pageBreakBefore w:val="0"/>
              <w:kinsoku/>
              <w:wordWrap/>
              <w:overflowPunct/>
              <w:topLinePunct w:val="0"/>
              <w:bidi w:val="0"/>
              <w:spacing w:after="0" w:line="288" w:lineRule="auto"/>
              <w:rPr>
                <w:rFonts w:ascii="Arial" w:hAnsi="Arial" w:cs="Arial"/>
                <w:spacing w:val="-6"/>
              </w:rPr>
            </w:pPr>
            <w:r>
              <w:rPr>
                <w:rFonts w:ascii="Arial" w:hAnsi="Arial" w:cs="Arial"/>
              </w:rPr>
              <w:t>说明：</w:t>
            </w:r>
            <w:r>
              <w:rPr>
                <w:rFonts w:hint="eastAsia" w:ascii="宋体" w:hAnsi="宋体" w:cs="宋体"/>
              </w:rPr>
              <w:t>投标人的投标报价</w:t>
            </w:r>
            <w:r>
              <w:rPr>
                <w:rFonts w:hint="eastAsia" w:ascii="宋体" w:hAnsi="宋体" w:cs="宋体"/>
                <w:szCs w:val="21"/>
              </w:rPr>
              <w:t>包括本次采购范围内货物价款、货物随配标准附件、包装、运输、装卸、保险、税金、货到位以及安装、调试、检验、售后服务、培训、保修以及</w:t>
            </w:r>
            <w:r>
              <w:rPr>
                <w:rFonts w:hint="eastAsia" w:ascii="宋体" w:hAnsi="宋体" w:cs="宋体"/>
                <w:kern w:val="0"/>
              </w:rPr>
              <w:t>对于本文件中未列明，而投标人认为完成项目所必须的费用等</w:t>
            </w:r>
            <w:r>
              <w:rPr>
                <w:rFonts w:hint="eastAsia" w:ascii="宋体" w:hAnsi="宋体" w:cs="宋体"/>
                <w:szCs w:val="21"/>
              </w:rPr>
              <w:t>其他所有成本费用的总和；</w:t>
            </w:r>
            <w:r>
              <w:rPr>
                <w:rFonts w:hint="eastAsia" w:ascii="宋体" w:hAnsi="宋体" w:cs="宋体"/>
              </w:rPr>
              <w:t>投标人综合考虑在报价中</w:t>
            </w:r>
            <w:r>
              <w:rPr>
                <w:rFonts w:hint="eastAsia" w:ascii="宋体" w:hAnsi="宋体" w:cs="宋体"/>
                <w:kern w:val="0"/>
              </w:rPr>
              <w:t>。</w:t>
            </w:r>
          </w:p>
        </w:tc>
      </w:tr>
    </w:tbl>
    <w:p>
      <w:pPr>
        <w:pStyle w:val="28"/>
        <w:pageBreakBefore w:val="0"/>
        <w:kinsoku/>
        <w:wordWrap/>
        <w:overflowPunct/>
        <w:topLinePunct w:val="0"/>
        <w:bidi w:val="0"/>
        <w:spacing w:after="0" w:line="288" w:lineRule="auto"/>
        <w:ind w:firstLine="420"/>
        <w:rPr>
          <w:rFonts w:ascii="Arial" w:hAnsi="Arial" w:cs="Arial"/>
        </w:rPr>
      </w:pPr>
      <w:r>
        <w:rPr>
          <w:rFonts w:ascii="Arial" w:hAnsi="Arial" w:cs="Arial"/>
        </w:rPr>
        <w:t>与本投标有关的正式通讯地址为：</w:t>
      </w:r>
    </w:p>
    <w:p>
      <w:pPr>
        <w:pStyle w:val="28"/>
        <w:pageBreakBefore w:val="0"/>
        <w:kinsoku/>
        <w:wordWrap/>
        <w:overflowPunct/>
        <w:topLinePunct w:val="0"/>
        <w:bidi w:val="0"/>
        <w:spacing w:after="0" w:line="288" w:lineRule="auto"/>
        <w:ind w:firstLine="420"/>
        <w:rPr>
          <w:rFonts w:ascii="Arial" w:hAnsi="Arial" w:cs="Arial"/>
          <w:u w:val="single"/>
        </w:rPr>
      </w:pPr>
      <w:r>
        <w:rPr>
          <w:rFonts w:ascii="Arial" w:hAnsi="Arial" w:cs="Arial"/>
        </w:rPr>
        <w:t>地址： 邮编：  电话、传真：</w:t>
      </w:r>
    </w:p>
    <w:p>
      <w:pPr>
        <w:pStyle w:val="28"/>
        <w:pageBreakBefore w:val="0"/>
        <w:kinsoku/>
        <w:wordWrap/>
        <w:overflowPunct/>
        <w:topLinePunct w:val="0"/>
        <w:bidi w:val="0"/>
        <w:spacing w:after="0" w:line="288" w:lineRule="auto"/>
        <w:ind w:firstLine="420"/>
        <w:rPr>
          <w:rFonts w:ascii="Arial" w:hAnsi="Arial" w:cs="Arial"/>
        </w:rPr>
      </w:pPr>
      <w:r>
        <w:rPr>
          <w:rFonts w:ascii="Arial" w:hAnsi="Arial" w:cs="Arial"/>
        </w:rPr>
        <w:t>开户名称：</w:t>
      </w:r>
    </w:p>
    <w:p>
      <w:pPr>
        <w:pStyle w:val="28"/>
        <w:pageBreakBefore w:val="0"/>
        <w:kinsoku/>
        <w:wordWrap/>
        <w:overflowPunct/>
        <w:topLinePunct w:val="0"/>
        <w:bidi w:val="0"/>
        <w:spacing w:after="0" w:line="288" w:lineRule="auto"/>
        <w:ind w:firstLine="420"/>
        <w:rPr>
          <w:rFonts w:ascii="Arial" w:hAnsi="Arial" w:cs="Arial"/>
        </w:rPr>
      </w:pPr>
      <w:r>
        <w:rPr>
          <w:rFonts w:ascii="Arial" w:hAnsi="Arial" w:cs="Arial"/>
        </w:rPr>
        <w:t>开户银行：</w:t>
      </w:r>
      <w:r>
        <w:rPr>
          <w:rFonts w:ascii="Arial" w:hAnsi="Arial" w:cs="Arial"/>
          <w:u w:val="single"/>
        </w:rPr>
        <w:t xml:space="preserve">                               　       </w:t>
      </w:r>
    </w:p>
    <w:p>
      <w:pPr>
        <w:pStyle w:val="28"/>
        <w:pageBreakBefore w:val="0"/>
        <w:kinsoku/>
        <w:wordWrap/>
        <w:overflowPunct/>
        <w:topLinePunct w:val="0"/>
        <w:bidi w:val="0"/>
        <w:spacing w:after="0" w:line="288" w:lineRule="auto"/>
        <w:ind w:firstLine="420"/>
        <w:rPr>
          <w:rFonts w:ascii="Arial" w:hAnsi="Arial" w:cs="Arial"/>
        </w:rPr>
      </w:pPr>
      <w:r>
        <w:rPr>
          <w:rFonts w:ascii="Arial" w:hAnsi="Arial" w:cs="Arial"/>
        </w:rPr>
        <w:t>账号：</w:t>
      </w:r>
      <w:r>
        <w:rPr>
          <w:rFonts w:ascii="Arial" w:hAnsi="Arial" w:cs="Arial"/>
          <w:u w:val="single"/>
        </w:rPr>
        <w:t xml:space="preserve">                                   　　　   </w:t>
      </w:r>
    </w:p>
    <w:p>
      <w:pPr>
        <w:pStyle w:val="28"/>
        <w:pageBreakBefore w:val="0"/>
        <w:kinsoku/>
        <w:wordWrap/>
        <w:overflowPunct/>
        <w:topLinePunct w:val="0"/>
        <w:bidi w:val="0"/>
        <w:spacing w:after="0" w:line="288" w:lineRule="auto"/>
        <w:ind w:firstLine="420"/>
        <w:rPr>
          <w:rFonts w:ascii="Arial" w:hAnsi="Arial" w:cs="Arial"/>
        </w:rPr>
      </w:pPr>
      <w:r>
        <w:rPr>
          <w:rFonts w:ascii="Arial" w:hAnsi="Arial" w:cs="Arial"/>
        </w:rPr>
        <w:t>投标人（CA签章，自然人除外）：</w:t>
      </w:r>
    </w:p>
    <w:p>
      <w:pPr>
        <w:pStyle w:val="28"/>
        <w:pageBreakBefore w:val="0"/>
        <w:kinsoku/>
        <w:wordWrap/>
        <w:overflowPunct/>
        <w:topLinePunct w:val="0"/>
        <w:bidi w:val="0"/>
        <w:spacing w:after="0" w:line="288" w:lineRule="auto"/>
        <w:ind w:firstLine="420"/>
        <w:rPr>
          <w:rFonts w:ascii="Arial" w:hAnsi="Arial" w:cs="Arial"/>
          <w:u w:val="single"/>
        </w:rPr>
      </w:pPr>
      <w:r>
        <w:rPr>
          <w:rFonts w:ascii="Arial" w:hAnsi="Arial" w:cs="Arial"/>
        </w:rPr>
        <w:t>法定代表人、负责人、自然人或相应的委托代理人签字或个人CA签章（属自然人的应在签名处加盖食指指印或个人CA签章）：</w:t>
      </w:r>
    </w:p>
    <w:p>
      <w:pPr>
        <w:pStyle w:val="28"/>
        <w:pageBreakBefore w:val="0"/>
        <w:kinsoku/>
        <w:wordWrap/>
        <w:overflowPunct/>
        <w:topLinePunct w:val="0"/>
        <w:bidi w:val="0"/>
        <w:spacing w:after="0" w:line="288" w:lineRule="auto"/>
        <w:ind w:firstLine="420"/>
        <w:rPr>
          <w:rFonts w:ascii="Arial" w:hAnsi="Arial" w:cs="Arial"/>
        </w:rPr>
      </w:pPr>
      <w:r>
        <w:rPr>
          <w:rFonts w:ascii="Arial" w:hAnsi="Arial" w:cs="Arial"/>
        </w:rPr>
        <w:t>投标日期：</w:t>
      </w:r>
    </w:p>
    <w:p>
      <w:pPr>
        <w:pageBreakBefore w:val="0"/>
        <w:tabs>
          <w:tab w:val="left" w:pos="1305"/>
        </w:tabs>
        <w:kinsoku/>
        <w:wordWrap/>
        <w:overflowPunct/>
        <w:topLinePunct w:val="0"/>
        <w:bidi w:val="0"/>
        <w:spacing w:after="0" w:line="288" w:lineRule="auto"/>
        <w:ind w:left="630" w:leftChars="100" w:hanging="420" w:hangingChars="200"/>
        <w:jc w:val="left"/>
        <w:rPr>
          <w:rFonts w:ascii="Arial" w:hAnsi="Arial" w:cs="Arial"/>
          <w:b/>
          <w:szCs w:val="21"/>
        </w:rPr>
      </w:pPr>
      <w:r>
        <w:rPr>
          <w:rFonts w:ascii="Arial" w:hAnsi="Arial" w:cs="Arial"/>
          <w:b/>
          <w:szCs w:val="21"/>
        </w:rPr>
        <w:t>注：1.各投标人必须就“货物采购需求”中所投的所有内容作完整唯一报价，否则，其投标将被拒绝。投标文件只允许有一个报价。</w:t>
      </w:r>
    </w:p>
    <w:p>
      <w:pPr>
        <w:pStyle w:val="28"/>
        <w:pageBreakBefore w:val="0"/>
        <w:kinsoku/>
        <w:wordWrap/>
        <w:overflowPunct/>
        <w:topLinePunct w:val="0"/>
        <w:bidi w:val="0"/>
        <w:spacing w:after="0" w:line="288" w:lineRule="auto"/>
        <w:ind w:firstLine="630" w:firstLineChars="300"/>
        <w:jc w:val="left"/>
        <w:rPr>
          <w:rFonts w:ascii="Arial" w:hAnsi="Arial" w:cs="Arial"/>
          <w:b/>
        </w:rPr>
      </w:pPr>
      <w:r>
        <w:rPr>
          <w:rFonts w:ascii="Arial" w:hAnsi="Arial" w:cs="Arial"/>
          <w:b/>
        </w:rPr>
        <w:t>2.投标人应根据所投货物如实填写投标报价表</w:t>
      </w:r>
      <w:r>
        <w:rPr>
          <w:rFonts w:ascii="Arial" w:hAnsi="Arial" w:cs="Arial"/>
          <w:b/>
          <w:szCs w:val="21"/>
        </w:rPr>
        <w:t>的各项内容。</w:t>
      </w:r>
    </w:p>
    <w:p>
      <w:pPr>
        <w:pStyle w:val="28"/>
        <w:pageBreakBefore w:val="0"/>
        <w:kinsoku/>
        <w:wordWrap/>
        <w:overflowPunct/>
        <w:topLinePunct w:val="0"/>
        <w:bidi w:val="0"/>
        <w:spacing w:after="0" w:line="288" w:lineRule="auto"/>
        <w:ind w:left="638" w:leftChars="304"/>
        <w:jc w:val="left"/>
        <w:rPr>
          <w:rFonts w:ascii="Arial" w:hAnsi="Arial" w:cs="Arial"/>
          <w:b/>
          <w:szCs w:val="21"/>
        </w:rPr>
      </w:pPr>
      <w:r>
        <w:rPr>
          <w:rFonts w:ascii="Arial" w:hAnsi="Arial" w:cs="Arial"/>
          <w:b/>
        </w:rPr>
        <w:t>3.投标报价表须由法定代表人负责人、自然人或相应的委托代理人签字或个人CA签章（属自然人的应在签名处加盖食指指印或个人CA签章）并加盖投标人CA签章（自然人除外）。当本表由多页构成时，需逐页加盖投标人公章（属自然人的须逐页签字或个人CA签章）。</w:t>
      </w:r>
    </w:p>
    <w:p>
      <w:pPr>
        <w:pageBreakBefore w:val="0"/>
        <w:kinsoku/>
        <w:wordWrap/>
        <w:overflowPunct/>
        <w:topLinePunct w:val="0"/>
        <w:bidi w:val="0"/>
        <w:spacing w:after="0" w:line="288" w:lineRule="auto"/>
        <w:ind w:firstLine="630" w:firstLineChars="300"/>
        <w:jc w:val="left"/>
        <w:rPr>
          <w:rFonts w:ascii="Arial" w:hAnsi="Arial" w:cs="Arial"/>
          <w:b/>
          <w:sz w:val="32"/>
          <w:szCs w:val="32"/>
        </w:rPr>
      </w:pPr>
      <w:r>
        <w:rPr>
          <w:rFonts w:ascii="Arial" w:hAnsi="Arial" w:cs="Arial"/>
          <w:b/>
          <w:szCs w:val="21"/>
        </w:rPr>
        <w:t>4.如投标的全部或部分产品属于《节能产品政府采购清单》或《环境标志产品政府采购清单》目录范围的，投标人应在本表备注栏内写明各分项货物属于节能（或环境标志）产品政府采购清单第几类第几项序号的产品；属于节能产品或环境标志产品，但不在上述最新目录范围内的，请在本表备注栏内写明“详见证明材料”，并提供相关证明材料复印件（加盖投标人CA签章，</w:t>
      </w:r>
      <w:r>
        <w:rPr>
          <w:rFonts w:ascii="Arial" w:hAnsi="Arial" w:cs="Arial"/>
          <w:b/>
        </w:rPr>
        <w:t>属自然人的应在签名处加盖食指指印或个人CA签章</w:t>
      </w:r>
      <w:r>
        <w:rPr>
          <w:rFonts w:ascii="Arial" w:hAnsi="Arial" w:cs="Arial"/>
          <w:b/>
          <w:szCs w:val="21"/>
        </w:rPr>
        <w:t>），以便评标委员会作为优先采购或评分的依据。</w:t>
      </w:r>
      <w:r>
        <w:rPr>
          <w:rFonts w:ascii="Arial" w:hAnsi="Arial" w:cs="Arial"/>
          <w:b/>
          <w:sz w:val="32"/>
          <w:szCs w:val="32"/>
        </w:rPr>
        <w:br w:type="page"/>
      </w:r>
    </w:p>
    <w:p>
      <w:pPr>
        <w:pageBreakBefore w:val="0"/>
        <w:tabs>
          <w:tab w:val="left" w:pos="1305"/>
        </w:tabs>
        <w:kinsoku/>
        <w:wordWrap/>
        <w:overflowPunct/>
        <w:topLinePunct w:val="0"/>
        <w:bidi w:val="0"/>
        <w:spacing w:after="0" w:line="288" w:lineRule="auto"/>
        <w:ind w:firstLine="560" w:firstLineChars="200"/>
        <w:jc w:val="center"/>
        <w:rPr>
          <w:rFonts w:ascii="Arial" w:hAnsi="Arial" w:cs="Arial"/>
          <w:b/>
          <w:sz w:val="28"/>
          <w:szCs w:val="28"/>
        </w:rPr>
      </w:pPr>
      <w:r>
        <w:rPr>
          <w:rFonts w:ascii="Arial" w:hAnsi="Arial" w:cs="Arial"/>
          <w:b/>
          <w:sz w:val="28"/>
          <w:szCs w:val="28"/>
        </w:rPr>
        <w:t>（二）资格性响应证明材料目录</w:t>
      </w:r>
    </w:p>
    <w:p>
      <w:pPr>
        <w:pageBreakBefore w:val="0"/>
        <w:tabs>
          <w:tab w:val="left" w:pos="1305"/>
        </w:tabs>
        <w:kinsoku/>
        <w:wordWrap/>
        <w:overflowPunct/>
        <w:topLinePunct w:val="0"/>
        <w:bidi w:val="0"/>
        <w:spacing w:after="0" w:line="288" w:lineRule="auto"/>
        <w:ind w:firstLine="560" w:firstLineChars="200"/>
        <w:jc w:val="center"/>
        <w:rPr>
          <w:rFonts w:ascii="Arial" w:hAnsi="Arial" w:cs="Arial"/>
          <w:b/>
          <w:sz w:val="28"/>
          <w:szCs w:val="28"/>
        </w:rPr>
      </w:pPr>
    </w:p>
    <w:p>
      <w:pPr>
        <w:pageBreakBefore w:val="0"/>
        <w:tabs>
          <w:tab w:val="left" w:pos="1305"/>
        </w:tabs>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（1）</w:t>
      </w:r>
      <w:r>
        <w:rPr>
          <w:rFonts w:hint="eastAsia" w:ascii="Arial" w:hAnsi="Arial" w:cs="Arial"/>
          <w:szCs w:val="21"/>
        </w:rPr>
        <w:t>响应声明书</w:t>
      </w:r>
      <w:r>
        <w:rPr>
          <w:rFonts w:ascii="Arial" w:hAnsi="Arial" w:cs="Arial"/>
          <w:b/>
          <w:bCs/>
          <w:szCs w:val="21"/>
        </w:rPr>
        <w:t>（必须提供）；</w:t>
      </w:r>
    </w:p>
    <w:p>
      <w:pPr>
        <w:pageBreakBefore w:val="0"/>
        <w:tabs>
          <w:tab w:val="left" w:pos="1305"/>
        </w:tabs>
        <w:kinsoku/>
        <w:wordWrap/>
        <w:overflowPunct/>
        <w:topLinePunct w:val="0"/>
        <w:bidi w:val="0"/>
        <w:spacing w:after="0" w:line="288" w:lineRule="auto"/>
        <w:ind w:firstLine="420" w:firstLineChars="200"/>
        <w:rPr>
          <w:rFonts w:ascii="Arial" w:hAnsi="Arial" w:cs="Arial"/>
          <w:szCs w:val="21"/>
        </w:rPr>
      </w:pPr>
      <w:r>
        <w:rPr>
          <w:rFonts w:hint="eastAsia" w:ascii="Arial" w:hAnsi="Arial" w:cs="Arial"/>
          <w:szCs w:val="21"/>
        </w:rPr>
        <w:t>（2）</w:t>
      </w:r>
      <w:r>
        <w:rPr>
          <w:rFonts w:ascii="Arial" w:hAnsi="Arial" w:cs="Arial"/>
          <w:szCs w:val="21"/>
        </w:rPr>
        <w:t>投标人相应的法定代表人、负责人、自然人身份证正反面复印件</w:t>
      </w:r>
      <w:r>
        <w:rPr>
          <w:rFonts w:ascii="Arial" w:hAnsi="Arial" w:cs="Arial"/>
          <w:b/>
          <w:bCs/>
          <w:szCs w:val="21"/>
        </w:rPr>
        <w:t>（必须提供）；</w:t>
      </w:r>
    </w:p>
    <w:p>
      <w:pPr>
        <w:pageBreakBefore w:val="0"/>
        <w:tabs>
          <w:tab w:val="left" w:pos="1305"/>
        </w:tabs>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w:t>
      </w:r>
      <w:r>
        <w:rPr>
          <w:rFonts w:hint="eastAsia" w:ascii="Arial" w:hAnsi="Arial" w:cs="Arial"/>
          <w:szCs w:val="21"/>
        </w:rPr>
        <w:t>3</w:t>
      </w:r>
      <w:r>
        <w:rPr>
          <w:rFonts w:ascii="Arial" w:hAnsi="Arial" w:cs="Arial"/>
          <w:szCs w:val="21"/>
        </w:rPr>
        <w:t>）投标人的法人授权委托书原件（格式见附件）、委托代理人有效的身份证正反两面复印件以及由县级以上（含县级）社会养老保险经办机构出具的投标人为委托代理人交纳</w:t>
      </w:r>
      <w:r>
        <w:rPr>
          <w:rFonts w:hint="eastAsia" w:ascii="Arial" w:hAnsi="Arial" w:cs="Arial"/>
          <w:szCs w:val="21"/>
        </w:rPr>
        <w:t>投标截止时间前6个月内任意一个月</w:t>
      </w:r>
      <w:r>
        <w:rPr>
          <w:rFonts w:ascii="Arial" w:hAnsi="Arial" w:cs="Arial"/>
          <w:szCs w:val="21"/>
        </w:rPr>
        <w:t>的社保证明复印件</w:t>
      </w:r>
      <w:r>
        <w:rPr>
          <w:rFonts w:ascii="Arial" w:hAnsi="Arial" w:cs="Arial"/>
          <w:b/>
          <w:szCs w:val="21"/>
        </w:rPr>
        <w:t>（委托代理时必须提供）</w:t>
      </w:r>
      <w:r>
        <w:rPr>
          <w:rFonts w:ascii="Arial" w:hAnsi="Arial" w:cs="Arial"/>
          <w:szCs w:val="21"/>
        </w:rPr>
        <w:t>；</w:t>
      </w:r>
      <w:r>
        <w:rPr>
          <w:rFonts w:ascii="Arial" w:hAnsi="Arial" w:cs="Arial"/>
          <w:b/>
          <w:szCs w:val="21"/>
        </w:rPr>
        <w:t>注：投标人</w:t>
      </w:r>
      <w:r>
        <w:rPr>
          <w:rFonts w:ascii="Arial" w:hAnsi="Arial" w:cs="Arial"/>
          <w:b/>
          <w:bCs/>
          <w:szCs w:val="21"/>
        </w:rPr>
        <w:t>成立不足1个月的，无须提供社保缴费证明加盖投标人公章</w:t>
      </w:r>
    </w:p>
    <w:p>
      <w:pPr>
        <w:pageBreakBefore w:val="0"/>
        <w:tabs>
          <w:tab w:val="left" w:pos="1305"/>
        </w:tabs>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w:t>
      </w:r>
      <w:r>
        <w:rPr>
          <w:rFonts w:hint="eastAsia" w:ascii="Arial" w:hAnsi="Arial" w:cs="Arial"/>
          <w:szCs w:val="21"/>
        </w:rPr>
        <w:t>4</w:t>
      </w:r>
      <w:r>
        <w:rPr>
          <w:rFonts w:ascii="Arial" w:hAnsi="Arial" w:cs="Arial"/>
          <w:szCs w:val="21"/>
        </w:rPr>
        <w:t>）投标人参加采购活动前三年内在经营活动中没有重大违法记录的书面声明</w:t>
      </w:r>
      <w:r>
        <w:rPr>
          <w:rFonts w:ascii="Arial" w:hAnsi="Arial" w:cs="Arial"/>
          <w:b/>
          <w:szCs w:val="21"/>
        </w:rPr>
        <w:t>（必须提供）；</w:t>
      </w:r>
    </w:p>
    <w:p>
      <w:pPr>
        <w:pStyle w:val="28"/>
        <w:pageBreakBefore w:val="0"/>
        <w:kinsoku/>
        <w:wordWrap/>
        <w:overflowPunct/>
        <w:topLinePunct w:val="0"/>
        <w:bidi w:val="0"/>
        <w:spacing w:after="0" w:line="288" w:lineRule="auto"/>
        <w:ind w:left="420" w:leftChars="200"/>
        <w:rPr>
          <w:rFonts w:ascii="Arial" w:hAnsi="Arial" w:cs="Arial"/>
          <w:szCs w:val="21"/>
        </w:rPr>
      </w:pPr>
      <w:r>
        <w:rPr>
          <w:rFonts w:hint="eastAsia" w:hAnsi="宋体" w:cs="宋体"/>
          <w:b/>
          <w:bCs/>
        </w:rPr>
        <w:t>（5）</w:t>
      </w:r>
      <w:r>
        <w:rPr>
          <w:rFonts w:hint="eastAsia" w:hAnsi="宋体" w:cs="宋体"/>
        </w:rPr>
        <w:t>投标人</w:t>
      </w:r>
      <w:r>
        <w:rPr>
          <w:rFonts w:hAnsi="宋体" w:cs="宋体"/>
          <w:szCs w:val="21"/>
        </w:rPr>
        <w:t>按以下要求提供医疗器械的有关证明材料复印件</w:t>
      </w:r>
      <w:r>
        <w:rPr>
          <w:rFonts w:hint="eastAsia" w:hAnsi="宋体" w:cs="宋体"/>
          <w:b/>
          <w:szCs w:val="21"/>
        </w:rPr>
        <w:t>（必须提供）</w:t>
      </w:r>
      <w:r>
        <w:rPr>
          <w:rFonts w:hAnsi="宋体" w:cs="宋体"/>
          <w:b/>
          <w:szCs w:val="21"/>
        </w:rPr>
        <w:t>：</w:t>
      </w:r>
    </w:p>
    <w:p>
      <w:pPr>
        <w:pageBreakBefore w:val="0"/>
        <w:tabs>
          <w:tab w:val="left" w:pos="1305"/>
        </w:tabs>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w:t>
      </w:r>
      <w:r>
        <w:rPr>
          <w:rFonts w:hint="eastAsia" w:ascii="Arial" w:hAnsi="Arial" w:cs="Arial"/>
          <w:szCs w:val="21"/>
        </w:rPr>
        <w:t>6</w:t>
      </w:r>
      <w:r>
        <w:rPr>
          <w:rFonts w:ascii="Arial" w:hAnsi="Arial" w:cs="Arial"/>
          <w:szCs w:val="21"/>
        </w:rPr>
        <w:t>）投标人的法人或者其他组织营业执照等证明文件复印件</w:t>
      </w:r>
      <w:r>
        <w:rPr>
          <w:rFonts w:ascii="Arial" w:hAnsi="Arial" w:cs="Arial"/>
          <w:b/>
          <w:szCs w:val="21"/>
        </w:rPr>
        <w:t>（必须提供，自然人除外）</w:t>
      </w:r>
      <w:r>
        <w:rPr>
          <w:rFonts w:ascii="Arial" w:hAnsi="Arial" w:cs="Arial"/>
          <w:szCs w:val="21"/>
        </w:rPr>
        <w:t>；</w:t>
      </w:r>
    </w:p>
    <w:p>
      <w:pPr>
        <w:pageBreakBefore w:val="0"/>
        <w:tabs>
          <w:tab w:val="left" w:pos="1305"/>
        </w:tabs>
        <w:kinsoku/>
        <w:wordWrap/>
        <w:overflowPunct/>
        <w:topLinePunct w:val="0"/>
        <w:bidi w:val="0"/>
        <w:spacing w:after="0" w:line="288" w:lineRule="auto"/>
        <w:ind w:firstLine="420" w:firstLineChars="200"/>
        <w:rPr>
          <w:rFonts w:ascii="Arial" w:hAnsi="Arial" w:cs="Arial"/>
          <w:b/>
          <w:szCs w:val="21"/>
        </w:rPr>
      </w:pPr>
    </w:p>
    <w:p>
      <w:pPr>
        <w:pStyle w:val="28"/>
        <w:pageBreakBefore w:val="0"/>
        <w:kinsoku/>
        <w:wordWrap/>
        <w:overflowPunct/>
        <w:topLinePunct w:val="0"/>
        <w:bidi w:val="0"/>
        <w:spacing w:after="0" w:line="288" w:lineRule="auto"/>
        <w:rPr>
          <w:rFonts w:ascii="Arial" w:hAnsi="Arial" w:cs="Arial"/>
          <w:b/>
          <w:sz w:val="32"/>
          <w:szCs w:val="32"/>
        </w:rPr>
      </w:pPr>
      <w:r>
        <w:rPr>
          <w:rFonts w:ascii="Arial" w:hAnsi="Arial" w:cs="Arial"/>
          <w:b/>
          <w:sz w:val="32"/>
          <w:szCs w:val="32"/>
        </w:rPr>
        <w:br w:type="page"/>
      </w:r>
      <w:r>
        <w:rPr>
          <w:rFonts w:hint="eastAsia" w:ascii="Arial" w:hAnsi="Arial" w:cs="Arial"/>
          <w:b/>
          <w:sz w:val="32"/>
          <w:szCs w:val="32"/>
        </w:rPr>
        <w:t>1、</w:t>
      </w:r>
      <w:r>
        <w:rPr>
          <w:rFonts w:ascii="Arial" w:hAnsi="Arial" w:cs="Arial"/>
          <w:b/>
          <w:sz w:val="32"/>
          <w:szCs w:val="32"/>
        </w:rPr>
        <w:t>响应声明书（必须提供）</w:t>
      </w:r>
    </w:p>
    <w:p>
      <w:pPr>
        <w:pageBreakBefore w:val="0"/>
        <w:kinsoku/>
        <w:wordWrap/>
        <w:overflowPunct/>
        <w:topLinePunct w:val="0"/>
        <w:bidi w:val="0"/>
        <w:snapToGrid w:val="0"/>
        <w:spacing w:after="0" w:line="288" w:lineRule="auto"/>
        <w:jc w:val="center"/>
        <w:rPr>
          <w:rFonts w:ascii="Arial" w:hAnsi="Arial" w:cs="Arial"/>
          <w:b/>
          <w:szCs w:val="21"/>
        </w:rPr>
      </w:pPr>
      <w:r>
        <w:rPr>
          <w:rFonts w:ascii="Arial" w:hAnsi="Arial" w:cs="Arial"/>
          <w:b/>
          <w:szCs w:val="21"/>
        </w:rPr>
        <w:t>响应声明书</w:t>
      </w:r>
    </w:p>
    <w:p>
      <w:pPr>
        <w:pageBreakBefore w:val="0"/>
        <w:kinsoku/>
        <w:wordWrap/>
        <w:overflowPunct/>
        <w:topLinePunct w:val="0"/>
        <w:bidi w:val="0"/>
        <w:snapToGrid w:val="0"/>
        <w:spacing w:after="0" w:line="288" w:lineRule="auto"/>
        <w:jc w:val="center"/>
        <w:rPr>
          <w:rFonts w:ascii="Arial" w:hAnsi="Arial" w:cs="Arial"/>
          <w:szCs w:val="21"/>
        </w:rPr>
      </w:pPr>
    </w:p>
    <w:p>
      <w:pPr>
        <w:pageBreakBefore w:val="0"/>
        <w:kinsoku/>
        <w:wordWrap/>
        <w:overflowPunct/>
        <w:topLinePunct w:val="0"/>
        <w:bidi w:val="0"/>
        <w:snapToGrid w:val="0"/>
        <w:spacing w:after="0" w:line="288" w:lineRule="auto"/>
        <w:rPr>
          <w:rFonts w:ascii="Arial" w:hAnsi="Arial" w:cs="Arial"/>
          <w:szCs w:val="21"/>
        </w:rPr>
      </w:pPr>
      <w:bookmarkStart w:id="51" w:name="_Hlk19199166"/>
      <w:r>
        <w:rPr>
          <w:rFonts w:ascii="Arial" w:hAnsi="Arial" w:cs="Arial"/>
          <w:szCs w:val="21"/>
        </w:rPr>
        <w:t>致：</w:t>
      </w:r>
      <w:r>
        <w:rPr>
          <w:rFonts w:ascii="Arial" w:hAnsi="Arial" w:cs="Arial"/>
          <w:i/>
          <w:iCs/>
          <w:szCs w:val="21"/>
          <w:u w:val="single"/>
        </w:rPr>
        <w:t>（采购人名称）</w:t>
      </w:r>
      <w:r>
        <w:rPr>
          <w:rFonts w:ascii="Arial" w:hAnsi="Arial" w:cs="Arial"/>
          <w:szCs w:val="21"/>
        </w:rPr>
        <w:t>：</w:t>
      </w:r>
    </w:p>
    <w:p>
      <w:pPr>
        <w:pageBreakBefore w:val="0"/>
        <w:kinsoku/>
        <w:wordWrap/>
        <w:overflowPunct/>
        <w:topLinePunct w:val="0"/>
        <w:bidi w:val="0"/>
        <w:snapToGrid w:val="0"/>
        <w:spacing w:after="0" w:line="288" w:lineRule="auto"/>
        <w:ind w:firstLine="630" w:firstLineChars="300"/>
        <w:rPr>
          <w:rFonts w:ascii="Arial" w:hAnsi="Arial" w:cs="Arial"/>
          <w:szCs w:val="21"/>
        </w:rPr>
      </w:pPr>
      <w:r>
        <w:rPr>
          <w:rFonts w:ascii="Arial" w:hAnsi="Arial" w:cs="Arial"/>
          <w:i/>
          <w:iCs/>
          <w:szCs w:val="21"/>
          <w:u w:val="single"/>
        </w:rPr>
        <w:t>（供应商名称）</w:t>
      </w:r>
      <w:r>
        <w:rPr>
          <w:rFonts w:ascii="Arial" w:hAnsi="Arial" w:cs="Arial"/>
          <w:szCs w:val="21"/>
        </w:rPr>
        <w:t>系中华人民共和国合法企业，</w:t>
      </w:r>
      <w:r>
        <w:rPr>
          <w:rFonts w:ascii="Arial" w:hAnsi="Arial" w:cs="Arial"/>
          <w:szCs w:val="21"/>
          <w:u w:val="single"/>
        </w:rPr>
        <w:t xml:space="preserve"> </w:t>
      </w:r>
      <w:r>
        <w:rPr>
          <w:rFonts w:ascii="Arial" w:hAnsi="Arial" w:cs="Arial"/>
          <w:i/>
          <w:iCs/>
          <w:szCs w:val="21"/>
          <w:u w:val="single"/>
        </w:rPr>
        <w:t xml:space="preserve"> （经营地址）  </w:t>
      </w:r>
      <w:r>
        <w:rPr>
          <w:rFonts w:ascii="Arial" w:hAnsi="Arial" w:cs="Arial"/>
          <w:szCs w:val="21"/>
          <w:u w:val="single"/>
        </w:rPr>
        <w:t xml:space="preserve">  </w:t>
      </w:r>
      <w:r>
        <w:rPr>
          <w:rFonts w:ascii="Arial" w:hAnsi="Arial" w:cs="Arial"/>
          <w:szCs w:val="21"/>
        </w:rPr>
        <w:t>。</w:t>
      </w:r>
    </w:p>
    <w:p>
      <w:pPr>
        <w:pageBreakBefore w:val="0"/>
        <w:kinsoku/>
        <w:wordWrap/>
        <w:overflowPunct/>
        <w:topLinePunct w:val="0"/>
        <w:bidi w:val="0"/>
        <w:snapToGrid w:val="0"/>
        <w:spacing w:after="0" w:line="288" w:lineRule="auto"/>
        <w:ind w:firstLine="645"/>
        <w:rPr>
          <w:rFonts w:ascii="Arial" w:hAnsi="Arial" w:cs="Arial"/>
          <w:szCs w:val="21"/>
        </w:rPr>
      </w:pPr>
      <w:r>
        <w:rPr>
          <w:rFonts w:ascii="Arial" w:hAnsi="Arial" w:cs="Arial"/>
          <w:szCs w:val="21"/>
        </w:rPr>
        <w:t>我</w:t>
      </w:r>
      <w:r>
        <w:rPr>
          <w:rFonts w:ascii="Arial" w:hAnsi="Arial" w:cs="Arial"/>
          <w:i/>
          <w:iCs/>
          <w:szCs w:val="21"/>
          <w:u w:val="single"/>
        </w:rPr>
        <w:t xml:space="preserve">（姓名） </w:t>
      </w:r>
      <w:r>
        <w:rPr>
          <w:rFonts w:ascii="Arial" w:hAnsi="Arial" w:cs="Arial"/>
          <w:szCs w:val="21"/>
        </w:rPr>
        <w:t>系</w:t>
      </w:r>
      <w:r>
        <w:rPr>
          <w:rFonts w:ascii="Arial" w:hAnsi="Arial" w:cs="Arial"/>
          <w:i/>
          <w:iCs/>
          <w:szCs w:val="21"/>
          <w:u w:val="single"/>
        </w:rPr>
        <w:t>（供应商名称）</w:t>
      </w:r>
      <w:r>
        <w:rPr>
          <w:rFonts w:ascii="Arial" w:hAnsi="Arial" w:cs="Arial"/>
          <w:szCs w:val="21"/>
        </w:rPr>
        <w:t>的法定代表人，我方愿意参加贵方组织的</w:t>
      </w:r>
      <w:r>
        <w:rPr>
          <w:rFonts w:ascii="Arial" w:hAnsi="Arial" w:cs="Arial"/>
          <w:i/>
          <w:iCs/>
          <w:szCs w:val="21"/>
          <w:u w:val="single"/>
        </w:rPr>
        <w:t>（项目名称）</w:t>
      </w:r>
      <w:r>
        <w:rPr>
          <w:rFonts w:ascii="Arial" w:hAnsi="Arial" w:cs="Arial"/>
          <w:szCs w:val="21"/>
        </w:rPr>
        <w:t>项目的</w:t>
      </w:r>
      <w:r>
        <w:rPr>
          <w:rFonts w:hint="eastAsia" w:ascii="Arial" w:hAnsi="Arial" w:cs="Arial"/>
          <w:szCs w:val="21"/>
        </w:rPr>
        <w:t>招标</w:t>
      </w:r>
      <w:r>
        <w:rPr>
          <w:rFonts w:ascii="Arial" w:hAnsi="Arial" w:cs="Arial"/>
          <w:szCs w:val="21"/>
        </w:rPr>
        <w:t>，为便于贵方公正、择优地确定</w:t>
      </w:r>
      <w:r>
        <w:rPr>
          <w:rFonts w:hint="eastAsia" w:ascii="Arial" w:hAnsi="Arial" w:cs="Arial"/>
          <w:szCs w:val="21"/>
        </w:rPr>
        <w:t>中标</w:t>
      </w:r>
      <w:r>
        <w:rPr>
          <w:rFonts w:ascii="Arial" w:hAnsi="Arial" w:cs="Arial"/>
          <w:szCs w:val="21"/>
        </w:rPr>
        <w:t>供应商及其响应产品和服务，我方就本次</w:t>
      </w:r>
      <w:r>
        <w:rPr>
          <w:rFonts w:hint="eastAsia" w:ascii="Arial" w:hAnsi="Arial" w:cs="Arial"/>
          <w:szCs w:val="21"/>
        </w:rPr>
        <w:t>招标</w:t>
      </w:r>
      <w:r>
        <w:rPr>
          <w:rFonts w:ascii="Arial" w:hAnsi="Arial" w:cs="Arial"/>
          <w:szCs w:val="21"/>
        </w:rPr>
        <w:t>有关事项郑重声明如下：</w:t>
      </w:r>
    </w:p>
    <w:p>
      <w:pPr>
        <w:pageBreakBefore w:val="0"/>
        <w:kinsoku/>
        <w:wordWrap/>
        <w:overflowPunct/>
        <w:topLinePunct w:val="0"/>
        <w:bidi w:val="0"/>
        <w:snapToGrid w:val="0"/>
        <w:spacing w:after="0" w:line="288" w:lineRule="auto"/>
        <w:ind w:firstLine="420" w:firstLineChars="200"/>
        <w:rPr>
          <w:rFonts w:ascii="Arial" w:hAnsi="Arial" w:cs="Arial"/>
          <w:szCs w:val="21"/>
        </w:rPr>
      </w:pPr>
      <w:r>
        <w:rPr>
          <w:rFonts w:ascii="Arial" w:hAnsi="Arial" w:cs="Arial"/>
          <w:szCs w:val="21"/>
        </w:rPr>
        <w:t>（1）我方向贵方提交的所有</w:t>
      </w:r>
      <w:r>
        <w:rPr>
          <w:rFonts w:hint="eastAsia" w:ascii="Arial" w:hAnsi="Arial" w:cs="Arial"/>
          <w:szCs w:val="21"/>
        </w:rPr>
        <w:t>投标文件</w:t>
      </w:r>
      <w:r>
        <w:rPr>
          <w:rFonts w:ascii="Arial" w:hAnsi="Arial" w:cs="Arial"/>
          <w:szCs w:val="21"/>
        </w:rPr>
        <w:t>、资料都是准确的和真实的。</w:t>
      </w:r>
    </w:p>
    <w:p>
      <w:pPr>
        <w:pageBreakBefore w:val="0"/>
        <w:kinsoku/>
        <w:wordWrap/>
        <w:overflowPunct/>
        <w:topLinePunct w:val="0"/>
        <w:bidi w:val="0"/>
        <w:snapToGrid w:val="0"/>
        <w:spacing w:after="0" w:line="288" w:lineRule="auto"/>
        <w:ind w:firstLine="420" w:firstLineChars="200"/>
        <w:rPr>
          <w:rFonts w:ascii="Arial" w:hAnsi="Arial" w:cs="Arial"/>
          <w:szCs w:val="21"/>
        </w:rPr>
      </w:pPr>
      <w:r>
        <w:rPr>
          <w:rFonts w:ascii="Arial" w:hAnsi="Arial" w:cs="Arial"/>
          <w:szCs w:val="21"/>
        </w:rPr>
        <w:t>（2）我方不是采购人的附属机构；也不是为本项目提供整体设计、规范编制或者项目管理、监理、检测等服务的供应商或其附属机构。</w:t>
      </w:r>
    </w:p>
    <w:p>
      <w:pPr>
        <w:pageBreakBefore w:val="0"/>
        <w:kinsoku/>
        <w:wordWrap/>
        <w:overflowPunct/>
        <w:topLinePunct w:val="0"/>
        <w:bidi w:val="0"/>
        <w:snapToGrid w:val="0"/>
        <w:spacing w:after="0" w:line="288" w:lineRule="auto"/>
        <w:ind w:firstLine="420" w:firstLineChars="200"/>
        <w:rPr>
          <w:rFonts w:ascii="Arial" w:hAnsi="Arial" w:cs="Arial"/>
          <w:szCs w:val="21"/>
        </w:rPr>
      </w:pPr>
      <w:r>
        <w:rPr>
          <w:rFonts w:ascii="Arial" w:hAnsi="Arial" w:cs="Arial"/>
          <w:szCs w:val="21"/>
        </w:rPr>
        <w:t>（3） 我方承诺在参加本政府采购项目活动前，没有被纳入政府部门或银行认定的失信名单，我方具有良好的商业信誉。</w:t>
      </w:r>
    </w:p>
    <w:p>
      <w:pPr>
        <w:pageBreakBefore w:val="0"/>
        <w:kinsoku/>
        <w:wordWrap/>
        <w:overflowPunct/>
        <w:topLinePunct w:val="0"/>
        <w:bidi w:val="0"/>
        <w:snapToGrid w:val="0"/>
        <w:spacing w:after="0" w:line="288" w:lineRule="auto"/>
        <w:ind w:firstLine="420" w:firstLineChars="200"/>
        <w:rPr>
          <w:rFonts w:ascii="Arial" w:hAnsi="Arial" w:cs="Arial"/>
          <w:szCs w:val="21"/>
        </w:rPr>
      </w:pPr>
      <w:r>
        <w:rPr>
          <w:rFonts w:ascii="Arial" w:hAnsi="Arial" w:cs="Arial"/>
          <w:szCs w:val="21"/>
        </w:rPr>
        <w:t>（4）我方及本人承诺在参加本政府采购项目活动前三年内，在经营活动中没有重大违法记录及不良信用记录。重大违法记录是指供应商因违法经营受到刑事处罚或者责令停产停业、吊销许可证或者执照、较大数额罚款等行政处罚。如我方提供的声明不实，则自愿承担《政府采购法》有关提供虚假材料的规定给予的处罚。</w:t>
      </w:r>
    </w:p>
    <w:p>
      <w:pPr>
        <w:pageBreakBefore w:val="0"/>
        <w:kinsoku/>
        <w:wordWrap/>
        <w:overflowPunct/>
        <w:topLinePunct w:val="0"/>
        <w:bidi w:val="0"/>
        <w:snapToGrid w:val="0"/>
        <w:spacing w:after="0" w:line="288" w:lineRule="auto"/>
        <w:ind w:firstLine="420" w:firstLineChars="200"/>
        <w:rPr>
          <w:rFonts w:ascii="Arial" w:hAnsi="Arial" w:cs="Arial"/>
          <w:szCs w:val="21"/>
          <w:lang w:val="zh-CN"/>
        </w:rPr>
      </w:pPr>
      <w:r>
        <w:rPr>
          <w:rFonts w:ascii="Arial" w:hAnsi="Arial" w:cs="Arial"/>
          <w:szCs w:val="21"/>
        </w:rPr>
        <w:t>（5）</w:t>
      </w:r>
      <w:r>
        <w:rPr>
          <w:rFonts w:ascii="Arial" w:hAnsi="Arial" w:cs="Arial"/>
          <w:szCs w:val="21"/>
          <w:lang w:val="zh-CN"/>
        </w:rPr>
        <w:t>我方</w:t>
      </w:r>
      <w:r>
        <w:rPr>
          <w:rFonts w:ascii="Arial" w:hAnsi="Arial" w:cs="Arial"/>
          <w:szCs w:val="21"/>
        </w:rPr>
        <w:t>承诺</w:t>
      </w:r>
      <w:r>
        <w:rPr>
          <w:rFonts w:ascii="Arial" w:hAnsi="Arial" w:cs="Arial"/>
          <w:szCs w:val="21"/>
          <w:lang w:val="zh-CN"/>
        </w:rPr>
        <w:t>具有履行本项目合同所必需的设备和专业技术能力。</w:t>
      </w:r>
    </w:p>
    <w:p>
      <w:pPr>
        <w:pageBreakBefore w:val="0"/>
        <w:kinsoku/>
        <w:wordWrap/>
        <w:overflowPunct/>
        <w:topLinePunct w:val="0"/>
        <w:bidi w:val="0"/>
        <w:snapToGrid w:val="0"/>
        <w:spacing w:after="0" w:line="288" w:lineRule="auto"/>
        <w:ind w:firstLine="420" w:firstLineChars="200"/>
        <w:rPr>
          <w:rFonts w:ascii="Arial" w:hAnsi="Arial" w:cs="Arial"/>
          <w:szCs w:val="21"/>
        </w:rPr>
      </w:pPr>
      <w:r>
        <w:rPr>
          <w:rFonts w:ascii="Arial" w:hAnsi="Arial" w:cs="Arial"/>
          <w:szCs w:val="21"/>
        </w:rPr>
        <w:t>（6）我方承诺未被列入失信被执行人、重大税收违法失信主体、政府采购严重违法失信行为记录名单，如我方提供的声明不实，则接受本次响应作为响应无效的处理，并根据财库〔2016〕125号《财政部关于在政府采购活动中查询及使用信用记录有关问题的通知》规定接受失信联合惩戒。</w:t>
      </w:r>
    </w:p>
    <w:p>
      <w:pPr>
        <w:pStyle w:val="19"/>
        <w:pageBreakBefore w:val="0"/>
        <w:kinsoku/>
        <w:wordWrap/>
        <w:overflowPunct/>
        <w:topLinePunct w:val="0"/>
        <w:bidi w:val="0"/>
        <w:spacing w:after="0" w:line="288" w:lineRule="auto"/>
        <w:ind w:firstLine="420" w:firstLineChars="200"/>
        <w:rPr>
          <w:rFonts w:ascii="Arial" w:hAnsi="Arial" w:cs="Arial"/>
        </w:rPr>
      </w:pPr>
    </w:p>
    <w:p>
      <w:pPr>
        <w:pageBreakBefore w:val="0"/>
        <w:kinsoku/>
        <w:wordWrap/>
        <w:overflowPunct/>
        <w:topLinePunct w:val="0"/>
        <w:bidi w:val="0"/>
        <w:snapToGrid w:val="0"/>
        <w:spacing w:after="0" w:line="288" w:lineRule="auto"/>
        <w:ind w:firstLine="420" w:firstLineChars="200"/>
        <w:rPr>
          <w:rFonts w:ascii="Arial" w:hAnsi="Arial" w:cs="Arial"/>
          <w:szCs w:val="21"/>
        </w:rPr>
      </w:pPr>
      <w:r>
        <w:rPr>
          <w:rFonts w:ascii="Arial" w:hAnsi="Arial" w:cs="Arial"/>
          <w:szCs w:val="21"/>
        </w:rPr>
        <w:t>我方对以上声明负全部法律责任。如有虚假或隐瞒，我方愿意承担一切后果，并不再寻求任何旨在减轻或免除法律责任的辩解。</w:t>
      </w:r>
    </w:p>
    <w:bookmarkEnd w:id="51"/>
    <w:p>
      <w:pPr>
        <w:pageBreakBefore w:val="0"/>
        <w:kinsoku/>
        <w:wordWrap/>
        <w:overflowPunct/>
        <w:topLinePunct w:val="0"/>
        <w:bidi w:val="0"/>
        <w:snapToGrid w:val="0"/>
        <w:spacing w:after="0" w:line="288" w:lineRule="auto"/>
        <w:ind w:firstLine="420" w:firstLineChars="200"/>
        <w:rPr>
          <w:rFonts w:ascii="Arial" w:hAnsi="Arial" w:cs="Arial"/>
          <w:szCs w:val="21"/>
        </w:rPr>
      </w:pPr>
    </w:p>
    <w:p>
      <w:pPr>
        <w:pageBreakBefore w:val="0"/>
        <w:kinsoku/>
        <w:wordWrap/>
        <w:overflowPunct/>
        <w:topLinePunct w:val="0"/>
        <w:bidi w:val="0"/>
        <w:snapToGrid w:val="0"/>
        <w:spacing w:after="0" w:line="288" w:lineRule="auto"/>
        <w:ind w:firstLine="420"/>
        <w:rPr>
          <w:rFonts w:ascii="Arial" w:hAnsi="Arial" w:cs="Arial"/>
          <w:szCs w:val="21"/>
          <w:u w:val="single"/>
        </w:rPr>
      </w:pPr>
      <w:r>
        <w:rPr>
          <w:rFonts w:ascii="Arial" w:hAnsi="Arial" w:cs="Arial"/>
          <w:szCs w:val="21"/>
        </w:rPr>
        <w:t>投标人[公章（CA签章）]：</w:t>
      </w:r>
    </w:p>
    <w:p>
      <w:pPr>
        <w:pageBreakBefore w:val="0"/>
        <w:kinsoku/>
        <w:wordWrap/>
        <w:overflowPunct/>
        <w:topLinePunct w:val="0"/>
        <w:bidi w:val="0"/>
        <w:snapToGrid w:val="0"/>
        <w:spacing w:after="0" w:line="288" w:lineRule="auto"/>
        <w:ind w:firstLine="420"/>
        <w:rPr>
          <w:rFonts w:ascii="Arial" w:hAnsi="Arial" w:cs="Arial"/>
          <w:szCs w:val="21"/>
        </w:rPr>
      </w:pPr>
    </w:p>
    <w:p>
      <w:pPr>
        <w:pageBreakBefore w:val="0"/>
        <w:kinsoku/>
        <w:wordWrap/>
        <w:overflowPunct/>
        <w:topLinePunct w:val="0"/>
        <w:bidi w:val="0"/>
        <w:snapToGrid w:val="0"/>
        <w:spacing w:after="0" w:line="288" w:lineRule="auto"/>
        <w:ind w:firstLine="420"/>
        <w:rPr>
          <w:rFonts w:ascii="Arial" w:hAnsi="Arial" w:cs="Arial"/>
          <w:szCs w:val="21"/>
        </w:rPr>
      </w:pPr>
      <w:r>
        <w:rPr>
          <w:rFonts w:ascii="Arial" w:hAnsi="Arial" w:cs="Arial"/>
          <w:szCs w:val="21"/>
        </w:rPr>
        <w:t>法定代表人（负责人）签字（或个人CA签章）：     　　 年   月   日</w:t>
      </w:r>
    </w:p>
    <w:p>
      <w:pPr>
        <w:pageBreakBefore w:val="0"/>
        <w:kinsoku/>
        <w:wordWrap/>
        <w:overflowPunct/>
        <w:topLinePunct w:val="0"/>
        <w:bidi w:val="0"/>
        <w:spacing w:after="0" w:line="288" w:lineRule="auto"/>
        <w:rPr>
          <w:rFonts w:ascii="Arial" w:hAnsi="Arial" w:cs="Arial"/>
          <w:b/>
          <w:sz w:val="32"/>
          <w:szCs w:val="32"/>
        </w:rPr>
      </w:pPr>
      <w:r>
        <w:rPr>
          <w:rFonts w:ascii="Arial" w:hAnsi="Arial" w:cs="Arial"/>
          <w:b/>
          <w:sz w:val="32"/>
          <w:szCs w:val="32"/>
        </w:rPr>
        <w:br w:type="page"/>
      </w:r>
    </w:p>
    <w:p>
      <w:pPr>
        <w:pStyle w:val="28"/>
        <w:pageBreakBefore w:val="0"/>
        <w:kinsoku/>
        <w:wordWrap/>
        <w:overflowPunct/>
        <w:topLinePunct w:val="0"/>
        <w:bidi w:val="0"/>
        <w:spacing w:after="0" w:line="288" w:lineRule="auto"/>
        <w:rPr>
          <w:rFonts w:ascii="Arial" w:hAnsi="Arial" w:cs="Arial"/>
          <w:b/>
          <w:sz w:val="32"/>
        </w:rPr>
      </w:pPr>
      <w:r>
        <w:rPr>
          <w:rFonts w:hint="eastAsia" w:ascii="Arial" w:hAnsi="Arial" w:cs="Arial"/>
          <w:b/>
          <w:sz w:val="32"/>
        </w:rPr>
        <w:t>2</w:t>
      </w:r>
      <w:r>
        <w:rPr>
          <w:rFonts w:ascii="Arial" w:hAnsi="Arial" w:cs="Arial"/>
          <w:b/>
          <w:sz w:val="32"/>
        </w:rPr>
        <w:t>、投标人相应的法定代表人、负责人、自然人身份证正反面复印件（必须提供）</w:t>
      </w:r>
    </w:p>
    <w:p>
      <w:pPr>
        <w:pStyle w:val="28"/>
        <w:pageBreakBefore w:val="0"/>
        <w:kinsoku/>
        <w:wordWrap/>
        <w:overflowPunct/>
        <w:topLinePunct w:val="0"/>
        <w:bidi w:val="0"/>
        <w:spacing w:after="0" w:line="288" w:lineRule="auto"/>
        <w:jc w:val="left"/>
        <w:rPr>
          <w:rFonts w:ascii="Arial" w:hAnsi="Arial" w:cs="Arial"/>
          <w:b/>
          <w:sz w:val="32"/>
        </w:rPr>
      </w:pPr>
    </w:p>
    <w:p>
      <w:pPr>
        <w:pStyle w:val="28"/>
        <w:pageBreakBefore w:val="0"/>
        <w:kinsoku/>
        <w:wordWrap/>
        <w:overflowPunct/>
        <w:topLinePunct w:val="0"/>
        <w:bidi w:val="0"/>
        <w:spacing w:after="0" w:line="288" w:lineRule="auto"/>
        <w:jc w:val="left"/>
        <w:rPr>
          <w:rFonts w:ascii="Arial" w:hAnsi="Arial" w:cs="Arial"/>
          <w:b/>
          <w:sz w:val="32"/>
        </w:rPr>
      </w:pPr>
      <w:r>
        <w:rPr>
          <w:rFonts w:hint="eastAsia" w:ascii="Arial" w:hAnsi="Arial" w:cs="Arial"/>
          <w:b/>
          <w:sz w:val="32"/>
        </w:rPr>
        <w:t>3</w:t>
      </w:r>
      <w:r>
        <w:rPr>
          <w:rFonts w:ascii="Arial" w:hAnsi="Arial" w:cs="Arial"/>
          <w:b/>
          <w:sz w:val="32"/>
        </w:rPr>
        <w:t>、投标人的法人授权委托书原件（格式见附件）、委托代理人有效的身份证正反两面复印件以及由县级以上（含县级）社会养老保险经办机构出具的投标人为委托代理人交纳的</w:t>
      </w:r>
      <w:r>
        <w:rPr>
          <w:rFonts w:hint="eastAsia" w:ascii="Arial" w:hAnsi="Arial" w:cs="Arial"/>
          <w:b/>
          <w:sz w:val="32"/>
        </w:rPr>
        <w:t>投标截止时间前6个月内任意一个月</w:t>
      </w:r>
      <w:r>
        <w:rPr>
          <w:rFonts w:ascii="Arial" w:hAnsi="Arial" w:cs="Arial"/>
          <w:b/>
          <w:sz w:val="32"/>
        </w:rPr>
        <w:t>的社保证明复印件（委托代理时必须提供）；</w:t>
      </w:r>
    </w:p>
    <w:p>
      <w:pPr>
        <w:pStyle w:val="28"/>
        <w:pageBreakBefore w:val="0"/>
        <w:kinsoku/>
        <w:wordWrap/>
        <w:overflowPunct/>
        <w:topLinePunct w:val="0"/>
        <w:bidi w:val="0"/>
        <w:spacing w:after="0" w:line="288" w:lineRule="auto"/>
        <w:jc w:val="left"/>
        <w:rPr>
          <w:rFonts w:ascii="Arial" w:hAnsi="Arial" w:cs="Arial"/>
          <w:b/>
          <w:sz w:val="32"/>
        </w:rPr>
      </w:pPr>
      <w:r>
        <w:rPr>
          <w:rFonts w:ascii="Arial" w:hAnsi="Arial" w:cs="Arial"/>
          <w:b/>
          <w:sz w:val="32"/>
        </w:rPr>
        <w:t>注：投标人成立不足1个月的，无须提供社保缴费证明加盖投标人公章</w:t>
      </w:r>
    </w:p>
    <w:p>
      <w:pPr>
        <w:pStyle w:val="28"/>
        <w:pageBreakBefore w:val="0"/>
        <w:kinsoku/>
        <w:wordWrap/>
        <w:overflowPunct/>
        <w:topLinePunct w:val="0"/>
        <w:bidi w:val="0"/>
        <w:spacing w:after="0" w:line="288" w:lineRule="auto"/>
        <w:jc w:val="center"/>
        <w:rPr>
          <w:rFonts w:ascii="Arial" w:hAnsi="Arial" w:cs="Arial"/>
          <w:b/>
          <w:sz w:val="32"/>
        </w:rPr>
      </w:pPr>
      <w:r>
        <w:rPr>
          <w:rFonts w:ascii="Arial" w:hAnsi="Arial" w:cs="Arial"/>
          <w:b/>
          <w:sz w:val="32"/>
        </w:rPr>
        <w:t>法人授权委托书（格式一）</w:t>
      </w:r>
    </w:p>
    <w:p>
      <w:pPr>
        <w:pageBreakBefore w:val="0"/>
        <w:kinsoku/>
        <w:wordWrap/>
        <w:overflowPunct/>
        <w:topLinePunct w:val="0"/>
        <w:bidi w:val="0"/>
        <w:snapToGrid w:val="0"/>
        <w:spacing w:after="0" w:line="288" w:lineRule="auto"/>
        <w:outlineLvl w:val="4"/>
        <w:rPr>
          <w:rFonts w:ascii="Arial" w:hAnsi="Arial" w:cs="Arial"/>
          <w:szCs w:val="21"/>
          <w:u w:val="single"/>
        </w:rPr>
      </w:pPr>
      <w:r>
        <w:rPr>
          <w:rFonts w:ascii="Arial" w:hAnsi="Arial" w:cs="Arial"/>
          <w:b/>
          <w:szCs w:val="21"/>
        </w:rPr>
        <w:t>致</w:t>
      </w:r>
      <w:r>
        <w:rPr>
          <w:rFonts w:ascii="Arial" w:hAnsi="Arial" w:cs="Arial"/>
          <w:szCs w:val="21"/>
        </w:rPr>
        <w:t>：</w:t>
      </w:r>
      <w:r>
        <w:rPr>
          <w:rFonts w:ascii="Arial" w:hAnsi="Arial" w:cs="Arial"/>
          <w:u w:val="single"/>
        </w:rPr>
        <w:t>广西机电设备招标有限公司</w:t>
      </w:r>
    </w:p>
    <w:p>
      <w:pPr>
        <w:pStyle w:val="28"/>
        <w:pageBreakBefore w:val="0"/>
        <w:kinsoku/>
        <w:wordWrap/>
        <w:overflowPunct/>
        <w:topLinePunct w:val="0"/>
        <w:bidi w:val="0"/>
        <w:spacing w:after="0" w:line="288" w:lineRule="auto"/>
        <w:ind w:firstLine="420" w:firstLineChars="200"/>
        <w:rPr>
          <w:rFonts w:ascii="Arial" w:hAnsi="Arial" w:cs="Arial"/>
        </w:rPr>
      </w:pPr>
      <w:r>
        <w:rPr>
          <w:rFonts w:ascii="Arial" w:hAnsi="Arial" w:cs="Arial"/>
          <w:kern w:val="0"/>
        </w:rPr>
        <w:t>我</w:t>
      </w:r>
      <w:r>
        <w:rPr>
          <w:rFonts w:ascii="Arial" w:hAnsi="Arial" w:cs="Arial"/>
          <w:kern w:val="0"/>
          <w:u w:val="single"/>
        </w:rPr>
        <w:t>（姓名）</w:t>
      </w:r>
      <w:r>
        <w:rPr>
          <w:rFonts w:ascii="Arial" w:hAnsi="Arial" w:cs="Arial"/>
          <w:kern w:val="0"/>
        </w:rPr>
        <w:t>系</w:t>
      </w:r>
      <w:r>
        <w:rPr>
          <w:rFonts w:ascii="Arial" w:hAnsi="Arial" w:cs="Arial"/>
          <w:kern w:val="0"/>
          <w:u w:val="single"/>
        </w:rPr>
        <w:t>（投标人名称）</w:t>
      </w:r>
      <w:r>
        <w:rPr>
          <w:rFonts w:ascii="Arial" w:hAnsi="Arial" w:cs="Arial"/>
          <w:kern w:val="0"/>
        </w:rPr>
        <w:t>的法定代表人，现授权委托本单位在职职工</w:t>
      </w:r>
      <w:r>
        <w:rPr>
          <w:rFonts w:ascii="Arial" w:hAnsi="Arial" w:cs="Arial"/>
          <w:kern w:val="0"/>
          <w:u w:val="single"/>
        </w:rPr>
        <w:t>（姓 名）</w:t>
      </w:r>
      <w:r>
        <w:rPr>
          <w:rFonts w:ascii="Arial" w:hAnsi="Arial" w:cs="Arial"/>
          <w:kern w:val="0"/>
        </w:rPr>
        <w:t>以我公司名义参加</w:t>
      </w:r>
      <w:r>
        <w:rPr>
          <w:rFonts w:ascii="Arial" w:hAnsi="Arial" w:cs="Arial"/>
          <w:u w:val="single"/>
        </w:rPr>
        <w:t xml:space="preserve">（项目名称及项目编号）        </w:t>
      </w:r>
      <w:r>
        <w:rPr>
          <w:rFonts w:ascii="Arial" w:hAnsi="Arial" w:cs="Arial"/>
        </w:rPr>
        <w:t>项目的投标活动，并代表我方全权办理针对上述项目的投标、开标、评标、签约等具体事务和签署相关文件。</w:t>
      </w:r>
    </w:p>
    <w:p>
      <w:pPr>
        <w:pStyle w:val="28"/>
        <w:pageBreakBefore w:val="0"/>
        <w:kinsoku/>
        <w:wordWrap/>
        <w:overflowPunct/>
        <w:topLinePunct w:val="0"/>
        <w:bidi w:val="0"/>
        <w:spacing w:after="0" w:line="288" w:lineRule="auto"/>
        <w:ind w:firstLine="420" w:firstLineChars="200"/>
        <w:rPr>
          <w:rFonts w:ascii="Arial" w:hAnsi="Arial" w:cs="Arial"/>
        </w:rPr>
      </w:pPr>
      <w:r>
        <w:rPr>
          <w:rFonts w:ascii="Arial" w:hAnsi="Arial" w:cs="Arial"/>
        </w:rPr>
        <w:t>我方对被授权人的签名事项负全部责任。</w:t>
      </w:r>
    </w:p>
    <w:p>
      <w:pPr>
        <w:pStyle w:val="28"/>
        <w:pageBreakBefore w:val="0"/>
        <w:kinsoku/>
        <w:wordWrap/>
        <w:overflowPunct/>
        <w:topLinePunct w:val="0"/>
        <w:bidi w:val="0"/>
        <w:spacing w:after="0" w:line="288" w:lineRule="auto"/>
        <w:ind w:firstLine="420" w:firstLineChars="200"/>
        <w:rPr>
          <w:rFonts w:ascii="Arial" w:hAnsi="Arial" w:cs="Arial"/>
          <w:u w:val="single"/>
        </w:rPr>
      </w:pPr>
      <w:r>
        <w:rPr>
          <w:rFonts w:ascii="Arial" w:hAnsi="Arial" w:cs="Arial"/>
        </w:rPr>
        <w:t>授权委托代理期限：从    年   月  日至   年   月   日止。</w:t>
      </w:r>
    </w:p>
    <w:p>
      <w:pPr>
        <w:pageBreakBefore w:val="0"/>
        <w:kinsoku/>
        <w:wordWrap/>
        <w:overflowPunct/>
        <w:topLinePunct w:val="0"/>
        <w:bidi w:val="0"/>
        <w:spacing w:after="0" w:line="288" w:lineRule="auto"/>
        <w:ind w:firstLine="420" w:firstLineChars="200"/>
        <w:rPr>
          <w:rFonts w:ascii="Arial" w:hAnsi="Arial" w:cs="Arial"/>
          <w:kern w:val="0"/>
        </w:rPr>
      </w:pPr>
      <w:r>
        <w:rPr>
          <w:rFonts w:ascii="Arial" w:hAnsi="Arial" w:cs="Arial"/>
          <w:kern w:val="0"/>
        </w:rPr>
        <w:t xml:space="preserve">代理人无转委托权,特此委托。 </w:t>
      </w:r>
    </w:p>
    <w:p>
      <w:pPr>
        <w:pageBreakBefore w:val="0"/>
        <w:kinsoku/>
        <w:wordWrap/>
        <w:overflowPunct/>
        <w:topLinePunct w:val="0"/>
        <w:bidi w:val="0"/>
        <w:snapToGrid w:val="0"/>
        <w:spacing w:after="0" w:line="288" w:lineRule="auto"/>
        <w:ind w:firstLine="525"/>
        <w:outlineLvl w:val="4"/>
        <w:rPr>
          <w:rFonts w:ascii="Arial" w:hAnsi="Arial" w:cs="Arial"/>
          <w:szCs w:val="21"/>
        </w:rPr>
      </w:pPr>
    </w:p>
    <w:p>
      <w:pPr>
        <w:pageBreakBefore w:val="0"/>
        <w:kinsoku/>
        <w:wordWrap/>
        <w:overflowPunct/>
        <w:topLinePunct w:val="0"/>
        <w:bidi w:val="0"/>
        <w:snapToGrid w:val="0"/>
        <w:spacing w:after="0" w:line="288" w:lineRule="auto"/>
        <w:ind w:firstLine="420"/>
        <w:outlineLvl w:val="4"/>
        <w:rPr>
          <w:rFonts w:ascii="Arial" w:hAnsi="Arial" w:cs="Arial"/>
          <w:szCs w:val="21"/>
        </w:rPr>
      </w:pPr>
      <w:r>
        <w:rPr>
          <w:rFonts w:ascii="Arial" w:hAnsi="Arial" w:cs="Arial"/>
          <w:szCs w:val="21"/>
        </w:rPr>
        <w:t>我已在下面签字，以资证明。</w:t>
      </w:r>
    </w:p>
    <w:p>
      <w:pPr>
        <w:pageBreakBefore w:val="0"/>
        <w:kinsoku/>
        <w:wordWrap/>
        <w:overflowPunct/>
        <w:topLinePunct w:val="0"/>
        <w:bidi w:val="0"/>
        <w:snapToGrid w:val="0"/>
        <w:spacing w:after="0" w:line="288" w:lineRule="auto"/>
        <w:ind w:firstLine="420"/>
        <w:outlineLvl w:val="4"/>
        <w:rPr>
          <w:rFonts w:ascii="Arial" w:hAnsi="Arial" w:cs="Arial"/>
          <w:szCs w:val="21"/>
        </w:rPr>
      </w:pPr>
    </w:p>
    <w:p>
      <w:pPr>
        <w:pageBreakBefore w:val="0"/>
        <w:kinsoku/>
        <w:wordWrap/>
        <w:overflowPunct/>
        <w:topLinePunct w:val="0"/>
        <w:bidi w:val="0"/>
        <w:snapToGrid w:val="0"/>
        <w:spacing w:after="0" w:line="288" w:lineRule="auto"/>
        <w:ind w:firstLine="420"/>
        <w:rPr>
          <w:rFonts w:ascii="Arial" w:hAnsi="Arial" w:cs="Arial"/>
          <w:szCs w:val="21"/>
        </w:rPr>
      </w:pPr>
      <w:r>
        <w:rPr>
          <w:rFonts w:ascii="Arial" w:hAnsi="Arial" w:cs="Arial"/>
          <w:szCs w:val="21"/>
        </w:rPr>
        <w:t>投标人[公章（CA签章）]：</w:t>
      </w:r>
    </w:p>
    <w:p>
      <w:pPr>
        <w:pageBreakBefore w:val="0"/>
        <w:kinsoku/>
        <w:wordWrap/>
        <w:overflowPunct/>
        <w:topLinePunct w:val="0"/>
        <w:bidi w:val="0"/>
        <w:snapToGrid w:val="0"/>
        <w:spacing w:after="0" w:line="288" w:lineRule="auto"/>
        <w:ind w:firstLine="420"/>
        <w:rPr>
          <w:rFonts w:ascii="Arial" w:hAnsi="Arial" w:cs="Arial"/>
          <w:szCs w:val="21"/>
        </w:rPr>
      </w:pPr>
      <w:r>
        <w:rPr>
          <w:rFonts w:ascii="Arial" w:hAnsi="Arial" w:cs="Arial"/>
          <w:szCs w:val="21"/>
        </w:rPr>
        <w:t>法定代表人（负责人）签字（或个人CA签章）：     　　 年   月   日</w:t>
      </w:r>
    </w:p>
    <w:p>
      <w:pPr>
        <w:pStyle w:val="28"/>
        <w:pageBreakBefore w:val="0"/>
        <w:kinsoku/>
        <w:wordWrap/>
        <w:overflowPunct/>
        <w:topLinePunct w:val="0"/>
        <w:bidi w:val="0"/>
        <w:spacing w:after="0" w:line="288" w:lineRule="auto"/>
        <w:ind w:firstLine="600" w:firstLineChars="250"/>
        <w:jc w:val="left"/>
        <w:rPr>
          <w:rFonts w:ascii="Arial" w:hAnsi="Arial" w:cs="Arial"/>
          <w:b/>
          <w:sz w:val="24"/>
          <w:szCs w:val="24"/>
        </w:rPr>
      </w:pPr>
      <w:r>
        <w:rPr>
          <w:rFonts w:ascii="Arial" w:hAnsi="Arial" w:cs="Arial"/>
          <w:b/>
          <w:sz w:val="24"/>
          <w:szCs w:val="24"/>
        </w:rPr>
        <w:t>附：委托代理人有效的身份证正反两面复印件以及由县级以上（含县级）社会养老保险经办机构出具的投标人为委托代理人交纳的</w:t>
      </w:r>
      <w:r>
        <w:rPr>
          <w:rFonts w:hint="eastAsia" w:ascii="Arial" w:hAnsi="Arial" w:cs="Arial"/>
          <w:b/>
          <w:sz w:val="24"/>
          <w:szCs w:val="24"/>
        </w:rPr>
        <w:t>投标截止时间前6个月内任意一个月</w:t>
      </w:r>
      <w:r>
        <w:rPr>
          <w:rFonts w:ascii="Arial" w:hAnsi="Arial" w:cs="Arial"/>
          <w:b/>
          <w:sz w:val="24"/>
          <w:szCs w:val="24"/>
        </w:rPr>
        <w:t>的社保证明复印件（委托代理时必须提供）；注：投标人成立不足1个月的，无须提供社保缴费证明加盖投标人公章</w:t>
      </w:r>
    </w:p>
    <w:p>
      <w:pPr>
        <w:pStyle w:val="28"/>
        <w:pageBreakBefore w:val="0"/>
        <w:kinsoku/>
        <w:wordWrap/>
        <w:overflowPunct/>
        <w:topLinePunct w:val="0"/>
        <w:bidi w:val="0"/>
        <w:spacing w:after="0" w:line="288" w:lineRule="auto"/>
        <w:jc w:val="center"/>
        <w:rPr>
          <w:rFonts w:ascii="Arial" w:hAnsi="Arial" w:cs="Arial"/>
          <w:b/>
          <w:sz w:val="32"/>
        </w:rPr>
      </w:pPr>
      <w:r>
        <w:rPr>
          <w:rFonts w:ascii="Arial" w:hAnsi="Arial" w:cs="Arial"/>
          <w:b/>
          <w:sz w:val="32"/>
        </w:rPr>
        <w:t>授权委托书（格式二）</w:t>
      </w:r>
    </w:p>
    <w:p>
      <w:pPr>
        <w:pageBreakBefore w:val="0"/>
        <w:kinsoku/>
        <w:wordWrap/>
        <w:overflowPunct/>
        <w:topLinePunct w:val="0"/>
        <w:bidi w:val="0"/>
        <w:snapToGrid w:val="0"/>
        <w:spacing w:after="0" w:line="288" w:lineRule="auto"/>
        <w:outlineLvl w:val="4"/>
        <w:rPr>
          <w:rFonts w:ascii="Arial" w:hAnsi="Arial" w:cs="Arial"/>
        </w:rPr>
      </w:pPr>
      <w:r>
        <w:rPr>
          <w:rFonts w:ascii="Arial" w:hAnsi="Arial" w:cs="Arial"/>
          <w:b/>
          <w:szCs w:val="21"/>
        </w:rPr>
        <w:t>致</w:t>
      </w:r>
      <w:r>
        <w:rPr>
          <w:rFonts w:ascii="Arial" w:hAnsi="Arial" w:cs="Arial"/>
          <w:szCs w:val="21"/>
        </w:rPr>
        <w:t>：</w:t>
      </w:r>
      <w:r>
        <w:rPr>
          <w:rFonts w:ascii="Arial" w:hAnsi="Arial" w:cs="Arial"/>
          <w:u w:val="single"/>
        </w:rPr>
        <w:t>广西机电设备招标有限公司</w:t>
      </w:r>
    </w:p>
    <w:p>
      <w:pPr>
        <w:pageBreakBefore w:val="0"/>
        <w:kinsoku/>
        <w:wordWrap/>
        <w:overflowPunct/>
        <w:topLinePunct w:val="0"/>
        <w:bidi w:val="0"/>
        <w:snapToGrid w:val="0"/>
        <w:spacing w:after="0" w:line="288" w:lineRule="auto"/>
        <w:outlineLvl w:val="4"/>
        <w:rPr>
          <w:rFonts w:ascii="Arial" w:hAnsi="Arial" w:cs="Arial"/>
          <w:szCs w:val="21"/>
          <w:u w:val="single"/>
        </w:rPr>
      </w:pPr>
    </w:p>
    <w:p>
      <w:pPr>
        <w:pStyle w:val="28"/>
        <w:pageBreakBefore w:val="0"/>
        <w:kinsoku/>
        <w:wordWrap/>
        <w:overflowPunct/>
        <w:topLinePunct w:val="0"/>
        <w:bidi w:val="0"/>
        <w:spacing w:after="0" w:line="288" w:lineRule="auto"/>
        <w:ind w:firstLine="420" w:firstLineChars="200"/>
        <w:rPr>
          <w:rFonts w:ascii="Arial" w:hAnsi="Arial" w:cs="Arial"/>
        </w:rPr>
      </w:pPr>
      <w:r>
        <w:rPr>
          <w:rFonts w:ascii="Arial" w:hAnsi="Arial" w:cs="Arial"/>
          <w:kern w:val="0"/>
        </w:rPr>
        <w:t>我</w:t>
      </w:r>
      <w:r>
        <w:rPr>
          <w:rFonts w:ascii="Arial" w:hAnsi="Arial" w:cs="Arial"/>
          <w:kern w:val="0"/>
          <w:u w:val="single"/>
        </w:rPr>
        <w:t>（姓名）</w:t>
      </w:r>
      <w:r>
        <w:rPr>
          <w:rFonts w:ascii="Arial" w:hAnsi="Arial" w:cs="Arial"/>
          <w:kern w:val="0"/>
        </w:rPr>
        <w:t>系自然人，现授权委托</w:t>
      </w:r>
      <w:r>
        <w:rPr>
          <w:rFonts w:ascii="Arial" w:hAnsi="Arial" w:cs="Arial"/>
          <w:kern w:val="0"/>
          <w:u w:val="single"/>
        </w:rPr>
        <w:t>（姓 名）</w:t>
      </w:r>
      <w:r>
        <w:rPr>
          <w:rFonts w:ascii="Arial" w:hAnsi="Arial" w:cs="Arial"/>
          <w:kern w:val="0"/>
        </w:rPr>
        <w:t>以本人名义参加</w:t>
      </w:r>
      <w:r>
        <w:rPr>
          <w:rFonts w:ascii="Arial" w:hAnsi="Arial" w:cs="Arial"/>
          <w:u w:val="single"/>
        </w:rPr>
        <w:t xml:space="preserve">（项目名称及项目编号）        </w:t>
      </w:r>
      <w:r>
        <w:rPr>
          <w:rFonts w:ascii="Arial" w:hAnsi="Arial" w:cs="Arial"/>
        </w:rPr>
        <w:t>项目的投标活动，并代表本人全权办理针对上述项目的投标、开标、评标、签约等具体事务和签署相关文件。</w:t>
      </w:r>
    </w:p>
    <w:p>
      <w:pPr>
        <w:pStyle w:val="28"/>
        <w:pageBreakBefore w:val="0"/>
        <w:kinsoku/>
        <w:wordWrap/>
        <w:overflowPunct/>
        <w:topLinePunct w:val="0"/>
        <w:bidi w:val="0"/>
        <w:spacing w:after="0" w:line="288" w:lineRule="auto"/>
        <w:ind w:firstLine="420" w:firstLineChars="200"/>
        <w:rPr>
          <w:rFonts w:ascii="Arial" w:hAnsi="Arial" w:cs="Arial"/>
        </w:rPr>
      </w:pPr>
      <w:r>
        <w:rPr>
          <w:rFonts w:ascii="Arial" w:hAnsi="Arial" w:cs="Arial"/>
        </w:rPr>
        <w:t>本人对被授权人的签字事项负全部责任。</w:t>
      </w:r>
    </w:p>
    <w:p>
      <w:pPr>
        <w:pStyle w:val="28"/>
        <w:pageBreakBefore w:val="0"/>
        <w:kinsoku/>
        <w:wordWrap/>
        <w:overflowPunct/>
        <w:topLinePunct w:val="0"/>
        <w:bidi w:val="0"/>
        <w:spacing w:after="0" w:line="288" w:lineRule="auto"/>
        <w:ind w:firstLine="420" w:firstLineChars="200"/>
        <w:rPr>
          <w:rFonts w:ascii="Arial" w:hAnsi="Arial" w:cs="Arial"/>
          <w:u w:val="single"/>
        </w:rPr>
      </w:pPr>
      <w:r>
        <w:rPr>
          <w:rFonts w:ascii="Arial" w:hAnsi="Arial" w:cs="Arial"/>
        </w:rPr>
        <w:t>授权委托代理期限：自即日起至该项目政府采购活动结束。</w:t>
      </w:r>
    </w:p>
    <w:p>
      <w:pPr>
        <w:pStyle w:val="28"/>
        <w:pageBreakBefore w:val="0"/>
        <w:kinsoku/>
        <w:wordWrap/>
        <w:overflowPunct/>
        <w:topLinePunct w:val="0"/>
        <w:bidi w:val="0"/>
        <w:spacing w:after="0" w:line="288" w:lineRule="auto"/>
        <w:ind w:firstLine="420" w:firstLineChars="200"/>
        <w:rPr>
          <w:rFonts w:ascii="Arial" w:hAnsi="Arial" w:cs="Arial"/>
          <w:u w:val="single"/>
        </w:rPr>
      </w:pPr>
    </w:p>
    <w:p>
      <w:pPr>
        <w:pStyle w:val="28"/>
        <w:pageBreakBefore w:val="0"/>
        <w:kinsoku/>
        <w:wordWrap/>
        <w:overflowPunct/>
        <w:topLinePunct w:val="0"/>
        <w:bidi w:val="0"/>
        <w:spacing w:after="0" w:line="288" w:lineRule="auto"/>
        <w:rPr>
          <w:rFonts w:ascii="Arial" w:hAnsi="Arial" w:cs="Arial"/>
          <w:u w:val="single"/>
        </w:rPr>
      </w:pPr>
    </w:p>
    <w:p>
      <w:pPr>
        <w:pageBreakBefore w:val="0"/>
        <w:kinsoku/>
        <w:wordWrap/>
        <w:overflowPunct/>
        <w:topLinePunct w:val="0"/>
        <w:bidi w:val="0"/>
        <w:spacing w:after="0" w:line="288" w:lineRule="auto"/>
        <w:ind w:firstLine="420" w:firstLineChars="200"/>
        <w:rPr>
          <w:rFonts w:ascii="Arial" w:hAnsi="Arial" w:cs="Arial"/>
          <w:kern w:val="0"/>
        </w:rPr>
      </w:pPr>
      <w:r>
        <w:rPr>
          <w:rFonts w:ascii="Arial" w:hAnsi="Arial" w:cs="Arial"/>
          <w:kern w:val="0"/>
        </w:rPr>
        <w:t xml:space="preserve">代理人无转委托权，特此委托。 </w:t>
      </w:r>
    </w:p>
    <w:p>
      <w:pPr>
        <w:pageBreakBefore w:val="0"/>
        <w:kinsoku/>
        <w:wordWrap/>
        <w:overflowPunct/>
        <w:topLinePunct w:val="0"/>
        <w:bidi w:val="0"/>
        <w:snapToGrid w:val="0"/>
        <w:spacing w:after="0" w:line="288" w:lineRule="auto"/>
        <w:ind w:firstLine="525"/>
        <w:outlineLvl w:val="4"/>
        <w:rPr>
          <w:rFonts w:ascii="Arial" w:hAnsi="Arial" w:cs="Arial"/>
          <w:szCs w:val="21"/>
        </w:rPr>
      </w:pPr>
    </w:p>
    <w:p>
      <w:pPr>
        <w:pageBreakBefore w:val="0"/>
        <w:kinsoku/>
        <w:wordWrap/>
        <w:overflowPunct/>
        <w:topLinePunct w:val="0"/>
        <w:bidi w:val="0"/>
        <w:snapToGrid w:val="0"/>
        <w:spacing w:after="0" w:line="288" w:lineRule="auto"/>
        <w:ind w:firstLine="420"/>
        <w:outlineLvl w:val="4"/>
        <w:rPr>
          <w:rFonts w:ascii="Arial" w:hAnsi="Arial" w:cs="Arial"/>
          <w:szCs w:val="21"/>
        </w:rPr>
      </w:pPr>
      <w:r>
        <w:rPr>
          <w:rFonts w:ascii="Arial" w:hAnsi="Arial" w:cs="Arial"/>
          <w:szCs w:val="21"/>
        </w:rPr>
        <w:t>我已在下面签字，以资证明。</w:t>
      </w:r>
    </w:p>
    <w:p>
      <w:pPr>
        <w:pageBreakBefore w:val="0"/>
        <w:kinsoku/>
        <w:wordWrap/>
        <w:overflowPunct/>
        <w:topLinePunct w:val="0"/>
        <w:bidi w:val="0"/>
        <w:snapToGrid w:val="0"/>
        <w:spacing w:after="0" w:line="288" w:lineRule="auto"/>
        <w:ind w:firstLine="420"/>
        <w:outlineLvl w:val="4"/>
        <w:rPr>
          <w:rFonts w:ascii="Arial" w:hAnsi="Arial" w:cs="Arial"/>
          <w:szCs w:val="21"/>
        </w:rPr>
      </w:pPr>
    </w:p>
    <w:p>
      <w:pPr>
        <w:pageBreakBefore w:val="0"/>
        <w:kinsoku/>
        <w:wordWrap/>
        <w:overflowPunct/>
        <w:topLinePunct w:val="0"/>
        <w:bidi w:val="0"/>
        <w:snapToGrid w:val="0"/>
        <w:spacing w:after="0" w:line="288" w:lineRule="auto"/>
        <w:ind w:firstLine="420"/>
        <w:rPr>
          <w:rFonts w:ascii="Arial" w:hAnsi="Arial" w:cs="Arial"/>
          <w:szCs w:val="21"/>
        </w:rPr>
      </w:pPr>
      <w:r>
        <w:rPr>
          <w:rFonts w:ascii="Arial" w:hAnsi="Arial" w:cs="Arial"/>
          <w:szCs w:val="21"/>
        </w:rPr>
        <w:t>自然人签字并在签名处加盖大拇指指印或个人CA签章：   年   月  日</w:t>
      </w:r>
    </w:p>
    <w:p>
      <w:pPr>
        <w:pStyle w:val="28"/>
        <w:pageBreakBefore w:val="0"/>
        <w:kinsoku/>
        <w:wordWrap/>
        <w:overflowPunct/>
        <w:topLinePunct w:val="0"/>
        <w:bidi w:val="0"/>
        <w:spacing w:after="0" w:line="288" w:lineRule="auto"/>
        <w:ind w:firstLine="700" w:firstLineChars="250"/>
        <w:jc w:val="left"/>
        <w:rPr>
          <w:rFonts w:ascii="Arial" w:hAnsi="Arial" w:cs="Arial"/>
          <w:b/>
          <w:sz w:val="28"/>
          <w:szCs w:val="28"/>
        </w:rPr>
      </w:pPr>
    </w:p>
    <w:p>
      <w:pPr>
        <w:pStyle w:val="28"/>
        <w:pageBreakBefore w:val="0"/>
        <w:kinsoku/>
        <w:wordWrap/>
        <w:overflowPunct/>
        <w:topLinePunct w:val="0"/>
        <w:bidi w:val="0"/>
        <w:spacing w:after="0" w:line="288" w:lineRule="auto"/>
        <w:ind w:left="420" w:leftChars="200" w:firstLine="156" w:firstLineChars="49"/>
        <w:rPr>
          <w:rFonts w:ascii="Arial" w:hAnsi="Arial" w:cs="Arial"/>
          <w:b/>
          <w:sz w:val="32"/>
          <w:szCs w:val="32"/>
        </w:rPr>
      </w:pPr>
    </w:p>
    <w:p>
      <w:pPr>
        <w:pStyle w:val="28"/>
        <w:pageBreakBefore w:val="0"/>
        <w:kinsoku/>
        <w:wordWrap/>
        <w:overflowPunct/>
        <w:topLinePunct w:val="0"/>
        <w:bidi w:val="0"/>
        <w:spacing w:after="0" w:line="288" w:lineRule="auto"/>
        <w:rPr>
          <w:rFonts w:ascii="Arial" w:hAnsi="Arial" w:cs="Arial"/>
          <w:b/>
          <w:sz w:val="32"/>
        </w:rPr>
      </w:pPr>
    </w:p>
    <w:p>
      <w:pPr>
        <w:pageBreakBefore w:val="0"/>
        <w:kinsoku/>
        <w:wordWrap/>
        <w:overflowPunct/>
        <w:topLinePunct w:val="0"/>
        <w:bidi w:val="0"/>
        <w:spacing w:after="0" w:line="288" w:lineRule="auto"/>
        <w:rPr>
          <w:rFonts w:ascii="Arial" w:hAnsi="Arial" w:cs="Arial"/>
          <w:b/>
          <w:sz w:val="32"/>
        </w:rPr>
      </w:pPr>
      <w:r>
        <w:rPr>
          <w:rFonts w:hint="eastAsia" w:ascii="Arial" w:hAnsi="Arial" w:cs="Arial"/>
          <w:b/>
          <w:sz w:val="32"/>
        </w:rPr>
        <w:br w:type="page"/>
      </w:r>
    </w:p>
    <w:p>
      <w:pPr>
        <w:pStyle w:val="28"/>
        <w:pageBreakBefore w:val="0"/>
        <w:kinsoku/>
        <w:wordWrap/>
        <w:overflowPunct/>
        <w:topLinePunct w:val="0"/>
        <w:bidi w:val="0"/>
        <w:spacing w:after="0" w:line="288" w:lineRule="auto"/>
        <w:rPr>
          <w:rFonts w:ascii="Arial" w:hAnsi="Arial" w:cs="Arial"/>
          <w:b/>
          <w:sz w:val="32"/>
          <w:szCs w:val="32"/>
        </w:rPr>
      </w:pPr>
      <w:r>
        <w:rPr>
          <w:rFonts w:hint="eastAsia" w:ascii="Arial" w:hAnsi="Arial" w:cs="Arial"/>
          <w:b/>
          <w:sz w:val="32"/>
        </w:rPr>
        <w:t>4</w:t>
      </w:r>
      <w:r>
        <w:rPr>
          <w:rFonts w:ascii="Arial" w:hAnsi="Arial" w:cs="Arial"/>
          <w:b/>
          <w:sz w:val="32"/>
        </w:rPr>
        <w:t>、投标人参加采购活动前三年内在经营活动中没有重大违法</w:t>
      </w:r>
      <w:r>
        <w:rPr>
          <w:rFonts w:ascii="Arial" w:hAnsi="Arial" w:cs="Arial"/>
          <w:b/>
          <w:sz w:val="32"/>
          <w:szCs w:val="32"/>
        </w:rPr>
        <w:t>记录的书面声明（必须提供）</w:t>
      </w:r>
    </w:p>
    <w:p>
      <w:pPr>
        <w:pStyle w:val="28"/>
        <w:pageBreakBefore w:val="0"/>
        <w:kinsoku/>
        <w:wordWrap/>
        <w:overflowPunct/>
        <w:topLinePunct w:val="0"/>
        <w:bidi w:val="0"/>
        <w:spacing w:after="0" w:line="288" w:lineRule="auto"/>
        <w:ind w:left="420" w:leftChars="200" w:firstLine="156" w:firstLineChars="49"/>
        <w:rPr>
          <w:rFonts w:ascii="Arial" w:hAnsi="Arial" w:cs="Arial"/>
          <w:b/>
          <w:sz w:val="32"/>
          <w:szCs w:val="32"/>
        </w:rPr>
      </w:pPr>
    </w:p>
    <w:p>
      <w:pPr>
        <w:pStyle w:val="28"/>
        <w:pageBreakBefore w:val="0"/>
        <w:kinsoku/>
        <w:wordWrap/>
        <w:overflowPunct/>
        <w:topLinePunct w:val="0"/>
        <w:bidi w:val="0"/>
        <w:spacing w:after="0" w:line="288" w:lineRule="auto"/>
        <w:ind w:left="420" w:leftChars="200" w:firstLine="156" w:firstLineChars="49"/>
        <w:rPr>
          <w:rFonts w:ascii="Arial" w:hAnsi="Arial" w:cs="Arial"/>
          <w:b/>
          <w:sz w:val="32"/>
          <w:szCs w:val="32"/>
        </w:rPr>
      </w:pPr>
    </w:p>
    <w:p>
      <w:pPr>
        <w:pStyle w:val="28"/>
        <w:pageBreakBefore w:val="0"/>
        <w:kinsoku/>
        <w:wordWrap/>
        <w:overflowPunct/>
        <w:topLinePunct w:val="0"/>
        <w:bidi w:val="0"/>
        <w:spacing w:after="0" w:line="288" w:lineRule="auto"/>
        <w:ind w:left="420" w:leftChars="200" w:firstLine="156" w:firstLineChars="49"/>
        <w:rPr>
          <w:rFonts w:ascii="Arial" w:hAnsi="Arial" w:cs="Arial"/>
          <w:b/>
          <w:sz w:val="32"/>
          <w:szCs w:val="32"/>
        </w:rPr>
      </w:pPr>
      <w:r>
        <w:rPr>
          <w:rFonts w:ascii="Arial" w:hAnsi="Arial" w:cs="Arial"/>
          <w:b/>
          <w:sz w:val="32"/>
          <w:szCs w:val="32"/>
        </w:rPr>
        <w:t>附件：声明</w:t>
      </w:r>
    </w:p>
    <w:p>
      <w:pPr>
        <w:pStyle w:val="28"/>
        <w:pageBreakBefore w:val="0"/>
        <w:kinsoku/>
        <w:wordWrap/>
        <w:overflowPunct/>
        <w:topLinePunct w:val="0"/>
        <w:bidi w:val="0"/>
        <w:spacing w:after="0" w:line="288" w:lineRule="auto"/>
        <w:jc w:val="center"/>
        <w:rPr>
          <w:rFonts w:ascii="Arial" w:hAnsi="Arial" w:cs="Arial"/>
          <w:b/>
          <w:sz w:val="32"/>
          <w:szCs w:val="32"/>
        </w:rPr>
      </w:pPr>
      <w:r>
        <w:rPr>
          <w:rFonts w:ascii="Arial" w:hAnsi="Arial" w:cs="Arial"/>
          <w:b/>
          <w:sz w:val="32"/>
          <w:szCs w:val="32"/>
        </w:rPr>
        <w:t>声   明</w:t>
      </w:r>
    </w:p>
    <w:p>
      <w:pPr>
        <w:pageBreakBefore w:val="0"/>
        <w:kinsoku/>
        <w:wordWrap/>
        <w:overflowPunct/>
        <w:topLinePunct w:val="0"/>
        <w:bidi w:val="0"/>
        <w:snapToGrid w:val="0"/>
        <w:spacing w:after="0" w:line="288" w:lineRule="auto"/>
        <w:ind w:firstLine="630" w:firstLineChars="300"/>
        <w:outlineLvl w:val="4"/>
        <w:rPr>
          <w:rFonts w:ascii="Arial" w:hAnsi="Arial" w:cs="Arial"/>
        </w:rPr>
      </w:pPr>
      <w:r>
        <w:rPr>
          <w:rFonts w:ascii="Arial" w:hAnsi="Arial" w:cs="Arial"/>
          <w:b/>
          <w:szCs w:val="21"/>
        </w:rPr>
        <w:t>致</w:t>
      </w:r>
      <w:r>
        <w:rPr>
          <w:rFonts w:ascii="Arial" w:hAnsi="Arial" w:cs="Arial"/>
          <w:szCs w:val="21"/>
        </w:rPr>
        <w:t>：</w:t>
      </w:r>
      <w:r>
        <w:rPr>
          <w:rFonts w:ascii="Arial" w:hAnsi="Arial" w:cs="Arial"/>
          <w:bCs/>
          <w:u w:val="single"/>
        </w:rPr>
        <w:t>广西机电设备招标有限公司</w:t>
      </w:r>
    </w:p>
    <w:p>
      <w:pPr>
        <w:pageBreakBefore w:val="0"/>
        <w:kinsoku/>
        <w:wordWrap/>
        <w:overflowPunct/>
        <w:topLinePunct w:val="0"/>
        <w:bidi w:val="0"/>
        <w:snapToGrid w:val="0"/>
        <w:spacing w:after="0" w:line="288" w:lineRule="auto"/>
        <w:outlineLvl w:val="4"/>
        <w:rPr>
          <w:rFonts w:ascii="Arial" w:hAnsi="Arial" w:cs="Arial"/>
          <w:szCs w:val="21"/>
          <w:u w:val="single"/>
        </w:rPr>
      </w:pPr>
    </w:p>
    <w:p>
      <w:pPr>
        <w:pStyle w:val="28"/>
        <w:pageBreakBefore w:val="0"/>
        <w:kinsoku/>
        <w:wordWrap/>
        <w:overflowPunct/>
        <w:topLinePunct w:val="0"/>
        <w:bidi w:val="0"/>
        <w:spacing w:after="0" w:line="288" w:lineRule="auto"/>
        <w:ind w:firstLine="420" w:firstLineChars="200"/>
        <w:rPr>
          <w:rFonts w:ascii="Arial" w:hAnsi="Arial" w:cs="Arial"/>
        </w:rPr>
      </w:pPr>
      <w:r>
        <w:rPr>
          <w:rFonts w:ascii="Arial" w:hAnsi="Arial" w:cs="Arial"/>
        </w:rPr>
        <w:t>我公司郑重声明，在参加采购活动前三年内在经营活动中没有重大违法记录（重大违法记录是指供应商因违法经营受到刑事处罚或者责令停产停业、吊销许可证或者执照、较大数额罚款等行政处罚）。</w:t>
      </w:r>
    </w:p>
    <w:p>
      <w:pPr>
        <w:pageBreakBefore w:val="0"/>
        <w:kinsoku/>
        <w:wordWrap/>
        <w:overflowPunct/>
        <w:topLinePunct w:val="0"/>
        <w:bidi w:val="0"/>
        <w:snapToGrid w:val="0"/>
        <w:spacing w:after="0" w:line="288" w:lineRule="auto"/>
        <w:outlineLvl w:val="4"/>
        <w:rPr>
          <w:rFonts w:ascii="Arial" w:hAnsi="Arial" w:cs="Arial"/>
          <w:szCs w:val="21"/>
        </w:rPr>
      </w:pPr>
    </w:p>
    <w:p>
      <w:pPr>
        <w:pageBreakBefore w:val="0"/>
        <w:kinsoku/>
        <w:wordWrap/>
        <w:overflowPunct/>
        <w:topLinePunct w:val="0"/>
        <w:bidi w:val="0"/>
        <w:snapToGrid w:val="0"/>
        <w:spacing w:after="0" w:line="288" w:lineRule="auto"/>
        <w:ind w:firstLine="420"/>
        <w:outlineLvl w:val="4"/>
        <w:rPr>
          <w:rFonts w:ascii="Arial" w:hAnsi="Arial" w:cs="Arial"/>
          <w:szCs w:val="21"/>
        </w:rPr>
      </w:pPr>
    </w:p>
    <w:p>
      <w:pPr>
        <w:pageBreakBefore w:val="0"/>
        <w:kinsoku/>
        <w:wordWrap/>
        <w:overflowPunct/>
        <w:topLinePunct w:val="0"/>
        <w:bidi w:val="0"/>
        <w:snapToGrid w:val="0"/>
        <w:spacing w:after="0" w:line="288" w:lineRule="auto"/>
        <w:ind w:firstLine="420"/>
        <w:outlineLvl w:val="4"/>
        <w:rPr>
          <w:rFonts w:ascii="Arial" w:hAnsi="Arial" w:cs="Arial"/>
          <w:szCs w:val="21"/>
        </w:rPr>
      </w:pPr>
    </w:p>
    <w:p>
      <w:pPr>
        <w:pageBreakBefore w:val="0"/>
        <w:kinsoku/>
        <w:wordWrap/>
        <w:overflowPunct/>
        <w:topLinePunct w:val="0"/>
        <w:bidi w:val="0"/>
        <w:snapToGrid w:val="0"/>
        <w:spacing w:after="0" w:line="288" w:lineRule="auto"/>
        <w:ind w:firstLine="420"/>
        <w:outlineLvl w:val="4"/>
        <w:rPr>
          <w:rFonts w:ascii="Arial" w:hAnsi="Arial" w:cs="Arial"/>
          <w:szCs w:val="21"/>
        </w:rPr>
      </w:pPr>
    </w:p>
    <w:p>
      <w:pPr>
        <w:pageBreakBefore w:val="0"/>
        <w:kinsoku/>
        <w:wordWrap/>
        <w:overflowPunct/>
        <w:topLinePunct w:val="0"/>
        <w:bidi w:val="0"/>
        <w:snapToGrid w:val="0"/>
        <w:spacing w:after="0" w:line="288" w:lineRule="auto"/>
        <w:ind w:firstLine="1890" w:firstLineChars="900"/>
        <w:rPr>
          <w:rFonts w:ascii="Arial" w:hAnsi="Arial" w:cs="Arial"/>
          <w:szCs w:val="21"/>
          <w:u w:val="single"/>
        </w:rPr>
      </w:pPr>
      <w:r>
        <w:rPr>
          <w:rFonts w:ascii="Arial" w:hAnsi="Arial" w:cs="Arial"/>
          <w:szCs w:val="21"/>
        </w:rPr>
        <w:t>投标人[公章(CA签章)，自然人签字或个人CA签章]：</w:t>
      </w:r>
    </w:p>
    <w:p>
      <w:pPr>
        <w:pageBreakBefore w:val="0"/>
        <w:kinsoku/>
        <w:wordWrap/>
        <w:overflowPunct/>
        <w:topLinePunct w:val="0"/>
        <w:bidi w:val="0"/>
        <w:snapToGrid w:val="0"/>
        <w:spacing w:after="0" w:line="288" w:lineRule="auto"/>
        <w:ind w:firstLine="1890" w:firstLineChars="900"/>
        <w:rPr>
          <w:rFonts w:ascii="Arial" w:hAnsi="Arial" w:cs="Arial"/>
        </w:rPr>
      </w:pPr>
    </w:p>
    <w:p>
      <w:pPr>
        <w:pageBreakBefore w:val="0"/>
        <w:kinsoku/>
        <w:wordWrap/>
        <w:overflowPunct/>
        <w:topLinePunct w:val="0"/>
        <w:bidi w:val="0"/>
        <w:snapToGrid w:val="0"/>
        <w:spacing w:after="0" w:line="288" w:lineRule="auto"/>
        <w:ind w:firstLine="1890" w:firstLineChars="900"/>
        <w:rPr>
          <w:rFonts w:ascii="Arial" w:hAnsi="Arial" w:cs="Arial"/>
          <w:u w:val="single"/>
        </w:rPr>
      </w:pPr>
      <w:r>
        <w:rPr>
          <w:rFonts w:ascii="Arial" w:hAnsi="Arial" w:cs="Arial"/>
        </w:rPr>
        <w:t>日          期：</w:t>
      </w:r>
    </w:p>
    <w:p>
      <w:pPr>
        <w:pStyle w:val="28"/>
        <w:pageBreakBefore w:val="0"/>
        <w:kinsoku/>
        <w:wordWrap/>
        <w:overflowPunct/>
        <w:topLinePunct w:val="0"/>
        <w:bidi w:val="0"/>
        <w:spacing w:after="0" w:line="288" w:lineRule="auto"/>
        <w:jc w:val="center"/>
        <w:rPr>
          <w:rFonts w:ascii="Arial" w:hAnsi="Arial" w:cs="Arial"/>
          <w:b/>
          <w:sz w:val="32"/>
          <w:szCs w:val="32"/>
        </w:rPr>
      </w:pPr>
    </w:p>
    <w:p>
      <w:pPr>
        <w:pStyle w:val="28"/>
        <w:pageBreakBefore w:val="0"/>
        <w:kinsoku/>
        <w:wordWrap/>
        <w:overflowPunct/>
        <w:topLinePunct w:val="0"/>
        <w:bidi w:val="0"/>
        <w:spacing w:after="0" w:line="288" w:lineRule="auto"/>
        <w:ind w:left="420" w:leftChars="200" w:firstLine="156" w:firstLineChars="49"/>
        <w:rPr>
          <w:rFonts w:ascii="Arial" w:hAnsi="Arial" w:cs="Arial"/>
          <w:b/>
          <w:sz w:val="32"/>
          <w:szCs w:val="32"/>
        </w:rPr>
      </w:pPr>
    </w:p>
    <w:p>
      <w:pPr>
        <w:pageBreakBefore w:val="0"/>
        <w:kinsoku/>
        <w:wordWrap/>
        <w:overflowPunct/>
        <w:topLinePunct w:val="0"/>
        <w:bidi w:val="0"/>
        <w:spacing w:after="0" w:line="288" w:lineRule="auto"/>
        <w:rPr>
          <w:rFonts w:ascii="Arial" w:hAnsi="Arial" w:cs="Arial"/>
          <w:b/>
          <w:sz w:val="32"/>
          <w:szCs w:val="32"/>
        </w:rPr>
      </w:pPr>
      <w:r>
        <w:rPr>
          <w:rFonts w:ascii="Arial" w:hAnsi="Arial" w:cs="Arial"/>
          <w:b/>
          <w:sz w:val="32"/>
          <w:szCs w:val="32"/>
        </w:rPr>
        <w:br w:type="page"/>
      </w:r>
    </w:p>
    <w:p>
      <w:pPr>
        <w:pStyle w:val="28"/>
        <w:pageBreakBefore w:val="0"/>
        <w:kinsoku/>
        <w:wordWrap/>
        <w:overflowPunct/>
        <w:topLinePunct w:val="0"/>
        <w:bidi w:val="0"/>
        <w:spacing w:after="0" w:line="288" w:lineRule="auto"/>
        <w:ind w:left="420" w:leftChars="200" w:firstLine="156" w:firstLineChars="49"/>
        <w:rPr>
          <w:rFonts w:ascii="Arial" w:hAnsi="Arial" w:cs="Arial"/>
          <w:b/>
          <w:sz w:val="32"/>
          <w:szCs w:val="32"/>
        </w:rPr>
      </w:pPr>
      <w:r>
        <w:rPr>
          <w:rFonts w:hint="eastAsia" w:ascii="Arial" w:hAnsi="Arial" w:cs="Arial"/>
          <w:b/>
          <w:sz w:val="32"/>
          <w:szCs w:val="32"/>
        </w:rPr>
        <w:t>5</w:t>
      </w:r>
      <w:r>
        <w:rPr>
          <w:rFonts w:ascii="Arial" w:hAnsi="Arial" w:cs="Arial"/>
          <w:b/>
          <w:sz w:val="32"/>
          <w:szCs w:val="32"/>
        </w:rPr>
        <w:t>、投标人按以下要求提供医疗器械的有关证明材料复印件（必须提供）：</w:t>
      </w:r>
    </w:p>
    <w:p>
      <w:pPr>
        <w:pStyle w:val="28"/>
        <w:pageBreakBefore w:val="0"/>
        <w:kinsoku/>
        <w:wordWrap/>
        <w:overflowPunct/>
        <w:topLinePunct w:val="0"/>
        <w:bidi w:val="0"/>
        <w:spacing w:after="0" w:line="288" w:lineRule="auto"/>
        <w:ind w:left="420" w:leftChars="200" w:firstLine="156" w:firstLineChars="49"/>
        <w:rPr>
          <w:rFonts w:ascii="Arial" w:hAnsi="Arial" w:cs="Arial"/>
          <w:b/>
          <w:sz w:val="32"/>
          <w:szCs w:val="32"/>
        </w:rPr>
      </w:pPr>
      <w:r>
        <w:rPr>
          <w:rFonts w:ascii="Arial" w:hAnsi="Arial" w:cs="Arial"/>
          <w:b/>
          <w:sz w:val="32"/>
          <w:szCs w:val="32"/>
        </w:rPr>
        <w:t>①有第二类医疗器械的，应提供有效的医疗器械经营备案凭证（经营范围包含采购的第二类医疗器械），符合《医疗器械监督管理条例》（国务院令第739号）第四十一条第二款规定的除外；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竞产品的名称和规格型号，格式自拟）；</w:t>
      </w:r>
    </w:p>
    <w:p>
      <w:pPr>
        <w:pStyle w:val="28"/>
        <w:pageBreakBefore w:val="0"/>
        <w:kinsoku/>
        <w:wordWrap/>
        <w:overflowPunct/>
        <w:topLinePunct w:val="0"/>
        <w:bidi w:val="0"/>
        <w:spacing w:after="0" w:line="288" w:lineRule="auto"/>
        <w:ind w:left="420" w:leftChars="200" w:firstLine="156" w:firstLineChars="49"/>
        <w:rPr>
          <w:rFonts w:ascii="Arial" w:hAnsi="Arial" w:cs="Arial"/>
          <w:b/>
          <w:sz w:val="32"/>
          <w:szCs w:val="32"/>
        </w:rPr>
      </w:pPr>
      <w:r>
        <w:rPr>
          <w:rFonts w:ascii="Arial" w:hAnsi="Arial" w:cs="Arial"/>
          <w:b/>
          <w:sz w:val="32"/>
          <w:szCs w:val="32"/>
        </w:rPr>
        <w:t>②有第三类医疗器械的，应提供有效的医疗器械经营许可证（经营范围包含采购的第三类医疗器械）；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对应竞标产品的名称和规格型号，格式自拟）；</w:t>
      </w:r>
    </w:p>
    <w:p>
      <w:pPr>
        <w:pStyle w:val="28"/>
        <w:pageBreakBefore w:val="0"/>
        <w:kinsoku/>
        <w:wordWrap/>
        <w:overflowPunct/>
        <w:topLinePunct w:val="0"/>
        <w:bidi w:val="0"/>
        <w:spacing w:after="0" w:line="288" w:lineRule="auto"/>
        <w:ind w:left="420" w:leftChars="200" w:firstLine="156" w:firstLineChars="49"/>
        <w:rPr>
          <w:rFonts w:ascii="Arial" w:hAnsi="Arial" w:cs="Arial"/>
          <w:b/>
          <w:sz w:val="32"/>
          <w:szCs w:val="32"/>
        </w:rPr>
      </w:pPr>
      <w:r>
        <w:rPr>
          <w:rFonts w:ascii="Arial" w:hAnsi="Arial" w:cs="Arial"/>
          <w:b/>
          <w:sz w:val="32"/>
          <w:szCs w:val="32"/>
        </w:rPr>
        <w:t xml:space="preserve"> ③有第二类和第三类医疗器械的，应按上述①②要求提供。</w:t>
      </w:r>
    </w:p>
    <w:p>
      <w:pPr>
        <w:pStyle w:val="28"/>
        <w:pageBreakBefore w:val="0"/>
        <w:kinsoku/>
        <w:wordWrap/>
        <w:overflowPunct/>
        <w:topLinePunct w:val="0"/>
        <w:bidi w:val="0"/>
        <w:spacing w:after="0" w:line="288" w:lineRule="auto"/>
        <w:ind w:left="420" w:leftChars="200" w:firstLine="156" w:firstLineChars="49"/>
        <w:rPr>
          <w:rFonts w:ascii="Arial" w:hAnsi="Arial" w:cs="Arial"/>
          <w:b/>
          <w:sz w:val="32"/>
          <w:szCs w:val="32"/>
        </w:rPr>
      </w:pPr>
    </w:p>
    <w:p>
      <w:pPr>
        <w:pStyle w:val="28"/>
        <w:pageBreakBefore w:val="0"/>
        <w:kinsoku/>
        <w:wordWrap/>
        <w:overflowPunct/>
        <w:topLinePunct w:val="0"/>
        <w:bidi w:val="0"/>
        <w:spacing w:after="0" w:line="288" w:lineRule="auto"/>
        <w:ind w:left="420" w:leftChars="200" w:firstLine="156" w:firstLineChars="49"/>
        <w:rPr>
          <w:rFonts w:ascii="Arial" w:hAnsi="Arial" w:cs="Arial"/>
          <w:b/>
          <w:sz w:val="32"/>
          <w:szCs w:val="32"/>
        </w:rPr>
      </w:pPr>
    </w:p>
    <w:p>
      <w:pPr>
        <w:pStyle w:val="28"/>
        <w:pageBreakBefore w:val="0"/>
        <w:kinsoku/>
        <w:wordWrap/>
        <w:overflowPunct/>
        <w:topLinePunct w:val="0"/>
        <w:bidi w:val="0"/>
        <w:spacing w:after="0" w:line="288" w:lineRule="auto"/>
        <w:ind w:left="420" w:leftChars="200" w:firstLine="156" w:firstLineChars="49"/>
        <w:rPr>
          <w:rFonts w:ascii="Arial" w:hAnsi="Arial" w:cs="Arial"/>
          <w:b/>
          <w:sz w:val="32"/>
          <w:szCs w:val="32"/>
        </w:rPr>
      </w:pPr>
    </w:p>
    <w:p>
      <w:pPr>
        <w:pStyle w:val="28"/>
        <w:pageBreakBefore w:val="0"/>
        <w:kinsoku/>
        <w:wordWrap/>
        <w:overflowPunct/>
        <w:topLinePunct w:val="0"/>
        <w:bidi w:val="0"/>
        <w:spacing w:after="0" w:line="288" w:lineRule="auto"/>
        <w:ind w:left="420" w:leftChars="200" w:firstLine="156" w:firstLineChars="49"/>
        <w:rPr>
          <w:rFonts w:ascii="Arial" w:hAnsi="Arial" w:cs="Arial"/>
          <w:b/>
          <w:sz w:val="32"/>
          <w:szCs w:val="32"/>
        </w:rPr>
      </w:pPr>
    </w:p>
    <w:p>
      <w:pPr>
        <w:pStyle w:val="28"/>
        <w:pageBreakBefore w:val="0"/>
        <w:kinsoku/>
        <w:wordWrap/>
        <w:overflowPunct/>
        <w:topLinePunct w:val="0"/>
        <w:bidi w:val="0"/>
        <w:spacing w:after="0" w:line="288" w:lineRule="auto"/>
        <w:ind w:left="420" w:leftChars="200" w:firstLine="156" w:firstLineChars="49"/>
        <w:rPr>
          <w:rFonts w:ascii="Arial" w:hAnsi="Arial" w:cs="Arial"/>
          <w:b/>
          <w:sz w:val="32"/>
          <w:szCs w:val="32"/>
        </w:rPr>
      </w:pPr>
      <w:r>
        <w:rPr>
          <w:rFonts w:hint="eastAsia" w:ascii="Arial" w:hAnsi="Arial" w:cs="Arial"/>
          <w:b/>
          <w:sz w:val="32"/>
          <w:szCs w:val="32"/>
        </w:rPr>
        <w:t>6</w:t>
      </w:r>
      <w:r>
        <w:rPr>
          <w:rFonts w:ascii="Arial" w:hAnsi="Arial" w:cs="Arial"/>
          <w:b/>
          <w:sz w:val="32"/>
          <w:szCs w:val="32"/>
        </w:rPr>
        <w:t>、投标人的法人或者其他组织营业执照等证明文件复印件（必须提供，自然人除外）；</w:t>
      </w:r>
    </w:p>
    <w:p>
      <w:pPr>
        <w:pStyle w:val="28"/>
        <w:pageBreakBefore w:val="0"/>
        <w:kinsoku/>
        <w:wordWrap/>
        <w:overflowPunct/>
        <w:topLinePunct w:val="0"/>
        <w:bidi w:val="0"/>
        <w:spacing w:after="0" w:line="288" w:lineRule="auto"/>
        <w:ind w:firstLine="420"/>
        <w:rPr>
          <w:rFonts w:ascii="Arial" w:hAnsi="Arial" w:cs="Arial"/>
          <w:b/>
          <w:szCs w:val="21"/>
        </w:rPr>
      </w:pPr>
      <w:r>
        <w:rPr>
          <w:rFonts w:ascii="Arial" w:hAnsi="Arial" w:cs="Arial"/>
          <w:b/>
          <w:szCs w:val="21"/>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pPr>
        <w:pageBreakBefore w:val="0"/>
        <w:kinsoku/>
        <w:wordWrap/>
        <w:overflowPunct/>
        <w:topLinePunct w:val="0"/>
        <w:bidi w:val="0"/>
        <w:spacing w:after="0" w:line="288" w:lineRule="auto"/>
        <w:rPr>
          <w:rFonts w:ascii="Arial" w:hAnsi="Arial" w:cs="Arial"/>
          <w:b/>
          <w:szCs w:val="21"/>
        </w:rPr>
      </w:pPr>
      <w:r>
        <w:rPr>
          <w:rFonts w:ascii="Arial" w:hAnsi="Arial" w:cs="Arial"/>
          <w:b/>
          <w:szCs w:val="21"/>
        </w:rPr>
        <w:br w:type="page"/>
      </w:r>
    </w:p>
    <w:p>
      <w:pPr>
        <w:pStyle w:val="28"/>
        <w:pageBreakBefore w:val="0"/>
        <w:kinsoku/>
        <w:wordWrap/>
        <w:overflowPunct/>
        <w:topLinePunct w:val="0"/>
        <w:bidi w:val="0"/>
        <w:spacing w:after="0" w:line="288" w:lineRule="auto"/>
        <w:jc w:val="center"/>
        <w:rPr>
          <w:rFonts w:ascii="Arial" w:hAnsi="Arial" w:cs="Arial"/>
          <w:b/>
          <w:sz w:val="32"/>
          <w:szCs w:val="32"/>
        </w:rPr>
      </w:pPr>
      <w:r>
        <w:rPr>
          <w:rFonts w:ascii="Arial" w:hAnsi="Arial" w:cs="Arial"/>
          <w:b/>
          <w:sz w:val="32"/>
          <w:szCs w:val="32"/>
        </w:rPr>
        <w:t>（三）商务、技术性响应及其他证明材料目录</w:t>
      </w:r>
    </w:p>
    <w:p>
      <w:pPr>
        <w:pStyle w:val="28"/>
        <w:pageBreakBefore w:val="0"/>
        <w:kinsoku/>
        <w:wordWrap/>
        <w:overflowPunct/>
        <w:topLinePunct w:val="0"/>
        <w:bidi w:val="0"/>
        <w:spacing w:after="0" w:line="288" w:lineRule="auto"/>
        <w:jc w:val="center"/>
        <w:rPr>
          <w:rFonts w:ascii="Arial" w:hAnsi="Arial" w:cs="Arial"/>
          <w:b/>
          <w:sz w:val="32"/>
          <w:szCs w:val="32"/>
        </w:rPr>
      </w:pPr>
    </w:p>
    <w:p>
      <w:pPr>
        <w:pageBreakBefore w:val="0"/>
        <w:tabs>
          <w:tab w:val="left" w:pos="1305"/>
        </w:tabs>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（1）技术规格、商务要求偏离表（格式见附件）</w:t>
      </w:r>
      <w:r>
        <w:rPr>
          <w:rFonts w:ascii="Arial" w:hAnsi="Arial" w:cs="Arial"/>
          <w:b/>
          <w:szCs w:val="21"/>
        </w:rPr>
        <w:t>（必须提供）</w:t>
      </w:r>
      <w:r>
        <w:rPr>
          <w:rFonts w:ascii="Arial" w:hAnsi="Arial" w:cs="Arial"/>
          <w:szCs w:val="21"/>
        </w:rPr>
        <w:t>；</w:t>
      </w:r>
    </w:p>
    <w:p>
      <w:pPr>
        <w:pageBreakBefore w:val="0"/>
        <w:tabs>
          <w:tab w:val="left" w:pos="1305"/>
        </w:tabs>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（2）投标人的售后服务承诺书</w:t>
      </w:r>
      <w:r>
        <w:rPr>
          <w:rFonts w:ascii="Arial" w:hAnsi="Arial" w:cs="Arial"/>
          <w:b/>
          <w:szCs w:val="21"/>
        </w:rPr>
        <w:t>（必须提供）；</w:t>
      </w:r>
    </w:p>
    <w:p>
      <w:pPr>
        <w:pageBreakBefore w:val="0"/>
        <w:tabs>
          <w:tab w:val="left" w:pos="1305"/>
        </w:tabs>
        <w:kinsoku/>
        <w:wordWrap/>
        <w:overflowPunct/>
        <w:topLinePunct w:val="0"/>
        <w:bidi w:val="0"/>
        <w:spacing w:after="0" w:line="288" w:lineRule="auto"/>
        <w:ind w:firstLine="420" w:firstLineChars="200"/>
        <w:rPr>
          <w:rFonts w:ascii="Arial" w:hAnsi="Arial" w:cs="Arial"/>
          <w:b/>
          <w:szCs w:val="21"/>
        </w:rPr>
      </w:pPr>
      <w:r>
        <w:rPr>
          <w:rFonts w:ascii="Arial" w:hAnsi="Arial" w:cs="Arial"/>
          <w:szCs w:val="21"/>
        </w:rPr>
        <w:t>（3）项目实施人员一览表 【如有，请提供，并一起提供由县级以上（含县级）社会养老保险经办机构出具的投标人为项目实施人员交纳社保证明复印件】</w:t>
      </w:r>
      <w:r>
        <w:rPr>
          <w:rFonts w:ascii="Arial" w:hAnsi="Arial" w:cs="Arial"/>
          <w:b/>
          <w:szCs w:val="21"/>
        </w:rPr>
        <w:t>；</w:t>
      </w:r>
    </w:p>
    <w:p>
      <w:pPr>
        <w:pageBreakBefore w:val="0"/>
        <w:kinsoku/>
        <w:wordWrap/>
        <w:overflowPunct/>
        <w:topLinePunct w:val="0"/>
        <w:bidi w:val="0"/>
        <w:spacing w:after="0" w:line="288" w:lineRule="auto"/>
        <w:ind w:firstLine="420" w:firstLineChars="200"/>
        <w:rPr>
          <w:rFonts w:ascii="Arial" w:hAnsi="Arial" w:cs="Arial"/>
          <w:b/>
          <w:szCs w:val="21"/>
        </w:rPr>
      </w:pPr>
      <w:r>
        <w:rPr>
          <w:rFonts w:ascii="Arial" w:hAnsi="Arial" w:cs="Arial"/>
          <w:szCs w:val="21"/>
        </w:rPr>
        <w:t>（4）投标人</w:t>
      </w:r>
      <w:r>
        <w:rPr>
          <w:rFonts w:hint="eastAsia" w:ascii="Arial" w:hAnsi="Arial" w:cs="Arial"/>
          <w:szCs w:val="21"/>
        </w:rPr>
        <w:t>2023年度或者2024年度</w:t>
      </w:r>
      <w:r>
        <w:rPr>
          <w:rFonts w:ascii="Arial" w:hAnsi="Arial" w:cs="Arial"/>
          <w:szCs w:val="21"/>
        </w:rPr>
        <w:t>通过中介审计的有效财务审计报告复印件（如有，请提供）；</w:t>
      </w:r>
    </w:p>
    <w:p>
      <w:pPr>
        <w:pageBreakBefore w:val="0"/>
        <w:kinsoku/>
        <w:wordWrap/>
        <w:overflowPunct/>
        <w:topLinePunct w:val="0"/>
        <w:bidi w:val="0"/>
        <w:spacing w:after="0" w:line="288" w:lineRule="auto"/>
        <w:ind w:firstLine="420" w:firstLineChars="200"/>
        <w:rPr>
          <w:rFonts w:ascii="Arial" w:hAnsi="Arial" w:cs="Arial"/>
          <w:b/>
          <w:szCs w:val="21"/>
        </w:rPr>
      </w:pPr>
      <w:r>
        <w:rPr>
          <w:rFonts w:ascii="Arial" w:hAnsi="Arial" w:cs="Arial"/>
          <w:bCs/>
          <w:szCs w:val="21"/>
        </w:rPr>
        <w:t>（5）</w:t>
      </w:r>
      <w:r>
        <w:rPr>
          <w:rFonts w:ascii="Arial" w:hAnsi="Arial" w:cs="Arial"/>
          <w:szCs w:val="21"/>
        </w:rPr>
        <w:t>投标人同类产品销售业绩的相关证明材料(无不良记录，以中标（成交）通知书及相应的销售合同或验收单为准,能清晰反映该项目的项目名称、种类)（如有，请提供）；</w:t>
      </w:r>
    </w:p>
    <w:p>
      <w:pPr>
        <w:pageBreakBefore w:val="0"/>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（6）节能方面的资质证书复印件（如有，请提供）；</w:t>
      </w:r>
    </w:p>
    <w:p>
      <w:pPr>
        <w:pageBreakBefore w:val="0"/>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（7）环保方面的资质证书复印件（如有，请提供）；</w:t>
      </w:r>
    </w:p>
    <w:p>
      <w:pPr>
        <w:pageBreakBefore w:val="0"/>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（8）投标人相关获奖证书、认证证书等复印件；（如有，请提供）；</w:t>
      </w:r>
    </w:p>
    <w:p>
      <w:pPr>
        <w:pageBreakBefore w:val="0"/>
        <w:kinsoku/>
        <w:wordWrap/>
        <w:overflowPunct/>
        <w:topLinePunct w:val="0"/>
        <w:bidi w:val="0"/>
        <w:spacing w:after="0" w:line="288" w:lineRule="auto"/>
        <w:ind w:left="420" w:leftChars="200"/>
        <w:rPr>
          <w:rFonts w:ascii="Arial" w:hAnsi="Arial" w:cs="Arial"/>
          <w:szCs w:val="21"/>
        </w:rPr>
      </w:pPr>
      <w:r>
        <w:rPr>
          <w:rFonts w:ascii="Arial" w:hAnsi="Arial" w:cs="Arial"/>
          <w:szCs w:val="21"/>
        </w:rPr>
        <w:t>（9）“货物采购需求”需提供的有效证明文件；</w:t>
      </w:r>
    </w:p>
    <w:p>
      <w:pPr>
        <w:pageBreakBefore w:val="0"/>
        <w:kinsoku/>
        <w:wordWrap/>
        <w:overflowPunct/>
        <w:topLinePunct w:val="0"/>
        <w:bidi w:val="0"/>
        <w:spacing w:after="0" w:line="288" w:lineRule="auto"/>
        <w:ind w:left="420" w:leftChars="200"/>
        <w:rPr>
          <w:rFonts w:ascii="Arial" w:hAnsi="Arial" w:cs="Arial"/>
          <w:szCs w:val="21"/>
        </w:rPr>
      </w:pPr>
      <w:r>
        <w:rPr>
          <w:rFonts w:ascii="Arial" w:hAnsi="Arial" w:cs="Arial"/>
          <w:szCs w:val="21"/>
        </w:rPr>
        <w:t>（10）</w:t>
      </w:r>
      <w:r>
        <w:rPr>
          <w:rFonts w:ascii="Arial" w:hAnsi="Arial" w:cs="Arial"/>
        </w:rPr>
        <w:t>中小企业声明函（见附件）【如投标人所提供的产品为小、微型企业的产品，中标结果将同时公告企业《中小企业声明函》】（如有，请提供）；</w:t>
      </w:r>
    </w:p>
    <w:p>
      <w:pPr>
        <w:pageBreakBefore w:val="0"/>
        <w:tabs>
          <w:tab w:val="left" w:pos="1305"/>
        </w:tabs>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（11）</w:t>
      </w:r>
      <w:r>
        <w:rPr>
          <w:rFonts w:ascii="Arial" w:hAnsi="Arial" w:cs="Arial"/>
          <w:bCs/>
        </w:rPr>
        <w:t>监狱企业由省级以上监狱管理局、戒毒管理局（含新疆生产建设兵团）出具的属于监狱企业的证明文件</w:t>
      </w:r>
      <w:r>
        <w:rPr>
          <w:rFonts w:ascii="Arial" w:hAnsi="Arial" w:cs="Arial"/>
          <w:b/>
        </w:rPr>
        <w:t>（如有，请提供）</w:t>
      </w:r>
      <w:r>
        <w:rPr>
          <w:rFonts w:ascii="Arial" w:hAnsi="Arial" w:cs="Arial"/>
        </w:rPr>
        <w:t>；</w:t>
      </w:r>
    </w:p>
    <w:p>
      <w:pPr>
        <w:pageBreakBefore w:val="0"/>
        <w:tabs>
          <w:tab w:val="left" w:pos="1305"/>
        </w:tabs>
        <w:kinsoku/>
        <w:wordWrap/>
        <w:overflowPunct/>
        <w:topLinePunct w:val="0"/>
        <w:bidi w:val="0"/>
        <w:spacing w:after="0" w:line="288" w:lineRule="auto"/>
        <w:ind w:firstLine="420" w:firstLineChars="200"/>
        <w:rPr>
          <w:rFonts w:ascii="Arial" w:hAnsi="Arial" w:cs="Arial"/>
          <w:szCs w:val="21"/>
        </w:rPr>
      </w:pPr>
      <w:r>
        <w:rPr>
          <w:rFonts w:ascii="Arial" w:hAnsi="Arial" w:cs="Arial"/>
          <w:szCs w:val="21"/>
        </w:rPr>
        <w:t>（12）</w:t>
      </w:r>
      <w:r>
        <w:rPr>
          <w:rFonts w:ascii="Arial" w:hAnsi="Arial" w:cs="Arial"/>
        </w:rPr>
        <w:t>符合条件的残疾人福利性单位在参加政府采购活动时，应当提供《残疾人福利性单位声明函》（见附件），并对声明的真实性负责。</w:t>
      </w:r>
    </w:p>
    <w:p>
      <w:pPr>
        <w:pageBreakBefore w:val="0"/>
        <w:tabs>
          <w:tab w:val="left" w:pos="1305"/>
        </w:tabs>
        <w:kinsoku/>
        <w:wordWrap/>
        <w:overflowPunct/>
        <w:topLinePunct w:val="0"/>
        <w:bidi w:val="0"/>
        <w:spacing w:after="0" w:line="288" w:lineRule="auto"/>
        <w:ind w:firstLine="420" w:firstLineChars="200"/>
        <w:rPr>
          <w:rFonts w:ascii="Arial" w:hAnsi="Arial" w:cs="Arial"/>
          <w:b/>
          <w:szCs w:val="21"/>
        </w:rPr>
        <w:sectPr>
          <w:headerReference r:id="rId8" w:type="first"/>
          <w:footerReference r:id="rId10" w:type="first"/>
          <w:footerReference r:id="rId9" w:type="default"/>
          <w:pgSz w:w="11906" w:h="16838"/>
          <w:pgMar w:top="1417" w:right="1417" w:bottom="1417" w:left="1417" w:header="720" w:footer="720" w:gutter="0"/>
          <w:pgNumType w:start="1"/>
          <w:cols w:space="720" w:num="1"/>
          <w:titlePg/>
          <w:docGrid w:type="linesAndChars" w:linePitch="331" w:charSpace="0"/>
        </w:sectPr>
      </w:pPr>
      <w:r>
        <w:rPr>
          <w:rFonts w:ascii="Arial" w:hAnsi="Arial" w:cs="Arial"/>
          <w:szCs w:val="21"/>
        </w:rPr>
        <w:t>（13）投标人可结合本项目的评标办法视自身情况自行提交相关证明材料。</w:t>
      </w:r>
    </w:p>
    <w:p>
      <w:pPr>
        <w:pStyle w:val="28"/>
        <w:pageBreakBefore w:val="0"/>
        <w:kinsoku/>
        <w:wordWrap/>
        <w:overflowPunct/>
        <w:topLinePunct w:val="0"/>
        <w:bidi w:val="0"/>
        <w:spacing w:after="0" w:line="288" w:lineRule="auto"/>
        <w:rPr>
          <w:rFonts w:ascii="Arial" w:hAnsi="Arial" w:cs="Arial"/>
          <w:b/>
          <w:sz w:val="32"/>
          <w:szCs w:val="32"/>
        </w:rPr>
      </w:pPr>
      <w:r>
        <w:rPr>
          <w:rFonts w:ascii="Arial" w:hAnsi="Arial" w:cs="Arial"/>
          <w:b/>
          <w:sz w:val="32"/>
          <w:szCs w:val="32"/>
        </w:rPr>
        <w:t>1、技术规格、商务要求偏离表（格式见附件）（必须提供）</w:t>
      </w:r>
    </w:p>
    <w:p>
      <w:pPr>
        <w:pStyle w:val="28"/>
        <w:pageBreakBefore w:val="0"/>
        <w:kinsoku/>
        <w:wordWrap/>
        <w:overflowPunct/>
        <w:topLinePunct w:val="0"/>
        <w:bidi w:val="0"/>
        <w:spacing w:after="0" w:line="288" w:lineRule="auto"/>
        <w:ind w:firstLine="472" w:firstLineChars="147"/>
        <w:rPr>
          <w:rFonts w:ascii="Arial" w:hAnsi="Arial" w:cs="Arial"/>
          <w:b/>
          <w:sz w:val="24"/>
          <w:szCs w:val="24"/>
        </w:rPr>
      </w:pPr>
      <w:r>
        <w:rPr>
          <w:rFonts w:ascii="Arial" w:hAnsi="Arial" w:cs="Arial"/>
          <w:b/>
          <w:bCs/>
          <w:sz w:val="32"/>
          <w:szCs w:val="32"/>
        </w:rPr>
        <w:t xml:space="preserve">附件： </w:t>
      </w:r>
    </w:p>
    <w:p>
      <w:pPr>
        <w:pStyle w:val="28"/>
        <w:pageBreakBefore w:val="0"/>
        <w:kinsoku/>
        <w:wordWrap/>
        <w:overflowPunct/>
        <w:topLinePunct w:val="0"/>
        <w:bidi w:val="0"/>
        <w:spacing w:after="0" w:line="288" w:lineRule="auto"/>
        <w:ind w:firstLine="472" w:firstLineChars="147"/>
        <w:jc w:val="center"/>
        <w:rPr>
          <w:rFonts w:ascii="Arial" w:hAnsi="Arial" w:cs="Arial"/>
          <w:b/>
          <w:bCs/>
          <w:sz w:val="32"/>
        </w:rPr>
      </w:pPr>
      <w:r>
        <w:rPr>
          <w:rFonts w:ascii="Arial" w:hAnsi="Arial" w:cs="Arial"/>
          <w:b/>
          <w:bCs/>
          <w:sz w:val="32"/>
        </w:rPr>
        <w:t>技术规格、商务要求偏离表（格式）</w:t>
      </w:r>
    </w:p>
    <w:p>
      <w:pPr>
        <w:pStyle w:val="28"/>
        <w:pageBreakBefore w:val="0"/>
        <w:kinsoku/>
        <w:wordWrap/>
        <w:overflowPunct/>
        <w:topLinePunct w:val="0"/>
        <w:bidi w:val="0"/>
        <w:spacing w:after="0" w:line="288" w:lineRule="auto"/>
        <w:ind w:firstLine="422" w:firstLineChars="200"/>
        <w:rPr>
          <w:rFonts w:ascii="Arial" w:hAnsi="Arial" w:cs="Arial"/>
          <w:b/>
          <w:bCs/>
        </w:rPr>
      </w:pPr>
      <w:r>
        <w:rPr>
          <w:rFonts w:ascii="Arial" w:hAnsi="Arial" w:cs="Arial"/>
          <w:b/>
          <w:bCs/>
        </w:rPr>
        <w:t>分标：</w:t>
      </w:r>
    </w:p>
    <w:tbl>
      <w:tblPr>
        <w:tblStyle w:val="49"/>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766"/>
        <w:gridCol w:w="3022"/>
        <w:gridCol w:w="2264"/>
        <w:gridCol w:w="1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54" w:type="dxa"/>
            <w:vAlign w:val="center"/>
          </w:tcPr>
          <w:p>
            <w:pPr>
              <w:pStyle w:val="28"/>
              <w:pageBreakBefore w:val="0"/>
              <w:kinsoku/>
              <w:wordWrap/>
              <w:overflowPunct/>
              <w:topLinePunct w:val="0"/>
              <w:bidi w:val="0"/>
              <w:spacing w:after="0" w:line="288" w:lineRule="auto"/>
              <w:jc w:val="center"/>
              <w:rPr>
                <w:rFonts w:ascii="Arial" w:hAnsi="Arial" w:cs="Arial"/>
                <w:szCs w:val="24"/>
              </w:rPr>
            </w:pPr>
            <w:r>
              <w:rPr>
                <w:rFonts w:ascii="Arial" w:hAnsi="Arial" w:cs="Arial"/>
                <w:szCs w:val="24"/>
              </w:rPr>
              <w:t>项号</w:t>
            </w:r>
          </w:p>
        </w:tc>
        <w:tc>
          <w:tcPr>
            <w:tcW w:w="1766" w:type="dxa"/>
            <w:vAlign w:val="center"/>
          </w:tcPr>
          <w:p>
            <w:pPr>
              <w:pStyle w:val="28"/>
              <w:pageBreakBefore w:val="0"/>
              <w:kinsoku/>
              <w:wordWrap/>
              <w:overflowPunct/>
              <w:topLinePunct w:val="0"/>
              <w:bidi w:val="0"/>
              <w:spacing w:after="0" w:line="288" w:lineRule="auto"/>
              <w:jc w:val="center"/>
              <w:rPr>
                <w:rFonts w:ascii="Arial" w:hAnsi="Arial" w:cs="Arial"/>
                <w:szCs w:val="24"/>
              </w:rPr>
            </w:pPr>
            <w:r>
              <w:rPr>
                <w:rFonts w:ascii="Arial" w:hAnsi="Arial" w:cs="Arial"/>
                <w:szCs w:val="24"/>
              </w:rPr>
              <w:t>货物名称</w:t>
            </w:r>
          </w:p>
        </w:tc>
        <w:tc>
          <w:tcPr>
            <w:tcW w:w="3022" w:type="dxa"/>
            <w:vAlign w:val="center"/>
          </w:tcPr>
          <w:p>
            <w:pPr>
              <w:pStyle w:val="28"/>
              <w:pageBreakBefore w:val="0"/>
              <w:kinsoku/>
              <w:wordWrap/>
              <w:overflowPunct/>
              <w:topLinePunct w:val="0"/>
              <w:bidi w:val="0"/>
              <w:spacing w:after="0" w:line="288" w:lineRule="auto"/>
              <w:jc w:val="center"/>
              <w:rPr>
                <w:rFonts w:ascii="Arial" w:hAnsi="Arial" w:cs="Arial"/>
                <w:szCs w:val="24"/>
              </w:rPr>
            </w:pPr>
            <w:bookmarkStart w:id="52" w:name="_Toc254970559"/>
            <w:bookmarkStart w:id="53" w:name="_Toc254970700"/>
            <w:r>
              <w:rPr>
                <w:rFonts w:ascii="Arial" w:hAnsi="Arial" w:cs="Arial"/>
                <w:szCs w:val="24"/>
              </w:rPr>
              <w:t>招标采购需求</w:t>
            </w:r>
            <w:bookmarkEnd w:id="52"/>
            <w:bookmarkEnd w:id="53"/>
          </w:p>
        </w:tc>
        <w:tc>
          <w:tcPr>
            <w:tcW w:w="2264" w:type="dxa"/>
            <w:vAlign w:val="center"/>
          </w:tcPr>
          <w:p>
            <w:pPr>
              <w:pStyle w:val="28"/>
              <w:pageBreakBefore w:val="0"/>
              <w:kinsoku/>
              <w:wordWrap/>
              <w:overflowPunct/>
              <w:topLinePunct w:val="0"/>
              <w:bidi w:val="0"/>
              <w:spacing w:after="0" w:line="288" w:lineRule="auto"/>
              <w:jc w:val="center"/>
              <w:rPr>
                <w:rFonts w:ascii="Arial" w:hAnsi="Arial" w:cs="Arial"/>
                <w:szCs w:val="24"/>
              </w:rPr>
            </w:pPr>
            <w:r>
              <w:rPr>
                <w:rFonts w:ascii="Arial" w:hAnsi="Arial" w:cs="Arial"/>
                <w:szCs w:val="24"/>
              </w:rPr>
              <w:t>投标文件的响应情况</w:t>
            </w:r>
          </w:p>
        </w:tc>
        <w:tc>
          <w:tcPr>
            <w:tcW w:w="1822" w:type="dxa"/>
            <w:vAlign w:val="center"/>
          </w:tcPr>
          <w:p>
            <w:pPr>
              <w:pStyle w:val="28"/>
              <w:pageBreakBefore w:val="0"/>
              <w:kinsoku/>
              <w:wordWrap/>
              <w:overflowPunct/>
              <w:topLinePunct w:val="0"/>
              <w:bidi w:val="0"/>
              <w:spacing w:after="0" w:line="288" w:lineRule="auto"/>
              <w:jc w:val="center"/>
              <w:rPr>
                <w:rFonts w:ascii="Arial" w:hAnsi="Arial" w:cs="Arial"/>
                <w:szCs w:val="24"/>
              </w:rPr>
            </w:pPr>
            <w:bookmarkStart w:id="54" w:name="_Toc254970560"/>
            <w:bookmarkStart w:id="55" w:name="_Toc254970701"/>
            <w:r>
              <w:rPr>
                <w:rFonts w:ascii="Arial" w:hAnsi="Arial" w:cs="Arial"/>
                <w:szCs w:val="24"/>
              </w:rPr>
              <w:t>偏离情况</w:t>
            </w:r>
            <w:bookmarkEnd w:id="54"/>
            <w:bookmarkEnd w:id="55"/>
            <w:r>
              <w:rPr>
                <w:rFonts w:ascii="Arial" w:hAnsi="Arial" w:cs="Arial"/>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528" w:type="dxa"/>
            <w:gridSpan w:val="5"/>
            <w:vAlign w:val="center"/>
          </w:tcPr>
          <w:p>
            <w:pPr>
              <w:pStyle w:val="28"/>
              <w:pageBreakBefore w:val="0"/>
              <w:kinsoku/>
              <w:wordWrap/>
              <w:overflowPunct/>
              <w:topLinePunct w:val="0"/>
              <w:bidi w:val="0"/>
              <w:spacing w:after="0" w:line="288" w:lineRule="auto"/>
              <w:jc w:val="left"/>
              <w:rPr>
                <w:rFonts w:ascii="Arial" w:hAnsi="Arial" w:cs="Arial"/>
                <w:szCs w:val="24"/>
              </w:rPr>
            </w:pPr>
            <w:r>
              <w:rPr>
                <w:rFonts w:ascii="Arial" w:hAnsi="Arial" w:cs="Arial"/>
                <w:szCs w:val="24"/>
              </w:rPr>
              <w:t>技术规格响应情况：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54" w:type="dxa"/>
            <w:vAlign w:val="center"/>
          </w:tcPr>
          <w:p>
            <w:pPr>
              <w:pStyle w:val="28"/>
              <w:pageBreakBefore w:val="0"/>
              <w:kinsoku/>
              <w:wordWrap/>
              <w:overflowPunct/>
              <w:topLinePunct w:val="0"/>
              <w:bidi w:val="0"/>
              <w:spacing w:after="0" w:line="288" w:lineRule="auto"/>
              <w:jc w:val="center"/>
              <w:rPr>
                <w:rFonts w:ascii="Arial" w:hAnsi="Arial" w:cs="Arial"/>
                <w:szCs w:val="24"/>
              </w:rPr>
            </w:pPr>
            <w:r>
              <w:rPr>
                <w:rFonts w:ascii="Arial" w:hAnsi="Arial" w:cs="Arial"/>
                <w:szCs w:val="24"/>
              </w:rPr>
              <w:t>1</w:t>
            </w:r>
          </w:p>
        </w:tc>
        <w:tc>
          <w:tcPr>
            <w:tcW w:w="1766" w:type="dxa"/>
            <w:vAlign w:val="center"/>
          </w:tcPr>
          <w:p>
            <w:pPr>
              <w:pStyle w:val="28"/>
              <w:pageBreakBefore w:val="0"/>
              <w:kinsoku/>
              <w:wordWrap/>
              <w:overflowPunct/>
              <w:topLinePunct w:val="0"/>
              <w:bidi w:val="0"/>
              <w:spacing w:after="0" w:line="288" w:lineRule="auto"/>
              <w:jc w:val="center"/>
              <w:rPr>
                <w:rFonts w:ascii="Arial" w:hAnsi="Arial" w:cs="Arial"/>
                <w:szCs w:val="24"/>
              </w:rPr>
            </w:pPr>
          </w:p>
        </w:tc>
        <w:tc>
          <w:tcPr>
            <w:tcW w:w="3022" w:type="dxa"/>
            <w:vAlign w:val="center"/>
          </w:tcPr>
          <w:p>
            <w:pPr>
              <w:pStyle w:val="28"/>
              <w:pageBreakBefore w:val="0"/>
              <w:kinsoku/>
              <w:wordWrap/>
              <w:overflowPunct/>
              <w:topLinePunct w:val="0"/>
              <w:bidi w:val="0"/>
              <w:spacing w:after="0" w:line="288" w:lineRule="auto"/>
              <w:jc w:val="center"/>
              <w:rPr>
                <w:rFonts w:ascii="Arial" w:hAnsi="Arial" w:cs="Arial"/>
                <w:szCs w:val="24"/>
              </w:rPr>
            </w:pPr>
          </w:p>
        </w:tc>
        <w:tc>
          <w:tcPr>
            <w:tcW w:w="2264" w:type="dxa"/>
            <w:vAlign w:val="center"/>
          </w:tcPr>
          <w:p>
            <w:pPr>
              <w:pStyle w:val="28"/>
              <w:pageBreakBefore w:val="0"/>
              <w:kinsoku/>
              <w:wordWrap/>
              <w:overflowPunct/>
              <w:topLinePunct w:val="0"/>
              <w:bidi w:val="0"/>
              <w:spacing w:after="0" w:line="288" w:lineRule="auto"/>
              <w:jc w:val="center"/>
              <w:rPr>
                <w:rFonts w:ascii="Arial" w:hAnsi="Arial" w:cs="Arial"/>
                <w:szCs w:val="24"/>
              </w:rPr>
            </w:pPr>
          </w:p>
        </w:tc>
        <w:tc>
          <w:tcPr>
            <w:tcW w:w="1822" w:type="dxa"/>
            <w:vAlign w:val="center"/>
          </w:tcPr>
          <w:p>
            <w:pPr>
              <w:pStyle w:val="28"/>
              <w:pageBreakBefore w:val="0"/>
              <w:kinsoku/>
              <w:wordWrap/>
              <w:overflowPunct/>
              <w:topLinePunct w:val="0"/>
              <w:bidi w:val="0"/>
              <w:spacing w:after="0" w:line="288" w:lineRule="auto"/>
              <w:jc w:val="center"/>
              <w:rPr>
                <w:rFonts w:ascii="Arial" w:hAnsi="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54" w:type="dxa"/>
          </w:tcPr>
          <w:p>
            <w:pPr>
              <w:pStyle w:val="28"/>
              <w:pageBreakBefore w:val="0"/>
              <w:kinsoku/>
              <w:wordWrap/>
              <w:overflowPunct/>
              <w:topLinePunct w:val="0"/>
              <w:bidi w:val="0"/>
              <w:spacing w:after="0" w:line="288" w:lineRule="auto"/>
              <w:jc w:val="center"/>
              <w:rPr>
                <w:rFonts w:ascii="Arial" w:hAnsi="Arial" w:cs="Arial"/>
                <w:szCs w:val="24"/>
              </w:rPr>
            </w:pPr>
            <w:r>
              <w:rPr>
                <w:rFonts w:ascii="Arial" w:hAnsi="Arial" w:cs="Arial"/>
                <w:szCs w:val="24"/>
              </w:rPr>
              <w:t>…</w:t>
            </w:r>
          </w:p>
        </w:tc>
        <w:tc>
          <w:tcPr>
            <w:tcW w:w="1766" w:type="dxa"/>
            <w:vAlign w:val="center"/>
          </w:tcPr>
          <w:p>
            <w:pPr>
              <w:pStyle w:val="28"/>
              <w:pageBreakBefore w:val="0"/>
              <w:kinsoku/>
              <w:wordWrap/>
              <w:overflowPunct/>
              <w:topLinePunct w:val="0"/>
              <w:bidi w:val="0"/>
              <w:spacing w:after="0" w:line="288" w:lineRule="auto"/>
              <w:jc w:val="center"/>
              <w:rPr>
                <w:rFonts w:ascii="Arial" w:hAnsi="Arial" w:cs="Arial"/>
                <w:szCs w:val="24"/>
              </w:rPr>
            </w:pPr>
          </w:p>
        </w:tc>
        <w:tc>
          <w:tcPr>
            <w:tcW w:w="3022" w:type="dxa"/>
            <w:vAlign w:val="center"/>
          </w:tcPr>
          <w:p>
            <w:pPr>
              <w:pStyle w:val="28"/>
              <w:pageBreakBefore w:val="0"/>
              <w:kinsoku/>
              <w:wordWrap/>
              <w:overflowPunct/>
              <w:topLinePunct w:val="0"/>
              <w:bidi w:val="0"/>
              <w:spacing w:after="0" w:line="288" w:lineRule="auto"/>
              <w:jc w:val="center"/>
              <w:rPr>
                <w:rFonts w:ascii="Arial" w:hAnsi="Arial" w:cs="Arial"/>
                <w:szCs w:val="24"/>
              </w:rPr>
            </w:pPr>
          </w:p>
        </w:tc>
        <w:tc>
          <w:tcPr>
            <w:tcW w:w="2264" w:type="dxa"/>
            <w:vAlign w:val="center"/>
          </w:tcPr>
          <w:p>
            <w:pPr>
              <w:pStyle w:val="28"/>
              <w:pageBreakBefore w:val="0"/>
              <w:kinsoku/>
              <w:wordWrap/>
              <w:overflowPunct/>
              <w:topLinePunct w:val="0"/>
              <w:bidi w:val="0"/>
              <w:spacing w:after="0" w:line="288" w:lineRule="auto"/>
              <w:jc w:val="center"/>
              <w:rPr>
                <w:rFonts w:ascii="Arial" w:hAnsi="Arial" w:cs="Arial"/>
                <w:szCs w:val="24"/>
              </w:rPr>
            </w:pPr>
          </w:p>
        </w:tc>
        <w:tc>
          <w:tcPr>
            <w:tcW w:w="1822" w:type="dxa"/>
            <w:vAlign w:val="center"/>
          </w:tcPr>
          <w:p>
            <w:pPr>
              <w:pStyle w:val="28"/>
              <w:pageBreakBefore w:val="0"/>
              <w:kinsoku/>
              <w:wordWrap/>
              <w:overflowPunct/>
              <w:topLinePunct w:val="0"/>
              <w:bidi w:val="0"/>
              <w:spacing w:after="0" w:line="288" w:lineRule="auto"/>
              <w:jc w:val="center"/>
              <w:rPr>
                <w:rFonts w:ascii="Arial" w:hAnsi="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528" w:type="dxa"/>
            <w:gridSpan w:val="5"/>
          </w:tcPr>
          <w:p>
            <w:pPr>
              <w:pStyle w:val="28"/>
              <w:pageBreakBefore w:val="0"/>
              <w:kinsoku/>
              <w:wordWrap/>
              <w:overflowPunct/>
              <w:topLinePunct w:val="0"/>
              <w:bidi w:val="0"/>
              <w:spacing w:after="0" w:line="288" w:lineRule="auto"/>
              <w:rPr>
                <w:rFonts w:ascii="Arial" w:hAnsi="Arial" w:cs="Arial"/>
                <w:szCs w:val="24"/>
              </w:rPr>
            </w:pPr>
            <w:r>
              <w:rPr>
                <w:rFonts w:hint="eastAsia" w:ascii="Arial" w:hAnsi="Arial" w:cs="Arial"/>
                <w:szCs w:val="24"/>
              </w:rPr>
              <w:t>技术要求响应情况（如有）：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54" w:type="dxa"/>
          </w:tcPr>
          <w:p>
            <w:pPr>
              <w:pStyle w:val="28"/>
              <w:pageBreakBefore w:val="0"/>
              <w:kinsoku/>
              <w:wordWrap/>
              <w:overflowPunct/>
              <w:topLinePunct w:val="0"/>
              <w:bidi w:val="0"/>
              <w:spacing w:after="0" w:line="288" w:lineRule="auto"/>
              <w:jc w:val="center"/>
              <w:rPr>
                <w:rFonts w:ascii="Arial" w:hAnsi="Arial" w:cs="Arial"/>
                <w:szCs w:val="24"/>
              </w:rPr>
            </w:pPr>
            <w:r>
              <w:rPr>
                <w:rFonts w:hint="eastAsia" w:ascii="Arial" w:hAnsi="Arial" w:cs="Arial"/>
                <w:szCs w:val="24"/>
              </w:rPr>
              <w:t>1</w:t>
            </w:r>
          </w:p>
        </w:tc>
        <w:tc>
          <w:tcPr>
            <w:tcW w:w="1766" w:type="dxa"/>
            <w:vAlign w:val="center"/>
          </w:tcPr>
          <w:p>
            <w:pPr>
              <w:pStyle w:val="28"/>
              <w:pageBreakBefore w:val="0"/>
              <w:kinsoku/>
              <w:wordWrap/>
              <w:overflowPunct/>
              <w:topLinePunct w:val="0"/>
              <w:bidi w:val="0"/>
              <w:spacing w:after="0" w:line="288" w:lineRule="auto"/>
              <w:jc w:val="center"/>
              <w:rPr>
                <w:rFonts w:ascii="Arial" w:hAnsi="Arial" w:cs="Arial"/>
                <w:szCs w:val="24"/>
              </w:rPr>
            </w:pPr>
          </w:p>
        </w:tc>
        <w:tc>
          <w:tcPr>
            <w:tcW w:w="3022" w:type="dxa"/>
            <w:vAlign w:val="center"/>
          </w:tcPr>
          <w:p>
            <w:pPr>
              <w:pStyle w:val="28"/>
              <w:pageBreakBefore w:val="0"/>
              <w:kinsoku/>
              <w:wordWrap/>
              <w:overflowPunct/>
              <w:topLinePunct w:val="0"/>
              <w:bidi w:val="0"/>
              <w:spacing w:after="0" w:line="288" w:lineRule="auto"/>
              <w:jc w:val="center"/>
              <w:rPr>
                <w:rFonts w:ascii="Arial" w:hAnsi="Arial" w:cs="Arial"/>
                <w:szCs w:val="24"/>
              </w:rPr>
            </w:pPr>
          </w:p>
        </w:tc>
        <w:tc>
          <w:tcPr>
            <w:tcW w:w="2264" w:type="dxa"/>
            <w:vAlign w:val="center"/>
          </w:tcPr>
          <w:p>
            <w:pPr>
              <w:pStyle w:val="28"/>
              <w:pageBreakBefore w:val="0"/>
              <w:kinsoku/>
              <w:wordWrap/>
              <w:overflowPunct/>
              <w:topLinePunct w:val="0"/>
              <w:bidi w:val="0"/>
              <w:spacing w:after="0" w:line="288" w:lineRule="auto"/>
              <w:jc w:val="center"/>
              <w:rPr>
                <w:rFonts w:ascii="Arial" w:hAnsi="Arial" w:cs="Arial"/>
                <w:szCs w:val="24"/>
              </w:rPr>
            </w:pPr>
          </w:p>
        </w:tc>
        <w:tc>
          <w:tcPr>
            <w:tcW w:w="1822" w:type="dxa"/>
            <w:vAlign w:val="center"/>
          </w:tcPr>
          <w:p>
            <w:pPr>
              <w:pStyle w:val="28"/>
              <w:pageBreakBefore w:val="0"/>
              <w:kinsoku/>
              <w:wordWrap/>
              <w:overflowPunct/>
              <w:topLinePunct w:val="0"/>
              <w:bidi w:val="0"/>
              <w:spacing w:after="0" w:line="288" w:lineRule="auto"/>
              <w:jc w:val="center"/>
              <w:rPr>
                <w:rFonts w:ascii="Arial" w:hAnsi="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54" w:type="dxa"/>
          </w:tcPr>
          <w:p>
            <w:pPr>
              <w:pStyle w:val="28"/>
              <w:pageBreakBefore w:val="0"/>
              <w:kinsoku/>
              <w:wordWrap/>
              <w:overflowPunct/>
              <w:topLinePunct w:val="0"/>
              <w:bidi w:val="0"/>
              <w:spacing w:after="0" w:line="288" w:lineRule="auto"/>
              <w:jc w:val="center"/>
              <w:rPr>
                <w:rFonts w:ascii="Arial" w:hAnsi="Arial" w:cs="Arial"/>
                <w:szCs w:val="24"/>
              </w:rPr>
            </w:pPr>
            <w:r>
              <w:rPr>
                <w:rFonts w:ascii="Arial" w:hAnsi="Arial" w:cs="Arial"/>
                <w:szCs w:val="24"/>
              </w:rPr>
              <w:t>…</w:t>
            </w:r>
          </w:p>
        </w:tc>
        <w:tc>
          <w:tcPr>
            <w:tcW w:w="1766" w:type="dxa"/>
            <w:vAlign w:val="center"/>
          </w:tcPr>
          <w:p>
            <w:pPr>
              <w:pStyle w:val="28"/>
              <w:pageBreakBefore w:val="0"/>
              <w:kinsoku/>
              <w:wordWrap/>
              <w:overflowPunct/>
              <w:topLinePunct w:val="0"/>
              <w:bidi w:val="0"/>
              <w:spacing w:after="0" w:line="288" w:lineRule="auto"/>
              <w:jc w:val="center"/>
              <w:rPr>
                <w:rFonts w:ascii="Arial" w:hAnsi="Arial" w:cs="Arial"/>
                <w:szCs w:val="24"/>
              </w:rPr>
            </w:pPr>
          </w:p>
        </w:tc>
        <w:tc>
          <w:tcPr>
            <w:tcW w:w="3022" w:type="dxa"/>
            <w:vAlign w:val="center"/>
          </w:tcPr>
          <w:p>
            <w:pPr>
              <w:pStyle w:val="28"/>
              <w:pageBreakBefore w:val="0"/>
              <w:kinsoku/>
              <w:wordWrap/>
              <w:overflowPunct/>
              <w:topLinePunct w:val="0"/>
              <w:bidi w:val="0"/>
              <w:spacing w:after="0" w:line="288" w:lineRule="auto"/>
              <w:jc w:val="center"/>
              <w:rPr>
                <w:rFonts w:ascii="Arial" w:hAnsi="Arial" w:cs="Arial"/>
                <w:szCs w:val="24"/>
              </w:rPr>
            </w:pPr>
          </w:p>
        </w:tc>
        <w:tc>
          <w:tcPr>
            <w:tcW w:w="2264" w:type="dxa"/>
            <w:vAlign w:val="center"/>
          </w:tcPr>
          <w:p>
            <w:pPr>
              <w:pStyle w:val="28"/>
              <w:pageBreakBefore w:val="0"/>
              <w:kinsoku/>
              <w:wordWrap/>
              <w:overflowPunct/>
              <w:topLinePunct w:val="0"/>
              <w:bidi w:val="0"/>
              <w:spacing w:after="0" w:line="288" w:lineRule="auto"/>
              <w:jc w:val="center"/>
              <w:rPr>
                <w:rFonts w:ascii="Arial" w:hAnsi="Arial" w:cs="Arial"/>
                <w:szCs w:val="24"/>
              </w:rPr>
            </w:pPr>
          </w:p>
        </w:tc>
        <w:tc>
          <w:tcPr>
            <w:tcW w:w="1822" w:type="dxa"/>
            <w:vAlign w:val="center"/>
          </w:tcPr>
          <w:p>
            <w:pPr>
              <w:pStyle w:val="28"/>
              <w:pageBreakBefore w:val="0"/>
              <w:kinsoku/>
              <w:wordWrap/>
              <w:overflowPunct/>
              <w:topLinePunct w:val="0"/>
              <w:bidi w:val="0"/>
              <w:spacing w:after="0" w:line="288" w:lineRule="auto"/>
              <w:jc w:val="center"/>
              <w:rPr>
                <w:rFonts w:ascii="Arial" w:hAnsi="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528" w:type="dxa"/>
            <w:gridSpan w:val="5"/>
          </w:tcPr>
          <w:p>
            <w:pPr>
              <w:pStyle w:val="28"/>
              <w:pageBreakBefore w:val="0"/>
              <w:kinsoku/>
              <w:wordWrap/>
              <w:overflowPunct/>
              <w:topLinePunct w:val="0"/>
              <w:bidi w:val="0"/>
              <w:spacing w:after="0" w:line="288" w:lineRule="auto"/>
              <w:rPr>
                <w:rFonts w:ascii="Arial" w:hAnsi="Arial" w:cs="Arial"/>
                <w:szCs w:val="24"/>
              </w:rPr>
            </w:pPr>
            <w:r>
              <w:rPr>
                <w:rFonts w:ascii="Arial" w:hAnsi="Arial" w:cs="Arial"/>
                <w:szCs w:val="24"/>
              </w:rPr>
              <w:t>商务要求响应情况：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420" w:type="dxa"/>
            <w:gridSpan w:val="2"/>
            <w:vAlign w:val="center"/>
          </w:tcPr>
          <w:p>
            <w:pPr>
              <w:pStyle w:val="28"/>
              <w:pageBreakBefore w:val="0"/>
              <w:kinsoku/>
              <w:wordWrap/>
              <w:overflowPunct/>
              <w:topLinePunct w:val="0"/>
              <w:bidi w:val="0"/>
              <w:spacing w:after="0" w:line="288" w:lineRule="auto"/>
              <w:jc w:val="center"/>
              <w:rPr>
                <w:rFonts w:ascii="Arial" w:hAnsi="Arial" w:cs="Arial"/>
                <w:szCs w:val="24"/>
              </w:rPr>
            </w:pPr>
            <w:r>
              <w:rPr>
                <w:rFonts w:ascii="Arial" w:hAnsi="Arial" w:cs="Arial"/>
                <w:kern w:val="0"/>
                <w:szCs w:val="21"/>
              </w:rPr>
              <w:t>售后服务要求及保修期</w:t>
            </w:r>
          </w:p>
        </w:tc>
        <w:tc>
          <w:tcPr>
            <w:tcW w:w="3022" w:type="dxa"/>
          </w:tcPr>
          <w:p>
            <w:pPr>
              <w:pStyle w:val="28"/>
              <w:pageBreakBefore w:val="0"/>
              <w:kinsoku/>
              <w:wordWrap/>
              <w:overflowPunct/>
              <w:topLinePunct w:val="0"/>
              <w:bidi w:val="0"/>
              <w:spacing w:after="0" w:line="288" w:lineRule="auto"/>
              <w:rPr>
                <w:rFonts w:ascii="Arial" w:hAnsi="Arial" w:cs="Arial"/>
                <w:szCs w:val="24"/>
              </w:rPr>
            </w:pPr>
          </w:p>
        </w:tc>
        <w:tc>
          <w:tcPr>
            <w:tcW w:w="2264" w:type="dxa"/>
          </w:tcPr>
          <w:p>
            <w:pPr>
              <w:pStyle w:val="28"/>
              <w:pageBreakBefore w:val="0"/>
              <w:kinsoku/>
              <w:wordWrap/>
              <w:overflowPunct/>
              <w:topLinePunct w:val="0"/>
              <w:bidi w:val="0"/>
              <w:spacing w:after="0" w:line="288" w:lineRule="auto"/>
              <w:rPr>
                <w:rFonts w:ascii="Arial" w:hAnsi="Arial" w:cs="Arial"/>
                <w:szCs w:val="24"/>
              </w:rPr>
            </w:pPr>
          </w:p>
        </w:tc>
        <w:tc>
          <w:tcPr>
            <w:tcW w:w="1822" w:type="dxa"/>
          </w:tcPr>
          <w:p>
            <w:pPr>
              <w:pStyle w:val="28"/>
              <w:pageBreakBefore w:val="0"/>
              <w:kinsoku/>
              <w:wordWrap/>
              <w:overflowPunct/>
              <w:topLinePunct w:val="0"/>
              <w:bidi w:val="0"/>
              <w:spacing w:after="0" w:line="288" w:lineRule="auto"/>
              <w:rPr>
                <w:rFonts w:ascii="Arial" w:hAnsi="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420" w:type="dxa"/>
            <w:gridSpan w:val="2"/>
            <w:vAlign w:val="center"/>
          </w:tcPr>
          <w:p>
            <w:pPr>
              <w:pageBreakBefore w:val="0"/>
              <w:widowControl/>
              <w:kinsoku/>
              <w:wordWrap/>
              <w:overflowPunct/>
              <w:topLinePunct w:val="0"/>
              <w:bidi w:val="0"/>
              <w:spacing w:after="0" w:line="288" w:lineRule="auto"/>
              <w:jc w:val="center"/>
              <w:rPr>
                <w:rFonts w:ascii="Arial" w:hAnsi="Arial" w:cs="Arial"/>
                <w:kern w:val="0"/>
                <w:szCs w:val="21"/>
              </w:rPr>
            </w:pPr>
            <w:r>
              <w:rPr>
                <w:rFonts w:ascii="Arial" w:hAnsi="Arial" w:cs="Arial"/>
                <w:kern w:val="0"/>
                <w:szCs w:val="21"/>
              </w:rPr>
              <w:t>交付使用时间</w:t>
            </w:r>
          </w:p>
          <w:p>
            <w:pPr>
              <w:pStyle w:val="28"/>
              <w:pageBreakBefore w:val="0"/>
              <w:kinsoku/>
              <w:wordWrap/>
              <w:overflowPunct/>
              <w:topLinePunct w:val="0"/>
              <w:bidi w:val="0"/>
              <w:spacing w:after="0" w:line="288" w:lineRule="auto"/>
              <w:jc w:val="center"/>
              <w:rPr>
                <w:rFonts w:ascii="Arial" w:hAnsi="Arial" w:cs="Arial"/>
                <w:kern w:val="0"/>
                <w:szCs w:val="21"/>
              </w:rPr>
            </w:pPr>
            <w:r>
              <w:rPr>
                <w:rFonts w:ascii="Arial" w:hAnsi="Arial" w:cs="Arial"/>
                <w:kern w:val="0"/>
                <w:szCs w:val="21"/>
              </w:rPr>
              <w:t>及地点</w:t>
            </w:r>
          </w:p>
        </w:tc>
        <w:tc>
          <w:tcPr>
            <w:tcW w:w="3022" w:type="dxa"/>
          </w:tcPr>
          <w:p>
            <w:pPr>
              <w:pStyle w:val="28"/>
              <w:pageBreakBefore w:val="0"/>
              <w:kinsoku/>
              <w:wordWrap/>
              <w:overflowPunct/>
              <w:topLinePunct w:val="0"/>
              <w:bidi w:val="0"/>
              <w:spacing w:after="0" w:line="288" w:lineRule="auto"/>
              <w:rPr>
                <w:rFonts w:ascii="Arial" w:hAnsi="Arial" w:cs="Arial"/>
                <w:szCs w:val="24"/>
              </w:rPr>
            </w:pPr>
          </w:p>
        </w:tc>
        <w:tc>
          <w:tcPr>
            <w:tcW w:w="2264" w:type="dxa"/>
          </w:tcPr>
          <w:p>
            <w:pPr>
              <w:pStyle w:val="28"/>
              <w:pageBreakBefore w:val="0"/>
              <w:kinsoku/>
              <w:wordWrap/>
              <w:overflowPunct/>
              <w:topLinePunct w:val="0"/>
              <w:bidi w:val="0"/>
              <w:spacing w:after="0" w:line="288" w:lineRule="auto"/>
              <w:rPr>
                <w:rFonts w:ascii="Arial" w:hAnsi="Arial" w:cs="Arial"/>
                <w:szCs w:val="24"/>
              </w:rPr>
            </w:pPr>
          </w:p>
        </w:tc>
        <w:tc>
          <w:tcPr>
            <w:tcW w:w="1822" w:type="dxa"/>
          </w:tcPr>
          <w:p>
            <w:pPr>
              <w:pStyle w:val="28"/>
              <w:pageBreakBefore w:val="0"/>
              <w:kinsoku/>
              <w:wordWrap/>
              <w:overflowPunct/>
              <w:topLinePunct w:val="0"/>
              <w:bidi w:val="0"/>
              <w:spacing w:after="0" w:line="288" w:lineRule="auto"/>
              <w:rPr>
                <w:rFonts w:ascii="Arial" w:hAnsi="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420" w:type="dxa"/>
            <w:gridSpan w:val="2"/>
            <w:vAlign w:val="center"/>
          </w:tcPr>
          <w:p>
            <w:pPr>
              <w:pStyle w:val="28"/>
              <w:pageBreakBefore w:val="0"/>
              <w:kinsoku/>
              <w:wordWrap/>
              <w:overflowPunct/>
              <w:topLinePunct w:val="0"/>
              <w:bidi w:val="0"/>
              <w:spacing w:after="0" w:line="288" w:lineRule="auto"/>
              <w:jc w:val="center"/>
              <w:rPr>
                <w:rFonts w:ascii="Arial" w:hAnsi="Arial" w:cs="Arial"/>
                <w:szCs w:val="24"/>
              </w:rPr>
            </w:pPr>
            <w:r>
              <w:rPr>
                <w:rFonts w:ascii="Arial" w:hAnsi="Arial" w:cs="Arial"/>
                <w:szCs w:val="24"/>
              </w:rPr>
              <w:t>付款方式</w:t>
            </w:r>
          </w:p>
        </w:tc>
        <w:tc>
          <w:tcPr>
            <w:tcW w:w="3022" w:type="dxa"/>
          </w:tcPr>
          <w:p>
            <w:pPr>
              <w:pStyle w:val="28"/>
              <w:pageBreakBefore w:val="0"/>
              <w:kinsoku/>
              <w:wordWrap/>
              <w:overflowPunct/>
              <w:topLinePunct w:val="0"/>
              <w:bidi w:val="0"/>
              <w:spacing w:after="0" w:line="288" w:lineRule="auto"/>
              <w:rPr>
                <w:rFonts w:ascii="Arial" w:hAnsi="Arial" w:cs="Arial"/>
                <w:szCs w:val="24"/>
              </w:rPr>
            </w:pPr>
          </w:p>
        </w:tc>
        <w:tc>
          <w:tcPr>
            <w:tcW w:w="2264" w:type="dxa"/>
          </w:tcPr>
          <w:p>
            <w:pPr>
              <w:pStyle w:val="28"/>
              <w:pageBreakBefore w:val="0"/>
              <w:kinsoku/>
              <w:wordWrap/>
              <w:overflowPunct/>
              <w:topLinePunct w:val="0"/>
              <w:bidi w:val="0"/>
              <w:spacing w:after="0" w:line="288" w:lineRule="auto"/>
              <w:rPr>
                <w:rFonts w:ascii="Arial" w:hAnsi="Arial" w:cs="Arial"/>
                <w:szCs w:val="24"/>
              </w:rPr>
            </w:pPr>
          </w:p>
        </w:tc>
        <w:tc>
          <w:tcPr>
            <w:tcW w:w="1822" w:type="dxa"/>
          </w:tcPr>
          <w:p>
            <w:pPr>
              <w:pStyle w:val="28"/>
              <w:pageBreakBefore w:val="0"/>
              <w:kinsoku/>
              <w:wordWrap/>
              <w:overflowPunct/>
              <w:topLinePunct w:val="0"/>
              <w:bidi w:val="0"/>
              <w:spacing w:after="0" w:line="288" w:lineRule="auto"/>
              <w:rPr>
                <w:rFonts w:ascii="Arial" w:hAnsi="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420" w:type="dxa"/>
            <w:gridSpan w:val="2"/>
            <w:vAlign w:val="center"/>
          </w:tcPr>
          <w:p>
            <w:pPr>
              <w:pStyle w:val="28"/>
              <w:pageBreakBefore w:val="0"/>
              <w:kinsoku/>
              <w:wordWrap/>
              <w:overflowPunct/>
              <w:topLinePunct w:val="0"/>
              <w:bidi w:val="0"/>
              <w:spacing w:after="0" w:line="288" w:lineRule="auto"/>
              <w:jc w:val="center"/>
              <w:rPr>
                <w:rFonts w:ascii="Arial" w:hAnsi="Arial" w:cs="Arial"/>
                <w:szCs w:val="24"/>
              </w:rPr>
            </w:pPr>
            <w:r>
              <w:rPr>
                <w:rFonts w:ascii="Arial" w:hAnsi="Arial" w:cs="Arial"/>
                <w:szCs w:val="21"/>
              </w:rPr>
              <w:t>其他要求</w:t>
            </w:r>
          </w:p>
        </w:tc>
        <w:tc>
          <w:tcPr>
            <w:tcW w:w="3022" w:type="dxa"/>
          </w:tcPr>
          <w:p>
            <w:pPr>
              <w:pStyle w:val="28"/>
              <w:pageBreakBefore w:val="0"/>
              <w:kinsoku/>
              <w:wordWrap/>
              <w:overflowPunct/>
              <w:topLinePunct w:val="0"/>
              <w:bidi w:val="0"/>
              <w:spacing w:after="0" w:line="288" w:lineRule="auto"/>
              <w:rPr>
                <w:rFonts w:ascii="Arial" w:hAnsi="Arial" w:cs="Arial"/>
                <w:szCs w:val="24"/>
              </w:rPr>
            </w:pPr>
          </w:p>
        </w:tc>
        <w:tc>
          <w:tcPr>
            <w:tcW w:w="2264" w:type="dxa"/>
          </w:tcPr>
          <w:p>
            <w:pPr>
              <w:pStyle w:val="28"/>
              <w:pageBreakBefore w:val="0"/>
              <w:kinsoku/>
              <w:wordWrap/>
              <w:overflowPunct/>
              <w:topLinePunct w:val="0"/>
              <w:bidi w:val="0"/>
              <w:spacing w:after="0" w:line="288" w:lineRule="auto"/>
              <w:rPr>
                <w:rFonts w:ascii="Arial" w:hAnsi="Arial" w:cs="Arial"/>
                <w:szCs w:val="24"/>
              </w:rPr>
            </w:pPr>
          </w:p>
        </w:tc>
        <w:tc>
          <w:tcPr>
            <w:tcW w:w="1822" w:type="dxa"/>
          </w:tcPr>
          <w:p>
            <w:pPr>
              <w:pStyle w:val="28"/>
              <w:pageBreakBefore w:val="0"/>
              <w:kinsoku/>
              <w:wordWrap/>
              <w:overflowPunct/>
              <w:topLinePunct w:val="0"/>
              <w:bidi w:val="0"/>
              <w:spacing w:after="0" w:line="288" w:lineRule="auto"/>
              <w:rPr>
                <w:rFonts w:ascii="Arial" w:hAnsi="Arial" w:cs="Arial"/>
                <w:szCs w:val="24"/>
              </w:rPr>
            </w:pPr>
          </w:p>
        </w:tc>
      </w:tr>
    </w:tbl>
    <w:p>
      <w:pPr>
        <w:pageBreakBefore w:val="0"/>
        <w:kinsoku/>
        <w:wordWrap/>
        <w:overflowPunct/>
        <w:topLinePunct w:val="0"/>
        <w:bidi w:val="0"/>
        <w:snapToGrid w:val="0"/>
        <w:spacing w:after="0" w:line="288" w:lineRule="auto"/>
        <w:ind w:firstLine="1890" w:firstLineChars="900"/>
        <w:rPr>
          <w:rFonts w:ascii="Arial" w:hAnsi="Arial" w:cs="Arial"/>
          <w:szCs w:val="21"/>
          <w:u w:val="single"/>
        </w:rPr>
      </w:pPr>
      <w:r>
        <w:rPr>
          <w:rFonts w:ascii="Arial" w:hAnsi="Arial" w:cs="Arial"/>
          <w:szCs w:val="21"/>
        </w:rPr>
        <w:t>投标人[公章(CA签章)，自然人签字或个人CA签章]：</w:t>
      </w:r>
    </w:p>
    <w:p>
      <w:pPr>
        <w:pageBreakBefore w:val="0"/>
        <w:kinsoku/>
        <w:wordWrap/>
        <w:overflowPunct/>
        <w:topLinePunct w:val="0"/>
        <w:bidi w:val="0"/>
        <w:snapToGrid w:val="0"/>
        <w:spacing w:after="0" w:line="288" w:lineRule="auto"/>
        <w:ind w:firstLine="1890" w:firstLineChars="900"/>
        <w:rPr>
          <w:rFonts w:ascii="Arial" w:hAnsi="Arial" w:cs="Arial"/>
          <w:u w:val="single"/>
        </w:rPr>
      </w:pPr>
      <w:r>
        <w:rPr>
          <w:rFonts w:ascii="Arial" w:hAnsi="Arial" w:cs="Arial"/>
        </w:rPr>
        <w:t>日          期：</w:t>
      </w:r>
    </w:p>
    <w:p>
      <w:pPr>
        <w:pageBreakBefore w:val="0"/>
        <w:tabs>
          <w:tab w:val="left" w:pos="1305"/>
        </w:tabs>
        <w:kinsoku/>
        <w:wordWrap/>
        <w:overflowPunct/>
        <w:topLinePunct w:val="0"/>
        <w:bidi w:val="0"/>
        <w:spacing w:after="0" w:line="288" w:lineRule="auto"/>
        <w:ind w:firstLine="422" w:firstLineChars="200"/>
        <w:rPr>
          <w:rFonts w:ascii="Arial" w:hAnsi="Arial" w:cs="Arial"/>
          <w:b/>
          <w:szCs w:val="21"/>
        </w:rPr>
      </w:pPr>
      <w:r>
        <w:rPr>
          <w:rFonts w:ascii="Arial" w:hAnsi="Arial" w:cs="Arial"/>
          <w:b/>
          <w:szCs w:val="21"/>
        </w:rPr>
        <w:t>注：1.投标人应根据投标货物的性能指标承诺（即：投标报价表）、对照“货物招标需求”详细注</w:t>
      </w:r>
    </w:p>
    <w:p>
      <w:pPr>
        <w:pageBreakBefore w:val="0"/>
        <w:tabs>
          <w:tab w:val="left" w:pos="1305"/>
        </w:tabs>
        <w:kinsoku/>
        <w:wordWrap/>
        <w:overflowPunct/>
        <w:topLinePunct w:val="0"/>
        <w:bidi w:val="0"/>
        <w:spacing w:after="0" w:line="288" w:lineRule="auto"/>
        <w:ind w:firstLine="207" w:firstLineChars="98"/>
        <w:rPr>
          <w:rFonts w:ascii="Arial" w:hAnsi="Arial" w:cs="Arial"/>
          <w:b/>
          <w:szCs w:val="21"/>
        </w:rPr>
      </w:pPr>
      <w:r>
        <w:rPr>
          <w:rFonts w:ascii="Arial" w:hAnsi="Arial" w:cs="Arial"/>
          <w:b/>
          <w:szCs w:val="21"/>
        </w:rPr>
        <w:t>明响应情况按格式填写此表，当投标货物的性能指标承诺出现“正偏离”情况时应详细填写偏</w:t>
      </w:r>
    </w:p>
    <w:p>
      <w:pPr>
        <w:pageBreakBefore w:val="0"/>
        <w:tabs>
          <w:tab w:val="left" w:pos="1305"/>
        </w:tabs>
        <w:kinsoku/>
        <w:wordWrap/>
        <w:overflowPunct/>
        <w:topLinePunct w:val="0"/>
        <w:bidi w:val="0"/>
        <w:spacing w:after="0" w:line="288" w:lineRule="auto"/>
        <w:ind w:firstLine="207" w:firstLineChars="98"/>
        <w:rPr>
          <w:rFonts w:ascii="Arial" w:hAnsi="Arial" w:cs="Arial"/>
          <w:b/>
          <w:szCs w:val="21"/>
        </w:rPr>
      </w:pPr>
      <w:r>
        <w:rPr>
          <w:rFonts w:ascii="Arial" w:hAnsi="Arial" w:cs="Arial"/>
          <w:b/>
          <w:szCs w:val="21"/>
        </w:rPr>
        <w:t>离情况说明及提供相应有效证明材料，否则，评标委员会有权不予认定“正偏离”情况。</w:t>
      </w:r>
    </w:p>
    <w:p>
      <w:pPr>
        <w:pStyle w:val="28"/>
        <w:pageBreakBefore w:val="0"/>
        <w:kinsoku/>
        <w:wordWrap/>
        <w:overflowPunct/>
        <w:topLinePunct w:val="0"/>
        <w:bidi w:val="0"/>
        <w:spacing w:after="0" w:line="288" w:lineRule="auto"/>
        <w:ind w:firstLine="630" w:firstLineChars="300"/>
        <w:rPr>
          <w:rFonts w:ascii="Arial" w:hAnsi="Arial" w:cs="Arial"/>
          <w:b/>
          <w:sz w:val="32"/>
          <w:szCs w:val="32"/>
        </w:rPr>
      </w:pPr>
      <w:r>
        <w:rPr>
          <w:rFonts w:ascii="Arial" w:hAnsi="Arial" w:cs="Arial"/>
          <w:bCs/>
          <w:szCs w:val="21"/>
        </w:rPr>
        <w:t>2.当本表由多页构成时，需逐页加盖投标人公章（CA签章）（属自然人的须逐页签字或个人CA签章）。</w:t>
      </w:r>
      <w:r>
        <w:rPr>
          <w:rFonts w:ascii="Arial" w:hAnsi="Arial" w:cs="Arial"/>
          <w:bCs/>
          <w:szCs w:val="21"/>
        </w:rPr>
        <w:br w:type="page"/>
      </w:r>
      <w:r>
        <w:rPr>
          <w:rFonts w:ascii="Arial" w:hAnsi="Arial" w:cs="Arial"/>
          <w:b/>
          <w:bCs/>
          <w:sz w:val="32"/>
          <w:szCs w:val="32"/>
        </w:rPr>
        <w:t>2、</w:t>
      </w:r>
      <w:r>
        <w:rPr>
          <w:rFonts w:ascii="Arial" w:hAnsi="Arial" w:cs="Arial"/>
          <w:b/>
          <w:sz w:val="32"/>
          <w:szCs w:val="32"/>
        </w:rPr>
        <w:t>投标人的售后服务承诺书（必须提供）</w:t>
      </w:r>
    </w:p>
    <w:p>
      <w:pPr>
        <w:pStyle w:val="28"/>
        <w:pageBreakBefore w:val="0"/>
        <w:kinsoku/>
        <w:wordWrap/>
        <w:overflowPunct/>
        <w:topLinePunct w:val="0"/>
        <w:bidi w:val="0"/>
        <w:spacing w:after="0" w:line="288" w:lineRule="auto"/>
        <w:ind w:firstLine="643" w:firstLineChars="200"/>
        <w:rPr>
          <w:rFonts w:ascii="Arial" w:hAnsi="Arial" w:cs="Arial"/>
          <w:b/>
          <w:sz w:val="32"/>
          <w:szCs w:val="32"/>
        </w:rPr>
      </w:pPr>
    </w:p>
    <w:p>
      <w:pPr>
        <w:pStyle w:val="28"/>
        <w:pageBreakBefore w:val="0"/>
        <w:kinsoku/>
        <w:wordWrap/>
        <w:overflowPunct/>
        <w:topLinePunct w:val="0"/>
        <w:bidi w:val="0"/>
        <w:spacing w:after="0" w:line="288" w:lineRule="auto"/>
        <w:rPr>
          <w:rFonts w:ascii="Arial" w:hAnsi="Arial" w:cs="Arial"/>
          <w:b/>
          <w:bCs/>
          <w:sz w:val="32"/>
          <w:szCs w:val="32"/>
        </w:rPr>
      </w:pPr>
      <w:r>
        <w:rPr>
          <w:rFonts w:ascii="Arial" w:hAnsi="Arial" w:cs="Arial"/>
          <w:b/>
          <w:bCs/>
          <w:sz w:val="32"/>
          <w:szCs w:val="32"/>
        </w:rPr>
        <w:t>附件：</w:t>
      </w:r>
    </w:p>
    <w:p>
      <w:pPr>
        <w:pStyle w:val="28"/>
        <w:pageBreakBefore w:val="0"/>
        <w:kinsoku/>
        <w:wordWrap/>
        <w:overflowPunct/>
        <w:topLinePunct w:val="0"/>
        <w:bidi w:val="0"/>
        <w:spacing w:after="0" w:line="288" w:lineRule="auto"/>
        <w:ind w:firstLine="2731" w:firstLineChars="850"/>
        <w:rPr>
          <w:rFonts w:ascii="Arial" w:hAnsi="Arial" w:cs="Arial"/>
        </w:rPr>
      </w:pPr>
      <w:r>
        <w:rPr>
          <w:rFonts w:ascii="Arial" w:hAnsi="Arial" w:cs="Arial"/>
          <w:b/>
          <w:bCs/>
          <w:sz w:val="32"/>
          <w:szCs w:val="32"/>
        </w:rPr>
        <w:t>售后服务承诺书（格式）</w:t>
      </w:r>
    </w:p>
    <w:p>
      <w:pPr>
        <w:pStyle w:val="28"/>
        <w:pageBreakBefore w:val="0"/>
        <w:kinsoku/>
        <w:wordWrap/>
        <w:overflowPunct/>
        <w:topLinePunct w:val="0"/>
        <w:bidi w:val="0"/>
        <w:spacing w:after="0" w:line="288" w:lineRule="auto"/>
        <w:ind w:firstLine="422" w:firstLineChars="200"/>
        <w:rPr>
          <w:rFonts w:ascii="Arial" w:hAnsi="Arial" w:cs="Arial"/>
          <w:b/>
          <w:bCs/>
        </w:rPr>
      </w:pPr>
      <w:r>
        <w:rPr>
          <w:rFonts w:ascii="Arial" w:hAnsi="Arial" w:cs="Arial"/>
          <w:b/>
          <w:bCs/>
        </w:rPr>
        <w:t>分标：</w:t>
      </w:r>
    </w:p>
    <w:p>
      <w:pPr>
        <w:pageBreakBefore w:val="0"/>
        <w:kinsoku/>
        <w:wordWrap/>
        <w:overflowPunct/>
        <w:topLinePunct w:val="0"/>
        <w:bidi w:val="0"/>
        <w:spacing w:after="0" w:line="288" w:lineRule="auto"/>
        <w:rPr>
          <w:rFonts w:ascii="Arial" w:hAnsi="Arial" w:cs="Arial"/>
        </w:rPr>
      </w:pPr>
    </w:p>
    <w:p>
      <w:pPr>
        <w:pageBreakBefore w:val="0"/>
        <w:kinsoku/>
        <w:wordWrap/>
        <w:overflowPunct/>
        <w:topLinePunct w:val="0"/>
        <w:bidi w:val="0"/>
        <w:spacing w:after="0" w:line="288" w:lineRule="auto"/>
        <w:rPr>
          <w:rFonts w:ascii="Arial" w:hAnsi="Arial" w:cs="Arial"/>
        </w:rPr>
      </w:pPr>
    </w:p>
    <w:p>
      <w:pPr>
        <w:pageBreakBefore w:val="0"/>
        <w:kinsoku/>
        <w:wordWrap/>
        <w:overflowPunct/>
        <w:topLinePunct w:val="0"/>
        <w:bidi w:val="0"/>
        <w:spacing w:after="0" w:line="288" w:lineRule="auto"/>
        <w:rPr>
          <w:rFonts w:ascii="Arial" w:hAnsi="Arial" w:cs="Arial"/>
        </w:rPr>
      </w:pPr>
    </w:p>
    <w:p>
      <w:pPr>
        <w:pageBreakBefore w:val="0"/>
        <w:kinsoku/>
        <w:wordWrap/>
        <w:overflowPunct/>
        <w:topLinePunct w:val="0"/>
        <w:bidi w:val="0"/>
        <w:spacing w:after="0" w:line="288" w:lineRule="auto"/>
        <w:rPr>
          <w:rFonts w:ascii="Arial" w:hAnsi="Arial" w:cs="Arial"/>
        </w:rPr>
      </w:pPr>
    </w:p>
    <w:p>
      <w:pPr>
        <w:pageBreakBefore w:val="0"/>
        <w:kinsoku/>
        <w:wordWrap/>
        <w:overflowPunct/>
        <w:topLinePunct w:val="0"/>
        <w:bidi w:val="0"/>
        <w:spacing w:after="0" w:line="288" w:lineRule="auto"/>
        <w:rPr>
          <w:rFonts w:ascii="Arial" w:hAnsi="Arial" w:cs="Arial"/>
        </w:rPr>
      </w:pPr>
    </w:p>
    <w:p>
      <w:pPr>
        <w:pageBreakBefore w:val="0"/>
        <w:kinsoku/>
        <w:wordWrap/>
        <w:overflowPunct/>
        <w:topLinePunct w:val="0"/>
        <w:bidi w:val="0"/>
        <w:snapToGrid w:val="0"/>
        <w:spacing w:after="0" w:line="288" w:lineRule="auto"/>
        <w:ind w:firstLine="1890" w:firstLineChars="900"/>
        <w:rPr>
          <w:rFonts w:ascii="Arial" w:hAnsi="Arial" w:cs="Arial"/>
          <w:szCs w:val="21"/>
          <w:u w:val="single"/>
        </w:rPr>
      </w:pPr>
      <w:r>
        <w:rPr>
          <w:rFonts w:ascii="Arial" w:hAnsi="Arial" w:cs="Arial"/>
          <w:szCs w:val="21"/>
        </w:rPr>
        <w:t>投标人[公章(CA签章)，自然人签字或个人CA签章]：</w:t>
      </w:r>
    </w:p>
    <w:p>
      <w:pPr>
        <w:pageBreakBefore w:val="0"/>
        <w:kinsoku/>
        <w:wordWrap/>
        <w:overflowPunct/>
        <w:topLinePunct w:val="0"/>
        <w:bidi w:val="0"/>
        <w:spacing w:after="0" w:line="288" w:lineRule="auto"/>
        <w:rPr>
          <w:rFonts w:ascii="Arial" w:hAnsi="Arial" w:cs="Arial"/>
        </w:rPr>
      </w:pPr>
    </w:p>
    <w:p>
      <w:pPr>
        <w:pageBreakBefore w:val="0"/>
        <w:kinsoku/>
        <w:wordWrap/>
        <w:overflowPunct/>
        <w:topLinePunct w:val="0"/>
        <w:bidi w:val="0"/>
        <w:snapToGrid w:val="0"/>
        <w:spacing w:after="0" w:line="288" w:lineRule="auto"/>
        <w:ind w:firstLine="1680" w:firstLineChars="800"/>
        <w:rPr>
          <w:rFonts w:ascii="Arial" w:hAnsi="Arial" w:cs="Arial"/>
        </w:rPr>
      </w:pPr>
    </w:p>
    <w:p>
      <w:pPr>
        <w:pageBreakBefore w:val="0"/>
        <w:kinsoku/>
        <w:wordWrap/>
        <w:overflowPunct/>
        <w:topLinePunct w:val="0"/>
        <w:bidi w:val="0"/>
        <w:snapToGrid w:val="0"/>
        <w:spacing w:after="0" w:line="288" w:lineRule="auto"/>
        <w:ind w:firstLine="1680" w:firstLineChars="800"/>
        <w:rPr>
          <w:rFonts w:ascii="Arial" w:hAnsi="Arial" w:cs="Arial"/>
        </w:rPr>
      </w:pPr>
      <w:r>
        <w:rPr>
          <w:rFonts w:ascii="Arial" w:hAnsi="Arial" w:cs="Arial"/>
        </w:rPr>
        <w:t xml:space="preserve"> 日          期：</w:t>
      </w:r>
    </w:p>
    <w:p>
      <w:pPr>
        <w:pageBreakBefore w:val="0"/>
        <w:kinsoku/>
        <w:wordWrap/>
        <w:overflowPunct/>
        <w:topLinePunct w:val="0"/>
        <w:bidi w:val="0"/>
        <w:spacing w:after="0" w:line="288" w:lineRule="auto"/>
        <w:ind w:firstLine="1890" w:firstLineChars="900"/>
        <w:rPr>
          <w:rFonts w:ascii="Arial" w:hAnsi="Arial" w:cs="Arial"/>
          <w:u w:val="single"/>
        </w:rPr>
      </w:pPr>
    </w:p>
    <w:p>
      <w:pPr>
        <w:pStyle w:val="28"/>
        <w:pageBreakBefore w:val="0"/>
        <w:kinsoku/>
        <w:wordWrap/>
        <w:overflowPunct/>
        <w:topLinePunct w:val="0"/>
        <w:bidi w:val="0"/>
        <w:spacing w:after="0" w:line="288" w:lineRule="auto"/>
        <w:rPr>
          <w:rFonts w:ascii="Arial" w:hAnsi="Arial" w:cs="Arial"/>
          <w:b/>
          <w:bCs/>
          <w:sz w:val="32"/>
          <w:szCs w:val="32"/>
        </w:rPr>
      </w:pPr>
    </w:p>
    <w:p>
      <w:pPr>
        <w:pStyle w:val="28"/>
        <w:pageBreakBefore w:val="0"/>
        <w:kinsoku/>
        <w:wordWrap/>
        <w:overflowPunct/>
        <w:topLinePunct w:val="0"/>
        <w:bidi w:val="0"/>
        <w:spacing w:after="0" w:line="288" w:lineRule="auto"/>
        <w:rPr>
          <w:rFonts w:ascii="Arial" w:hAnsi="Arial" w:cs="Arial"/>
          <w:b/>
          <w:bCs/>
          <w:sz w:val="32"/>
          <w:szCs w:val="32"/>
        </w:rPr>
      </w:pPr>
    </w:p>
    <w:p>
      <w:pPr>
        <w:pageBreakBefore w:val="0"/>
        <w:kinsoku/>
        <w:wordWrap/>
        <w:overflowPunct/>
        <w:topLinePunct w:val="0"/>
        <w:bidi w:val="0"/>
        <w:spacing w:after="0" w:line="288" w:lineRule="auto"/>
        <w:rPr>
          <w:rFonts w:ascii="Arial" w:hAnsi="Arial" w:cs="Arial"/>
          <w:b/>
          <w:bCs/>
          <w:sz w:val="32"/>
          <w:szCs w:val="32"/>
        </w:rPr>
      </w:pPr>
      <w:r>
        <w:rPr>
          <w:rFonts w:ascii="Arial" w:hAnsi="Arial" w:cs="Arial"/>
          <w:b/>
          <w:bCs/>
          <w:sz w:val="32"/>
          <w:szCs w:val="32"/>
        </w:rPr>
        <w:br w:type="page"/>
      </w:r>
    </w:p>
    <w:p>
      <w:pPr>
        <w:pStyle w:val="28"/>
        <w:pageBreakBefore w:val="0"/>
        <w:kinsoku/>
        <w:wordWrap/>
        <w:overflowPunct/>
        <w:topLinePunct w:val="0"/>
        <w:bidi w:val="0"/>
        <w:spacing w:after="0" w:line="288" w:lineRule="auto"/>
        <w:rPr>
          <w:rFonts w:ascii="Arial" w:hAnsi="Arial" w:cs="Arial"/>
          <w:b/>
          <w:sz w:val="32"/>
          <w:szCs w:val="32"/>
        </w:rPr>
      </w:pPr>
      <w:r>
        <w:rPr>
          <w:rFonts w:ascii="Arial" w:hAnsi="Arial" w:cs="Arial"/>
          <w:b/>
          <w:bCs/>
          <w:sz w:val="32"/>
          <w:szCs w:val="32"/>
        </w:rPr>
        <w:t>3、</w:t>
      </w:r>
      <w:r>
        <w:rPr>
          <w:rFonts w:ascii="Arial" w:hAnsi="Arial" w:cs="Arial"/>
          <w:b/>
          <w:sz w:val="32"/>
          <w:szCs w:val="32"/>
        </w:rPr>
        <w:t>项目实施人员一览表 【如有，请提供，并一起提供由县级以上（含县级）社会养老保险经办机构出具的投标人为项目实施人员交纳社保证明复印件】</w:t>
      </w:r>
    </w:p>
    <w:p>
      <w:pPr>
        <w:pStyle w:val="28"/>
        <w:pageBreakBefore w:val="0"/>
        <w:kinsoku/>
        <w:wordWrap/>
        <w:overflowPunct/>
        <w:topLinePunct w:val="0"/>
        <w:bidi w:val="0"/>
        <w:spacing w:after="0" w:line="288" w:lineRule="auto"/>
        <w:rPr>
          <w:rFonts w:ascii="Arial" w:hAnsi="Arial" w:cs="Arial"/>
          <w:b/>
          <w:sz w:val="32"/>
          <w:szCs w:val="32"/>
        </w:rPr>
      </w:pPr>
    </w:p>
    <w:p>
      <w:pPr>
        <w:pStyle w:val="28"/>
        <w:pageBreakBefore w:val="0"/>
        <w:kinsoku/>
        <w:wordWrap/>
        <w:overflowPunct/>
        <w:topLinePunct w:val="0"/>
        <w:bidi w:val="0"/>
        <w:spacing w:after="0" w:line="288" w:lineRule="auto"/>
        <w:rPr>
          <w:rFonts w:ascii="Arial" w:hAnsi="Arial" w:cs="Arial"/>
          <w:b/>
          <w:sz w:val="32"/>
          <w:szCs w:val="32"/>
        </w:rPr>
      </w:pPr>
      <w:r>
        <w:rPr>
          <w:rFonts w:ascii="Arial" w:hAnsi="Arial" w:cs="Arial"/>
          <w:b/>
          <w:sz w:val="32"/>
          <w:szCs w:val="32"/>
        </w:rPr>
        <w:t>附件：</w:t>
      </w:r>
    </w:p>
    <w:p>
      <w:pPr>
        <w:pStyle w:val="28"/>
        <w:pageBreakBefore w:val="0"/>
        <w:kinsoku/>
        <w:wordWrap/>
        <w:overflowPunct/>
        <w:topLinePunct w:val="0"/>
        <w:bidi w:val="0"/>
        <w:spacing w:after="0" w:line="288" w:lineRule="auto"/>
        <w:jc w:val="center"/>
        <w:rPr>
          <w:rFonts w:ascii="Arial" w:hAnsi="Arial" w:cs="Arial"/>
          <w:b/>
          <w:sz w:val="32"/>
          <w:szCs w:val="32"/>
        </w:rPr>
      </w:pPr>
      <w:r>
        <w:rPr>
          <w:rFonts w:ascii="Arial" w:hAnsi="Arial" w:cs="Arial"/>
          <w:b/>
          <w:sz w:val="32"/>
          <w:szCs w:val="32"/>
        </w:rPr>
        <w:t>项目实施人员一览表（格式）</w:t>
      </w:r>
    </w:p>
    <w:p>
      <w:pPr>
        <w:pStyle w:val="28"/>
        <w:pageBreakBefore w:val="0"/>
        <w:kinsoku/>
        <w:wordWrap/>
        <w:overflowPunct/>
        <w:topLinePunct w:val="0"/>
        <w:bidi w:val="0"/>
        <w:spacing w:after="0" w:line="288" w:lineRule="auto"/>
        <w:jc w:val="center"/>
        <w:rPr>
          <w:rFonts w:ascii="Arial" w:hAnsi="Arial" w:cs="Arial"/>
          <w:b/>
          <w:sz w:val="32"/>
          <w:szCs w:val="32"/>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782"/>
        <w:gridCol w:w="1427"/>
        <w:gridCol w:w="1782"/>
        <w:gridCol w:w="2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135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序号</w:t>
            </w:r>
          </w:p>
        </w:tc>
        <w:tc>
          <w:tcPr>
            <w:tcW w:w="178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岗位</w:t>
            </w:r>
          </w:p>
        </w:tc>
        <w:tc>
          <w:tcPr>
            <w:tcW w:w="142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姓名</w:t>
            </w:r>
          </w:p>
        </w:tc>
        <w:tc>
          <w:tcPr>
            <w:tcW w:w="178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职称、注册</w:t>
            </w:r>
          </w:p>
        </w:tc>
        <w:tc>
          <w:tcPr>
            <w:tcW w:w="267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after="0" w:line="288" w:lineRule="auto"/>
              <w:jc w:val="center"/>
              <w:rPr>
                <w:rFonts w:ascii="Arial" w:hAnsi="Arial" w:cs="Arial"/>
                <w:szCs w:val="21"/>
              </w:rPr>
            </w:pPr>
            <w:r>
              <w:rPr>
                <w:rFonts w:ascii="Arial" w:hAnsi="Arial" w:cs="Arial"/>
                <w:szCs w:val="21"/>
              </w:rPr>
              <w:t>说明（人员相关经历、经验等）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135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after="0" w:line="288" w:lineRule="auto"/>
              <w:jc w:val="center"/>
              <w:rPr>
                <w:rFonts w:ascii="Arial" w:hAnsi="Arial" w:cs="Arial"/>
                <w:szCs w:val="21"/>
              </w:rPr>
            </w:pPr>
          </w:p>
        </w:tc>
        <w:tc>
          <w:tcPr>
            <w:tcW w:w="178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after="0" w:line="288" w:lineRule="auto"/>
              <w:jc w:val="center"/>
              <w:rPr>
                <w:rFonts w:ascii="Arial" w:hAnsi="Arial" w:cs="Arial"/>
                <w:szCs w:val="21"/>
              </w:rPr>
            </w:pPr>
          </w:p>
        </w:tc>
        <w:tc>
          <w:tcPr>
            <w:tcW w:w="142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after="0" w:line="288" w:lineRule="auto"/>
              <w:jc w:val="center"/>
              <w:rPr>
                <w:rFonts w:ascii="Arial" w:hAnsi="Arial" w:cs="Arial"/>
                <w:szCs w:val="21"/>
              </w:rPr>
            </w:pPr>
          </w:p>
        </w:tc>
        <w:tc>
          <w:tcPr>
            <w:tcW w:w="178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after="0" w:line="288" w:lineRule="auto"/>
              <w:jc w:val="center"/>
              <w:rPr>
                <w:rFonts w:ascii="Arial" w:hAnsi="Arial" w:cs="Arial"/>
                <w:szCs w:val="21"/>
              </w:rPr>
            </w:pPr>
          </w:p>
        </w:tc>
        <w:tc>
          <w:tcPr>
            <w:tcW w:w="267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after="0" w:line="288" w:lineRule="auto"/>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1356" w:type="dxa"/>
            <w:tcBorders>
              <w:top w:val="single" w:color="auto" w:sz="4" w:space="0"/>
              <w:left w:val="single" w:color="auto" w:sz="4" w:space="0"/>
              <w:bottom w:val="single" w:color="auto" w:sz="4" w:space="0"/>
              <w:right w:val="single" w:color="auto" w:sz="4" w:space="0"/>
            </w:tcBorders>
            <w:vAlign w:val="center"/>
          </w:tcPr>
          <w:p>
            <w:pPr>
              <w:pageBreakBefore w:val="0"/>
              <w:tabs>
                <w:tab w:val="left" w:pos="666"/>
              </w:tabs>
              <w:kinsoku/>
              <w:wordWrap/>
              <w:overflowPunct/>
              <w:topLinePunct w:val="0"/>
              <w:bidi w:val="0"/>
              <w:spacing w:after="0" w:line="288" w:lineRule="auto"/>
              <w:jc w:val="center"/>
              <w:rPr>
                <w:rFonts w:ascii="Arial" w:hAnsi="Arial" w:cs="Arial"/>
                <w:szCs w:val="21"/>
              </w:rPr>
            </w:pPr>
          </w:p>
        </w:tc>
        <w:tc>
          <w:tcPr>
            <w:tcW w:w="178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after="0" w:line="288" w:lineRule="auto"/>
              <w:jc w:val="center"/>
              <w:rPr>
                <w:rFonts w:ascii="Arial" w:hAnsi="Arial" w:cs="Arial"/>
                <w:szCs w:val="21"/>
              </w:rPr>
            </w:pPr>
          </w:p>
        </w:tc>
        <w:tc>
          <w:tcPr>
            <w:tcW w:w="142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after="0" w:line="288" w:lineRule="auto"/>
              <w:jc w:val="center"/>
              <w:rPr>
                <w:rFonts w:ascii="Arial" w:hAnsi="Arial" w:cs="Arial"/>
                <w:szCs w:val="21"/>
              </w:rPr>
            </w:pPr>
          </w:p>
        </w:tc>
        <w:tc>
          <w:tcPr>
            <w:tcW w:w="178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after="0" w:line="288" w:lineRule="auto"/>
              <w:jc w:val="center"/>
              <w:rPr>
                <w:rFonts w:ascii="Arial" w:hAnsi="Arial" w:cs="Arial"/>
                <w:szCs w:val="21"/>
              </w:rPr>
            </w:pPr>
          </w:p>
        </w:tc>
        <w:tc>
          <w:tcPr>
            <w:tcW w:w="267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after="0" w:line="288" w:lineRule="auto"/>
              <w:jc w:val="center"/>
              <w:rPr>
                <w:rFonts w:ascii="Arial" w:hAnsi="Arial" w:cs="Arial"/>
                <w:szCs w:val="21"/>
              </w:rPr>
            </w:pPr>
          </w:p>
        </w:tc>
      </w:tr>
    </w:tbl>
    <w:p>
      <w:pPr>
        <w:pStyle w:val="28"/>
        <w:pageBreakBefore w:val="0"/>
        <w:kinsoku/>
        <w:wordWrap/>
        <w:overflowPunct/>
        <w:topLinePunct w:val="0"/>
        <w:bidi w:val="0"/>
        <w:spacing w:after="0" w:line="288" w:lineRule="auto"/>
        <w:ind w:left="420" w:leftChars="200" w:firstLine="157" w:firstLineChars="49"/>
        <w:rPr>
          <w:rFonts w:ascii="Arial" w:hAnsi="Arial" w:cs="Arial"/>
          <w:b/>
          <w:sz w:val="32"/>
          <w:szCs w:val="32"/>
        </w:rPr>
      </w:pPr>
    </w:p>
    <w:p>
      <w:pPr>
        <w:pageBreakBefore w:val="0"/>
        <w:kinsoku/>
        <w:wordWrap/>
        <w:overflowPunct/>
        <w:topLinePunct w:val="0"/>
        <w:bidi w:val="0"/>
        <w:snapToGrid w:val="0"/>
        <w:spacing w:after="0" w:line="288" w:lineRule="auto"/>
        <w:outlineLvl w:val="4"/>
        <w:rPr>
          <w:rFonts w:ascii="Arial" w:hAnsi="Arial" w:cs="Arial"/>
          <w:szCs w:val="21"/>
        </w:rPr>
      </w:pPr>
      <w:r>
        <w:rPr>
          <w:rFonts w:ascii="Arial" w:hAnsi="Arial" w:cs="Arial"/>
          <w:szCs w:val="21"/>
        </w:rPr>
        <w:t>注：1.在填写时，如本表格不适合投标单位的实际情况，可根据本表格式自行制表填写。</w:t>
      </w:r>
    </w:p>
    <w:p>
      <w:pPr>
        <w:pageBreakBefore w:val="0"/>
        <w:kinsoku/>
        <w:wordWrap/>
        <w:overflowPunct/>
        <w:topLinePunct w:val="0"/>
        <w:bidi w:val="0"/>
        <w:snapToGrid w:val="0"/>
        <w:spacing w:after="0" w:line="288" w:lineRule="auto"/>
        <w:ind w:firstLine="2835" w:firstLineChars="1350"/>
        <w:outlineLvl w:val="4"/>
        <w:rPr>
          <w:rFonts w:ascii="Arial" w:hAnsi="Arial" w:cs="Arial"/>
          <w:szCs w:val="21"/>
        </w:rPr>
      </w:pPr>
    </w:p>
    <w:p>
      <w:pPr>
        <w:pageBreakBefore w:val="0"/>
        <w:kinsoku/>
        <w:wordWrap/>
        <w:overflowPunct/>
        <w:topLinePunct w:val="0"/>
        <w:bidi w:val="0"/>
        <w:snapToGrid w:val="0"/>
        <w:spacing w:after="0" w:line="288" w:lineRule="auto"/>
        <w:ind w:firstLine="1890" w:firstLineChars="900"/>
        <w:rPr>
          <w:rFonts w:ascii="Arial" w:hAnsi="Arial" w:cs="Arial"/>
          <w:szCs w:val="21"/>
          <w:u w:val="single"/>
        </w:rPr>
      </w:pPr>
      <w:r>
        <w:rPr>
          <w:rFonts w:ascii="Arial" w:hAnsi="Arial" w:cs="Arial"/>
          <w:szCs w:val="21"/>
        </w:rPr>
        <w:t>投标人[公章(CA签章)，自然人签字或个人CA签章]：</w:t>
      </w:r>
    </w:p>
    <w:p>
      <w:pPr>
        <w:pageBreakBefore w:val="0"/>
        <w:kinsoku/>
        <w:wordWrap/>
        <w:overflowPunct/>
        <w:topLinePunct w:val="0"/>
        <w:bidi w:val="0"/>
        <w:spacing w:after="0" w:line="288" w:lineRule="auto"/>
        <w:rPr>
          <w:rFonts w:ascii="Arial" w:hAnsi="Arial" w:cs="Arial"/>
        </w:rPr>
      </w:pPr>
    </w:p>
    <w:p>
      <w:pPr>
        <w:pageBreakBefore w:val="0"/>
        <w:kinsoku/>
        <w:wordWrap/>
        <w:overflowPunct/>
        <w:topLinePunct w:val="0"/>
        <w:bidi w:val="0"/>
        <w:snapToGrid w:val="0"/>
        <w:spacing w:after="0" w:line="288" w:lineRule="auto"/>
        <w:ind w:firstLine="1680" w:firstLineChars="800"/>
        <w:rPr>
          <w:rFonts w:ascii="Arial" w:hAnsi="Arial" w:cs="Arial"/>
        </w:rPr>
      </w:pPr>
    </w:p>
    <w:p>
      <w:pPr>
        <w:pageBreakBefore w:val="0"/>
        <w:kinsoku/>
        <w:wordWrap/>
        <w:overflowPunct/>
        <w:topLinePunct w:val="0"/>
        <w:bidi w:val="0"/>
        <w:snapToGrid w:val="0"/>
        <w:spacing w:after="0" w:line="288" w:lineRule="auto"/>
        <w:ind w:firstLine="1680" w:firstLineChars="800"/>
        <w:rPr>
          <w:rFonts w:ascii="Arial" w:hAnsi="Arial" w:cs="Arial"/>
        </w:rPr>
      </w:pPr>
      <w:r>
        <w:rPr>
          <w:rFonts w:ascii="Arial" w:hAnsi="Arial" w:cs="Arial"/>
        </w:rPr>
        <w:t xml:space="preserve"> 日          期：</w:t>
      </w:r>
    </w:p>
    <w:p>
      <w:pPr>
        <w:pageBreakBefore w:val="0"/>
        <w:kinsoku/>
        <w:wordWrap/>
        <w:overflowPunct/>
        <w:topLinePunct w:val="0"/>
        <w:bidi w:val="0"/>
        <w:spacing w:after="0" w:line="288" w:lineRule="auto"/>
        <w:ind w:firstLine="1890" w:firstLineChars="900"/>
        <w:rPr>
          <w:rFonts w:ascii="Arial" w:hAnsi="Arial" w:cs="Arial"/>
          <w:u w:val="single"/>
        </w:rPr>
      </w:pPr>
    </w:p>
    <w:p>
      <w:pPr>
        <w:pageBreakBefore w:val="0"/>
        <w:kinsoku/>
        <w:wordWrap/>
        <w:overflowPunct/>
        <w:topLinePunct w:val="0"/>
        <w:bidi w:val="0"/>
        <w:spacing w:after="0" w:line="288" w:lineRule="auto"/>
        <w:rPr>
          <w:rFonts w:ascii="Arial" w:hAnsi="Arial" w:cs="Arial"/>
          <w:b/>
          <w:bCs/>
          <w:sz w:val="32"/>
          <w:szCs w:val="32"/>
        </w:rPr>
      </w:pPr>
      <w:r>
        <w:rPr>
          <w:rFonts w:ascii="Arial" w:hAnsi="Arial" w:cs="Arial"/>
          <w:b/>
          <w:bCs/>
          <w:sz w:val="32"/>
          <w:szCs w:val="32"/>
        </w:rPr>
        <w:br w:type="page"/>
      </w:r>
    </w:p>
    <w:p>
      <w:pPr>
        <w:pStyle w:val="28"/>
        <w:pageBreakBefore w:val="0"/>
        <w:kinsoku/>
        <w:wordWrap/>
        <w:overflowPunct/>
        <w:topLinePunct w:val="0"/>
        <w:bidi w:val="0"/>
        <w:spacing w:after="0" w:line="288" w:lineRule="auto"/>
        <w:rPr>
          <w:rFonts w:ascii="Arial" w:hAnsi="Arial" w:cs="Arial"/>
          <w:b/>
          <w:bCs/>
          <w:sz w:val="32"/>
          <w:szCs w:val="32"/>
        </w:rPr>
      </w:pPr>
      <w:r>
        <w:rPr>
          <w:rFonts w:ascii="Arial" w:hAnsi="Arial" w:cs="Arial"/>
          <w:b/>
          <w:bCs/>
          <w:sz w:val="32"/>
          <w:szCs w:val="32"/>
        </w:rPr>
        <w:t>4、投标人</w:t>
      </w:r>
      <w:r>
        <w:rPr>
          <w:rFonts w:hint="eastAsia" w:ascii="Arial" w:hAnsi="Arial" w:cs="Arial"/>
          <w:b/>
          <w:bCs/>
          <w:sz w:val="32"/>
          <w:szCs w:val="32"/>
        </w:rPr>
        <w:t>2023年度或者2024年度</w:t>
      </w:r>
      <w:r>
        <w:rPr>
          <w:rFonts w:ascii="Arial" w:hAnsi="Arial" w:cs="Arial"/>
          <w:b/>
          <w:bCs/>
          <w:sz w:val="32"/>
          <w:szCs w:val="32"/>
        </w:rPr>
        <w:t>通过中介审计的有效财务审计报告复印件；</w:t>
      </w:r>
    </w:p>
    <w:p>
      <w:pPr>
        <w:pStyle w:val="28"/>
        <w:pageBreakBefore w:val="0"/>
        <w:kinsoku/>
        <w:wordWrap/>
        <w:overflowPunct/>
        <w:topLinePunct w:val="0"/>
        <w:bidi w:val="0"/>
        <w:spacing w:after="0" w:line="288" w:lineRule="auto"/>
        <w:ind w:firstLine="422" w:firstLineChars="200"/>
        <w:rPr>
          <w:rFonts w:ascii="Arial" w:hAnsi="Arial" w:cs="Arial"/>
        </w:rPr>
      </w:pPr>
      <w:r>
        <w:rPr>
          <w:rFonts w:ascii="Arial" w:hAnsi="Arial" w:cs="Arial"/>
          <w:b/>
          <w:bCs/>
        </w:rPr>
        <w:t>注：对于从取得营业执照时间起到</w:t>
      </w:r>
      <w:r>
        <w:rPr>
          <w:rFonts w:hint="eastAsia" w:ascii="Arial" w:hAnsi="Arial" w:cs="Arial"/>
          <w:b/>
          <w:bCs/>
        </w:rPr>
        <w:t>投标文件</w:t>
      </w:r>
      <w:r>
        <w:rPr>
          <w:rFonts w:ascii="Arial" w:hAnsi="Arial" w:cs="Arial"/>
          <w:b/>
          <w:bCs/>
        </w:rPr>
        <w:t>递交截止时间为止不足1年的供应商，只需提交</w:t>
      </w:r>
      <w:r>
        <w:rPr>
          <w:rFonts w:hint="eastAsia" w:ascii="Arial" w:hAnsi="Arial" w:cs="Arial"/>
          <w:b/>
          <w:bCs/>
        </w:rPr>
        <w:t>投标文件</w:t>
      </w:r>
      <w:r>
        <w:rPr>
          <w:rFonts w:ascii="Arial" w:hAnsi="Arial" w:cs="Arial"/>
          <w:b/>
          <w:bCs/>
        </w:rPr>
        <w:t>递交截止时间前一个月的财务状况报告（表）复印件。</w:t>
      </w:r>
    </w:p>
    <w:p>
      <w:pPr>
        <w:pageBreakBefore w:val="0"/>
        <w:kinsoku/>
        <w:wordWrap/>
        <w:overflowPunct/>
        <w:topLinePunct w:val="0"/>
        <w:bidi w:val="0"/>
        <w:spacing w:after="0" w:line="288" w:lineRule="auto"/>
        <w:rPr>
          <w:rFonts w:ascii="Arial" w:hAnsi="Arial" w:cs="Arial"/>
          <w:b/>
          <w:bCs/>
          <w:sz w:val="32"/>
          <w:szCs w:val="32"/>
        </w:rPr>
      </w:pPr>
    </w:p>
    <w:p>
      <w:pPr>
        <w:pStyle w:val="22"/>
        <w:pageBreakBefore w:val="0"/>
        <w:kinsoku/>
        <w:wordWrap/>
        <w:overflowPunct/>
        <w:topLinePunct w:val="0"/>
        <w:bidi w:val="0"/>
        <w:spacing w:after="0" w:line="288" w:lineRule="auto"/>
      </w:pPr>
    </w:p>
    <w:p>
      <w:pPr>
        <w:pageBreakBefore w:val="0"/>
        <w:kinsoku/>
        <w:wordWrap/>
        <w:overflowPunct/>
        <w:topLinePunct w:val="0"/>
        <w:bidi w:val="0"/>
        <w:spacing w:after="0" w:line="288" w:lineRule="auto"/>
        <w:rPr>
          <w:rFonts w:ascii="Arial" w:hAnsi="Arial" w:cs="Arial"/>
          <w:b/>
          <w:bCs/>
          <w:sz w:val="32"/>
          <w:szCs w:val="32"/>
        </w:rPr>
      </w:pPr>
    </w:p>
    <w:p>
      <w:pPr>
        <w:pageBreakBefore w:val="0"/>
        <w:kinsoku/>
        <w:wordWrap/>
        <w:overflowPunct/>
        <w:topLinePunct w:val="0"/>
        <w:bidi w:val="0"/>
        <w:spacing w:after="0" w:line="288" w:lineRule="auto"/>
        <w:rPr>
          <w:rFonts w:ascii="Arial" w:hAnsi="Arial" w:cs="Arial"/>
          <w:b/>
          <w:bCs/>
          <w:sz w:val="32"/>
          <w:szCs w:val="32"/>
        </w:rPr>
      </w:pPr>
      <w:r>
        <w:rPr>
          <w:rFonts w:ascii="Arial" w:hAnsi="Arial" w:cs="Arial"/>
          <w:b/>
          <w:bCs/>
          <w:sz w:val="32"/>
          <w:szCs w:val="32"/>
        </w:rPr>
        <w:t>5、投标人同类产品销售业绩的相关证明材料(无不良记录，以中标（成交）通知书及相应的销售合同或验收单为准,能清晰反映该项目的项目名称、种类)（如有，请提供）；</w:t>
      </w:r>
    </w:p>
    <w:p>
      <w:pPr>
        <w:pageBreakBefore w:val="0"/>
        <w:kinsoku/>
        <w:wordWrap/>
        <w:overflowPunct/>
        <w:topLinePunct w:val="0"/>
        <w:bidi w:val="0"/>
        <w:spacing w:after="0" w:line="288" w:lineRule="auto"/>
        <w:rPr>
          <w:rFonts w:ascii="Arial" w:hAnsi="Arial" w:cs="Arial"/>
          <w:b/>
          <w:bCs/>
          <w:sz w:val="32"/>
          <w:szCs w:val="32"/>
        </w:rPr>
      </w:pPr>
    </w:p>
    <w:p>
      <w:pPr>
        <w:pageBreakBefore w:val="0"/>
        <w:kinsoku/>
        <w:wordWrap/>
        <w:overflowPunct/>
        <w:topLinePunct w:val="0"/>
        <w:bidi w:val="0"/>
        <w:spacing w:after="0" w:line="288" w:lineRule="auto"/>
        <w:rPr>
          <w:rFonts w:ascii="Arial" w:hAnsi="Arial" w:cs="Arial"/>
          <w:b/>
          <w:bCs/>
          <w:sz w:val="32"/>
          <w:szCs w:val="32"/>
        </w:rPr>
      </w:pPr>
    </w:p>
    <w:p>
      <w:pPr>
        <w:pStyle w:val="22"/>
        <w:pageBreakBefore w:val="0"/>
        <w:kinsoku/>
        <w:wordWrap/>
        <w:overflowPunct/>
        <w:topLinePunct w:val="0"/>
        <w:bidi w:val="0"/>
        <w:spacing w:after="0" w:line="288" w:lineRule="auto"/>
      </w:pPr>
    </w:p>
    <w:p>
      <w:pPr>
        <w:pageBreakBefore w:val="0"/>
        <w:kinsoku/>
        <w:wordWrap/>
        <w:overflowPunct/>
        <w:topLinePunct w:val="0"/>
        <w:bidi w:val="0"/>
        <w:spacing w:after="0" w:line="288" w:lineRule="auto"/>
        <w:rPr>
          <w:rFonts w:ascii="Arial" w:hAnsi="Arial" w:cs="Arial"/>
          <w:b/>
          <w:bCs/>
          <w:sz w:val="32"/>
          <w:szCs w:val="32"/>
        </w:rPr>
      </w:pPr>
      <w:r>
        <w:rPr>
          <w:rFonts w:ascii="Arial" w:hAnsi="Arial" w:cs="Arial"/>
          <w:b/>
          <w:bCs/>
          <w:sz w:val="32"/>
          <w:szCs w:val="32"/>
        </w:rPr>
        <w:t>6、节能方面的资质证书复印件（如有，请提供）；</w:t>
      </w:r>
    </w:p>
    <w:p>
      <w:pPr>
        <w:pageBreakBefore w:val="0"/>
        <w:kinsoku/>
        <w:wordWrap/>
        <w:overflowPunct/>
        <w:topLinePunct w:val="0"/>
        <w:bidi w:val="0"/>
        <w:spacing w:after="0" w:line="288" w:lineRule="auto"/>
        <w:rPr>
          <w:rFonts w:ascii="Arial" w:hAnsi="Arial" w:cs="Arial"/>
          <w:b/>
          <w:bCs/>
          <w:sz w:val="32"/>
          <w:szCs w:val="32"/>
        </w:rPr>
      </w:pPr>
    </w:p>
    <w:p>
      <w:pPr>
        <w:pStyle w:val="22"/>
        <w:pageBreakBefore w:val="0"/>
        <w:kinsoku/>
        <w:wordWrap/>
        <w:overflowPunct/>
        <w:topLinePunct w:val="0"/>
        <w:bidi w:val="0"/>
        <w:spacing w:after="0" w:line="288" w:lineRule="auto"/>
      </w:pPr>
    </w:p>
    <w:p>
      <w:pPr>
        <w:pageBreakBefore w:val="0"/>
        <w:kinsoku/>
        <w:wordWrap/>
        <w:overflowPunct/>
        <w:topLinePunct w:val="0"/>
        <w:bidi w:val="0"/>
        <w:spacing w:after="0" w:line="288" w:lineRule="auto"/>
        <w:rPr>
          <w:rFonts w:ascii="Arial" w:hAnsi="Arial" w:cs="Arial"/>
          <w:b/>
          <w:bCs/>
          <w:sz w:val="32"/>
          <w:szCs w:val="32"/>
        </w:rPr>
      </w:pPr>
    </w:p>
    <w:p>
      <w:pPr>
        <w:pageBreakBefore w:val="0"/>
        <w:kinsoku/>
        <w:wordWrap/>
        <w:overflowPunct/>
        <w:topLinePunct w:val="0"/>
        <w:bidi w:val="0"/>
        <w:spacing w:after="0" w:line="288" w:lineRule="auto"/>
        <w:rPr>
          <w:rFonts w:ascii="Arial" w:hAnsi="Arial" w:cs="Arial"/>
          <w:b/>
          <w:bCs/>
          <w:sz w:val="32"/>
          <w:szCs w:val="32"/>
        </w:rPr>
      </w:pPr>
      <w:r>
        <w:rPr>
          <w:rFonts w:ascii="Arial" w:hAnsi="Arial" w:cs="Arial"/>
          <w:b/>
          <w:bCs/>
          <w:sz w:val="32"/>
          <w:szCs w:val="32"/>
        </w:rPr>
        <w:t>7、环保方面的资质证书复印件（如有，请提供） ；</w:t>
      </w:r>
    </w:p>
    <w:p>
      <w:pPr>
        <w:pageBreakBefore w:val="0"/>
        <w:kinsoku/>
        <w:wordWrap/>
        <w:overflowPunct/>
        <w:topLinePunct w:val="0"/>
        <w:bidi w:val="0"/>
        <w:spacing w:after="0" w:line="288" w:lineRule="auto"/>
        <w:rPr>
          <w:rFonts w:ascii="Arial" w:hAnsi="Arial" w:cs="Arial"/>
          <w:b/>
          <w:bCs/>
          <w:sz w:val="32"/>
          <w:szCs w:val="32"/>
        </w:rPr>
      </w:pPr>
    </w:p>
    <w:p>
      <w:pPr>
        <w:pageBreakBefore w:val="0"/>
        <w:kinsoku/>
        <w:wordWrap/>
        <w:overflowPunct/>
        <w:topLinePunct w:val="0"/>
        <w:bidi w:val="0"/>
        <w:spacing w:after="0" w:line="288" w:lineRule="auto"/>
        <w:rPr>
          <w:rFonts w:ascii="Arial" w:hAnsi="Arial" w:cs="Arial"/>
          <w:b/>
          <w:bCs/>
          <w:sz w:val="32"/>
          <w:szCs w:val="32"/>
        </w:rPr>
      </w:pPr>
    </w:p>
    <w:p>
      <w:pPr>
        <w:pStyle w:val="22"/>
        <w:pageBreakBefore w:val="0"/>
        <w:kinsoku/>
        <w:wordWrap/>
        <w:overflowPunct/>
        <w:topLinePunct w:val="0"/>
        <w:bidi w:val="0"/>
        <w:spacing w:after="0" w:line="288" w:lineRule="auto"/>
      </w:pPr>
    </w:p>
    <w:p>
      <w:pPr>
        <w:pageBreakBefore w:val="0"/>
        <w:kinsoku/>
        <w:wordWrap/>
        <w:overflowPunct/>
        <w:topLinePunct w:val="0"/>
        <w:bidi w:val="0"/>
        <w:spacing w:after="0" w:line="288" w:lineRule="auto"/>
        <w:rPr>
          <w:rFonts w:ascii="Arial" w:hAnsi="Arial" w:cs="Arial"/>
          <w:b/>
          <w:bCs/>
          <w:sz w:val="32"/>
          <w:szCs w:val="32"/>
        </w:rPr>
      </w:pPr>
      <w:r>
        <w:rPr>
          <w:rFonts w:ascii="Arial" w:hAnsi="Arial" w:cs="Arial"/>
          <w:b/>
          <w:sz w:val="32"/>
          <w:szCs w:val="32"/>
        </w:rPr>
        <w:t>8、</w:t>
      </w:r>
      <w:r>
        <w:rPr>
          <w:rFonts w:ascii="Arial" w:hAnsi="Arial" w:cs="Arial"/>
          <w:b/>
          <w:bCs/>
          <w:sz w:val="32"/>
          <w:szCs w:val="32"/>
        </w:rPr>
        <w:t>投标人相关获奖证书、认证证书等复印件；（如有，请提供）；</w:t>
      </w:r>
    </w:p>
    <w:p>
      <w:pPr>
        <w:pageBreakBefore w:val="0"/>
        <w:kinsoku/>
        <w:wordWrap/>
        <w:overflowPunct/>
        <w:topLinePunct w:val="0"/>
        <w:bidi w:val="0"/>
        <w:spacing w:after="0" w:line="288" w:lineRule="auto"/>
        <w:rPr>
          <w:rFonts w:ascii="Arial" w:hAnsi="Arial" w:cs="Arial"/>
          <w:b/>
          <w:bCs/>
          <w:sz w:val="32"/>
          <w:szCs w:val="32"/>
        </w:rPr>
      </w:pPr>
    </w:p>
    <w:p>
      <w:pPr>
        <w:pStyle w:val="22"/>
        <w:pageBreakBefore w:val="0"/>
        <w:kinsoku/>
        <w:wordWrap/>
        <w:overflowPunct/>
        <w:topLinePunct w:val="0"/>
        <w:bidi w:val="0"/>
        <w:spacing w:after="0" w:line="288" w:lineRule="auto"/>
      </w:pPr>
    </w:p>
    <w:p>
      <w:pPr>
        <w:pageBreakBefore w:val="0"/>
        <w:kinsoku/>
        <w:wordWrap/>
        <w:overflowPunct/>
        <w:topLinePunct w:val="0"/>
        <w:bidi w:val="0"/>
        <w:spacing w:after="0" w:line="288" w:lineRule="auto"/>
        <w:rPr>
          <w:rFonts w:ascii="Arial" w:hAnsi="Arial" w:cs="Arial"/>
          <w:b/>
          <w:bCs/>
          <w:sz w:val="32"/>
          <w:szCs w:val="32"/>
        </w:rPr>
      </w:pPr>
    </w:p>
    <w:p>
      <w:pPr>
        <w:pageBreakBefore w:val="0"/>
        <w:kinsoku/>
        <w:wordWrap/>
        <w:overflowPunct/>
        <w:topLinePunct w:val="0"/>
        <w:bidi w:val="0"/>
        <w:spacing w:after="0" w:line="288" w:lineRule="auto"/>
        <w:rPr>
          <w:rFonts w:ascii="Arial" w:hAnsi="Arial" w:cs="Arial"/>
          <w:b/>
          <w:bCs/>
          <w:sz w:val="32"/>
          <w:szCs w:val="32"/>
        </w:rPr>
      </w:pPr>
      <w:r>
        <w:rPr>
          <w:rFonts w:ascii="Arial" w:hAnsi="Arial" w:cs="Arial"/>
          <w:b/>
          <w:bCs/>
          <w:sz w:val="32"/>
          <w:szCs w:val="32"/>
        </w:rPr>
        <w:t>9、“货物采购需求”需提供的有效证明文件</w:t>
      </w:r>
    </w:p>
    <w:p>
      <w:pPr>
        <w:pageBreakBefore w:val="0"/>
        <w:kinsoku/>
        <w:wordWrap/>
        <w:overflowPunct/>
        <w:topLinePunct w:val="0"/>
        <w:bidi w:val="0"/>
        <w:spacing w:after="0" w:line="288" w:lineRule="auto"/>
        <w:rPr>
          <w:rFonts w:ascii="Arial" w:hAnsi="Arial" w:cs="Arial"/>
          <w:b/>
          <w:bCs/>
          <w:sz w:val="32"/>
          <w:szCs w:val="32"/>
        </w:rPr>
      </w:pPr>
    </w:p>
    <w:p>
      <w:pPr>
        <w:pageBreakBefore w:val="0"/>
        <w:kinsoku/>
        <w:wordWrap/>
        <w:overflowPunct/>
        <w:topLinePunct w:val="0"/>
        <w:bidi w:val="0"/>
        <w:spacing w:after="0" w:line="288" w:lineRule="auto"/>
        <w:rPr>
          <w:rFonts w:ascii="Arial" w:hAnsi="Arial" w:cs="Arial"/>
          <w:b/>
          <w:bCs/>
          <w:sz w:val="32"/>
          <w:szCs w:val="32"/>
        </w:rPr>
      </w:pPr>
    </w:p>
    <w:p>
      <w:pPr>
        <w:pageBreakBefore w:val="0"/>
        <w:kinsoku/>
        <w:wordWrap/>
        <w:overflowPunct/>
        <w:topLinePunct w:val="0"/>
        <w:bidi w:val="0"/>
        <w:spacing w:after="0" w:line="288" w:lineRule="auto"/>
        <w:rPr>
          <w:rFonts w:ascii="Arial" w:hAnsi="Arial" w:cs="Arial"/>
          <w:b/>
          <w:bCs/>
          <w:sz w:val="32"/>
          <w:szCs w:val="32"/>
        </w:rPr>
      </w:pPr>
    </w:p>
    <w:p>
      <w:pPr>
        <w:pageBreakBefore w:val="0"/>
        <w:kinsoku/>
        <w:wordWrap/>
        <w:overflowPunct/>
        <w:topLinePunct w:val="0"/>
        <w:bidi w:val="0"/>
        <w:spacing w:after="0" w:line="288" w:lineRule="auto"/>
        <w:rPr>
          <w:rFonts w:ascii="Arial" w:hAnsi="Arial" w:cs="Arial"/>
          <w:b/>
          <w:bCs/>
          <w:sz w:val="32"/>
          <w:szCs w:val="32"/>
        </w:rPr>
      </w:pPr>
      <w:r>
        <w:rPr>
          <w:rFonts w:ascii="Arial" w:hAnsi="Arial" w:cs="Arial"/>
          <w:b/>
          <w:bCs/>
          <w:sz w:val="32"/>
          <w:szCs w:val="32"/>
        </w:rPr>
        <w:t>10、中小企业声明函（见附件）【如投标人所提供的产品为小、微型企业的产品，中标结果将同时公告企业《中小企业声明函》】（如有，请提供）；</w:t>
      </w:r>
    </w:p>
    <w:p>
      <w:pPr>
        <w:pageBreakBefore w:val="0"/>
        <w:shd w:val="clear" w:color="auto" w:fill="FFFFFF"/>
        <w:kinsoku/>
        <w:wordWrap/>
        <w:overflowPunct/>
        <w:topLinePunct w:val="0"/>
        <w:bidi w:val="0"/>
        <w:spacing w:after="0" w:line="288" w:lineRule="auto"/>
        <w:ind w:firstLine="480"/>
        <w:jc w:val="center"/>
        <w:rPr>
          <w:rFonts w:ascii="Arial" w:hAnsi="Arial" w:cs="Arial"/>
          <w:b/>
          <w:kern w:val="0"/>
          <w:sz w:val="32"/>
          <w:szCs w:val="32"/>
        </w:rPr>
      </w:pPr>
      <w:r>
        <w:rPr>
          <w:rFonts w:ascii="Arial" w:hAnsi="Arial" w:cs="Arial"/>
          <w:b/>
          <w:kern w:val="0"/>
          <w:sz w:val="32"/>
          <w:szCs w:val="32"/>
        </w:rPr>
        <w:t>中小企业声明函 （格式）</w:t>
      </w:r>
    </w:p>
    <w:p>
      <w:pPr>
        <w:pageBreakBefore w:val="0"/>
        <w:kinsoku/>
        <w:wordWrap/>
        <w:overflowPunct/>
        <w:topLinePunct w:val="0"/>
        <w:bidi w:val="0"/>
        <w:spacing w:after="0" w:line="288" w:lineRule="auto"/>
        <w:ind w:firstLine="420" w:firstLineChars="200"/>
        <w:rPr>
          <w:rFonts w:ascii="Arial" w:hAnsi="Arial" w:cs="Arial"/>
          <w:kern w:val="0"/>
          <w:szCs w:val="21"/>
        </w:rPr>
      </w:pPr>
      <w:r>
        <w:rPr>
          <w:rFonts w:ascii="Arial" w:hAnsi="Arial" w:cs="Arial"/>
          <w:kern w:val="0"/>
          <w:szCs w:val="21"/>
        </w:rPr>
        <w:t>本公司郑重声明，根据《政府采购促进中小企业发展管理办法》（财库﹝2020﹞46 号）的规定，本公司参加</w:t>
      </w:r>
      <w:r>
        <w:rPr>
          <w:rFonts w:ascii="Arial" w:hAnsi="Arial" w:cs="Arial"/>
          <w:kern w:val="0"/>
          <w:szCs w:val="21"/>
          <w:u w:val="single"/>
        </w:rPr>
        <w:t>（单位名称）</w:t>
      </w:r>
      <w:r>
        <w:rPr>
          <w:rFonts w:ascii="Arial" w:hAnsi="Arial" w:cs="Arial"/>
          <w:kern w:val="0"/>
          <w:szCs w:val="21"/>
        </w:rPr>
        <w:t>的</w:t>
      </w:r>
      <w:r>
        <w:rPr>
          <w:rFonts w:ascii="Arial" w:hAnsi="Arial" w:cs="Arial"/>
          <w:kern w:val="0"/>
          <w:szCs w:val="21"/>
          <w:u w:val="single"/>
        </w:rPr>
        <w:t>（项目名称）</w:t>
      </w:r>
      <w:r>
        <w:rPr>
          <w:rFonts w:ascii="Arial" w:hAnsi="Arial" w:cs="Arial"/>
          <w:kern w:val="0"/>
          <w:szCs w:val="21"/>
        </w:rPr>
        <w:t>采购活动，提供的货物全部由符合政策要求的中小企业制造。相关企业（含联合体中的中小企业、签订分包意向协议的中小企业）的具体情况如下：</w:t>
      </w:r>
    </w:p>
    <w:p>
      <w:pPr>
        <w:pageBreakBefore w:val="0"/>
        <w:kinsoku/>
        <w:wordWrap/>
        <w:overflowPunct/>
        <w:topLinePunct w:val="0"/>
        <w:bidi w:val="0"/>
        <w:spacing w:after="0" w:line="288" w:lineRule="auto"/>
        <w:ind w:firstLine="420" w:firstLineChars="200"/>
        <w:rPr>
          <w:rFonts w:ascii="Arial" w:hAnsi="Arial" w:cs="Arial"/>
          <w:kern w:val="0"/>
          <w:szCs w:val="21"/>
          <w:u w:val="single"/>
        </w:rPr>
      </w:pPr>
      <w:r>
        <w:rPr>
          <w:rFonts w:ascii="Arial" w:hAnsi="Arial" w:cs="Arial"/>
          <w:kern w:val="0"/>
          <w:szCs w:val="21"/>
        </w:rPr>
        <w:t>1.</w:t>
      </w:r>
      <w:r>
        <w:rPr>
          <w:rFonts w:ascii="Arial" w:hAnsi="Arial" w:cs="Arial"/>
          <w:kern w:val="0"/>
          <w:szCs w:val="21"/>
          <w:u w:val="single"/>
        </w:rPr>
        <w:t>（标的名称）</w:t>
      </w:r>
      <w:r>
        <w:rPr>
          <w:rFonts w:ascii="Arial" w:hAnsi="Arial" w:cs="Arial"/>
          <w:kern w:val="0"/>
          <w:szCs w:val="21"/>
        </w:rPr>
        <w:t xml:space="preserve"> ，属于</w:t>
      </w:r>
      <w:r>
        <w:rPr>
          <w:rFonts w:ascii="Arial" w:hAnsi="Arial" w:cs="Arial"/>
          <w:kern w:val="0"/>
          <w:szCs w:val="21"/>
          <w:u w:val="single"/>
        </w:rPr>
        <w:t>（采购文件中明确的所属行业）</w:t>
      </w:r>
      <w:r>
        <w:rPr>
          <w:rFonts w:ascii="Arial" w:hAnsi="Arial" w:cs="Arial"/>
          <w:kern w:val="0"/>
          <w:szCs w:val="21"/>
        </w:rPr>
        <w:t xml:space="preserve">行业 ；制造商为 </w:t>
      </w:r>
      <w:r>
        <w:rPr>
          <w:rFonts w:ascii="Arial" w:hAnsi="Arial" w:cs="Arial"/>
          <w:kern w:val="0"/>
          <w:szCs w:val="21"/>
          <w:u w:val="single"/>
        </w:rPr>
        <w:t>（企业名称） ，</w:t>
      </w:r>
      <w:r>
        <w:rPr>
          <w:rFonts w:ascii="Arial" w:hAnsi="Arial" w:cs="Arial"/>
          <w:kern w:val="0"/>
          <w:szCs w:val="21"/>
        </w:rPr>
        <w:t>从业人员</w:t>
      </w:r>
      <w:r>
        <w:rPr>
          <w:rFonts w:ascii="Arial" w:hAnsi="Arial" w:cs="Arial"/>
          <w:kern w:val="0"/>
          <w:szCs w:val="21"/>
          <w:u w:val="single"/>
        </w:rPr>
        <w:t>人，</w:t>
      </w:r>
      <w:r>
        <w:rPr>
          <w:rFonts w:ascii="Arial" w:hAnsi="Arial" w:cs="Arial"/>
          <w:kern w:val="0"/>
          <w:szCs w:val="21"/>
        </w:rPr>
        <w:t>营业收入为</w:t>
      </w:r>
      <w:r>
        <w:rPr>
          <w:rFonts w:ascii="Arial" w:hAnsi="Arial" w:cs="Arial"/>
          <w:kern w:val="0"/>
          <w:szCs w:val="21"/>
          <w:u w:val="single"/>
        </w:rPr>
        <w:t>万元，</w:t>
      </w:r>
      <w:r>
        <w:rPr>
          <w:rFonts w:ascii="Arial" w:hAnsi="Arial" w:cs="Arial"/>
          <w:kern w:val="0"/>
          <w:szCs w:val="21"/>
        </w:rPr>
        <w:t>资产总额为万元，属于</w:t>
      </w:r>
      <w:r>
        <w:rPr>
          <w:rFonts w:ascii="Arial" w:hAnsi="Arial" w:cs="Arial"/>
          <w:kern w:val="0"/>
          <w:szCs w:val="21"/>
          <w:u w:val="single"/>
        </w:rPr>
        <w:t>（中型企业、小型企业、微型企业）；</w:t>
      </w:r>
    </w:p>
    <w:p>
      <w:pPr>
        <w:pageBreakBefore w:val="0"/>
        <w:kinsoku/>
        <w:wordWrap/>
        <w:overflowPunct/>
        <w:topLinePunct w:val="0"/>
        <w:bidi w:val="0"/>
        <w:spacing w:after="0" w:line="288" w:lineRule="auto"/>
        <w:ind w:firstLine="420" w:firstLineChars="200"/>
        <w:rPr>
          <w:rFonts w:ascii="Arial" w:hAnsi="Arial" w:cs="Arial"/>
          <w:kern w:val="0"/>
          <w:szCs w:val="21"/>
          <w:u w:val="single"/>
        </w:rPr>
      </w:pPr>
      <w:r>
        <w:rPr>
          <w:rFonts w:ascii="Arial" w:hAnsi="Arial" w:cs="Arial"/>
          <w:kern w:val="0"/>
          <w:szCs w:val="21"/>
        </w:rPr>
        <w:t>2.</w:t>
      </w:r>
      <w:r>
        <w:rPr>
          <w:rFonts w:ascii="Arial" w:hAnsi="Arial" w:cs="Arial"/>
          <w:kern w:val="0"/>
          <w:szCs w:val="21"/>
          <w:u w:val="single"/>
        </w:rPr>
        <w:t>（标的名称），</w:t>
      </w:r>
      <w:r>
        <w:rPr>
          <w:rFonts w:ascii="Arial" w:hAnsi="Arial" w:cs="Arial"/>
          <w:kern w:val="0"/>
          <w:szCs w:val="21"/>
        </w:rPr>
        <w:t>属于</w:t>
      </w:r>
      <w:r>
        <w:rPr>
          <w:rFonts w:ascii="Arial" w:hAnsi="Arial" w:cs="Arial"/>
          <w:kern w:val="0"/>
          <w:szCs w:val="21"/>
          <w:u w:val="single"/>
        </w:rPr>
        <w:t>（采购文件中明确的所属行业）</w:t>
      </w:r>
      <w:r>
        <w:rPr>
          <w:rFonts w:ascii="Arial" w:hAnsi="Arial" w:cs="Arial"/>
          <w:kern w:val="0"/>
          <w:szCs w:val="21"/>
        </w:rPr>
        <w:t xml:space="preserve">行业；制造商为 </w:t>
      </w:r>
      <w:r>
        <w:rPr>
          <w:rFonts w:ascii="Arial" w:hAnsi="Arial" w:cs="Arial"/>
          <w:kern w:val="0"/>
          <w:szCs w:val="21"/>
          <w:u w:val="single"/>
        </w:rPr>
        <w:t>（企业名称） ，</w:t>
      </w:r>
      <w:r>
        <w:rPr>
          <w:rFonts w:ascii="Arial" w:hAnsi="Arial" w:cs="Arial"/>
          <w:kern w:val="0"/>
          <w:szCs w:val="21"/>
        </w:rPr>
        <w:t>从业人员人，营业收入为万元，资产总额为万元，属于</w:t>
      </w:r>
      <w:r>
        <w:rPr>
          <w:rFonts w:ascii="Arial" w:hAnsi="Arial" w:cs="Arial"/>
          <w:kern w:val="0"/>
          <w:szCs w:val="21"/>
          <w:u w:val="single"/>
        </w:rPr>
        <w:t>（中型企业、小型企业、微型企业）</w:t>
      </w:r>
    </w:p>
    <w:p>
      <w:pPr>
        <w:pageBreakBefore w:val="0"/>
        <w:kinsoku/>
        <w:wordWrap/>
        <w:overflowPunct/>
        <w:topLinePunct w:val="0"/>
        <w:bidi w:val="0"/>
        <w:spacing w:after="0" w:line="288" w:lineRule="auto"/>
        <w:ind w:firstLine="420" w:firstLineChars="200"/>
        <w:rPr>
          <w:rFonts w:ascii="Arial" w:hAnsi="Arial" w:cs="Arial"/>
          <w:kern w:val="0"/>
          <w:szCs w:val="21"/>
        </w:rPr>
      </w:pPr>
      <w:r>
        <w:rPr>
          <w:rFonts w:ascii="Arial" w:hAnsi="Arial" w:cs="Arial"/>
          <w:kern w:val="0"/>
          <w:szCs w:val="21"/>
        </w:rPr>
        <w:t>以上企业，不属于大企业的分支机构，不存在控股股东为大企业的情形，也不存在与大企业的负责人为同一人的情形。</w:t>
      </w:r>
    </w:p>
    <w:p>
      <w:pPr>
        <w:pageBreakBefore w:val="0"/>
        <w:kinsoku/>
        <w:wordWrap/>
        <w:overflowPunct/>
        <w:topLinePunct w:val="0"/>
        <w:bidi w:val="0"/>
        <w:spacing w:after="0" w:line="288" w:lineRule="auto"/>
        <w:ind w:firstLine="420" w:firstLineChars="200"/>
        <w:rPr>
          <w:rFonts w:ascii="Arial" w:hAnsi="Arial" w:cs="Arial"/>
          <w:kern w:val="0"/>
          <w:szCs w:val="21"/>
        </w:rPr>
      </w:pPr>
      <w:r>
        <w:rPr>
          <w:rFonts w:ascii="Arial" w:hAnsi="Arial" w:cs="Arial"/>
          <w:kern w:val="0"/>
          <w:szCs w:val="21"/>
        </w:rPr>
        <w:t>本企业对上述声明内容的真实性负责。如有虚假，将依法承担相应责任。</w:t>
      </w:r>
    </w:p>
    <w:p>
      <w:pPr>
        <w:pageBreakBefore w:val="0"/>
        <w:tabs>
          <w:tab w:val="left" w:pos="4860"/>
        </w:tabs>
        <w:kinsoku/>
        <w:wordWrap/>
        <w:overflowPunct/>
        <w:topLinePunct w:val="0"/>
        <w:bidi w:val="0"/>
        <w:spacing w:after="0" w:line="288" w:lineRule="auto"/>
        <w:ind w:right="1560" w:firstLine="420" w:firstLineChars="200"/>
        <w:jc w:val="center"/>
        <w:rPr>
          <w:rFonts w:ascii="Arial" w:hAnsi="Arial" w:cs="Arial"/>
          <w:kern w:val="0"/>
          <w:szCs w:val="21"/>
        </w:rPr>
      </w:pPr>
    </w:p>
    <w:p>
      <w:pPr>
        <w:pStyle w:val="285"/>
        <w:pageBreakBefore w:val="0"/>
        <w:kinsoku/>
        <w:wordWrap/>
        <w:overflowPunct/>
        <w:topLinePunct w:val="0"/>
        <w:bidi w:val="0"/>
        <w:spacing w:after="0" w:line="288" w:lineRule="auto"/>
        <w:ind w:firstLine="640"/>
        <w:jc w:val="both"/>
        <w:rPr>
          <w:rFonts w:ascii="Arial" w:hAnsi="Arial" w:cs="Arial"/>
          <w:sz w:val="21"/>
          <w:szCs w:val="21"/>
        </w:rPr>
      </w:pPr>
      <w:r>
        <w:rPr>
          <w:rFonts w:ascii="Arial" w:hAnsi="Arial" w:cs="Arial"/>
          <w:sz w:val="21"/>
          <w:szCs w:val="21"/>
        </w:rPr>
        <w:t>企业名称[盖公章（CA签章）]：</w:t>
      </w:r>
    </w:p>
    <w:p>
      <w:pPr>
        <w:pageBreakBefore w:val="0"/>
        <w:tabs>
          <w:tab w:val="left" w:pos="4860"/>
        </w:tabs>
        <w:kinsoku/>
        <w:wordWrap/>
        <w:overflowPunct/>
        <w:topLinePunct w:val="0"/>
        <w:bidi w:val="0"/>
        <w:spacing w:after="0" w:line="288" w:lineRule="auto"/>
        <w:ind w:right="1560" w:firstLine="420" w:firstLineChars="200"/>
        <w:jc w:val="center"/>
        <w:rPr>
          <w:rFonts w:ascii="Arial" w:hAnsi="Arial" w:cs="Arial"/>
          <w:kern w:val="0"/>
          <w:szCs w:val="21"/>
        </w:rPr>
      </w:pPr>
      <w:r>
        <w:rPr>
          <w:rFonts w:ascii="Arial" w:hAnsi="Arial" w:cs="Arial"/>
          <w:szCs w:val="21"/>
        </w:rPr>
        <w:t xml:space="preserve">                   日期：</w:t>
      </w:r>
    </w:p>
    <w:p>
      <w:pPr>
        <w:pageBreakBefore w:val="0"/>
        <w:kinsoku/>
        <w:wordWrap/>
        <w:overflowPunct/>
        <w:topLinePunct w:val="0"/>
        <w:bidi w:val="0"/>
        <w:spacing w:after="0" w:line="288" w:lineRule="auto"/>
        <w:ind w:firstLine="422" w:firstLineChars="200"/>
        <w:rPr>
          <w:rFonts w:ascii="Arial" w:hAnsi="Arial" w:eastAsia="仿宋" w:cs="Arial"/>
          <w:b/>
          <w:kern w:val="0"/>
          <w:szCs w:val="21"/>
        </w:rPr>
      </w:pPr>
    </w:p>
    <w:p>
      <w:pPr>
        <w:pageBreakBefore w:val="0"/>
        <w:kinsoku/>
        <w:wordWrap/>
        <w:overflowPunct/>
        <w:topLinePunct w:val="0"/>
        <w:bidi w:val="0"/>
        <w:spacing w:after="0" w:line="288" w:lineRule="auto"/>
        <w:ind w:firstLine="420" w:firstLineChars="200"/>
        <w:rPr>
          <w:rFonts w:ascii="Arial" w:hAnsi="Arial" w:cs="Arial"/>
          <w:kern w:val="0"/>
          <w:szCs w:val="21"/>
        </w:rPr>
      </w:pPr>
      <w:r>
        <w:rPr>
          <w:rFonts w:ascii="Arial" w:hAnsi="Arial" w:cs="Arial"/>
          <w:kern w:val="0"/>
          <w:szCs w:val="21"/>
        </w:rPr>
        <w:t>注：1.从业人员、营业收入、资产总额填报上一年度数据，无上一年度数据的新成立企业可不填报。</w:t>
      </w:r>
    </w:p>
    <w:p>
      <w:pPr>
        <w:pageBreakBefore w:val="0"/>
        <w:kinsoku/>
        <w:wordWrap/>
        <w:overflowPunct/>
        <w:topLinePunct w:val="0"/>
        <w:bidi w:val="0"/>
        <w:spacing w:after="0" w:line="288" w:lineRule="auto"/>
        <w:ind w:firstLine="420" w:firstLineChars="200"/>
        <w:rPr>
          <w:rFonts w:ascii="Arial" w:hAnsi="Arial" w:cs="Arial"/>
          <w:kern w:val="0"/>
          <w:sz w:val="24"/>
        </w:rPr>
      </w:pPr>
      <w:r>
        <w:rPr>
          <w:rFonts w:ascii="Arial" w:hAnsi="Arial" w:cs="Arial"/>
          <w:kern w:val="0"/>
          <w:szCs w:val="21"/>
        </w:rPr>
        <w:t>2.中小企业在政府采购活动过程中，请根据自己的真实情况出具本声明函。依法享受中小企业优惠政策的，采购人或采购代理机构在公告</w:t>
      </w:r>
      <w:r>
        <w:rPr>
          <w:rFonts w:hint="eastAsia" w:ascii="Arial" w:hAnsi="Arial" w:cs="Arial"/>
          <w:kern w:val="0"/>
          <w:szCs w:val="21"/>
        </w:rPr>
        <w:t>中标</w:t>
      </w:r>
      <w:r>
        <w:rPr>
          <w:rFonts w:ascii="Arial" w:hAnsi="Arial" w:cs="Arial"/>
          <w:kern w:val="0"/>
          <w:szCs w:val="21"/>
        </w:rPr>
        <w:t>结果时，同时公告其《中小企业声明函》，接受社会监督。</w:t>
      </w:r>
    </w:p>
    <w:p>
      <w:pPr>
        <w:pageBreakBefore w:val="0"/>
        <w:kinsoku/>
        <w:wordWrap/>
        <w:overflowPunct/>
        <w:topLinePunct w:val="0"/>
        <w:bidi w:val="0"/>
        <w:spacing w:after="0" w:line="288" w:lineRule="auto"/>
        <w:rPr>
          <w:rFonts w:ascii="Arial" w:hAnsi="Arial" w:cs="Arial"/>
          <w:b/>
          <w:bCs/>
          <w:sz w:val="32"/>
          <w:szCs w:val="32"/>
        </w:rPr>
      </w:pPr>
      <w:r>
        <w:rPr>
          <w:rFonts w:ascii="Arial" w:hAnsi="Arial" w:cs="Arial"/>
          <w:b/>
          <w:bCs/>
          <w:sz w:val="32"/>
          <w:szCs w:val="32"/>
        </w:rPr>
        <w:t>11、监狱企业由省级以上监狱管理局、戒毒管理局（含新疆生产建设兵团）出具的属于监狱企业的证明文件（如有，请提供）；</w:t>
      </w:r>
    </w:p>
    <w:p>
      <w:pPr>
        <w:pageBreakBefore w:val="0"/>
        <w:kinsoku/>
        <w:wordWrap/>
        <w:overflowPunct/>
        <w:topLinePunct w:val="0"/>
        <w:bidi w:val="0"/>
        <w:spacing w:after="0" w:line="288" w:lineRule="auto"/>
        <w:rPr>
          <w:rFonts w:ascii="Arial" w:hAnsi="Arial" w:cs="Arial"/>
        </w:rPr>
      </w:pPr>
    </w:p>
    <w:p>
      <w:pPr>
        <w:pageBreakBefore w:val="0"/>
        <w:kinsoku/>
        <w:wordWrap/>
        <w:overflowPunct/>
        <w:topLinePunct w:val="0"/>
        <w:bidi w:val="0"/>
        <w:spacing w:after="0" w:line="288" w:lineRule="auto"/>
        <w:rPr>
          <w:rFonts w:ascii="Arial" w:hAnsi="Arial" w:cs="Arial"/>
          <w:b/>
          <w:bCs/>
          <w:sz w:val="32"/>
          <w:szCs w:val="32"/>
        </w:rPr>
      </w:pPr>
      <w:r>
        <w:rPr>
          <w:rFonts w:ascii="Arial" w:hAnsi="Arial" w:cs="Arial"/>
          <w:b/>
          <w:bCs/>
          <w:sz w:val="32"/>
          <w:szCs w:val="32"/>
        </w:rPr>
        <w:br w:type="page"/>
      </w:r>
    </w:p>
    <w:p>
      <w:pPr>
        <w:pageBreakBefore w:val="0"/>
        <w:kinsoku/>
        <w:wordWrap/>
        <w:overflowPunct/>
        <w:topLinePunct w:val="0"/>
        <w:bidi w:val="0"/>
        <w:spacing w:after="0" w:line="288" w:lineRule="auto"/>
        <w:rPr>
          <w:rFonts w:ascii="Arial" w:hAnsi="Arial" w:cs="Arial"/>
          <w:b/>
          <w:bCs/>
          <w:sz w:val="32"/>
          <w:szCs w:val="32"/>
        </w:rPr>
      </w:pPr>
      <w:r>
        <w:rPr>
          <w:rFonts w:ascii="Arial" w:hAnsi="Arial" w:cs="Arial"/>
          <w:b/>
          <w:bCs/>
          <w:sz w:val="32"/>
          <w:szCs w:val="32"/>
        </w:rPr>
        <w:t>12、符合条件的残疾人福利性单位在参加政府采购活动时，应当提供《残疾人福利性单位声明函》（见附件），并对声明的真实性负责。</w:t>
      </w:r>
    </w:p>
    <w:p>
      <w:pPr>
        <w:pageBreakBefore w:val="0"/>
        <w:kinsoku/>
        <w:wordWrap/>
        <w:overflowPunct/>
        <w:topLinePunct w:val="0"/>
        <w:bidi w:val="0"/>
        <w:spacing w:after="0" w:line="288" w:lineRule="auto"/>
        <w:jc w:val="center"/>
        <w:rPr>
          <w:rFonts w:ascii="Arial" w:hAnsi="Arial" w:cs="Arial"/>
          <w:b/>
          <w:spacing w:val="6"/>
          <w:sz w:val="32"/>
          <w:szCs w:val="32"/>
        </w:rPr>
      </w:pPr>
      <w:bookmarkStart w:id="56" w:name="OLE_LINK13"/>
      <w:bookmarkStart w:id="57" w:name="OLE_LINK14"/>
      <w:r>
        <w:rPr>
          <w:rFonts w:ascii="Arial" w:hAnsi="Arial" w:cs="Arial"/>
          <w:b/>
          <w:spacing w:val="6"/>
          <w:sz w:val="32"/>
          <w:szCs w:val="32"/>
        </w:rPr>
        <w:t>残疾人福利性单位声明函</w:t>
      </w:r>
    </w:p>
    <w:bookmarkEnd w:id="56"/>
    <w:bookmarkEnd w:id="57"/>
    <w:p>
      <w:pPr>
        <w:pageBreakBefore w:val="0"/>
        <w:kinsoku/>
        <w:wordWrap/>
        <w:overflowPunct/>
        <w:topLinePunct w:val="0"/>
        <w:bidi w:val="0"/>
        <w:spacing w:after="0" w:line="288" w:lineRule="auto"/>
        <w:rPr>
          <w:rFonts w:ascii="Arial" w:hAnsi="Arial" w:cs="Arial"/>
          <w:b/>
          <w:spacing w:val="6"/>
          <w:sz w:val="30"/>
          <w:szCs w:val="30"/>
        </w:rPr>
      </w:pPr>
    </w:p>
    <w:p>
      <w:pPr>
        <w:pageBreakBefore w:val="0"/>
        <w:kinsoku/>
        <w:wordWrap/>
        <w:overflowPunct/>
        <w:topLinePunct w:val="0"/>
        <w:bidi w:val="0"/>
        <w:spacing w:after="0" w:line="288" w:lineRule="auto"/>
        <w:ind w:firstLine="444" w:firstLineChars="200"/>
        <w:rPr>
          <w:rFonts w:ascii="Arial" w:hAnsi="Arial" w:cs="Arial"/>
          <w:spacing w:val="6"/>
          <w:szCs w:val="21"/>
        </w:rPr>
      </w:pPr>
      <w:r>
        <w:rPr>
          <w:rFonts w:ascii="Arial" w:hAnsi="Arial" w:cs="Arial"/>
          <w:spacing w:val="6"/>
          <w:szCs w:val="21"/>
        </w:rPr>
        <w:t>本单位郑重声明，根据《财政部 民政部 中国残疾人联合会关于促进残疾人就业政府采购政策的通知》（财库</w:t>
      </w:r>
      <w:r>
        <w:rPr>
          <w:rFonts w:ascii="Arial" w:hAnsi="Arial" w:cs="Arial"/>
          <w:szCs w:val="21"/>
        </w:rPr>
        <w:t>〔2017〕 141</w:t>
      </w:r>
      <w:r>
        <w:rPr>
          <w:rFonts w:ascii="Arial" w:hAnsi="Arial" w:cs="Arial"/>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ageBreakBefore w:val="0"/>
        <w:kinsoku/>
        <w:wordWrap/>
        <w:overflowPunct/>
        <w:topLinePunct w:val="0"/>
        <w:bidi w:val="0"/>
        <w:spacing w:after="0" w:line="288" w:lineRule="auto"/>
        <w:ind w:firstLine="444" w:firstLineChars="200"/>
        <w:rPr>
          <w:rFonts w:ascii="Arial" w:hAnsi="Arial" w:cs="Arial"/>
          <w:spacing w:val="6"/>
          <w:szCs w:val="21"/>
        </w:rPr>
      </w:pPr>
      <w:r>
        <w:rPr>
          <w:rFonts w:ascii="Arial" w:hAnsi="Arial" w:cs="Arial"/>
          <w:spacing w:val="6"/>
          <w:szCs w:val="21"/>
        </w:rPr>
        <w:t>本单位对上述声明的真实性负责。如有虚假，将依法承担相应责任。</w:t>
      </w:r>
    </w:p>
    <w:p>
      <w:pPr>
        <w:pageBreakBefore w:val="0"/>
        <w:kinsoku/>
        <w:wordWrap/>
        <w:overflowPunct/>
        <w:topLinePunct w:val="0"/>
        <w:bidi w:val="0"/>
        <w:spacing w:after="0" w:line="288" w:lineRule="auto"/>
        <w:ind w:firstLine="444" w:firstLineChars="200"/>
        <w:rPr>
          <w:rFonts w:ascii="Arial" w:hAnsi="Arial" w:cs="Arial"/>
          <w:spacing w:val="6"/>
          <w:szCs w:val="21"/>
        </w:rPr>
      </w:pPr>
    </w:p>
    <w:p>
      <w:pPr>
        <w:pageBreakBefore w:val="0"/>
        <w:kinsoku/>
        <w:wordWrap/>
        <w:overflowPunct/>
        <w:topLinePunct w:val="0"/>
        <w:bidi w:val="0"/>
        <w:spacing w:after="0" w:line="288" w:lineRule="auto"/>
        <w:ind w:firstLine="444" w:firstLineChars="200"/>
        <w:rPr>
          <w:rFonts w:ascii="Arial" w:hAnsi="Arial" w:cs="Arial"/>
          <w:spacing w:val="6"/>
          <w:szCs w:val="21"/>
        </w:rPr>
      </w:pPr>
    </w:p>
    <w:p>
      <w:pPr>
        <w:pageBreakBefore w:val="0"/>
        <w:kinsoku/>
        <w:wordWrap/>
        <w:overflowPunct/>
        <w:topLinePunct w:val="0"/>
        <w:bidi w:val="0"/>
        <w:spacing w:after="0" w:line="288" w:lineRule="auto"/>
        <w:ind w:firstLine="3774" w:firstLineChars="1700"/>
        <w:rPr>
          <w:rFonts w:ascii="Arial" w:hAnsi="Arial" w:cs="Arial"/>
          <w:spacing w:val="6"/>
          <w:szCs w:val="21"/>
        </w:rPr>
      </w:pPr>
      <w:r>
        <w:rPr>
          <w:rFonts w:ascii="Arial" w:hAnsi="Arial" w:cs="Arial"/>
          <w:spacing w:val="6"/>
          <w:szCs w:val="21"/>
        </w:rPr>
        <w:t>企业名称[盖公章（CA签章）]：</w:t>
      </w:r>
    </w:p>
    <w:p>
      <w:pPr>
        <w:pageBreakBefore w:val="0"/>
        <w:kinsoku/>
        <w:wordWrap/>
        <w:overflowPunct/>
        <w:topLinePunct w:val="0"/>
        <w:bidi w:val="0"/>
        <w:spacing w:after="0" w:line="288" w:lineRule="auto"/>
        <w:ind w:firstLine="3996" w:firstLineChars="1800"/>
        <w:rPr>
          <w:rFonts w:ascii="Arial" w:hAnsi="Arial" w:cs="Arial"/>
          <w:b/>
          <w:bCs/>
          <w:sz w:val="32"/>
          <w:szCs w:val="32"/>
        </w:rPr>
      </w:pPr>
      <w:r>
        <w:rPr>
          <w:rFonts w:ascii="Arial" w:hAnsi="Arial" w:cs="Arial"/>
          <w:spacing w:val="6"/>
          <w:szCs w:val="21"/>
        </w:rPr>
        <w:t>日期：</w:t>
      </w:r>
    </w:p>
    <w:p>
      <w:pPr>
        <w:pageBreakBefore w:val="0"/>
        <w:kinsoku/>
        <w:wordWrap/>
        <w:overflowPunct/>
        <w:topLinePunct w:val="0"/>
        <w:bidi w:val="0"/>
        <w:spacing w:after="0" w:line="288" w:lineRule="auto"/>
        <w:rPr>
          <w:rFonts w:ascii="Arial" w:hAnsi="Arial" w:cs="Arial"/>
          <w:b/>
          <w:bCs/>
          <w:sz w:val="32"/>
          <w:szCs w:val="32"/>
        </w:rPr>
      </w:pPr>
    </w:p>
    <w:p>
      <w:pPr>
        <w:pageBreakBefore w:val="0"/>
        <w:kinsoku/>
        <w:wordWrap/>
        <w:overflowPunct/>
        <w:topLinePunct w:val="0"/>
        <w:bidi w:val="0"/>
        <w:spacing w:after="0" w:line="288" w:lineRule="auto"/>
        <w:rPr>
          <w:rFonts w:ascii="Arial" w:hAnsi="Arial" w:cs="Arial"/>
          <w:b/>
          <w:bCs/>
          <w:sz w:val="32"/>
          <w:szCs w:val="32"/>
        </w:rPr>
      </w:pPr>
    </w:p>
    <w:p>
      <w:pPr>
        <w:pageBreakBefore w:val="0"/>
        <w:kinsoku/>
        <w:wordWrap/>
        <w:overflowPunct/>
        <w:topLinePunct w:val="0"/>
        <w:bidi w:val="0"/>
        <w:spacing w:after="0" w:line="288" w:lineRule="auto"/>
        <w:rPr>
          <w:rFonts w:ascii="Arial" w:hAnsi="Arial" w:cs="Arial"/>
          <w:b/>
          <w:bCs/>
          <w:sz w:val="32"/>
          <w:szCs w:val="32"/>
        </w:rPr>
      </w:pPr>
      <w:r>
        <w:rPr>
          <w:rFonts w:ascii="Arial" w:hAnsi="Arial" w:cs="Arial"/>
          <w:b/>
          <w:bCs/>
          <w:sz w:val="32"/>
          <w:szCs w:val="32"/>
        </w:rPr>
        <w:t>13、投标人可结合本项目的评标办法视自身情况自行提交相关证明材料。</w:t>
      </w:r>
    </w:p>
    <w:sectPr>
      <w:footerReference r:id="rId12" w:type="first"/>
      <w:footerReference r:id="rId11" w:type="default"/>
      <w:pgSz w:w="11906" w:h="16838"/>
      <w:pgMar w:top="1134" w:right="1134" w:bottom="1134" w:left="1134" w:header="720" w:footer="720" w:gutter="0"/>
      <w:cols w:space="720" w:num="1"/>
      <w:titlePg/>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创艺繁楷体">
    <w:altName w:val="黑体"/>
    <w:panose1 w:val="00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Microsoft YaHei UI">
    <w:panose1 w:val="020B0503020204020204"/>
    <w:charset w:val="86"/>
    <w:family w:val="swiss"/>
    <w:pitch w:val="default"/>
    <w:sig w:usb0="A0000287" w:usb1="28CF3C52" w:usb2="00000016" w:usb3="00000000" w:csb0="0004001F" w:csb1="00000000"/>
  </w:font>
  <w:font w:name="Ђˎ̥">
    <w:altName w:val="Times New Roman"/>
    <w:panose1 w:val="00000000000000000000"/>
    <w:charset w:val="00"/>
    <w:family w:val="auto"/>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Helvetica">
    <w:panose1 w:val="020B0604020202020204"/>
    <w:charset w:val="00"/>
    <w:family w:val="swiss"/>
    <w:pitch w:val="default"/>
    <w:sig w:usb0="00000000" w:usb1="00000000" w:usb2="00000000" w:usb3="00000000" w:csb0="00000000" w:csb1="00000000"/>
  </w:font>
  <w:font w:name="_x000B__x000C_">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A0000287" w:usb1="28C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2"/>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Style w:val="53"/>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2"/>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OslhcQBAACQAwAADgAAAGRycy9lMm9Eb2MueG1srVPNjtMwEL4j8Q6W&#10;79RpWa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L2+yQn2AGhPvA6am4Y0fcG9mP6AzEx9UtPmLlAjGUd/zVV85JCLyo/Vqva4wJDA2XxCfPTwPEdJb&#10;6S3JRkMjDrDoyk/vIY2pc0qu5vydNqYM0bi/HIiZPSz3PvaYrTTsh4nQ3rdn5NPj7BvqcNUpMe8c&#10;SpvXZDbibOwnI9eA8PqYsHDpJ6OOUFMxHFRhNC1V3oQ/7yXr4Uf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NOslhcQBAACQAwAADgAAAAAAAAABACAAAAAeAQAAZHJzL2Uyb0RvYy54bWxQ&#10;SwUGAAAAAAYABgBZAQAAVAUAAAAA&#10;">
              <v:fill on="f" focussize="0,0"/>
              <v:stroke on="f"/>
              <v:imagedata o:title=""/>
              <o:lock v:ext="edit" aspectratio="f"/>
              <v:textbox inset="0mm,0mm,0mm,0mm" style="mso-fit-shape-to-text:t;">
                <w:txbxContent>
                  <w:p>
                    <w:pPr>
                      <w:pStyle w:val="32"/>
                    </w:pPr>
                    <w:r>
                      <w:fldChar w:fldCharType="begin"/>
                    </w:r>
                    <w:r>
                      <w:instrText xml:space="preserve"> PAGE  \* MERGEFORMAT </w:instrText>
                    </w:r>
                    <w:r>
                      <w:fldChar w:fldCharType="separate"/>
                    </w:r>
                    <w:r>
                      <w:t>3</w:t>
                    </w:r>
                    <w:r>
                      <w:fldChar w:fldCharType="end"/>
                    </w:r>
                  </w:p>
                </w:txbxContent>
              </v:textbox>
            </v:shape>
          </w:pict>
        </mc:Fallback>
      </mc:AlternateContent>
    </w:r>
  </w:p>
  <w:p>
    <w:pPr>
      <w:pStyle w:val="3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2"/>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JUecQBAACQAwAADgAAAGRycy9lMm9Eb2MueG1srVPNjtMwEL4j8Q6W&#10;79Rp0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L2+yQn2AGhPvA6am4Y0fcG9mP6AzEx9UtPmLlAjGUd/zVV85JCLyo/Vqva4wJDA2XxCfPTwPEdJb&#10;6S3JRkMjDrDoyk/vIY2pc0qu5vydNqYM0bi/HIiZPSz3PvaYrTTsh4nQ3rdn5NPj7BvqcNUpMe8c&#10;SpvXZDbibOwnI9eA8PqYsHDpJ6OOUFMxHFRhNC1V3oQ/7yXr4Uf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AlJUecQBAACQAwAADgAAAAAAAAABACAAAAAeAQAAZHJzL2Uyb0RvYy54bWxQ&#10;SwUGAAAAAAYABgBZAQAAVAUAAAAA&#10;">
              <v:fill on="f" focussize="0,0"/>
              <v:stroke on="f"/>
              <v:imagedata o:title=""/>
              <o:lock v:ext="edit" aspectratio="f"/>
              <v:textbox inset="0mm,0mm,0mm,0mm" style="mso-fit-shape-to-text:t;">
                <w:txbxContent>
                  <w:p>
                    <w:pPr>
                      <w:pStyle w:val="32"/>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margin">
                <wp:posOffset>2803525</wp:posOffset>
              </wp:positionH>
              <wp:positionV relativeFrom="paragraph">
                <wp:posOffset>0</wp:posOffset>
              </wp:positionV>
              <wp:extent cx="499110" cy="16256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499110" cy="162560"/>
                      </a:xfrm>
                      <a:prstGeom prst="rect">
                        <a:avLst/>
                      </a:prstGeom>
                      <a:noFill/>
                      <a:ln w="6350">
                        <a:noFill/>
                      </a:ln>
                      <a:effectLst/>
                    </wps:spPr>
                    <wps:txbx>
                      <w:txbxContent>
                        <w:p/>
                        <w:p>
                          <w:pPr>
                            <w:pStyle w:val="21"/>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0.75pt;margin-top:0pt;height:12.8pt;width:39.3pt;mso-position-horizontal-relative:margin;z-index:-251655168;mso-width-relative:page;mso-height-relative:page;" filled="f" stroked="f" coordsize="21600,21600" o:gfxdata="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HWda3TWAAAABwEAAA8AAAAAAAAAAQAgAAAAIgAAAGRycy9kb3ducmV2&#10;LnhtbFBLAQIUABQAAAAIAIdO4kADss1nNwIAAGUEAAAOAAAAAAAAAAEAIAAAACUBAABkcnMvZTJv&#10;RG9jLnhtbFBLBQYAAAAABgAGAFkBAADOBQAAAAA=&#10;">
              <v:fill on="f" focussize="0,0"/>
              <v:stroke on="f" weight="0.5pt"/>
              <v:imagedata o:title=""/>
              <o:lock v:ext="edit" aspectratio="f"/>
              <v:textbox inset="0mm,0mm,0mm,0mm">
                <w:txbxContent>
                  <w:p/>
                  <w:p>
                    <w:pPr>
                      <w:pStyle w:val="21"/>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ascii="宋体" w:hAnsi="宋体"/>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2"/>
                          </w:pPr>
                          <w:r>
                            <w:fldChar w:fldCharType="begin"/>
                          </w:r>
                          <w:r>
                            <w:instrText xml:space="preserve"> PAGE  \* MERGEFORMAT </w:instrText>
                          </w:r>
                          <w:r>
                            <w:fldChar w:fldCharType="separate"/>
                          </w:r>
                          <w:r>
                            <w:t>72</w:t>
                          </w:r>
                          <w:r>
                            <w:fldChar w:fldCharType="end"/>
                          </w:r>
                        </w:p>
                      </w:txbxContent>
                    </wps:txbx>
                    <wps:bodyPr wrap="none" lIns="0" tIns="0" rIns="0" bIns="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GZ+3psQBAACQAwAADgAAAAAAAAABACAAAAAeAQAAZHJzL2Uyb0RvYy54bWxQ&#10;SwUGAAAAAAYABgBZAQAAVAUAAAAA&#10;">
              <v:fill on="f" focussize="0,0"/>
              <v:stroke on="f"/>
              <v:imagedata o:title=""/>
              <o:lock v:ext="edit" aspectratio="f"/>
              <v:textbox inset="0mm,0mm,0mm,0mm" style="mso-fit-shape-to-text:t;">
                <w:txbxContent>
                  <w:p>
                    <w:pPr>
                      <w:pStyle w:val="32"/>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2"/>
                          </w:pPr>
                          <w:r>
                            <w:fldChar w:fldCharType="begin"/>
                          </w:r>
                          <w:r>
                            <w:instrText xml:space="preserve"> PAGE  \* MERGEFORMAT </w:instrText>
                          </w:r>
                          <w:r>
                            <w:fldChar w:fldCharType="separate"/>
                          </w:r>
                          <w:r>
                            <w:t>71</w:t>
                          </w:r>
                          <w:r>
                            <w:fldChar w:fldCharType="end"/>
                          </w:r>
                        </w:p>
                      </w:txbxContent>
                    </wps:txbx>
                    <wps:bodyPr wrap="none" lIns="0" tIns="0" rIns="0" bIns="0">
                      <a:spAutoFit/>
                    </wps:bodyPr>
                  </wps:wsp>
                </a:graphicData>
              </a:graphic>
            </wp:anchor>
          </w:drawing>
        </mc:Choice>
        <mc:Fallback>
          <w:pict>
            <v:shape id="文本框 1037"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ybGWsQBAACQAwAADgAAAGRycy9lMm9Eb2MueG1srVPNjtMwEL4j8Q6W&#10;79Rpkdg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L2+yQn2AGhPvA6am4Y0fcG9mP6AzEx9UtPmLlAjGUd/zVV85JCLyo/Vqva4wJDA2XxCfPTwPEdJb&#10;6S3JRkMjDrDoyk/vIY2pc0qu5vydNqYM0bi/HIiZPSz3PvaYrTTsh4nQ3rdn5NPj7BvqcNUpMe8c&#10;SpvXZDbibOwnI9eA8PqYsHDpJ6OOUFMxHFRhNC1V3oQ/7yXr4Uf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LybGWsQBAACQAwAADgAAAAAAAAABACAAAAAeAQAAZHJzL2Uyb0RvYy54bWxQ&#10;SwUGAAAAAAYABgBZAQAAVAUAAAAA&#10;">
              <v:fill on="f" focussize="0,0"/>
              <v:stroke on="f"/>
              <v:imagedata o:title=""/>
              <o:lock v:ext="edit" aspectratio="f"/>
              <v:textbox inset="0mm,0mm,0mm,0mm" style="mso-fit-shape-to-text:t;">
                <w:txbxContent>
                  <w:p>
                    <w:pPr>
                      <w:pStyle w:val="32"/>
                    </w:pPr>
                    <w:r>
                      <w:fldChar w:fldCharType="begin"/>
                    </w:r>
                    <w:r>
                      <w:instrText xml:space="preserve"> PAGE  \* MERGEFORMAT </w:instrText>
                    </w:r>
                    <w:r>
                      <w:fldChar w:fldCharType="separate"/>
                    </w:r>
                    <w:r>
                      <w:t>71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tabs>
        <w:tab w:val="center" w:pos="0"/>
        <w:tab w:val="lef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D3EB60"/>
    <w:multiLevelType w:val="singleLevel"/>
    <w:tmpl w:val="F8D3EB60"/>
    <w:lvl w:ilvl="0" w:tentative="0">
      <w:start w:val="6"/>
      <w:numFmt w:val="decimal"/>
      <w:pStyle w:val="231"/>
      <w:suff w:val="space"/>
      <w:lvlText w:val="%1、"/>
      <w:lvlJc w:val="left"/>
    </w:lvl>
  </w:abstractNum>
  <w:abstractNum w:abstractNumId="1">
    <w:nsid w:val="00000012"/>
    <w:multiLevelType w:val="multilevel"/>
    <w:tmpl w:val="00000012"/>
    <w:lvl w:ilvl="0" w:tentative="0">
      <w:start w:val="1"/>
      <w:numFmt w:val="bullet"/>
      <w:pStyle w:val="264"/>
      <w:lvlText w:val=""/>
      <w:lvlJc w:val="left"/>
      <w:pPr>
        <w:tabs>
          <w:tab w:val="left" w:pos="284"/>
        </w:tabs>
        <w:ind w:left="284" w:hanging="284"/>
      </w:pPr>
      <w:rPr>
        <w:rFonts w:hint="default" w:ascii="Wingdings" w:hAnsi="Wingdings" w:cs="Wingdings"/>
        <w:color w:val="auto"/>
        <w:sz w:val="13"/>
        <w:szCs w:val="13"/>
        <w:u w:val="none"/>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2">
    <w:nsid w:val="4603DC6E"/>
    <w:multiLevelType w:val="singleLevel"/>
    <w:tmpl w:val="4603DC6E"/>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hideSpellingErrors/>
  <w:documentProtection w:enforcement="0"/>
  <w:defaultTabStop w:val="420"/>
  <w:drawingGridHorizontalSpacing w:val="105"/>
  <w:drawingGridVerticalSpacing w:val="16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wODkyZjQ2OGU5MTY3MDdjNzdlNWQ1YTE1MjM1NjUifQ=="/>
  </w:docVars>
  <w:rsids>
    <w:rsidRoot w:val="00172A27"/>
    <w:rsid w:val="0000012A"/>
    <w:rsid w:val="000004C3"/>
    <w:rsid w:val="000006A1"/>
    <w:rsid w:val="000007B3"/>
    <w:rsid w:val="00000B65"/>
    <w:rsid w:val="00000D4B"/>
    <w:rsid w:val="00000E16"/>
    <w:rsid w:val="000013C5"/>
    <w:rsid w:val="000015A9"/>
    <w:rsid w:val="0000245C"/>
    <w:rsid w:val="00002511"/>
    <w:rsid w:val="00002604"/>
    <w:rsid w:val="00002682"/>
    <w:rsid w:val="000026D2"/>
    <w:rsid w:val="00002789"/>
    <w:rsid w:val="00003406"/>
    <w:rsid w:val="0000401E"/>
    <w:rsid w:val="00004D43"/>
    <w:rsid w:val="00004D70"/>
    <w:rsid w:val="00005ACF"/>
    <w:rsid w:val="00006148"/>
    <w:rsid w:val="0000614D"/>
    <w:rsid w:val="000064D3"/>
    <w:rsid w:val="00006620"/>
    <w:rsid w:val="000066AE"/>
    <w:rsid w:val="000067AD"/>
    <w:rsid w:val="0000687A"/>
    <w:rsid w:val="00006E28"/>
    <w:rsid w:val="0000703D"/>
    <w:rsid w:val="00007562"/>
    <w:rsid w:val="00007A12"/>
    <w:rsid w:val="00007D50"/>
    <w:rsid w:val="00007F96"/>
    <w:rsid w:val="00010630"/>
    <w:rsid w:val="0001073E"/>
    <w:rsid w:val="00010794"/>
    <w:rsid w:val="00010881"/>
    <w:rsid w:val="00010A38"/>
    <w:rsid w:val="00010BBE"/>
    <w:rsid w:val="00010CBD"/>
    <w:rsid w:val="00010EAD"/>
    <w:rsid w:val="00011006"/>
    <w:rsid w:val="00011292"/>
    <w:rsid w:val="00011968"/>
    <w:rsid w:val="00011FE5"/>
    <w:rsid w:val="000129F9"/>
    <w:rsid w:val="00012CDC"/>
    <w:rsid w:val="0001300C"/>
    <w:rsid w:val="0001389F"/>
    <w:rsid w:val="000139C8"/>
    <w:rsid w:val="000139E0"/>
    <w:rsid w:val="00013C53"/>
    <w:rsid w:val="00014897"/>
    <w:rsid w:val="000154C2"/>
    <w:rsid w:val="00015616"/>
    <w:rsid w:val="000161E6"/>
    <w:rsid w:val="000168D8"/>
    <w:rsid w:val="00016CCE"/>
    <w:rsid w:val="00016E25"/>
    <w:rsid w:val="00016EAE"/>
    <w:rsid w:val="00016F9A"/>
    <w:rsid w:val="00017DAA"/>
    <w:rsid w:val="00020282"/>
    <w:rsid w:val="000202D2"/>
    <w:rsid w:val="000204F7"/>
    <w:rsid w:val="00020654"/>
    <w:rsid w:val="000206E4"/>
    <w:rsid w:val="00020A3D"/>
    <w:rsid w:val="00020C2E"/>
    <w:rsid w:val="00021DAE"/>
    <w:rsid w:val="00021F5A"/>
    <w:rsid w:val="000226EF"/>
    <w:rsid w:val="00022963"/>
    <w:rsid w:val="00022A04"/>
    <w:rsid w:val="00022A91"/>
    <w:rsid w:val="00022F6B"/>
    <w:rsid w:val="0002300B"/>
    <w:rsid w:val="00023496"/>
    <w:rsid w:val="0002367F"/>
    <w:rsid w:val="000238DE"/>
    <w:rsid w:val="00023CCC"/>
    <w:rsid w:val="00023DD3"/>
    <w:rsid w:val="00024D1C"/>
    <w:rsid w:val="00024F38"/>
    <w:rsid w:val="000250DF"/>
    <w:rsid w:val="00025140"/>
    <w:rsid w:val="000253B5"/>
    <w:rsid w:val="000255CC"/>
    <w:rsid w:val="00025C4D"/>
    <w:rsid w:val="00025E35"/>
    <w:rsid w:val="0002600E"/>
    <w:rsid w:val="00026487"/>
    <w:rsid w:val="00026761"/>
    <w:rsid w:val="00026A9C"/>
    <w:rsid w:val="00026BD0"/>
    <w:rsid w:val="00026E89"/>
    <w:rsid w:val="00027622"/>
    <w:rsid w:val="00027726"/>
    <w:rsid w:val="00027751"/>
    <w:rsid w:val="00027D0D"/>
    <w:rsid w:val="00027F50"/>
    <w:rsid w:val="00030259"/>
    <w:rsid w:val="0003076B"/>
    <w:rsid w:val="000316C6"/>
    <w:rsid w:val="00031B0B"/>
    <w:rsid w:val="00031D23"/>
    <w:rsid w:val="000320DB"/>
    <w:rsid w:val="00032174"/>
    <w:rsid w:val="00032419"/>
    <w:rsid w:val="0003258D"/>
    <w:rsid w:val="00033233"/>
    <w:rsid w:val="000332A4"/>
    <w:rsid w:val="00033375"/>
    <w:rsid w:val="00033A28"/>
    <w:rsid w:val="00033C62"/>
    <w:rsid w:val="00033EC0"/>
    <w:rsid w:val="00033F0A"/>
    <w:rsid w:val="00034267"/>
    <w:rsid w:val="00034581"/>
    <w:rsid w:val="000349A6"/>
    <w:rsid w:val="00034AA8"/>
    <w:rsid w:val="00034B0E"/>
    <w:rsid w:val="00034CB2"/>
    <w:rsid w:val="00034D30"/>
    <w:rsid w:val="00034E5F"/>
    <w:rsid w:val="00035115"/>
    <w:rsid w:val="000353B8"/>
    <w:rsid w:val="0003540C"/>
    <w:rsid w:val="000357BE"/>
    <w:rsid w:val="00035820"/>
    <w:rsid w:val="00035C6F"/>
    <w:rsid w:val="0003625B"/>
    <w:rsid w:val="00036348"/>
    <w:rsid w:val="00036425"/>
    <w:rsid w:val="0003648C"/>
    <w:rsid w:val="00036594"/>
    <w:rsid w:val="00036645"/>
    <w:rsid w:val="0003700C"/>
    <w:rsid w:val="0003701E"/>
    <w:rsid w:val="00037242"/>
    <w:rsid w:val="000373A3"/>
    <w:rsid w:val="00037991"/>
    <w:rsid w:val="000400C0"/>
    <w:rsid w:val="00040265"/>
    <w:rsid w:val="00040678"/>
    <w:rsid w:val="00041762"/>
    <w:rsid w:val="0004176F"/>
    <w:rsid w:val="00041B7D"/>
    <w:rsid w:val="00042135"/>
    <w:rsid w:val="00042363"/>
    <w:rsid w:val="000424CE"/>
    <w:rsid w:val="000425C4"/>
    <w:rsid w:val="00042AE1"/>
    <w:rsid w:val="00042BC6"/>
    <w:rsid w:val="00042DAA"/>
    <w:rsid w:val="00042F69"/>
    <w:rsid w:val="00043386"/>
    <w:rsid w:val="000433E9"/>
    <w:rsid w:val="00043442"/>
    <w:rsid w:val="00043480"/>
    <w:rsid w:val="00043717"/>
    <w:rsid w:val="000437F8"/>
    <w:rsid w:val="00043A83"/>
    <w:rsid w:val="00043BC9"/>
    <w:rsid w:val="00043FFC"/>
    <w:rsid w:val="00044162"/>
    <w:rsid w:val="00044210"/>
    <w:rsid w:val="0004422A"/>
    <w:rsid w:val="00044409"/>
    <w:rsid w:val="000447E7"/>
    <w:rsid w:val="00044C3F"/>
    <w:rsid w:val="00044E5F"/>
    <w:rsid w:val="00045341"/>
    <w:rsid w:val="000453CC"/>
    <w:rsid w:val="000454F4"/>
    <w:rsid w:val="000457ED"/>
    <w:rsid w:val="00045A4C"/>
    <w:rsid w:val="00045ABE"/>
    <w:rsid w:val="00045B3D"/>
    <w:rsid w:val="00045FA3"/>
    <w:rsid w:val="00045FD7"/>
    <w:rsid w:val="00046112"/>
    <w:rsid w:val="000468B0"/>
    <w:rsid w:val="00046A78"/>
    <w:rsid w:val="00047190"/>
    <w:rsid w:val="000473C1"/>
    <w:rsid w:val="00047877"/>
    <w:rsid w:val="000479BB"/>
    <w:rsid w:val="000479E2"/>
    <w:rsid w:val="000479F5"/>
    <w:rsid w:val="00047ED9"/>
    <w:rsid w:val="000500EE"/>
    <w:rsid w:val="00050126"/>
    <w:rsid w:val="00050402"/>
    <w:rsid w:val="0005043F"/>
    <w:rsid w:val="000517CE"/>
    <w:rsid w:val="0005184A"/>
    <w:rsid w:val="00051867"/>
    <w:rsid w:val="0005197B"/>
    <w:rsid w:val="00052295"/>
    <w:rsid w:val="00052409"/>
    <w:rsid w:val="00053E02"/>
    <w:rsid w:val="0005424F"/>
    <w:rsid w:val="000544AB"/>
    <w:rsid w:val="00054CFF"/>
    <w:rsid w:val="00055B00"/>
    <w:rsid w:val="000561BD"/>
    <w:rsid w:val="00056276"/>
    <w:rsid w:val="0005641F"/>
    <w:rsid w:val="0005796B"/>
    <w:rsid w:val="00057D96"/>
    <w:rsid w:val="000603BC"/>
    <w:rsid w:val="000606D6"/>
    <w:rsid w:val="00060B75"/>
    <w:rsid w:val="00061342"/>
    <w:rsid w:val="000617D3"/>
    <w:rsid w:val="000618AB"/>
    <w:rsid w:val="00061F14"/>
    <w:rsid w:val="0006246B"/>
    <w:rsid w:val="0006269C"/>
    <w:rsid w:val="00062724"/>
    <w:rsid w:val="00062834"/>
    <w:rsid w:val="000629C0"/>
    <w:rsid w:val="00062E08"/>
    <w:rsid w:val="00062EB9"/>
    <w:rsid w:val="00062F2B"/>
    <w:rsid w:val="0006344A"/>
    <w:rsid w:val="00063580"/>
    <w:rsid w:val="00063621"/>
    <w:rsid w:val="000636A3"/>
    <w:rsid w:val="00063726"/>
    <w:rsid w:val="00063738"/>
    <w:rsid w:val="0006377B"/>
    <w:rsid w:val="00063C67"/>
    <w:rsid w:val="0006408B"/>
    <w:rsid w:val="00064127"/>
    <w:rsid w:val="000645BF"/>
    <w:rsid w:val="00064792"/>
    <w:rsid w:val="00064C4A"/>
    <w:rsid w:val="00064E88"/>
    <w:rsid w:val="00064E8B"/>
    <w:rsid w:val="00064FB1"/>
    <w:rsid w:val="00065005"/>
    <w:rsid w:val="00065821"/>
    <w:rsid w:val="0006602F"/>
    <w:rsid w:val="00066254"/>
    <w:rsid w:val="0006630F"/>
    <w:rsid w:val="000663F2"/>
    <w:rsid w:val="00066927"/>
    <w:rsid w:val="00066F2F"/>
    <w:rsid w:val="000672F0"/>
    <w:rsid w:val="000675B5"/>
    <w:rsid w:val="00067724"/>
    <w:rsid w:val="00070648"/>
    <w:rsid w:val="0007072F"/>
    <w:rsid w:val="00070772"/>
    <w:rsid w:val="000707BA"/>
    <w:rsid w:val="00070B84"/>
    <w:rsid w:val="00070FF6"/>
    <w:rsid w:val="000711F4"/>
    <w:rsid w:val="000712BA"/>
    <w:rsid w:val="00071826"/>
    <w:rsid w:val="00072073"/>
    <w:rsid w:val="00072AEC"/>
    <w:rsid w:val="00072AF3"/>
    <w:rsid w:val="00072D9B"/>
    <w:rsid w:val="00072D9F"/>
    <w:rsid w:val="00072FDE"/>
    <w:rsid w:val="00072FFA"/>
    <w:rsid w:val="000731E0"/>
    <w:rsid w:val="0007321D"/>
    <w:rsid w:val="00073C31"/>
    <w:rsid w:val="00073C64"/>
    <w:rsid w:val="00073EB9"/>
    <w:rsid w:val="00074060"/>
    <w:rsid w:val="000740EE"/>
    <w:rsid w:val="00074441"/>
    <w:rsid w:val="000746D3"/>
    <w:rsid w:val="000749B8"/>
    <w:rsid w:val="00074AAC"/>
    <w:rsid w:val="00075405"/>
    <w:rsid w:val="000759B4"/>
    <w:rsid w:val="00075AC6"/>
    <w:rsid w:val="00075D5A"/>
    <w:rsid w:val="000763B8"/>
    <w:rsid w:val="00076B31"/>
    <w:rsid w:val="00076E15"/>
    <w:rsid w:val="00076E2B"/>
    <w:rsid w:val="00076EB0"/>
    <w:rsid w:val="000770CA"/>
    <w:rsid w:val="00077752"/>
    <w:rsid w:val="00077D13"/>
    <w:rsid w:val="00080006"/>
    <w:rsid w:val="00080266"/>
    <w:rsid w:val="00080275"/>
    <w:rsid w:val="00080A97"/>
    <w:rsid w:val="00080FD4"/>
    <w:rsid w:val="00081197"/>
    <w:rsid w:val="000814F4"/>
    <w:rsid w:val="000815D9"/>
    <w:rsid w:val="0008204A"/>
    <w:rsid w:val="0008283C"/>
    <w:rsid w:val="0008293E"/>
    <w:rsid w:val="00082B1E"/>
    <w:rsid w:val="00082B33"/>
    <w:rsid w:val="00082F26"/>
    <w:rsid w:val="00082F5E"/>
    <w:rsid w:val="0008337B"/>
    <w:rsid w:val="000834F1"/>
    <w:rsid w:val="000834F3"/>
    <w:rsid w:val="000837D7"/>
    <w:rsid w:val="000837F6"/>
    <w:rsid w:val="00083AFC"/>
    <w:rsid w:val="00083FD6"/>
    <w:rsid w:val="00084064"/>
    <w:rsid w:val="0008435F"/>
    <w:rsid w:val="000844B3"/>
    <w:rsid w:val="000844D5"/>
    <w:rsid w:val="00085194"/>
    <w:rsid w:val="00085993"/>
    <w:rsid w:val="00085EE0"/>
    <w:rsid w:val="00086436"/>
    <w:rsid w:val="0008648A"/>
    <w:rsid w:val="00086806"/>
    <w:rsid w:val="000870A4"/>
    <w:rsid w:val="00087492"/>
    <w:rsid w:val="00087856"/>
    <w:rsid w:val="00087C2E"/>
    <w:rsid w:val="00087C30"/>
    <w:rsid w:val="00087CA9"/>
    <w:rsid w:val="00087D46"/>
    <w:rsid w:val="000900BE"/>
    <w:rsid w:val="0009027F"/>
    <w:rsid w:val="00090354"/>
    <w:rsid w:val="000907F9"/>
    <w:rsid w:val="00090D0B"/>
    <w:rsid w:val="00090E1D"/>
    <w:rsid w:val="0009120F"/>
    <w:rsid w:val="00091782"/>
    <w:rsid w:val="0009192D"/>
    <w:rsid w:val="00091ADC"/>
    <w:rsid w:val="000921D6"/>
    <w:rsid w:val="00092BFA"/>
    <w:rsid w:val="00093279"/>
    <w:rsid w:val="00093502"/>
    <w:rsid w:val="0009376D"/>
    <w:rsid w:val="0009387F"/>
    <w:rsid w:val="0009423E"/>
    <w:rsid w:val="0009450E"/>
    <w:rsid w:val="00094868"/>
    <w:rsid w:val="000948B7"/>
    <w:rsid w:val="0009499A"/>
    <w:rsid w:val="0009500F"/>
    <w:rsid w:val="0009583E"/>
    <w:rsid w:val="000959AF"/>
    <w:rsid w:val="00095D3B"/>
    <w:rsid w:val="0009609B"/>
    <w:rsid w:val="00096254"/>
    <w:rsid w:val="0009629E"/>
    <w:rsid w:val="0009657E"/>
    <w:rsid w:val="00096B3D"/>
    <w:rsid w:val="0009733E"/>
    <w:rsid w:val="000973FB"/>
    <w:rsid w:val="000976BA"/>
    <w:rsid w:val="00097B00"/>
    <w:rsid w:val="000A09F9"/>
    <w:rsid w:val="000A0AA7"/>
    <w:rsid w:val="000A0C84"/>
    <w:rsid w:val="000A1985"/>
    <w:rsid w:val="000A1BFC"/>
    <w:rsid w:val="000A1C5C"/>
    <w:rsid w:val="000A1DCF"/>
    <w:rsid w:val="000A22E4"/>
    <w:rsid w:val="000A2348"/>
    <w:rsid w:val="000A2B84"/>
    <w:rsid w:val="000A46D3"/>
    <w:rsid w:val="000A482E"/>
    <w:rsid w:val="000A608F"/>
    <w:rsid w:val="000A611F"/>
    <w:rsid w:val="000A641D"/>
    <w:rsid w:val="000A6775"/>
    <w:rsid w:val="000A6ADE"/>
    <w:rsid w:val="000A6BCA"/>
    <w:rsid w:val="000A6BDC"/>
    <w:rsid w:val="000A6C13"/>
    <w:rsid w:val="000A6E55"/>
    <w:rsid w:val="000A7020"/>
    <w:rsid w:val="000A715A"/>
    <w:rsid w:val="000B005F"/>
    <w:rsid w:val="000B0082"/>
    <w:rsid w:val="000B05FC"/>
    <w:rsid w:val="000B0948"/>
    <w:rsid w:val="000B147E"/>
    <w:rsid w:val="000B14E2"/>
    <w:rsid w:val="000B15DC"/>
    <w:rsid w:val="000B1865"/>
    <w:rsid w:val="000B1E08"/>
    <w:rsid w:val="000B27B0"/>
    <w:rsid w:val="000B2D0F"/>
    <w:rsid w:val="000B2E07"/>
    <w:rsid w:val="000B31A5"/>
    <w:rsid w:val="000B3350"/>
    <w:rsid w:val="000B3403"/>
    <w:rsid w:val="000B3D49"/>
    <w:rsid w:val="000B3E02"/>
    <w:rsid w:val="000B414E"/>
    <w:rsid w:val="000B420E"/>
    <w:rsid w:val="000B48EC"/>
    <w:rsid w:val="000B4F53"/>
    <w:rsid w:val="000B4FB8"/>
    <w:rsid w:val="000B517B"/>
    <w:rsid w:val="000B5482"/>
    <w:rsid w:val="000B599B"/>
    <w:rsid w:val="000B5E60"/>
    <w:rsid w:val="000B60B8"/>
    <w:rsid w:val="000B6149"/>
    <w:rsid w:val="000B6464"/>
    <w:rsid w:val="000B64C2"/>
    <w:rsid w:val="000B6616"/>
    <w:rsid w:val="000B67FF"/>
    <w:rsid w:val="000B6D4B"/>
    <w:rsid w:val="000B714A"/>
    <w:rsid w:val="000B7280"/>
    <w:rsid w:val="000B7A46"/>
    <w:rsid w:val="000B7B41"/>
    <w:rsid w:val="000B7B6B"/>
    <w:rsid w:val="000B7F54"/>
    <w:rsid w:val="000B7FAD"/>
    <w:rsid w:val="000C0179"/>
    <w:rsid w:val="000C03F3"/>
    <w:rsid w:val="000C042D"/>
    <w:rsid w:val="000C06FF"/>
    <w:rsid w:val="000C0BB1"/>
    <w:rsid w:val="000C0EC8"/>
    <w:rsid w:val="000C16C7"/>
    <w:rsid w:val="000C17B3"/>
    <w:rsid w:val="000C18B9"/>
    <w:rsid w:val="000C1BD4"/>
    <w:rsid w:val="000C1C14"/>
    <w:rsid w:val="000C1C47"/>
    <w:rsid w:val="000C1D34"/>
    <w:rsid w:val="000C1E87"/>
    <w:rsid w:val="000C1FFE"/>
    <w:rsid w:val="000C2649"/>
    <w:rsid w:val="000C27B4"/>
    <w:rsid w:val="000C3182"/>
    <w:rsid w:val="000C3627"/>
    <w:rsid w:val="000C3952"/>
    <w:rsid w:val="000C3D7C"/>
    <w:rsid w:val="000C3EBF"/>
    <w:rsid w:val="000C3EF9"/>
    <w:rsid w:val="000C4076"/>
    <w:rsid w:val="000C4226"/>
    <w:rsid w:val="000C46A7"/>
    <w:rsid w:val="000C4B4A"/>
    <w:rsid w:val="000C5511"/>
    <w:rsid w:val="000C577C"/>
    <w:rsid w:val="000C5EBC"/>
    <w:rsid w:val="000C5FD2"/>
    <w:rsid w:val="000C6007"/>
    <w:rsid w:val="000C63C1"/>
    <w:rsid w:val="000C6487"/>
    <w:rsid w:val="000C6699"/>
    <w:rsid w:val="000C66D5"/>
    <w:rsid w:val="000C6905"/>
    <w:rsid w:val="000C6B51"/>
    <w:rsid w:val="000C726B"/>
    <w:rsid w:val="000C7503"/>
    <w:rsid w:val="000C7DC0"/>
    <w:rsid w:val="000C7E03"/>
    <w:rsid w:val="000D04B5"/>
    <w:rsid w:val="000D05E6"/>
    <w:rsid w:val="000D07D7"/>
    <w:rsid w:val="000D0A2A"/>
    <w:rsid w:val="000D126F"/>
    <w:rsid w:val="000D197F"/>
    <w:rsid w:val="000D1AFE"/>
    <w:rsid w:val="000D1B22"/>
    <w:rsid w:val="000D1F8E"/>
    <w:rsid w:val="000D2C99"/>
    <w:rsid w:val="000D2F3F"/>
    <w:rsid w:val="000D3131"/>
    <w:rsid w:val="000D317E"/>
    <w:rsid w:val="000D3499"/>
    <w:rsid w:val="000D36E1"/>
    <w:rsid w:val="000D3ADD"/>
    <w:rsid w:val="000D416D"/>
    <w:rsid w:val="000D4271"/>
    <w:rsid w:val="000D5135"/>
    <w:rsid w:val="000D517B"/>
    <w:rsid w:val="000D565B"/>
    <w:rsid w:val="000D5A69"/>
    <w:rsid w:val="000D5D54"/>
    <w:rsid w:val="000D6183"/>
    <w:rsid w:val="000D6249"/>
    <w:rsid w:val="000D646A"/>
    <w:rsid w:val="000D6A86"/>
    <w:rsid w:val="000D6E52"/>
    <w:rsid w:val="000D6F87"/>
    <w:rsid w:val="000D7001"/>
    <w:rsid w:val="000D713C"/>
    <w:rsid w:val="000D7241"/>
    <w:rsid w:val="000D72DD"/>
    <w:rsid w:val="000D7491"/>
    <w:rsid w:val="000D761D"/>
    <w:rsid w:val="000D7811"/>
    <w:rsid w:val="000D7A57"/>
    <w:rsid w:val="000E026F"/>
    <w:rsid w:val="000E069C"/>
    <w:rsid w:val="000E07EE"/>
    <w:rsid w:val="000E1051"/>
    <w:rsid w:val="000E108D"/>
    <w:rsid w:val="000E125D"/>
    <w:rsid w:val="000E1421"/>
    <w:rsid w:val="000E1437"/>
    <w:rsid w:val="000E17A5"/>
    <w:rsid w:val="000E1819"/>
    <w:rsid w:val="000E1CA0"/>
    <w:rsid w:val="000E1EA9"/>
    <w:rsid w:val="000E20CC"/>
    <w:rsid w:val="000E221C"/>
    <w:rsid w:val="000E22CD"/>
    <w:rsid w:val="000E2C59"/>
    <w:rsid w:val="000E2D2A"/>
    <w:rsid w:val="000E2D3C"/>
    <w:rsid w:val="000E303C"/>
    <w:rsid w:val="000E3086"/>
    <w:rsid w:val="000E38D1"/>
    <w:rsid w:val="000E3A00"/>
    <w:rsid w:val="000E3CA8"/>
    <w:rsid w:val="000E3F9E"/>
    <w:rsid w:val="000E4714"/>
    <w:rsid w:val="000E477C"/>
    <w:rsid w:val="000E4A2E"/>
    <w:rsid w:val="000E4AA0"/>
    <w:rsid w:val="000E4FB0"/>
    <w:rsid w:val="000E5032"/>
    <w:rsid w:val="000E54B3"/>
    <w:rsid w:val="000E551D"/>
    <w:rsid w:val="000E559C"/>
    <w:rsid w:val="000E5A21"/>
    <w:rsid w:val="000E5F12"/>
    <w:rsid w:val="000E649A"/>
    <w:rsid w:val="000E657F"/>
    <w:rsid w:val="000E68E8"/>
    <w:rsid w:val="000E6BBF"/>
    <w:rsid w:val="000E6F2A"/>
    <w:rsid w:val="000E706C"/>
    <w:rsid w:val="000E7077"/>
    <w:rsid w:val="000E7078"/>
    <w:rsid w:val="000E7335"/>
    <w:rsid w:val="000E7358"/>
    <w:rsid w:val="000E75B1"/>
    <w:rsid w:val="000E7775"/>
    <w:rsid w:val="000F014D"/>
    <w:rsid w:val="000F0266"/>
    <w:rsid w:val="000F07E0"/>
    <w:rsid w:val="000F0927"/>
    <w:rsid w:val="000F09EA"/>
    <w:rsid w:val="000F0AEC"/>
    <w:rsid w:val="000F0DBF"/>
    <w:rsid w:val="000F0DF2"/>
    <w:rsid w:val="000F11A9"/>
    <w:rsid w:val="000F191D"/>
    <w:rsid w:val="000F1BF2"/>
    <w:rsid w:val="000F1C7B"/>
    <w:rsid w:val="000F1CC5"/>
    <w:rsid w:val="000F2286"/>
    <w:rsid w:val="000F23E7"/>
    <w:rsid w:val="000F2448"/>
    <w:rsid w:val="000F2502"/>
    <w:rsid w:val="000F25B0"/>
    <w:rsid w:val="000F2B3A"/>
    <w:rsid w:val="000F3291"/>
    <w:rsid w:val="000F33D3"/>
    <w:rsid w:val="000F3AA3"/>
    <w:rsid w:val="000F3DD7"/>
    <w:rsid w:val="000F3E81"/>
    <w:rsid w:val="000F441F"/>
    <w:rsid w:val="000F4691"/>
    <w:rsid w:val="000F4938"/>
    <w:rsid w:val="000F4D92"/>
    <w:rsid w:val="000F53D2"/>
    <w:rsid w:val="000F54DB"/>
    <w:rsid w:val="000F5A14"/>
    <w:rsid w:val="000F5BDD"/>
    <w:rsid w:val="000F6137"/>
    <w:rsid w:val="000F6477"/>
    <w:rsid w:val="000F660D"/>
    <w:rsid w:val="000F70A6"/>
    <w:rsid w:val="000F72C5"/>
    <w:rsid w:val="000F7404"/>
    <w:rsid w:val="000F7C5D"/>
    <w:rsid w:val="000F7D5B"/>
    <w:rsid w:val="001002A5"/>
    <w:rsid w:val="001008BE"/>
    <w:rsid w:val="0010113E"/>
    <w:rsid w:val="00101997"/>
    <w:rsid w:val="00101C2F"/>
    <w:rsid w:val="00101D45"/>
    <w:rsid w:val="001023DA"/>
    <w:rsid w:val="001024D8"/>
    <w:rsid w:val="001024DB"/>
    <w:rsid w:val="00102A2B"/>
    <w:rsid w:val="0010302E"/>
    <w:rsid w:val="0010328A"/>
    <w:rsid w:val="001033B5"/>
    <w:rsid w:val="0010354C"/>
    <w:rsid w:val="001038EB"/>
    <w:rsid w:val="00103B1E"/>
    <w:rsid w:val="00103D34"/>
    <w:rsid w:val="00104242"/>
    <w:rsid w:val="001043E8"/>
    <w:rsid w:val="00104738"/>
    <w:rsid w:val="00104B30"/>
    <w:rsid w:val="00104C25"/>
    <w:rsid w:val="00104FDF"/>
    <w:rsid w:val="001051FB"/>
    <w:rsid w:val="0010559B"/>
    <w:rsid w:val="00105E7C"/>
    <w:rsid w:val="0010632C"/>
    <w:rsid w:val="00106635"/>
    <w:rsid w:val="0010670C"/>
    <w:rsid w:val="001067C6"/>
    <w:rsid w:val="001067ED"/>
    <w:rsid w:val="00106E66"/>
    <w:rsid w:val="00107086"/>
    <w:rsid w:val="00107573"/>
    <w:rsid w:val="00107A97"/>
    <w:rsid w:val="00107AAB"/>
    <w:rsid w:val="00107DBE"/>
    <w:rsid w:val="00110045"/>
    <w:rsid w:val="001100AC"/>
    <w:rsid w:val="00110369"/>
    <w:rsid w:val="001108D0"/>
    <w:rsid w:val="00110BD9"/>
    <w:rsid w:val="00110C38"/>
    <w:rsid w:val="0011171E"/>
    <w:rsid w:val="001117CF"/>
    <w:rsid w:val="00111A1E"/>
    <w:rsid w:val="00111A2D"/>
    <w:rsid w:val="00111CA9"/>
    <w:rsid w:val="00111F0D"/>
    <w:rsid w:val="001121B3"/>
    <w:rsid w:val="001122AB"/>
    <w:rsid w:val="00112548"/>
    <w:rsid w:val="001125E9"/>
    <w:rsid w:val="00112720"/>
    <w:rsid w:val="00112739"/>
    <w:rsid w:val="001129FD"/>
    <w:rsid w:val="00112F5B"/>
    <w:rsid w:val="00113564"/>
    <w:rsid w:val="001136C8"/>
    <w:rsid w:val="00113996"/>
    <w:rsid w:val="00113A0E"/>
    <w:rsid w:val="00113A99"/>
    <w:rsid w:val="00113AF4"/>
    <w:rsid w:val="00113D84"/>
    <w:rsid w:val="0011408E"/>
    <w:rsid w:val="00114267"/>
    <w:rsid w:val="00114B86"/>
    <w:rsid w:val="00114FA5"/>
    <w:rsid w:val="001150E7"/>
    <w:rsid w:val="00115442"/>
    <w:rsid w:val="001156AD"/>
    <w:rsid w:val="00115FBC"/>
    <w:rsid w:val="001165E5"/>
    <w:rsid w:val="00116AF5"/>
    <w:rsid w:val="00116CBB"/>
    <w:rsid w:val="00117479"/>
    <w:rsid w:val="0011747F"/>
    <w:rsid w:val="001174AE"/>
    <w:rsid w:val="00117D20"/>
    <w:rsid w:val="00117E74"/>
    <w:rsid w:val="00120547"/>
    <w:rsid w:val="00120802"/>
    <w:rsid w:val="00120A1A"/>
    <w:rsid w:val="00120C48"/>
    <w:rsid w:val="0012191A"/>
    <w:rsid w:val="00121C75"/>
    <w:rsid w:val="00122027"/>
    <w:rsid w:val="0012219E"/>
    <w:rsid w:val="0012244F"/>
    <w:rsid w:val="001227B6"/>
    <w:rsid w:val="001234BD"/>
    <w:rsid w:val="001235F0"/>
    <w:rsid w:val="001236EF"/>
    <w:rsid w:val="00123920"/>
    <w:rsid w:val="001239B2"/>
    <w:rsid w:val="00123B65"/>
    <w:rsid w:val="00123B86"/>
    <w:rsid w:val="00123DC6"/>
    <w:rsid w:val="00123F81"/>
    <w:rsid w:val="001240C4"/>
    <w:rsid w:val="00124323"/>
    <w:rsid w:val="00124488"/>
    <w:rsid w:val="00124ACB"/>
    <w:rsid w:val="001255C6"/>
    <w:rsid w:val="00125C0B"/>
    <w:rsid w:val="0012638B"/>
    <w:rsid w:val="0012662D"/>
    <w:rsid w:val="00130193"/>
    <w:rsid w:val="00130246"/>
    <w:rsid w:val="0013024C"/>
    <w:rsid w:val="001303EA"/>
    <w:rsid w:val="0013041D"/>
    <w:rsid w:val="00130436"/>
    <w:rsid w:val="001307D0"/>
    <w:rsid w:val="00130ED1"/>
    <w:rsid w:val="00130EFA"/>
    <w:rsid w:val="0013113B"/>
    <w:rsid w:val="00131BB7"/>
    <w:rsid w:val="00131C08"/>
    <w:rsid w:val="00131D21"/>
    <w:rsid w:val="00131D24"/>
    <w:rsid w:val="0013248D"/>
    <w:rsid w:val="00132853"/>
    <w:rsid w:val="00132F97"/>
    <w:rsid w:val="00133180"/>
    <w:rsid w:val="001333DB"/>
    <w:rsid w:val="00133450"/>
    <w:rsid w:val="001335B1"/>
    <w:rsid w:val="001338BB"/>
    <w:rsid w:val="00133F22"/>
    <w:rsid w:val="001344C7"/>
    <w:rsid w:val="001346D2"/>
    <w:rsid w:val="00134BD1"/>
    <w:rsid w:val="00134CC7"/>
    <w:rsid w:val="001352A9"/>
    <w:rsid w:val="001358DD"/>
    <w:rsid w:val="00135AF7"/>
    <w:rsid w:val="0013648B"/>
    <w:rsid w:val="00136517"/>
    <w:rsid w:val="00136A87"/>
    <w:rsid w:val="00137749"/>
    <w:rsid w:val="00137DAB"/>
    <w:rsid w:val="0014115B"/>
    <w:rsid w:val="0014142F"/>
    <w:rsid w:val="001414E7"/>
    <w:rsid w:val="00141AE7"/>
    <w:rsid w:val="00141E3C"/>
    <w:rsid w:val="00142770"/>
    <w:rsid w:val="00142F10"/>
    <w:rsid w:val="00143102"/>
    <w:rsid w:val="0014329A"/>
    <w:rsid w:val="00143861"/>
    <w:rsid w:val="00143B0B"/>
    <w:rsid w:val="001440A4"/>
    <w:rsid w:val="00144815"/>
    <w:rsid w:val="00144F89"/>
    <w:rsid w:val="0014511C"/>
    <w:rsid w:val="00145537"/>
    <w:rsid w:val="00145D04"/>
    <w:rsid w:val="00145D1C"/>
    <w:rsid w:val="00146925"/>
    <w:rsid w:val="00146A57"/>
    <w:rsid w:val="00147BA6"/>
    <w:rsid w:val="00147DCD"/>
    <w:rsid w:val="00150049"/>
    <w:rsid w:val="00150055"/>
    <w:rsid w:val="00150239"/>
    <w:rsid w:val="001502A2"/>
    <w:rsid w:val="00150AE6"/>
    <w:rsid w:val="00150C40"/>
    <w:rsid w:val="00150D03"/>
    <w:rsid w:val="0015122B"/>
    <w:rsid w:val="001515E7"/>
    <w:rsid w:val="00151F67"/>
    <w:rsid w:val="001524E7"/>
    <w:rsid w:val="0015285A"/>
    <w:rsid w:val="0015299C"/>
    <w:rsid w:val="00152AED"/>
    <w:rsid w:val="0015313E"/>
    <w:rsid w:val="00153144"/>
    <w:rsid w:val="001531B4"/>
    <w:rsid w:val="001533BA"/>
    <w:rsid w:val="00153787"/>
    <w:rsid w:val="00153BBF"/>
    <w:rsid w:val="0015411D"/>
    <w:rsid w:val="00154382"/>
    <w:rsid w:val="001543DB"/>
    <w:rsid w:val="0015440E"/>
    <w:rsid w:val="00154C89"/>
    <w:rsid w:val="001552FB"/>
    <w:rsid w:val="001553AA"/>
    <w:rsid w:val="001555C9"/>
    <w:rsid w:val="00155976"/>
    <w:rsid w:val="00155B83"/>
    <w:rsid w:val="00155E4D"/>
    <w:rsid w:val="00156262"/>
    <w:rsid w:val="001563CA"/>
    <w:rsid w:val="00156979"/>
    <w:rsid w:val="00157320"/>
    <w:rsid w:val="00157B59"/>
    <w:rsid w:val="00157C06"/>
    <w:rsid w:val="00157CF4"/>
    <w:rsid w:val="001600D7"/>
    <w:rsid w:val="001608AE"/>
    <w:rsid w:val="00160D3E"/>
    <w:rsid w:val="00161375"/>
    <w:rsid w:val="0016138B"/>
    <w:rsid w:val="001613B7"/>
    <w:rsid w:val="001618F6"/>
    <w:rsid w:val="00161A39"/>
    <w:rsid w:val="00162D4C"/>
    <w:rsid w:val="00163584"/>
    <w:rsid w:val="001635A4"/>
    <w:rsid w:val="001638A6"/>
    <w:rsid w:val="001638BE"/>
    <w:rsid w:val="00163AF5"/>
    <w:rsid w:val="00163D46"/>
    <w:rsid w:val="00163F05"/>
    <w:rsid w:val="00163FCD"/>
    <w:rsid w:val="00164249"/>
    <w:rsid w:val="00164902"/>
    <w:rsid w:val="00164B7B"/>
    <w:rsid w:val="00165039"/>
    <w:rsid w:val="00165240"/>
    <w:rsid w:val="00165735"/>
    <w:rsid w:val="00166390"/>
    <w:rsid w:val="001666A4"/>
    <w:rsid w:val="001668E0"/>
    <w:rsid w:val="00166B91"/>
    <w:rsid w:val="00166CED"/>
    <w:rsid w:val="00166D70"/>
    <w:rsid w:val="00166F2B"/>
    <w:rsid w:val="001676DB"/>
    <w:rsid w:val="00167DAE"/>
    <w:rsid w:val="00167F1C"/>
    <w:rsid w:val="00170706"/>
    <w:rsid w:val="0017077B"/>
    <w:rsid w:val="00170B25"/>
    <w:rsid w:val="00170BD1"/>
    <w:rsid w:val="001711A4"/>
    <w:rsid w:val="00171203"/>
    <w:rsid w:val="001718C5"/>
    <w:rsid w:val="00171A3B"/>
    <w:rsid w:val="00171CE9"/>
    <w:rsid w:val="00171F84"/>
    <w:rsid w:val="0017246C"/>
    <w:rsid w:val="00172708"/>
    <w:rsid w:val="00172764"/>
    <w:rsid w:val="00172773"/>
    <w:rsid w:val="00172A27"/>
    <w:rsid w:val="00172A4E"/>
    <w:rsid w:val="00172C26"/>
    <w:rsid w:val="00172C70"/>
    <w:rsid w:val="0017302D"/>
    <w:rsid w:val="00173282"/>
    <w:rsid w:val="001734B9"/>
    <w:rsid w:val="0017384F"/>
    <w:rsid w:val="00173F97"/>
    <w:rsid w:val="00173FCF"/>
    <w:rsid w:val="00174053"/>
    <w:rsid w:val="00174754"/>
    <w:rsid w:val="0017481F"/>
    <w:rsid w:val="00174DAF"/>
    <w:rsid w:val="00174E31"/>
    <w:rsid w:val="00175540"/>
    <w:rsid w:val="00175739"/>
    <w:rsid w:val="001759B9"/>
    <w:rsid w:val="00175FAB"/>
    <w:rsid w:val="001760DA"/>
    <w:rsid w:val="0017628A"/>
    <w:rsid w:val="001769B1"/>
    <w:rsid w:val="001769F8"/>
    <w:rsid w:val="00176B9C"/>
    <w:rsid w:val="00177096"/>
    <w:rsid w:val="001771F7"/>
    <w:rsid w:val="00177FE8"/>
    <w:rsid w:val="00177FF3"/>
    <w:rsid w:val="001801FC"/>
    <w:rsid w:val="0018029F"/>
    <w:rsid w:val="001806E0"/>
    <w:rsid w:val="0018070A"/>
    <w:rsid w:val="00180926"/>
    <w:rsid w:val="001809E2"/>
    <w:rsid w:val="00180D74"/>
    <w:rsid w:val="0018107F"/>
    <w:rsid w:val="00181CCB"/>
    <w:rsid w:val="00181CEA"/>
    <w:rsid w:val="00181D44"/>
    <w:rsid w:val="00181DE6"/>
    <w:rsid w:val="00181E99"/>
    <w:rsid w:val="00181FE6"/>
    <w:rsid w:val="001820CF"/>
    <w:rsid w:val="001821F4"/>
    <w:rsid w:val="00182806"/>
    <w:rsid w:val="001834F8"/>
    <w:rsid w:val="00183D19"/>
    <w:rsid w:val="00183DF4"/>
    <w:rsid w:val="00183E19"/>
    <w:rsid w:val="00183F65"/>
    <w:rsid w:val="001841FA"/>
    <w:rsid w:val="0018477C"/>
    <w:rsid w:val="00185480"/>
    <w:rsid w:val="001857E0"/>
    <w:rsid w:val="00185904"/>
    <w:rsid w:val="00185E9E"/>
    <w:rsid w:val="0018632C"/>
    <w:rsid w:val="00186343"/>
    <w:rsid w:val="001863AB"/>
    <w:rsid w:val="001866AB"/>
    <w:rsid w:val="001866EC"/>
    <w:rsid w:val="001869D7"/>
    <w:rsid w:val="00186A0B"/>
    <w:rsid w:val="00186B2C"/>
    <w:rsid w:val="00186DB1"/>
    <w:rsid w:val="001872B9"/>
    <w:rsid w:val="0018738A"/>
    <w:rsid w:val="00187BD2"/>
    <w:rsid w:val="00187CB1"/>
    <w:rsid w:val="00187CDD"/>
    <w:rsid w:val="00187EDB"/>
    <w:rsid w:val="0019001C"/>
    <w:rsid w:val="00190215"/>
    <w:rsid w:val="001902E5"/>
    <w:rsid w:val="00190428"/>
    <w:rsid w:val="00190482"/>
    <w:rsid w:val="001904B0"/>
    <w:rsid w:val="00190984"/>
    <w:rsid w:val="00190AEF"/>
    <w:rsid w:val="00190D10"/>
    <w:rsid w:val="00190ED8"/>
    <w:rsid w:val="001910FD"/>
    <w:rsid w:val="00191433"/>
    <w:rsid w:val="001914DA"/>
    <w:rsid w:val="001916C2"/>
    <w:rsid w:val="00191864"/>
    <w:rsid w:val="00191958"/>
    <w:rsid w:val="001919E8"/>
    <w:rsid w:val="00191DC4"/>
    <w:rsid w:val="00191E24"/>
    <w:rsid w:val="00192C4E"/>
    <w:rsid w:val="0019308B"/>
    <w:rsid w:val="001934E3"/>
    <w:rsid w:val="00194117"/>
    <w:rsid w:val="00194200"/>
    <w:rsid w:val="0019428B"/>
    <w:rsid w:val="001942EB"/>
    <w:rsid w:val="00194589"/>
    <w:rsid w:val="001948C3"/>
    <w:rsid w:val="00194924"/>
    <w:rsid w:val="00194AC1"/>
    <w:rsid w:val="00194C79"/>
    <w:rsid w:val="00194EC2"/>
    <w:rsid w:val="0019500A"/>
    <w:rsid w:val="0019551E"/>
    <w:rsid w:val="001958CA"/>
    <w:rsid w:val="00195D31"/>
    <w:rsid w:val="00195E63"/>
    <w:rsid w:val="00196835"/>
    <w:rsid w:val="00197957"/>
    <w:rsid w:val="00197DF4"/>
    <w:rsid w:val="001A0CB6"/>
    <w:rsid w:val="001A0E8A"/>
    <w:rsid w:val="001A122A"/>
    <w:rsid w:val="001A15C0"/>
    <w:rsid w:val="001A16A9"/>
    <w:rsid w:val="001A1A16"/>
    <w:rsid w:val="001A1A33"/>
    <w:rsid w:val="001A1AEE"/>
    <w:rsid w:val="001A1C41"/>
    <w:rsid w:val="001A2E4E"/>
    <w:rsid w:val="001A2F4D"/>
    <w:rsid w:val="001A39D0"/>
    <w:rsid w:val="001A3D9F"/>
    <w:rsid w:val="001A415B"/>
    <w:rsid w:val="001A4211"/>
    <w:rsid w:val="001A43DB"/>
    <w:rsid w:val="001A4BAE"/>
    <w:rsid w:val="001A4F56"/>
    <w:rsid w:val="001A51FE"/>
    <w:rsid w:val="001A5487"/>
    <w:rsid w:val="001A5641"/>
    <w:rsid w:val="001A58E7"/>
    <w:rsid w:val="001A5C92"/>
    <w:rsid w:val="001A5EEF"/>
    <w:rsid w:val="001A5FD3"/>
    <w:rsid w:val="001A6217"/>
    <w:rsid w:val="001A62A0"/>
    <w:rsid w:val="001A64C4"/>
    <w:rsid w:val="001A68C1"/>
    <w:rsid w:val="001A6B02"/>
    <w:rsid w:val="001A6F5F"/>
    <w:rsid w:val="001A714B"/>
    <w:rsid w:val="001A71C3"/>
    <w:rsid w:val="001A71F4"/>
    <w:rsid w:val="001A74B6"/>
    <w:rsid w:val="001A7559"/>
    <w:rsid w:val="001A767B"/>
    <w:rsid w:val="001A7D50"/>
    <w:rsid w:val="001B00E3"/>
    <w:rsid w:val="001B02BF"/>
    <w:rsid w:val="001B0531"/>
    <w:rsid w:val="001B0C0F"/>
    <w:rsid w:val="001B0DD6"/>
    <w:rsid w:val="001B0E49"/>
    <w:rsid w:val="001B0F2C"/>
    <w:rsid w:val="001B16EB"/>
    <w:rsid w:val="001B1A2F"/>
    <w:rsid w:val="001B1ACB"/>
    <w:rsid w:val="001B213D"/>
    <w:rsid w:val="001B2294"/>
    <w:rsid w:val="001B2645"/>
    <w:rsid w:val="001B2830"/>
    <w:rsid w:val="001B2FDA"/>
    <w:rsid w:val="001B3238"/>
    <w:rsid w:val="001B3B43"/>
    <w:rsid w:val="001B3D61"/>
    <w:rsid w:val="001B4A8B"/>
    <w:rsid w:val="001B4DF4"/>
    <w:rsid w:val="001B4FD9"/>
    <w:rsid w:val="001B54F2"/>
    <w:rsid w:val="001B591A"/>
    <w:rsid w:val="001B593B"/>
    <w:rsid w:val="001B5976"/>
    <w:rsid w:val="001B5979"/>
    <w:rsid w:val="001B5ACC"/>
    <w:rsid w:val="001B5C67"/>
    <w:rsid w:val="001B5DA3"/>
    <w:rsid w:val="001B63BF"/>
    <w:rsid w:val="001B6F1E"/>
    <w:rsid w:val="001B7730"/>
    <w:rsid w:val="001B7839"/>
    <w:rsid w:val="001B7988"/>
    <w:rsid w:val="001C00F9"/>
    <w:rsid w:val="001C0AF7"/>
    <w:rsid w:val="001C0B9A"/>
    <w:rsid w:val="001C0BF1"/>
    <w:rsid w:val="001C0E3E"/>
    <w:rsid w:val="001C0E71"/>
    <w:rsid w:val="001C0EB1"/>
    <w:rsid w:val="001C159F"/>
    <w:rsid w:val="001C15EF"/>
    <w:rsid w:val="001C1A86"/>
    <w:rsid w:val="001C1C18"/>
    <w:rsid w:val="001C27CF"/>
    <w:rsid w:val="001C27DF"/>
    <w:rsid w:val="001C2C1A"/>
    <w:rsid w:val="001C2EFB"/>
    <w:rsid w:val="001C34BA"/>
    <w:rsid w:val="001C3707"/>
    <w:rsid w:val="001C3864"/>
    <w:rsid w:val="001C3AF1"/>
    <w:rsid w:val="001C4056"/>
    <w:rsid w:val="001C47CA"/>
    <w:rsid w:val="001C4E4F"/>
    <w:rsid w:val="001C51B8"/>
    <w:rsid w:val="001C5271"/>
    <w:rsid w:val="001C565B"/>
    <w:rsid w:val="001C57C7"/>
    <w:rsid w:val="001C581A"/>
    <w:rsid w:val="001C58F2"/>
    <w:rsid w:val="001C5993"/>
    <w:rsid w:val="001C61CE"/>
    <w:rsid w:val="001C6458"/>
    <w:rsid w:val="001C6B56"/>
    <w:rsid w:val="001C6BA1"/>
    <w:rsid w:val="001C701F"/>
    <w:rsid w:val="001C71B5"/>
    <w:rsid w:val="001C7570"/>
    <w:rsid w:val="001C7894"/>
    <w:rsid w:val="001D062B"/>
    <w:rsid w:val="001D0D38"/>
    <w:rsid w:val="001D0F2A"/>
    <w:rsid w:val="001D120F"/>
    <w:rsid w:val="001D16FF"/>
    <w:rsid w:val="001D1ABE"/>
    <w:rsid w:val="001D1E46"/>
    <w:rsid w:val="001D20A4"/>
    <w:rsid w:val="001D23BC"/>
    <w:rsid w:val="001D23F2"/>
    <w:rsid w:val="001D29BA"/>
    <w:rsid w:val="001D2A88"/>
    <w:rsid w:val="001D2E28"/>
    <w:rsid w:val="001D33EC"/>
    <w:rsid w:val="001D355E"/>
    <w:rsid w:val="001D357F"/>
    <w:rsid w:val="001D3968"/>
    <w:rsid w:val="001D3AB6"/>
    <w:rsid w:val="001D3AC0"/>
    <w:rsid w:val="001D3B77"/>
    <w:rsid w:val="001D3BCC"/>
    <w:rsid w:val="001D4377"/>
    <w:rsid w:val="001D465D"/>
    <w:rsid w:val="001D4B11"/>
    <w:rsid w:val="001D4B30"/>
    <w:rsid w:val="001D4C8D"/>
    <w:rsid w:val="001D4D3F"/>
    <w:rsid w:val="001D5124"/>
    <w:rsid w:val="001D55BB"/>
    <w:rsid w:val="001D5D94"/>
    <w:rsid w:val="001D5E08"/>
    <w:rsid w:val="001D5E18"/>
    <w:rsid w:val="001D5FED"/>
    <w:rsid w:val="001D6030"/>
    <w:rsid w:val="001D6066"/>
    <w:rsid w:val="001D60FE"/>
    <w:rsid w:val="001D6562"/>
    <w:rsid w:val="001D684F"/>
    <w:rsid w:val="001D6D23"/>
    <w:rsid w:val="001D76E0"/>
    <w:rsid w:val="001D7A51"/>
    <w:rsid w:val="001D7A70"/>
    <w:rsid w:val="001D7E5D"/>
    <w:rsid w:val="001E02D1"/>
    <w:rsid w:val="001E0534"/>
    <w:rsid w:val="001E0C63"/>
    <w:rsid w:val="001E0E73"/>
    <w:rsid w:val="001E0E8F"/>
    <w:rsid w:val="001E10B5"/>
    <w:rsid w:val="001E1365"/>
    <w:rsid w:val="001E148F"/>
    <w:rsid w:val="001E16DB"/>
    <w:rsid w:val="001E172A"/>
    <w:rsid w:val="001E1CC1"/>
    <w:rsid w:val="001E2128"/>
    <w:rsid w:val="001E267B"/>
    <w:rsid w:val="001E2BF6"/>
    <w:rsid w:val="001E2F3B"/>
    <w:rsid w:val="001E3014"/>
    <w:rsid w:val="001E361C"/>
    <w:rsid w:val="001E3645"/>
    <w:rsid w:val="001E3A28"/>
    <w:rsid w:val="001E3AEC"/>
    <w:rsid w:val="001E3F02"/>
    <w:rsid w:val="001E40F0"/>
    <w:rsid w:val="001E44F6"/>
    <w:rsid w:val="001E4584"/>
    <w:rsid w:val="001E489C"/>
    <w:rsid w:val="001E4A0F"/>
    <w:rsid w:val="001E4DF7"/>
    <w:rsid w:val="001E518E"/>
    <w:rsid w:val="001E52EC"/>
    <w:rsid w:val="001E539D"/>
    <w:rsid w:val="001E5888"/>
    <w:rsid w:val="001E5A19"/>
    <w:rsid w:val="001E5AFA"/>
    <w:rsid w:val="001E5E53"/>
    <w:rsid w:val="001E6034"/>
    <w:rsid w:val="001E637B"/>
    <w:rsid w:val="001E696A"/>
    <w:rsid w:val="001E6A46"/>
    <w:rsid w:val="001E6A68"/>
    <w:rsid w:val="001E6C70"/>
    <w:rsid w:val="001E75C5"/>
    <w:rsid w:val="001E784D"/>
    <w:rsid w:val="001E7FA3"/>
    <w:rsid w:val="001F02D9"/>
    <w:rsid w:val="001F0617"/>
    <w:rsid w:val="001F0875"/>
    <w:rsid w:val="001F0AFB"/>
    <w:rsid w:val="001F0D48"/>
    <w:rsid w:val="001F0D4F"/>
    <w:rsid w:val="001F0D71"/>
    <w:rsid w:val="001F1016"/>
    <w:rsid w:val="001F10E4"/>
    <w:rsid w:val="001F11A2"/>
    <w:rsid w:val="001F14D8"/>
    <w:rsid w:val="001F16AA"/>
    <w:rsid w:val="001F1853"/>
    <w:rsid w:val="001F1982"/>
    <w:rsid w:val="001F1CE7"/>
    <w:rsid w:val="001F2799"/>
    <w:rsid w:val="001F27FE"/>
    <w:rsid w:val="001F2A0D"/>
    <w:rsid w:val="001F2B87"/>
    <w:rsid w:val="001F2F7D"/>
    <w:rsid w:val="001F32A9"/>
    <w:rsid w:val="001F352D"/>
    <w:rsid w:val="001F3734"/>
    <w:rsid w:val="001F388F"/>
    <w:rsid w:val="001F3F5F"/>
    <w:rsid w:val="001F4007"/>
    <w:rsid w:val="001F4DC8"/>
    <w:rsid w:val="001F50A7"/>
    <w:rsid w:val="001F50E9"/>
    <w:rsid w:val="001F52D7"/>
    <w:rsid w:val="001F542B"/>
    <w:rsid w:val="001F550D"/>
    <w:rsid w:val="001F55EB"/>
    <w:rsid w:val="001F562A"/>
    <w:rsid w:val="001F565A"/>
    <w:rsid w:val="001F56B6"/>
    <w:rsid w:val="001F56EE"/>
    <w:rsid w:val="001F58B5"/>
    <w:rsid w:val="001F5959"/>
    <w:rsid w:val="001F5CA6"/>
    <w:rsid w:val="001F5E33"/>
    <w:rsid w:val="001F606B"/>
    <w:rsid w:val="001F6254"/>
    <w:rsid w:val="001F662E"/>
    <w:rsid w:val="001F732C"/>
    <w:rsid w:val="001F74E6"/>
    <w:rsid w:val="001F75C1"/>
    <w:rsid w:val="001F76A7"/>
    <w:rsid w:val="001F76EC"/>
    <w:rsid w:val="001F783B"/>
    <w:rsid w:val="001F7A67"/>
    <w:rsid w:val="001F7A84"/>
    <w:rsid w:val="001F7EC3"/>
    <w:rsid w:val="001F7FBE"/>
    <w:rsid w:val="0020050E"/>
    <w:rsid w:val="0020115A"/>
    <w:rsid w:val="002015CE"/>
    <w:rsid w:val="00201845"/>
    <w:rsid w:val="00201A83"/>
    <w:rsid w:val="00201F52"/>
    <w:rsid w:val="002020B3"/>
    <w:rsid w:val="0020234A"/>
    <w:rsid w:val="00202D01"/>
    <w:rsid w:val="00202DFC"/>
    <w:rsid w:val="00203469"/>
    <w:rsid w:val="0020373C"/>
    <w:rsid w:val="00204022"/>
    <w:rsid w:val="00204142"/>
    <w:rsid w:val="00204906"/>
    <w:rsid w:val="00205FBE"/>
    <w:rsid w:val="0020609C"/>
    <w:rsid w:val="0020612D"/>
    <w:rsid w:val="00206225"/>
    <w:rsid w:val="00206463"/>
    <w:rsid w:val="00206878"/>
    <w:rsid w:val="00206D6A"/>
    <w:rsid w:val="00206DF4"/>
    <w:rsid w:val="002101F3"/>
    <w:rsid w:val="00210258"/>
    <w:rsid w:val="002103F2"/>
    <w:rsid w:val="002106DB"/>
    <w:rsid w:val="00210833"/>
    <w:rsid w:val="002109BF"/>
    <w:rsid w:val="00210B4E"/>
    <w:rsid w:val="00210FA9"/>
    <w:rsid w:val="0021128A"/>
    <w:rsid w:val="002114CA"/>
    <w:rsid w:val="00211891"/>
    <w:rsid w:val="00211909"/>
    <w:rsid w:val="00211AA8"/>
    <w:rsid w:val="00211B16"/>
    <w:rsid w:val="00212153"/>
    <w:rsid w:val="00212305"/>
    <w:rsid w:val="00212499"/>
    <w:rsid w:val="0021258B"/>
    <w:rsid w:val="002125D6"/>
    <w:rsid w:val="00212626"/>
    <w:rsid w:val="0021325E"/>
    <w:rsid w:val="002133B5"/>
    <w:rsid w:val="00213573"/>
    <w:rsid w:val="002135A1"/>
    <w:rsid w:val="00213EC0"/>
    <w:rsid w:val="002144C8"/>
    <w:rsid w:val="002147A1"/>
    <w:rsid w:val="00214903"/>
    <w:rsid w:val="00214CC2"/>
    <w:rsid w:val="00214EFE"/>
    <w:rsid w:val="002158AF"/>
    <w:rsid w:val="00215AEE"/>
    <w:rsid w:val="00215FAE"/>
    <w:rsid w:val="00216381"/>
    <w:rsid w:val="00216B14"/>
    <w:rsid w:val="00216D6C"/>
    <w:rsid w:val="00217D07"/>
    <w:rsid w:val="00217E8D"/>
    <w:rsid w:val="00217EDD"/>
    <w:rsid w:val="00220601"/>
    <w:rsid w:val="00220638"/>
    <w:rsid w:val="0022092C"/>
    <w:rsid w:val="0022096C"/>
    <w:rsid w:val="00220BAE"/>
    <w:rsid w:val="00220BB9"/>
    <w:rsid w:val="00220EF6"/>
    <w:rsid w:val="00220F54"/>
    <w:rsid w:val="002210A3"/>
    <w:rsid w:val="0022114A"/>
    <w:rsid w:val="00221704"/>
    <w:rsid w:val="00221D21"/>
    <w:rsid w:val="0022348B"/>
    <w:rsid w:val="002239A4"/>
    <w:rsid w:val="002239CF"/>
    <w:rsid w:val="00223C0A"/>
    <w:rsid w:val="00223DBA"/>
    <w:rsid w:val="00224021"/>
    <w:rsid w:val="00224752"/>
    <w:rsid w:val="002248DF"/>
    <w:rsid w:val="00224E71"/>
    <w:rsid w:val="00224FE6"/>
    <w:rsid w:val="002253D1"/>
    <w:rsid w:val="00225858"/>
    <w:rsid w:val="00225AE7"/>
    <w:rsid w:val="0022630B"/>
    <w:rsid w:val="0022635C"/>
    <w:rsid w:val="00226ADF"/>
    <w:rsid w:val="00226B69"/>
    <w:rsid w:val="00226E99"/>
    <w:rsid w:val="00226F25"/>
    <w:rsid w:val="002274C9"/>
    <w:rsid w:val="002277F1"/>
    <w:rsid w:val="00227A3E"/>
    <w:rsid w:val="0023032D"/>
    <w:rsid w:val="00230A4D"/>
    <w:rsid w:val="00230D05"/>
    <w:rsid w:val="00230DF5"/>
    <w:rsid w:val="00230EDB"/>
    <w:rsid w:val="0023127B"/>
    <w:rsid w:val="002312B3"/>
    <w:rsid w:val="002313D1"/>
    <w:rsid w:val="00231C91"/>
    <w:rsid w:val="002323B1"/>
    <w:rsid w:val="0023253B"/>
    <w:rsid w:val="00233414"/>
    <w:rsid w:val="00233436"/>
    <w:rsid w:val="0023389F"/>
    <w:rsid w:val="002339C1"/>
    <w:rsid w:val="00233BD9"/>
    <w:rsid w:val="00233F40"/>
    <w:rsid w:val="0023410C"/>
    <w:rsid w:val="002346BF"/>
    <w:rsid w:val="00234B7A"/>
    <w:rsid w:val="00234C7A"/>
    <w:rsid w:val="00234DC8"/>
    <w:rsid w:val="0023591C"/>
    <w:rsid w:val="00235AD7"/>
    <w:rsid w:val="00235C30"/>
    <w:rsid w:val="00235C4F"/>
    <w:rsid w:val="00235C84"/>
    <w:rsid w:val="002362B3"/>
    <w:rsid w:val="00236898"/>
    <w:rsid w:val="00236CF7"/>
    <w:rsid w:val="002371CF"/>
    <w:rsid w:val="00237298"/>
    <w:rsid w:val="00237617"/>
    <w:rsid w:val="002378A6"/>
    <w:rsid w:val="00237B2F"/>
    <w:rsid w:val="00237D7B"/>
    <w:rsid w:val="00237DD4"/>
    <w:rsid w:val="002403AB"/>
    <w:rsid w:val="00240CCC"/>
    <w:rsid w:val="00240D1D"/>
    <w:rsid w:val="00240E8E"/>
    <w:rsid w:val="00241490"/>
    <w:rsid w:val="0024150B"/>
    <w:rsid w:val="00241A5C"/>
    <w:rsid w:val="00241F12"/>
    <w:rsid w:val="00242092"/>
    <w:rsid w:val="00242709"/>
    <w:rsid w:val="00242763"/>
    <w:rsid w:val="00242FD0"/>
    <w:rsid w:val="0024302E"/>
    <w:rsid w:val="002433E8"/>
    <w:rsid w:val="0024369D"/>
    <w:rsid w:val="00243F0E"/>
    <w:rsid w:val="002441BE"/>
    <w:rsid w:val="002447C1"/>
    <w:rsid w:val="002451C7"/>
    <w:rsid w:val="002453BE"/>
    <w:rsid w:val="0024622C"/>
    <w:rsid w:val="0024631A"/>
    <w:rsid w:val="0024656D"/>
    <w:rsid w:val="002468E5"/>
    <w:rsid w:val="00246B28"/>
    <w:rsid w:val="00246BC2"/>
    <w:rsid w:val="00246CF3"/>
    <w:rsid w:val="00246E50"/>
    <w:rsid w:val="00247F4C"/>
    <w:rsid w:val="002501A4"/>
    <w:rsid w:val="002502A8"/>
    <w:rsid w:val="0025120C"/>
    <w:rsid w:val="00251283"/>
    <w:rsid w:val="002513DE"/>
    <w:rsid w:val="00251655"/>
    <w:rsid w:val="00251851"/>
    <w:rsid w:val="00251C2F"/>
    <w:rsid w:val="00251C4A"/>
    <w:rsid w:val="00251E7B"/>
    <w:rsid w:val="002520F9"/>
    <w:rsid w:val="002522E4"/>
    <w:rsid w:val="002528CC"/>
    <w:rsid w:val="00252928"/>
    <w:rsid w:val="00252C24"/>
    <w:rsid w:val="00252D16"/>
    <w:rsid w:val="00252EB4"/>
    <w:rsid w:val="00252F49"/>
    <w:rsid w:val="0025316E"/>
    <w:rsid w:val="00253376"/>
    <w:rsid w:val="002533E3"/>
    <w:rsid w:val="00253443"/>
    <w:rsid w:val="00253667"/>
    <w:rsid w:val="00253715"/>
    <w:rsid w:val="0025374C"/>
    <w:rsid w:val="00253ADA"/>
    <w:rsid w:val="00253C52"/>
    <w:rsid w:val="002540D6"/>
    <w:rsid w:val="002544BE"/>
    <w:rsid w:val="00254BEC"/>
    <w:rsid w:val="0025548E"/>
    <w:rsid w:val="002554E4"/>
    <w:rsid w:val="0025555E"/>
    <w:rsid w:val="002556CD"/>
    <w:rsid w:val="0025597E"/>
    <w:rsid w:val="00255BF6"/>
    <w:rsid w:val="00255DC5"/>
    <w:rsid w:val="00255E37"/>
    <w:rsid w:val="002562BC"/>
    <w:rsid w:val="002566AC"/>
    <w:rsid w:val="0025695D"/>
    <w:rsid w:val="00256A19"/>
    <w:rsid w:val="00256D6E"/>
    <w:rsid w:val="00256FB5"/>
    <w:rsid w:val="00257272"/>
    <w:rsid w:val="00257557"/>
    <w:rsid w:val="00257620"/>
    <w:rsid w:val="00257747"/>
    <w:rsid w:val="00257990"/>
    <w:rsid w:val="002600ED"/>
    <w:rsid w:val="0026041B"/>
    <w:rsid w:val="00260586"/>
    <w:rsid w:val="00260593"/>
    <w:rsid w:val="002608E6"/>
    <w:rsid w:val="002609CA"/>
    <w:rsid w:val="00261726"/>
    <w:rsid w:val="00261A24"/>
    <w:rsid w:val="00262050"/>
    <w:rsid w:val="00262145"/>
    <w:rsid w:val="00262313"/>
    <w:rsid w:val="00262344"/>
    <w:rsid w:val="00262804"/>
    <w:rsid w:val="00262F55"/>
    <w:rsid w:val="002630F3"/>
    <w:rsid w:val="0026318C"/>
    <w:rsid w:val="002634B7"/>
    <w:rsid w:val="0026368C"/>
    <w:rsid w:val="00263CDC"/>
    <w:rsid w:val="002645AA"/>
    <w:rsid w:val="00264726"/>
    <w:rsid w:val="002647D1"/>
    <w:rsid w:val="00264E2B"/>
    <w:rsid w:val="00264FB7"/>
    <w:rsid w:val="00264FFE"/>
    <w:rsid w:val="002651CD"/>
    <w:rsid w:val="002653D3"/>
    <w:rsid w:val="0026598F"/>
    <w:rsid w:val="00265AAF"/>
    <w:rsid w:val="0026603A"/>
    <w:rsid w:val="0026658D"/>
    <w:rsid w:val="00266793"/>
    <w:rsid w:val="0026696D"/>
    <w:rsid w:val="00266F93"/>
    <w:rsid w:val="002674B7"/>
    <w:rsid w:val="0026774F"/>
    <w:rsid w:val="0026776F"/>
    <w:rsid w:val="00267B04"/>
    <w:rsid w:val="00267F0D"/>
    <w:rsid w:val="0027028A"/>
    <w:rsid w:val="002704A0"/>
    <w:rsid w:val="0027076D"/>
    <w:rsid w:val="002709A1"/>
    <w:rsid w:val="00270AAD"/>
    <w:rsid w:val="00271456"/>
    <w:rsid w:val="0027166D"/>
    <w:rsid w:val="00271858"/>
    <w:rsid w:val="00271A17"/>
    <w:rsid w:val="00271C57"/>
    <w:rsid w:val="00272089"/>
    <w:rsid w:val="00272705"/>
    <w:rsid w:val="00272AD4"/>
    <w:rsid w:val="00272CD9"/>
    <w:rsid w:val="00272CE1"/>
    <w:rsid w:val="00273431"/>
    <w:rsid w:val="00273516"/>
    <w:rsid w:val="0027356A"/>
    <w:rsid w:val="00273895"/>
    <w:rsid w:val="00273FCE"/>
    <w:rsid w:val="002744AE"/>
    <w:rsid w:val="00274B4D"/>
    <w:rsid w:val="00275002"/>
    <w:rsid w:val="00275110"/>
    <w:rsid w:val="0027554E"/>
    <w:rsid w:val="002755BC"/>
    <w:rsid w:val="00275877"/>
    <w:rsid w:val="00275A23"/>
    <w:rsid w:val="00275B61"/>
    <w:rsid w:val="00275F9B"/>
    <w:rsid w:val="0027652D"/>
    <w:rsid w:val="00276983"/>
    <w:rsid w:val="00276E83"/>
    <w:rsid w:val="00276EBC"/>
    <w:rsid w:val="002773E9"/>
    <w:rsid w:val="0027768C"/>
    <w:rsid w:val="002778E6"/>
    <w:rsid w:val="00277955"/>
    <w:rsid w:val="00277CA8"/>
    <w:rsid w:val="00277EC2"/>
    <w:rsid w:val="00280158"/>
    <w:rsid w:val="0028059E"/>
    <w:rsid w:val="00280D7F"/>
    <w:rsid w:val="00280E4B"/>
    <w:rsid w:val="00280E9D"/>
    <w:rsid w:val="00280EB0"/>
    <w:rsid w:val="0028149C"/>
    <w:rsid w:val="00281541"/>
    <w:rsid w:val="0028199A"/>
    <w:rsid w:val="00281B62"/>
    <w:rsid w:val="00281F87"/>
    <w:rsid w:val="0028228E"/>
    <w:rsid w:val="002824CA"/>
    <w:rsid w:val="00282762"/>
    <w:rsid w:val="00282C62"/>
    <w:rsid w:val="0028343A"/>
    <w:rsid w:val="00283845"/>
    <w:rsid w:val="002838D9"/>
    <w:rsid w:val="002839D5"/>
    <w:rsid w:val="00283A86"/>
    <w:rsid w:val="002846FC"/>
    <w:rsid w:val="00284BB7"/>
    <w:rsid w:val="00284FD0"/>
    <w:rsid w:val="0028552C"/>
    <w:rsid w:val="0028590A"/>
    <w:rsid w:val="0028599E"/>
    <w:rsid w:val="00285BAA"/>
    <w:rsid w:val="00285C46"/>
    <w:rsid w:val="00285EF9"/>
    <w:rsid w:val="0028643F"/>
    <w:rsid w:val="002864B5"/>
    <w:rsid w:val="0028724A"/>
    <w:rsid w:val="002874EA"/>
    <w:rsid w:val="002875FD"/>
    <w:rsid w:val="00287948"/>
    <w:rsid w:val="00287AAB"/>
    <w:rsid w:val="00287CD3"/>
    <w:rsid w:val="00287E74"/>
    <w:rsid w:val="00290204"/>
    <w:rsid w:val="002903D6"/>
    <w:rsid w:val="00290D12"/>
    <w:rsid w:val="00291283"/>
    <w:rsid w:val="002914D8"/>
    <w:rsid w:val="00291530"/>
    <w:rsid w:val="00291DB8"/>
    <w:rsid w:val="002921F8"/>
    <w:rsid w:val="002922EE"/>
    <w:rsid w:val="002923E8"/>
    <w:rsid w:val="002926ED"/>
    <w:rsid w:val="00292897"/>
    <w:rsid w:val="002928D7"/>
    <w:rsid w:val="00293A62"/>
    <w:rsid w:val="00293D03"/>
    <w:rsid w:val="00293F65"/>
    <w:rsid w:val="00293FD7"/>
    <w:rsid w:val="002940BC"/>
    <w:rsid w:val="00295200"/>
    <w:rsid w:val="00295B4E"/>
    <w:rsid w:val="00295C17"/>
    <w:rsid w:val="00295C18"/>
    <w:rsid w:val="0029650B"/>
    <w:rsid w:val="002965D8"/>
    <w:rsid w:val="0029661E"/>
    <w:rsid w:val="00296A17"/>
    <w:rsid w:val="00296A4D"/>
    <w:rsid w:val="00296BC8"/>
    <w:rsid w:val="00296F7D"/>
    <w:rsid w:val="002973ED"/>
    <w:rsid w:val="002979BC"/>
    <w:rsid w:val="002A0A4C"/>
    <w:rsid w:val="002A0DB4"/>
    <w:rsid w:val="002A199C"/>
    <w:rsid w:val="002A1EF2"/>
    <w:rsid w:val="002A22AA"/>
    <w:rsid w:val="002A2C11"/>
    <w:rsid w:val="002A30DC"/>
    <w:rsid w:val="002A36F9"/>
    <w:rsid w:val="002A39A3"/>
    <w:rsid w:val="002A3BA3"/>
    <w:rsid w:val="002A3CB1"/>
    <w:rsid w:val="002A425F"/>
    <w:rsid w:val="002A4399"/>
    <w:rsid w:val="002A44C2"/>
    <w:rsid w:val="002A46B7"/>
    <w:rsid w:val="002A4A83"/>
    <w:rsid w:val="002A4ADF"/>
    <w:rsid w:val="002A503D"/>
    <w:rsid w:val="002A5045"/>
    <w:rsid w:val="002A5B73"/>
    <w:rsid w:val="002A5C4E"/>
    <w:rsid w:val="002A5EED"/>
    <w:rsid w:val="002A6A6B"/>
    <w:rsid w:val="002A6EBA"/>
    <w:rsid w:val="002A7169"/>
    <w:rsid w:val="002A7189"/>
    <w:rsid w:val="002A72EE"/>
    <w:rsid w:val="002A79A9"/>
    <w:rsid w:val="002A7A32"/>
    <w:rsid w:val="002B007D"/>
    <w:rsid w:val="002B01C7"/>
    <w:rsid w:val="002B0292"/>
    <w:rsid w:val="002B02BA"/>
    <w:rsid w:val="002B055D"/>
    <w:rsid w:val="002B0603"/>
    <w:rsid w:val="002B0954"/>
    <w:rsid w:val="002B0D68"/>
    <w:rsid w:val="002B0D7C"/>
    <w:rsid w:val="002B0E35"/>
    <w:rsid w:val="002B1057"/>
    <w:rsid w:val="002B1492"/>
    <w:rsid w:val="002B1766"/>
    <w:rsid w:val="002B17F5"/>
    <w:rsid w:val="002B18FA"/>
    <w:rsid w:val="002B1B61"/>
    <w:rsid w:val="002B1C8D"/>
    <w:rsid w:val="002B1DF1"/>
    <w:rsid w:val="002B1F6E"/>
    <w:rsid w:val="002B2466"/>
    <w:rsid w:val="002B2565"/>
    <w:rsid w:val="002B270F"/>
    <w:rsid w:val="002B27BC"/>
    <w:rsid w:val="002B330D"/>
    <w:rsid w:val="002B3614"/>
    <w:rsid w:val="002B37A0"/>
    <w:rsid w:val="002B37E6"/>
    <w:rsid w:val="002B3F99"/>
    <w:rsid w:val="002B4043"/>
    <w:rsid w:val="002B4204"/>
    <w:rsid w:val="002B42FF"/>
    <w:rsid w:val="002B45E2"/>
    <w:rsid w:val="002B4705"/>
    <w:rsid w:val="002B486C"/>
    <w:rsid w:val="002B4AD8"/>
    <w:rsid w:val="002B4DE9"/>
    <w:rsid w:val="002B519B"/>
    <w:rsid w:val="002B522A"/>
    <w:rsid w:val="002B59CC"/>
    <w:rsid w:val="002B5A09"/>
    <w:rsid w:val="002B5F9F"/>
    <w:rsid w:val="002B61DC"/>
    <w:rsid w:val="002B673E"/>
    <w:rsid w:val="002B6870"/>
    <w:rsid w:val="002B6984"/>
    <w:rsid w:val="002B6B4B"/>
    <w:rsid w:val="002B6E72"/>
    <w:rsid w:val="002B7346"/>
    <w:rsid w:val="002B7691"/>
    <w:rsid w:val="002B7976"/>
    <w:rsid w:val="002B7B1C"/>
    <w:rsid w:val="002B7E97"/>
    <w:rsid w:val="002C0149"/>
    <w:rsid w:val="002C0295"/>
    <w:rsid w:val="002C0333"/>
    <w:rsid w:val="002C0535"/>
    <w:rsid w:val="002C082A"/>
    <w:rsid w:val="002C1004"/>
    <w:rsid w:val="002C1375"/>
    <w:rsid w:val="002C1D55"/>
    <w:rsid w:val="002C1D65"/>
    <w:rsid w:val="002C1E19"/>
    <w:rsid w:val="002C209E"/>
    <w:rsid w:val="002C2153"/>
    <w:rsid w:val="002C2224"/>
    <w:rsid w:val="002C2349"/>
    <w:rsid w:val="002C2536"/>
    <w:rsid w:val="002C2991"/>
    <w:rsid w:val="002C2B29"/>
    <w:rsid w:val="002C2B67"/>
    <w:rsid w:val="002C2E1D"/>
    <w:rsid w:val="002C3464"/>
    <w:rsid w:val="002C34AD"/>
    <w:rsid w:val="002C3FD2"/>
    <w:rsid w:val="002C4099"/>
    <w:rsid w:val="002C424A"/>
    <w:rsid w:val="002C4580"/>
    <w:rsid w:val="002C4990"/>
    <w:rsid w:val="002C4D0A"/>
    <w:rsid w:val="002C5383"/>
    <w:rsid w:val="002C53FE"/>
    <w:rsid w:val="002C5725"/>
    <w:rsid w:val="002C5968"/>
    <w:rsid w:val="002C5BB0"/>
    <w:rsid w:val="002C6852"/>
    <w:rsid w:val="002C6B47"/>
    <w:rsid w:val="002C6D53"/>
    <w:rsid w:val="002C6E0E"/>
    <w:rsid w:val="002C6E34"/>
    <w:rsid w:val="002C6E3A"/>
    <w:rsid w:val="002C6EC9"/>
    <w:rsid w:val="002C6F79"/>
    <w:rsid w:val="002C73F6"/>
    <w:rsid w:val="002C7C68"/>
    <w:rsid w:val="002D0323"/>
    <w:rsid w:val="002D063F"/>
    <w:rsid w:val="002D0976"/>
    <w:rsid w:val="002D0984"/>
    <w:rsid w:val="002D0CC4"/>
    <w:rsid w:val="002D1065"/>
    <w:rsid w:val="002D12C2"/>
    <w:rsid w:val="002D15A4"/>
    <w:rsid w:val="002D1988"/>
    <w:rsid w:val="002D19C1"/>
    <w:rsid w:val="002D1D26"/>
    <w:rsid w:val="002D213A"/>
    <w:rsid w:val="002D232A"/>
    <w:rsid w:val="002D27C9"/>
    <w:rsid w:val="002D2BCB"/>
    <w:rsid w:val="002D2CAE"/>
    <w:rsid w:val="002D2E7E"/>
    <w:rsid w:val="002D35BD"/>
    <w:rsid w:val="002D36C7"/>
    <w:rsid w:val="002D370A"/>
    <w:rsid w:val="002D3821"/>
    <w:rsid w:val="002D3D08"/>
    <w:rsid w:val="002D3DCC"/>
    <w:rsid w:val="002D3F19"/>
    <w:rsid w:val="002D42A0"/>
    <w:rsid w:val="002D4980"/>
    <w:rsid w:val="002D4CAA"/>
    <w:rsid w:val="002D52F6"/>
    <w:rsid w:val="002D55DE"/>
    <w:rsid w:val="002D5BA5"/>
    <w:rsid w:val="002D5DB3"/>
    <w:rsid w:val="002D5F03"/>
    <w:rsid w:val="002D695F"/>
    <w:rsid w:val="002D6981"/>
    <w:rsid w:val="002D6C59"/>
    <w:rsid w:val="002D6CAE"/>
    <w:rsid w:val="002D6D31"/>
    <w:rsid w:val="002D7041"/>
    <w:rsid w:val="002D7055"/>
    <w:rsid w:val="002D713F"/>
    <w:rsid w:val="002D78F5"/>
    <w:rsid w:val="002E0209"/>
    <w:rsid w:val="002E045E"/>
    <w:rsid w:val="002E04F8"/>
    <w:rsid w:val="002E077E"/>
    <w:rsid w:val="002E0AA5"/>
    <w:rsid w:val="002E120D"/>
    <w:rsid w:val="002E135F"/>
    <w:rsid w:val="002E1416"/>
    <w:rsid w:val="002E17AF"/>
    <w:rsid w:val="002E20BA"/>
    <w:rsid w:val="002E24EF"/>
    <w:rsid w:val="002E2AA3"/>
    <w:rsid w:val="002E2C4C"/>
    <w:rsid w:val="002E3026"/>
    <w:rsid w:val="002E32B8"/>
    <w:rsid w:val="002E3507"/>
    <w:rsid w:val="002E366D"/>
    <w:rsid w:val="002E39C5"/>
    <w:rsid w:val="002E3F1B"/>
    <w:rsid w:val="002E3FE4"/>
    <w:rsid w:val="002E430C"/>
    <w:rsid w:val="002E46BB"/>
    <w:rsid w:val="002E4723"/>
    <w:rsid w:val="002E4A56"/>
    <w:rsid w:val="002E4D10"/>
    <w:rsid w:val="002E4DFF"/>
    <w:rsid w:val="002E5569"/>
    <w:rsid w:val="002E5B4C"/>
    <w:rsid w:val="002E5BA9"/>
    <w:rsid w:val="002E5DE0"/>
    <w:rsid w:val="002E6403"/>
    <w:rsid w:val="002E69F0"/>
    <w:rsid w:val="002E77B5"/>
    <w:rsid w:val="002E7F0A"/>
    <w:rsid w:val="002F02A0"/>
    <w:rsid w:val="002F066C"/>
    <w:rsid w:val="002F0B8A"/>
    <w:rsid w:val="002F0E87"/>
    <w:rsid w:val="002F1000"/>
    <w:rsid w:val="002F13E6"/>
    <w:rsid w:val="002F148C"/>
    <w:rsid w:val="002F1590"/>
    <w:rsid w:val="002F1E2E"/>
    <w:rsid w:val="002F1F2E"/>
    <w:rsid w:val="002F1FB4"/>
    <w:rsid w:val="002F2042"/>
    <w:rsid w:val="002F206B"/>
    <w:rsid w:val="002F229E"/>
    <w:rsid w:val="002F25A0"/>
    <w:rsid w:val="002F2AE8"/>
    <w:rsid w:val="002F2C27"/>
    <w:rsid w:val="002F2DE0"/>
    <w:rsid w:val="002F33D2"/>
    <w:rsid w:val="002F36F0"/>
    <w:rsid w:val="002F375C"/>
    <w:rsid w:val="002F3D1B"/>
    <w:rsid w:val="002F3D79"/>
    <w:rsid w:val="002F3E5D"/>
    <w:rsid w:val="002F3E7D"/>
    <w:rsid w:val="002F43A6"/>
    <w:rsid w:val="002F473A"/>
    <w:rsid w:val="002F47E4"/>
    <w:rsid w:val="002F4E58"/>
    <w:rsid w:val="002F4F60"/>
    <w:rsid w:val="002F51D4"/>
    <w:rsid w:val="002F5232"/>
    <w:rsid w:val="002F532C"/>
    <w:rsid w:val="002F5420"/>
    <w:rsid w:val="002F55F3"/>
    <w:rsid w:val="002F5890"/>
    <w:rsid w:val="002F5A67"/>
    <w:rsid w:val="002F5A9B"/>
    <w:rsid w:val="002F5FBD"/>
    <w:rsid w:val="002F629D"/>
    <w:rsid w:val="002F62E9"/>
    <w:rsid w:val="002F6488"/>
    <w:rsid w:val="002F6CF9"/>
    <w:rsid w:val="002F6D0E"/>
    <w:rsid w:val="002F6EA0"/>
    <w:rsid w:val="002F6F23"/>
    <w:rsid w:val="002F72E2"/>
    <w:rsid w:val="002F73A0"/>
    <w:rsid w:val="002F772C"/>
    <w:rsid w:val="002F7CE0"/>
    <w:rsid w:val="002F7D4D"/>
    <w:rsid w:val="003000B4"/>
    <w:rsid w:val="00300541"/>
    <w:rsid w:val="00300696"/>
    <w:rsid w:val="0030097B"/>
    <w:rsid w:val="00300A97"/>
    <w:rsid w:val="00300F4A"/>
    <w:rsid w:val="003011DD"/>
    <w:rsid w:val="003012CF"/>
    <w:rsid w:val="00301C9A"/>
    <w:rsid w:val="00301F0E"/>
    <w:rsid w:val="00301F57"/>
    <w:rsid w:val="00301F83"/>
    <w:rsid w:val="003026AC"/>
    <w:rsid w:val="003026B8"/>
    <w:rsid w:val="003026EB"/>
    <w:rsid w:val="00302969"/>
    <w:rsid w:val="003029BD"/>
    <w:rsid w:val="0030302E"/>
    <w:rsid w:val="00303120"/>
    <w:rsid w:val="003039DF"/>
    <w:rsid w:val="003039F6"/>
    <w:rsid w:val="00304041"/>
    <w:rsid w:val="003040AF"/>
    <w:rsid w:val="0030413D"/>
    <w:rsid w:val="0030469A"/>
    <w:rsid w:val="00304AC3"/>
    <w:rsid w:val="00304DAD"/>
    <w:rsid w:val="00304DF1"/>
    <w:rsid w:val="00305167"/>
    <w:rsid w:val="00305623"/>
    <w:rsid w:val="0030566A"/>
    <w:rsid w:val="003056F9"/>
    <w:rsid w:val="00305979"/>
    <w:rsid w:val="00305B81"/>
    <w:rsid w:val="00305DE0"/>
    <w:rsid w:val="003063A0"/>
    <w:rsid w:val="0030646F"/>
    <w:rsid w:val="00306BE2"/>
    <w:rsid w:val="00306CE9"/>
    <w:rsid w:val="00306E62"/>
    <w:rsid w:val="00306FC1"/>
    <w:rsid w:val="00306FE1"/>
    <w:rsid w:val="003071E2"/>
    <w:rsid w:val="003071FE"/>
    <w:rsid w:val="00307420"/>
    <w:rsid w:val="003074F7"/>
    <w:rsid w:val="00307741"/>
    <w:rsid w:val="00307CC4"/>
    <w:rsid w:val="003101E0"/>
    <w:rsid w:val="0031074F"/>
    <w:rsid w:val="00310792"/>
    <w:rsid w:val="00310AB1"/>
    <w:rsid w:val="00310C19"/>
    <w:rsid w:val="00310F5E"/>
    <w:rsid w:val="00310FED"/>
    <w:rsid w:val="0031100E"/>
    <w:rsid w:val="003112E5"/>
    <w:rsid w:val="00311611"/>
    <w:rsid w:val="00311690"/>
    <w:rsid w:val="003119EC"/>
    <w:rsid w:val="00311B56"/>
    <w:rsid w:val="0031230A"/>
    <w:rsid w:val="0031272D"/>
    <w:rsid w:val="00312BE7"/>
    <w:rsid w:val="00313CB2"/>
    <w:rsid w:val="00313FF8"/>
    <w:rsid w:val="003146F7"/>
    <w:rsid w:val="00314B45"/>
    <w:rsid w:val="00315142"/>
    <w:rsid w:val="0031518E"/>
    <w:rsid w:val="00315676"/>
    <w:rsid w:val="00315E46"/>
    <w:rsid w:val="00315FBD"/>
    <w:rsid w:val="0031603C"/>
    <w:rsid w:val="00316363"/>
    <w:rsid w:val="0031651E"/>
    <w:rsid w:val="00316718"/>
    <w:rsid w:val="00316F1B"/>
    <w:rsid w:val="00317092"/>
    <w:rsid w:val="00317132"/>
    <w:rsid w:val="003172A9"/>
    <w:rsid w:val="003177C2"/>
    <w:rsid w:val="00317C22"/>
    <w:rsid w:val="00317EBE"/>
    <w:rsid w:val="0032049D"/>
    <w:rsid w:val="00320A25"/>
    <w:rsid w:val="00320EB2"/>
    <w:rsid w:val="00320EC7"/>
    <w:rsid w:val="00321001"/>
    <w:rsid w:val="00321182"/>
    <w:rsid w:val="00321248"/>
    <w:rsid w:val="00321328"/>
    <w:rsid w:val="00321946"/>
    <w:rsid w:val="00321A1F"/>
    <w:rsid w:val="00321D92"/>
    <w:rsid w:val="00321EF8"/>
    <w:rsid w:val="003224C5"/>
    <w:rsid w:val="00322660"/>
    <w:rsid w:val="003226FF"/>
    <w:rsid w:val="003233C4"/>
    <w:rsid w:val="00323436"/>
    <w:rsid w:val="00323A96"/>
    <w:rsid w:val="00323D7D"/>
    <w:rsid w:val="003240D7"/>
    <w:rsid w:val="003241F6"/>
    <w:rsid w:val="003248ED"/>
    <w:rsid w:val="00325256"/>
    <w:rsid w:val="00325C7F"/>
    <w:rsid w:val="00325CFE"/>
    <w:rsid w:val="00325FB1"/>
    <w:rsid w:val="0032622F"/>
    <w:rsid w:val="0032654A"/>
    <w:rsid w:val="0032678C"/>
    <w:rsid w:val="00326855"/>
    <w:rsid w:val="00326936"/>
    <w:rsid w:val="00326FA8"/>
    <w:rsid w:val="00327F1C"/>
    <w:rsid w:val="00330034"/>
    <w:rsid w:val="00330079"/>
    <w:rsid w:val="003301C6"/>
    <w:rsid w:val="00330618"/>
    <w:rsid w:val="00330821"/>
    <w:rsid w:val="00330EBC"/>
    <w:rsid w:val="00331A3D"/>
    <w:rsid w:val="00331B0A"/>
    <w:rsid w:val="0033238F"/>
    <w:rsid w:val="0033247C"/>
    <w:rsid w:val="0033263D"/>
    <w:rsid w:val="00333A93"/>
    <w:rsid w:val="00333F83"/>
    <w:rsid w:val="00333F98"/>
    <w:rsid w:val="00334507"/>
    <w:rsid w:val="0033450D"/>
    <w:rsid w:val="00335404"/>
    <w:rsid w:val="00335543"/>
    <w:rsid w:val="00335C87"/>
    <w:rsid w:val="003360CD"/>
    <w:rsid w:val="003361E4"/>
    <w:rsid w:val="0033692A"/>
    <w:rsid w:val="00336B06"/>
    <w:rsid w:val="00336C65"/>
    <w:rsid w:val="00336D41"/>
    <w:rsid w:val="00336F48"/>
    <w:rsid w:val="0033701B"/>
    <w:rsid w:val="00337F00"/>
    <w:rsid w:val="0034035B"/>
    <w:rsid w:val="003405CA"/>
    <w:rsid w:val="00340812"/>
    <w:rsid w:val="003408D2"/>
    <w:rsid w:val="00340A08"/>
    <w:rsid w:val="00340B21"/>
    <w:rsid w:val="00340DAB"/>
    <w:rsid w:val="00340E13"/>
    <w:rsid w:val="0034187F"/>
    <w:rsid w:val="00341BF9"/>
    <w:rsid w:val="00342063"/>
    <w:rsid w:val="0034218C"/>
    <w:rsid w:val="003421BD"/>
    <w:rsid w:val="0034235C"/>
    <w:rsid w:val="003425BA"/>
    <w:rsid w:val="00342823"/>
    <w:rsid w:val="00342A9B"/>
    <w:rsid w:val="00343144"/>
    <w:rsid w:val="00343A21"/>
    <w:rsid w:val="00343C25"/>
    <w:rsid w:val="00343D24"/>
    <w:rsid w:val="0034416E"/>
    <w:rsid w:val="00344D1A"/>
    <w:rsid w:val="00344DD0"/>
    <w:rsid w:val="00344F5E"/>
    <w:rsid w:val="00344FAF"/>
    <w:rsid w:val="003452DA"/>
    <w:rsid w:val="00345D58"/>
    <w:rsid w:val="00345F66"/>
    <w:rsid w:val="00345F92"/>
    <w:rsid w:val="003462F9"/>
    <w:rsid w:val="00346377"/>
    <w:rsid w:val="003467A1"/>
    <w:rsid w:val="00347096"/>
    <w:rsid w:val="0034752B"/>
    <w:rsid w:val="003476A1"/>
    <w:rsid w:val="0034772A"/>
    <w:rsid w:val="003501E5"/>
    <w:rsid w:val="0035045F"/>
    <w:rsid w:val="003505D5"/>
    <w:rsid w:val="00350EBD"/>
    <w:rsid w:val="0035113E"/>
    <w:rsid w:val="003513E3"/>
    <w:rsid w:val="003514CF"/>
    <w:rsid w:val="00351506"/>
    <w:rsid w:val="0035153C"/>
    <w:rsid w:val="003516E4"/>
    <w:rsid w:val="0035170A"/>
    <w:rsid w:val="00351731"/>
    <w:rsid w:val="00351A7E"/>
    <w:rsid w:val="00351BD6"/>
    <w:rsid w:val="003524B0"/>
    <w:rsid w:val="003526C6"/>
    <w:rsid w:val="003527E7"/>
    <w:rsid w:val="00352D65"/>
    <w:rsid w:val="00352D90"/>
    <w:rsid w:val="003534F4"/>
    <w:rsid w:val="00353588"/>
    <w:rsid w:val="0035368D"/>
    <w:rsid w:val="003537F1"/>
    <w:rsid w:val="00353E1D"/>
    <w:rsid w:val="00353E93"/>
    <w:rsid w:val="00353EF0"/>
    <w:rsid w:val="00353F78"/>
    <w:rsid w:val="00354653"/>
    <w:rsid w:val="0035496A"/>
    <w:rsid w:val="003557B7"/>
    <w:rsid w:val="0035683B"/>
    <w:rsid w:val="00356BE5"/>
    <w:rsid w:val="00356D3A"/>
    <w:rsid w:val="0035722E"/>
    <w:rsid w:val="0035744C"/>
    <w:rsid w:val="0035748D"/>
    <w:rsid w:val="00357550"/>
    <w:rsid w:val="00357BA1"/>
    <w:rsid w:val="003605F4"/>
    <w:rsid w:val="00361164"/>
    <w:rsid w:val="00362045"/>
    <w:rsid w:val="003621AD"/>
    <w:rsid w:val="0036262E"/>
    <w:rsid w:val="00362AEB"/>
    <w:rsid w:val="00362EF5"/>
    <w:rsid w:val="0036300A"/>
    <w:rsid w:val="00363A57"/>
    <w:rsid w:val="00363F68"/>
    <w:rsid w:val="00364246"/>
    <w:rsid w:val="003649E9"/>
    <w:rsid w:val="00364A84"/>
    <w:rsid w:val="00365079"/>
    <w:rsid w:val="0036547E"/>
    <w:rsid w:val="00365530"/>
    <w:rsid w:val="00366351"/>
    <w:rsid w:val="00366608"/>
    <w:rsid w:val="00366A02"/>
    <w:rsid w:val="003671D2"/>
    <w:rsid w:val="0036768B"/>
    <w:rsid w:val="0036773C"/>
    <w:rsid w:val="00367B1F"/>
    <w:rsid w:val="00370415"/>
    <w:rsid w:val="003705F2"/>
    <w:rsid w:val="0037078C"/>
    <w:rsid w:val="00370CB3"/>
    <w:rsid w:val="00370D99"/>
    <w:rsid w:val="00370E22"/>
    <w:rsid w:val="00371111"/>
    <w:rsid w:val="00371216"/>
    <w:rsid w:val="0037132A"/>
    <w:rsid w:val="00371857"/>
    <w:rsid w:val="00371991"/>
    <w:rsid w:val="00371BB4"/>
    <w:rsid w:val="003727FE"/>
    <w:rsid w:val="00372A21"/>
    <w:rsid w:val="00372AE6"/>
    <w:rsid w:val="00372C7A"/>
    <w:rsid w:val="00373063"/>
    <w:rsid w:val="00373080"/>
    <w:rsid w:val="003734D4"/>
    <w:rsid w:val="003736CA"/>
    <w:rsid w:val="00373911"/>
    <w:rsid w:val="00373934"/>
    <w:rsid w:val="00373A66"/>
    <w:rsid w:val="00373ABC"/>
    <w:rsid w:val="00373E25"/>
    <w:rsid w:val="00373FCA"/>
    <w:rsid w:val="003746AC"/>
    <w:rsid w:val="003747C9"/>
    <w:rsid w:val="00374822"/>
    <w:rsid w:val="003749BF"/>
    <w:rsid w:val="00374BCC"/>
    <w:rsid w:val="00375284"/>
    <w:rsid w:val="00375873"/>
    <w:rsid w:val="00375DB5"/>
    <w:rsid w:val="0037610F"/>
    <w:rsid w:val="00376204"/>
    <w:rsid w:val="00376A71"/>
    <w:rsid w:val="003770CE"/>
    <w:rsid w:val="00377972"/>
    <w:rsid w:val="003779EE"/>
    <w:rsid w:val="003807EE"/>
    <w:rsid w:val="00380D09"/>
    <w:rsid w:val="00380F81"/>
    <w:rsid w:val="00381148"/>
    <w:rsid w:val="0038170D"/>
    <w:rsid w:val="00381788"/>
    <w:rsid w:val="00381D7C"/>
    <w:rsid w:val="0038203B"/>
    <w:rsid w:val="003821FA"/>
    <w:rsid w:val="0038255D"/>
    <w:rsid w:val="003828BA"/>
    <w:rsid w:val="00382939"/>
    <w:rsid w:val="00383F5F"/>
    <w:rsid w:val="00384555"/>
    <w:rsid w:val="003847F5"/>
    <w:rsid w:val="00384A82"/>
    <w:rsid w:val="00384BF3"/>
    <w:rsid w:val="00384D6A"/>
    <w:rsid w:val="0038519E"/>
    <w:rsid w:val="003853FB"/>
    <w:rsid w:val="0038593C"/>
    <w:rsid w:val="00385CA2"/>
    <w:rsid w:val="00385CBD"/>
    <w:rsid w:val="00386028"/>
    <w:rsid w:val="0038615B"/>
    <w:rsid w:val="00386CBB"/>
    <w:rsid w:val="00386CBF"/>
    <w:rsid w:val="00386F26"/>
    <w:rsid w:val="003870D7"/>
    <w:rsid w:val="00387253"/>
    <w:rsid w:val="003873DE"/>
    <w:rsid w:val="00387526"/>
    <w:rsid w:val="00387884"/>
    <w:rsid w:val="00387A6E"/>
    <w:rsid w:val="0039008A"/>
    <w:rsid w:val="003906D3"/>
    <w:rsid w:val="00390B95"/>
    <w:rsid w:val="00390D8F"/>
    <w:rsid w:val="003913A9"/>
    <w:rsid w:val="00391BBA"/>
    <w:rsid w:val="00391D88"/>
    <w:rsid w:val="0039272A"/>
    <w:rsid w:val="00392886"/>
    <w:rsid w:val="00392CF8"/>
    <w:rsid w:val="00392D7B"/>
    <w:rsid w:val="00392F64"/>
    <w:rsid w:val="00392FAA"/>
    <w:rsid w:val="003934E6"/>
    <w:rsid w:val="003936FE"/>
    <w:rsid w:val="0039391E"/>
    <w:rsid w:val="00393A8D"/>
    <w:rsid w:val="00393BD6"/>
    <w:rsid w:val="00393D55"/>
    <w:rsid w:val="00393EA4"/>
    <w:rsid w:val="00394061"/>
    <w:rsid w:val="00394398"/>
    <w:rsid w:val="00394CA6"/>
    <w:rsid w:val="00394F18"/>
    <w:rsid w:val="003950B0"/>
    <w:rsid w:val="0039534A"/>
    <w:rsid w:val="003956A2"/>
    <w:rsid w:val="00395754"/>
    <w:rsid w:val="00396226"/>
    <w:rsid w:val="00396890"/>
    <w:rsid w:val="00396B88"/>
    <w:rsid w:val="00397264"/>
    <w:rsid w:val="0039736F"/>
    <w:rsid w:val="00397557"/>
    <w:rsid w:val="00397F46"/>
    <w:rsid w:val="003A008F"/>
    <w:rsid w:val="003A0AA5"/>
    <w:rsid w:val="003A1464"/>
    <w:rsid w:val="003A1E87"/>
    <w:rsid w:val="003A20AA"/>
    <w:rsid w:val="003A2EF8"/>
    <w:rsid w:val="003A3447"/>
    <w:rsid w:val="003A3513"/>
    <w:rsid w:val="003A38CC"/>
    <w:rsid w:val="003A3C7F"/>
    <w:rsid w:val="003A3D3F"/>
    <w:rsid w:val="003A3D52"/>
    <w:rsid w:val="003A3D9F"/>
    <w:rsid w:val="003A3DC3"/>
    <w:rsid w:val="003A440C"/>
    <w:rsid w:val="003A44F5"/>
    <w:rsid w:val="003A4AC7"/>
    <w:rsid w:val="003A51C6"/>
    <w:rsid w:val="003A53B6"/>
    <w:rsid w:val="003A564B"/>
    <w:rsid w:val="003A5970"/>
    <w:rsid w:val="003A5B4D"/>
    <w:rsid w:val="003A6A55"/>
    <w:rsid w:val="003A7480"/>
    <w:rsid w:val="003A75A9"/>
    <w:rsid w:val="003A75F5"/>
    <w:rsid w:val="003A78A7"/>
    <w:rsid w:val="003A78E6"/>
    <w:rsid w:val="003A7A9A"/>
    <w:rsid w:val="003B00EA"/>
    <w:rsid w:val="003B010A"/>
    <w:rsid w:val="003B0263"/>
    <w:rsid w:val="003B038F"/>
    <w:rsid w:val="003B0A88"/>
    <w:rsid w:val="003B0B27"/>
    <w:rsid w:val="003B126D"/>
    <w:rsid w:val="003B140C"/>
    <w:rsid w:val="003B153B"/>
    <w:rsid w:val="003B1857"/>
    <w:rsid w:val="003B1E6B"/>
    <w:rsid w:val="003B1FA4"/>
    <w:rsid w:val="003B22E9"/>
    <w:rsid w:val="003B243A"/>
    <w:rsid w:val="003B248C"/>
    <w:rsid w:val="003B34D4"/>
    <w:rsid w:val="003B374A"/>
    <w:rsid w:val="003B39F0"/>
    <w:rsid w:val="003B3A2A"/>
    <w:rsid w:val="003B3B1E"/>
    <w:rsid w:val="003B3E70"/>
    <w:rsid w:val="003B4227"/>
    <w:rsid w:val="003B4980"/>
    <w:rsid w:val="003B4F2D"/>
    <w:rsid w:val="003B558E"/>
    <w:rsid w:val="003B5799"/>
    <w:rsid w:val="003B686F"/>
    <w:rsid w:val="003B69DA"/>
    <w:rsid w:val="003B6BBA"/>
    <w:rsid w:val="003B6C43"/>
    <w:rsid w:val="003B6C4A"/>
    <w:rsid w:val="003B72DB"/>
    <w:rsid w:val="003B7621"/>
    <w:rsid w:val="003B7721"/>
    <w:rsid w:val="003B773D"/>
    <w:rsid w:val="003B77DA"/>
    <w:rsid w:val="003C042B"/>
    <w:rsid w:val="003C0975"/>
    <w:rsid w:val="003C09A2"/>
    <w:rsid w:val="003C1032"/>
    <w:rsid w:val="003C118E"/>
    <w:rsid w:val="003C1664"/>
    <w:rsid w:val="003C19EB"/>
    <w:rsid w:val="003C1BBC"/>
    <w:rsid w:val="003C1C19"/>
    <w:rsid w:val="003C1CFC"/>
    <w:rsid w:val="003C1E3D"/>
    <w:rsid w:val="003C234E"/>
    <w:rsid w:val="003C23CA"/>
    <w:rsid w:val="003C2409"/>
    <w:rsid w:val="003C27A2"/>
    <w:rsid w:val="003C2C05"/>
    <w:rsid w:val="003C2D41"/>
    <w:rsid w:val="003C2F7C"/>
    <w:rsid w:val="003C35B8"/>
    <w:rsid w:val="003C36B3"/>
    <w:rsid w:val="003C380A"/>
    <w:rsid w:val="003C3850"/>
    <w:rsid w:val="003C3963"/>
    <w:rsid w:val="003C3B73"/>
    <w:rsid w:val="003C3E20"/>
    <w:rsid w:val="003C400A"/>
    <w:rsid w:val="003C4323"/>
    <w:rsid w:val="003C495F"/>
    <w:rsid w:val="003C554A"/>
    <w:rsid w:val="003C5635"/>
    <w:rsid w:val="003C5C5B"/>
    <w:rsid w:val="003C62EE"/>
    <w:rsid w:val="003C6664"/>
    <w:rsid w:val="003C66C2"/>
    <w:rsid w:val="003C681E"/>
    <w:rsid w:val="003C6D74"/>
    <w:rsid w:val="003C7323"/>
    <w:rsid w:val="003C76A1"/>
    <w:rsid w:val="003C7909"/>
    <w:rsid w:val="003C7B38"/>
    <w:rsid w:val="003C7BBC"/>
    <w:rsid w:val="003C7E0E"/>
    <w:rsid w:val="003C7F19"/>
    <w:rsid w:val="003D06F5"/>
    <w:rsid w:val="003D0959"/>
    <w:rsid w:val="003D0EDD"/>
    <w:rsid w:val="003D173E"/>
    <w:rsid w:val="003D1B46"/>
    <w:rsid w:val="003D1E17"/>
    <w:rsid w:val="003D1E3D"/>
    <w:rsid w:val="003D229E"/>
    <w:rsid w:val="003D22D5"/>
    <w:rsid w:val="003D24D7"/>
    <w:rsid w:val="003D24DE"/>
    <w:rsid w:val="003D2B4B"/>
    <w:rsid w:val="003D2BAD"/>
    <w:rsid w:val="003D2DA4"/>
    <w:rsid w:val="003D2E71"/>
    <w:rsid w:val="003D3521"/>
    <w:rsid w:val="003D39BC"/>
    <w:rsid w:val="003D3A9B"/>
    <w:rsid w:val="003D3BE4"/>
    <w:rsid w:val="003D3D3A"/>
    <w:rsid w:val="003D3D84"/>
    <w:rsid w:val="003D3DF6"/>
    <w:rsid w:val="003D3F4C"/>
    <w:rsid w:val="003D3FE8"/>
    <w:rsid w:val="003D4218"/>
    <w:rsid w:val="003D42CA"/>
    <w:rsid w:val="003D43DA"/>
    <w:rsid w:val="003D47D9"/>
    <w:rsid w:val="003D48A4"/>
    <w:rsid w:val="003D4BB1"/>
    <w:rsid w:val="003D4FA6"/>
    <w:rsid w:val="003D5083"/>
    <w:rsid w:val="003D51FF"/>
    <w:rsid w:val="003D5264"/>
    <w:rsid w:val="003D5AE3"/>
    <w:rsid w:val="003D5EB1"/>
    <w:rsid w:val="003D608F"/>
    <w:rsid w:val="003D6201"/>
    <w:rsid w:val="003D6608"/>
    <w:rsid w:val="003D6DFF"/>
    <w:rsid w:val="003D7683"/>
    <w:rsid w:val="003D7973"/>
    <w:rsid w:val="003D7979"/>
    <w:rsid w:val="003D7E78"/>
    <w:rsid w:val="003E0034"/>
    <w:rsid w:val="003E0177"/>
    <w:rsid w:val="003E03FF"/>
    <w:rsid w:val="003E06F0"/>
    <w:rsid w:val="003E09B7"/>
    <w:rsid w:val="003E0B58"/>
    <w:rsid w:val="003E15C5"/>
    <w:rsid w:val="003E15FC"/>
    <w:rsid w:val="003E17C5"/>
    <w:rsid w:val="003E1B37"/>
    <w:rsid w:val="003E1BA7"/>
    <w:rsid w:val="003E1E28"/>
    <w:rsid w:val="003E2189"/>
    <w:rsid w:val="003E21F2"/>
    <w:rsid w:val="003E2231"/>
    <w:rsid w:val="003E2500"/>
    <w:rsid w:val="003E2654"/>
    <w:rsid w:val="003E2D16"/>
    <w:rsid w:val="003E2D5F"/>
    <w:rsid w:val="003E3304"/>
    <w:rsid w:val="003E3448"/>
    <w:rsid w:val="003E3471"/>
    <w:rsid w:val="003E3495"/>
    <w:rsid w:val="003E37ED"/>
    <w:rsid w:val="003E37F4"/>
    <w:rsid w:val="003E386F"/>
    <w:rsid w:val="003E3947"/>
    <w:rsid w:val="003E3955"/>
    <w:rsid w:val="003E3E42"/>
    <w:rsid w:val="003E465D"/>
    <w:rsid w:val="003E4C63"/>
    <w:rsid w:val="003E4D0E"/>
    <w:rsid w:val="003E4F50"/>
    <w:rsid w:val="003E5147"/>
    <w:rsid w:val="003E522B"/>
    <w:rsid w:val="003E5376"/>
    <w:rsid w:val="003E5530"/>
    <w:rsid w:val="003E55A9"/>
    <w:rsid w:val="003E5938"/>
    <w:rsid w:val="003E5C80"/>
    <w:rsid w:val="003E5DD4"/>
    <w:rsid w:val="003E61DA"/>
    <w:rsid w:val="003E6558"/>
    <w:rsid w:val="003E6756"/>
    <w:rsid w:val="003E68BD"/>
    <w:rsid w:val="003E6F05"/>
    <w:rsid w:val="003E6F32"/>
    <w:rsid w:val="003E6FBE"/>
    <w:rsid w:val="003E7176"/>
    <w:rsid w:val="003E7809"/>
    <w:rsid w:val="003E7A46"/>
    <w:rsid w:val="003E7C5C"/>
    <w:rsid w:val="003F04C1"/>
    <w:rsid w:val="003F08DD"/>
    <w:rsid w:val="003F0C9D"/>
    <w:rsid w:val="003F0D09"/>
    <w:rsid w:val="003F0D84"/>
    <w:rsid w:val="003F11BE"/>
    <w:rsid w:val="003F165A"/>
    <w:rsid w:val="003F1A29"/>
    <w:rsid w:val="003F1ABC"/>
    <w:rsid w:val="003F21A9"/>
    <w:rsid w:val="003F2221"/>
    <w:rsid w:val="003F2356"/>
    <w:rsid w:val="003F2424"/>
    <w:rsid w:val="003F24DB"/>
    <w:rsid w:val="003F26F6"/>
    <w:rsid w:val="003F2A5C"/>
    <w:rsid w:val="003F2FD3"/>
    <w:rsid w:val="003F33C6"/>
    <w:rsid w:val="003F3800"/>
    <w:rsid w:val="003F3855"/>
    <w:rsid w:val="003F3900"/>
    <w:rsid w:val="003F3BD0"/>
    <w:rsid w:val="003F3C25"/>
    <w:rsid w:val="003F3DE2"/>
    <w:rsid w:val="003F420B"/>
    <w:rsid w:val="003F4366"/>
    <w:rsid w:val="003F4537"/>
    <w:rsid w:val="003F47EF"/>
    <w:rsid w:val="003F4884"/>
    <w:rsid w:val="003F4C9A"/>
    <w:rsid w:val="003F52AD"/>
    <w:rsid w:val="003F560D"/>
    <w:rsid w:val="003F5690"/>
    <w:rsid w:val="003F5D3E"/>
    <w:rsid w:val="003F6088"/>
    <w:rsid w:val="003F612F"/>
    <w:rsid w:val="003F6983"/>
    <w:rsid w:val="003F6DFE"/>
    <w:rsid w:val="003F72E0"/>
    <w:rsid w:val="003F7ABB"/>
    <w:rsid w:val="003F7AE7"/>
    <w:rsid w:val="003F7D3A"/>
    <w:rsid w:val="0040015F"/>
    <w:rsid w:val="00400763"/>
    <w:rsid w:val="0040077A"/>
    <w:rsid w:val="00401210"/>
    <w:rsid w:val="00401ABB"/>
    <w:rsid w:val="00401EFC"/>
    <w:rsid w:val="0040200E"/>
    <w:rsid w:val="004024B0"/>
    <w:rsid w:val="0040258E"/>
    <w:rsid w:val="00402C83"/>
    <w:rsid w:val="00402DE3"/>
    <w:rsid w:val="00403474"/>
    <w:rsid w:val="004037D1"/>
    <w:rsid w:val="0040385D"/>
    <w:rsid w:val="00403D72"/>
    <w:rsid w:val="00403F22"/>
    <w:rsid w:val="004042C6"/>
    <w:rsid w:val="0040446F"/>
    <w:rsid w:val="0040478A"/>
    <w:rsid w:val="00404DF8"/>
    <w:rsid w:val="004050A6"/>
    <w:rsid w:val="00405529"/>
    <w:rsid w:val="004055F7"/>
    <w:rsid w:val="00405958"/>
    <w:rsid w:val="00405E9A"/>
    <w:rsid w:val="00406657"/>
    <w:rsid w:val="004067A3"/>
    <w:rsid w:val="0040696A"/>
    <w:rsid w:val="00406EB0"/>
    <w:rsid w:val="004072A8"/>
    <w:rsid w:val="0040790E"/>
    <w:rsid w:val="00407A23"/>
    <w:rsid w:val="004103D7"/>
    <w:rsid w:val="00410B40"/>
    <w:rsid w:val="00410F1F"/>
    <w:rsid w:val="00410F40"/>
    <w:rsid w:val="00410F7D"/>
    <w:rsid w:val="00411200"/>
    <w:rsid w:val="004112AA"/>
    <w:rsid w:val="0041155F"/>
    <w:rsid w:val="0041191B"/>
    <w:rsid w:val="00411B8A"/>
    <w:rsid w:val="00411C4A"/>
    <w:rsid w:val="00411FE1"/>
    <w:rsid w:val="0041220C"/>
    <w:rsid w:val="004124FE"/>
    <w:rsid w:val="00412D71"/>
    <w:rsid w:val="004132CE"/>
    <w:rsid w:val="0041354D"/>
    <w:rsid w:val="00413C53"/>
    <w:rsid w:val="00414152"/>
    <w:rsid w:val="004143A8"/>
    <w:rsid w:val="004143FD"/>
    <w:rsid w:val="0041469D"/>
    <w:rsid w:val="00414990"/>
    <w:rsid w:val="00414E56"/>
    <w:rsid w:val="004153CC"/>
    <w:rsid w:val="004155C6"/>
    <w:rsid w:val="00415715"/>
    <w:rsid w:val="0041573B"/>
    <w:rsid w:val="00415D41"/>
    <w:rsid w:val="00415F03"/>
    <w:rsid w:val="00416216"/>
    <w:rsid w:val="00416B07"/>
    <w:rsid w:val="00416C5B"/>
    <w:rsid w:val="00416E6C"/>
    <w:rsid w:val="00416F0A"/>
    <w:rsid w:val="004170B8"/>
    <w:rsid w:val="004175EE"/>
    <w:rsid w:val="00417DA3"/>
    <w:rsid w:val="00417FF2"/>
    <w:rsid w:val="004200F5"/>
    <w:rsid w:val="00420272"/>
    <w:rsid w:val="00420294"/>
    <w:rsid w:val="004205B3"/>
    <w:rsid w:val="004205BA"/>
    <w:rsid w:val="00420AB8"/>
    <w:rsid w:val="00420B41"/>
    <w:rsid w:val="004212BB"/>
    <w:rsid w:val="004212E8"/>
    <w:rsid w:val="00421A4C"/>
    <w:rsid w:val="00421C9C"/>
    <w:rsid w:val="00421CEE"/>
    <w:rsid w:val="0042241F"/>
    <w:rsid w:val="00422444"/>
    <w:rsid w:val="00422A2D"/>
    <w:rsid w:val="00422A5C"/>
    <w:rsid w:val="00422B70"/>
    <w:rsid w:val="00422ED3"/>
    <w:rsid w:val="00423173"/>
    <w:rsid w:val="0042319F"/>
    <w:rsid w:val="004233B7"/>
    <w:rsid w:val="0042346A"/>
    <w:rsid w:val="00423497"/>
    <w:rsid w:val="00423650"/>
    <w:rsid w:val="00423A79"/>
    <w:rsid w:val="00423CD8"/>
    <w:rsid w:val="0042472C"/>
    <w:rsid w:val="00424A37"/>
    <w:rsid w:val="00424A51"/>
    <w:rsid w:val="00425056"/>
    <w:rsid w:val="0042506C"/>
    <w:rsid w:val="004252C9"/>
    <w:rsid w:val="00425B44"/>
    <w:rsid w:val="00425B55"/>
    <w:rsid w:val="00425E39"/>
    <w:rsid w:val="00425E95"/>
    <w:rsid w:val="00425F38"/>
    <w:rsid w:val="00425FCD"/>
    <w:rsid w:val="00426D48"/>
    <w:rsid w:val="00426E6D"/>
    <w:rsid w:val="004272E1"/>
    <w:rsid w:val="00427B53"/>
    <w:rsid w:val="0043080A"/>
    <w:rsid w:val="00430E7F"/>
    <w:rsid w:val="00430F5C"/>
    <w:rsid w:val="004311AC"/>
    <w:rsid w:val="004318DD"/>
    <w:rsid w:val="00431B0D"/>
    <w:rsid w:val="00431CBF"/>
    <w:rsid w:val="00431CEB"/>
    <w:rsid w:val="00432A30"/>
    <w:rsid w:val="00432C69"/>
    <w:rsid w:val="00432DD6"/>
    <w:rsid w:val="0043340C"/>
    <w:rsid w:val="00433727"/>
    <w:rsid w:val="0043374C"/>
    <w:rsid w:val="00433ECD"/>
    <w:rsid w:val="0043411B"/>
    <w:rsid w:val="0043491E"/>
    <w:rsid w:val="00434D61"/>
    <w:rsid w:val="00434E18"/>
    <w:rsid w:val="00435054"/>
    <w:rsid w:val="004354D5"/>
    <w:rsid w:val="00435E77"/>
    <w:rsid w:val="00436D38"/>
    <w:rsid w:val="00436E4B"/>
    <w:rsid w:val="004374CD"/>
    <w:rsid w:val="00437588"/>
    <w:rsid w:val="004376E7"/>
    <w:rsid w:val="004378BC"/>
    <w:rsid w:val="00437A30"/>
    <w:rsid w:val="00437E34"/>
    <w:rsid w:val="004400BC"/>
    <w:rsid w:val="004403C8"/>
    <w:rsid w:val="00440763"/>
    <w:rsid w:val="00440EB0"/>
    <w:rsid w:val="004412CE"/>
    <w:rsid w:val="00441352"/>
    <w:rsid w:val="00441396"/>
    <w:rsid w:val="004417ED"/>
    <w:rsid w:val="00441862"/>
    <w:rsid w:val="0044212B"/>
    <w:rsid w:val="00442BC2"/>
    <w:rsid w:val="00442FC0"/>
    <w:rsid w:val="004434C9"/>
    <w:rsid w:val="0044391B"/>
    <w:rsid w:val="00443BB3"/>
    <w:rsid w:val="00443BB6"/>
    <w:rsid w:val="00443F66"/>
    <w:rsid w:val="004440E0"/>
    <w:rsid w:val="0044434E"/>
    <w:rsid w:val="0044435C"/>
    <w:rsid w:val="004443F4"/>
    <w:rsid w:val="004444E4"/>
    <w:rsid w:val="004445B1"/>
    <w:rsid w:val="004448C6"/>
    <w:rsid w:val="00444917"/>
    <w:rsid w:val="0044491E"/>
    <w:rsid w:val="00444D0E"/>
    <w:rsid w:val="00444DAE"/>
    <w:rsid w:val="00445605"/>
    <w:rsid w:val="00445DFA"/>
    <w:rsid w:val="00445F5B"/>
    <w:rsid w:val="00446489"/>
    <w:rsid w:val="004466E0"/>
    <w:rsid w:val="00447465"/>
    <w:rsid w:val="00447AFB"/>
    <w:rsid w:val="00447F91"/>
    <w:rsid w:val="0045013F"/>
    <w:rsid w:val="004505E7"/>
    <w:rsid w:val="00450651"/>
    <w:rsid w:val="00450A55"/>
    <w:rsid w:val="00450BCB"/>
    <w:rsid w:val="004513C2"/>
    <w:rsid w:val="0045158A"/>
    <w:rsid w:val="00452259"/>
    <w:rsid w:val="00452DCC"/>
    <w:rsid w:val="00453060"/>
    <w:rsid w:val="00453477"/>
    <w:rsid w:val="00453837"/>
    <w:rsid w:val="00453863"/>
    <w:rsid w:val="00453B89"/>
    <w:rsid w:val="00454018"/>
    <w:rsid w:val="004542A1"/>
    <w:rsid w:val="00454507"/>
    <w:rsid w:val="00454640"/>
    <w:rsid w:val="00454D4B"/>
    <w:rsid w:val="00454F85"/>
    <w:rsid w:val="0045513B"/>
    <w:rsid w:val="0045554E"/>
    <w:rsid w:val="004555C8"/>
    <w:rsid w:val="00455DE6"/>
    <w:rsid w:val="0045702F"/>
    <w:rsid w:val="0045728D"/>
    <w:rsid w:val="0045738F"/>
    <w:rsid w:val="004575E6"/>
    <w:rsid w:val="0045760A"/>
    <w:rsid w:val="004577CC"/>
    <w:rsid w:val="00457E27"/>
    <w:rsid w:val="004601EB"/>
    <w:rsid w:val="004606A6"/>
    <w:rsid w:val="00461079"/>
    <w:rsid w:val="00461347"/>
    <w:rsid w:val="00461772"/>
    <w:rsid w:val="00462927"/>
    <w:rsid w:val="00462981"/>
    <w:rsid w:val="0046298E"/>
    <w:rsid w:val="004629AB"/>
    <w:rsid w:val="0046326D"/>
    <w:rsid w:val="004634A3"/>
    <w:rsid w:val="00463DD3"/>
    <w:rsid w:val="0046410B"/>
    <w:rsid w:val="0046472A"/>
    <w:rsid w:val="00464778"/>
    <w:rsid w:val="00464BB9"/>
    <w:rsid w:val="00464D5E"/>
    <w:rsid w:val="00465005"/>
    <w:rsid w:val="0046566D"/>
    <w:rsid w:val="004657C4"/>
    <w:rsid w:val="004659EA"/>
    <w:rsid w:val="0046650C"/>
    <w:rsid w:val="0046693F"/>
    <w:rsid w:val="00466D9A"/>
    <w:rsid w:val="00466E57"/>
    <w:rsid w:val="00467115"/>
    <w:rsid w:val="00467468"/>
    <w:rsid w:val="0046760E"/>
    <w:rsid w:val="00467E36"/>
    <w:rsid w:val="00467EC6"/>
    <w:rsid w:val="0047031F"/>
    <w:rsid w:val="00470AB7"/>
    <w:rsid w:val="00470BED"/>
    <w:rsid w:val="00470EA3"/>
    <w:rsid w:val="00470FCF"/>
    <w:rsid w:val="004710B8"/>
    <w:rsid w:val="0047123D"/>
    <w:rsid w:val="00471744"/>
    <w:rsid w:val="004719E8"/>
    <w:rsid w:val="004729A2"/>
    <w:rsid w:val="00472B8D"/>
    <w:rsid w:val="00472D90"/>
    <w:rsid w:val="00473868"/>
    <w:rsid w:val="004740B1"/>
    <w:rsid w:val="00474549"/>
    <w:rsid w:val="004747D7"/>
    <w:rsid w:val="00474A04"/>
    <w:rsid w:val="0047534C"/>
    <w:rsid w:val="00475376"/>
    <w:rsid w:val="00475491"/>
    <w:rsid w:val="0047570E"/>
    <w:rsid w:val="00475897"/>
    <w:rsid w:val="00475C4B"/>
    <w:rsid w:val="00475FFD"/>
    <w:rsid w:val="0047610D"/>
    <w:rsid w:val="004761D6"/>
    <w:rsid w:val="00476638"/>
    <w:rsid w:val="004767AE"/>
    <w:rsid w:val="00476940"/>
    <w:rsid w:val="00476A0C"/>
    <w:rsid w:val="00476B9B"/>
    <w:rsid w:val="00476EA1"/>
    <w:rsid w:val="00476FE6"/>
    <w:rsid w:val="00477661"/>
    <w:rsid w:val="00477A6A"/>
    <w:rsid w:val="00480525"/>
    <w:rsid w:val="0048054C"/>
    <w:rsid w:val="0048057C"/>
    <w:rsid w:val="00480FAE"/>
    <w:rsid w:val="00480FDF"/>
    <w:rsid w:val="00481171"/>
    <w:rsid w:val="004811E0"/>
    <w:rsid w:val="004812F0"/>
    <w:rsid w:val="00481610"/>
    <w:rsid w:val="004819DB"/>
    <w:rsid w:val="00481A39"/>
    <w:rsid w:val="00481ABF"/>
    <w:rsid w:val="00481B07"/>
    <w:rsid w:val="00481D0E"/>
    <w:rsid w:val="00481D3F"/>
    <w:rsid w:val="00481E5B"/>
    <w:rsid w:val="00482461"/>
    <w:rsid w:val="00482561"/>
    <w:rsid w:val="00483199"/>
    <w:rsid w:val="0048394B"/>
    <w:rsid w:val="00483E7A"/>
    <w:rsid w:val="0048427F"/>
    <w:rsid w:val="004847DC"/>
    <w:rsid w:val="00484FB0"/>
    <w:rsid w:val="004855BF"/>
    <w:rsid w:val="00485ADB"/>
    <w:rsid w:val="00486272"/>
    <w:rsid w:val="00486433"/>
    <w:rsid w:val="00486DC2"/>
    <w:rsid w:val="004873D3"/>
    <w:rsid w:val="004876F8"/>
    <w:rsid w:val="004877EB"/>
    <w:rsid w:val="0048793E"/>
    <w:rsid w:val="00487A0A"/>
    <w:rsid w:val="00487B07"/>
    <w:rsid w:val="00487ED7"/>
    <w:rsid w:val="00490220"/>
    <w:rsid w:val="00490679"/>
    <w:rsid w:val="0049092B"/>
    <w:rsid w:val="00490BB6"/>
    <w:rsid w:val="004912D4"/>
    <w:rsid w:val="004917DE"/>
    <w:rsid w:val="00491835"/>
    <w:rsid w:val="00491AD2"/>
    <w:rsid w:val="00492556"/>
    <w:rsid w:val="004928B0"/>
    <w:rsid w:val="00492C40"/>
    <w:rsid w:val="004930CC"/>
    <w:rsid w:val="00493343"/>
    <w:rsid w:val="00493C82"/>
    <w:rsid w:val="00493EEF"/>
    <w:rsid w:val="00493F3B"/>
    <w:rsid w:val="00494185"/>
    <w:rsid w:val="004941B4"/>
    <w:rsid w:val="0049452C"/>
    <w:rsid w:val="00494A95"/>
    <w:rsid w:val="00495870"/>
    <w:rsid w:val="00495A89"/>
    <w:rsid w:val="00495C8E"/>
    <w:rsid w:val="00495D2C"/>
    <w:rsid w:val="00496795"/>
    <w:rsid w:val="0049691D"/>
    <w:rsid w:val="00496AB8"/>
    <w:rsid w:val="00496ACA"/>
    <w:rsid w:val="00497065"/>
    <w:rsid w:val="00497082"/>
    <w:rsid w:val="004970AD"/>
    <w:rsid w:val="004974CF"/>
    <w:rsid w:val="004974FF"/>
    <w:rsid w:val="004978C1"/>
    <w:rsid w:val="00497AE2"/>
    <w:rsid w:val="004A0168"/>
    <w:rsid w:val="004A01CF"/>
    <w:rsid w:val="004A0336"/>
    <w:rsid w:val="004A034E"/>
    <w:rsid w:val="004A03AD"/>
    <w:rsid w:val="004A057E"/>
    <w:rsid w:val="004A06D9"/>
    <w:rsid w:val="004A0781"/>
    <w:rsid w:val="004A0BFD"/>
    <w:rsid w:val="004A0E6E"/>
    <w:rsid w:val="004A11C9"/>
    <w:rsid w:val="004A14E9"/>
    <w:rsid w:val="004A151A"/>
    <w:rsid w:val="004A1CBC"/>
    <w:rsid w:val="004A219B"/>
    <w:rsid w:val="004A2E86"/>
    <w:rsid w:val="004A312D"/>
    <w:rsid w:val="004A3329"/>
    <w:rsid w:val="004A3CCD"/>
    <w:rsid w:val="004A3D96"/>
    <w:rsid w:val="004A3E75"/>
    <w:rsid w:val="004A3FD8"/>
    <w:rsid w:val="004A4020"/>
    <w:rsid w:val="004A404E"/>
    <w:rsid w:val="004A4188"/>
    <w:rsid w:val="004A492E"/>
    <w:rsid w:val="004A4D99"/>
    <w:rsid w:val="004A4E60"/>
    <w:rsid w:val="004A4EC7"/>
    <w:rsid w:val="004A51A7"/>
    <w:rsid w:val="004A51D4"/>
    <w:rsid w:val="004A5483"/>
    <w:rsid w:val="004A56ED"/>
    <w:rsid w:val="004A571D"/>
    <w:rsid w:val="004A5980"/>
    <w:rsid w:val="004A5C74"/>
    <w:rsid w:val="004A6327"/>
    <w:rsid w:val="004A63B7"/>
    <w:rsid w:val="004A6484"/>
    <w:rsid w:val="004A6F7E"/>
    <w:rsid w:val="004A7053"/>
    <w:rsid w:val="004A73E0"/>
    <w:rsid w:val="004A7602"/>
    <w:rsid w:val="004A76DC"/>
    <w:rsid w:val="004A7CE0"/>
    <w:rsid w:val="004A7FED"/>
    <w:rsid w:val="004B058F"/>
    <w:rsid w:val="004B07C6"/>
    <w:rsid w:val="004B08B2"/>
    <w:rsid w:val="004B1166"/>
    <w:rsid w:val="004B1267"/>
    <w:rsid w:val="004B13F5"/>
    <w:rsid w:val="004B19B1"/>
    <w:rsid w:val="004B1E9E"/>
    <w:rsid w:val="004B20D1"/>
    <w:rsid w:val="004B2642"/>
    <w:rsid w:val="004B269D"/>
    <w:rsid w:val="004B282B"/>
    <w:rsid w:val="004B2B05"/>
    <w:rsid w:val="004B2CFD"/>
    <w:rsid w:val="004B316C"/>
    <w:rsid w:val="004B3181"/>
    <w:rsid w:val="004B360E"/>
    <w:rsid w:val="004B369C"/>
    <w:rsid w:val="004B382E"/>
    <w:rsid w:val="004B459B"/>
    <w:rsid w:val="004B4AEA"/>
    <w:rsid w:val="004B4B8B"/>
    <w:rsid w:val="004B4DBB"/>
    <w:rsid w:val="004B56F9"/>
    <w:rsid w:val="004B58B6"/>
    <w:rsid w:val="004B5AD7"/>
    <w:rsid w:val="004B5D69"/>
    <w:rsid w:val="004B5E42"/>
    <w:rsid w:val="004B5ED6"/>
    <w:rsid w:val="004B5F11"/>
    <w:rsid w:val="004B633B"/>
    <w:rsid w:val="004B6742"/>
    <w:rsid w:val="004B67EA"/>
    <w:rsid w:val="004B7586"/>
    <w:rsid w:val="004B7768"/>
    <w:rsid w:val="004B7849"/>
    <w:rsid w:val="004B7AD8"/>
    <w:rsid w:val="004B7B38"/>
    <w:rsid w:val="004B7BDF"/>
    <w:rsid w:val="004B7C52"/>
    <w:rsid w:val="004B7C8C"/>
    <w:rsid w:val="004B7DCF"/>
    <w:rsid w:val="004B7DDC"/>
    <w:rsid w:val="004C0BFB"/>
    <w:rsid w:val="004C1309"/>
    <w:rsid w:val="004C1AC4"/>
    <w:rsid w:val="004C287D"/>
    <w:rsid w:val="004C30F0"/>
    <w:rsid w:val="004C31C8"/>
    <w:rsid w:val="004C33E2"/>
    <w:rsid w:val="004C3789"/>
    <w:rsid w:val="004C39E7"/>
    <w:rsid w:val="004C3F22"/>
    <w:rsid w:val="004C3FDD"/>
    <w:rsid w:val="004C3FEA"/>
    <w:rsid w:val="004C42C7"/>
    <w:rsid w:val="004C4F9D"/>
    <w:rsid w:val="004C50AB"/>
    <w:rsid w:val="004C525B"/>
    <w:rsid w:val="004C615B"/>
    <w:rsid w:val="004C6341"/>
    <w:rsid w:val="004C6857"/>
    <w:rsid w:val="004C6BA0"/>
    <w:rsid w:val="004C7106"/>
    <w:rsid w:val="004C7810"/>
    <w:rsid w:val="004C7AD9"/>
    <w:rsid w:val="004D0354"/>
    <w:rsid w:val="004D08AF"/>
    <w:rsid w:val="004D0E53"/>
    <w:rsid w:val="004D0EB6"/>
    <w:rsid w:val="004D12E8"/>
    <w:rsid w:val="004D1770"/>
    <w:rsid w:val="004D1965"/>
    <w:rsid w:val="004D1A88"/>
    <w:rsid w:val="004D1B4A"/>
    <w:rsid w:val="004D1CCA"/>
    <w:rsid w:val="004D22F0"/>
    <w:rsid w:val="004D2342"/>
    <w:rsid w:val="004D26B2"/>
    <w:rsid w:val="004D2DED"/>
    <w:rsid w:val="004D2E45"/>
    <w:rsid w:val="004D3634"/>
    <w:rsid w:val="004D36B3"/>
    <w:rsid w:val="004D37A1"/>
    <w:rsid w:val="004D3A05"/>
    <w:rsid w:val="004D3E32"/>
    <w:rsid w:val="004D439C"/>
    <w:rsid w:val="004D497D"/>
    <w:rsid w:val="004D4C48"/>
    <w:rsid w:val="004D4EAD"/>
    <w:rsid w:val="004D53AC"/>
    <w:rsid w:val="004D5AA0"/>
    <w:rsid w:val="004D5C94"/>
    <w:rsid w:val="004D5D61"/>
    <w:rsid w:val="004D60EB"/>
    <w:rsid w:val="004D614F"/>
    <w:rsid w:val="004D640C"/>
    <w:rsid w:val="004D67F9"/>
    <w:rsid w:val="004D6860"/>
    <w:rsid w:val="004D69B4"/>
    <w:rsid w:val="004D715C"/>
    <w:rsid w:val="004D78CB"/>
    <w:rsid w:val="004D7989"/>
    <w:rsid w:val="004D7B8D"/>
    <w:rsid w:val="004D7C30"/>
    <w:rsid w:val="004D7CD2"/>
    <w:rsid w:val="004D7EAE"/>
    <w:rsid w:val="004E00A3"/>
    <w:rsid w:val="004E049F"/>
    <w:rsid w:val="004E0623"/>
    <w:rsid w:val="004E089A"/>
    <w:rsid w:val="004E09B6"/>
    <w:rsid w:val="004E1230"/>
    <w:rsid w:val="004E2618"/>
    <w:rsid w:val="004E2A69"/>
    <w:rsid w:val="004E2BFF"/>
    <w:rsid w:val="004E2F97"/>
    <w:rsid w:val="004E3582"/>
    <w:rsid w:val="004E385E"/>
    <w:rsid w:val="004E3A1A"/>
    <w:rsid w:val="004E3C56"/>
    <w:rsid w:val="004E3DB4"/>
    <w:rsid w:val="004E4111"/>
    <w:rsid w:val="004E4285"/>
    <w:rsid w:val="004E43C3"/>
    <w:rsid w:val="004E4AFF"/>
    <w:rsid w:val="004E5034"/>
    <w:rsid w:val="004E5069"/>
    <w:rsid w:val="004E56F4"/>
    <w:rsid w:val="004E5735"/>
    <w:rsid w:val="004E57B0"/>
    <w:rsid w:val="004E5A20"/>
    <w:rsid w:val="004E6283"/>
    <w:rsid w:val="004E6542"/>
    <w:rsid w:val="004E678D"/>
    <w:rsid w:val="004E687B"/>
    <w:rsid w:val="004E7512"/>
    <w:rsid w:val="004E7DD5"/>
    <w:rsid w:val="004E7F54"/>
    <w:rsid w:val="004F0066"/>
    <w:rsid w:val="004F01B1"/>
    <w:rsid w:val="004F075B"/>
    <w:rsid w:val="004F0C0D"/>
    <w:rsid w:val="004F0FDE"/>
    <w:rsid w:val="004F1432"/>
    <w:rsid w:val="004F1A04"/>
    <w:rsid w:val="004F1BD4"/>
    <w:rsid w:val="004F1FA2"/>
    <w:rsid w:val="004F2546"/>
    <w:rsid w:val="004F259B"/>
    <w:rsid w:val="004F2868"/>
    <w:rsid w:val="004F2886"/>
    <w:rsid w:val="004F31EC"/>
    <w:rsid w:val="004F3819"/>
    <w:rsid w:val="004F3A65"/>
    <w:rsid w:val="004F3AFA"/>
    <w:rsid w:val="004F3E8D"/>
    <w:rsid w:val="004F3EA0"/>
    <w:rsid w:val="004F4125"/>
    <w:rsid w:val="004F419B"/>
    <w:rsid w:val="004F4518"/>
    <w:rsid w:val="004F4AD4"/>
    <w:rsid w:val="004F4D91"/>
    <w:rsid w:val="004F4EA1"/>
    <w:rsid w:val="004F5297"/>
    <w:rsid w:val="004F549D"/>
    <w:rsid w:val="004F5CA2"/>
    <w:rsid w:val="004F6127"/>
    <w:rsid w:val="004F6397"/>
    <w:rsid w:val="004F65D2"/>
    <w:rsid w:val="004F69B7"/>
    <w:rsid w:val="004F6B45"/>
    <w:rsid w:val="004F6C86"/>
    <w:rsid w:val="004F6DB2"/>
    <w:rsid w:val="004F6E93"/>
    <w:rsid w:val="004F760C"/>
    <w:rsid w:val="004F77BC"/>
    <w:rsid w:val="004F780A"/>
    <w:rsid w:val="004F7920"/>
    <w:rsid w:val="004F79BB"/>
    <w:rsid w:val="004F7DA3"/>
    <w:rsid w:val="00500016"/>
    <w:rsid w:val="005002E7"/>
    <w:rsid w:val="00500568"/>
    <w:rsid w:val="00501300"/>
    <w:rsid w:val="0050135C"/>
    <w:rsid w:val="00501383"/>
    <w:rsid w:val="00501610"/>
    <w:rsid w:val="0050178F"/>
    <w:rsid w:val="00501897"/>
    <w:rsid w:val="00501980"/>
    <w:rsid w:val="00501DCF"/>
    <w:rsid w:val="00501E7B"/>
    <w:rsid w:val="00502077"/>
    <w:rsid w:val="00502228"/>
    <w:rsid w:val="005023DC"/>
    <w:rsid w:val="00502505"/>
    <w:rsid w:val="00502560"/>
    <w:rsid w:val="0050276C"/>
    <w:rsid w:val="00502D82"/>
    <w:rsid w:val="0050312A"/>
    <w:rsid w:val="005037B4"/>
    <w:rsid w:val="00503CAF"/>
    <w:rsid w:val="005040F2"/>
    <w:rsid w:val="0050467C"/>
    <w:rsid w:val="005046F6"/>
    <w:rsid w:val="0050482F"/>
    <w:rsid w:val="00504B60"/>
    <w:rsid w:val="00504BB8"/>
    <w:rsid w:val="00504E44"/>
    <w:rsid w:val="00505366"/>
    <w:rsid w:val="0050585D"/>
    <w:rsid w:val="00505880"/>
    <w:rsid w:val="00505AED"/>
    <w:rsid w:val="00506C94"/>
    <w:rsid w:val="005070CD"/>
    <w:rsid w:val="0050727D"/>
    <w:rsid w:val="00507462"/>
    <w:rsid w:val="0050747F"/>
    <w:rsid w:val="00507530"/>
    <w:rsid w:val="005076AE"/>
    <w:rsid w:val="00507A4C"/>
    <w:rsid w:val="00507AEE"/>
    <w:rsid w:val="00507D4E"/>
    <w:rsid w:val="005107EB"/>
    <w:rsid w:val="00510ACC"/>
    <w:rsid w:val="00510ACD"/>
    <w:rsid w:val="00510FE3"/>
    <w:rsid w:val="00511C78"/>
    <w:rsid w:val="00511CFB"/>
    <w:rsid w:val="00512227"/>
    <w:rsid w:val="00512C8A"/>
    <w:rsid w:val="005130AB"/>
    <w:rsid w:val="0051340B"/>
    <w:rsid w:val="005137F0"/>
    <w:rsid w:val="00513B89"/>
    <w:rsid w:val="00514089"/>
    <w:rsid w:val="00514815"/>
    <w:rsid w:val="00514C92"/>
    <w:rsid w:val="0051574E"/>
    <w:rsid w:val="0051588A"/>
    <w:rsid w:val="005158FC"/>
    <w:rsid w:val="00515D29"/>
    <w:rsid w:val="00516056"/>
    <w:rsid w:val="00516136"/>
    <w:rsid w:val="00516680"/>
    <w:rsid w:val="0051694B"/>
    <w:rsid w:val="00517052"/>
    <w:rsid w:val="00517089"/>
    <w:rsid w:val="00517108"/>
    <w:rsid w:val="005178D5"/>
    <w:rsid w:val="00517A1E"/>
    <w:rsid w:val="00517AAB"/>
    <w:rsid w:val="00517D68"/>
    <w:rsid w:val="005204BB"/>
    <w:rsid w:val="005204F3"/>
    <w:rsid w:val="00520651"/>
    <w:rsid w:val="00520692"/>
    <w:rsid w:val="00520E32"/>
    <w:rsid w:val="00521117"/>
    <w:rsid w:val="00521419"/>
    <w:rsid w:val="005217C0"/>
    <w:rsid w:val="0052181A"/>
    <w:rsid w:val="00521861"/>
    <w:rsid w:val="00521B17"/>
    <w:rsid w:val="005223F4"/>
    <w:rsid w:val="0052273E"/>
    <w:rsid w:val="005230C3"/>
    <w:rsid w:val="0052340C"/>
    <w:rsid w:val="00523956"/>
    <w:rsid w:val="00523CAB"/>
    <w:rsid w:val="00523FAC"/>
    <w:rsid w:val="00524053"/>
    <w:rsid w:val="0052423E"/>
    <w:rsid w:val="005245A2"/>
    <w:rsid w:val="005246D4"/>
    <w:rsid w:val="005252CC"/>
    <w:rsid w:val="005253AA"/>
    <w:rsid w:val="0052555D"/>
    <w:rsid w:val="005255F2"/>
    <w:rsid w:val="00525636"/>
    <w:rsid w:val="005256DD"/>
    <w:rsid w:val="005258C0"/>
    <w:rsid w:val="00525F08"/>
    <w:rsid w:val="00526021"/>
    <w:rsid w:val="00526224"/>
    <w:rsid w:val="0052700A"/>
    <w:rsid w:val="00527830"/>
    <w:rsid w:val="00527A07"/>
    <w:rsid w:val="00527AAA"/>
    <w:rsid w:val="00527E60"/>
    <w:rsid w:val="0053000B"/>
    <w:rsid w:val="0053012B"/>
    <w:rsid w:val="005307CC"/>
    <w:rsid w:val="00530AC7"/>
    <w:rsid w:val="00530BBF"/>
    <w:rsid w:val="00530C60"/>
    <w:rsid w:val="00530CE0"/>
    <w:rsid w:val="00530DE8"/>
    <w:rsid w:val="00530F9F"/>
    <w:rsid w:val="00531101"/>
    <w:rsid w:val="00531919"/>
    <w:rsid w:val="00532187"/>
    <w:rsid w:val="0053278A"/>
    <w:rsid w:val="00532A8A"/>
    <w:rsid w:val="005331A5"/>
    <w:rsid w:val="005339B1"/>
    <w:rsid w:val="0053435F"/>
    <w:rsid w:val="0053442E"/>
    <w:rsid w:val="0053450F"/>
    <w:rsid w:val="0053477E"/>
    <w:rsid w:val="00534C28"/>
    <w:rsid w:val="00535170"/>
    <w:rsid w:val="00535513"/>
    <w:rsid w:val="005355B8"/>
    <w:rsid w:val="005358B2"/>
    <w:rsid w:val="00535A53"/>
    <w:rsid w:val="00535A8C"/>
    <w:rsid w:val="00536365"/>
    <w:rsid w:val="0053649C"/>
    <w:rsid w:val="005369C1"/>
    <w:rsid w:val="00536FDF"/>
    <w:rsid w:val="00537015"/>
    <w:rsid w:val="00537138"/>
    <w:rsid w:val="005372C9"/>
    <w:rsid w:val="00537577"/>
    <w:rsid w:val="0053796A"/>
    <w:rsid w:val="005403E6"/>
    <w:rsid w:val="00540509"/>
    <w:rsid w:val="0054053A"/>
    <w:rsid w:val="005414AD"/>
    <w:rsid w:val="0054158D"/>
    <w:rsid w:val="005415ED"/>
    <w:rsid w:val="00541674"/>
    <w:rsid w:val="00541894"/>
    <w:rsid w:val="005418A4"/>
    <w:rsid w:val="005418EE"/>
    <w:rsid w:val="00541E39"/>
    <w:rsid w:val="00542161"/>
    <w:rsid w:val="0054236F"/>
    <w:rsid w:val="00542459"/>
    <w:rsid w:val="00542713"/>
    <w:rsid w:val="00542956"/>
    <w:rsid w:val="005429CA"/>
    <w:rsid w:val="00542B71"/>
    <w:rsid w:val="00542C2C"/>
    <w:rsid w:val="00542E32"/>
    <w:rsid w:val="00542ECA"/>
    <w:rsid w:val="00542F5F"/>
    <w:rsid w:val="0054322B"/>
    <w:rsid w:val="005433AA"/>
    <w:rsid w:val="005434BA"/>
    <w:rsid w:val="0054360F"/>
    <w:rsid w:val="00543A3F"/>
    <w:rsid w:val="00543BDB"/>
    <w:rsid w:val="0054450E"/>
    <w:rsid w:val="00544685"/>
    <w:rsid w:val="005447B3"/>
    <w:rsid w:val="00544907"/>
    <w:rsid w:val="0054495C"/>
    <w:rsid w:val="00544AC1"/>
    <w:rsid w:val="00544D90"/>
    <w:rsid w:val="00544F17"/>
    <w:rsid w:val="00544F86"/>
    <w:rsid w:val="005452B7"/>
    <w:rsid w:val="005454AC"/>
    <w:rsid w:val="00545A48"/>
    <w:rsid w:val="00545E65"/>
    <w:rsid w:val="00546369"/>
    <w:rsid w:val="00546388"/>
    <w:rsid w:val="0054659E"/>
    <w:rsid w:val="005467ED"/>
    <w:rsid w:val="00546813"/>
    <w:rsid w:val="005468BC"/>
    <w:rsid w:val="00546ACB"/>
    <w:rsid w:val="00546B10"/>
    <w:rsid w:val="005472C5"/>
    <w:rsid w:val="00547422"/>
    <w:rsid w:val="0054798B"/>
    <w:rsid w:val="00547D6E"/>
    <w:rsid w:val="00547F76"/>
    <w:rsid w:val="00550A71"/>
    <w:rsid w:val="00550E1C"/>
    <w:rsid w:val="00551675"/>
    <w:rsid w:val="0055174A"/>
    <w:rsid w:val="00551CC8"/>
    <w:rsid w:val="00552075"/>
    <w:rsid w:val="005521B2"/>
    <w:rsid w:val="005521CF"/>
    <w:rsid w:val="00552256"/>
    <w:rsid w:val="005524E8"/>
    <w:rsid w:val="00553377"/>
    <w:rsid w:val="0055370A"/>
    <w:rsid w:val="00553943"/>
    <w:rsid w:val="0055406E"/>
    <w:rsid w:val="00554341"/>
    <w:rsid w:val="00554522"/>
    <w:rsid w:val="00554617"/>
    <w:rsid w:val="005549A9"/>
    <w:rsid w:val="00554C0C"/>
    <w:rsid w:val="00554C29"/>
    <w:rsid w:val="00554F93"/>
    <w:rsid w:val="0055516F"/>
    <w:rsid w:val="0055532B"/>
    <w:rsid w:val="005553BC"/>
    <w:rsid w:val="005557E1"/>
    <w:rsid w:val="00555A02"/>
    <w:rsid w:val="00555B0B"/>
    <w:rsid w:val="00555C37"/>
    <w:rsid w:val="00556140"/>
    <w:rsid w:val="00556555"/>
    <w:rsid w:val="0055672C"/>
    <w:rsid w:val="00556B24"/>
    <w:rsid w:val="005571C1"/>
    <w:rsid w:val="005571DC"/>
    <w:rsid w:val="00557472"/>
    <w:rsid w:val="005574F9"/>
    <w:rsid w:val="00557553"/>
    <w:rsid w:val="005575C1"/>
    <w:rsid w:val="00557718"/>
    <w:rsid w:val="005577DE"/>
    <w:rsid w:val="005578A4"/>
    <w:rsid w:val="00557B8C"/>
    <w:rsid w:val="00557EB5"/>
    <w:rsid w:val="00557FD7"/>
    <w:rsid w:val="00560A9D"/>
    <w:rsid w:val="0056151C"/>
    <w:rsid w:val="0056173B"/>
    <w:rsid w:val="0056178E"/>
    <w:rsid w:val="00561EF7"/>
    <w:rsid w:val="005625D1"/>
    <w:rsid w:val="00562612"/>
    <w:rsid w:val="00562DAB"/>
    <w:rsid w:val="00562E2C"/>
    <w:rsid w:val="00562F59"/>
    <w:rsid w:val="005631CE"/>
    <w:rsid w:val="005638B3"/>
    <w:rsid w:val="0056425D"/>
    <w:rsid w:val="005642E6"/>
    <w:rsid w:val="0056478C"/>
    <w:rsid w:val="00564AFD"/>
    <w:rsid w:val="00564E7A"/>
    <w:rsid w:val="00565215"/>
    <w:rsid w:val="0056550D"/>
    <w:rsid w:val="00565970"/>
    <w:rsid w:val="00566020"/>
    <w:rsid w:val="00566104"/>
    <w:rsid w:val="00566713"/>
    <w:rsid w:val="00566852"/>
    <w:rsid w:val="00566967"/>
    <w:rsid w:val="00566DE1"/>
    <w:rsid w:val="0056766B"/>
    <w:rsid w:val="0056789C"/>
    <w:rsid w:val="00567C8C"/>
    <w:rsid w:val="00567CE8"/>
    <w:rsid w:val="00567EB2"/>
    <w:rsid w:val="00567F31"/>
    <w:rsid w:val="005705DC"/>
    <w:rsid w:val="005709BC"/>
    <w:rsid w:val="00570D32"/>
    <w:rsid w:val="0057112A"/>
    <w:rsid w:val="005712CD"/>
    <w:rsid w:val="005725D7"/>
    <w:rsid w:val="005733B0"/>
    <w:rsid w:val="005735F4"/>
    <w:rsid w:val="0057372A"/>
    <w:rsid w:val="005738C3"/>
    <w:rsid w:val="00573EE5"/>
    <w:rsid w:val="00574130"/>
    <w:rsid w:val="00574139"/>
    <w:rsid w:val="0057427E"/>
    <w:rsid w:val="00574524"/>
    <w:rsid w:val="00574859"/>
    <w:rsid w:val="00574930"/>
    <w:rsid w:val="00574A7A"/>
    <w:rsid w:val="00574C55"/>
    <w:rsid w:val="00575468"/>
    <w:rsid w:val="0057566E"/>
    <w:rsid w:val="0057589E"/>
    <w:rsid w:val="005758EA"/>
    <w:rsid w:val="005760F0"/>
    <w:rsid w:val="005765F3"/>
    <w:rsid w:val="00576B47"/>
    <w:rsid w:val="00577202"/>
    <w:rsid w:val="0057730B"/>
    <w:rsid w:val="005773A7"/>
    <w:rsid w:val="00577497"/>
    <w:rsid w:val="00577D54"/>
    <w:rsid w:val="00577DBB"/>
    <w:rsid w:val="005801BE"/>
    <w:rsid w:val="00580971"/>
    <w:rsid w:val="0058099B"/>
    <w:rsid w:val="005809BA"/>
    <w:rsid w:val="00580E66"/>
    <w:rsid w:val="00580ECB"/>
    <w:rsid w:val="0058108C"/>
    <w:rsid w:val="005813A0"/>
    <w:rsid w:val="00581488"/>
    <w:rsid w:val="0058154A"/>
    <w:rsid w:val="00581726"/>
    <w:rsid w:val="00581798"/>
    <w:rsid w:val="00581A18"/>
    <w:rsid w:val="00581A57"/>
    <w:rsid w:val="00581BF7"/>
    <w:rsid w:val="00582E32"/>
    <w:rsid w:val="00582F53"/>
    <w:rsid w:val="00583063"/>
    <w:rsid w:val="005830AC"/>
    <w:rsid w:val="00583327"/>
    <w:rsid w:val="005834DC"/>
    <w:rsid w:val="005837AD"/>
    <w:rsid w:val="005837CF"/>
    <w:rsid w:val="005837D7"/>
    <w:rsid w:val="0058386C"/>
    <w:rsid w:val="0058404F"/>
    <w:rsid w:val="005841D2"/>
    <w:rsid w:val="00584D94"/>
    <w:rsid w:val="00584F6E"/>
    <w:rsid w:val="00585EFC"/>
    <w:rsid w:val="00585F70"/>
    <w:rsid w:val="005861F5"/>
    <w:rsid w:val="00586448"/>
    <w:rsid w:val="00586687"/>
    <w:rsid w:val="00586936"/>
    <w:rsid w:val="00586B80"/>
    <w:rsid w:val="00586F70"/>
    <w:rsid w:val="00587359"/>
    <w:rsid w:val="00587590"/>
    <w:rsid w:val="0058760A"/>
    <w:rsid w:val="00587971"/>
    <w:rsid w:val="00587DB7"/>
    <w:rsid w:val="00590C13"/>
    <w:rsid w:val="005913F6"/>
    <w:rsid w:val="00591771"/>
    <w:rsid w:val="005918CE"/>
    <w:rsid w:val="0059190C"/>
    <w:rsid w:val="00591C40"/>
    <w:rsid w:val="00592681"/>
    <w:rsid w:val="0059296C"/>
    <w:rsid w:val="00593698"/>
    <w:rsid w:val="005937D0"/>
    <w:rsid w:val="005939A8"/>
    <w:rsid w:val="00593A00"/>
    <w:rsid w:val="00593FF2"/>
    <w:rsid w:val="00594072"/>
    <w:rsid w:val="005940EB"/>
    <w:rsid w:val="0059430D"/>
    <w:rsid w:val="00594AB5"/>
    <w:rsid w:val="00595308"/>
    <w:rsid w:val="0059547E"/>
    <w:rsid w:val="005954A7"/>
    <w:rsid w:val="005959AF"/>
    <w:rsid w:val="00595B9C"/>
    <w:rsid w:val="00595EC8"/>
    <w:rsid w:val="00596858"/>
    <w:rsid w:val="00596C1F"/>
    <w:rsid w:val="00596D1C"/>
    <w:rsid w:val="00596D54"/>
    <w:rsid w:val="005970DA"/>
    <w:rsid w:val="0059721E"/>
    <w:rsid w:val="00597309"/>
    <w:rsid w:val="00597674"/>
    <w:rsid w:val="005977BC"/>
    <w:rsid w:val="00597884"/>
    <w:rsid w:val="00597EC7"/>
    <w:rsid w:val="005A0212"/>
    <w:rsid w:val="005A03BF"/>
    <w:rsid w:val="005A0479"/>
    <w:rsid w:val="005A098A"/>
    <w:rsid w:val="005A0F7E"/>
    <w:rsid w:val="005A1159"/>
    <w:rsid w:val="005A128F"/>
    <w:rsid w:val="005A129D"/>
    <w:rsid w:val="005A19CB"/>
    <w:rsid w:val="005A1C5E"/>
    <w:rsid w:val="005A1C6F"/>
    <w:rsid w:val="005A206C"/>
    <w:rsid w:val="005A229B"/>
    <w:rsid w:val="005A24D7"/>
    <w:rsid w:val="005A25DE"/>
    <w:rsid w:val="005A273D"/>
    <w:rsid w:val="005A28CA"/>
    <w:rsid w:val="005A2B76"/>
    <w:rsid w:val="005A32DD"/>
    <w:rsid w:val="005A33CD"/>
    <w:rsid w:val="005A392A"/>
    <w:rsid w:val="005A3A50"/>
    <w:rsid w:val="005A3C44"/>
    <w:rsid w:val="005A3C83"/>
    <w:rsid w:val="005A3E4B"/>
    <w:rsid w:val="005A3FF5"/>
    <w:rsid w:val="005A4070"/>
    <w:rsid w:val="005A45AB"/>
    <w:rsid w:val="005A4B2B"/>
    <w:rsid w:val="005A4BEE"/>
    <w:rsid w:val="005A4DC0"/>
    <w:rsid w:val="005A4E6C"/>
    <w:rsid w:val="005A4E75"/>
    <w:rsid w:val="005A547D"/>
    <w:rsid w:val="005A56BF"/>
    <w:rsid w:val="005A578A"/>
    <w:rsid w:val="005A5A1A"/>
    <w:rsid w:val="005A5D6E"/>
    <w:rsid w:val="005A6226"/>
    <w:rsid w:val="005A6395"/>
    <w:rsid w:val="005A6407"/>
    <w:rsid w:val="005A641F"/>
    <w:rsid w:val="005A69E6"/>
    <w:rsid w:val="005A6B7B"/>
    <w:rsid w:val="005A6DA4"/>
    <w:rsid w:val="005A73F8"/>
    <w:rsid w:val="005A743C"/>
    <w:rsid w:val="005A794E"/>
    <w:rsid w:val="005A7E2B"/>
    <w:rsid w:val="005B03DD"/>
    <w:rsid w:val="005B04AD"/>
    <w:rsid w:val="005B09E3"/>
    <w:rsid w:val="005B0FEE"/>
    <w:rsid w:val="005B1267"/>
    <w:rsid w:val="005B1379"/>
    <w:rsid w:val="005B147B"/>
    <w:rsid w:val="005B160A"/>
    <w:rsid w:val="005B172F"/>
    <w:rsid w:val="005B1935"/>
    <w:rsid w:val="005B1BB2"/>
    <w:rsid w:val="005B1C83"/>
    <w:rsid w:val="005B1DEF"/>
    <w:rsid w:val="005B2238"/>
    <w:rsid w:val="005B2242"/>
    <w:rsid w:val="005B23AF"/>
    <w:rsid w:val="005B2569"/>
    <w:rsid w:val="005B26FC"/>
    <w:rsid w:val="005B2E8F"/>
    <w:rsid w:val="005B312A"/>
    <w:rsid w:val="005B3919"/>
    <w:rsid w:val="005B398E"/>
    <w:rsid w:val="005B3BD0"/>
    <w:rsid w:val="005B3DBC"/>
    <w:rsid w:val="005B3E44"/>
    <w:rsid w:val="005B3F2A"/>
    <w:rsid w:val="005B3F3B"/>
    <w:rsid w:val="005B4128"/>
    <w:rsid w:val="005B4208"/>
    <w:rsid w:val="005B434C"/>
    <w:rsid w:val="005B4EF6"/>
    <w:rsid w:val="005B4FC2"/>
    <w:rsid w:val="005B5018"/>
    <w:rsid w:val="005B5808"/>
    <w:rsid w:val="005B5813"/>
    <w:rsid w:val="005B5B6C"/>
    <w:rsid w:val="005B5D9C"/>
    <w:rsid w:val="005B5E35"/>
    <w:rsid w:val="005B668C"/>
    <w:rsid w:val="005B68BA"/>
    <w:rsid w:val="005B6D93"/>
    <w:rsid w:val="005B6E9D"/>
    <w:rsid w:val="005B6E9E"/>
    <w:rsid w:val="005B70C6"/>
    <w:rsid w:val="005B7314"/>
    <w:rsid w:val="005B7B99"/>
    <w:rsid w:val="005C123A"/>
    <w:rsid w:val="005C1C59"/>
    <w:rsid w:val="005C1D1A"/>
    <w:rsid w:val="005C2383"/>
    <w:rsid w:val="005C238E"/>
    <w:rsid w:val="005C28E4"/>
    <w:rsid w:val="005C2CC2"/>
    <w:rsid w:val="005C33E6"/>
    <w:rsid w:val="005C36B0"/>
    <w:rsid w:val="005C3911"/>
    <w:rsid w:val="005C4362"/>
    <w:rsid w:val="005C4489"/>
    <w:rsid w:val="005C4558"/>
    <w:rsid w:val="005C455B"/>
    <w:rsid w:val="005C46DF"/>
    <w:rsid w:val="005C48E4"/>
    <w:rsid w:val="005C4A3A"/>
    <w:rsid w:val="005C4C15"/>
    <w:rsid w:val="005C4C84"/>
    <w:rsid w:val="005C5156"/>
    <w:rsid w:val="005C521C"/>
    <w:rsid w:val="005C5D23"/>
    <w:rsid w:val="005C647B"/>
    <w:rsid w:val="005C6579"/>
    <w:rsid w:val="005C671F"/>
    <w:rsid w:val="005C6C26"/>
    <w:rsid w:val="005C73E0"/>
    <w:rsid w:val="005C76DF"/>
    <w:rsid w:val="005C7843"/>
    <w:rsid w:val="005C789A"/>
    <w:rsid w:val="005C7A73"/>
    <w:rsid w:val="005C7DB4"/>
    <w:rsid w:val="005C7EAE"/>
    <w:rsid w:val="005C7F8F"/>
    <w:rsid w:val="005D00F4"/>
    <w:rsid w:val="005D0DD3"/>
    <w:rsid w:val="005D0F72"/>
    <w:rsid w:val="005D14EA"/>
    <w:rsid w:val="005D15CD"/>
    <w:rsid w:val="005D1684"/>
    <w:rsid w:val="005D1830"/>
    <w:rsid w:val="005D1876"/>
    <w:rsid w:val="005D228B"/>
    <w:rsid w:val="005D2653"/>
    <w:rsid w:val="005D2C7C"/>
    <w:rsid w:val="005D2DB4"/>
    <w:rsid w:val="005D2E4B"/>
    <w:rsid w:val="005D2FDA"/>
    <w:rsid w:val="005D2FFB"/>
    <w:rsid w:val="005D3056"/>
    <w:rsid w:val="005D3AC8"/>
    <w:rsid w:val="005D3E52"/>
    <w:rsid w:val="005D41D6"/>
    <w:rsid w:val="005D4A70"/>
    <w:rsid w:val="005D4FBC"/>
    <w:rsid w:val="005D508A"/>
    <w:rsid w:val="005D551F"/>
    <w:rsid w:val="005D5702"/>
    <w:rsid w:val="005D583D"/>
    <w:rsid w:val="005D589F"/>
    <w:rsid w:val="005D5E97"/>
    <w:rsid w:val="005D6D72"/>
    <w:rsid w:val="005D6EC0"/>
    <w:rsid w:val="005D796A"/>
    <w:rsid w:val="005D7DE3"/>
    <w:rsid w:val="005E00BF"/>
    <w:rsid w:val="005E0313"/>
    <w:rsid w:val="005E04E8"/>
    <w:rsid w:val="005E0538"/>
    <w:rsid w:val="005E079D"/>
    <w:rsid w:val="005E0B60"/>
    <w:rsid w:val="005E0CB3"/>
    <w:rsid w:val="005E13A7"/>
    <w:rsid w:val="005E14A9"/>
    <w:rsid w:val="005E1580"/>
    <w:rsid w:val="005E164E"/>
    <w:rsid w:val="005E17D9"/>
    <w:rsid w:val="005E1BD3"/>
    <w:rsid w:val="005E20D6"/>
    <w:rsid w:val="005E250F"/>
    <w:rsid w:val="005E2678"/>
    <w:rsid w:val="005E32AE"/>
    <w:rsid w:val="005E39A2"/>
    <w:rsid w:val="005E3AF0"/>
    <w:rsid w:val="005E43F2"/>
    <w:rsid w:val="005E4687"/>
    <w:rsid w:val="005E4FBB"/>
    <w:rsid w:val="005E5004"/>
    <w:rsid w:val="005E5412"/>
    <w:rsid w:val="005E5889"/>
    <w:rsid w:val="005E595D"/>
    <w:rsid w:val="005E5A3A"/>
    <w:rsid w:val="005E5CC2"/>
    <w:rsid w:val="005E5D43"/>
    <w:rsid w:val="005E62B7"/>
    <w:rsid w:val="005E63ED"/>
    <w:rsid w:val="005E6499"/>
    <w:rsid w:val="005E6500"/>
    <w:rsid w:val="005E6764"/>
    <w:rsid w:val="005E68A9"/>
    <w:rsid w:val="005E6B1F"/>
    <w:rsid w:val="005E731C"/>
    <w:rsid w:val="005E7594"/>
    <w:rsid w:val="005E75FA"/>
    <w:rsid w:val="005E7D8A"/>
    <w:rsid w:val="005E7F3F"/>
    <w:rsid w:val="005F07A6"/>
    <w:rsid w:val="005F093F"/>
    <w:rsid w:val="005F0CBD"/>
    <w:rsid w:val="005F1EA8"/>
    <w:rsid w:val="005F1ECB"/>
    <w:rsid w:val="005F2018"/>
    <w:rsid w:val="005F2164"/>
    <w:rsid w:val="005F22FA"/>
    <w:rsid w:val="005F2D69"/>
    <w:rsid w:val="005F2E1C"/>
    <w:rsid w:val="005F3150"/>
    <w:rsid w:val="005F3585"/>
    <w:rsid w:val="005F3D06"/>
    <w:rsid w:val="005F3D6E"/>
    <w:rsid w:val="005F4069"/>
    <w:rsid w:val="005F4455"/>
    <w:rsid w:val="005F44A2"/>
    <w:rsid w:val="005F46FC"/>
    <w:rsid w:val="005F4819"/>
    <w:rsid w:val="005F49EC"/>
    <w:rsid w:val="005F4AC9"/>
    <w:rsid w:val="005F4AD7"/>
    <w:rsid w:val="005F4C18"/>
    <w:rsid w:val="005F4C7B"/>
    <w:rsid w:val="005F5583"/>
    <w:rsid w:val="005F5A6D"/>
    <w:rsid w:val="005F5AFE"/>
    <w:rsid w:val="005F5F8C"/>
    <w:rsid w:val="005F62EB"/>
    <w:rsid w:val="005F6607"/>
    <w:rsid w:val="005F697D"/>
    <w:rsid w:val="005F6ED6"/>
    <w:rsid w:val="005F7102"/>
    <w:rsid w:val="005F757C"/>
    <w:rsid w:val="005F7853"/>
    <w:rsid w:val="005F78BD"/>
    <w:rsid w:val="005F7952"/>
    <w:rsid w:val="005F7B74"/>
    <w:rsid w:val="005F7B95"/>
    <w:rsid w:val="00600823"/>
    <w:rsid w:val="00600D04"/>
    <w:rsid w:val="00600D5B"/>
    <w:rsid w:val="00601ADC"/>
    <w:rsid w:val="00601E31"/>
    <w:rsid w:val="00601E5C"/>
    <w:rsid w:val="006023B9"/>
    <w:rsid w:val="006023E9"/>
    <w:rsid w:val="00602441"/>
    <w:rsid w:val="00602767"/>
    <w:rsid w:val="00602C7F"/>
    <w:rsid w:val="00602ECC"/>
    <w:rsid w:val="006037FF"/>
    <w:rsid w:val="00603BE1"/>
    <w:rsid w:val="00603CD7"/>
    <w:rsid w:val="00603CEE"/>
    <w:rsid w:val="006044D5"/>
    <w:rsid w:val="00604532"/>
    <w:rsid w:val="00604AA1"/>
    <w:rsid w:val="00605224"/>
    <w:rsid w:val="00605CB6"/>
    <w:rsid w:val="00605D73"/>
    <w:rsid w:val="00605EFE"/>
    <w:rsid w:val="006064F2"/>
    <w:rsid w:val="00606665"/>
    <w:rsid w:val="00606724"/>
    <w:rsid w:val="00607018"/>
    <w:rsid w:val="006073C2"/>
    <w:rsid w:val="006074A5"/>
    <w:rsid w:val="00607E6C"/>
    <w:rsid w:val="00607F92"/>
    <w:rsid w:val="0061027F"/>
    <w:rsid w:val="00610D73"/>
    <w:rsid w:val="0061134F"/>
    <w:rsid w:val="0061187E"/>
    <w:rsid w:val="00611E3B"/>
    <w:rsid w:val="006121FC"/>
    <w:rsid w:val="006122A8"/>
    <w:rsid w:val="0061230C"/>
    <w:rsid w:val="00612AD8"/>
    <w:rsid w:val="00612B09"/>
    <w:rsid w:val="0061385E"/>
    <w:rsid w:val="00613B6C"/>
    <w:rsid w:val="006140A8"/>
    <w:rsid w:val="00614164"/>
    <w:rsid w:val="006144AF"/>
    <w:rsid w:val="006145E8"/>
    <w:rsid w:val="006146A6"/>
    <w:rsid w:val="0061501F"/>
    <w:rsid w:val="00615839"/>
    <w:rsid w:val="006159D1"/>
    <w:rsid w:val="00615B70"/>
    <w:rsid w:val="00616A41"/>
    <w:rsid w:val="00616A5C"/>
    <w:rsid w:val="00616F7B"/>
    <w:rsid w:val="0061740D"/>
    <w:rsid w:val="00617AE6"/>
    <w:rsid w:val="00617C09"/>
    <w:rsid w:val="00617ECE"/>
    <w:rsid w:val="00617F61"/>
    <w:rsid w:val="00620181"/>
    <w:rsid w:val="006203C0"/>
    <w:rsid w:val="00620541"/>
    <w:rsid w:val="00620E0D"/>
    <w:rsid w:val="0062148A"/>
    <w:rsid w:val="006214F2"/>
    <w:rsid w:val="00621628"/>
    <w:rsid w:val="00621AB5"/>
    <w:rsid w:val="00621D9D"/>
    <w:rsid w:val="00621E0D"/>
    <w:rsid w:val="006222AB"/>
    <w:rsid w:val="00622769"/>
    <w:rsid w:val="006227FE"/>
    <w:rsid w:val="00622AFF"/>
    <w:rsid w:val="00622E50"/>
    <w:rsid w:val="0062359C"/>
    <w:rsid w:val="006235AB"/>
    <w:rsid w:val="00623683"/>
    <w:rsid w:val="00623868"/>
    <w:rsid w:val="00623D92"/>
    <w:rsid w:val="00624A2F"/>
    <w:rsid w:val="00624E95"/>
    <w:rsid w:val="006255FD"/>
    <w:rsid w:val="00625637"/>
    <w:rsid w:val="00625737"/>
    <w:rsid w:val="00625F5B"/>
    <w:rsid w:val="006262FF"/>
    <w:rsid w:val="006263A1"/>
    <w:rsid w:val="0062658D"/>
    <w:rsid w:val="006266E4"/>
    <w:rsid w:val="00626B4D"/>
    <w:rsid w:val="00626EF5"/>
    <w:rsid w:val="00627084"/>
    <w:rsid w:val="00627126"/>
    <w:rsid w:val="00627838"/>
    <w:rsid w:val="00627887"/>
    <w:rsid w:val="00627A52"/>
    <w:rsid w:val="00627F99"/>
    <w:rsid w:val="00630119"/>
    <w:rsid w:val="006303D8"/>
    <w:rsid w:val="00630740"/>
    <w:rsid w:val="006308E3"/>
    <w:rsid w:val="00631864"/>
    <w:rsid w:val="0063196E"/>
    <w:rsid w:val="00631AD1"/>
    <w:rsid w:val="00631BC3"/>
    <w:rsid w:val="00631E73"/>
    <w:rsid w:val="00632444"/>
    <w:rsid w:val="00632447"/>
    <w:rsid w:val="00632639"/>
    <w:rsid w:val="00632C23"/>
    <w:rsid w:val="00632CDA"/>
    <w:rsid w:val="00632D60"/>
    <w:rsid w:val="00632E45"/>
    <w:rsid w:val="00633057"/>
    <w:rsid w:val="0063374D"/>
    <w:rsid w:val="0063387F"/>
    <w:rsid w:val="00633DF6"/>
    <w:rsid w:val="00634A03"/>
    <w:rsid w:val="00634A23"/>
    <w:rsid w:val="0063505D"/>
    <w:rsid w:val="00635063"/>
    <w:rsid w:val="006352C3"/>
    <w:rsid w:val="006356A1"/>
    <w:rsid w:val="006359FD"/>
    <w:rsid w:val="00635A8A"/>
    <w:rsid w:val="00635E3B"/>
    <w:rsid w:val="00636579"/>
    <w:rsid w:val="006370CE"/>
    <w:rsid w:val="006372E5"/>
    <w:rsid w:val="006377D6"/>
    <w:rsid w:val="00637856"/>
    <w:rsid w:val="00637B34"/>
    <w:rsid w:val="00637F05"/>
    <w:rsid w:val="00637F64"/>
    <w:rsid w:val="00640240"/>
    <w:rsid w:val="00640460"/>
    <w:rsid w:val="0064060A"/>
    <w:rsid w:val="006409AE"/>
    <w:rsid w:val="00640D60"/>
    <w:rsid w:val="00641694"/>
    <w:rsid w:val="00641A7E"/>
    <w:rsid w:val="00641C8B"/>
    <w:rsid w:val="0064271C"/>
    <w:rsid w:val="00642F2D"/>
    <w:rsid w:val="0064311E"/>
    <w:rsid w:val="00643D31"/>
    <w:rsid w:val="00643DF1"/>
    <w:rsid w:val="00643DFF"/>
    <w:rsid w:val="00643E73"/>
    <w:rsid w:val="00644749"/>
    <w:rsid w:val="00644805"/>
    <w:rsid w:val="00644870"/>
    <w:rsid w:val="00644AE1"/>
    <w:rsid w:val="00644B86"/>
    <w:rsid w:val="00644C31"/>
    <w:rsid w:val="00645087"/>
    <w:rsid w:val="0064534A"/>
    <w:rsid w:val="00645869"/>
    <w:rsid w:val="006459C3"/>
    <w:rsid w:val="00646166"/>
    <w:rsid w:val="0064683D"/>
    <w:rsid w:val="00646AD0"/>
    <w:rsid w:val="00646EB5"/>
    <w:rsid w:val="00646EF5"/>
    <w:rsid w:val="00647317"/>
    <w:rsid w:val="00647539"/>
    <w:rsid w:val="006476DB"/>
    <w:rsid w:val="006479D1"/>
    <w:rsid w:val="00647A91"/>
    <w:rsid w:val="00650080"/>
    <w:rsid w:val="00650154"/>
    <w:rsid w:val="006502F5"/>
    <w:rsid w:val="006508C5"/>
    <w:rsid w:val="00650AFF"/>
    <w:rsid w:val="00651095"/>
    <w:rsid w:val="006511B5"/>
    <w:rsid w:val="006513F2"/>
    <w:rsid w:val="006517FB"/>
    <w:rsid w:val="006522F8"/>
    <w:rsid w:val="006523D5"/>
    <w:rsid w:val="00652470"/>
    <w:rsid w:val="00652E0D"/>
    <w:rsid w:val="00652F29"/>
    <w:rsid w:val="006530DA"/>
    <w:rsid w:val="00653D3F"/>
    <w:rsid w:val="0065422A"/>
    <w:rsid w:val="006543A4"/>
    <w:rsid w:val="00654706"/>
    <w:rsid w:val="00654B7B"/>
    <w:rsid w:val="0065539D"/>
    <w:rsid w:val="00655818"/>
    <w:rsid w:val="006558B6"/>
    <w:rsid w:val="00655DE1"/>
    <w:rsid w:val="00655E5D"/>
    <w:rsid w:val="006562A6"/>
    <w:rsid w:val="006562E6"/>
    <w:rsid w:val="00656468"/>
    <w:rsid w:val="006568D6"/>
    <w:rsid w:val="00656BFC"/>
    <w:rsid w:val="00656DFD"/>
    <w:rsid w:val="00656FD7"/>
    <w:rsid w:val="00656FD9"/>
    <w:rsid w:val="006576CE"/>
    <w:rsid w:val="00657FBA"/>
    <w:rsid w:val="00660449"/>
    <w:rsid w:val="00660889"/>
    <w:rsid w:val="006608AC"/>
    <w:rsid w:val="00660BDF"/>
    <w:rsid w:val="00661653"/>
    <w:rsid w:val="00661A71"/>
    <w:rsid w:val="00661C15"/>
    <w:rsid w:val="00661C36"/>
    <w:rsid w:val="006628F7"/>
    <w:rsid w:val="00662A90"/>
    <w:rsid w:val="00662AA2"/>
    <w:rsid w:val="00662D0B"/>
    <w:rsid w:val="00663203"/>
    <w:rsid w:val="00663220"/>
    <w:rsid w:val="0066327F"/>
    <w:rsid w:val="006635F1"/>
    <w:rsid w:val="00663945"/>
    <w:rsid w:val="00663AA8"/>
    <w:rsid w:val="00663F80"/>
    <w:rsid w:val="0066402C"/>
    <w:rsid w:val="0066410F"/>
    <w:rsid w:val="006641AF"/>
    <w:rsid w:val="006644DD"/>
    <w:rsid w:val="00664535"/>
    <w:rsid w:val="00664998"/>
    <w:rsid w:val="00664C26"/>
    <w:rsid w:val="00664C37"/>
    <w:rsid w:val="00665802"/>
    <w:rsid w:val="00665DEB"/>
    <w:rsid w:val="00665E30"/>
    <w:rsid w:val="0066626A"/>
    <w:rsid w:val="00666C39"/>
    <w:rsid w:val="00667123"/>
    <w:rsid w:val="006673E4"/>
    <w:rsid w:val="006679C5"/>
    <w:rsid w:val="00667A4B"/>
    <w:rsid w:val="00667B95"/>
    <w:rsid w:val="006705BF"/>
    <w:rsid w:val="00670766"/>
    <w:rsid w:val="00670987"/>
    <w:rsid w:val="00670ACB"/>
    <w:rsid w:val="00670E20"/>
    <w:rsid w:val="00671190"/>
    <w:rsid w:val="006716A2"/>
    <w:rsid w:val="0067176F"/>
    <w:rsid w:val="00671A3F"/>
    <w:rsid w:val="00671C0E"/>
    <w:rsid w:val="00671D00"/>
    <w:rsid w:val="006720F0"/>
    <w:rsid w:val="006722E8"/>
    <w:rsid w:val="00672918"/>
    <w:rsid w:val="00672A6F"/>
    <w:rsid w:val="006730B3"/>
    <w:rsid w:val="006735D7"/>
    <w:rsid w:val="0067378E"/>
    <w:rsid w:val="00673867"/>
    <w:rsid w:val="00673924"/>
    <w:rsid w:val="0067394F"/>
    <w:rsid w:val="00673A06"/>
    <w:rsid w:val="00673D68"/>
    <w:rsid w:val="00673F46"/>
    <w:rsid w:val="00674A91"/>
    <w:rsid w:val="00674C32"/>
    <w:rsid w:val="00674F17"/>
    <w:rsid w:val="006753C7"/>
    <w:rsid w:val="0067560C"/>
    <w:rsid w:val="00675FAE"/>
    <w:rsid w:val="006761CE"/>
    <w:rsid w:val="00676558"/>
    <w:rsid w:val="00676ABE"/>
    <w:rsid w:val="006773C5"/>
    <w:rsid w:val="0067778D"/>
    <w:rsid w:val="00677844"/>
    <w:rsid w:val="0067788F"/>
    <w:rsid w:val="006778DF"/>
    <w:rsid w:val="00677BD3"/>
    <w:rsid w:val="00677FDA"/>
    <w:rsid w:val="00680666"/>
    <w:rsid w:val="006807EF"/>
    <w:rsid w:val="00680B69"/>
    <w:rsid w:val="00680C9D"/>
    <w:rsid w:val="00680D83"/>
    <w:rsid w:val="00680F6A"/>
    <w:rsid w:val="006810DF"/>
    <w:rsid w:val="006810F1"/>
    <w:rsid w:val="0068128E"/>
    <w:rsid w:val="006812DA"/>
    <w:rsid w:val="00681407"/>
    <w:rsid w:val="006814A4"/>
    <w:rsid w:val="00681595"/>
    <w:rsid w:val="00681759"/>
    <w:rsid w:val="006818FD"/>
    <w:rsid w:val="00681DF3"/>
    <w:rsid w:val="006824F3"/>
    <w:rsid w:val="00682A37"/>
    <w:rsid w:val="00682C98"/>
    <w:rsid w:val="00682F2F"/>
    <w:rsid w:val="00683C1B"/>
    <w:rsid w:val="006841E6"/>
    <w:rsid w:val="00684689"/>
    <w:rsid w:val="00684829"/>
    <w:rsid w:val="00684B48"/>
    <w:rsid w:val="00685218"/>
    <w:rsid w:val="006853F3"/>
    <w:rsid w:val="006857EB"/>
    <w:rsid w:val="0068598A"/>
    <w:rsid w:val="00685A69"/>
    <w:rsid w:val="00685E62"/>
    <w:rsid w:val="00686142"/>
    <w:rsid w:val="00686475"/>
    <w:rsid w:val="00686573"/>
    <w:rsid w:val="006872CE"/>
    <w:rsid w:val="00687377"/>
    <w:rsid w:val="0068746B"/>
    <w:rsid w:val="006875BD"/>
    <w:rsid w:val="006875C9"/>
    <w:rsid w:val="006877DA"/>
    <w:rsid w:val="00687C63"/>
    <w:rsid w:val="00687FDD"/>
    <w:rsid w:val="00690038"/>
    <w:rsid w:val="0069003C"/>
    <w:rsid w:val="0069015E"/>
    <w:rsid w:val="006901A0"/>
    <w:rsid w:val="00690668"/>
    <w:rsid w:val="0069096E"/>
    <w:rsid w:val="006915D4"/>
    <w:rsid w:val="00691709"/>
    <w:rsid w:val="00691892"/>
    <w:rsid w:val="00691C4C"/>
    <w:rsid w:val="00692AD5"/>
    <w:rsid w:val="00692D80"/>
    <w:rsid w:val="00692FB4"/>
    <w:rsid w:val="006931DF"/>
    <w:rsid w:val="006933AA"/>
    <w:rsid w:val="006936F8"/>
    <w:rsid w:val="006938B7"/>
    <w:rsid w:val="0069393C"/>
    <w:rsid w:val="00693F24"/>
    <w:rsid w:val="0069466D"/>
    <w:rsid w:val="006948A2"/>
    <w:rsid w:val="00694A83"/>
    <w:rsid w:val="00694B34"/>
    <w:rsid w:val="00694BF3"/>
    <w:rsid w:val="00694C0B"/>
    <w:rsid w:val="00694D4D"/>
    <w:rsid w:val="00694F10"/>
    <w:rsid w:val="00694FFD"/>
    <w:rsid w:val="00695177"/>
    <w:rsid w:val="00695563"/>
    <w:rsid w:val="006956E6"/>
    <w:rsid w:val="00695FF9"/>
    <w:rsid w:val="0069668A"/>
    <w:rsid w:val="006967AC"/>
    <w:rsid w:val="00696C44"/>
    <w:rsid w:val="00696DEE"/>
    <w:rsid w:val="00696F55"/>
    <w:rsid w:val="00696FA7"/>
    <w:rsid w:val="00697721"/>
    <w:rsid w:val="00697754"/>
    <w:rsid w:val="00697832"/>
    <w:rsid w:val="00697F2F"/>
    <w:rsid w:val="006A074E"/>
    <w:rsid w:val="006A09DF"/>
    <w:rsid w:val="006A0B64"/>
    <w:rsid w:val="006A118D"/>
    <w:rsid w:val="006A11CB"/>
    <w:rsid w:val="006A1AEF"/>
    <w:rsid w:val="006A1BA9"/>
    <w:rsid w:val="006A1C6C"/>
    <w:rsid w:val="006A1DF3"/>
    <w:rsid w:val="006A1E9E"/>
    <w:rsid w:val="006A2004"/>
    <w:rsid w:val="006A20A8"/>
    <w:rsid w:val="006A22A5"/>
    <w:rsid w:val="006A242B"/>
    <w:rsid w:val="006A260F"/>
    <w:rsid w:val="006A30F5"/>
    <w:rsid w:val="006A3C70"/>
    <w:rsid w:val="006A3E0C"/>
    <w:rsid w:val="006A3E86"/>
    <w:rsid w:val="006A3FF8"/>
    <w:rsid w:val="006A4058"/>
    <w:rsid w:val="006A4418"/>
    <w:rsid w:val="006A50D7"/>
    <w:rsid w:val="006A538A"/>
    <w:rsid w:val="006A53C9"/>
    <w:rsid w:val="006A5B14"/>
    <w:rsid w:val="006A662F"/>
    <w:rsid w:val="006A69FE"/>
    <w:rsid w:val="006A6B76"/>
    <w:rsid w:val="006A6C81"/>
    <w:rsid w:val="006A6F52"/>
    <w:rsid w:val="006A736C"/>
    <w:rsid w:val="006A7771"/>
    <w:rsid w:val="006A7BB0"/>
    <w:rsid w:val="006A7BEA"/>
    <w:rsid w:val="006A7F6C"/>
    <w:rsid w:val="006B09F7"/>
    <w:rsid w:val="006B0B32"/>
    <w:rsid w:val="006B11BC"/>
    <w:rsid w:val="006B1255"/>
    <w:rsid w:val="006B14E5"/>
    <w:rsid w:val="006B1F9C"/>
    <w:rsid w:val="006B2008"/>
    <w:rsid w:val="006B262D"/>
    <w:rsid w:val="006B2758"/>
    <w:rsid w:val="006B2CF7"/>
    <w:rsid w:val="006B2F1D"/>
    <w:rsid w:val="006B3007"/>
    <w:rsid w:val="006B346D"/>
    <w:rsid w:val="006B3B7F"/>
    <w:rsid w:val="006B4328"/>
    <w:rsid w:val="006B4612"/>
    <w:rsid w:val="006B462B"/>
    <w:rsid w:val="006B463F"/>
    <w:rsid w:val="006B483E"/>
    <w:rsid w:val="006B4898"/>
    <w:rsid w:val="006B4A3E"/>
    <w:rsid w:val="006B4E0D"/>
    <w:rsid w:val="006B4E91"/>
    <w:rsid w:val="006B4F62"/>
    <w:rsid w:val="006B5041"/>
    <w:rsid w:val="006B5720"/>
    <w:rsid w:val="006B5B66"/>
    <w:rsid w:val="006B5C3C"/>
    <w:rsid w:val="006B5C55"/>
    <w:rsid w:val="006B6027"/>
    <w:rsid w:val="006B6119"/>
    <w:rsid w:val="006B6130"/>
    <w:rsid w:val="006B621C"/>
    <w:rsid w:val="006B656A"/>
    <w:rsid w:val="006B68F7"/>
    <w:rsid w:val="006B6CAA"/>
    <w:rsid w:val="006B6F43"/>
    <w:rsid w:val="006B7203"/>
    <w:rsid w:val="006B762F"/>
    <w:rsid w:val="006B773E"/>
    <w:rsid w:val="006B7F1F"/>
    <w:rsid w:val="006C003D"/>
    <w:rsid w:val="006C01D2"/>
    <w:rsid w:val="006C01F2"/>
    <w:rsid w:val="006C069D"/>
    <w:rsid w:val="006C06BB"/>
    <w:rsid w:val="006C098D"/>
    <w:rsid w:val="006C0BB6"/>
    <w:rsid w:val="006C0D1B"/>
    <w:rsid w:val="006C11EB"/>
    <w:rsid w:val="006C14B8"/>
    <w:rsid w:val="006C1A3C"/>
    <w:rsid w:val="006C1A99"/>
    <w:rsid w:val="006C2740"/>
    <w:rsid w:val="006C2B5B"/>
    <w:rsid w:val="006C2CA0"/>
    <w:rsid w:val="006C2D85"/>
    <w:rsid w:val="006C33AA"/>
    <w:rsid w:val="006C3414"/>
    <w:rsid w:val="006C3563"/>
    <w:rsid w:val="006C3813"/>
    <w:rsid w:val="006C3862"/>
    <w:rsid w:val="006C3B01"/>
    <w:rsid w:val="006C3BC8"/>
    <w:rsid w:val="006C3D0F"/>
    <w:rsid w:val="006C3F1B"/>
    <w:rsid w:val="006C3F83"/>
    <w:rsid w:val="006C4893"/>
    <w:rsid w:val="006C4CAD"/>
    <w:rsid w:val="006C4D46"/>
    <w:rsid w:val="006C5122"/>
    <w:rsid w:val="006C5312"/>
    <w:rsid w:val="006C673E"/>
    <w:rsid w:val="006C6D27"/>
    <w:rsid w:val="006C6D52"/>
    <w:rsid w:val="006C70D4"/>
    <w:rsid w:val="006C7184"/>
    <w:rsid w:val="006C742A"/>
    <w:rsid w:val="006C7564"/>
    <w:rsid w:val="006C76D5"/>
    <w:rsid w:val="006C78A9"/>
    <w:rsid w:val="006C7D8E"/>
    <w:rsid w:val="006C7DB1"/>
    <w:rsid w:val="006C7F75"/>
    <w:rsid w:val="006D0CBA"/>
    <w:rsid w:val="006D0EE7"/>
    <w:rsid w:val="006D10F8"/>
    <w:rsid w:val="006D1169"/>
    <w:rsid w:val="006D128B"/>
    <w:rsid w:val="006D14E7"/>
    <w:rsid w:val="006D150B"/>
    <w:rsid w:val="006D1641"/>
    <w:rsid w:val="006D18B7"/>
    <w:rsid w:val="006D1A62"/>
    <w:rsid w:val="006D1B04"/>
    <w:rsid w:val="006D1E19"/>
    <w:rsid w:val="006D2598"/>
    <w:rsid w:val="006D292A"/>
    <w:rsid w:val="006D29F5"/>
    <w:rsid w:val="006D2B42"/>
    <w:rsid w:val="006D3444"/>
    <w:rsid w:val="006D37BB"/>
    <w:rsid w:val="006D3A0C"/>
    <w:rsid w:val="006D43AB"/>
    <w:rsid w:val="006D443F"/>
    <w:rsid w:val="006D52CB"/>
    <w:rsid w:val="006D5707"/>
    <w:rsid w:val="006D5E97"/>
    <w:rsid w:val="006D67EE"/>
    <w:rsid w:val="006D6E6A"/>
    <w:rsid w:val="006D714F"/>
    <w:rsid w:val="006D71A1"/>
    <w:rsid w:val="006D7D93"/>
    <w:rsid w:val="006D7F2D"/>
    <w:rsid w:val="006D7F93"/>
    <w:rsid w:val="006E023C"/>
    <w:rsid w:val="006E027B"/>
    <w:rsid w:val="006E0298"/>
    <w:rsid w:val="006E05CB"/>
    <w:rsid w:val="006E07DF"/>
    <w:rsid w:val="006E15CD"/>
    <w:rsid w:val="006E1754"/>
    <w:rsid w:val="006E1767"/>
    <w:rsid w:val="006E17C4"/>
    <w:rsid w:val="006E1BE1"/>
    <w:rsid w:val="006E1D00"/>
    <w:rsid w:val="006E1E53"/>
    <w:rsid w:val="006E25B1"/>
    <w:rsid w:val="006E27DF"/>
    <w:rsid w:val="006E284A"/>
    <w:rsid w:val="006E2BA8"/>
    <w:rsid w:val="006E30B7"/>
    <w:rsid w:val="006E331A"/>
    <w:rsid w:val="006E3497"/>
    <w:rsid w:val="006E36A7"/>
    <w:rsid w:val="006E36FB"/>
    <w:rsid w:val="006E3923"/>
    <w:rsid w:val="006E439C"/>
    <w:rsid w:val="006E45E5"/>
    <w:rsid w:val="006E4977"/>
    <w:rsid w:val="006E4A6B"/>
    <w:rsid w:val="006E4C6A"/>
    <w:rsid w:val="006E4EDC"/>
    <w:rsid w:val="006E5087"/>
    <w:rsid w:val="006E50AB"/>
    <w:rsid w:val="006E510C"/>
    <w:rsid w:val="006E5AC1"/>
    <w:rsid w:val="006E5EAB"/>
    <w:rsid w:val="006E6149"/>
    <w:rsid w:val="006E66EE"/>
    <w:rsid w:val="006E6BEB"/>
    <w:rsid w:val="006E6E99"/>
    <w:rsid w:val="006E738A"/>
    <w:rsid w:val="006E7565"/>
    <w:rsid w:val="006E757B"/>
    <w:rsid w:val="006E7FE5"/>
    <w:rsid w:val="006F0070"/>
    <w:rsid w:val="006F039F"/>
    <w:rsid w:val="006F06A0"/>
    <w:rsid w:val="006F08F4"/>
    <w:rsid w:val="006F0A39"/>
    <w:rsid w:val="006F0F3B"/>
    <w:rsid w:val="006F1804"/>
    <w:rsid w:val="006F1D80"/>
    <w:rsid w:val="006F1F90"/>
    <w:rsid w:val="006F2453"/>
    <w:rsid w:val="006F2891"/>
    <w:rsid w:val="006F2C9F"/>
    <w:rsid w:val="006F2E8D"/>
    <w:rsid w:val="006F3164"/>
    <w:rsid w:val="006F31EC"/>
    <w:rsid w:val="006F38AE"/>
    <w:rsid w:val="006F3B36"/>
    <w:rsid w:val="006F3D82"/>
    <w:rsid w:val="006F3DF7"/>
    <w:rsid w:val="006F3E78"/>
    <w:rsid w:val="006F454C"/>
    <w:rsid w:val="006F49D8"/>
    <w:rsid w:val="006F4ED1"/>
    <w:rsid w:val="006F56B0"/>
    <w:rsid w:val="006F57A3"/>
    <w:rsid w:val="006F5A64"/>
    <w:rsid w:val="006F5A99"/>
    <w:rsid w:val="006F5E90"/>
    <w:rsid w:val="006F6373"/>
    <w:rsid w:val="006F63D3"/>
    <w:rsid w:val="006F646B"/>
    <w:rsid w:val="006F6472"/>
    <w:rsid w:val="006F69EC"/>
    <w:rsid w:val="006F6EDA"/>
    <w:rsid w:val="006F705E"/>
    <w:rsid w:val="006F729D"/>
    <w:rsid w:val="006F72C0"/>
    <w:rsid w:val="006F755E"/>
    <w:rsid w:val="006F7597"/>
    <w:rsid w:val="006F7E61"/>
    <w:rsid w:val="006F7F39"/>
    <w:rsid w:val="00700483"/>
    <w:rsid w:val="007005CC"/>
    <w:rsid w:val="00700997"/>
    <w:rsid w:val="00700C34"/>
    <w:rsid w:val="00700D85"/>
    <w:rsid w:val="007010EB"/>
    <w:rsid w:val="0070139F"/>
    <w:rsid w:val="0070141C"/>
    <w:rsid w:val="007016F8"/>
    <w:rsid w:val="00701AFE"/>
    <w:rsid w:val="00701BE0"/>
    <w:rsid w:val="00701C5B"/>
    <w:rsid w:val="00701DA7"/>
    <w:rsid w:val="00701EF1"/>
    <w:rsid w:val="0070223D"/>
    <w:rsid w:val="0070260F"/>
    <w:rsid w:val="007029BC"/>
    <w:rsid w:val="00702A6A"/>
    <w:rsid w:val="00702B67"/>
    <w:rsid w:val="00702C36"/>
    <w:rsid w:val="00702E9A"/>
    <w:rsid w:val="00703475"/>
    <w:rsid w:val="00703485"/>
    <w:rsid w:val="007036D4"/>
    <w:rsid w:val="00703801"/>
    <w:rsid w:val="00703CF7"/>
    <w:rsid w:val="00703E92"/>
    <w:rsid w:val="00704603"/>
    <w:rsid w:val="00705130"/>
    <w:rsid w:val="00705414"/>
    <w:rsid w:val="0070549A"/>
    <w:rsid w:val="00705B67"/>
    <w:rsid w:val="00705DE6"/>
    <w:rsid w:val="00705F8A"/>
    <w:rsid w:val="00706119"/>
    <w:rsid w:val="00706623"/>
    <w:rsid w:val="00706C1F"/>
    <w:rsid w:val="00706C7B"/>
    <w:rsid w:val="00707078"/>
    <w:rsid w:val="007072DE"/>
    <w:rsid w:val="007072EB"/>
    <w:rsid w:val="007078E0"/>
    <w:rsid w:val="00707A9C"/>
    <w:rsid w:val="00707ADB"/>
    <w:rsid w:val="00707D3E"/>
    <w:rsid w:val="00707EB4"/>
    <w:rsid w:val="00710566"/>
    <w:rsid w:val="00710933"/>
    <w:rsid w:val="00710E5A"/>
    <w:rsid w:val="00710F4D"/>
    <w:rsid w:val="00711521"/>
    <w:rsid w:val="00711A3A"/>
    <w:rsid w:val="00711C7A"/>
    <w:rsid w:val="00711D4C"/>
    <w:rsid w:val="00711DB8"/>
    <w:rsid w:val="00712382"/>
    <w:rsid w:val="00712704"/>
    <w:rsid w:val="0071272D"/>
    <w:rsid w:val="007127C5"/>
    <w:rsid w:val="00712D61"/>
    <w:rsid w:val="00713016"/>
    <w:rsid w:val="0071325D"/>
    <w:rsid w:val="007135FD"/>
    <w:rsid w:val="0071369F"/>
    <w:rsid w:val="0071390B"/>
    <w:rsid w:val="007139B1"/>
    <w:rsid w:val="00713E89"/>
    <w:rsid w:val="00713F58"/>
    <w:rsid w:val="00714590"/>
    <w:rsid w:val="0071470D"/>
    <w:rsid w:val="007147C3"/>
    <w:rsid w:val="007149BF"/>
    <w:rsid w:val="00714E20"/>
    <w:rsid w:val="0071508F"/>
    <w:rsid w:val="007151BE"/>
    <w:rsid w:val="0071540A"/>
    <w:rsid w:val="00715506"/>
    <w:rsid w:val="00715EDF"/>
    <w:rsid w:val="00716AA3"/>
    <w:rsid w:val="00716FE1"/>
    <w:rsid w:val="00717676"/>
    <w:rsid w:val="007177CC"/>
    <w:rsid w:val="00717826"/>
    <w:rsid w:val="00717CDE"/>
    <w:rsid w:val="00717D1C"/>
    <w:rsid w:val="00717F73"/>
    <w:rsid w:val="00717FF3"/>
    <w:rsid w:val="00720143"/>
    <w:rsid w:val="00720751"/>
    <w:rsid w:val="00720BDD"/>
    <w:rsid w:val="00720CB5"/>
    <w:rsid w:val="00720E00"/>
    <w:rsid w:val="00720E47"/>
    <w:rsid w:val="00720EA6"/>
    <w:rsid w:val="007214AD"/>
    <w:rsid w:val="0072178F"/>
    <w:rsid w:val="00721882"/>
    <w:rsid w:val="007219A3"/>
    <w:rsid w:val="007219A6"/>
    <w:rsid w:val="00721C7E"/>
    <w:rsid w:val="00721DE0"/>
    <w:rsid w:val="00721E46"/>
    <w:rsid w:val="00722130"/>
    <w:rsid w:val="0072230A"/>
    <w:rsid w:val="007226BA"/>
    <w:rsid w:val="0072278A"/>
    <w:rsid w:val="00722CA2"/>
    <w:rsid w:val="00722CE1"/>
    <w:rsid w:val="00722D43"/>
    <w:rsid w:val="007238D5"/>
    <w:rsid w:val="00723A2C"/>
    <w:rsid w:val="00723AAE"/>
    <w:rsid w:val="00724043"/>
    <w:rsid w:val="007241BB"/>
    <w:rsid w:val="00724801"/>
    <w:rsid w:val="00724A2F"/>
    <w:rsid w:val="00725001"/>
    <w:rsid w:val="007251B1"/>
    <w:rsid w:val="007259CB"/>
    <w:rsid w:val="00725B83"/>
    <w:rsid w:val="00725E63"/>
    <w:rsid w:val="00726037"/>
    <w:rsid w:val="007267B8"/>
    <w:rsid w:val="00726A15"/>
    <w:rsid w:val="00726B61"/>
    <w:rsid w:val="007270C9"/>
    <w:rsid w:val="007276E6"/>
    <w:rsid w:val="00727D20"/>
    <w:rsid w:val="0073018B"/>
    <w:rsid w:val="0073055A"/>
    <w:rsid w:val="00730DAB"/>
    <w:rsid w:val="00730FC2"/>
    <w:rsid w:val="00730FFA"/>
    <w:rsid w:val="0073104F"/>
    <w:rsid w:val="007314DA"/>
    <w:rsid w:val="007315F2"/>
    <w:rsid w:val="0073176A"/>
    <w:rsid w:val="007319D8"/>
    <w:rsid w:val="00731B45"/>
    <w:rsid w:val="00731D2F"/>
    <w:rsid w:val="0073220A"/>
    <w:rsid w:val="00732B56"/>
    <w:rsid w:val="00732F5E"/>
    <w:rsid w:val="007332CA"/>
    <w:rsid w:val="007336B7"/>
    <w:rsid w:val="00733CC2"/>
    <w:rsid w:val="00733F5A"/>
    <w:rsid w:val="00734ACE"/>
    <w:rsid w:val="00734D59"/>
    <w:rsid w:val="007352D8"/>
    <w:rsid w:val="007355EC"/>
    <w:rsid w:val="007358A8"/>
    <w:rsid w:val="00735CBF"/>
    <w:rsid w:val="00736281"/>
    <w:rsid w:val="00736676"/>
    <w:rsid w:val="0073679E"/>
    <w:rsid w:val="007367B2"/>
    <w:rsid w:val="007368C6"/>
    <w:rsid w:val="007368FB"/>
    <w:rsid w:val="00736BD8"/>
    <w:rsid w:val="00736CC4"/>
    <w:rsid w:val="00736DAA"/>
    <w:rsid w:val="00736F19"/>
    <w:rsid w:val="0073722F"/>
    <w:rsid w:val="007379C2"/>
    <w:rsid w:val="007379C4"/>
    <w:rsid w:val="00737C4E"/>
    <w:rsid w:val="00737D02"/>
    <w:rsid w:val="00740969"/>
    <w:rsid w:val="00741112"/>
    <w:rsid w:val="00741887"/>
    <w:rsid w:val="00742119"/>
    <w:rsid w:val="0074296C"/>
    <w:rsid w:val="00742974"/>
    <w:rsid w:val="00742CA6"/>
    <w:rsid w:val="007431DC"/>
    <w:rsid w:val="007434B9"/>
    <w:rsid w:val="00743846"/>
    <w:rsid w:val="00743966"/>
    <w:rsid w:val="00743B89"/>
    <w:rsid w:val="00744423"/>
    <w:rsid w:val="0074457E"/>
    <w:rsid w:val="007449C5"/>
    <w:rsid w:val="00744E8D"/>
    <w:rsid w:val="00745422"/>
    <w:rsid w:val="00745E97"/>
    <w:rsid w:val="007461A1"/>
    <w:rsid w:val="00746379"/>
    <w:rsid w:val="00746595"/>
    <w:rsid w:val="007466FE"/>
    <w:rsid w:val="007469DD"/>
    <w:rsid w:val="00746D08"/>
    <w:rsid w:val="00746E8E"/>
    <w:rsid w:val="00746E9D"/>
    <w:rsid w:val="0074711F"/>
    <w:rsid w:val="0074726E"/>
    <w:rsid w:val="00747531"/>
    <w:rsid w:val="00747705"/>
    <w:rsid w:val="0074799E"/>
    <w:rsid w:val="00747DBC"/>
    <w:rsid w:val="00747EFE"/>
    <w:rsid w:val="00750092"/>
    <w:rsid w:val="007501B0"/>
    <w:rsid w:val="00750C86"/>
    <w:rsid w:val="00750D29"/>
    <w:rsid w:val="00750DE1"/>
    <w:rsid w:val="00750F86"/>
    <w:rsid w:val="00750F87"/>
    <w:rsid w:val="00751111"/>
    <w:rsid w:val="007511CE"/>
    <w:rsid w:val="00751385"/>
    <w:rsid w:val="00751E3B"/>
    <w:rsid w:val="007521A1"/>
    <w:rsid w:val="00752361"/>
    <w:rsid w:val="007525CC"/>
    <w:rsid w:val="00752702"/>
    <w:rsid w:val="00752875"/>
    <w:rsid w:val="0075291C"/>
    <w:rsid w:val="0075301F"/>
    <w:rsid w:val="0075362B"/>
    <w:rsid w:val="00753D75"/>
    <w:rsid w:val="00753DAB"/>
    <w:rsid w:val="00754076"/>
    <w:rsid w:val="00754213"/>
    <w:rsid w:val="0075425F"/>
    <w:rsid w:val="00754BE0"/>
    <w:rsid w:val="007551C6"/>
    <w:rsid w:val="007559BD"/>
    <w:rsid w:val="00755AE2"/>
    <w:rsid w:val="00755CA9"/>
    <w:rsid w:val="00755E6B"/>
    <w:rsid w:val="00756225"/>
    <w:rsid w:val="00756238"/>
    <w:rsid w:val="00756549"/>
    <w:rsid w:val="007565D7"/>
    <w:rsid w:val="007568A1"/>
    <w:rsid w:val="0075690F"/>
    <w:rsid w:val="00756B64"/>
    <w:rsid w:val="00756CC6"/>
    <w:rsid w:val="00756F61"/>
    <w:rsid w:val="00756FDD"/>
    <w:rsid w:val="00757175"/>
    <w:rsid w:val="007571FA"/>
    <w:rsid w:val="00757258"/>
    <w:rsid w:val="0075756C"/>
    <w:rsid w:val="0075794B"/>
    <w:rsid w:val="00757C9C"/>
    <w:rsid w:val="00757D41"/>
    <w:rsid w:val="00757DA0"/>
    <w:rsid w:val="0076060F"/>
    <w:rsid w:val="00760663"/>
    <w:rsid w:val="00760761"/>
    <w:rsid w:val="00760BFC"/>
    <w:rsid w:val="00760F0D"/>
    <w:rsid w:val="007619FB"/>
    <w:rsid w:val="00761B01"/>
    <w:rsid w:val="00761CF1"/>
    <w:rsid w:val="00762012"/>
    <w:rsid w:val="00762251"/>
    <w:rsid w:val="00762764"/>
    <w:rsid w:val="00762842"/>
    <w:rsid w:val="00762A25"/>
    <w:rsid w:val="00762A85"/>
    <w:rsid w:val="00762C7F"/>
    <w:rsid w:val="00762EC5"/>
    <w:rsid w:val="00762F9F"/>
    <w:rsid w:val="00763249"/>
    <w:rsid w:val="0076325C"/>
    <w:rsid w:val="00763627"/>
    <w:rsid w:val="00763B62"/>
    <w:rsid w:val="00763D08"/>
    <w:rsid w:val="00763DCB"/>
    <w:rsid w:val="007640CD"/>
    <w:rsid w:val="00764507"/>
    <w:rsid w:val="0076469B"/>
    <w:rsid w:val="00764ADF"/>
    <w:rsid w:val="00764B26"/>
    <w:rsid w:val="00764DCB"/>
    <w:rsid w:val="00764E6F"/>
    <w:rsid w:val="00765074"/>
    <w:rsid w:val="007652B5"/>
    <w:rsid w:val="007657C9"/>
    <w:rsid w:val="00765A63"/>
    <w:rsid w:val="00765CCC"/>
    <w:rsid w:val="00765E44"/>
    <w:rsid w:val="00766737"/>
    <w:rsid w:val="00766934"/>
    <w:rsid w:val="00766DA3"/>
    <w:rsid w:val="00766DA5"/>
    <w:rsid w:val="00766E8D"/>
    <w:rsid w:val="00767507"/>
    <w:rsid w:val="007678C1"/>
    <w:rsid w:val="00767AE1"/>
    <w:rsid w:val="00767BF9"/>
    <w:rsid w:val="00770207"/>
    <w:rsid w:val="00770A5D"/>
    <w:rsid w:val="00770C3B"/>
    <w:rsid w:val="00770C71"/>
    <w:rsid w:val="00770CB8"/>
    <w:rsid w:val="00770CF6"/>
    <w:rsid w:val="00770D2D"/>
    <w:rsid w:val="00770DFE"/>
    <w:rsid w:val="00770F75"/>
    <w:rsid w:val="0077130F"/>
    <w:rsid w:val="00771B30"/>
    <w:rsid w:val="00771F9B"/>
    <w:rsid w:val="0077214B"/>
    <w:rsid w:val="00772248"/>
    <w:rsid w:val="0077260A"/>
    <w:rsid w:val="00772669"/>
    <w:rsid w:val="00772821"/>
    <w:rsid w:val="00772D3F"/>
    <w:rsid w:val="00772D64"/>
    <w:rsid w:val="00773811"/>
    <w:rsid w:val="007742FA"/>
    <w:rsid w:val="007748A7"/>
    <w:rsid w:val="0077490F"/>
    <w:rsid w:val="0077491D"/>
    <w:rsid w:val="00774E0D"/>
    <w:rsid w:val="0077502F"/>
    <w:rsid w:val="00775B39"/>
    <w:rsid w:val="00775F70"/>
    <w:rsid w:val="00776ADC"/>
    <w:rsid w:val="00776CFC"/>
    <w:rsid w:val="00777166"/>
    <w:rsid w:val="007771DE"/>
    <w:rsid w:val="00777416"/>
    <w:rsid w:val="0077770F"/>
    <w:rsid w:val="0077793F"/>
    <w:rsid w:val="00777B93"/>
    <w:rsid w:val="00777C2D"/>
    <w:rsid w:val="00777C40"/>
    <w:rsid w:val="00777ECE"/>
    <w:rsid w:val="007800DA"/>
    <w:rsid w:val="007801DD"/>
    <w:rsid w:val="007804BB"/>
    <w:rsid w:val="007805F9"/>
    <w:rsid w:val="007808B1"/>
    <w:rsid w:val="007809CA"/>
    <w:rsid w:val="00780AC7"/>
    <w:rsid w:val="00780DBF"/>
    <w:rsid w:val="00781095"/>
    <w:rsid w:val="0078178E"/>
    <w:rsid w:val="00781CCB"/>
    <w:rsid w:val="00781F00"/>
    <w:rsid w:val="00781FA8"/>
    <w:rsid w:val="00782077"/>
    <w:rsid w:val="007822BA"/>
    <w:rsid w:val="00782A13"/>
    <w:rsid w:val="00782B1D"/>
    <w:rsid w:val="00782EC7"/>
    <w:rsid w:val="0078334B"/>
    <w:rsid w:val="007835D0"/>
    <w:rsid w:val="00783A40"/>
    <w:rsid w:val="00783C5B"/>
    <w:rsid w:val="00783D19"/>
    <w:rsid w:val="007846AF"/>
    <w:rsid w:val="00784741"/>
    <w:rsid w:val="00784C39"/>
    <w:rsid w:val="00784DF2"/>
    <w:rsid w:val="007852D2"/>
    <w:rsid w:val="00785620"/>
    <w:rsid w:val="00785A21"/>
    <w:rsid w:val="00785D56"/>
    <w:rsid w:val="00785FBD"/>
    <w:rsid w:val="00786515"/>
    <w:rsid w:val="0078660B"/>
    <w:rsid w:val="00786A32"/>
    <w:rsid w:val="00786F5E"/>
    <w:rsid w:val="00787388"/>
    <w:rsid w:val="00787426"/>
    <w:rsid w:val="007874B0"/>
    <w:rsid w:val="007876AF"/>
    <w:rsid w:val="00787787"/>
    <w:rsid w:val="00787AC1"/>
    <w:rsid w:val="00787F38"/>
    <w:rsid w:val="00787F9E"/>
    <w:rsid w:val="0079005F"/>
    <w:rsid w:val="007900C9"/>
    <w:rsid w:val="00790742"/>
    <w:rsid w:val="007910A5"/>
    <w:rsid w:val="00791206"/>
    <w:rsid w:val="00791546"/>
    <w:rsid w:val="00791CBB"/>
    <w:rsid w:val="00792046"/>
    <w:rsid w:val="00792302"/>
    <w:rsid w:val="00792394"/>
    <w:rsid w:val="007925BB"/>
    <w:rsid w:val="007927D6"/>
    <w:rsid w:val="00792AEC"/>
    <w:rsid w:val="00792B27"/>
    <w:rsid w:val="00792C6D"/>
    <w:rsid w:val="00793314"/>
    <w:rsid w:val="007933F3"/>
    <w:rsid w:val="0079343F"/>
    <w:rsid w:val="0079371D"/>
    <w:rsid w:val="00793E86"/>
    <w:rsid w:val="007941C7"/>
    <w:rsid w:val="0079515A"/>
    <w:rsid w:val="007953DE"/>
    <w:rsid w:val="007957A3"/>
    <w:rsid w:val="007957B2"/>
    <w:rsid w:val="0079588F"/>
    <w:rsid w:val="00795AB4"/>
    <w:rsid w:val="00795AD0"/>
    <w:rsid w:val="00795CD3"/>
    <w:rsid w:val="00795D31"/>
    <w:rsid w:val="00795DC9"/>
    <w:rsid w:val="00795E4E"/>
    <w:rsid w:val="00795EA6"/>
    <w:rsid w:val="007963AE"/>
    <w:rsid w:val="00796D19"/>
    <w:rsid w:val="00797013"/>
    <w:rsid w:val="0079718C"/>
    <w:rsid w:val="007974D7"/>
    <w:rsid w:val="00797A00"/>
    <w:rsid w:val="007A052C"/>
    <w:rsid w:val="007A0EAE"/>
    <w:rsid w:val="007A0F3D"/>
    <w:rsid w:val="007A17C0"/>
    <w:rsid w:val="007A1AA8"/>
    <w:rsid w:val="007A1B2C"/>
    <w:rsid w:val="007A2104"/>
    <w:rsid w:val="007A28EA"/>
    <w:rsid w:val="007A2D0F"/>
    <w:rsid w:val="007A31A4"/>
    <w:rsid w:val="007A3293"/>
    <w:rsid w:val="007A3529"/>
    <w:rsid w:val="007A36AC"/>
    <w:rsid w:val="007A3966"/>
    <w:rsid w:val="007A3A07"/>
    <w:rsid w:val="007A3C4E"/>
    <w:rsid w:val="007A3D64"/>
    <w:rsid w:val="007A3E11"/>
    <w:rsid w:val="007A4779"/>
    <w:rsid w:val="007A4A32"/>
    <w:rsid w:val="007A5016"/>
    <w:rsid w:val="007A5A46"/>
    <w:rsid w:val="007A5C78"/>
    <w:rsid w:val="007A65E8"/>
    <w:rsid w:val="007A66AA"/>
    <w:rsid w:val="007A6B2B"/>
    <w:rsid w:val="007A6B5B"/>
    <w:rsid w:val="007A6B6C"/>
    <w:rsid w:val="007A6E0B"/>
    <w:rsid w:val="007A7012"/>
    <w:rsid w:val="007A7262"/>
    <w:rsid w:val="007A78AE"/>
    <w:rsid w:val="007A79D2"/>
    <w:rsid w:val="007A7ACE"/>
    <w:rsid w:val="007A7DE9"/>
    <w:rsid w:val="007A7FA7"/>
    <w:rsid w:val="007B0008"/>
    <w:rsid w:val="007B02D7"/>
    <w:rsid w:val="007B0B32"/>
    <w:rsid w:val="007B0B46"/>
    <w:rsid w:val="007B0B8E"/>
    <w:rsid w:val="007B0BF1"/>
    <w:rsid w:val="007B0CA3"/>
    <w:rsid w:val="007B0E8F"/>
    <w:rsid w:val="007B14F1"/>
    <w:rsid w:val="007B1C17"/>
    <w:rsid w:val="007B1F92"/>
    <w:rsid w:val="007B1FAC"/>
    <w:rsid w:val="007B1FAD"/>
    <w:rsid w:val="007B20FF"/>
    <w:rsid w:val="007B2127"/>
    <w:rsid w:val="007B2321"/>
    <w:rsid w:val="007B25AC"/>
    <w:rsid w:val="007B2752"/>
    <w:rsid w:val="007B2CC5"/>
    <w:rsid w:val="007B31BE"/>
    <w:rsid w:val="007B3435"/>
    <w:rsid w:val="007B3706"/>
    <w:rsid w:val="007B3AC4"/>
    <w:rsid w:val="007B4561"/>
    <w:rsid w:val="007B516F"/>
    <w:rsid w:val="007B54EA"/>
    <w:rsid w:val="007B5B51"/>
    <w:rsid w:val="007B62BF"/>
    <w:rsid w:val="007B63B0"/>
    <w:rsid w:val="007B6553"/>
    <w:rsid w:val="007B6ABC"/>
    <w:rsid w:val="007B72E8"/>
    <w:rsid w:val="007B73A3"/>
    <w:rsid w:val="007B7423"/>
    <w:rsid w:val="007B745D"/>
    <w:rsid w:val="007B754C"/>
    <w:rsid w:val="007B7664"/>
    <w:rsid w:val="007B76B1"/>
    <w:rsid w:val="007B79EF"/>
    <w:rsid w:val="007B7CCC"/>
    <w:rsid w:val="007B7CE2"/>
    <w:rsid w:val="007B7F9C"/>
    <w:rsid w:val="007C00D0"/>
    <w:rsid w:val="007C00F9"/>
    <w:rsid w:val="007C0AA1"/>
    <w:rsid w:val="007C1F96"/>
    <w:rsid w:val="007C2073"/>
    <w:rsid w:val="007C20C2"/>
    <w:rsid w:val="007C227C"/>
    <w:rsid w:val="007C2288"/>
    <w:rsid w:val="007C241E"/>
    <w:rsid w:val="007C2432"/>
    <w:rsid w:val="007C2696"/>
    <w:rsid w:val="007C298A"/>
    <w:rsid w:val="007C2A61"/>
    <w:rsid w:val="007C2F6C"/>
    <w:rsid w:val="007C311A"/>
    <w:rsid w:val="007C371C"/>
    <w:rsid w:val="007C3C43"/>
    <w:rsid w:val="007C3CA0"/>
    <w:rsid w:val="007C3CE2"/>
    <w:rsid w:val="007C3E9B"/>
    <w:rsid w:val="007C3F58"/>
    <w:rsid w:val="007C3F74"/>
    <w:rsid w:val="007C40A2"/>
    <w:rsid w:val="007C440F"/>
    <w:rsid w:val="007C4577"/>
    <w:rsid w:val="007C4B20"/>
    <w:rsid w:val="007C4B56"/>
    <w:rsid w:val="007C541C"/>
    <w:rsid w:val="007C55E0"/>
    <w:rsid w:val="007C55ED"/>
    <w:rsid w:val="007C5697"/>
    <w:rsid w:val="007C608B"/>
    <w:rsid w:val="007C6287"/>
    <w:rsid w:val="007C6335"/>
    <w:rsid w:val="007C671A"/>
    <w:rsid w:val="007C67B8"/>
    <w:rsid w:val="007C6876"/>
    <w:rsid w:val="007C6D8E"/>
    <w:rsid w:val="007C6DE8"/>
    <w:rsid w:val="007C6E8A"/>
    <w:rsid w:val="007C6ED5"/>
    <w:rsid w:val="007C6F8E"/>
    <w:rsid w:val="007C72CB"/>
    <w:rsid w:val="007C7787"/>
    <w:rsid w:val="007C785C"/>
    <w:rsid w:val="007C79A6"/>
    <w:rsid w:val="007C7F0D"/>
    <w:rsid w:val="007C7F63"/>
    <w:rsid w:val="007C7FF9"/>
    <w:rsid w:val="007D0295"/>
    <w:rsid w:val="007D053C"/>
    <w:rsid w:val="007D09BD"/>
    <w:rsid w:val="007D0EBF"/>
    <w:rsid w:val="007D0F0E"/>
    <w:rsid w:val="007D129C"/>
    <w:rsid w:val="007D14E9"/>
    <w:rsid w:val="007D1697"/>
    <w:rsid w:val="007D1728"/>
    <w:rsid w:val="007D228F"/>
    <w:rsid w:val="007D2D6D"/>
    <w:rsid w:val="007D34EB"/>
    <w:rsid w:val="007D380E"/>
    <w:rsid w:val="007D3AC7"/>
    <w:rsid w:val="007D4121"/>
    <w:rsid w:val="007D4269"/>
    <w:rsid w:val="007D475B"/>
    <w:rsid w:val="007D4AE2"/>
    <w:rsid w:val="007D4CF0"/>
    <w:rsid w:val="007D4FF3"/>
    <w:rsid w:val="007D50AD"/>
    <w:rsid w:val="007D5254"/>
    <w:rsid w:val="007D5481"/>
    <w:rsid w:val="007D55FE"/>
    <w:rsid w:val="007D5772"/>
    <w:rsid w:val="007D5FEE"/>
    <w:rsid w:val="007D6579"/>
    <w:rsid w:val="007D682F"/>
    <w:rsid w:val="007D68BB"/>
    <w:rsid w:val="007D6BC9"/>
    <w:rsid w:val="007D6CCC"/>
    <w:rsid w:val="007D6E20"/>
    <w:rsid w:val="007D7557"/>
    <w:rsid w:val="007D77FD"/>
    <w:rsid w:val="007D79ED"/>
    <w:rsid w:val="007D7D2B"/>
    <w:rsid w:val="007E0C92"/>
    <w:rsid w:val="007E14AB"/>
    <w:rsid w:val="007E17F4"/>
    <w:rsid w:val="007E1F10"/>
    <w:rsid w:val="007E236F"/>
    <w:rsid w:val="007E23E6"/>
    <w:rsid w:val="007E24C5"/>
    <w:rsid w:val="007E2AFC"/>
    <w:rsid w:val="007E2D6A"/>
    <w:rsid w:val="007E3D60"/>
    <w:rsid w:val="007E3E65"/>
    <w:rsid w:val="007E4309"/>
    <w:rsid w:val="007E46E8"/>
    <w:rsid w:val="007E4A5B"/>
    <w:rsid w:val="007E4B91"/>
    <w:rsid w:val="007E4BDB"/>
    <w:rsid w:val="007E54C0"/>
    <w:rsid w:val="007E55E2"/>
    <w:rsid w:val="007E5796"/>
    <w:rsid w:val="007E57EF"/>
    <w:rsid w:val="007E5F6D"/>
    <w:rsid w:val="007E6055"/>
    <w:rsid w:val="007E606E"/>
    <w:rsid w:val="007E6146"/>
    <w:rsid w:val="007E621F"/>
    <w:rsid w:val="007E6444"/>
    <w:rsid w:val="007E676C"/>
    <w:rsid w:val="007E6DC3"/>
    <w:rsid w:val="007E6FA4"/>
    <w:rsid w:val="007E70A7"/>
    <w:rsid w:val="007E7644"/>
    <w:rsid w:val="007E7BC9"/>
    <w:rsid w:val="007E7C24"/>
    <w:rsid w:val="007E7CB9"/>
    <w:rsid w:val="007E7E39"/>
    <w:rsid w:val="007F0004"/>
    <w:rsid w:val="007F0179"/>
    <w:rsid w:val="007F01C2"/>
    <w:rsid w:val="007F097E"/>
    <w:rsid w:val="007F107C"/>
    <w:rsid w:val="007F1437"/>
    <w:rsid w:val="007F1B5B"/>
    <w:rsid w:val="007F2020"/>
    <w:rsid w:val="007F275D"/>
    <w:rsid w:val="007F330E"/>
    <w:rsid w:val="007F34D4"/>
    <w:rsid w:val="007F355F"/>
    <w:rsid w:val="007F35EC"/>
    <w:rsid w:val="007F39FD"/>
    <w:rsid w:val="007F46BA"/>
    <w:rsid w:val="007F496A"/>
    <w:rsid w:val="007F539F"/>
    <w:rsid w:val="007F5521"/>
    <w:rsid w:val="007F56CE"/>
    <w:rsid w:val="007F5B9C"/>
    <w:rsid w:val="007F5CE9"/>
    <w:rsid w:val="007F620E"/>
    <w:rsid w:val="007F63FA"/>
    <w:rsid w:val="007F6543"/>
    <w:rsid w:val="007F67E1"/>
    <w:rsid w:val="007F6A45"/>
    <w:rsid w:val="007F6A50"/>
    <w:rsid w:val="007F6F21"/>
    <w:rsid w:val="007F7655"/>
    <w:rsid w:val="007F789C"/>
    <w:rsid w:val="007F7C07"/>
    <w:rsid w:val="007F7ED5"/>
    <w:rsid w:val="007F7F13"/>
    <w:rsid w:val="0080002E"/>
    <w:rsid w:val="0080033E"/>
    <w:rsid w:val="0080072A"/>
    <w:rsid w:val="008009D0"/>
    <w:rsid w:val="00800AA6"/>
    <w:rsid w:val="00800DCB"/>
    <w:rsid w:val="00800E27"/>
    <w:rsid w:val="008012A6"/>
    <w:rsid w:val="00801A93"/>
    <w:rsid w:val="00802352"/>
    <w:rsid w:val="008023E1"/>
    <w:rsid w:val="00802513"/>
    <w:rsid w:val="00802612"/>
    <w:rsid w:val="0080280C"/>
    <w:rsid w:val="008029E0"/>
    <w:rsid w:val="00802CDD"/>
    <w:rsid w:val="00802FFD"/>
    <w:rsid w:val="0080322F"/>
    <w:rsid w:val="00803291"/>
    <w:rsid w:val="0080335D"/>
    <w:rsid w:val="0080381C"/>
    <w:rsid w:val="00803C64"/>
    <w:rsid w:val="00804017"/>
    <w:rsid w:val="008044BE"/>
    <w:rsid w:val="008048D4"/>
    <w:rsid w:val="008049CB"/>
    <w:rsid w:val="008049D5"/>
    <w:rsid w:val="00804B01"/>
    <w:rsid w:val="00804E0A"/>
    <w:rsid w:val="0080507A"/>
    <w:rsid w:val="00805C7B"/>
    <w:rsid w:val="00805DBF"/>
    <w:rsid w:val="00805E7E"/>
    <w:rsid w:val="00805FBB"/>
    <w:rsid w:val="0080624F"/>
    <w:rsid w:val="00806805"/>
    <w:rsid w:val="00806953"/>
    <w:rsid w:val="008069F5"/>
    <w:rsid w:val="00806B2A"/>
    <w:rsid w:val="00806B77"/>
    <w:rsid w:val="00806D4C"/>
    <w:rsid w:val="008071E1"/>
    <w:rsid w:val="0080742F"/>
    <w:rsid w:val="0080769F"/>
    <w:rsid w:val="00807A95"/>
    <w:rsid w:val="00807C42"/>
    <w:rsid w:val="00810012"/>
    <w:rsid w:val="0081044F"/>
    <w:rsid w:val="0081066F"/>
    <w:rsid w:val="008110A5"/>
    <w:rsid w:val="008115A1"/>
    <w:rsid w:val="00811B37"/>
    <w:rsid w:val="00812103"/>
    <w:rsid w:val="008122C9"/>
    <w:rsid w:val="008123FA"/>
    <w:rsid w:val="008125EF"/>
    <w:rsid w:val="008127B3"/>
    <w:rsid w:val="00812ED5"/>
    <w:rsid w:val="008137A7"/>
    <w:rsid w:val="00813F7D"/>
    <w:rsid w:val="0081409B"/>
    <w:rsid w:val="0081411A"/>
    <w:rsid w:val="00814305"/>
    <w:rsid w:val="00814398"/>
    <w:rsid w:val="00814621"/>
    <w:rsid w:val="00814D15"/>
    <w:rsid w:val="0081510C"/>
    <w:rsid w:val="008152BF"/>
    <w:rsid w:val="008159D3"/>
    <w:rsid w:val="00815F4D"/>
    <w:rsid w:val="00815F70"/>
    <w:rsid w:val="00816013"/>
    <w:rsid w:val="008161F5"/>
    <w:rsid w:val="00816228"/>
    <w:rsid w:val="00816369"/>
    <w:rsid w:val="0081666A"/>
    <w:rsid w:val="008167E6"/>
    <w:rsid w:val="008169A6"/>
    <w:rsid w:val="00816A4E"/>
    <w:rsid w:val="00816B09"/>
    <w:rsid w:val="00816DE5"/>
    <w:rsid w:val="008173A8"/>
    <w:rsid w:val="0081747E"/>
    <w:rsid w:val="0081769E"/>
    <w:rsid w:val="00817816"/>
    <w:rsid w:val="00817A97"/>
    <w:rsid w:val="00817EB7"/>
    <w:rsid w:val="00817FA3"/>
    <w:rsid w:val="00820138"/>
    <w:rsid w:val="008208E5"/>
    <w:rsid w:val="008208F6"/>
    <w:rsid w:val="0082095E"/>
    <w:rsid w:val="008209E6"/>
    <w:rsid w:val="00820B3C"/>
    <w:rsid w:val="00820EE5"/>
    <w:rsid w:val="008213D6"/>
    <w:rsid w:val="00821402"/>
    <w:rsid w:val="0082226E"/>
    <w:rsid w:val="008233CE"/>
    <w:rsid w:val="00823635"/>
    <w:rsid w:val="008236D7"/>
    <w:rsid w:val="008237A2"/>
    <w:rsid w:val="00824E6C"/>
    <w:rsid w:val="00825A65"/>
    <w:rsid w:val="00825CAA"/>
    <w:rsid w:val="0082644D"/>
    <w:rsid w:val="00826581"/>
    <w:rsid w:val="00827148"/>
    <w:rsid w:val="0082728A"/>
    <w:rsid w:val="0082745B"/>
    <w:rsid w:val="0082760A"/>
    <w:rsid w:val="00827620"/>
    <w:rsid w:val="008278FA"/>
    <w:rsid w:val="00827A5F"/>
    <w:rsid w:val="0083001B"/>
    <w:rsid w:val="00830495"/>
    <w:rsid w:val="008304D4"/>
    <w:rsid w:val="00830FAC"/>
    <w:rsid w:val="00831474"/>
    <w:rsid w:val="008314FE"/>
    <w:rsid w:val="00831549"/>
    <w:rsid w:val="00831695"/>
    <w:rsid w:val="00831706"/>
    <w:rsid w:val="0083201D"/>
    <w:rsid w:val="00832403"/>
    <w:rsid w:val="00832546"/>
    <w:rsid w:val="00832F24"/>
    <w:rsid w:val="00833083"/>
    <w:rsid w:val="00833CFD"/>
    <w:rsid w:val="00833DB2"/>
    <w:rsid w:val="00833E32"/>
    <w:rsid w:val="00834DF7"/>
    <w:rsid w:val="0083518F"/>
    <w:rsid w:val="00835C29"/>
    <w:rsid w:val="00836130"/>
    <w:rsid w:val="00836316"/>
    <w:rsid w:val="008365F0"/>
    <w:rsid w:val="0083685D"/>
    <w:rsid w:val="00837442"/>
    <w:rsid w:val="008374EB"/>
    <w:rsid w:val="008379BA"/>
    <w:rsid w:val="00837B38"/>
    <w:rsid w:val="00837E15"/>
    <w:rsid w:val="008400B4"/>
    <w:rsid w:val="008400F6"/>
    <w:rsid w:val="008406E7"/>
    <w:rsid w:val="008411EF"/>
    <w:rsid w:val="008412FE"/>
    <w:rsid w:val="008421DC"/>
    <w:rsid w:val="00842263"/>
    <w:rsid w:val="00842C77"/>
    <w:rsid w:val="00842FBE"/>
    <w:rsid w:val="0084305D"/>
    <w:rsid w:val="008438F5"/>
    <w:rsid w:val="00844B7E"/>
    <w:rsid w:val="00844EAA"/>
    <w:rsid w:val="00845035"/>
    <w:rsid w:val="00845221"/>
    <w:rsid w:val="00845255"/>
    <w:rsid w:val="008454A3"/>
    <w:rsid w:val="0084550D"/>
    <w:rsid w:val="008455D8"/>
    <w:rsid w:val="0084597C"/>
    <w:rsid w:val="00845B0A"/>
    <w:rsid w:val="0084615C"/>
    <w:rsid w:val="008462BD"/>
    <w:rsid w:val="008463BD"/>
    <w:rsid w:val="0084663B"/>
    <w:rsid w:val="00846B66"/>
    <w:rsid w:val="00846C07"/>
    <w:rsid w:val="00846C7F"/>
    <w:rsid w:val="00846FD0"/>
    <w:rsid w:val="008470ED"/>
    <w:rsid w:val="008476A4"/>
    <w:rsid w:val="008478AD"/>
    <w:rsid w:val="00847D1D"/>
    <w:rsid w:val="00847FB2"/>
    <w:rsid w:val="008500CB"/>
    <w:rsid w:val="00850118"/>
    <w:rsid w:val="00850155"/>
    <w:rsid w:val="008502E0"/>
    <w:rsid w:val="0085045E"/>
    <w:rsid w:val="008507F7"/>
    <w:rsid w:val="008508C2"/>
    <w:rsid w:val="00850BEC"/>
    <w:rsid w:val="00850BFF"/>
    <w:rsid w:val="00850C37"/>
    <w:rsid w:val="00850EE5"/>
    <w:rsid w:val="00850F8B"/>
    <w:rsid w:val="00851A9A"/>
    <w:rsid w:val="00852173"/>
    <w:rsid w:val="00852604"/>
    <w:rsid w:val="008529B5"/>
    <w:rsid w:val="00852DC6"/>
    <w:rsid w:val="00852E0E"/>
    <w:rsid w:val="00852F32"/>
    <w:rsid w:val="008530FC"/>
    <w:rsid w:val="008535D9"/>
    <w:rsid w:val="00853F8D"/>
    <w:rsid w:val="00854212"/>
    <w:rsid w:val="00854511"/>
    <w:rsid w:val="00854CFA"/>
    <w:rsid w:val="00854D4A"/>
    <w:rsid w:val="00854DE5"/>
    <w:rsid w:val="00854EBF"/>
    <w:rsid w:val="00855433"/>
    <w:rsid w:val="0085582C"/>
    <w:rsid w:val="0085586A"/>
    <w:rsid w:val="008558A5"/>
    <w:rsid w:val="00856879"/>
    <w:rsid w:val="008572B6"/>
    <w:rsid w:val="00857994"/>
    <w:rsid w:val="008579F5"/>
    <w:rsid w:val="00860414"/>
    <w:rsid w:val="00860490"/>
    <w:rsid w:val="008606E5"/>
    <w:rsid w:val="00860B7E"/>
    <w:rsid w:val="00860C6B"/>
    <w:rsid w:val="00861575"/>
    <w:rsid w:val="00861F6D"/>
    <w:rsid w:val="008623ED"/>
    <w:rsid w:val="00862F26"/>
    <w:rsid w:val="0086300F"/>
    <w:rsid w:val="008632DB"/>
    <w:rsid w:val="008633E7"/>
    <w:rsid w:val="0086340A"/>
    <w:rsid w:val="008634FC"/>
    <w:rsid w:val="008635AF"/>
    <w:rsid w:val="0086380A"/>
    <w:rsid w:val="008638F1"/>
    <w:rsid w:val="00863B8D"/>
    <w:rsid w:val="008640D7"/>
    <w:rsid w:val="008643DE"/>
    <w:rsid w:val="008643F0"/>
    <w:rsid w:val="0086457C"/>
    <w:rsid w:val="00864D35"/>
    <w:rsid w:val="00864FF9"/>
    <w:rsid w:val="008651DA"/>
    <w:rsid w:val="00865653"/>
    <w:rsid w:val="00865735"/>
    <w:rsid w:val="00865F1B"/>
    <w:rsid w:val="00865FEB"/>
    <w:rsid w:val="00866A88"/>
    <w:rsid w:val="00866DFF"/>
    <w:rsid w:val="00866F80"/>
    <w:rsid w:val="00866FCD"/>
    <w:rsid w:val="0086702A"/>
    <w:rsid w:val="00867285"/>
    <w:rsid w:val="008673E0"/>
    <w:rsid w:val="00867B15"/>
    <w:rsid w:val="00867D97"/>
    <w:rsid w:val="00867EAE"/>
    <w:rsid w:val="00867F86"/>
    <w:rsid w:val="008700FD"/>
    <w:rsid w:val="008703FE"/>
    <w:rsid w:val="00870626"/>
    <w:rsid w:val="008706EE"/>
    <w:rsid w:val="008708A7"/>
    <w:rsid w:val="00870BEE"/>
    <w:rsid w:val="00871000"/>
    <w:rsid w:val="0087150C"/>
    <w:rsid w:val="008721A4"/>
    <w:rsid w:val="0087221D"/>
    <w:rsid w:val="008727B7"/>
    <w:rsid w:val="00872AD4"/>
    <w:rsid w:val="00872BA7"/>
    <w:rsid w:val="00872E7E"/>
    <w:rsid w:val="008742DD"/>
    <w:rsid w:val="008743F1"/>
    <w:rsid w:val="00874CC4"/>
    <w:rsid w:val="00874F9F"/>
    <w:rsid w:val="00875007"/>
    <w:rsid w:val="008750C2"/>
    <w:rsid w:val="00876168"/>
    <w:rsid w:val="008768BB"/>
    <w:rsid w:val="00876B2A"/>
    <w:rsid w:val="00876B6B"/>
    <w:rsid w:val="00877020"/>
    <w:rsid w:val="008771A4"/>
    <w:rsid w:val="0087725A"/>
    <w:rsid w:val="00877421"/>
    <w:rsid w:val="0087761B"/>
    <w:rsid w:val="00877AF4"/>
    <w:rsid w:val="00877D2D"/>
    <w:rsid w:val="00880396"/>
    <w:rsid w:val="00880757"/>
    <w:rsid w:val="008815E4"/>
    <w:rsid w:val="008816BA"/>
    <w:rsid w:val="00882301"/>
    <w:rsid w:val="00882678"/>
    <w:rsid w:val="008826BE"/>
    <w:rsid w:val="00882730"/>
    <w:rsid w:val="0088363E"/>
    <w:rsid w:val="00883A9C"/>
    <w:rsid w:val="008843A4"/>
    <w:rsid w:val="0088442C"/>
    <w:rsid w:val="00884A55"/>
    <w:rsid w:val="00884E7C"/>
    <w:rsid w:val="00884FAF"/>
    <w:rsid w:val="00885185"/>
    <w:rsid w:val="0088562B"/>
    <w:rsid w:val="008856DB"/>
    <w:rsid w:val="008857EF"/>
    <w:rsid w:val="00885BA3"/>
    <w:rsid w:val="00885D2C"/>
    <w:rsid w:val="00885D8F"/>
    <w:rsid w:val="008861E0"/>
    <w:rsid w:val="0088620B"/>
    <w:rsid w:val="00886762"/>
    <w:rsid w:val="0088678B"/>
    <w:rsid w:val="00886CCF"/>
    <w:rsid w:val="00886E72"/>
    <w:rsid w:val="00886F75"/>
    <w:rsid w:val="008874E2"/>
    <w:rsid w:val="0088758A"/>
    <w:rsid w:val="00887CD6"/>
    <w:rsid w:val="00887D59"/>
    <w:rsid w:val="008905E8"/>
    <w:rsid w:val="008906EC"/>
    <w:rsid w:val="0089088B"/>
    <w:rsid w:val="00890A32"/>
    <w:rsid w:val="00890BE6"/>
    <w:rsid w:val="00890F9F"/>
    <w:rsid w:val="008910B1"/>
    <w:rsid w:val="008912B6"/>
    <w:rsid w:val="00891713"/>
    <w:rsid w:val="008917A3"/>
    <w:rsid w:val="00891FBC"/>
    <w:rsid w:val="008922EE"/>
    <w:rsid w:val="00892561"/>
    <w:rsid w:val="008927F8"/>
    <w:rsid w:val="00892A88"/>
    <w:rsid w:val="00893783"/>
    <w:rsid w:val="008937F2"/>
    <w:rsid w:val="00893954"/>
    <w:rsid w:val="00893C65"/>
    <w:rsid w:val="00894027"/>
    <w:rsid w:val="0089419C"/>
    <w:rsid w:val="008941B1"/>
    <w:rsid w:val="008941FD"/>
    <w:rsid w:val="00894338"/>
    <w:rsid w:val="0089472A"/>
    <w:rsid w:val="008947EA"/>
    <w:rsid w:val="00894E69"/>
    <w:rsid w:val="0089550B"/>
    <w:rsid w:val="00895C54"/>
    <w:rsid w:val="0089606C"/>
    <w:rsid w:val="00896323"/>
    <w:rsid w:val="008963EB"/>
    <w:rsid w:val="00896590"/>
    <w:rsid w:val="0089665B"/>
    <w:rsid w:val="008969AB"/>
    <w:rsid w:val="00896B83"/>
    <w:rsid w:val="00896BAF"/>
    <w:rsid w:val="00896C23"/>
    <w:rsid w:val="008972BB"/>
    <w:rsid w:val="008975DD"/>
    <w:rsid w:val="008976DB"/>
    <w:rsid w:val="00897FEF"/>
    <w:rsid w:val="008A0267"/>
    <w:rsid w:val="008A05F3"/>
    <w:rsid w:val="008A085C"/>
    <w:rsid w:val="008A0BC4"/>
    <w:rsid w:val="008A0C86"/>
    <w:rsid w:val="008A1243"/>
    <w:rsid w:val="008A125F"/>
    <w:rsid w:val="008A12C9"/>
    <w:rsid w:val="008A1AC3"/>
    <w:rsid w:val="008A1CF4"/>
    <w:rsid w:val="008A1E05"/>
    <w:rsid w:val="008A209D"/>
    <w:rsid w:val="008A2407"/>
    <w:rsid w:val="008A29D2"/>
    <w:rsid w:val="008A2AF5"/>
    <w:rsid w:val="008A2D05"/>
    <w:rsid w:val="008A33A0"/>
    <w:rsid w:val="008A38D4"/>
    <w:rsid w:val="008A3C73"/>
    <w:rsid w:val="008A4368"/>
    <w:rsid w:val="008A4668"/>
    <w:rsid w:val="008A49AD"/>
    <w:rsid w:val="008A4AB8"/>
    <w:rsid w:val="008A4E7D"/>
    <w:rsid w:val="008A4E7F"/>
    <w:rsid w:val="008A5602"/>
    <w:rsid w:val="008A5BE5"/>
    <w:rsid w:val="008A6085"/>
    <w:rsid w:val="008A60BE"/>
    <w:rsid w:val="008A6237"/>
    <w:rsid w:val="008A6542"/>
    <w:rsid w:val="008A66C1"/>
    <w:rsid w:val="008A706E"/>
    <w:rsid w:val="008A72E2"/>
    <w:rsid w:val="008A756A"/>
    <w:rsid w:val="008A772E"/>
    <w:rsid w:val="008B057A"/>
    <w:rsid w:val="008B07EB"/>
    <w:rsid w:val="008B0EC5"/>
    <w:rsid w:val="008B0F9C"/>
    <w:rsid w:val="008B1176"/>
    <w:rsid w:val="008B12E9"/>
    <w:rsid w:val="008B14BB"/>
    <w:rsid w:val="008B17C8"/>
    <w:rsid w:val="008B1E89"/>
    <w:rsid w:val="008B2400"/>
    <w:rsid w:val="008B3317"/>
    <w:rsid w:val="008B3678"/>
    <w:rsid w:val="008B3A3C"/>
    <w:rsid w:val="008B49EE"/>
    <w:rsid w:val="008B51D8"/>
    <w:rsid w:val="008B52BC"/>
    <w:rsid w:val="008B5674"/>
    <w:rsid w:val="008B6568"/>
    <w:rsid w:val="008B66EC"/>
    <w:rsid w:val="008B67D3"/>
    <w:rsid w:val="008B6D1A"/>
    <w:rsid w:val="008B6D59"/>
    <w:rsid w:val="008B7023"/>
    <w:rsid w:val="008B713C"/>
    <w:rsid w:val="008B7890"/>
    <w:rsid w:val="008B7C67"/>
    <w:rsid w:val="008B7F75"/>
    <w:rsid w:val="008C0784"/>
    <w:rsid w:val="008C0BF8"/>
    <w:rsid w:val="008C0DAE"/>
    <w:rsid w:val="008C111F"/>
    <w:rsid w:val="008C140E"/>
    <w:rsid w:val="008C1553"/>
    <w:rsid w:val="008C1709"/>
    <w:rsid w:val="008C1870"/>
    <w:rsid w:val="008C1A22"/>
    <w:rsid w:val="008C1B85"/>
    <w:rsid w:val="008C1E33"/>
    <w:rsid w:val="008C1EB3"/>
    <w:rsid w:val="008C2179"/>
    <w:rsid w:val="008C22D6"/>
    <w:rsid w:val="008C26CE"/>
    <w:rsid w:val="008C2827"/>
    <w:rsid w:val="008C315F"/>
    <w:rsid w:val="008C31B1"/>
    <w:rsid w:val="008C37BB"/>
    <w:rsid w:val="008C39C8"/>
    <w:rsid w:val="008C3A88"/>
    <w:rsid w:val="008C3AC2"/>
    <w:rsid w:val="008C3DA1"/>
    <w:rsid w:val="008C4176"/>
    <w:rsid w:val="008C4313"/>
    <w:rsid w:val="008C50AB"/>
    <w:rsid w:val="008C51D8"/>
    <w:rsid w:val="008C52E6"/>
    <w:rsid w:val="008C57D7"/>
    <w:rsid w:val="008C597D"/>
    <w:rsid w:val="008C626E"/>
    <w:rsid w:val="008C63CB"/>
    <w:rsid w:val="008C6476"/>
    <w:rsid w:val="008C656F"/>
    <w:rsid w:val="008C671C"/>
    <w:rsid w:val="008C684B"/>
    <w:rsid w:val="008C6BD1"/>
    <w:rsid w:val="008C6F61"/>
    <w:rsid w:val="008C729D"/>
    <w:rsid w:val="008C76AC"/>
    <w:rsid w:val="008C78E2"/>
    <w:rsid w:val="008C7AA2"/>
    <w:rsid w:val="008C7DEF"/>
    <w:rsid w:val="008C7E0E"/>
    <w:rsid w:val="008D0766"/>
    <w:rsid w:val="008D0ACA"/>
    <w:rsid w:val="008D0B2B"/>
    <w:rsid w:val="008D1197"/>
    <w:rsid w:val="008D1C42"/>
    <w:rsid w:val="008D1D42"/>
    <w:rsid w:val="008D1D87"/>
    <w:rsid w:val="008D1FDF"/>
    <w:rsid w:val="008D2041"/>
    <w:rsid w:val="008D2120"/>
    <w:rsid w:val="008D22A9"/>
    <w:rsid w:val="008D24B7"/>
    <w:rsid w:val="008D2548"/>
    <w:rsid w:val="008D266F"/>
    <w:rsid w:val="008D275B"/>
    <w:rsid w:val="008D2BE3"/>
    <w:rsid w:val="008D2DD3"/>
    <w:rsid w:val="008D2E4D"/>
    <w:rsid w:val="008D3056"/>
    <w:rsid w:val="008D30C3"/>
    <w:rsid w:val="008D4394"/>
    <w:rsid w:val="008D4758"/>
    <w:rsid w:val="008D4829"/>
    <w:rsid w:val="008D497C"/>
    <w:rsid w:val="008D506F"/>
    <w:rsid w:val="008D555A"/>
    <w:rsid w:val="008D5D70"/>
    <w:rsid w:val="008D6298"/>
    <w:rsid w:val="008D635D"/>
    <w:rsid w:val="008D6C7D"/>
    <w:rsid w:val="008D6DFA"/>
    <w:rsid w:val="008D707B"/>
    <w:rsid w:val="008D71A2"/>
    <w:rsid w:val="008D71DD"/>
    <w:rsid w:val="008D72BE"/>
    <w:rsid w:val="008D7350"/>
    <w:rsid w:val="008D75DE"/>
    <w:rsid w:val="008E10AA"/>
    <w:rsid w:val="008E1388"/>
    <w:rsid w:val="008E1704"/>
    <w:rsid w:val="008E1D39"/>
    <w:rsid w:val="008E1D78"/>
    <w:rsid w:val="008E1DAC"/>
    <w:rsid w:val="008E2237"/>
    <w:rsid w:val="008E233E"/>
    <w:rsid w:val="008E233F"/>
    <w:rsid w:val="008E2360"/>
    <w:rsid w:val="008E236F"/>
    <w:rsid w:val="008E2398"/>
    <w:rsid w:val="008E23BD"/>
    <w:rsid w:val="008E28E3"/>
    <w:rsid w:val="008E2C20"/>
    <w:rsid w:val="008E3028"/>
    <w:rsid w:val="008E3055"/>
    <w:rsid w:val="008E3210"/>
    <w:rsid w:val="008E34D6"/>
    <w:rsid w:val="008E392A"/>
    <w:rsid w:val="008E4176"/>
    <w:rsid w:val="008E4489"/>
    <w:rsid w:val="008E454D"/>
    <w:rsid w:val="008E4E85"/>
    <w:rsid w:val="008E4FE5"/>
    <w:rsid w:val="008E54A4"/>
    <w:rsid w:val="008E5728"/>
    <w:rsid w:val="008E575E"/>
    <w:rsid w:val="008E608A"/>
    <w:rsid w:val="008E6291"/>
    <w:rsid w:val="008E6D6F"/>
    <w:rsid w:val="008E75E0"/>
    <w:rsid w:val="008E7A5F"/>
    <w:rsid w:val="008E7F04"/>
    <w:rsid w:val="008F0808"/>
    <w:rsid w:val="008F0972"/>
    <w:rsid w:val="008F0C29"/>
    <w:rsid w:val="008F0EC9"/>
    <w:rsid w:val="008F11B9"/>
    <w:rsid w:val="008F12C2"/>
    <w:rsid w:val="008F14F2"/>
    <w:rsid w:val="008F1578"/>
    <w:rsid w:val="008F1870"/>
    <w:rsid w:val="008F2426"/>
    <w:rsid w:val="008F2754"/>
    <w:rsid w:val="008F2F52"/>
    <w:rsid w:val="008F30A8"/>
    <w:rsid w:val="008F31A0"/>
    <w:rsid w:val="008F38BC"/>
    <w:rsid w:val="008F3F8D"/>
    <w:rsid w:val="008F4222"/>
    <w:rsid w:val="008F4406"/>
    <w:rsid w:val="008F467D"/>
    <w:rsid w:val="008F4BC0"/>
    <w:rsid w:val="008F4D11"/>
    <w:rsid w:val="008F4EB9"/>
    <w:rsid w:val="008F4FEC"/>
    <w:rsid w:val="008F5A86"/>
    <w:rsid w:val="008F65C1"/>
    <w:rsid w:val="008F67B1"/>
    <w:rsid w:val="008F6B5A"/>
    <w:rsid w:val="008F6BA0"/>
    <w:rsid w:val="008F6C73"/>
    <w:rsid w:val="008F6CED"/>
    <w:rsid w:val="008F7027"/>
    <w:rsid w:val="008F762E"/>
    <w:rsid w:val="008F76FE"/>
    <w:rsid w:val="008F770B"/>
    <w:rsid w:val="008F7C1D"/>
    <w:rsid w:val="008F7C70"/>
    <w:rsid w:val="009007F0"/>
    <w:rsid w:val="0090102C"/>
    <w:rsid w:val="009010E2"/>
    <w:rsid w:val="00901433"/>
    <w:rsid w:val="00901505"/>
    <w:rsid w:val="009018DF"/>
    <w:rsid w:val="00901930"/>
    <w:rsid w:val="00901D7E"/>
    <w:rsid w:val="0090224A"/>
    <w:rsid w:val="00902375"/>
    <w:rsid w:val="009023F8"/>
    <w:rsid w:val="00902586"/>
    <w:rsid w:val="00902655"/>
    <w:rsid w:val="00902AEB"/>
    <w:rsid w:val="00902F85"/>
    <w:rsid w:val="009030CD"/>
    <w:rsid w:val="00903798"/>
    <w:rsid w:val="009039B9"/>
    <w:rsid w:val="00903CF7"/>
    <w:rsid w:val="00903DFE"/>
    <w:rsid w:val="009040F1"/>
    <w:rsid w:val="00904B9C"/>
    <w:rsid w:val="00904C10"/>
    <w:rsid w:val="00904D86"/>
    <w:rsid w:val="00904EE1"/>
    <w:rsid w:val="009052E3"/>
    <w:rsid w:val="0090552B"/>
    <w:rsid w:val="00905B3B"/>
    <w:rsid w:val="009064BA"/>
    <w:rsid w:val="00906775"/>
    <w:rsid w:val="009068F7"/>
    <w:rsid w:val="00906A6C"/>
    <w:rsid w:val="009075C4"/>
    <w:rsid w:val="009079DE"/>
    <w:rsid w:val="00907BA0"/>
    <w:rsid w:val="009104A4"/>
    <w:rsid w:val="00910C9B"/>
    <w:rsid w:val="00911614"/>
    <w:rsid w:val="009119BB"/>
    <w:rsid w:val="009122AB"/>
    <w:rsid w:val="00912344"/>
    <w:rsid w:val="00912AC1"/>
    <w:rsid w:val="00912D96"/>
    <w:rsid w:val="009130C6"/>
    <w:rsid w:val="0091355F"/>
    <w:rsid w:val="00913734"/>
    <w:rsid w:val="0091388C"/>
    <w:rsid w:val="009142DA"/>
    <w:rsid w:val="00914897"/>
    <w:rsid w:val="00914F85"/>
    <w:rsid w:val="009150AC"/>
    <w:rsid w:val="00915562"/>
    <w:rsid w:val="009158CE"/>
    <w:rsid w:val="00915B45"/>
    <w:rsid w:val="00916130"/>
    <w:rsid w:val="00916254"/>
    <w:rsid w:val="0091641E"/>
    <w:rsid w:val="00916C26"/>
    <w:rsid w:val="009170D0"/>
    <w:rsid w:val="009174F5"/>
    <w:rsid w:val="0091767D"/>
    <w:rsid w:val="009205A3"/>
    <w:rsid w:val="009205DD"/>
    <w:rsid w:val="00920604"/>
    <w:rsid w:val="00920CA0"/>
    <w:rsid w:val="00920D3B"/>
    <w:rsid w:val="00920F4B"/>
    <w:rsid w:val="009210BE"/>
    <w:rsid w:val="00921137"/>
    <w:rsid w:val="0092128E"/>
    <w:rsid w:val="00921728"/>
    <w:rsid w:val="00921A86"/>
    <w:rsid w:val="00921DEE"/>
    <w:rsid w:val="00921F51"/>
    <w:rsid w:val="009226B3"/>
    <w:rsid w:val="00922C43"/>
    <w:rsid w:val="009230D1"/>
    <w:rsid w:val="0092311E"/>
    <w:rsid w:val="00923643"/>
    <w:rsid w:val="00923B82"/>
    <w:rsid w:val="00923CFC"/>
    <w:rsid w:val="0092425A"/>
    <w:rsid w:val="009244F5"/>
    <w:rsid w:val="009249EA"/>
    <w:rsid w:val="00925711"/>
    <w:rsid w:val="00925918"/>
    <w:rsid w:val="00925C18"/>
    <w:rsid w:val="00925EEE"/>
    <w:rsid w:val="00925FE6"/>
    <w:rsid w:val="0092603B"/>
    <w:rsid w:val="009260F8"/>
    <w:rsid w:val="00926AD9"/>
    <w:rsid w:val="009273F2"/>
    <w:rsid w:val="00927BAC"/>
    <w:rsid w:val="00927CED"/>
    <w:rsid w:val="0093032D"/>
    <w:rsid w:val="009308FC"/>
    <w:rsid w:val="00930CB7"/>
    <w:rsid w:val="00930EDA"/>
    <w:rsid w:val="009312C6"/>
    <w:rsid w:val="009313A1"/>
    <w:rsid w:val="0093148F"/>
    <w:rsid w:val="0093167D"/>
    <w:rsid w:val="00931821"/>
    <w:rsid w:val="0093199D"/>
    <w:rsid w:val="00931CA4"/>
    <w:rsid w:val="00931F56"/>
    <w:rsid w:val="00932112"/>
    <w:rsid w:val="00932649"/>
    <w:rsid w:val="0093285E"/>
    <w:rsid w:val="0093286F"/>
    <w:rsid w:val="00932BC6"/>
    <w:rsid w:val="00932C0C"/>
    <w:rsid w:val="00932CED"/>
    <w:rsid w:val="009330F9"/>
    <w:rsid w:val="00933437"/>
    <w:rsid w:val="009336A9"/>
    <w:rsid w:val="009336FA"/>
    <w:rsid w:val="009337BA"/>
    <w:rsid w:val="00933937"/>
    <w:rsid w:val="00933A58"/>
    <w:rsid w:val="00933A6F"/>
    <w:rsid w:val="00933BE3"/>
    <w:rsid w:val="00933F2A"/>
    <w:rsid w:val="00934547"/>
    <w:rsid w:val="009348D7"/>
    <w:rsid w:val="00935912"/>
    <w:rsid w:val="00935962"/>
    <w:rsid w:val="00935C93"/>
    <w:rsid w:val="00935FA3"/>
    <w:rsid w:val="009366BF"/>
    <w:rsid w:val="00936838"/>
    <w:rsid w:val="009368B9"/>
    <w:rsid w:val="009369C3"/>
    <w:rsid w:val="00936A8A"/>
    <w:rsid w:val="00936B7F"/>
    <w:rsid w:val="00936CBC"/>
    <w:rsid w:val="00937482"/>
    <w:rsid w:val="00937620"/>
    <w:rsid w:val="009407CD"/>
    <w:rsid w:val="00940BE4"/>
    <w:rsid w:val="009411B9"/>
    <w:rsid w:val="0094122F"/>
    <w:rsid w:val="0094129C"/>
    <w:rsid w:val="00941B71"/>
    <w:rsid w:val="00941C8B"/>
    <w:rsid w:val="0094264B"/>
    <w:rsid w:val="009427E5"/>
    <w:rsid w:val="00942905"/>
    <w:rsid w:val="00942EFA"/>
    <w:rsid w:val="009432DD"/>
    <w:rsid w:val="009434F1"/>
    <w:rsid w:val="009439A2"/>
    <w:rsid w:val="00943ED2"/>
    <w:rsid w:val="00944085"/>
    <w:rsid w:val="009445BB"/>
    <w:rsid w:val="009445EA"/>
    <w:rsid w:val="009448B6"/>
    <w:rsid w:val="00944B43"/>
    <w:rsid w:val="00944B45"/>
    <w:rsid w:val="009450EF"/>
    <w:rsid w:val="009456D4"/>
    <w:rsid w:val="009461DC"/>
    <w:rsid w:val="009463D6"/>
    <w:rsid w:val="0094686C"/>
    <w:rsid w:val="009468C1"/>
    <w:rsid w:val="00947211"/>
    <w:rsid w:val="009473FE"/>
    <w:rsid w:val="00947B90"/>
    <w:rsid w:val="00947EBC"/>
    <w:rsid w:val="00950063"/>
    <w:rsid w:val="009501CA"/>
    <w:rsid w:val="00950379"/>
    <w:rsid w:val="00950551"/>
    <w:rsid w:val="00950780"/>
    <w:rsid w:val="00950A77"/>
    <w:rsid w:val="00950FFA"/>
    <w:rsid w:val="00951580"/>
    <w:rsid w:val="00951B39"/>
    <w:rsid w:val="0095268B"/>
    <w:rsid w:val="009527B8"/>
    <w:rsid w:val="00952853"/>
    <w:rsid w:val="00952D8E"/>
    <w:rsid w:val="00952F43"/>
    <w:rsid w:val="0095374C"/>
    <w:rsid w:val="00953785"/>
    <w:rsid w:val="0095387D"/>
    <w:rsid w:val="00953B1D"/>
    <w:rsid w:val="00953F94"/>
    <w:rsid w:val="00954244"/>
    <w:rsid w:val="009544BE"/>
    <w:rsid w:val="0095469E"/>
    <w:rsid w:val="00954830"/>
    <w:rsid w:val="009548CA"/>
    <w:rsid w:val="00954DE0"/>
    <w:rsid w:val="0095515C"/>
    <w:rsid w:val="00955C70"/>
    <w:rsid w:val="00955D33"/>
    <w:rsid w:val="00955FDD"/>
    <w:rsid w:val="00956060"/>
    <w:rsid w:val="009566C7"/>
    <w:rsid w:val="00956B6D"/>
    <w:rsid w:val="00957999"/>
    <w:rsid w:val="00957AAC"/>
    <w:rsid w:val="00957B5B"/>
    <w:rsid w:val="00957D5F"/>
    <w:rsid w:val="00957E9B"/>
    <w:rsid w:val="00957FF7"/>
    <w:rsid w:val="00960051"/>
    <w:rsid w:val="0096023F"/>
    <w:rsid w:val="009603AE"/>
    <w:rsid w:val="009604EF"/>
    <w:rsid w:val="00960554"/>
    <w:rsid w:val="00960FE3"/>
    <w:rsid w:val="00961186"/>
    <w:rsid w:val="009616A6"/>
    <w:rsid w:val="00961D6E"/>
    <w:rsid w:val="00961E59"/>
    <w:rsid w:val="00961FCA"/>
    <w:rsid w:val="009626B9"/>
    <w:rsid w:val="0096274F"/>
    <w:rsid w:val="009627E1"/>
    <w:rsid w:val="0096283B"/>
    <w:rsid w:val="0096285A"/>
    <w:rsid w:val="00962D71"/>
    <w:rsid w:val="00962F22"/>
    <w:rsid w:val="0096308D"/>
    <w:rsid w:val="0096315B"/>
    <w:rsid w:val="009635DA"/>
    <w:rsid w:val="00963AB5"/>
    <w:rsid w:val="00963C2E"/>
    <w:rsid w:val="009644DE"/>
    <w:rsid w:val="009645C6"/>
    <w:rsid w:val="009645D8"/>
    <w:rsid w:val="00964802"/>
    <w:rsid w:val="00964BFE"/>
    <w:rsid w:val="00964E41"/>
    <w:rsid w:val="009658C3"/>
    <w:rsid w:val="00965C63"/>
    <w:rsid w:val="00965CED"/>
    <w:rsid w:val="0096610A"/>
    <w:rsid w:val="0096644E"/>
    <w:rsid w:val="00966645"/>
    <w:rsid w:val="009668EB"/>
    <w:rsid w:val="00966B02"/>
    <w:rsid w:val="00966C04"/>
    <w:rsid w:val="009674A4"/>
    <w:rsid w:val="0096754D"/>
    <w:rsid w:val="00967A08"/>
    <w:rsid w:val="0097015A"/>
    <w:rsid w:val="00970195"/>
    <w:rsid w:val="009702B3"/>
    <w:rsid w:val="009704BB"/>
    <w:rsid w:val="00970A2A"/>
    <w:rsid w:val="00970ADE"/>
    <w:rsid w:val="00970E76"/>
    <w:rsid w:val="00970F49"/>
    <w:rsid w:val="00971294"/>
    <w:rsid w:val="00971309"/>
    <w:rsid w:val="00971B5C"/>
    <w:rsid w:val="00971E4A"/>
    <w:rsid w:val="0097223A"/>
    <w:rsid w:val="0097268F"/>
    <w:rsid w:val="0097287C"/>
    <w:rsid w:val="00972F9D"/>
    <w:rsid w:val="009733FE"/>
    <w:rsid w:val="00973719"/>
    <w:rsid w:val="0097378B"/>
    <w:rsid w:val="00973A58"/>
    <w:rsid w:val="009746ED"/>
    <w:rsid w:val="00974B1E"/>
    <w:rsid w:val="00974D23"/>
    <w:rsid w:val="009756FE"/>
    <w:rsid w:val="00976376"/>
    <w:rsid w:val="009764A0"/>
    <w:rsid w:val="0097664A"/>
    <w:rsid w:val="00976669"/>
    <w:rsid w:val="009774C4"/>
    <w:rsid w:val="00977579"/>
    <w:rsid w:val="00977875"/>
    <w:rsid w:val="009778EC"/>
    <w:rsid w:val="00977913"/>
    <w:rsid w:val="00977B0F"/>
    <w:rsid w:val="00977C30"/>
    <w:rsid w:val="00977D01"/>
    <w:rsid w:val="00977DEB"/>
    <w:rsid w:val="0098002B"/>
    <w:rsid w:val="0098023F"/>
    <w:rsid w:val="00980895"/>
    <w:rsid w:val="00980CC9"/>
    <w:rsid w:val="00980E62"/>
    <w:rsid w:val="009818B5"/>
    <w:rsid w:val="00982B00"/>
    <w:rsid w:val="00982BDE"/>
    <w:rsid w:val="00982EBB"/>
    <w:rsid w:val="00982F44"/>
    <w:rsid w:val="009831DB"/>
    <w:rsid w:val="00983903"/>
    <w:rsid w:val="00983E37"/>
    <w:rsid w:val="00983EE3"/>
    <w:rsid w:val="009843C9"/>
    <w:rsid w:val="0098497A"/>
    <w:rsid w:val="00984D0B"/>
    <w:rsid w:val="0098505F"/>
    <w:rsid w:val="00985485"/>
    <w:rsid w:val="00985521"/>
    <w:rsid w:val="00985554"/>
    <w:rsid w:val="009855D5"/>
    <w:rsid w:val="009857EB"/>
    <w:rsid w:val="00985B05"/>
    <w:rsid w:val="00985F9B"/>
    <w:rsid w:val="009862DB"/>
    <w:rsid w:val="00986319"/>
    <w:rsid w:val="009867A3"/>
    <w:rsid w:val="00986AAA"/>
    <w:rsid w:val="00986B3C"/>
    <w:rsid w:val="009871F1"/>
    <w:rsid w:val="0098752F"/>
    <w:rsid w:val="00987933"/>
    <w:rsid w:val="00987987"/>
    <w:rsid w:val="00987B9D"/>
    <w:rsid w:val="00987EB0"/>
    <w:rsid w:val="00987F1A"/>
    <w:rsid w:val="00987FDE"/>
    <w:rsid w:val="00990180"/>
    <w:rsid w:val="00990577"/>
    <w:rsid w:val="00990579"/>
    <w:rsid w:val="0099057B"/>
    <w:rsid w:val="00990B19"/>
    <w:rsid w:val="00990B6B"/>
    <w:rsid w:val="00990BB3"/>
    <w:rsid w:val="00990C71"/>
    <w:rsid w:val="00990F33"/>
    <w:rsid w:val="009925C9"/>
    <w:rsid w:val="009928DB"/>
    <w:rsid w:val="00992A29"/>
    <w:rsid w:val="00992CD9"/>
    <w:rsid w:val="009930DA"/>
    <w:rsid w:val="0099354A"/>
    <w:rsid w:val="009936D0"/>
    <w:rsid w:val="0099375D"/>
    <w:rsid w:val="009938B1"/>
    <w:rsid w:val="009940B1"/>
    <w:rsid w:val="009941F6"/>
    <w:rsid w:val="009942E0"/>
    <w:rsid w:val="00994832"/>
    <w:rsid w:val="009948BA"/>
    <w:rsid w:val="0099496D"/>
    <w:rsid w:val="00994AB3"/>
    <w:rsid w:val="009951FC"/>
    <w:rsid w:val="009958CF"/>
    <w:rsid w:val="009961EC"/>
    <w:rsid w:val="0099625A"/>
    <w:rsid w:val="0099638E"/>
    <w:rsid w:val="0099645F"/>
    <w:rsid w:val="00996833"/>
    <w:rsid w:val="00996D1D"/>
    <w:rsid w:val="00996E07"/>
    <w:rsid w:val="009970A6"/>
    <w:rsid w:val="009970E0"/>
    <w:rsid w:val="00997292"/>
    <w:rsid w:val="009972B9"/>
    <w:rsid w:val="00997475"/>
    <w:rsid w:val="00997B30"/>
    <w:rsid w:val="00997EC0"/>
    <w:rsid w:val="00997F99"/>
    <w:rsid w:val="009A01B9"/>
    <w:rsid w:val="009A0233"/>
    <w:rsid w:val="009A0920"/>
    <w:rsid w:val="009A094F"/>
    <w:rsid w:val="009A0BA4"/>
    <w:rsid w:val="009A0F01"/>
    <w:rsid w:val="009A1054"/>
    <w:rsid w:val="009A17EA"/>
    <w:rsid w:val="009A1821"/>
    <w:rsid w:val="009A1BF1"/>
    <w:rsid w:val="009A1CF8"/>
    <w:rsid w:val="009A2ADB"/>
    <w:rsid w:val="009A327E"/>
    <w:rsid w:val="009A3BFC"/>
    <w:rsid w:val="009A3D7C"/>
    <w:rsid w:val="009A3F33"/>
    <w:rsid w:val="009A3FE1"/>
    <w:rsid w:val="009A4923"/>
    <w:rsid w:val="009A4DDF"/>
    <w:rsid w:val="009A4EC6"/>
    <w:rsid w:val="009A54AB"/>
    <w:rsid w:val="009A57A5"/>
    <w:rsid w:val="009A5917"/>
    <w:rsid w:val="009A5D98"/>
    <w:rsid w:val="009A60AD"/>
    <w:rsid w:val="009A649F"/>
    <w:rsid w:val="009A6958"/>
    <w:rsid w:val="009A6CE3"/>
    <w:rsid w:val="009A6EDA"/>
    <w:rsid w:val="009A6F73"/>
    <w:rsid w:val="009A7024"/>
    <w:rsid w:val="009A72B7"/>
    <w:rsid w:val="009A75DD"/>
    <w:rsid w:val="009A7FA3"/>
    <w:rsid w:val="009B0433"/>
    <w:rsid w:val="009B0665"/>
    <w:rsid w:val="009B0A5A"/>
    <w:rsid w:val="009B17E1"/>
    <w:rsid w:val="009B1CCC"/>
    <w:rsid w:val="009B233F"/>
    <w:rsid w:val="009B235A"/>
    <w:rsid w:val="009B286D"/>
    <w:rsid w:val="009B2C27"/>
    <w:rsid w:val="009B2C2A"/>
    <w:rsid w:val="009B2CA9"/>
    <w:rsid w:val="009B2CEC"/>
    <w:rsid w:val="009B352A"/>
    <w:rsid w:val="009B3917"/>
    <w:rsid w:val="009B3A05"/>
    <w:rsid w:val="009B3D3A"/>
    <w:rsid w:val="009B41A7"/>
    <w:rsid w:val="009B4502"/>
    <w:rsid w:val="009B46DE"/>
    <w:rsid w:val="009B49A9"/>
    <w:rsid w:val="009B5047"/>
    <w:rsid w:val="009B5666"/>
    <w:rsid w:val="009B578F"/>
    <w:rsid w:val="009B6287"/>
    <w:rsid w:val="009B6333"/>
    <w:rsid w:val="009B71FA"/>
    <w:rsid w:val="009B793A"/>
    <w:rsid w:val="009B7B18"/>
    <w:rsid w:val="009C08C3"/>
    <w:rsid w:val="009C1004"/>
    <w:rsid w:val="009C1061"/>
    <w:rsid w:val="009C1B53"/>
    <w:rsid w:val="009C1CF3"/>
    <w:rsid w:val="009C2063"/>
    <w:rsid w:val="009C2073"/>
    <w:rsid w:val="009C270F"/>
    <w:rsid w:val="009C279E"/>
    <w:rsid w:val="009C2ED7"/>
    <w:rsid w:val="009C317C"/>
    <w:rsid w:val="009C3F0D"/>
    <w:rsid w:val="009C4015"/>
    <w:rsid w:val="009C4048"/>
    <w:rsid w:val="009C43FF"/>
    <w:rsid w:val="009C498A"/>
    <w:rsid w:val="009C4AD0"/>
    <w:rsid w:val="009C5017"/>
    <w:rsid w:val="009C51B3"/>
    <w:rsid w:val="009C5313"/>
    <w:rsid w:val="009C60CD"/>
    <w:rsid w:val="009C652D"/>
    <w:rsid w:val="009C67AC"/>
    <w:rsid w:val="009C6C69"/>
    <w:rsid w:val="009C6D7A"/>
    <w:rsid w:val="009C7B74"/>
    <w:rsid w:val="009C7DB9"/>
    <w:rsid w:val="009C7E15"/>
    <w:rsid w:val="009D01FE"/>
    <w:rsid w:val="009D0308"/>
    <w:rsid w:val="009D03C3"/>
    <w:rsid w:val="009D0414"/>
    <w:rsid w:val="009D079B"/>
    <w:rsid w:val="009D0A37"/>
    <w:rsid w:val="009D0C9C"/>
    <w:rsid w:val="009D0D14"/>
    <w:rsid w:val="009D1E9B"/>
    <w:rsid w:val="009D1EAB"/>
    <w:rsid w:val="009D223C"/>
    <w:rsid w:val="009D2493"/>
    <w:rsid w:val="009D25F2"/>
    <w:rsid w:val="009D2736"/>
    <w:rsid w:val="009D2E8B"/>
    <w:rsid w:val="009D338F"/>
    <w:rsid w:val="009D33E7"/>
    <w:rsid w:val="009D3A7C"/>
    <w:rsid w:val="009D44D1"/>
    <w:rsid w:val="009D4573"/>
    <w:rsid w:val="009D4DD5"/>
    <w:rsid w:val="009D506C"/>
    <w:rsid w:val="009D5322"/>
    <w:rsid w:val="009D6800"/>
    <w:rsid w:val="009D68BA"/>
    <w:rsid w:val="009D6FA9"/>
    <w:rsid w:val="009D70AB"/>
    <w:rsid w:val="009D7F4A"/>
    <w:rsid w:val="009E0024"/>
    <w:rsid w:val="009E022E"/>
    <w:rsid w:val="009E037D"/>
    <w:rsid w:val="009E07A1"/>
    <w:rsid w:val="009E1709"/>
    <w:rsid w:val="009E1B15"/>
    <w:rsid w:val="009E1C60"/>
    <w:rsid w:val="009E1F07"/>
    <w:rsid w:val="009E2133"/>
    <w:rsid w:val="009E2590"/>
    <w:rsid w:val="009E2CE7"/>
    <w:rsid w:val="009E2D94"/>
    <w:rsid w:val="009E2E37"/>
    <w:rsid w:val="009E2ED7"/>
    <w:rsid w:val="009E31DC"/>
    <w:rsid w:val="009E364A"/>
    <w:rsid w:val="009E3745"/>
    <w:rsid w:val="009E4360"/>
    <w:rsid w:val="009E493F"/>
    <w:rsid w:val="009E4BB8"/>
    <w:rsid w:val="009E4E09"/>
    <w:rsid w:val="009E4E19"/>
    <w:rsid w:val="009E5184"/>
    <w:rsid w:val="009E5450"/>
    <w:rsid w:val="009E547B"/>
    <w:rsid w:val="009E590E"/>
    <w:rsid w:val="009E5F69"/>
    <w:rsid w:val="009E5FF3"/>
    <w:rsid w:val="009E6070"/>
    <w:rsid w:val="009E6604"/>
    <w:rsid w:val="009E67A7"/>
    <w:rsid w:val="009E6A4B"/>
    <w:rsid w:val="009E6BB9"/>
    <w:rsid w:val="009E6C84"/>
    <w:rsid w:val="009E6D16"/>
    <w:rsid w:val="009E71E1"/>
    <w:rsid w:val="009E724F"/>
    <w:rsid w:val="009E73E6"/>
    <w:rsid w:val="009E7577"/>
    <w:rsid w:val="009F0688"/>
    <w:rsid w:val="009F0967"/>
    <w:rsid w:val="009F09F3"/>
    <w:rsid w:val="009F0A2E"/>
    <w:rsid w:val="009F0BBE"/>
    <w:rsid w:val="009F0BD2"/>
    <w:rsid w:val="009F0F7B"/>
    <w:rsid w:val="009F10BE"/>
    <w:rsid w:val="009F1176"/>
    <w:rsid w:val="009F12B2"/>
    <w:rsid w:val="009F2478"/>
    <w:rsid w:val="009F2561"/>
    <w:rsid w:val="009F2590"/>
    <w:rsid w:val="009F2A4E"/>
    <w:rsid w:val="009F2EB3"/>
    <w:rsid w:val="009F2FDF"/>
    <w:rsid w:val="009F3440"/>
    <w:rsid w:val="009F3474"/>
    <w:rsid w:val="009F38AD"/>
    <w:rsid w:val="009F4063"/>
    <w:rsid w:val="009F4B57"/>
    <w:rsid w:val="009F4BBA"/>
    <w:rsid w:val="009F4CFB"/>
    <w:rsid w:val="009F4D49"/>
    <w:rsid w:val="009F4D6C"/>
    <w:rsid w:val="009F513F"/>
    <w:rsid w:val="009F5354"/>
    <w:rsid w:val="009F5709"/>
    <w:rsid w:val="009F6027"/>
    <w:rsid w:val="009F6B6B"/>
    <w:rsid w:val="009F6EBE"/>
    <w:rsid w:val="009F7764"/>
    <w:rsid w:val="009F7A29"/>
    <w:rsid w:val="009F7A41"/>
    <w:rsid w:val="00A0011C"/>
    <w:rsid w:val="00A00988"/>
    <w:rsid w:val="00A00AF3"/>
    <w:rsid w:val="00A00E35"/>
    <w:rsid w:val="00A01528"/>
    <w:rsid w:val="00A01BBC"/>
    <w:rsid w:val="00A01F61"/>
    <w:rsid w:val="00A021F7"/>
    <w:rsid w:val="00A0243C"/>
    <w:rsid w:val="00A0248E"/>
    <w:rsid w:val="00A02837"/>
    <w:rsid w:val="00A028A8"/>
    <w:rsid w:val="00A0425C"/>
    <w:rsid w:val="00A042D2"/>
    <w:rsid w:val="00A0484F"/>
    <w:rsid w:val="00A04B52"/>
    <w:rsid w:val="00A04B65"/>
    <w:rsid w:val="00A04DA4"/>
    <w:rsid w:val="00A04FAB"/>
    <w:rsid w:val="00A04FBC"/>
    <w:rsid w:val="00A0503F"/>
    <w:rsid w:val="00A05089"/>
    <w:rsid w:val="00A05141"/>
    <w:rsid w:val="00A0526C"/>
    <w:rsid w:val="00A053C3"/>
    <w:rsid w:val="00A0542F"/>
    <w:rsid w:val="00A055B2"/>
    <w:rsid w:val="00A059E9"/>
    <w:rsid w:val="00A05E90"/>
    <w:rsid w:val="00A05EB7"/>
    <w:rsid w:val="00A0631C"/>
    <w:rsid w:val="00A0635C"/>
    <w:rsid w:val="00A0637F"/>
    <w:rsid w:val="00A06476"/>
    <w:rsid w:val="00A064FE"/>
    <w:rsid w:val="00A06509"/>
    <w:rsid w:val="00A06848"/>
    <w:rsid w:val="00A069B4"/>
    <w:rsid w:val="00A06BB4"/>
    <w:rsid w:val="00A06E19"/>
    <w:rsid w:val="00A07172"/>
    <w:rsid w:val="00A072AC"/>
    <w:rsid w:val="00A076F5"/>
    <w:rsid w:val="00A0774D"/>
    <w:rsid w:val="00A077D5"/>
    <w:rsid w:val="00A07A4E"/>
    <w:rsid w:val="00A07D41"/>
    <w:rsid w:val="00A07F8F"/>
    <w:rsid w:val="00A07FBD"/>
    <w:rsid w:val="00A1040F"/>
    <w:rsid w:val="00A11034"/>
    <w:rsid w:val="00A1141E"/>
    <w:rsid w:val="00A114E3"/>
    <w:rsid w:val="00A114F1"/>
    <w:rsid w:val="00A11ABD"/>
    <w:rsid w:val="00A11B60"/>
    <w:rsid w:val="00A11D0D"/>
    <w:rsid w:val="00A12413"/>
    <w:rsid w:val="00A124EC"/>
    <w:rsid w:val="00A12694"/>
    <w:rsid w:val="00A128B0"/>
    <w:rsid w:val="00A128F0"/>
    <w:rsid w:val="00A12ED5"/>
    <w:rsid w:val="00A13083"/>
    <w:rsid w:val="00A136F6"/>
    <w:rsid w:val="00A13A77"/>
    <w:rsid w:val="00A13F04"/>
    <w:rsid w:val="00A13F95"/>
    <w:rsid w:val="00A1428A"/>
    <w:rsid w:val="00A14361"/>
    <w:rsid w:val="00A14CF4"/>
    <w:rsid w:val="00A14F11"/>
    <w:rsid w:val="00A14F75"/>
    <w:rsid w:val="00A15543"/>
    <w:rsid w:val="00A163A8"/>
    <w:rsid w:val="00A16C3E"/>
    <w:rsid w:val="00A17558"/>
    <w:rsid w:val="00A2000D"/>
    <w:rsid w:val="00A200C6"/>
    <w:rsid w:val="00A20478"/>
    <w:rsid w:val="00A20926"/>
    <w:rsid w:val="00A20CE5"/>
    <w:rsid w:val="00A218C6"/>
    <w:rsid w:val="00A21C0B"/>
    <w:rsid w:val="00A21CDB"/>
    <w:rsid w:val="00A21D9F"/>
    <w:rsid w:val="00A223A5"/>
    <w:rsid w:val="00A2276A"/>
    <w:rsid w:val="00A22807"/>
    <w:rsid w:val="00A22ED0"/>
    <w:rsid w:val="00A230C4"/>
    <w:rsid w:val="00A231CC"/>
    <w:rsid w:val="00A2379F"/>
    <w:rsid w:val="00A244EE"/>
    <w:rsid w:val="00A245DA"/>
    <w:rsid w:val="00A24799"/>
    <w:rsid w:val="00A252B8"/>
    <w:rsid w:val="00A254A6"/>
    <w:rsid w:val="00A257BD"/>
    <w:rsid w:val="00A25897"/>
    <w:rsid w:val="00A25AC2"/>
    <w:rsid w:val="00A25C70"/>
    <w:rsid w:val="00A25CC6"/>
    <w:rsid w:val="00A26096"/>
    <w:rsid w:val="00A2629B"/>
    <w:rsid w:val="00A26556"/>
    <w:rsid w:val="00A27489"/>
    <w:rsid w:val="00A275FA"/>
    <w:rsid w:val="00A27BEA"/>
    <w:rsid w:val="00A30105"/>
    <w:rsid w:val="00A30372"/>
    <w:rsid w:val="00A30387"/>
    <w:rsid w:val="00A30415"/>
    <w:rsid w:val="00A30FAE"/>
    <w:rsid w:val="00A3137C"/>
    <w:rsid w:val="00A31748"/>
    <w:rsid w:val="00A322CA"/>
    <w:rsid w:val="00A3257A"/>
    <w:rsid w:val="00A328B9"/>
    <w:rsid w:val="00A328CA"/>
    <w:rsid w:val="00A329B2"/>
    <w:rsid w:val="00A32C54"/>
    <w:rsid w:val="00A32D66"/>
    <w:rsid w:val="00A32F32"/>
    <w:rsid w:val="00A33D95"/>
    <w:rsid w:val="00A340AF"/>
    <w:rsid w:val="00A348D4"/>
    <w:rsid w:val="00A34B8F"/>
    <w:rsid w:val="00A34C5B"/>
    <w:rsid w:val="00A34E30"/>
    <w:rsid w:val="00A35133"/>
    <w:rsid w:val="00A353B0"/>
    <w:rsid w:val="00A354DA"/>
    <w:rsid w:val="00A35738"/>
    <w:rsid w:val="00A35824"/>
    <w:rsid w:val="00A35A65"/>
    <w:rsid w:val="00A35BA0"/>
    <w:rsid w:val="00A35D28"/>
    <w:rsid w:val="00A366AA"/>
    <w:rsid w:val="00A366EC"/>
    <w:rsid w:val="00A36F1F"/>
    <w:rsid w:val="00A37078"/>
    <w:rsid w:val="00A3737F"/>
    <w:rsid w:val="00A37A2F"/>
    <w:rsid w:val="00A37B2B"/>
    <w:rsid w:val="00A37CFF"/>
    <w:rsid w:val="00A37EA4"/>
    <w:rsid w:val="00A40098"/>
    <w:rsid w:val="00A400CE"/>
    <w:rsid w:val="00A4049B"/>
    <w:rsid w:val="00A40500"/>
    <w:rsid w:val="00A4149C"/>
    <w:rsid w:val="00A417E1"/>
    <w:rsid w:val="00A422C7"/>
    <w:rsid w:val="00A42716"/>
    <w:rsid w:val="00A42758"/>
    <w:rsid w:val="00A42A30"/>
    <w:rsid w:val="00A42CEC"/>
    <w:rsid w:val="00A42E1E"/>
    <w:rsid w:val="00A4380C"/>
    <w:rsid w:val="00A43BF4"/>
    <w:rsid w:val="00A43CB2"/>
    <w:rsid w:val="00A43E9F"/>
    <w:rsid w:val="00A4415B"/>
    <w:rsid w:val="00A4416D"/>
    <w:rsid w:val="00A44197"/>
    <w:rsid w:val="00A44232"/>
    <w:rsid w:val="00A442F5"/>
    <w:rsid w:val="00A4448F"/>
    <w:rsid w:val="00A4449A"/>
    <w:rsid w:val="00A44522"/>
    <w:rsid w:val="00A4455F"/>
    <w:rsid w:val="00A44841"/>
    <w:rsid w:val="00A44F21"/>
    <w:rsid w:val="00A45264"/>
    <w:rsid w:val="00A45399"/>
    <w:rsid w:val="00A457BE"/>
    <w:rsid w:val="00A45969"/>
    <w:rsid w:val="00A45AA7"/>
    <w:rsid w:val="00A45C55"/>
    <w:rsid w:val="00A45FB0"/>
    <w:rsid w:val="00A4632A"/>
    <w:rsid w:val="00A46611"/>
    <w:rsid w:val="00A46810"/>
    <w:rsid w:val="00A46E8F"/>
    <w:rsid w:val="00A4714A"/>
    <w:rsid w:val="00A474A1"/>
    <w:rsid w:val="00A476AB"/>
    <w:rsid w:val="00A50081"/>
    <w:rsid w:val="00A503A0"/>
    <w:rsid w:val="00A507AE"/>
    <w:rsid w:val="00A50CD3"/>
    <w:rsid w:val="00A51D65"/>
    <w:rsid w:val="00A5201D"/>
    <w:rsid w:val="00A52265"/>
    <w:rsid w:val="00A523FC"/>
    <w:rsid w:val="00A52525"/>
    <w:rsid w:val="00A525B8"/>
    <w:rsid w:val="00A526F5"/>
    <w:rsid w:val="00A5293B"/>
    <w:rsid w:val="00A52C3C"/>
    <w:rsid w:val="00A538E0"/>
    <w:rsid w:val="00A5391C"/>
    <w:rsid w:val="00A54237"/>
    <w:rsid w:val="00A543B5"/>
    <w:rsid w:val="00A543D9"/>
    <w:rsid w:val="00A548AE"/>
    <w:rsid w:val="00A54912"/>
    <w:rsid w:val="00A549C1"/>
    <w:rsid w:val="00A55808"/>
    <w:rsid w:val="00A55A71"/>
    <w:rsid w:val="00A55BE8"/>
    <w:rsid w:val="00A560AF"/>
    <w:rsid w:val="00A5696A"/>
    <w:rsid w:val="00A56C25"/>
    <w:rsid w:val="00A57157"/>
    <w:rsid w:val="00A573DF"/>
    <w:rsid w:val="00A57B80"/>
    <w:rsid w:val="00A57C19"/>
    <w:rsid w:val="00A57D13"/>
    <w:rsid w:val="00A57D1E"/>
    <w:rsid w:val="00A57FDD"/>
    <w:rsid w:val="00A602BB"/>
    <w:rsid w:val="00A6041C"/>
    <w:rsid w:val="00A605D5"/>
    <w:rsid w:val="00A60CD0"/>
    <w:rsid w:val="00A60EED"/>
    <w:rsid w:val="00A610A1"/>
    <w:rsid w:val="00A610C5"/>
    <w:rsid w:val="00A61885"/>
    <w:rsid w:val="00A61E4D"/>
    <w:rsid w:val="00A62724"/>
    <w:rsid w:val="00A627AF"/>
    <w:rsid w:val="00A62BA8"/>
    <w:rsid w:val="00A62C33"/>
    <w:rsid w:val="00A62CEB"/>
    <w:rsid w:val="00A6355D"/>
    <w:rsid w:val="00A6359B"/>
    <w:rsid w:val="00A63C97"/>
    <w:rsid w:val="00A63CDA"/>
    <w:rsid w:val="00A63EB2"/>
    <w:rsid w:val="00A64065"/>
    <w:rsid w:val="00A64066"/>
    <w:rsid w:val="00A641E3"/>
    <w:rsid w:val="00A64AAA"/>
    <w:rsid w:val="00A64E3A"/>
    <w:rsid w:val="00A6502F"/>
    <w:rsid w:val="00A652E5"/>
    <w:rsid w:val="00A6547E"/>
    <w:rsid w:val="00A658AD"/>
    <w:rsid w:val="00A65975"/>
    <w:rsid w:val="00A659EF"/>
    <w:rsid w:val="00A65DB0"/>
    <w:rsid w:val="00A66483"/>
    <w:rsid w:val="00A66721"/>
    <w:rsid w:val="00A6689B"/>
    <w:rsid w:val="00A67141"/>
    <w:rsid w:val="00A67B4C"/>
    <w:rsid w:val="00A67BF2"/>
    <w:rsid w:val="00A70B84"/>
    <w:rsid w:val="00A70CAB"/>
    <w:rsid w:val="00A710F5"/>
    <w:rsid w:val="00A71199"/>
    <w:rsid w:val="00A71C01"/>
    <w:rsid w:val="00A72324"/>
    <w:rsid w:val="00A7254A"/>
    <w:rsid w:val="00A726ED"/>
    <w:rsid w:val="00A72E45"/>
    <w:rsid w:val="00A737E4"/>
    <w:rsid w:val="00A738B1"/>
    <w:rsid w:val="00A73B43"/>
    <w:rsid w:val="00A7435B"/>
    <w:rsid w:val="00A7455F"/>
    <w:rsid w:val="00A7473F"/>
    <w:rsid w:val="00A749FD"/>
    <w:rsid w:val="00A74B13"/>
    <w:rsid w:val="00A74B5C"/>
    <w:rsid w:val="00A755AD"/>
    <w:rsid w:val="00A755F9"/>
    <w:rsid w:val="00A766F2"/>
    <w:rsid w:val="00A770BB"/>
    <w:rsid w:val="00A773FF"/>
    <w:rsid w:val="00A778D7"/>
    <w:rsid w:val="00A801C4"/>
    <w:rsid w:val="00A80384"/>
    <w:rsid w:val="00A80710"/>
    <w:rsid w:val="00A809C0"/>
    <w:rsid w:val="00A80F86"/>
    <w:rsid w:val="00A81219"/>
    <w:rsid w:val="00A812E7"/>
    <w:rsid w:val="00A81386"/>
    <w:rsid w:val="00A81758"/>
    <w:rsid w:val="00A818C2"/>
    <w:rsid w:val="00A81F30"/>
    <w:rsid w:val="00A82378"/>
    <w:rsid w:val="00A832FD"/>
    <w:rsid w:val="00A83337"/>
    <w:rsid w:val="00A834F4"/>
    <w:rsid w:val="00A837C9"/>
    <w:rsid w:val="00A83C4D"/>
    <w:rsid w:val="00A83E63"/>
    <w:rsid w:val="00A8422D"/>
    <w:rsid w:val="00A844CB"/>
    <w:rsid w:val="00A84644"/>
    <w:rsid w:val="00A846BB"/>
    <w:rsid w:val="00A84A68"/>
    <w:rsid w:val="00A84B77"/>
    <w:rsid w:val="00A854BF"/>
    <w:rsid w:val="00A85961"/>
    <w:rsid w:val="00A859CD"/>
    <w:rsid w:val="00A85B32"/>
    <w:rsid w:val="00A85BAF"/>
    <w:rsid w:val="00A866BC"/>
    <w:rsid w:val="00A870B3"/>
    <w:rsid w:val="00A871F2"/>
    <w:rsid w:val="00A87240"/>
    <w:rsid w:val="00A8739B"/>
    <w:rsid w:val="00A8775F"/>
    <w:rsid w:val="00A87B27"/>
    <w:rsid w:val="00A87FFA"/>
    <w:rsid w:val="00A90409"/>
    <w:rsid w:val="00A9045D"/>
    <w:rsid w:val="00A904AD"/>
    <w:rsid w:val="00A90972"/>
    <w:rsid w:val="00A90B6E"/>
    <w:rsid w:val="00A90F1E"/>
    <w:rsid w:val="00A90FE2"/>
    <w:rsid w:val="00A91038"/>
    <w:rsid w:val="00A91090"/>
    <w:rsid w:val="00A910A5"/>
    <w:rsid w:val="00A913B7"/>
    <w:rsid w:val="00A91BAD"/>
    <w:rsid w:val="00A91D2D"/>
    <w:rsid w:val="00A9290F"/>
    <w:rsid w:val="00A930C8"/>
    <w:rsid w:val="00A9310F"/>
    <w:rsid w:val="00A93410"/>
    <w:rsid w:val="00A93B61"/>
    <w:rsid w:val="00A93F15"/>
    <w:rsid w:val="00A94905"/>
    <w:rsid w:val="00A94BA0"/>
    <w:rsid w:val="00A94E7A"/>
    <w:rsid w:val="00A94EBE"/>
    <w:rsid w:val="00A95114"/>
    <w:rsid w:val="00A9517A"/>
    <w:rsid w:val="00A9544B"/>
    <w:rsid w:val="00A95726"/>
    <w:rsid w:val="00A95A66"/>
    <w:rsid w:val="00A95BA1"/>
    <w:rsid w:val="00A95E4B"/>
    <w:rsid w:val="00A9616C"/>
    <w:rsid w:val="00A96DF1"/>
    <w:rsid w:val="00A96EEE"/>
    <w:rsid w:val="00A9748A"/>
    <w:rsid w:val="00A977AC"/>
    <w:rsid w:val="00A97983"/>
    <w:rsid w:val="00A97CD6"/>
    <w:rsid w:val="00A97CF0"/>
    <w:rsid w:val="00AA009B"/>
    <w:rsid w:val="00AA08B9"/>
    <w:rsid w:val="00AA0FBC"/>
    <w:rsid w:val="00AA1007"/>
    <w:rsid w:val="00AA1174"/>
    <w:rsid w:val="00AA17F8"/>
    <w:rsid w:val="00AA1D3E"/>
    <w:rsid w:val="00AA1E47"/>
    <w:rsid w:val="00AA1F6B"/>
    <w:rsid w:val="00AA262C"/>
    <w:rsid w:val="00AA281F"/>
    <w:rsid w:val="00AA2D5A"/>
    <w:rsid w:val="00AA397B"/>
    <w:rsid w:val="00AA39C8"/>
    <w:rsid w:val="00AA4A9A"/>
    <w:rsid w:val="00AA5073"/>
    <w:rsid w:val="00AA52BD"/>
    <w:rsid w:val="00AA55E8"/>
    <w:rsid w:val="00AA5870"/>
    <w:rsid w:val="00AA5A40"/>
    <w:rsid w:val="00AA5D08"/>
    <w:rsid w:val="00AA62AE"/>
    <w:rsid w:val="00AA67D6"/>
    <w:rsid w:val="00AA6922"/>
    <w:rsid w:val="00AA69AC"/>
    <w:rsid w:val="00AA6CBA"/>
    <w:rsid w:val="00AA6D16"/>
    <w:rsid w:val="00AA7423"/>
    <w:rsid w:val="00AA77E7"/>
    <w:rsid w:val="00AA78B5"/>
    <w:rsid w:val="00AA7AA8"/>
    <w:rsid w:val="00AB0097"/>
    <w:rsid w:val="00AB00C5"/>
    <w:rsid w:val="00AB05BD"/>
    <w:rsid w:val="00AB05FC"/>
    <w:rsid w:val="00AB0724"/>
    <w:rsid w:val="00AB091E"/>
    <w:rsid w:val="00AB093A"/>
    <w:rsid w:val="00AB0E52"/>
    <w:rsid w:val="00AB1583"/>
    <w:rsid w:val="00AB19BE"/>
    <w:rsid w:val="00AB19C8"/>
    <w:rsid w:val="00AB1B6F"/>
    <w:rsid w:val="00AB1C20"/>
    <w:rsid w:val="00AB1FE6"/>
    <w:rsid w:val="00AB22E6"/>
    <w:rsid w:val="00AB23D7"/>
    <w:rsid w:val="00AB2843"/>
    <w:rsid w:val="00AB2951"/>
    <w:rsid w:val="00AB3438"/>
    <w:rsid w:val="00AB351B"/>
    <w:rsid w:val="00AB39DA"/>
    <w:rsid w:val="00AB3AF5"/>
    <w:rsid w:val="00AB40E0"/>
    <w:rsid w:val="00AB41D3"/>
    <w:rsid w:val="00AB4B6C"/>
    <w:rsid w:val="00AB4E17"/>
    <w:rsid w:val="00AB50D0"/>
    <w:rsid w:val="00AB536C"/>
    <w:rsid w:val="00AB5D62"/>
    <w:rsid w:val="00AB6127"/>
    <w:rsid w:val="00AB6A3B"/>
    <w:rsid w:val="00AB6F42"/>
    <w:rsid w:val="00AB73D3"/>
    <w:rsid w:val="00AB7587"/>
    <w:rsid w:val="00AB7692"/>
    <w:rsid w:val="00AC0396"/>
    <w:rsid w:val="00AC07A9"/>
    <w:rsid w:val="00AC087C"/>
    <w:rsid w:val="00AC0A0B"/>
    <w:rsid w:val="00AC0A4C"/>
    <w:rsid w:val="00AC119B"/>
    <w:rsid w:val="00AC133D"/>
    <w:rsid w:val="00AC14A0"/>
    <w:rsid w:val="00AC1508"/>
    <w:rsid w:val="00AC165D"/>
    <w:rsid w:val="00AC1BF9"/>
    <w:rsid w:val="00AC1C0B"/>
    <w:rsid w:val="00AC23A8"/>
    <w:rsid w:val="00AC2440"/>
    <w:rsid w:val="00AC25F2"/>
    <w:rsid w:val="00AC2860"/>
    <w:rsid w:val="00AC2DFC"/>
    <w:rsid w:val="00AC2E08"/>
    <w:rsid w:val="00AC3009"/>
    <w:rsid w:val="00AC3035"/>
    <w:rsid w:val="00AC3401"/>
    <w:rsid w:val="00AC36A0"/>
    <w:rsid w:val="00AC3E40"/>
    <w:rsid w:val="00AC3EEF"/>
    <w:rsid w:val="00AC45DA"/>
    <w:rsid w:val="00AC53B7"/>
    <w:rsid w:val="00AC5CE9"/>
    <w:rsid w:val="00AC5D93"/>
    <w:rsid w:val="00AC5FAA"/>
    <w:rsid w:val="00AC6554"/>
    <w:rsid w:val="00AC65C3"/>
    <w:rsid w:val="00AC6BAB"/>
    <w:rsid w:val="00AC6F3A"/>
    <w:rsid w:val="00AC7190"/>
    <w:rsid w:val="00AC75EC"/>
    <w:rsid w:val="00AC76A0"/>
    <w:rsid w:val="00AC784C"/>
    <w:rsid w:val="00AC7BB3"/>
    <w:rsid w:val="00AC7D5B"/>
    <w:rsid w:val="00AD0E9D"/>
    <w:rsid w:val="00AD12F8"/>
    <w:rsid w:val="00AD1685"/>
    <w:rsid w:val="00AD185D"/>
    <w:rsid w:val="00AD18EC"/>
    <w:rsid w:val="00AD1BF6"/>
    <w:rsid w:val="00AD234C"/>
    <w:rsid w:val="00AD2494"/>
    <w:rsid w:val="00AD269E"/>
    <w:rsid w:val="00AD27E0"/>
    <w:rsid w:val="00AD2C5A"/>
    <w:rsid w:val="00AD2DB6"/>
    <w:rsid w:val="00AD40C9"/>
    <w:rsid w:val="00AD423B"/>
    <w:rsid w:val="00AD43DB"/>
    <w:rsid w:val="00AD4C8E"/>
    <w:rsid w:val="00AD50A0"/>
    <w:rsid w:val="00AD5329"/>
    <w:rsid w:val="00AD5B1B"/>
    <w:rsid w:val="00AD5C94"/>
    <w:rsid w:val="00AD632C"/>
    <w:rsid w:val="00AD632F"/>
    <w:rsid w:val="00AD6477"/>
    <w:rsid w:val="00AD6B94"/>
    <w:rsid w:val="00AD6D99"/>
    <w:rsid w:val="00AD6EB4"/>
    <w:rsid w:val="00AD6F66"/>
    <w:rsid w:val="00AD73C1"/>
    <w:rsid w:val="00AD7F91"/>
    <w:rsid w:val="00AE004A"/>
    <w:rsid w:val="00AE086E"/>
    <w:rsid w:val="00AE1CC3"/>
    <w:rsid w:val="00AE1EC2"/>
    <w:rsid w:val="00AE1F65"/>
    <w:rsid w:val="00AE1F70"/>
    <w:rsid w:val="00AE1FE2"/>
    <w:rsid w:val="00AE21E4"/>
    <w:rsid w:val="00AE2465"/>
    <w:rsid w:val="00AE2812"/>
    <w:rsid w:val="00AE2DE0"/>
    <w:rsid w:val="00AE329C"/>
    <w:rsid w:val="00AE33DC"/>
    <w:rsid w:val="00AE3679"/>
    <w:rsid w:val="00AE3C4B"/>
    <w:rsid w:val="00AE3CD7"/>
    <w:rsid w:val="00AE3E59"/>
    <w:rsid w:val="00AE3F8C"/>
    <w:rsid w:val="00AE4079"/>
    <w:rsid w:val="00AE46BC"/>
    <w:rsid w:val="00AE4838"/>
    <w:rsid w:val="00AE4AF2"/>
    <w:rsid w:val="00AE4E19"/>
    <w:rsid w:val="00AE5179"/>
    <w:rsid w:val="00AE5CD8"/>
    <w:rsid w:val="00AE5D9E"/>
    <w:rsid w:val="00AE5F3E"/>
    <w:rsid w:val="00AE6EE4"/>
    <w:rsid w:val="00AE6F6A"/>
    <w:rsid w:val="00AE70F3"/>
    <w:rsid w:val="00AE720E"/>
    <w:rsid w:val="00AE73B8"/>
    <w:rsid w:val="00AE7455"/>
    <w:rsid w:val="00AE7610"/>
    <w:rsid w:val="00AE778C"/>
    <w:rsid w:val="00AE77A5"/>
    <w:rsid w:val="00AE7CA1"/>
    <w:rsid w:val="00AE7F90"/>
    <w:rsid w:val="00AE7FD3"/>
    <w:rsid w:val="00AF0517"/>
    <w:rsid w:val="00AF085C"/>
    <w:rsid w:val="00AF09CA"/>
    <w:rsid w:val="00AF1303"/>
    <w:rsid w:val="00AF16C6"/>
    <w:rsid w:val="00AF190F"/>
    <w:rsid w:val="00AF1BAB"/>
    <w:rsid w:val="00AF1D41"/>
    <w:rsid w:val="00AF225D"/>
    <w:rsid w:val="00AF2804"/>
    <w:rsid w:val="00AF2927"/>
    <w:rsid w:val="00AF2A1D"/>
    <w:rsid w:val="00AF2B2D"/>
    <w:rsid w:val="00AF2C5B"/>
    <w:rsid w:val="00AF316C"/>
    <w:rsid w:val="00AF3BE2"/>
    <w:rsid w:val="00AF3C40"/>
    <w:rsid w:val="00AF41DA"/>
    <w:rsid w:val="00AF47BC"/>
    <w:rsid w:val="00AF4A67"/>
    <w:rsid w:val="00AF4AAA"/>
    <w:rsid w:val="00AF4B4A"/>
    <w:rsid w:val="00AF52A9"/>
    <w:rsid w:val="00AF5599"/>
    <w:rsid w:val="00AF59AE"/>
    <w:rsid w:val="00AF5C3B"/>
    <w:rsid w:val="00AF60AA"/>
    <w:rsid w:val="00AF60B2"/>
    <w:rsid w:val="00AF625A"/>
    <w:rsid w:val="00AF6361"/>
    <w:rsid w:val="00AF64A7"/>
    <w:rsid w:val="00AF69E0"/>
    <w:rsid w:val="00AF6FF7"/>
    <w:rsid w:val="00AF726F"/>
    <w:rsid w:val="00AF759E"/>
    <w:rsid w:val="00B00767"/>
    <w:rsid w:val="00B00A22"/>
    <w:rsid w:val="00B00AD6"/>
    <w:rsid w:val="00B015D5"/>
    <w:rsid w:val="00B015F8"/>
    <w:rsid w:val="00B019F6"/>
    <w:rsid w:val="00B01BB5"/>
    <w:rsid w:val="00B01C4B"/>
    <w:rsid w:val="00B020A8"/>
    <w:rsid w:val="00B02102"/>
    <w:rsid w:val="00B0247B"/>
    <w:rsid w:val="00B024BC"/>
    <w:rsid w:val="00B024E7"/>
    <w:rsid w:val="00B02525"/>
    <w:rsid w:val="00B02787"/>
    <w:rsid w:val="00B02E7C"/>
    <w:rsid w:val="00B02FD2"/>
    <w:rsid w:val="00B030E2"/>
    <w:rsid w:val="00B032A5"/>
    <w:rsid w:val="00B03341"/>
    <w:rsid w:val="00B0343F"/>
    <w:rsid w:val="00B03C17"/>
    <w:rsid w:val="00B03F8F"/>
    <w:rsid w:val="00B03FAC"/>
    <w:rsid w:val="00B04338"/>
    <w:rsid w:val="00B046D0"/>
    <w:rsid w:val="00B04B17"/>
    <w:rsid w:val="00B04B6B"/>
    <w:rsid w:val="00B04BAF"/>
    <w:rsid w:val="00B04F1E"/>
    <w:rsid w:val="00B0506C"/>
    <w:rsid w:val="00B051B0"/>
    <w:rsid w:val="00B05994"/>
    <w:rsid w:val="00B062F6"/>
    <w:rsid w:val="00B0652F"/>
    <w:rsid w:val="00B067F5"/>
    <w:rsid w:val="00B06EF0"/>
    <w:rsid w:val="00B07556"/>
    <w:rsid w:val="00B076BD"/>
    <w:rsid w:val="00B07749"/>
    <w:rsid w:val="00B07F88"/>
    <w:rsid w:val="00B10000"/>
    <w:rsid w:val="00B10009"/>
    <w:rsid w:val="00B104B0"/>
    <w:rsid w:val="00B106EB"/>
    <w:rsid w:val="00B1094B"/>
    <w:rsid w:val="00B10B2B"/>
    <w:rsid w:val="00B11E8E"/>
    <w:rsid w:val="00B12223"/>
    <w:rsid w:val="00B12688"/>
    <w:rsid w:val="00B1276E"/>
    <w:rsid w:val="00B1277A"/>
    <w:rsid w:val="00B128CC"/>
    <w:rsid w:val="00B12B7F"/>
    <w:rsid w:val="00B12C4F"/>
    <w:rsid w:val="00B12DEA"/>
    <w:rsid w:val="00B1399D"/>
    <w:rsid w:val="00B13ABA"/>
    <w:rsid w:val="00B13CA3"/>
    <w:rsid w:val="00B140C1"/>
    <w:rsid w:val="00B14402"/>
    <w:rsid w:val="00B148F3"/>
    <w:rsid w:val="00B14E36"/>
    <w:rsid w:val="00B151E1"/>
    <w:rsid w:val="00B153B6"/>
    <w:rsid w:val="00B15589"/>
    <w:rsid w:val="00B15C30"/>
    <w:rsid w:val="00B16712"/>
    <w:rsid w:val="00B16A34"/>
    <w:rsid w:val="00B16AAD"/>
    <w:rsid w:val="00B1736C"/>
    <w:rsid w:val="00B1778B"/>
    <w:rsid w:val="00B177A5"/>
    <w:rsid w:val="00B177D4"/>
    <w:rsid w:val="00B178F1"/>
    <w:rsid w:val="00B17BD2"/>
    <w:rsid w:val="00B20536"/>
    <w:rsid w:val="00B205E0"/>
    <w:rsid w:val="00B209C2"/>
    <w:rsid w:val="00B20A46"/>
    <w:rsid w:val="00B21069"/>
    <w:rsid w:val="00B218FC"/>
    <w:rsid w:val="00B21B92"/>
    <w:rsid w:val="00B22191"/>
    <w:rsid w:val="00B22423"/>
    <w:rsid w:val="00B22473"/>
    <w:rsid w:val="00B228F5"/>
    <w:rsid w:val="00B22D20"/>
    <w:rsid w:val="00B22DD1"/>
    <w:rsid w:val="00B22EBE"/>
    <w:rsid w:val="00B23062"/>
    <w:rsid w:val="00B2324C"/>
    <w:rsid w:val="00B23546"/>
    <w:rsid w:val="00B238F8"/>
    <w:rsid w:val="00B23E2D"/>
    <w:rsid w:val="00B23EB4"/>
    <w:rsid w:val="00B23F84"/>
    <w:rsid w:val="00B241D3"/>
    <w:rsid w:val="00B24267"/>
    <w:rsid w:val="00B24C02"/>
    <w:rsid w:val="00B2520A"/>
    <w:rsid w:val="00B25433"/>
    <w:rsid w:val="00B254DE"/>
    <w:rsid w:val="00B2578A"/>
    <w:rsid w:val="00B25813"/>
    <w:rsid w:val="00B265CF"/>
    <w:rsid w:val="00B26AF7"/>
    <w:rsid w:val="00B272C7"/>
    <w:rsid w:val="00B27711"/>
    <w:rsid w:val="00B27C51"/>
    <w:rsid w:val="00B300AD"/>
    <w:rsid w:val="00B30158"/>
    <w:rsid w:val="00B301AC"/>
    <w:rsid w:val="00B30327"/>
    <w:rsid w:val="00B304BA"/>
    <w:rsid w:val="00B30997"/>
    <w:rsid w:val="00B30BB4"/>
    <w:rsid w:val="00B30EEE"/>
    <w:rsid w:val="00B310BF"/>
    <w:rsid w:val="00B31932"/>
    <w:rsid w:val="00B31DAC"/>
    <w:rsid w:val="00B31FAF"/>
    <w:rsid w:val="00B325BE"/>
    <w:rsid w:val="00B33018"/>
    <w:rsid w:val="00B33417"/>
    <w:rsid w:val="00B3375C"/>
    <w:rsid w:val="00B33ADF"/>
    <w:rsid w:val="00B33B19"/>
    <w:rsid w:val="00B34257"/>
    <w:rsid w:val="00B346B8"/>
    <w:rsid w:val="00B34925"/>
    <w:rsid w:val="00B34A76"/>
    <w:rsid w:val="00B34ADB"/>
    <w:rsid w:val="00B34B9B"/>
    <w:rsid w:val="00B34BA7"/>
    <w:rsid w:val="00B35041"/>
    <w:rsid w:val="00B3544D"/>
    <w:rsid w:val="00B354B7"/>
    <w:rsid w:val="00B35A03"/>
    <w:rsid w:val="00B360B0"/>
    <w:rsid w:val="00B360F8"/>
    <w:rsid w:val="00B3683C"/>
    <w:rsid w:val="00B371B9"/>
    <w:rsid w:val="00B3736E"/>
    <w:rsid w:val="00B3763A"/>
    <w:rsid w:val="00B37C16"/>
    <w:rsid w:val="00B4024C"/>
    <w:rsid w:val="00B40E65"/>
    <w:rsid w:val="00B4168C"/>
    <w:rsid w:val="00B41D60"/>
    <w:rsid w:val="00B41F3A"/>
    <w:rsid w:val="00B4343C"/>
    <w:rsid w:val="00B43CCF"/>
    <w:rsid w:val="00B44181"/>
    <w:rsid w:val="00B44264"/>
    <w:rsid w:val="00B44D4D"/>
    <w:rsid w:val="00B44DF0"/>
    <w:rsid w:val="00B452B2"/>
    <w:rsid w:val="00B4568B"/>
    <w:rsid w:val="00B458DA"/>
    <w:rsid w:val="00B458FF"/>
    <w:rsid w:val="00B461F3"/>
    <w:rsid w:val="00B46331"/>
    <w:rsid w:val="00B468FD"/>
    <w:rsid w:val="00B46CE2"/>
    <w:rsid w:val="00B47005"/>
    <w:rsid w:val="00B4714D"/>
    <w:rsid w:val="00B47A93"/>
    <w:rsid w:val="00B47D65"/>
    <w:rsid w:val="00B5024A"/>
    <w:rsid w:val="00B50397"/>
    <w:rsid w:val="00B50762"/>
    <w:rsid w:val="00B50F2C"/>
    <w:rsid w:val="00B510B0"/>
    <w:rsid w:val="00B510E1"/>
    <w:rsid w:val="00B513AC"/>
    <w:rsid w:val="00B517CC"/>
    <w:rsid w:val="00B51807"/>
    <w:rsid w:val="00B51DAE"/>
    <w:rsid w:val="00B52561"/>
    <w:rsid w:val="00B5290D"/>
    <w:rsid w:val="00B52BB7"/>
    <w:rsid w:val="00B530FD"/>
    <w:rsid w:val="00B53163"/>
    <w:rsid w:val="00B53282"/>
    <w:rsid w:val="00B5330C"/>
    <w:rsid w:val="00B53423"/>
    <w:rsid w:val="00B5379E"/>
    <w:rsid w:val="00B537FB"/>
    <w:rsid w:val="00B53927"/>
    <w:rsid w:val="00B539C5"/>
    <w:rsid w:val="00B53D02"/>
    <w:rsid w:val="00B549CC"/>
    <w:rsid w:val="00B55108"/>
    <w:rsid w:val="00B55426"/>
    <w:rsid w:val="00B560A8"/>
    <w:rsid w:val="00B561D7"/>
    <w:rsid w:val="00B562DA"/>
    <w:rsid w:val="00B5643A"/>
    <w:rsid w:val="00B56515"/>
    <w:rsid w:val="00B5759C"/>
    <w:rsid w:val="00B5773A"/>
    <w:rsid w:val="00B57B40"/>
    <w:rsid w:val="00B57FC5"/>
    <w:rsid w:val="00B60309"/>
    <w:rsid w:val="00B606AA"/>
    <w:rsid w:val="00B60DB7"/>
    <w:rsid w:val="00B616B9"/>
    <w:rsid w:val="00B618F6"/>
    <w:rsid w:val="00B61D30"/>
    <w:rsid w:val="00B61DC7"/>
    <w:rsid w:val="00B62106"/>
    <w:rsid w:val="00B62177"/>
    <w:rsid w:val="00B625EE"/>
    <w:rsid w:val="00B6323C"/>
    <w:rsid w:val="00B634B9"/>
    <w:rsid w:val="00B6363C"/>
    <w:rsid w:val="00B639DE"/>
    <w:rsid w:val="00B6497C"/>
    <w:rsid w:val="00B64AAB"/>
    <w:rsid w:val="00B64BD1"/>
    <w:rsid w:val="00B64E25"/>
    <w:rsid w:val="00B6535D"/>
    <w:rsid w:val="00B65517"/>
    <w:rsid w:val="00B65D15"/>
    <w:rsid w:val="00B65E18"/>
    <w:rsid w:val="00B65EFD"/>
    <w:rsid w:val="00B6615A"/>
    <w:rsid w:val="00B6638D"/>
    <w:rsid w:val="00B6641D"/>
    <w:rsid w:val="00B6685A"/>
    <w:rsid w:val="00B66B54"/>
    <w:rsid w:val="00B66B61"/>
    <w:rsid w:val="00B66C67"/>
    <w:rsid w:val="00B66D35"/>
    <w:rsid w:val="00B66F0C"/>
    <w:rsid w:val="00B678B1"/>
    <w:rsid w:val="00B7037C"/>
    <w:rsid w:val="00B704E3"/>
    <w:rsid w:val="00B70840"/>
    <w:rsid w:val="00B70C60"/>
    <w:rsid w:val="00B71039"/>
    <w:rsid w:val="00B7143A"/>
    <w:rsid w:val="00B71579"/>
    <w:rsid w:val="00B71860"/>
    <w:rsid w:val="00B71892"/>
    <w:rsid w:val="00B71936"/>
    <w:rsid w:val="00B71B2B"/>
    <w:rsid w:val="00B720BE"/>
    <w:rsid w:val="00B724B2"/>
    <w:rsid w:val="00B7270E"/>
    <w:rsid w:val="00B73903"/>
    <w:rsid w:val="00B73933"/>
    <w:rsid w:val="00B73BD5"/>
    <w:rsid w:val="00B73C86"/>
    <w:rsid w:val="00B73EB7"/>
    <w:rsid w:val="00B73FBB"/>
    <w:rsid w:val="00B756AE"/>
    <w:rsid w:val="00B758EA"/>
    <w:rsid w:val="00B75B5D"/>
    <w:rsid w:val="00B75B97"/>
    <w:rsid w:val="00B75C1C"/>
    <w:rsid w:val="00B75DD1"/>
    <w:rsid w:val="00B75E70"/>
    <w:rsid w:val="00B75FBB"/>
    <w:rsid w:val="00B761B3"/>
    <w:rsid w:val="00B763D7"/>
    <w:rsid w:val="00B76455"/>
    <w:rsid w:val="00B76709"/>
    <w:rsid w:val="00B76CCF"/>
    <w:rsid w:val="00B76CFD"/>
    <w:rsid w:val="00B7753A"/>
    <w:rsid w:val="00B77904"/>
    <w:rsid w:val="00B77F88"/>
    <w:rsid w:val="00B80144"/>
    <w:rsid w:val="00B805DF"/>
    <w:rsid w:val="00B80705"/>
    <w:rsid w:val="00B80803"/>
    <w:rsid w:val="00B80B25"/>
    <w:rsid w:val="00B80C80"/>
    <w:rsid w:val="00B80E32"/>
    <w:rsid w:val="00B80F19"/>
    <w:rsid w:val="00B81004"/>
    <w:rsid w:val="00B81305"/>
    <w:rsid w:val="00B813D6"/>
    <w:rsid w:val="00B815F5"/>
    <w:rsid w:val="00B8164D"/>
    <w:rsid w:val="00B81D66"/>
    <w:rsid w:val="00B82208"/>
    <w:rsid w:val="00B823CF"/>
    <w:rsid w:val="00B825FC"/>
    <w:rsid w:val="00B8279B"/>
    <w:rsid w:val="00B8280F"/>
    <w:rsid w:val="00B83011"/>
    <w:rsid w:val="00B8301C"/>
    <w:rsid w:val="00B840DC"/>
    <w:rsid w:val="00B840E9"/>
    <w:rsid w:val="00B84286"/>
    <w:rsid w:val="00B844A0"/>
    <w:rsid w:val="00B84667"/>
    <w:rsid w:val="00B84980"/>
    <w:rsid w:val="00B849E6"/>
    <w:rsid w:val="00B84D92"/>
    <w:rsid w:val="00B8533F"/>
    <w:rsid w:val="00B853B4"/>
    <w:rsid w:val="00B85731"/>
    <w:rsid w:val="00B8609A"/>
    <w:rsid w:val="00B860BF"/>
    <w:rsid w:val="00B86554"/>
    <w:rsid w:val="00B867C0"/>
    <w:rsid w:val="00B86B00"/>
    <w:rsid w:val="00B86B20"/>
    <w:rsid w:val="00B87578"/>
    <w:rsid w:val="00B877B3"/>
    <w:rsid w:val="00B878EA"/>
    <w:rsid w:val="00B8795C"/>
    <w:rsid w:val="00B87F2C"/>
    <w:rsid w:val="00B90079"/>
    <w:rsid w:val="00B900BD"/>
    <w:rsid w:val="00B90146"/>
    <w:rsid w:val="00B901F8"/>
    <w:rsid w:val="00B90998"/>
    <w:rsid w:val="00B90B58"/>
    <w:rsid w:val="00B90DB0"/>
    <w:rsid w:val="00B911D4"/>
    <w:rsid w:val="00B91431"/>
    <w:rsid w:val="00B91683"/>
    <w:rsid w:val="00B9172E"/>
    <w:rsid w:val="00B91E87"/>
    <w:rsid w:val="00B920BE"/>
    <w:rsid w:val="00B926F6"/>
    <w:rsid w:val="00B92F3E"/>
    <w:rsid w:val="00B9364A"/>
    <w:rsid w:val="00B93F9A"/>
    <w:rsid w:val="00B9458E"/>
    <w:rsid w:val="00B946A6"/>
    <w:rsid w:val="00B94A37"/>
    <w:rsid w:val="00B94E8F"/>
    <w:rsid w:val="00B95175"/>
    <w:rsid w:val="00B957D6"/>
    <w:rsid w:val="00B95BA7"/>
    <w:rsid w:val="00B95E3A"/>
    <w:rsid w:val="00B960DB"/>
    <w:rsid w:val="00B96381"/>
    <w:rsid w:val="00B96583"/>
    <w:rsid w:val="00B96586"/>
    <w:rsid w:val="00B96744"/>
    <w:rsid w:val="00B96816"/>
    <w:rsid w:val="00B97187"/>
    <w:rsid w:val="00B97492"/>
    <w:rsid w:val="00B975EF"/>
    <w:rsid w:val="00B97864"/>
    <w:rsid w:val="00B9786A"/>
    <w:rsid w:val="00B9790D"/>
    <w:rsid w:val="00B97AA3"/>
    <w:rsid w:val="00B97B23"/>
    <w:rsid w:val="00BA01DE"/>
    <w:rsid w:val="00BA063D"/>
    <w:rsid w:val="00BA0BD1"/>
    <w:rsid w:val="00BA0C41"/>
    <w:rsid w:val="00BA0CF0"/>
    <w:rsid w:val="00BA0EC5"/>
    <w:rsid w:val="00BA0FA6"/>
    <w:rsid w:val="00BA111C"/>
    <w:rsid w:val="00BA13CD"/>
    <w:rsid w:val="00BA1440"/>
    <w:rsid w:val="00BA1B0D"/>
    <w:rsid w:val="00BA2297"/>
    <w:rsid w:val="00BA2B8A"/>
    <w:rsid w:val="00BA3053"/>
    <w:rsid w:val="00BA3295"/>
    <w:rsid w:val="00BA36DF"/>
    <w:rsid w:val="00BA3B53"/>
    <w:rsid w:val="00BA3E29"/>
    <w:rsid w:val="00BA40BB"/>
    <w:rsid w:val="00BA44A2"/>
    <w:rsid w:val="00BA505D"/>
    <w:rsid w:val="00BA5107"/>
    <w:rsid w:val="00BA51F7"/>
    <w:rsid w:val="00BA52FA"/>
    <w:rsid w:val="00BA5573"/>
    <w:rsid w:val="00BA5C2D"/>
    <w:rsid w:val="00BA5F84"/>
    <w:rsid w:val="00BA61ED"/>
    <w:rsid w:val="00BA64F0"/>
    <w:rsid w:val="00BA6510"/>
    <w:rsid w:val="00BA754A"/>
    <w:rsid w:val="00BA7790"/>
    <w:rsid w:val="00BA7A07"/>
    <w:rsid w:val="00BA7BED"/>
    <w:rsid w:val="00BA7E73"/>
    <w:rsid w:val="00BA7F13"/>
    <w:rsid w:val="00BB00EB"/>
    <w:rsid w:val="00BB0126"/>
    <w:rsid w:val="00BB0523"/>
    <w:rsid w:val="00BB0853"/>
    <w:rsid w:val="00BB160C"/>
    <w:rsid w:val="00BB1E8D"/>
    <w:rsid w:val="00BB1F86"/>
    <w:rsid w:val="00BB2257"/>
    <w:rsid w:val="00BB24B9"/>
    <w:rsid w:val="00BB2937"/>
    <w:rsid w:val="00BB2C3D"/>
    <w:rsid w:val="00BB2CCA"/>
    <w:rsid w:val="00BB2E0D"/>
    <w:rsid w:val="00BB331E"/>
    <w:rsid w:val="00BB3706"/>
    <w:rsid w:val="00BB371D"/>
    <w:rsid w:val="00BB38DF"/>
    <w:rsid w:val="00BB3A53"/>
    <w:rsid w:val="00BB3DC3"/>
    <w:rsid w:val="00BB3F38"/>
    <w:rsid w:val="00BB3FA1"/>
    <w:rsid w:val="00BB406F"/>
    <w:rsid w:val="00BB43F1"/>
    <w:rsid w:val="00BB4441"/>
    <w:rsid w:val="00BB45E2"/>
    <w:rsid w:val="00BB4634"/>
    <w:rsid w:val="00BB4680"/>
    <w:rsid w:val="00BB490D"/>
    <w:rsid w:val="00BB4A32"/>
    <w:rsid w:val="00BB4EB8"/>
    <w:rsid w:val="00BB4EC4"/>
    <w:rsid w:val="00BB527B"/>
    <w:rsid w:val="00BB5486"/>
    <w:rsid w:val="00BB54CF"/>
    <w:rsid w:val="00BB551F"/>
    <w:rsid w:val="00BB5784"/>
    <w:rsid w:val="00BB61C8"/>
    <w:rsid w:val="00BB6BA3"/>
    <w:rsid w:val="00BB6EA6"/>
    <w:rsid w:val="00BB6F42"/>
    <w:rsid w:val="00BB739E"/>
    <w:rsid w:val="00BB79D0"/>
    <w:rsid w:val="00BB7D6D"/>
    <w:rsid w:val="00BB7FB9"/>
    <w:rsid w:val="00BC006C"/>
    <w:rsid w:val="00BC0703"/>
    <w:rsid w:val="00BC097D"/>
    <w:rsid w:val="00BC0B4E"/>
    <w:rsid w:val="00BC0BDE"/>
    <w:rsid w:val="00BC12EE"/>
    <w:rsid w:val="00BC154D"/>
    <w:rsid w:val="00BC15C9"/>
    <w:rsid w:val="00BC175B"/>
    <w:rsid w:val="00BC1DAA"/>
    <w:rsid w:val="00BC1FB9"/>
    <w:rsid w:val="00BC210E"/>
    <w:rsid w:val="00BC2996"/>
    <w:rsid w:val="00BC2A48"/>
    <w:rsid w:val="00BC3107"/>
    <w:rsid w:val="00BC36A0"/>
    <w:rsid w:val="00BC3948"/>
    <w:rsid w:val="00BC398D"/>
    <w:rsid w:val="00BC45AD"/>
    <w:rsid w:val="00BC45E2"/>
    <w:rsid w:val="00BC4744"/>
    <w:rsid w:val="00BC5224"/>
    <w:rsid w:val="00BC549D"/>
    <w:rsid w:val="00BC567F"/>
    <w:rsid w:val="00BC570E"/>
    <w:rsid w:val="00BC596C"/>
    <w:rsid w:val="00BC5D2C"/>
    <w:rsid w:val="00BC5F12"/>
    <w:rsid w:val="00BC60F3"/>
    <w:rsid w:val="00BC6328"/>
    <w:rsid w:val="00BC66CE"/>
    <w:rsid w:val="00BC6ADD"/>
    <w:rsid w:val="00BC6E15"/>
    <w:rsid w:val="00BC71F8"/>
    <w:rsid w:val="00BC796E"/>
    <w:rsid w:val="00BC7B29"/>
    <w:rsid w:val="00BC7DF5"/>
    <w:rsid w:val="00BC7E41"/>
    <w:rsid w:val="00BC7FED"/>
    <w:rsid w:val="00BD061B"/>
    <w:rsid w:val="00BD074B"/>
    <w:rsid w:val="00BD07D4"/>
    <w:rsid w:val="00BD08A5"/>
    <w:rsid w:val="00BD096F"/>
    <w:rsid w:val="00BD0F61"/>
    <w:rsid w:val="00BD1094"/>
    <w:rsid w:val="00BD178D"/>
    <w:rsid w:val="00BD1B03"/>
    <w:rsid w:val="00BD1CC7"/>
    <w:rsid w:val="00BD201B"/>
    <w:rsid w:val="00BD204C"/>
    <w:rsid w:val="00BD20E1"/>
    <w:rsid w:val="00BD23DF"/>
    <w:rsid w:val="00BD2665"/>
    <w:rsid w:val="00BD2800"/>
    <w:rsid w:val="00BD2BCE"/>
    <w:rsid w:val="00BD2CBE"/>
    <w:rsid w:val="00BD3F25"/>
    <w:rsid w:val="00BD4576"/>
    <w:rsid w:val="00BD46D7"/>
    <w:rsid w:val="00BD4748"/>
    <w:rsid w:val="00BD4AE1"/>
    <w:rsid w:val="00BD4CCA"/>
    <w:rsid w:val="00BD4E00"/>
    <w:rsid w:val="00BD51E6"/>
    <w:rsid w:val="00BD5861"/>
    <w:rsid w:val="00BD5FA9"/>
    <w:rsid w:val="00BD6406"/>
    <w:rsid w:val="00BD6BA2"/>
    <w:rsid w:val="00BD712A"/>
    <w:rsid w:val="00BD7538"/>
    <w:rsid w:val="00BD76F4"/>
    <w:rsid w:val="00BD7EAC"/>
    <w:rsid w:val="00BD7F86"/>
    <w:rsid w:val="00BE05FA"/>
    <w:rsid w:val="00BE0648"/>
    <w:rsid w:val="00BE090B"/>
    <w:rsid w:val="00BE0B50"/>
    <w:rsid w:val="00BE0E42"/>
    <w:rsid w:val="00BE0F02"/>
    <w:rsid w:val="00BE119D"/>
    <w:rsid w:val="00BE11D5"/>
    <w:rsid w:val="00BE1513"/>
    <w:rsid w:val="00BE1691"/>
    <w:rsid w:val="00BE178B"/>
    <w:rsid w:val="00BE1BDD"/>
    <w:rsid w:val="00BE1DE4"/>
    <w:rsid w:val="00BE226A"/>
    <w:rsid w:val="00BE25B5"/>
    <w:rsid w:val="00BE2BA6"/>
    <w:rsid w:val="00BE2FF6"/>
    <w:rsid w:val="00BE32BD"/>
    <w:rsid w:val="00BE3613"/>
    <w:rsid w:val="00BE3630"/>
    <w:rsid w:val="00BE3671"/>
    <w:rsid w:val="00BE3A21"/>
    <w:rsid w:val="00BE4158"/>
    <w:rsid w:val="00BE4298"/>
    <w:rsid w:val="00BE51A7"/>
    <w:rsid w:val="00BE51AB"/>
    <w:rsid w:val="00BE52FE"/>
    <w:rsid w:val="00BE56F4"/>
    <w:rsid w:val="00BE57A8"/>
    <w:rsid w:val="00BE5AF8"/>
    <w:rsid w:val="00BE5CFA"/>
    <w:rsid w:val="00BE6123"/>
    <w:rsid w:val="00BE6202"/>
    <w:rsid w:val="00BE63B7"/>
    <w:rsid w:val="00BE6DF6"/>
    <w:rsid w:val="00BE6F4C"/>
    <w:rsid w:val="00BE78E9"/>
    <w:rsid w:val="00BE7978"/>
    <w:rsid w:val="00BE7A5E"/>
    <w:rsid w:val="00BE7EDA"/>
    <w:rsid w:val="00BF01F8"/>
    <w:rsid w:val="00BF057B"/>
    <w:rsid w:val="00BF0756"/>
    <w:rsid w:val="00BF0E89"/>
    <w:rsid w:val="00BF1352"/>
    <w:rsid w:val="00BF150D"/>
    <w:rsid w:val="00BF18D0"/>
    <w:rsid w:val="00BF1906"/>
    <w:rsid w:val="00BF23B4"/>
    <w:rsid w:val="00BF28F4"/>
    <w:rsid w:val="00BF29CB"/>
    <w:rsid w:val="00BF3340"/>
    <w:rsid w:val="00BF359E"/>
    <w:rsid w:val="00BF3C66"/>
    <w:rsid w:val="00BF3FB4"/>
    <w:rsid w:val="00BF487B"/>
    <w:rsid w:val="00BF4F1A"/>
    <w:rsid w:val="00BF5AB1"/>
    <w:rsid w:val="00BF63BF"/>
    <w:rsid w:val="00BF6A64"/>
    <w:rsid w:val="00BF6F4D"/>
    <w:rsid w:val="00BF7197"/>
    <w:rsid w:val="00BF72E6"/>
    <w:rsid w:val="00BF74F9"/>
    <w:rsid w:val="00BF765A"/>
    <w:rsid w:val="00BF7782"/>
    <w:rsid w:val="00C001D7"/>
    <w:rsid w:val="00C005D3"/>
    <w:rsid w:val="00C00943"/>
    <w:rsid w:val="00C00BEC"/>
    <w:rsid w:val="00C00FF7"/>
    <w:rsid w:val="00C0127C"/>
    <w:rsid w:val="00C01B4F"/>
    <w:rsid w:val="00C01F12"/>
    <w:rsid w:val="00C01F75"/>
    <w:rsid w:val="00C023C7"/>
    <w:rsid w:val="00C02AC5"/>
    <w:rsid w:val="00C02BE6"/>
    <w:rsid w:val="00C03733"/>
    <w:rsid w:val="00C03753"/>
    <w:rsid w:val="00C03869"/>
    <w:rsid w:val="00C0456E"/>
    <w:rsid w:val="00C04A1F"/>
    <w:rsid w:val="00C05032"/>
    <w:rsid w:val="00C0508B"/>
    <w:rsid w:val="00C0549D"/>
    <w:rsid w:val="00C059AD"/>
    <w:rsid w:val="00C05B33"/>
    <w:rsid w:val="00C05DC5"/>
    <w:rsid w:val="00C060FC"/>
    <w:rsid w:val="00C06738"/>
    <w:rsid w:val="00C0693B"/>
    <w:rsid w:val="00C06F4F"/>
    <w:rsid w:val="00C07033"/>
    <w:rsid w:val="00C07168"/>
    <w:rsid w:val="00C077BC"/>
    <w:rsid w:val="00C07AB3"/>
    <w:rsid w:val="00C07F97"/>
    <w:rsid w:val="00C10134"/>
    <w:rsid w:val="00C101FB"/>
    <w:rsid w:val="00C10258"/>
    <w:rsid w:val="00C1036A"/>
    <w:rsid w:val="00C1054F"/>
    <w:rsid w:val="00C10666"/>
    <w:rsid w:val="00C1079D"/>
    <w:rsid w:val="00C10B21"/>
    <w:rsid w:val="00C10B9A"/>
    <w:rsid w:val="00C10C94"/>
    <w:rsid w:val="00C10DAC"/>
    <w:rsid w:val="00C10DE1"/>
    <w:rsid w:val="00C10F67"/>
    <w:rsid w:val="00C11569"/>
    <w:rsid w:val="00C11712"/>
    <w:rsid w:val="00C11F21"/>
    <w:rsid w:val="00C1230B"/>
    <w:rsid w:val="00C12322"/>
    <w:rsid w:val="00C12391"/>
    <w:rsid w:val="00C129AF"/>
    <w:rsid w:val="00C12A08"/>
    <w:rsid w:val="00C12AE5"/>
    <w:rsid w:val="00C12F25"/>
    <w:rsid w:val="00C1339D"/>
    <w:rsid w:val="00C1371A"/>
    <w:rsid w:val="00C13C92"/>
    <w:rsid w:val="00C14007"/>
    <w:rsid w:val="00C15154"/>
    <w:rsid w:val="00C151D3"/>
    <w:rsid w:val="00C1550F"/>
    <w:rsid w:val="00C15AF9"/>
    <w:rsid w:val="00C15CF2"/>
    <w:rsid w:val="00C15FB2"/>
    <w:rsid w:val="00C15FEB"/>
    <w:rsid w:val="00C16109"/>
    <w:rsid w:val="00C16358"/>
    <w:rsid w:val="00C16550"/>
    <w:rsid w:val="00C16CC1"/>
    <w:rsid w:val="00C16DFC"/>
    <w:rsid w:val="00C174D3"/>
    <w:rsid w:val="00C179F5"/>
    <w:rsid w:val="00C17C0F"/>
    <w:rsid w:val="00C17C7D"/>
    <w:rsid w:val="00C17CBC"/>
    <w:rsid w:val="00C2024C"/>
    <w:rsid w:val="00C20A0E"/>
    <w:rsid w:val="00C20DC8"/>
    <w:rsid w:val="00C20E42"/>
    <w:rsid w:val="00C2121B"/>
    <w:rsid w:val="00C21605"/>
    <w:rsid w:val="00C22307"/>
    <w:rsid w:val="00C223B7"/>
    <w:rsid w:val="00C22748"/>
    <w:rsid w:val="00C2288A"/>
    <w:rsid w:val="00C2315C"/>
    <w:rsid w:val="00C23A48"/>
    <w:rsid w:val="00C23A66"/>
    <w:rsid w:val="00C23B11"/>
    <w:rsid w:val="00C23CAC"/>
    <w:rsid w:val="00C23CB1"/>
    <w:rsid w:val="00C23E58"/>
    <w:rsid w:val="00C23FE5"/>
    <w:rsid w:val="00C2448C"/>
    <w:rsid w:val="00C248E1"/>
    <w:rsid w:val="00C24904"/>
    <w:rsid w:val="00C24AD7"/>
    <w:rsid w:val="00C24D81"/>
    <w:rsid w:val="00C252FE"/>
    <w:rsid w:val="00C25DC2"/>
    <w:rsid w:val="00C25FB5"/>
    <w:rsid w:val="00C26206"/>
    <w:rsid w:val="00C26A74"/>
    <w:rsid w:val="00C26B3A"/>
    <w:rsid w:val="00C2754F"/>
    <w:rsid w:val="00C27556"/>
    <w:rsid w:val="00C2774D"/>
    <w:rsid w:val="00C2784A"/>
    <w:rsid w:val="00C27A24"/>
    <w:rsid w:val="00C27D76"/>
    <w:rsid w:val="00C301C1"/>
    <w:rsid w:val="00C30C3D"/>
    <w:rsid w:val="00C30D91"/>
    <w:rsid w:val="00C31183"/>
    <w:rsid w:val="00C31452"/>
    <w:rsid w:val="00C316BD"/>
    <w:rsid w:val="00C31C89"/>
    <w:rsid w:val="00C3278E"/>
    <w:rsid w:val="00C32C8A"/>
    <w:rsid w:val="00C32FFE"/>
    <w:rsid w:val="00C33167"/>
    <w:rsid w:val="00C33E2C"/>
    <w:rsid w:val="00C33E9F"/>
    <w:rsid w:val="00C33FF6"/>
    <w:rsid w:val="00C34119"/>
    <w:rsid w:val="00C342C7"/>
    <w:rsid w:val="00C34644"/>
    <w:rsid w:val="00C3464D"/>
    <w:rsid w:val="00C346DD"/>
    <w:rsid w:val="00C34739"/>
    <w:rsid w:val="00C3473E"/>
    <w:rsid w:val="00C347B3"/>
    <w:rsid w:val="00C347FD"/>
    <w:rsid w:val="00C3498C"/>
    <w:rsid w:val="00C35033"/>
    <w:rsid w:val="00C35139"/>
    <w:rsid w:val="00C355B0"/>
    <w:rsid w:val="00C355DD"/>
    <w:rsid w:val="00C35659"/>
    <w:rsid w:val="00C35F50"/>
    <w:rsid w:val="00C3628B"/>
    <w:rsid w:val="00C365B1"/>
    <w:rsid w:val="00C3693D"/>
    <w:rsid w:val="00C36B14"/>
    <w:rsid w:val="00C3766B"/>
    <w:rsid w:val="00C37CDE"/>
    <w:rsid w:val="00C37CF7"/>
    <w:rsid w:val="00C37D9E"/>
    <w:rsid w:val="00C37F62"/>
    <w:rsid w:val="00C40331"/>
    <w:rsid w:val="00C40492"/>
    <w:rsid w:val="00C409FD"/>
    <w:rsid w:val="00C40A18"/>
    <w:rsid w:val="00C40CDA"/>
    <w:rsid w:val="00C415CB"/>
    <w:rsid w:val="00C416D0"/>
    <w:rsid w:val="00C4176B"/>
    <w:rsid w:val="00C41D3A"/>
    <w:rsid w:val="00C41E98"/>
    <w:rsid w:val="00C427A9"/>
    <w:rsid w:val="00C42B40"/>
    <w:rsid w:val="00C42CCF"/>
    <w:rsid w:val="00C433B4"/>
    <w:rsid w:val="00C4345D"/>
    <w:rsid w:val="00C43725"/>
    <w:rsid w:val="00C4379D"/>
    <w:rsid w:val="00C4379F"/>
    <w:rsid w:val="00C43B5F"/>
    <w:rsid w:val="00C44370"/>
    <w:rsid w:val="00C444F6"/>
    <w:rsid w:val="00C4478A"/>
    <w:rsid w:val="00C447E5"/>
    <w:rsid w:val="00C4485B"/>
    <w:rsid w:val="00C452CB"/>
    <w:rsid w:val="00C456AC"/>
    <w:rsid w:val="00C456C5"/>
    <w:rsid w:val="00C45BF3"/>
    <w:rsid w:val="00C4603C"/>
    <w:rsid w:val="00C464E8"/>
    <w:rsid w:val="00C466C6"/>
    <w:rsid w:val="00C46879"/>
    <w:rsid w:val="00C47011"/>
    <w:rsid w:val="00C47482"/>
    <w:rsid w:val="00C47726"/>
    <w:rsid w:val="00C47C39"/>
    <w:rsid w:val="00C50570"/>
    <w:rsid w:val="00C50574"/>
    <w:rsid w:val="00C50B41"/>
    <w:rsid w:val="00C50D7F"/>
    <w:rsid w:val="00C51471"/>
    <w:rsid w:val="00C519A8"/>
    <w:rsid w:val="00C51BD2"/>
    <w:rsid w:val="00C524C4"/>
    <w:rsid w:val="00C525BA"/>
    <w:rsid w:val="00C52657"/>
    <w:rsid w:val="00C528CD"/>
    <w:rsid w:val="00C52B51"/>
    <w:rsid w:val="00C52C49"/>
    <w:rsid w:val="00C52F66"/>
    <w:rsid w:val="00C5335E"/>
    <w:rsid w:val="00C538F3"/>
    <w:rsid w:val="00C53E7B"/>
    <w:rsid w:val="00C54366"/>
    <w:rsid w:val="00C547CA"/>
    <w:rsid w:val="00C549CE"/>
    <w:rsid w:val="00C54F38"/>
    <w:rsid w:val="00C55B26"/>
    <w:rsid w:val="00C55DD1"/>
    <w:rsid w:val="00C56736"/>
    <w:rsid w:val="00C56D72"/>
    <w:rsid w:val="00C56DCF"/>
    <w:rsid w:val="00C56F46"/>
    <w:rsid w:val="00C57100"/>
    <w:rsid w:val="00C57214"/>
    <w:rsid w:val="00C575D1"/>
    <w:rsid w:val="00C57C22"/>
    <w:rsid w:val="00C60709"/>
    <w:rsid w:val="00C60D85"/>
    <w:rsid w:val="00C613B6"/>
    <w:rsid w:val="00C614A2"/>
    <w:rsid w:val="00C61656"/>
    <w:rsid w:val="00C617AC"/>
    <w:rsid w:val="00C619AC"/>
    <w:rsid w:val="00C61B18"/>
    <w:rsid w:val="00C61B67"/>
    <w:rsid w:val="00C61EEC"/>
    <w:rsid w:val="00C620A4"/>
    <w:rsid w:val="00C62287"/>
    <w:rsid w:val="00C626E5"/>
    <w:rsid w:val="00C627E0"/>
    <w:rsid w:val="00C62B7E"/>
    <w:rsid w:val="00C63136"/>
    <w:rsid w:val="00C633E3"/>
    <w:rsid w:val="00C63443"/>
    <w:rsid w:val="00C634B9"/>
    <w:rsid w:val="00C634FE"/>
    <w:rsid w:val="00C635EF"/>
    <w:rsid w:val="00C63803"/>
    <w:rsid w:val="00C63E68"/>
    <w:rsid w:val="00C64240"/>
    <w:rsid w:val="00C64615"/>
    <w:rsid w:val="00C64749"/>
    <w:rsid w:val="00C6480F"/>
    <w:rsid w:val="00C64D3A"/>
    <w:rsid w:val="00C65C59"/>
    <w:rsid w:val="00C65CCB"/>
    <w:rsid w:val="00C65DFC"/>
    <w:rsid w:val="00C66763"/>
    <w:rsid w:val="00C66822"/>
    <w:rsid w:val="00C6718D"/>
    <w:rsid w:val="00C67471"/>
    <w:rsid w:val="00C6777A"/>
    <w:rsid w:val="00C677F5"/>
    <w:rsid w:val="00C6786B"/>
    <w:rsid w:val="00C70244"/>
    <w:rsid w:val="00C70450"/>
    <w:rsid w:val="00C70C4D"/>
    <w:rsid w:val="00C70C91"/>
    <w:rsid w:val="00C70FC0"/>
    <w:rsid w:val="00C71239"/>
    <w:rsid w:val="00C712FD"/>
    <w:rsid w:val="00C71519"/>
    <w:rsid w:val="00C71566"/>
    <w:rsid w:val="00C71D10"/>
    <w:rsid w:val="00C71EF4"/>
    <w:rsid w:val="00C71FB9"/>
    <w:rsid w:val="00C720CA"/>
    <w:rsid w:val="00C720E3"/>
    <w:rsid w:val="00C72854"/>
    <w:rsid w:val="00C72A13"/>
    <w:rsid w:val="00C73057"/>
    <w:rsid w:val="00C731D1"/>
    <w:rsid w:val="00C732ED"/>
    <w:rsid w:val="00C73370"/>
    <w:rsid w:val="00C7357C"/>
    <w:rsid w:val="00C73648"/>
    <w:rsid w:val="00C73A49"/>
    <w:rsid w:val="00C73CE6"/>
    <w:rsid w:val="00C7464F"/>
    <w:rsid w:val="00C748E3"/>
    <w:rsid w:val="00C74BED"/>
    <w:rsid w:val="00C74C61"/>
    <w:rsid w:val="00C74EEF"/>
    <w:rsid w:val="00C7554E"/>
    <w:rsid w:val="00C75683"/>
    <w:rsid w:val="00C76320"/>
    <w:rsid w:val="00C7651D"/>
    <w:rsid w:val="00C766E0"/>
    <w:rsid w:val="00C767F8"/>
    <w:rsid w:val="00C76CA8"/>
    <w:rsid w:val="00C76E8D"/>
    <w:rsid w:val="00C76F76"/>
    <w:rsid w:val="00C771B0"/>
    <w:rsid w:val="00C772AE"/>
    <w:rsid w:val="00C7797D"/>
    <w:rsid w:val="00C77A2A"/>
    <w:rsid w:val="00C77F3F"/>
    <w:rsid w:val="00C77FBD"/>
    <w:rsid w:val="00C800B3"/>
    <w:rsid w:val="00C80165"/>
    <w:rsid w:val="00C8082A"/>
    <w:rsid w:val="00C80C46"/>
    <w:rsid w:val="00C8112C"/>
    <w:rsid w:val="00C81172"/>
    <w:rsid w:val="00C813AC"/>
    <w:rsid w:val="00C813FF"/>
    <w:rsid w:val="00C81709"/>
    <w:rsid w:val="00C81730"/>
    <w:rsid w:val="00C81759"/>
    <w:rsid w:val="00C8183F"/>
    <w:rsid w:val="00C81A8D"/>
    <w:rsid w:val="00C81E83"/>
    <w:rsid w:val="00C823E3"/>
    <w:rsid w:val="00C825B3"/>
    <w:rsid w:val="00C82A06"/>
    <w:rsid w:val="00C82DF4"/>
    <w:rsid w:val="00C82F7C"/>
    <w:rsid w:val="00C8329C"/>
    <w:rsid w:val="00C837D3"/>
    <w:rsid w:val="00C83CCD"/>
    <w:rsid w:val="00C83D05"/>
    <w:rsid w:val="00C83F03"/>
    <w:rsid w:val="00C84410"/>
    <w:rsid w:val="00C8453A"/>
    <w:rsid w:val="00C84716"/>
    <w:rsid w:val="00C85107"/>
    <w:rsid w:val="00C85355"/>
    <w:rsid w:val="00C8558C"/>
    <w:rsid w:val="00C85DE3"/>
    <w:rsid w:val="00C85E9C"/>
    <w:rsid w:val="00C85F2E"/>
    <w:rsid w:val="00C8603F"/>
    <w:rsid w:val="00C86254"/>
    <w:rsid w:val="00C86281"/>
    <w:rsid w:val="00C866B2"/>
    <w:rsid w:val="00C869FA"/>
    <w:rsid w:val="00C870DF"/>
    <w:rsid w:val="00C8725C"/>
    <w:rsid w:val="00C8741D"/>
    <w:rsid w:val="00C87648"/>
    <w:rsid w:val="00C8781A"/>
    <w:rsid w:val="00C87B36"/>
    <w:rsid w:val="00C90416"/>
    <w:rsid w:val="00C90665"/>
    <w:rsid w:val="00C9078B"/>
    <w:rsid w:val="00C90CEA"/>
    <w:rsid w:val="00C90E28"/>
    <w:rsid w:val="00C9104F"/>
    <w:rsid w:val="00C9123D"/>
    <w:rsid w:val="00C9134C"/>
    <w:rsid w:val="00C9184E"/>
    <w:rsid w:val="00C91926"/>
    <w:rsid w:val="00C92125"/>
    <w:rsid w:val="00C92786"/>
    <w:rsid w:val="00C929C1"/>
    <w:rsid w:val="00C92B27"/>
    <w:rsid w:val="00C9310F"/>
    <w:rsid w:val="00C93141"/>
    <w:rsid w:val="00C93D32"/>
    <w:rsid w:val="00C94BD9"/>
    <w:rsid w:val="00C95136"/>
    <w:rsid w:val="00C95253"/>
    <w:rsid w:val="00C95324"/>
    <w:rsid w:val="00C954EC"/>
    <w:rsid w:val="00C95519"/>
    <w:rsid w:val="00C9570A"/>
    <w:rsid w:val="00C95E23"/>
    <w:rsid w:val="00C96715"/>
    <w:rsid w:val="00C969E9"/>
    <w:rsid w:val="00C96FC2"/>
    <w:rsid w:val="00C97882"/>
    <w:rsid w:val="00C97A31"/>
    <w:rsid w:val="00CA059D"/>
    <w:rsid w:val="00CA0A86"/>
    <w:rsid w:val="00CA0CB0"/>
    <w:rsid w:val="00CA0DC5"/>
    <w:rsid w:val="00CA0EC8"/>
    <w:rsid w:val="00CA22F3"/>
    <w:rsid w:val="00CA236D"/>
    <w:rsid w:val="00CA26D6"/>
    <w:rsid w:val="00CA3BAE"/>
    <w:rsid w:val="00CA420C"/>
    <w:rsid w:val="00CA4984"/>
    <w:rsid w:val="00CA49E1"/>
    <w:rsid w:val="00CA4CF1"/>
    <w:rsid w:val="00CA4CF2"/>
    <w:rsid w:val="00CA4EF0"/>
    <w:rsid w:val="00CA5043"/>
    <w:rsid w:val="00CA5090"/>
    <w:rsid w:val="00CA59BB"/>
    <w:rsid w:val="00CA59C2"/>
    <w:rsid w:val="00CA5DE8"/>
    <w:rsid w:val="00CA6FE6"/>
    <w:rsid w:val="00CA72F8"/>
    <w:rsid w:val="00CA73B2"/>
    <w:rsid w:val="00CA745D"/>
    <w:rsid w:val="00CB054B"/>
    <w:rsid w:val="00CB081D"/>
    <w:rsid w:val="00CB09E2"/>
    <w:rsid w:val="00CB0C13"/>
    <w:rsid w:val="00CB0C30"/>
    <w:rsid w:val="00CB0D8F"/>
    <w:rsid w:val="00CB1571"/>
    <w:rsid w:val="00CB18FA"/>
    <w:rsid w:val="00CB19C0"/>
    <w:rsid w:val="00CB1A9F"/>
    <w:rsid w:val="00CB1DE9"/>
    <w:rsid w:val="00CB1E3A"/>
    <w:rsid w:val="00CB1E68"/>
    <w:rsid w:val="00CB2231"/>
    <w:rsid w:val="00CB24EC"/>
    <w:rsid w:val="00CB26DA"/>
    <w:rsid w:val="00CB2B6F"/>
    <w:rsid w:val="00CB2C11"/>
    <w:rsid w:val="00CB2C40"/>
    <w:rsid w:val="00CB3AF4"/>
    <w:rsid w:val="00CB3BF8"/>
    <w:rsid w:val="00CB42C0"/>
    <w:rsid w:val="00CB45B7"/>
    <w:rsid w:val="00CB4B70"/>
    <w:rsid w:val="00CB5217"/>
    <w:rsid w:val="00CB56B7"/>
    <w:rsid w:val="00CB57EE"/>
    <w:rsid w:val="00CB5C55"/>
    <w:rsid w:val="00CB5DF7"/>
    <w:rsid w:val="00CB5F5D"/>
    <w:rsid w:val="00CB6122"/>
    <w:rsid w:val="00CB65B7"/>
    <w:rsid w:val="00CB6784"/>
    <w:rsid w:val="00CB6DD8"/>
    <w:rsid w:val="00CB6EDC"/>
    <w:rsid w:val="00CB740E"/>
    <w:rsid w:val="00CB76B9"/>
    <w:rsid w:val="00CB79A8"/>
    <w:rsid w:val="00CB7A93"/>
    <w:rsid w:val="00CB7AAB"/>
    <w:rsid w:val="00CB7B1E"/>
    <w:rsid w:val="00CC008A"/>
    <w:rsid w:val="00CC13A6"/>
    <w:rsid w:val="00CC1C10"/>
    <w:rsid w:val="00CC1D26"/>
    <w:rsid w:val="00CC1EC9"/>
    <w:rsid w:val="00CC214B"/>
    <w:rsid w:val="00CC22AD"/>
    <w:rsid w:val="00CC245B"/>
    <w:rsid w:val="00CC2598"/>
    <w:rsid w:val="00CC2C61"/>
    <w:rsid w:val="00CC2CF3"/>
    <w:rsid w:val="00CC2D3A"/>
    <w:rsid w:val="00CC3001"/>
    <w:rsid w:val="00CC3032"/>
    <w:rsid w:val="00CC308F"/>
    <w:rsid w:val="00CC33A0"/>
    <w:rsid w:val="00CC42F0"/>
    <w:rsid w:val="00CC47DD"/>
    <w:rsid w:val="00CC4EB7"/>
    <w:rsid w:val="00CC5613"/>
    <w:rsid w:val="00CC56D1"/>
    <w:rsid w:val="00CC5A95"/>
    <w:rsid w:val="00CC66C1"/>
    <w:rsid w:val="00CC6A86"/>
    <w:rsid w:val="00CC73A7"/>
    <w:rsid w:val="00CC771C"/>
    <w:rsid w:val="00CC7972"/>
    <w:rsid w:val="00CC79A2"/>
    <w:rsid w:val="00CC7B22"/>
    <w:rsid w:val="00CC7D01"/>
    <w:rsid w:val="00CC7D7E"/>
    <w:rsid w:val="00CC7E01"/>
    <w:rsid w:val="00CD0029"/>
    <w:rsid w:val="00CD037E"/>
    <w:rsid w:val="00CD0974"/>
    <w:rsid w:val="00CD0B23"/>
    <w:rsid w:val="00CD0C3C"/>
    <w:rsid w:val="00CD0E2B"/>
    <w:rsid w:val="00CD0ECA"/>
    <w:rsid w:val="00CD1280"/>
    <w:rsid w:val="00CD1B16"/>
    <w:rsid w:val="00CD1EEA"/>
    <w:rsid w:val="00CD23E2"/>
    <w:rsid w:val="00CD2506"/>
    <w:rsid w:val="00CD2698"/>
    <w:rsid w:val="00CD27F5"/>
    <w:rsid w:val="00CD31E5"/>
    <w:rsid w:val="00CD3244"/>
    <w:rsid w:val="00CD3850"/>
    <w:rsid w:val="00CD3C96"/>
    <w:rsid w:val="00CD40F4"/>
    <w:rsid w:val="00CD4368"/>
    <w:rsid w:val="00CD4477"/>
    <w:rsid w:val="00CD4CB7"/>
    <w:rsid w:val="00CD5136"/>
    <w:rsid w:val="00CD5CA5"/>
    <w:rsid w:val="00CD5D68"/>
    <w:rsid w:val="00CD5F97"/>
    <w:rsid w:val="00CD6316"/>
    <w:rsid w:val="00CD6579"/>
    <w:rsid w:val="00CD6666"/>
    <w:rsid w:val="00CD6B62"/>
    <w:rsid w:val="00CD6B8C"/>
    <w:rsid w:val="00CD6BBB"/>
    <w:rsid w:val="00CD6C4B"/>
    <w:rsid w:val="00CD6D24"/>
    <w:rsid w:val="00CD6D9A"/>
    <w:rsid w:val="00CD6FD2"/>
    <w:rsid w:val="00CD73B5"/>
    <w:rsid w:val="00CD7D7A"/>
    <w:rsid w:val="00CE0291"/>
    <w:rsid w:val="00CE0B88"/>
    <w:rsid w:val="00CE0BE2"/>
    <w:rsid w:val="00CE12E8"/>
    <w:rsid w:val="00CE151A"/>
    <w:rsid w:val="00CE1533"/>
    <w:rsid w:val="00CE1ECF"/>
    <w:rsid w:val="00CE1F19"/>
    <w:rsid w:val="00CE23A4"/>
    <w:rsid w:val="00CE25D0"/>
    <w:rsid w:val="00CE2A0F"/>
    <w:rsid w:val="00CE31C0"/>
    <w:rsid w:val="00CE3286"/>
    <w:rsid w:val="00CE3421"/>
    <w:rsid w:val="00CE3659"/>
    <w:rsid w:val="00CE3826"/>
    <w:rsid w:val="00CE3942"/>
    <w:rsid w:val="00CE3A28"/>
    <w:rsid w:val="00CE3B93"/>
    <w:rsid w:val="00CE452F"/>
    <w:rsid w:val="00CE49AB"/>
    <w:rsid w:val="00CE4BB8"/>
    <w:rsid w:val="00CE4D9A"/>
    <w:rsid w:val="00CE5171"/>
    <w:rsid w:val="00CE543D"/>
    <w:rsid w:val="00CE54FD"/>
    <w:rsid w:val="00CE5579"/>
    <w:rsid w:val="00CE6269"/>
    <w:rsid w:val="00CE62CB"/>
    <w:rsid w:val="00CE640A"/>
    <w:rsid w:val="00CE68E6"/>
    <w:rsid w:val="00CE7277"/>
    <w:rsid w:val="00CE7313"/>
    <w:rsid w:val="00CE7ECA"/>
    <w:rsid w:val="00CF0032"/>
    <w:rsid w:val="00CF0096"/>
    <w:rsid w:val="00CF00F1"/>
    <w:rsid w:val="00CF0141"/>
    <w:rsid w:val="00CF0416"/>
    <w:rsid w:val="00CF0462"/>
    <w:rsid w:val="00CF0C13"/>
    <w:rsid w:val="00CF0EF7"/>
    <w:rsid w:val="00CF14F3"/>
    <w:rsid w:val="00CF1EAC"/>
    <w:rsid w:val="00CF2511"/>
    <w:rsid w:val="00CF2692"/>
    <w:rsid w:val="00CF2A91"/>
    <w:rsid w:val="00CF2EFC"/>
    <w:rsid w:val="00CF31A5"/>
    <w:rsid w:val="00CF340C"/>
    <w:rsid w:val="00CF3CB2"/>
    <w:rsid w:val="00CF425A"/>
    <w:rsid w:val="00CF43F4"/>
    <w:rsid w:val="00CF4BD0"/>
    <w:rsid w:val="00CF4FB5"/>
    <w:rsid w:val="00CF53A6"/>
    <w:rsid w:val="00CF54BA"/>
    <w:rsid w:val="00CF6749"/>
    <w:rsid w:val="00CF6BA1"/>
    <w:rsid w:val="00CF6F15"/>
    <w:rsid w:val="00CF7066"/>
    <w:rsid w:val="00CF7505"/>
    <w:rsid w:val="00CF7A72"/>
    <w:rsid w:val="00CF7D8A"/>
    <w:rsid w:val="00CF7D94"/>
    <w:rsid w:val="00CF7EA2"/>
    <w:rsid w:val="00CF7F74"/>
    <w:rsid w:val="00CF7F79"/>
    <w:rsid w:val="00D004ED"/>
    <w:rsid w:val="00D0065C"/>
    <w:rsid w:val="00D00709"/>
    <w:rsid w:val="00D00C88"/>
    <w:rsid w:val="00D01159"/>
    <w:rsid w:val="00D01471"/>
    <w:rsid w:val="00D01E66"/>
    <w:rsid w:val="00D021F0"/>
    <w:rsid w:val="00D02686"/>
    <w:rsid w:val="00D027D9"/>
    <w:rsid w:val="00D02AE4"/>
    <w:rsid w:val="00D02B6F"/>
    <w:rsid w:val="00D02EA1"/>
    <w:rsid w:val="00D02F97"/>
    <w:rsid w:val="00D033C2"/>
    <w:rsid w:val="00D034FE"/>
    <w:rsid w:val="00D037F1"/>
    <w:rsid w:val="00D0426B"/>
    <w:rsid w:val="00D04595"/>
    <w:rsid w:val="00D0498A"/>
    <w:rsid w:val="00D04D93"/>
    <w:rsid w:val="00D050D1"/>
    <w:rsid w:val="00D05257"/>
    <w:rsid w:val="00D0561D"/>
    <w:rsid w:val="00D05A1E"/>
    <w:rsid w:val="00D05AC6"/>
    <w:rsid w:val="00D06300"/>
    <w:rsid w:val="00D06351"/>
    <w:rsid w:val="00D0695D"/>
    <w:rsid w:val="00D06C0D"/>
    <w:rsid w:val="00D0755B"/>
    <w:rsid w:val="00D07573"/>
    <w:rsid w:val="00D076C2"/>
    <w:rsid w:val="00D07996"/>
    <w:rsid w:val="00D07DB6"/>
    <w:rsid w:val="00D10113"/>
    <w:rsid w:val="00D101AA"/>
    <w:rsid w:val="00D1054C"/>
    <w:rsid w:val="00D10D8A"/>
    <w:rsid w:val="00D11253"/>
    <w:rsid w:val="00D11558"/>
    <w:rsid w:val="00D1159D"/>
    <w:rsid w:val="00D1201D"/>
    <w:rsid w:val="00D120CC"/>
    <w:rsid w:val="00D1215F"/>
    <w:rsid w:val="00D122ED"/>
    <w:rsid w:val="00D12852"/>
    <w:rsid w:val="00D1286E"/>
    <w:rsid w:val="00D12A92"/>
    <w:rsid w:val="00D12AA5"/>
    <w:rsid w:val="00D136B6"/>
    <w:rsid w:val="00D13A48"/>
    <w:rsid w:val="00D13C14"/>
    <w:rsid w:val="00D1406E"/>
    <w:rsid w:val="00D14120"/>
    <w:rsid w:val="00D14193"/>
    <w:rsid w:val="00D14759"/>
    <w:rsid w:val="00D14762"/>
    <w:rsid w:val="00D1550E"/>
    <w:rsid w:val="00D1563C"/>
    <w:rsid w:val="00D15817"/>
    <w:rsid w:val="00D158D0"/>
    <w:rsid w:val="00D15B33"/>
    <w:rsid w:val="00D15C89"/>
    <w:rsid w:val="00D161A3"/>
    <w:rsid w:val="00D1678C"/>
    <w:rsid w:val="00D16B8F"/>
    <w:rsid w:val="00D16BA9"/>
    <w:rsid w:val="00D16CCF"/>
    <w:rsid w:val="00D17429"/>
    <w:rsid w:val="00D1788C"/>
    <w:rsid w:val="00D1796B"/>
    <w:rsid w:val="00D17BE2"/>
    <w:rsid w:val="00D20001"/>
    <w:rsid w:val="00D2015E"/>
    <w:rsid w:val="00D202BD"/>
    <w:rsid w:val="00D20342"/>
    <w:rsid w:val="00D205E7"/>
    <w:rsid w:val="00D20A32"/>
    <w:rsid w:val="00D20D22"/>
    <w:rsid w:val="00D212B6"/>
    <w:rsid w:val="00D2162F"/>
    <w:rsid w:val="00D219A9"/>
    <w:rsid w:val="00D21B25"/>
    <w:rsid w:val="00D21D3B"/>
    <w:rsid w:val="00D21E4F"/>
    <w:rsid w:val="00D21F8E"/>
    <w:rsid w:val="00D221F0"/>
    <w:rsid w:val="00D224FF"/>
    <w:rsid w:val="00D22767"/>
    <w:rsid w:val="00D22857"/>
    <w:rsid w:val="00D22CFF"/>
    <w:rsid w:val="00D23CA0"/>
    <w:rsid w:val="00D23CB4"/>
    <w:rsid w:val="00D24372"/>
    <w:rsid w:val="00D244F0"/>
    <w:rsid w:val="00D24754"/>
    <w:rsid w:val="00D24911"/>
    <w:rsid w:val="00D24BED"/>
    <w:rsid w:val="00D252C3"/>
    <w:rsid w:val="00D253EC"/>
    <w:rsid w:val="00D2581F"/>
    <w:rsid w:val="00D25BAA"/>
    <w:rsid w:val="00D25C22"/>
    <w:rsid w:val="00D26897"/>
    <w:rsid w:val="00D26C86"/>
    <w:rsid w:val="00D2725E"/>
    <w:rsid w:val="00D27608"/>
    <w:rsid w:val="00D27C04"/>
    <w:rsid w:val="00D27CDB"/>
    <w:rsid w:val="00D27D7E"/>
    <w:rsid w:val="00D30678"/>
    <w:rsid w:val="00D306AC"/>
    <w:rsid w:val="00D30B00"/>
    <w:rsid w:val="00D30F52"/>
    <w:rsid w:val="00D315A6"/>
    <w:rsid w:val="00D315F4"/>
    <w:rsid w:val="00D316A3"/>
    <w:rsid w:val="00D31705"/>
    <w:rsid w:val="00D31AA0"/>
    <w:rsid w:val="00D327CD"/>
    <w:rsid w:val="00D3288B"/>
    <w:rsid w:val="00D33490"/>
    <w:rsid w:val="00D33916"/>
    <w:rsid w:val="00D33DFA"/>
    <w:rsid w:val="00D33EC3"/>
    <w:rsid w:val="00D3403F"/>
    <w:rsid w:val="00D34216"/>
    <w:rsid w:val="00D34920"/>
    <w:rsid w:val="00D34D14"/>
    <w:rsid w:val="00D356DE"/>
    <w:rsid w:val="00D357AB"/>
    <w:rsid w:val="00D35CF0"/>
    <w:rsid w:val="00D3628C"/>
    <w:rsid w:val="00D36364"/>
    <w:rsid w:val="00D36410"/>
    <w:rsid w:val="00D36518"/>
    <w:rsid w:val="00D3683E"/>
    <w:rsid w:val="00D369CB"/>
    <w:rsid w:val="00D370B6"/>
    <w:rsid w:val="00D37316"/>
    <w:rsid w:val="00D374CA"/>
    <w:rsid w:val="00D3774F"/>
    <w:rsid w:val="00D401BE"/>
    <w:rsid w:val="00D4031B"/>
    <w:rsid w:val="00D403E4"/>
    <w:rsid w:val="00D4051D"/>
    <w:rsid w:val="00D407F3"/>
    <w:rsid w:val="00D408A3"/>
    <w:rsid w:val="00D40909"/>
    <w:rsid w:val="00D4095B"/>
    <w:rsid w:val="00D40C5C"/>
    <w:rsid w:val="00D40FB7"/>
    <w:rsid w:val="00D41086"/>
    <w:rsid w:val="00D415B8"/>
    <w:rsid w:val="00D41636"/>
    <w:rsid w:val="00D4172C"/>
    <w:rsid w:val="00D41821"/>
    <w:rsid w:val="00D4186B"/>
    <w:rsid w:val="00D41BE7"/>
    <w:rsid w:val="00D420F1"/>
    <w:rsid w:val="00D429D7"/>
    <w:rsid w:val="00D42F55"/>
    <w:rsid w:val="00D42FCA"/>
    <w:rsid w:val="00D435E4"/>
    <w:rsid w:val="00D4372B"/>
    <w:rsid w:val="00D43B4D"/>
    <w:rsid w:val="00D43D58"/>
    <w:rsid w:val="00D43D92"/>
    <w:rsid w:val="00D43DD0"/>
    <w:rsid w:val="00D441BC"/>
    <w:rsid w:val="00D441D8"/>
    <w:rsid w:val="00D44582"/>
    <w:rsid w:val="00D44AA7"/>
    <w:rsid w:val="00D44B91"/>
    <w:rsid w:val="00D46080"/>
    <w:rsid w:val="00D46141"/>
    <w:rsid w:val="00D4622E"/>
    <w:rsid w:val="00D462D8"/>
    <w:rsid w:val="00D466B5"/>
    <w:rsid w:val="00D467C2"/>
    <w:rsid w:val="00D46AB0"/>
    <w:rsid w:val="00D46EC1"/>
    <w:rsid w:val="00D4731E"/>
    <w:rsid w:val="00D47441"/>
    <w:rsid w:val="00D47523"/>
    <w:rsid w:val="00D501AE"/>
    <w:rsid w:val="00D50316"/>
    <w:rsid w:val="00D50918"/>
    <w:rsid w:val="00D50AEC"/>
    <w:rsid w:val="00D50BAB"/>
    <w:rsid w:val="00D5207E"/>
    <w:rsid w:val="00D5224A"/>
    <w:rsid w:val="00D524B0"/>
    <w:rsid w:val="00D52BC8"/>
    <w:rsid w:val="00D52C66"/>
    <w:rsid w:val="00D52CC7"/>
    <w:rsid w:val="00D52D40"/>
    <w:rsid w:val="00D52F6A"/>
    <w:rsid w:val="00D5385E"/>
    <w:rsid w:val="00D53BE7"/>
    <w:rsid w:val="00D53C2A"/>
    <w:rsid w:val="00D53CC7"/>
    <w:rsid w:val="00D53F72"/>
    <w:rsid w:val="00D54000"/>
    <w:rsid w:val="00D541B1"/>
    <w:rsid w:val="00D54928"/>
    <w:rsid w:val="00D54DCA"/>
    <w:rsid w:val="00D556FE"/>
    <w:rsid w:val="00D5576D"/>
    <w:rsid w:val="00D56385"/>
    <w:rsid w:val="00D5639A"/>
    <w:rsid w:val="00D563E5"/>
    <w:rsid w:val="00D56E50"/>
    <w:rsid w:val="00D571DB"/>
    <w:rsid w:val="00D57395"/>
    <w:rsid w:val="00D57496"/>
    <w:rsid w:val="00D576C3"/>
    <w:rsid w:val="00D57FBF"/>
    <w:rsid w:val="00D6039F"/>
    <w:rsid w:val="00D60643"/>
    <w:rsid w:val="00D60EA2"/>
    <w:rsid w:val="00D61240"/>
    <w:rsid w:val="00D617A6"/>
    <w:rsid w:val="00D61AEA"/>
    <w:rsid w:val="00D61B2E"/>
    <w:rsid w:val="00D61D52"/>
    <w:rsid w:val="00D61E4C"/>
    <w:rsid w:val="00D625E7"/>
    <w:rsid w:val="00D625FA"/>
    <w:rsid w:val="00D62762"/>
    <w:rsid w:val="00D631A3"/>
    <w:rsid w:val="00D63323"/>
    <w:rsid w:val="00D63649"/>
    <w:rsid w:val="00D63848"/>
    <w:rsid w:val="00D63921"/>
    <w:rsid w:val="00D63A8D"/>
    <w:rsid w:val="00D63AC0"/>
    <w:rsid w:val="00D63CC7"/>
    <w:rsid w:val="00D64451"/>
    <w:rsid w:val="00D644A3"/>
    <w:rsid w:val="00D6461B"/>
    <w:rsid w:val="00D657D6"/>
    <w:rsid w:val="00D65B07"/>
    <w:rsid w:val="00D65BA8"/>
    <w:rsid w:val="00D65C1A"/>
    <w:rsid w:val="00D65C61"/>
    <w:rsid w:val="00D65EF7"/>
    <w:rsid w:val="00D66088"/>
    <w:rsid w:val="00D668A2"/>
    <w:rsid w:val="00D6724F"/>
    <w:rsid w:val="00D6740D"/>
    <w:rsid w:val="00D676F4"/>
    <w:rsid w:val="00D67713"/>
    <w:rsid w:val="00D679CC"/>
    <w:rsid w:val="00D703C1"/>
    <w:rsid w:val="00D7072A"/>
    <w:rsid w:val="00D70FAD"/>
    <w:rsid w:val="00D716C6"/>
    <w:rsid w:val="00D716E2"/>
    <w:rsid w:val="00D71AC1"/>
    <w:rsid w:val="00D7266D"/>
    <w:rsid w:val="00D72CFB"/>
    <w:rsid w:val="00D72E8F"/>
    <w:rsid w:val="00D72EFA"/>
    <w:rsid w:val="00D73282"/>
    <w:rsid w:val="00D7335C"/>
    <w:rsid w:val="00D73B61"/>
    <w:rsid w:val="00D73C43"/>
    <w:rsid w:val="00D73F89"/>
    <w:rsid w:val="00D740D8"/>
    <w:rsid w:val="00D742DB"/>
    <w:rsid w:val="00D748B7"/>
    <w:rsid w:val="00D748D3"/>
    <w:rsid w:val="00D74CCE"/>
    <w:rsid w:val="00D7583F"/>
    <w:rsid w:val="00D75C3F"/>
    <w:rsid w:val="00D760C6"/>
    <w:rsid w:val="00D76C47"/>
    <w:rsid w:val="00D76DCD"/>
    <w:rsid w:val="00D77325"/>
    <w:rsid w:val="00D77968"/>
    <w:rsid w:val="00D77AC6"/>
    <w:rsid w:val="00D8046C"/>
    <w:rsid w:val="00D809FF"/>
    <w:rsid w:val="00D80A25"/>
    <w:rsid w:val="00D80AFD"/>
    <w:rsid w:val="00D814A2"/>
    <w:rsid w:val="00D818DA"/>
    <w:rsid w:val="00D81EF8"/>
    <w:rsid w:val="00D821A2"/>
    <w:rsid w:val="00D8261B"/>
    <w:rsid w:val="00D8272B"/>
    <w:rsid w:val="00D829B3"/>
    <w:rsid w:val="00D82B26"/>
    <w:rsid w:val="00D82DC4"/>
    <w:rsid w:val="00D833DD"/>
    <w:rsid w:val="00D837EE"/>
    <w:rsid w:val="00D83B96"/>
    <w:rsid w:val="00D83CDD"/>
    <w:rsid w:val="00D846C6"/>
    <w:rsid w:val="00D848A7"/>
    <w:rsid w:val="00D85511"/>
    <w:rsid w:val="00D856A2"/>
    <w:rsid w:val="00D858AA"/>
    <w:rsid w:val="00D85B91"/>
    <w:rsid w:val="00D86726"/>
    <w:rsid w:val="00D875B3"/>
    <w:rsid w:val="00D87706"/>
    <w:rsid w:val="00D87738"/>
    <w:rsid w:val="00D879E4"/>
    <w:rsid w:val="00D901A3"/>
    <w:rsid w:val="00D90508"/>
    <w:rsid w:val="00D9063F"/>
    <w:rsid w:val="00D90A5B"/>
    <w:rsid w:val="00D915A4"/>
    <w:rsid w:val="00D915E0"/>
    <w:rsid w:val="00D91C0C"/>
    <w:rsid w:val="00D91F32"/>
    <w:rsid w:val="00D92026"/>
    <w:rsid w:val="00D925E4"/>
    <w:rsid w:val="00D92701"/>
    <w:rsid w:val="00D92FE1"/>
    <w:rsid w:val="00D93043"/>
    <w:rsid w:val="00D9316E"/>
    <w:rsid w:val="00D932BC"/>
    <w:rsid w:val="00D93BF5"/>
    <w:rsid w:val="00D93DF8"/>
    <w:rsid w:val="00D9450C"/>
    <w:rsid w:val="00D94B4D"/>
    <w:rsid w:val="00D94C7A"/>
    <w:rsid w:val="00D95139"/>
    <w:rsid w:val="00D952F9"/>
    <w:rsid w:val="00D9544C"/>
    <w:rsid w:val="00D9556A"/>
    <w:rsid w:val="00D95A34"/>
    <w:rsid w:val="00D95D92"/>
    <w:rsid w:val="00D95D96"/>
    <w:rsid w:val="00D95DF3"/>
    <w:rsid w:val="00D9684C"/>
    <w:rsid w:val="00D96854"/>
    <w:rsid w:val="00D96951"/>
    <w:rsid w:val="00D974A5"/>
    <w:rsid w:val="00D974B2"/>
    <w:rsid w:val="00D974DC"/>
    <w:rsid w:val="00D97578"/>
    <w:rsid w:val="00D9780A"/>
    <w:rsid w:val="00D97DB7"/>
    <w:rsid w:val="00D97EC8"/>
    <w:rsid w:val="00D97FB7"/>
    <w:rsid w:val="00DA0113"/>
    <w:rsid w:val="00DA063D"/>
    <w:rsid w:val="00DA09D5"/>
    <w:rsid w:val="00DA0DD3"/>
    <w:rsid w:val="00DA1180"/>
    <w:rsid w:val="00DA1214"/>
    <w:rsid w:val="00DA1307"/>
    <w:rsid w:val="00DA1595"/>
    <w:rsid w:val="00DA1AD9"/>
    <w:rsid w:val="00DA1B28"/>
    <w:rsid w:val="00DA1B5C"/>
    <w:rsid w:val="00DA1E9E"/>
    <w:rsid w:val="00DA2079"/>
    <w:rsid w:val="00DA2480"/>
    <w:rsid w:val="00DA24C0"/>
    <w:rsid w:val="00DA25F0"/>
    <w:rsid w:val="00DA2C05"/>
    <w:rsid w:val="00DA2CC4"/>
    <w:rsid w:val="00DA2E4A"/>
    <w:rsid w:val="00DA3155"/>
    <w:rsid w:val="00DA32E5"/>
    <w:rsid w:val="00DA333F"/>
    <w:rsid w:val="00DA3D47"/>
    <w:rsid w:val="00DA46D3"/>
    <w:rsid w:val="00DA47FE"/>
    <w:rsid w:val="00DA4BDA"/>
    <w:rsid w:val="00DA4CAC"/>
    <w:rsid w:val="00DA4EE4"/>
    <w:rsid w:val="00DA509D"/>
    <w:rsid w:val="00DA5262"/>
    <w:rsid w:val="00DA530D"/>
    <w:rsid w:val="00DA5472"/>
    <w:rsid w:val="00DA5588"/>
    <w:rsid w:val="00DA5948"/>
    <w:rsid w:val="00DA5BDE"/>
    <w:rsid w:val="00DA602B"/>
    <w:rsid w:val="00DA6275"/>
    <w:rsid w:val="00DA68D2"/>
    <w:rsid w:val="00DA6A5A"/>
    <w:rsid w:val="00DA789C"/>
    <w:rsid w:val="00DA7FB0"/>
    <w:rsid w:val="00DB012A"/>
    <w:rsid w:val="00DB02E6"/>
    <w:rsid w:val="00DB0675"/>
    <w:rsid w:val="00DB078E"/>
    <w:rsid w:val="00DB0E43"/>
    <w:rsid w:val="00DB13D7"/>
    <w:rsid w:val="00DB1491"/>
    <w:rsid w:val="00DB14FC"/>
    <w:rsid w:val="00DB18C8"/>
    <w:rsid w:val="00DB25EB"/>
    <w:rsid w:val="00DB30B8"/>
    <w:rsid w:val="00DB3102"/>
    <w:rsid w:val="00DB33A4"/>
    <w:rsid w:val="00DB33F0"/>
    <w:rsid w:val="00DB3538"/>
    <w:rsid w:val="00DB3585"/>
    <w:rsid w:val="00DB35B5"/>
    <w:rsid w:val="00DB3A58"/>
    <w:rsid w:val="00DB3A7F"/>
    <w:rsid w:val="00DB3E2D"/>
    <w:rsid w:val="00DB49E4"/>
    <w:rsid w:val="00DB4B0D"/>
    <w:rsid w:val="00DB4CE6"/>
    <w:rsid w:val="00DB4DA1"/>
    <w:rsid w:val="00DB5105"/>
    <w:rsid w:val="00DB57B7"/>
    <w:rsid w:val="00DB648A"/>
    <w:rsid w:val="00DB6ABE"/>
    <w:rsid w:val="00DB6E8F"/>
    <w:rsid w:val="00DB6F52"/>
    <w:rsid w:val="00DB793B"/>
    <w:rsid w:val="00DB7F75"/>
    <w:rsid w:val="00DC07BF"/>
    <w:rsid w:val="00DC0958"/>
    <w:rsid w:val="00DC0AD3"/>
    <w:rsid w:val="00DC0B0D"/>
    <w:rsid w:val="00DC1083"/>
    <w:rsid w:val="00DC1118"/>
    <w:rsid w:val="00DC1272"/>
    <w:rsid w:val="00DC13A3"/>
    <w:rsid w:val="00DC1409"/>
    <w:rsid w:val="00DC18DB"/>
    <w:rsid w:val="00DC1B1B"/>
    <w:rsid w:val="00DC1CC6"/>
    <w:rsid w:val="00DC249D"/>
    <w:rsid w:val="00DC24E5"/>
    <w:rsid w:val="00DC24FD"/>
    <w:rsid w:val="00DC25BD"/>
    <w:rsid w:val="00DC2648"/>
    <w:rsid w:val="00DC28AF"/>
    <w:rsid w:val="00DC2961"/>
    <w:rsid w:val="00DC2AD5"/>
    <w:rsid w:val="00DC311A"/>
    <w:rsid w:val="00DC330F"/>
    <w:rsid w:val="00DC3485"/>
    <w:rsid w:val="00DC3716"/>
    <w:rsid w:val="00DC3820"/>
    <w:rsid w:val="00DC3BCF"/>
    <w:rsid w:val="00DC3E3A"/>
    <w:rsid w:val="00DC5198"/>
    <w:rsid w:val="00DC570D"/>
    <w:rsid w:val="00DC5A5B"/>
    <w:rsid w:val="00DC5AB1"/>
    <w:rsid w:val="00DC5F39"/>
    <w:rsid w:val="00DC6086"/>
    <w:rsid w:val="00DC6239"/>
    <w:rsid w:val="00DC62C7"/>
    <w:rsid w:val="00DC68EB"/>
    <w:rsid w:val="00DC7428"/>
    <w:rsid w:val="00DC751D"/>
    <w:rsid w:val="00DC783E"/>
    <w:rsid w:val="00DC7960"/>
    <w:rsid w:val="00DC7D32"/>
    <w:rsid w:val="00DC7F94"/>
    <w:rsid w:val="00DD087F"/>
    <w:rsid w:val="00DD0914"/>
    <w:rsid w:val="00DD0B9F"/>
    <w:rsid w:val="00DD0D93"/>
    <w:rsid w:val="00DD15AE"/>
    <w:rsid w:val="00DD1D6C"/>
    <w:rsid w:val="00DD2245"/>
    <w:rsid w:val="00DD22C4"/>
    <w:rsid w:val="00DD2663"/>
    <w:rsid w:val="00DD26C8"/>
    <w:rsid w:val="00DD2918"/>
    <w:rsid w:val="00DD2985"/>
    <w:rsid w:val="00DD2E70"/>
    <w:rsid w:val="00DD3139"/>
    <w:rsid w:val="00DD31C8"/>
    <w:rsid w:val="00DD3681"/>
    <w:rsid w:val="00DD383A"/>
    <w:rsid w:val="00DD3CF3"/>
    <w:rsid w:val="00DD410E"/>
    <w:rsid w:val="00DD43A5"/>
    <w:rsid w:val="00DD453E"/>
    <w:rsid w:val="00DD45E4"/>
    <w:rsid w:val="00DD4828"/>
    <w:rsid w:val="00DD4FBE"/>
    <w:rsid w:val="00DD5190"/>
    <w:rsid w:val="00DD555F"/>
    <w:rsid w:val="00DD5658"/>
    <w:rsid w:val="00DD56B5"/>
    <w:rsid w:val="00DD5A67"/>
    <w:rsid w:val="00DD5E5E"/>
    <w:rsid w:val="00DD5ED0"/>
    <w:rsid w:val="00DD5EDD"/>
    <w:rsid w:val="00DD6254"/>
    <w:rsid w:val="00DD6664"/>
    <w:rsid w:val="00DD6782"/>
    <w:rsid w:val="00DD67C4"/>
    <w:rsid w:val="00DD7573"/>
    <w:rsid w:val="00DD7EF8"/>
    <w:rsid w:val="00DE00B2"/>
    <w:rsid w:val="00DE01BE"/>
    <w:rsid w:val="00DE026E"/>
    <w:rsid w:val="00DE0475"/>
    <w:rsid w:val="00DE0554"/>
    <w:rsid w:val="00DE05AF"/>
    <w:rsid w:val="00DE0731"/>
    <w:rsid w:val="00DE0870"/>
    <w:rsid w:val="00DE09E2"/>
    <w:rsid w:val="00DE0E26"/>
    <w:rsid w:val="00DE0E65"/>
    <w:rsid w:val="00DE1B72"/>
    <w:rsid w:val="00DE1E75"/>
    <w:rsid w:val="00DE2C5A"/>
    <w:rsid w:val="00DE3147"/>
    <w:rsid w:val="00DE34CA"/>
    <w:rsid w:val="00DE4A5C"/>
    <w:rsid w:val="00DE4D7F"/>
    <w:rsid w:val="00DE520E"/>
    <w:rsid w:val="00DE5581"/>
    <w:rsid w:val="00DE5872"/>
    <w:rsid w:val="00DE5A66"/>
    <w:rsid w:val="00DE5E97"/>
    <w:rsid w:val="00DE6105"/>
    <w:rsid w:val="00DE625D"/>
    <w:rsid w:val="00DE64A0"/>
    <w:rsid w:val="00DE6D39"/>
    <w:rsid w:val="00DE6E8F"/>
    <w:rsid w:val="00DE777E"/>
    <w:rsid w:val="00DE77E9"/>
    <w:rsid w:val="00DE7801"/>
    <w:rsid w:val="00DE7A38"/>
    <w:rsid w:val="00DE7BA6"/>
    <w:rsid w:val="00DE7F5E"/>
    <w:rsid w:val="00DE7F99"/>
    <w:rsid w:val="00DF112A"/>
    <w:rsid w:val="00DF1167"/>
    <w:rsid w:val="00DF1B65"/>
    <w:rsid w:val="00DF1DF0"/>
    <w:rsid w:val="00DF1EC4"/>
    <w:rsid w:val="00DF248A"/>
    <w:rsid w:val="00DF2A17"/>
    <w:rsid w:val="00DF2A37"/>
    <w:rsid w:val="00DF2C91"/>
    <w:rsid w:val="00DF2F56"/>
    <w:rsid w:val="00DF3230"/>
    <w:rsid w:val="00DF3309"/>
    <w:rsid w:val="00DF37C8"/>
    <w:rsid w:val="00DF3871"/>
    <w:rsid w:val="00DF39D1"/>
    <w:rsid w:val="00DF3C7A"/>
    <w:rsid w:val="00DF412D"/>
    <w:rsid w:val="00DF4693"/>
    <w:rsid w:val="00DF4BE0"/>
    <w:rsid w:val="00DF4CAE"/>
    <w:rsid w:val="00DF5186"/>
    <w:rsid w:val="00DF597B"/>
    <w:rsid w:val="00DF5AB2"/>
    <w:rsid w:val="00DF5BDA"/>
    <w:rsid w:val="00DF61C2"/>
    <w:rsid w:val="00DF6411"/>
    <w:rsid w:val="00DF65EC"/>
    <w:rsid w:val="00DF69EE"/>
    <w:rsid w:val="00DF6B7D"/>
    <w:rsid w:val="00DF6C83"/>
    <w:rsid w:val="00DF6FF4"/>
    <w:rsid w:val="00DF7223"/>
    <w:rsid w:val="00DF73F3"/>
    <w:rsid w:val="00DF76BA"/>
    <w:rsid w:val="00DF76E5"/>
    <w:rsid w:val="00DF79A7"/>
    <w:rsid w:val="00DF7B61"/>
    <w:rsid w:val="00DF7E4E"/>
    <w:rsid w:val="00E001C7"/>
    <w:rsid w:val="00E00416"/>
    <w:rsid w:val="00E007D4"/>
    <w:rsid w:val="00E00884"/>
    <w:rsid w:val="00E00ADB"/>
    <w:rsid w:val="00E011F3"/>
    <w:rsid w:val="00E0120F"/>
    <w:rsid w:val="00E01601"/>
    <w:rsid w:val="00E016DC"/>
    <w:rsid w:val="00E01A54"/>
    <w:rsid w:val="00E01C84"/>
    <w:rsid w:val="00E01C9B"/>
    <w:rsid w:val="00E01EB9"/>
    <w:rsid w:val="00E01F03"/>
    <w:rsid w:val="00E022ED"/>
    <w:rsid w:val="00E024DB"/>
    <w:rsid w:val="00E026D1"/>
    <w:rsid w:val="00E02EC9"/>
    <w:rsid w:val="00E02EE3"/>
    <w:rsid w:val="00E03430"/>
    <w:rsid w:val="00E03497"/>
    <w:rsid w:val="00E03B68"/>
    <w:rsid w:val="00E03B77"/>
    <w:rsid w:val="00E048E7"/>
    <w:rsid w:val="00E04C55"/>
    <w:rsid w:val="00E050AB"/>
    <w:rsid w:val="00E055A1"/>
    <w:rsid w:val="00E05934"/>
    <w:rsid w:val="00E05DAC"/>
    <w:rsid w:val="00E05E0F"/>
    <w:rsid w:val="00E05E4E"/>
    <w:rsid w:val="00E06B09"/>
    <w:rsid w:val="00E06C0A"/>
    <w:rsid w:val="00E0727C"/>
    <w:rsid w:val="00E07393"/>
    <w:rsid w:val="00E073B1"/>
    <w:rsid w:val="00E07421"/>
    <w:rsid w:val="00E0774C"/>
    <w:rsid w:val="00E07AB7"/>
    <w:rsid w:val="00E07DB6"/>
    <w:rsid w:val="00E10303"/>
    <w:rsid w:val="00E10508"/>
    <w:rsid w:val="00E10B32"/>
    <w:rsid w:val="00E11103"/>
    <w:rsid w:val="00E112D6"/>
    <w:rsid w:val="00E112E4"/>
    <w:rsid w:val="00E11371"/>
    <w:rsid w:val="00E116DF"/>
    <w:rsid w:val="00E11A05"/>
    <w:rsid w:val="00E11F47"/>
    <w:rsid w:val="00E128AB"/>
    <w:rsid w:val="00E128D2"/>
    <w:rsid w:val="00E12B81"/>
    <w:rsid w:val="00E12DDF"/>
    <w:rsid w:val="00E12E2F"/>
    <w:rsid w:val="00E13163"/>
    <w:rsid w:val="00E13199"/>
    <w:rsid w:val="00E13BE2"/>
    <w:rsid w:val="00E13E4E"/>
    <w:rsid w:val="00E13F7B"/>
    <w:rsid w:val="00E143D4"/>
    <w:rsid w:val="00E1463E"/>
    <w:rsid w:val="00E14991"/>
    <w:rsid w:val="00E14D62"/>
    <w:rsid w:val="00E14F73"/>
    <w:rsid w:val="00E1577A"/>
    <w:rsid w:val="00E15BDA"/>
    <w:rsid w:val="00E15CC4"/>
    <w:rsid w:val="00E15F21"/>
    <w:rsid w:val="00E168B3"/>
    <w:rsid w:val="00E16C74"/>
    <w:rsid w:val="00E17180"/>
    <w:rsid w:val="00E17666"/>
    <w:rsid w:val="00E17A15"/>
    <w:rsid w:val="00E17AF9"/>
    <w:rsid w:val="00E17C40"/>
    <w:rsid w:val="00E2056A"/>
    <w:rsid w:val="00E20986"/>
    <w:rsid w:val="00E20C6A"/>
    <w:rsid w:val="00E20E4C"/>
    <w:rsid w:val="00E21489"/>
    <w:rsid w:val="00E214F0"/>
    <w:rsid w:val="00E2167E"/>
    <w:rsid w:val="00E21890"/>
    <w:rsid w:val="00E2196D"/>
    <w:rsid w:val="00E21E89"/>
    <w:rsid w:val="00E21F02"/>
    <w:rsid w:val="00E22419"/>
    <w:rsid w:val="00E22980"/>
    <w:rsid w:val="00E22A2E"/>
    <w:rsid w:val="00E22A63"/>
    <w:rsid w:val="00E22ADF"/>
    <w:rsid w:val="00E22B0B"/>
    <w:rsid w:val="00E22C8F"/>
    <w:rsid w:val="00E23072"/>
    <w:rsid w:val="00E231DF"/>
    <w:rsid w:val="00E2398F"/>
    <w:rsid w:val="00E23ACD"/>
    <w:rsid w:val="00E23BBB"/>
    <w:rsid w:val="00E23E6E"/>
    <w:rsid w:val="00E24209"/>
    <w:rsid w:val="00E248E6"/>
    <w:rsid w:val="00E24D18"/>
    <w:rsid w:val="00E25040"/>
    <w:rsid w:val="00E251B1"/>
    <w:rsid w:val="00E2534D"/>
    <w:rsid w:val="00E2542A"/>
    <w:rsid w:val="00E2549B"/>
    <w:rsid w:val="00E262EE"/>
    <w:rsid w:val="00E2632D"/>
    <w:rsid w:val="00E26C3D"/>
    <w:rsid w:val="00E26E59"/>
    <w:rsid w:val="00E26F07"/>
    <w:rsid w:val="00E27241"/>
    <w:rsid w:val="00E27426"/>
    <w:rsid w:val="00E2751D"/>
    <w:rsid w:val="00E2764C"/>
    <w:rsid w:val="00E2781C"/>
    <w:rsid w:val="00E27B7D"/>
    <w:rsid w:val="00E27C1A"/>
    <w:rsid w:val="00E27FE8"/>
    <w:rsid w:val="00E304F4"/>
    <w:rsid w:val="00E30B0D"/>
    <w:rsid w:val="00E30D27"/>
    <w:rsid w:val="00E3141B"/>
    <w:rsid w:val="00E31A80"/>
    <w:rsid w:val="00E31AF5"/>
    <w:rsid w:val="00E31B53"/>
    <w:rsid w:val="00E31D6D"/>
    <w:rsid w:val="00E31DA0"/>
    <w:rsid w:val="00E32206"/>
    <w:rsid w:val="00E32394"/>
    <w:rsid w:val="00E32972"/>
    <w:rsid w:val="00E329B0"/>
    <w:rsid w:val="00E32C95"/>
    <w:rsid w:val="00E33795"/>
    <w:rsid w:val="00E33E26"/>
    <w:rsid w:val="00E34220"/>
    <w:rsid w:val="00E345C9"/>
    <w:rsid w:val="00E3495F"/>
    <w:rsid w:val="00E34FE8"/>
    <w:rsid w:val="00E35286"/>
    <w:rsid w:val="00E354E0"/>
    <w:rsid w:val="00E35EAD"/>
    <w:rsid w:val="00E35F62"/>
    <w:rsid w:val="00E35FC5"/>
    <w:rsid w:val="00E36269"/>
    <w:rsid w:val="00E3642D"/>
    <w:rsid w:val="00E3650E"/>
    <w:rsid w:val="00E367D6"/>
    <w:rsid w:val="00E368A0"/>
    <w:rsid w:val="00E36AA6"/>
    <w:rsid w:val="00E371DC"/>
    <w:rsid w:val="00E37370"/>
    <w:rsid w:val="00E373B3"/>
    <w:rsid w:val="00E37415"/>
    <w:rsid w:val="00E37632"/>
    <w:rsid w:val="00E40118"/>
    <w:rsid w:val="00E41339"/>
    <w:rsid w:val="00E4137C"/>
    <w:rsid w:val="00E416D4"/>
    <w:rsid w:val="00E416E8"/>
    <w:rsid w:val="00E41BDA"/>
    <w:rsid w:val="00E423C9"/>
    <w:rsid w:val="00E42698"/>
    <w:rsid w:val="00E429AA"/>
    <w:rsid w:val="00E429B1"/>
    <w:rsid w:val="00E436FC"/>
    <w:rsid w:val="00E43BE2"/>
    <w:rsid w:val="00E43C31"/>
    <w:rsid w:val="00E43CE9"/>
    <w:rsid w:val="00E43EA3"/>
    <w:rsid w:val="00E43F39"/>
    <w:rsid w:val="00E443AD"/>
    <w:rsid w:val="00E44A3F"/>
    <w:rsid w:val="00E44F2C"/>
    <w:rsid w:val="00E45032"/>
    <w:rsid w:val="00E45451"/>
    <w:rsid w:val="00E45472"/>
    <w:rsid w:val="00E4564F"/>
    <w:rsid w:val="00E4566E"/>
    <w:rsid w:val="00E45931"/>
    <w:rsid w:val="00E459BF"/>
    <w:rsid w:val="00E45DCF"/>
    <w:rsid w:val="00E4611E"/>
    <w:rsid w:val="00E469A5"/>
    <w:rsid w:val="00E46E51"/>
    <w:rsid w:val="00E472E5"/>
    <w:rsid w:val="00E47D0A"/>
    <w:rsid w:val="00E47F0F"/>
    <w:rsid w:val="00E50146"/>
    <w:rsid w:val="00E501E7"/>
    <w:rsid w:val="00E50450"/>
    <w:rsid w:val="00E50DF7"/>
    <w:rsid w:val="00E50F06"/>
    <w:rsid w:val="00E50FCD"/>
    <w:rsid w:val="00E51102"/>
    <w:rsid w:val="00E51243"/>
    <w:rsid w:val="00E51263"/>
    <w:rsid w:val="00E513A3"/>
    <w:rsid w:val="00E5181E"/>
    <w:rsid w:val="00E51F16"/>
    <w:rsid w:val="00E51FD3"/>
    <w:rsid w:val="00E521A6"/>
    <w:rsid w:val="00E52837"/>
    <w:rsid w:val="00E52BBC"/>
    <w:rsid w:val="00E52CE1"/>
    <w:rsid w:val="00E52D47"/>
    <w:rsid w:val="00E52E48"/>
    <w:rsid w:val="00E53423"/>
    <w:rsid w:val="00E5383C"/>
    <w:rsid w:val="00E54081"/>
    <w:rsid w:val="00E546CB"/>
    <w:rsid w:val="00E547A3"/>
    <w:rsid w:val="00E54B1B"/>
    <w:rsid w:val="00E54E09"/>
    <w:rsid w:val="00E55638"/>
    <w:rsid w:val="00E55B35"/>
    <w:rsid w:val="00E55B6B"/>
    <w:rsid w:val="00E564A9"/>
    <w:rsid w:val="00E56792"/>
    <w:rsid w:val="00E56F36"/>
    <w:rsid w:val="00E56FC4"/>
    <w:rsid w:val="00E57167"/>
    <w:rsid w:val="00E574DC"/>
    <w:rsid w:val="00E5753D"/>
    <w:rsid w:val="00E57602"/>
    <w:rsid w:val="00E60187"/>
    <w:rsid w:val="00E6081C"/>
    <w:rsid w:val="00E60C5E"/>
    <w:rsid w:val="00E6138D"/>
    <w:rsid w:val="00E61A30"/>
    <w:rsid w:val="00E61CC1"/>
    <w:rsid w:val="00E61E11"/>
    <w:rsid w:val="00E62172"/>
    <w:rsid w:val="00E621F9"/>
    <w:rsid w:val="00E62436"/>
    <w:rsid w:val="00E62F5E"/>
    <w:rsid w:val="00E63211"/>
    <w:rsid w:val="00E6326B"/>
    <w:rsid w:val="00E63402"/>
    <w:rsid w:val="00E63915"/>
    <w:rsid w:val="00E639FB"/>
    <w:rsid w:val="00E63BED"/>
    <w:rsid w:val="00E63CEF"/>
    <w:rsid w:val="00E6416D"/>
    <w:rsid w:val="00E64695"/>
    <w:rsid w:val="00E64711"/>
    <w:rsid w:val="00E64896"/>
    <w:rsid w:val="00E65760"/>
    <w:rsid w:val="00E65BB8"/>
    <w:rsid w:val="00E660C9"/>
    <w:rsid w:val="00E66581"/>
    <w:rsid w:val="00E66908"/>
    <w:rsid w:val="00E66D14"/>
    <w:rsid w:val="00E67099"/>
    <w:rsid w:val="00E673E1"/>
    <w:rsid w:val="00E67420"/>
    <w:rsid w:val="00E676FE"/>
    <w:rsid w:val="00E67972"/>
    <w:rsid w:val="00E70499"/>
    <w:rsid w:val="00E704C4"/>
    <w:rsid w:val="00E70719"/>
    <w:rsid w:val="00E70914"/>
    <w:rsid w:val="00E70E81"/>
    <w:rsid w:val="00E7122D"/>
    <w:rsid w:val="00E713F5"/>
    <w:rsid w:val="00E719C1"/>
    <w:rsid w:val="00E71A82"/>
    <w:rsid w:val="00E71A9C"/>
    <w:rsid w:val="00E7269F"/>
    <w:rsid w:val="00E727C3"/>
    <w:rsid w:val="00E72BB3"/>
    <w:rsid w:val="00E72E67"/>
    <w:rsid w:val="00E7314C"/>
    <w:rsid w:val="00E73377"/>
    <w:rsid w:val="00E7358D"/>
    <w:rsid w:val="00E73A82"/>
    <w:rsid w:val="00E73AF0"/>
    <w:rsid w:val="00E73F37"/>
    <w:rsid w:val="00E74541"/>
    <w:rsid w:val="00E745D5"/>
    <w:rsid w:val="00E74689"/>
    <w:rsid w:val="00E746AC"/>
    <w:rsid w:val="00E7476D"/>
    <w:rsid w:val="00E749B6"/>
    <w:rsid w:val="00E74A01"/>
    <w:rsid w:val="00E753E2"/>
    <w:rsid w:val="00E75489"/>
    <w:rsid w:val="00E75895"/>
    <w:rsid w:val="00E76A13"/>
    <w:rsid w:val="00E76A62"/>
    <w:rsid w:val="00E76F97"/>
    <w:rsid w:val="00E7710B"/>
    <w:rsid w:val="00E771A8"/>
    <w:rsid w:val="00E7739B"/>
    <w:rsid w:val="00E77F72"/>
    <w:rsid w:val="00E77FF8"/>
    <w:rsid w:val="00E80201"/>
    <w:rsid w:val="00E80860"/>
    <w:rsid w:val="00E80EA6"/>
    <w:rsid w:val="00E80F05"/>
    <w:rsid w:val="00E81206"/>
    <w:rsid w:val="00E81542"/>
    <w:rsid w:val="00E81649"/>
    <w:rsid w:val="00E816F3"/>
    <w:rsid w:val="00E8180A"/>
    <w:rsid w:val="00E81CC0"/>
    <w:rsid w:val="00E81CE1"/>
    <w:rsid w:val="00E826F3"/>
    <w:rsid w:val="00E82B13"/>
    <w:rsid w:val="00E82F29"/>
    <w:rsid w:val="00E83E51"/>
    <w:rsid w:val="00E83E7C"/>
    <w:rsid w:val="00E8402D"/>
    <w:rsid w:val="00E84201"/>
    <w:rsid w:val="00E84670"/>
    <w:rsid w:val="00E84BDF"/>
    <w:rsid w:val="00E85786"/>
    <w:rsid w:val="00E8591D"/>
    <w:rsid w:val="00E85A4E"/>
    <w:rsid w:val="00E85E95"/>
    <w:rsid w:val="00E860A2"/>
    <w:rsid w:val="00E86238"/>
    <w:rsid w:val="00E866B4"/>
    <w:rsid w:val="00E86927"/>
    <w:rsid w:val="00E86D38"/>
    <w:rsid w:val="00E876D3"/>
    <w:rsid w:val="00E87970"/>
    <w:rsid w:val="00E87E45"/>
    <w:rsid w:val="00E87EAF"/>
    <w:rsid w:val="00E87F9F"/>
    <w:rsid w:val="00E900F2"/>
    <w:rsid w:val="00E901AC"/>
    <w:rsid w:val="00E906EB"/>
    <w:rsid w:val="00E9098D"/>
    <w:rsid w:val="00E90B41"/>
    <w:rsid w:val="00E90B62"/>
    <w:rsid w:val="00E90C0C"/>
    <w:rsid w:val="00E90CEA"/>
    <w:rsid w:val="00E91382"/>
    <w:rsid w:val="00E9186A"/>
    <w:rsid w:val="00E919AB"/>
    <w:rsid w:val="00E9291F"/>
    <w:rsid w:val="00E9298E"/>
    <w:rsid w:val="00E931FF"/>
    <w:rsid w:val="00E935BA"/>
    <w:rsid w:val="00E9367A"/>
    <w:rsid w:val="00E93A18"/>
    <w:rsid w:val="00E93C2B"/>
    <w:rsid w:val="00E94473"/>
    <w:rsid w:val="00E944F1"/>
    <w:rsid w:val="00E947D8"/>
    <w:rsid w:val="00E9491C"/>
    <w:rsid w:val="00E94B0C"/>
    <w:rsid w:val="00E94C6E"/>
    <w:rsid w:val="00E94F86"/>
    <w:rsid w:val="00E9517F"/>
    <w:rsid w:val="00E9523D"/>
    <w:rsid w:val="00E9571C"/>
    <w:rsid w:val="00E9599D"/>
    <w:rsid w:val="00E95A50"/>
    <w:rsid w:val="00E961A2"/>
    <w:rsid w:val="00E961A5"/>
    <w:rsid w:val="00E96317"/>
    <w:rsid w:val="00E96567"/>
    <w:rsid w:val="00E9683C"/>
    <w:rsid w:val="00E969A7"/>
    <w:rsid w:val="00E97310"/>
    <w:rsid w:val="00E97339"/>
    <w:rsid w:val="00E979FF"/>
    <w:rsid w:val="00EA01F5"/>
    <w:rsid w:val="00EA0324"/>
    <w:rsid w:val="00EA0692"/>
    <w:rsid w:val="00EA0781"/>
    <w:rsid w:val="00EA0BB6"/>
    <w:rsid w:val="00EA0ED6"/>
    <w:rsid w:val="00EA1027"/>
    <w:rsid w:val="00EA10C5"/>
    <w:rsid w:val="00EA114A"/>
    <w:rsid w:val="00EA1152"/>
    <w:rsid w:val="00EA1173"/>
    <w:rsid w:val="00EA145A"/>
    <w:rsid w:val="00EA1829"/>
    <w:rsid w:val="00EA1A5B"/>
    <w:rsid w:val="00EA1C32"/>
    <w:rsid w:val="00EA22EE"/>
    <w:rsid w:val="00EA2629"/>
    <w:rsid w:val="00EA2CFF"/>
    <w:rsid w:val="00EA32C3"/>
    <w:rsid w:val="00EA37D4"/>
    <w:rsid w:val="00EA38FF"/>
    <w:rsid w:val="00EA3916"/>
    <w:rsid w:val="00EA3966"/>
    <w:rsid w:val="00EA3B34"/>
    <w:rsid w:val="00EA3C14"/>
    <w:rsid w:val="00EA44CA"/>
    <w:rsid w:val="00EA4CA7"/>
    <w:rsid w:val="00EA5014"/>
    <w:rsid w:val="00EA51EE"/>
    <w:rsid w:val="00EA5721"/>
    <w:rsid w:val="00EA6074"/>
    <w:rsid w:val="00EA620F"/>
    <w:rsid w:val="00EA68E9"/>
    <w:rsid w:val="00EA6AFD"/>
    <w:rsid w:val="00EA6FAB"/>
    <w:rsid w:val="00EA72C0"/>
    <w:rsid w:val="00EA790F"/>
    <w:rsid w:val="00EA7A36"/>
    <w:rsid w:val="00EA7C47"/>
    <w:rsid w:val="00EB0D83"/>
    <w:rsid w:val="00EB12C0"/>
    <w:rsid w:val="00EB12E9"/>
    <w:rsid w:val="00EB15BE"/>
    <w:rsid w:val="00EB1CCE"/>
    <w:rsid w:val="00EB1E2E"/>
    <w:rsid w:val="00EB24E2"/>
    <w:rsid w:val="00EB289E"/>
    <w:rsid w:val="00EB28E4"/>
    <w:rsid w:val="00EB2A50"/>
    <w:rsid w:val="00EB2FDC"/>
    <w:rsid w:val="00EB323E"/>
    <w:rsid w:val="00EB326F"/>
    <w:rsid w:val="00EB35F9"/>
    <w:rsid w:val="00EB3693"/>
    <w:rsid w:val="00EB3A37"/>
    <w:rsid w:val="00EB3A9E"/>
    <w:rsid w:val="00EB3C8D"/>
    <w:rsid w:val="00EB3CFE"/>
    <w:rsid w:val="00EB4372"/>
    <w:rsid w:val="00EB4C63"/>
    <w:rsid w:val="00EB50B3"/>
    <w:rsid w:val="00EB5A35"/>
    <w:rsid w:val="00EB5FFF"/>
    <w:rsid w:val="00EB619F"/>
    <w:rsid w:val="00EB6340"/>
    <w:rsid w:val="00EB63B7"/>
    <w:rsid w:val="00EB64C1"/>
    <w:rsid w:val="00EB6759"/>
    <w:rsid w:val="00EB6C35"/>
    <w:rsid w:val="00EB7C5C"/>
    <w:rsid w:val="00EB7CD2"/>
    <w:rsid w:val="00EC04F2"/>
    <w:rsid w:val="00EC0F40"/>
    <w:rsid w:val="00EC1626"/>
    <w:rsid w:val="00EC18EE"/>
    <w:rsid w:val="00EC190A"/>
    <w:rsid w:val="00EC218C"/>
    <w:rsid w:val="00EC2216"/>
    <w:rsid w:val="00EC2415"/>
    <w:rsid w:val="00EC2D36"/>
    <w:rsid w:val="00EC31BF"/>
    <w:rsid w:val="00EC36AC"/>
    <w:rsid w:val="00EC3A04"/>
    <w:rsid w:val="00EC3C77"/>
    <w:rsid w:val="00EC3DAB"/>
    <w:rsid w:val="00EC3DCE"/>
    <w:rsid w:val="00EC3EB2"/>
    <w:rsid w:val="00EC3FA4"/>
    <w:rsid w:val="00EC46BB"/>
    <w:rsid w:val="00EC4A00"/>
    <w:rsid w:val="00EC4B6E"/>
    <w:rsid w:val="00EC509F"/>
    <w:rsid w:val="00EC51C6"/>
    <w:rsid w:val="00EC522C"/>
    <w:rsid w:val="00EC53C8"/>
    <w:rsid w:val="00EC5404"/>
    <w:rsid w:val="00EC563B"/>
    <w:rsid w:val="00EC5981"/>
    <w:rsid w:val="00EC5E02"/>
    <w:rsid w:val="00EC6B9C"/>
    <w:rsid w:val="00EC6BED"/>
    <w:rsid w:val="00EC6DB9"/>
    <w:rsid w:val="00EC6EFB"/>
    <w:rsid w:val="00EC71F1"/>
    <w:rsid w:val="00EC7F6D"/>
    <w:rsid w:val="00ED0312"/>
    <w:rsid w:val="00ED05DF"/>
    <w:rsid w:val="00ED07FB"/>
    <w:rsid w:val="00ED08F7"/>
    <w:rsid w:val="00ED13D1"/>
    <w:rsid w:val="00ED16E0"/>
    <w:rsid w:val="00ED1761"/>
    <w:rsid w:val="00ED177B"/>
    <w:rsid w:val="00ED1838"/>
    <w:rsid w:val="00ED1946"/>
    <w:rsid w:val="00ED1992"/>
    <w:rsid w:val="00ED1C26"/>
    <w:rsid w:val="00ED1C96"/>
    <w:rsid w:val="00ED1E9C"/>
    <w:rsid w:val="00ED2874"/>
    <w:rsid w:val="00ED29C7"/>
    <w:rsid w:val="00ED2AF7"/>
    <w:rsid w:val="00ED2B36"/>
    <w:rsid w:val="00ED356E"/>
    <w:rsid w:val="00ED3696"/>
    <w:rsid w:val="00ED4146"/>
    <w:rsid w:val="00ED4290"/>
    <w:rsid w:val="00ED4A08"/>
    <w:rsid w:val="00ED5222"/>
    <w:rsid w:val="00ED57EB"/>
    <w:rsid w:val="00ED5947"/>
    <w:rsid w:val="00ED5961"/>
    <w:rsid w:val="00ED5DE1"/>
    <w:rsid w:val="00ED6177"/>
    <w:rsid w:val="00ED631C"/>
    <w:rsid w:val="00ED65F2"/>
    <w:rsid w:val="00ED664B"/>
    <w:rsid w:val="00ED6AF9"/>
    <w:rsid w:val="00ED6F11"/>
    <w:rsid w:val="00ED6F48"/>
    <w:rsid w:val="00ED70D4"/>
    <w:rsid w:val="00ED758E"/>
    <w:rsid w:val="00EE0266"/>
    <w:rsid w:val="00EE0747"/>
    <w:rsid w:val="00EE085D"/>
    <w:rsid w:val="00EE11F6"/>
    <w:rsid w:val="00EE172E"/>
    <w:rsid w:val="00EE17E5"/>
    <w:rsid w:val="00EE1BD9"/>
    <w:rsid w:val="00EE1C1D"/>
    <w:rsid w:val="00EE1E6C"/>
    <w:rsid w:val="00EE1F38"/>
    <w:rsid w:val="00EE216B"/>
    <w:rsid w:val="00EE26D9"/>
    <w:rsid w:val="00EE276E"/>
    <w:rsid w:val="00EE2A03"/>
    <w:rsid w:val="00EE2BA8"/>
    <w:rsid w:val="00EE3098"/>
    <w:rsid w:val="00EE344E"/>
    <w:rsid w:val="00EE3466"/>
    <w:rsid w:val="00EE3525"/>
    <w:rsid w:val="00EE3D1D"/>
    <w:rsid w:val="00EE3DA3"/>
    <w:rsid w:val="00EE3EBF"/>
    <w:rsid w:val="00EE3FE7"/>
    <w:rsid w:val="00EE43CE"/>
    <w:rsid w:val="00EE464B"/>
    <w:rsid w:val="00EE480A"/>
    <w:rsid w:val="00EE4EA1"/>
    <w:rsid w:val="00EE5C6C"/>
    <w:rsid w:val="00EE62D9"/>
    <w:rsid w:val="00EE63A4"/>
    <w:rsid w:val="00EE691F"/>
    <w:rsid w:val="00EE728D"/>
    <w:rsid w:val="00EE7506"/>
    <w:rsid w:val="00EE76C8"/>
    <w:rsid w:val="00EE7CD3"/>
    <w:rsid w:val="00EF0348"/>
    <w:rsid w:val="00EF03EB"/>
    <w:rsid w:val="00EF08DB"/>
    <w:rsid w:val="00EF0F65"/>
    <w:rsid w:val="00EF10FF"/>
    <w:rsid w:val="00EF11D3"/>
    <w:rsid w:val="00EF17D0"/>
    <w:rsid w:val="00EF1927"/>
    <w:rsid w:val="00EF1E70"/>
    <w:rsid w:val="00EF22BE"/>
    <w:rsid w:val="00EF274B"/>
    <w:rsid w:val="00EF29BE"/>
    <w:rsid w:val="00EF2E84"/>
    <w:rsid w:val="00EF340A"/>
    <w:rsid w:val="00EF35EE"/>
    <w:rsid w:val="00EF3F7A"/>
    <w:rsid w:val="00EF40D1"/>
    <w:rsid w:val="00EF421D"/>
    <w:rsid w:val="00EF4652"/>
    <w:rsid w:val="00EF491D"/>
    <w:rsid w:val="00EF4BB2"/>
    <w:rsid w:val="00EF4C12"/>
    <w:rsid w:val="00EF4F2B"/>
    <w:rsid w:val="00EF52BD"/>
    <w:rsid w:val="00EF5B14"/>
    <w:rsid w:val="00EF5D9B"/>
    <w:rsid w:val="00EF5F73"/>
    <w:rsid w:val="00EF6073"/>
    <w:rsid w:val="00EF68F6"/>
    <w:rsid w:val="00EF69EC"/>
    <w:rsid w:val="00EF6DBF"/>
    <w:rsid w:val="00EF6E6E"/>
    <w:rsid w:val="00EF6FF1"/>
    <w:rsid w:val="00EF72E3"/>
    <w:rsid w:val="00EF7CC3"/>
    <w:rsid w:val="00EF7F66"/>
    <w:rsid w:val="00F007BD"/>
    <w:rsid w:val="00F00A48"/>
    <w:rsid w:val="00F00A5B"/>
    <w:rsid w:val="00F015E1"/>
    <w:rsid w:val="00F019B0"/>
    <w:rsid w:val="00F01E39"/>
    <w:rsid w:val="00F020D5"/>
    <w:rsid w:val="00F02542"/>
    <w:rsid w:val="00F02CFD"/>
    <w:rsid w:val="00F02DEF"/>
    <w:rsid w:val="00F03175"/>
    <w:rsid w:val="00F03647"/>
    <w:rsid w:val="00F03717"/>
    <w:rsid w:val="00F03727"/>
    <w:rsid w:val="00F0379C"/>
    <w:rsid w:val="00F037F5"/>
    <w:rsid w:val="00F03982"/>
    <w:rsid w:val="00F039AD"/>
    <w:rsid w:val="00F03A95"/>
    <w:rsid w:val="00F03CD2"/>
    <w:rsid w:val="00F03DBE"/>
    <w:rsid w:val="00F0447D"/>
    <w:rsid w:val="00F04589"/>
    <w:rsid w:val="00F0463A"/>
    <w:rsid w:val="00F048E0"/>
    <w:rsid w:val="00F05311"/>
    <w:rsid w:val="00F053D5"/>
    <w:rsid w:val="00F05513"/>
    <w:rsid w:val="00F059C5"/>
    <w:rsid w:val="00F06435"/>
    <w:rsid w:val="00F064B4"/>
    <w:rsid w:val="00F065BF"/>
    <w:rsid w:val="00F066F1"/>
    <w:rsid w:val="00F06733"/>
    <w:rsid w:val="00F06772"/>
    <w:rsid w:val="00F06826"/>
    <w:rsid w:val="00F06A61"/>
    <w:rsid w:val="00F06C01"/>
    <w:rsid w:val="00F06D32"/>
    <w:rsid w:val="00F07108"/>
    <w:rsid w:val="00F10817"/>
    <w:rsid w:val="00F10989"/>
    <w:rsid w:val="00F10F9F"/>
    <w:rsid w:val="00F113FF"/>
    <w:rsid w:val="00F114BB"/>
    <w:rsid w:val="00F114D8"/>
    <w:rsid w:val="00F11519"/>
    <w:rsid w:val="00F11656"/>
    <w:rsid w:val="00F117FA"/>
    <w:rsid w:val="00F11B0D"/>
    <w:rsid w:val="00F11C22"/>
    <w:rsid w:val="00F120F3"/>
    <w:rsid w:val="00F1212B"/>
    <w:rsid w:val="00F12435"/>
    <w:rsid w:val="00F1284E"/>
    <w:rsid w:val="00F12DC1"/>
    <w:rsid w:val="00F13057"/>
    <w:rsid w:val="00F13112"/>
    <w:rsid w:val="00F13145"/>
    <w:rsid w:val="00F13300"/>
    <w:rsid w:val="00F1332E"/>
    <w:rsid w:val="00F13523"/>
    <w:rsid w:val="00F138B2"/>
    <w:rsid w:val="00F14335"/>
    <w:rsid w:val="00F14F06"/>
    <w:rsid w:val="00F15024"/>
    <w:rsid w:val="00F15316"/>
    <w:rsid w:val="00F15412"/>
    <w:rsid w:val="00F159C6"/>
    <w:rsid w:val="00F15CA8"/>
    <w:rsid w:val="00F15DBF"/>
    <w:rsid w:val="00F1615E"/>
    <w:rsid w:val="00F164D4"/>
    <w:rsid w:val="00F167C6"/>
    <w:rsid w:val="00F16A94"/>
    <w:rsid w:val="00F17013"/>
    <w:rsid w:val="00F173EB"/>
    <w:rsid w:val="00F17595"/>
    <w:rsid w:val="00F17840"/>
    <w:rsid w:val="00F17A85"/>
    <w:rsid w:val="00F20170"/>
    <w:rsid w:val="00F2096F"/>
    <w:rsid w:val="00F20F44"/>
    <w:rsid w:val="00F218DF"/>
    <w:rsid w:val="00F219E4"/>
    <w:rsid w:val="00F21A33"/>
    <w:rsid w:val="00F22002"/>
    <w:rsid w:val="00F22577"/>
    <w:rsid w:val="00F2293D"/>
    <w:rsid w:val="00F22C6E"/>
    <w:rsid w:val="00F22D00"/>
    <w:rsid w:val="00F23316"/>
    <w:rsid w:val="00F23700"/>
    <w:rsid w:val="00F23AB2"/>
    <w:rsid w:val="00F23C69"/>
    <w:rsid w:val="00F24121"/>
    <w:rsid w:val="00F242FA"/>
    <w:rsid w:val="00F25718"/>
    <w:rsid w:val="00F25885"/>
    <w:rsid w:val="00F259D8"/>
    <w:rsid w:val="00F25AA3"/>
    <w:rsid w:val="00F25C68"/>
    <w:rsid w:val="00F25E84"/>
    <w:rsid w:val="00F25E9D"/>
    <w:rsid w:val="00F264DD"/>
    <w:rsid w:val="00F265DA"/>
    <w:rsid w:val="00F2669E"/>
    <w:rsid w:val="00F266AB"/>
    <w:rsid w:val="00F266E6"/>
    <w:rsid w:val="00F26791"/>
    <w:rsid w:val="00F268C7"/>
    <w:rsid w:val="00F269EE"/>
    <w:rsid w:val="00F26FC0"/>
    <w:rsid w:val="00F271BD"/>
    <w:rsid w:val="00F27410"/>
    <w:rsid w:val="00F2776B"/>
    <w:rsid w:val="00F27989"/>
    <w:rsid w:val="00F27C1A"/>
    <w:rsid w:val="00F27E27"/>
    <w:rsid w:val="00F304BA"/>
    <w:rsid w:val="00F30708"/>
    <w:rsid w:val="00F30EE6"/>
    <w:rsid w:val="00F310B2"/>
    <w:rsid w:val="00F31933"/>
    <w:rsid w:val="00F319E5"/>
    <w:rsid w:val="00F31A0D"/>
    <w:rsid w:val="00F31BCF"/>
    <w:rsid w:val="00F32148"/>
    <w:rsid w:val="00F3216B"/>
    <w:rsid w:val="00F324FD"/>
    <w:rsid w:val="00F327CB"/>
    <w:rsid w:val="00F32D26"/>
    <w:rsid w:val="00F33218"/>
    <w:rsid w:val="00F33F2F"/>
    <w:rsid w:val="00F34437"/>
    <w:rsid w:val="00F34CBC"/>
    <w:rsid w:val="00F34CC0"/>
    <w:rsid w:val="00F3507D"/>
    <w:rsid w:val="00F35498"/>
    <w:rsid w:val="00F35E9E"/>
    <w:rsid w:val="00F35FD8"/>
    <w:rsid w:val="00F36145"/>
    <w:rsid w:val="00F36337"/>
    <w:rsid w:val="00F366AD"/>
    <w:rsid w:val="00F36914"/>
    <w:rsid w:val="00F36AD2"/>
    <w:rsid w:val="00F36BBA"/>
    <w:rsid w:val="00F371E7"/>
    <w:rsid w:val="00F37905"/>
    <w:rsid w:val="00F37947"/>
    <w:rsid w:val="00F37997"/>
    <w:rsid w:val="00F40060"/>
    <w:rsid w:val="00F40C39"/>
    <w:rsid w:val="00F40CD7"/>
    <w:rsid w:val="00F40F52"/>
    <w:rsid w:val="00F4129D"/>
    <w:rsid w:val="00F414C5"/>
    <w:rsid w:val="00F4178D"/>
    <w:rsid w:val="00F41F40"/>
    <w:rsid w:val="00F420E5"/>
    <w:rsid w:val="00F424A7"/>
    <w:rsid w:val="00F42A4E"/>
    <w:rsid w:val="00F4342E"/>
    <w:rsid w:val="00F43445"/>
    <w:rsid w:val="00F4386B"/>
    <w:rsid w:val="00F43CC9"/>
    <w:rsid w:val="00F43DA5"/>
    <w:rsid w:val="00F43E5E"/>
    <w:rsid w:val="00F448D2"/>
    <w:rsid w:val="00F44BB6"/>
    <w:rsid w:val="00F45073"/>
    <w:rsid w:val="00F453CD"/>
    <w:rsid w:val="00F45CFF"/>
    <w:rsid w:val="00F46472"/>
    <w:rsid w:val="00F46513"/>
    <w:rsid w:val="00F46662"/>
    <w:rsid w:val="00F47044"/>
    <w:rsid w:val="00F4720D"/>
    <w:rsid w:val="00F47216"/>
    <w:rsid w:val="00F47376"/>
    <w:rsid w:val="00F474E9"/>
    <w:rsid w:val="00F479AC"/>
    <w:rsid w:val="00F479DD"/>
    <w:rsid w:val="00F47CE3"/>
    <w:rsid w:val="00F5024E"/>
    <w:rsid w:val="00F502EC"/>
    <w:rsid w:val="00F5064D"/>
    <w:rsid w:val="00F50E16"/>
    <w:rsid w:val="00F50E6F"/>
    <w:rsid w:val="00F51400"/>
    <w:rsid w:val="00F519DC"/>
    <w:rsid w:val="00F52064"/>
    <w:rsid w:val="00F52232"/>
    <w:rsid w:val="00F5264B"/>
    <w:rsid w:val="00F527B4"/>
    <w:rsid w:val="00F52990"/>
    <w:rsid w:val="00F52A7D"/>
    <w:rsid w:val="00F52C56"/>
    <w:rsid w:val="00F53AE5"/>
    <w:rsid w:val="00F53E5C"/>
    <w:rsid w:val="00F5405E"/>
    <w:rsid w:val="00F54194"/>
    <w:rsid w:val="00F546C9"/>
    <w:rsid w:val="00F54982"/>
    <w:rsid w:val="00F54A53"/>
    <w:rsid w:val="00F54BE6"/>
    <w:rsid w:val="00F5518C"/>
    <w:rsid w:val="00F5527F"/>
    <w:rsid w:val="00F552F6"/>
    <w:rsid w:val="00F552FA"/>
    <w:rsid w:val="00F55F24"/>
    <w:rsid w:val="00F56196"/>
    <w:rsid w:val="00F56606"/>
    <w:rsid w:val="00F56882"/>
    <w:rsid w:val="00F568F1"/>
    <w:rsid w:val="00F57298"/>
    <w:rsid w:val="00F572A9"/>
    <w:rsid w:val="00F57615"/>
    <w:rsid w:val="00F57650"/>
    <w:rsid w:val="00F5791F"/>
    <w:rsid w:val="00F6007E"/>
    <w:rsid w:val="00F6022E"/>
    <w:rsid w:val="00F602B0"/>
    <w:rsid w:val="00F6038A"/>
    <w:rsid w:val="00F6056B"/>
    <w:rsid w:val="00F6074F"/>
    <w:rsid w:val="00F6075D"/>
    <w:rsid w:val="00F60783"/>
    <w:rsid w:val="00F60ABD"/>
    <w:rsid w:val="00F60C70"/>
    <w:rsid w:val="00F60EB8"/>
    <w:rsid w:val="00F60F1B"/>
    <w:rsid w:val="00F60F2E"/>
    <w:rsid w:val="00F613FA"/>
    <w:rsid w:val="00F61A5D"/>
    <w:rsid w:val="00F61AE7"/>
    <w:rsid w:val="00F61E0E"/>
    <w:rsid w:val="00F61F76"/>
    <w:rsid w:val="00F6201B"/>
    <w:rsid w:val="00F62068"/>
    <w:rsid w:val="00F62343"/>
    <w:rsid w:val="00F62374"/>
    <w:rsid w:val="00F6238D"/>
    <w:rsid w:val="00F6277E"/>
    <w:rsid w:val="00F628F5"/>
    <w:rsid w:val="00F62A72"/>
    <w:rsid w:val="00F62AE3"/>
    <w:rsid w:val="00F62D78"/>
    <w:rsid w:val="00F62EDA"/>
    <w:rsid w:val="00F63413"/>
    <w:rsid w:val="00F6380C"/>
    <w:rsid w:val="00F63C4D"/>
    <w:rsid w:val="00F63FC3"/>
    <w:rsid w:val="00F643AE"/>
    <w:rsid w:val="00F643D4"/>
    <w:rsid w:val="00F644F3"/>
    <w:rsid w:val="00F645A5"/>
    <w:rsid w:val="00F6461F"/>
    <w:rsid w:val="00F64E86"/>
    <w:rsid w:val="00F6564B"/>
    <w:rsid w:val="00F6564D"/>
    <w:rsid w:val="00F65653"/>
    <w:rsid w:val="00F6597C"/>
    <w:rsid w:val="00F65D8F"/>
    <w:rsid w:val="00F66199"/>
    <w:rsid w:val="00F661E4"/>
    <w:rsid w:val="00F66244"/>
    <w:rsid w:val="00F66367"/>
    <w:rsid w:val="00F66792"/>
    <w:rsid w:val="00F66895"/>
    <w:rsid w:val="00F66DE6"/>
    <w:rsid w:val="00F66E8F"/>
    <w:rsid w:val="00F66EBA"/>
    <w:rsid w:val="00F670C0"/>
    <w:rsid w:val="00F679D8"/>
    <w:rsid w:val="00F70252"/>
    <w:rsid w:val="00F7026D"/>
    <w:rsid w:val="00F705ED"/>
    <w:rsid w:val="00F70873"/>
    <w:rsid w:val="00F709BA"/>
    <w:rsid w:val="00F70AE0"/>
    <w:rsid w:val="00F70D8C"/>
    <w:rsid w:val="00F70DF1"/>
    <w:rsid w:val="00F71183"/>
    <w:rsid w:val="00F71B86"/>
    <w:rsid w:val="00F71BE9"/>
    <w:rsid w:val="00F71D90"/>
    <w:rsid w:val="00F71F28"/>
    <w:rsid w:val="00F71F7E"/>
    <w:rsid w:val="00F721A3"/>
    <w:rsid w:val="00F725F3"/>
    <w:rsid w:val="00F7265F"/>
    <w:rsid w:val="00F72BD3"/>
    <w:rsid w:val="00F72F2A"/>
    <w:rsid w:val="00F73267"/>
    <w:rsid w:val="00F73829"/>
    <w:rsid w:val="00F73A12"/>
    <w:rsid w:val="00F73F99"/>
    <w:rsid w:val="00F73FC6"/>
    <w:rsid w:val="00F74DE1"/>
    <w:rsid w:val="00F74DEB"/>
    <w:rsid w:val="00F74EEC"/>
    <w:rsid w:val="00F75405"/>
    <w:rsid w:val="00F7548A"/>
    <w:rsid w:val="00F75B48"/>
    <w:rsid w:val="00F75E70"/>
    <w:rsid w:val="00F75EEF"/>
    <w:rsid w:val="00F76012"/>
    <w:rsid w:val="00F76627"/>
    <w:rsid w:val="00F76A13"/>
    <w:rsid w:val="00F76A32"/>
    <w:rsid w:val="00F76AD3"/>
    <w:rsid w:val="00F76D7C"/>
    <w:rsid w:val="00F76D9A"/>
    <w:rsid w:val="00F77471"/>
    <w:rsid w:val="00F7766C"/>
    <w:rsid w:val="00F77756"/>
    <w:rsid w:val="00F7786D"/>
    <w:rsid w:val="00F77900"/>
    <w:rsid w:val="00F77954"/>
    <w:rsid w:val="00F7795E"/>
    <w:rsid w:val="00F77D1B"/>
    <w:rsid w:val="00F80478"/>
    <w:rsid w:val="00F80532"/>
    <w:rsid w:val="00F806DA"/>
    <w:rsid w:val="00F80737"/>
    <w:rsid w:val="00F80E83"/>
    <w:rsid w:val="00F80ED3"/>
    <w:rsid w:val="00F8157B"/>
    <w:rsid w:val="00F819D1"/>
    <w:rsid w:val="00F81BBA"/>
    <w:rsid w:val="00F81C96"/>
    <w:rsid w:val="00F81DC1"/>
    <w:rsid w:val="00F82285"/>
    <w:rsid w:val="00F82A6B"/>
    <w:rsid w:val="00F82B42"/>
    <w:rsid w:val="00F8343C"/>
    <w:rsid w:val="00F835D4"/>
    <w:rsid w:val="00F8367C"/>
    <w:rsid w:val="00F83942"/>
    <w:rsid w:val="00F83D52"/>
    <w:rsid w:val="00F83E2C"/>
    <w:rsid w:val="00F83EB2"/>
    <w:rsid w:val="00F84745"/>
    <w:rsid w:val="00F84D0B"/>
    <w:rsid w:val="00F84DFF"/>
    <w:rsid w:val="00F84FED"/>
    <w:rsid w:val="00F85B1D"/>
    <w:rsid w:val="00F85D24"/>
    <w:rsid w:val="00F866B4"/>
    <w:rsid w:val="00F86726"/>
    <w:rsid w:val="00F86B22"/>
    <w:rsid w:val="00F87247"/>
    <w:rsid w:val="00F875E2"/>
    <w:rsid w:val="00F876C4"/>
    <w:rsid w:val="00F877F0"/>
    <w:rsid w:val="00F87AF6"/>
    <w:rsid w:val="00F87BB4"/>
    <w:rsid w:val="00F9068C"/>
    <w:rsid w:val="00F9072C"/>
    <w:rsid w:val="00F907A1"/>
    <w:rsid w:val="00F909B2"/>
    <w:rsid w:val="00F90B14"/>
    <w:rsid w:val="00F90DB1"/>
    <w:rsid w:val="00F910AC"/>
    <w:rsid w:val="00F91413"/>
    <w:rsid w:val="00F91873"/>
    <w:rsid w:val="00F91BD2"/>
    <w:rsid w:val="00F9208A"/>
    <w:rsid w:val="00F92138"/>
    <w:rsid w:val="00F92139"/>
    <w:rsid w:val="00F92596"/>
    <w:rsid w:val="00F92619"/>
    <w:rsid w:val="00F935D9"/>
    <w:rsid w:val="00F935DA"/>
    <w:rsid w:val="00F938D0"/>
    <w:rsid w:val="00F93A23"/>
    <w:rsid w:val="00F93A6A"/>
    <w:rsid w:val="00F93FEA"/>
    <w:rsid w:val="00F940C2"/>
    <w:rsid w:val="00F941B7"/>
    <w:rsid w:val="00F9439F"/>
    <w:rsid w:val="00F94805"/>
    <w:rsid w:val="00F9516F"/>
    <w:rsid w:val="00F95C4E"/>
    <w:rsid w:val="00F960B0"/>
    <w:rsid w:val="00F960B4"/>
    <w:rsid w:val="00F96464"/>
    <w:rsid w:val="00F96486"/>
    <w:rsid w:val="00F96871"/>
    <w:rsid w:val="00F96B79"/>
    <w:rsid w:val="00F96CD0"/>
    <w:rsid w:val="00F96D5B"/>
    <w:rsid w:val="00F97278"/>
    <w:rsid w:val="00F974BD"/>
    <w:rsid w:val="00F975D7"/>
    <w:rsid w:val="00F9785B"/>
    <w:rsid w:val="00FA0FBB"/>
    <w:rsid w:val="00FA1351"/>
    <w:rsid w:val="00FA1458"/>
    <w:rsid w:val="00FA1A3E"/>
    <w:rsid w:val="00FA1B66"/>
    <w:rsid w:val="00FA1BCE"/>
    <w:rsid w:val="00FA21D2"/>
    <w:rsid w:val="00FA22B7"/>
    <w:rsid w:val="00FA23E3"/>
    <w:rsid w:val="00FA2C2F"/>
    <w:rsid w:val="00FA2E13"/>
    <w:rsid w:val="00FA30D4"/>
    <w:rsid w:val="00FA3669"/>
    <w:rsid w:val="00FA3746"/>
    <w:rsid w:val="00FA37B7"/>
    <w:rsid w:val="00FA3B71"/>
    <w:rsid w:val="00FA3C37"/>
    <w:rsid w:val="00FA3C6C"/>
    <w:rsid w:val="00FA4999"/>
    <w:rsid w:val="00FA49A7"/>
    <w:rsid w:val="00FA4AA0"/>
    <w:rsid w:val="00FA54DE"/>
    <w:rsid w:val="00FA587B"/>
    <w:rsid w:val="00FA5C09"/>
    <w:rsid w:val="00FA63FE"/>
    <w:rsid w:val="00FA647E"/>
    <w:rsid w:val="00FA6579"/>
    <w:rsid w:val="00FA6892"/>
    <w:rsid w:val="00FA7DF2"/>
    <w:rsid w:val="00FB0199"/>
    <w:rsid w:val="00FB020B"/>
    <w:rsid w:val="00FB04B8"/>
    <w:rsid w:val="00FB0708"/>
    <w:rsid w:val="00FB0BCE"/>
    <w:rsid w:val="00FB0E98"/>
    <w:rsid w:val="00FB14CF"/>
    <w:rsid w:val="00FB1624"/>
    <w:rsid w:val="00FB1B9F"/>
    <w:rsid w:val="00FB1C92"/>
    <w:rsid w:val="00FB1CD6"/>
    <w:rsid w:val="00FB1E2C"/>
    <w:rsid w:val="00FB1FAE"/>
    <w:rsid w:val="00FB20E0"/>
    <w:rsid w:val="00FB2405"/>
    <w:rsid w:val="00FB2890"/>
    <w:rsid w:val="00FB2BA0"/>
    <w:rsid w:val="00FB2D3D"/>
    <w:rsid w:val="00FB2D8C"/>
    <w:rsid w:val="00FB3624"/>
    <w:rsid w:val="00FB36D8"/>
    <w:rsid w:val="00FB36FE"/>
    <w:rsid w:val="00FB37BE"/>
    <w:rsid w:val="00FB37C3"/>
    <w:rsid w:val="00FB3932"/>
    <w:rsid w:val="00FB3B0C"/>
    <w:rsid w:val="00FB3B7F"/>
    <w:rsid w:val="00FB3C05"/>
    <w:rsid w:val="00FB4443"/>
    <w:rsid w:val="00FB44AB"/>
    <w:rsid w:val="00FB47E9"/>
    <w:rsid w:val="00FB4B5C"/>
    <w:rsid w:val="00FB4D33"/>
    <w:rsid w:val="00FB50F8"/>
    <w:rsid w:val="00FB513F"/>
    <w:rsid w:val="00FB5232"/>
    <w:rsid w:val="00FB563C"/>
    <w:rsid w:val="00FB5B54"/>
    <w:rsid w:val="00FB5C35"/>
    <w:rsid w:val="00FB5E4B"/>
    <w:rsid w:val="00FB6102"/>
    <w:rsid w:val="00FB63CF"/>
    <w:rsid w:val="00FB71E3"/>
    <w:rsid w:val="00FC093A"/>
    <w:rsid w:val="00FC0942"/>
    <w:rsid w:val="00FC0A96"/>
    <w:rsid w:val="00FC17B1"/>
    <w:rsid w:val="00FC17D3"/>
    <w:rsid w:val="00FC1892"/>
    <w:rsid w:val="00FC1DBB"/>
    <w:rsid w:val="00FC21BC"/>
    <w:rsid w:val="00FC224F"/>
    <w:rsid w:val="00FC2469"/>
    <w:rsid w:val="00FC2CE8"/>
    <w:rsid w:val="00FC3079"/>
    <w:rsid w:val="00FC3085"/>
    <w:rsid w:val="00FC3135"/>
    <w:rsid w:val="00FC3330"/>
    <w:rsid w:val="00FC343C"/>
    <w:rsid w:val="00FC380D"/>
    <w:rsid w:val="00FC3860"/>
    <w:rsid w:val="00FC38A5"/>
    <w:rsid w:val="00FC40DE"/>
    <w:rsid w:val="00FC42A3"/>
    <w:rsid w:val="00FC4979"/>
    <w:rsid w:val="00FC4AFE"/>
    <w:rsid w:val="00FC504F"/>
    <w:rsid w:val="00FC5489"/>
    <w:rsid w:val="00FC6ABF"/>
    <w:rsid w:val="00FC70D5"/>
    <w:rsid w:val="00FC753A"/>
    <w:rsid w:val="00FC7B7E"/>
    <w:rsid w:val="00FD0237"/>
    <w:rsid w:val="00FD050E"/>
    <w:rsid w:val="00FD0577"/>
    <w:rsid w:val="00FD0DDD"/>
    <w:rsid w:val="00FD0FE8"/>
    <w:rsid w:val="00FD14EA"/>
    <w:rsid w:val="00FD169E"/>
    <w:rsid w:val="00FD2CEF"/>
    <w:rsid w:val="00FD2D65"/>
    <w:rsid w:val="00FD3038"/>
    <w:rsid w:val="00FD331F"/>
    <w:rsid w:val="00FD3559"/>
    <w:rsid w:val="00FD3587"/>
    <w:rsid w:val="00FD35B1"/>
    <w:rsid w:val="00FD415E"/>
    <w:rsid w:val="00FD44EA"/>
    <w:rsid w:val="00FD4775"/>
    <w:rsid w:val="00FD477B"/>
    <w:rsid w:val="00FD4872"/>
    <w:rsid w:val="00FD496D"/>
    <w:rsid w:val="00FD4D32"/>
    <w:rsid w:val="00FD5128"/>
    <w:rsid w:val="00FD51B7"/>
    <w:rsid w:val="00FD57D0"/>
    <w:rsid w:val="00FD5974"/>
    <w:rsid w:val="00FD5B10"/>
    <w:rsid w:val="00FD5BC8"/>
    <w:rsid w:val="00FD5D0B"/>
    <w:rsid w:val="00FD5DF3"/>
    <w:rsid w:val="00FD5E15"/>
    <w:rsid w:val="00FD5F79"/>
    <w:rsid w:val="00FD60D6"/>
    <w:rsid w:val="00FD610E"/>
    <w:rsid w:val="00FD63F3"/>
    <w:rsid w:val="00FD675A"/>
    <w:rsid w:val="00FD694D"/>
    <w:rsid w:val="00FD6AD7"/>
    <w:rsid w:val="00FD6EF7"/>
    <w:rsid w:val="00FD71F9"/>
    <w:rsid w:val="00FD73EC"/>
    <w:rsid w:val="00FD78B1"/>
    <w:rsid w:val="00FD7C18"/>
    <w:rsid w:val="00FD7E92"/>
    <w:rsid w:val="00FD7E9C"/>
    <w:rsid w:val="00FD7F39"/>
    <w:rsid w:val="00FE0530"/>
    <w:rsid w:val="00FE054D"/>
    <w:rsid w:val="00FE0B8F"/>
    <w:rsid w:val="00FE0DB1"/>
    <w:rsid w:val="00FE0EB3"/>
    <w:rsid w:val="00FE0EFD"/>
    <w:rsid w:val="00FE10E6"/>
    <w:rsid w:val="00FE18D1"/>
    <w:rsid w:val="00FE1E66"/>
    <w:rsid w:val="00FE202A"/>
    <w:rsid w:val="00FE3263"/>
    <w:rsid w:val="00FE3444"/>
    <w:rsid w:val="00FE3ABB"/>
    <w:rsid w:val="00FE3D78"/>
    <w:rsid w:val="00FE3F50"/>
    <w:rsid w:val="00FE406D"/>
    <w:rsid w:val="00FE4242"/>
    <w:rsid w:val="00FE465D"/>
    <w:rsid w:val="00FE4790"/>
    <w:rsid w:val="00FE48DE"/>
    <w:rsid w:val="00FE4A98"/>
    <w:rsid w:val="00FE4ABC"/>
    <w:rsid w:val="00FE4DFF"/>
    <w:rsid w:val="00FE4F12"/>
    <w:rsid w:val="00FE4F76"/>
    <w:rsid w:val="00FE4F7B"/>
    <w:rsid w:val="00FE50A8"/>
    <w:rsid w:val="00FE52AC"/>
    <w:rsid w:val="00FE533E"/>
    <w:rsid w:val="00FE5516"/>
    <w:rsid w:val="00FE570B"/>
    <w:rsid w:val="00FE5A7B"/>
    <w:rsid w:val="00FE61B3"/>
    <w:rsid w:val="00FE625F"/>
    <w:rsid w:val="00FE6566"/>
    <w:rsid w:val="00FE6854"/>
    <w:rsid w:val="00FE6E51"/>
    <w:rsid w:val="00FE7163"/>
    <w:rsid w:val="00FE72BE"/>
    <w:rsid w:val="00FE771C"/>
    <w:rsid w:val="00FE788B"/>
    <w:rsid w:val="00FE7A44"/>
    <w:rsid w:val="00FE7B6B"/>
    <w:rsid w:val="00FE7D6A"/>
    <w:rsid w:val="00FE7DB4"/>
    <w:rsid w:val="00FF004B"/>
    <w:rsid w:val="00FF052D"/>
    <w:rsid w:val="00FF07BC"/>
    <w:rsid w:val="00FF0A4D"/>
    <w:rsid w:val="00FF165D"/>
    <w:rsid w:val="00FF1AC4"/>
    <w:rsid w:val="00FF2133"/>
    <w:rsid w:val="00FF25A4"/>
    <w:rsid w:val="00FF2625"/>
    <w:rsid w:val="00FF286F"/>
    <w:rsid w:val="00FF2960"/>
    <w:rsid w:val="00FF2DE3"/>
    <w:rsid w:val="00FF31EF"/>
    <w:rsid w:val="00FF32D7"/>
    <w:rsid w:val="00FF358A"/>
    <w:rsid w:val="00FF40F5"/>
    <w:rsid w:val="00FF43D8"/>
    <w:rsid w:val="00FF441A"/>
    <w:rsid w:val="00FF4EEB"/>
    <w:rsid w:val="00FF54A0"/>
    <w:rsid w:val="00FF5B6A"/>
    <w:rsid w:val="00FF5F39"/>
    <w:rsid w:val="00FF5FEF"/>
    <w:rsid w:val="00FF6162"/>
    <w:rsid w:val="00FF68E5"/>
    <w:rsid w:val="00FF68F1"/>
    <w:rsid w:val="00FF6AD6"/>
    <w:rsid w:val="00FF6ADB"/>
    <w:rsid w:val="00FF6D13"/>
    <w:rsid w:val="00FF6EE4"/>
    <w:rsid w:val="00FF6F4B"/>
    <w:rsid w:val="00FF7438"/>
    <w:rsid w:val="00FF764B"/>
    <w:rsid w:val="00FF7F16"/>
    <w:rsid w:val="010026B6"/>
    <w:rsid w:val="010A513F"/>
    <w:rsid w:val="012E07FF"/>
    <w:rsid w:val="01402AAD"/>
    <w:rsid w:val="014050FA"/>
    <w:rsid w:val="015121B9"/>
    <w:rsid w:val="01724A4B"/>
    <w:rsid w:val="018036AD"/>
    <w:rsid w:val="01A72AE0"/>
    <w:rsid w:val="01E43D4E"/>
    <w:rsid w:val="01E56199"/>
    <w:rsid w:val="027D0F3A"/>
    <w:rsid w:val="02D41F53"/>
    <w:rsid w:val="03091F82"/>
    <w:rsid w:val="031F61EE"/>
    <w:rsid w:val="034675D0"/>
    <w:rsid w:val="03A60EAB"/>
    <w:rsid w:val="041B599F"/>
    <w:rsid w:val="0430275A"/>
    <w:rsid w:val="044F1236"/>
    <w:rsid w:val="04AE208F"/>
    <w:rsid w:val="04B36E06"/>
    <w:rsid w:val="04D32532"/>
    <w:rsid w:val="04E574A2"/>
    <w:rsid w:val="054E5281"/>
    <w:rsid w:val="054E55E4"/>
    <w:rsid w:val="055638AE"/>
    <w:rsid w:val="057D6145"/>
    <w:rsid w:val="058F280E"/>
    <w:rsid w:val="05EA5FAC"/>
    <w:rsid w:val="06040E46"/>
    <w:rsid w:val="061100C1"/>
    <w:rsid w:val="061F02C7"/>
    <w:rsid w:val="06231E4A"/>
    <w:rsid w:val="06607931"/>
    <w:rsid w:val="0675440F"/>
    <w:rsid w:val="069C25B8"/>
    <w:rsid w:val="06AD588D"/>
    <w:rsid w:val="06B272A2"/>
    <w:rsid w:val="0709496C"/>
    <w:rsid w:val="070F3307"/>
    <w:rsid w:val="071E6821"/>
    <w:rsid w:val="072233D4"/>
    <w:rsid w:val="074B6AB0"/>
    <w:rsid w:val="075B2ECD"/>
    <w:rsid w:val="076057F2"/>
    <w:rsid w:val="07870660"/>
    <w:rsid w:val="079658E8"/>
    <w:rsid w:val="079C0E9D"/>
    <w:rsid w:val="07AC2092"/>
    <w:rsid w:val="08567FA3"/>
    <w:rsid w:val="0874277D"/>
    <w:rsid w:val="088A4EE2"/>
    <w:rsid w:val="088A7F5F"/>
    <w:rsid w:val="089D7F8F"/>
    <w:rsid w:val="08D52927"/>
    <w:rsid w:val="08E44526"/>
    <w:rsid w:val="0924393B"/>
    <w:rsid w:val="09543565"/>
    <w:rsid w:val="09547248"/>
    <w:rsid w:val="096D58B6"/>
    <w:rsid w:val="09BB6FD3"/>
    <w:rsid w:val="09F76546"/>
    <w:rsid w:val="0A026F22"/>
    <w:rsid w:val="0A19185C"/>
    <w:rsid w:val="0A5B6DF9"/>
    <w:rsid w:val="0A681DC6"/>
    <w:rsid w:val="0A85556E"/>
    <w:rsid w:val="0AAA42EC"/>
    <w:rsid w:val="0AAF6746"/>
    <w:rsid w:val="0AB10684"/>
    <w:rsid w:val="0AD659B9"/>
    <w:rsid w:val="0AE45D17"/>
    <w:rsid w:val="0AFD0854"/>
    <w:rsid w:val="0B0859F4"/>
    <w:rsid w:val="0B177B62"/>
    <w:rsid w:val="0B4229FF"/>
    <w:rsid w:val="0B45780A"/>
    <w:rsid w:val="0B852F0B"/>
    <w:rsid w:val="0BA809E5"/>
    <w:rsid w:val="0BAA4DC1"/>
    <w:rsid w:val="0BB17874"/>
    <w:rsid w:val="0BB33069"/>
    <w:rsid w:val="0BB874B0"/>
    <w:rsid w:val="0BC14BEF"/>
    <w:rsid w:val="0C087514"/>
    <w:rsid w:val="0C4116EF"/>
    <w:rsid w:val="0C621C94"/>
    <w:rsid w:val="0C6D2D08"/>
    <w:rsid w:val="0C7E51FF"/>
    <w:rsid w:val="0CB16402"/>
    <w:rsid w:val="0CC44DA3"/>
    <w:rsid w:val="0CC46410"/>
    <w:rsid w:val="0CC640C6"/>
    <w:rsid w:val="0CCD68A8"/>
    <w:rsid w:val="0D103128"/>
    <w:rsid w:val="0D2359B5"/>
    <w:rsid w:val="0D3611A8"/>
    <w:rsid w:val="0D6B6659"/>
    <w:rsid w:val="0D785D19"/>
    <w:rsid w:val="0D7C5618"/>
    <w:rsid w:val="0D7D2A79"/>
    <w:rsid w:val="0DEA01F9"/>
    <w:rsid w:val="0E1E0880"/>
    <w:rsid w:val="0E382A2F"/>
    <w:rsid w:val="0E5D50B6"/>
    <w:rsid w:val="0E7E2155"/>
    <w:rsid w:val="0E8813E4"/>
    <w:rsid w:val="0E8C6A6A"/>
    <w:rsid w:val="0E982005"/>
    <w:rsid w:val="0EA70AFA"/>
    <w:rsid w:val="0ECF4153"/>
    <w:rsid w:val="0EE20AF5"/>
    <w:rsid w:val="0EE35F37"/>
    <w:rsid w:val="0F2734A2"/>
    <w:rsid w:val="0F5476D0"/>
    <w:rsid w:val="0F721928"/>
    <w:rsid w:val="0F784EFC"/>
    <w:rsid w:val="0F962515"/>
    <w:rsid w:val="0FA16CF7"/>
    <w:rsid w:val="0FCC36B2"/>
    <w:rsid w:val="0FD33D73"/>
    <w:rsid w:val="0FD4429D"/>
    <w:rsid w:val="0FD70ECE"/>
    <w:rsid w:val="0FEF635C"/>
    <w:rsid w:val="100471F3"/>
    <w:rsid w:val="10091DFE"/>
    <w:rsid w:val="103C5FE2"/>
    <w:rsid w:val="10526B26"/>
    <w:rsid w:val="10ED5D1E"/>
    <w:rsid w:val="110D6395"/>
    <w:rsid w:val="115776DF"/>
    <w:rsid w:val="115E586F"/>
    <w:rsid w:val="11877731"/>
    <w:rsid w:val="11956403"/>
    <w:rsid w:val="11A60999"/>
    <w:rsid w:val="11F62F69"/>
    <w:rsid w:val="1212232E"/>
    <w:rsid w:val="12811792"/>
    <w:rsid w:val="12901FDE"/>
    <w:rsid w:val="129E1F80"/>
    <w:rsid w:val="12C10A21"/>
    <w:rsid w:val="1367303F"/>
    <w:rsid w:val="136B65ED"/>
    <w:rsid w:val="13F02215"/>
    <w:rsid w:val="14113A6E"/>
    <w:rsid w:val="145757D1"/>
    <w:rsid w:val="14962614"/>
    <w:rsid w:val="14F45A61"/>
    <w:rsid w:val="150A3BE5"/>
    <w:rsid w:val="15440A91"/>
    <w:rsid w:val="155A3E55"/>
    <w:rsid w:val="156212DD"/>
    <w:rsid w:val="15675CB3"/>
    <w:rsid w:val="157D1577"/>
    <w:rsid w:val="158E5347"/>
    <w:rsid w:val="15B85841"/>
    <w:rsid w:val="15D05756"/>
    <w:rsid w:val="15E92769"/>
    <w:rsid w:val="16391C6D"/>
    <w:rsid w:val="16463207"/>
    <w:rsid w:val="165969EF"/>
    <w:rsid w:val="165B2217"/>
    <w:rsid w:val="169763DD"/>
    <w:rsid w:val="16CC522C"/>
    <w:rsid w:val="16D76A65"/>
    <w:rsid w:val="17232576"/>
    <w:rsid w:val="17E303AE"/>
    <w:rsid w:val="17EB59A3"/>
    <w:rsid w:val="18606A26"/>
    <w:rsid w:val="188E255F"/>
    <w:rsid w:val="18951323"/>
    <w:rsid w:val="189E7817"/>
    <w:rsid w:val="18F35119"/>
    <w:rsid w:val="19230EC0"/>
    <w:rsid w:val="192C0696"/>
    <w:rsid w:val="192F4389"/>
    <w:rsid w:val="193D20D5"/>
    <w:rsid w:val="194F0DA5"/>
    <w:rsid w:val="19603977"/>
    <w:rsid w:val="19960E5F"/>
    <w:rsid w:val="19E56CCF"/>
    <w:rsid w:val="1A314C33"/>
    <w:rsid w:val="1A4064C6"/>
    <w:rsid w:val="1A861CF3"/>
    <w:rsid w:val="1AC11DD4"/>
    <w:rsid w:val="1ACA01F9"/>
    <w:rsid w:val="1AF661C9"/>
    <w:rsid w:val="1B025787"/>
    <w:rsid w:val="1B701FCC"/>
    <w:rsid w:val="1BB14D1E"/>
    <w:rsid w:val="1BBB171B"/>
    <w:rsid w:val="1BDF3E5D"/>
    <w:rsid w:val="1C1535E6"/>
    <w:rsid w:val="1C1C3525"/>
    <w:rsid w:val="1C1E6EE4"/>
    <w:rsid w:val="1C1F1542"/>
    <w:rsid w:val="1C245D31"/>
    <w:rsid w:val="1C253EBC"/>
    <w:rsid w:val="1C317573"/>
    <w:rsid w:val="1C613EAF"/>
    <w:rsid w:val="1C6414A6"/>
    <w:rsid w:val="1CA30198"/>
    <w:rsid w:val="1CE73368"/>
    <w:rsid w:val="1D1A6B33"/>
    <w:rsid w:val="1D344C11"/>
    <w:rsid w:val="1DF046DB"/>
    <w:rsid w:val="1E3B3D5C"/>
    <w:rsid w:val="1E4E5C29"/>
    <w:rsid w:val="1EDA5187"/>
    <w:rsid w:val="1EFE3ECC"/>
    <w:rsid w:val="1F1911E5"/>
    <w:rsid w:val="1F723A5B"/>
    <w:rsid w:val="1FA63241"/>
    <w:rsid w:val="1FD534DE"/>
    <w:rsid w:val="1FF57F9D"/>
    <w:rsid w:val="201E16C8"/>
    <w:rsid w:val="20245034"/>
    <w:rsid w:val="20A239B8"/>
    <w:rsid w:val="20D44A5E"/>
    <w:rsid w:val="20F568DE"/>
    <w:rsid w:val="21580CFE"/>
    <w:rsid w:val="216A3FD8"/>
    <w:rsid w:val="216A60F9"/>
    <w:rsid w:val="216B610A"/>
    <w:rsid w:val="216B6728"/>
    <w:rsid w:val="2171001F"/>
    <w:rsid w:val="21895C81"/>
    <w:rsid w:val="21B56B27"/>
    <w:rsid w:val="220A4192"/>
    <w:rsid w:val="221970C4"/>
    <w:rsid w:val="221D4656"/>
    <w:rsid w:val="22475D6F"/>
    <w:rsid w:val="22617B2B"/>
    <w:rsid w:val="228503AE"/>
    <w:rsid w:val="228F7357"/>
    <w:rsid w:val="22E466E4"/>
    <w:rsid w:val="22FB5817"/>
    <w:rsid w:val="231F2398"/>
    <w:rsid w:val="23522BC8"/>
    <w:rsid w:val="23AA58D5"/>
    <w:rsid w:val="23B73586"/>
    <w:rsid w:val="23CE221A"/>
    <w:rsid w:val="23FB6E2D"/>
    <w:rsid w:val="24050DDB"/>
    <w:rsid w:val="24202BB1"/>
    <w:rsid w:val="243409DD"/>
    <w:rsid w:val="24520744"/>
    <w:rsid w:val="24B919DE"/>
    <w:rsid w:val="24BF1F78"/>
    <w:rsid w:val="24C0338F"/>
    <w:rsid w:val="25434A18"/>
    <w:rsid w:val="25476667"/>
    <w:rsid w:val="25882650"/>
    <w:rsid w:val="25DE7E50"/>
    <w:rsid w:val="25E42054"/>
    <w:rsid w:val="26667680"/>
    <w:rsid w:val="26803261"/>
    <w:rsid w:val="26A44E81"/>
    <w:rsid w:val="271B2D57"/>
    <w:rsid w:val="271B35CC"/>
    <w:rsid w:val="271B5592"/>
    <w:rsid w:val="27406E6F"/>
    <w:rsid w:val="274303DD"/>
    <w:rsid w:val="277F0EAE"/>
    <w:rsid w:val="27A23FDD"/>
    <w:rsid w:val="27A34A03"/>
    <w:rsid w:val="27AC6781"/>
    <w:rsid w:val="27B30323"/>
    <w:rsid w:val="27B31EDD"/>
    <w:rsid w:val="281F64BE"/>
    <w:rsid w:val="285F480C"/>
    <w:rsid w:val="28721701"/>
    <w:rsid w:val="28BC209B"/>
    <w:rsid w:val="28BC24C5"/>
    <w:rsid w:val="28D774BB"/>
    <w:rsid w:val="29121D96"/>
    <w:rsid w:val="2936586D"/>
    <w:rsid w:val="294E7F8A"/>
    <w:rsid w:val="29512130"/>
    <w:rsid w:val="298515B1"/>
    <w:rsid w:val="29A82D5A"/>
    <w:rsid w:val="29F94710"/>
    <w:rsid w:val="2A2118AC"/>
    <w:rsid w:val="2A4403D8"/>
    <w:rsid w:val="2A650ECF"/>
    <w:rsid w:val="2AEA2B0D"/>
    <w:rsid w:val="2B156A91"/>
    <w:rsid w:val="2B1C699C"/>
    <w:rsid w:val="2B297455"/>
    <w:rsid w:val="2B2D4A4E"/>
    <w:rsid w:val="2B411367"/>
    <w:rsid w:val="2B4942C0"/>
    <w:rsid w:val="2B4955A8"/>
    <w:rsid w:val="2B871ADA"/>
    <w:rsid w:val="2BD24FA7"/>
    <w:rsid w:val="2BD3698C"/>
    <w:rsid w:val="2BF01C4F"/>
    <w:rsid w:val="2C5D4C27"/>
    <w:rsid w:val="2C8814E5"/>
    <w:rsid w:val="2CC75FC7"/>
    <w:rsid w:val="2CE14A35"/>
    <w:rsid w:val="2D185E69"/>
    <w:rsid w:val="2D38610C"/>
    <w:rsid w:val="2D3D21D3"/>
    <w:rsid w:val="2D4C1ECA"/>
    <w:rsid w:val="2D981A9F"/>
    <w:rsid w:val="2E6C38FC"/>
    <w:rsid w:val="2E797982"/>
    <w:rsid w:val="2EC25B1B"/>
    <w:rsid w:val="2ECF534B"/>
    <w:rsid w:val="2EF0544A"/>
    <w:rsid w:val="2EFA1F8A"/>
    <w:rsid w:val="2F1464AB"/>
    <w:rsid w:val="2F575A27"/>
    <w:rsid w:val="2F7418A6"/>
    <w:rsid w:val="2F7A13A5"/>
    <w:rsid w:val="2F887EE9"/>
    <w:rsid w:val="2FEA5603"/>
    <w:rsid w:val="30363749"/>
    <w:rsid w:val="30430488"/>
    <w:rsid w:val="30515E47"/>
    <w:rsid w:val="305807BF"/>
    <w:rsid w:val="306354AE"/>
    <w:rsid w:val="3098554A"/>
    <w:rsid w:val="30B346F4"/>
    <w:rsid w:val="30E9075C"/>
    <w:rsid w:val="311064AF"/>
    <w:rsid w:val="31144860"/>
    <w:rsid w:val="312E4663"/>
    <w:rsid w:val="31566339"/>
    <w:rsid w:val="31A82DB4"/>
    <w:rsid w:val="31D77620"/>
    <w:rsid w:val="31DE539E"/>
    <w:rsid w:val="327467A8"/>
    <w:rsid w:val="32B33813"/>
    <w:rsid w:val="32CF5540"/>
    <w:rsid w:val="32F43417"/>
    <w:rsid w:val="32FB59E7"/>
    <w:rsid w:val="33575211"/>
    <w:rsid w:val="33612653"/>
    <w:rsid w:val="33646061"/>
    <w:rsid w:val="336851BD"/>
    <w:rsid w:val="336E3E55"/>
    <w:rsid w:val="33712786"/>
    <w:rsid w:val="33814166"/>
    <w:rsid w:val="33A2429B"/>
    <w:rsid w:val="33BB58B7"/>
    <w:rsid w:val="342E2C0D"/>
    <w:rsid w:val="34803687"/>
    <w:rsid w:val="34E1376B"/>
    <w:rsid w:val="34ED3756"/>
    <w:rsid w:val="351A7FC7"/>
    <w:rsid w:val="352124BC"/>
    <w:rsid w:val="352B0108"/>
    <w:rsid w:val="354731D6"/>
    <w:rsid w:val="359B2D3D"/>
    <w:rsid w:val="35BE598E"/>
    <w:rsid w:val="36173F7A"/>
    <w:rsid w:val="3627797A"/>
    <w:rsid w:val="369E34D6"/>
    <w:rsid w:val="37232339"/>
    <w:rsid w:val="37591880"/>
    <w:rsid w:val="37607F59"/>
    <w:rsid w:val="37AA64C4"/>
    <w:rsid w:val="37D24618"/>
    <w:rsid w:val="37F76723"/>
    <w:rsid w:val="381753AD"/>
    <w:rsid w:val="381D6CD7"/>
    <w:rsid w:val="386261A9"/>
    <w:rsid w:val="38A02D03"/>
    <w:rsid w:val="38EF7596"/>
    <w:rsid w:val="390325A8"/>
    <w:rsid w:val="3923266C"/>
    <w:rsid w:val="39653C7D"/>
    <w:rsid w:val="397877DC"/>
    <w:rsid w:val="39963C3F"/>
    <w:rsid w:val="399E6532"/>
    <w:rsid w:val="39D56EDC"/>
    <w:rsid w:val="39E41F44"/>
    <w:rsid w:val="39EA5D5E"/>
    <w:rsid w:val="39EC0B83"/>
    <w:rsid w:val="3A6F7581"/>
    <w:rsid w:val="3A874340"/>
    <w:rsid w:val="3AB3513F"/>
    <w:rsid w:val="3B341C41"/>
    <w:rsid w:val="3B3A2A8C"/>
    <w:rsid w:val="3B3F7C86"/>
    <w:rsid w:val="3B5419A7"/>
    <w:rsid w:val="3B6C1C10"/>
    <w:rsid w:val="3BB349D7"/>
    <w:rsid w:val="3BE825D2"/>
    <w:rsid w:val="3BFC1658"/>
    <w:rsid w:val="3C020D2D"/>
    <w:rsid w:val="3C8C1AC2"/>
    <w:rsid w:val="3C9A782E"/>
    <w:rsid w:val="3CBF476F"/>
    <w:rsid w:val="3CE24074"/>
    <w:rsid w:val="3CFE7B46"/>
    <w:rsid w:val="3D0A3F43"/>
    <w:rsid w:val="3D6C45B9"/>
    <w:rsid w:val="3D6F5EFE"/>
    <w:rsid w:val="3D827FDB"/>
    <w:rsid w:val="3D8848C2"/>
    <w:rsid w:val="3DCC3D3A"/>
    <w:rsid w:val="3DCF6982"/>
    <w:rsid w:val="3DD83CBD"/>
    <w:rsid w:val="3E13127E"/>
    <w:rsid w:val="3E532B5E"/>
    <w:rsid w:val="3E7A3BDA"/>
    <w:rsid w:val="3EE04BCE"/>
    <w:rsid w:val="3F01224D"/>
    <w:rsid w:val="3F2E1EF3"/>
    <w:rsid w:val="3F4E7207"/>
    <w:rsid w:val="3F684DDA"/>
    <w:rsid w:val="3F8D4D6D"/>
    <w:rsid w:val="3F9C7CB3"/>
    <w:rsid w:val="3F9F3F9D"/>
    <w:rsid w:val="3FE26529"/>
    <w:rsid w:val="3FF04A05"/>
    <w:rsid w:val="40357966"/>
    <w:rsid w:val="403D352D"/>
    <w:rsid w:val="4063700D"/>
    <w:rsid w:val="406A4F1B"/>
    <w:rsid w:val="406F1E8A"/>
    <w:rsid w:val="40766159"/>
    <w:rsid w:val="40A25050"/>
    <w:rsid w:val="40C63ED1"/>
    <w:rsid w:val="410048CF"/>
    <w:rsid w:val="41077785"/>
    <w:rsid w:val="410B5475"/>
    <w:rsid w:val="411D243D"/>
    <w:rsid w:val="411E3DA1"/>
    <w:rsid w:val="416C5D1E"/>
    <w:rsid w:val="417F1BC4"/>
    <w:rsid w:val="41873540"/>
    <w:rsid w:val="41C43F94"/>
    <w:rsid w:val="41DB2B74"/>
    <w:rsid w:val="427705EA"/>
    <w:rsid w:val="428B71EF"/>
    <w:rsid w:val="42BC6D15"/>
    <w:rsid w:val="42E20E29"/>
    <w:rsid w:val="431D4FBD"/>
    <w:rsid w:val="435611FD"/>
    <w:rsid w:val="436F6B52"/>
    <w:rsid w:val="439C326E"/>
    <w:rsid w:val="43CE2E1A"/>
    <w:rsid w:val="43CF7169"/>
    <w:rsid w:val="43FF1241"/>
    <w:rsid w:val="44251FDE"/>
    <w:rsid w:val="442904EB"/>
    <w:rsid w:val="446217B4"/>
    <w:rsid w:val="44784FAF"/>
    <w:rsid w:val="44CD03B6"/>
    <w:rsid w:val="4535009F"/>
    <w:rsid w:val="454147B7"/>
    <w:rsid w:val="45447DAA"/>
    <w:rsid w:val="455221A5"/>
    <w:rsid w:val="45C820F5"/>
    <w:rsid w:val="45F34E7B"/>
    <w:rsid w:val="46230622"/>
    <w:rsid w:val="4628799A"/>
    <w:rsid w:val="46641C54"/>
    <w:rsid w:val="46673CD6"/>
    <w:rsid w:val="46A328BE"/>
    <w:rsid w:val="46D2515B"/>
    <w:rsid w:val="46FF5CAF"/>
    <w:rsid w:val="46FF7576"/>
    <w:rsid w:val="470469B2"/>
    <w:rsid w:val="471B0B48"/>
    <w:rsid w:val="471E1622"/>
    <w:rsid w:val="47874E32"/>
    <w:rsid w:val="479178D7"/>
    <w:rsid w:val="47D44777"/>
    <w:rsid w:val="48217A6F"/>
    <w:rsid w:val="48281DF6"/>
    <w:rsid w:val="487A2897"/>
    <w:rsid w:val="487E3620"/>
    <w:rsid w:val="48895562"/>
    <w:rsid w:val="48923A11"/>
    <w:rsid w:val="48B81751"/>
    <w:rsid w:val="49B20DE1"/>
    <w:rsid w:val="49CB7B4B"/>
    <w:rsid w:val="49F711C9"/>
    <w:rsid w:val="4A387870"/>
    <w:rsid w:val="4A59707B"/>
    <w:rsid w:val="4A766712"/>
    <w:rsid w:val="4A783429"/>
    <w:rsid w:val="4A7B7873"/>
    <w:rsid w:val="4A856A0C"/>
    <w:rsid w:val="4A9C1C83"/>
    <w:rsid w:val="4AAE16C7"/>
    <w:rsid w:val="4ABE26EC"/>
    <w:rsid w:val="4AFF1B0B"/>
    <w:rsid w:val="4B2C0F1E"/>
    <w:rsid w:val="4B391F09"/>
    <w:rsid w:val="4B9009B5"/>
    <w:rsid w:val="4BD10515"/>
    <w:rsid w:val="4BEF03D7"/>
    <w:rsid w:val="4BF327C6"/>
    <w:rsid w:val="4BF53501"/>
    <w:rsid w:val="4C020F00"/>
    <w:rsid w:val="4C1B7596"/>
    <w:rsid w:val="4C486D03"/>
    <w:rsid w:val="4C5C7B80"/>
    <w:rsid w:val="4C7B7D5B"/>
    <w:rsid w:val="4CD47CB4"/>
    <w:rsid w:val="4CD908B9"/>
    <w:rsid w:val="4CE97B4E"/>
    <w:rsid w:val="4CF62724"/>
    <w:rsid w:val="4D056806"/>
    <w:rsid w:val="4D5A14FB"/>
    <w:rsid w:val="4D9A502A"/>
    <w:rsid w:val="4DA339E0"/>
    <w:rsid w:val="4DA812EC"/>
    <w:rsid w:val="4DCD6482"/>
    <w:rsid w:val="4DD17574"/>
    <w:rsid w:val="4DD248AF"/>
    <w:rsid w:val="4DE87D0E"/>
    <w:rsid w:val="4E49406C"/>
    <w:rsid w:val="4E4A5168"/>
    <w:rsid w:val="4E4C7DCB"/>
    <w:rsid w:val="4E5104B6"/>
    <w:rsid w:val="4E6C1A85"/>
    <w:rsid w:val="4E87660F"/>
    <w:rsid w:val="4E8D742E"/>
    <w:rsid w:val="4E9241BD"/>
    <w:rsid w:val="4E9F1CEC"/>
    <w:rsid w:val="4ED04720"/>
    <w:rsid w:val="4EE64549"/>
    <w:rsid w:val="4EEC684A"/>
    <w:rsid w:val="4EFC2A8F"/>
    <w:rsid w:val="4F0E3860"/>
    <w:rsid w:val="4F286314"/>
    <w:rsid w:val="4F3D299F"/>
    <w:rsid w:val="4F70405B"/>
    <w:rsid w:val="4F86413E"/>
    <w:rsid w:val="4F9F6DF7"/>
    <w:rsid w:val="4FA66F86"/>
    <w:rsid w:val="506D40EC"/>
    <w:rsid w:val="508178A6"/>
    <w:rsid w:val="509B7BAD"/>
    <w:rsid w:val="50BB4D39"/>
    <w:rsid w:val="50BE2F16"/>
    <w:rsid w:val="50CD03B7"/>
    <w:rsid w:val="50FE637F"/>
    <w:rsid w:val="5157152D"/>
    <w:rsid w:val="518B234A"/>
    <w:rsid w:val="51B73DF0"/>
    <w:rsid w:val="51BE5B2F"/>
    <w:rsid w:val="52065E75"/>
    <w:rsid w:val="520A5BE6"/>
    <w:rsid w:val="52402416"/>
    <w:rsid w:val="524A48B8"/>
    <w:rsid w:val="525E4123"/>
    <w:rsid w:val="527F4D04"/>
    <w:rsid w:val="52927709"/>
    <w:rsid w:val="52A67A5A"/>
    <w:rsid w:val="52BC29D7"/>
    <w:rsid w:val="52D05A18"/>
    <w:rsid w:val="52D53C1F"/>
    <w:rsid w:val="52FD274A"/>
    <w:rsid w:val="53177C0E"/>
    <w:rsid w:val="53337DFF"/>
    <w:rsid w:val="53356D50"/>
    <w:rsid w:val="536A13FE"/>
    <w:rsid w:val="539C7476"/>
    <w:rsid w:val="53BC6E35"/>
    <w:rsid w:val="53CC4B22"/>
    <w:rsid w:val="53EE7631"/>
    <w:rsid w:val="53F053ED"/>
    <w:rsid w:val="53F72186"/>
    <w:rsid w:val="53F94D76"/>
    <w:rsid w:val="543C2D27"/>
    <w:rsid w:val="543E3D14"/>
    <w:rsid w:val="54BA4CF5"/>
    <w:rsid w:val="54E42018"/>
    <w:rsid w:val="54EF2BF0"/>
    <w:rsid w:val="551E6CEE"/>
    <w:rsid w:val="553434EC"/>
    <w:rsid w:val="55407863"/>
    <w:rsid w:val="55425416"/>
    <w:rsid w:val="558D5B85"/>
    <w:rsid w:val="55CC6DDF"/>
    <w:rsid w:val="55EC02DB"/>
    <w:rsid w:val="55ED0F84"/>
    <w:rsid w:val="55FD5CC8"/>
    <w:rsid w:val="55FF6822"/>
    <w:rsid w:val="5603465B"/>
    <w:rsid w:val="560F076E"/>
    <w:rsid w:val="56511CB3"/>
    <w:rsid w:val="5669118D"/>
    <w:rsid w:val="569A3227"/>
    <w:rsid w:val="57051BD6"/>
    <w:rsid w:val="572E606A"/>
    <w:rsid w:val="575748A6"/>
    <w:rsid w:val="576D4CF6"/>
    <w:rsid w:val="577E6571"/>
    <w:rsid w:val="57B143BE"/>
    <w:rsid w:val="57CC1127"/>
    <w:rsid w:val="57D73176"/>
    <w:rsid w:val="58112E7E"/>
    <w:rsid w:val="58202CE7"/>
    <w:rsid w:val="583E0D10"/>
    <w:rsid w:val="58474AF1"/>
    <w:rsid w:val="587578B0"/>
    <w:rsid w:val="588B2C30"/>
    <w:rsid w:val="588F0A5F"/>
    <w:rsid w:val="589A7317"/>
    <w:rsid w:val="58CA2EDB"/>
    <w:rsid w:val="58E729C1"/>
    <w:rsid w:val="592858DF"/>
    <w:rsid w:val="5954396A"/>
    <w:rsid w:val="59581C7D"/>
    <w:rsid w:val="596266DB"/>
    <w:rsid w:val="59771C13"/>
    <w:rsid w:val="59A46228"/>
    <w:rsid w:val="59C916D8"/>
    <w:rsid w:val="59F1758A"/>
    <w:rsid w:val="5A0118E3"/>
    <w:rsid w:val="5A0E6DE8"/>
    <w:rsid w:val="5A9965F4"/>
    <w:rsid w:val="5AD6116C"/>
    <w:rsid w:val="5AF00EA7"/>
    <w:rsid w:val="5AFA3F72"/>
    <w:rsid w:val="5B140BFA"/>
    <w:rsid w:val="5B1419A0"/>
    <w:rsid w:val="5B2A4792"/>
    <w:rsid w:val="5B3B6586"/>
    <w:rsid w:val="5B4F2904"/>
    <w:rsid w:val="5B527CA2"/>
    <w:rsid w:val="5B543C51"/>
    <w:rsid w:val="5B555777"/>
    <w:rsid w:val="5B6156E4"/>
    <w:rsid w:val="5BAE2801"/>
    <w:rsid w:val="5BB84D78"/>
    <w:rsid w:val="5BC64949"/>
    <w:rsid w:val="5BE03D86"/>
    <w:rsid w:val="5BE23D1F"/>
    <w:rsid w:val="5BE32F18"/>
    <w:rsid w:val="5BF25D5F"/>
    <w:rsid w:val="5BF459A2"/>
    <w:rsid w:val="5C054E2D"/>
    <w:rsid w:val="5C3E53E6"/>
    <w:rsid w:val="5C904D38"/>
    <w:rsid w:val="5C9D1184"/>
    <w:rsid w:val="5CA73DB1"/>
    <w:rsid w:val="5CB353A3"/>
    <w:rsid w:val="5CC14E01"/>
    <w:rsid w:val="5CCE188F"/>
    <w:rsid w:val="5CDB1EED"/>
    <w:rsid w:val="5CFA7B04"/>
    <w:rsid w:val="5D13186E"/>
    <w:rsid w:val="5D174ADB"/>
    <w:rsid w:val="5D26009B"/>
    <w:rsid w:val="5D265267"/>
    <w:rsid w:val="5D4D40FF"/>
    <w:rsid w:val="5DA573FF"/>
    <w:rsid w:val="5DC45C52"/>
    <w:rsid w:val="5DC63DC9"/>
    <w:rsid w:val="5E65631F"/>
    <w:rsid w:val="5ECA55E7"/>
    <w:rsid w:val="5F4E6985"/>
    <w:rsid w:val="5F603998"/>
    <w:rsid w:val="5F672FFE"/>
    <w:rsid w:val="5F9D1CF4"/>
    <w:rsid w:val="5FAB6D19"/>
    <w:rsid w:val="5FC829BC"/>
    <w:rsid w:val="5FF514B3"/>
    <w:rsid w:val="5FFE0E79"/>
    <w:rsid w:val="60000729"/>
    <w:rsid w:val="6017124D"/>
    <w:rsid w:val="605F40E2"/>
    <w:rsid w:val="607B17DC"/>
    <w:rsid w:val="60901E13"/>
    <w:rsid w:val="60A22632"/>
    <w:rsid w:val="60A66625"/>
    <w:rsid w:val="60C05F64"/>
    <w:rsid w:val="60C5505A"/>
    <w:rsid w:val="61516A24"/>
    <w:rsid w:val="616217F4"/>
    <w:rsid w:val="619A2136"/>
    <w:rsid w:val="61A70AD0"/>
    <w:rsid w:val="61BF22B1"/>
    <w:rsid w:val="61CA2A1B"/>
    <w:rsid w:val="61FF502A"/>
    <w:rsid w:val="629F4668"/>
    <w:rsid w:val="62D22A91"/>
    <w:rsid w:val="62F16306"/>
    <w:rsid w:val="632C7389"/>
    <w:rsid w:val="63533CC5"/>
    <w:rsid w:val="635B3C3A"/>
    <w:rsid w:val="635E78A1"/>
    <w:rsid w:val="637A256E"/>
    <w:rsid w:val="63A93C90"/>
    <w:rsid w:val="63B85642"/>
    <w:rsid w:val="63BA6ABF"/>
    <w:rsid w:val="63CB5425"/>
    <w:rsid w:val="63CF6450"/>
    <w:rsid w:val="63D80E28"/>
    <w:rsid w:val="63F05DFF"/>
    <w:rsid w:val="64102919"/>
    <w:rsid w:val="641409F1"/>
    <w:rsid w:val="64231B89"/>
    <w:rsid w:val="64520AA6"/>
    <w:rsid w:val="64547F6B"/>
    <w:rsid w:val="645C5BB2"/>
    <w:rsid w:val="646332EF"/>
    <w:rsid w:val="647D7601"/>
    <w:rsid w:val="65097DB4"/>
    <w:rsid w:val="65152215"/>
    <w:rsid w:val="651E4B62"/>
    <w:rsid w:val="656A6223"/>
    <w:rsid w:val="65AD68DC"/>
    <w:rsid w:val="65B85259"/>
    <w:rsid w:val="65BD4645"/>
    <w:rsid w:val="667B379C"/>
    <w:rsid w:val="66805D9E"/>
    <w:rsid w:val="66C95997"/>
    <w:rsid w:val="66E03D41"/>
    <w:rsid w:val="66F41367"/>
    <w:rsid w:val="67033E69"/>
    <w:rsid w:val="671430CD"/>
    <w:rsid w:val="67150CFF"/>
    <w:rsid w:val="671F7572"/>
    <w:rsid w:val="676600A3"/>
    <w:rsid w:val="67C77E8B"/>
    <w:rsid w:val="67D10581"/>
    <w:rsid w:val="67DB7004"/>
    <w:rsid w:val="681368BA"/>
    <w:rsid w:val="68274185"/>
    <w:rsid w:val="683036E5"/>
    <w:rsid w:val="68BA356D"/>
    <w:rsid w:val="68BA5C58"/>
    <w:rsid w:val="68BC1A6D"/>
    <w:rsid w:val="68FA7D76"/>
    <w:rsid w:val="691E52F6"/>
    <w:rsid w:val="694C1F68"/>
    <w:rsid w:val="69B72E6E"/>
    <w:rsid w:val="69BD71DE"/>
    <w:rsid w:val="69C276EE"/>
    <w:rsid w:val="69DC4F9C"/>
    <w:rsid w:val="69E01912"/>
    <w:rsid w:val="69F80DB0"/>
    <w:rsid w:val="69FF549A"/>
    <w:rsid w:val="6A0F5458"/>
    <w:rsid w:val="6A2B6A68"/>
    <w:rsid w:val="6A393964"/>
    <w:rsid w:val="6A633B4C"/>
    <w:rsid w:val="6A6C35FD"/>
    <w:rsid w:val="6A6E6628"/>
    <w:rsid w:val="6A980FF8"/>
    <w:rsid w:val="6A9E078F"/>
    <w:rsid w:val="6AAB10A2"/>
    <w:rsid w:val="6AAC3753"/>
    <w:rsid w:val="6AD4326D"/>
    <w:rsid w:val="6ADF52F4"/>
    <w:rsid w:val="6B1271E1"/>
    <w:rsid w:val="6B1348F8"/>
    <w:rsid w:val="6B1E044D"/>
    <w:rsid w:val="6B477AC7"/>
    <w:rsid w:val="6B4A5727"/>
    <w:rsid w:val="6B6B38F5"/>
    <w:rsid w:val="6B7A017C"/>
    <w:rsid w:val="6BA2345A"/>
    <w:rsid w:val="6BDB47DD"/>
    <w:rsid w:val="6BE86702"/>
    <w:rsid w:val="6BF051E7"/>
    <w:rsid w:val="6BF46A43"/>
    <w:rsid w:val="6C2610FB"/>
    <w:rsid w:val="6C44426C"/>
    <w:rsid w:val="6C6B7A4F"/>
    <w:rsid w:val="6C9E66EA"/>
    <w:rsid w:val="6C9E7E24"/>
    <w:rsid w:val="6CB71DEE"/>
    <w:rsid w:val="6CC664D5"/>
    <w:rsid w:val="6CDB060D"/>
    <w:rsid w:val="6CE8198E"/>
    <w:rsid w:val="6D0832FA"/>
    <w:rsid w:val="6D572885"/>
    <w:rsid w:val="6D7234AE"/>
    <w:rsid w:val="6DA77B42"/>
    <w:rsid w:val="6DA85BDA"/>
    <w:rsid w:val="6DAF2426"/>
    <w:rsid w:val="6DC222B2"/>
    <w:rsid w:val="6DE37FB0"/>
    <w:rsid w:val="6DE70AA5"/>
    <w:rsid w:val="6DEE029A"/>
    <w:rsid w:val="6E4944FE"/>
    <w:rsid w:val="6EA32418"/>
    <w:rsid w:val="6EAC6D8C"/>
    <w:rsid w:val="6ECB4884"/>
    <w:rsid w:val="6EE04484"/>
    <w:rsid w:val="6EF13573"/>
    <w:rsid w:val="6EF41351"/>
    <w:rsid w:val="6EFC6C4E"/>
    <w:rsid w:val="6F4209F0"/>
    <w:rsid w:val="6F837B22"/>
    <w:rsid w:val="6FE952EB"/>
    <w:rsid w:val="6FFA16A8"/>
    <w:rsid w:val="70112C5B"/>
    <w:rsid w:val="701C7B0B"/>
    <w:rsid w:val="7055745A"/>
    <w:rsid w:val="7059220F"/>
    <w:rsid w:val="705E0013"/>
    <w:rsid w:val="706127C4"/>
    <w:rsid w:val="706515AD"/>
    <w:rsid w:val="70726AB6"/>
    <w:rsid w:val="70BD1CBA"/>
    <w:rsid w:val="70D549F1"/>
    <w:rsid w:val="70E10104"/>
    <w:rsid w:val="712129A1"/>
    <w:rsid w:val="71402C13"/>
    <w:rsid w:val="716A4F70"/>
    <w:rsid w:val="71891A4E"/>
    <w:rsid w:val="718F7365"/>
    <w:rsid w:val="71AB1F21"/>
    <w:rsid w:val="721818D1"/>
    <w:rsid w:val="72381C80"/>
    <w:rsid w:val="72754768"/>
    <w:rsid w:val="7282517D"/>
    <w:rsid w:val="72DF272A"/>
    <w:rsid w:val="72F75DE7"/>
    <w:rsid w:val="732164A6"/>
    <w:rsid w:val="738B7D9E"/>
    <w:rsid w:val="73F21410"/>
    <w:rsid w:val="73F83DCF"/>
    <w:rsid w:val="740022CC"/>
    <w:rsid w:val="742C4AD9"/>
    <w:rsid w:val="748D68B0"/>
    <w:rsid w:val="7490488D"/>
    <w:rsid w:val="74A20CB8"/>
    <w:rsid w:val="74C113EE"/>
    <w:rsid w:val="74D316EE"/>
    <w:rsid w:val="74D92400"/>
    <w:rsid w:val="74DA58C4"/>
    <w:rsid w:val="74E60B14"/>
    <w:rsid w:val="75061B64"/>
    <w:rsid w:val="751108EE"/>
    <w:rsid w:val="751828A9"/>
    <w:rsid w:val="7534018B"/>
    <w:rsid w:val="754177B6"/>
    <w:rsid w:val="7568355A"/>
    <w:rsid w:val="757A19B3"/>
    <w:rsid w:val="7595253C"/>
    <w:rsid w:val="759B1DC6"/>
    <w:rsid w:val="75BA1FA5"/>
    <w:rsid w:val="75E97CC5"/>
    <w:rsid w:val="760616F0"/>
    <w:rsid w:val="76400746"/>
    <w:rsid w:val="76783F68"/>
    <w:rsid w:val="768A556E"/>
    <w:rsid w:val="76B0741C"/>
    <w:rsid w:val="76BA0596"/>
    <w:rsid w:val="76BC5F4E"/>
    <w:rsid w:val="76F12774"/>
    <w:rsid w:val="76F55CFC"/>
    <w:rsid w:val="770713C2"/>
    <w:rsid w:val="771C4130"/>
    <w:rsid w:val="7762504C"/>
    <w:rsid w:val="778B160C"/>
    <w:rsid w:val="77AE0291"/>
    <w:rsid w:val="77C37CB2"/>
    <w:rsid w:val="78382C37"/>
    <w:rsid w:val="7857771E"/>
    <w:rsid w:val="7860158C"/>
    <w:rsid w:val="78684186"/>
    <w:rsid w:val="78721190"/>
    <w:rsid w:val="787B561E"/>
    <w:rsid w:val="788342FC"/>
    <w:rsid w:val="78AA0481"/>
    <w:rsid w:val="78BB4832"/>
    <w:rsid w:val="790D5529"/>
    <w:rsid w:val="7911138E"/>
    <w:rsid w:val="793677AC"/>
    <w:rsid w:val="79501AEB"/>
    <w:rsid w:val="79691AB8"/>
    <w:rsid w:val="797D6D2E"/>
    <w:rsid w:val="798A0FE9"/>
    <w:rsid w:val="7A120203"/>
    <w:rsid w:val="7A167A61"/>
    <w:rsid w:val="7A6C7A06"/>
    <w:rsid w:val="7A943AA7"/>
    <w:rsid w:val="7B5353D8"/>
    <w:rsid w:val="7B6475E5"/>
    <w:rsid w:val="7B85763F"/>
    <w:rsid w:val="7BB22C09"/>
    <w:rsid w:val="7BD227A0"/>
    <w:rsid w:val="7C2F41E4"/>
    <w:rsid w:val="7C4250BF"/>
    <w:rsid w:val="7C6904B0"/>
    <w:rsid w:val="7C6A190C"/>
    <w:rsid w:val="7C732BC9"/>
    <w:rsid w:val="7C7C5B04"/>
    <w:rsid w:val="7C8F595F"/>
    <w:rsid w:val="7C8F7765"/>
    <w:rsid w:val="7CC17E0E"/>
    <w:rsid w:val="7CC81F31"/>
    <w:rsid w:val="7CFB628F"/>
    <w:rsid w:val="7D126BCC"/>
    <w:rsid w:val="7D57048D"/>
    <w:rsid w:val="7D5739F5"/>
    <w:rsid w:val="7D61761C"/>
    <w:rsid w:val="7D772FAD"/>
    <w:rsid w:val="7DED20B3"/>
    <w:rsid w:val="7E057838"/>
    <w:rsid w:val="7E0E398F"/>
    <w:rsid w:val="7E1D3EAB"/>
    <w:rsid w:val="7E3E617B"/>
    <w:rsid w:val="7E71005F"/>
    <w:rsid w:val="7EA35F7C"/>
    <w:rsid w:val="7ECF4FC6"/>
    <w:rsid w:val="7ED03D9A"/>
    <w:rsid w:val="7EF33A74"/>
    <w:rsid w:val="7EF85B0A"/>
    <w:rsid w:val="7F2841F8"/>
    <w:rsid w:val="7F3A2ED0"/>
    <w:rsid w:val="7F75556B"/>
    <w:rsid w:val="7F8E0132"/>
    <w:rsid w:val="7FD825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iPriority="0" w:semiHidden="0" w:name="toc 2"/>
    <w:lsdException w:qFormat="1" w:unhideWhenUsed="0" w:uiPriority="39"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0"/>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71"/>
    <w:qFormat/>
    <w:uiPriority w:val="0"/>
    <w:pPr>
      <w:keepNext/>
      <w:keepLines/>
      <w:spacing w:before="260" w:after="260" w:line="416" w:lineRule="auto"/>
      <w:outlineLvl w:val="2"/>
    </w:pPr>
    <w:rPr>
      <w:b/>
      <w:bCs/>
      <w:sz w:val="32"/>
      <w:szCs w:val="32"/>
    </w:rPr>
  </w:style>
  <w:style w:type="paragraph" w:styleId="6">
    <w:name w:val="heading 4"/>
    <w:basedOn w:val="1"/>
    <w:next w:val="1"/>
    <w:link w:val="72"/>
    <w:qFormat/>
    <w:uiPriority w:val="0"/>
    <w:pPr>
      <w:keepNext/>
      <w:keepLines/>
      <w:spacing w:before="280" w:after="290" w:line="372" w:lineRule="auto"/>
      <w:outlineLvl w:val="3"/>
    </w:pPr>
    <w:rPr>
      <w:rFonts w:ascii="Arial" w:hAnsi="Arial" w:eastAsia="黑体"/>
      <w:b/>
      <w:bCs/>
      <w:sz w:val="28"/>
      <w:szCs w:val="28"/>
    </w:rPr>
  </w:style>
  <w:style w:type="paragraph" w:styleId="7">
    <w:name w:val="heading 5"/>
    <w:basedOn w:val="1"/>
    <w:next w:val="8"/>
    <w:link w:val="73"/>
    <w:qFormat/>
    <w:uiPriority w:val="0"/>
    <w:pPr>
      <w:keepNext/>
      <w:keepLines/>
      <w:spacing w:before="280" w:after="290" w:line="376" w:lineRule="auto"/>
      <w:outlineLvl w:val="4"/>
    </w:pPr>
    <w:rPr>
      <w:b/>
      <w:sz w:val="28"/>
    </w:rPr>
  </w:style>
  <w:style w:type="paragraph" w:styleId="9">
    <w:name w:val="heading 6"/>
    <w:basedOn w:val="1"/>
    <w:next w:val="1"/>
    <w:link w:val="75"/>
    <w:qFormat/>
    <w:uiPriority w:val="0"/>
    <w:pPr>
      <w:keepNext/>
      <w:keepLines/>
      <w:spacing w:before="240" w:after="64" w:line="320" w:lineRule="auto"/>
      <w:outlineLvl w:val="5"/>
    </w:pPr>
    <w:rPr>
      <w:rFonts w:ascii="Arial" w:hAnsi="Arial" w:eastAsia="黑体"/>
      <w:b/>
      <w:bCs/>
      <w:sz w:val="24"/>
    </w:rPr>
  </w:style>
  <w:style w:type="paragraph" w:styleId="10">
    <w:name w:val="heading 7"/>
    <w:basedOn w:val="1"/>
    <w:next w:val="8"/>
    <w:link w:val="76"/>
    <w:qFormat/>
    <w:uiPriority w:val="0"/>
    <w:pPr>
      <w:keepNext/>
      <w:keepLines/>
      <w:spacing w:before="240" w:after="64" w:line="320" w:lineRule="auto"/>
      <w:outlineLvl w:val="6"/>
    </w:pPr>
    <w:rPr>
      <w:b/>
      <w:sz w:val="24"/>
    </w:rPr>
  </w:style>
  <w:style w:type="paragraph" w:styleId="11">
    <w:name w:val="heading 8"/>
    <w:basedOn w:val="1"/>
    <w:next w:val="8"/>
    <w:link w:val="77"/>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8"/>
    <w:link w:val="78"/>
    <w:qFormat/>
    <w:uiPriority w:val="0"/>
    <w:pPr>
      <w:keepNext/>
      <w:keepLines/>
      <w:spacing w:before="240" w:after="64" w:line="320" w:lineRule="auto"/>
      <w:outlineLvl w:val="8"/>
    </w:pPr>
    <w:rPr>
      <w:rFonts w:ascii="Arial" w:hAnsi="Arial" w:eastAsia="黑体"/>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8">
    <w:name w:val="Normal Indent"/>
    <w:basedOn w:val="1"/>
    <w:link w:val="74"/>
    <w:qFormat/>
    <w:uiPriority w:val="0"/>
    <w:pPr>
      <w:ind w:firstLine="420"/>
    </w:pPr>
    <w:rPr>
      <w:szCs w:val="20"/>
    </w:rPr>
  </w:style>
  <w:style w:type="paragraph" w:styleId="13">
    <w:name w:val="List 3"/>
    <w:basedOn w:val="1"/>
    <w:qFormat/>
    <w:uiPriority w:val="0"/>
    <w:pPr>
      <w:ind w:left="100" w:leftChars="400" w:hanging="200" w:hangingChars="200"/>
    </w:pPr>
    <w:rPr>
      <w:rFonts w:ascii="宋体" w:hAnsi="Courier New"/>
      <w:szCs w:val="20"/>
    </w:rPr>
  </w:style>
  <w:style w:type="paragraph" w:styleId="14">
    <w:name w:val="index 8"/>
    <w:basedOn w:val="1"/>
    <w:next w:val="1"/>
    <w:qFormat/>
    <w:uiPriority w:val="0"/>
    <w:pPr>
      <w:spacing w:line="400" w:lineRule="exact"/>
      <w:ind w:left="2940" w:firstLine="200" w:firstLineChars="200"/>
      <w:jc w:val="left"/>
    </w:p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qFormat/>
    <w:uiPriority w:val="0"/>
    <w:pPr>
      <w:spacing w:before="152"/>
    </w:pPr>
    <w:rPr>
      <w:rFonts w:ascii="Arial" w:hAnsi="Arial" w:eastAsia="黑体" w:cs="Arial"/>
      <w:sz w:val="20"/>
      <w:szCs w:val="20"/>
    </w:rPr>
  </w:style>
  <w:style w:type="paragraph" w:styleId="17">
    <w:name w:val="Document Map"/>
    <w:basedOn w:val="1"/>
    <w:link w:val="79"/>
    <w:qFormat/>
    <w:uiPriority w:val="0"/>
    <w:pPr>
      <w:shd w:val="clear" w:color="auto" w:fill="000080"/>
    </w:pPr>
  </w:style>
  <w:style w:type="paragraph" w:styleId="18">
    <w:name w:val="toa heading"/>
    <w:basedOn w:val="1"/>
    <w:next w:val="1"/>
    <w:unhideWhenUsed/>
    <w:qFormat/>
    <w:uiPriority w:val="99"/>
    <w:pPr>
      <w:spacing w:before="120"/>
    </w:pPr>
    <w:rPr>
      <w:rFonts w:ascii="Arial" w:hAnsi="Arial"/>
      <w:sz w:val="24"/>
      <w:szCs w:val="22"/>
    </w:rPr>
  </w:style>
  <w:style w:type="paragraph" w:styleId="19">
    <w:name w:val="annotation text"/>
    <w:basedOn w:val="1"/>
    <w:link w:val="80"/>
    <w:qFormat/>
    <w:uiPriority w:val="99"/>
    <w:pPr>
      <w:jc w:val="left"/>
    </w:pPr>
  </w:style>
  <w:style w:type="paragraph" w:styleId="20">
    <w:name w:val="Body Text 3"/>
    <w:basedOn w:val="1"/>
    <w:link w:val="81"/>
    <w:qFormat/>
    <w:uiPriority w:val="0"/>
    <w:pPr>
      <w:spacing w:line="240" w:lineRule="exact"/>
    </w:pPr>
    <w:rPr>
      <w:rFonts w:ascii="宋体" w:hAnsi="宋体"/>
      <w:color w:val="000000"/>
      <w:szCs w:val="21"/>
    </w:rPr>
  </w:style>
  <w:style w:type="paragraph" w:styleId="21">
    <w:name w:val="Body Text"/>
    <w:basedOn w:val="1"/>
    <w:next w:val="22"/>
    <w:link w:val="68"/>
    <w:qFormat/>
    <w:uiPriority w:val="99"/>
    <w:pPr>
      <w:spacing w:after="120"/>
    </w:pPr>
  </w:style>
  <w:style w:type="paragraph" w:styleId="22">
    <w:name w:val="Body Text First Indent 2"/>
    <w:basedOn w:val="1"/>
    <w:unhideWhenUsed/>
    <w:qFormat/>
    <w:uiPriority w:val="99"/>
    <w:pPr>
      <w:ind w:firstLine="420" w:firstLineChars="200"/>
    </w:pPr>
  </w:style>
  <w:style w:type="paragraph" w:styleId="23">
    <w:name w:val="Body Text Indent"/>
    <w:basedOn w:val="1"/>
    <w:link w:val="82"/>
    <w:qFormat/>
    <w:uiPriority w:val="0"/>
    <w:pPr>
      <w:spacing w:after="120"/>
      <w:ind w:left="420" w:leftChars="200"/>
    </w:pPr>
  </w:style>
  <w:style w:type="paragraph" w:styleId="24">
    <w:name w:val="List Number 3"/>
    <w:basedOn w:val="1"/>
    <w:qFormat/>
    <w:uiPriority w:val="0"/>
    <w:pPr>
      <w:tabs>
        <w:tab w:val="left" w:pos="284"/>
        <w:tab w:val="left" w:pos="1280"/>
      </w:tabs>
      <w:ind w:left="284" w:hanging="284"/>
    </w:pPr>
  </w:style>
  <w:style w:type="paragraph" w:styleId="25">
    <w:name w:val="List 2"/>
    <w:basedOn w:val="1"/>
    <w:qFormat/>
    <w:uiPriority w:val="0"/>
    <w:pPr>
      <w:ind w:left="100" w:leftChars="200" w:hanging="200" w:hangingChars="200"/>
    </w:pPr>
    <w:rPr>
      <w:szCs w:val="20"/>
    </w:rPr>
  </w:style>
  <w:style w:type="paragraph" w:styleId="26">
    <w:name w:val="Block Text"/>
    <w:basedOn w:val="1"/>
    <w:qFormat/>
    <w:uiPriority w:val="0"/>
    <w:pPr>
      <w:widowControl/>
      <w:tabs>
        <w:tab w:val="left" w:pos="284"/>
      </w:tabs>
      <w:ind w:left="788" w:right="-594"/>
    </w:pPr>
    <w:rPr>
      <w:rFonts w:ascii="创艺繁楷体" w:eastAsia="创艺繁楷体"/>
      <w:kern w:val="0"/>
      <w:sz w:val="24"/>
      <w:szCs w:val="20"/>
      <w:lang w:eastAsia="zh-TW"/>
    </w:rPr>
  </w:style>
  <w:style w:type="paragraph" w:styleId="27">
    <w:name w:val="toc 3"/>
    <w:basedOn w:val="1"/>
    <w:next w:val="1"/>
    <w:qFormat/>
    <w:uiPriority w:val="39"/>
    <w:pPr>
      <w:ind w:left="840" w:leftChars="400"/>
    </w:pPr>
  </w:style>
  <w:style w:type="paragraph" w:styleId="28">
    <w:name w:val="Plain Text"/>
    <w:basedOn w:val="1"/>
    <w:next w:val="6"/>
    <w:link w:val="83"/>
    <w:qFormat/>
    <w:uiPriority w:val="0"/>
    <w:rPr>
      <w:rFonts w:ascii="宋体" w:hAnsi="Courier New"/>
      <w:szCs w:val="20"/>
    </w:rPr>
  </w:style>
  <w:style w:type="paragraph" w:styleId="29">
    <w:name w:val="Date"/>
    <w:basedOn w:val="1"/>
    <w:next w:val="1"/>
    <w:link w:val="84"/>
    <w:qFormat/>
    <w:uiPriority w:val="0"/>
    <w:pPr>
      <w:ind w:left="100" w:leftChars="2500"/>
    </w:pPr>
  </w:style>
  <w:style w:type="paragraph" w:styleId="30">
    <w:name w:val="Body Text Indent 2"/>
    <w:basedOn w:val="1"/>
    <w:link w:val="85"/>
    <w:qFormat/>
    <w:uiPriority w:val="0"/>
    <w:pPr>
      <w:spacing w:line="500" w:lineRule="exact"/>
      <w:ind w:firstLine="442" w:firstLineChars="200"/>
    </w:pPr>
    <w:rPr>
      <w:sz w:val="24"/>
      <w:szCs w:val="20"/>
    </w:rPr>
  </w:style>
  <w:style w:type="paragraph" w:styleId="31">
    <w:name w:val="Balloon Text"/>
    <w:basedOn w:val="1"/>
    <w:link w:val="86"/>
    <w:semiHidden/>
    <w:qFormat/>
    <w:uiPriority w:val="0"/>
    <w:rPr>
      <w:sz w:val="18"/>
      <w:szCs w:val="18"/>
    </w:rPr>
  </w:style>
  <w:style w:type="paragraph" w:styleId="32">
    <w:name w:val="footer"/>
    <w:basedOn w:val="1"/>
    <w:link w:val="87"/>
    <w:qFormat/>
    <w:uiPriority w:val="99"/>
    <w:pPr>
      <w:tabs>
        <w:tab w:val="center" w:pos="4153"/>
        <w:tab w:val="right" w:pos="8306"/>
      </w:tabs>
      <w:snapToGrid w:val="0"/>
      <w:jc w:val="left"/>
    </w:pPr>
    <w:rPr>
      <w:sz w:val="18"/>
      <w:szCs w:val="18"/>
    </w:rPr>
  </w:style>
  <w:style w:type="paragraph" w:styleId="33">
    <w:name w:val="envelope return"/>
    <w:basedOn w:val="1"/>
    <w:qFormat/>
    <w:uiPriority w:val="0"/>
    <w:pPr>
      <w:snapToGrid w:val="0"/>
    </w:pPr>
    <w:rPr>
      <w:rFonts w:ascii="Arial" w:hAnsi="Arial"/>
    </w:rPr>
  </w:style>
  <w:style w:type="paragraph" w:styleId="34">
    <w:name w:val="header"/>
    <w:basedOn w:val="1"/>
    <w:link w:val="88"/>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style>
  <w:style w:type="paragraph" w:styleId="36">
    <w:name w:val="List"/>
    <w:basedOn w:val="1"/>
    <w:qFormat/>
    <w:uiPriority w:val="0"/>
    <w:pPr>
      <w:ind w:left="200" w:hanging="200" w:hangingChars="200"/>
    </w:pPr>
    <w:rPr>
      <w:sz w:val="28"/>
    </w:rPr>
  </w:style>
  <w:style w:type="paragraph" w:styleId="37">
    <w:name w:val="toc 6"/>
    <w:basedOn w:val="1"/>
    <w:next w:val="1"/>
    <w:unhideWhenUsed/>
    <w:qFormat/>
    <w:uiPriority w:val="39"/>
    <w:pPr>
      <w:widowControl/>
      <w:ind w:left="1000"/>
      <w:jc w:val="left"/>
    </w:pPr>
    <w:rPr>
      <w:kern w:val="0"/>
      <w:sz w:val="18"/>
      <w:szCs w:val="20"/>
    </w:rPr>
  </w:style>
  <w:style w:type="paragraph" w:styleId="38">
    <w:name w:val="Body Text Indent 3"/>
    <w:basedOn w:val="1"/>
    <w:link w:val="89"/>
    <w:qFormat/>
    <w:uiPriority w:val="0"/>
    <w:pPr>
      <w:spacing w:after="120"/>
      <w:ind w:left="420" w:leftChars="200"/>
    </w:pPr>
    <w:rPr>
      <w:kern w:val="0"/>
      <w:sz w:val="16"/>
      <w:szCs w:val="16"/>
    </w:rPr>
  </w:style>
  <w:style w:type="paragraph" w:styleId="39">
    <w:name w:val="toc 2"/>
    <w:basedOn w:val="1"/>
    <w:next w:val="1"/>
    <w:unhideWhenUsed/>
    <w:qFormat/>
    <w:uiPriority w:val="0"/>
    <w:pPr>
      <w:ind w:left="420" w:leftChars="200"/>
    </w:pPr>
  </w:style>
  <w:style w:type="paragraph" w:styleId="40">
    <w:name w:val="toc 9"/>
    <w:basedOn w:val="1"/>
    <w:next w:val="1"/>
    <w:qFormat/>
    <w:uiPriority w:val="0"/>
    <w:pPr>
      <w:ind w:left="3360" w:leftChars="1600"/>
    </w:pPr>
  </w:style>
  <w:style w:type="paragraph" w:styleId="41">
    <w:name w:val="Body Text 2"/>
    <w:basedOn w:val="1"/>
    <w:link w:val="90"/>
    <w:qFormat/>
    <w:uiPriority w:val="0"/>
    <w:pPr>
      <w:spacing w:after="120" w:line="480" w:lineRule="auto"/>
    </w:pPr>
    <w:rPr>
      <w:kern w:val="0"/>
      <w:sz w:val="20"/>
    </w:rPr>
  </w:style>
  <w:style w:type="paragraph" w:styleId="42">
    <w:name w:val="List Continue 2"/>
    <w:basedOn w:val="1"/>
    <w:qFormat/>
    <w:uiPriority w:val="0"/>
    <w:pPr>
      <w:spacing w:after="120"/>
      <w:ind w:left="840" w:leftChars="400"/>
    </w:pPr>
    <w:rPr>
      <w:rFonts w:ascii="宋体" w:hAnsi="Courier New"/>
      <w:szCs w:val="20"/>
    </w:rPr>
  </w:style>
  <w:style w:type="paragraph" w:styleId="43">
    <w:name w:val="HTML Preformatted"/>
    <w:basedOn w:val="1"/>
    <w:link w:val="9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0"/>
    <w:pPr>
      <w:spacing w:line="400" w:lineRule="exact"/>
      <w:ind w:firstLine="420" w:firstLineChars="200"/>
    </w:pPr>
    <w:rPr>
      <w:rFonts w:ascii="宋体" w:hAnsi="Courier New"/>
      <w:b/>
      <w:szCs w:val="20"/>
    </w:rPr>
  </w:style>
  <w:style w:type="paragraph" w:styleId="46">
    <w:name w:val="Title"/>
    <w:basedOn w:val="1"/>
    <w:next w:val="1"/>
    <w:link w:val="92"/>
    <w:qFormat/>
    <w:uiPriority w:val="0"/>
    <w:pPr>
      <w:spacing w:before="240" w:after="60"/>
      <w:jc w:val="center"/>
      <w:outlineLvl w:val="0"/>
    </w:pPr>
    <w:rPr>
      <w:rFonts w:ascii="等线 Light" w:hAnsi="等线 Light"/>
      <w:b/>
      <w:bCs/>
      <w:sz w:val="32"/>
      <w:szCs w:val="32"/>
    </w:rPr>
  </w:style>
  <w:style w:type="paragraph" w:styleId="47">
    <w:name w:val="annotation subject"/>
    <w:basedOn w:val="19"/>
    <w:next w:val="19"/>
    <w:link w:val="93"/>
    <w:semiHidden/>
    <w:qFormat/>
    <w:uiPriority w:val="0"/>
    <w:rPr>
      <w:b/>
      <w:bCs/>
    </w:rPr>
  </w:style>
  <w:style w:type="paragraph" w:styleId="48">
    <w:name w:val="Body Text First Indent"/>
    <w:basedOn w:val="21"/>
    <w:next w:val="22"/>
    <w:unhideWhenUsed/>
    <w:qFormat/>
    <w:uiPriority w:val="99"/>
    <w:pPr>
      <w:ind w:firstLine="420" w:firstLineChars="100"/>
    </w:p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0"/>
    <w:rPr>
      <w:b/>
      <w:bCs/>
    </w:rPr>
  </w:style>
  <w:style w:type="character" w:styleId="53">
    <w:name w:val="page number"/>
    <w:qFormat/>
    <w:uiPriority w:val="0"/>
  </w:style>
  <w:style w:type="character" w:styleId="54">
    <w:name w:val="FollowedHyperlink"/>
    <w:qFormat/>
    <w:uiPriority w:val="0"/>
    <w:rPr>
      <w:color w:val="333333"/>
      <w:u w:val="none"/>
    </w:rPr>
  </w:style>
  <w:style w:type="character" w:styleId="55">
    <w:name w:val="Emphasis"/>
    <w:qFormat/>
    <w:uiPriority w:val="0"/>
  </w:style>
  <w:style w:type="character" w:styleId="56">
    <w:name w:val="line number"/>
    <w:qFormat/>
    <w:uiPriority w:val="0"/>
  </w:style>
  <w:style w:type="character" w:styleId="57">
    <w:name w:val="HTML Definition"/>
    <w:qFormat/>
    <w:uiPriority w:val="0"/>
  </w:style>
  <w:style w:type="character" w:styleId="58">
    <w:name w:val="HTML Acronym"/>
    <w:qFormat/>
    <w:uiPriority w:val="0"/>
  </w:style>
  <w:style w:type="character" w:styleId="59">
    <w:name w:val="HTML Variable"/>
    <w:qFormat/>
    <w:uiPriority w:val="0"/>
  </w:style>
  <w:style w:type="character" w:styleId="60">
    <w:name w:val="Hyperlink"/>
    <w:qFormat/>
    <w:uiPriority w:val="99"/>
    <w:rPr>
      <w:color w:val="0000FF"/>
      <w:u w:val="single"/>
    </w:rPr>
  </w:style>
  <w:style w:type="character" w:styleId="61">
    <w:name w:val="HTML Code"/>
    <w:qFormat/>
    <w:uiPriority w:val="0"/>
    <w:rPr>
      <w:rFonts w:ascii="Courier New" w:hAnsi="Courier New"/>
      <w:color w:val="505050"/>
      <w:sz w:val="24"/>
      <w:szCs w:val="24"/>
    </w:rPr>
  </w:style>
  <w:style w:type="character" w:styleId="62">
    <w:name w:val="annotation reference"/>
    <w:basedOn w:val="51"/>
    <w:qFormat/>
    <w:uiPriority w:val="99"/>
    <w:rPr>
      <w:sz w:val="21"/>
      <w:szCs w:val="21"/>
    </w:rPr>
  </w:style>
  <w:style w:type="character" w:styleId="63">
    <w:name w:val="HTML Cite"/>
    <w:qFormat/>
    <w:uiPriority w:val="0"/>
  </w:style>
  <w:style w:type="paragraph" w:customStyle="1" w:styleId="64">
    <w:name w:val="**正文"/>
    <w:basedOn w:val="1"/>
    <w:qFormat/>
    <w:uiPriority w:val="0"/>
    <w:pPr>
      <w:ind w:firstLine="482"/>
    </w:pPr>
    <w:rPr>
      <w:rFonts w:ascii="宋体" w:hAnsi="宋体"/>
      <w:sz w:val="24"/>
    </w:rPr>
  </w:style>
  <w:style w:type="paragraph" w:customStyle="1" w:styleId="65">
    <w:name w:val="样式 正文文本缩进 + 首行缩进:  2 字符 行距: 1.5 倍行距"/>
    <w:basedOn w:val="23"/>
    <w:qFormat/>
    <w:uiPriority w:val="0"/>
    <w:rPr>
      <w:rFonts w:cs="宋体"/>
    </w:rPr>
  </w:style>
  <w:style w:type="paragraph" w:customStyle="1" w:styleId="66">
    <w:name w:val="style4"/>
    <w:basedOn w:val="1"/>
    <w:next w:val="67"/>
    <w:qFormat/>
    <w:uiPriority w:val="0"/>
    <w:pPr>
      <w:widowControl/>
      <w:spacing w:before="280" w:after="280"/>
    </w:pPr>
    <w:rPr>
      <w:rFonts w:ascii="宋体"/>
      <w:sz w:val="18"/>
    </w:rPr>
  </w:style>
  <w:style w:type="paragraph" w:customStyle="1" w:styleId="67">
    <w:name w:val="2"/>
    <w:next w:val="1"/>
    <w:qFormat/>
    <w:uiPriority w:val="0"/>
    <w:pPr>
      <w:widowControl w:val="0"/>
      <w:spacing w:after="160" w:line="278" w:lineRule="auto"/>
      <w:jc w:val="both"/>
    </w:pPr>
    <w:rPr>
      <w:rFonts w:ascii="Calibri" w:hAnsi="Calibri" w:eastAsia="宋体" w:cs="Times New Roman"/>
      <w:sz w:val="21"/>
      <w:szCs w:val="22"/>
      <w:lang w:val="en-US" w:eastAsia="zh-CN" w:bidi="ar-SA"/>
    </w:rPr>
  </w:style>
  <w:style w:type="character" w:customStyle="1" w:styleId="68">
    <w:name w:val="正文文本 字符"/>
    <w:link w:val="21"/>
    <w:qFormat/>
    <w:uiPriority w:val="99"/>
    <w:rPr>
      <w:kern w:val="2"/>
      <w:sz w:val="21"/>
      <w:szCs w:val="24"/>
    </w:rPr>
  </w:style>
  <w:style w:type="character" w:customStyle="1" w:styleId="69">
    <w:name w:val="标题 1 字符"/>
    <w:link w:val="3"/>
    <w:qFormat/>
    <w:uiPriority w:val="0"/>
    <w:rPr>
      <w:b/>
      <w:bCs/>
      <w:kern w:val="44"/>
      <w:sz w:val="44"/>
      <w:szCs w:val="44"/>
    </w:rPr>
  </w:style>
  <w:style w:type="character" w:customStyle="1" w:styleId="70">
    <w:name w:val="标题 2 字符"/>
    <w:link w:val="4"/>
    <w:qFormat/>
    <w:uiPriority w:val="0"/>
    <w:rPr>
      <w:rFonts w:ascii="Arial" w:hAnsi="Arial" w:eastAsia="黑体"/>
      <w:b/>
      <w:bCs/>
      <w:sz w:val="32"/>
      <w:szCs w:val="32"/>
    </w:rPr>
  </w:style>
  <w:style w:type="character" w:customStyle="1" w:styleId="71">
    <w:name w:val="标题 3 字符"/>
    <w:link w:val="5"/>
    <w:qFormat/>
    <w:uiPriority w:val="0"/>
    <w:rPr>
      <w:b/>
      <w:bCs/>
      <w:kern w:val="2"/>
      <w:sz w:val="32"/>
      <w:szCs w:val="32"/>
    </w:rPr>
  </w:style>
  <w:style w:type="character" w:customStyle="1" w:styleId="72">
    <w:name w:val="标题 4 字符"/>
    <w:link w:val="6"/>
    <w:qFormat/>
    <w:uiPriority w:val="0"/>
    <w:rPr>
      <w:rFonts w:ascii="Arial" w:hAnsi="Arial" w:eastAsia="黑体"/>
      <w:b/>
      <w:bCs/>
      <w:kern w:val="2"/>
      <w:sz w:val="28"/>
      <w:szCs w:val="28"/>
    </w:rPr>
  </w:style>
  <w:style w:type="character" w:customStyle="1" w:styleId="73">
    <w:name w:val="标题 5 字符"/>
    <w:link w:val="7"/>
    <w:qFormat/>
    <w:uiPriority w:val="0"/>
    <w:rPr>
      <w:rFonts w:ascii="Times New Roman" w:hAnsi="Times New Roman"/>
      <w:b/>
      <w:kern w:val="2"/>
      <w:sz w:val="28"/>
      <w:szCs w:val="24"/>
    </w:rPr>
  </w:style>
  <w:style w:type="character" w:customStyle="1" w:styleId="74">
    <w:name w:val="正文缩进 字符"/>
    <w:link w:val="8"/>
    <w:qFormat/>
    <w:locked/>
    <w:uiPriority w:val="0"/>
    <w:rPr>
      <w:rFonts w:eastAsia="宋体"/>
      <w:kern w:val="2"/>
      <w:sz w:val="21"/>
      <w:lang w:val="en-US" w:eastAsia="zh-CN" w:bidi="ar-SA"/>
    </w:rPr>
  </w:style>
  <w:style w:type="character" w:customStyle="1" w:styleId="75">
    <w:name w:val="标题 6 字符"/>
    <w:link w:val="9"/>
    <w:qFormat/>
    <w:uiPriority w:val="0"/>
    <w:rPr>
      <w:rFonts w:ascii="Arial" w:hAnsi="Arial" w:eastAsia="黑体"/>
      <w:b/>
      <w:bCs/>
      <w:kern w:val="2"/>
      <w:sz w:val="24"/>
      <w:szCs w:val="24"/>
      <w:lang w:val="en-US" w:eastAsia="zh-CN" w:bidi="ar-SA"/>
    </w:rPr>
  </w:style>
  <w:style w:type="character" w:customStyle="1" w:styleId="76">
    <w:name w:val="标题 7 字符"/>
    <w:link w:val="10"/>
    <w:qFormat/>
    <w:uiPriority w:val="0"/>
    <w:rPr>
      <w:rFonts w:ascii="Times New Roman" w:hAnsi="Times New Roman"/>
      <w:b/>
      <w:kern w:val="2"/>
      <w:sz w:val="24"/>
      <w:szCs w:val="24"/>
    </w:rPr>
  </w:style>
  <w:style w:type="character" w:customStyle="1" w:styleId="77">
    <w:name w:val="标题 8 字符"/>
    <w:link w:val="11"/>
    <w:qFormat/>
    <w:uiPriority w:val="0"/>
    <w:rPr>
      <w:rFonts w:ascii="Arial" w:hAnsi="Arial" w:eastAsia="黑体"/>
      <w:kern w:val="2"/>
      <w:sz w:val="24"/>
      <w:szCs w:val="24"/>
    </w:rPr>
  </w:style>
  <w:style w:type="character" w:customStyle="1" w:styleId="78">
    <w:name w:val="标题 9 字符"/>
    <w:link w:val="12"/>
    <w:qFormat/>
    <w:uiPriority w:val="0"/>
    <w:rPr>
      <w:rFonts w:ascii="Arial" w:hAnsi="Arial" w:eastAsia="黑体"/>
      <w:kern w:val="2"/>
      <w:sz w:val="21"/>
      <w:szCs w:val="24"/>
    </w:rPr>
  </w:style>
  <w:style w:type="character" w:customStyle="1" w:styleId="79">
    <w:name w:val="文档结构图 字符"/>
    <w:link w:val="17"/>
    <w:qFormat/>
    <w:uiPriority w:val="0"/>
    <w:rPr>
      <w:kern w:val="2"/>
      <w:sz w:val="21"/>
      <w:szCs w:val="24"/>
      <w:shd w:val="clear" w:color="auto" w:fill="000080"/>
    </w:rPr>
  </w:style>
  <w:style w:type="character" w:customStyle="1" w:styleId="80">
    <w:name w:val="批注文字 字符"/>
    <w:link w:val="19"/>
    <w:qFormat/>
    <w:uiPriority w:val="99"/>
    <w:rPr>
      <w:rFonts w:eastAsia="宋体"/>
      <w:kern w:val="2"/>
      <w:sz w:val="21"/>
      <w:szCs w:val="24"/>
      <w:lang w:val="en-US" w:eastAsia="zh-CN" w:bidi="ar-SA"/>
    </w:rPr>
  </w:style>
  <w:style w:type="character" w:customStyle="1" w:styleId="81">
    <w:name w:val="正文文本 3 字符"/>
    <w:link w:val="20"/>
    <w:qFormat/>
    <w:uiPriority w:val="0"/>
    <w:rPr>
      <w:rFonts w:ascii="宋体" w:hAnsi="宋体"/>
      <w:color w:val="000000"/>
      <w:kern w:val="2"/>
      <w:sz w:val="21"/>
      <w:szCs w:val="21"/>
    </w:rPr>
  </w:style>
  <w:style w:type="character" w:customStyle="1" w:styleId="82">
    <w:name w:val="正文文本缩进 字符"/>
    <w:link w:val="23"/>
    <w:qFormat/>
    <w:uiPriority w:val="0"/>
    <w:rPr>
      <w:rFonts w:eastAsia="宋体"/>
      <w:kern w:val="2"/>
      <w:sz w:val="21"/>
      <w:szCs w:val="24"/>
      <w:lang w:val="en-US" w:eastAsia="zh-CN" w:bidi="ar-SA"/>
    </w:rPr>
  </w:style>
  <w:style w:type="character" w:customStyle="1" w:styleId="83">
    <w:name w:val="纯文本 字符2"/>
    <w:link w:val="28"/>
    <w:qFormat/>
    <w:uiPriority w:val="0"/>
    <w:rPr>
      <w:rFonts w:ascii="宋体" w:hAnsi="Courier New" w:eastAsia="宋体" w:cs="Courier New"/>
      <w:szCs w:val="21"/>
    </w:rPr>
  </w:style>
  <w:style w:type="character" w:customStyle="1" w:styleId="84">
    <w:name w:val="日期 字符"/>
    <w:link w:val="29"/>
    <w:qFormat/>
    <w:uiPriority w:val="0"/>
    <w:rPr>
      <w:kern w:val="2"/>
      <w:sz w:val="21"/>
      <w:szCs w:val="24"/>
    </w:rPr>
  </w:style>
  <w:style w:type="character" w:customStyle="1" w:styleId="85">
    <w:name w:val="正文文本缩进 2 字符"/>
    <w:link w:val="30"/>
    <w:qFormat/>
    <w:uiPriority w:val="0"/>
    <w:rPr>
      <w:kern w:val="2"/>
      <w:sz w:val="24"/>
    </w:rPr>
  </w:style>
  <w:style w:type="character" w:customStyle="1" w:styleId="86">
    <w:name w:val="批注框文本 字符"/>
    <w:link w:val="31"/>
    <w:semiHidden/>
    <w:qFormat/>
    <w:uiPriority w:val="0"/>
    <w:rPr>
      <w:kern w:val="2"/>
      <w:sz w:val="18"/>
      <w:szCs w:val="18"/>
    </w:rPr>
  </w:style>
  <w:style w:type="character" w:customStyle="1" w:styleId="87">
    <w:name w:val="页脚 字符"/>
    <w:link w:val="32"/>
    <w:qFormat/>
    <w:uiPriority w:val="0"/>
    <w:rPr>
      <w:rFonts w:eastAsia="宋体"/>
      <w:kern w:val="2"/>
      <w:sz w:val="18"/>
      <w:szCs w:val="18"/>
      <w:lang w:val="en-US" w:eastAsia="zh-CN" w:bidi="ar-SA"/>
    </w:rPr>
  </w:style>
  <w:style w:type="character" w:customStyle="1" w:styleId="88">
    <w:name w:val="页眉 字符"/>
    <w:link w:val="34"/>
    <w:qFormat/>
    <w:uiPriority w:val="0"/>
    <w:rPr>
      <w:kern w:val="2"/>
      <w:sz w:val="18"/>
      <w:szCs w:val="18"/>
    </w:rPr>
  </w:style>
  <w:style w:type="character" w:customStyle="1" w:styleId="89">
    <w:name w:val="正文文本缩进 3 字符"/>
    <w:link w:val="38"/>
    <w:qFormat/>
    <w:uiPriority w:val="0"/>
    <w:rPr>
      <w:sz w:val="16"/>
      <w:szCs w:val="16"/>
    </w:rPr>
  </w:style>
  <w:style w:type="character" w:customStyle="1" w:styleId="90">
    <w:name w:val="正文文本 2 字符"/>
    <w:link w:val="41"/>
    <w:qFormat/>
    <w:uiPriority w:val="0"/>
    <w:rPr>
      <w:szCs w:val="24"/>
    </w:rPr>
  </w:style>
  <w:style w:type="character" w:customStyle="1" w:styleId="91">
    <w:name w:val="HTML 预设格式 字符"/>
    <w:link w:val="43"/>
    <w:qFormat/>
    <w:uiPriority w:val="0"/>
    <w:rPr>
      <w:rFonts w:ascii="黑体" w:hAnsi="Courier New" w:eastAsia="黑体" w:cs="Courier New"/>
    </w:rPr>
  </w:style>
  <w:style w:type="character" w:customStyle="1" w:styleId="92">
    <w:name w:val="标题 字符"/>
    <w:link w:val="46"/>
    <w:qFormat/>
    <w:uiPriority w:val="0"/>
    <w:rPr>
      <w:rFonts w:ascii="等线 Light" w:hAnsi="等线 Light" w:cs="Times New Roman"/>
      <w:b/>
      <w:bCs/>
      <w:kern w:val="2"/>
      <w:sz w:val="32"/>
      <w:szCs w:val="32"/>
    </w:rPr>
  </w:style>
  <w:style w:type="character" w:customStyle="1" w:styleId="93">
    <w:name w:val="批注主题 字符"/>
    <w:link w:val="47"/>
    <w:semiHidden/>
    <w:qFormat/>
    <w:uiPriority w:val="0"/>
    <w:rPr>
      <w:b/>
      <w:bCs/>
      <w:kern w:val="2"/>
      <w:sz w:val="21"/>
      <w:szCs w:val="24"/>
    </w:rPr>
  </w:style>
  <w:style w:type="character" w:customStyle="1" w:styleId="94">
    <w:name w:val="unnamed11"/>
    <w:qFormat/>
    <w:uiPriority w:val="0"/>
    <w:rPr>
      <w:color w:val="000000"/>
      <w:sz w:val="20"/>
      <w:szCs w:val="20"/>
    </w:rPr>
  </w:style>
  <w:style w:type="character" w:customStyle="1" w:styleId="95">
    <w:name w:val="font21"/>
    <w:qFormat/>
    <w:uiPriority w:val="0"/>
    <w:rPr>
      <w:rFonts w:ascii="宋体" w:hAnsi="宋体" w:eastAsia="宋体" w:cs="宋体"/>
      <w:color w:val="000000"/>
      <w:sz w:val="20"/>
      <w:szCs w:val="20"/>
      <w:u w:val="none"/>
      <w:vertAlign w:val="superscript"/>
    </w:rPr>
  </w:style>
  <w:style w:type="character" w:customStyle="1" w:styleId="96">
    <w:name w:val="Normal Char"/>
    <w:qFormat/>
    <w:uiPriority w:val="0"/>
    <w:rPr>
      <w:rFonts w:ascii="Arial" w:hAnsi="Arial" w:eastAsia="幼圆"/>
      <w:sz w:val="24"/>
      <w:lang w:val="en-US" w:eastAsia="zh-CN" w:bidi="ar-SA"/>
    </w:rPr>
  </w:style>
  <w:style w:type="character" w:customStyle="1" w:styleId="97">
    <w:name w:val="Char Char"/>
    <w:qFormat/>
    <w:locked/>
    <w:uiPriority w:val="0"/>
    <w:rPr>
      <w:rFonts w:ascii="宋体" w:hAnsi="宋体" w:eastAsia="宋体"/>
      <w:kern w:val="2"/>
      <w:sz w:val="21"/>
      <w:szCs w:val="24"/>
      <w:lang w:val="en-US" w:eastAsia="zh-CN" w:bidi="ar-SA"/>
    </w:rPr>
  </w:style>
  <w:style w:type="character" w:customStyle="1" w:styleId="98">
    <w:name w:val="text"/>
    <w:qFormat/>
    <w:uiPriority w:val="0"/>
    <w:rPr>
      <w:rFonts w:cs="Times New Roman"/>
    </w:rPr>
  </w:style>
  <w:style w:type="character" w:customStyle="1" w:styleId="99">
    <w:name w:val="日期 Char1"/>
    <w:qFormat/>
    <w:uiPriority w:val="0"/>
    <w:rPr>
      <w:kern w:val="2"/>
      <w:sz w:val="21"/>
      <w:szCs w:val="24"/>
    </w:rPr>
  </w:style>
  <w:style w:type="character" w:customStyle="1" w:styleId="100">
    <w:name w:val="s2"/>
    <w:qFormat/>
    <w:uiPriority w:val="0"/>
    <w:rPr>
      <w:sz w:val="18"/>
      <w:szCs w:val="18"/>
    </w:rPr>
  </w:style>
  <w:style w:type="character" w:customStyle="1" w:styleId="101">
    <w:name w:val="font_biao_141"/>
    <w:qFormat/>
    <w:uiPriority w:val="0"/>
    <w:rPr>
      <w:b/>
      <w:bCs/>
      <w:color w:val="FF6600"/>
    </w:rPr>
  </w:style>
  <w:style w:type="character" w:customStyle="1" w:styleId="102">
    <w:name w:val="纯文本 Char1"/>
    <w:qFormat/>
    <w:uiPriority w:val="0"/>
    <w:rPr>
      <w:rFonts w:ascii="宋体" w:hAnsi="Courier New"/>
      <w:kern w:val="2"/>
      <w:sz w:val="21"/>
    </w:rPr>
  </w:style>
  <w:style w:type="character" w:customStyle="1" w:styleId="103">
    <w:name w:val="apple-style-span"/>
    <w:qFormat/>
    <w:uiPriority w:val="0"/>
    <w:rPr>
      <w:rFonts w:cs="Times New Roman"/>
    </w:rPr>
  </w:style>
  <w:style w:type="character" w:customStyle="1" w:styleId="104">
    <w:name w:val="font71"/>
    <w:qFormat/>
    <w:uiPriority w:val="0"/>
    <w:rPr>
      <w:rFonts w:hint="eastAsia" w:ascii="宋体" w:hAnsi="宋体" w:eastAsia="宋体" w:cs="宋体"/>
      <w:color w:val="000000"/>
      <w:sz w:val="21"/>
      <w:szCs w:val="21"/>
      <w:u w:val="none"/>
    </w:rPr>
  </w:style>
  <w:style w:type="character" w:customStyle="1" w:styleId="105">
    <w:name w:val="批注文字 Char"/>
    <w:qFormat/>
    <w:uiPriority w:val="0"/>
    <w:rPr>
      <w:rFonts w:eastAsia="宋体"/>
      <w:kern w:val="2"/>
      <w:sz w:val="21"/>
      <w:szCs w:val="24"/>
      <w:lang w:val="en-US" w:eastAsia="zh-CN" w:bidi="ar-SA"/>
    </w:rPr>
  </w:style>
  <w:style w:type="character" w:customStyle="1" w:styleId="106">
    <w:name w:val="hei16b"/>
    <w:qFormat/>
    <w:uiPriority w:val="0"/>
  </w:style>
  <w:style w:type="character" w:customStyle="1" w:styleId="107">
    <w:name w:val="Char Char12"/>
    <w:qFormat/>
    <w:uiPriority w:val="0"/>
    <w:rPr>
      <w:rFonts w:ascii="宋体" w:hAnsi="Courier New" w:eastAsia="宋体"/>
      <w:szCs w:val="21"/>
      <w:lang w:bidi="ar-SA"/>
    </w:rPr>
  </w:style>
  <w:style w:type="character" w:customStyle="1" w:styleId="108">
    <w:name w:val="graytext1"/>
    <w:qFormat/>
    <w:uiPriority w:val="0"/>
    <w:rPr>
      <w:color w:val="666666"/>
    </w:rPr>
  </w:style>
  <w:style w:type="character" w:customStyle="1" w:styleId="109">
    <w:name w:val="纯文本 字符1"/>
    <w:qFormat/>
    <w:uiPriority w:val="0"/>
    <w:rPr>
      <w:rFonts w:ascii="宋体" w:hAnsi="Courier New" w:eastAsia="宋体"/>
      <w:kern w:val="2"/>
      <w:sz w:val="21"/>
      <w:lang w:val="en-US" w:eastAsia="zh-CN" w:bidi="ar-SA"/>
    </w:rPr>
  </w:style>
  <w:style w:type="character" w:customStyle="1" w:styleId="110">
    <w:name w:val="Char Char1"/>
    <w:qFormat/>
    <w:uiPriority w:val="0"/>
    <w:rPr>
      <w:rFonts w:eastAsia="宋体"/>
      <w:kern w:val="2"/>
      <w:sz w:val="21"/>
      <w:szCs w:val="24"/>
      <w:lang w:val="en-US" w:eastAsia="zh-CN" w:bidi="ar-SA"/>
    </w:rPr>
  </w:style>
  <w:style w:type="character" w:customStyle="1" w:styleId="111">
    <w:name w:val="style18"/>
    <w:qFormat/>
    <w:uiPriority w:val="0"/>
  </w:style>
  <w:style w:type="character" w:customStyle="1" w:styleId="112">
    <w:name w:val="body1"/>
    <w:qFormat/>
    <w:uiPriority w:val="0"/>
    <w:rPr>
      <w:rFonts w:hint="default" w:ascii="Verdana" w:hAnsi="Verdana"/>
      <w:color w:val="000000"/>
      <w:sz w:val="19"/>
      <w:szCs w:val="19"/>
    </w:rPr>
  </w:style>
  <w:style w:type="character" w:customStyle="1" w:styleId="113">
    <w:name w:val="Char Char15"/>
    <w:qFormat/>
    <w:uiPriority w:val="0"/>
    <w:rPr>
      <w:rFonts w:ascii="Arial" w:hAnsi="Arial" w:eastAsia="黑体"/>
      <w:kern w:val="2"/>
      <w:sz w:val="24"/>
      <w:szCs w:val="24"/>
      <w:lang w:val="en-US" w:eastAsia="zh-CN" w:bidi="ar-SA"/>
    </w:rPr>
  </w:style>
  <w:style w:type="character" w:customStyle="1" w:styleId="114">
    <w:name w:val="Char Char20"/>
    <w:qFormat/>
    <w:uiPriority w:val="0"/>
    <w:rPr>
      <w:rFonts w:ascii="宋体" w:hAnsi="Courier New" w:eastAsia="宋体"/>
      <w:b/>
      <w:bCs/>
      <w:kern w:val="2"/>
      <w:sz w:val="28"/>
      <w:szCs w:val="28"/>
      <w:lang w:val="en-US" w:eastAsia="zh-CN" w:bidi="ar-SA"/>
    </w:rPr>
  </w:style>
  <w:style w:type="character" w:customStyle="1" w:styleId="115">
    <w:name w:val="small"/>
    <w:qFormat/>
    <w:uiPriority w:val="0"/>
  </w:style>
  <w:style w:type="character" w:customStyle="1" w:styleId="116">
    <w:name w:val="页眉 Char"/>
    <w:qFormat/>
    <w:uiPriority w:val="99"/>
    <w:rPr>
      <w:rFonts w:eastAsia="宋体"/>
      <w:kern w:val="2"/>
      <w:sz w:val="18"/>
      <w:szCs w:val="18"/>
      <w:lang w:val="en-US" w:eastAsia="zh-CN" w:bidi="ar-SA"/>
    </w:rPr>
  </w:style>
  <w:style w:type="character" w:customStyle="1" w:styleId="117">
    <w:name w:val="样式 标题 2 + 仿宋_GB2312 Char"/>
    <w:qFormat/>
    <w:uiPriority w:val="0"/>
    <w:rPr>
      <w:rFonts w:ascii="仿宋_GB2312" w:hAnsi="仿宋_GB2312" w:eastAsia="仿宋_GB2312"/>
      <w:kern w:val="2"/>
      <w:sz w:val="24"/>
      <w:szCs w:val="32"/>
      <w:lang w:val="en-US" w:eastAsia="zh-CN" w:bidi="ar-SA"/>
    </w:rPr>
  </w:style>
  <w:style w:type="character" w:customStyle="1" w:styleId="118">
    <w:name w:val="文档结构图 Char1"/>
    <w:qFormat/>
    <w:uiPriority w:val="0"/>
    <w:rPr>
      <w:rFonts w:ascii="宋体"/>
      <w:kern w:val="2"/>
      <w:sz w:val="18"/>
      <w:szCs w:val="18"/>
    </w:rPr>
  </w:style>
  <w:style w:type="character" w:customStyle="1" w:styleId="119">
    <w:name w:val="普通文字 Char Char5"/>
    <w:qFormat/>
    <w:uiPriority w:val="0"/>
    <w:rPr>
      <w:rFonts w:ascii="宋体" w:hAnsi="Courier New" w:eastAsia="宋体"/>
      <w:szCs w:val="21"/>
      <w:lang w:bidi="ar-SA"/>
    </w:rPr>
  </w:style>
  <w:style w:type="character" w:customStyle="1" w:styleId="120">
    <w:name w:val="Char Char16"/>
    <w:qFormat/>
    <w:uiPriority w:val="0"/>
    <w:rPr>
      <w:rFonts w:ascii="Arial" w:hAnsi="Arial" w:eastAsia="黑体"/>
      <w:kern w:val="2"/>
      <w:sz w:val="21"/>
      <w:lang w:val="en-US" w:eastAsia="zh-CN" w:bidi="ar-SA"/>
    </w:rPr>
  </w:style>
  <w:style w:type="character" w:customStyle="1" w:styleId="121">
    <w:name w:val="普通文字 Char Char2"/>
    <w:qFormat/>
    <w:uiPriority w:val="0"/>
    <w:rPr>
      <w:rFonts w:ascii="宋体" w:hAnsi="Courier New" w:eastAsia="宋体" w:cs="Courier New"/>
      <w:szCs w:val="21"/>
    </w:rPr>
  </w:style>
  <w:style w:type="character" w:customStyle="1" w:styleId="122">
    <w:name w:val="Char Char18"/>
    <w:qFormat/>
    <w:uiPriority w:val="0"/>
    <w:rPr>
      <w:rFonts w:ascii="宋体" w:hAnsi="Courier New" w:eastAsia="宋体"/>
      <w:b/>
      <w:bCs/>
      <w:kern w:val="2"/>
      <w:sz w:val="24"/>
      <w:szCs w:val="24"/>
      <w:lang w:val="en-US" w:eastAsia="zh-CN" w:bidi="ar-SA"/>
    </w:rPr>
  </w:style>
  <w:style w:type="character" w:customStyle="1" w:styleId="123">
    <w:name w:val="文档结构图 字符1"/>
    <w:qFormat/>
    <w:uiPriority w:val="0"/>
    <w:rPr>
      <w:rFonts w:ascii="Microsoft YaHei UI" w:eastAsia="Microsoft YaHei UI"/>
      <w:kern w:val="2"/>
      <w:sz w:val="18"/>
      <w:szCs w:val="18"/>
    </w:rPr>
  </w:style>
  <w:style w:type="character" w:customStyle="1" w:styleId="124">
    <w:name w:val="textcontents"/>
    <w:qFormat/>
    <w:uiPriority w:val="0"/>
  </w:style>
  <w:style w:type="character" w:customStyle="1" w:styleId="125">
    <w:name w:val="Char Char6"/>
    <w:qFormat/>
    <w:uiPriority w:val="0"/>
    <w:rPr>
      <w:rFonts w:eastAsia="宋体"/>
      <w:kern w:val="2"/>
      <w:sz w:val="21"/>
      <w:szCs w:val="24"/>
      <w:lang w:val="en-US" w:eastAsia="zh-CN" w:bidi="ar-SA"/>
    </w:rPr>
  </w:style>
  <w:style w:type="character" w:customStyle="1" w:styleId="126">
    <w:name w:val="Char Char2"/>
    <w:qFormat/>
    <w:uiPriority w:val="0"/>
    <w:rPr>
      <w:b/>
      <w:bCs/>
      <w:kern w:val="2"/>
      <w:sz w:val="32"/>
      <w:szCs w:val="32"/>
    </w:rPr>
  </w:style>
  <w:style w:type="character" w:customStyle="1" w:styleId="127">
    <w:name w:val="链接"/>
    <w:qFormat/>
    <w:uiPriority w:val="0"/>
    <w:rPr>
      <w:rFonts w:ascii="Times New Roman" w:eastAsia="宋体"/>
      <w:color w:val="0000FF"/>
      <w:sz w:val="21"/>
      <w:u w:val="single" w:color="0000FF"/>
      <w:vertAlign w:val="baseline"/>
      <w:lang w:val="en-US" w:eastAsia="zh-CN"/>
    </w:rPr>
  </w:style>
  <w:style w:type="character" w:customStyle="1" w:styleId="128">
    <w:name w:val="arr"/>
    <w:qFormat/>
    <w:uiPriority w:val="0"/>
  </w:style>
  <w:style w:type="character" w:customStyle="1" w:styleId="129">
    <w:name w:val="列表段落 字符"/>
    <w:link w:val="130"/>
    <w:qFormat/>
    <w:locked/>
    <w:uiPriority w:val="0"/>
    <w:rPr>
      <w:rFonts w:ascii="Arial" w:hAnsi="Arial"/>
      <w:kern w:val="2"/>
      <w:sz w:val="22"/>
      <w:lang w:bidi="ar-SA"/>
    </w:rPr>
  </w:style>
  <w:style w:type="paragraph" w:styleId="130">
    <w:name w:val="List Paragraph"/>
    <w:basedOn w:val="1"/>
    <w:link w:val="129"/>
    <w:qFormat/>
    <w:uiPriority w:val="34"/>
    <w:pPr>
      <w:ind w:firstLine="420"/>
    </w:pPr>
    <w:rPr>
      <w:rFonts w:ascii="Arial" w:hAnsi="Arial"/>
      <w:sz w:val="22"/>
      <w:szCs w:val="20"/>
    </w:rPr>
  </w:style>
  <w:style w:type="character" w:customStyle="1" w:styleId="131">
    <w:name w:val="HTML 预设格式 字符1"/>
    <w:qFormat/>
    <w:uiPriority w:val="0"/>
    <w:rPr>
      <w:rFonts w:ascii="Courier New" w:hAnsi="Courier New" w:cs="Courier New"/>
      <w:kern w:val="2"/>
    </w:rPr>
  </w:style>
  <w:style w:type="character" w:customStyle="1" w:styleId="132">
    <w:name w:val="页脚 Char"/>
    <w:qFormat/>
    <w:uiPriority w:val="99"/>
    <w:rPr>
      <w:kern w:val="2"/>
      <w:sz w:val="18"/>
      <w:szCs w:val="18"/>
    </w:rPr>
  </w:style>
  <w:style w:type="character" w:customStyle="1" w:styleId="133">
    <w:name w:val="Char Char9"/>
    <w:qFormat/>
    <w:uiPriority w:val="0"/>
    <w:rPr>
      <w:rFonts w:eastAsia="宋体"/>
      <w:b/>
      <w:bCs/>
      <w:kern w:val="2"/>
      <w:sz w:val="21"/>
      <w:szCs w:val="24"/>
      <w:lang w:val="en-US" w:eastAsia="zh-CN" w:bidi="ar-SA"/>
    </w:rPr>
  </w:style>
  <w:style w:type="character" w:customStyle="1" w:styleId="134">
    <w:name w:val="content1"/>
    <w:qFormat/>
    <w:uiPriority w:val="0"/>
    <w:rPr>
      <w:rFonts w:hint="default" w:ascii="Ђˎ̥" w:hAnsi="Ђˎ̥"/>
      <w:sz w:val="21"/>
      <w:szCs w:val="21"/>
    </w:rPr>
  </w:style>
  <w:style w:type="character" w:customStyle="1" w:styleId="135">
    <w:name w:val="Char Char17"/>
    <w:qFormat/>
    <w:uiPriority w:val="0"/>
    <w:rPr>
      <w:rFonts w:ascii="Arial" w:hAnsi="Arial" w:eastAsia="黑体"/>
      <w:kern w:val="2"/>
      <w:sz w:val="24"/>
      <w:lang w:val="en-US" w:eastAsia="zh-CN" w:bidi="ar-SA"/>
    </w:rPr>
  </w:style>
  <w:style w:type="character" w:customStyle="1" w:styleId="136">
    <w:name w:val="Char Char61"/>
    <w:qFormat/>
    <w:uiPriority w:val="0"/>
    <w:rPr>
      <w:rFonts w:eastAsia="宋体"/>
      <w:kern w:val="2"/>
      <w:sz w:val="21"/>
      <w:szCs w:val="24"/>
      <w:lang w:val="en-US" w:eastAsia="zh-CN" w:bidi="ar-SA"/>
    </w:rPr>
  </w:style>
  <w:style w:type="character" w:customStyle="1" w:styleId="137">
    <w:name w:val="正文文本 2 字符1"/>
    <w:qFormat/>
    <w:uiPriority w:val="0"/>
    <w:rPr>
      <w:kern w:val="2"/>
      <w:sz w:val="21"/>
      <w:szCs w:val="24"/>
    </w:rPr>
  </w:style>
  <w:style w:type="character" w:customStyle="1" w:styleId="138">
    <w:name w:val="px141"/>
    <w:qFormat/>
    <w:uiPriority w:val="0"/>
    <w:rPr>
      <w:sz w:val="21"/>
      <w:szCs w:val="21"/>
    </w:rPr>
  </w:style>
  <w:style w:type="character" w:customStyle="1" w:styleId="139">
    <w:name w:val="contentheaderrev1"/>
    <w:qFormat/>
    <w:uiPriority w:val="0"/>
    <w:rPr>
      <w:rFonts w:hint="default" w:ascii="Arial" w:hAnsi="Arial" w:cs="Arial"/>
      <w:b/>
      <w:bCs/>
      <w:color w:val="FFFFFF"/>
      <w:sz w:val="18"/>
      <w:szCs w:val="18"/>
      <w:u w:val="none"/>
    </w:rPr>
  </w:style>
  <w:style w:type="character" w:customStyle="1" w:styleId="140">
    <w:name w:val="Char Char24"/>
    <w:qFormat/>
    <w:uiPriority w:val="0"/>
    <w:rPr>
      <w:rFonts w:eastAsia="宋体"/>
      <w:b/>
      <w:kern w:val="2"/>
      <w:sz w:val="21"/>
      <w:szCs w:val="24"/>
      <w:lang w:val="en-US" w:eastAsia="zh-CN" w:bidi="ar-SA"/>
    </w:rPr>
  </w:style>
  <w:style w:type="character" w:customStyle="1" w:styleId="141">
    <w:name w:val="style41"/>
    <w:qFormat/>
    <w:uiPriority w:val="0"/>
  </w:style>
  <w:style w:type="character" w:customStyle="1" w:styleId="142">
    <w:name w:val="apple-converted-space"/>
    <w:qFormat/>
    <w:uiPriority w:val="0"/>
  </w:style>
  <w:style w:type="character" w:customStyle="1" w:styleId="143">
    <w:name w:val="正文文本缩进 2 字符1"/>
    <w:qFormat/>
    <w:uiPriority w:val="0"/>
    <w:rPr>
      <w:kern w:val="2"/>
      <w:sz w:val="21"/>
      <w:szCs w:val="24"/>
    </w:rPr>
  </w:style>
  <w:style w:type="character" w:customStyle="1" w:styleId="144">
    <w:name w:val="_Style 135"/>
    <w:unhideWhenUsed/>
    <w:qFormat/>
    <w:uiPriority w:val="99"/>
    <w:rPr>
      <w:color w:val="605E5C"/>
      <w:shd w:val="clear" w:color="auto" w:fill="E1DFDD"/>
    </w:rPr>
  </w:style>
  <w:style w:type="character" w:customStyle="1" w:styleId="145">
    <w:name w:val="正文文本 2 Char1"/>
    <w:qFormat/>
    <w:uiPriority w:val="0"/>
    <w:rPr>
      <w:kern w:val="2"/>
      <w:sz w:val="21"/>
      <w:szCs w:val="24"/>
    </w:rPr>
  </w:style>
  <w:style w:type="character" w:customStyle="1" w:styleId="146">
    <w:name w:val="正文文本 Char1"/>
    <w:qFormat/>
    <w:uiPriority w:val="0"/>
    <w:rPr>
      <w:kern w:val="2"/>
      <w:sz w:val="21"/>
      <w:szCs w:val="24"/>
    </w:rPr>
  </w:style>
  <w:style w:type="character" w:customStyle="1" w:styleId="147">
    <w:name w:val="close8"/>
    <w:qFormat/>
    <w:uiPriority w:val="0"/>
  </w:style>
  <w:style w:type="character" w:customStyle="1" w:styleId="148">
    <w:name w:val="hei16b1"/>
    <w:qFormat/>
    <w:uiPriority w:val="0"/>
    <w:rPr>
      <w:rFonts w:hint="default" w:ascii="Arial" w:hAnsi="Arial" w:cs="Arial"/>
      <w:b/>
      <w:bCs/>
      <w:color w:val="000000"/>
      <w:sz w:val="24"/>
      <w:szCs w:val="24"/>
    </w:rPr>
  </w:style>
  <w:style w:type="character" w:customStyle="1" w:styleId="149">
    <w:name w:val="close"/>
    <w:qFormat/>
    <w:uiPriority w:val="0"/>
  </w:style>
  <w:style w:type="character" w:customStyle="1" w:styleId="150">
    <w:name w:val="style9"/>
    <w:qFormat/>
    <w:uiPriority w:val="0"/>
  </w:style>
  <w:style w:type="character" w:customStyle="1" w:styleId="151">
    <w:name w:val="正文文本缩进 2 Char1"/>
    <w:qFormat/>
    <w:uiPriority w:val="0"/>
    <w:rPr>
      <w:kern w:val="2"/>
      <w:sz w:val="21"/>
      <w:szCs w:val="24"/>
    </w:rPr>
  </w:style>
  <w:style w:type="character" w:customStyle="1" w:styleId="152">
    <w:name w:val="已访问的超链接1"/>
    <w:unhideWhenUsed/>
    <w:qFormat/>
    <w:uiPriority w:val="99"/>
    <w:rPr>
      <w:color w:val="800080"/>
      <w:u w:val="single"/>
    </w:rPr>
  </w:style>
  <w:style w:type="character" w:customStyle="1" w:styleId="153">
    <w:name w:val="f16b1"/>
    <w:qFormat/>
    <w:uiPriority w:val="0"/>
    <w:rPr>
      <w:b/>
      <w:bCs/>
      <w:color w:val="333333"/>
      <w:sz w:val="22"/>
      <w:szCs w:val="22"/>
    </w:rPr>
  </w:style>
  <w:style w:type="character" w:customStyle="1" w:styleId="154">
    <w:name w:val="纯文本 Char"/>
    <w:qFormat/>
    <w:uiPriority w:val="0"/>
    <w:rPr>
      <w:rFonts w:ascii="宋体" w:hAnsi="Courier New" w:eastAsia="宋体" w:cs="Courier New"/>
      <w:szCs w:val="21"/>
    </w:rPr>
  </w:style>
  <w:style w:type="character" w:customStyle="1" w:styleId="155">
    <w:name w:val="font31"/>
    <w:basedOn w:val="51"/>
    <w:qFormat/>
    <w:uiPriority w:val="0"/>
    <w:rPr>
      <w:rFonts w:hint="default" w:ascii="Arial Narrow" w:hAnsi="Arial Narrow" w:eastAsia="Arial Narrow" w:cs="Arial Narrow"/>
      <w:color w:val="FF0000"/>
      <w:sz w:val="22"/>
      <w:szCs w:val="22"/>
      <w:u w:val="none"/>
    </w:rPr>
  </w:style>
  <w:style w:type="character" w:customStyle="1" w:styleId="156">
    <w:name w:val="正文文本缩进 3 字符1"/>
    <w:qFormat/>
    <w:uiPriority w:val="0"/>
    <w:rPr>
      <w:kern w:val="2"/>
      <w:sz w:val="16"/>
      <w:szCs w:val="16"/>
    </w:rPr>
  </w:style>
  <w:style w:type="character" w:customStyle="1" w:styleId="157">
    <w:name w:val="普通文字 Char Char1 Char"/>
    <w:qFormat/>
    <w:locked/>
    <w:uiPriority w:val="0"/>
    <w:rPr>
      <w:rFonts w:ascii="宋体" w:hAnsi="Courier New" w:eastAsia="宋体" w:cs="宋体"/>
      <w:kern w:val="2"/>
      <w:sz w:val="21"/>
      <w:szCs w:val="21"/>
      <w:lang w:val="en-US" w:eastAsia="zh-CN"/>
    </w:rPr>
  </w:style>
  <w:style w:type="character" w:customStyle="1" w:styleId="158">
    <w:name w:val="font141"/>
    <w:qFormat/>
    <w:uiPriority w:val="0"/>
    <w:rPr>
      <w:rFonts w:hint="default" w:ascii="Verdana" w:hAnsi="Verdana"/>
      <w:b/>
      <w:bCs/>
      <w:color w:val="585858"/>
      <w:sz w:val="18"/>
      <w:szCs w:val="18"/>
      <w:u w:val="none"/>
    </w:rPr>
  </w:style>
  <w:style w:type="character" w:customStyle="1" w:styleId="159">
    <w:name w:val="font51"/>
    <w:basedOn w:val="51"/>
    <w:qFormat/>
    <w:uiPriority w:val="0"/>
    <w:rPr>
      <w:rFonts w:hint="eastAsia" w:ascii="宋体" w:hAnsi="宋体" w:eastAsia="宋体" w:cs="宋体"/>
      <w:color w:val="000000"/>
      <w:sz w:val="21"/>
      <w:szCs w:val="21"/>
      <w:u w:val="none"/>
      <w:vertAlign w:val="superscript"/>
    </w:rPr>
  </w:style>
  <w:style w:type="character" w:customStyle="1" w:styleId="160">
    <w:name w:val="font01"/>
    <w:qFormat/>
    <w:uiPriority w:val="0"/>
    <w:rPr>
      <w:rFonts w:ascii="宋体" w:hAnsi="宋体" w:eastAsia="宋体" w:cs="宋体"/>
      <w:color w:val="000000"/>
      <w:sz w:val="20"/>
      <w:szCs w:val="20"/>
      <w:u w:val="none"/>
    </w:rPr>
  </w:style>
  <w:style w:type="character" w:customStyle="1" w:styleId="161">
    <w:name w:val="页眉 字符1"/>
    <w:qFormat/>
    <w:uiPriority w:val="99"/>
    <w:rPr>
      <w:kern w:val="2"/>
      <w:sz w:val="18"/>
      <w:szCs w:val="18"/>
    </w:rPr>
  </w:style>
  <w:style w:type="character" w:customStyle="1" w:styleId="162">
    <w:name w:val="正文文本缩进 3 Char1"/>
    <w:qFormat/>
    <w:uiPriority w:val="0"/>
    <w:rPr>
      <w:kern w:val="2"/>
      <w:sz w:val="16"/>
      <w:szCs w:val="16"/>
    </w:rPr>
  </w:style>
  <w:style w:type="character" w:customStyle="1" w:styleId="163">
    <w:name w:val="Char Char10"/>
    <w:qFormat/>
    <w:uiPriority w:val="0"/>
    <w:rPr>
      <w:rFonts w:eastAsia="宋体"/>
      <w:kern w:val="2"/>
      <w:sz w:val="21"/>
      <w:szCs w:val="24"/>
      <w:lang w:val="en-US" w:eastAsia="zh-CN" w:bidi="ar-SA"/>
    </w:rPr>
  </w:style>
  <w:style w:type="character" w:customStyle="1" w:styleId="164">
    <w:name w:val="Char Char121"/>
    <w:qFormat/>
    <w:locked/>
    <w:uiPriority w:val="0"/>
    <w:rPr>
      <w:rFonts w:ascii="宋体" w:hAnsi="Courier New" w:eastAsia="宋体"/>
      <w:szCs w:val="21"/>
      <w:lang w:bidi="ar-SA"/>
    </w:rPr>
  </w:style>
  <w:style w:type="character" w:customStyle="1" w:styleId="165">
    <w:name w:val="Char Char13"/>
    <w:qFormat/>
    <w:uiPriority w:val="0"/>
    <w:rPr>
      <w:rFonts w:ascii="Calibri" w:hAnsi="Calibri" w:eastAsia="宋体"/>
      <w:kern w:val="2"/>
      <w:sz w:val="18"/>
      <w:szCs w:val="18"/>
      <w:lang w:val="en-US" w:eastAsia="zh-CN" w:bidi="ar-SA"/>
    </w:rPr>
  </w:style>
  <w:style w:type="character" w:customStyle="1" w:styleId="166">
    <w:name w:val="font-title-blue-021"/>
    <w:qFormat/>
    <w:uiPriority w:val="0"/>
    <w:rPr>
      <w:b/>
      <w:bCs/>
      <w:color w:val="005DC4"/>
      <w:sz w:val="21"/>
      <w:szCs w:val="21"/>
    </w:rPr>
  </w:style>
  <w:style w:type="character" w:customStyle="1" w:styleId="167">
    <w:name w:val="HTML 预设格式 Char1"/>
    <w:qFormat/>
    <w:uiPriority w:val="0"/>
    <w:rPr>
      <w:rFonts w:ascii="Courier New" w:hAnsi="Courier New" w:cs="Courier New"/>
      <w:kern w:val="2"/>
    </w:rPr>
  </w:style>
  <w:style w:type="character" w:customStyle="1" w:styleId="168">
    <w:name w:val="font61"/>
    <w:qFormat/>
    <w:uiPriority w:val="0"/>
    <w:rPr>
      <w:rFonts w:hint="default" w:ascii="Times New Roman" w:hAnsi="Times New Roman" w:cs="Times New Roman"/>
      <w:color w:val="000000"/>
      <w:sz w:val="21"/>
      <w:szCs w:val="21"/>
      <w:u w:val="none"/>
    </w:rPr>
  </w:style>
  <w:style w:type="character" w:customStyle="1" w:styleId="169">
    <w:name w:val="text11"/>
    <w:qFormat/>
    <w:uiPriority w:val="0"/>
    <w:rPr>
      <w:rFonts w:hint="default" w:ascii="Verdana" w:hAnsi="Verdana"/>
      <w:color w:val="4E4E4E"/>
      <w:sz w:val="18"/>
    </w:rPr>
  </w:style>
  <w:style w:type="character" w:customStyle="1" w:styleId="170">
    <w:name w:val="pricing1"/>
    <w:qFormat/>
    <w:uiPriority w:val="0"/>
    <w:rPr>
      <w:rFonts w:hint="default" w:ascii="Helvetica" w:hAnsi="Helvetica"/>
      <w:color w:val="000000"/>
      <w:sz w:val="17"/>
      <w:szCs w:val="17"/>
    </w:rPr>
  </w:style>
  <w:style w:type="character" w:customStyle="1" w:styleId="171">
    <w:name w:val="List Paragraph Char"/>
    <w:link w:val="172"/>
    <w:qFormat/>
    <w:uiPriority w:val="0"/>
  </w:style>
  <w:style w:type="paragraph" w:customStyle="1" w:styleId="172">
    <w:name w:val="列出段落2"/>
    <w:basedOn w:val="1"/>
    <w:link w:val="171"/>
    <w:qFormat/>
    <w:uiPriority w:val="0"/>
    <w:pPr>
      <w:ind w:firstLine="420" w:firstLineChars="200"/>
    </w:pPr>
    <w:rPr>
      <w:kern w:val="0"/>
      <w:sz w:val="20"/>
      <w:szCs w:val="20"/>
    </w:rPr>
  </w:style>
  <w:style w:type="character" w:customStyle="1" w:styleId="173">
    <w:name w:val="纯文本 字符3"/>
    <w:qFormat/>
    <w:uiPriority w:val="0"/>
    <w:rPr>
      <w:rFonts w:ascii="宋体" w:hAnsi="Courier New" w:eastAsia="宋体"/>
      <w:kern w:val="2"/>
      <w:sz w:val="21"/>
      <w:szCs w:val="20"/>
      <w:lang w:val="en-US" w:eastAsia="zh-CN" w:bidi="ar-SA"/>
    </w:rPr>
  </w:style>
  <w:style w:type="character" w:customStyle="1" w:styleId="174">
    <w:name w:val="huei12b1"/>
    <w:qFormat/>
    <w:uiPriority w:val="0"/>
    <w:rPr>
      <w:b/>
      <w:bCs/>
      <w:color w:val="333333"/>
      <w:sz w:val="18"/>
      <w:szCs w:val="18"/>
    </w:rPr>
  </w:style>
  <w:style w:type="character" w:customStyle="1" w:styleId="175">
    <w:name w:val="case31"/>
    <w:qFormat/>
    <w:uiPriority w:val="0"/>
    <w:rPr>
      <w:rFonts w:hint="default" w:ascii="_x000B__x000C_" w:hAnsi="_x000B__x000C_"/>
      <w:sz w:val="21"/>
      <w:szCs w:val="21"/>
    </w:rPr>
  </w:style>
  <w:style w:type="character" w:customStyle="1" w:styleId="176">
    <w:name w:val="Char Char23"/>
    <w:qFormat/>
    <w:uiPriority w:val="0"/>
    <w:rPr>
      <w:rFonts w:ascii="Arial" w:hAnsi="Arial" w:eastAsia="黑体"/>
      <w:b/>
      <w:bCs/>
      <w:kern w:val="2"/>
      <w:sz w:val="32"/>
      <w:szCs w:val="32"/>
      <w:lang w:val="en-US" w:eastAsia="zh-CN" w:bidi="ar-SA"/>
    </w:rPr>
  </w:style>
  <w:style w:type="character" w:customStyle="1" w:styleId="177">
    <w:name w:val="Char Char101"/>
    <w:qFormat/>
    <w:locked/>
    <w:uiPriority w:val="0"/>
    <w:rPr>
      <w:rFonts w:ascii="宋体" w:hAnsi="宋体" w:eastAsia="宋体"/>
      <w:kern w:val="2"/>
      <w:sz w:val="21"/>
      <w:szCs w:val="24"/>
      <w:lang w:val="en-US" w:eastAsia="zh-CN" w:bidi="ar-SA"/>
    </w:rPr>
  </w:style>
  <w:style w:type="character" w:customStyle="1" w:styleId="178">
    <w:name w:val="qowt-font4"/>
    <w:qFormat/>
    <w:uiPriority w:val="0"/>
  </w:style>
  <w:style w:type="character" w:customStyle="1" w:styleId="179">
    <w:name w:val="Char Char14"/>
    <w:qFormat/>
    <w:uiPriority w:val="0"/>
    <w:rPr>
      <w:rFonts w:ascii="Calibri" w:hAnsi="Calibri" w:eastAsia="宋体"/>
      <w:kern w:val="2"/>
      <w:sz w:val="18"/>
      <w:szCs w:val="18"/>
      <w:lang w:val="en-US" w:eastAsia="zh-CN" w:bidi="ar-SA"/>
    </w:rPr>
  </w:style>
  <w:style w:type="character" w:customStyle="1" w:styleId="180">
    <w:name w:val="s22"/>
    <w:qFormat/>
    <w:uiPriority w:val="0"/>
    <w:rPr>
      <w:color w:val="666666"/>
      <w:sz w:val="18"/>
      <w:szCs w:val="18"/>
    </w:rPr>
  </w:style>
  <w:style w:type="character" w:customStyle="1" w:styleId="181">
    <w:name w:val="daohang style17"/>
    <w:qFormat/>
    <w:uiPriority w:val="0"/>
  </w:style>
  <w:style w:type="character" w:customStyle="1" w:styleId="182">
    <w:name w:val="font41"/>
    <w:basedOn w:val="51"/>
    <w:qFormat/>
    <w:uiPriority w:val="0"/>
    <w:rPr>
      <w:rFonts w:hint="eastAsia" w:ascii="宋体" w:hAnsi="宋体" w:eastAsia="宋体" w:cs="宋体"/>
      <w:color w:val="FF0000"/>
      <w:sz w:val="22"/>
      <w:szCs w:val="22"/>
      <w:u w:val="none"/>
    </w:rPr>
  </w:style>
  <w:style w:type="character" w:customStyle="1" w:styleId="183">
    <w:name w:val="style61"/>
    <w:qFormat/>
    <w:uiPriority w:val="0"/>
    <w:rPr>
      <w:color w:val="FAB420"/>
    </w:rPr>
  </w:style>
  <w:style w:type="character" w:customStyle="1" w:styleId="184">
    <w:name w:val="Char Char22"/>
    <w:qFormat/>
    <w:uiPriority w:val="0"/>
    <w:rPr>
      <w:rFonts w:eastAsia="宋体"/>
      <w:b/>
      <w:bCs/>
      <w:kern w:val="2"/>
      <w:sz w:val="32"/>
      <w:szCs w:val="32"/>
      <w:lang w:val="en-US" w:eastAsia="zh-CN" w:bidi="ar-SA"/>
    </w:rPr>
  </w:style>
  <w:style w:type="character" w:customStyle="1" w:styleId="185">
    <w:name w:val="Char Char19"/>
    <w:qFormat/>
    <w:uiPriority w:val="0"/>
    <w:rPr>
      <w:rFonts w:ascii="Arial" w:hAnsi="Arial" w:eastAsia="黑体"/>
      <w:b/>
      <w:bCs/>
      <w:kern w:val="2"/>
      <w:sz w:val="24"/>
      <w:szCs w:val="24"/>
      <w:lang w:val="en-US" w:eastAsia="zh-CN" w:bidi="ar-SA"/>
    </w:rPr>
  </w:style>
  <w:style w:type="character" w:customStyle="1" w:styleId="186">
    <w:name w:val="纯文本 字符"/>
    <w:qFormat/>
    <w:uiPriority w:val="0"/>
    <w:rPr>
      <w:rFonts w:ascii="宋体" w:hAnsi="Courier New" w:eastAsia="宋体"/>
      <w:kern w:val="2"/>
      <w:sz w:val="21"/>
      <w:lang w:val="en-US" w:eastAsia="zh-CN" w:bidi="ar-SA"/>
    </w:rPr>
  </w:style>
  <w:style w:type="character" w:customStyle="1" w:styleId="187">
    <w:name w:val="Char Char5"/>
    <w:qFormat/>
    <w:locked/>
    <w:uiPriority w:val="0"/>
    <w:rPr>
      <w:rFonts w:cs="Times New Roman"/>
      <w:sz w:val="21"/>
      <w:szCs w:val="21"/>
    </w:rPr>
  </w:style>
  <w:style w:type="character" w:customStyle="1" w:styleId="188">
    <w:name w:val="批注文字 Char1"/>
    <w:semiHidden/>
    <w:qFormat/>
    <w:locked/>
    <w:uiPriority w:val="0"/>
    <w:rPr>
      <w:kern w:val="2"/>
      <w:sz w:val="21"/>
      <w:szCs w:val="24"/>
    </w:rPr>
  </w:style>
  <w:style w:type="character" w:customStyle="1" w:styleId="189">
    <w:name w:val="s23"/>
    <w:qFormat/>
    <w:uiPriority w:val="0"/>
    <w:rPr>
      <w:sz w:val="18"/>
      <w:szCs w:val="18"/>
    </w:rPr>
  </w:style>
  <w:style w:type="character" w:customStyle="1" w:styleId="190">
    <w:name w:val="s21"/>
    <w:qFormat/>
    <w:uiPriority w:val="0"/>
    <w:rPr>
      <w:sz w:val="18"/>
      <w:szCs w:val="18"/>
    </w:rPr>
  </w:style>
  <w:style w:type="character" w:customStyle="1" w:styleId="191">
    <w:name w:val="正文文本缩进 Char1"/>
    <w:qFormat/>
    <w:uiPriority w:val="0"/>
    <w:rPr>
      <w:kern w:val="2"/>
      <w:sz w:val="21"/>
      <w:szCs w:val="24"/>
    </w:rPr>
  </w:style>
  <w:style w:type="character" w:customStyle="1" w:styleId="192">
    <w:name w:val="font12-blue-bold1"/>
    <w:qFormat/>
    <w:uiPriority w:val="0"/>
    <w:rPr>
      <w:b/>
      <w:bCs/>
      <w:color w:val="0249A5"/>
      <w:sz w:val="18"/>
      <w:szCs w:val="18"/>
      <w:u w:val="none"/>
    </w:rPr>
  </w:style>
  <w:style w:type="character" w:customStyle="1" w:styleId="193">
    <w:name w:val="h31"/>
    <w:qFormat/>
    <w:uiPriority w:val="0"/>
    <w:rPr>
      <w:sz w:val="21"/>
      <w:szCs w:val="21"/>
    </w:rPr>
  </w:style>
  <w:style w:type="character" w:customStyle="1" w:styleId="194">
    <w:name w:val="Char Char11"/>
    <w:qFormat/>
    <w:uiPriority w:val="0"/>
    <w:rPr>
      <w:rFonts w:eastAsia="宋体"/>
      <w:kern w:val="2"/>
      <w:sz w:val="21"/>
      <w:szCs w:val="24"/>
      <w:lang w:val="en-US" w:eastAsia="zh-CN" w:bidi="ar-SA"/>
    </w:rPr>
  </w:style>
  <w:style w:type="character" w:customStyle="1" w:styleId="195">
    <w:name w:val="页脚 字符1"/>
    <w:qFormat/>
    <w:uiPriority w:val="99"/>
    <w:rPr>
      <w:kern w:val="2"/>
      <w:sz w:val="18"/>
      <w:szCs w:val="18"/>
    </w:rPr>
  </w:style>
  <w:style w:type="paragraph" w:customStyle="1" w:styleId="196">
    <w:name w:val="xl334"/>
    <w:basedOn w:val="1"/>
    <w:qFormat/>
    <w:uiPriority w:val="0"/>
    <w:pPr>
      <w:widowControl/>
      <w:spacing w:before="100" w:beforeAutospacing="1" w:after="100" w:afterAutospacing="1"/>
      <w:jc w:val="center"/>
    </w:pPr>
    <w:rPr>
      <w:rFonts w:ascii="微软雅黑" w:hAnsi="微软雅黑" w:eastAsia="微软雅黑" w:cs="宋体"/>
      <w:kern w:val="0"/>
      <w:sz w:val="20"/>
      <w:szCs w:val="20"/>
    </w:rPr>
  </w:style>
  <w:style w:type="paragraph" w:customStyle="1" w:styleId="197">
    <w:name w:val="_Style 29"/>
    <w:basedOn w:val="1"/>
    <w:qFormat/>
    <w:uiPriority w:val="0"/>
    <w:rPr>
      <w:rFonts w:ascii="Tahoma" w:hAnsi="Tahoma"/>
      <w:sz w:val="24"/>
      <w:szCs w:val="20"/>
    </w:rPr>
  </w:style>
  <w:style w:type="paragraph" w:customStyle="1" w:styleId="198">
    <w:name w:val="Char Char Char"/>
    <w:basedOn w:val="1"/>
    <w:qFormat/>
    <w:uiPriority w:val="0"/>
    <w:rPr>
      <w:rFonts w:ascii="Tahoma" w:hAnsi="Tahoma"/>
      <w:sz w:val="24"/>
      <w:szCs w:val="20"/>
    </w:rPr>
  </w:style>
  <w:style w:type="paragraph" w:customStyle="1" w:styleId="199">
    <w:name w:val="Char Char8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200">
    <w:name w:val="无间隔1"/>
    <w:qFormat/>
    <w:uiPriority w:val="1"/>
    <w:pPr>
      <w:widowControl w:val="0"/>
      <w:spacing w:after="160" w:line="360" w:lineRule="auto"/>
      <w:jc w:val="both"/>
    </w:pPr>
    <w:rPr>
      <w:rFonts w:ascii="Times New Roman" w:hAnsi="Times New Roman" w:eastAsia="宋体" w:cs="Times New Roman"/>
      <w:kern w:val="2"/>
      <w:sz w:val="21"/>
      <w:szCs w:val="22"/>
      <w:lang w:val="en-US" w:eastAsia="zh-CN" w:bidi="ar-SA"/>
    </w:rPr>
  </w:style>
  <w:style w:type="paragraph" w:customStyle="1" w:styleId="201">
    <w:name w:val="xl30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02">
    <w:name w:val="List Paragraph1"/>
    <w:basedOn w:val="1"/>
    <w:qFormat/>
    <w:uiPriority w:val="0"/>
    <w:pPr>
      <w:ind w:firstLine="420" w:firstLineChars="200"/>
    </w:pPr>
    <w:rPr>
      <w:szCs w:val="22"/>
    </w:rPr>
  </w:style>
  <w:style w:type="paragraph" w:customStyle="1" w:styleId="203">
    <w:name w:val="xl3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04">
    <w:name w:val="样式1"/>
    <w:basedOn w:val="1"/>
    <w:qFormat/>
    <w:uiPriority w:val="0"/>
    <w:pPr>
      <w:tabs>
        <w:tab w:val="left" w:pos="570"/>
      </w:tabs>
      <w:autoSpaceDE w:val="0"/>
      <w:autoSpaceDN w:val="0"/>
      <w:adjustRightInd w:val="0"/>
      <w:spacing w:line="360" w:lineRule="auto"/>
      <w:ind w:left="570" w:hanging="570"/>
      <w:jc w:val="center"/>
      <w:textAlignment w:val="baseline"/>
    </w:pPr>
    <w:rPr>
      <w:rFonts w:ascii="黑体" w:hAnsi="宋体" w:eastAsia="黑体"/>
      <w:kern w:val="0"/>
      <w:sz w:val="32"/>
      <w:szCs w:val="20"/>
    </w:rPr>
  </w:style>
  <w:style w:type="paragraph" w:customStyle="1" w:styleId="205">
    <w:name w:val="默认段落字体 Para Char Char Char Char"/>
    <w:basedOn w:val="1"/>
    <w:qFormat/>
    <w:uiPriority w:val="0"/>
  </w:style>
  <w:style w:type="paragraph" w:customStyle="1" w:styleId="206">
    <w:name w:val="简单回函地址"/>
    <w:basedOn w:val="1"/>
    <w:qFormat/>
    <w:uiPriority w:val="0"/>
    <w:rPr>
      <w:rFonts w:ascii="宋体" w:hAnsi="Courier New"/>
      <w:szCs w:val="20"/>
    </w:rPr>
  </w:style>
  <w:style w:type="paragraph" w:customStyle="1" w:styleId="207">
    <w:name w:val="xl2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08">
    <w:name w:val="(1)编号"/>
    <w:basedOn w:val="1"/>
    <w:qFormat/>
    <w:uiPriority w:val="0"/>
    <w:pPr>
      <w:tabs>
        <w:tab w:val="left" w:pos="3261"/>
      </w:tabs>
      <w:spacing w:line="400" w:lineRule="exact"/>
      <w:ind w:left="1247" w:hanging="567"/>
    </w:pPr>
    <w:rPr>
      <w:rFonts w:ascii="宋体" w:hAnsi="宋体"/>
      <w:spacing w:val="5"/>
      <w:sz w:val="24"/>
      <w:szCs w:val="20"/>
    </w:rPr>
  </w:style>
  <w:style w:type="paragraph" w:customStyle="1" w:styleId="209">
    <w:name w:val="xl3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10">
    <w:name w:val="xl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211">
    <w:name w:val="xl3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212">
    <w:name w:val="xl2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b/>
      <w:bCs/>
      <w:kern w:val="0"/>
      <w:sz w:val="20"/>
      <w:szCs w:val="20"/>
    </w:rPr>
  </w:style>
  <w:style w:type="paragraph" w:customStyle="1" w:styleId="213">
    <w:name w:val="xl3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14">
    <w:name w:val="xl28"/>
    <w:basedOn w:val="1"/>
    <w:qFormat/>
    <w:uiPriority w:val="0"/>
    <w:pPr>
      <w:widowControl/>
      <w:pBdr>
        <w:left w:val="single" w:color="auto" w:sz="4" w:space="0"/>
        <w:right w:val="single" w:color="auto" w:sz="4" w:space="0"/>
      </w:pBdr>
      <w:spacing w:before="100" w:beforeAutospacing="1" w:after="100" w:afterAutospacing="1"/>
      <w:jc w:val="left"/>
      <w:textAlignment w:val="center"/>
    </w:pPr>
    <w:rPr>
      <w:kern w:val="0"/>
      <w:szCs w:val="21"/>
    </w:rPr>
  </w:style>
  <w:style w:type="paragraph" w:customStyle="1" w:styleId="21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6">
    <w:name w:val="_Style 207"/>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17">
    <w:name w:val="样式2"/>
    <w:basedOn w:val="1"/>
    <w:next w:val="8"/>
    <w:qFormat/>
    <w:uiPriority w:val="0"/>
    <w:pPr>
      <w:tabs>
        <w:tab w:val="left" w:pos="720"/>
      </w:tabs>
      <w:autoSpaceDE w:val="0"/>
      <w:autoSpaceDN w:val="0"/>
      <w:adjustRightInd w:val="0"/>
      <w:spacing w:line="360" w:lineRule="auto"/>
      <w:ind w:left="720" w:hanging="720"/>
      <w:jc w:val="left"/>
      <w:textAlignment w:val="baseline"/>
    </w:pPr>
    <w:rPr>
      <w:rFonts w:ascii="楷体" w:eastAsia="楷体"/>
      <w:kern w:val="0"/>
      <w:sz w:val="28"/>
      <w:szCs w:val="20"/>
    </w:rPr>
  </w:style>
  <w:style w:type="paragraph" w:customStyle="1" w:styleId="218">
    <w:name w:val="xl66"/>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19">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220">
    <w:name w:val="正文缩进1"/>
    <w:basedOn w:val="1"/>
    <w:qFormat/>
    <w:uiPriority w:val="0"/>
    <w:pPr>
      <w:spacing w:line="300" w:lineRule="auto"/>
      <w:ind w:firstLine="482"/>
    </w:pPr>
    <w:rPr>
      <w:sz w:val="24"/>
    </w:rPr>
  </w:style>
  <w:style w:type="paragraph" w:customStyle="1" w:styleId="221">
    <w:name w:val="xl3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22">
    <w:name w:val="font9"/>
    <w:basedOn w:val="1"/>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223">
    <w:name w:val="tabletextchar"/>
    <w:basedOn w:val="1"/>
    <w:qFormat/>
    <w:uiPriority w:val="0"/>
    <w:pPr>
      <w:widowControl/>
      <w:spacing w:before="100" w:beforeAutospacing="1" w:after="100" w:afterAutospacing="1"/>
      <w:jc w:val="left"/>
    </w:pPr>
    <w:rPr>
      <w:rFonts w:ascii="宋体" w:hAnsi="宋体" w:cs="宋体"/>
      <w:kern w:val="0"/>
      <w:sz w:val="24"/>
    </w:rPr>
  </w:style>
  <w:style w:type="paragraph" w:customStyle="1" w:styleId="224">
    <w:name w:val="样式"/>
    <w:qFormat/>
    <w:uiPriority w:val="0"/>
    <w:pPr>
      <w:widowControl w:val="0"/>
      <w:autoSpaceDE w:val="0"/>
      <w:autoSpaceDN w:val="0"/>
      <w:adjustRightInd w:val="0"/>
      <w:spacing w:after="160" w:line="278" w:lineRule="auto"/>
    </w:pPr>
    <w:rPr>
      <w:rFonts w:ascii="宋体" w:hAnsi="宋体" w:eastAsia="宋体" w:cs="宋体"/>
      <w:sz w:val="24"/>
      <w:szCs w:val="24"/>
      <w:lang w:val="en-US" w:eastAsia="zh-CN" w:bidi="ar-SA"/>
    </w:rPr>
  </w:style>
  <w:style w:type="paragraph" w:customStyle="1" w:styleId="225">
    <w:name w:val="xl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26">
    <w:name w:val="节标题"/>
    <w:basedOn w:val="1"/>
    <w:qFormat/>
    <w:uiPriority w:val="0"/>
    <w:pPr>
      <w:keepNext/>
      <w:keepLines/>
      <w:widowControl/>
      <w:overflowPunct w:val="0"/>
      <w:autoSpaceDE w:val="0"/>
      <w:autoSpaceDN w:val="0"/>
      <w:adjustRightInd w:val="0"/>
      <w:spacing w:before="240" w:after="120" w:line="360" w:lineRule="exact"/>
      <w:jc w:val="left"/>
      <w:textAlignment w:val="baseline"/>
    </w:pPr>
    <w:rPr>
      <w:rFonts w:ascii="Arial" w:hAnsi="Arial"/>
      <w:b/>
      <w:kern w:val="28"/>
      <w:sz w:val="28"/>
      <w:szCs w:val="20"/>
    </w:rPr>
  </w:style>
  <w:style w:type="paragraph" w:customStyle="1" w:styleId="22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C0504D"/>
      <w:kern w:val="0"/>
      <w:sz w:val="24"/>
    </w:rPr>
  </w:style>
  <w:style w:type="paragraph" w:customStyle="1" w:styleId="228">
    <w:name w:val="xl3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30">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231">
    <w:name w:val="样式 标题 3 + (中文) 黑体 小四 非加粗 段前: 7.8 磅 段后: 0 磅 行距: 固定值 20 磅"/>
    <w:basedOn w:val="5"/>
    <w:qFormat/>
    <w:uiPriority w:val="0"/>
    <w:pPr>
      <w:numPr>
        <w:ilvl w:val="0"/>
        <w:numId w:val="1"/>
      </w:numPr>
      <w:tabs>
        <w:tab w:val="left" w:pos="1915"/>
      </w:tabs>
      <w:spacing w:before="0" w:after="0" w:line="400" w:lineRule="exact"/>
    </w:pPr>
    <w:rPr>
      <w:rFonts w:eastAsia="黑体" w:cs="宋体"/>
      <w:b w:val="0"/>
      <w:bCs w:val="0"/>
      <w:kern w:val="0"/>
      <w:sz w:val="24"/>
      <w:szCs w:val="20"/>
    </w:rPr>
  </w:style>
  <w:style w:type="paragraph" w:customStyle="1" w:styleId="232">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233">
    <w:name w:val="unnamed2"/>
    <w:basedOn w:val="1"/>
    <w:qFormat/>
    <w:uiPriority w:val="0"/>
    <w:pPr>
      <w:widowControl/>
      <w:spacing w:before="60" w:after="60" w:line="300" w:lineRule="atLeast"/>
      <w:ind w:left="15" w:right="15" w:firstLine="400"/>
      <w:jc w:val="left"/>
    </w:pPr>
    <w:rPr>
      <w:rFonts w:ascii="宋体" w:hAnsi="宋体" w:cs="宋体"/>
      <w:color w:val="000000"/>
      <w:kern w:val="0"/>
      <w:szCs w:val="21"/>
    </w:rPr>
  </w:style>
  <w:style w:type="paragraph" w:customStyle="1" w:styleId="234">
    <w:name w:val="Char Char1 Char Char Char Char Char Char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235">
    <w:name w:val="xl32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23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24"/>
    </w:rPr>
  </w:style>
  <w:style w:type="paragraph" w:customStyle="1" w:styleId="237">
    <w:name w:val="font11"/>
    <w:basedOn w:val="1"/>
    <w:qFormat/>
    <w:uiPriority w:val="0"/>
    <w:pPr>
      <w:widowControl/>
      <w:spacing w:before="100" w:beforeAutospacing="1" w:after="100" w:afterAutospacing="1"/>
      <w:jc w:val="left"/>
    </w:pPr>
    <w:rPr>
      <w:rFonts w:ascii="微软雅黑" w:hAnsi="微软雅黑" w:eastAsia="微软雅黑" w:cs="宋体"/>
      <w:b/>
      <w:bCs/>
      <w:kern w:val="0"/>
      <w:sz w:val="20"/>
      <w:szCs w:val="20"/>
    </w:rPr>
  </w:style>
  <w:style w:type="paragraph" w:customStyle="1" w:styleId="238">
    <w:name w:val="WPS Plain"/>
    <w:qFormat/>
    <w:uiPriority w:val="0"/>
    <w:pPr>
      <w:spacing w:after="160" w:line="278" w:lineRule="auto"/>
    </w:pPr>
    <w:rPr>
      <w:rFonts w:ascii="Times New Roman" w:hAnsi="Times New Roman" w:eastAsia="宋体" w:cs="Times New Roman"/>
      <w:lang w:val="en-US" w:eastAsia="zh-CN" w:bidi="ar-SA"/>
    </w:rPr>
  </w:style>
  <w:style w:type="paragraph" w:customStyle="1" w:styleId="239">
    <w:name w:val="_Style 37"/>
    <w:basedOn w:val="1"/>
    <w:qFormat/>
    <w:uiPriority w:val="0"/>
    <w:rPr>
      <w:rFonts w:ascii="Tahoma" w:hAnsi="Tahoma"/>
      <w:sz w:val="24"/>
      <w:szCs w:val="20"/>
    </w:rPr>
  </w:style>
  <w:style w:type="paragraph" w:customStyle="1" w:styleId="240">
    <w:name w:val="Char1 Char Char Char Char Char Char"/>
    <w:basedOn w:val="1"/>
    <w:qFormat/>
    <w:uiPriority w:val="0"/>
    <w:rPr>
      <w:rFonts w:ascii="Tahoma" w:hAnsi="Tahoma"/>
      <w:sz w:val="24"/>
      <w:szCs w:val="20"/>
    </w:rPr>
  </w:style>
  <w:style w:type="paragraph" w:customStyle="1" w:styleId="241">
    <w:name w:val="Char Char Char Char"/>
    <w:basedOn w:val="1"/>
    <w:qFormat/>
    <w:uiPriority w:val="0"/>
    <w:rPr>
      <w:rFonts w:ascii="Tahoma" w:hAnsi="Tahoma"/>
      <w:sz w:val="24"/>
      <w:szCs w:val="20"/>
    </w:rPr>
  </w:style>
  <w:style w:type="paragraph" w:customStyle="1" w:styleId="242">
    <w:name w:val="xl3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243">
    <w:name w:val="xl3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Cs w:val="21"/>
    </w:rPr>
  </w:style>
  <w:style w:type="paragraph" w:customStyle="1" w:styleId="245">
    <w:name w:val="Char1"/>
    <w:basedOn w:val="1"/>
    <w:qFormat/>
    <w:uiPriority w:val="0"/>
    <w:rPr>
      <w:szCs w:val="21"/>
    </w:rPr>
  </w:style>
  <w:style w:type="paragraph" w:customStyle="1" w:styleId="246">
    <w:name w:val="表内文字"/>
    <w:basedOn w:val="1"/>
    <w:qFormat/>
    <w:uiPriority w:val="0"/>
    <w:pPr>
      <w:snapToGrid w:val="0"/>
      <w:spacing w:before="50" w:after="50"/>
    </w:pPr>
    <w:rPr>
      <w:rFonts w:ascii="仿宋_GB2312" w:hAnsi="宋体" w:eastAsia="仿宋_GB2312"/>
      <w:b/>
      <w:color w:val="000000"/>
      <w:sz w:val="32"/>
      <w:szCs w:val="32"/>
    </w:rPr>
  </w:style>
  <w:style w:type="paragraph" w:customStyle="1" w:styleId="247">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8">
    <w:name w:val="1"/>
    <w:basedOn w:val="1"/>
    <w:next w:val="28"/>
    <w:qFormat/>
    <w:uiPriority w:val="0"/>
    <w:rPr>
      <w:rFonts w:ascii="宋体" w:hAnsi="Courier New"/>
      <w:szCs w:val="20"/>
    </w:rPr>
  </w:style>
  <w:style w:type="paragraph" w:customStyle="1" w:styleId="249">
    <w:name w:val="_Style 9"/>
    <w:basedOn w:val="1"/>
    <w:qFormat/>
    <w:uiPriority w:val="0"/>
    <w:rPr>
      <w:rFonts w:ascii="Tahoma" w:hAnsi="Tahoma"/>
      <w:sz w:val="24"/>
      <w:szCs w:val="20"/>
    </w:rPr>
  </w:style>
  <w:style w:type="paragraph" w:customStyle="1" w:styleId="250">
    <w:name w:val="4"/>
    <w:basedOn w:val="1"/>
    <w:next w:val="28"/>
    <w:qFormat/>
    <w:uiPriority w:val="0"/>
    <w:rPr>
      <w:rFonts w:ascii="宋体" w:hAnsi="Courier New"/>
      <w:szCs w:val="20"/>
    </w:rPr>
  </w:style>
  <w:style w:type="paragraph" w:customStyle="1" w:styleId="251">
    <w:name w:val="xl31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0"/>
      <w:szCs w:val="20"/>
    </w:rPr>
  </w:style>
  <w:style w:type="paragraph" w:customStyle="1" w:styleId="252">
    <w:name w:val="Table Paragraph"/>
    <w:basedOn w:val="1"/>
    <w:qFormat/>
    <w:uiPriority w:val="1"/>
    <w:pPr>
      <w:autoSpaceDE w:val="0"/>
      <w:autoSpaceDN w:val="0"/>
      <w:adjustRightInd w:val="0"/>
      <w:jc w:val="left"/>
    </w:pPr>
    <w:rPr>
      <w:rFonts w:cs="宋体"/>
      <w:kern w:val="0"/>
      <w:sz w:val="24"/>
    </w:rPr>
  </w:style>
  <w:style w:type="paragraph" w:customStyle="1" w:styleId="253">
    <w:name w:val="xl31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0"/>
      <w:szCs w:val="20"/>
    </w:rPr>
  </w:style>
  <w:style w:type="paragraph" w:customStyle="1" w:styleId="254">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255">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256">
    <w:name w:val="xl3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25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8">
    <w:name w:val="xl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0"/>
      <w:szCs w:val="20"/>
    </w:rPr>
  </w:style>
  <w:style w:type="paragraph" w:customStyle="1" w:styleId="259">
    <w:name w:val="xl3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260">
    <w:name w:val="xl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261">
    <w:name w:val="样式 首行缩进:  2 字符"/>
    <w:basedOn w:val="1"/>
    <w:qFormat/>
    <w:uiPriority w:val="0"/>
    <w:pPr>
      <w:spacing w:line="400" w:lineRule="exact"/>
      <w:ind w:firstLine="200" w:firstLineChars="200"/>
    </w:pPr>
    <w:rPr>
      <w:rFonts w:cs="宋体"/>
      <w:sz w:val="24"/>
    </w:rPr>
  </w:style>
  <w:style w:type="paragraph" w:customStyle="1" w:styleId="262">
    <w:name w:val="Table Text"/>
    <w:qFormat/>
    <w:uiPriority w:val="0"/>
    <w:pPr>
      <w:snapToGrid w:val="0"/>
      <w:spacing w:before="80" w:after="80" w:line="278" w:lineRule="auto"/>
    </w:pPr>
    <w:rPr>
      <w:rFonts w:ascii="Arial" w:hAnsi="Arial" w:eastAsia="宋体" w:cs="Times New Roman"/>
      <w:sz w:val="18"/>
      <w:lang w:val="en-US" w:eastAsia="en-US" w:bidi="ar-SA"/>
    </w:rPr>
  </w:style>
  <w:style w:type="paragraph" w:customStyle="1" w:styleId="263">
    <w:name w:val="样式4"/>
    <w:basedOn w:val="217"/>
    <w:qFormat/>
    <w:uiPriority w:val="0"/>
    <w:pPr>
      <w:tabs>
        <w:tab w:val="left" w:pos="360"/>
        <w:tab w:val="clear" w:pos="720"/>
      </w:tabs>
    </w:pPr>
  </w:style>
  <w:style w:type="paragraph" w:customStyle="1" w:styleId="264">
    <w:name w:val="三角"/>
    <w:basedOn w:val="1"/>
    <w:qFormat/>
    <w:uiPriority w:val="0"/>
    <w:pPr>
      <w:numPr>
        <w:ilvl w:val="0"/>
        <w:numId w:val="2"/>
      </w:numPr>
      <w:tabs>
        <w:tab w:val="left" w:pos="855"/>
        <w:tab w:val="left" w:pos="1089"/>
      </w:tabs>
      <w:spacing w:before="40" w:after="40" w:line="240" w:lineRule="exact"/>
    </w:pPr>
    <w:rPr>
      <w:rFonts w:ascii="Calibri" w:hAnsi="Calibri" w:eastAsia="幼圆" w:cs="Calibri"/>
      <w:sz w:val="15"/>
      <w:szCs w:val="15"/>
    </w:rPr>
  </w:style>
  <w:style w:type="paragraph" w:customStyle="1" w:styleId="265">
    <w:name w:val="Default"/>
    <w:qFormat/>
    <w:uiPriority w:val="0"/>
    <w:pPr>
      <w:widowControl w:val="0"/>
      <w:autoSpaceDE w:val="0"/>
      <w:autoSpaceDN w:val="0"/>
      <w:adjustRightInd w:val="0"/>
      <w:spacing w:after="160" w:line="278" w:lineRule="auto"/>
    </w:pPr>
    <w:rPr>
      <w:rFonts w:ascii="Arial" w:hAnsi="Arial" w:eastAsia="宋体" w:cs="Arial"/>
      <w:color w:val="000000"/>
      <w:sz w:val="24"/>
      <w:szCs w:val="24"/>
      <w:lang w:val="en-US" w:eastAsia="zh-CN" w:bidi="ar-SA"/>
    </w:rPr>
  </w:style>
  <w:style w:type="paragraph" w:customStyle="1" w:styleId="266">
    <w:name w:val="xl299"/>
    <w:basedOn w:val="1"/>
    <w:qFormat/>
    <w:uiPriority w:val="0"/>
    <w:pPr>
      <w:widowControl/>
      <w:pBdr>
        <w:top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67">
    <w:name w:val="font8"/>
    <w:basedOn w:val="1"/>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26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269">
    <w:name w:val="xl3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70">
    <w:name w:val="正文首行缩进两字符"/>
    <w:basedOn w:val="1"/>
    <w:qFormat/>
    <w:uiPriority w:val="0"/>
    <w:pPr>
      <w:spacing w:line="360" w:lineRule="auto"/>
      <w:ind w:firstLine="200" w:firstLineChars="200"/>
    </w:pPr>
  </w:style>
  <w:style w:type="paragraph" w:customStyle="1" w:styleId="271">
    <w:name w:val="xl3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7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7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4">
    <w:name w:val="正文1"/>
    <w:qFormat/>
    <w:uiPriority w:val="0"/>
    <w:pPr>
      <w:widowControl w:val="0"/>
      <w:tabs>
        <w:tab w:val="left" w:pos="-720"/>
      </w:tabs>
      <w:autoSpaceDE w:val="0"/>
      <w:autoSpaceDN w:val="0"/>
      <w:adjustRightInd w:val="0"/>
      <w:spacing w:after="160" w:line="240" w:lineRule="exact"/>
      <w:textAlignment w:val="bottom"/>
    </w:pPr>
    <w:rPr>
      <w:rFonts w:ascii="Arial" w:hAnsi="Arial" w:eastAsia="幼圆" w:cs="Times New Roman"/>
      <w:sz w:val="24"/>
      <w:lang w:val="en-US" w:eastAsia="zh-CN" w:bidi="ar-SA"/>
    </w:rPr>
  </w:style>
  <w:style w:type="paragraph" w:customStyle="1" w:styleId="275">
    <w:name w:val="xl3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76">
    <w:name w:val="默认段落字体 Para Char Char Char Char Char Char Char Char Char1 Char Char Char Char"/>
    <w:basedOn w:val="1"/>
    <w:qFormat/>
    <w:uiPriority w:val="0"/>
    <w:rPr>
      <w:rFonts w:ascii="Tahoma" w:hAnsi="Tahoma"/>
      <w:sz w:val="24"/>
      <w:szCs w:val="20"/>
    </w:rPr>
  </w:style>
  <w:style w:type="paragraph" w:customStyle="1" w:styleId="277">
    <w:name w:val="xl33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78">
    <w:name w:val="xl302"/>
    <w:basedOn w:val="1"/>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279">
    <w:name w:val="_Style 36"/>
    <w:basedOn w:val="1"/>
    <w:qFormat/>
    <w:uiPriority w:val="0"/>
    <w:rPr>
      <w:rFonts w:ascii="Tahoma" w:hAnsi="Tahoma"/>
      <w:sz w:val="24"/>
      <w:szCs w:val="20"/>
    </w:rPr>
  </w:style>
  <w:style w:type="paragraph" w:customStyle="1" w:styleId="280">
    <w:name w:val="_Style 361"/>
    <w:basedOn w:val="1"/>
    <w:next w:val="130"/>
    <w:qFormat/>
    <w:uiPriority w:val="34"/>
    <w:pPr>
      <w:ind w:firstLine="420" w:firstLineChars="200"/>
    </w:pPr>
  </w:style>
  <w:style w:type="paragraph" w:customStyle="1" w:styleId="281">
    <w:name w:val="gray"/>
    <w:basedOn w:val="1"/>
    <w:qFormat/>
    <w:uiPriority w:val="0"/>
    <w:pPr>
      <w:widowControl/>
      <w:spacing w:after="100" w:afterAutospacing="1"/>
    </w:pPr>
    <w:rPr>
      <w:rFonts w:ascii="宋体" w:hAnsi="宋体" w:cs="宋体"/>
      <w:kern w:val="0"/>
      <w:sz w:val="24"/>
    </w:rPr>
  </w:style>
  <w:style w:type="paragraph" w:customStyle="1" w:styleId="282">
    <w:name w:val="xl3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83">
    <w:name w:val="_Style 125"/>
    <w:basedOn w:val="1"/>
    <w:next w:val="130"/>
    <w:qFormat/>
    <w:uiPriority w:val="34"/>
    <w:pPr>
      <w:ind w:firstLine="420" w:firstLineChars="200"/>
    </w:pPr>
  </w:style>
  <w:style w:type="paragraph" w:customStyle="1" w:styleId="284">
    <w:name w:val="表格"/>
    <w:basedOn w:val="1"/>
    <w:qFormat/>
    <w:uiPriority w:val="0"/>
    <w:pPr>
      <w:spacing w:line="400" w:lineRule="exact"/>
    </w:pPr>
    <w:rPr>
      <w:sz w:val="24"/>
    </w:rPr>
  </w:style>
  <w:style w:type="paragraph" w:customStyle="1" w:styleId="285">
    <w:name w:val="Body text|1"/>
    <w:basedOn w:val="1"/>
    <w:qFormat/>
    <w:uiPriority w:val="0"/>
    <w:pPr>
      <w:spacing w:line="350" w:lineRule="auto"/>
      <w:ind w:firstLine="400"/>
      <w:jc w:val="left"/>
    </w:pPr>
    <w:rPr>
      <w:rFonts w:ascii="宋体" w:hAnsi="宋体" w:cs="宋体"/>
      <w:kern w:val="0"/>
      <w:sz w:val="30"/>
      <w:szCs w:val="30"/>
    </w:rPr>
  </w:style>
  <w:style w:type="paragraph" w:customStyle="1" w:styleId="286">
    <w:name w:val="xl3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287">
    <w:name w:val="font14"/>
    <w:basedOn w:val="1"/>
    <w:qFormat/>
    <w:uiPriority w:val="0"/>
    <w:pPr>
      <w:widowControl/>
      <w:spacing w:before="100" w:beforeAutospacing="1" w:after="100" w:afterAutospacing="1"/>
      <w:jc w:val="left"/>
    </w:pPr>
    <w:rPr>
      <w:rFonts w:hint="eastAsia" w:ascii="宋体" w:hAnsi="宋体"/>
      <w:color w:val="000000"/>
      <w:kern w:val="0"/>
      <w:sz w:val="18"/>
      <w:szCs w:val="18"/>
    </w:rPr>
  </w:style>
  <w:style w:type="paragraph" w:customStyle="1" w:styleId="288">
    <w:name w:val="Char Char8"/>
    <w:basedOn w:val="1"/>
    <w:qFormat/>
    <w:uiPriority w:val="0"/>
    <w:rPr>
      <w:rFonts w:ascii="Tahoma" w:hAnsi="Tahoma" w:eastAsia="Times New Roman"/>
      <w:kern w:val="0"/>
      <w:sz w:val="24"/>
      <w:szCs w:val="20"/>
    </w:rPr>
  </w:style>
  <w:style w:type="paragraph" w:customStyle="1" w:styleId="289">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90">
    <w:name w:val="font12"/>
    <w:basedOn w:val="1"/>
    <w:qFormat/>
    <w:uiPriority w:val="0"/>
    <w:pPr>
      <w:widowControl/>
      <w:spacing w:before="100" w:beforeAutospacing="1" w:after="100" w:afterAutospacing="1"/>
      <w:jc w:val="left"/>
    </w:pPr>
    <w:rPr>
      <w:rFonts w:hint="eastAsia" w:ascii="宋体" w:hAnsi="宋体"/>
      <w:color w:val="000000"/>
      <w:kern w:val="0"/>
      <w:sz w:val="18"/>
      <w:szCs w:val="18"/>
    </w:rPr>
  </w:style>
  <w:style w:type="paragraph" w:customStyle="1" w:styleId="291">
    <w:name w:val="xl3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292">
    <w:name w:val="xl3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93">
    <w:name w:val="xl32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29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C0504D"/>
      <w:kern w:val="0"/>
      <w:sz w:val="24"/>
    </w:rPr>
  </w:style>
  <w:style w:type="paragraph" w:customStyle="1" w:styleId="295">
    <w:name w:val="_Style 1"/>
    <w:basedOn w:val="1"/>
    <w:qFormat/>
    <w:uiPriority w:val="0"/>
    <w:pPr>
      <w:ind w:firstLine="420" w:firstLineChars="200"/>
    </w:pPr>
  </w:style>
  <w:style w:type="paragraph" w:customStyle="1" w:styleId="296">
    <w:name w:val="Char Char8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29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98">
    <w:name w:val="Char Char Char1 Char"/>
    <w:basedOn w:val="1"/>
    <w:qFormat/>
    <w:uiPriority w:val="0"/>
    <w:rPr>
      <w:rFonts w:ascii="Tahoma" w:hAnsi="Tahoma"/>
      <w:sz w:val="24"/>
    </w:rPr>
  </w:style>
  <w:style w:type="paragraph" w:customStyle="1" w:styleId="2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300">
    <w:name w:val="style2"/>
    <w:basedOn w:val="1"/>
    <w:qFormat/>
    <w:uiPriority w:val="0"/>
    <w:pPr>
      <w:widowControl/>
      <w:spacing w:before="100" w:beforeAutospacing="1" w:after="100" w:afterAutospacing="1"/>
      <w:jc w:val="left"/>
    </w:pPr>
    <w:rPr>
      <w:rFonts w:ascii="宋体" w:hAnsi="宋体" w:cs="宋体"/>
      <w:kern w:val="0"/>
      <w:sz w:val="24"/>
    </w:rPr>
  </w:style>
  <w:style w:type="paragraph" w:customStyle="1" w:styleId="301">
    <w:name w:val="font10"/>
    <w:basedOn w:val="1"/>
    <w:qFormat/>
    <w:uiPriority w:val="0"/>
    <w:pPr>
      <w:widowControl/>
      <w:spacing w:before="100" w:beforeAutospacing="1" w:after="100" w:afterAutospacing="1"/>
      <w:jc w:val="left"/>
    </w:pPr>
    <w:rPr>
      <w:rFonts w:ascii="微软雅黑" w:hAnsi="微软雅黑" w:eastAsia="微软雅黑" w:cs="宋体"/>
      <w:color w:val="000000"/>
      <w:kern w:val="0"/>
      <w:sz w:val="20"/>
      <w:szCs w:val="20"/>
    </w:rPr>
  </w:style>
  <w:style w:type="paragraph" w:customStyle="1" w:styleId="302">
    <w:name w:val="xl3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03">
    <w:name w:val="Char1 Char Char Char Char Char Char1"/>
    <w:basedOn w:val="1"/>
    <w:qFormat/>
    <w:uiPriority w:val="0"/>
    <w:rPr>
      <w:rFonts w:ascii="Tahoma" w:hAnsi="Tahoma"/>
      <w:sz w:val="24"/>
      <w:szCs w:val="20"/>
    </w:rPr>
  </w:style>
  <w:style w:type="paragraph" w:customStyle="1" w:styleId="3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305">
    <w:name w:val="xl300"/>
    <w:basedOn w:val="1"/>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7">
    <w:name w:val="正文段"/>
    <w:basedOn w:val="1"/>
    <w:qFormat/>
    <w:uiPriority w:val="0"/>
    <w:pPr>
      <w:widowControl/>
      <w:snapToGrid w:val="0"/>
      <w:spacing w:afterLines="50"/>
      <w:ind w:firstLine="200" w:firstLineChars="200"/>
    </w:pPr>
    <w:rPr>
      <w:kern w:val="0"/>
      <w:sz w:val="24"/>
      <w:szCs w:val="20"/>
    </w:rPr>
  </w:style>
  <w:style w:type="paragraph" w:customStyle="1" w:styleId="308">
    <w:name w:val="xl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30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310">
    <w:name w:val="xl3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311">
    <w:name w:val="xl33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312">
    <w:name w:val="_Style 303"/>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31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B050"/>
      <w:kern w:val="0"/>
      <w:sz w:val="32"/>
      <w:szCs w:val="32"/>
    </w:rPr>
  </w:style>
  <w:style w:type="paragraph" w:customStyle="1" w:styleId="314">
    <w:name w:val="Char"/>
    <w:basedOn w:val="1"/>
    <w:qFormat/>
    <w:uiPriority w:val="0"/>
  </w:style>
  <w:style w:type="paragraph" w:customStyle="1" w:styleId="315">
    <w:name w:val="Char Char8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316">
    <w:name w:val="xl29"/>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kern w:val="0"/>
      <w:szCs w:val="21"/>
    </w:rPr>
  </w:style>
  <w:style w:type="paragraph" w:customStyle="1" w:styleId="317">
    <w:name w:val="font13"/>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318">
    <w:name w:val="段"/>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paragraph" w:customStyle="1" w:styleId="319">
    <w:name w:val="xl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0"/>
      <w:szCs w:val="20"/>
    </w:rPr>
  </w:style>
  <w:style w:type="paragraph" w:customStyle="1" w:styleId="320">
    <w:name w:val="列出段落1"/>
    <w:basedOn w:val="1"/>
    <w:qFormat/>
    <w:uiPriority w:val="34"/>
    <w:pPr>
      <w:ind w:firstLine="420" w:firstLineChars="200"/>
    </w:pPr>
  </w:style>
  <w:style w:type="paragraph" w:customStyle="1" w:styleId="321">
    <w:name w:val="_Style 18"/>
    <w:next w:val="1"/>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322">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Cs w:val="21"/>
    </w:rPr>
  </w:style>
  <w:style w:type="paragraph" w:customStyle="1" w:styleId="32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324">
    <w:name w:val="缺省文本"/>
    <w:basedOn w:val="1"/>
    <w:qFormat/>
    <w:uiPriority w:val="0"/>
    <w:pPr>
      <w:autoSpaceDE w:val="0"/>
      <w:autoSpaceDN w:val="0"/>
      <w:adjustRightInd w:val="0"/>
      <w:spacing w:line="360" w:lineRule="auto"/>
      <w:jc w:val="left"/>
    </w:pPr>
    <w:rPr>
      <w:kern w:val="0"/>
      <w:sz w:val="24"/>
      <w:szCs w:val="20"/>
    </w:rPr>
  </w:style>
  <w:style w:type="paragraph" w:customStyle="1" w:styleId="325">
    <w:name w:val="xl3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326">
    <w:name w:val="xl29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327">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32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329">
    <w:name w:val="样式3"/>
    <w:basedOn w:val="1"/>
    <w:qFormat/>
    <w:uiPriority w:val="0"/>
    <w:pPr>
      <w:tabs>
        <w:tab w:val="left" w:pos="900"/>
      </w:tabs>
      <w:autoSpaceDE w:val="0"/>
      <w:autoSpaceDN w:val="0"/>
      <w:adjustRightInd w:val="0"/>
      <w:spacing w:line="360" w:lineRule="auto"/>
      <w:ind w:left="720" w:hanging="720"/>
      <w:textAlignment w:val="baseline"/>
    </w:pPr>
    <w:rPr>
      <w:rFonts w:ascii="宋体" w:hAnsi="宋体"/>
      <w:kern w:val="0"/>
      <w:sz w:val="24"/>
      <w:szCs w:val="20"/>
    </w:rPr>
  </w:style>
  <w:style w:type="paragraph" w:customStyle="1" w:styleId="330">
    <w:name w:val="xl298"/>
    <w:basedOn w:val="1"/>
    <w:qFormat/>
    <w:uiPriority w:val="0"/>
    <w:pPr>
      <w:widowControl/>
      <w:pBdr>
        <w:top w:val="single" w:color="auto" w:sz="4" w:space="0"/>
        <w:lef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33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2">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Cs w:val="21"/>
    </w:rPr>
  </w:style>
  <w:style w:type="paragraph" w:customStyle="1" w:styleId="33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334">
    <w:name w:val="cleft"/>
    <w:basedOn w:val="1"/>
    <w:qFormat/>
    <w:uiPriority w:val="0"/>
    <w:pPr>
      <w:widowControl/>
      <w:jc w:val="left"/>
    </w:pPr>
    <w:rPr>
      <w:rFonts w:ascii="宋体" w:hAnsi="宋体" w:cs="宋体"/>
      <w:b/>
      <w:bCs/>
      <w:kern w:val="0"/>
      <w:sz w:val="24"/>
    </w:rPr>
  </w:style>
  <w:style w:type="paragraph" w:customStyle="1" w:styleId="335">
    <w:name w:val="表格文字"/>
    <w:basedOn w:val="1"/>
    <w:qFormat/>
    <w:uiPriority w:val="99"/>
    <w:pPr>
      <w:spacing w:before="25" w:after="25"/>
      <w:jc w:val="left"/>
    </w:pPr>
    <w:rPr>
      <w:bCs/>
      <w:spacing w:val="10"/>
      <w:kern w:val="0"/>
      <w:sz w:val="24"/>
    </w:rPr>
  </w:style>
  <w:style w:type="character" w:customStyle="1" w:styleId="336">
    <w:name w:val="Other|1_"/>
    <w:link w:val="337"/>
    <w:qFormat/>
    <w:uiPriority w:val="0"/>
    <w:rPr>
      <w:rFonts w:ascii="宋体" w:hAnsi="宋体" w:cs="宋体"/>
    </w:rPr>
  </w:style>
  <w:style w:type="paragraph" w:customStyle="1" w:styleId="337">
    <w:name w:val="Other|1"/>
    <w:basedOn w:val="1"/>
    <w:link w:val="336"/>
    <w:qFormat/>
    <w:uiPriority w:val="0"/>
    <w:pPr>
      <w:ind w:firstLine="140"/>
      <w:jc w:val="left"/>
    </w:pPr>
    <w:rPr>
      <w:rFonts w:ascii="宋体" w:hAnsi="宋体" w:cs="宋体"/>
      <w:kern w:val="0"/>
      <w:sz w:val="20"/>
      <w:szCs w:val="20"/>
    </w:rPr>
  </w:style>
  <w:style w:type="character" w:customStyle="1" w:styleId="338">
    <w:name w:val="列表段落 字符2"/>
    <w:qFormat/>
    <w:locked/>
    <w:uiPriority w:val="34"/>
    <w:rPr>
      <w:rFonts w:ascii="Calibri" w:hAnsi="Calibri" w:eastAsia="宋体" w:cs="Times New Roman"/>
      <w:kern w:val="2"/>
      <w:sz w:val="21"/>
      <w:szCs w:val="22"/>
    </w:rPr>
  </w:style>
  <w:style w:type="paragraph" w:customStyle="1" w:styleId="339">
    <w:name w:val="p17"/>
    <w:basedOn w:val="1"/>
    <w:qFormat/>
    <w:uiPriority w:val="0"/>
    <w:pPr>
      <w:widowControl/>
    </w:pPr>
    <w:rPr>
      <w:rFonts w:ascii="宋体" w:hAnsi="宋体" w:cs="宋体"/>
      <w:kern w:val="0"/>
      <w:szCs w:val="21"/>
    </w:rPr>
  </w:style>
  <w:style w:type="paragraph" w:customStyle="1" w:styleId="340">
    <w:name w:val="列出段落3"/>
    <w:basedOn w:val="1"/>
    <w:qFormat/>
    <w:uiPriority w:val="0"/>
    <w:pPr>
      <w:ind w:firstLine="420" w:firstLineChars="200"/>
    </w:pPr>
  </w:style>
  <w:style w:type="paragraph" w:customStyle="1" w:styleId="341">
    <w:name w:val="列表段落1"/>
    <w:basedOn w:val="1"/>
    <w:qFormat/>
    <w:uiPriority w:val="34"/>
    <w:pPr>
      <w:ind w:firstLine="420" w:firstLineChars="200"/>
    </w:pPr>
  </w:style>
  <w:style w:type="paragraph" w:customStyle="1" w:styleId="342">
    <w:name w:val="HtmlNormal"/>
    <w:basedOn w:val="1"/>
    <w:qFormat/>
    <w:uiPriority w:val="0"/>
    <w:pPr>
      <w:widowControl/>
      <w:spacing w:before="100" w:beforeAutospacing="1" w:after="100" w:afterAutospacing="1"/>
      <w:jc w:val="left"/>
      <w:textAlignment w:val="baseline"/>
    </w:pPr>
    <w:rPr>
      <w:rFonts w:ascii="宋体" w:hAnsi="宋体"/>
      <w:kern w:val="0"/>
      <w:sz w:val="24"/>
    </w:rPr>
  </w:style>
  <w:style w:type="character" w:customStyle="1" w:styleId="343">
    <w:name w:val="NormalCharacter"/>
    <w:qFormat/>
    <w:uiPriority w:val="0"/>
  </w:style>
  <w:style w:type="paragraph" w:customStyle="1" w:styleId="344">
    <w:name w:val="List Paragraph2"/>
    <w:basedOn w:val="1"/>
    <w:qFormat/>
    <w:uiPriority w:val="0"/>
    <w:pPr>
      <w:ind w:firstLine="420" w:firstLineChars="200"/>
    </w:pPr>
    <w:rPr>
      <w:rFonts w:ascii="Calibri" w:hAnsi="Calibri"/>
      <w:szCs w:val="22"/>
    </w:rPr>
  </w:style>
  <w:style w:type="paragraph" w:styleId="345">
    <w:name w:val="No Spacing"/>
    <w:qFormat/>
    <w:uiPriority w:val="1"/>
    <w:pPr>
      <w:widowControl w:val="0"/>
      <w:spacing w:after="160" w:line="278" w:lineRule="auto"/>
      <w:jc w:val="both"/>
    </w:pPr>
    <w:rPr>
      <w:rFonts w:ascii="Calibri" w:hAnsi="Calibri" w:eastAsia="宋体" w:cs="Times New Roman"/>
      <w:kern w:val="2"/>
      <w:sz w:val="21"/>
      <w:szCs w:val="22"/>
      <w:lang w:val="en-US" w:eastAsia="zh-CN" w:bidi="ar-SA"/>
    </w:rPr>
  </w:style>
  <w:style w:type="table" w:customStyle="1" w:styleId="346">
    <w:name w:val="Table Normal"/>
    <w:unhideWhenUsed/>
    <w:qFormat/>
    <w:uiPriority w:val="0"/>
    <w:tblPr>
      <w:tblCellMar>
        <w:top w:w="0" w:type="dxa"/>
        <w:left w:w="0" w:type="dxa"/>
        <w:bottom w:w="0" w:type="dxa"/>
        <w:right w:w="0" w:type="dxa"/>
      </w:tblCellMar>
    </w:tblPr>
  </w:style>
  <w:style w:type="paragraph" w:customStyle="1" w:styleId="347">
    <w:name w:val="正文-2字符首行缩进"/>
    <w:basedOn w:val="1"/>
    <w:qFormat/>
    <w:uiPriority w:val="0"/>
    <w:pPr>
      <w:widowControl/>
      <w:spacing w:line="360" w:lineRule="auto"/>
      <w:ind w:firstLine="200" w:firstLineChars="200"/>
    </w:pPr>
    <w:rPr>
      <w:rFonts w:ascii="仿宋_GB2312" w:hAnsi="Calibri" w:eastAsia="仿宋_GB2312"/>
      <w:kern w:val="0"/>
      <w:sz w:val="28"/>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65</Pages>
  <Words>18493</Words>
  <Characters>19852</Characters>
  <Lines>934</Lines>
  <Paragraphs>559</Paragraphs>
  <TotalTime>92</TotalTime>
  <ScaleCrop>false</ScaleCrop>
  <LinksUpToDate>false</LinksUpToDate>
  <CharactersWithSpaces>20003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2025-05-21T08:23:00Z</dcterms:created>
  <dc:creator>user</dc:creator>
  <cp:lastModifiedBy>NTKO</cp:lastModifiedBy>
  <cp:lastPrinted>2022-11-30T03:29:00Z</cp:lastPrinted>
  <dcterms:modified xsi:type="dcterms:W3CDTF">2025-06-09T08:32:55Z</dcterms:modified>
  <dc:title>医疗设备采购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49FF8F293355437FB257DBAE9D2BACFD_13</vt:lpwstr>
  </property>
  <property fmtid="{D5CDD505-2E9C-101B-9397-08002B2CF9AE}" pid="4" name="commondata">
    <vt:lpwstr>eyJoZGlkIjoiMzA4MDBlOTMyNDBiYTIwZGVjMDQ3ODZjMjJiYTc4MWMifQ==</vt:lpwstr>
  </property>
  <property fmtid="{D5CDD505-2E9C-101B-9397-08002B2CF9AE}" pid="5" name="KSOTemplateDocerSaveRecord">
    <vt:lpwstr>eyJoZGlkIjoiZDE5ZTM0MDYxYzNhZTBmMmQ3ODcyYTgxMzFhNWNiMjMiLCJ1c2VySWQiOiIxNjUxNjQ0NjMyIn0=</vt:lpwstr>
  </property>
</Properties>
</file>