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insoku w:val="0"/>
        <w:overflowPunct w:val="0"/>
        <w:rPr>
          <w:rFonts w:hint="default" w:ascii="Arial" w:hAnsi="Arial" w:cs="Arial"/>
          <w:color w:val="auto"/>
          <w:highlight w:val="none"/>
        </w:rPr>
      </w:pPr>
      <w:bookmarkStart w:id="0" w:name="_Toc183682338"/>
      <w:bookmarkStart w:id="1" w:name="_Toc217446030"/>
      <w:bookmarkStart w:id="118" w:name="_GoBack"/>
      <w:bookmarkEnd w:id="118"/>
    </w:p>
    <w:p>
      <w:pPr>
        <w:tabs>
          <w:tab w:val="left" w:pos="1710"/>
        </w:tabs>
        <w:rPr>
          <w:rFonts w:hint="default" w:ascii="Arial" w:hAnsi="Arial" w:cs="Arial"/>
          <w:color w:val="auto"/>
          <w:highlight w:val="none"/>
        </w:rPr>
      </w:pPr>
    </w:p>
    <w:p>
      <w:pPr>
        <w:tabs>
          <w:tab w:val="left" w:pos="1710"/>
        </w:tabs>
        <w:rPr>
          <w:rFonts w:hint="default" w:ascii="Arial" w:hAnsi="Arial" w:cs="Arial"/>
          <w:color w:val="auto"/>
          <w:highlight w:val="none"/>
        </w:rPr>
      </w:pPr>
    </w:p>
    <w:p>
      <w:pPr>
        <w:tabs>
          <w:tab w:val="left" w:pos="1710"/>
        </w:tabs>
        <w:rPr>
          <w:rFonts w:hint="default" w:ascii="Arial" w:hAnsi="Arial" w:cs="Arial"/>
          <w:color w:val="auto"/>
          <w:highlight w:val="none"/>
        </w:rPr>
      </w:pPr>
    </w:p>
    <w:p>
      <w:pPr>
        <w:tabs>
          <w:tab w:val="left" w:pos="1710"/>
        </w:tabs>
        <w:rPr>
          <w:rFonts w:hint="default" w:ascii="Arial" w:hAnsi="Arial" w:cs="Arial"/>
          <w:color w:val="auto"/>
          <w:highlight w:val="none"/>
        </w:rPr>
      </w:pPr>
    </w:p>
    <w:p>
      <w:pPr>
        <w:tabs>
          <w:tab w:val="left" w:pos="1710"/>
        </w:tabs>
        <w:rPr>
          <w:rFonts w:hint="default" w:ascii="Arial" w:hAnsi="Arial" w:cs="Arial"/>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6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983" w:type="dxa"/>
            <w:gridSpan w:val="2"/>
            <w:tcBorders>
              <w:top w:val="nil"/>
              <w:left w:val="nil"/>
              <w:right w:val="nil"/>
            </w:tcBorders>
            <w:noWrap w:val="0"/>
            <w:vAlign w:val="top"/>
          </w:tcPr>
          <w:p>
            <w:pPr>
              <w:snapToGrid w:val="0"/>
              <w:spacing w:line="240" w:lineRule="atLeast"/>
              <w:jc w:val="center"/>
              <w:rPr>
                <w:rFonts w:hint="default" w:ascii="Arial" w:hAnsi="Arial" w:cs="Arial"/>
                <w:b/>
                <w:color w:val="auto"/>
                <w:sz w:val="60"/>
                <w:szCs w:val="60"/>
                <w:highlight w:val="none"/>
              </w:rPr>
            </w:pPr>
            <w:r>
              <w:rPr>
                <w:rFonts w:hint="default" w:ascii="Arial" w:hAnsi="Arial" w:cs="Arial"/>
                <w:b/>
                <w:color w:val="auto"/>
                <w:sz w:val="60"/>
                <w:szCs w:val="60"/>
                <w:highlight w:val="none"/>
              </w:rPr>
              <w:t>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1764" w:type="dxa"/>
            <w:noWrap w:val="0"/>
            <w:vAlign w:val="center"/>
          </w:tcPr>
          <w:p>
            <w:pPr>
              <w:rPr>
                <w:rFonts w:hint="default" w:ascii="Arial" w:hAnsi="Arial" w:cs="Arial"/>
                <w:b/>
                <w:color w:val="auto"/>
                <w:sz w:val="32"/>
                <w:szCs w:val="32"/>
                <w:highlight w:val="none"/>
              </w:rPr>
            </w:pPr>
            <w:r>
              <w:rPr>
                <w:rFonts w:hint="default" w:ascii="Arial" w:hAnsi="Arial" w:cs="Arial"/>
                <w:b/>
                <w:color w:val="auto"/>
                <w:sz w:val="32"/>
                <w:szCs w:val="32"/>
                <w:highlight w:val="none"/>
              </w:rPr>
              <w:t>项目名称：</w:t>
            </w:r>
          </w:p>
        </w:tc>
        <w:tc>
          <w:tcPr>
            <w:tcW w:w="6219" w:type="dxa"/>
            <w:noWrap w:val="0"/>
            <w:vAlign w:val="center"/>
          </w:tcPr>
          <w:p>
            <w:pPr>
              <w:rPr>
                <w:rFonts w:hint="default" w:ascii="Arial" w:hAnsi="Arial" w:eastAsia="宋体" w:cs="Arial"/>
                <w:b/>
                <w:color w:val="auto"/>
                <w:sz w:val="32"/>
                <w:szCs w:val="32"/>
                <w:highlight w:val="none"/>
                <w:lang w:eastAsia="zh-CN"/>
              </w:rPr>
            </w:pPr>
            <w:r>
              <w:rPr>
                <w:rFonts w:hint="default" w:ascii="Arial" w:hAnsi="Arial" w:cs="Arial"/>
                <w:b/>
                <w:color w:val="auto"/>
                <w:sz w:val="32"/>
                <w:szCs w:val="32"/>
                <w:highlight w:val="none"/>
                <w:lang w:eastAsia="zh-CN"/>
              </w:rPr>
              <w:t>桂林医科大学医学健康数据智能分析与科研一体化平台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pPr>
              <w:rPr>
                <w:rFonts w:hint="default" w:ascii="Arial" w:hAnsi="Arial" w:cs="Arial"/>
                <w:b/>
                <w:color w:val="auto"/>
                <w:sz w:val="32"/>
                <w:szCs w:val="32"/>
                <w:highlight w:val="none"/>
              </w:rPr>
            </w:pPr>
            <w:r>
              <w:rPr>
                <w:rFonts w:hint="default" w:ascii="Arial" w:hAnsi="Arial" w:cs="Arial"/>
                <w:b/>
                <w:color w:val="auto"/>
                <w:sz w:val="32"/>
                <w:szCs w:val="32"/>
                <w:highlight w:val="none"/>
              </w:rPr>
              <w:t>项目编号：</w:t>
            </w:r>
          </w:p>
        </w:tc>
        <w:tc>
          <w:tcPr>
            <w:tcW w:w="6219" w:type="dxa"/>
            <w:noWrap w:val="0"/>
            <w:vAlign w:val="center"/>
          </w:tcPr>
          <w:p>
            <w:pPr>
              <w:rPr>
                <w:rFonts w:hint="default"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GXZC2025-C3-003693-JDZB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pPr>
              <w:rPr>
                <w:rFonts w:hint="default" w:ascii="Arial" w:hAnsi="Arial" w:cs="Arial"/>
                <w:b/>
                <w:color w:val="auto"/>
                <w:sz w:val="32"/>
                <w:szCs w:val="32"/>
                <w:highlight w:val="none"/>
              </w:rPr>
            </w:pPr>
            <w:r>
              <w:rPr>
                <w:rFonts w:hint="default" w:ascii="Arial" w:hAnsi="Arial" w:cs="Arial"/>
                <w:b/>
                <w:color w:val="auto"/>
                <w:sz w:val="32"/>
                <w:szCs w:val="32"/>
                <w:highlight w:val="none"/>
              </w:rPr>
              <w:t>联系电话：</w:t>
            </w:r>
          </w:p>
        </w:tc>
        <w:tc>
          <w:tcPr>
            <w:tcW w:w="6219" w:type="dxa"/>
            <w:noWrap w:val="0"/>
            <w:vAlign w:val="center"/>
          </w:tcPr>
          <w:p>
            <w:pPr>
              <w:rPr>
                <w:rFonts w:hint="default" w:ascii="Arial" w:hAnsi="Arial" w:cs="Arial"/>
                <w:b/>
                <w:color w:val="auto"/>
                <w:sz w:val="32"/>
                <w:szCs w:val="32"/>
                <w:highlight w:val="none"/>
              </w:rPr>
            </w:pPr>
            <w:r>
              <w:rPr>
                <w:rFonts w:hint="default" w:ascii="Arial" w:hAnsi="Arial" w:cs="Arial"/>
                <w:b/>
                <w:color w:val="auto"/>
                <w:sz w:val="32"/>
                <w:szCs w:val="32"/>
                <w:highlight w:val="none"/>
              </w:rPr>
              <w:t>0773-3696789转2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pPr>
              <w:rPr>
                <w:rFonts w:hint="default" w:ascii="Arial" w:hAnsi="Arial" w:cs="Arial"/>
                <w:b/>
                <w:color w:val="auto"/>
                <w:sz w:val="32"/>
                <w:szCs w:val="32"/>
                <w:highlight w:val="none"/>
              </w:rPr>
            </w:pPr>
            <w:r>
              <w:rPr>
                <w:rFonts w:hint="default" w:ascii="Arial" w:hAnsi="Arial" w:cs="Arial"/>
                <w:b/>
                <w:color w:val="auto"/>
                <w:sz w:val="32"/>
                <w:szCs w:val="32"/>
                <w:highlight w:val="none"/>
              </w:rPr>
              <w:t>采购方式：</w:t>
            </w:r>
          </w:p>
        </w:tc>
        <w:tc>
          <w:tcPr>
            <w:tcW w:w="6219" w:type="dxa"/>
            <w:noWrap w:val="0"/>
            <w:vAlign w:val="center"/>
          </w:tcPr>
          <w:p>
            <w:pPr>
              <w:rPr>
                <w:rFonts w:hint="default" w:ascii="Arial" w:hAnsi="Arial" w:cs="Arial"/>
                <w:b/>
                <w:color w:val="auto"/>
                <w:sz w:val="32"/>
                <w:szCs w:val="32"/>
                <w:highlight w:val="none"/>
              </w:rPr>
            </w:pPr>
            <w:r>
              <w:rPr>
                <w:rFonts w:hint="default" w:ascii="Arial" w:hAnsi="Arial" w:cs="Arial"/>
                <w:b/>
                <w:color w:val="auto"/>
                <w:sz w:val="32"/>
                <w:szCs w:val="32"/>
                <w:highlight w:val="none"/>
              </w:rPr>
              <w:t>竞争性磋商</w:t>
            </w:r>
          </w:p>
        </w:tc>
      </w:tr>
    </w:tbl>
    <w:p>
      <w:pPr>
        <w:tabs>
          <w:tab w:val="left" w:pos="1710"/>
        </w:tabs>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p>
      <w:pPr>
        <w:rPr>
          <w:rFonts w:hint="default" w:ascii="Arial" w:hAnsi="Arial" w:cs="Arial"/>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4728"/>
      </w:tblGrid>
      <w:tr>
        <w:tblPrEx>
          <w:tblCellMar>
            <w:top w:w="0" w:type="dxa"/>
            <w:left w:w="108" w:type="dxa"/>
            <w:bottom w:w="0" w:type="dxa"/>
            <w:right w:w="108" w:type="dxa"/>
          </w:tblCellMar>
        </w:tblPrEx>
        <w:trPr>
          <w:trHeight w:val="703" w:hRule="atLeast"/>
          <w:jc w:val="center"/>
        </w:trPr>
        <w:tc>
          <w:tcPr>
            <w:tcW w:w="2707" w:type="dxa"/>
            <w:noWrap w:val="0"/>
            <w:vAlign w:val="center"/>
          </w:tcPr>
          <w:p>
            <w:pPr>
              <w:autoSpaceDE w:val="0"/>
              <w:autoSpaceDN w:val="0"/>
              <w:adjustRightInd w:val="0"/>
              <w:jc w:val="right"/>
              <w:rPr>
                <w:rFonts w:hint="default" w:ascii="Arial" w:hAnsi="Arial" w:cs="Arial"/>
                <w:b/>
                <w:color w:val="auto"/>
                <w:sz w:val="32"/>
                <w:szCs w:val="32"/>
                <w:highlight w:val="none"/>
              </w:rPr>
            </w:pPr>
            <w:r>
              <w:rPr>
                <w:rFonts w:hint="default" w:ascii="Arial" w:hAnsi="Arial" w:cs="Arial"/>
                <w:b/>
                <w:color w:val="auto"/>
                <w:sz w:val="32"/>
                <w:szCs w:val="32"/>
                <w:highlight w:val="none"/>
              </w:rPr>
              <w:t xml:space="preserve">  采购人：</w:t>
            </w:r>
          </w:p>
        </w:tc>
        <w:tc>
          <w:tcPr>
            <w:tcW w:w="4734" w:type="dxa"/>
            <w:gridSpan w:val="2"/>
            <w:noWrap w:val="0"/>
            <w:vAlign w:val="center"/>
          </w:tcPr>
          <w:p>
            <w:pPr>
              <w:autoSpaceDE w:val="0"/>
              <w:autoSpaceDN w:val="0"/>
              <w:adjustRightInd w:val="0"/>
              <w:jc w:val="left"/>
              <w:rPr>
                <w:rFonts w:hint="default" w:ascii="Arial" w:hAnsi="Arial" w:cs="Arial"/>
                <w:b/>
                <w:color w:val="auto"/>
                <w:sz w:val="32"/>
                <w:szCs w:val="32"/>
                <w:highlight w:val="none"/>
              </w:rPr>
            </w:pPr>
            <w:r>
              <w:rPr>
                <w:rFonts w:hint="default" w:ascii="Arial" w:hAnsi="Arial" w:cs="Arial"/>
                <w:b/>
                <w:color w:val="auto"/>
                <w:sz w:val="32"/>
                <w:szCs w:val="32"/>
                <w:highlight w:val="none"/>
              </w:rPr>
              <w:t>桂林医科大学</w:t>
            </w:r>
          </w:p>
        </w:tc>
      </w:tr>
      <w:tr>
        <w:tblPrEx>
          <w:tblCellMar>
            <w:top w:w="0" w:type="dxa"/>
            <w:left w:w="108" w:type="dxa"/>
            <w:bottom w:w="0" w:type="dxa"/>
            <w:right w:w="108" w:type="dxa"/>
          </w:tblCellMar>
        </w:tblPrEx>
        <w:trPr>
          <w:trHeight w:val="703" w:hRule="atLeast"/>
          <w:jc w:val="center"/>
        </w:trPr>
        <w:tc>
          <w:tcPr>
            <w:tcW w:w="2713" w:type="dxa"/>
            <w:gridSpan w:val="2"/>
            <w:noWrap w:val="0"/>
            <w:vAlign w:val="top"/>
          </w:tcPr>
          <w:p>
            <w:pPr>
              <w:autoSpaceDE w:val="0"/>
              <w:autoSpaceDN w:val="0"/>
              <w:adjustRightInd w:val="0"/>
              <w:jc w:val="right"/>
              <w:rPr>
                <w:rFonts w:hint="default" w:ascii="Arial" w:hAnsi="Arial" w:cs="Arial"/>
                <w:b/>
                <w:color w:val="auto"/>
                <w:sz w:val="32"/>
                <w:szCs w:val="32"/>
                <w:highlight w:val="none"/>
              </w:rPr>
            </w:pPr>
            <w:r>
              <w:rPr>
                <w:rFonts w:hint="default" w:ascii="Arial" w:hAnsi="Arial" w:cs="Arial"/>
                <w:b/>
                <w:color w:val="auto"/>
                <w:sz w:val="32"/>
                <w:szCs w:val="32"/>
                <w:highlight w:val="none"/>
              </w:rPr>
              <w:t>采购代理机构：</w:t>
            </w:r>
          </w:p>
        </w:tc>
        <w:tc>
          <w:tcPr>
            <w:tcW w:w="4728" w:type="dxa"/>
            <w:noWrap w:val="0"/>
            <w:vAlign w:val="top"/>
          </w:tcPr>
          <w:p>
            <w:pPr>
              <w:autoSpaceDE w:val="0"/>
              <w:autoSpaceDN w:val="0"/>
              <w:adjustRightInd w:val="0"/>
              <w:rPr>
                <w:rFonts w:hint="default" w:ascii="Arial" w:hAnsi="Arial" w:cs="Arial"/>
                <w:b/>
                <w:color w:val="auto"/>
                <w:sz w:val="32"/>
                <w:szCs w:val="32"/>
                <w:highlight w:val="none"/>
                <w:u w:val="single"/>
              </w:rPr>
            </w:pPr>
            <w:r>
              <w:rPr>
                <w:rFonts w:hint="default" w:ascii="Arial" w:hAnsi="Arial" w:cs="Arial"/>
                <w:b/>
                <w:color w:val="auto"/>
                <w:sz w:val="32"/>
                <w:szCs w:val="32"/>
                <w:highlight w:val="none"/>
              </w:rPr>
              <w:t>广西机电设备招标有限公司</w:t>
            </w:r>
          </w:p>
        </w:tc>
      </w:tr>
    </w:tbl>
    <w:p>
      <w:pPr>
        <w:rPr>
          <w:rFonts w:hint="default" w:ascii="Arial" w:hAnsi="Arial" w:cs="Arial"/>
          <w:color w:val="auto"/>
          <w:highlight w:val="none"/>
        </w:rPr>
      </w:pPr>
    </w:p>
    <w:p>
      <w:pPr>
        <w:ind w:firstLine="321" w:firstLineChars="100"/>
        <w:jc w:val="center"/>
        <w:rPr>
          <w:rFonts w:hint="default" w:ascii="Arial" w:hAnsi="Arial" w:cs="Arial"/>
          <w:color w:val="auto"/>
          <w:sz w:val="32"/>
          <w:szCs w:val="32"/>
          <w:highlight w:val="none"/>
        </w:rPr>
        <w:sectPr>
          <w:footerReference r:id="rId3" w:type="default"/>
          <w:pgSz w:w="11906" w:h="16838"/>
          <w:pgMar w:top="1418" w:right="1418" w:bottom="1246" w:left="1418" w:header="851" w:footer="992" w:gutter="0"/>
          <w:pgNumType w:start="0"/>
          <w:cols w:space="720" w:num="1"/>
          <w:titlePg/>
          <w:docGrid w:linePitch="312" w:charSpace="0"/>
        </w:sectPr>
      </w:pPr>
      <w:r>
        <w:rPr>
          <w:rFonts w:hint="default" w:ascii="Arial" w:hAnsi="Arial" w:cs="Arial"/>
          <w:b/>
          <w:color w:val="auto"/>
          <w:sz w:val="32"/>
          <w:szCs w:val="32"/>
          <w:highlight w:val="none"/>
        </w:rPr>
        <w:t>2025年</w:t>
      </w:r>
      <w:r>
        <w:rPr>
          <w:rFonts w:hint="eastAsia" w:ascii="Arial" w:hAnsi="Arial" w:cs="Arial"/>
          <w:b/>
          <w:color w:val="auto"/>
          <w:sz w:val="32"/>
          <w:szCs w:val="32"/>
          <w:highlight w:val="none"/>
          <w:lang w:val="en-US" w:eastAsia="zh-CN"/>
        </w:rPr>
        <w:t>11</w:t>
      </w:r>
      <w:r>
        <w:rPr>
          <w:rFonts w:hint="default" w:ascii="Arial" w:hAnsi="Arial" w:cs="Arial"/>
          <w:b/>
          <w:color w:val="auto"/>
          <w:sz w:val="32"/>
          <w:szCs w:val="32"/>
          <w:highlight w:val="none"/>
        </w:rPr>
        <w:t>月</w:t>
      </w:r>
    </w:p>
    <w:p>
      <w:pPr>
        <w:pStyle w:val="27"/>
        <w:snapToGrid w:val="0"/>
        <w:spacing w:before="120" w:after="120" w:line="320" w:lineRule="exact"/>
        <w:jc w:val="center"/>
        <w:outlineLvl w:val="0"/>
        <w:rPr>
          <w:rFonts w:hint="default" w:ascii="Arial" w:hAnsi="Arial" w:cs="Arial"/>
          <w:color w:val="auto"/>
          <w:sz w:val="32"/>
          <w:szCs w:val="32"/>
          <w:highlight w:val="none"/>
        </w:rPr>
      </w:pPr>
      <w:bookmarkStart w:id="2" w:name="_Toc26233"/>
      <w:bookmarkStart w:id="3" w:name="_Toc485803390"/>
      <w:bookmarkStart w:id="4" w:name="_Toc489863683"/>
    </w:p>
    <w:p>
      <w:pPr>
        <w:pStyle w:val="27"/>
        <w:snapToGrid w:val="0"/>
        <w:spacing w:before="120" w:after="120" w:line="320" w:lineRule="exact"/>
        <w:jc w:val="center"/>
        <w:outlineLvl w:val="0"/>
        <w:rPr>
          <w:rFonts w:hint="default" w:ascii="Arial" w:hAnsi="Arial" w:cs="Arial"/>
          <w:color w:val="auto"/>
          <w:sz w:val="32"/>
          <w:szCs w:val="32"/>
          <w:highlight w:val="none"/>
        </w:rPr>
      </w:pPr>
      <w:r>
        <w:rPr>
          <w:rFonts w:hint="default" w:ascii="Arial" w:hAnsi="Arial" w:cs="Arial"/>
          <w:color w:val="auto"/>
          <w:sz w:val="32"/>
          <w:szCs w:val="32"/>
          <w:highlight w:val="none"/>
        </w:rPr>
        <w:t>目    录</w:t>
      </w:r>
      <w:bookmarkEnd w:id="2"/>
      <w:bookmarkEnd w:id="3"/>
      <w:bookmarkEnd w:id="4"/>
    </w:p>
    <w:p>
      <w:pPr>
        <w:pStyle w:val="34"/>
        <w:tabs>
          <w:tab w:val="right" w:leader="dot" w:pos="9355"/>
          <w:tab w:val="clear" w:pos="8398"/>
        </w:tabs>
        <w:ind w:firstLine="241"/>
        <w:rPr>
          <w:rFonts w:hint="default" w:ascii="Arial" w:hAnsi="Arial" w:cs="Arial"/>
          <w:color w:val="auto"/>
          <w:highlight w:val="none"/>
        </w:rPr>
      </w:pPr>
      <w:r>
        <w:rPr>
          <w:rFonts w:hint="default" w:ascii="Arial" w:hAnsi="Arial" w:cs="Arial"/>
          <w:color w:val="auto"/>
          <w:highlight w:val="none"/>
        </w:rPr>
        <w:fldChar w:fldCharType="begin"/>
      </w:r>
      <w:r>
        <w:rPr>
          <w:rStyle w:val="59"/>
          <w:rFonts w:hint="default" w:ascii="Arial" w:hAnsi="Arial" w:cs="Arial"/>
          <w:color w:val="auto"/>
          <w:highlight w:val="none"/>
        </w:rPr>
        <w:instrText xml:space="preserve"> TOC \o "1-1" \h \z \u </w:instrText>
      </w:r>
      <w:r>
        <w:rPr>
          <w:rFonts w:hint="default" w:ascii="Arial" w:hAnsi="Arial" w:cs="Arial"/>
          <w:color w:val="auto"/>
          <w:highlight w:val="none"/>
        </w:rPr>
        <w:fldChar w:fldCharType="separate"/>
      </w: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_Toc6139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第一章  竞争性磋商公告</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_Toc6139 \h </w:instrText>
      </w:r>
      <w:r>
        <w:rPr>
          <w:rFonts w:hint="default" w:ascii="Arial" w:hAnsi="Arial" w:cs="Arial"/>
          <w:color w:val="auto"/>
          <w:highlight w:val="none"/>
        </w:rPr>
        <w:fldChar w:fldCharType="separate"/>
      </w:r>
      <w:r>
        <w:rPr>
          <w:rFonts w:hint="default" w:ascii="Arial" w:hAnsi="Arial" w:cs="Arial"/>
          <w:color w:val="auto"/>
          <w:highlight w:val="none"/>
        </w:rPr>
        <w:t>1</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pPr>
        <w:pStyle w:val="34"/>
        <w:tabs>
          <w:tab w:val="right" w:leader="dot" w:pos="9355"/>
          <w:tab w:val="clear" w:pos="8398"/>
        </w:tabs>
        <w:ind w:firstLine="241"/>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_Toc9892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第二章  采购需求</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_Toc9892 \h </w:instrText>
      </w:r>
      <w:r>
        <w:rPr>
          <w:rFonts w:hint="default" w:ascii="Arial" w:hAnsi="Arial" w:cs="Arial"/>
          <w:color w:val="auto"/>
          <w:highlight w:val="none"/>
        </w:rPr>
        <w:fldChar w:fldCharType="separate"/>
      </w:r>
      <w:r>
        <w:rPr>
          <w:rFonts w:hint="default" w:ascii="Arial" w:hAnsi="Arial" w:cs="Arial"/>
          <w:color w:val="auto"/>
          <w:highlight w:val="none"/>
        </w:rPr>
        <w:t>4</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pPr>
        <w:pStyle w:val="34"/>
        <w:tabs>
          <w:tab w:val="right" w:leader="dot" w:pos="9355"/>
          <w:tab w:val="clear" w:pos="8398"/>
        </w:tabs>
        <w:ind w:firstLine="241"/>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_Toc13388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第三章  供应商须知</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_Toc13388 \h </w:instrText>
      </w:r>
      <w:r>
        <w:rPr>
          <w:rFonts w:hint="default" w:ascii="Arial" w:hAnsi="Arial" w:cs="Arial"/>
          <w:color w:val="auto"/>
          <w:highlight w:val="none"/>
        </w:rPr>
        <w:fldChar w:fldCharType="separate"/>
      </w:r>
      <w:r>
        <w:rPr>
          <w:rFonts w:hint="default" w:ascii="Arial" w:hAnsi="Arial" w:cs="Arial"/>
          <w:color w:val="auto"/>
          <w:highlight w:val="none"/>
        </w:rPr>
        <w:t>24</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pPr>
        <w:pStyle w:val="34"/>
        <w:tabs>
          <w:tab w:val="right" w:leader="dot" w:pos="9355"/>
          <w:tab w:val="clear" w:pos="8398"/>
        </w:tabs>
        <w:ind w:firstLine="241"/>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_Toc13531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第四章  评审方法及标准</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_Toc13531 \h </w:instrText>
      </w:r>
      <w:r>
        <w:rPr>
          <w:rFonts w:hint="default" w:ascii="Arial" w:hAnsi="Arial" w:cs="Arial"/>
          <w:color w:val="auto"/>
          <w:highlight w:val="none"/>
        </w:rPr>
        <w:fldChar w:fldCharType="separate"/>
      </w:r>
      <w:r>
        <w:rPr>
          <w:rFonts w:hint="default" w:ascii="Arial" w:hAnsi="Arial" w:cs="Arial"/>
          <w:color w:val="auto"/>
          <w:highlight w:val="none"/>
        </w:rPr>
        <w:t>41</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pPr>
        <w:pStyle w:val="34"/>
        <w:tabs>
          <w:tab w:val="right" w:leader="dot" w:pos="9355"/>
          <w:tab w:val="clear" w:pos="8398"/>
        </w:tabs>
        <w:ind w:firstLine="241"/>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_Toc29511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第五章  合同主要条款格式</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_Toc29511 \h </w:instrText>
      </w:r>
      <w:r>
        <w:rPr>
          <w:rFonts w:hint="default" w:ascii="Arial" w:hAnsi="Arial" w:cs="Arial"/>
          <w:color w:val="auto"/>
          <w:highlight w:val="none"/>
        </w:rPr>
        <w:fldChar w:fldCharType="separate"/>
      </w:r>
      <w:r>
        <w:rPr>
          <w:rFonts w:hint="default" w:ascii="Arial" w:hAnsi="Arial" w:cs="Arial"/>
          <w:color w:val="auto"/>
          <w:highlight w:val="none"/>
        </w:rPr>
        <w:t>47</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pPr>
        <w:pStyle w:val="34"/>
        <w:tabs>
          <w:tab w:val="right" w:leader="dot" w:pos="9355"/>
          <w:tab w:val="clear" w:pos="8398"/>
        </w:tabs>
        <w:ind w:firstLine="241"/>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_Toc7118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第六章  响应文件格式</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_Toc7118 \h </w:instrText>
      </w:r>
      <w:r>
        <w:rPr>
          <w:rFonts w:hint="default" w:ascii="Arial" w:hAnsi="Arial" w:cs="Arial"/>
          <w:color w:val="auto"/>
          <w:highlight w:val="none"/>
        </w:rPr>
        <w:fldChar w:fldCharType="separate"/>
      </w:r>
      <w:r>
        <w:rPr>
          <w:rFonts w:hint="default" w:ascii="Arial" w:hAnsi="Arial" w:cs="Arial"/>
          <w:color w:val="auto"/>
          <w:highlight w:val="none"/>
        </w:rPr>
        <w:t>53</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pPr>
        <w:pStyle w:val="27"/>
        <w:snapToGrid w:val="0"/>
        <w:spacing w:before="120" w:after="120" w:line="320" w:lineRule="exact"/>
        <w:jc w:val="center"/>
        <w:outlineLvl w:val="0"/>
        <w:rPr>
          <w:rFonts w:hint="default" w:ascii="Arial" w:hAnsi="Arial" w:cs="Arial"/>
          <w:color w:val="auto"/>
          <w:szCs w:val="28"/>
          <w:highlight w:val="none"/>
        </w:rPr>
      </w:pPr>
      <w:r>
        <w:rPr>
          <w:rFonts w:hint="default" w:ascii="Arial" w:hAnsi="Arial" w:cs="Arial"/>
          <w:color w:val="auto"/>
          <w:szCs w:val="28"/>
          <w:highlight w:val="none"/>
        </w:rPr>
        <w:fldChar w:fldCharType="end"/>
      </w:r>
      <w:bookmarkStart w:id="5" w:name="_Toc6139"/>
      <w:bookmarkStart w:id="6" w:name="_Toc254970489"/>
      <w:bookmarkStart w:id="7" w:name="_Toc254970630"/>
    </w:p>
    <w:p>
      <w:pPr>
        <w:pStyle w:val="27"/>
        <w:snapToGrid w:val="0"/>
        <w:spacing w:before="120" w:after="120" w:line="320" w:lineRule="exact"/>
        <w:jc w:val="center"/>
        <w:outlineLvl w:val="0"/>
        <w:rPr>
          <w:rFonts w:hint="default" w:ascii="Arial" w:hAnsi="Arial" w:cs="Arial"/>
          <w:color w:val="auto"/>
          <w:sz w:val="32"/>
          <w:szCs w:val="32"/>
          <w:highlight w:val="none"/>
        </w:rPr>
        <w:sectPr>
          <w:headerReference r:id="rId4" w:type="default"/>
          <w:footerReference r:id="rId5" w:type="default"/>
          <w:pgSz w:w="11906" w:h="16838"/>
          <w:pgMar w:top="1135" w:right="1133" w:bottom="1246" w:left="1418" w:header="851" w:footer="903" w:gutter="0"/>
          <w:pgNumType w:start="1"/>
          <w:cols w:space="720" w:num="1"/>
          <w:docGrid w:linePitch="312" w:charSpace="0"/>
        </w:sectPr>
      </w:pPr>
    </w:p>
    <w:p>
      <w:pPr>
        <w:pStyle w:val="27"/>
        <w:snapToGrid w:val="0"/>
        <w:spacing w:before="120" w:after="120" w:line="320" w:lineRule="exact"/>
        <w:jc w:val="center"/>
        <w:outlineLvl w:val="0"/>
        <w:rPr>
          <w:rFonts w:hint="default" w:ascii="Arial" w:hAnsi="Arial" w:cs="Arial"/>
          <w:color w:val="auto"/>
          <w:sz w:val="32"/>
          <w:szCs w:val="32"/>
          <w:highlight w:val="none"/>
        </w:rPr>
      </w:pPr>
      <w:r>
        <w:rPr>
          <w:rFonts w:hint="default" w:ascii="Arial" w:hAnsi="Arial" w:cs="Arial"/>
          <w:color w:val="auto"/>
          <w:sz w:val="32"/>
          <w:szCs w:val="32"/>
          <w:highlight w:val="none"/>
        </w:rPr>
        <w:t>第一章  竞争性磋商公告</w:t>
      </w:r>
      <w:bookmarkEnd w:id="5"/>
    </w:p>
    <w:bookmarkEnd w:id="6"/>
    <w:bookmarkEnd w:id="7"/>
    <w:p>
      <w:pPr>
        <w:spacing w:line="400" w:lineRule="exact"/>
        <w:jc w:val="center"/>
        <w:rPr>
          <w:rFonts w:hint="default" w:ascii="Arial" w:hAnsi="Arial" w:eastAsia="宋体" w:cs="Arial"/>
          <w:color w:val="auto"/>
          <w:kern w:val="0"/>
          <w:sz w:val="24"/>
          <w:highlight w:val="none"/>
          <w:lang w:eastAsia="zh-CN"/>
        </w:rPr>
      </w:pPr>
      <w:bookmarkStart w:id="8" w:name="OLE_LINK8"/>
      <w:r>
        <w:rPr>
          <w:rFonts w:hint="default" w:ascii="Arial" w:hAnsi="Arial" w:cs="Arial"/>
          <w:color w:val="auto"/>
          <w:kern w:val="0"/>
          <w:sz w:val="24"/>
          <w:highlight w:val="none"/>
        </w:rPr>
        <w:t>广西机电设备招标有限公司关于</w:t>
      </w:r>
      <w:r>
        <w:rPr>
          <w:rFonts w:hint="default" w:ascii="Arial" w:hAnsi="Arial" w:cs="Arial"/>
          <w:color w:val="auto"/>
          <w:kern w:val="0"/>
          <w:sz w:val="24"/>
          <w:highlight w:val="none"/>
          <w:lang w:eastAsia="zh-CN"/>
        </w:rPr>
        <w:t>桂林医科大学医学健康数据智能分析与科研一体化平台</w:t>
      </w:r>
    </w:p>
    <w:p>
      <w:pPr>
        <w:spacing w:line="400" w:lineRule="exact"/>
        <w:jc w:val="center"/>
        <w:rPr>
          <w:rFonts w:hint="default" w:ascii="Arial" w:hAnsi="Arial" w:cs="Arial"/>
          <w:b/>
          <w:color w:val="auto"/>
          <w:sz w:val="24"/>
          <w:highlight w:val="none"/>
        </w:rPr>
      </w:pPr>
      <w:r>
        <w:rPr>
          <w:rFonts w:hint="default" w:ascii="Arial" w:hAnsi="Arial" w:cs="Arial"/>
          <w:color w:val="auto"/>
          <w:sz w:val="24"/>
          <w:highlight w:val="none"/>
        </w:rPr>
        <w:t>(</w:t>
      </w:r>
      <w:r>
        <w:rPr>
          <w:rFonts w:hint="eastAsia" w:ascii="Arial" w:hAnsi="Arial" w:cs="Arial"/>
          <w:color w:val="auto"/>
          <w:sz w:val="24"/>
          <w:highlight w:val="none"/>
          <w:lang w:eastAsia="zh-CN"/>
        </w:rPr>
        <w:t>GXZC2025-C3-003693-JDZB</w:t>
      </w:r>
      <w:r>
        <w:rPr>
          <w:rFonts w:hint="default" w:ascii="Arial" w:hAnsi="Arial" w:cs="Arial"/>
          <w:color w:val="auto"/>
          <w:sz w:val="24"/>
          <w:highlight w:val="none"/>
        </w:rPr>
        <w:t>)</w:t>
      </w:r>
      <w:r>
        <w:rPr>
          <w:rFonts w:hint="default" w:ascii="Arial" w:hAnsi="Arial" w:cs="Arial"/>
          <w:color w:val="auto"/>
          <w:kern w:val="0"/>
          <w:sz w:val="24"/>
          <w:highlight w:val="none"/>
        </w:rPr>
        <w:t>竞争性磋商公告</w:t>
      </w:r>
    </w:p>
    <w:p>
      <w:pPr>
        <w:spacing w:line="312" w:lineRule="auto"/>
        <w:jc w:val="left"/>
        <w:rPr>
          <w:rFonts w:hint="default" w:ascii="Arial" w:hAnsi="Arial" w:cs="Arial"/>
          <w:color w:val="auto"/>
          <w:kern w:val="0"/>
          <w:szCs w:val="21"/>
          <w:highlight w:val="none"/>
        </w:rPr>
      </w:pPr>
    </w:p>
    <w:p>
      <w:pPr>
        <w:spacing w:line="312" w:lineRule="auto"/>
        <w:ind w:firstLine="420" w:firstLineChars="200"/>
        <w:jc w:val="left"/>
        <w:rPr>
          <w:rFonts w:hint="default" w:ascii="Arial" w:hAnsi="Arial" w:cs="Arial"/>
          <w:b/>
          <w:bCs/>
          <w:color w:val="auto"/>
          <w:kern w:val="0"/>
          <w:sz w:val="22"/>
          <w:szCs w:val="22"/>
          <w:highlight w:val="none"/>
        </w:rPr>
      </w:pPr>
      <w:r>
        <w:rPr>
          <w:rFonts w:hint="default" w:ascii="Arial" w:hAnsi="Arial" w:cs="Arial"/>
          <w:color w:val="auto"/>
          <w:szCs w:val="21"/>
          <w:highlight w:val="none"/>
        </w:rPr>
        <w:t>项目概况：</w:t>
      </w:r>
      <w:r>
        <w:rPr>
          <w:rFonts w:hint="default" w:ascii="Arial" w:hAnsi="Arial" w:cs="Arial"/>
          <w:color w:val="auto"/>
          <w:szCs w:val="21"/>
          <w:highlight w:val="none"/>
          <w:lang w:eastAsia="zh-CN"/>
        </w:rPr>
        <w:t>桂林医科大学医学健康数据智能分析与科研一体化平台</w:t>
      </w:r>
      <w:r>
        <w:rPr>
          <w:rFonts w:hint="default" w:ascii="Arial" w:hAnsi="Arial" w:cs="Arial"/>
          <w:color w:val="auto"/>
          <w:szCs w:val="21"/>
          <w:highlight w:val="none"/>
        </w:rPr>
        <w:t>的潜在供应商应在广西政府采购云平台（https://www.gcy.zfcg.gxzf.gov.cn/）获取采购文件，并于2025年</w:t>
      </w:r>
      <w:r>
        <w:rPr>
          <w:rFonts w:hint="eastAsia" w:ascii="Arial" w:hAnsi="Arial" w:cs="Arial"/>
          <w:color w:val="auto"/>
          <w:szCs w:val="21"/>
          <w:highlight w:val="none"/>
          <w:lang w:val="en-US" w:eastAsia="zh-CN"/>
        </w:rPr>
        <w:t>12</w:t>
      </w:r>
      <w:r>
        <w:rPr>
          <w:rFonts w:hint="default" w:ascii="Arial" w:hAnsi="Arial" w:cs="Arial"/>
          <w:color w:val="auto"/>
          <w:szCs w:val="21"/>
          <w:highlight w:val="none"/>
          <w:lang w:eastAsia="zh-CN"/>
        </w:rPr>
        <w:t>月</w:t>
      </w:r>
      <w:r>
        <w:rPr>
          <w:rFonts w:hint="eastAsia" w:ascii="Arial" w:hAnsi="Arial" w:cs="Arial"/>
          <w:color w:val="auto"/>
          <w:szCs w:val="21"/>
          <w:highlight w:val="none"/>
          <w:lang w:val="en-US" w:eastAsia="zh-CN"/>
        </w:rPr>
        <w:t>9</w:t>
      </w:r>
      <w:r>
        <w:rPr>
          <w:rFonts w:hint="default" w:ascii="Arial" w:hAnsi="Arial" w:cs="Arial"/>
          <w:color w:val="auto"/>
          <w:szCs w:val="21"/>
          <w:highlight w:val="none"/>
          <w:lang w:eastAsia="zh-CN"/>
        </w:rPr>
        <w:t>日</w:t>
      </w:r>
      <w:r>
        <w:rPr>
          <w:rFonts w:hint="default" w:ascii="Arial" w:hAnsi="Arial" w:cs="Arial"/>
          <w:color w:val="auto"/>
          <w:szCs w:val="21"/>
          <w:highlight w:val="none"/>
        </w:rPr>
        <w:t xml:space="preserve"> 09:30（北京时间）前提交响应文件。</w:t>
      </w:r>
    </w:p>
    <w:p>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一、项目基本情况</w:t>
      </w:r>
    </w:p>
    <w:p>
      <w:pPr>
        <w:spacing w:line="312" w:lineRule="auto"/>
        <w:ind w:firstLine="420" w:firstLineChars="200"/>
        <w:jc w:val="left"/>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rPr>
        <w:t>项目编号：</w:t>
      </w:r>
      <w:r>
        <w:rPr>
          <w:rFonts w:hint="eastAsia" w:ascii="Arial" w:hAnsi="Arial" w:cs="Arial"/>
          <w:color w:val="auto"/>
          <w:kern w:val="0"/>
          <w:szCs w:val="21"/>
          <w:highlight w:val="none"/>
          <w:lang w:eastAsia="zh-CN"/>
        </w:rPr>
        <w:t>GXZC2025-C3-003693-JDZB</w:t>
      </w:r>
    </w:p>
    <w:p>
      <w:pPr>
        <w:spacing w:line="312" w:lineRule="auto"/>
        <w:ind w:firstLine="420" w:firstLineChars="200"/>
        <w:jc w:val="left"/>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rPr>
        <w:t>项目名称：</w:t>
      </w:r>
      <w:r>
        <w:rPr>
          <w:rFonts w:hint="default" w:ascii="Arial" w:hAnsi="Arial" w:cs="Arial"/>
          <w:color w:val="auto"/>
          <w:kern w:val="0"/>
          <w:szCs w:val="21"/>
          <w:highlight w:val="none"/>
          <w:lang w:eastAsia="zh-CN"/>
        </w:rPr>
        <w:t>桂林医科大学医学健康数据智能分析与科研一体化平台</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采购方式：竞争性磋商</w:t>
      </w:r>
    </w:p>
    <w:p>
      <w:pPr>
        <w:spacing w:line="312" w:lineRule="auto"/>
        <w:ind w:firstLine="420" w:firstLineChars="200"/>
        <w:jc w:val="left"/>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rPr>
        <w:t>预算总金额（</w:t>
      </w:r>
      <w:r>
        <w:rPr>
          <w:rFonts w:hint="default" w:ascii="Arial" w:hAnsi="Arial" w:cs="Arial"/>
          <w:color w:val="auto"/>
          <w:szCs w:val="21"/>
          <w:highlight w:val="none"/>
          <w:lang w:eastAsia="zh-CN"/>
        </w:rPr>
        <w:t>元）：1926000</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采购需求：</w:t>
      </w:r>
    </w:p>
    <w:p>
      <w:pPr>
        <w:spacing w:line="312" w:lineRule="auto"/>
        <w:ind w:firstLine="735" w:firstLineChars="350"/>
        <w:jc w:val="left"/>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rPr>
        <w:t>标项名称：</w:t>
      </w:r>
      <w:r>
        <w:rPr>
          <w:rFonts w:hint="default" w:ascii="Arial" w:hAnsi="Arial" w:cs="Arial"/>
          <w:color w:val="auto"/>
          <w:kern w:val="0"/>
          <w:szCs w:val="21"/>
          <w:highlight w:val="none"/>
          <w:lang w:eastAsia="zh-CN"/>
        </w:rPr>
        <w:t>桂林医科大学医学健康数据智能分析与科研一体化平台</w:t>
      </w:r>
    </w:p>
    <w:p>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数量：1</w:t>
      </w:r>
    </w:p>
    <w:p>
      <w:pPr>
        <w:spacing w:line="312" w:lineRule="auto"/>
        <w:ind w:firstLine="735" w:firstLineChars="350"/>
        <w:jc w:val="left"/>
        <w:rPr>
          <w:rFonts w:hint="default" w:ascii="Arial" w:hAnsi="Arial" w:eastAsia="宋体" w:cs="Arial"/>
          <w:color w:val="auto"/>
          <w:highlight w:val="none"/>
          <w:lang w:eastAsia="zh-CN"/>
        </w:rPr>
      </w:pPr>
      <w:r>
        <w:rPr>
          <w:rFonts w:hint="default" w:ascii="Arial" w:hAnsi="Arial" w:cs="Arial"/>
          <w:color w:val="auto"/>
          <w:kern w:val="0"/>
          <w:szCs w:val="21"/>
          <w:highlight w:val="none"/>
        </w:rPr>
        <w:t>预算金额（元）：</w:t>
      </w:r>
      <w:r>
        <w:rPr>
          <w:rFonts w:hint="default" w:ascii="Arial" w:hAnsi="Arial" w:cs="Arial"/>
          <w:color w:val="auto"/>
          <w:szCs w:val="21"/>
          <w:highlight w:val="none"/>
          <w:lang w:eastAsia="zh-CN"/>
        </w:rPr>
        <w:t>1926000</w:t>
      </w:r>
    </w:p>
    <w:p>
      <w:pPr>
        <w:spacing w:line="312" w:lineRule="auto"/>
        <w:ind w:firstLine="735" w:firstLineChars="350"/>
        <w:jc w:val="left"/>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简要规格描述或项目基本概况介绍、用途：医学健康数据智能分析与科研一体化平台1项，多中心科研协作平台1项</w:t>
      </w:r>
      <w:r>
        <w:rPr>
          <w:rFonts w:hint="default" w:ascii="Arial" w:hAnsi="Arial" w:cs="Arial"/>
          <w:color w:val="auto"/>
          <w:highlight w:val="none"/>
        </w:rPr>
        <w:t>。</w:t>
      </w:r>
      <w:r>
        <w:rPr>
          <w:rFonts w:hint="default" w:ascii="Arial" w:hAnsi="Arial" w:cs="Arial"/>
          <w:color w:val="auto"/>
          <w:kern w:val="0"/>
          <w:szCs w:val="21"/>
          <w:highlight w:val="none"/>
        </w:rPr>
        <w:t>具体详见磋商文件</w:t>
      </w:r>
      <w:r>
        <w:rPr>
          <w:rFonts w:hint="default" w:ascii="Arial" w:hAnsi="Arial" w:cs="Arial"/>
          <w:color w:val="auto"/>
          <w:kern w:val="0"/>
          <w:szCs w:val="21"/>
          <w:highlight w:val="none"/>
          <w:lang w:eastAsia="zh-CN"/>
        </w:rPr>
        <w:t>。</w:t>
      </w:r>
    </w:p>
    <w:p>
      <w:pPr>
        <w:spacing w:line="312" w:lineRule="auto"/>
        <w:ind w:firstLine="735" w:firstLineChars="350"/>
        <w:jc w:val="left"/>
        <w:rPr>
          <w:rFonts w:hint="default" w:ascii="Arial" w:hAnsi="Arial" w:cs="Arial"/>
          <w:b/>
          <w:bCs/>
          <w:color w:val="auto"/>
          <w:kern w:val="0"/>
          <w:szCs w:val="21"/>
          <w:highlight w:val="none"/>
        </w:rPr>
      </w:pPr>
      <w:r>
        <w:rPr>
          <w:rFonts w:hint="default" w:ascii="Arial" w:hAnsi="Arial" w:cs="Arial"/>
          <w:color w:val="auto"/>
          <w:kern w:val="0"/>
          <w:szCs w:val="21"/>
          <w:highlight w:val="none"/>
        </w:rPr>
        <w:t>最高限价（如有）：/</w:t>
      </w:r>
    </w:p>
    <w:p>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合同履约期限：</w:t>
      </w:r>
      <w:r>
        <w:rPr>
          <w:rFonts w:hint="default" w:ascii="Arial" w:hAnsi="Arial" w:cs="Arial"/>
          <w:color w:val="auto"/>
          <w:kern w:val="0"/>
          <w:szCs w:val="21"/>
          <w:highlight w:val="none"/>
          <w:lang w:eastAsia="zh-CN"/>
        </w:rPr>
        <w:t>自签订合同之日起12个月内完成系统的部署安装及调试工作，11个月内项目进入试运行阶段，试运行1个月后开展验收工作。</w:t>
      </w:r>
    </w:p>
    <w:p>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本项目（</w:t>
      </w:r>
      <w:r>
        <w:rPr>
          <w:rFonts w:hint="default" w:ascii="Arial" w:hAnsi="Arial" w:cs="Arial"/>
          <w:color w:val="auto"/>
          <w:szCs w:val="21"/>
          <w:highlight w:val="none"/>
        </w:rPr>
        <w:t>否</w:t>
      </w:r>
      <w:r>
        <w:rPr>
          <w:rFonts w:hint="default" w:ascii="Arial" w:hAnsi="Arial" w:cs="Arial"/>
          <w:color w:val="auto"/>
          <w:kern w:val="0"/>
          <w:szCs w:val="21"/>
          <w:highlight w:val="none"/>
        </w:rPr>
        <w:t>）接受联合体。</w:t>
      </w:r>
    </w:p>
    <w:p>
      <w:pPr>
        <w:spacing w:line="312" w:lineRule="auto"/>
        <w:ind w:firstLine="735" w:firstLineChars="350"/>
        <w:jc w:val="left"/>
        <w:rPr>
          <w:rFonts w:hint="default" w:ascii="Arial" w:hAnsi="Arial" w:cs="Arial"/>
          <w:color w:val="auto"/>
          <w:kern w:val="0"/>
          <w:szCs w:val="21"/>
          <w:highlight w:val="none"/>
        </w:rPr>
      </w:pPr>
      <w:r>
        <w:rPr>
          <w:rFonts w:hint="default" w:ascii="Arial" w:hAnsi="Arial" w:cs="Arial"/>
          <w:color w:val="auto"/>
          <w:kern w:val="0"/>
          <w:szCs w:val="21"/>
          <w:highlight w:val="none"/>
        </w:rPr>
        <w:t>备注：</w:t>
      </w:r>
    </w:p>
    <w:p>
      <w:pPr>
        <w:spacing w:line="312" w:lineRule="auto"/>
        <w:ind w:firstLine="735" w:firstLineChars="350"/>
        <w:jc w:val="left"/>
        <w:rPr>
          <w:rFonts w:hint="default" w:ascii="Arial" w:hAnsi="Arial" w:cs="Arial"/>
          <w:color w:val="auto"/>
          <w:kern w:val="0"/>
          <w:szCs w:val="21"/>
          <w:highlight w:val="none"/>
        </w:rPr>
      </w:pPr>
    </w:p>
    <w:p>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二、申请人的资格要求</w:t>
      </w:r>
    </w:p>
    <w:p>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kern w:val="0"/>
          <w:szCs w:val="21"/>
          <w:highlight w:val="none"/>
        </w:rPr>
        <w:t>1.满足《中华人民共和国政府采购法》第二十二条规定；</w:t>
      </w:r>
      <w:r>
        <w:rPr>
          <w:rFonts w:hint="default" w:ascii="Arial" w:hAnsi="Arial" w:cs="Arial"/>
          <w:color w:val="auto"/>
          <w:szCs w:val="21"/>
          <w:highlight w:val="none"/>
        </w:rPr>
        <w:t xml:space="preserve"> </w:t>
      </w:r>
    </w:p>
    <w:p>
      <w:pPr>
        <w:spacing w:line="312" w:lineRule="auto"/>
        <w:ind w:firstLine="420" w:firstLineChars="200"/>
        <w:jc w:val="left"/>
        <w:rPr>
          <w:rFonts w:hint="default" w:ascii="Arial" w:hAnsi="Arial" w:cs="Arial"/>
          <w:strike/>
          <w:color w:val="auto"/>
          <w:kern w:val="0"/>
          <w:szCs w:val="21"/>
          <w:highlight w:val="none"/>
        </w:rPr>
      </w:pPr>
      <w:r>
        <w:rPr>
          <w:rFonts w:hint="default" w:ascii="Arial" w:hAnsi="Arial" w:cs="Arial"/>
          <w:color w:val="auto"/>
          <w:szCs w:val="21"/>
          <w:highlight w:val="none"/>
        </w:rPr>
        <w:t>2.落实政府采购政策需满足的资格要求：</w:t>
      </w:r>
      <w:r>
        <w:rPr>
          <w:rFonts w:hint="default" w:ascii="Arial" w:hAnsi="Arial" w:cs="Arial"/>
          <w:b/>
          <w:bCs/>
          <w:color w:val="auto"/>
          <w:highlight w:val="none"/>
        </w:rPr>
        <w:t>本项目为非专门面向中小微企业采购</w:t>
      </w:r>
      <w:r>
        <w:rPr>
          <w:rFonts w:hint="default" w:ascii="Arial" w:hAnsi="Arial" w:cs="Arial"/>
          <w:b/>
          <w:bCs/>
          <w:color w:val="auto"/>
          <w:kern w:val="0"/>
          <w:highlight w:val="none"/>
        </w:rPr>
        <w:t>。</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3.本项目的特定资格要求：</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（1）资质要求：无。</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（2）业绩要求：无。</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（4）未被列入失信被执行人、重大税收违法失信主体、政府采购严重违法失信行为记录名单。</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szCs w:val="21"/>
          <w:highlight w:val="none"/>
        </w:rPr>
        <w:t>（5）</w:t>
      </w:r>
      <w:r>
        <w:rPr>
          <w:rFonts w:hint="default" w:ascii="Arial" w:hAnsi="Arial" w:cs="Arial"/>
          <w:color w:val="auto"/>
          <w:kern w:val="0"/>
          <w:szCs w:val="21"/>
          <w:highlight w:val="none"/>
        </w:rPr>
        <w:t>本项目不允许分包。</w:t>
      </w:r>
    </w:p>
    <w:p>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kern w:val="0"/>
          <w:szCs w:val="21"/>
          <w:highlight w:val="none"/>
        </w:rPr>
        <w:t>（6）本项目不接受联合体。</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（7）按照</w:t>
      </w:r>
      <w:r>
        <w:rPr>
          <w:rFonts w:hint="default" w:ascii="Arial" w:hAnsi="Arial" w:cs="Arial"/>
          <w:color w:val="auto"/>
          <w:highlight w:val="none"/>
        </w:rPr>
        <w:t>磋商</w:t>
      </w:r>
      <w:r>
        <w:rPr>
          <w:rFonts w:hint="default" w:ascii="Arial" w:hAnsi="Arial" w:cs="Arial"/>
          <w:color w:val="auto"/>
          <w:kern w:val="0"/>
          <w:szCs w:val="21"/>
          <w:highlight w:val="none"/>
        </w:rPr>
        <w:t>公告的规定获得</w:t>
      </w:r>
      <w:r>
        <w:rPr>
          <w:rFonts w:hint="default" w:ascii="Arial" w:hAnsi="Arial" w:cs="Arial"/>
          <w:color w:val="auto"/>
          <w:highlight w:val="none"/>
        </w:rPr>
        <w:t>采购文件</w:t>
      </w:r>
      <w:r>
        <w:rPr>
          <w:rFonts w:hint="default" w:ascii="Arial" w:hAnsi="Arial" w:cs="Arial"/>
          <w:color w:val="auto"/>
          <w:kern w:val="0"/>
          <w:szCs w:val="21"/>
          <w:highlight w:val="none"/>
        </w:rPr>
        <w:t>。</w:t>
      </w:r>
      <w:bookmarkStart w:id="9" w:name="_Hlk92967676"/>
      <w:r>
        <w:rPr>
          <w:rFonts w:hint="default" w:ascii="Arial" w:hAnsi="Arial" w:cs="Arial"/>
          <w:color w:val="auto"/>
          <w:kern w:val="0"/>
          <w:szCs w:val="21"/>
          <w:highlight w:val="none"/>
        </w:rPr>
        <w:t>采购文件有规定时按要求提交磋商保证金。</w:t>
      </w:r>
      <w:bookmarkEnd w:id="9"/>
    </w:p>
    <w:p>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三、获取采购文件</w:t>
      </w:r>
    </w:p>
    <w:p>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highlight w:val="none"/>
        </w:rPr>
        <w:t>时间：</w:t>
      </w:r>
      <w:bookmarkStart w:id="10" w:name="_Hlk89170263"/>
      <w:r>
        <w:rPr>
          <w:rFonts w:hint="default" w:ascii="Arial" w:hAnsi="Arial" w:cs="Arial"/>
          <w:color w:val="auto"/>
          <w:highlight w:val="none"/>
          <w:u w:val="single"/>
        </w:rPr>
        <w:t>2025年</w:t>
      </w:r>
      <w:r>
        <w:rPr>
          <w:rFonts w:hint="eastAsia" w:ascii="Arial" w:hAnsi="Arial" w:cs="Arial"/>
          <w:color w:val="auto"/>
          <w:highlight w:val="none"/>
          <w:u w:val="single"/>
          <w:lang w:val="en-US" w:eastAsia="zh-CN"/>
        </w:rPr>
        <w:t>11</w:t>
      </w:r>
      <w:r>
        <w:rPr>
          <w:rFonts w:hint="default" w:ascii="Arial" w:hAnsi="Arial" w:cs="Arial"/>
          <w:color w:val="auto"/>
          <w:highlight w:val="none"/>
          <w:u w:val="single"/>
        </w:rPr>
        <w:t>月</w:t>
      </w:r>
      <w:r>
        <w:rPr>
          <w:rFonts w:hint="eastAsia" w:ascii="Arial" w:hAnsi="Arial" w:cs="Arial"/>
          <w:color w:val="auto"/>
          <w:highlight w:val="none"/>
          <w:u w:val="single"/>
          <w:lang w:val="en-US" w:eastAsia="zh-CN"/>
        </w:rPr>
        <w:t>28</w:t>
      </w:r>
      <w:r>
        <w:rPr>
          <w:rFonts w:hint="default" w:ascii="Arial" w:hAnsi="Arial" w:cs="Arial"/>
          <w:color w:val="auto"/>
          <w:highlight w:val="none"/>
          <w:u w:val="single"/>
        </w:rPr>
        <w:t>日起至2025年</w:t>
      </w:r>
      <w:r>
        <w:rPr>
          <w:rFonts w:hint="eastAsia" w:ascii="Arial" w:hAnsi="Arial" w:cs="Arial"/>
          <w:color w:val="auto"/>
          <w:highlight w:val="none"/>
          <w:u w:val="single"/>
          <w:lang w:val="en-US" w:eastAsia="zh-CN"/>
        </w:rPr>
        <w:t>12</w:t>
      </w:r>
      <w:r>
        <w:rPr>
          <w:rFonts w:hint="default" w:ascii="Arial" w:hAnsi="Arial" w:cs="Arial"/>
          <w:color w:val="auto"/>
          <w:highlight w:val="none"/>
          <w:u w:val="single"/>
        </w:rPr>
        <w:t>月</w:t>
      </w:r>
      <w:r>
        <w:rPr>
          <w:rFonts w:hint="eastAsia" w:ascii="Arial" w:hAnsi="Arial" w:cs="Arial"/>
          <w:color w:val="auto"/>
          <w:highlight w:val="none"/>
          <w:u w:val="single"/>
          <w:lang w:val="en-US" w:eastAsia="zh-CN"/>
        </w:rPr>
        <w:t>5</w:t>
      </w:r>
      <w:r>
        <w:rPr>
          <w:rFonts w:hint="default" w:ascii="Arial" w:hAnsi="Arial" w:cs="Arial"/>
          <w:color w:val="auto"/>
          <w:highlight w:val="none"/>
          <w:u w:val="single"/>
        </w:rPr>
        <w:t>日</w:t>
      </w:r>
      <w:r>
        <w:rPr>
          <w:rFonts w:hint="default" w:ascii="Arial" w:hAnsi="Arial" w:cs="Arial"/>
          <w:color w:val="auto"/>
          <w:highlight w:val="none"/>
        </w:rPr>
        <w:t>，每天上午</w:t>
      </w:r>
      <w:bookmarkEnd w:id="10"/>
      <w:r>
        <w:rPr>
          <w:rFonts w:hint="default" w:ascii="Arial" w:hAnsi="Arial" w:cs="Arial"/>
          <w:color w:val="auto"/>
          <w:highlight w:val="none"/>
          <w:u w:val="single"/>
        </w:rPr>
        <w:t>08时30分至12时00分，下午14时30分至17时30分</w:t>
      </w:r>
      <w:r>
        <w:rPr>
          <w:rFonts w:hint="default" w:ascii="Arial" w:hAnsi="Arial" w:cs="Arial"/>
          <w:color w:val="auto"/>
          <w:highlight w:val="none"/>
        </w:rPr>
        <w:t>（北京时间，法定节假日除外）。</w:t>
      </w:r>
    </w:p>
    <w:p>
      <w:pPr>
        <w:spacing w:line="312" w:lineRule="auto"/>
        <w:ind w:firstLine="420" w:firstLineChars="200"/>
        <w:jc w:val="left"/>
        <w:rPr>
          <w:rFonts w:hint="default" w:ascii="Arial" w:hAnsi="Arial" w:cs="Arial"/>
          <w:color w:val="auto"/>
          <w:szCs w:val="21"/>
          <w:highlight w:val="none"/>
        </w:rPr>
      </w:pPr>
      <w:bookmarkStart w:id="11" w:name="_Hlk46137393"/>
      <w:r>
        <w:rPr>
          <w:rFonts w:hint="default" w:ascii="Arial" w:hAnsi="Arial" w:cs="Arial"/>
          <w:color w:val="auto"/>
          <w:szCs w:val="21"/>
          <w:highlight w:val="none"/>
        </w:rPr>
        <w:t>地点（网址）：</w:t>
      </w:r>
      <w:bookmarkEnd w:id="11"/>
      <w:bookmarkStart w:id="12" w:name="_Hlk89170275"/>
      <w:r>
        <w:rPr>
          <w:rFonts w:hint="default" w:ascii="Arial" w:hAnsi="Arial" w:cs="Arial"/>
          <w:color w:val="auto"/>
          <w:szCs w:val="21"/>
          <w:highlight w:val="none"/>
        </w:rPr>
        <w:t>广西政府采购云平台</w:t>
      </w:r>
      <w:bookmarkStart w:id="13" w:name="_Hlk160527397"/>
      <w:r>
        <w:rPr>
          <w:rFonts w:hint="default" w:ascii="Arial" w:hAnsi="Arial" w:cs="Arial"/>
          <w:color w:val="auto"/>
          <w:szCs w:val="21"/>
          <w:highlight w:val="none"/>
        </w:rPr>
        <w:t>（</w:t>
      </w:r>
      <w:r>
        <w:rPr>
          <w:rFonts w:hint="default" w:ascii="Arial" w:hAnsi="Arial" w:cs="Arial"/>
          <w:color w:val="auto"/>
          <w:szCs w:val="21"/>
          <w:highlight w:val="none"/>
        </w:rPr>
        <w:fldChar w:fldCharType="begin"/>
      </w:r>
      <w:r>
        <w:rPr>
          <w:rFonts w:hint="default" w:ascii="Arial" w:hAnsi="Arial" w:cs="Arial"/>
          <w:color w:val="auto"/>
          <w:szCs w:val="21"/>
          <w:highlight w:val="none"/>
        </w:rPr>
        <w:instrText xml:space="preserve"> HYPERLINK "https://www.gcy.zfcg.gxzf.gov.cn/" </w:instrText>
      </w:r>
      <w:r>
        <w:rPr>
          <w:rFonts w:hint="default" w:ascii="Arial" w:hAnsi="Arial" w:cs="Arial"/>
          <w:color w:val="auto"/>
          <w:szCs w:val="21"/>
          <w:highlight w:val="none"/>
        </w:rPr>
        <w:fldChar w:fldCharType="separate"/>
      </w:r>
      <w:r>
        <w:rPr>
          <w:rStyle w:val="59"/>
          <w:rFonts w:hint="default" w:ascii="Arial" w:hAnsi="Arial" w:cs="Arial"/>
          <w:color w:val="auto"/>
          <w:szCs w:val="21"/>
          <w:highlight w:val="none"/>
        </w:rPr>
        <w:t>https://www.gcy.zfcg.gxzf.gov.cn/</w:t>
      </w:r>
      <w:r>
        <w:rPr>
          <w:rFonts w:hint="default" w:ascii="Arial" w:hAnsi="Arial" w:cs="Arial"/>
          <w:color w:val="auto"/>
          <w:szCs w:val="21"/>
          <w:highlight w:val="none"/>
        </w:rPr>
        <w:fldChar w:fldCharType="end"/>
      </w:r>
      <w:r>
        <w:rPr>
          <w:rFonts w:hint="default" w:ascii="Arial" w:hAnsi="Arial" w:cs="Arial"/>
          <w:color w:val="auto"/>
          <w:szCs w:val="21"/>
          <w:highlight w:val="none"/>
        </w:rPr>
        <w:t>）</w:t>
      </w:r>
    </w:p>
    <w:bookmarkEnd w:id="13"/>
    <w:p>
      <w:pPr>
        <w:spacing w:line="312"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方式：供应商登录广西政府采购云平台平台在线申请获取采购文件（进入“项目采购”应用，在获取采购文件菜单中选择项目，申请获取采购文件）</w:t>
      </w:r>
    </w:p>
    <w:p>
      <w:pPr>
        <w:spacing w:line="312" w:lineRule="auto"/>
        <w:ind w:firstLine="420" w:firstLineChars="200"/>
        <w:jc w:val="left"/>
        <w:rPr>
          <w:rFonts w:hint="default" w:ascii="Arial" w:hAnsi="Arial" w:cs="Arial"/>
          <w:color w:val="auto"/>
          <w:highlight w:val="none"/>
        </w:rPr>
      </w:pPr>
      <w:r>
        <w:rPr>
          <w:rFonts w:hint="default" w:ascii="Arial" w:hAnsi="Arial" w:cs="Arial"/>
          <w:color w:val="auto"/>
          <w:highlight w:val="none"/>
        </w:rPr>
        <w:t>售价（元）：0</w:t>
      </w:r>
    </w:p>
    <w:bookmarkEnd w:id="12"/>
    <w:p>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四、响应文件提交</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截止时间：</w:t>
      </w:r>
      <w:r>
        <w:rPr>
          <w:rFonts w:hint="default" w:ascii="Arial" w:hAnsi="Arial" w:cs="Arial"/>
          <w:color w:val="auto"/>
          <w:kern w:val="0"/>
          <w:szCs w:val="21"/>
          <w:highlight w:val="none"/>
          <w:u w:val="single"/>
        </w:rPr>
        <w:t>2025年</w:t>
      </w:r>
      <w:r>
        <w:rPr>
          <w:rFonts w:hint="eastAsia" w:ascii="Arial" w:hAnsi="Arial" w:cs="Arial"/>
          <w:color w:val="auto"/>
          <w:kern w:val="0"/>
          <w:szCs w:val="21"/>
          <w:highlight w:val="none"/>
          <w:u w:val="single"/>
          <w:lang w:val="en-US" w:eastAsia="zh-CN"/>
        </w:rPr>
        <w:t>12月9日</w:t>
      </w:r>
      <w:r>
        <w:rPr>
          <w:rFonts w:hint="default" w:ascii="Arial" w:hAnsi="Arial" w:cs="Arial"/>
          <w:color w:val="auto"/>
          <w:kern w:val="0"/>
          <w:szCs w:val="21"/>
          <w:highlight w:val="none"/>
          <w:u w:val="single"/>
        </w:rPr>
        <w:t>9时30分</w:t>
      </w:r>
      <w:r>
        <w:rPr>
          <w:rFonts w:hint="default" w:ascii="Arial" w:hAnsi="Arial" w:cs="Arial"/>
          <w:color w:val="auto"/>
          <w:kern w:val="0"/>
          <w:szCs w:val="21"/>
          <w:highlight w:val="none"/>
        </w:rPr>
        <w:t>（北京时间）</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地点（网址）：</w:t>
      </w:r>
      <w:bookmarkStart w:id="14" w:name="_Hlk89170300"/>
      <w:r>
        <w:rPr>
          <w:rFonts w:hint="default" w:ascii="Arial" w:hAnsi="Arial" w:cs="Arial"/>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bookmarkEnd w:id="14"/>
      <w:r>
        <w:rPr>
          <w:rFonts w:hint="default" w:ascii="Arial" w:hAnsi="Arial" w:cs="Arial"/>
          <w:color w:val="auto"/>
          <w:szCs w:val="21"/>
          <w:highlight w:val="none"/>
        </w:rPr>
        <w:t xml:space="preserve"> </w:t>
      </w:r>
    </w:p>
    <w:p>
      <w:pPr>
        <w:spacing w:line="300" w:lineRule="exact"/>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五、开启</w:t>
      </w:r>
    </w:p>
    <w:p>
      <w:pPr>
        <w:spacing w:line="312" w:lineRule="auto"/>
        <w:ind w:firstLine="442" w:firstLineChars="200"/>
        <w:jc w:val="left"/>
        <w:rPr>
          <w:rFonts w:hint="default" w:ascii="Arial" w:hAnsi="Arial" w:cs="Arial"/>
          <w:color w:val="auto"/>
          <w:kern w:val="0"/>
          <w:szCs w:val="21"/>
          <w:highlight w:val="none"/>
        </w:rPr>
      </w:pPr>
      <w:r>
        <w:rPr>
          <w:rFonts w:hint="default" w:ascii="Arial" w:hAnsi="Arial" w:cs="Arial"/>
          <w:b/>
          <w:bCs/>
          <w:color w:val="auto"/>
          <w:kern w:val="0"/>
          <w:sz w:val="22"/>
          <w:szCs w:val="22"/>
          <w:highlight w:val="none"/>
        </w:rPr>
        <w:t>开启时间：</w:t>
      </w:r>
      <w:r>
        <w:rPr>
          <w:rFonts w:hint="default" w:ascii="Arial" w:hAnsi="Arial" w:cs="Arial"/>
          <w:color w:val="auto"/>
          <w:kern w:val="0"/>
          <w:szCs w:val="21"/>
          <w:highlight w:val="none"/>
          <w:u w:val="single"/>
        </w:rPr>
        <w:t>2025年</w:t>
      </w:r>
      <w:r>
        <w:rPr>
          <w:rFonts w:hint="eastAsia" w:ascii="Arial" w:hAnsi="Arial" w:cs="Arial"/>
          <w:color w:val="auto"/>
          <w:kern w:val="0"/>
          <w:szCs w:val="21"/>
          <w:highlight w:val="none"/>
          <w:u w:val="single"/>
          <w:lang w:val="en-US" w:eastAsia="zh-CN"/>
        </w:rPr>
        <w:t>12月9日</w:t>
      </w:r>
      <w:r>
        <w:rPr>
          <w:rFonts w:hint="default" w:ascii="Arial" w:hAnsi="Arial" w:cs="Arial"/>
          <w:color w:val="auto"/>
          <w:kern w:val="0"/>
          <w:szCs w:val="21"/>
          <w:highlight w:val="none"/>
          <w:u w:val="single"/>
        </w:rPr>
        <w:t>9时30分</w:t>
      </w:r>
      <w:r>
        <w:rPr>
          <w:rFonts w:hint="default" w:ascii="Arial" w:hAnsi="Arial" w:cs="Arial"/>
          <w:color w:val="auto"/>
          <w:kern w:val="0"/>
          <w:szCs w:val="21"/>
          <w:highlight w:val="none"/>
        </w:rPr>
        <w:t>（北京时间）</w:t>
      </w:r>
    </w:p>
    <w:p>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地点：</w:t>
      </w:r>
      <w:r>
        <w:rPr>
          <w:rFonts w:hint="default" w:ascii="Arial" w:hAnsi="Arial" w:cs="Arial"/>
          <w:color w:val="auto"/>
          <w:szCs w:val="21"/>
          <w:highlight w:val="none"/>
        </w:rPr>
        <w:t>供应商登录广西政府采购云平台电子开标大厅截标。</w:t>
      </w:r>
    </w:p>
    <w:p>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六、公告期限</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自本公告发布之日起</w:t>
      </w:r>
      <w:r>
        <w:rPr>
          <w:rFonts w:hint="eastAsia" w:ascii="Arial" w:hAnsi="Arial" w:cs="Arial"/>
          <w:color w:val="auto"/>
          <w:kern w:val="0"/>
          <w:szCs w:val="21"/>
          <w:highlight w:val="none"/>
          <w:lang w:val="en-US" w:eastAsia="zh-CN"/>
        </w:rPr>
        <w:t>5</w:t>
      </w:r>
      <w:r>
        <w:rPr>
          <w:rFonts w:hint="default" w:ascii="Arial" w:hAnsi="Arial" w:cs="Arial"/>
          <w:color w:val="auto"/>
          <w:kern w:val="0"/>
          <w:szCs w:val="21"/>
          <w:highlight w:val="none"/>
        </w:rPr>
        <w:t>个工作日。</w:t>
      </w:r>
    </w:p>
    <w:p>
      <w:pPr>
        <w:spacing w:line="312" w:lineRule="auto"/>
        <w:ind w:firstLine="442" w:firstLineChars="200"/>
        <w:jc w:val="left"/>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七、其他补充事宜</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1.公告发布媒体：广西壮族自治区政府采购网、中国政府采购网</w:t>
      </w:r>
    </w:p>
    <w:p>
      <w:pPr>
        <w:spacing w:line="312" w:lineRule="auto"/>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2.需落实的政府采购政策：本项目适用政府采购促进中小企业、监狱企业发展、促进残疾人就业、节能环保等有关政策，具体详见</w:t>
      </w:r>
      <w:r>
        <w:rPr>
          <w:rFonts w:hint="default" w:ascii="Arial" w:hAnsi="Arial" w:cs="Arial"/>
          <w:color w:val="auto"/>
          <w:highlight w:val="none"/>
        </w:rPr>
        <w:t>采购文件</w:t>
      </w:r>
      <w:r>
        <w:rPr>
          <w:rFonts w:hint="default" w:ascii="Arial" w:hAnsi="Arial" w:cs="Arial"/>
          <w:color w:val="auto"/>
          <w:kern w:val="0"/>
          <w:szCs w:val="21"/>
          <w:highlight w:val="none"/>
        </w:rPr>
        <w:t>。</w:t>
      </w:r>
    </w:p>
    <w:p>
      <w:pPr>
        <w:spacing w:line="312" w:lineRule="auto"/>
        <w:ind w:firstLine="420" w:firstLineChars="200"/>
        <w:jc w:val="left"/>
        <w:rPr>
          <w:rFonts w:hint="default" w:ascii="Arial" w:hAnsi="Arial" w:eastAsia="楷体_GB2312" w:cs="Arial"/>
          <w:b/>
          <w:color w:val="auto"/>
          <w:szCs w:val="21"/>
          <w:highlight w:val="none"/>
        </w:rPr>
      </w:pPr>
      <w:r>
        <w:rPr>
          <w:rFonts w:hint="default" w:ascii="Arial" w:hAnsi="Arial" w:cs="Arial"/>
          <w:color w:val="auto"/>
          <w:kern w:val="0"/>
          <w:szCs w:val="21"/>
          <w:highlight w:val="none"/>
        </w:rPr>
        <w:t>3.本项目供应商的产生方式：</w:t>
      </w:r>
      <w:r>
        <w:rPr>
          <w:rFonts w:hint="default" w:ascii="Arial" w:hAnsi="Arial" w:cs="Arial"/>
          <w:color w:val="auto"/>
          <w:highlight w:val="none"/>
        </w:rPr>
        <w:t>发布公告征集</w:t>
      </w:r>
    </w:p>
    <w:p>
      <w:pPr>
        <w:spacing w:line="312" w:lineRule="auto"/>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4.注意事项：</w:t>
      </w:r>
    </w:p>
    <w:p>
      <w:pPr>
        <w:spacing w:line="276" w:lineRule="auto"/>
        <w:ind w:firstLine="420" w:firstLineChars="200"/>
        <w:rPr>
          <w:rFonts w:hint="default" w:ascii="Arial" w:hAnsi="Arial" w:cs="Arial"/>
          <w:color w:val="auto"/>
          <w:szCs w:val="21"/>
          <w:highlight w:val="none"/>
        </w:rPr>
      </w:pPr>
      <w:bookmarkStart w:id="15" w:name="_Hlk89170350"/>
      <w:r>
        <w:rPr>
          <w:rFonts w:hint="default" w:ascii="Arial" w:hAnsi="Arial" w:cs="Arial"/>
          <w:color w:val="auto"/>
          <w:kern w:val="0"/>
          <w:szCs w:val="21"/>
          <w:highlight w:val="none"/>
        </w:rPr>
        <w:t>（1）</w:t>
      </w:r>
      <w:r>
        <w:rPr>
          <w:rFonts w:hint="default" w:ascii="Arial" w:hAnsi="Arial" w:cs="Arial"/>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pPr>
        <w:spacing w:line="276" w:lineRule="auto"/>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pPr>
        <w:spacing w:line="276" w:lineRule="auto"/>
        <w:ind w:firstLine="420" w:firstLineChars="200"/>
        <w:rPr>
          <w:rFonts w:hint="default" w:ascii="Arial" w:hAnsi="Arial" w:cs="Arial"/>
          <w:b/>
          <w:bCs/>
          <w:color w:val="auto"/>
          <w:kern w:val="0"/>
          <w:sz w:val="22"/>
          <w:szCs w:val="22"/>
          <w:highlight w:val="none"/>
        </w:rPr>
      </w:pPr>
      <w:r>
        <w:rPr>
          <w:rFonts w:hint="default" w:ascii="Arial" w:hAnsi="Arial" w:cs="Arial"/>
          <w:color w:val="auto"/>
          <w:kern w:val="0"/>
          <w:szCs w:val="21"/>
          <w:highlight w:val="none"/>
        </w:rPr>
        <w:t>（3）</w:t>
      </w:r>
      <w:bookmarkEnd w:id="15"/>
      <w:r>
        <w:rPr>
          <w:rFonts w:hint="default" w:ascii="Arial" w:hAnsi="Arial" w:cs="Arial"/>
          <w:color w:val="auto"/>
          <w:kern w:val="0"/>
          <w:szCs w:val="21"/>
          <w:highlight w:val="none"/>
        </w:rPr>
        <w:t>若对项目采购电子交易系统操作有疑问，可登录广西政府采购云平台（https://www.gcy.zfcg.gxzf.gov.cn/），点击右侧咨询小采或帮助文档或拨打客服热线95763</w:t>
      </w:r>
    </w:p>
    <w:p>
      <w:pPr>
        <w:spacing w:line="276" w:lineRule="auto"/>
        <w:ind w:firstLine="442" w:firstLineChars="200"/>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八、对本次采购提出询问，请按以下方式联系</w:t>
      </w:r>
    </w:p>
    <w:p>
      <w:pPr>
        <w:snapToGrid w:val="0"/>
        <w:spacing w:line="312" w:lineRule="auto"/>
        <w:ind w:firstLine="420" w:firstLineChars="200"/>
        <w:rPr>
          <w:rFonts w:hint="default" w:ascii="Arial" w:hAnsi="Arial" w:cs="Arial"/>
          <w:color w:val="auto"/>
          <w:kern w:val="0"/>
          <w:szCs w:val="21"/>
          <w:highlight w:val="none"/>
        </w:rPr>
      </w:pPr>
      <w:bookmarkStart w:id="16" w:name="_Hlk19048373"/>
      <w:r>
        <w:rPr>
          <w:rFonts w:hint="default" w:ascii="Arial" w:hAnsi="Arial" w:cs="Arial"/>
          <w:color w:val="auto"/>
          <w:kern w:val="0"/>
          <w:szCs w:val="21"/>
          <w:highlight w:val="none"/>
        </w:rPr>
        <w:t>1.采购人信息</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名称：桂林医科大学</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地址：桂林市临桂区致远路1号</w:t>
      </w:r>
    </w:p>
    <w:p>
      <w:pPr>
        <w:snapToGrid w:val="0"/>
        <w:spacing w:line="312" w:lineRule="auto"/>
        <w:ind w:firstLine="420" w:firstLineChars="200"/>
        <w:rPr>
          <w:rFonts w:hint="default" w:ascii="Arial" w:hAnsi="Arial" w:eastAsia="宋体" w:cs="Arial"/>
          <w:color w:val="auto"/>
          <w:szCs w:val="21"/>
          <w:highlight w:val="none"/>
          <w:lang w:eastAsia="zh-CN"/>
        </w:rPr>
      </w:pPr>
      <w:r>
        <w:rPr>
          <w:rFonts w:hint="default" w:ascii="Arial" w:hAnsi="Arial" w:cs="Arial"/>
          <w:color w:val="auto"/>
          <w:szCs w:val="21"/>
          <w:highlight w:val="none"/>
        </w:rPr>
        <w:t>项目联系人：</w:t>
      </w:r>
      <w:r>
        <w:rPr>
          <w:rFonts w:hint="default" w:ascii="Arial" w:hAnsi="Arial" w:cs="Arial"/>
          <w:color w:val="auto"/>
          <w:szCs w:val="21"/>
          <w:highlight w:val="none"/>
          <w:lang w:val="en-US" w:eastAsia="zh-CN"/>
        </w:rPr>
        <w:t>李老师</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联系方式：0773-3662950</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2.采购代理机构信息</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名称：广西机电设备招标有限公司</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地址：桂林市骖鸾路31号湘商大厦6楼603（桂林分公司）</w:t>
      </w:r>
    </w:p>
    <w:p>
      <w:pPr>
        <w:snapToGrid w:val="0"/>
        <w:spacing w:line="312" w:lineRule="auto"/>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3.项目联系方式</w:t>
      </w:r>
    </w:p>
    <w:p>
      <w:pPr>
        <w:tabs>
          <w:tab w:val="left" w:pos="3360"/>
        </w:tabs>
        <w:snapToGrid w:val="0"/>
        <w:spacing w:line="312" w:lineRule="auto"/>
        <w:ind w:firstLine="420" w:firstLineChars="200"/>
        <w:rPr>
          <w:rFonts w:hint="default" w:ascii="Arial" w:hAnsi="Arial" w:eastAsia="宋体" w:cs="Arial"/>
          <w:color w:val="auto"/>
          <w:szCs w:val="21"/>
          <w:highlight w:val="none"/>
          <w:lang w:val="en-US" w:eastAsia="zh-CN"/>
        </w:rPr>
      </w:pPr>
      <w:r>
        <w:rPr>
          <w:rFonts w:hint="default" w:ascii="Arial" w:hAnsi="Arial" w:cs="Arial"/>
          <w:color w:val="auto"/>
          <w:szCs w:val="21"/>
          <w:highlight w:val="none"/>
        </w:rPr>
        <w:t>项目联系人：曾昭卉</w:t>
      </w: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栗晓奇</w:t>
      </w:r>
    </w:p>
    <w:p>
      <w:pPr>
        <w:spacing w:line="312" w:lineRule="auto"/>
        <w:ind w:right="420"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电话：0773-3696789转2</w:t>
      </w:r>
    </w:p>
    <w:bookmarkEnd w:id="16"/>
    <w:p>
      <w:pPr>
        <w:spacing w:line="312" w:lineRule="auto"/>
        <w:ind w:firstLine="420" w:firstLineChars="200"/>
        <w:jc w:val="right"/>
        <w:rPr>
          <w:rFonts w:hint="default" w:ascii="Arial" w:hAnsi="Arial" w:cs="Arial"/>
          <w:color w:val="auto"/>
          <w:kern w:val="0"/>
          <w:szCs w:val="21"/>
          <w:highlight w:val="none"/>
        </w:rPr>
      </w:pPr>
    </w:p>
    <w:p>
      <w:pPr>
        <w:spacing w:line="312" w:lineRule="auto"/>
        <w:ind w:firstLine="420" w:firstLineChars="200"/>
        <w:jc w:val="right"/>
        <w:rPr>
          <w:rFonts w:hint="default" w:ascii="Arial" w:hAnsi="Arial" w:cs="Arial"/>
          <w:color w:val="auto"/>
          <w:kern w:val="0"/>
          <w:szCs w:val="21"/>
          <w:highlight w:val="none"/>
        </w:rPr>
      </w:pPr>
    </w:p>
    <w:p>
      <w:pPr>
        <w:spacing w:line="312" w:lineRule="auto"/>
        <w:ind w:firstLine="420" w:firstLineChars="200"/>
        <w:jc w:val="right"/>
        <w:rPr>
          <w:rFonts w:hint="default" w:ascii="Arial" w:hAnsi="Arial" w:cs="Arial"/>
          <w:color w:val="auto"/>
          <w:kern w:val="0"/>
          <w:szCs w:val="21"/>
          <w:highlight w:val="none"/>
        </w:rPr>
      </w:pPr>
    </w:p>
    <w:p>
      <w:pPr>
        <w:spacing w:line="312" w:lineRule="auto"/>
        <w:ind w:firstLine="420" w:firstLineChars="200"/>
        <w:jc w:val="right"/>
        <w:rPr>
          <w:rFonts w:hint="default" w:ascii="Arial" w:hAnsi="Arial" w:cs="Arial"/>
          <w:color w:val="auto"/>
          <w:kern w:val="0"/>
          <w:szCs w:val="21"/>
          <w:highlight w:val="none"/>
        </w:rPr>
      </w:pPr>
      <w:r>
        <w:rPr>
          <w:rFonts w:hint="default" w:ascii="Arial" w:hAnsi="Arial" w:cs="Arial"/>
          <w:color w:val="auto"/>
          <w:kern w:val="0"/>
          <w:szCs w:val="21"/>
          <w:highlight w:val="none"/>
        </w:rPr>
        <w:t>广西机电设备招标有限公司</w:t>
      </w:r>
    </w:p>
    <w:p>
      <w:pPr>
        <w:spacing w:line="312" w:lineRule="auto"/>
        <w:ind w:firstLine="420" w:firstLineChars="200"/>
        <w:jc w:val="right"/>
        <w:rPr>
          <w:rFonts w:hint="default" w:ascii="Arial" w:hAnsi="Arial" w:cs="Arial"/>
          <w:color w:val="auto"/>
          <w:kern w:val="0"/>
          <w:sz w:val="18"/>
          <w:szCs w:val="18"/>
          <w:highlight w:val="none"/>
        </w:rPr>
      </w:pPr>
      <w:r>
        <w:rPr>
          <w:rFonts w:hint="default" w:ascii="Arial" w:hAnsi="Arial" w:cs="Arial"/>
          <w:color w:val="auto"/>
          <w:highlight w:val="none"/>
        </w:rPr>
        <w:t xml:space="preserve">  2025年</w:t>
      </w:r>
      <w:r>
        <w:rPr>
          <w:rFonts w:hint="eastAsia" w:ascii="Arial" w:hAnsi="Arial" w:cs="Arial"/>
          <w:color w:val="auto"/>
          <w:highlight w:val="none"/>
          <w:lang w:val="en-US" w:eastAsia="zh-CN"/>
        </w:rPr>
        <w:t>11</w:t>
      </w:r>
      <w:r>
        <w:rPr>
          <w:rFonts w:hint="default" w:ascii="Arial" w:hAnsi="Arial" w:cs="Arial"/>
          <w:color w:val="auto"/>
          <w:highlight w:val="none"/>
        </w:rPr>
        <w:t>月</w:t>
      </w:r>
      <w:r>
        <w:rPr>
          <w:rFonts w:hint="eastAsia" w:ascii="Arial" w:hAnsi="Arial" w:cs="Arial"/>
          <w:color w:val="auto"/>
          <w:highlight w:val="none"/>
          <w:lang w:val="en-US" w:eastAsia="zh-CN"/>
        </w:rPr>
        <w:t>28</w:t>
      </w:r>
      <w:r>
        <w:rPr>
          <w:rFonts w:hint="default" w:ascii="Arial" w:hAnsi="Arial" w:cs="Arial"/>
          <w:color w:val="auto"/>
          <w:highlight w:val="none"/>
        </w:rPr>
        <w:t>日</w:t>
      </w:r>
    </w:p>
    <w:bookmarkEnd w:id="8"/>
    <w:p>
      <w:pPr>
        <w:spacing w:line="312" w:lineRule="auto"/>
        <w:ind w:firstLine="420" w:firstLineChars="200"/>
        <w:jc w:val="left"/>
        <w:rPr>
          <w:rFonts w:hint="default" w:ascii="Arial" w:hAnsi="Arial" w:cs="Arial"/>
          <w:color w:val="auto"/>
          <w:kern w:val="0"/>
          <w:szCs w:val="21"/>
          <w:highlight w:val="none"/>
        </w:rPr>
      </w:pPr>
    </w:p>
    <w:p>
      <w:pPr>
        <w:pStyle w:val="27"/>
        <w:snapToGrid w:val="0"/>
        <w:spacing w:before="120" w:after="120" w:line="320" w:lineRule="exact"/>
        <w:jc w:val="center"/>
        <w:outlineLvl w:val="0"/>
        <w:rPr>
          <w:rFonts w:hint="default" w:ascii="Arial" w:hAnsi="Arial" w:cs="Arial"/>
          <w:color w:val="auto"/>
          <w:highlight w:val="none"/>
        </w:rPr>
        <w:sectPr>
          <w:footerReference r:id="rId6" w:type="default"/>
          <w:pgSz w:w="11906" w:h="16838"/>
          <w:pgMar w:top="1135" w:right="1133" w:bottom="1246" w:left="1418" w:header="851" w:footer="903" w:gutter="0"/>
          <w:pgNumType w:start="1"/>
          <w:cols w:space="720" w:num="1"/>
          <w:docGrid w:linePitch="312" w:charSpace="0"/>
        </w:sectPr>
      </w:pPr>
    </w:p>
    <w:p>
      <w:pPr>
        <w:pStyle w:val="27"/>
        <w:snapToGrid w:val="0"/>
        <w:spacing w:before="120" w:after="120" w:line="320" w:lineRule="exact"/>
        <w:jc w:val="center"/>
        <w:outlineLvl w:val="0"/>
        <w:rPr>
          <w:rFonts w:hint="default" w:ascii="Arial" w:hAnsi="Arial" w:cs="Arial"/>
          <w:color w:val="auto"/>
          <w:sz w:val="32"/>
          <w:szCs w:val="32"/>
          <w:highlight w:val="none"/>
        </w:rPr>
      </w:pPr>
      <w:bookmarkStart w:id="17" w:name="_Toc9892"/>
      <w:r>
        <w:rPr>
          <w:rFonts w:hint="default" w:ascii="Arial" w:hAnsi="Arial" w:cs="Arial"/>
          <w:color w:val="auto"/>
          <w:sz w:val="32"/>
          <w:szCs w:val="32"/>
          <w:highlight w:val="none"/>
        </w:rPr>
        <w:t>第二章  采购需求</w:t>
      </w:r>
      <w:bookmarkEnd w:id="17"/>
    </w:p>
    <w:p>
      <w:pPr>
        <w:pStyle w:val="27"/>
        <w:snapToGrid w:val="0"/>
        <w:jc w:val="center"/>
        <w:rPr>
          <w:rFonts w:hint="default" w:ascii="Arial" w:hAnsi="Arial" w:cs="Arial"/>
          <w:b/>
          <w:color w:val="auto"/>
          <w:highlight w:val="none"/>
        </w:rPr>
      </w:pPr>
      <w:bookmarkStart w:id="18" w:name="_Toc254970631"/>
      <w:bookmarkStart w:id="19" w:name="_Toc254970490"/>
    </w:p>
    <w:p>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一、总体要求</w:t>
      </w:r>
    </w:p>
    <w:p>
      <w:pPr>
        <w:spacing w:line="360" w:lineRule="auto"/>
        <w:rPr>
          <w:rFonts w:hint="default" w:ascii="Arial" w:hAnsi="Arial" w:eastAsia="黑体" w:cs="Arial"/>
          <w:b/>
          <w:color w:val="auto"/>
          <w:kern w:val="0"/>
          <w:sz w:val="28"/>
          <w:szCs w:val="28"/>
          <w:highlight w:val="none"/>
        </w:rPr>
      </w:pPr>
      <w:r>
        <w:rPr>
          <w:rFonts w:hint="default" w:ascii="Arial" w:hAnsi="Arial" w:cs="Arial"/>
          <w:color w:val="auto"/>
          <w:szCs w:val="21"/>
          <w:highlight w:val="none"/>
        </w:rPr>
        <w:t>1.政府采购政策的应用</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详见采购文件“评审方法及标准/政府采购政策应用说明”。</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2.采购需求要求未尽事宜由采购人与成交供应商在采购合同中约定。</w:t>
      </w:r>
    </w:p>
    <w:p>
      <w:pPr>
        <w:spacing w:line="360" w:lineRule="auto"/>
        <w:rPr>
          <w:rFonts w:hint="default" w:ascii="Arial" w:hAnsi="Arial" w:cs="Arial"/>
          <w:b/>
          <w:bCs/>
          <w:color w:val="auto"/>
          <w:sz w:val="22"/>
          <w:szCs w:val="22"/>
          <w:highlight w:val="none"/>
          <w:lang w:val="en-US"/>
        </w:rPr>
      </w:pPr>
      <w:r>
        <w:rPr>
          <w:rFonts w:hint="default" w:ascii="Arial" w:hAnsi="Arial" w:cs="Arial"/>
          <w:b/>
          <w:bCs/>
          <w:color w:val="auto"/>
          <w:sz w:val="22"/>
          <w:szCs w:val="22"/>
          <w:highlight w:val="none"/>
        </w:rPr>
        <w:t>3.标注“★”的条款或要求系指实质性条款或实质性要求，必须满足，如存在负偏离将导致响应被否决。标记“▲”号为重要要求，需要按照要求提供截图或者其他证明材料否则认定为负偏离。</w:t>
      </w:r>
      <w:r>
        <w:rPr>
          <w:rFonts w:hint="eastAsia" w:ascii="Arial" w:hAnsi="Arial" w:cs="Arial"/>
          <w:b/>
          <w:bCs/>
          <w:color w:val="auto"/>
          <w:sz w:val="22"/>
          <w:szCs w:val="22"/>
          <w:highlight w:val="none"/>
          <w:lang w:val="en-US" w:eastAsia="zh-CN"/>
        </w:rPr>
        <w:t>标记“</w:t>
      </w:r>
      <w:r>
        <w:rPr>
          <w:rFonts w:hint="default" w:ascii="Arial" w:hAnsi="Arial" w:eastAsia="宋体" w:cs="Arial"/>
          <w:b/>
          <w:bCs/>
          <w:i w:val="0"/>
          <w:iCs w:val="0"/>
          <w:color w:val="auto"/>
          <w:kern w:val="0"/>
          <w:sz w:val="21"/>
          <w:szCs w:val="21"/>
          <w:highlight w:val="none"/>
          <w:u w:val="none"/>
          <w:lang w:val="en-US" w:eastAsia="zh-CN" w:bidi="ar"/>
        </w:rPr>
        <w:t>※</w:t>
      </w:r>
      <w:r>
        <w:rPr>
          <w:rFonts w:hint="eastAsia" w:ascii="Arial" w:hAnsi="Arial" w:eastAsia="宋体" w:cs="Arial"/>
          <w:b/>
          <w:bCs/>
          <w:i w:val="0"/>
          <w:iCs w:val="0"/>
          <w:color w:val="auto"/>
          <w:kern w:val="0"/>
          <w:sz w:val="21"/>
          <w:szCs w:val="21"/>
          <w:highlight w:val="none"/>
          <w:u w:val="none"/>
          <w:lang w:val="en-US" w:eastAsia="zh-CN" w:bidi="ar"/>
        </w:rPr>
        <w:t>”号为评分演示项，详见第四章评审方法及标准。</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4.需实现的功能、目标及应用场景</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满足采购文件要求，验收达到合格标准。</w:t>
      </w:r>
    </w:p>
    <w:p>
      <w:pPr>
        <w:spacing w:line="360" w:lineRule="auto"/>
        <w:rPr>
          <w:rFonts w:hint="default" w:ascii="Arial" w:hAnsi="Arial" w:cs="Arial"/>
          <w:b/>
          <w:bCs/>
          <w:color w:val="auto"/>
          <w:szCs w:val="21"/>
          <w:highlight w:val="none"/>
        </w:rPr>
      </w:pPr>
      <w:r>
        <w:rPr>
          <w:rFonts w:hint="default" w:ascii="Arial" w:hAnsi="Arial" w:cs="Arial"/>
          <w:color w:val="auto"/>
          <w:szCs w:val="21"/>
          <w:highlight w:val="none"/>
        </w:rPr>
        <w:t>5.是否接受进口产品：</w:t>
      </w:r>
      <w:r>
        <w:rPr>
          <w:rFonts w:hint="default" w:ascii="Arial" w:hAnsi="Arial" w:cs="Arial"/>
          <w:b/>
          <w:bCs/>
          <w:color w:val="auto"/>
          <w:szCs w:val="21"/>
          <w:highlight w:val="none"/>
        </w:rPr>
        <w:t>本项目采购标的为服务，不涉及进口产品。</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6.需执行的国家相关标准、行业标准、地方标准或者其他标准、规范</w:t>
      </w:r>
    </w:p>
    <w:p>
      <w:pPr>
        <w:spacing w:line="360" w:lineRule="auto"/>
        <w:rPr>
          <w:rFonts w:hint="default" w:ascii="Arial" w:hAnsi="Arial" w:cs="Arial"/>
          <w:i/>
          <w:color w:val="auto"/>
          <w:szCs w:val="21"/>
          <w:highlight w:val="none"/>
          <w:u w:val="single"/>
        </w:rPr>
      </w:pPr>
      <w:r>
        <w:rPr>
          <w:rFonts w:hint="default" w:ascii="Arial" w:hAnsi="Arial" w:cs="Arial"/>
          <w:color w:val="auto"/>
          <w:szCs w:val="21"/>
          <w:highlight w:val="none"/>
        </w:rPr>
        <w:t>本项目应执行的国家相关标准、行业标准、地方标准或者其他标准、规范为：</w:t>
      </w:r>
      <w:bookmarkStart w:id="20" w:name="_Hlk89170504"/>
      <w:r>
        <w:rPr>
          <w:rFonts w:hint="default" w:ascii="Arial" w:hAnsi="Arial" w:cs="Arial"/>
          <w:i/>
          <w:color w:val="auto"/>
          <w:szCs w:val="21"/>
          <w:highlight w:val="none"/>
          <w:u w:val="single"/>
        </w:rPr>
        <w:t>详见技术指标要求.</w:t>
      </w:r>
      <w:bookmarkEnd w:id="20"/>
    </w:p>
    <w:p>
      <w:pPr>
        <w:spacing w:line="360" w:lineRule="auto"/>
        <w:rPr>
          <w:rFonts w:hint="default" w:ascii="Arial" w:hAnsi="Arial" w:eastAsia="黑体" w:cs="Arial"/>
          <w:b/>
          <w:color w:val="auto"/>
          <w:kern w:val="0"/>
          <w:sz w:val="24"/>
          <w:highlight w:val="none"/>
        </w:rPr>
      </w:pPr>
      <w:r>
        <w:rPr>
          <w:rFonts w:hint="default" w:ascii="Arial" w:hAnsi="Arial" w:cs="Arial"/>
          <w:color w:val="auto"/>
          <w:szCs w:val="21"/>
          <w:highlight w:val="none"/>
        </w:rPr>
        <w:t>7.本项目为服务项目，不设置核心产品。</w:t>
      </w:r>
    </w:p>
    <w:p>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二、技术要求</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1.一般说明</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（1）本章中如提及品牌型号，仅起参考作用。供应商可选用其他品牌型号替代，但这些替代的品牌型号要实质上参照或相当于或优于参考品牌型号及其技术参数性能（配置）要求。</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2）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p>
    <w:p>
      <w:pPr>
        <w:spacing w:line="360" w:lineRule="auto"/>
        <w:rPr>
          <w:rFonts w:hint="default" w:ascii="Arial" w:hAnsi="Arial" w:cs="Arial"/>
          <w:color w:val="auto"/>
          <w:szCs w:val="21"/>
          <w:highlight w:val="none"/>
        </w:rPr>
      </w:pPr>
      <w:bookmarkStart w:id="21" w:name="_Hlk80351578"/>
      <w:r>
        <w:rPr>
          <w:rFonts w:hint="default" w:ascii="Arial" w:hAnsi="Arial" w:cs="Arial"/>
          <w:color w:val="auto"/>
          <w:szCs w:val="21"/>
          <w:highlight w:val="none"/>
        </w:rPr>
        <w:t>2.标的名称、数量、需满足的质量、技术规格、物理特性、性能、材料、结构、外观、安全，或者服务内容和标准一览表</w:t>
      </w:r>
    </w:p>
    <w:tbl>
      <w:tblPr>
        <w:tblStyle w:val="52"/>
        <w:tblW w:w="9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
        <w:gridCol w:w="812"/>
        <w:gridCol w:w="488"/>
        <w:gridCol w:w="587"/>
        <w:gridCol w:w="688"/>
        <w:gridCol w:w="6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468" w:type="dxa"/>
            <w:noWrap w:val="0"/>
            <w:vAlign w:val="center"/>
          </w:tcPr>
          <w:p>
            <w:pPr>
              <w:adjustRightInd w:val="0"/>
              <w:snapToGrid w:val="0"/>
              <w:spacing w:line="276"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812" w:type="dxa"/>
            <w:noWrap w:val="0"/>
            <w:vAlign w:val="center"/>
          </w:tcPr>
          <w:p>
            <w:pPr>
              <w:adjustRightInd w:val="0"/>
              <w:snapToGrid w:val="0"/>
              <w:spacing w:line="276" w:lineRule="auto"/>
              <w:jc w:val="center"/>
              <w:rPr>
                <w:rFonts w:hint="default" w:ascii="Arial" w:hAnsi="Arial" w:cs="Arial"/>
                <w:color w:val="auto"/>
                <w:szCs w:val="21"/>
                <w:highlight w:val="none"/>
              </w:rPr>
            </w:pPr>
            <w:r>
              <w:rPr>
                <w:rFonts w:hint="default" w:ascii="Arial" w:hAnsi="Arial" w:cs="Arial"/>
                <w:color w:val="auto"/>
                <w:szCs w:val="21"/>
                <w:highlight w:val="none"/>
              </w:rPr>
              <w:t>标的名称</w:t>
            </w:r>
          </w:p>
        </w:tc>
        <w:tc>
          <w:tcPr>
            <w:tcW w:w="488" w:type="dxa"/>
            <w:noWrap w:val="0"/>
            <w:vAlign w:val="center"/>
          </w:tcPr>
          <w:p>
            <w:pPr>
              <w:adjustRightInd w:val="0"/>
              <w:snapToGrid w:val="0"/>
              <w:spacing w:line="276" w:lineRule="auto"/>
              <w:jc w:val="center"/>
              <w:rPr>
                <w:rFonts w:hint="default" w:ascii="Arial" w:hAnsi="Arial" w:cs="Arial"/>
                <w:color w:val="auto"/>
                <w:szCs w:val="21"/>
                <w:highlight w:val="none"/>
              </w:rPr>
            </w:pPr>
            <w:r>
              <w:rPr>
                <w:rFonts w:hint="default" w:ascii="Arial" w:hAnsi="Arial" w:cs="Arial"/>
                <w:color w:val="auto"/>
                <w:szCs w:val="21"/>
                <w:highlight w:val="none"/>
              </w:rPr>
              <w:t>数量</w:t>
            </w:r>
          </w:p>
        </w:tc>
        <w:tc>
          <w:tcPr>
            <w:tcW w:w="587" w:type="dxa"/>
            <w:noWrap w:val="0"/>
            <w:vAlign w:val="center"/>
          </w:tcPr>
          <w:p>
            <w:pPr>
              <w:adjustRightInd w:val="0"/>
              <w:snapToGrid w:val="0"/>
              <w:spacing w:line="276" w:lineRule="auto"/>
              <w:jc w:val="center"/>
              <w:rPr>
                <w:rFonts w:hint="default" w:ascii="Arial" w:hAnsi="Arial" w:cs="Arial"/>
                <w:color w:val="auto"/>
                <w:szCs w:val="21"/>
                <w:highlight w:val="none"/>
              </w:rPr>
            </w:pPr>
            <w:r>
              <w:rPr>
                <w:rFonts w:hint="default" w:ascii="Arial" w:hAnsi="Arial" w:cs="Arial"/>
                <w:color w:val="auto"/>
                <w:szCs w:val="21"/>
                <w:highlight w:val="none"/>
              </w:rPr>
              <w:t>计量单位</w:t>
            </w:r>
          </w:p>
        </w:tc>
        <w:tc>
          <w:tcPr>
            <w:tcW w:w="688" w:type="dxa"/>
            <w:noWrap w:val="0"/>
            <w:vAlign w:val="center"/>
          </w:tcPr>
          <w:p>
            <w:pPr>
              <w:adjustRightInd w:val="0"/>
              <w:snapToGrid w:val="0"/>
              <w:spacing w:line="276" w:lineRule="auto"/>
              <w:jc w:val="center"/>
              <w:rPr>
                <w:rFonts w:hint="default" w:ascii="Arial" w:hAnsi="Arial" w:cs="Arial"/>
                <w:color w:val="auto"/>
                <w:szCs w:val="21"/>
                <w:highlight w:val="none"/>
              </w:rPr>
            </w:pPr>
            <w:r>
              <w:rPr>
                <w:rFonts w:hint="default" w:ascii="Arial" w:hAnsi="Arial" w:cs="Arial"/>
                <w:color w:val="auto"/>
                <w:szCs w:val="21"/>
                <w:highlight w:val="none"/>
              </w:rPr>
              <w:t>所属行业</w:t>
            </w:r>
          </w:p>
        </w:tc>
        <w:tc>
          <w:tcPr>
            <w:tcW w:w="6883" w:type="dxa"/>
            <w:tcBorders>
              <w:left w:val="single" w:color="auto" w:sz="4" w:space="0"/>
              <w:right w:val="single" w:color="auto" w:sz="4" w:space="0"/>
            </w:tcBorders>
            <w:noWrap w:val="0"/>
            <w:vAlign w:val="center"/>
          </w:tcPr>
          <w:p>
            <w:pPr>
              <w:adjustRightInd w:val="0"/>
              <w:snapToGrid w:val="0"/>
              <w:spacing w:line="276" w:lineRule="auto"/>
              <w:jc w:val="center"/>
              <w:rPr>
                <w:rFonts w:hint="default" w:ascii="Arial" w:hAnsi="Arial" w:cs="Arial"/>
                <w:color w:val="auto"/>
                <w:szCs w:val="21"/>
                <w:highlight w:val="none"/>
              </w:rPr>
            </w:pPr>
            <w:r>
              <w:rPr>
                <w:rFonts w:hint="default" w:ascii="Arial" w:hAnsi="Arial" w:cs="Arial"/>
                <w:color w:val="auto"/>
                <w:szCs w:val="21"/>
                <w:highlight w:val="none"/>
              </w:rPr>
              <w:t>技术指标要求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468" w:type="dxa"/>
            <w:noWrap w:val="0"/>
            <w:vAlign w:val="center"/>
          </w:tcPr>
          <w:p>
            <w:pPr>
              <w:widowControl/>
              <w:adjustRightInd w:val="0"/>
              <w:snapToGrid w:val="0"/>
              <w:spacing w:line="276" w:lineRule="auto"/>
              <w:jc w:val="center"/>
              <w:textAlignment w:val="center"/>
              <w:rPr>
                <w:rFonts w:hint="default" w:ascii="Arial" w:hAnsi="Arial" w:cs="Arial"/>
                <w:color w:val="auto"/>
                <w:kern w:val="0"/>
                <w:szCs w:val="21"/>
                <w:highlight w:val="none"/>
                <w:lang w:bidi="ar"/>
              </w:rPr>
            </w:pPr>
            <w:r>
              <w:rPr>
                <w:rFonts w:hint="default" w:ascii="Arial" w:hAnsi="Arial" w:cs="Arial"/>
                <w:color w:val="auto"/>
                <w:kern w:val="0"/>
                <w:szCs w:val="21"/>
                <w:highlight w:val="none"/>
                <w:lang w:bidi="ar"/>
              </w:rPr>
              <w:t>1</w:t>
            </w:r>
          </w:p>
        </w:tc>
        <w:tc>
          <w:tcPr>
            <w:tcW w:w="812" w:type="dxa"/>
            <w:noWrap w:val="0"/>
            <w:vAlign w:val="center"/>
          </w:tcPr>
          <w:p>
            <w:pPr>
              <w:snapToGrid w:val="0"/>
              <w:spacing w:line="276" w:lineRule="auto"/>
              <w:jc w:val="center"/>
              <w:rPr>
                <w:rFonts w:hint="default" w:ascii="Arial" w:hAnsi="Arial" w:cs="Arial"/>
                <w:color w:val="auto"/>
                <w:kern w:val="0"/>
                <w:szCs w:val="21"/>
                <w:highlight w:val="none"/>
                <w:lang w:bidi="ar"/>
              </w:rPr>
            </w:pPr>
            <w:r>
              <w:rPr>
                <w:rFonts w:hint="default" w:ascii="Arial" w:hAnsi="Arial" w:cs="Arial"/>
                <w:color w:val="auto"/>
                <w:kern w:val="0"/>
                <w:szCs w:val="21"/>
                <w:highlight w:val="none"/>
                <w:lang w:bidi="ar"/>
              </w:rPr>
              <w:t>医学健康数据智能分析与科研一体化平台</w:t>
            </w:r>
          </w:p>
        </w:tc>
        <w:tc>
          <w:tcPr>
            <w:tcW w:w="488" w:type="dxa"/>
            <w:noWrap w:val="0"/>
            <w:vAlign w:val="center"/>
          </w:tcPr>
          <w:p>
            <w:pPr>
              <w:widowControl/>
              <w:adjustRightInd w:val="0"/>
              <w:snapToGrid w:val="0"/>
              <w:spacing w:line="276" w:lineRule="auto"/>
              <w:jc w:val="center"/>
              <w:textAlignment w:val="center"/>
              <w:rPr>
                <w:rFonts w:hint="default" w:ascii="Arial" w:hAnsi="Arial" w:cs="Arial"/>
                <w:color w:val="auto"/>
                <w:kern w:val="0"/>
                <w:szCs w:val="21"/>
                <w:highlight w:val="none"/>
                <w:lang w:bidi="ar"/>
              </w:rPr>
            </w:pPr>
            <w:r>
              <w:rPr>
                <w:rFonts w:hint="default" w:ascii="Arial" w:hAnsi="Arial" w:cs="Arial"/>
                <w:color w:val="auto"/>
                <w:kern w:val="0"/>
                <w:szCs w:val="21"/>
                <w:highlight w:val="none"/>
                <w:lang w:bidi="ar"/>
              </w:rPr>
              <w:t>1</w:t>
            </w:r>
          </w:p>
        </w:tc>
        <w:tc>
          <w:tcPr>
            <w:tcW w:w="587" w:type="dxa"/>
            <w:noWrap w:val="0"/>
            <w:vAlign w:val="center"/>
          </w:tcPr>
          <w:p>
            <w:pPr>
              <w:widowControl/>
              <w:adjustRightInd w:val="0"/>
              <w:snapToGrid w:val="0"/>
              <w:spacing w:line="276" w:lineRule="auto"/>
              <w:jc w:val="center"/>
              <w:textAlignment w:val="center"/>
              <w:rPr>
                <w:rFonts w:hint="default" w:ascii="Arial" w:hAnsi="Arial" w:eastAsia="宋体" w:cs="Arial"/>
                <w:color w:val="auto"/>
                <w:kern w:val="0"/>
                <w:szCs w:val="21"/>
                <w:highlight w:val="none"/>
                <w:lang w:eastAsia="zh-CN" w:bidi="ar"/>
              </w:rPr>
            </w:pPr>
            <w:r>
              <w:rPr>
                <w:rFonts w:hint="default" w:ascii="Arial" w:hAnsi="Arial" w:cs="Arial"/>
                <w:color w:val="auto"/>
                <w:kern w:val="0"/>
                <w:szCs w:val="21"/>
                <w:highlight w:val="none"/>
                <w:lang w:val="en-US" w:eastAsia="zh-CN" w:bidi="ar"/>
              </w:rPr>
              <w:t>项</w:t>
            </w:r>
          </w:p>
        </w:tc>
        <w:tc>
          <w:tcPr>
            <w:tcW w:w="688" w:type="dxa"/>
            <w:noWrap w:val="0"/>
            <w:vAlign w:val="center"/>
          </w:tcPr>
          <w:p>
            <w:pPr>
              <w:widowControl/>
              <w:adjustRightInd w:val="0"/>
              <w:snapToGrid w:val="0"/>
              <w:spacing w:line="276" w:lineRule="auto"/>
              <w:jc w:val="center"/>
              <w:textAlignment w:val="center"/>
              <w:rPr>
                <w:rFonts w:hint="default" w:ascii="Arial" w:hAnsi="Arial" w:cs="Arial"/>
                <w:color w:val="auto"/>
                <w:szCs w:val="21"/>
                <w:highlight w:val="none"/>
              </w:rPr>
            </w:pPr>
            <w:r>
              <w:rPr>
                <w:rFonts w:hint="default" w:ascii="Arial" w:hAnsi="Arial" w:cs="Arial"/>
                <w:color w:val="auto"/>
                <w:szCs w:val="21"/>
                <w:highlight w:val="none"/>
              </w:rPr>
              <w:t>软件和信息技术服务业</w:t>
            </w:r>
          </w:p>
        </w:tc>
        <w:tc>
          <w:tcPr>
            <w:tcW w:w="6883"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i w:val="0"/>
                <w:iCs w:val="0"/>
                <w:color w:val="auto"/>
                <w:kern w:val="0"/>
                <w:sz w:val="21"/>
                <w:szCs w:val="21"/>
                <w:highlight w:val="none"/>
                <w:u w:val="none"/>
                <w:lang w:val="en-US" w:eastAsia="zh-CN" w:bidi="ar"/>
              </w:rPr>
              <w:t>1.1.</w:t>
            </w:r>
            <w:r>
              <w:rPr>
                <w:rFonts w:hint="default" w:ascii="Arial" w:hAnsi="Arial" w:eastAsia="宋体" w:cs="Arial"/>
                <w:i w:val="0"/>
                <w:iCs w:val="0"/>
                <w:color w:val="auto"/>
                <w:sz w:val="21"/>
                <w:szCs w:val="21"/>
                <w:highlight w:val="none"/>
                <w:u w:val="none"/>
              </w:rPr>
              <w:t>医学健康数据智能分析与科研一体化平台</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1.1.1.专病科研数据库升级增补</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基于</w:t>
            </w:r>
            <w:r>
              <w:rPr>
                <w:rFonts w:hint="eastAsia" w:ascii="Arial" w:hAnsi="Arial" w:cs="Arial"/>
                <w:i w:val="0"/>
                <w:iCs w:val="0"/>
                <w:color w:val="auto"/>
                <w:kern w:val="0"/>
                <w:sz w:val="21"/>
                <w:szCs w:val="21"/>
                <w:highlight w:val="none"/>
                <w:u w:val="none"/>
                <w:lang w:val="en-US" w:eastAsia="zh-CN" w:bidi="ar"/>
              </w:rPr>
              <w:t>采购人</w:t>
            </w:r>
            <w:r>
              <w:rPr>
                <w:rFonts w:hint="default" w:ascii="Arial" w:hAnsi="Arial" w:eastAsia="宋体" w:cs="Arial"/>
                <w:i w:val="0"/>
                <w:iCs w:val="0"/>
                <w:color w:val="auto"/>
                <w:kern w:val="0"/>
                <w:sz w:val="21"/>
                <w:szCs w:val="21"/>
                <w:highlight w:val="none"/>
                <w:u w:val="none"/>
                <w:lang w:val="en-US" w:eastAsia="zh-CN" w:bidi="ar"/>
              </w:rPr>
              <w:t>已建成专病科研数据库础上，进行二次开发，同时增加不少于16统计分析新算法，打造区域专病科研数据库，整合桂林医科大学第一附属医院</w:t>
            </w:r>
            <w:r>
              <w:rPr>
                <w:rFonts w:hint="eastAsia" w:ascii="Arial" w:hAnsi="Arial" w:cs="Arial"/>
                <w:i w:val="0"/>
                <w:iCs w:val="0"/>
                <w:color w:val="auto"/>
                <w:kern w:val="0"/>
                <w:sz w:val="21"/>
                <w:szCs w:val="21"/>
                <w:highlight w:val="none"/>
                <w:u w:val="none"/>
                <w:lang w:val="en-US" w:eastAsia="zh-CN" w:bidi="ar"/>
              </w:rPr>
              <w:t>、桂林医科大学第二附属医院、桂林医科大学附属口腔医院</w:t>
            </w:r>
            <w:r>
              <w:rPr>
                <w:rFonts w:hint="default" w:ascii="Arial" w:hAnsi="Arial" w:eastAsia="宋体" w:cs="Arial"/>
                <w:i w:val="0"/>
                <w:iCs w:val="0"/>
                <w:color w:val="auto"/>
                <w:kern w:val="0"/>
                <w:sz w:val="21"/>
                <w:szCs w:val="21"/>
                <w:highlight w:val="none"/>
                <w:u w:val="none"/>
                <w:lang w:val="en-US" w:eastAsia="zh-CN" w:bidi="ar"/>
              </w:rPr>
              <w:t>三家附属医院医院的数据，实现数据增补。</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1.1.1.1.专病数据治理服务</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建立主索引：为三家医院的患者建立统一的主索引，以患者身份证号为核心标识，结合姓名、出生日期等信息进行唯一性校验。通过主索引，实现患者在不同医院数据的关联和整合。</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数据协同治理</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1.制定数据标准：统一数据的编码规则、术语定义、数据格式等，如疾病诊断编码采用国际疾病分类标准（ICD），检验项目名称和结果单位采用统一规范。</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2.数据质量监控：建立数据质量评估指标体系，定期对采集到的数据进行质量检查，包括数据完整性、准确性、一致性等方面。对发现的问题及时反馈给数据来源医院进行整改。</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3.数据安全管理：制定严格的用户权限管理机制，根据用户角色（如科研人员、医生、数据管理员等）分配不同的数据访问权限，确保数据仅被授权人员访问。</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1.1.1.2.人工智能、机器学习算法二次开发</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b w:val="0"/>
                <w:bCs w:val="0"/>
                <w:color w:val="auto"/>
                <w:sz w:val="21"/>
                <w:szCs w:val="21"/>
                <w:highlight w:val="none"/>
              </w:rPr>
              <w:t>基于专病库现有功能，进行二次开发，支持调用描述性分析、比较分析、相关分析、回归分析以及其他分析工具对当前数据集开展数据分析，</w:t>
            </w:r>
            <w:r>
              <w:rPr>
                <w:rFonts w:hint="default" w:ascii="Arial" w:hAnsi="Arial" w:eastAsia="宋体" w:cs="Arial"/>
                <w:b/>
                <w:bCs/>
                <w:color w:val="auto"/>
                <w:sz w:val="21"/>
                <w:szCs w:val="21"/>
                <w:highlight w:val="none"/>
              </w:rPr>
              <w:t>支持不少于</w:t>
            </w:r>
            <w:r>
              <w:rPr>
                <w:rFonts w:hint="default" w:ascii="Arial" w:hAnsi="Arial" w:eastAsia="宋体" w:cs="Arial"/>
                <w:b/>
                <w:bCs/>
                <w:color w:val="auto"/>
                <w:sz w:val="21"/>
                <w:szCs w:val="21"/>
                <w:highlight w:val="none"/>
                <w:lang w:val="en-US" w:eastAsia="zh-CN"/>
              </w:rPr>
              <w:t>16</w:t>
            </w:r>
            <w:r>
              <w:rPr>
                <w:rFonts w:hint="default" w:ascii="Arial" w:hAnsi="Arial" w:eastAsia="宋体" w:cs="Arial"/>
                <w:b/>
                <w:bCs/>
                <w:color w:val="auto"/>
                <w:sz w:val="21"/>
                <w:szCs w:val="21"/>
                <w:highlight w:val="none"/>
              </w:rPr>
              <w:t>种专业的医学统计分析方法工具</w:t>
            </w:r>
            <w:r>
              <w:rPr>
                <w:rFonts w:hint="default" w:ascii="Arial" w:hAnsi="Arial" w:eastAsia="宋体" w:cs="Arial"/>
                <w:b w:val="0"/>
                <w:bCs w:val="0"/>
                <w:color w:val="auto"/>
                <w:sz w:val="21"/>
                <w:szCs w:val="21"/>
                <w:highlight w:val="none"/>
              </w:rPr>
              <w:t>，</w:t>
            </w:r>
            <w:r>
              <w:rPr>
                <w:rFonts w:hint="default" w:ascii="Arial" w:hAnsi="Arial" w:eastAsia="宋体" w:cs="Arial"/>
                <w:color w:val="auto"/>
                <w:sz w:val="21"/>
                <w:szCs w:val="21"/>
                <w:highlight w:val="none"/>
              </w:rPr>
              <w:t>具体包括描述性分析、连续概率分布、离散概率分布、T检验、Z检验、二项式比例检验、正态性检验、中位数非参检验、列联表检验、方差分析、多变量相关性分析、广义线性回归、岭回归、生存分析、聚类分析，</w:t>
            </w:r>
            <w:r>
              <w:rPr>
                <w:rFonts w:hint="default" w:ascii="Arial" w:hAnsi="Arial" w:eastAsia="宋体" w:cs="Arial"/>
                <w:color w:val="auto"/>
                <w:sz w:val="21"/>
                <w:szCs w:val="21"/>
                <w:highlight w:val="none"/>
                <w:lang w:val="en-US" w:eastAsia="zh-CN"/>
              </w:rPr>
              <w:t>具体如下</w:t>
            </w:r>
            <w:r>
              <w:rPr>
                <w:rFonts w:hint="default" w:ascii="Arial" w:hAnsi="Arial" w:eastAsia="宋体" w:cs="Arial"/>
                <w:color w:val="auto"/>
                <w:sz w:val="21"/>
                <w:szCs w:val="21"/>
                <w:highlight w:val="none"/>
              </w:rPr>
              <w:t>：</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①　</w:t>
            </w:r>
            <w:r>
              <w:rPr>
                <w:rFonts w:hint="default" w:ascii="Arial" w:hAnsi="Arial" w:eastAsia="宋体" w:cs="Arial"/>
                <w:b/>
                <w:bCs/>
                <w:i w:val="0"/>
                <w:iCs w:val="0"/>
                <w:color w:val="auto"/>
                <w:kern w:val="0"/>
                <w:sz w:val="21"/>
                <w:szCs w:val="21"/>
                <w:highlight w:val="none"/>
                <w:u w:val="none"/>
                <w:lang w:val="en-US" w:eastAsia="zh-CN" w:bidi="ar"/>
              </w:rPr>
              <w:t>※</w:t>
            </w:r>
            <w:r>
              <w:rPr>
                <w:rFonts w:hint="default" w:ascii="Arial" w:hAnsi="Arial" w:eastAsia="宋体" w:cs="Arial"/>
                <w:b/>
                <w:bCs/>
                <w:i w:val="0"/>
                <w:iCs w:val="0"/>
                <w:color w:val="auto"/>
                <w:sz w:val="21"/>
                <w:szCs w:val="21"/>
                <w:highlight w:val="none"/>
              </w:rPr>
              <w:t>描述性分析：支持对数据集进行概括分析，展示数据基本特征。</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设置变量：支持在分析参数中设置是否整组统计，支持选择要分析的变量。</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设置统计参数：用户能够自主勾选需要显示的统计参数，包括n值、缺失值、均值、均值的标准误、均值的置信区间（置信水平可以设置为0-100的任意范围）、中位数、众数、总数、标准差、方差、四分位数间距、全距、最小值、最大值、偏度、峰度、正态性检验结果。支持按百分位数等分法将数据等分为多组。</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统计结果表：展示所有描述性统计结果，包括N、Missing、Mean、Std.error mean, 95% CI mean lower bound, 95% CI mean upper bound等统计数值</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分析图表：支持对数据展示分析图表，支持展示直方图、Q-Q图、箱线图以及条形图，用户可以自由设定统计图的宽度和高度。</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②　连续概率分布：支持对各种连续性概率分布进行查看和设置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切换分布类型：切换不同的分布类型页面，包括正态分布、指数分布、伽马分布、贝塔分布、T分布、卡方分布以及F分布。各个分布图支持基于多个步骤进行绘图。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选择数据源：支持选择数据源是基于数学公式、模拟数据或用户数据，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设置参数：支持设置参数，包括均值(μ), 虚线表示位置，标准差 (σ), 表示形状，蓝色区域 = Pr(Mean-n*SD &lt; X &lt; Mean+n*SD)，改变x轴的范围。</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设置显示概率：支持输入框中输入显示概率，对应红线左侧的面积比例 = Pr(X &lt; x0)</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输出图形：支持基于参数设置输出正态分布图形</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③  离散概率分布：支持对各种离散概率分布进行查看和设置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切换分布类型：切换不同的分布类型页面，包括二项分布以及泊松分布，各个分布图支持基于多个步骤进行绘图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选择数据源：支持选择数据源是基于数学公式、模拟数据或用户数据，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设置参数：支持设置参数，包括试验/样本数和成功/事件概率，以及更改观察数据-观察到的成功/事件数（红点）</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输出图形：支持基于参数设置输出二项分布图形</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④　T检验：支持单样本、两样本以及配对样本的参数T检验。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切换统计页面：支持切换不同的统计类型页面，包括单样本、两样本以及配对样本页面。</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使用说明：支持查看或隐藏详细的T检验工具使用说明。</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数据准备：支持下拉选择数据集中不同的变量，在输入框中输入需要比较的均值 (μ₀)</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选择假设：支持选择不同的备择假设，包括μ ≠ μ₀: 您数据的总体均值不等于 μ₀；μ &lt; μ₀: 您数据的总体均值小于 μ₀；μ &gt; μ₀: 您数据的总体均值大于 μ₀</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展示数据预览：支持展示相关数据表格，支持一键复制表格、导出为CSV或EXCEL格式、能够在输入框输入任意字符进行表格查找。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展示基本描述：支持展示各种基本统计量，包括有效样本量、均值、标准差、中位数、最小值、最大值、极差、偏度、峰度以及标准误。</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展示箱线图：展示绘制的箱线图图形，鼠标悬浮图形展示max,upper fence，q3,median,q1,min等统计量。</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展示误差条形图：展示绘制的误差条形图图形，鼠标悬浮图形展示mean值。</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展示分布图：展示绘制的正态Q-Q图、直方图和密度图，支持设置直方图中的区间数。</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检验结果：支持展示T统计量（双样本为F统计量）、P值、估计均值、95%置信区间以及自由度等。</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⑤　Z检验：支持单样本Z检验和双样本Z检验。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切换统计页面：支持切换不同的统计类型页面，包括单样本Z检验和双样本Z检验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选择假设：支持选择不同的备择假设方式，包括双侧检验、单侧检验（大于）和单侧检验（小于）。</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输入置信水平：在输入框中输入置信水平。</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生成结果：生成单样本Z检验置信区间和单样本Z检验假设检验。假设检验结果支持展示样本量、平均值、标准差、检验均值、假设、Z值、P值以及检验结论。</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⑥　二项式比例检验：支持检验二项分布成功率是否符合预期或组间差异</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切换统计页面：支持切换不同的统计类型页面，包括单样本的二项式检验以及双样本、三个及以上样本、三个及以上样本的趋势的卡方检验。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输入数据：支持输入框中输入成功数/事件数，以及实验数/样本数</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指定参数：支持在输入框中输入要与之比较的指定比率/比例/概率（0 &lt; p0 &lt; 1）</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选择假设：支持选择不同的备择假设，包括p ≠ p0: 概率/比例不是p0；p &lt; p0: 概率/比例小于p0；p &gt; p0: 概率/比例大于p0。</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输出比率图：根据数据输出比率图。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输出检验结果：根据数据输出检验结果。</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⑦　正态性检验：支持单样本和双样本的正态性检验。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切换统计页面：支持切换不同的统计类型页面，包括单样本和双样本的正态性检验。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选择变量：支持下拉选择不同的变量进行检验。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选择正态性检验方法：支持勾选包括Shapiro-Wilk以及Kolmogorov-Smirnov方法。</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生成结果：支持生成检验结果表格，展示变量名称、样本量、平均值、标准差以及展示Shapiro-Wilk/Kolmogorov-Smirnov的相关统计量和P值。</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⑧　中位数非参检验：支持单样本、双样本以及配对样本的非参数检验。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切换统计页面：支持切换不同的统计类型页面，包括单样本、双样本以及配对样本的非参数检验。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指定参数：支持在输入框中输入指定要与数据进行比较的中位数(m₀)</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选择假设：支持选择不同的备择假设，包括m ≠ m₀: 总体中位数与指定中位数有显著差异；m &gt; m₀: 总体中位数大于指定中位数；m &lt; m₀: 总体中位数小于指定中位数。</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输出描述性统计结果：支持输出数据确认的表格，描述性统计量、箱型图和直方图。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输出检验结果：支持输出威尔科克森符号秩检验结果表，包括W Statistic，P Value，Estimated Median和95% Confidence Interval各项数值。</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⑨　列联表检验：支持分析多个分类变量间的独立性或关联性</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切换统计页面：支持切换不同的统计类型页面，包括2x2（病例对照状态2类因子的卡方检验）；2x2(精确检验)（病例对照条件下2类小期望计数因子的费雪精确检验）；2x2(配对)（病例对照条件下2类因子配对计数的McNemar检验）；2xC（病例对照条件下3个以上类别因子的卡方检验）；RxC（3个以上状态中因子的3个以上因子类别的卡方检验）；Kappa统计量(2xK)（两个评分器可重复性/一致性的Kappa统计量）；Kappa统计量(KxK)（重复/相关测量重复性的Kappa统计量）；(2x2)xK（K混杂层病例对照条件下2类因子的Mantel-Haenszel检验）；(RxC)xK（K分层中3个以上状态中因子的3个以上因子类别的Cochran-Mantel-Haenszel）</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选择测定P值的方法：支持选择是否使用P值的耶茨校正</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数据确认：展示含有合计的2x2列联表、期望值。</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展示百分比表：展示单元格/行的合计的百分比。</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展示频数直方图：展示列分组以及行分组。</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展示检验结果：展示检验结果表，包括Chi-Square、Degree of freedom和P Value各数值。</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⑩　方差分析（Friedman检验）：支持通过F检验比较多组均值差异以判断因素显著性</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切换统计页面：支持切换不同的统计类型页面，包括单因素方差分析和多重比较，双因素方差分析和多重比较，非参数方法和Friedman 检验。</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选择变量：支持下拉选择不同的变量进行方差分析。</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选择多重比较方法：支持选择不同的多重比较方法，包括Bonferroni-Holm法(默认)、Bonferroni法、FDR-BH(False Discovery Rate-BH)、FDR-BY(False Discovery Rate-BY)、Scheffe法、Tukey法、Dumnett法</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描述性统计结果：展示数据确认、描述性统计、箱型图以及均值和方差图。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方差分析表：展示各变量的方差分析统计数值，包括DF,SS,MS,F Statistic,P Value</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多重比较结果：展示成对P值表，包括difference, 95%CI lower band, 95%CI higher band, P Value。</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⑪　</w:t>
            </w:r>
            <w:r>
              <w:rPr>
                <w:rFonts w:hint="default" w:ascii="Arial" w:hAnsi="Arial" w:eastAsia="宋体" w:cs="Arial"/>
                <w:b/>
                <w:bCs/>
                <w:i w:val="0"/>
                <w:iCs w:val="0"/>
                <w:color w:val="auto"/>
                <w:kern w:val="0"/>
                <w:sz w:val="21"/>
                <w:szCs w:val="21"/>
                <w:highlight w:val="none"/>
                <w:u w:val="none"/>
                <w:lang w:val="en-US" w:eastAsia="zh-CN" w:bidi="ar"/>
              </w:rPr>
              <w:t>※</w:t>
            </w:r>
            <w:r>
              <w:rPr>
                <w:rFonts w:hint="default" w:ascii="Arial" w:hAnsi="Arial" w:eastAsia="宋体" w:cs="Arial"/>
                <w:b/>
                <w:bCs/>
                <w:color w:val="auto"/>
                <w:sz w:val="21"/>
                <w:szCs w:val="21"/>
                <w:highlight w:val="none"/>
              </w:rPr>
              <w:t>两(多）变量相关分析：支持通过Pearson等</w:t>
            </w:r>
            <w:r>
              <w:rPr>
                <w:rFonts w:hint="default" w:ascii="Arial" w:hAnsi="Arial" w:eastAsia="宋体" w:cs="Arial"/>
                <w:b/>
                <w:bCs/>
                <w:color w:val="auto"/>
                <w:sz w:val="21"/>
                <w:szCs w:val="21"/>
                <w:highlight w:val="none"/>
                <w:lang w:val="en-US" w:eastAsia="zh-CN"/>
              </w:rPr>
              <w:t>不少于五种变量分析</w:t>
            </w:r>
            <w:r>
              <w:rPr>
                <w:rFonts w:hint="default" w:ascii="Arial" w:hAnsi="Arial" w:eastAsia="宋体" w:cs="Arial"/>
                <w:b/>
                <w:bCs/>
                <w:color w:val="auto"/>
                <w:sz w:val="21"/>
                <w:szCs w:val="21"/>
                <w:highlight w:val="none"/>
              </w:rPr>
              <w:t>统计方法衡量变量间关联性</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选择变量：支持下拉选择相分析的变量，可多选。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选择假设方式：支持选择不同假设方式，包括双侧检验，单侧检验（大于），单侧检验（小于）。</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输入置信水平：支持在输入框中输入置信水平。</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选择相关分析方法：支持单选不同的相关分析方法，</w:t>
            </w:r>
            <w:r>
              <w:rPr>
                <w:rFonts w:hint="default" w:ascii="Arial" w:hAnsi="Arial" w:eastAsia="宋体" w:cs="Arial"/>
                <w:color w:val="auto"/>
                <w:sz w:val="21"/>
                <w:szCs w:val="21"/>
                <w:highlight w:val="none"/>
                <w:lang w:val="en-US" w:eastAsia="zh-CN"/>
              </w:rPr>
              <w:t>至少支持</w:t>
            </w:r>
            <w:r>
              <w:rPr>
                <w:rFonts w:hint="default" w:ascii="Arial" w:hAnsi="Arial" w:eastAsia="宋体" w:cs="Arial"/>
                <w:color w:val="auto"/>
                <w:sz w:val="21"/>
                <w:szCs w:val="21"/>
                <w:highlight w:val="none"/>
              </w:rPr>
              <w:t>包括Pearson、Spearman、Kendall、Biserial、Tetrachoric</w:t>
            </w:r>
            <w:r>
              <w:rPr>
                <w:rFonts w:hint="default" w:ascii="Arial" w:hAnsi="Arial" w:eastAsia="宋体" w:cs="Arial"/>
                <w:color w:val="auto"/>
                <w:sz w:val="21"/>
                <w:szCs w:val="21"/>
                <w:highlight w:val="none"/>
                <w:lang w:val="en-US" w:eastAsia="zh-CN"/>
              </w:rPr>
              <w:t>等五种方法</w:t>
            </w:r>
            <w:r>
              <w:rPr>
                <w:rFonts w:hint="default" w:ascii="Arial" w:hAnsi="Arial" w:eastAsia="宋体" w:cs="Arial"/>
                <w:color w:val="auto"/>
                <w:sz w:val="21"/>
                <w:szCs w:val="21"/>
                <w:highlight w:val="none"/>
              </w:rPr>
              <w:t>。</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选择对P值的调整方法：包括不做多重p值调整、Holm、Hochberg、Hommel、nferroni、Benjamini &amp; Hochberg、Benjamini &amp; Yekutieli。</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生成相关分析表：根据选中的变量生成相关统计值，包括r cl cl_low cl_high t df_error p method n_obs。</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生成相关系数矩阵和表格：支持根据变量生成相关系数矩阵图，支持滑动按钮设置图像宽度和高度，可以下载高清PNG大图、PPT文件以及PDF矢量图。</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⑫广义线性回归：支持建模因变量与一个或多个自变量之间关系</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选择模型类型：支持根据应变量 Y 的特点选择模型类型，包括线性 (Linear)、二分类 (Logistic)、二分类 (Probit)、无序多分类 (Multinomial)、泊松 (Poisson)</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过度泊松 (overdispersion)、自定义 (custom)"</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选择结局变量：支持下拉选择结局（应）变量</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选择自变量：支持下拉选择自变量（解释变量）</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选择增加变量间的交互作用项：包括支持对连续性变量做尺度转换或标准化处理，做事后检验 (Post-hoc tests)，绘制统计图（应变量为Y轴，自变量为X轴，以及分层变量的线图）。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选择误差线的绘制方式：包括支持不显示误差线、使用置信区间误差线或者使用标准误误差线。</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输入置信度：支持在输入框中输入置信度。</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简单效应分析：支持进行简单效应分析，包括进行边际估计均值（Estimated Marginal Means）分析、显示以分类变量为分组的边际估计均值以及将连续变量标准化后分组显示边际估计均值</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⑬　岭回归：支持针对高维共线性数据进行线性回归改进</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转变变量类型：支持下拉选择变量将整数变量转换为分类变量。支持下拉选择变量将分类变量转换为实值数值变量。</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数据信息：支持展示数据集信息、选择需要展示的列。支持分析展示各个变量类型信息。</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展示描述性结果：支持展示数据集描述性结果，包括基本描述统计、线性拟合图以及直方图和密度图。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构建模型：支持选择变量以构建模型，检查模型并生成结果。</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⑭ 生存分析，支持研究医学事件对生存时间影响和风险估计</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数据准备：支持选择因变量，包括下拉选择结局变量和下拉选择生存时间类型。</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数据信息：支持展示数据集信息、包括数据预览、描述性分析的基础描述、生存曲线、寿命表以及直方图和密度图。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KM模型：支持Kaplan-Meier估计和Log-rank检验非参数模型，选择分组变量构建模型，查看数据预览以及估计和检验结果。</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Cox模型和预测：支持Cox回归半参数模型，根据步骤设置构建模型，查看数据预览和模型结果。</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AFT模型和预测：支持Accelerated Failure Time (AFT)参数模型，根据步骤设置构建模型，查看数据预览和模型结果。</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⑮　</w:t>
            </w:r>
            <w:r>
              <w:rPr>
                <w:rFonts w:hint="default" w:ascii="Arial" w:hAnsi="Arial" w:eastAsia="宋体" w:cs="Arial"/>
                <w:b/>
                <w:bCs/>
                <w:i w:val="0"/>
                <w:iCs w:val="0"/>
                <w:color w:val="auto"/>
                <w:kern w:val="0"/>
                <w:sz w:val="21"/>
                <w:szCs w:val="21"/>
                <w:highlight w:val="none"/>
                <w:u w:val="none"/>
                <w:lang w:val="en-US" w:eastAsia="zh-CN" w:bidi="ar"/>
              </w:rPr>
              <w:t>※</w:t>
            </w:r>
            <w:r>
              <w:rPr>
                <w:rFonts w:hint="default" w:ascii="Arial" w:hAnsi="Arial" w:eastAsia="宋体" w:cs="Arial"/>
                <w:b/>
                <w:bCs/>
                <w:color w:val="auto"/>
                <w:sz w:val="21"/>
                <w:szCs w:val="21"/>
                <w:highlight w:val="none"/>
              </w:rPr>
              <w:t>聚类分析：支持按特征相似性对医学样本或变量进行分类</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最佳K值：支持最佳聚类数，选择是否需要标准化数据、选择用于聚类的特征，设置最大聚类数。输出聚类图。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K均值聚类：支持K均值聚类，选择是否需要标准化数据、选择用于聚类的特征，设置模型拟合的聚类数，选择可视化方法，输出聚类结果。</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层次聚类：支持层次聚类，选择是否需要标准化数据、选择用于聚类的特征，下拉设置距离方法和聚合方法，输出聚类图形结果。</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⑯ 变量筛选：支持从高维医学数据中筛选关键变量以优化模型性能。</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选择结局变量类型：支持选择二分类变量、连续性变量、生存变量以及计数变量。</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数据预览：支持原始数据预览和删除缺失值后数据。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单因素分析：支持点击按钮开始单因素分析。</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多重共线性分析：支持滑动按钮设置共线性诊断图像的宽度和高度。支持点击按钮开始共线性分析。</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多因素变量筛选：支持使用逐步回归筛选变量；支持使用最优子集法（Best Subsets）筛选变量；使用 Lasso 回归, Ridge （岭回归）和 Elastic Search筛选变量；支持随机森林法变量重要性排序；支持Boruta 法筛选变量。</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val="en-US" w:eastAsia="zh-CN"/>
              </w:rPr>
            </w:pPr>
          </w:p>
          <w:p>
            <w:pPr>
              <w:keepNext w:val="0"/>
              <w:keepLines w:val="0"/>
              <w:widowControl/>
              <w:suppressLineNumbers w:val="0"/>
              <w:spacing w:before="0" w:beforeAutospacing="0" w:after="0" w:afterAutospacing="0"/>
              <w:ind w:left="0" w:right="0"/>
              <w:jc w:val="left"/>
              <w:rPr>
                <w:rFonts w:hint="default" w:ascii="Arial" w:hAnsi="Arial" w:eastAsia="宋体" w:cs="Arial"/>
                <w:b/>
                <w:bCs/>
                <w:color w:val="auto"/>
                <w:sz w:val="21"/>
                <w:szCs w:val="21"/>
                <w:highlight w:val="none"/>
                <w:lang w:val="en-US" w:eastAsia="zh-CN"/>
              </w:rPr>
            </w:pPr>
            <w:r>
              <w:rPr>
                <w:rFonts w:hint="default" w:ascii="Arial" w:hAnsi="Arial" w:eastAsia="宋体" w:cs="Arial"/>
                <w:i w:val="0"/>
                <w:iCs w:val="0"/>
                <w:color w:val="auto"/>
                <w:kern w:val="0"/>
                <w:sz w:val="21"/>
                <w:szCs w:val="21"/>
                <w:highlight w:val="none"/>
                <w:u w:val="none"/>
                <w:lang w:val="en-US" w:eastAsia="zh-CN" w:bidi="ar"/>
              </w:rPr>
              <w:t>※</w:t>
            </w:r>
            <w:r>
              <w:rPr>
                <w:rFonts w:hint="default" w:ascii="Arial" w:hAnsi="Arial" w:eastAsia="宋体" w:cs="Arial"/>
                <w:b/>
                <w:bCs/>
                <w:color w:val="auto"/>
                <w:sz w:val="21"/>
                <w:szCs w:val="21"/>
                <w:highlight w:val="none"/>
              </w:rPr>
              <w:t>支持对数据集进行预处理</w:t>
            </w:r>
            <w:r>
              <w:rPr>
                <w:rFonts w:hint="default" w:ascii="Arial" w:hAnsi="Arial" w:eastAsia="宋体" w:cs="Arial"/>
                <w:b/>
                <w:bCs/>
                <w:color w:val="auto"/>
                <w:sz w:val="21"/>
                <w:szCs w:val="21"/>
                <w:highlight w:val="none"/>
                <w:lang w:eastAsia="zh-CN"/>
              </w:rPr>
              <w:t>：</w:t>
            </w:r>
            <w:r>
              <w:rPr>
                <w:rFonts w:hint="default" w:ascii="Arial" w:hAnsi="Arial" w:eastAsia="宋体" w:cs="Arial"/>
                <w:b/>
                <w:bCs/>
                <w:color w:val="auto"/>
                <w:sz w:val="21"/>
                <w:szCs w:val="21"/>
                <w:highlight w:val="none"/>
                <w:lang w:val="en-US" w:eastAsia="zh-CN"/>
              </w:rPr>
              <w:t>支持对当前数据集进行包括数据类型变换、变量自定义、虚拟变量转化以及缺失值填补、离群值处理等至少六种预处理方式</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数据查看：查看原始数据各变量的统计数值以及原始数据表，点击确定数据集进行后续分析。</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数据类型：支持对各个变量指定分类，下拉设置为factor,numeric,date,datetime。</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变量自定义：支持下拉各个连续变量进行自定义处理。包括选择不同的离散化分组方法，设置为多个分组、输入第一个拐点，选择数据分割方式，输入各个分组名称。同时展示对应变量的统计图表。</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虚拟变量转换：支持下拉各个分类变量进行自定义处理。支持选择虚拟变量转换方法，包括哑变量或one-hot编码。</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缺失值填补：支持选择填补类型，包括简单插补或模型插补。</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离群值处理：支持下拉各个变量进行离群值处理，处理方法包括强制、废弃、使无效、强制离群值/废弃极值、强制离群值/使极值无效、无，不处理。</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下载数据：支持对完成数据预处理的数据集进行预览和下载，下载支持CSV格式。</w:t>
            </w:r>
          </w:p>
          <w:p>
            <w:pPr>
              <w:keepNext w:val="0"/>
              <w:keepLines w:val="0"/>
              <w:suppressLineNumbers w:val="0"/>
              <w:bidi w:val="0"/>
              <w:spacing w:before="0" w:beforeAutospacing="0" w:after="0" w:afterAutospacing="0"/>
              <w:ind w:left="0" w:right="0"/>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1.1.1.3.支持按用户的使用需求再做二次开发</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1.1.2.健康数据智能分析平台</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1.1.2.1.数据分析项目管理</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每个数据分析项目都对应一个独特的科学调查，并作为其数据、分析工作流程和结果的容器。可以在一个项目中执行多个工作流。对项目的访问仅限于调查中的合作者。每个项目至少有一名管理员，负责控制项目成员的权限。这些权限允许项目成员根据项目管理员的意愿尽可能多地或尽可能少地访问项目的数据资源和计算资源。用户可以在项目之间共享相同的数据，以便与不同的协作者组一起工作。用户选择数据集（如从专病库导出的数据集），并匹配相应的一个或多个分析算法工作流，通过任务调度机制执行数据分析工作。</w:t>
            </w:r>
          </w:p>
          <w:p>
            <w:pPr>
              <w:keepNext w:val="0"/>
              <w:keepLines w:val="0"/>
              <w:numPr>
                <w:ilvl w:val="0"/>
                <w:numId w:val="0"/>
              </w:numPr>
              <w:suppressLineNumbers w:val="0"/>
              <w:bidi w:val="0"/>
              <w:spacing w:before="0" w:beforeAutospacing="0" w:after="0" w:afterAutospacing="0"/>
              <w:ind w:left="0" w:right="0" w:rightChars="0"/>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①项目列表</w:t>
            </w:r>
            <w:r>
              <w:rPr>
                <w:rFonts w:hint="default" w:ascii="Arial" w:hAnsi="Arial" w:eastAsia="宋体" w:cs="Arial"/>
                <w:i w:val="0"/>
                <w:iCs w:val="0"/>
                <w:color w:val="auto"/>
                <w:kern w:val="0"/>
                <w:sz w:val="21"/>
                <w:szCs w:val="21"/>
                <w:highlight w:val="none"/>
                <w:u w:val="none"/>
                <w:lang w:val="en-US" w:eastAsia="zh-CN" w:bidi="ar"/>
              </w:rPr>
              <w:tab/>
            </w:r>
          </w:p>
          <w:p>
            <w:pPr>
              <w:keepNext w:val="0"/>
              <w:keepLines w:val="0"/>
              <w:numPr>
                <w:ilvl w:val="0"/>
                <w:numId w:val="0"/>
              </w:numPr>
              <w:suppressLineNumbers w:val="0"/>
              <w:bidi w:val="0"/>
              <w:spacing w:before="0" w:beforeAutospacing="0" w:after="0" w:afterAutospacing="0"/>
              <w:ind w:left="0" w:right="0" w:rightChars="0"/>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展示项目：支持展示当前用户账户下的项目列表，项目信息包括项目名称、类型、描述、创建人、发布时间、最近更新、项目状态等；支持使用关键字查询项目；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i w:val="0"/>
                <w:iCs w:val="0"/>
                <w:color w:val="auto"/>
                <w:kern w:val="0"/>
                <w:sz w:val="21"/>
                <w:szCs w:val="21"/>
                <w:highlight w:val="none"/>
                <w:u w:val="none"/>
                <w:lang w:val="en-US" w:eastAsia="zh-CN" w:bidi="ar"/>
              </w:rPr>
              <w:t>搜索项目：支持在输入框中输入项目名称或信息对项目列表清单进行过滤展示。</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color w:val="auto"/>
                <w:sz w:val="21"/>
                <w:szCs w:val="21"/>
                <w:highlight w:val="none"/>
              </w:rPr>
              <w:t>②创建数据分析项目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填写项目信息：支持在输入框填写数据分析项目信息，包括项目名称、项目简介、项目沙箱、项目数据等信息。</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添加公开数据：支持点击添加公开数据按钮，在公开数据源界面中选择公开数据进行添加。</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添加私有数据：支持点击添加私有数据按钮，可以选择我的数据或者上传一份本地文件进行添加。</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创建项目：完成所有设置后点击创建按钮对项目进行创建。</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③项目详情管理</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详情页页签：项目详情包括首页、数据、配置文件、算法流、任务、调度、结果以及成员各个页签，点击各个标题能够切换页签。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首页：首页页签中，用户可以浏览项目简介，点击编辑信息按钮能够在弹窗中继续编辑项目信息。用户可以查看操作指引和历史调度日志。</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数据：用户可以在数据页签中选择当前已接入的数据表进行数据概述、可视化查看和数据分析。或者通过添加公开数据以及添加私有数据的方式进行数据添加。</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数据概述：查看当前选中数据表的数据名称、数据描述以及数据标签。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rPr>
              <w:t>④</w:t>
            </w:r>
            <w:r>
              <w:rPr>
                <w:rFonts w:hint="default" w:ascii="Arial" w:hAnsi="Arial" w:eastAsia="宋体" w:cs="Arial"/>
                <w:b/>
                <w:bCs/>
                <w:i w:val="0"/>
                <w:iCs w:val="0"/>
                <w:color w:val="auto"/>
                <w:kern w:val="0"/>
                <w:sz w:val="21"/>
                <w:szCs w:val="21"/>
                <w:highlight w:val="none"/>
                <w:u w:val="none"/>
                <w:lang w:val="en-US" w:eastAsia="zh-CN" w:bidi="ar"/>
              </w:rPr>
              <w:t>※</w:t>
            </w:r>
            <w:r>
              <w:rPr>
                <w:rFonts w:hint="default" w:ascii="Arial" w:hAnsi="Arial" w:eastAsia="宋体" w:cs="Arial"/>
                <w:b/>
                <w:bCs/>
                <w:color w:val="auto"/>
                <w:sz w:val="21"/>
                <w:szCs w:val="21"/>
                <w:highlight w:val="none"/>
              </w:rPr>
              <w:t>项目数据可视化</w:t>
            </w:r>
            <w:r>
              <w:rPr>
                <w:rFonts w:hint="default" w:ascii="Arial" w:hAnsi="Arial" w:eastAsia="宋体" w:cs="Arial"/>
                <w:b/>
                <w:bCs/>
                <w:color w:val="auto"/>
                <w:sz w:val="21"/>
                <w:szCs w:val="21"/>
                <w:highlight w:val="none"/>
                <w:lang w:eastAsia="zh-CN"/>
              </w:rPr>
              <w:t>，</w:t>
            </w:r>
            <w:r>
              <w:rPr>
                <w:rFonts w:hint="default" w:ascii="Arial" w:hAnsi="Arial" w:eastAsia="宋体" w:cs="Arial"/>
                <w:b/>
                <w:bCs/>
                <w:color w:val="auto"/>
                <w:sz w:val="21"/>
                <w:szCs w:val="21"/>
                <w:highlight w:val="none"/>
              </w:rPr>
              <w:t>支持</w:t>
            </w:r>
            <w:r>
              <w:rPr>
                <w:rFonts w:hint="default" w:ascii="Arial" w:hAnsi="Arial" w:eastAsia="宋体" w:cs="Arial"/>
                <w:b/>
                <w:bCs/>
                <w:color w:val="auto"/>
                <w:sz w:val="21"/>
                <w:szCs w:val="21"/>
                <w:highlight w:val="none"/>
                <w:lang w:val="en-US" w:eastAsia="zh-CN"/>
              </w:rPr>
              <w:t>不少于10</w:t>
            </w:r>
            <w:r>
              <w:rPr>
                <w:rFonts w:hint="default" w:ascii="Arial" w:hAnsi="Arial" w:eastAsia="宋体" w:cs="Arial"/>
                <w:b/>
                <w:bCs/>
                <w:color w:val="auto"/>
                <w:sz w:val="21"/>
                <w:szCs w:val="21"/>
                <w:highlight w:val="none"/>
              </w:rPr>
              <w:t>种图表</w:t>
            </w:r>
            <w:r>
              <w:rPr>
                <w:rFonts w:hint="default" w:ascii="Arial" w:hAnsi="Arial" w:eastAsia="宋体" w:cs="Arial"/>
                <w:b/>
                <w:bCs/>
                <w:color w:val="auto"/>
                <w:sz w:val="21"/>
                <w:szCs w:val="21"/>
                <w:highlight w:val="none"/>
                <w:lang w:val="en-US" w:eastAsia="zh-CN"/>
              </w:rPr>
              <w:t>的可视化方式</w:t>
            </w:r>
            <w:r>
              <w:rPr>
                <w:rFonts w:hint="default" w:ascii="Arial" w:hAnsi="Arial" w:eastAsia="宋体" w:cs="Arial"/>
                <w:b/>
                <w:bCs/>
                <w:color w:val="auto"/>
                <w:sz w:val="21"/>
                <w:szCs w:val="21"/>
                <w:highlight w:val="none"/>
              </w:rPr>
              <w:t>：冲积图，圆弧图，条形图，多组条形图，堆积条形图，蜜蜂块图，箱形图，气泡图，图表，日历热图。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支持对当前选中的数据表进行数据预览展示，支持按不同的可视化方式进行数据展现。</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支持数据加载，将当前的数据集解析展示为二维表格，支持不同的数据解析设置，包括设置不同的列分隔符、数据堆叠方式等。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支持基于不同的图表进行图表变量映射，可以将表中的不同指标变量拖拽到图表变量区进行映射，变量映射成功后将直接展示所选择的可视化图表。</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支持对可视化图表的展示形式进行画板自定义设置，包括画板的高度和宽度、背景颜色、图表颜色设置等。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支持将当前图表下载到本地，支持jpg格式。</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⑤项目数据分析</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支持调用一键出报告、医学统计分析以及机器学习三类方式对当前选中数据集进行进一步分析处理。</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i w:val="0"/>
                <w:iCs w:val="0"/>
                <w:color w:val="auto"/>
                <w:kern w:val="0"/>
                <w:sz w:val="21"/>
                <w:szCs w:val="21"/>
                <w:highlight w:val="none"/>
                <w:u w:val="none"/>
                <w:lang w:val="en-US" w:eastAsia="zh-CN" w:bidi="ar"/>
              </w:rPr>
              <w:t>▲</w:t>
            </w:r>
            <w:r>
              <w:rPr>
                <w:rFonts w:hint="default" w:ascii="Arial" w:hAnsi="Arial" w:eastAsia="宋体" w:cs="Arial"/>
                <w:b/>
                <w:bCs/>
                <w:color w:val="auto"/>
                <w:sz w:val="21"/>
                <w:szCs w:val="21"/>
                <w:highlight w:val="none"/>
              </w:rPr>
              <w:t>一键出报告</w:t>
            </w:r>
            <w:r>
              <w:rPr>
                <w:rFonts w:hint="default" w:ascii="Arial" w:hAnsi="Arial" w:eastAsia="宋体" w:cs="Arial"/>
                <w:color w:val="auto"/>
                <w:sz w:val="21"/>
                <w:szCs w:val="21"/>
                <w:highlight w:val="none"/>
              </w:rPr>
              <w:t>：支持一键智能报告，使用户在三次点击内就可以得到自己想要的结果。支持对研究项目中的数据集一键分析并智能生成分析报告，分析报告应包括对数据集信息的基本描述和变量描述、以及单变量分析、各变量的相关性分析以及可视化因变量相关性分析等内容</w:t>
            </w:r>
            <w:r>
              <w:rPr>
                <w:rFonts w:hint="default" w:ascii="Arial" w:hAnsi="Arial" w:eastAsia="宋体" w:cs="Arial"/>
                <w:b/>
                <w:bCs/>
                <w:color w:val="auto"/>
                <w:sz w:val="21"/>
                <w:szCs w:val="21"/>
                <w:highlight w:val="none"/>
                <w:lang w:eastAsia="zh-CN"/>
              </w:rPr>
              <w:t>（</w:t>
            </w:r>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lang w:eastAsia="zh-CN"/>
              </w:rPr>
              <w:t>须提供成熟系统的功能截图或其他证明材料</w:t>
            </w:r>
            <w:r>
              <w:rPr>
                <w:rFonts w:hint="eastAsia" w:ascii="Arial" w:hAnsi="Arial" w:cs="Arial"/>
                <w:b/>
                <w:bCs/>
                <w:color w:val="auto"/>
                <w:sz w:val="21"/>
                <w:szCs w:val="21"/>
                <w:highlight w:val="none"/>
                <w:lang w:val="en-US" w:eastAsia="zh-CN"/>
              </w:rPr>
              <w:t>复印件加盖供应商公章</w:t>
            </w:r>
            <w:r>
              <w:rPr>
                <w:rFonts w:hint="default" w:ascii="Arial" w:hAnsi="Arial" w:eastAsia="宋体" w:cs="Arial"/>
                <w:b/>
                <w:bCs/>
                <w:color w:val="auto"/>
                <w:sz w:val="21"/>
                <w:szCs w:val="21"/>
                <w:highlight w:val="none"/>
                <w:lang w:eastAsia="zh-CN"/>
              </w:rPr>
              <w:t>）</w:t>
            </w:r>
            <w:r>
              <w:rPr>
                <w:rFonts w:hint="default" w:ascii="Arial" w:hAnsi="Arial" w:eastAsia="宋体" w:cs="Arial"/>
                <w:color w:val="auto"/>
                <w:sz w:val="21"/>
                <w:szCs w:val="21"/>
                <w:highlight w:val="none"/>
              </w:rPr>
              <w:t>。</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医学统计分析：支持调用描述性分析、比较分析、相关分析、回归分析以及其他分析工具对当前数据集开展数据分析，支持不少于20种专业的医学统计分析方法工具，具体包括描述性分析、连续概率分布、离散概率分布、T检验、Z检验、二项式比例检验、正态性检验、中位数非参检验、列联表检验、方差分析、多变量相关性分析、广义线性回归、线性回归、岭回归、逻辑回归、生存分析、时序分析、中文分词、聚类分析、变量筛选、倾向性分析（PSM）、SVM。</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机器学习：支持机器学习模块对队列数据进行自动建模分析，支持自主设置训练集和测试集，选择特征和结局指标，支持设置选择不同的机器学习算法执行训练。</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⑥项目编辑</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配置文件：用户可以浏览已上传的项目文件，或者上传一个新文件，点击上传文件按钮进行文件添加，能够选择本地任意文件上传，文件大小限制为100M。</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算法流：用户可以查看已经建立的算法流列表，包括算法流名称、类型、创建者、创建时间以及操作，在操作列中能创建任务、将当前算法流添加到我的算法或删除当前算法、点击算法流可以进入详情页。</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创建算法流：用户可以点击新建算法流进入弹窗对算法流进行创建，创建算法流支持三种方式：①新建空白算法流：输入算法流名称、简介、标签等信息对算法流进行创建、创建完成后进入算法流编辑页；②选择我的算法进行创建；③选择资源广场中的公用算法进行创建。</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i w:val="0"/>
                <w:iCs w:val="0"/>
                <w:color w:val="auto"/>
                <w:kern w:val="0"/>
                <w:sz w:val="21"/>
                <w:szCs w:val="21"/>
                <w:highlight w:val="none"/>
                <w:u w:val="none"/>
                <w:lang w:val="en-US" w:eastAsia="zh-CN" w:bidi="ar"/>
              </w:rPr>
              <w:t>▲</w:t>
            </w:r>
            <w:r>
              <w:rPr>
                <w:rFonts w:hint="default" w:ascii="Arial" w:hAnsi="Arial" w:eastAsia="宋体" w:cs="Arial"/>
                <w:color w:val="auto"/>
                <w:sz w:val="21"/>
                <w:szCs w:val="21"/>
                <w:highlight w:val="none"/>
              </w:rPr>
              <w:t>编辑算法流：支持采用主流的CWL工作流语言的可视化工作流编排技术，可实现多作业的混合编排。支持用户通过托拉拽的方式将算法流程进行统一编排。在算法流中，每个节点对应一个数据分析过程，支持在算法流中进行节点编辑和链接，包括制定节点的先后顺序等。</w:t>
            </w:r>
            <w:r>
              <w:rPr>
                <w:rFonts w:hint="default" w:ascii="Arial" w:hAnsi="Arial" w:eastAsia="宋体" w:cs="Arial"/>
                <w:b/>
                <w:bCs/>
                <w:color w:val="auto"/>
                <w:sz w:val="21"/>
                <w:szCs w:val="21"/>
                <w:highlight w:val="none"/>
                <w:lang w:eastAsia="zh-CN"/>
              </w:rPr>
              <w:t>（</w:t>
            </w:r>
            <w:bookmarkStart w:id="22" w:name="OLE_LINK1"/>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lang w:eastAsia="zh-CN"/>
              </w:rPr>
              <w:t>须提供成熟系统的功能截图或其他证明材料</w:t>
            </w:r>
            <w:r>
              <w:rPr>
                <w:rFonts w:hint="eastAsia" w:ascii="Arial" w:hAnsi="Arial" w:cs="Arial"/>
                <w:b/>
                <w:bCs/>
                <w:color w:val="auto"/>
                <w:sz w:val="21"/>
                <w:szCs w:val="21"/>
                <w:highlight w:val="none"/>
                <w:lang w:val="en-US" w:eastAsia="zh-CN"/>
              </w:rPr>
              <w:t>复印件加盖供应商公章</w:t>
            </w:r>
            <w:bookmarkEnd w:id="22"/>
            <w:r>
              <w:rPr>
                <w:rFonts w:hint="default" w:ascii="Arial" w:hAnsi="Arial" w:eastAsia="宋体" w:cs="Arial"/>
                <w:b/>
                <w:bCs/>
                <w:color w:val="auto"/>
                <w:sz w:val="21"/>
                <w:szCs w:val="21"/>
                <w:highlight w:val="none"/>
                <w:lang w:eastAsia="zh-CN"/>
              </w:rPr>
              <w:t>）</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创建任务：支持为完成的算法流创建任务，可对任务参数、运行参数、沙箱参数等进行配置；参数配置支持设置数据集、数据管道；运行配置支持设置任务名称、任务重复执行、调度类型、运行模式等；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支持任务调度，将相关任务的执行流程进行组织，对任务的执行顺序提供动态的队列管理；</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系统提供任务调度的统一视图，支持对任务进行新增、修改、查询、删除、启用、停用、收藏、复制、通知设置等操作。提供多种任务执行情况通知，方便用户第一时间掌握任务运行情况；</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支持多种时间周期的作业调度，支持分布式调度和依赖调度等；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支持手工调度和自动调度，自动调度包括定时调度、循环调度等；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支持统一展示数据分析项目每个任务的结果；</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对于数据模型类的分析任务，支持将结果发布为数据模型。数据模型支持选择版本，编辑模型名称和描述，设置模型领域、类型、方法，支持添加模型参考的相关文献，上传模型评分文件等；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支持添加和删除项目成员；支持为项目成员分配相应角色；</w:t>
            </w:r>
          </w:p>
          <w:p>
            <w:pPr>
              <w:keepNext w:val="0"/>
              <w:keepLines w:val="0"/>
              <w:suppressLineNumbers w:val="0"/>
              <w:bidi w:val="0"/>
              <w:spacing w:before="0" w:beforeAutospacing="0" w:after="0" w:afterAutospacing="0"/>
              <w:ind w:left="0" w:right="0"/>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b/>
                <w:bCs/>
                <w:color w:val="auto"/>
                <w:sz w:val="21"/>
                <w:szCs w:val="21"/>
                <w:highlight w:val="none"/>
                <w:lang w:eastAsia="zh-CN"/>
              </w:rPr>
              <w:t>。</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1.1.2.2.算法仓库</w:t>
            </w:r>
          </w:p>
          <w:p>
            <w:pPr>
              <w:keepNext w:val="0"/>
              <w:keepLines w:val="0"/>
              <w:suppressLineNumbers w:val="0"/>
              <w:bidi w:val="0"/>
              <w:spacing w:before="0" w:beforeAutospacing="0" w:after="0" w:afterAutospacing="0"/>
              <w:ind w:left="0" w:right="0"/>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算法仓库允许存储和管理算法工作流所调用的算子工具，构建并管理个人帐号的算子和算法流，提供可视化算法流编排工具。算法工作流为系统预置或用户定制，AI算法仓库包含集成的平台算法管理工具和算法工作流编辑器，允许用户使用丰富的可视化界面或通用工作流语言代码视图浏览和编辑工具和工作流。用户可以在平台上创建以及了解如何使用工作流编辑器将多个工具连接到工作流中，并尝试发布共享自己的工作流。其他用户可以配置、发布、使用、共享和验证这些算法。</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①算子管理</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算子列表：支持查看算子列表，列表信息包括算子名称、算子描述、算子分类以及更新时间等信息。</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创建算子：支持创建算子，输入算子相关信息包括算子名称、算子描述、算子标签，选择算子分类包括数据获取、清洗数据、数据建模、分析报告等，完成算子创建。</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编辑算子：支持编辑算子详情信息，除了算子创建输入的信息外，还包括算子的详细简介、算子使用说明、算子状态以及算子统计信息。</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发布算子：支持将已创建的算子发布，发布后支持在算法流中进行调用。</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②算法流管理</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算法流列表：支持查看算法流列表，列表信息包括算法流名称、算法描述、工作服务器、更新时间等信息。</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创建算法流：用户可以点击新建算法流进入弹窗对算法流进行创建，输入算法流名称、算法流简介、算法流标签、算法流沙箱信息，完成算法流创建。</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算法流编辑：支持调用相关算子进行算法流编辑，通过托拉拽的方式将算法流程进行统一编排。在算法流中，每个节点对应一个数据分析过程，支持在算法流中进行节点编辑和链接，包括制定节点的先后顺序等。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发布算法流：支持将已创建的算法流发布，选择发布范围是我的机构或公共平台，编辑算法流使用说明、输入、配置及输出信息等，完成算法流发布。</w:t>
            </w:r>
          </w:p>
          <w:p>
            <w:pPr>
              <w:keepNext w:val="0"/>
              <w:keepLines w:val="0"/>
              <w:suppressLineNumbers w:val="0"/>
              <w:spacing w:before="0" w:beforeAutospacing="0" w:after="0" w:afterAutospacing="0"/>
              <w:ind w:left="0" w:right="0"/>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1.1.2.3.数据管理</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①我的数据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▲支持上传excel/csv格式的数据文件，基于该文件支持进行数据预处理，可视化、一键出报告、统计分析以及机器学习模块，全部统计分析方法均可用在用户上传的独立数据集上</w:t>
            </w:r>
            <w:r>
              <w:rPr>
                <w:rFonts w:hint="default" w:ascii="Arial" w:hAnsi="Arial" w:eastAsia="宋体" w:cs="Arial"/>
                <w:color w:val="auto"/>
                <w:sz w:val="21"/>
                <w:szCs w:val="21"/>
                <w:highlight w:val="none"/>
                <w:lang w:eastAsia="zh-CN"/>
              </w:rPr>
              <w:t>（</w:t>
            </w:r>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lang w:eastAsia="zh-CN"/>
              </w:rPr>
              <w:t>须提供成熟系统的功能截图或其他证明材料</w:t>
            </w:r>
            <w:r>
              <w:rPr>
                <w:rFonts w:hint="eastAsia" w:ascii="Arial" w:hAnsi="Arial" w:cs="Arial"/>
                <w:b/>
                <w:bCs/>
                <w:color w:val="auto"/>
                <w:sz w:val="21"/>
                <w:szCs w:val="21"/>
                <w:highlight w:val="none"/>
                <w:lang w:val="en-US" w:eastAsia="zh-CN"/>
              </w:rPr>
              <w:t>复印件加盖供应商公章</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上传文件支持选择数据分类，输入数据名称、数据描述和标签信息。</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数据列表支持输入数据名称、所属分类和标签信息对当前列表进行查询筛选。支持对每条数据进行查看详情、编辑、发布、删除相关操作。</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支持将我的数据发布到公共平台，开放数据支持其他用户使用该数据进行数据分析，查看相关数据集概览情况，查看具体数据情况以及进行数据可视化，或引入项目进行分析；</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②模型管理</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模型集市支持利用人工智能数据分析平台的模型生产工具对数据进行自动化和半自动化模型训练，并形成CDSS模型，支持标准化生产、发布、验证、应用的业务闭环，从而构建成客户个性化的CDSS模型集市。每个医院支持生产和安装自己的CDSS模型，并且通过标准化的API接口，实现HIS等院内系统的标准化嵌入，满足医院的个性化医疗需要。</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支持管理员审核模型，审核通过的模型方可在模型集市上架使用；</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支持在模型集市中筛选模型，筛选条件包括名称、领域、类型、算法、排序等；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支持模型自动化制作，制作完成的模型需与可视化页面手工组合，组合完成的模型将会得到可使用的链接，并在模型详情页中查看和发布试用；</w:t>
            </w:r>
          </w:p>
          <w:p>
            <w:pPr>
              <w:keepNext w:val="0"/>
              <w:keepLines w:val="0"/>
              <w:suppressLineNumbers w:val="0"/>
              <w:spacing w:before="0" w:beforeAutospacing="0" w:after="0" w:afterAutospacing="0"/>
              <w:ind w:left="0" w:right="0"/>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1.1.2.4.统计分析接口</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①</w:t>
            </w:r>
            <w:r>
              <w:rPr>
                <w:rFonts w:hint="default" w:ascii="Arial" w:hAnsi="Arial" w:eastAsia="宋体" w:cs="Arial"/>
                <w:color w:val="auto"/>
                <w:sz w:val="21"/>
                <w:szCs w:val="21"/>
                <w:highlight w:val="none"/>
              </w:rPr>
              <w:t>支持其他应用，如专病库，调用数据分析平台封装好的统计分析方法，包括数据预处理、数据可视化、一键出报告、统计分析以及机器学习模块。</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②</w:t>
            </w:r>
            <w:r>
              <w:rPr>
                <w:rFonts w:hint="default" w:ascii="Arial" w:hAnsi="Arial" w:eastAsia="宋体" w:cs="Arial"/>
                <w:color w:val="auto"/>
                <w:sz w:val="21"/>
                <w:szCs w:val="21"/>
                <w:highlight w:val="none"/>
              </w:rPr>
              <w:t>支持专病库等其他应用调用数据预处理模块，以便符合后续研究分析所需要的数据格式。具体包括以下步骤：①数据查看，预览原始数据各变量的统计数值以及原始数据表；②数据类型，支持对各个变量指定分类；③变量自定义，支持选择各个连续变量进行自定义处理。④虚拟变量转换，支持选择各个分类变量进行自定义处理。⑤缺失值填补，支持的填补类型包括简单插补或模型插补。⑥离群值处理，支持选择各个变量进行离群值处理；⑦衍生新变量，支持基于公式对新变量进行衍生定义。⑧数据标准化，支持选择各个变量进行数据标准化处理。⑨调整因子顺序，支持下拉选择变量进行顺序排列，支持对各个变量值进行拖动排序。</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③</w:t>
            </w:r>
            <w:r>
              <w:rPr>
                <w:rFonts w:hint="default" w:ascii="Arial" w:hAnsi="Arial" w:eastAsia="宋体" w:cs="Arial"/>
                <w:color w:val="auto"/>
                <w:sz w:val="21"/>
                <w:szCs w:val="21"/>
                <w:highlight w:val="none"/>
              </w:rPr>
              <w:t>支持专病库等其他应用调用数据预处理模块，使用户在三次点击内就可以得到自己想要的结果。支持对研究项目中的数据集一键分析并智能生成分析报告，分析报告应包括对数据集信息的基本描述和变量描述、以及单变量分析、各变量的相关性分析以及可视化因变量相关性分析等内容。</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④</w:t>
            </w:r>
            <w:r>
              <w:rPr>
                <w:rFonts w:hint="default" w:ascii="Arial" w:hAnsi="Arial" w:eastAsia="宋体" w:cs="Arial"/>
                <w:color w:val="auto"/>
                <w:sz w:val="21"/>
                <w:szCs w:val="21"/>
                <w:highlight w:val="none"/>
              </w:rPr>
              <w:t>支持专病库等其他应用调用数据可视化模块，支持选择不同的图表进行可视化，包括冲积图，圆弧图，条形图，多组条形图，堆积条形图，蜜蜂块图，箱形图，气泡图，图表，日历热图，圆形包装图，圆形树状图，等高线图，凸包图，线性树状图，甘特图，六边形合并图，地平线图，折线图，矩阵图，平行坐标图，饼状图，雷达图，桑基图，坡度图，流图（面积图），旭日图，树形图，小提琴图，维诺图，树状图。</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⑤</w:t>
            </w:r>
            <w:r>
              <w:rPr>
                <w:rFonts w:hint="default" w:ascii="Arial" w:hAnsi="Arial" w:eastAsia="宋体" w:cs="Arial"/>
                <w:color w:val="auto"/>
                <w:sz w:val="21"/>
                <w:szCs w:val="21"/>
                <w:highlight w:val="none"/>
              </w:rPr>
              <w:t>支持专病库等其他应用调用数据统计分析模块，支持调用描述性分析、比较分析、相关分析、回归分析以及其他分析工具对当前数据集开展数据分析，支持不少于20种专业的医学统计分析方法工具，具体包括描述性分析、连续概率分布、离散概率分布、T检验、Z检验、二项式比例检验、正态性检验、中位数非参检验、列联表检验、方差分析、多变量相关性分析、广义线性回归、线性回归、岭回归、逻辑回归、生存分析、时序分析、中文分词、聚类分析、变量筛选、倾向性分析（PSM）、SVM。</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⑥</w:t>
            </w:r>
            <w:r>
              <w:rPr>
                <w:rFonts w:hint="default" w:ascii="Arial" w:hAnsi="Arial" w:eastAsia="宋体" w:cs="Arial"/>
                <w:color w:val="auto"/>
                <w:sz w:val="21"/>
                <w:szCs w:val="21"/>
                <w:highlight w:val="none"/>
              </w:rPr>
              <w:t>支持专病库等其他应用调用机器学习模块，支持自主设置训练集和测试集，选择特征和结局指标，支持设置选择不同的机器学习算法对数据执行训练。</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1.1.2.5.支持按用户的使用需求再做二次开发</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1.1.3.</w:t>
            </w:r>
            <w:r>
              <w:rPr>
                <w:rFonts w:hint="default" w:ascii="Arial" w:hAnsi="Arial" w:eastAsia="宋体" w:cs="Arial"/>
                <w:i w:val="0"/>
                <w:iCs w:val="0"/>
                <w:color w:val="auto"/>
                <w:sz w:val="21"/>
                <w:szCs w:val="21"/>
                <w:highlight w:val="none"/>
                <w:u w:val="none"/>
              </w:rPr>
              <w:t>科研一体化平台</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1.1.3.1.区域科研数据模型</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①　支持基于建设CDM通用数据模型（commondatamodel）对区域范围内所有可以用于医学科研的临床数据进行统一采集、汇聚、存储和治理。CDM通用数据模型支持包括病案、HIS、LIS、EMR、PACS、护理、手麻、病理、输血、随访以及其他等多个子系统数据结构设计，支持对数据业务域灵活扩展配置，最大化兼容医院已有的信息系统数据结构。</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1.1.3.2.区域科研数据探索</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①　※支持区域级的科研数据洞察，提供重点指标的描述性统计-根据指标类型智能采用多种统计图表（连续型指标采用频数直方图、箱线图，分类型指标采用柱状图、饼图等）。</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②　支持区域级的人群搜索功能，支持对纳排条件指标进行高级检索，输入各个纳排条件指标的值域后圈定患者群体，同时展示患者队列数量，并支持导入到科研项目。</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1.1.3.3.科研灵感发现</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①　▲支持科研灵感发现，基于大数据技术，对院内完成清洗治理的医疗数据进行深度挖掘，对数据中的各个临床因素之间的内在关联和规则进行分析。支持包括相关性弦图分析、临床数据流向或路径的桑基图或树图分析（</w:t>
            </w:r>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lang w:eastAsia="zh-CN"/>
              </w:rPr>
              <w:t>须提供成熟系统的功能截图或其他证明材料</w:t>
            </w:r>
            <w:r>
              <w:rPr>
                <w:rFonts w:hint="eastAsia" w:ascii="Arial" w:hAnsi="Arial" w:cs="Arial"/>
                <w:b/>
                <w:bCs/>
                <w:color w:val="auto"/>
                <w:sz w:val="21"/>
                <w:szCs w:val="21"/>
                <w:highlight w:val="none"/>
                <w:lang w:val="en-US" w:eastAsia="zh-CN"/>
              </w:rPr>
              <w:t>复印件加盖供应商公章</w:t>
            </w:r>
            <w:r>
              <w:rPr>
                <w:rFonts w:hint="default" w:ascii="Arial" w:hAnsi="Arial" w:eastAsia="宋体" w:cs="Arial"/>
                <w:i w:val="0"/>
                <w:iCs w:val="0"/>
                <w:color w:val="auto"/>
                <w:kern w:val="0"/>
                <w:sz w:val="21"/>
                <w:szCs w:val="21"/>
                <w:highlight w:val="none"/>
                <w:u w:val="none"/>
                <w:lang w:val="en-US" w:eastAsia="zh-CN" w:bidi="ar"/>
              </w:rPr>
              <w:t>）。</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②　※支持相关性可视化分析，对临床数据隐含的数据相关性信息支持采用弦图进行可视化展示、例如可以查看所有高发疾病的两两相关性组合，针对某个具体疾病组合，可以查看两个疾病的共患例数，卡方检验P值、OR值以及PMI值，支持在过滤器中对弦图展示的范围进行筛选，包括通过疾病名称、OR值范围，卡方检验P值进行筛选，支持将弦图切换为弧线图进行展示；</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③　※支持临床流向可视化分析，支持采用桑基图进行可视化展示，可以查看所有指标不同值域对应的患者流向情况，每个值域节点可以查看患者例数统计占比，支持切换为树图进行展示。</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④　支持关联规则可视化分析，支持采用网络矢量图对各个实体的关联规则进行展示，通过不同颜色区分提升度，不同圆圈大小体现关联规则置信度。点击关联规则圆圈可以展示规则说明，包括左项集和右项集内容，共同例数以及支持度、置信度、提升度等指标数值，并且可以转化为条件搜索相关患者。</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⑤　医学智能检索及全病历视图</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1）▲支持根据用户具体研究需要，对平台内的区域患者数据进行快速搜索，返回患者搜索结果查看患者详情，支持快速纳入科研项目。支持快速关键字检索，支持检索数据的二次过滤，以及检索结果飘红等（</w:t>
            </w:r>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lang w:eastAsia="zh-CN"/>
              </w:rPr>
              <w:t>须提供成熟系统的功能截图或其他证明材料</w:t>
            </w:r>
            <w:r>
              <w:rPr>
                <w:rFonts w:hint="eastAsia" w:ascii="Arial" w:hAnsi="Arial" w:cs="Arial"/>
                <w:b/>
                <w:bCs/>
                <w:color w:val="auto"/>
                <w:sz w:val="21"/>
                <w:szCs w:val="21"/>
                <w:highlight w:val="none"/>
                <w:lang w:val="en-US" w:eastAsia="zh-CN"/>
              </w:rPr>
              <w:t>复印件加盖供应商公章</w:t>
            </w:r>
            <w:r>
              <w:rPr>
                <w:rFonts w:hint="default" w:ascii="Arial" w:hAnsi="Arial" w:eastAsia="宋体" w:cs="Arial"/>
                <w:i w:val="0"/>
                <w:iCs w:val="0"/>
                <w:color w:val="auto"/>
                <w:kern w:val="0"/>
                <w:sz w:val="21"/>
                <w:szCs w:val="21"/>
                <w:highlight w:val="none"/>
                <w:u w:val="none"/>
                <w:lang w:val="en-US" w:eastAsia="zh-CN" w:bidi="ar"/>
              </w:rPr>
              <w:t>）。</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2）※支持患者全病历视图展示患者全维度信息，通过对同一患者全部就诊病历全维度信息整合，并通过集成视图方式进行全量患者数据展现。支持模拟病历文本以及二维表形式进行科研域数据的展示，包括病案首页、入院记录、病程记录、出院记录、死亡记录、门诊医嘱、住院医嘱、检验信息、检查信息、手麻信息、护理信息、病理信息、门诊诊断、住院诊断等。</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1.1.3.4.科研项目管理</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color w:val="auto"/>
                <w:sz w:val="21"/>
                <w:szCs w:val="21"/>
                <w:highlight w:val="none"/>
              </w:rPr>
              <w:t>①　支持创建项目、编辑项目、删除项目等，实现科研项目/课题流程、进度以及科研项目的实时管理。</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创建项目：支持创建项目，包括项目信息、纳排设置、指标设计、数据预览等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编辑项目：支持编辑项目，包括项目信息、纳排设置、指标设计、数据预览等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删除项目：支持删除已有项目</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②　▲支持编辑项目信息，包括项目名称、项目类型、项目标签、项目描述、项目注册号及伦理备案号等，支持上传项目文件以及数据来源，数据来源支持从数据库抽取或从数据文件导入。支持编辑试验目的、试验设计、患者纳排以及统计学方法等信息</w:t>
            </w:r>
            <w:r>
              <w:rPr>
                <w:rFonts w:hint="default" w:ascii="Arial" w:hAnsi="Arial" w:eastAsia="宋体" w:cs="Arial"/>
                <w:color w:val="auto"/>
                <w:sz w:val="21"/>
                <w:szCs w:val="21"/>
                <w:highlight w:val="none"/>
                <w:lang w:eastAsia="zh-CN"/>
              </w:rPr>
              <w:t>（</w:t>
            </w:r>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lang w:eastAsia="zh-CN"/>
              </w:rPr>
              <w:t>须提供成熟系统的功能截图或其他证明材料</w:t>
            </w:r>
            <w:r>
              <w:rPr>
                <w:rFonts w:hint="eastAsia" w:ascii="Arial" w:hAnsi="Arial" w:cs="Arial"/>
                <w:b/>
                <w:bCs/>
                <w:color w:val="auto"/>
                <w:sz w:val="21"/>
                <w:szCs w:val="21"/>
                <w:highlight w:val="none"/>
                <w:lang w:val="en-US" w:eastAsia="zh-CN"/>
              </w:rPr>
              <w:t>复印件加盖供应商公章</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项目信息：支持编辑项目信息，包括项目名称、项目类型、项目标签、项目描述、项目注册号及伦理备案号等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试验目的：支持编辑试验目的，包括试验目标总结、首要目标、其他目标等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试验设计：支持编辑试验设计，包括是否随机研究、盲法、对照组设置、试验时需时间、主要试验终点、其他试验终点等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纳排条件：支持编辑纳排条件，包括纳入条件和排除条件</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统计学方法:支持编辑统计学方法，包括患者数量、统计方法概述、拟统计模型声明、中期分析描述</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③　※支持在项目的发布过程中，对所需要的科研患者进行纳排设置，并对所需要的研究指标进行设计，支持拖拽式的指标设计方式。在指标编辑面板处能够对抽样结果进行预览。完成项目创建后，系统自动完成数据抽取和相关分析过程。</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患者纳排：支持设置患者纳排条件，提供指标检索、条件树检索和精准检索等方法；</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患者列表：支持设置纳排条件后预览患者列表，查看患者概览数据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指标设计：支持对项目研究设置进行设计，用户可直接拖拽已有指标，可通过已有指标生成新指标，可对指标抽取条件进行设置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结果预览：在指标编辑面板处能够对抽样结果进行预览。</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数据抽取：项目相关设置完成后，用户可发起数据抽取，系统自动完成指标数据抽取过程和相关分析过程。</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④　支持在创建的科研项目中进行EDA（ExploratoryDataAnalysis）数据探索性分析，通过了解项目数据集，了解变量间的相互关系以及变量与预测值之间的关系。EDA面板支持查看队列数据整体情况，包括所有指标的数据类型、数据量、数据极值、均值、方差等统计指标，以及查看数据缺失和异常和相关性分析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项目数据概述：对项目数据进行整体概述，包括字段数量、样本量、缺失率、重复率、数据类型等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项目变量描述:对项目所有变量进行逐个分析，包括每个变量的类型、不同值、最大值、最小值、缺失值、平均值、零值等，并提供数据分布柱状图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相关性分析：对项目所有变量的相关性进行分析，提供多种分析方法，包括斯皮尔曼、皮尔森、肯德尔等，并提供每种方法的相关性描述和热力图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缺失值：对项目所有变量的缺失情况进行统计分析，包括计数、矩阵、热力图、树状图等</w:t>
            </w:r>
          </w:p>
          <w:p>
            <w:pPr>
              <w:keepNext w:val="0"/>
              <w:keepLines w:val="0"/>
              <w:suppressLineNumbers w:val="0"/>
              <w:bidi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⑤</w:t>
            </w:r>
            <w:r>
              <w:rPr>
                <w:rFonts w:hint="default" w:ascii="Arial" w:hAnsi="Arial" w:eastAsia="宋体" w:cs="Arial"/>
                <w:color w:val="auto"/>
                <w:sz w:val="21"/>
                <w:szCs w:val="21"/>
                <w:highlight w:val="none"/>
              </w:rPr>
              <w:t>　数据字典支持查看平台中区域数据字典的表字段结构信息，包括所有字段名称、类型对应信息展示。支持查看所有表字段相关填充率以及覆盖患者人数。</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数据字典：支持查看平台中区域数据字典的表字段结构信息，包括所有字段名称、类型、值域等。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搜索字典：支持通过关键字搜索字典中的字段</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配置：支持整体配置允许或不允许字段显示配置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字段是否显示：支持对每个字段进行显示或不显示的设置</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1.1.3.5.数据审批申请</w:t>
            </w: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color w:val="auto"/>
                <w:sz w:val="21"/>
                <w:szCs w:val="21"/>
                <w:highlight w:val="none"/>
              </w:rPr>
              <w:t>①　支持用户在科研项目中进行数据使用申请，通过数据管理者申请审批后，可以进行数据导出和下载。可以在审批中心中查看我的申请列表以及相关的审批进度、状态等。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审批流程设置：可设置数据审批流程的审批节点，审批角色/审批人，审批层级等，灵活配置审批流程</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"审批流程表单设置：可灵活设置审批申请表单内容，支持：</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1、输入型组件：单行文本、多行文本、密码、计数器、编辑器等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2、选择型组件：下拉选择、级联选择、单选框组、多选框组、开关、滑块、时间选择、时间范围、日期选择、日期范围、评分、上传等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3、布局型组件：行容器、按钮、表格等</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支持对上述表单、组件的属性设置、可【保存】表单、【预览】表单"</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待审批列表：审批人可在待审批列表查看需要审批的所有流程，可按审批名称、接受时间进行查询。审批时可填写审批意见，审批通过/拒绝申请，退回申请可选择退回哪个审批节点。审批可查看申请信息、审批记录详情、审批流程图</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已完成列表：审批人可在已完成列表查看自己已审批的所有流程，可按审批名称、接受时间进行查询。可查看审批流程图，没有结束审批流程的可以撤回审批</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我的流程：申请人可在我的流程菜单中查看自己申请过的所有流程，可按流程名称、提交时间进行查询，可查看流程流转状态，审批记录，表单详情，没有审批结束的流程可以取消流程</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消息：审批人在收到审批申请时会接收到消息提醒，可在消息提醒中点击审批链接直接进入审批页面，查看审批申请内容、审批记录详情、审批流程图，填写审批意见，审批通过/拒绝或者退回某一审批节点。</w:t>
            </w:r>
          </w:p>
          <w:p>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lang w:eastAsia="zh-CN"/>
              </w:rPr>
            </w:pPr>
            <w:r>
              <w:rPr>
                <w:rFonts w:hint="default" w:ascii="Arial" w:hAnsi="Arial" w:eastAsia="宋体" w:cs="Arial"/>
                <w:color w:val="auto"/>
                <w:sz w:val="21"/>
                <w:szCs w:val="21"/>
                <w:highlight w:val="none"/>
              </w:rPr>
              <w:t>下载数据：审批流程结束后，申请人会收到消息提醒，可以在消息内容中查看数据下载的压缩包密码，点击下载链接下载数据包，打开压缩包时输入密码，即可查看下载的数据内容，数据包仅可下载一次，无法重复下载，重复下载给出提醒</w:t>
            </w:r>
            <w:r>
              <w:rPr>
                <w:rFonts w:hint="default" w:ascii="Arial" w:hAnsi="Arial" w:eastAsia="宋体" w:cs="Arial"/>
                <w:color w:val="auto"/>
                <w:sz w:val="21"/>
                <w:szCs w:val="21"/>
                <w:highlight w:val="none"/>
                <w:lang w:eastAsia="zh-CN"/>
              </w:rPr>
              <w:t>。</w:t>
            </w:r>
          </w:p>
          <w:p>
            <w:pPr>
              <w:widowControl/>
              <w:adjustRightInd w:val="0"/>
              <w:snapToGrid w:val="0"/>
              <w:spacing w:line="276" w:lineRule="auto"/>
              <w:jc w:val="left"/>
              <w:textAlignment w:val="center"/>
              <w:rPr>
                <w:rStyle w:val="111"/>
                <w:rFonts w:hint="default" w:ascii="Arial" w:hAnsi="Arial" w:eastAsia="宋体" w:cs="Arial"/>
                <w:color w:val="auto"/>
                <w:sz w:val="21"/>
                <w:szCs w:val="21"/>
                <w:highlight w:val="none"/>
                <w:lang w:bidi="ar"/>
              </w:rPr>
            </w:pPr>
            <w:r>
              <w:rPr>
                <w:rFonts w:hint="default" w:ascii="Arial" w:hAnsi="Arial" w:eastAsia="宋体" w:cs="Arial"/>
                <w:i w:val="0"/>
                <w:iCs w:val="0"/>
                <w:color w:val="auto"/>
                <w:kern w:val="0"/>
                <w:sz w:val="21"/>
                <w:szCs w:val="21"/>
                <w:highlight w:val="none"/>
                <w:u w:val="none"/>
                <w:lang w:val="en-US" w:eastAsia="zh-CN" w:bidi="ar"/>
              </w:rPr>
              <w:br w:type="textWrapping"/>
            </w:r>
            <w:r>
              <w:rPr>
                <w:rFonts w:hint="default" w:ascii="Arial" w:hAnsi="Arial" w:eastAsia="宋体" w:cs="Arial"/>
                <w:i w:val="0"/>
                <w:iCs w:val="0"/>
                <w:color w:val="auto"/>
                <w:kern w:val="0"/>
                <w:sz w:val="21"/>
                <w:szCs w:val="21"/>
                <w:highlight w:val="none"/>
                <w:u w:val="none"/>
                <w:lang w:val="en-US" w:eastAsia="zh-CN" w:bidi="ar"/>
              </w:rPr>
              <w:t>支持按用户的使用需求再做二次开发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468" w:type="dxa"/>
            <w:noWrap w:val="0"/>
            <w:vAlign w:val="center"/>
          </w:tcPr>
          <w:p>
            <w:pPr>
              <w:widowControl/>
              <w:adjustRightInd w:val="0"/>
              <w:snapToGrid w:val="0"/>
              <w:spacing w:line="276" w:lineRule="auto"/>
              <w:jc w:val="center"/>
              <w:textAlignment w:val="center"/>
              <w:rPr>
                <w:rFonts w:hint="default" w:ascii="Arial" w:hAnsi="Arial" w:cs="Arial"/>
                <w:color w:val="auto"/>
                <w:kern w:val="0"/>
                <w:szCs w:val="21"/>
                <w:highlight w:val="none"/>
                <w:lang w:bidi="ar"/>
              </w:rPr>
            </w:pPr>
            <w:r>
              <w:rPr>
                <w:rFonts w:hint="default" w:ascii="Arial" w:hAnsi="Arial" w:cs="Arial"/>
                <w:color w:val="auto"/>
                <w:kern w:val="0"/>
                <w:szCs w:val="21"/>
                <w:highlight w:val="none"/>
                <w:lang w:bidi="ar"/>
              </w:rPr>
              <w:t>2</w:t>
            </w:r>
          </w:p>
        </w:tc>
        <w:tc>
          <w:tcPr>
            <w:tcW w:w="812" w:type="dxa"/>
            <w:noWrap w:val="0"/>
            <w:vAlign w:val="center"/>
          </w:tcPr>
          <w:p>
            <w:pPr>
              <w:widowControl/>
              <w:snapToGrid w:val="0"/>
              <w:spacing w:line="276" w:lineRule="auto"/>
              <w:jc w:val="center"/>
              <w:textAlignment w:val="center"/>
              <w:rPr>
                <w:rFonts w:hint="default" w:ascii="Arial" w:hAnsi="Arial" w:cs="Arial"/>
                <w:color w:val="auto"/>
                <w:kern w:val="0"/>
                <w:szCs w:val="21"/>
                <w:highlight w:val="none"/>
                <w:lang w:bidi="ar"/>
              </w:rPr>
            </w:pPr>
            <w:r>
              <w:rPr>
                <w:rFonts w:hint="default" w:ascii="Arial" w:hAnsi="Arial" w:eastAsia="宋体" w:cs="Arial"/>
                <w:i w:val="0"/>
                <w:iCs w:val="0"/>
                <w:color w:val="auto"/>
                <w:kern w:val="0"/>
                <w:sz w:val="21"/>
                <w:szCs w:val="21"/>
                <w:highlight w:val="none"/>
                <w:u w:val="none"/>
                <w:lang w:val="en-US" w:eastAsia="zh-CN" w:bidi="ar"/>
              </w:rPr>
              <w:t>多中心科研协作平台</w:t>
            </w:r>
          </w:p>
        </w:tc>
        <w:tc>
          <w:tcPr>
            <w:tcW w:w="488" w:type="dxa"/>
            <w:noWrap w:val="0"/>
            <w:vAlign w:val="center"/>
          </w:tcPr>
          <w:p>
            <w:pPr>
              <w:widowControl/>
              <w:adjustRightInd w:val="0"/>
              <w:snapToGrid w:val="0"/>
              <w:spacing w:line="276" w:lineRule="auto"/>
              <w:jc w:val="center"/>
              <w:textAlignment w:val="center"/>
              <w:rPr>
                <w:rFonts w:hint="default" w:ascii="Arial" w:hAnsi="Arial" w:cs="Arial"/>
                <w:color w:val="auto"/>
                <w:kern w:val="0"/>
                <w:szCs w:val="21"/>
                <w:highlight w:val="none"/>
                <w:lang w:bidi="ar"/>
              </w:rPr>
            </w:pPr>
            <w:r>
              <w:rPr>
                <w:rFonts w:hint="default" w:ascii="Arial" w:hAnsi="Arial" w:cs="Arial"/>
                <w:color w:val="auto"/>
                <w:kern w:val="0"/>
                <w:szCs w:val="21"/>
                <w:highlight w:val="none"/>
                <w:lang w:bidi="ar"/>
              </w:rPr>
              <w:t>1</w:t>
            </w:r>
          </w:p>
        </w:tc>
        <w:tc>
          <w:tcPr>
            <w:tcW w:w="587" w:type="dxa"/>
            <w:noWrap w:val="0"/>
            <w:vAlign w:val="center"/>
          </w:tcPr>
          <w:p>
            <w:pPr>
              <w:widowControl/>
              <w:adjustRightInd w:val="0"/>
              <w:snapToGrid w:val="0"/>
              <w:spacing w:line="276" w:lineRule="auto"/>
              <w:jc w:val="center"/>
              <w:textAlignment w:val="center"/>
              <w:rPr>
                <w:rFonts w:hint="default" w:ascii="Arial" w:hAnsi="Arial" w:eastAsia="宋体" w:cs="Arial"/>
                <w:color w:val="auto"/>
                <w:kern w:val="0"/>
                <w:szCs w:val="21"/>
                <w:highlight w:val="none"/>
                <w:lang w:eastAsia="zh-CN" w:bidi="ar"/>
              </w:rPr>
            </w:pPr>
            <w:r>
              <w:rPr>
                <w:rFonts w:hint="default" w:ascii="Arial" w:hAnsi="Arial" w:cs="Arial"/>
                <w:color w:val="auto"/>
                <w:kern w:val="0"/>
                <w:szCs w:val="21"/>
                <w:highlight w:val="none"/>
                <w:lang w:val="en-US" w:eastAsia="zh-CN" w:bidi="ar"/>
              </w:rPr>
              <w:t>项</w:t>
            </w:r>
          </w:p>
        </w:tc>
        <w:tc>
          <w:tcPr>
            <w:tcW w:w="688" w:type="dxa"/>
            <w:noWrap w:val="0"/>
            <w:vAlign w:val="center"/>
          </w:tcPr>
          <w:p>
            <w:pPr>
              <w:widowControl/>
              <w:adjustRightInd w:val="0"/>
              <w:snapToGrid w:val="0"/>
              <w:spacing w:line="276" w:lineRule="auto"/>
              <w:jc w:val="center"/>
              <w:textAlignment w:val="center"/>
              <w:rPr>
                <w:rFonts w:hint="default" w:ascii="Arial" w:hAnsi="Arial" w:cs="Arial"/>
                <w:color w:val="auto"/>
                <w:szCs w:val="21"/>
                <w:highlight w:val="none"/>
              </w:rPr>
            </w:pPr>
            <w:r>
              <w:rPr>
                <w:rFonts w:hint="default" w:ascii="Arial" w:hAnsi="Arial" w:cs="Arial"/>
                <w:color w:val="auto"/>
                <w:szCs w:val="21"/>
                <w:highlight w:val="none"/>
              </w:rPr>
              <w:t>软件和信息技术服务业</w:t>
            </w:r>
          </w:p>
        </w:tc>
        <w:tc>
          <w:tcPr>
            <w:tcW w:w="688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2.1多中心科研协作平台</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2.11.多中心研究模式</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支持由多个研究中心的临床医生或科研人员按照同样的研究设计、为同一个研究目的、协同完成的整体多中心临床研究工作。支持在多中心临床研究中，临床科研由一个研究中心总体负责，担当牵头单位的角色，然后由多个研究中心的临床医生共同合作，按照同一个研究方案在不同的研究中心同时进行。多位临床医生可不受地点的限制，在不同科室、不同医院按同一试验方案同时进行临床研究，协同完成各项研究工作。</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2.12.多中心项目管理</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1.支持以卡片形式展示多中心科研项目，卡片展示内容包括项目名称、描述、创建人、类型、领域、时间、指标数、病例数，采集完成度等；</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项目列表：展示当前登录用户账号下所有相关项目卡片</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项目卡片：支持以卡片形式展示多中心科研项目，卡片展示内容包括项目名称、描述、创建人、类型、领域、时间、指标数、病例数，采集完成度等；</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项目查询：支持通过关键词、参与状态和项目状态等查询项目</w:t>
            </w:r>
          </w:p>
          <w:p>
            <w:pPr>
              <w:keepNext w:val="0"/>
              <w:keepLines w:val="0"/>
              <w:numPr>
                <w:ilvl w:val="0"/>
                <w:numId w:val="1"/>
              </w:numPr>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用户创建和编辑科研项目，项目信息包括名称、领域、描述、起止时间、注册号、伦理备案号等；支持上传项目附件；支持添加多个研究阶段，并为每个阶段添加多个不同的CRF；支持项目预览，预览状态下用户可添加病例数据、管理项目信息、添加项目成员和分组等；支持修改项目设计，项目发布后用户可锁定项目并修改项目设计，包括修改项目基本信息、项目阶段和CRF、成员等；支持动态扩展项目指标，用户无需重录项目数据即可动态扩展项目指标；</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项目创建：支持为不同的科研课题创建单独的科研项目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项目图标设置：支持为每个项目设置单独的项目图标</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项目信息：支持填写项目基本信息，包括项目名称、英文名称、项目领域、研究机构、项目描述、项目注册号、起止时间、伦理备案号</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自定义患者基本信息：支持在创建项目时根据课题需要自定义每个项目的患者基本信息</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项目附件：支持在创建项目时上传项目附件</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数据核查开关：支持在创建项目时开启或关闭数据核查模块。</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添加项目阶段：支持为每个项目添加不同的研究阶段，用户可编辑阶段名称</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删除项目阶段：支持删除已添加的项目阶段</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切换项目阶段：支持在不同阶段间进行切换，切换阶段时同步展示该阶段下的CRF</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在项目阶段中添加CRF:支持向每个阶段中添加不同的CRF，可以直接引用已设计好的CRF表单，也可自定义新的CRF表单</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在项目阶段中编辑CRF：支持在阶段中添加CRF后，通过编辑按钮跳转CRF设计器，对当前CRF进行编辑</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在项目阶段中删除CRF：支持删除已添加的CRF</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在项目阶段中预览CRF：支持在项目阶段中预览已添加的CRF</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在项目阶段中搜索CRF：支持在项目阶段中引用CRF时，通过关键字查询已创建的CRF模板</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项目预览：支持在项目发布前预览项目整体效果，用户可以添加患者、添加成员、添加分组等，项目预览状态仅创建人可见。</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项目发布：设置好项目后，用户可点击发布按钮对项目进行发布，发布后项目进入发布状态，项目成员可以查看项目内容，录入患者数据等。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修改项目设计：支持用户在项目发布后修改项目设计，修改项目设计时项目将对项目成员不可见，创建人可对项目的阶段、CRF等进行修改，修改后需重新发布项目</w:t>
            </w:r>
          </w:p>
          <w:p>
            <w:pPr>
              <w:keepNext w:val="0"/>
              <w:keepLines w:val="0"/>
              <w:numPr>
                <w:ilvl w:val="0"/>
                <w:numId w:val="1"/>
              </w:numPr>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 xml:space="preserve">支持病例筛选，条件包括姓名、联系方式、分组、标签、出生日期、创建人、状态；支持病例分组，用户可将病患分成病例组、对照组等不同研究组别，且可在不同组别间移动病例； </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患者列表：支持以列表形式展示项目内的患者数据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病例筛选：支持用户自定义筛选条件对项目病例进行筛选，条件包括姓名、联系方式、分组、标签、出生日期、创建人、状态等；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设置病例筛选逻辑：支持用户选择CRF中的字段进行筛选，并可设置筛选逻辑，包括等于、不等于、包含、不包含、大于、大于等于、小于、小于等于、不等于、范围内等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收藏病例筛选条件：支持收藏用户常用的病例筛选条件，方便用户快速调用</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打开收藏的病例筛选条件：支持用户打开收藏夹中的病例筛选条件，快速筛选病例</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设置默认病例筛选条件：支持用户将一组筛选条件设置为默认病例筛选条件，用户每次进入项目时将按改组条件进行默认筛选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排序：支持用户按创建时间、提交时间、更新时间的升序或降序排列患者</w:t>
            </w:r>
          </w:p>
          <w:p>
            <w:pPr>
              <w:keepNext w:val="0"/>
              <w:keepLines w:val="0"/>
              <w:numPr>
                <w:ilvl w:val="0"/>
                <w:numId w:val="1"/>
              </w:numPr>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▲支持隐私字段隐藏，CRF中的隐私字段可按权限控制显示还是隐藏；支持病例数据批量导入、导出；支持导出审批，项目成员导出数据时需向项目管理员发出申请，获批后方可导出数据；支持手工单个添加病患；</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cs="Arial"/>
                <w:color w:val="auto"/>
                <w:sz w:val="21"/>
                <w:szCs w:val="21"/>
                <w:highlight w:val="none"/>
                <w:lang w:eastAsia="zh-CN"/>
              </w:rPr>
              <w:t>隐私显示：支持隐私字段隐藏，CRF中的隐私字段可按权限控制显示还是隐藏；</w:t>
            </w:r>
            <w:r>
              <w:rPr>
                <w:rFonts w:hint="default" w:ascii="Arial" w:hAnsi="Arial" w:cs="Arial"/>
                <w:i w:val="0"/>
                <w:iCs w:val="0"/>
                <w:color w:val="auto"/>
                <w:kern w:val="0"/>
                <w:sz w:val="21"/>
                <w:szCs w:val="21"/>
                <w:highlight w:val="none"/>
                <w:u w:val="none"/>
                <w:lang w:val="en-US" w:eastAsia="zh-CN" w:bidi="ar"/>
              </w:rPr>
              <w:t>（</w:t>
            </w:r>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lang w:eastAsia="zh-CN"/>
              </w:rPr>
              <w:t>须提供成熟系统的功能截图或其他证明材料</w:t>
            </w:r>
            <w:r>
              <w:rPr>
                <w:rFonts w:hint="eastAsia" w:ascii="Arial" w:hAnsi="Arial" w:cs="Arial"/>
                <w:b/>
                <w:bCs/>
                <w:color w:val="auto"/>
                <w:sz w:val="21"/>
                <w:szCs w:val="21"/>
                <w:highlight w:val="none"/>
                <w:lang w:val="en-US" w:eastAsia="zh-CN"/>
              </w:rPr>
              <w:t>复印件加盖供应商公章</w:t>
            </w:r>
            <w:r>
              <w:rPr>
                <w:rFonts w:hint="default" w:ascii="Arial" w:hAnsi="Arial" w:cs="Arial"/>
                <w:i w:val="0"/>
                <w:iCs w:val="0"/>
                <w:color w:val="auto"/>
                <w:kern w:val="0"/>
                <w:sz w:val="21"/>
                <w:szCs w:val="21"/>
                <w:highlight w:val="none"/>
                <w:u w:val="none"/>
                <w:lang w:val="en-US" w:eastAsia="zh-CN" w:bidi="ar"/>
              </w:rPr>
              <w:t>）。</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浏览模式设置：支持简要模式、全字段模式、自定义字段模式等多种不同的视图模式进行查看</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设置默认浏览模式：支持用户设置默认浏览模式，用户每次进入项目时将按照默认浏览模式进行患者列表的展示。</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数据导出：支持用户导出患者数据，导出时用户可选择患者范围和导出指标</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数据导入:提供数据导入模板，支持用户批量导入数据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导出审批：支持导出审批，项目成员导出数据时需向项目管理员发出申请，获批后方可导出数据；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添加患者：支持手工单个添加病患；</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删除患者：支持录入员删除单个患者</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病例数据录入：支持病例数据手工录入、保存、校验、提交和撤回</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批量删除患者：支持项目管理员批量删除患者。</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移动患者分组:支持在病例列表视图中将已纳入的病例移动到不同的组别</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标记患者:支持为每个患者添加多个标签，可通过标签查询患者。</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项目锁定：创建人或项目管理员可以一键锁定项目</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2.13.多中心协作</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1.支持邀请多个协作中心共同参加项目；</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添加分中心：支持邀请分中心共同参与项目，被邀请的分中心管理员将接收到项目邀请函，接受邀请后即可进入项目</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禁用分中心：支持禁用分中心，禁用后分中心成员不能进入项目</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删除分中心：支持删除已添加的分中心，被删除的分中心所有成员都不能再进入项目</w:t>
            </w:r>
          </w:p>
          <w:p>
            <w:pPr>
              <w:keepNext w:val="0"/>
              <w:keepLines w:val="0"/>
              <w:numPr>
                <w:ilvl w:val="0"/>
                <w:numId w:val="2"/>
              </w:numPr>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支持设定各中心权限；</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设定分中心管理员权限：创建人或项目管理员可对分中心管理员设置相关权限</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设定分中心成员权限：分中心管理员对为本中心成员设定录入员、核查员的权限</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val="en-US" w:eastAsia="zh-CN"/>
              </w:rPr>
              <w:t>3.</w:t>
            </w:r>
            <w:r>
              <w:rPr>
                <w:rFonts w:hint="default" w:ascii="Arial" w:hAnsi="Arial" w:cs="Arial"/>
                <w:color w:val="auto"/>
                <w:sz w:val="21"/>
                <w:szCs w:val="21"/>
                <w:highlight w:val="none"/>
                <w:lang w:eastAsia="zh-CN"/>
              </w:rPr>
              <w:t>支持为每个中心设置预期收集数据目标；</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设置预期目标数：支持为分中心设置预期收集患者目标数量</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4.支持根据中心名称、状态搜索中心列表；</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5.支持多级核查，是否核查可选可配；</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多级核查：支持分中心内部核查、主中心核查、交叉核查等多级核查关系</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核查任务列表：支持以列表形式展示所有核查任务，并根据用户权限，显示或隐藏核查操作按钮。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6.支持对CRF字段质疑，并对数据处理流程记录可追溯；</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提交核查:录入员填写完病例数据后，需提交数据到核查员，数据进入核查流程</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病例通过/退回：核查员在对所有字段审核后，如病例中不包含被质疑的字段，核查员可将该病例审核通过。如病例中包含有被质疑的字段，核查员可将该病例退回给录入员进行修改。</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数据修改：录入员对质疑数据可以进行修改，也可保持不变，完成操作后可重新提交给监察员进行二次监察</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二次核查：对修改过的数据，监察员需要进行二次核查</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核查日志：支持记录质疑、修改过程，方便项目归档后追溯</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核查任务查询：系统支持使用患者姓名、住院号或任务状态查询核查任务</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核查沟通：系统支持核查员与录入员在系统内就某个字段的质疑进行沟通</w:t>
            </w:r>
          </w:p>
          <w:p>
            <w:pPr>
              <w:keepNext w:val="0"/>
              <w:keepLines w:val="0"/>
              <w:numPr>
                <w:ilvl w:val="0"/>
                <w:numId w:val="3"/>
              </w:numPr>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支持设定中心间核查逻辑；</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核查关系设置：当有多个机构参与时，可设置不同机构之间的核查与被核查关系。</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8.支持任务批量核查；</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批量提交核查：系统支持批量提交核查任务</w:t>
            </w:r>
          </w:p>
          <w:p>
            <w:pPr>
              <w:keepNext w:val="0"/>
              <w:keepLines w:val="0"/>
              <w:suppressLineNumbers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批量核查通过：系统支持批量核查通过</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2.14.多中心项目看板</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1.支持按照中心、分组、年龄、地域、项目进度等多维度统计项目数据；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项目看板展示：支持按照中心、分组、年龄、地域、项目进度等多维度统计项目数据，并以数据可视化图形的形式进行展示</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项目看板主题：支持在同一项目中设置多个主题的项目看板，用户可在不同主题间切换</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2.统计图形可交互图形交互：支持各统计图形间进行联动和下钻交互</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3.支持统计维度配置；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4.支持统计数据下载，保存为图片；数据下载：支持将当前统计图形对应的数据下载为excel</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保存图片：支持下载当前统计图形为本地图片</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2.15.项目成员管理</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1.支持添加/删除项目成员；</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添加项目成员：支持项目管理员和分中心管理员添加成员到项目中</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删除项目成员：支持项目管理员和分中心管理员删除已添加的项目成员</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2.支持为项目成员分配不同的项目角色，如录入员、核查员、监察员等，不同角色拥有不同的项目权限；</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3. 多中心项目支持根据数据权限查看参加项目成员；</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2.16.CRF管理</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支持展示和管理所有CRF模板，可进行查询、新增、预览、编辑、删除、复制和备注等操作。</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CRF列表：支持以列表展示所有CRF模板</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CRF查询：支持用户根据关键字、模板类型或研究领域进行查询</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CRF创建：支持用户创建新的CRF模板</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CRF预览：支持用户在CRF列表页快速预览CRF设计</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CRF复制：支持用户复制已有CRF</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CRF编辑：支持用户对已有模板进行反复编辑</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CRF删除：支持用户删除已有模板</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1.支持展示和编辑CRF表单；</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2.支持多种题目基础元件，</w:t>
            </w:r>
            <w:r>
              <w:rPr>
                <w:rFonts w:hint="default" w:ascii="Arial" w:hAnsi="Arial" w:cs="Arial"/>
                <w:color w:val="auto"/>
                <w:sz w:val="21"/>
                <w:szCs w:val="21"/>
                <w:highlight w:val="none"/>
                <w:lang w:val="en-US" w:eastAsia="zh-CN"/>
              </w:rPr>
              <w:t>支持不少于以下7种题型，</w:t>
            </w:r>
            <w:r>
              <w:rPr>
                <w:rFonts w:hint="default" w:ascii="Arial" w:hAnsi="Arial" w:cs="Arial"/>
                <w:color w:val="auto"/>
                <w:sz w:val="21"/>
                <w:szCs w:val="21"/>
                <w:highlight w:val="none"/>
                <w:lang w:eastAsia="zh-CN"/>
              </w:rPr>
              <w:t>包括填空题、简答题、下拉列表题、单选题、多选题、日期题、数字题等等；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题目元件：支持多种题目基础元件，包括填空题、简答题、下拉列表题、单选题、多选题、日期题、数字题等、编程题、文件上传题、图片上传题等；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题目元件属性设置：每种题目元件都可进行属性设置，包括题目名称、必填、隐私、关联、分数、提示等</w:t>
            </w:r>
          </w:p>
          <w:p>
            <w:pPr>
              <w:keepNext w:val="0"/>
              <w:keepLines w:val="0"/>
              <w:numPr>
                <w:ilvl w:val="0"/>
                <w:numId w:val="2"/>
              </w:numPr>
              <w:suppressLineNumbers w:val="0"/>
              <w:bidi w:val="0"/>
              <w:spacing w:before="0" w:beforeAutospacing="0" w:after="0" w:afterAutospacing="0"/>
              <w:ind w:left="575" w:leftChars="0" w:right="0" w:hanging="575" w:firstLineChars="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支持创建题组：用户可将多个题目编排入一个题组，对题组内题目进</w:t>
            </w:r>
          </w:p>
          <w:p>
            <w:pPr>
              <w:keepNext w:val="0"/>
              <w:keepLines w:val="0"/>
              <w:numPr>
                <w:ilvl w:val="0"/>
                <w:numId w:val="0"/>
              </w:numPr>
              <w:suppressLineNumbers w:val="0"/>
              <w:bidi w:val="0"/>
              <w:spacing w:before="0" w:beforeAutospacing="0" w:after="0" w:afterAutospacing="0"/>
              <w:ind w:leftChars="0" w:right="0" w:rightChars="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行独立排版；</w:t>
            </w:r>
          </w:p>
          <w:p>
            <w:pPr>
              <w:keepNext w:val="0"/>
              <w:keepLines w:val="0"/>
              <w:numPr>
                <w:ilvl w:val="0"/>
                <w:numId w:val="2"/>
              </w:numPr>
              <w:suppressLineNumbers w:val="0"/>
              <w:bidi w:val="0"/>
              <w:spacing w:before="0" w:beforeAutospacing="0" w:after="0" w:afterAutospacing="0"/>
              <w:ind w:left="575" w:leftChars="0" w:right="0" w:hanging="575" w:firstLineChars="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题组元件：用户可将多个题目编排入一个题组</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题组元件属性设置：支持用户对题组元件属性设置，包括题组名称、排列方式等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val="en-US" w:eastAsia="zh-CN"/>
              </w:rPr>
              <w:t>5</w:t>
            </w:r>
            <w:r>
              <w:rPr>
                <w:rFonts w:hint="default" w:ascii="Arial" w:hAnsi="Arial" w:cs="Arial"/>
                <w:color w:val="auto"/>
                <w:sz w:val="21"/>
                <w:szCs w:val="21"/>
                <w:highlight w:val="none"/>
                <w:lang w:eastAsia="zh-CN"/>
              </w:rPr>
              <w:t>.提供系统预置题：用户可快速选取系统预置中已创建好的题目进行CRF创建；</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6. ▲支持字段编程，可按用户定义的公式对多个题目进行逻辑计算；题目关联：支持对编程字段所需的题目进行关联设置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颜色设置：支持对编程字段的边框和背景色进行设置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字体设置：支持对编程字段输出的数据字体大小、颜色、加粗进行设置。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文案设置：支持对编程字段输出的数据结果配置对应的文案</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w:t>
            </w:r>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lang w:eastAsia="zh-CN"/>
              </w:rPr>
              <w:t>须提供成熟系统的功能截图或其他证明材料</w:t>
            </w:r>
            <w:r>
              <w:rPr>
                <w:rFonts w:hint="eastAsia" w:ascii="Arial" w:hAnsi="Arial" w:cs="Arial"/>
                <w:b/>
                <w:bCs/>
                <w:color w:val="auto"/>
                <w:sz w:val="21"/>
                <w:szCs w:val="21"/>
                <w:highlight w:val="none"/>
                <w:lang w:val="en-US" w:eastAsia="zh-CN"/>
              </w:rPr>
              <w:t>复印件加盖供应商公章</w:t>
            </w:r>
            <w:r>
              <w:rPr>
                <w:rFonts w:hint="default" w:ascii="Arial" w:hAnsi="Arial" w:cs="Arial"/>
                <w:color w:val="auto"/>
                <w:sz w:val="21"/>
                <w:szCs w:val="21"/>
                <w:highlight w:val="none"/>
                <w:lang w:eastAsia="zh-CN"/>
              </w:rPr>
              <w:t>）。</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7. ▲支持用户直接拖拽题目或题组进行排版（</w:t>
            </w:r>
            <w:r>
              <w:rPr>
                <w:rFonts w:hint="eastAsia" w:ascii="Arial" w:hAnsi="Arial" w:cs="Arial"/>
                <w:b/>
                <w:bCs/>
                <w:color w:val="auto"/>
                <w:sz w:val="21"/>
                <w:szCs w:val="21"/>
                <w:highlight w:val="none"/>
                <w:lang w:eastAsia="zh-CN"/>
              </w:rPr>
              <w:t>供应商</w:t>
            </w:r>
            <w:r>
              <w:rPr>
                <w:rFonts w:hint="default" w:ascii="Arial" w:hAnsi="Arial" w:eastAsia="宋体" w:cs="Arial"/>
                <w:b/>
                <w:bCs/>
                <w:color w:val="auto"/>
                <w:sz w:val="21"/>
                <w:szCs w:val="21"/>
                <w:highlight w:val="none"/>
                <w:lang w:eastAsia="zh-CN"/>
              </w:rPr>
              <w:t>须提供成熟系统的功能截图或其他证明材料</w:t>
            </w:r>
            <w:r>
              <w:rPr>
                <w:rFonts w:hint="eastAsia" w:ascii="Arial" w:hAnsi="Arial" w:cs="Arial"/>
                <w:b/>
                <w:bCs/>
                <w:color w:val="auto"/>
                <w:sz w:val="21"/>
                <w:szCs w:val="21"/>
                <w:highlight w:val="none"/>
                <w:lang w:val="en-US" w:eastAsia="zh-CN"/>
              </w:rPr>
              <w:t>复印件加盖供应商公章</w:t>
            </w:r>
            <w:r>
              <w:rPr>
                <w:rFonts w:hint="default" w:ascii="Arial" w:hAnsi="Arial" w:cs="Arial"/>
                <w:color w:val="auto"/>
                <w:sz w:val="21"/>
                <w:szCs w:val="21"/>
                <w:highlight w:val="none"/>
                <w:lang w:eastAsia="zh-CN"/>
              </w:rPr>
              <w:t>）；</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8.支持CRF预览，用户可预览CRF，检查CRF设计；</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9.支持收藏夹，用户可将设计好的题目或题组加入收藏夹以方便随时调用；</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10.支持设置题目之间关联属性启用、禁用：支持设置题目默认状态，包括默认启用和默认禁用</w:t>
            </w:r>
          </w:p>
          <w:p>
            <w:pPr>
              <w:keepNext w:val="0"/>
              <w:keepLines w:val="0"/>
              <w:suppressLineNumbers w:val="0"/>
              <w:bidi w:val="0"/>
              <w:spacing w:before="0" w:beforeAutospacing="0" w:after="0" w:afterAutospacing="0"/>
              <w:ind w:left="0" w:right="0"/>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cs="Arial"/>
                <w:color w:val="auto"/>
                <w:sz w:val="21"/>
                <w:szCs w:val="21"/>
                <w:highlight w:val="none"/>
                <w:lang w:eastAsia="zh-CN"/>
              </w:rPr>
              <w:t>条件设置：支持设置题目联动时所需满足的条件</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2.17.平台管理</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用户可管理通知公告</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管理员可管理分中心信息，支持新增、编辑、删除、禁用分中心；</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新增分中心：管理员可新增分中心，选择上级中心，设置分中心名称等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编辑分中心：管理员可编辑分中心，选择上级中心，设置分中心名称等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删除分中心:管理员可删除已有分中心</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禁用分中心：管理员可禁用已有分中心</w:t>
            </w: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p>
          <w:p>
            <w:pPr>
              <w:keepNext w:val="0"/>
              <w:keepLines w:val="0"/>
              <w:widowControl/>
              <w:suppressLineNumbers w:val="0"/>
              <w:spacing w:before="0" w:beforeAutospacing="0" w:after="0" w:afterAutospacing="0"/>
              <w:ind w:left="0" w:right="0"/>
              <w:jc w:val="left"/>
              <w:textAlignment w:val="top"/>
              <w:rPr>
                <w:rFonts w:hint="default" w:ascii="Arial" w:hAnsi="Arial" w:eastAsia="宋体" w:cs="Arial"/>
                <w:i w:val="0"/>
                <w:iCs w:val="0"/>
                <w:color w:val="auto"/>
                <w:kern w:val="0"/>
                <w:sz w:val="21"/>
                <w:szCs w:val="21"/>
                <w:highlight w:val="none"/>
                <w:u w:val="none"/>
                <w:lang w:val="en-US" w:eastAsia="zh-CN" w:bidi="ar"/>
              </w:rPr>
            </w:pPr>
            <w:r>
              <w:rPr>
                <w:rFonts w:hint="default" w:ascii="Arial" w:hAnsi="Arial" w:eastAsia="宋体" w:cs="Arial"/>
                <w:i w:val="0"/>
                <w:iCs w:val="0"/>
                <w:color w:val="auto"/>
                <w:kern w:val="0"/>
                <w:sz w:val="21"/>
                <w:szCs w:val="21"/>
                <w:highlight w:val="none"/>
                <w:u w:val="none"/>
                <w:lang w:val="en-US" w:eastAsia="zh-CN" w:bidi="ar"/>
              </w:rPr>
              <w:t>2.18.系统管理</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支持管理员对本中心科室进行管理，包括搜索，新增、修改和删除；</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新增科室：分中心管理员为本机构新增科室，设置上级科室、科室名称、负责人等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修改科室:分中心管理员为本机构编辑科室，设置上级科室、科室名称、负责人等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删除科室：分中心管理员可删除已添加的科室</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搜索科室：分中心管理员可通过关键字搜索已有科室</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支持管理员对本中心岗位进行管理，包括搜索，新增、修改和删除；新增岗位：分中心管理员为本机构新增岗位，设置岗位名称、岗位编码、岗位顺序等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修改岗位：分中心管理员为本机构修改岗位，设置岗位名称、岗位编码、岗位顺序等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删除岗位：分中心管理员可删除已添加的岗位</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搜索岗位：分中心管理员可通过关键字搜索已有岗位</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支持管理员对本中心角色进行管理，包括搜索，新增、修改、删除、启用/禁用；新增角色：分中心管理员为本机构新增角色，设置角色名称、权限字符、显示顺序等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修改角色：分中心管理员为本机构修改角色，设置角色名称、权限字符、显示顺序等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删除角色：分中心管理员可删除已添加的角色</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搜索角色：分中心管理员可通过关键字搜索已有角色</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支持管理员为角色分配功能权限，用户具有相应角色才能使用对应功能；</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支持管理员为角色分配数据权限，用户具有相应角色才能查看、修改或删除对应数据；</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支持设定不同等级，设置不同等级用户创建项目、添加患者等权益；新增等级：分中心管理员为本机构新增等级，设置等级名称、显示顺序、创建项目数量、添加患者数量等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修改等级：分中心管理员为本机构修改等级，设置等级名称、显示顺序、创建项目数量、添加患者数量等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删除等级：分中心管理员可删除已添加的等级</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搜索等级：分中心管理员可通过关键字搜索已有等级</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支持管理员对本中心用户进行管理，包括搜索，新增、修改、删除和禁用；新增用户：分中心管理员为本机构新增用户，设置用户名称、性别、手机号、邮箱、科室、技术职称、岗位等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修改用户：分中心管理员为本机构修改用户，设置用户名称、性别、手机号、邮箱、科室、技术职称、岗位等</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删除用户：分中心管理员可删除已添加的用户</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lang w:eastAsia="zh-CN"/>
              </w:rPr>
            </w:pPr>
            <w:r>
              <w:rPr>
                <w:rFonts w:hint="default" w:ascii="Arial" w:hAnsi="Arial" w:cs="Arial"/>
                <w:color w:val="auto"/>
                <w:sz w:val="21"/>
                <w:szCs w:val="21"/>
                <w:highlight w:val="none"/>
                <w:lang w:eastAsia="zh-CN"/>
              </w:rPr>
              <w:t>搜索用户：分中心管理员可通过关键字搜索已有用户</w:t>
            </w:r>
          </w:p>
          <w:p>
            <w:pPr>
              <w:keepNext w:val="0"/>
              <w:keepLines w:val="0"/>
              <w:suppressLineNumbers w:val="0"/>
              <w:bidi w:val="0"/>
              <w:spacing w:before="0" w:beforeAutospacing="0" w:after="0" w:afterAutospacing="0"/>
              <w:ind w:left="0" w:right="0"/>
              <w:rPr>
                <w:rFonts w:hint="default" w:ascii="Arial" w:hAnsi="Arial" w:cs="Arial"/>
                <w:color w:val="auto"/>
                <w:sz w:val="21"/>
                <w:szCs w:val="21"/>
                <w:highlight w:val="none"/>
              </w:rPr>
            </w:pPr>
            <w:r>
              <w:rPr>
                <w:rFonts w:hint="default" w:ascii="Arial" w:hAnsi="Arial" w:cs="Arial"/>
                <w:color w:val="auto"/>
                <w:sz w:val="21"/>
                <w:szCs w:val="21"/>
                <w:highlight w:val="none"/>
                <w:lang w:eastAsia="zh-CN"/>
              </w:rPr>
              <w:t>支持为用户重置密码。</w:t>
            </w:r>
          </w:p>
        </w:tc>
      </w:tr>
      <w:bookmarkEnd w:id="21"/>
    </w:tbl>
    <w:p>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三、商务要求</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1．报价要求</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本次报价须为人民币报价，包含产品价、服务的价格、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2.合同签订日期</w:t>
      </w:r>
    </w:p>
    <w:p>
      <w:pPr>
        <w:spacing w:line="360" w:lineRule="auto"/>
        <w:rPr>
          <w:rFonts w:hint="default" w:ascii="Arial" w:hAnsi="Arial" w:cs="Arial"/>
          <w:i/>
          <w:color w:val="auto"/>
          <w:sz w:val="28"/>
          <w:szCs w:val="28"/>
          <w:highlight w:val="none"/>
        </w:rPr>
      </w:pPr>
      <w:r>
        <w:rPr>
          <w:rFonts w:hint="default" w:ascii="Arial" w:hAnsi="Arial" w:cs="Arial"/>
          <w:color w:val="auto"/>
          <w:szCs w:val="21"/>
          <w:highlight w:val="none"/>
        </w:rPr>
        <w:t>成交通知书发出后</w:t>
      </w:r>
      <w:r>
        <w:rPr>
          <w:rFonts w:hint="eastAsia" w:ascii="Arial" w:hAnsi="Arial" w:cs="Arial"/>
          <w:color w:val="auto"/>
          <w:szCs w:val="21"/>
          <w:highlight w:val="none"/>
          <w:lang w:val="en-US" w:eastAsia="zh-CN"/>
        </w:rPr>
        <w:t>25</w:t>
      </w:r>
      <w:r>
        <w:rPr>
          <w:rFonts w:hint="default" w:ascii="Arial" w:hAnsi="Arial" w:cs="Arial"/>
          <w:color w:val="auto"/>
          <w:szCs w:val="21"/>
          <w:highlight w:val="none"/>
        </w:rPr>
        <w:t>日内。</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3.交货（实施）时间</w:t>
      </w:r>
    </w:p>
    <w:p>
      <w:pPr>
        <w:spacing w:line="360" w:lineRule="auto"/>
        <w:rPr>
          <w:rFonts w:hint="default" w:ascii="Arial" w:hAnsi="Arial" w:eastAsia="宋体" w:cs="Arial"/>
          <w:color w:val="auto"/>
          <w:szCs w:val="21"/>
          <w:highlight w:val="none"/>
          <w:lang w:eastAsia="zh-CN"/>
        </w:rPr>
      </w:pPr>
      <w:r>
        <w:rPr>
          <w:rFonts w:hint="default" w:ascii="Arial" w:hAnsi="Arial" w:cs="Arial"/>
          <w:color w:val="auto"/>
          <w:kern w:val="0"/>
          <w:szCs w:val="21"/>
          <w:highlight w:val="none"/>
          <w:lang w:eastAsia="zh-CN"/>
        </w:rPr>
        <w:t>自签订合同之日起12个月内完成系统的部署安装及调试工作，11个月内项目进入试运行阶段，试运行1个月后开展验收工作。</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4.交货地点或服务地点</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桂林市内采购人指定地点。</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5.验收标准</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采购标的需执行国家标准、行业标准、地方标准或者其他标准、规范</w:t>
      </w:r>
      <w:r>
        <w:rPr>
          <w:rFonts w:hint="eastAsia" w:ascii="Arial" w:hAnsi="Arial" w:cs="Arial"/>
          <w:color w:val="auto"/>
          <w:szCs w:val="21"/>
          <w:highlight w:val="none"/>
          <w:lang w:eastAsia="zh-CN"/>
        </w:rPr>
        <w:t>。</w:t>
      </w:r>
      <w:r>
        <w:rPr>
          <w:rFonts w:hint="default" w:ascii="Arial" w:hAnsi="Arial" w:cs="Arial"/>
          <w:color w:val="auto"/>
          <w:szCs w:val="21"/>
          <w:highlight w:val="none"/>
        </w:rPr>
        <w:t>详见采购文件合同主要条款格式部分</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7.付款方式、时间及条件</w:t>
      </w:r>
    </w:p>
    <w:p>
      <w:pPr>
        <w:spacing w:line="360" w:lineRule="auto"/>
        <w:rPr>
          <w:rFonts w:hint="default" w:ascii="Arial" w:hAnsi="Arial" w:cs="Arial"/>
          <w:b/>
          <w:bCs/>
          <w:color w:val="auto"/>
          <w:szCs w:val="21"/>
          <w:highlight w:val="none"/>
        </w:rPr>
      </w:pPr>
      <w:r>
        <w:rPr>
          <w:rFonts w:hint="default" w:ascii="Arial" w:hAnsi="Arial" w:cs="Arial"/>
          <w:b/>
          <w:bCs/>
          <w:color w:val="auto"/>
          <w:szCs w:val="21"/>
          <w:highlight w:val="none"/>
        </w:rPr>
        <w:t>（1）合同签订完成后，采购人支付合同总价30%给</w:t>
      </w:r>
      <w:r>
        <w:rPr>
          <w:rFonts w:hint="eastAsia" w:ascii="Arial" w:hAnsi="Arial" w:cs="Arial"/>
          <w:b/>
          <w:bCs/>
          <w:color w:val="auto"/>
          <w:szCs w:val="21"/>
          <w:highlight w:val="none"/>
          <w:lang w:val="en-US" w:eastAsia="zh-CN"/>
        </w:rPr>
        <w:t>成交供应商</w:t>
      </w:r>
      <w:r>
        <w:rPr>
          <w:rFonts w:hint="default" w:ascii="Arial" w:hAnsi="Arial" w:cs="Arial"/>
          <w:b/>
          <w:bCs/>
          <w:color w:val="auto"/>
          <w:szCs w:val="21"/>
          <w:highlight w:val="none"/>
        </w:rPr>
        <w:t>；通过采购人组织的功能性验收合格后，凭正式发票采购人在15个工作日内支付合同总价的70%给</w:t>
      </w:r>
      <w:r>
        <w:rPr>
          <w:rFonts w:hint="eastAsia" w:ascii="Arial" w:hAnsi="Arial" w:cs="Arial"/>
          <w:b/>
          <w:bCs/>
          <w:color w:val="auto"/>
          <w:szCs w:val="21"/>
          <w:highlight w:val="none"/>
          <w:lang w:val="en-US" w:eastAsia="zh-CN"/>
        </w:rPr>
        <w:t>成交供应商</w:t>
      </w:r>
      <w:r>
        <w:rPr>
          <w:rFonts w:hint="default" w:ascii="Arial" w:hAnsi="Arial" w:cs="Arial"/>
          <w:b/>
          <w:bCs/>
          <w:color w:val="auto"/>
          <w:szCs w:val="21"/>
          <w:highlight w:val="none"/>
        </w:rPr>
        <w:t>。</w:t>
      </w:r>
    </w:p>
    <w:p>
      <w:pPr>
        <w:spacing w:line="360" w:lineRule="auto"/>
        <w:rPr>
          <w:rFonts w:hint="default" w:ascii="Arial" w:hAnsi="Arial" w:cs="Arial"/>
          <w:b/>
          <w:bCs/>
          <w:color w:val="auto"/>
          <w:szCs w:val="21"/>
          <w:highlight w:val="none"/>
        </w:rPr>
      </w:pPr>
      <w:r>
        <w:rPr>
          <w:rFonts w:hint="default" w:ascii="Arial" w:hAnsi="Arial" w:cs="Arial"/>
          <w:b/>
          <w:bCs/>
          <w:color w:val="auto"/>
          <w:szCs w:val="21"/>
          <w:highlight w:val="none"/>
        </w:rPr>
        <w:t>（2）以上支付同时遵从财政部门的相关规定，本合同的付款时间为采购人向财政支付部门提出支付申请的时间（不含政府财政支付部门审查的时间）。</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8.履约保证金</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详见采购文件合同主要条款格式部分</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9.售后服务要求</w:t>
      </w:r>
    </w:p>
    <w:p>
      <w:pPr>
        <w:spacing w:line="360" w:lineRule="auto"/>
        <w:rPr>
          <w:rFonts w:hint="default" w:ascii="Arial" w:hAnsi="Arial" w:cs="Arial"/>
          <w:b/>
          <w:bCs/>
          <w:color w:val="auto"/>
          <w:szCs w:val="21"/>
          <w:highlight w:val="none"/>
        </w:rPr>
      </w:pPr>
      <w:r>
        <w:rPr>
          <w:rFonts w:hint="default" w:ascii="Arial" w:hAnsi="Arial" w:cs="Arial"/>
          <w:color w:val="auto"/>
          <w:szCs w:val="21"/>
          <w:highlight w:val="none"/>
        </w:rPr>
        <w:t>（1）维护（升级）期限：自验收合格之日起不少于壹年。维护（升级）期限满后，成交供应商每年按照不高于</w:t>
      </w:r>
      <w:r>
        <w:rPr>
          <w:rFonts w:hint="eastAsia" w:ascii="Arial" w:hAnsi="Arial" w:cs="Arial"/>
          <w:color w:val="auto"/>
          <w:szCs w:val="21"/>
          <w:highlight w:val="none"/>
          <w:lang w:val="en-US" w:eastAsia="zh-CN"/>
        </w:rPr>
        <w:t>成交</w:t>
      </w:r>
      <w:r>
        <w:rPr>
          <w:rFonts w:hint="default" w:ascii="Arial" w:hAnsi="Arial" w:cs="Arial"/>
          <w:color w:val="auto"/>
          <w:szCs w:val="21"/>
          <w:highlight w:val="none"/>
        </w:rPr>
        <w:t>金额的15%向采购人收取服务费。</w:t>
      </w:r>
      <w:r>
        <w:rPr>
          <w:rFonts w:hint="default" w:ascii="Arial" w:hAnsi="Arial" w:cs="Arial"/>
          <w:b/>
          <w:bCs/>
          <w:color w:val="auto"/>
          <w:szCs w:val="21"/>
          <w:highlight w:val="none"/>
        </w:rPr>
        <w:t>（提供承诺函原件，格式自拟</w:t>
      </w:r>
      <w:r>
        <w:rPr>
          <w:rFonts w:hint="eastAsia" w:ascii="Arial" w:hAnsi="Arial" w:cs="Arial"/>
          <w:b/>
          <w:bCs/>
          <w:color w:val="auto"/>
          <w:szCs w:val="21"/>
          <w:highlight w:val="none"/>
          <w:lang w:eastAsia="zh-CN"/>
        </w:rPr>
        <w:t>，</w:t>
      </w:r>
      <w:r>
        <w:rPr>
          <w:rFonts w:hint="eastAsia" w:ascii="Arial" w:hAnsi="Arial" w:cs="Arial"/>
          <w:b/>
          <w:bCs/>
          <w:color w:val="auto"/>
          <w:szCs w:val="21"/>
          <w:highlight w:val="none"/>
          <w:lang w:val="en-US" w:eastAsia="zh-CN"/>
        </w:rPr>
        <w:t>承诺函中须明确具体服务费比例</w:t>
      </w:r>
      <w:r>
        <w:rPr>
          <w:rFonts w:hint="default" w:ascii="Arial" w:hAnsi="Arial" w:cs="Arial"/>
          <w:b/>
          <w:bCs/>
          <w:color w:val="auto"/>
          <w:szCs w:val="21"/>
          <w:highlight w:val="none"/>
        </w:rPr>
        <w:t>）</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（2）保证应用系统7*24小时稳定运行，提供5*8小时无限次的远程技术支持服务，在接到采购人通知后2小时内响应，重大故障24小时之内排除；一般故障两个工作日内排除。</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（3）提供应用系统各业务模块日常维护，保证各业务模块功能正常使用，数据准确显示。保障平台和各业务系统接口数据正常交互。</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（4）对第三方安全厂商漏洞扫描的中、高危漏洞，及时加固和封堵，保障网络安全。配合采购人实施本平台的信息系统安全等级保护相关工作。（费用包含在投标报价中）</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（5）系统维护（升级）期内，能够安排技术人员提供技术和业务支持，关键时间段提供现场技术保障和维护服务。</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（6）培训服务要求： </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维护（升级）期内，</w:t>
      </w:r>
      <w:r>
        <w:rPr>
          <w:rFonts w:hint="eastAsia" w:ascii="Arial" w:hAnsi="Arial" w:cs="Arial"/>
          <w:color w:val="auto"/>
          <w:szCs w:val="21"/>
          <w:highlight w:val="none"/>
          <w:lang w:eastAsia="zh-CN"/>
        </w:rPr>
        <w:t>成交供应商</w:t>
      </w:r>
      <w:r>
        <w:rPr>
          <w:rFonts w:hint="default" w:ascii="Arial" w:hAnsi="Arial" w:cs="Arial"/>
          <w:color w:val="auto"/>
          <w:szCs w:val="21"/>
          <w:highlight w:val="none"/>
        </w:rPr>
        <w:t>需规划制定系统的运行与维护策略和具体方案，对售后服务及系统维护的技术责任、条件和支持体系作明确说明。在项目的不同阶段要求提供相关的培训课程，面向系统开发和管理员、各级领导、各类用户等不同群体提供系统化、定制化和有针对性的培训，具体要求如下：</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①培训内容应针对系统管理人员和各类用户分别进行。通过培训能使各类用户独立进行相应应用与管理、故障处理、日常维护等工作，确保系统能正常安全运行。</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②培训计划包括培训项目、人数、地点等详细内容。</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③培训人员应是供应商的正式雇员或专业的授权培训机构雇员。如果使用第三方培训机构，供应商应在</w:t>
      </w:r>
      <w:r>
        <w:rPr>
          <w:rFonts w:hint="eastAsia" w:ascii="Arial" w:hAnsi="Arial" w:cs="Arial"/>
          <w:color w:val="auto"/>
          <w:szCs w:val="21"/>
          <w:highlight w:val="none"/>
          <w:lang w:eastAsia="zh-CN"/>
        </w:rPr>
        <w:t>响应文件</w:t>
      </w:r>
      <w:r>
        <w:rPr>
          <w:rFonts w:hint="default" w:ascii="Arial" w:hAnsi="Arial" w:cs="Arial"/>
          <w:color w:val="auto"/>
          <w:szCs w:val="21"/>
          <w:highlight w:val="none"/>
        </w:rPr>
        <w:t>中提供培训机构的名称，并能根据情况调整。</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（7）供应商应于</w:t>
      </w:r>
      <w:r>
        <w:rPr>
          <w:rFonts w:hint="eastAsia" w:ascii="Arial" w:hAnsi="Arial" w:cs="Arial"/>
          <w:color w:val="auto"/>
          <w:szCs w:val="21"/>
          <w:highlight w:val="none"/>
          <w:lang w:val="en-US" w:eastAsia="zh-CN"/>
        </w:rPr>
        <w:t>响应</w:t>
      </w:r>
      <w:r>
        <w:rPr>
          <w:rFonts w:hint="default" w:ascii="Arial" w:hAnsi="Arial" w:cs="Arial"/>
          <w:color w:val="auto"/>
          <w:szCs w:val="21"/>
          <w:highlight w:val="none"/>
        </w:rPr>
        <w:t>文件中</w:t>
      </w:r>
      <w:r>
        <w:rPr>
          <w:rFonts w:hint="eastAsia" w:ascii="Arial" w:hAnsi="Arial" w:cs="Arial"/>
          <w:color w:val="auto"/>
          <w:szCs w:val="21"/>
          <w:highlight w:val="none"/>
          <w:lang w:val="en-US" w:eastAsia="zh-CN"/>
        </w:rPr>
        <w:t>提供</w:t>
      </w:r>
      <w:r>
        <w:rPr>
          <w:rFonts w:hint="default" w:ascii="Arial" w:hAnsi="Arial" w:cs="Arial"/>
          <w:color w:val="auto"/>
          <w:szCs w:val="21"/>
          <w:highlight w:val="none"/>
        </w:rPr>
        <w:t>所投软件产品的测试承诺函、项目实施及质量和工期承诺函、售后服务承诺函等原件。</w:t>
      </w:r>
    </w:p>
    <w:p>
      <w:pPr>
        <w:spacing w:line="360" w:lineRule="auto"/>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三、成果交付要求：</w:t>
      </w:r>
    </w:p>
    <w:p>
      <w:pPr>
        <w:spacing w:line="360" w:lineRule="auto"/>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在本项目的开发过程中和交付使用后，要求各个阶段有各种成果和文档资料。要求将全面、规范的成果和文档资料交付给采购人，且应提供明确的交付清单（交付的所有成果应包括成果的电子化版本）。同时，成果和文档资料符合软件工程的相关要求。要交付的成果和文档资料主要包括但不限于以下部分：</w:t>
      </w:r>
    </w:p>
    <w:p>
      <w:pPr>
        <w:spacing w:line="360" w:lineRule="auto"/>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①执行代码和源代码：保证系统正常运行的所有执行代码，以及项目开发过程中为用户方定制功能的源代码（成交公司或第三方已有产品的源代码除外）。</w:t>
      </w:r>
    </w:p>
    <w:p>
      <w:pPr>
        <w:spacing w:line="360" w:lineRule="auto"/>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②技术文档：包括项目开发实施中的各种技术文档，如实施环境配置说明、需求调研说明书或报告、系统（产品）设计说明、数据库字典说明、系统接口说明书、用户使用手册、系统维护说明、系统管理员手册、系统培训资料以及有关系统接口的技术说明等。</w:t>
      </w:r>
    </w:p>
    <w:p>
      <w:pPr>
        <w:spacing w:line="360" w:lineRule="auto"/>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③以文档形式存在的项目成果：如系统建设中形成的各类标准规范、调研分析、规划设计报告等等。</w:t>
      </w:r>
    </w:p>
    <w:p>
      <w:pPr>
        <w:spacing w:line="360" w:lineRule="auto"/>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④管理文档：包括项目开发实施中的一些工作文档，如：计划、报告、讨论纲要、会议记录等。</w:t>
      </w:r>
    </w:p>
    <w:p>
      <w:pPr>
        <w:spacing w:line="360" w:lineRule="auto"/>
        <w:rPr>
          <w:rFonts w:hint="default" w:ascii="Arial" w:hAnsi="Arial" w:cs="Arial"/>
          <w:color w:val="auto"/>
          <w:szCs w:val="21"/>
          <w:highlight w:val="none"/>
        </w:rPr>
      </w:pPr>
      <w:r>
        <w:rPr>
          <w:rFonts w:hint="eastAsia" w:ascii="Arial" w:hAnsi="Arial" w:cs="Arial"/>
          <w:color w:val="auto"/>
          <w:szCs w:val="21"/>
          <w:highlight w:val="none"/>
          <w:lang w:val="en-US" w:eastAsia="zh-CN"/>
        </w:rPr>
        <w:t>四</w:t>
      </w:r>
      <w:r>
        <w:rPr>
          <w:rFonts w:hint="default" w:ascii="Arial" w:hAnsi="Arial" w:cs="Arial"/>
          <w:color w:val="auto"/>
          <w:szCs w:val="21"/>
          <w:highlight w:val="none"/>
        </w:rPr>
        <w:t>、其他要求</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1、其他未尽事宜由采购人和成交供应商在采购合同中详细约定。</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2、供应商于响应文件中对所投本项目产品的技术参数要求作出真实、有效的响应和承诺。交付验收时，采购人现场根据采购文件要求及响应文件承诺逐条对应进行核验，核验不合格的，采购人有权终止合同执行并全部退货，同时报相关监督管理部门处理，由此造成采购人经济损失的由成交供应商负责承担全部赔偿责任。</w:t>
      </w:r>
    </w:p>
    <w:p>
      <w:pPr>
        <w:spacing w:line="360" w:lineRule="auto"/>
        <w:rPr>
          <w:rFonts w:hint="default" w:ascii="Arial" w:hAnsi="Arial" w:cs="Arial"/>
          <w:color w:val="auto"/>
          <w:highlight w:val="none"/>
        </w:rPr>
      </w:pPr>
      <w:r>
        <w:rPr>
          <w:rFonts w:hint="default" w:ascii="Arial" w:hAnsi="Arial" w:cs="Arial"/>
          <w:color w:val="auto"/>
          <w:highlight w:val="none"/>
        </w:rPr>
        <w:t>3、采购人在中华人民共和国境内使用成交供应商提供的产品及技术服务时免受第三方提出的侵犯其专利权或其它知识产权的起诉。如果第三方提出侵权指控，成交供应商应承担由此而引起的一切法律责任和费用。</w:t>
      </w:r>
    </w:p>
    <w:p>
      <w:pPr>
        <w:spacing w:line="360" w:lineRule="auto"/>
        <w:rPr>
          <w:rFonts w:hint="default" w:ascii="Arial" w:hAnsi="Arial" w:cs="Arial"/>
          <w:color w:val="auto"/>
          <w:highlight w:val="none"/>
        </w:rPr>
      </w:pPr>
      <w:r>
        <w:rPr>
          <w:rFonts w:hint="eastAsia" w:ascii="Arial" w:hAnsi="Arial" w:cs="Arial"/>
          <w:color w:val="auto"/>
          <w:highlight w:val="none"/>
          <w:lang w:val="en-US" w:eastAsia="zh-CN"/>
        </w:rPr>
        <w:t>4、</w:t>
      </w:r>
      <w:r>
        <w:rPr>
          <w:rFonts w:hint="default" w:ascii="Arial" w:hAnsi="Arial" w:cs="Arial"/>
          <w:color w:val="auto"/>
          <w:highlight w:val="none"/>
        </w:rPr>
        <w:t>本次</w:t>
      </w:r>
      <w:r>
        <w:rPr>
          <w:rFonts w:hint="eastAsia" w:ascii="Arial" w:hAnsi="Arial" w:cs="Arial"/>
          <w:color w:val="auto"/>
          <w:highlight w:val="none"/>
          <w:lang w:eastAsia="zh-CN"/>
        </w:rPr>
        <w:t>供应商</w:t>
      </w:r>
      <w:r>
        <w:rPr>
          <w:rFonts w:hint="default" w:ascii="Arial" w:hAnsi="Arial" w:cs="Arial"/>
          <w:color w:val="auto"/>
          <w:highlight w:val="none"/>
        </w:rPr>
        <w:t>为代理商的，</w:t>
      </w:r>
      <w:r>
        <w:rPr>
          <w:rFonts w:hint="eastAsia" w:ascii="Arial" w:hAnsi="Arial" w:cs="Arial"/>
          <w:color w:val="auto"/>
          <w:highlight w:val="none"/>
          <w:lang w:val="en-US" w:eastAsia="zh-CN"/>
        </w:rPr>
        <w:t>签订合同时</w:t>
      </w:r>
      <w:r>
        <w:rPr>
          <w:rFonts w:hint="default" w:ascii="Arial" w:hAnsi="Arial" w:cs="Arial"/>
          <w:color w:val="auto"/>
          <w:highlight w:val="none"/>
        </w:rPr>
        <w:t>须提供针对本项目的原厂授权函和售后服务承诺函。</w:t>
      </w:r>
    </w:p>
    <w:p>
      <w:pPr>
        <w:spacing w:line="360" w:lineRule="auto"/>
        <w:rPr>
          <w:rFonts w:hint="default" w:ascii="Arial" w:hAnsi="Arial" w:cs="Arial"/>
          <w:b/>
          <w:bCs/>
          <w:color w:val="auto"/>
          <w:highlight w:val="none"/>
        </w:rPr>
      </w:pPr>
      <w:r>
        <w:rPr>
          <w:rFonts w:hint="eastAsia" w:ascii="Arial" w:hAnsi="Arial" w:cs="Arial"/>
          <w:color w:val="auto"/>
          <w:highlight w:val="none"/>
          <w:lang w:val="en-US" w:eastAsia="zh-CN"/>
        </w:rPr>
        <w:t>5、</w:t>
      </w:r>
      <w:r>
        <w:rPr>
          <w:rFonts w:hint="default" w:ascii="Arial" w:hAnsi="Arial" w:cs="Arial"/>
          <w:color w:val="auto"/>
          <w:highlight w:val="none"/>
        </w:rPr>
        <w:t>项目利旧及兼容性要求：本项目所</w:t>
      </w:r>
      <w:r>
        <w:rPr>
          <w:rFonts w:hint="eastAsia" w:ascii="Arial" w:hAnsi="Arial" w:cs="Arial"/>
          <w:color w:val="auto"/>
          <w:highlight w:val="none"/>
          <w:lang w:val="en-US" w:eastAsia="zh-CN"/>
        </w:rPr>
        <w:t>响应</w:t>
      </w:r>
      <w:r>
        <w:rPr>
          <w:rFonts w:hint="default" w:ascii="Arial" w:hAnsi="Arial" w:cs="Arial"/>
          <w:color w:val="auto"/>
          <w:highlight w:val="none"/>
        </w:rPr>
        <w:t>的“专病科研数据库升级增补”模块必须与采购人已建设的鼻咽癌专病数据库兼容（品牌：联仁健康，产品型号：专科专病科研数据平台V1.0），对现有系统进行二次开发和数据增补。须进行兼容性测试，通过后再开展项目实施工作。如测试不通过，视为虚假应标，采购人有权终止合同，同时追究其法律责任，由此给采购人带来的损失由供应商负责。</w:t>
      </w:r>
      <w:r>
        <w:rPr>
          <w:rFonts w:hint="default" w:ascii="Arial" w:hAnsi="Arial" w:cs="Arial"/>
          <w:b/>
          <w:bCs/>
          <w:color w:val="auto"/>
          <w:highlight w:val="none"/>
        </w:rPr>
        <w:t>（提供承诺函原件，格式自拟）。</w:t>
      </w:r>
    </w:p>
    <w:p>
      <w:pPr>
        <w:spacing w:line="360" w:lineRule="auto"/>
        <w:rPr>
          <w:rFonts w:hint="default" w:ascii="Arial" w:hAnsi="Arial" w:cs="Arial"/>
          <w:color w:val="auto"/>
          <w:highlight w:val="none"/>
        </w:rPr>
      </w:pPr>
      <w:r>
        <w:rPr>
          <w:rFonts w:hint="eastAsia" w:ascii="Arial" w:hAnsi="Arial" w:cs="Arial"/>
          <w:color w:val="auto"/>
          <w:highlight w:val="none"/>
          <w:lang w:val="en-US" w:eastAsia="zh-CN"/>
        </w:rPr>
        <w:t>7、</w:t>
      </w:r>
      <w:r>
        <w:rPr>
          <w:rFonts w:hint="default" w:ascii="Arial" w:hAnsi="Arial" w:cs="Arial"/>
          <w:color w:val="auto"/>
          <w:highlight w:val="none"/>
        </w:rPr>
        <w:t>信创要求：本项目须支持国产化操作系统、数据库及前端国产化工作站，暂时未能实现的，后续政策要求时不再另行收费，并在</w:t>
      </w:r>
      <w:r>
        <w:rPr>
          <w:rFonts w:hint="eastAsia" w:ascii="Arial" w:hAnsi="Arial" w:cs="Arial"/>
          <w:color w:val="auto"/>
          <w:highlight w:val="none"/>
          <w:lang w:val="en-US" w:eastAsia="zh-CN"/>
        </w:rPr>
        <w:t>响应</w:t>
      </w:r>
      <w:r>
        <w:rPr>
          <w:rFonts w:hint="default" w:ascii="Arial" w:hAnsi="Arial" w:cs="Arial"/>
          <w:color w:val="auto"/>
          <w:highlight w:val="none"/>
        </w:rPr>
        <w:t>文件中出具承诺函。</w:t>
      </w:r>
    </w:p>
    <w:p>
      <w:pPr>
        <w:spacing w:line="528" w:lineRule="exact"/>
        <w:ind w:firstLine="210" w:firstLineChars="100"/>
        <w:rPr>
          <w:rFonts w:hint="default" w:ascii="Arial" w:hAnsi="Arial" w:cs="Arial"/>
          <w:color w:val="auto"/>
          <w:sz w:val="28"/>
          <w:szCs w:val="28"/>
          <w:highlight w:val="none"/>
        </w:rPr>
      </w:pPr>
      <w:r>
        <w:rPr>
          <w:rFonts w:hint="default" w:ascii="Arial" w:hAnsi="Arial" w:cs="Arial"/>
          <w:color w:val="auto"/>
          <w:szCs w:val="21"/>
          <w:highlight w:val="none"/>
        </w:rPr>
        <w:br w:type="page"/>
      </w:r>
      <w:r>
        <w:rPr>
          <w:rFonts w:hint="default" w:ascii="Arial" w:hAnsi="Arial" w:cs="Arial"/>
          <w:color w:val="auto"/>
          <w:sz w:val="28"/>
          <w:szCs w:val="28"/>
          <w:highlight w:val="none"/>
        </w:rPr>
        <w:t xml:space="preserve">附件1：             </w:t>
      </w:r>
    </w:p>
    <w:p>
      <w:pPr>
        <w:spacing w:line="528" w:lineRule="exact"/>
        <w:ind w:firstLine="280" w:firstLineChars="100"/>
        <w:jc w:val="center"/>
        <w:rPr>
          <w:rFonts w:hint="default" w:ascii="Arial" w:hAnsi="Arial" w:cs="Arial"/>
          <w:color w:val="auto"/>
          <w:sz w:val="28"/>
          <w:szCs w:val="28"/>
          <w:highlight w:val="none"/>
        </w:rPr>
      </w:pPr>
      <w:r>
        <w:rPr>
          <w:rFonts w:hint="default" w:ascii="Arial" w:hAnsi="Arial" w:cs="Arial"/>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Z＜300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ind w:firstLine="315" w:firstLineChars="150"/>
              <w:rPr>
                <w:rFonts w:hint="default" w:ascii="Arial" w:hAnsi="Arial" w:cs="Arial"/>
                <w:color w:val="auto"/>
                <w:szCs w:val="21"/>
                <w:highlight w:val="none"/>
              </w:rPr>
            </w:pPr>
            <w:r>
              <w:rPr>
                <w:rFonts w:hint="default" w:ascii="Arial" w:hAnsi="Arial" w:cs="Arial"/>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rFonts w:hint="default" w:ascii="Arial" w:hAnsi="Arial" w:cs="Arial"/>
                <w:color w:val="auto"/>
                <w:szCs w:val="21"/>
                <w:highlight w:val="none"/>
              </w:rPr>
            </w:pPr>
            <w:r>
              <w:rPr>
                <w:rFonts w:hint="default"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bl>
    <w:p>
      <w:pPr>
        <w:spacing w:line="360" w:lineRule="auto"/>
        <w:ind w:firstLine="525" w:firstLineChars="250"/>
        <w:rPr>
          <w:rFonts w:hint="default" w:ascii="Arial" w:hAnsi="Arial" w:cs="Arial"/>
          <w:color w:val="auto"/>
          <w:szCs w:val="21"/>
          <w:highlight w:val="none"/>
        </w:rPr>
      </w:pPr>
      <w:r>
        <w:rPr>
          <w:rFonts w:hint="default"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hint="default" w:ascii="Arial" w:hAnsi="Arial" w:cs="Arial"/>
          <w:color w:val="auto"/>
          <w:szCs w:val="21"/>
          <w:highlight w:val="none"/>
        </w:rPr>
      </w:pPr>
      <w:r>
        <w:rPr>
          <w:rFonts w:hint="default" w:ascii="Arial" w:hAnsi="Arial" w:cs="Arial"/>
          <w:color w:val="auto"/>
          <w:szCs w:val="21"/>
          <w:highlight w:val="none"/>
        </w:rPr>
        <w:br w:type="page"/>
      </w:r>
      <w:r>
        <w:rPr>
          <w:rFonts w:hint="default" w:ascii="Arial" w:hAnsi="Arial" w:cs="Arial"/>
          <w:color w:val="auto"/>
          <w:sz w:val="28"/>
          <w:szCs w:val="28"/>
          <w:highlight w:val="none"/>
        </w:rPr>
        <w:t>附件2：</w:t>
      </w:r>
    </w:p>
    <w:p>
      <w:pPr>
        <w:spacing w:line="360" w:lineRule="auto"/>
        <w:rPr>
          <w:rFonts w:hint="default" w:ascii="Arial" w:hAnsi="Arial" w:cs="Arial"/>
          <w:color w:val="auto"/>
          <w:szCs w:val="21"/>
          <w:highlight w:val="none"/>
        </w:rPr>
      </w:pPr>
      <w:r>
        <w:rPr>
          <w:rFonts w:hint="default" w:ascii="Arial" w:hAnsi="Arial" w:cs="Arial"/>
          <w:color w:val="auto"/>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14605" b="254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5573395" cy="8125460"/>
                    </a:xfrm>
                    <a:prstGeom prst="rect">
                      <a:avLst/>
                    </a:prstGeom>
                    <a:noFill/>
                    <a:ln>
                      <a:noFill/>
                    </a:ln>
                  </pic:spPr>
                </pic:pic>
              </a:graphicData>
            </a:graphic>
          </wp:anchor>
        </w:drawing>
      </w:r>
    </w:p>
    <w:p>
      <w:pPr>
        <w:rPr>
          <w:rFonts w:hint="default" w:ascii="Arial" w:hAnsi="Arial" w:cs="Arial"/>
          <w:color w:val="auto"/>
          <w:szCs w:val="21"/>
          <w:highlight w:val="none"/>
        </w:rPr>
        <w:sectPr>
          <w:footerReference r:id="rId8" w:type="first"/>
          <w:headerReference r:id="rId7" w:type="default"/>
          <w:pgSz w:w="11906" w:h="16838"/>
          <w:pgMar w:top="851" w:right="1133" w:bottom="1246" w:left="1418" w:header="851" w:footer="797" w:gutter="0"/>
          <w:cols w:space="720" w:num="1"/>
          <w:docGrid w:linePitch="312" w:charSpace="0"/>
        </w:sectPr>
      </w:pPr>
    </w:p>
    <w:bookmarkEnd w:id="18"/>
    <w:bookmarkEnd w:id="19"/>
    <w:p>
      <w:pPr>
        <w:pStyle w:val="27"/>
        <w:numPr>
          <w:ilvl w:val="0"/>
          <w:numId w:val="4"/>
        </w:numPr>
        <w:snapToGrid w:val="0"/>
        <w:spacing w:before="120" w:after="120" w:line="320" w:lineRule="exact"/>
        <w:jc w:val="center"/>
        <w:outlineLvl w:val="0"/>
        <w:rPr>
          <w:rFonts w:hint="default" w:ascii="Arial" w:hAnsi="Arial" w:cs="Arial"/>
          <w:color w:val="auto"/>
          <w:sz w:val="32"/>
          <w:szCs w:val="32"/>
          <w:highlight w:val="none"/>
        </w:rPr>
      </w:pPr>
      <w:bookmarkStart w:id="23" w:name="_Toc13388"/>
      <w:r>
        <w:rPr>
          <w:rFonts w:hint="default" w:ascii="Arial" w:hAnsi="Arial" w:cs="Arial"/>
          <w:color w:val="auto"/>
          <w:sz w:val="32"/>
          <w:szCs w:val="32"/>
          <w:highlight w:val="none"/>
        </w:rPr>
        <w:t xml:space="preserve"> 供应商须知</w:t>
      </w:r>
      <w:bookmarkEnd w:id="23"/>
      <w:bookmarkStart w:id="24" w:name="_投标人须知前附表"/>
      <w:bookmarkEnd w:id="24"/>
    </w:p>
    <w:p>
      <w:pPr>
        <w:pStyle w:val="3"/>
        <w:spacing w:before="40" w:after="40"/>
        <w:jc w:val="center"/>
        <w:rPr>
          <w:rFonts w:hint="default"/>
          <w:color w:val="auto"/>
          <w:highlight w:val="none"/>
        </w:rPr>
      </w:pPr>
      <w:r>
        <w:rPr>
          <w:rFonts w:hint="default" w:ascii="Arial" w:hAnsi="Arial" w:eastAsia="宋体" w:cs="Arial"/>
          <w:color w:val="auto"/>
          <w:sz w:val="24"/>
          <w:szCs w:val="24"/>
          <w:highlight w:val="none"/>
        </w:rPr>
        <w:t>供应商须知前附表</w:t>
      </w:r>
    </w:p>
    <w:tbl>
      <w:tblPr>
        <w:tblStyle w:val="52"/>
        <w:tblpPr w:leftFromText="180" w:rightFromText="180" w:vertAnchor="text" w:horzAnchor="page" w:tblpX="1517" w:tblpY="574"/>
        <w:tblOverlap w:val="never"/>
        <w:tblW w:w="92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b/>
                <w:color w:val="auto"/>
                <w:szCs w:val="21"/>
                <w:highlight w:val="none"/>
              </w:rPr>
            </w:pPr>
            <w:r>
              <w:rPr>
                <w:rFonts w:hint="default" w:ascii="Arial" w:hAnsi="Arial" w:cs="Arial"/>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b/>
                <w:color w:val="auto"/>
                <w:szCs w:val="21"/>
                <w:highlight w:val="none"/>
              </w:rPr>
            </w:pPr>
            <w:r>
              <w:rPr>
                <w:rFonts w:hint="default" w:ascii="Arial" w:hAnsi="Arial" w:cs="Arial"/>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b/>
                <w:color w:val="auto"/>
                <w:szCs w:val="21"/>
                <w:highlight w:val="none"/>
              </w:rPr>
            </w:pPr>
            <w:r>
              <w:rPr>
                <w:rFonts w:hint="default" w:ascii="Arial" w:hAnsi="Arial" w:cs="Arial"/>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eastAsia="宋体" w:cs="Arial"/>
                <w:color w:val="auto"/>
                <w:szCs w:val="21"/>
                <w:highlight w:val="none"/>
                <w:lang w:eastAsia="zh-CN"/>
              </w:rPr>
            </w:pPr>
            <w:r>
              <w:rPr>
                <w:rFonts w:hint="default" w:ascii="Arial" w:hAnsi="Arial" w:cs="Arial"/>
                <w:color w:val="auto"/>
                <w:szCs w:val="21"/>
                <w:highlight w:val="none"/>
              </w:rPr>
              <w:t>项目名称：</w:t>
            </w:r>
            <w:r>
              <w:rPr>
                <w:rFonts w:hint="default" w:ascii="Arial" w:hAnsi="Arial" w:cs="Arial"/>
                <w:color w:val="auto"/>
                <w:szCs w:val="21"/>
                <w:highlight w:val="none"/>
                <w:lang w:eastAsia="zh-CN"/>
              </w:rPr>
              <w:t>桂林医科大学医学健康数据智能分析与科研一体化平台</w:t>
            </w:r>
          </w:p>
          <w:p>
            <w:pPr>
              <w:spacing w:line="300" w:lineRule="exact"/>
              <w:jc w:val="left"/>
              <w:rPr>
                <w:rFonts w:hint="default" w:ascii="Arial" w:hAnsi="Arial" w:eastAsia="宋体" w:cs="Arial"/>
                <w:color w:val="auto"/>
                <w:szCs w:val="21"/>
                <w:highlight w:val="none"/>
                <w:lang w:eastAsia="zh-CN"/>
              </w:rPr>
            </w:pPr>
            <w:r>
              <w:rPr>
                <w:rFonts w:hint="default" w:ascii="Arial" w:hAnsi="Arial" w:cs="Arial"/>
                <w:color w:val="auto"/>
                <w:szCs w:val="21"/>
                <w:highlight w:val="none"/>
              </w:rPr>
              <w:t>项目编号：</w:t>
            </w:r>
            <w:r>
              <w:rPr>
                <w:rFonts w:hint="eastAsia" w:ascii="Arial" w:hAnsi="Arial" w:cs="Arial"/>
                <w:color w:val="auto"/>
                <w:szCs w:val="21"/>
                <w:highlight w:val="none"/>
                <w:lang w:eastAsia="zh-CN"/>
              </w:rPr>
              <w:t>GXZC2025-C3-003693-JDZB</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采购计划号：</w:t>
            </w:r>
            <w:r>
              <w:rPr>
                <w:rFonts w:hint="default" w:ascii="Arial" w:hAnsi="Arial" w:cs="Arial"/>
                <w:color w:val="auto"/>
                <w:highlight w:val="none"/>
              </w:rPr>
              <w:t>广西政采[2025]</w:t>
            </w:r>
            <w:r>
              <w:rPr>
                <w:rFonts w:hint="eastAsia" w:ascii="Arial" w:hAnsi="Arial" w:cs="Arial"/>
                <w:color w:val="auto"/>
                <w:highlight w:val="none"/>
                <w:lang w:val="en-US" w:eastAsia="zh-CN"/>
              </w:rPr>
              <w:t>22486</w:t>
            </w:r>
            <w:r>
              <w:rPr>
                <w:rFonts w:hint="default" w:ascii="Arial" w:hAnsi="Arial" w:cs="Arial"/>
                <w:color w:val="auto"/>
                <w:highlight w:val="none"/>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lang w:val="zh-CN"/>
              </w:rPr>
            </w:pPr>
            <w:r>
              <w:rPr>
                <w:rFonts w:hint="default" w:ascii="Arial" w:hAnsi="Arial" w:cs="Arial"/>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lang w:val="zh-CN"/>
              </w:rPr>
            </w:pPr>
            <w:r>
              <w:rPr>
                <w:rFonts w:hint="default" w:ascii="Arial" w:hAnsi="Arial" w:cs="Arial"/>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本项目非专门面向中小微企业采购。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bookmarkStart w:id="25" w:name="_Hlk85555568"/>
            <w:r>
              <w:rPr>
                <w:rFonts w:hint="default" w:ascii="Arial" w:hAnsi="Arial" w:cs="Arial"/>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是否接受联合体详见磋商公告</w:t>
            </w:r>
          </w:p>
        </w:tc>
      </w:tr>
      <w:bookmarkEnd w:id="2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不组织踏勘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是否接受分包详见磋商公告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在磋商公告发布媒介发布。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澄清、修改文件自磋商公告发布媒体发布之日起，视为供应商已收到该澄清、修改。供应商未及时关注磋商公告发布媒体造成的损失，由供应商自行负责。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响应截止之日起90天。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磋商保证金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hint="eastAsia" w:ascii="Arial" w:hAnsi="Arial" w:eastAsia="宋体" w:cs="Arial"/>
                <w:b/>
                <w:bCs/>
                <w:color w:val="auto"/>
                <w:kern w:val="0"/>
                <w:szCs w:val="21"/>
                <w:highlight w:val="none"/>
                <w:lang w:eastAsia="zh-CN"/>
              </w:rPr>
            </w:pPr>
            <w:r>
              <w:rPr>
                <w:rFonts w:hint="default" w:ascii="Arial" w:hAnsi="Arial" w:cs="Arial"/>
                <w:color w:val="auto"/>
                <w:szCs w:val="21"/>
                <w:highlight w:val="none"/>
              </w:rPr>
              <w:t>磋商保证金金额：人民币</w:t>
            </w:r>
            <w:r>
              <w:rPr>
                <w:rFonts w:hint="eastAsia" w:ascii="Arial" w:hAnsi="Arial" w:cs="Arial"/>
                <w:color w:val="auto"/>
                <w:szCs w:val="21"/>
                <w:highlight w:val="none"/>
                <w:lang w:eastAsia="zh-CN"/>
              </w:rPr>
              <w:t>壹万玖仟元整（¥19000.00）</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（1）缴纳方式一：</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①供应商应于响应截止时间前将磋商保证金以电汇、转账形式从供应商账户一次性足额缴纳至本项目（各分标）对应的专用虚拟账号，所交纳的磋商保证金仅限当次项目（分标）有效，不得重复替代使用。本项目磋商保证金缴纳专用虚拟账号信息如下：</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开户名称：广西机电设备招标有限公司</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开户银行：平安银行南宁分行营业部 </w:t>
            </w:r>
          </w:p>
          <w:p>
            <w:pPr>
              <w:spacing w:line="300" w:lineRule="exact"/>
              <w:jc w:val="left"/>
              <w:rPr>
                <w:rFonts w:hint="eastAsia" w:ascii="Arial" w:hAnsi="Arial" w:eastAsia="宋体" w:cs="Arial"/>
                <w:b/>
                <w:bCs/>
                <w:color w:val="auto"/>
                <w:szCs w:val="21"/>
                <w:highlight w:val="none"/>
                <w:lang w:eastAsia="zh-CN"/>
              </w:rPr>
            </w:pPr>
            <w:r>
              <w:rPr>
                <w:rFonts w:hint="default" w:ascii="Arial" w:hAnsi="Arial" w:cs="Arial"/>
                <w:color w:val="auto"/>
                <w:szCs w:val="21"/>
                <w:highlight w:val="none"/>
              </w:rPr>
              <w:t>银行账号：</w:t>
            </w:r>
            <w:r>
              <w:rPr>
                <w:rFonts w:hint="eastAsia" w:ascii="Arial" w:hAnsi="Arial" w:cs="Arial"/>
                <w:color w:val="auto"/>
                <w:szCs w:val="21"/>
                <w:highlight w:val="none"/>
                <w:lang w:eastAsia="zh-CN"/>
              </w:rPr>
              <w:t>30210485347667</w:t>
            </w:r>
          </w:p>
          <w:p>
            <w:pPr>
              <w:spacing w:line="30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特别说明：本项目保证金采用虚拟账号，为保证磋商保证金与项目一一对应，供应商如参加本项目多个分标的响应，应按各分标对应的专用虚拟账号分别缴纳磋商保证金。</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②磋商保证金币种应与响应报价币种相同。磋商保证金缴纳后无需开具收据，但必须在响应截止时间之前到达指定账号，其到账时间以银行确认的到账时间为准。</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③除采购文件规定不予退还保证金的情形外，采购代理机构在法定时间内通过银行原路退还保证金至供应商缴纳账户。供应商自行承担交纳保证金后未参加响应活动或磋商保证金缴纳错误而导致磋商保证金无法及时退还的责任。</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（2）缴纳方式二：</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供应商可于响应截止时间前选择广西政府采购云平台允许的其他非现金形式缴纳磋商保证金。具体按照广西政府采购云平台的方式操作。</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（3）财务部联系电话：0771-2821398</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（4）未按以上要求缴纳磋商保证金的响应文件，将作无效响应文件处理。</w:t>
            </w:r>
          </w:p>
          <w:p>
            <w:pPr>
              <w:spacing w:line="30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注：为保证磋商保证金退还的及时性与便利性，鼓励优先采用方式一递交磋商保证金。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3.6</w:t>
            </w:r>
          </w:p>
        </w:tc>
        <w:tc>
          <w:tcPr>
            <w:tcW w:w="1248" w:type="dxa"/>
            <w:tcBorders>
              <w:top w:val="single" w:color="auto" w:sz="4" w:space="0"/>
              <w:left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响应文件应按第六章响应文件格式分别编制并使用下载的广西政府采购云平台新版客户端制作并上传。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响应文件递交截止时间及截标时间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kern w:val="0"/>
                <w:szCs w:val="21"/>
                <w:highlight w:val="none"/>
              </w:rPr>
              <w:t>见磋商公告要求</w:t>
            </w:r>
            <w:r>
              <w:rPr>
                <w:rFonts w:hint="default" w:ascii="Arial" w:hAnsi="Arial" w:cs="Arial"/>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4.2</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0"/>
                <w:highlight w:val="none"/>
              </w:rPr>
            </w:pPr>
            <w:r>
              <w:rPr>
                <w:rFonts w:hint="default" w:ascii="Arial" w:hAnsi="Arial" w:cs="Arial"/>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Arial" w:hAnsi="Arial" w:cs="Arial"/>
                <w:color w:val="auto"/>
                <w:szCs w:val="21"/>
                <w:highlight w:val="none"/>
              </w:rPr>
            </w:pPr>
            <w:r>
              <w:rPr>
                <w:rFonts w:hint="default" w:ascii="Arial" w:hAnsi="Arial" w:cs="Arial"/>
                <w:color w:val="auto"/>
                <w:szCs w:val="21"/>
                <w:highlight w:val="none"/>
              </w:rPr>
              <w:t>本项目</w:t>
            </w: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接受   □不接受备份响应文件</w:t>
            </w:r>
          </w:p>
          <w:p>
            <w:pPr>
              <w:spacing w:line="276" w:lineRule="auto"/>
              <w:rPr>
                <w:rFonts w:hint="default" w:ascii="Arial" w:hAnsi="Arial" w:cs="Arial"/>
                <w:color w:val="auto"/>
                <w:sz w:val="22"/>
                <w:szCs w:val="22"/>
                <w:highlight w:val="none"/>
              </w:rPr>
            </w:pPr>
            <w:r>
              <w:rPr>
                <w:rFonts w:hint="default" w:ascii="Arial" w:hAnsi="Arial" w:cs="Arial"/>
                <w:color w:val="auto"/>
                <w:szCs w:val="21"/>
                <w:highlight w:val="none"/>
              </w:rPr>
              <w:t>以广西政府采购云平台自动生成的备份文件为依据，当项目允许接受备份响应文件时，供应商才可以按规定上传备份响应文件。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4.3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Arial" w:hAnsi="Arial" w:eastAsia="宋体" w:cs="Arial"/>
                <w:color w:val="auto"/>
                <w:szCs w:val="21"/>
                <w:highlight w:val="none"/>
                <w:lang w:val="en-US" w:eastAsia="zh-CN"/>
              </w:rPr>
            </w:pPr>
            <w:r>
              <w:rPr>
                <w:rFonts w:hint="default" w:ascii="Arial" w:hAnsi="Arial" w:cs="Arial"/>
                <w:color w:val="auto"/>
                <w:sz w:val="22"/>
                <w:szCs w:val="22"/>
                <w:highlight w:val="none"/>
              </w:rPr>
              <w:sym w:font="Wingdings 2" w:char="0052"/>
            </w:r>
            <w:r>
              <w:rPr>
                <w:rFonts w:hint="default" w:ascii="Arial" w:hAnsi="Arial" w:cs="Arial"/>
                <w:color w:val="auto"/>
                <w:szCs w:val="21"/>
                <w:highlight w:val="none"/>
                <w:lang w:eastAsia="zh-CN"/>
              </w:rPr>
              <w:t>是</w:t>
            </w:r>
            <w:r>
              <w:rPr>
                <w:rFonts w:hint="default" w:ascii="Arial" w:hAnsi="Arial" w:cs="Arial"/>
                <w:color w:val="auto"/>
                <w:szCs w:val="21"/>
                <w:highlight w:val="none"/>
                <w:lang w:val="en-US" w:eastAsia="zh-CN"/>
              </w:rPr>
              <w:t xml:space="preserve">  系统演示将在磋商小组组长组织下进行，供应商演示顺序按响应文件递送的顺序进行，当磋商小组组长下达演示通知后，供应商代表必须在5分钟内响应。当磋商小组组长下达演示开始时，开始计时，</w:t>
            </w:r>
            <w:r>
              <w:rPr>
                <w:rFonts w:hint="default" w:ascii="Arial" w:hAnsi="Arial" w:cs="Arial"/>
                <w:b/>
                <w:bCs/>
                <w:color w:val="auto"/>
                <w:szCs w:val="21"/>
                <w:highlight w:val="none"/>
                <w:lang w:val="en-US" w:eastAsia="zh-CN"/>
              </w:rPr>
              <w:t>供应商须在20分钟内完成演示工作。供应商逾期响应将视为弃权。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4.4</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Arial" w:hAnsi="Arial" w:cs="Arial"/>
                <w:color w:val="auto"/>
                <w:szCs w:val="21"/>
                <w:highlight w:val="none"/>
              </w:rPr>
            </w:pPr>
            <w:r>
              <w:rPr>
                <w:rFonts w:hint="default" w:ascii="Arial" w:hAnsi="Arial" w:cs="Arial"/>
                <w:color w:val="auto"/>
                <w:sz w:val="24"/>
                <w:highlight w:val="none"/>
              </w:rPr>
              <w:sym w:font="Wingdings 2" w:char="F052"/>
            </w:r>
            <w:r>
              <w:rPr>
                <w:rFonts w:hint="default" w:ascii="Arial" w:hAnsi="Arial" w:cs="Arial"/>
                <w:color w:val="auto"/>
                <w:szCs w:val="21"/>
                <w:highlight w:val="none"/>
              </w:rPr>
              <w:t xml:space="preserve">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6.3.5</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Arial" w:hAnsi="Arial" w:cs="Arial"/>
                <w:color w:val="auto"/>
                <w:szCs w:val="21"/>
                <w:highlight w:val="none"/>
              </w:rPr>
            </w:pP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采购人委托磋商小组确定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6.5.1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采购代理机构在采购人依法确认成交供应商后2个工作日内在磋商公告发布的媒体上发布结果公告。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采购代理机构通过广西政府采购云平台发出成交通知书。</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成交通知书在广西政府采购云平台推送之日起，视为成交供应商已收到，成交供应商自行承担未及时查收的后果。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1"/>
                <w:highlight w:val="none"/>
              </w:rPr>
            </w:pPr>
            <w:r>
              <w:rPr>
                <w:rFonts w:hint="default" w:ascii="Arial" w:hAnsi="Arial" w:cs="Arial"/>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rPr>
                <w:rFonts w:hint="default" w:ascii="Arial" w:hAnsi="Arial" w:cs="Arial"/>
                <w:color w:val="auto"/>
                <w:szCs w:val="21"/>
                <w:highlight w:val="none"/>
              </w:rPr>
            </w:pPr>
            <w:r>
              <w:rPr>
                <w:rFonts w:hint="default" w:ascii="Arial" w:hAnsi="Arial" w:cs="Arial"/>
                <w:color w:val="auto"/>
                <w:szCs w:val="21"/>
                <w:highlight w:val="none"/>
              </w:rPr>
              <w:t>（1）</w:t>
            </w:r>
            <w:r>
              <w:rPr>
                <w:rFonts w:hint="default" w:ascii="Arial" w:hAnsi="Arial" w:cs="Arial"/>
                <w:color w:val="auto"/>
                <w:szCs w:val="20"/>
                <w:highlight w:val="none"/>
              </w:rPr>
              <w:t>代理服务费</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sym w:font="Wingdings 2" w:char="F052"/>
            </w:r>
            <w:r>
              <w:rPr>
                <w:rFonts w:hint="default" w:ascii="Arial" w:hAnsi="Arial" w:cs="Arial"/>
                <w:color w:val="auto"/>
                <w:szCs w:val="21"/>
                <w:highlight w:val="none"/>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(计价格﹝2002﹞1980号)、《国家发展改革委关于降低部分建设项目收费标准规范收费行为等有关问题的通知》(发改价格﹝2011﹞534号)规定的60%采用差额定率累进法计算。具体费率如下：</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①成交金额在100万元以下的：</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货物1.5％；服务招标1.5％；工程招标1.0％；</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②成交金额在100-500万元之间：</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货物1.1％；服务招标0.8％；工程招标0.7％；</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③成交金额在500-1000万元之间：</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货物0.8％；服务招标0.45％；工程招标0.55％；</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④成交金额在1000-5000万元之间：</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货物0.5％；服务招标0.25％；工程招标0.35％；</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差额定率累进法计算过程示例：</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例如：某货物招标代理业务成交金额为300万元，招标代理服务费金额按如下计算：</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100万元×1.5%＝1.5万元</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（300－100）万元×1.1%＝2.2万元</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合计收费＝（1.5＋2.2）*60%=2.22万元</w:t>
            </w:r>
          </w:p>
          <w:p>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pPr>
              <w:spacing w:line="30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开户银行：广西北部湾银行南宁市金湖支行</w:t>
            </w:r>
          </w:p>
          <w:p>
            <w:pPr>
              <w:spacing w:line="30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（银行地址：南宁市金湖路57号文德大厦1楼）</w:t>
            </w:r>
          </w:p>
          <w:p>
            <w:pPr>
              <w:spacing w:line="30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开户名称：广西机电设备招标有限公司</w:t>
            </w:r>
          </w:p>
          <w:p>
            <w:pPr>
              <w:spacing w:line="30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银行账号：1705012090027723 (联行号 313611017053)</w:t>
            </w:r>
          </w:p>
          <w:p>
            <w:pPr>
              <w:spacing w:line="30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财务联系人：吴茜（电话：0771-2821398）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Arial" w:hAnsi="Arial" w:cs="Arial"/>
                <w:color w:val="auto"/>
                <w:szCs w:val="21"/>
                <w:highlight w:val="none"/>
                <w:u w:val="single"/>
              </w:rPr>
            </w:pP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Arial" w:hAnsi="Arial" w:cs="Arial"/>
                <w:color w:val="auto"/>
                <w:szCs w:val="21"/>
                <w:highlight w:val="none"/>
                <w:u w:val="single"/>
              </w:rPr>
            </w:pP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default" w:ascii="Arial" w:hAnsi="Arial" w:cs="Arial"/>
                <w:color w:val="auto"/>
                <w:szCs w:val="21"/>
                <w:highlight w:val="none"/>
              </w:rPr>
            </w:pPr>
            <w:r>
              <w:rPr>
                <w:rFonts w:hint="default" w:ascii="Arial" w:hAnsi="Arial" w:cs="Arial"/>
                <w:color w:val="auto"/>
                <w:szCs w:val="21"/>
                <w:highlight w:val="none"/>
              </w:rPr>
              <w:t>本文件中内容如有前后不一致，以在采购文件先出现的为准。</w:t>
            </w:r>
          </w:p>
        </w:tc>
      </w:tr>
    </w:tbl>
    <w:p>
      <w:pPr>
        <w:rPr>
          <w:rFonts w:hint="default" w:ascii="Arial" w:hAnsi="Arial" w:cs="Arial"/>
          <w:color w:val="auto"/>
          <w:highlight w:val="none"/>
        </w:rPr>
      </w:pPr>
      <w:r>
        <w:rPr>
          <w:rFonts w:hint="default" w:ascii="Arial" w:hAnsi="Arial" w:eastAsia="宋体" w:cs="Arial"/>
          <w:color w:val="auto"/>
          <w:sz w:val="24"/>
          <w:szCs w:val="24"/>
          <w:highlight w:val="none"/>
        </w:rPr>
        <w:br w:type="page"/>
      </w:r>
    </w:p>
    <w:p>
      <w:pPr>
        <w:spacing w:before="120" w:line="320" w:lineRule="atLeast"/>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1．总则</w:t>
      </w:r>
    </w:p>
    <w:p>
      <w:pPr>
        <w:spacing w:before="120" w:line="320" w:lineRule="atLeast"/>
        <w:ind w:firstLine="422" w:firstLineChars="200"/>
        <w:outlineLvl w:val="2"/>
        <w:rPr>
          <w:rFonts w:hint="default" w:ascii="Arial" w:hAnsi="Arial" w:cs="Arial"/>
          <w:b/>
          <w:bCs/>
          <w:color w:val="auto"/>
          <w:kern w:val="0"/>
          <w:szCs w:val="21"/>
          <w:highlight w:val="none"/>
        </w:rPr>
      </w:pPr>
      <w:bookmarkStart w:id="26" w:name="_Toc254970527"/>
      <w:bookmarkStart w:id="27" w:name="_Toc254970668"/>
      <w:r>
        <w:rPr>
          <w:rFonts w:hint="default" w:ascii="Arial" w:hAnsi="Arial" w:cs="Arial"/>
          <w:b/>
          <w:bCs/>
          <w:color w:val="auto"/>
          <w:kern w:val="0"/>
          <w:szCs w:val="21"/>
          <w:highlight w:val="none"/>
        </w:rPr>
        <w:t>1.1适用范围</w:t>
      </w:r>
      <w:bookmarkEnd w:id="26"/>
      <w:bookmarkEnd w:id="27"/>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本采购文件适用于供应商须知前附表所述项目的政府采购活动。</w:t>
      </w:r>
    </w:p>
    <w:p>
      <w:pPr>
        <w:spacing w:before="120" w:line="320" w:lineRule="atLeast"/>
        <w:ind w:firstLine="422" w:firstLineChars="200"/>
        <w:outlineLvl w:val="2"/>
        <w:rPr>
          <w:rFonts w:hint="default" w:ascii="Arial" w:hAnsi="Arial" w:cs="Arial"/>
          <w:b/>
          <w:bCs/>
          <w:color w:val="auto"/>
          <w:kern w:val="0"/>
          <w:szCs w:val="21"/>
          <w:highlight w:val="none"/>
        </w:rPr>
      </w:pPr>
      <w:bookmarkStart w:id="28" w:name="_Toc254970669"/>
      <w:bookmarkStart w:id="29" w:name="_Toc254970528"/>
      <w:r>
        <w:rPr>
          <w:rFonts w:hint="default" w:ascii="Arial" w:hAnsi="Arial" w:cs="Arial"/>
          <w:b/>
          <w:bCs/>
          <w:color w:val="auto"/>
          <w:kern w:val="0"/>
          <w:szCs w:val="21"/>
          <w:highlight w:val="none"/>
        </w:rPr>
        <w:t>1.2定义</w:t>
      </w:r>
      <w:bookmarkEnd w:id="28"/>
      <w:bookmarkEnd w:id="29"/>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1.2.1“采购人”系指依法进行政府采购的国家机关、事业单位、团体组织。</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1.2.2“供应商”系</w:t>
      </w:r>
      <w:r>
        <w:rPr>
          <w:rFonts w:hint="default" w:ascii="Arial" w:hAnsi="Arial" w:cs="Arial"/>
          <w:color w:val="auto"/>
          <w:highlight w:val="none"/>
        </w:rPr>
        <w:t>指响应招标、参加投标竞争的法人、其他组织或者自然人</w:t>
      </w:r>
      <w:r>
        <w:rPr>
          <w:rFonts w:hint="default" w:ascii="Arial" w:hAnsi="Arial" w:cs="Arial"/>
          <w:color w:val="auto"/>
          <w:szCs w:val="21"/>
          <w:highlight w:val="none"/>
        </w:rPr>
        <w:t>。</w:t>
      </w:r>
    </w:p>
    <w:p>
      <w:pPr>
        <w:spacing w:before="120" w:line="360" w:lineRule="auto"/>
        <w:ind w:firstLine="420" w:firstLineChars="200"/>
        <w:rPr>
          <w:rFonts w:hint="default" w:ascii="Arial" w:hAnsi="Arial" w:cs="Arial"/>
          <w:color w:val="auto"/>
          <w:highlight w:val="none"/>
        </w:rPr>
      </w:pPr>
      <w:r>
        <w:rPr>
          <w:rFonts w:hint="default" w:ascii="Arial" w:hAnsi="Arial" w:cs="Arial"/>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pPr>
        <w:spacing w:before="120" w:line="360" w:lineRule="auto"/>
        <w:ind w:firstLine="420" w:firstLineChars="200"/>
        <w:rPr>
          <w:rFonts w:hint="default" w:ascii="Arial" w:hAnsi="Arial" w:cs="Arial"/>
          <w:color w:val="auto"/>
          <w:highlight w:val="none"/>
        </w:rPr>
      </w:pPr>
      <w:r>
        <w:rPr>
          <w:rFonts w:hint="default" w:ascii="Arial" w:hAnsi="Arial" w:cs="Arial"/>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pPr>
        <w:widowControl/>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1.2.6</w:t>
      </w:r>
      <w:r>
        <w:rPr>
          <w:rFonts w:hint="default" w:ascii="Arial" w:hAnsi="Arial" w:cs="Arial"/>
          <w:b/>
          <w:bCs/>
          <w:color w:val="auto"/>
          <w:sz w:val="22"/>
          <w:szCs w:val="22"/>
          <w:highlight w:val="none"/>
        </w:rPr>
        <w:t>标注“★”的条款或要求系指实质性条款或实质性要求，必须满足，如存在负偏离将导致响应被否决。标记“▲”号为重要要求，需要按照要求提供截图或者其他证明材料否则认定为负偏离。</w:t>
      </w:r>
      <w:r>
        <w:rPr>
          <w:rFonts w:hint="eastAsia" w:ascii="Arial" w:hAnsi="Arial" w:cs="Arial"/>
          <w:b/>
          <w:bCs/>
          <w:color w:val="auto"/>
          <w:sz w:val="22"/>
          <w:szCs w:val="22"/>
          <w:highlight w:val="none"/>
          <w:lang w:val="en-US" w:eastAsia="zh-CN"/>
        </w:rPr>
        <w:t>标记“</w:t>
      </w:r>
      <w:r>
        <w:rPr>
          <w:rFonts w:hint="default" w:ascii="Arial" w:hAnsi="Arial" w:eastAsia="宋体" w:cs="Arial"/>
          <w:b/>
          <w:bCs/>
          <w:i w:val="0"/>
          <w:iCs w:val="0"/>
          <w:color w:val="auto"/>
          <w:kern w:val="0"/>
          <w:sz w:val="21"/>
          <w:szCs w:val="21"/>
          <w:highlight w:val="none"/>
          <w:u w:val="none"/>
          <w:lang w:val="en-US" w:eastAsia="zh-CN" w:bidi="ar"/>
        </w:rPr>
        <w:t>※</w:t>
      </w:r>
      <w:r>
        <w:rPr>
          <w:rFonts w:hint="eastAsia" w:ascii="Arial" w:hAnsi="Arial" w:eastAsia="宋体" w:cs="Arial"/>
          <w:b/>
          <w:bCs/>
          <w:i w:val="0"/>
          <w:iCs w:val="0"/>
          <w:color w:val="auto"/>
          <w:kern w:val="0"/>
          <w:sz w:val="21"/>
          <w:szCs w:val="21"/>
          <w:highlight w:val="none"/>
          <w:u w:val="none"/>
          <w:lang w:val="en-US" w:eastAsia="zh-CN" w:bidi="ar"/>
        </w:rPr>
        <w:t>”号为评分演示项，详见第四章评审方法及标准。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1.2.7 本采购文件出现多种选项的条款，以“</w:t>
      </w:r>
      <w:r>
        <w:rPr>
          <w:rFonts w:hint="default" w:ascii="Arial" w:hAnsi="Arial" w:cs="Arial"/>
          <w:color w:val="auto"/>
          <w:highlight w:val="none"/>
        </w:rPr>
        <w:sym w:font="Wingdings 2" w:char="F052"/>
      </w:r>
      <w:r>
        <w:rPr>
          <w:rFonts w:hint="default" w:ascii="Arial" w:hAnsi="Arial" w:cs="Arial"/>
          <w:color w:val="auto"/>
          <w:szCs w:val="21"/>
          <w:highlight w:val="none"/>
        </w:rPr>
        <w:t>”表示本条款所选择的方式。</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1.2.8 “电子交易平台”是指以数据电文形式在线完成采购活动的信息平台，本采购文件中也称“广西政府采购云平台”。</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1.3项目信息</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1.3.1项目名称及编号：详见供应商须知前附表</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1.3.2采购方式：详见供应商须知前附表</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1.4促进中小企业发展政策</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1.4.2中小企业定义</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1.4.2.2供应商提供的货物、工程或者服务符合下列情形的，享受本款规定的促进中小企业发展政策：</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在货物采购项目中，货物由中小企业制造，即货物由中小企业生产且使用该中小企业商号或者注册商标；</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在工程采购项目中，工程由中小企业承建，即工程施工单位为中小企业；</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在服务采购项目中，服务由中小企业承接，即提供服务的人员为中小企业依照《中华人民共和国劳动合同法》订立劳动合同的从业人员。</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在货物采购项目中，供应商提供的货物既有中小企业制造货物，也有大型企业制造货物的，不享受本款规定的促进中小企业发展政策。</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符合条件的货物制造商、工程施工单位、服务承接单位为中小企业的，应按采购文件规定在响应文件中提供声明函。</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1.4.2.4视同中小企业情形</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（1）符合中小企业划分标准的个体工商户，视同中小企业。</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（2）以联合体形式参加政府采购活动，联合体各方均为中小企业的，联合体视同中小企业。其中，联合体各方均为小微企业的，联合体视同小微企业。</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符合条件的货物制造商、工程施工单位、服务承接单位为监狱企业或残疾人福利性单位的，应按采购文件规定在响应文件中提供相关证明文件。</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1.5供应商资格要求</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1.5.1供应商资格要求：详见供应商须知前附表</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1.5.2按照磋商公告的规定获得采购文件。</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1.5.3本项目是否接受联合体响应，见“供应商须知前附表”规定。</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如接受联合体响应，联合体响应要求如下： </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（1）供应商可以组成一个响应联合体，以一个供应商的身份共同参加响应。联合体响应的，须提供《联合体协议书》（格式后附）</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（4）以联合体形式参加政府采购活动的，联合体各方不得再单独参加或者与其他供应商另外组成联合体参加同一合同项下的政府采购活动。</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（5）联合体中有同类资质的供应商按照联合体分工承担相同工作的，应当按照资质等级较低的供应商确定资质等级。</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（6）联合体响应业绩、履约能力按照联合体各方其中较高的一方认定并计算（采购文件其他章节另有规定的除外）。</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（7）供应商为联合体的，可以由联合体中的一方或者多方共同交纳磋商保证金，其交纳的保证金对联合体各方均具有约束力。</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（8）联合体各方均应按照采购文件的规定提交资格证明文件。</w:t>
      </w:r>
    </w:p>
    <w:p>
      <w:pPr>
        <w:spacing w:before="120" w:line="320" w:lineRule="atLeast"/>
        <w:ind w:firstLine="422" w:firstLineChars="200"/>
        <w:outlineLvl w:val="2"/>
        <w:rPr>
          <w:rFonts w:hint="default" w:ascii="Arial" w:hAnsi="Arial" w:cs="Arial"/>
          <w:b/>
          <w:bCs/>
          <w:color w:val="auto"/>
          <w:kern w:val="0"/>
          <w:szCs w:val="21"/>
          <w:highlight w:val="none"/>
        </w:rPr>
      </w:pPr>
      <w:bookmarkStart w:id="30" w:name="_Toc254970672"/>
      <w:bookmarkStart w:id="31" w:name="_Toc254970531"/>
      <w:r>
        <w:rPr>
          <w:rFonts w:hint="default" w:ascii="Arial" w:hAnsi="Arial" w:cs="Arial"/>
          <w:b/>
          <w:bCs/>
          <w:color w:val="auto"/>
          <w:kern w:val="0"/>
          <w:szCs w:val="21"/>
          <w:highlight w:val="none"/>
        </w:rPr>
        <w:t>1.6现场踏勘及响应费用</w:t>
      </w:r>
      <w:bookmarkEnd w:id="30"/>
      <w:bookmarkEnd w:id="31"/>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1.6.1前附表如规定现场踏勘的，供应商应按规定时间地点参加踏勘。</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1.6.2供应商均应自行承担所有与响应有关的全部费用（采购文件有相关的规定除外）。</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1.7转包与分包</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1.7.1如采购文件其他地方无特别规定，本项目不允许转包。</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pPr>
        <w:spacing w:before="120" w:line="276" w:lineRule="auto"/>
        <w:ind w:firstLine="422" w:firstLineChars="200"/>
        <w:outlineLvl w:val="2"/>
        <w:rPr>
          <w:rFonts w:hint="default" w:ascii="Arial" w:hAnsi="Arial" w:cs="Arial"/>
          <w:b/>
          <w:bCs/>
          <w:color w:val="auto"/>
          <w:kern w:val="0"/>
          <w:szCs w:val="21"/>
          <w:highlight w:val="none"/>
        </w:rPr>
      </w:pPr>
      <w:bookmarkStart w:id="32" w:name="_Toc254970532"/>
      <w:bookmarkStart w:id="33" w:name="_Toc254970673"/>
      <w:r>
        <w:rPr>
          <w:rFonts w:hint="default" w:ascii="Arial" w:hAnsi="Arial" w:cs="Arial"/>
          <w:b/>
          <w:bCs/>
          <w:color w:val="auto"/>
          <w:kern w:val="0"/>
          <w:szCs w:val="21"/>
          <w:highlight w:val="none"/>
        </w:rPr>
        <w:t>1.8特别说明</w:t>
      </w:r>
      <w:bookmarkEnd w:id="32"/>
      <w:bookmarkEnd w:id="33"/>
    </w:p>
    <w:p>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1.8.2供应商应仔细阅读采购文件的所有内容，按照采购文件的要求提交响应文件，并对所提供的全部资料的真实性承担法律责任。</w:t>
      </w:r>
    </w:p>
    <w:p>
      <w:pPr>
        <w:spacing w:before="120"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1.8.3供应商在响应活动中提供任何虚假材料，将报监管部门查处； </w:t>
      </w:r>
    </w:p>
    <w:p>
      <w:pPr>
        <w:spacing w:before="120" w:line="320" w:lineRule="atLeast"/>
        <w:ind w:left="2" w:leftChars="1" w:firstLine="422" w:firstLineChars="200"/>
        <w:outlineLvl w:val="1"/>
        <w:rPr>
          <w:rFonts w:hint="default" w:ascii="Arial" w:hAnsi="Arial" w:cs="Arial"/>
          <w:b/>
          <w:bCs/>
          <w:color w:val="auto"/>
          <w:kern w:val="0"/>
          <w:szCs w:val="21"/>
          <w:highlight w:val="none"/>
        </w:rPr>
      </w:pPr>
      <w:bookmarkStart w:id="34" w:name="_Toc254970675"/>
      <w:bookmarkStart w:id="35" w:name="_Toc254970534"/>
      <w:r>
        <w:rPr>
          <w:rFonts w:hint="default" w:ascii="Arial" w:hAnsi="Arial" w:cs="Arial"/>
          <w:b/>
          <w:bCs/>
          <w:color w:val="auto"/>
          <w:kern w:val="0"/>
          <w:szCs w:val="21"/>
          <w:highlight w:val="none"/>
        </w:rPr>
        <w:t>2．采购文件</w:t>
      </w:r>
      <w:bookmarkEnd w:id="34"/>
      <w:bookmarkEnd w:id="35"/>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2.1采购文件的构成</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第一章 磋商公告</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第二章 采购需求</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第三章 供应商须知</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第四章 评审方法及标准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第五章 合同主要条款格式</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第六章 响应文件格式</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2.2供应商的风险</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供应商没有按照采购文件要求提供全部资料，或者供应商没有对采购文件在各方面作出实质性响应是供应商的风险，并可能导致其响应被否决。</w:t>
      </w:r>
    </w:p>
    <w:p>
      <w:pPr>
        <w:spacing w:before="120" w:line="320" w:lineRule="atLeast"/>
        <w:ind w:firstLine="422" w:firstLineChars="200"/>
        <w:outlineLvl w:val="2"/>
        <w:rPr>
          <w:rFonts w:hint="default" w:ascii="Arial" w:hAnsi="Arial" w:cs="Arial"/>
          <w:b/>
          <w:color w:val="auto"/>
          <w:szCs w:val="21"/>
          <w:highlight w:val="none"/>
        </w:rPr>
      </w:pPr>
      <w:r>
        <w:rPr>
          <w:rFonts w:hint="default" w:ascii="Arial" w:hAnsi="Arial" w:cs="Arial"/>
          <w:b/>
          <w:bCs/>
          <w:color w:val="auto"/>
          <w:kern w:val="0"/>
          <w:szCs w:val="21"/>
          <w:highlight w:val="none"/>
        </w:rPr>
        <w:t>2.3采购文件的澄清与修改</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2.3.1任何已获得采购文件的潜在供应商，均可以书面形式要求采购代理机构作出书面解释、澄清。</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2.3.2采购人、采购代理机构可以对已发出的采购文件进行必要的澄清或者修改，澄清或者修改的内容可能影响响应文件编制的，采购人、采购代理机构应当在提交首次响应文件截止时间至少5日前，在供应商须知前附表规定的方式通知所有获取采购文件的潜在供应商，不足5日的，采购人、采购代理机构应当顺延提交首次响应文件截止时间。 </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pPr>
        <w:spacing w:before="120" w:line="320" w:lineRule="atLeast"/>
        <w:ind w:left="2" w:leftChars="1" w:firstLine="422" w:firstLineChars="200"/>
        <w:outlineLvl w:val="1"/>
        <w:rPr>
          <w:rFonts w:hint="default" w:ascii="Arial" w:hAnsi="Arial" w:cs="Arial"/>
          <w:b/>
          <w:bCs/>
          <w:color w:val="auto"/>
          <w:kern w:val="0"/>
          <w:szCs w:val="21"/>
          <w:highlight w:val="none"/>
        </w:rPr>
      </w:pPr>
      <w:bookmarkStart w:id="36" w:name="_Toc254970676"/>
      <w:bookmarkStart w:id="37" w:name="_Toc254970535"/>
      <w:r>
        <w:rPr>
          <w:rFonts w:hint="default" w:ascii="Arial" w:hAnsi="Arial" w:cs="Arial"/>
          <w:b/>
          <w:bCs/>
          <w:color w:val="auto"/>
          <w:kern w:val="0"/>
          <w:szCs w:val="21"/>
          <w:highlight w:val="none"/>
        </w:rPr>
        <w:t>3．响应文件</w:t>
      </w:r>
      <w:bookmarkEnd w:id="36"/>
      <w:bookmarkEnd w:id="37"/>
    </w:p>
    <w:p>
      <w:pPr>
        <w:spacing w:before="120" w:line="320" w:lineRule="atLeast"/>
        <w:ind w:firstLine="422" w:firstLineChars="200"/>
        <w:outlineLvl w:val="2"/>
        <w:rPr>
          <w:rFonts w:hint="default" w:ascii="Arial" w:hAnsi="Arial" w:cs="Arial"/>
          <w:b/>
          <w:bCs/>
          <w:color w:val="auto"/>
          <w:kern w:val="0"/>
          <w:szCs w:val="21"/>
          <w:highlight w:val="none"/>
        </w:rPr>
      </w:pPr>
      <w:bookmarkStart w:id="38" w:name="_Toc254970677"/>
      <w:bookmarkStart w:id="39" w:name="_Toc254970536"/>
      <w:r>
        <w:rPr>
          <w:rFonts w:hint="default" w:ascii="Arial" w:hAnsi="Arial" w:cs="Arial"/>
          <w:b/>
          <w:bCs/>
          <w:color w:val="auto"/>
          <w:kern w:val="0"/>
          <w:szCs w:val="21"/>
          <w:highlight w:val="none"/>
        </w:rPr>
        <w:t>3.1响应文件的组成</w:t>
      </w:r>
      <w:bookmarkEnd w:id="38"/>
      <w:bookmarkEnd w:id="39"/>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响应文件由第六章“响应文件格式”规定的内容和供应商所作的一切有效补充、修改和承诺等文件组成。</w:t>
      </w:r>
    </w:p>
    <w:p>
      <w:pPr>
        <w:spacing w:before="120" w:line="320" w:lineRule="atLeast"/>
        <w:ind w:firstLine="422" w:firstLineChars="200"/>
        <w:outlineLvl w:val="2"/>
        <w:rPr>
          <w:rFonts w:hint="default" w:ascii="Arial" w:hAnsi="Arial" w:cs="Arial"/>
          <w:b/>
          <w:bCs/>
          <w:color w:val="auto"/>
          <w:kern w:val="0"/>
          <w:szCs w:val="21"/>
          <w:highlight w:val="none"/>
        </w:rPr>
      </w:pPr>
      <w:bookmarkStart w:id="40" w:name="_Toc254970537"/>
      <w:bookmarkStart w:id="41" w:name="_Toc254970678"/>
      <w:r>
        <w:rPr>
          <w:rFonts w:hint="default" w:ascii="Arial" w:hAnsi="Arial" w:cs="Arial"/>
          <w:b/>
          <w:color w:val="auto"/>
          <w:szCs w:val="21"/>
          <w:highlight w:val="none"/>
        </w:rPr>
        <w:t>3.2</w:t>
      </w:r>
      <w:r>
        <w:rPr>
          <w:rFonts w:hint="default" w:ascii="Arial" w:hAnsi="Arial" w:cs="Arial"/>
          <w:b/>
          <w:bCs/>
          <w:color w:val="auto"/>
          <w:kern w:val="0"/>
          <w:szCs w:val="21"/>
          <w:highlight w:val="none"/>
        </w:rPr>
        <w:t>响应文件的语言及计量</w:t>
      </w:r>
      <w:bookmarkEnd w:id="40"/>
      <w:bookmarkEnd w:id="41"/>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3.2.2计量单位采购文件已有明确规定的，响应使用采购文件规定的计量单位；采购文件没有规定的，应采用中华人民共和国法定计量单位。</w:t>
      </w:r>
    </w:p>
    <w:p>
      <w:pPr>
        <w:spacing w:before="120" w:line="320" w:lineRule="atLeast"/>
        <w:ind w:firstLine="422" w:firstLineChars="200"/>
        <w:outlineLvl w:val="2"/>
        <w:rPr>
          <w:rFonts w:hint="default" w:ascii="Arial" w:hAnsi="Arial" w:cs="Arial"/>
          <w:b/>
          <w:bCs/>
          <w:color w:val="auto"/>
          <w:kern w:val="0"/>
          <w:szCs w:val="21"/>
          <w:highlight w:val="none"/>
        </w:rPr>
      </w:pPr>
      <w:bookmarkStart w:id="42" w:name="_Toc254970538"/>
      <w:bookmarkStart w:id="43" w:name="_Toc254970679"/>
      <w:r>
        <w:rPr>
          <w:rFonts w:hint="default" w:ascii="Arial" w:hAnsi="Arial" w:cs="Arial"/>
          <w:b/>
          <w:bCs/>
          <w:color w:val="auto"/>
          <w:kern w:val="0"/>
          <w:szCs w:val="21"/>
          <w:highlight w:val="none"/>
        </w:rPr>
        <w:t>3.3响应报价</w:t>
      </w:r>
      <w:bookmarkEnd w:id="42"/>
      <w:bookmarkEnd w:id="43"/>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3.3.1响应报价应按采购文件中相关附表格式填写。</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3.3.2响应文件只允许有一个报价，有选择的或有条件的报价将不予接受。</w:t>
      </w:r>
    </w:p>
    <w:p>
      <w:pPr>
        <w:suppressAutoHyphens/>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pPr>
        <w:suppressAutoHyphens/>
        <w:spacing w:before="120" w:line="320" w:lineRule="atLeast"/>
        <w:ind w:firstLine="420" w:firstLineChars="200"/>
        <w:rPr>
          <w:rFonts w:hint="default" w:ascii="Arial" w:hAnsi="Arial" w:cs="Arial"/>
          <w:b/>
          <w:bCs/>
          <w:color w:val="auto"/>
          <w:kern w:val="1"/>
          <w:szCs w:val="21"/>
          <w:highlight w:val="none"/>
        </w:rPr>
      </w:pPr>
      <w:r>
        <w:rPr>
          <w:rFonts w:hint="default" w:ascii="Arial" w:hAnsi="Arial" w:cs="Arial"/>
          <w:color w:val="auto"/>
          <w:kern w:val="1"/>
          <w:szCs w:val="21"/>
          <w:highlight w:val="none"/>
        </w:rPr>
        <w:t>3.3.4采购人不接受供应商给予的赠品、回扣或者与采购无关的其他商品、服务。</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3.4响应有效期</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3.4.1如采购文件其他地方无特别规定，响应有效期则为响应截止之日起90天。在响应有效期内响应文件应保持有效。</w:t>
      </w:r>
      <w:r>
        <w:rPr>
          <w:rFonts w:hint="default" w:ascii="Arial" w:hAnsi="Arial" w:cs="Arial"/>
          <w:b/>
          <w:bCs/>
          <w:color w:val="auto"/>
          <w:szCs w:val="21"/>
          <w:highlight w:val="none"/>
        </w:rPr>
        <w:t>有效期不足的响应文件将被否决</w:t>
      </w:r>
      <w:r>
        <w:rPr>
          <w:rFonts w:hint="default" w:ascii="Arial" w:hAnsi="Arial" w:cs="Arial"/>
          <w:color w:val="auto"/>
          <w:szCs w:val="21"/>
          <w:highlight w:val="none"/>
        </w:rPr>
        <w:t>。</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3.4.2在特殊情况下，采购人可与供应商协商延长响应文件的有效期，这种要求和答复均以书面形式进行。</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pPr>
        <w:spacing w:before="120" w:line="320" w:lineRule="atLeast"/>
        <w:ind w:firstLine="422" w:firstLineChars="200"/>
        <w:outlineLvl w:val="2"/>
        <w:rPr>
          <w:rFonts w:hint="default" w:ascii="Arial" w:hAnsi="Arial" w:cs="Arial"/>
          <w:b/>
          <w:bCs/>
          <w:color w:val="auto"/>
          <w:kern w:val="0"/>
          <w:szCs w:val="21"/>
          <w:highlight w:val="none"/>
        </w:rPr>
      </w:pPr>
      <w:bookmarkStart w:id="44" w:name="_Toc254970682"/>
      <w:bookmarkStart w:id="45" w:name="_Toc254970541"/>
      <w:r>
        <w:rPr>
          <w:rFonts w:hint="default" w:ascii="Arial" w:hAnsi="Arial" w:cs="Arial"/>
          <w:b/>
          <w:bCs/>
          <w:color w:val="auto"/>
          <w:kern w:val="0"/>
          <w:szCs w:val="21"/>
          <w:highlight w:val="none"/>
        </w:rPr>
        <w:t>3.5磋商保证金</w:t>
      </w:r>
      <w:bookmarkEnd w:id="44"/>
      <w:bookmarkEnd w:id="45"/>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3.5.1供应商须按须知前附表规定提交磋商保证金，</w:t>
      </w:r>
      <w:r>
        <w:rPr>
          <w:rFonts w:hint="default" w:ascii="Arial" w:hAnsi="Arial" w:cs="Arial"/>
          <w:b/>
          <w:bCs/>
          <w:color w:val="auto"/>
          <w:szCs w:val="21"/>
          <w:highlight w:val="none"/>
        </w:rPr>
        <w:t>否则其响应将被否决</w:t>
      </w:r>
      <w:r>
        <w:rPr>
          <w:rFonts w:hint="default" w:ascii="Arial" w:hAnsi="Arial" w:cs="Arial"/>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3.5.2磋商保证金币种应与响应报价币种相同。</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3.5.4供应商有下列情形之一的，磋商保证金将不予退还：</w:t>
      </w:r>
    </w:p>
    <w:p>
      <w:pPr>
        <w:numPr>
          <w:ilvl w:val="0"/>
          <w:numId w:val="5"/>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供应商在响应有效期内撤销响应文件的；</w:t>
      </w:r>
    </w:p>
    <w:p>
      <w:pPr>
        <w:numPr>
          <w:ilvl w:val="0"/>
          <w:numId w:val="5"/>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供应商在响应过程中弄虚作假，提供虚假材料的；</w:t>
      </w:r>
    </w:p>
    <w:p>
      <w:pPr>
        <w:numPr>
          <w:ilvl w:val="0"/>
          <w:numId w:val="5"/>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成交供应商无正当理由不与采购人签订合同的；</w:t>
      </w:r>
    </w:p>
    <w:p>
      <w:pPr>
        <w:numPr>
          <w:ilvl w:val="0"/>
          <w:numId w:val="5"/>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将成交项目转让给他人或者在响应文件中未说明且未经采购人同意，将成交项目分包给他人的；</w:t>
      </w:r>
    </w:p>
    <w:p>
      <w:pPr>
        <w:numPr>
          <w:ilvl w:val="0"/>
          <w:numId w:val="5"/>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供应商与采购人、其他供应商或者采购代理机构恶意串通的；</w:t>
      </w:r>
    </w:p>
    <w:p>
      <w:pPr>
        <w:numPr>
          <w:ilvl w:val="0"/>
          <w:numId w:val="5"/>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拒绝履行合同义务的；</w:t>
      </w:r>
    </w:p>
    <w:p>
      <w:pPr>
        <w:numPr>
          <w:ilvl w:val="0"/>
          <w:numId w:val="5"/>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其他严重扰乱招投标程序的。</w:t>
      </w:r>
    </w:p>
    <w:p>
      <w:pPr>
        <w:spacing w:before="120" w:line="320" w:lineRule="atLeast"/>
        <w:ind w:firstLine="422" w:firstLineChars="200"/>
        <w:outlineLvl w:val="2"/>
        <w:rPr>
          <w:rFonts w:hint="default" w:ascii="Arial" w:hAnsi="Arial" w:cs="Arial"/>
          <w:b/>
          <w:bCs/>
          <w:color w:val="auto"/>
          <w:kern w:val="0"/>
          <w:szCs w:val="21"/>
          <w:highlight w:val="none"/>
        </w:rPr>
      </w:pPr>
      <w:bookmarkStart w:id="46" w:name="_Toc254970683"/>
      <w:bookmarkStart w:id="47" w:name="_Toc254970542"/>
      <w:r>
        <w:rPr>
          <w:rFonts w:hint="default" w:ascii="Arial" w:hAnsi="Arial" w:cs="Arial"/>
          <w:b/>
          <w:bCs/>
          <w:color w:val="auto"/>
          <w:kern w:val="0"/>
          <w:szCs w:val="21"/>
          <w:highlight w:val="none"/>
        </w:rPr>
        <w:t>3.6响应文件的</w:t>
      </w:r>
      <w:bookmarkEnd w:id="46"/>
      <w:bookmarkEnd w:id="47"/>
      <w:r>
        <w:rPr>
          <w:rFonts w:hint="default" w:ascii="Arial" w:hAnsi="Arial" w:cs="Arial"/>
          <w:b/>
          <w:bCs/>
          <w:color w:val="auto"/>
          <w:kern w:val="0"/>
          <w:szCs w:val="21"/>
          <w:highlight w:val="none"/>
        </w:rPr>
        <w:t>编制要求</w:t>
      </w:r>
    </w:p>
    <w:p>
      <w:pPr>
        <w:spacing w:before="120" w:line="320" w:lineRule="atLeast"/>
        <w:ind w:firstLine="420" w:firstLineChars="200"/>
        <w:rPr>
          <w:rFonts w:hint="default" w:ascii="Arial" w:hAnsi="Arial" w:cs="Arial"/>
          <w:b/>
          <w:bCs/>
          <w:color w:val="auto"/>
          <w:kern w:val="0"/>
          <w:szCs w:val="21"/>
          <w:highlight w:val="none"/>
        </w:rPr>
      </w:pPr>
      <w:r>
        <w:rPr>
          <w:rFonts w:hint="default" w:ascii="Arial" w:hAnsi="Arial" w:cs="Arial"/>
          <w:color w:val="auto"/>
          <w:kern w:val="0"/>
          <w:szCs w:val="21"/>
          <w:highlight w:val="none"/>
        </w:rPr>
        <w:t>3.6.1</w:t>
      </w:r>
      <w:r>
        <w:rPr>
          <w:rFonts w:hint="default" w:ascii="Arial" w:hAnsi="Arial" w:cs="Arial"/>
          <w:color w:val="auto"/>
          <w:szCs w:val="21"/>
          <w:highlight w:val="none"/>
        </w:rPr>
        <w:t>供应商应先安装广西政府采购云平台新版客户端，通过账号密码或CA登录客户端制作响应文件。</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3.6.3 供应商的响应文件未按照采购文件要求签署、盖章的，其响应无效。</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3.6.4为确保网上操作合法、有效和安全，供应商应当在响应截止时间前完成在广西政府采购云平台的身份认证，确保在电子投标过程中能够对相关数据电文进行加密和使用电子签名。</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3.6.5响应文件中标注的供应商名称应与主体资格证明（如营业执照、事业单位法人证书、执业许可证、个体工商户营业执照、自然人身份证等）和公章/电子签章一致，</w:t>
      </w:r>
      <w:r>
        <w:rPr>
          <w:rFonts w:hint="default" w:ascii="Arial" w:hAnsi="Arial" w:cs="Arial"/>
          <w:b/>
          <w:bCs/>
          <w:color w:val="auto"/>
          <w:szCs w:val="21"/>
          <w:highlight w:val="none"/>
        </w:rPr>
        <w:t>否则作无效响应处理。</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3.7响应文件的递交、修改和撤回</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3.7.2未在规定时间内提交或者未按照采购文件要求签章、加密的电子响应文件，广西政府采购云平台将拒收。 </w:t>
      </w:r>
    </w:p>
    <w:p>
      <w:pPr>
        <w:spacing w:before="120" w:line="320" w:lineRule="atLeast"/>
        <w:ind w:left="2" w:leftChars="1" w:firstLine="420" w:firstLineChars="200"/>
        <w:rPr>
          <w:rFonts w:hint="default" w:ascii="Arial" w:hAnsi="Arial" w:cs="Arial"/>
          <w:color w:val="auto"/>
          <w:szCs w:val="21"/>
          <w:highlight w:val="none"/>
        </w:rPr>
      </w:pPr>
      <w:bookmarkStart w:id="48" w:name="_Toc254970544"/>
      <w:bookmarkStart w:id="49" w:name="_Toc254970685"/>
      <w:r>
        <w:rPr>
          <w:rFonts w:hint="default" w:ascii="Arial" w:hAnsi="Arial" w:cs="Arial"/>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3.7.4在响应截止时间前，除供应商补充、修改或者撤回响应文件外，任何单位和个人不得解密或提取响应文件。</w:t>
      </w:r>
    </w:p>
    <w:p>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3.7.5在响应截止时间止提交电子版响应文件的供应商不足3家时，电子版响应文件由代理机构在广西政府采购云平台操作退回，除此之外采购人和采购代理机构对已提交的响应文件概不退回。</w:t>
      </w:r>
    </w:p>
    <w:p>
      <w:pPr>
        <w:spacing w:before="120" w:line="320" w:lineRule="atLeast"/>
        <w:ind w:left="2" w:leftChars="1" w:firstLine="420" w:firstLineChars="200"/>
        <w:rPr>
          <w:rFonts w:hint="default" w:ascii="Arial" w:hAnsi="Arial" w:cs="Arial"/>
          <w:color w:val="auto"/>
          <w:szCs w:val="21"/>
          <w:highlight w:val="none"/>
        </w:rPr>
      </w:pPr>
      <w:bookmarkStart w:id="50" w:name="_Hlk93046827"/>
      <w:r>
        <w:rPr>
          <w:rFonts w:hint="default" w:ascii="Arial" w:hAnsi="Arial" w:cs="Arial"/>
          <w:color w:val="auto"/>
          <w:szCs w:val="21"/>
          <w:highlight w:val="none"/>
        </w:rPr>
        <w:t>3.7.6采购文件</w:t>
      </w:r>
      <w:bookmarkStart w:id="51" w:name="_Hlk106638610"/>
      <w:r>
        <w:rPr>
          <w:rFonts w:hint="default" w:ascii="Arial" w:hAnsi="Arial" w:cs="Arial"/>
          <w:color w:val="auto"/>
          <w:szCs w:val="21"/>
          <w:highlight w:val="none"/>
        </w:rPr>
        <w:t>未允许同一供应商提交两个或以上不同的响应文件，但存在</w:t>
      </w:r>
      <w:r>
        <w:rPr>
          <w:rFonts w:hint="default" w:ascii="Arial" w:hAnsi="Arial" w:cs="Arial"/>
          <w:color w:val="auto"/>
          <w:highlight w:val="none"/>
        </w:rPr>
        <w:t>同</w:t>
      </w:r>
      <w:r>
        <w:rPr>
          <w:rFonts w:hint="default" w:ascii="Arial" w:hAnsi="Arial" w:cs="Arial"/>
          <w:color w:val="auto"/>
          <w:szCs w:val="21"/>
          <w:highlight w:val="none"/>
        </w:rPr>
        <w:t>一供应商提交两个或以上不同的响应文件的</w:t>
      </w:r>
      <w:bookmarkEnd w:id="51"/>
      <w:r>
        <w:rPr>
          <w:rFonts w:hint="default" w:ascii="Arial" w:hAnsi="Arial" w:cs="Arial"/>
          <w:color w:val="auto"/>
          <w:szCs w:val="21"/>
          <w:highlight w:val="none"/>
        </w:rPr>
        <w:t>，</w:t>
      </w:r>
      <w:r>
        <w:rPr>
          <w:rFonts w:hint="default" w:ascii="Arial" w:hAnsi="Arial" w:cs="Arial"/>
          <w:b/>
          <w:bCs/>
          <w:color w:val="auto"/>
          <w:szCs w:val="21"/>
          <w:highlight w:val="none"/>
        </w:rPr>
        <w:t>其响应无效。</w:t>
      </w:r>
      <w:bookmarkEnd w:id="50"/>
    </w:p>
    <w:p>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4．截标</w:t>
      </w:r>
      <w:bookmarkEnd w:id="48"/>
      <w:bookmarkEnd w:id="49"/>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4.1截标准备</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本项目响应截止时间及地点见“供应商须知前附表”规定。</w:t>
      </w:r>
    </w:p>
    <w:p>
      <w:pPr>
        <w:autoSpaceDE w:val="0"/>
        <w:autoSpaceDN w:val="0"/>
        <w:adjustRightInd w:val="0"/>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如供应商成功解密响应文件，但未在广西政府采购云平台电子开标大厅参加截标的，视同认可截标过程和结果，由此产生的后果由供应商自行负责。 </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4.2截标程序</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4.2.1供应商登录广西政府采购云平台进入开标大厅签到。</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7960"/>
      <w:r>
        <w:rPr>
          <w:rFonts w:hint="default" w:ascii="Arial" w:hAnsi="Arial" w:cs="Arial"/>
          <w:color w:val="auto"/>
          <w:highlight w:val="none"/>
        </w:rPr>
        <w:t>通知后供应商仍未在上述规定时间内解密响应文件</w:t>
      </w:r>
      <w:bookmarkEnd w:id="52"/>
      <w:r>
        <w:rPr>
          <w:rFonts w:hint="default" w:ascii="Arial" w:hAnsi="Arial" w:cs="Arial"/>
          <w:color w:val="auto"/>
          <w:szCs w:val="21"/>
          <w:highlight w:val="none"/>
        </w:rPr>
        <w:t>，或者供应商没预留联系方式或预留联系方式无效导致代理机构无法联系到供应商进行解密的，均视为无效响应。</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4.2.3</w:t>
      </w:r>
      <w:bookmarkStart w:id="53" w:name="_Hlk106637968"/>
      <w:r>
        <w:rPr>
          <w:rFonts w:hint="default" w:ascii="Arial" w:hAnsi="Arial" w:cs="Arial"/>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bookmarkEnd w:id="53"/>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4.2.4解密异常情况处理：详见本章9.2电子交易活动的中止。</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4.2.5截标结束。</w:t>
      </w:r>
    </w:p>
    <w:p>
      <w:pPr>
        <w:pStyle w:val="27"/>
        <w:snapToGrid w:val="0"/>
        <w:spacing w:line="440" w:lineRule="exact"/>
        <w:ind w:firstLine="422" w:firstLineChars="200"/>
        <w:rPr>
          <w:rFonts w:hint="default" w:ascii="Arial" w:hAnsi="Arial" w:cs="Arial"/>
          <w:color w:val="auto"/>
          <w:highlight w:val="none"/>
        </w:rPr>
      </w:pPr>
      <w:r>
        <w:rPr>
          <w:rFonts w:hint="default" w:ascii="Arial" w:hAnsi="Arial" w:cs="Arial"/>
          <w:b/>
          <w:bCs/>
          <w:color w:val="auto"/>
          <w:highlight w:val="none"/>
        </w:rPr>
        <w:t>特别说明：</w:t>
      </w:r>
      <w:r>
        <w:rPr>
          <w:rFonts w:hint="default" w:ascii="Arial" w:hAnsi="Arial" w:cs="Arial"/>
          <w:color w:val="auto"/>
          <w:highlight w:val="none"/>
        </w:rPr>
        <w:t>如遇广西政府采购云平台电子化截标或评审程序调整的，按调整后的程序执行。</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4.3演示</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4.3.1“供应商须知前附表”规定在截标会议结束后进行演示的，供应商应按规定进行演示。</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4.3.2未按规定时间进行演示可能引起的演示分数被计为0分或响应无效等后果由供应商自行承担。</w:t>
      </w:r>
    </w:p>
    <w:p>
      <w:pPr>
        <w:spacing w:before="120" w:line="320" w:lineRule="atLeast"/>
        <w:ind w:firstLine="422" w:firstLineChars="200"/>
        <w:outlineLvl w:val="2"/>
        <w:rPr>
          <w:rFonts w:hint="default" w:ascii="Arial" w:hAnsi="Arial" w:cs="Arial"/>
          <w:color w:val="auto"/>
          <w:szCs w:val="21"/>
          <w:highlight w:val="none"/>
        </w:rPr>
      </w:pPr>
      <w:r>
        <w:rPr>
          <w:rFonts w:hint="default" w:ascii="Arial" w:hAnsi="Arial" w:cs="Arial"/>
          <w:b/>
          <w:bCs/>
          <w:color w:val="auto"/>
          <w:kern w:val="0"/>
          <w:szCs w:val="21"/>
          <w:highlight w:val="none"/>
        </w:rPr>
        <w:t>4.4样品</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4.4.1“供应商须知前附表”规定递交样品的，供应商应按前附表规定递交样品，递交样品时应附样品递交表（格式见第六章）。</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4.4.2未按规定时间递交样品可能引起的样品分数被计为0分或响应无效等后果由供应商自行承担。</w:t>
      </w:r>
    </w:p>
    <w:p>
      <w:pPr>
        <w:spacing w:before="120" w:line="320" w:lineRule="atLeast"/>
        <w:ind w:firstLine="420" w:firstLineChars="200"/>
        <w:rPr>
          <w:rFonts w:hint="default" w:ascii="Arial" w:hAnsi="Arial" w:cs="Arial"/>
          <w:color w:val="auto"/>
          <w:szCs w:val="21"/>
          <w:highlight w:val="none"/>
        </w:rPr>
      </w:pPr>
      <w:bookmarkStart w:id="54" w:name="_Toc254970545"/>
      <w:bookmarkStart w:id="55" w:name="_Toc254970686"/>
      <w:r>
        <w:rPr>
          <w:rFonts w:hint="default" w:ascii="Arial" w:hAnsi="Arial" w:cs="Arial"/>
          <w:color w:val="auto"/>
          <w:szCs w:val="21"/>
          <w:highlight w:val="none"/>
        </w:rPr>
        <w:t>4.4.3样品封存或退还的说明请见第六章响应文件格式所附样品递交表。</w:t>
      </w:r>
    </w:p>
    <w:p>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5．资格审查</w:t>
      </w:r>
    </w:p>
    <w:p>
      <w:pPr>
        <w:spacing w:before="120" w:line="320" w:lineRule="atLeast"/>
        <w:ind w:left="2" w:leftChars="1" w:firstLine="420" w:firstLineChars="200"/>
        <w:outlineLvl w:val="2"/>
        <w:rPr>
          <w:rFonts w:hint="default" w:ascii="Arial" w:hAnsi="Arial" w:cs="Arial"/>
          <w:bCs/>
          <w:color w:val="auto"/>
          <w:kern w:val="0"/>
          <w:szCs w:val="21"/>
          <w:highlight w:val="none"/>
        </w:rPr>
      </w:pPr>
      <w:r>
        <w:rPr>
          <w:rFonts w:hint="default" w:ascii="Arial" w:hAnsi="Arial" w:cs="Arial"/>
          <w:bCs/>
          <w:color w:val="auto"/>
          <w:kern w:val="0"/>
          <w:szCs w:val="21"/>
          <w:highlight w:val="none"/>
        </w:rPr>
        <w:t>5.1截标</w:t>
      </w:r>
      <w:r>
        <w:rPr>
          <w:rFonts w:hint="default" w:ascii="Arial" w:hAnsi="Arial" w:cs="Arial"/>
          <w:bCs/>
          <w:color w:val="auto"/>
          <w:szCs w:val="21"/>
          <w:highlight w:val="none"/>
        </w:rPr>
        <w:t>后，磋商小组通过电子交易平台对供应商的资格进行审查。资格审查</w:t>
      </w:r>
      <w:r>
        <w:rPr>
          <w:rFonts w:hint="default" w:ascii="Arial" w:hAnsi="Arial" w:cs="Arial"/>
          <w:bCs/>
          <w:color w:val="auto"/>
          <w:kern w:val="0"/>
          <w:szCs w:val="21"/>
          <w:highlight w:val="none"/>
        </w:rPr>
        <w:t>是根据法律法规和采购文件的规定，对供应商的基本资格条件、特定资格条件进行审查。</w:t>
      </w:r>
    </w:p>
    <w:p>
      <w:pPr>
        <w:spacing w:before="120" w:line="320" w:lineRule="atLeast"/>
        <w:ind w:left="2" w:leftChars="1" w:firstLine="420" w:firstLineChars="200"/>
        <w:outlineLvl w:val="2"/>
        <w:rPr>
          <w:rFonts w:hint="default" w:ascii="Arial" w:hAnsi="Arial" w:cs="Arial"/>
          <w:bCs/>
          <w:color w:val="auto"/>
          <w:kern w:val="0"/>
          <w:szCs w:val="21"/>
          <w:highlight w:val="none"/>
        </w:rPr>
      </w:pPr>
      <w:r>
        <w:rPr>
          <w:rFonts w:hint="default" w:ascii="Arial" w:hAnsi="Arial" w:cs="Arial"/>
          <w:bCs/>
          <w:color w:val="auto"/>
          <w:kern w:val="0"/>
          <w:szCs w:val="21"/>
          <w:highlight w:val="none"/>
        </w:rPr>
        <w:t>5.2资格审查标准在第四章评审方法及标准中规定，符合资格审查标准要求的供应商即为资格审查合格。</w:t>
      </w:r>
    </w:p>
    <w:p>
      <w:pPr>
        <w:spacing w:before="120" w:line="276" w:lineRule="auto"/>
        <w:ind w:left="2" w:leftChars="1" w:firstLine="420" w:firstLineChars="200"/>
        <w:outlineLvl w:val="2"/>
        <w:rPr>
          <w:rFonts w:hint="default" w:ascii="Arial" w:hAnsi="Arial" w:cs="Arial"/>
          <w:bCs/>
          <w:color w:val="auto"/>
          <w:kern w:val="0"/>
          <w:szCs w:val="21"/>
          <w:highlight w:val="none"/>
        </w:rPr>
      </w:pPr>
      <w:r>
        <w:rPr>
          <w:rFonts w:hint="default" w:ascii="Arial" w:hAnsi="Arial" w:cs="Arial"/>
          <w:bCs/>
          <w:color w:val="auto"/>
          <w:kern w:val="0"/>
          <w:szCs w:val="21"/>
          <w:highlight w:val="none"/>
        </w:rPr>
        <w:t>5.3供应商有下列情形之一的，资格审查不合格，作无效响应处理：</w:t>
      </w:r>
    </w:p>
    <w:p>
      <w:pPr>
        <w:spacing w:line="276" w:lineRule="auto"/>
        <w:ind w:firstLine="420" w:firstLineChars="200"/>
        <w:rPr>
          <w:rFonts w:hint="default" w:ascii="Arial" w:hAnsi="Arial" w:cs="Arial"/>
          <w:color w:val="auto"/>
          <w:highlight w:val="none"/>
        </w:rPr>
      </w:pPr>
      <w:r>
        <w:rPr>
          <w:rFonts w:hint="default" w:ascii="Arial" w:hAnsi="Arial" w:cs="Arial"/>
          <w:color w:val="auto"/>
          <w:szCs w:val="21"/>
          <w:highlight w:val="none"/>
        </w:rPr>
        <w:t xml:space="preserve">5.3.1不具备采购文件中规定的资格要求或资格条件的； </w:t>
      </w:r>
      <w:r>
        <w:rPr>
          <w:rFonts w:hint="default" w:ascii="Arial" w:hAnsi="Arial" w:cs="Arial"/>
          <w:color w:val="auto"/>
          <w:highlight w:val="none"/>
        </w:rPr>
        <w:t>（注：其中信用查询规则见“供应商须知前附表”，广西政府采购云平台已与“信用中国”平台做接口，可直接在线查询）</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5.3.2响应文件缺少任何一项资格证明文件或不符合第四章评审方法及标准中资格审查标准规定的评审内容的。</w:t>
      </w:r>
    </w:p>
    <w:p>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6．评审</w:t>
      </w:r>
      <w:bookmarkEnd w:id="54"/>
      <w:bookmarkEnd w:id="55"/>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6.1组建磋商小组</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6.1.4本项目评审过程实行全程网上留痕及录音、录像监控，供应商在评审过程中所进行的试图影响评审结果的不公正活动，可能导致其响应按无效处理。</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6.2评审方法及依据</w:t>
      </w:r>
    </w:p>
    <w:p>
      <w:pPr>
        <w:spacing w:before="120" w:line="320" w:lineRule="atLeast"/>
        <w:ind w:firstLine="420" w:firstLineChars="200"/>
        <w:rPr>
          <w:rFonts w:hint="default" w:ascii="Arial" w:hAnsi="Arial" w:cs="Arial"/>
          <w:bCs/>
          <w:color w:val="auto"/>
          <w:kern w:val="0"/>
          <w:szCs w:val="21"/>
          <w:highlight w:val="none"/>
        </w:rPr>
      </w:pPr>
      <w:r>
        <w:rPr>
          <w:rFonts w:hint="default" w:ascii="Arial" w:hAnsi="Arial" w:cs="Arial"/>
          <w:bCs/>
          <w:color w:val="auto"/>
          <w:kern w:val="0"/>
          <w:szCs w:val="21"/>
          <w:highlight w:val="none"/>
        </w:rPr>
        <w:t>6.2.1本项目采用第四章评审方法及标准规定的方法进行评审。</w:t>
      </w:r>
    </w:p>
    <w:p>
      <w:pPr>
        <w:suppressAutoHyphens/>
        <w:spacing w:before="120" w:line="320" w:lineRule="atLeast"/>
        <w:ind w:firstLine="420" w:firstLineChars="200"/>
        <w:rPr>
          <w:rFonts w:hint="default" w:ascii="Arial" w:hAnsi="Arial" w:cs="Arial"/>
          <w:bCs/>
          <w:color w:val="auto"/>
          <w:kern w:val="0"/>
          <w:szCs w:val="21"/>
          <w:highlight w:val="none"/>
        </w:rPr>
      </w:pPr>
      <w:r>
        <w:rPr>
          <w:rFonts w:hint="default" w:ascii="Arial" w:hAnsi="Arial" w:cs="Arial"/>
          <w:bCs/>
          <w:color w:val="auto"/>
          <w:kern w:val="0"/>
          <w:szCs w:val="21"/>
          <w:highlight w:val="none"/>
        </w:rPr>
        <w:t>6.2.2磋商小组</w:t>
      </w:r>
      <w:r>
        <w:rPr>
          <w:rFonts w:hint="default" w:ascii="Arial" w:hAnsi="Arial" w:cs="Arial"/>
          <w:color w:val="auto"/>
          <w:highlight w:val="none"/>
        </w:rPr>
        <w:t>以采购文件、补充文件、响应文件、澄清及答复为评审依据，</w:t>
      </w:r>
      <w:r>
        <w:rPr>
          <w:rFonts w:hint="default" w:ascii="Arial" w:hAnsi="Arial" w:cs="Arial"/>
          <w:bCs/>
          <w:color w:val="auto"/>
          <w:kern w:val="0"/>
          <w:szCs w:val="21"/>
          <w:highlight w:val="none"/>
        </w:rPr>
        <w:t>第四章评审方法及标准没有规定的评审方法、标准及因素，不得作为评审依据。</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6.3评审程序</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w:t>
      </w:r>
      <w:bookmarkStart w:id="56" w:name="_Hlk80956880"/>
      <w:bookmarkStart w:id="57" w:name="_Hlk19175507"/>
      <w:r>
        <w:rPr>
          <w:rFonts w:hint="default" w:ascii="Arial" w:hAnsi="Arial" w:cs="Arial"/>
          <w:color w:val="auto"/>
          <w:highlight w:val="none"/>
        </w:rPr>
        <w:t>3.1符合性审查</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bCs/>
          <w:color w:val="auto"/>
          <w:kern w:val="1"/>
          <w:szCs w:val="21"/>
          <w:highlight w:val="none"/>
        </w:rPr>
        <w:t>资格审查结束后，</w:t>
      </w:r>
      <w:r>
        <w:rPr>
          <w:rFonts w:hint="default" w:ascii="Arial" w:hAnsi="Arial" w:cs="Arial"/>
          <w:color w:val="auto"/>
          <w:highlight w:val="none"/>
        </w:rPr>
        <w:t>磋商小组对通过资格审查的供应商的响应文件报价、商务资信、技术等方面实质性内容进行符合性审查，</w:t>
      </w:r>
      <w:r>
        <w:rPr>
          <w:rFonts w:hint="default" w:ascii="Arial" w:hAnsi="Arial" w:cs="Arial"/>
          <w:color w:val="auto"/>
          <w:szCs w:val="21"/>
          <w:highlight w:val="none"/>
        </w:rPr>
        <w:t>符合性审查标准详见第四章评审方法及标准。</w:t>
      </w:r>
    </w:p>
    <w:bookmarkEnd w:id="56"/>
    <w:bookmarkEnd w:id="57"/>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6.3.2</w:t>
      </w:r>
      <w:r>
        <w:rPr>
          <w:rFonts w:hint="default" w:ascii="Arial" w:hAnsi="Arial" w:cs="Arial"/>
          <w:color w:val="auto"/>
          <w:highlight w:val="none"/>
        </w:rPr>
        <w:t>强制性</w:t>
      </w:r>
      <w:r>
        <w:rPr>
          <w:rFonts w:hint="default" w:ascii="Arial" w:hAnsi="Arial" w:cs="Arial"/>
          <w:color w:val="auto"/>
          <w:szCs w:val="21"/>
          <w:highlight w:val="none"/>
        </w:rPr>
        <w:t>采购要求（仅适用于货物采购项目）</w:t>
      </w:r>
    </w:p>
    <w:p>
      <w:pPr>
        <w:suppressAutoHyphens/>
        <w:spacing w:before="120" w:line="320" w:lineRule="atLeast"/>
        <w:ind w:firstLine="422" w:firstLineChars="201"/>
        <w:rPr>
          <w:rFonts w:hint="default" w:ascii="Arial" w:hAnsi="Arial" w:cs="Arial"/>
          <w:color w:val="auto"/>
          <w:szCs w:val="21"/>
          <w:highlight w:val="none"/>
        </w:rPr>
      </w:pPr>
      <w:bookmarkStart w:id="58" w:name="_Hlk47714684"/>
      <w:r>
        <w:rPr>
          <w:rFonts w:hint="default" w:ascii="Arial" w:hAnsi="Arial" w:cs="Arial"/>
          <w:color w:val="auto"/>
          <w:szCs w:val="21"/>
          <w:highlight w:val="none"/>
        </w:rPr>
        <w:t>（1）</w:t>
      </w:r>
      <w:bookmarkEnd w:id="58"/>
      <w:r>
        <w:rPr>
          <w:rFonts w:hint="default" w:ascii="Arial" w:hAnsi="Arial"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pPr>
        <w:spacing w:before="120" w:line="320" w:lineRule="atLeast"/>
        <w:ind w:firstLine="420" w:firstLineChars="200"/>
        <w:rPr>
          <w:rFonts w:hint="default" w:ascii="Arial" w:hAnsi="Arial" w:cs="Arial"/>
          <w:color w:val="auto"/>
          <w:szCs w:val="21"/>
          <w:highlight w:val="none"/>
        </w:rPr>
      </w:pPr>
      <w:bookmarkStart w:id="59" w:name="_Hlk19176155"/>
      <w:r>
        <w:rPr>
          <w:rFonts w:hint="default" w:ascii="Arial" w:hAnsi="Arial"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ascii="Arial" w:hAnsi="Arial" w:cs="Arial"/>
          <w:color w:val="auto"/>
          <w:szCs w:val="21"/>
          <w:highlight w:val="none"/>
          <w:lang w:eastAsia="zh-CN"/>
        </w:rPr>
        <w:t>供应商</w:t>
      </w:r>
      <w:r>
        <w:rPr>
          <w:rFonts w:hint="default" w:ascii="Arial" w:hAnsi="Arial" w:cs="Arial"/>
          <w:color w:val="auto"/>
          <w:szCs w:val="21"/>
          <w:highlight w:val="none"/>
        </w:rPr>
        <w:t>在</w:t>
      </w:r>
      <w:r>
        <w:rPr>
          <w:rFonts w:hint="eastAsia" w:ascii="Arial" w:hAnsi="Arial" w:cs="Arial"/>
          <w:color w:val="auto"/>
          <w:szCs w:val="21"/>
          <w:highlight w:val="none"/>
          <w:lang w:eastAsia="zh-CN"/>
        </w:rPr>
        <w:t>响应文件</w:t>
      </w:r>
      <w:r>
        <w:rPr>
          <w:rFonts w:hint="default" w:ascii="Arial" w:hAnsi="Arial" w:cs="Arial"/>
          <w:color w:val="auto"/>
          <w:szCs w:val="21"/>
          <w:highlight w:val="none"/>
        </w:rPr>
        <w:t>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6.3.3澄清、说明或补正</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6.3.4报价修正</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（1）报价出现前后不一致的，按照下列规定修正：</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①响应文件中开标一览表（报价表）内容与响应文件中相应内容不一致的，以开标一览表（报价表）为准；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②大写金额和小写金额不一致的，以大写金额为准；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③单价金额小数点或者百分比有明显错位的，以开标一览表的总价为准，并修改单价；</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④总价金额与按单价汇总金额不一致的，以单价金额计算结果为准。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同时出现两种以上不一致的，按照上述①-④顺序修正。修正后的报价按照上述“6.3.3澄清、说明或补正”的规定经供应商确认后产生约束力，供应商不确认的，其响应无效。</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（2）经供应商确认修正后的最后报价若超过采购预算金额或者最高限价，其响应文件作无效响应处理。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（3）经供应商确认修正后的最后报价作为签订合同的依据，并以此报价计算价格分。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（4）如磋商过程中有多轮报价的，磋商小组在每一轮报价均应按上述规则修正报价。</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6.3.5相同品牌认定（仅适用于货物采购项目）</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（1）单一产品采购项目，</w:t>
      </w:r>
      <w:r>
        <w:rPr>
          <w:rFonts w:hint="default" w:ascii="Arial" w:hAnsi="Arial" w:cs="Arial"/>
          <w:color w:val="auto"/>
          <w:highlight w:val="none"/>
        </w:rPr>
        <w:t>不同供应商提供的产品品牌相同时，按以下规定确定</w:t>
      </w:r>
      <w:r>
        <w:rPr>
          <w:rFonts w:hint="default" w:ascii="Arial" w:hAnsi="Arial" w:cs="Arial"/>
          <w:bCs/>
          <w:color w:val="auto"/>
          <w:kern w:val="0"/>
          <w:szCs w:val="21"/>
          <w:highlight w:val="none"/>
        </w:rPr>
        <w:t>相同品牌的响应有效性</w:t>
      </w:r>
      <w:r>
        <w:rPr>
          <w:rFonts w:hint="default" w:ascii="Arial" w:hAnsi="Arial" w:cs="Arial"/>
          <w:color w:val="auto"/>
          <w:highlight w:val="none"/>
        </w:rPr>
        <w:t>。</w:t>
      </w:r>
    </w:p>
    <w:bookmarkEnd w:id="59"/>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提供相同品牌产品且通过资格审查、符合性审查的不同供应商参加同一合同项下响应的，按一家供应商计算，评审后得分最高的同品牌供应商获得</w:t>
      </w:r>
      <w:r>
        <w:rPr>
          <w:rFonts w:hint="eastAsia" w:ascii="Arial" w:hAnsi="Arial" w:cs="Arial"/>
          <w:color w:val="auto"/>
          <w:szCs w:val="21"/>
          <w:highlight w:val="none"/>
          <w:lang w:eastAsia="zh-CN"/>
        </w:rPr>
        <w:t>成交供应商</w:t>
      </w:r>
      <w:r>
        <w:rPr>
          <w:rFonts w:hint="default" w:ascii="Arial" w:hAnsi="Arial" w:cs="Arial"/>
          <w:color w:val="auto"/>
          <w:szCs w:val="21"/>
          <w:highlight w:val="none"/>
        </w:rPr>
        <w:t>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（2）非单一产品采购项目，采购人应当确定核心产品，并在采购文件中载明。不同供应商提供的核心产品品牌相同的，按上述规定处理。核心产品在第二章采购需求规定。</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6.3.6磋商</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对采购文件作出的实质性变动是采购文件的有效组成部分，由磋商小组通过广西政府采购云平台以书面形式同时通知所有参加磋商的供应商。</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（4）供应商的法定代表人或其授权代表无须到现场参加磋商，提问及回答/响应均通过广西政府采购云平台进行。磋商过程中使用的电子签章应为供应商上传响应文件的同一签章。</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6.3.7最后报价</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最后报价是供应商响应文件的有效组成部分。</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（2）最后报价要求通过广西政府采购云平台发出，供应商需在广西政府采购云平台设置的时间内报价，最后报价不得超过采购预算金额且具有唯一性，否则否决其响应。</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3）已提交响应文件的供应商，在提交最后报价之前，可以根据磋商情况退出磋商。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注：“市场竞争不充分的科研项目、需要扶持的科技</w:t>
      </w:r>
      <w:r>
        <w:rPr>
          <w:rFonts w:hint="default" w:ascii="Arial" w:hAnsi="Arial" w:cs="Arial"/>
          <w:color w:val="auto"/>
          <w:szCs w:val="21"/>
          <w:highlight w:val="none"/>
        </w:rPr>
        <w:t>成果转化项目、政府购买服务项目（含政府和社会资本合作项目），提交最后报价的供应商可以为2家。</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6.3.8串通投标认定</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磋商小组须根据以下规定认定供应商是否有</w:t>
      </w:r>
      <w:r>
        <w:rPr>
          <w:rFonts w:hint="default" w:ascii="Arial" w:hAnsi="Arial" w:cs="Arial"/>
          <w:bCs/>
          <w:color w:val="auto"/>
          <w:kern w:val="0"/>
          <w:szCs w:val="21"/>
          <w:highlight w:val="none"/>
        </w:rPr>
        <w:t>串通投标的行为</w:t>
      </w:r>
      <w:r>
        <w:rPr>
          <w:rFonts w:hint="default" w:ascii="Arial" w:hAnsi="Arial" w:cs="Arial"/>
          <w:color w:val="auto"/>
          <w:highlight w:val="none"/>
        </w:rPr>
        <w:t>。</w:t>
      </w:r>
    </w:p>
    <w:p>
      <w:pPr>
        <w:spacing w:before="120" w:line="320" w:lineRule="atLeast"/>
        <w:ind w:firstLine="420" w:firstLineChars="200"/>
        <w:rPr>
          <w:rFonts w:hint="default" w:ascii="Arial" w:hAnsi="Arial" w:cs="Arial"/>
          <w:color w:val="auto"/>
          <w:szCs w:val="21"/>
          <w:highlight w:val="none"/>
        </w:rPr>
      </w:pPr>
      <w:bookmarkStart w:id="60" w:name="_Hlk19122026"/>
      <w:r>
        <w:rPr>
          <w:rFonts w:hint="default" w:ascii="Arial" w:hAnsi="Arial" w:cs="Arial"/>
          <w:color w:val="auto"/>
          <w:szCs w:val="21"/>
          <w:highlight w:val="none"/>
        </w:rPr>
        <w:t>（1）</w:t>
      </w:r>
      <w:bookmarkEnd w:id="60"/>
      <w:r>
        <w:rPr>
          <w:rFonts w:hint="default" w:ascii="Arial" w:hAnsi="Arial" w:cs="Arial"/>
          <w:color w:val="auto"/>
          <w:szCs w:val="21"/>
          <w:highlight w:val="none"/>
        </w:rPr>
        <w:t>根据《关于防治政府采购招标中串通投标行为的通知》（桂财采[2016]42号）规定，出现下述情况的，相关供应商的投标作无效投标处理。</w:t>
      </w:r>
    </w:p>
    <w:p>
      <w:pPr>
        <w:spacing w:before="120" w:line="320" w:lineRule="atLeast"/>
        <w:ind w:firstLine="420" w:firstLineChars="200"/>
        <w:rPr>
          <w:rFonts w:hint="default" w:ascii="Arial" w:hAnsi="Arial" w:cs="Arial"/>
          <w:color w:val="auto"/>
          <w:szCs w:val="21"/>
          <w:highlight w:val="none"/>
        </w:rPr>
      </w:pPr>
      <w:bookmarkStart w:id="61" w:name="_Hlk19122039"/>
      <w:r>
        <w:rPr>
          <w:rFonts w:hint="default" w:ascii="Arial" w:hAnsi="Arial" w:cs="Arial"/>
          <w:color w:val="auto"/>
          <w:szCs w:val="21"/>
          <w:highlight w:val="none"/>
        </w:rPr>
        <w:t>①单位负责人为同一人或者存在直接控股、管理关系，参加同一合同项下政府采购活动的不同供应商。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②授权给供应商后参加同一合同项（分标、分包）投标的生产厂商。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③视为或被认定为串通投标的相关供应商。</w:t>
      </w:r>
    </w:p>
    <w:bookmarkEnd w:id="61"/>
    <w:p>
      <w:pPr>
        <w:spacing w:before="120" w:line="320" w:lineRule="atLeast"/>
        <w:ind w:firstLine="420" w:firstLineChars="200"/>
        <w:rPr>
          <w:rFonts w:hint="default" w:ascii="Arial" w:hAnsi="Arial" w:cs="Arial"/>
          <w:color w:val="auto"/>
          <w:szCs w:val="21"/>
          <w:highlight w:val="none"/>
        </w:rPr>
      </w:pPr>
      <w:bookmarkStart w:id="62" w:name="_Hlk19122058"/>
      <w:r>
        <w:rPr>
          <w:rFonts w:hint="default" w:ascii="Arial" w:hAnsi="Arial" w:cs="Arial"/>
          <w:color w:val="auto"/>
          <w:szCs w:val="21"/>
          <w:highlight w:val="none"/>
        </w:rPr>
        <w:t>（2）</w:t>
      </w:r>
      <w:bookmarkEnd w:id="62"/>
      <w:r>
        <w:rPr>
          <w:rFonts w:hint="default" w:ascii="Arial" w:hAnsi="Arial" w:cs="Arial"/>
          <w:color w:val="auto"/>
          <w:szCs w:val="21"/>
          <w:highlight w:val="none"/>
        </w:rPr>
        <w:t>根据《关于防治政府采购招标中串通投标行为的通知》（桂财采[2016]42号）规定，有下列情形之一的视为供应商相互串通投标，响应文件将被视为无效。</w:t>
      </w:r>
    </w:p>
    <w:p>
      <w:pPr>
        <w:spacing w:before="120" w:line="320" w:lineRule="atLeast"/>
        <w:ind w:firstLine="420" w:firstLineChars="200"/>
        <w:rPr>
          <w:rFonts w:hint="default" w:ascii="Arial" w:hAnsi="Arial" w:cs="Arial"/>
          <w:color w:val="auto"/>
          <w:szCs w:val="21"/>
          <w:highlight w:val="none"/>
        </w:rPr>
      </w:pPr>
      <w:bookmarkStart w:id="63" w:name="_Hlk19122048"/>
      <w:r>
        <w:rPr>
          <w:rFonts w:hint="default" w:ascii="Arial" w:hAnsi="Arial" w:cs="Arial"/>
          <w:color w:val="auto"/>
          <w:szCs w:val="21"/>
          <w:highlight w:val="none"/>
        </w:rPr>
        <w:t>①不同供应商的响应文件由同一单位或者个人编制；或不同供应商报名的IP地址一致的；</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②不同供应商委托同一单位或者个人办理投标事宜；</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③不同的供应商的响应文件载明的项目管理员为同一个人；</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④不同供应商的响应文件异常一致或投标报价呈规律性差异；</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⑤不同供应商的响应文件相互混装；</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⑥不同供应商的保证金从同一单位或者个人账户转出。</w:t>
      </w:r>
    </w:p>
    <w:bookmarkEnd w:id="63"/>
    <w:p>
      <w:pPr>
        <w:spacing w:before="120" w:line="320" w:lineRule="atLeast"/>
        <w:ind w:firstLine="420" w:firstLineChars="200"/>
        <w:rPr>
          <w:rFonts w:hint="default" w:ascii="Arial" w:hAnsi="Arial" w:cs="Arial"/>
          <w:color w:val="auto"/>
          <w:szCs w:val="21"/>
          <w:highlight w:val="none"/>
        </w:rPr>
      </w:pPr>
      <w:bookmarkStart w:id="64" w:name="_Hlk19122102"/>
      <w:r>
        <w:rPr>
          <w:rFonts w:hint="default" w:ascii="Arial" w:hAnsi="Arial" w:cs="Arial"/>
          <w:color w:val="auto"/>
          <w:szCs w:val="21"/>
          <w:highlight w:val="none"/>
        </w:rPr>
        <w:t>（3）</w:t>
      </w:r>
      <w:bookmarkEnd w:id="64"/>
      <w:r>
        <w:rPr>
          <w:rFonts w:hint="default" w:ascii="Arial" w:hAnsi="Arial" w:cs="Arial"/>
          <w:color w:val="auto"/>
          <w:szCs w:val="21"/>
          <w:highlight w:val="none"/>
        </w:rPr>
        <w:t>根据《关于防治政府采购招标中串通投标行为的通知》（桂财采[2016]42号）规定，供应商有下列情形之一的，属于恶意串通行为，响应文件将被视为无效。</w:t>
      </w:r>
    </w:p>
    <w:p>
      <w:pPr>
        <w:spacing w:before="120" w:line="320" w:lineRule="atLeast"/>
        <w:ind w:firstLine="420" w:firstLineChars="200"/>
        <w:rPr>
          <w:rFonts w:hint="default" w:ascii="Arial" w:hAnsi="Arial" w:cs="Arial"/>
          <w:color w:val="auto"/>
          <w:szCs w:val="21"/>
          <w:highlight w:val="none"/>
        </w:rPr>
      </w:pPr>
      <w:bookmarkStart w:id="65" w:name="_Hlk19122095"/>
      <w:r>
        <w:rPr>
          <w:rFonts w:hint="default" w:ascii="Arial" w:hAnsi="Arial" w:cs="Arial"/>
          <w:color w:val="auto"/>
          <w:szCs w:val="21"/>
          <w:highlight w:val="none"/>
        </w:rPr>
        <w:t>①供应商直接或者间接从采购人或者采购代理机构处获得其他供应商的相关信息并修改其响应文件或者响应文件；</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②供应商按照采购人或者采购代理机构的授意撤换、修改响应文件或者响应文件;；</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③供应商之间协商报价、技术方案等响应文件或者响应文件的实质性内容；</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④属于同一集团、协会、商会等组织成员的供应商按照该组织要求协同参加政府采购活动；</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⑥供应商之间商定部分供应商放弃参加政府采购活动或者放弃中标；</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⑦供应商与采购人或者采购代理机构之间、供应商相互之间，为谋求特定供应商中标或者排斥其他供应商的其他串通行为。</w:t>
      </w:r>
    </w:p>
    <w:bookmarkEnd w:id="65"/>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6.3.9响应无效认定</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（1）在评审过程中如发现下列情形之一的，响应文件将被视为无效：</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①响应文件存在法律、法规及监督部门有关文件规定的无效情形。</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②响应文件存在采购文件规定的无效情形。</w:t>
      </w:r>
    </w:p>
    <w:p>
      <w:pPr>
        <w:spacing w:before="120" w:line="320" w:lineRule="atLeast"/>
        <w:ind w:firstLine="420" w:firstLineChars="200"/>
        <w:rPr>
          <w:rFonts w:hint="default" w:ascii="Arial" w:hAnsi="Arial" w:cs="Arial"/>
          <w:color w:val="auto"/>
          <w:szCs w:val="21"/>
          <w:highlight w:val="none"/>
        </w:rPr>
      </w:pPr>
      <w:bookmarkStart w:id="66" w:name="_Hlk19113313"/>
      <w:r>
        <w:rPr>
          <w:rFonts w:hint="default" w:ascii="Arial" w:hAnsi="Arial"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响应无效或否决响应，从而限制和影响供应商投标（响应）。</w:t>
      </w:r>
    </w:p>
    <w:bookmarkEnd w:id="66"/>
    <w:p>
      <w:pPr>
        <w:spacing w:before="120" w:line="320" w:lineRule="atLeast"/>
        <w:ind w:firstLine="420" w:firstLineChars="200"/>
        <w:rPr>
          <w:rFonts w:hint="default" w:ascii="Arial" w:hAnsi="Arial" w:cs="Arial"/>
          <w:color w:val="auto"/>
          <w:szCs w:val="21"/>
          <w:highlight w:val="none"/>
        </w:rPr>
      </w:pPr>
      <w:bookmarkStart w:id="67" w:name="_Hlk19113363"/>
      <w:r>
        <w:rPr>
          <w:rFonts w:hint="default" w:ascii="Arial" w:hAnsi="Arial" w:cs="Arial"/>
          <w:color w:val="auto"/>
          <w:szCs w:val="21"/>
          <w:highlight w:val="none"/>
        </w:rPr>
        <w:t>6.3.10比较与评价</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（1）磋商小组按采购文件中规定的评审方法和标准，对提交最后报价的供应商的响应文件和最后报价进行综合评分。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（2）磋商小组各成员独立对每个有效供应商的响应文件进行评价、打分。评价打分有误的应及时进行修正。评分标准如有客观分定义，磋商小组所有成员的客观分评分分值应当一致。</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（3）磋商小组按综合评分由高到低的排列顺序推荐3名以上成交候选供应商，排名第一的为第一成交候选供应商。若成交候选人综合评分相同的，按最后报价由低到高顺序排列；综合评分且最后报价相同的</w:t>
      </w:r>
      <w:r>
        <w:rPr>
          <w:rFonts w:hint="default" w:ascii="Arial" w:hAnsi="Arial" w:cs="Arial"/>
          <w:color w:val="auto"/>
          <w:highlight w:val="none"/>
        </w:rPr>
        <w:t>并列</w:t>
      </w:r>
      <w:r>
        <w:rPr>
          <w:rFonts w:hint="default" w:ascii="Arial" w:hAnsi="Arial" w:cs="Arial"/>
          <w:color w:val="auto"/>
          <w:szCs w:val="21"/>
          <w:highlight w:val="none"/>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（4）磋商小组根据评审记录及评审结果编写评审报告，磋商小组成员均应当在评审报告上签字，对自己的评审意见承担法律责任。</w:t>
      </w:r>
      <w:r>
        <w:rPr>
          <w:rFonts w:hint="default" w:ascii="Arial" w:hAnsi="Arial" w:cs="Arial"/>
          <w:color w:val="auto"/>
          <w:highlight w:val="none"/>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资格性检查认定错误、分值汇总计算错误、分项评分超出评分标准范围、客观分评分不一致、经磋商小组一致认定评分畸高、畸低。</w:t>
      </w:r>
    </w:p>
    <w:bookmarkEnd w:id="67"/>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6.4确定成交供应商</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6.4.1采购代理机构在评审结束后2个工作日内将评审报告送采购人，采购人在5个工作日内按照评审报告中推荐的成交候选供应商顺序确定成交供应商。</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6.5结果公告</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6.5.1自成交供应商确定后2个工作日内，采购代理机构按照供应商须知</w:t>
      </w:r>
      <w:r>
        <w:rPr>
          <w:rFonts w:hint="default" w:ascii="Arial" w:hAnsi="Arial" w:cs="Arial"/>
          <w:color w:val="auto"/>
          <w:kern w:val="0"/>
          <w:szCs w:val="21"/>
          <w:highlight w:val="none"/>
        </w:rPr>
        <w:t>前附表的规定公告</w:t>
      </w:r>
      <w:r>
        <w:rPr>
          <w:rFonts w:hint="default" w:ascii="Arial" w:hAnsi="Arial" w:cs="Arial"/>
          <w:color w:val="auto"/>
          <w:szCs w:val="21"/>
          <w:highlight w:val="none"/>
        </w:rPr>
        <w:t>成交结果。</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pPr>
        <w:suppressAutoHyphens/>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6.6废标</w:t>
      </w:r>
    </w:p>
    <w:p>
      <w:pPr>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kern w:val="1"/>
          <w:szCs w:val="21"/>
          <w:highlight w:val="none"/>
        </w:rPr>
        <w:t xml:space="preserve">6.6.1出现下列情形之一，将导致项目废标： </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kern w:val="1"/>
          <w:szCs w:val="21"/>
          <w:highlight w:val="none"/>
        </w:rPr>
        <w:t>（1</w:t>
      </w:r>
      <w:r>
        <w:rPr>
          <w:rFonts w:hint="default" w:ascii="Arial" w:hAnsi="Arial" w:cs="Arial"/>
          <w:color w:val="auto"/>
          <w:szCs w:val="21"/>
          <w:highlight w:val="none"/>
        </w:rPr>
        <w:t>）符合专业条件的供应商或者对采购文件做实质性响应的供应商不足三家；</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（2）出现影响采购公正的违法、违规行为的；</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（3）供应商的报价均超过了采购预算，采购人不能支付的；</w:t>
      </w:r>
    </w:p>
    <w:p>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（4）</w:t>
      </w:r>
      <w:r>
        <w:rPr>
          <w:rFonts w:hint="default" w:ascii="Arial" w:hAnsi="Arial" w:cs="Arial"/>
          <w:color w:val="auto"/>
          <w:highlight w:val="none"/>
        </w:rPr>
        <w:t>因发生重大变故或采购任务取消的。</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kern w:val="1"/>
          <w:szCs w:val="21"/>
          <w:highlight w:val="none"/>
        </w:rPr>
        <w:t>6.6.2废标后</w:t>
      </w:r>
      <w:r>
        <w:rPr>
          <w:rFonts w:hint="default" w:ascii="Arial" w:hAnsi="Arial" w:cs="Arial"/>
          <w:color w:val="auto"/>
          <w:szCs w:val="21"/>
          <w:highlight w:val="none"/>
        </w:rPr>
        <w:t>采购</w:t>
      </w:r>
      <w:r>
        <w:rPr>
          <w:rFonts w:hint="default" w:ascii="Arial" w:hAnsi="Arial" w:cs="Arial"/>
          <w:color w:val="auto"/>
          <w:kern w:val="1"/>
          <w:szCs w:val="21"/>
          <w:highlight w:val="none"/>
        </w:rPr>
        <w:t>代理机构将发布废标公告通知供应商。</w:t>
      </w:r>
    </w:p>
    <w:p>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7．合同</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7.1合同授予标准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7.2签订合同</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7.2.1如采购文件无特别规定，成交供应商按采购文件确定的事项签订政府采购合同。</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7.2.3如成交供应商不按成交通知书的规定签订合同，其磋商保证金将不予退还，并报由同级政府采购监督管理部门处理。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7.2.4成交供应商拒绝与采购人签订合同的，采购人可以按照评审报告推荐的成交候选人名单排序，确定下一候选人为成交供应商，也可以重新开展政府采购活动。</w:t>
      </w:r>
    </w:p>
    <w:p>
      <w:pPr>
        <w:spacing w:before="120" w:line="320" w:lineRule="atLeast"/>
        <w:ind w:firstLine="420" w:firstLineChars="200"/>
        <w:rPr>
          <w:rFonts w:hint="default" w:ascii="Arial" w:hAnsi="Arial" w:cs="Arial"/>
          <w:color w:val="auto"/>
          <w:szCs w:val="21"/>
          <w:highlight w:val="none"/>
        </w:rPr>
      </w:pPr>
      <w:bookmarkStart w:id="68" w:name="_Hlk155170999"/>
      <w:r>
        <w:rPr>
          <w:rFonts w:hint="default" w:ascii="Arial" w:hAnsi="Arial" w:cs="Arial"/>
          <w:color w:val="auto"/>
          <w:szCs w:val="21"/>
          <w:highlight w:val="none"/>
        </w:rPr>
        <w:t>7.2.5采购人因不可抗力原因迟延签订合同的，应当自不可抗力事由消除之日起7日内完成合同签订事宜。</w:t>
      </w:r>
      <w:bookmarkEnd w:id="68"/>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7.3合同公告</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7.3.1如采购文件无特殊规定，成交供应商应在签订合同后1个工作日内，将政府采购合同副本送采购代理机构存档。</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pPr>
        <w:spacing w:before="120" w:line="320" w:lineRule="atLeast"/>
        <w:ind w:firstLine="420" w:firstLineChars="200"/>
        <w:rPr>
          <w:rFonts w:hint="default" w:ascii="Arial" w:hAnsi="Arial" w:cs="Arial"/>
          <w:color w:val="auto"/>
          <w:szCs w:val="21"/>
          <w:highlight w:val="none"/>
        </w:rPr>
      </w:pPr>
      <w:bookmarkStart w:id="69" w:name="_Hlk155171014"/>
      <w:r>
        <w:rPr>
          <w:rFonts w:hint="default" w:ascii="Arial" w:hAnsi="Arial"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7.4 履行合同</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7.4.1</w:t>
      </w:r>
      <w:bookmarkStart w:id="70" w:name="_Toc308164814"/>
      <w:bookmarkStart w:id="71" w:name="_Toc217446070"/>
      <w:r>
        <w:rPr>
          <w:rFonts w:hint="default" w:ascii="Arial" w:hAnsi="Arial" w:cs="Arial"/>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pPr>
        <w:spacing w:before="120" w:line="320" w:lineRule="atLeast"/>
        <w:ind w:firstLine="422" w:firstLineChars="200"/>
        <w:rPr>
          <w:rFonts w:hint="default" w:ascii="Arial" w:hAnsi="Arial" w:cs="Arial"/>
          <w:b/>
          <w:bCs/>
          <w:color w:val="auto"/>
          <w:kern w:val="0"/>
          <w:szCs w:val="21"/>
          <w:highlight w:val="none"/>
        </w:rPr>
      </w:pPr>
      <w:r>
        <w:rPr>
          <w:rFonts w:hint="default" w:ascii="Arial" w:hAnsi="Arial" w:cs="Arial"/>
          <w:b/>
          <w:bCs/>
          <w:color w:val="auto"/>
          <w:kern w:val="0"/>
          <w:szCs w:val="21"/>
          <w:highlight w:val="none"/>
        </w:rPr>
        <w:t>7.5履约验收</w:t>
      </w:r>
      <w:bookmarkEnd w:id="70"/>
      <w:bookmarkEnd w:id="71"/>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7.5.1采购人可以根据政府采购项目具体情况自行组织验收，或者委托政府采购代理机构、国家认可的质量检测机构开展采购项目履约验收工作。</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pPr>
        <w:spacing w:before="120" w:line="320" w:lineRule="atLeast"/>
        <w:ind w:left="2" w:leftChars="1" w:firstLine="422" w:firstLineChars="200"/>
        <w:outlineLvl w:val="1"/>
        <w:rPr>
          <w:rFonts w:hint="default" w:ascii="Arial" w:hAnsi="Arial" w:cs="Arial"/>
          <w:b/>
          <w:bCs/>
          <w:color w:val="auto"/>
          <w:kern w:val="0"/>
          <w:szCs w:val="21"/>
          <w:highlight w:val="none"/>
        </w:rPr>
      </w:pPr>
      <w:bookmarkStart w:id="72" w:name="_Toc254970674"/>
      <w:bookmarkStart w:id="73" w:name="_Toc254970533"/>
      <w:r>
        <w:rPr>
          <w:rFonts w:hint="default" w:ascii="Arial" w:hAnsi="Arial" w:cs="Arial"/>
          <w:b/>
          <w:bCs/>
          <w:color w:val="auto"/>
          <w:kern w:val="0"/>
          <w:szCs w:val="21"/>
          <w:highlight w:val="none"/>
        </w:rPr>
        <w:t>8．质疑和投诉</w:t>
      </w:r>
      <w:bookmarkEnd w:id="72"/>
      <w:bookmarkEnd w:id="73"/>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8.1质疑</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8.1.1质疑内容、时限</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（1）供应商对政府采购活动有疑问的，可以向采购人或采购代理机构提出询问。采购人或者采购代理机构应当在3个工作日内对供应商依法提出的询问作出答复。</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供应商为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8.1.2质疑形式</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8.1.3</w:t>
      </w:r>
      <w:r>
        <w:rPr>
          <w:rFonts w:hint="default" w:ascii="Arial" w:hAnsi="Arial" w:cs="Arial"/>
          <w:color w:val="auto"/>
          <w:highlight w:val="none"/>
        </w:rPr>
        <w:t xml:space="preserve"> </w:t>
      </w:r>
      <w:r>
        <w:rPr>
          <w:rFonts w:hint="default" w:ascii="Arial" w:hAnsi="Arial" w:cs="Arial"/>
          <w:color w:val="auto"/>
          <w:szCs w:val="21"/>
          <w:highlight w:val="none"/>
        </w:rPr>
        <w:t>供应商提出质疑应当提交质疑函和必要的证明材料。质疑函应当包括下列内容：</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w:t>
      </w:r>
      <w:r>
        <w:rPr>
          <w:rFonts w:hint="default" w:ascii="Arial" w:hAnsi="Arial" w:cs="Arial"/>
          <w:color w:val="auto"/>
          <w:szCs w:val="21"/>
          <w:highlight w:val="none"/>
        </w:rPr>
        <w:tab/>
      </w:r>
      <w:r>
        <w:rPr>
          <w:rFonts w:hint="default" w:ascii="Arial" w:hAnsi="Arial" w:cs="Arial"/>
          <w:color w:val="auto"/>
          <w:szCs w:val="21"/>
          <w:highlight w:val="none"/>
        </w:rPr>
        <w:t>供应商的姓名或者名称、地址、邮编、联系人及联系电话；</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w:t>
      </w:r>
      <w:r>
        <w:rPr>
          <w:rFonts w:hint="default" w:ascii="Arial" w:hAnsi="Arial" w:cs="Arial"/>
          <w:color w:val="auto"/>
          <w:szCs w:val="21"/>
          <w:highlight w:val="none"/>
        </w:rPr>
        <w:tab/>
      </w:r>
      <w:r>
        <w:rPr>
          <w:rFonts w:hint="default" w:ascii="Arial" w:hAnsi="Arial" w:cs="Arial"/>
          <w:color w:val="auto"/>
          <w:szCs w:val="21"/>
          <w:highlight w:val="none"/>
        </w:rPr>
        <w:t>质疑项目的名称、编号；</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w:t>
      </w:r>
      <w:r>
        <w:rPr>
          <w:rFonts w:hint="default" w:ascii="Arial" w:hAnsi="Arial" w:cs="Arial"/>
          <w:color w:val="auto"/>
          <w:szCs w:val="21"/>
          <w:highlight w:val="none"/>
        </w:rPr>
        <w:tab/>
      </w:r>
      <w:r>
        <w:rPr>
          <w:rFonts w:hint="default" w:ascii="Arial" w:hAnsi="Arial" w:cs="Arial"/>
          <w:color w:val="auto"/>
          <w:szCs w:val="21"/>
          <w:highlight w:val="none"/>
        </w:rPr>
        <w:t>具体、明确的质疑事项和与质疑事项相关的请求；</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w:t>
      </w:r>
      <w:r>
        <w:rPr>
          <w:rFonts w:hint="default" w:ascii="Arial" w:hAnsi="Arial" w:cs="Arial"/>
          <w:color w:val="auto"/>
          <w:szCs w:val="21"/>
          <w:highlight w:val="none"/>
        </w:rPr>
        <w:tab/>
      </w:r>
      <w:r>
        <w:rPr>
          <w:rFonts w:hint="default" w:ascii="Arial" w:hAnsi="Arial" w:cs="Arial"/>
          <w:color w:val="auto"/>
          <w:szCs w:val="21"/>
          <w:highlight w:val="none"/>
        </w:rPr>
        <w:t>事实依据；</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（5）</w:t>
      </w:r>
      <w:r>
        <w:rPr>
          <w:rFonts w:hint="default" w:ascii="Arial" w:hAnsi="Arial" w:cs="Arial"/>
          <w:color w:val="auto"/>
          <w:szCs w:val="21"/>
          <w:highlight w:val="none"/>
        </w:rPr>
        <w:tab/>
      </w:r>
      <w:r>
        <w:rPr>
          <w:rFonts w:hint="default" w:ascii="Arial" w:hAnsi="Arial" w:cs="Arial"/>
          <w:color w:val="auto"/>
          <w:szCs w:val="21"/>
          <w:highlight w:val="none"/>
        </w:rPr>
        <w:t>必要的法律依据；</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w:t>
      </w:r>
      <w:r>
        <w:rPr>
          <w:rFonts w:hint="default" w:ascii="Arial" w:hAnsi="Arial" w:cs="Arial"/>
          <w:color w:val="auto"/>
          <w:szCs w:val="21"/>
          <w:highlight w:val="none"/>
        </w:rPr>
        <w:tab/>
      </w:r>
      <w:r>
        <w:rPr>
          <w:rFonts w:hint="default" w:ascii="Arial" w:hAnsi="Arial" w:cs="Arial"/>
          <w:color w:val="auto"/>
          <w:szCs w:val="21"/>
          <w:highlight w:val="none"/>
        </w:rPr>
        <w:t>提出质疑的日期。</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供应商为自然人的，应当由本人签字；供应商为法人或者其他组织的，应当由法定代表人、主要负责人，或者其授权代表签字或者盖章，并加盖公章。</w:t>
      </w:r>
    </w:p>
    <w:p>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8.2投诉</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8.2.2投诉书应使用财政部发布的政府采购供应投诉书范本，并应按照“投诉书制作说明”进行编写。</w:t>
      </w:r>
    </w:p>
    <w:p>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9．其他事项</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9.1代理服务收费由采购代理机构向成交供应商收取。签订合同前，成交供应商应向采购代理机构一次付清代理服务费。</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9.2电子交易活动的中止。采购过程中出现以下情形，导致电子交易平台无法正常运行，或者无法保证电子交易的公平、公正和安全时，采购机构可中止电子交易活动：</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（1）电子交易平台发生故障而无法登录访问的； </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（2）电子交易平台应用或数据库出现错误，不能进行正常操作的；</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（3）电子交易平台发现严重安全漏洞，有潜在泄密危险的；</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（4）病毒发作导致不能进行正常操作的； </w:t>
      </w:r>
    </w:p>
    <w:p>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（5）其他无法保证电子交易的公平、公正和安全的情况。</w:t>
      </w:r>
    </w:p>
    <w:p>
      <w:pPr>
        <w:tabs>
          <w:tab w:val="left" w:pos="4820"/>
        </w:tabs>
        <w:spacing w:before="120"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spacing w:line="360" w:lineRule="auto"/>
        <w:ind w:firstLine="420"/>
        <w:rPr>
          <w:rFonts w:hint="default" w:ascii="Arial" w:hAnsi="Arial" w:cs="Arial"/>
          <w:color w:val="auto"/>
          <w:szCs w:val="21"/>
          <w:highlight w:val="none"/>
        </w:rPr>
      </w:pPr>
      <w:r>
        <w:rPr>
          <w:rFonts w:hint="default" w:ascii="Arial" w:hAnsi="Arial" w:cs="Arial"/>
          <w:color w:val="auto"/>
          <w:szCs w:val="21"/>
          <w:highlight w:val="none"/>
        </w:rPr>
        <w:t>9.3本项目的附件及图纸详见供应商须知前附表。</w:t>
      </w:r>
    </w:p>
    <w:p>
      <w:pPr>
        <w:spacing w:line="360" w:lineRule="auto"/>
        <w:ind w:firstLine="420"/>
        <w:rPr>
          <w:rFonts w:hint="default" w:ascii="Arial" w:hAnsi="Arial" w:cs="Arial"/>
          <w:color w:val="auto"/>
          <w:szCs w:val="21"/>
          <w:highlight w:val="none"/>
        </w:rPr>
      </w:pPr>
      <w:r>
        <w:rPr>
          <w:rFonts w:hint="default" w:ascii="Arial" w:hAnsi="Arial" w:cs="Arial"/>
          <w:color w:val="auto"/>
          <w:szCs w:val="21"/>
          <w:highlight w:val="none"/>
        </w:rPr>
        <w:t>9.4本项目的其他事项详见供应商须知前附表。</w:t>
      </w:r>
    </w:p>
    <w:p>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10．其他说明</w:t>
      </w:r>
    </w:p>
    <w:p>
      <w:pPr>
        <w:spacing w:before="120" w:line="320" w:lineRule="atLeast"/>
        <w:ind w:left="2" w:leftChars="1" w:firstLine="422" w:firstLineChars="200"/>
        <w:outlineLvl w:val="1"/>
        <w:rPr>
          <w:rFonts w:hint="default" w:ascii="Arial" w:hAnsi="Arial" w:cs="Arial"/>
          <w:color w:val="auto"/>
          <w:kern w:val="0"/>
          <w:szCs w:val="21"/>
          <w:highlight w:val="none"/>
        </w:rPr>
      </w:pPr>
      <w:r>
        <w:rPr>
          <w:rFonts w:hint="default" w:ascii="Arial" w:hAnsi="Arial" w:cs="Arial"/>
          <w:b/>
          <w:bCs/>
          <w:color w:val="auto"/>
          <w:kern w:val="0"/>
          <w:szCs w:val="21"/>
          <w:highlight w:val="none"/>
        </w:rPr>
        <w:t>10.1</w:t>
      </w:r>
      <w:r>
        <w:rPr>
          <w:rFonts w:hint="default" w:ascii="Arial" w:hAnsi="Arial" w:cs="Arial"/>
          <w:color w:val="auto"/>
          <w:kern w:val="0"/>
          <w:szCs w:val="21"/>
          <w:highlight w:val="none"/>
        </w:rPr>
        <w:t>其余未尽事宜按《中华人民共和国政府采购法》、《中华人民共和国政府采购法实施条例》的相关规定执行。</w:t>
      </w:r>
    </w:p>
    <w:p>
      <w:pPr>
        <w:spacing w:before="120" w:line="320" w:lineRule="atLeast"/>
        <w:ind w:left="2" w:leftChars="1" w:firstLine="422" w:firstLineChars="200"/>
        <w:outlineLvl w:val="1"/>
        <w:rPr>
          <w:rFonts w:hint="default" w:ascii="Arial" w:hAnsi="Arial" w:cs="Arial"/>
          <w:color w:val="auto"/>
          <w:sz w:val="32"/>
          <w:szCs w:val="32"/>
          <w:highlight w:val="none"/>
        </w:rPr>
        <w:sectPr>
          <w:headerReference r:id="rId10" w:type="first"/>
          <w:headerReference r:id="rId9" w:type="default"/>
          <w:pgSz w:w="11906" w:h="16838"/>
          <w:pgMar w:top="993" w:right="1133" w:bottom="1246" w:left="1418" w:header="851" w:footer="992" w:gutter="0"/>
          <w:cols w:space="720" w:num="1"/>
          <w:titlePg/>
          <w:docGrid w:linePitch="312" w:charSpace="0"/>
        </w:sectPr>
      </w:pPr>
      <w:r>
        <w:rPr>
          <w:rFonts w:hint="default" w:ascii="Arial" w:hAnsi="Arial" w:cs="Arial"/>
          <w:b/>
          <w:bCs/>
          <w:color w:val="auto"/>
          <w:kern w:val="0"/>
          <w:szCs w:val="21"/>
          <w:highlight w:val="none"/>
        </w:rPr>
        <w:t>10.2</w:t>
      </w:r>
      <w:r>
        <w:rPr>
          <w:rFonts w:hint="default" w:ascii="Arial" w:hAnsi="Arial" w:cs="Arial"/>
          <w:color w:val="auto"/>
          <w:highlight w:val="none"/>
        </w:rPr>
        <w:t>本采购文件是根据国家有关法律及有关政策、法规和参照国际惯例编制，解释权属采购代理机构。</w:t>
      </w:r>
    </w:p>
    <w:p>
      <w:pPr>
        <w:pStyle w:val="27"/>
        <w:snapToGrid w:val="0"/>
        <w:spacing w:before="120" w:after="120" w:line="320" w:lineRule="exact"/>
        <w:jc w:val="center"/>
        <w:outlineLvl w:val="0"/>
        <w:rPr>
          <w:rFonts w:hint="default" w:ascii="Arial" w:hAnsi="Arial" w:cs="Arial"/>
          <w:color w:val="auto"/>
          <w:sz w:val="32"/>
          <w:szCs w:val="32"/>
          <w:highlight w:val="none"/>
        </w:rPr>
      </w:pPr>
      <w:bookmarkStart w:id="74" w:name="_Toc13531"/>
      <w:bookmarkStart w:id="75" w:name="_Toc254970549"/>
      <w:bookmarkStart w:id="76" w:name="_Toc254970690"/>
      <w:r>
        <w:rPr>
          <w:rFonts w:hint="default" w:ascii="Arial" w:hAnsi="Arial" w:cs="Arial"/>
          <w:color w:val="auto"/>
          <w:sz w:val="32"/>
          <w:szCs w:val="32"/>
          <w:highlight w:val="none"/>
        </w:rPr>
        <w:t>第四章  评审方法及标准</w:t>
      </w:r>
      <w:bookmarkEnd w:id="74"/>
    </w:p>
    <w:p>
      <w:pPr>
        <w:spacing w:before="120" w:line="320" w:lineRule="atLeast"/>
        <w:ind w:firstLine="413" w:firstLineChars="196"/>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1.评审方法</w:t>
      </w:r>
    </w:p>
    <w:p>
      <w:pPr>
        <w:suppressAutoHyphens/>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szCs w:val="21"/>
          <w:highlight w:val="none"/>
        </w:rPr>
        <w:t>本项目采用</w:t>
      </w:r>
      <w:r>
        <w:rPr>
          <w:rFonts w:hint="default" w:ascii="Arial" w:hAnsi="Arial" w:cs="Arial"/>
          <w:bCs/>
          <w:color w:val="auto"/>
          <w:kern w:val="1"/>
          <w:szCs w:val="21"/>
          <w:highlight w:val="none"/>
        </w:rPr>
        <w:t>综合评分法</w:t>
      </w:r>
      <w:r>
        <w:rPr>
          <w:rFonts w:hint="default" w:ascii="Arial" w:hAnsi="Arial" w:cs="Arial"/>
          <w:color w:val="auto"/>
          <w:szCs w:val="21"/>
          <w:highlight w:val="none"/>
        </w:rPr>
        <w:t>进行评审</w:t>
      </w:r>
      <w:r>
        <w:rPr>
          <w:rFonts w:hint="default" w:ascii="Arial" w:hAnsi="Arial" w:cs="Arial"/>
          <w:bCs/>
          <w:color w:val="auto"/>
          <w:kern w:val="1"/>
          <w:szCs w:val="21"/>
          <w:highlight w:val="none"/>
        </w:rPr>
        <w:t>。</w:t>
      </w:r>
      <w:r>
        <w:rPr>
          <w:rFonts w:hint="default" w:ascii="Arial" w:hAnsi="Arial" w:cs="Arial"/>
          <w:color w:val="auto"/>
          <w:szCs w:val="21"/>
          <w:highlight w:val="none"/>
        </w:rPr>
        <w:t>综合评分法，是指响应文件满足采购文件全部实质性要求且按照评审因素的量化指标评审得分最高的供应商为成交候选人的评审方法。</w:t>
      </w:r>
    </w:p>
    <w:p>
      <w:pPr>
        <w:suppressAutoHyphens/>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kern w:val="1"/>
          <w:szCs w:val="21"/>
          <w:highlight w:val="none"/>
        </w:rPr>
        <w:t>本项目评审的其他详细规定在第三章供应商须知中规定。</w:t>
      </w:r>
    </w:p>
    <w:p>
      <w:pPr>
        <w:spacing w:before="120" w:line="320" w:lineRule="atLeast"/>
        <w:ind w:firstLine="413" w:firstLineChars="196"/>
        <w:outlineLvl w:val="1"/>
        <w:rPr>
          <w:rFonts w:hint="default" w:ascii="Arial" w:hAnsi="Arial" w:cs="Arial"/>
          <w:b/>
          <w:color w:val="auto"/>
          <w:kern w:val="0"/>
          <w:szCs w:val="21"/>
          <w:highlight w:val="none"/>
        </w:rPr>
      </w:pPr>
      <w:r>
        <w:rPr>
          <w:rFonts w:hint="default" w:ascii="Arial" w:hAnsi="Arial" w:cs="Arial"/>
          <w:b/>
          <w:color w:val="auto"/>
          <w:kern w:val="0"/>
          <w:szCs w:val="21"/>
          <w:highlight w:val="none"/>
        </w:rPr>
        <w:t>2.资格审查标准</w:t>
      </w:r>
      <w:r>
        <w:rPr>
          <w:rFonts w:hint="default" w:ascii="Arial" w:hAnsi="Arial" w:cs="Arial"/>
          <w:b/>
          <w:bCs/>
          <w:color w:val="auto"/>
          <w:kern w:val="0"/>
          <w:szCs w:val="21"/>
          <w:highlight w:val="none"/>
        </w:rPr>
        <w:t>（不满足任何一项审查内容要求，资格审查即为不合格；</w:t>
      </w:r>
      <w:bookmarkStart w:id="77" w:name="_Hlk160525103"/>
      <w:r>
        <w:rPr>
          <w:rFonts w:hint="default" w:ascii="Arial" w:hAnsi="Arial" w:cs="Arial"/>
          <w:b/>
          <w:bCs/>
          <w:color w:val="auto"/>
          <w:kern w:val="0"/>
          <w:szCs w:val="21"/>
          <w:highlight w:val="none"/>
        </w:rPr>
        <w:t>联合体投标的，联合体各方均应按照资格审查标准的规定提交资格证明文件）</w:t>
      </w:r>
      <w:bookmarkEnd w:id="77"/>
      <w:bookmarkStart w:id="78" w:name="_Hlk19052412"/>
    </w:p>
    <w:tbl>
      <w:tblPr>
        <w:tblStyle w:val="52"/>
        <w:tblW w:w="94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pPr>
              <w:spacing w:line="240" w:lineRule="exact"/>
              <w:jc w:val="center"/>
              <w:rPr>
                <w:rFonts w:hint="default" w:ascii="Arial" w:hAnsi="Arial" w:cs="Arial"/>
                <w:b/>
                <w:color w:val="auto"/>
                <w:kern w:val="0"/>
                <w:szCs w:val="21"/>
                <w:highlight w:val="none"/>
              </w:rPr>
            </w:pPr>
            <w:bookmarkStart w:id="79" w:name="_Hlk92979501"/>
            <w:r>
              <w:rPr>
                <w:rFonts w:hint="default" w:ascii="Arial" w:hAnsi="Arial" w:cs="Arial"/>
                <w:b/>
                <w:color w:val="auto"/>
                <w:kern w:val="0"/>
                <w:szCs w:val="21"/>
                <w:highlight w:val="none"/>
              </w:rPr>
              <w:t>审查因素</w:t>
            </w:r>
          </w:p>
        </w:tc>
        <w:tc>
          <w:tcPr>
            <w:tcW w:w="1843" w:type="dxa"/>
            <w:noWrap w:val="0"/>
            <w:vAlign w:val="center"/>
          </w:tcPr>
          <w:p>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审查内容</w:t>
            </w:r>
          </w:p>
        </w:tc>
        <w:tc>
          <w:tcPr>
            <w:tcW w:w="6739" w:type="dxa"/>
            <w:noWrap w:val="0"/>
            <w:vAlign w:val="center"/>
          </w:tcPr>
          <w:p>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846" w:type="dxa"/>
            <w:vMerge w:val="restart"/>
            <w:noWrap w:val="0"/>
            <w:vAlign w:val="center"/>
          </w:tcPr>
          <w:p>
            <w:pPr>
              <w:spacing w:line="240" w:lineRule="exact"/>
              <w:rPr>
                <w:rFonts w:hint="default" w:ascii="Arial" w:hAnsi="Arial" w:cs="Arial"/>
                <w:color w:val="auto"/>
                <w:szCs w:val="21"/>
                <w:highlight w:val="none"/>
                <w:lang w:val="zh-CN"/>
              </w:rPr>
            </w:pPr>
            <w:r>
              <w:rPr>
                <w:rFonts w:hint="default" w:ascii="Arial" w:hAnsi="Arial" w:cs="Arial"/>
                <w:color w:val="auto"/>
                <w:szCs w:val="21"/>
                <w:highlight w:val="none"/>
                <w:lang w:val="zh-CN"/>
              </w:rPr>
              <w:t>供应商应符合的基本</w:t>
            </w:r>
            <w:r>
              <w:rPr>
                <w:rFonts w:hint="default" w:ascii="Arial" w:hAnsi="Arial" w:cs="Arial"/>
                <w:color w:val="auto"/>
                <w:szCs w:val="21"/>
                <w:highlight w:val="none"/>
              </w:rPr>
              <w:t>资格要求</w:t>
            </w: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（1）具有独立承担民事责任的能力</w:t>
            </w:r>
          </w:p>
        </w:tc>
        <w:tc>
          <w:tcPr>
            <w:tcW w:w="6739" w:type="dxa"/>
            <w:noWrap w:val="0"/>
            <w:vAlign w:val="top"/>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审查供应商为法人或者其他组织的，提供营业执照等证明文件（如营业执照或者事业单位法人证书或者执业许可证等），供应商为自然人的，提供身份证复印件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rFonts w:hint="default" w:ascii="Arial" w:hAnsi="Arial" w:cs="Arial"/>
                <w:color w:val="auto"/>
                <w:szCs w:val="21"/>
                <w:highlight w:val="none"/>
                <w:lang w:val="zh-CN"/>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（2）</w:t>
            </w:r>
            <w:r>
              <w:rPr>
                <w:rFonts w:hint="default" w:ascii="Arial" w:hAnsi="Arial" w:cs="Arial"/>
                <w:color w:val="auto"/>
                <w:szCs w:val="21"/>
                <w:highlight w:val="none"/>
              </w:rPr>
              <w:t>具有良好的商业信誉和健全的财务会计制度</w:t>
            </w:r>
          </w:p>
        </w:tc>
        <w:tc>
          <w:tcPr>
            <w:tcW w:w="6739" w:type="dxa"/>
            <w:noWrap w:val="0"/>
            <w:vAlign w:val="top"/>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①审查商业信誉声明。须提供，格式见第六章响应文件格式“响应声明书”。</w:t>
            </w:r>
          </w:p>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2024年的审计报告或财务报表（至少包含资产负债表、利润表、现金流量表）（2025年新成立的公司提供公司成立日之后次月起到响应文件递交截止前1个月的财务报表）或供应商提交响应文件截止之日前3个月内其基本开户银行出具的银行资信证明（仅提供银行出具的存款证明不能作为其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rFonts w:hint="default" w:ascii="Arial" w:hAnsi="Arial" w:cs="Arial"/>
                <w:color w:val="auto"/>
                <w:szCs w:val="21"/>
                <w:highlight w:val="none"/>
                <w:lang w:val="zh-CN"/>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（3）具有履行合同所必需的设备和专业技术能力</w:t>
            </w:r>
          </w:p>
        </w:tc>
        <w:tc>
          <w:tcPr>
            <w:tcW w:w="6739" w:type="dxa"/>
            <w:noWrap w:val="0"/>
            <w:vAlign w:val="top"/>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①审查供应商营业执照，须有效； </w:t>
            </w:r>
          </w:p>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②审查书面声明。须提供，格式见第六章响应文件格式“响应</w:t>
            </w:r>
            <w:r>
              <w:rPr>
                <w:rFonts w:hint="default" w:ascii="Arial" w:hAnsi="Arial" w:cs="Arial"/>
                <w:color w:val="auto"/>
                <w:highlight w:val="none"/>
              </w:rPr>
              <w:t>声明书</w:t>
            </w:r>
            <w:r>
              <w:rPr>
                <w:rFonts w:hint="default" w:ascii="Arial" w:hAnsi="Arial" w:cs="Arial"/>
                <w:color w:val="auto"/>
                <w:szCs w:val="21"/>
                <w:highlight w:val="none"/>
              </w:rPr>
              <w:t>”。</w:t>
            </w:r>
          </w:p>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审查①或②，满足其一，即为符合要求。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rFonts w:hint="default" w:ascii="Arial" w:hAnsi="Arial" w:cs="Arial"/>
                <w:color w:val="auto"/>
                <w:szCs w:val="21"/>
                <w:highlight w:val="none"/>
                <w:lang w:val="zh-CN"/>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（4）有依法缴纳税收和社会保障金的良好记录</w:t>
            </w:r>
          </w:p>
        </w:tc>
        <w:tc>
          <w:tcPr>
            <w:tcW w:w="6739" w:type="dxa"/>
            <w:noWrap w:val="0"/>
            <w:vAlign w:val="top"/>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①审查响应截止时间前6个月内，</w:t>
            </w:r>
            <w:r>
              <w:rPr>
                <w:rFonts w:hint="default" w:ascii="Arial" w:hAnsi="Arial" w:cs="Arial"/>
                <w:color w:val="auto"/>
                <w:highlight w:val="none"/>
              </w:rPr>
              <w:t>供应商任意1个月</w:t>
            </w:r>
            <w:r>
              <w:rPr>
                <w:rFonts w:hint="default" w:ascii="Arial" w:hAnsi="Arial" w:cs="Arial"/>
                <w:color w:val="auto"/>
                <w:szCs w:val="21"/>
                <w:highlight w:val="none"/>
              </w:rPr>
              <w:t>依法缴纳税费证明复印件加盖供应商电子签章。</w:t>
            </w:r>
          </w:p>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②审查响应截止时间前6个月内，</w:t>
            </w:r>
            <w:r>
              <w:rPr>
                <w:rFonts w:hint="default" w:ascii="Arial" w:hAnsi="Arial" w:cs="Arial"/>
                <w:color w:val="auto"/>
                <w:highlight w:val="none"/>
              </w:rPr>
              <w:t>供应商任意1个月</w:t>
            </w:r>
            <w:r>
              <w:rPr>
                <w:rFonts w:hint="default" w:ascii="Arial" w:hAnsi="Arial" w:cs="Arial"/>
                <w:color w:val="auto"/>
                <w:szCs w:val="21"/>
                <w:highlight w:val="none"/>
              </w:rPr>
              <w:t>的社保缴费证明记录复印件加盖供应商电子签章。</w:t>
            </w:r>
          </w:p>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供应商成立不足1个月的，无须提供缴纳税费证明及社保缴费证明加盖供应商电子签章。</w:t>
            </w:r>
          </w:p>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依法免税或不需要缴纳社会保障资金的供应商，须提供相应文件证明其依法免税或不需要缴纳社会保障资金。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rFonts w:hint="default" w:ascii="Arial" w:hAnsi="Arial" w:cs="Arial"/>
                <w:color w:val="auto"/>
                <w:szCs w:val="21"/>
                <w:highlight w:val="none"/>
                <w:lang w:val="zh-CN"/>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（5）参加政府采购活动前三年内，在经营活动中没有重大违法记录</w:t>
            </w:r>
          </w:p>
        </w:tc>
        <w:tc>
          <w:tcPr>
            <w:tcW w:w="6739"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审查无重大违法记录声明。须提供，格式见第六章响应文件格式“响应声明书”。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rFonts w:hint="default" w:ascii="Arial" w:hAnsi="Arial" w:cs="Arial"/>
                <w:color w:val="auto"/>
                <w:szCs w:val="21"/>
                <w:highlight w:val="none"/>
                <w:lang w:val="zh-CN"/>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（6）具备法律、行政法规规定的其他要求</w:t>
            </w:r>
          </w:p>
        </w:tc>
        <w:tc>
          <w:tcPr>
            <w:tcW w:w="6739"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noWrap w:val="0"/>
            <w:vAlign w:val="center"/>
          </w:tcPr>
          <w:p>
            <w:pPr>
              <w:spacing w:line="24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采购政策</w:t>
            </w: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落实政府采购政策需满足的资格要求</w:t>
            </w:r>
          </w:p>
        </w:tc>
        <w:tc>
          <w:tcPr>
            <w:tcW w:w="6739"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846" w:type="dxa"/>
            <w:vMerge w:val="restart"/>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lang w:val="zh-CN"/>
              </w:rPr>
              <w:t>供应商应符合的</w:t>
            </w:r>
            <w:r>
              <w:rPr>
                <w:rFonts w:hint="default" w:ascii="Arial" w:hAnsi="Arial" w:cs="Arial"/>
                <w:color w:val="auto"/>
                <w:szCs w:val="21"/>
                <w:highlight w:val="none"/>
              </w:rPr>
              <w:t>特定资格要求</w:t>
            </w: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（1）资质要求</w:t>
            </w:r>
          </w:p>
        </w:tc>
        <w:tc>
          <w:tcPr>
            <w:tcW w:w="6739"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须符合“磋商公告”的要求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rFonts w:hint="default" w:ascii="Arial" w:hAnsi="Arial" w:cs="Arial"/>
                <w:color w:val="auto"/>
                <w:szCs w:val="21"/>
                <w:highlight w:val="none"/>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（2）业绩要求</w:t>
            </w:r>
          </w:p>
        </w:tc>
        <w:tc>
          <w:tcPr>
            <w:tcW w:w="6739"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须符合“磋商公告”的要求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pPr>
              <w:spacing w:line="240" w:lineRule="exact"/>
              <w:jc w:val="left"/>
              <w:rPr>
                <w:rFonts w:hint="default" w:ascii="Arial" w:hAnsi="Arial" w:cs="Arial"/>
                <w:color w:val="auto"/>
                <w:szCs w:val="21"/>
                <w:highlight w:val="none"/>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（3）供应商不得参加响应的情形</w:t>
            </w:r>
          </w:p>
        </w:tc>
        <w:tc>
          <w:tcPr>
            <w:tcW w:w="6739" w:type="dxa"/>
            <w:noWrap w:val="0"/>
            <w:vAlign w:val="center"/>
          </w:tcPr>
          <w:p>
            <w:pPr>
              <w:spacing w:line="24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须提供，格式见第六章响应文件格式“供应商直接控股股东、管理关系信息表”。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pPr>
              <w:spacing w:line="240" w:lineRule="exact"/>
              <w:jc w:val="left"/>
              <w:rPr>
                <w:rFonts w:hint="default" w:ascii="Arial" w:hAnsi="Arial" w:cs="Arial"/>
                <w:color w:val="auto"/>
                <w:kern w:val="0"/>
                <w:szCs w:val="21"/>
                <w:highlight w:val="none"/>
              </w:rPr>
            </w:pPr>
          </w:p>
        </w:tc>
        <w:tc>
          <w:tcPr>
            <w:tcW w:w="1843" w:type="dxa"/>
            <w:noWrap w:val="0"/>
            <w:vAlign w:val="center"/>
          </w:tcPr>
          <w:p>
            <w:pPr>
              <w:spacing w:line="240" w:lineRule="exact"/>
              <w:jc w:val="left"/>
              <w:rPr>
                <w:rFonts w:hint="default" w:ascii="Arial" w:hAnsi="Arial" w:cs="Arial"/>
                <w:color w:val="auto"/>
                <w:kern w:val="0"/>
                <w:szCs w:val="21"/>
                <w:highlight w:val="none"/>
              </w:rPr>
            </w:pPr>
            <w:r>
              <w:rPr>
                <w:rFonts w:hint="default" w:ascii="Arial" w:hAnsi="Arial" w:cs="Arial"/>
                <w:color w:val="auto"/>
                <w:szCs w:val="21"/>
                <w:highlight w:val="none"/>
              </w:rPr>
              <w:t>（4）诚信要求</w:t>
            </w:r>
          </w:p>
        </w:tc>
        <w:tc>
          <w:tcPr>
            <w:tcW w:w="6739" w:type="dxa"/>
            <w:noWrap w:val="0"/>
            <w:vAlign w:val="top"/>
          </w:tcPr>
          <w:p>
            <w:pPr>
              <w:spacing w:line="240" w:lineRule="exact"/>
              <w:jc w:val="left"/>
              <w:rPr>
                <w:rFonts w:hint="default" w:ascii="Arial" w:hAnsi="Arial" w:cs="Arial"/>
                <w:color w:val="auto"/>
                <w:kern w:val="0"/>
                <w:szCs w:val="21"/>
                <w:highlight w:val="none"/>
              </w:rPr>
            </w:pPr>
            <w:r>
              <w:rPr>
                <w:rFonts w:hint="default" w:ascii="Arial" w:hAnsi="Arial" w:cs="Arial"/>
                <w:color w:val="auto"/>
                <w:szCs w:val="21"/>
                <w:highlight w:val="none"/>
              </w:rPr>
              <w:t>未被列入失信被执行人、重大税收违法失信主体、政府采购严重违法失信行为记录名单。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846" w:type="dxa"/>
            <w:vMerge w:val="continue"/>
            <w:noWrap w:val="0"/>
            <w:vAlign w:val="center"/>
          </w:tcPr>
          <w:p>
            <w:pPr>
              <w:spacing w:line="240" w:lineRule="exact"/>
              <w:jc w:val="left"/>
              <w:rPr>
                <w:rFonts w:hint="default" w:ascii="Arial" w:hAnsi="Arial" w:cs="Arial"/>
                <w:color w:val="auto"/>
                <w:kern w:val="0"/>
                <w:szCs w:val="21"/>
                <w:highlight w:val="none"/>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（5）分包</w:t>
            </w:r>
          </w:p>
        </w:tc>
        <w:tc>
          <w:tcPr>
            <w:tcW w:w="6739" w:type="dxa"/>
            <w:noWrap w:val="0"/>
            <w:vAlign w:val="center"/>
          </w:tcPr>
          <w:p>
            <w:pPr>
              <w:spacing w:line="240" w:lineRule="exact"/>
              <w:rPr>
                <w:rFonts w:hint="default" w:ascii="Arial" w:hAnsi="Arial" w:cs="Arial"/>
                <w:color w:val="auto"/>
                <w:szCs w:val="21"/>
                <w:highlight w:val="none"/>
                <w:lang w:val="zh-CN"/>
              </w:rPr>
            </w:pPr>
            <w:r>
              <w:rPr>
                <w:rFonts w:hint="default" w:ascii="Arial" w:hAnsi="Arial" w:cs="Arial"/>
                <w:color w:val="auto"/>
                <w:szCs w:val="21"/>
                <w:highlight w:val="none"/>
              </w:rPr>
              <w:t>须符合“磋商公告”的要求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pPr>
              <w:spacing w:line="240" w:lineRule="exact"/>
              <w:jc w:val="left"/>
              <w:rPr>
                <w:rFonts w:hint="default" w:ascii="Arial" w:hAnsi="Arial" w:cs="Arial"/>
                <w:color w:val="auto"/>
                <w:kern w:val="0"/>
                <w:szCs w:val="21"/>
                <w:highlight w:val="none"/>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（6）联合体</w:t>
            </w:r>
          </w:p>
        </w:tc>
        <w:tc>
          <w:tcPr>
            <w:tcW w:w="6739"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lang w:val="zh-CN"/>
              </w:rPr>
              <w:t>须符合“磋商公告”的要求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846" w:type="dxa"/>
            <w:vMerge w:val="continue"/>
            <w:noWrap w:val="0"/>
            <w:vAlign w:val="center"/>
          </w:tcPr>
          <w:p>
            <w:pPr>
              <w:spacing w:line="240" w:lineRule="exact"/>
              <w:rPr>
                <w:rFonts w:hint="default" w:ascii="Arial" w:hAnsi="Arial" w:cs="Arial"/>
                <w:color w:val="auto"/>
                <w:szCs w:val="21"/>
                <w:highlight w:val="none"/>
              </w:rPr>
            </w:pPr>
          </w:p>
        </w:tc>
        <w:tc>
          <w:tcPr>
            <w:tcW w:w="1843" w:type="dxa"/>
            <w:noWrap w:val="0"/>
            <w:vAlign w:val="center"/>
          </w:tcPr>
          <w:p>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（7）其他要求</w:t>
            </w:r>
          </w:p>
        </w:tc>
        <w:tc>
          <w:tcPr>
            <w:tcW w:w="6739" w:type="dxa"/>
            <w:noWrap w:val="0"/>
            <w:vAlign w:val="top"/>
          </w:tcPr>
          <w:p>
            <w:pPr>
              <w:spacing w:line="312"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按照磋商公告规定获得采购文件。足额、及时缴纳磋商保证金。</w:t>
            </w:r>
          </w:p>
        </w:tc>
      </w:tr>
      <w:bookmarkEnd w:id="79"/>
    </w:tbl>
    <w:p>
      <w:pPr>
        <w:spacing w:before="120" w:line="320" w:lineRule="atLeast"/>
        <w:ind w:firstLine="413" w:firstLineChars="196"/>
        <w:outlineLvl w:val="1"/>
        <w:rPr>
          <w:rFonts w:hint="default" w:ascii="Arial" w:hAnsi="Arial" w:cs="Arial"/>
          <w:color w:val="auto"/>
          <w:szCs w:val="21"/>
          <w:highlight w:val="none"/>
        </w:rPr>
      </w:pPr>
      <w:bookmarkStart w:id="80" w:name="_Hlk92979639"/>
      <w:r>
        <w:rPr>
          <w:rFonts w:hint="default" w:ascii="Arial" w:hAnsi="Arial" w:cs="Arial"/>
          <w:b/>
          <w:bCs/>
          <w:color w:val="auto"/>
          <w:kern w:val="0"/>
          <w:szCs w:val="21"/>
          <w:highlight w:val="none"/>
        </w:rPr>
        <w:t>3.符合性审查标准（不满足任何一项审查内容要求，符合性审查即为不合格）</w:t>
      </w:r>
    </w:p>
    <w:bookmarkEnd w:id="80"/>
    <w:tbl>
      <w:tblPr>
        <w:tblStyle w:val="52"/>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noWrap w:val="0"/>
            <w:vAlign w:val="center"/>
          </w:tcPr>
          <w:p>
            <w:pPr>
              <w:spacing w:line="240" w:lineRule="exact"/>
              <w:jc w:val="center"/>
              <w:rPr>
                <w:rFonts w:hint="default" w:ascii="Arial" w:hAnsi="Arial" w:cs="Arial"/>
                <w:b/>
                <w:color w:val="auto"/>
                <w:kern w:val="0"/>
                <w:szCs w:val="21"/>
                <w:highlight w:val="none"/>
              </w:rPr>
            </w:pPr>
            <w:bookmarkStart w:id="81" w:name="_Hlk92979654"/>
            <w:r>
              <w:rPr>
                <w:rFonts w:hint="default" w:ascii="Arial" w:hAnsi="Arial" w:cs="Arial"/>
                <w:b/>
                <w:color w:val="auto"/>
                <w:kern w:val="0"/>
                <w:szCs w:val="21"/>
                <w:highlight w:val="none"/>
              </w:rPr>
              <w:t>审查因素</w:t>
            </w:r>
          </w:p>
        </w:tc>
        <w:tc>
          <w:tcPr>
            <w:tcW w:w="2436" w:type="dxa"/>
            <w:noWrap w:val="0"/>
            <w:vAlign w:val="center"/>
          </w:tcPr>
          <w:p>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审查内容</w:t>
            </w:r>
          </w:p>
        </w:tc>
        <w:tc>
          <w:tcPr>
            <w:tcW w:w="5309" w:type="dxa"/>
            <w:noWrap w:val="0"/>
            <w:vAlign w:val="top"/>
          </w:tcPr>
          <w:p>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noWrap w:val="0"/>
            <w:vAlign w:val="center"/>
          </w:tcPr>
          <w:p>
            <w:pPr>
              <w:spacing w:line="24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商务资信</w:t>
            </w:r>
          </w:p>
        </w:tc>
        <w:tc>
          <w:tcPr>
            <w:tcW w:w="2436" w:type="dxa"/>
            <w:noWrap w:val="0"/>
            <w:vAlign w:val="center"/>
          </w:tcPr>
          <w:p>
            <w:pPr>
              <w:spacing w:line="240" w:lineRule="exact"/>
              <w:rPr>
                <w:rFonts w:hint="default" w:ascii="Arial" w:hAnsi="Arial" w:cs="Arial"/>
                <w:color w:val="auto"/>
                <w:highlight w:val="none"/>
              </w:rPr>
            </w:pPr>
            <w:r>
              <w:rPr>
                <w:rFonts w:hint="default" w:ascii="Arial" w:hAnsi="Arial" w:cs="Arial"/>
                <w:color w:val="auto"/>
                <w:highlight w:val="none"/>
              </w:rPr>
              <w:t>法定代表人身份证明及授权委托书</w:t>
            </w:r>
          </w:p>
        </w:tc>
        <w:tc>
          <w:tcPr>
            <w:tcW w:w="5309"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授权代表参加响应时审查</w:t>
            </w:r>
            <w:r>
              <w:rPr>
                <w:rFonts w:hint="default" w:ascii="Arial" w:hAnsi="Arial" w:cs="Arial"/>
                <w:color w:val="auto"/>
                <w:highlight w:val="none"/>
              </w:rPr>
              <w:t>：</w:t>
            </w:r>
            <w:r>
              <w:rPr>
                <w:rFonts w:hint="default" w:ascii="Arial" w:hAnsi="Arial" w:cs="Arial"/>
                <w:color w:val="auto"/>
                <w:szCs w:val="21"/>
                <w:highlight w:val="none"/>
              </w:rPr>
              <w:t xml:space="preserve">法定代表人授权委托书及附件 </w:t>
            </w:r>
          </w:p>
          <w:p>
            <w:pPr>
              <w:spacing w:line="240" w:lineRule="exact"/>
              <w:rPr>
                <w:rFonts w:hint="default" w:ascii="Arial" w:hAnsi="Arial" w:cs="Arial"/>
                <w:color w:val="auto"/>
                <w:szCs w:val="21"/>
                <w:highlight w:val="none"/>
              </w:rPr>
            </w:pPr>
            <w:r>
              <w:rPr>
                <w:rFonts w:hint="default" w:ascii="Arial" w:hAnsi="Arial" w:cs="Arial"/>
                <w:color w:val="auto"/>
                <w:szCs w:val="21"/>
                <w:highlight w:val="none"/>
              </w:rPr>
              <w:t>法定代表人直接参加响应时审查</w:t>
            </w:r>
            <w:r>
              <w:rPr>
                <w:rFonts w:hint="default" w:ascii="Arial" w:hAnsi="Arial" w:cs="Arial"/>
                <w:color w:val="auto"/>
                <w:highlight w:val="none"/>
              </w:rPr>
              <w:t>：</w:t>
            </w:r>
            <w:r>
              <w:rPr>
                <w:rFonts w:hint="default" w:ascii="Arial" w:hAnsi="Arial" w:cs="Arial"/>
                <w:color w:val="auto"/>
                <w:szCs w:val="21"/>
                <w:highlight w:val="none"/>
              </w:rPr>
              <w:t>法定代表人身份证明及附件</w:t>
            </w:r>
          </w:p>
          <w:p>
            <w:pPr>
              <w:spacing w:line="240" w:lineRule="exact"/>
              <w:rPr>
                <w:rFonts w:hint="default" w:ascii="Arial" w:hAnsi="Arial" w:cs="Arial"/>
                <w:color w:val="auto"/>
                <w:highlight w:val="none"/>
              </w:rPr>
            </w:pPr>
            <w:r>
              <w:rPr>
                <w:rFonts w:hint="default" w:ascii="Arial" w:hAnsi="Arial" w:cs="Arial"/>
                <w:color w:val="auto"/>
                <w:szCs w:val="21"/>
                <w:highlight w:val="none"/>
              </w:rPr>
              <w:t>格式及附件见第六章响应文件格式要求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noWrap w:val="0"/>
            <w:vAlign w:val="center"/>
          </w:tcPr>
          <w:p>
            <w:pPr>
              <w:spacing w:line="240" w:lineRule="exact"/>
              <w:jc w:val="center"/>
              <w:rPr>
                <w:rFonts w:hint="default" w:ascii="Arial" w:hAnsi="Arial" w:cs="Arial"/>
                <w:color w:val="auto"/>
                <w:kern w:val="0"/>
                <w:szCs w:val="21"/>
                <w:highlight w:val="none"/>
              </w:rPr>
            </w:pPr>
          </w:p>
        </w:tc>
        <w:tc>
          <w:tcPr>
            <w:tcW w:w="2436"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实质性条款响应</w:t>
            </w:r>
          </w:p>
        </w:tc>
        <w:tc>
          <w:tcPr>
            <w:tcW w:w="5309"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采购文件实质性要求响应均无负偏离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noWrap w:val="0"/>
            <w:vAlign w:val="center"/>
          </w:tcPr>
          <w:p>
            <w:pPr>
              <w:spacing w:line="240" w:lineRule="exact"/>
              <w:jc w:val="center"/>
              <w:rPr>
                <w:rFonts w:hint="default" w:ascii="Arial" w:hAnsi="Arial" w:cs="Arial"/>
                <w:color w:val="auto"/>
                <w:kern w:val="0"/>
                <w:szCs w:val="21"/>
                <w:highlight w:val="none"/>
              </w:rPr>
            </w:pPr>
          </w:p>
        </w:tc>
        <w:tc>
          <w:tcPr>
            <w:tcW w:w="2436"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串通投标</w:t>
            </w:r>
          </w:p>
        </w:tc>
        <w:tc>
          <w:tcPr>
            <w:tcW w:w="5309"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不属于供应商须知正文第6.3.8规定的串通投标情形，见第六章响应文件格式要求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noWrap w:val="0"/>
            <w:vAlign w:val="center"/>
          </w:tcPr>
          <w:p>
            <w:pPr>
              <w:spacing w:line="240" w:lineRule="exact"/>
              <w:jc w:val="center"/>
              <w:rPr>
                <w:rFonts w:hint="default" w:ascii="Arial" w:hAnsi="Arial" w:cs="Arial"/>
                <w:color w:val="auto"/>
                <w:szCs w:val="21"/>
                <w:highlight w:val="none"/>
              </w:rPr>
            </w:pPr>
            <w:r>
              <w:rPr>
                <w:rFonts w:hint="default" w:ascii="Arial" w:hAnsi="Arial" w:cs="Arial"/>
                <w:color w:val="auto"/>
                <w:kern w:val="0"/>
                <w:szCs w:val="21"/>
                <w:highlight w:val="none"/>
              </w:rPr>
              <w:t>技术</w:t>
            </w:r>
          </w:p>
        </w:tc>
        <w:tc>
          <w:tcPr>
            <w:tcW w:w="2436"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节能产品（如有）</w:t>
            </w:r>
          </w:p>
        </w:tc>
        <w:tc>
          <w:tcPr>
            <w:tcW w:w="5309" w:type="dxa"/>
            <w:noWrap w:val="0"/>
            <w:vAlign w:val="center"/>
          </w:tcPr>
          <w:p>
            <w:pPr>
              <w:spacing w:line="240" w:lineRule="exact"/>
              <w:rPr>
                <w:rFonts w:hint="default" w:ascii="Arial" w:hAnsi="Arial" w:cs="Arial"/>
                <w:bCs/>
                <w:color w:val="auto"/>
                <w:kern w:val="0"/>
                <w:szCs w:val="21"/>
                <w:highlight w:val="none"/>
              </w:rPr>
            </w:pPr>
            <w:r>
              <w:rPr>
                <w:rFonts w:hint="default" w:ascii="Arial" w:hAnsi="Arial" w:cs="Arial"/>
                <w:color w:val="auto"/>
                <w:szCs w:val="21"/>
                <w:highlight w:val="none"/>
              </w:rPr>
              <w:t>采购需求如果包括政府强制采购节能产品，响应产品未使用节能产品政府采购品目清单内的产品，或未处于有效期之内，见第六章响应文件格式要求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noWrap w:val="0"/>
            <w:vAlign w:val="center"/>
          </w:tcPr>
          <w:p>
            <w:pPr>
              <w:spacing w:line="240" w:lineRule="exact"/>
              <w:jc w:val="center"/>
              <w:rPr>
                <w:rFonts w:hint="default" w:ascii="Arial" w:hAnsi="Arial" w:cs="Arial"/>
                <w:color w:val="auto"/>
                <w:kern w:val="0"/>
                <w:szCs w:val="21"/>
                <w:highlight w:val="none"/>
              </w:rPr>
            </w:pPr>
          </w:p>
        </w:tc>
        <w:tc>
          <w:tcPr>
            <w:tcW w:w="2436" w:type="dxa"/>
            <w:noWrap w:val="0"/>
            <w:vAlign w:val="top"/>
          </w:tcPr>
          <w:p>
            <w:pPr>
              <w:rPr>
                <w:rFonts w:hint="default" w:ascii="Arial" w:hAnsi="Arial" w:cs="Arial"/>
                <w:color w:val="auto"/>
                <w:highlight w:val="none"/>
              </w:rPr>
            </w:pPr>
            <w:r>
              <w:rPr>
                <w:rFonts w:hint="default" w:ascii="Arial" w:hAnsi="Arial" w:cs="Arial"/>
                <w:color w:val="auto"/>
                <w:highlight w:val="none"/>
              </w:rPr>
              <w:t>网络安全专用产品（如有）</w:t>
            </w:r>
          </w:p>
        </w:tc>
        <w:tc>
          <w:tcPr>
            <w:tcW w:w="5309" w:type="dxa"/>
            <w:noWrap w:val="0"/>
            <w:vAlign w:val="top"/>
          </w:tcPr>
          <w:p>
            <w:pPr>
              <w:rPr>
                <w:rFonts w:hint="default" w:ascii="Arial" w:hAnsi="Arial" w:cs="Arial"/>
                <w:color w:val="auto"/>
                <w:highlight w:val="none"/>
              </w:rPr>
            </w:pPr>
            <w:r>
              <w:rPr>
                <w:rFonts w:hint="default" w:ascii="Arial" w:hAnsi="Arial" w:cs="Arial"/>
                <w:color w:val="auto"/>
                <w:highlight w:val="none"/>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noWrap w:val="0"/>
            <w:vAlign w:val="center"/>
          </w:tcPr>
          <w:p>
            <w:pPr>
              <w:spacing w:line="24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报价</w:t>
            </w:r>
          </w:p>
        </w:tc>
        <w:tc>
          <w:tcPr>
            <w:tcW w:w="2436"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有效报价</w:t>
            </w:r>
          </w:p>
        </w:tc>
        <w:tc>
          <w:tcPr>
            <w:tcW w:w="5309" w:type="dxa"/>
            <w:noWrap w:val="0"/>
            <w:vAlign w:val="center"/>
          </w:tcPr>
          <w:p>
            <w:pPr>
              <w:spacing w:line="240" w:lineRule="exact"/>
              <w:rPr>
                <w:rFonts w:hint="default" w:ascii="Arial" w:hAnsi="Arial" w:cs="Arial"/>
                <w:bCs/>
                <w:color w:val="auto"/>
                <w:kern w:val="0"/>
                <w:szCs w:val="21"/>
                <w:highlight w:val="none"/>
              </w:rPr>
            </w:pPr>
            <w:r>
              <w:rPr>
                <w:rFonts w:hint="default" w:ascii="Arial" w:hAnsi="Arial" w:cs="Arial"/>
                <w:color w:val="auto"/>
                <w:highlight w:val="none"/>
              </w:rPr>
              <w:t>最后报价未超出采购预算金额（包括分项预算），也未超出最高限价（如有）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pPr>
              <w:spacing w:line="240" w:lineRule="exact"/>
              <w:jc w:val="center"/>
              <w:rPr>
                <w:rFonts w:hint="default" w:ascii="Arial" w:hAnsi="Arial" w:cs="Arial"/>
                <w:color w:val="auto"/>
                <w:kern w:val="0"/>
                <w:szCs w:val="21"/>
                <w:highlight w:val="none"/>
              </w:rPr>
            </w:pPr>
          </w:p>
        </w:tc>
        <w:tc>
          <w:tcPr>
            <w:tcW w:w="2436" w:type="dxa"/>
            <w:noWrap w:val="0"/>
            <w:vAlign w:val="center"/>
          </w:tcPr>
          <w:p>
            <w:pPr>
              <w:spacing w:line="240" w:lineRule="exact"/>
              <w:rPr>
                <w:rFonts w:hint="default" w:ascii="Arial" w:hAnsi="Arial" w:cs="Arial"/>
                <w:bCs/>
                <w:color w:val="auto"/>
                <w:kern w:val="0"/>
                <w:szCs w:val="21"/>
                <w:highlight w:val="none"/>
              </w:rPr>
            </w:pPr>
            <w:r>
              <w:rPr>
                <w:rFonts w:hint="default" w:ascii="Arial" w:hAnsi="Arial" w:cs="Arial"/>
                <w:bCs/>
                <w:color w:val="auto"/>
                <w:kern w:val="0"/>
                <w:szCs w:val="21"/>
                <w:highlight w:val="none"/>
              </w:rPr>
              <w:t>漏项报价</w:t>
            </w:r>
          </w:p>
        </w:tc>
        <w:tc>
          <w:tcPr>
            <w:tcW w:w="5309"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未就所投分标进行报价或者存在漏项报价；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pPr>
              <w:spacing w:line="240" w:lineRule="exact"/>
              <w:jc w:val="center"/>
              <w:rPr>
                <w:rFonts w:hint="default" w:ascii="Arial" w:hAnsi="Arial" w:cs="Arial"/>
                <w:color w:val="auto"/>
                <w:kern w:val="0"/>
                <w:szCs w:val="21"/>
                <w:highlight w:val="none"/>
              </w:rPr>
            </w:pPr>
          </w:p>
        </w:tc>
        <w:tc>
          <w:tcPr>
            <w:tcW w:w="2436"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响应报价唯一性</w:t>
            </w:r>
          </w:p>
        </w:tc>
        <w:tc>
          <w:tcPr>
            <w:tcW w:w="5309"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不存在有选择、有条件的最后报价（采购文件允许有备选方案或者其他约定的除外）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pPr>
              <w:spacing w:line="240" w:lineRule="exact"/>
              <w:jc w:val="center"/>
              <w:rPr>
                <w:rFonts w:hint="default" w:ascii="Arial" w:hAnsi="Arial" w:cs="Arial"/>
                <w:color w:val="auto"/>
                <w:kern w:val="0"/>
                <w:szCs w:val="21"/>
                <w:highlight w:val="none"/>
              </w:rPr>
            </w:pPr>
          </w:p>
        </w:tc>
        <w:tc>
          <w:tcPr>
            <w:tcW w:w="2436"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响应有效期</w:t>
            </w:r>
          </w:p>
        </w:tc>
        <w:tc>
          <w:tcPr>
            <w:tcW w:w="5309" w:type="dxa"/>
            <w:noWrap w:val="0"/>
            <w:vAlign w:val="center"/>
          </w:tcPr>
          <w:p>
            <w:pPr>
              <w:spacing w:line="240" w:lineRule="exact"/>
              <w:rPr>
                <w:rFonts w:hint="default" w:ascii="Arial" w:hAnsi="Arial" w:cs="Arial"/>
                <w:color w:val="auto"/>
                <w:szCs w:val="21"/>
                <w:highlight w:val="none"/>
              </w:rPr>
            </w:pPr>
            <w:r>
              <w:rPr>
                <w:rFonts w:hint="default" w:ascii="Arial" w:hAnsi="Arial" w:cs="Arial"/>
                <w:color w:val="auto"/>
                <w:szCs w:val="21"/>
                <w:highlight w:val="none"/>
              </w:rPr>
              <w:t>满足采购文件规定</w:t>
            </w:r>
          </w:p>
        </w:tc>
      </w:tr>
      <w:bookmarkEnd w:id="81"/>
    </w:tbl>
    <w:p>
      <w:pPr>
        <w:suppressAutoHyphens/>
        <w:spacing w:before="120" w:line="320" w:lineRule="atLeast"/>
        <w:rPr>
          <w:rFonts w:hint="default" w:ascii="Arial" w:hAnsi="Arial" w:cs="Arial"/>
          <w:b/>
          <w:bCs/>
          <w:color w:val="auto"/>
          <w:kern w:val="0"/>
          <w:szCs w:val="21"/>
          <w:highlight w:val="none"/>
        </w:rPr>
      </w:pPr>
    </w:p>
    <w:p>
      <w:pPr>
        <w:spacing w:before="120" w:line="320" w:lineRule="atLeast"/>
        <w:ind w:firstLine="413" w:firstLineChars="196"/>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br w:type="page"/>
      </w:r>
      <w:r>
        <w:rPr>
          <w:rFonts w:hint="default" w:ascii="Arial" w:hAnsi="Arial" w:cs="Arial"/>
          <w:b/>
          <w:bCs/>
          <w:color w:val="auto"/>
          <w:kern w:val="0"/>
          <w:szCs w:val="21"/>
          <w:highlight w:val="none"/>
        </w:rPr>
        <w:t>4.评分标准</w:t>
      </w:r>
    </w:p>
    <w:p>
      <w:pPr>
        <w:pStyle w:val="152"/>
        <w:snapToGrid w:val="0"/>
        <w:spacing w:line="288" w:lineRule="auto"/>
        <w:ind w:firstLine="0" w:firstLineChars="0"/>
        <w:rPr>
          <w:rFonts w:hint="default" w:ascii="Arial" w:hAnsi="Arial" w:cs="Arial"/>
          <w:b/>
          <w:color w:val="auto"/>
          <w:kern w:val="0"/>
          <w:szCs w:val="21"/>
          <w:highlight w:val="none"/>
        </w:rPr>
      </w:pPr>
      <w:bookmarkStart w:id="82" w:name="_Hlk77609326"/>
      <w:r>
        <w:rPr>
          <w:rFonts w:hint="default" w:ascii="Arial" w:hAnsi="Arial" w:cs="Arial"/>
          <w:b/>
          <w:color w:val="auto"/>
          <w:kern w:val="0"/>
          <w:szCs w:val="21"/>
          <w:highlight w:val="none"/>
        </w:rPr>
        <w:t>（一）评分细则</w:t>
      </w:r>
    </w:p>
    <w:p>
      <w:pPr>
        <w:ind w:firstLine="316" w:firstLineChars="150"/>
        <w:rPr>
          <w:rFonts w:hint="default" w:ascii="Arial" w:hAnsi="Arial" w:cs="Arial"/>
          <w:b/>
          <w:bCs/>
          <w:color w:val="auto"/>
          <w:szCs w:val="21"/>
          <w:highlight w:val="none"/>
        </w:rPr>
      </w:pPr>
    </w:p>
    <w:tbl>
      <w:tblPr>
        <w:tblStyle w:val="52"/>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1245"/>
        <w:gridCol w:w="7376"/>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
                <w:bCs/>
                <w:color w:val="auto"/>
                <w:kern w:val="0"/>
                <w:szCs w:val="21"/>
                <w:highlight w:val="none"/>
              </w:rPr>
            </w:pPr>
            <w:r>
              <w:rPr>
                <w:rFonts w:hint="default" w:ascii="Arial" w:hAnsi="Arial" w:cs="Arial"/>
                <w:b/>
                <w:bCs/>
                <w:color w:val="auto"/>
                <w:kern w:val="0"/>
                <w:szCs w:val="21"/>
                <w:highlight w:val="none"/>
              </w:rPr>
              <w:t>序号</w:t>
            </w:r>
          </w:p>
        </w:tc>
        <w:tc>
          <w:tcPr>
            <w:tcW w:w="1245"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
                <w:bCs/>
                <w:color w:val="auto"/>
                <w:kern w:val="0"/>
                <w:szCs w:val="21"/>
                <w:highlight w:val="none"/>
              </w:rPr>
            </w:pPr>
            <w:r>
              <w:rPr>
                <w:rFonts w:hint="default" w:ascii="Arial" w:hAnsi="Arial" w:cs="Arial"/>
                <w:b/>
                <w:bCs/>
                <w:color w:val="auto"/>
                <w:kern w:val="0"/>
                <w:szCs w:val="21"/>
                <w:highlight w:val="none"/>
              </w:rPr>
              <w:t>评分因素</w:t>
            </w:r>
          </w:p>
        </w:tc>
        <w:tc>
          <w:tcPr>
            <w:tcW w:w="7376"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
                <w:bCs/>
                <w:color w:val="auto"/>
                <w:kern w:val="0"/>
                <w:szCs w:val="21"/>
                <w:highlight w:val="none"/>
              </w:rPr>
            </w:pPr>
            <w:r>
              <w:rPr>
                <w:rFonts w:hint="default" w:ascii="Arial" w:hAnsi="Arial" w:cs="Arial"/>
                <w:b/>
                <w:bCs/>
                <w:color w:val="auto"/>
                <w:kern w:val="0"/>
                <w:szCs w:val="21"/>
                <w:highlight w:val="none"/>
              </w:rPr>
              <w:t>评审标准</w:t>
            </w:r>
          </w:p>
        </w:tc>
        <w:tc>
          <w:tcPr>
            <w:tcW w:w="607"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
                <w:bCs/>
                <w:color w:val="auto"/>
                <w:kern w:val="0"/>
                <w:szCs w:val="21"/>
                <w:highlight w:val="none"/>
              </w:rPr>
            </w:pPr>
            <w:r>
              <w:rPr>
                <w:rFonts w:hint="default" w:ascii="Arial" w:hAnsi="Arial" w:cs="Arial"/>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0" w:type="auto"/>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Cs/>
                <w:color w:val="auto"/>
                <w:kern w:val="0"/>
                <w:szCs w:val="21"/>
                <w:highlight w:val="none"/>
              </w:rPr>
            </w:pPr>
            <w:r>
              <w:rPr>
                <w:rFonts w:hint="default" w:ascii="Arial" w:hAnsi="Arial" w:cs="Arial"/>
                <w:bCs/>
                <w:color w:val="auto"/>
                <w:kern w:val="0"/>
                <w:szCs w:val="21"/>
                <w:highlight w:val="none"/>
              </w:rPr>
              <w:t>1</w:t>
            </w:r>
          </w:p>
        </w:tc>
        <w:tc>
          <w:tcPr>
            <w:tcW w:w="1245"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Cs/>
                <w:color w:val="auto"/>
                <w:kern w:val="0"/>
                <w:szCs w:val="21"/>
                <w:highlight w:val="none"/>
              </w:rPr>
            </w:pPr>
            <w:r>
              <w:rPr>
                <w:rFonts w:hint="default" w:ascii="Arial" w:hAnsi="Arial" w:cs="Arial"/>
                <w:bCs/>
                <w:color w:val="auto"/>
                <w:kern w:val="0"/>
                <w:szCs w:val="21"/>
                <w:highlight w:val="none"/>
              </w:rPr>
              <w:t>价格</w:t>
            </w:r>
          </w:p>
        </w:tc>
        <w:tc>
          <w:tcPr>
            <w:tcW w:w="7376" w:type="dxa"/>
            <w:noWrap w:val="0"/>
            <w:vAlign w:val="center"/>
          </w:tcPr>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rPr>
            </w:pPr>
            <w:r>
              <w:rPr>
                <w:rFonts w:hint="default" w:ascii="Arial" w:hAnsi="Arial" w:cs="Arial"/>
                <w:color w:val="auto"/>
                <w:szCs w:val="21"/>
                <w:highlight w:val="none"/>
              </w:rPr>
              <w:t>（1）以满足磋商文件要求且响应价格最低的响应报价为评审基准价，其价格分为满分。其他供应商的价格分统一按照下列公式计算：响应报价得分=（评审基准价/响应报价）×响应报价分满分分值。</w:t>
            </w:r>
          </w:p>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rPr>
            </w:pPr>
            <w:r>
              <w:rPr>
                <w:rFonts w:hint="default" w:ascii="Arial" w:hAnsi="Arial" w:cs="Arial"/>
                <w:color w:val="auto"/>
                <w:szCs w:val="21"/>
                <w:highlight w:val="none"/>
              </w:rPr>
              <w:t>（2）响应报价计算时均为供应商的实际响应报价进行政策性扣除后的价格，最终成交金额＝响应报价。政策性扣除计算方法见后。</w:t>
            </w:r>
          </w:p>
        </w:tc>
        <w:tc>
          <w:tcPr>
            <w:tcW w:w="607"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color w:val="auto"/>
                <w:kern w:val="0"/>
                <w:szCs w:val="21"/>
                <w:highlight w:val="none"/>
                <w:lang w:val="en-US"/>
              </w:rPr>
            </w:pPr>
            <w:r>
              <w:rPr>
                <w:rFonts w:hint="eastAsia" w:ascii="Arial" w:hAnsi="Arial" w:cs="Arial"/>
                <w:color w:val="auto"/>
                <w:kern w:val="0"/>
                <w:szCs w:val="21"/>
                <w:highlight w:val="none"/>
                <w:lang w:val="en-US" w:eastAsia="zh-CN"/>
              </w:rPr>
              <w:t>3</w:t>
            </w:r>
            <w:r>
              <w:rPr>
                <w:rFonts w:hint="default" w:ascii="Arial" w:hAnsi="Arial" w:cs="Arial"/>
                <w:color w:val="auto"/>
                <w:kern w:val="0"/>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0" w:type="auto"/>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Cs/>
                <w:color w:val="auto"/>
                <w:kern w:val="0"/>
                <w:szCs w:val="21"/>
                <w:highlight w:val="none"/>
              </w:rPr>
            </w:pPr>
            <w:r>
              <w:rPr>
                <w:rFonts w:hint="default" w:ascii="Arial" w:hAnsi="Arial" w:cs="Arial"/>
                <w:bCs/>
                <w:color w:val="auto"/>
                <w:kern w:val="0"/>
                <w:szCs w:val="21"/>
                <w:highlight w:val="none"/>
              </w:rPr>
              <w:t>2</w:t>
            </w:r>
          </w:p>
        </w:tc>
        <w:tc>
          <w:tcPr>
            <w:tcW w:w="1245"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Cs/>
                <w:color w:val="auto"/>
                <w:szCs w:val="21"/>
                <w:highlight w:val="none"/>
              </w:rPr>
            </w:pPr>
            <w:r>
              <w:rPr>
                <w:rFonts w:hint="default" w:ascii="Arial" w:hAnsi="Arial" w:cs="Arial"/>
                <w:bCs/>
                <w:color w:val="auto"/>
                <w:szCs w:val="21"/>
                <w:highlight w:val="none"/>
              </w:rPr>
              <w:t>产品技术参数</w:t>
            </w:r>
          </w:p>
        </w:tc>
        <w:tc>
          <w:tcPr>
            <w:tcW w:w="7376" w:type="dxa"/>
            <w:noWrap w:val="0"/>
            <w:vAlign w:val="center"/>
          </w:tcPr>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1.</w:t>
            </w:r>
            <w:r>
              <w:rPr>
                <w:rFonts w:hint="eastAsia" w:ascii="Arial" w:hAnsi="Arial" w:cs="Arial"/>
                <w:color w:val="auto"/>
                <w:kern w:val="0"/>
                <w:szCs w:val="21"/>
                <w:highlight w:val="none"/>
                <w:lang w:eastAsia="zh-CN"/>
              </w:rPr>
              <w:t>响应文件</w:t>
            </w:r>
            <w:r>
              <w:rPr>
                <w:rFonts w:hint="default" w:ascii="Arial" w:hAnsi="Arial" w:cs="Arial"/>
                <w:color w:val="auto"/>
                <w:kern w:val="0"/>
                <w:szCs w:val="21"/>
                <w:highlight w:val="none"/>
              </w:rPr>
              <w:t>的技术需求中无负偏离的得</w:t>
            </w:r>
            <w:r>
              <w:rPr>
                <w:rFonts w:hint="eastAsia" w:ascii="Arial" w:hAnsi="Arial" w:cs="Arial"/>
                <w:color w:val="auto"/>
                <w:kern w:val="0"/>
                <w:szCs w:val="21"/>
                <w:highlight w:val="none"/>
                <w:lang w:val="en-US" w:eastAsia="zh-CN"/>
              </w:rPr>
              <w:t>18</w:t>
            </w:r>
            <w:r>
              <w:rPr>
                <w:rFonts w:hint="default" w:ascii="Arial" w:hAnsi="Arial" w:cs="Arial"/>
                <w:color w:val="auto"/>
                <w:kern w:val="0"/>
                <w:szCs w:val="21"/>
                <w:highlight w:val="none"/>
              </w:rPr>
              <w:t>分，满分</w:t>
            </w:r>
            <w:r>
              <w:rPr>
                <w:rFonts w:hint="eastAsia" w:ascii="Arial" w:hAnsi="Arial" w:cs="Arial"/>
                <w:color w:val="auto"/>
                <w:kern w:val="0"/>
                <w:szCs w:val="21"/>
                <w:highlight w:val="none"/>
                <w:lang w:val="en-US" w:eastAsia="zh-CN"/>
              </w:rPr>
              <w:t>18</w:t>
            </w:r>
            <w:r>
              <w:rPr>
                <w:rFonts w:hint="default" w:ascii="Arial" w:hAnsi="Arial" w:cs="Arial"/>
                <w:color w:val="auto"/>
                <w:kern w:val="0"/>
                <w:szCs w:val="21"/>
                <w:highlight w:val="none"/>
              </w:rPr>
              <w:t>分</w:t>
            </w:r>
          </w:p>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2.</w:t>
            </w:r>
            <w:r>
              <w:rPr>
                <w:rFonts w:hint="eastAsia"/>
                <w:b/>
                <w:bCs/>
                <w:color w:val="auto"/>
                <w:highlight w:val="none"/>
              </w:rPr>
              <w:t>采购需求中标注</w:t>
            </w:r>
            <w:r>
              <w:rPr>
                <w:rFonts w:hint="default" w:ascii="Arial" w:hAnsi="Arial" w:cs="Arial"/>
                <w:color w:val="auto"/>
                <w:kern w:val="0"/>
                <w:szCs w:val="21"/>
                <w:highlight w:val="none"/>
              </w:rPr>
              <w:t>▲</w:t>
            </w:r>
            <w:r>
              <w:rPr>
                <w:rFonts w:hint="eastAsia"/>
                <w:b/>
                <w:bCs/>
                <w:color w:val="auto"/>
                <w:highlight w:val="none"/>
              </w:rPr>
              <w:t>为重要参数，若供应商对该参数响应为负偏离，则每条扣</w:t>
            </w:r>
            <w:r>
              <w:rPr>
                <w:rFonts w:hint="eastAsia"/>
                <w:b/>
                <w:bCs/>
                <w:color w:val="auto"/>
                <w:highlight w:val="none"/>
                <w:lang w:val="en-US" w:eastAsia="zh-CN"/>
              </w:rPr>
              <w:t>2</w:t>
            </w:r>
            <w:r>
              <w:rPr>
                <w:rFonts w:hint="eastAsia"/>
                <w:b/>
                <w:bCs/>
                <w:color w:val="auto"/>
                <w:highlight w:val="none"/>
              </w:rPr>
              <w:t>分。</w:t>
            </w:r>
            <w:r>
              <w:rPr>
                <w:rFonts w:hint="eastAsia"/>
                <w:b/>
                <w:bCs/>
                <w:color w:val="auto"/>
                <w:highlight w:val="none"/>
                <w:lang w:val="en-US" w:eastAsia="zh-CN"/>
              </w:rPr>
              <w:t>满分18分。</w:t>
            </w:r>
            <w:r>
              <w:rPr>
                <w:rFonts w:hint="default" w:ascii="Arial" w:hAnsi="Arial" w:cs="Arial"/>
                <w:color w:val="auto"/>
                <w:kern w:val="0"/>
                <w:szCs w:val="21"/>
                <w:highlight w:val="none"/>
              </w:rPr>
              <w:t>.</w:t>
            </w:r>
          </w:p>
        </w:tc>
        <w:tc>
          <w:tcPr>
            <w:tcW w:w="607"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bCs/>
                <w:color w:val="auto"/>
                <w:kern w:val="0"/>
                <w:szCs w:val="21"/>
                <w:highlight w:val="none"/>
                <w:lang w:eastAsia="zh-CN"/>
              </w:rPr>
            </w:pPr>
            <w:r>
              <w:rPr>
                <w:rFonts w:hint="eastAsia" w:ascii="Arial" w:hAnsi="Arial" w:cs="Arial"/>
                <w:bCs/>
                <w:color w:val="auto"/>
                <w:kern w:val="0"/>
                <w:szCs w:val="21"/>
                <w:highlight w:val="none"/>
                <w:lang w:val="en-US" w:eastAsia="zh-CN"/>
              </w:rPr>
              <w:t>3</w:t>
            </w:r>
          </w:p>
        </w:tc>
        <w:tc>
          <w:tcPr>
            <w:tcW w:w="1245"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Cs/>
                <w:color w:val="auto"/>
                <w:kern w:val="0"/>
                <w:szCs w:val="21"/>
                <w:highlight w:val="none"/>
              </w:rPr>
            </w:pPr>
            <w:r>
              <w:rPr>
                <w:rFonts w:hint="default" w:ascii="Arial" w:hAnsi="Arial" w:cs="Arial"/>
                <w:bCs/>
                <w:color w:val="auto"/>
                <w:kern w:val="0"/>
                <w:szCs w:val="21"/>
                <w:highlight w:val="none"/>
              </w:rPr>
              <w:t>总体技术方案与需求匹配度及方案质量</w:t>
            </w:r>
          </w:p>
        </w:tc>
        <w:tc>
          <w:tcPr>
            <w:tcW w:w="7376" w:type="dxa"/>
            <w:noWrap w:val="0"/>
            <w:vAlign w:val="center"/>
          </w:tcPr>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rPr>
            </w:pPr>
            <w:r>
              <w:rPr>
                <w:rFonts w:hint="default" w:ascii="Arial" w:hAnsi="Arial" w:cs="Arial"/>
                <w:color w:val="auto"/>
                <w:szCs w:val="21"/>
                <w:highlight w:val="none"/>
              </w:rPr>
              <w:t>评标委员会将根据投标者提交的项目管理方案进行详尽的评审，该方案应涵盖以下核心要素：背景分析、需求分析、总体架构、建设目标、数据增补方案、算法增补方案、系统升级方案、项目服务方案、项目测试方案、项目验收方案。</w:t>
            </w:r>
          </w:p>
          <w:p>
            <w:pPr>
              <w:keepNext w:val="0"/>
              <w:keepLines w:val="0"/>
              <w:pageBreakBefore w:val="0"/>
              <w:widowControl w:val="0"/>
              <w:kinsoku/>
              <w:wordWrap/>
              <w:overflowPunct/>
              <w:topLinePunct w:val="0"/>
              <w:bidi w:val="0"/>
              <w:spacing w:line="312" w:lineRule="auto"/>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一档（2分）：</w:t>
            </w:r>
            <w:r>
              <w:rPr>
                <w:rFonts w:hint="default" w:ascii="宋体" w:hAnsi="宋体" w:eastAsia="宋体" w:cs="宋体"/>
                <w:i w:val="0"/>
                <w:iCs w:val="0"/>
                <w:color w:val="auto"/>
                <w:kern w:val="0"/>
                <w:sz w:val="22"/>
                <w:szCs w:val="22"/>
                <w:highlight w:val="none"/>
                <w:u w:val="none"/>
                <w:lang w:val="en-US" w:eastAsia="zh-CN" w:bidi="ar"/>
              </w:rPr>
              <w:t>提供的方案较为完整，对项目需求（特别是技术参数和功能指标）理解基本准确，方案能基本匹配需求目标。架构、技术路线基本合理可行，技术选型基本可靠，具备一定的可扩展性和可用性，实施路径基本可行，能说明其满足核心技术和功能要求的基本措施</w:t>
            </w:r>
            <w:r>
              <w:rPr>
                <w:rFonts w:hint="default" w:ascii="Arial" w:hAnsi="Arial" w:cs="Arial"/>
                <w:color w:val="auto"/>
                <w:szCs w:val="21"/>
                <w:highlight w:val="none"/>
                <w:lang w:val="en-US" w:eastAsia="zh-CN"/>
              </w:rPr>
              <w:t>。</w:t>
            </w:r>
          </w:p>
          <w:p>
            <w:pPr>
              <w:keepNext w:val="0"/>
              <w:keepLines w:val="0"/>
              <w:pageBreakBefore w:val="0"/>
              <w:widowControl w:val="0"/>
              <w:kinsoku/>
              <w:wordWrap/>
              <w:overflowPunct/>
              <w:topLinePunct w:val="0"/>
              <w:bidi w:val="0"/>
              <w:spacing w:line="312" w:lineRule="auto"/>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二档（</w:t>
            </w:r>
            <w:r>
              <w:rPr>
                <w:rFonts w:hint="eastAsia" w:ascii="Arial" w:hAnsi="Arial" w:cs="Arial"/>
                <w:color w:val="auto"/>
                <w:szCs w:val="21"/>
                <w:highlight w:val="none"/>
                <w:lang w:val="en-US" w:eastAsia="zh-CN"/>
              </w:rPr>
              <w:t>3</w:t>
            </w:r>
            <w:r>
              <w:rPr>
                <w:rFonts w:hint="default" w:ascii="Arial" w:hAnsi="Arial" w:cs="Arial"/>
                <w:color w:val="auto"/>
                <w:szCs w:val="21"/>
                <w:highlight w:val="none"/>
                <w:lang w:val="en-US" w:eastAsia="zh-CN"/>
              </w:rPr>
              <w:t>分）：</w:t>
            </w:r>
            <w:r>
              <w:rPr>
                <w:rFonts w:hint="default" w:ascii="宋体" w:hAnsi="宋体" w:eastAsia="宋体" w:cs="宋体"/>
                <w:i w:val="0"/>
                <w:iCs w:val="0"/>
                <w:color w:val="auto"/>
                <w:kern w:val="0"/>
                <w:sz w:val="22"/>
                <w:szCs w:val="22"/>
                <w:highlight w:val="none"/>
                <w:u w:val="none"/>
                <w:lang w:val="en-US" w:eastAsia="zh-CN" w:bidi="ar"/>
              </w:rPr>
              <w:t>提供的方案完整且合理，对项目需求（包括核心技术参数和功能指标）理解准确，方案良好匹配需求目标。架构、技术路线、技术选型合理、较先进、可靠、具备良好的可扩展性和可用性，实施路径可行，能清晰说明其满足关键技术和功能要求的主要措施</w:t>
            </w:r>
            <w:r>
              <w:rPr>
                <w:rFonts w:hint="default" w:ascii="Arial" w:hAnsi="Arial" w:cs="Arial"/>
                <w:color w:val="auto"/>
                <w:szCs w:val="21"/>
                <w:highlight w:val="none"/>
                <w:lang w:val="en-US" w:eastAsia="zh-CN"/>
              </w:rPr>
              <w:t>。</w:t>
            </w:r>
          </w:p>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三档（</w:t>
            </w:r>
            <w:r>
              <w:rPr>
                <w:rFonts w:hint="eastAsia" w:ascii="Arial" w:hAnsi="Arial" w:cs="Arial"/>
                <w:color w:val="auto"/>
                <w:szCs w:val="21"/>
                <w:highlight w:val="none"/>
                <w:lang w:val="en-US" w:eastAsia="zh-CN"/>
              </w:rPr>
              <w:t>4</w:t>
            </w:r>
            <w:r>
              <w:rPr>
                <w:rFonts w:hint="default" w:ascii="Arial" w:hAnsi="Arial" w:cs="Arial"/>
                <w:color w:val="auto"/>
                <w:szCs w:val="21"/>
                <w:highlight w:val="none"/>
                <w:lang w:val="en-US" w:eastAsia="zh-CN"/>
              </w:rPr>
              <w:t>分）：</w:t>
            </w:r>
            <w:r>
              <w:rPr>
                <w:rFonts w:hint="eastAsia" w:ascii="宋体" w:hAnsi="宋体" w:eastAsia="宋体" w:cs="宋体"/>
                <w:i w:val="0"/>
                <w:iCs w:val="0"/>
                <w:color w:val="auto"/>
                <w:kern w:val="0"/>
                <w:sz w:val="22"/>
                <w:szCs w:val="22"/>
                <w:highlight w:val="none"/>
                <w:u w:val="none"/>
                <w:lang w:val="en-US" w:eastAsia="zh-CN" w:bidi="ar"/>
              </w:rPr>
              <w:t>提供的方案</w:t>
            </w:r>
            <w:r>
              <w:rPr>
                <w:rFonts w:hint="default" w:ascii="宋体" w:hAnsi="宋体" w:eastAsia="宋体" w:cs="宋体"/>
                <w:i w:val="0"/>
                <w:iCs w:val="0"/>
                <w:color w:val="auto"/>
                <w:kern w:val="0"/>
                <w:sz w:val="22"/>
                <w:szCs w:val="22"/>
                <w:highlight w:val="none"/>
                <w:u w:val="none"/>
                <w:lang w:val="en-US" w:eastAsia="zh-CN" w:bidi="ar"/>
              </w:rPr>
              <w:t>非常完整且清晰，对项目需求（尤其是核心技术参数和功能指标）理解非常透彻，方案高度契合需求目标。所提出的架构、技术路线、关键技术选型高度合理、先进可靠、具备优秀的可扩展性和可用性，实施路径清晰可行且风险可控，能有力证明其如何具体满足各项技术和功能要求</w:t>
            </w:r>
            <w:r>
              <w:rPr>
                <w:rFonts w:hint="default" w:ascii="Arial" w:hAnsi="Arial" w:cs="Arial"/>
                <w:color w:val="auto"/>
                <w:szCs w:val="21"/>
                <w:highlight w:val="none"/>
                <w:lang w:val="en-US" w:eastAsia="zh-CN"/>
              </w:rPr>
              <w:t>。</w:t>
            </w:r>
          </w:p>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未提供者不得分。</w:t>
            </w:r>
          </w:p>
        </w:tc>
        <w:tc>
          <w:tcPr>
            <w:tcW w:w="60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jc w:val="center"/>
              <w:textAlignment w:val="auto"/>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bCs/>
                <w:color w:val="auto"/>
                <w:kern w:val="0"/>
                <w:szCs w:val="21"/>
                <w:highlight w:val="none"/>
                <w:lang w:eastAsia="zh-CN"/>
              </w:rPr>
            </w:pPr>
            <w:r>
              <w:rPr>
                <w:rFonts w:hint="eastAsia" w:ascii="Arial" w:hAnsi="Arial" w:cs="Arial"/>
                <w:bCs/>
                <w:color w:val="auto"/>
                <w:kern w:val="0"/>
                <w:szCs w:val="21"/>
                <w:highlight w:val="none"/>
                <w:lang w:val="en-US" w:eastAsia="zh-CN"/>
              </w:rPr>
              <w:t>4</w:t>
            </w:r>
          </w:p>
        </w:tc>
        <w:tc>
          <w:tcPr>
            <w:tcW w:w="1245"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Cs/>
                <w:color w:val="auto"/>
                <w:kern w:val="0"/>
                <w:szCs w:val="21"/>
                <w:highlight w:val="none"/>
              </w:rPr>
            </w:pPr>
            <w:r>
              <w:rPr>
                <w:rFonts w:hint="default" w:ascii="Arial" w:hAnsi="Arial" w:cs="Arial"/>
                <w:color w:val="auto"/>
                <w:szCs w:val="21"/>
                <w:highlight w:val="none"/>
              </w:rPr>
              <w:t>售后服务方案</w:t>
            </w:r>
          </w:p>
        </w:tc>
        <w:tc>
          <w:tcPr>
            <w:tcW w:w="7376" w:type="dxa"/>
            <w:noWrap w:val="0"/>
            <w:vAlign w:val="center"/>
          </w:tcPr>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rPr>
            </w:pPr>
            <w:r>
              <w:rPr>
                <w:rFonts w:hint="default" w:ascii="Arial" w:hAnsi="Arial" w:cs="Arial"/>
                <w:color w:val="auto"/>
                <w:szCs w:val="21"/>
                <w:highlight w:val="none"/>
              </w:rPr>
              <w:t>根据</w:t>
            </w:r>
            <w:r>
              <w:rPr>
                <w:rFonts w:hint="eastAsia" w:ascii="Arial" w:hAnsi="Arial" w:cs="Arial"/>
                <w:color w:val="auto"/>
                <w:szCs w:val="21"/>
                <w:highlight w:val="none"/>
                <w:lang w:eastAsia="zh-CN"/>
              </w:rPr>
              <w:t>供应商</w:t>
            </w:r>
            <w:r>
              <w:rPr>
                <w:rFonts w:hint="default" w:ascii="Arial" w:hAnsi="Arial" w:cs="Arial"/>
                <w:color w:val="auto"/>
                <w:szCs w:val="21"/>
                <w:highlight w:val="none"/>
              </w:rPr>
              <w:t>针对本项目提供的售后服务方案（包括但不限于依据投标者所提供的售后服务方案，该方案涵盖售后组织架构、职责分配、服务制度、流程管理、服务方式、质量控制规范以及服务质量保障措施等多个方面等内容），以此为基础由</w:t>
            </w:r>
            <w:r>
              <w:rPr>
                <w:rFonts w:hint="eastAsia" w:ascii="Arial" w:hAnsi="Arial" w:cs="Arial"/>
                <w:color w:val="auto"/>
                <w:szCs w:val="21"/>
                <w:highlight w:val="none"/>
                <w:lang w:val="en-US" w:eastAsia="zh-CN"/>
              </w:rPr>
              <w:t>磋商小组</w:t>
            </w:r>
            <w:r>
              <w:rPr>
                <w:rFonts w:hint="default" w:ascii="Arial" w:hAnsi="Arial" w:cs="Arial"/>
                <w:color w:val="auto"/>
                <w:szCs w:val="21"/>
                <w:highlight w:val="none"/>
              </w:rPr>
              <w:t>进行进行综合评估评分：</w:t>
            </w:r>
          </w:p>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rPr>
            </w:pPr>
            <w:r>
              <w:rPr>
                <w:rFonts w:hint="default" w:ascii="Arial" w:hAnsi="Arial" w:cs="Arial"/>
                <w:color w:val="auto"/>
                <w:szCs w:val="21"/>
                <w:highlight w:val="none"/>
              </w:rPr>
              <w:t xml:space="preserve"> 一档（1分）：方案部分</w:t>
            </w:r>
            <w:r>
              <w:rPr>
                <w:rFonts w:hint="eastAsia" w:ascii="Arial" w:hAnsi="Arial" w:cs="Arial"/>
                <w:color w:val="auto"/>
                <w:szCs w:val="21"/>
                <w:highlight w:val="none"/>
                <w:lang w:val="en-US" w:eastAsia="zh-CN"/>
              </w:rPr>
              <w:t>1项及以上内容</w:t>
            </w:r>
            <w:r>
              <w:rPr>
                <w:rFonts w:hint="default" w:ascii="Arial" w:hAnsi="Arial" w:cs="Arial"/>
                <w:color w:val="auto"/>
                <w:szCs w:val="21"/>
                <w:highlight w:val="none"/>
              </w:rPr>
              <w:t>满足要求：所包含的要点齐全、内容与要点相符但仅有纲要、内容简略，未展开详细阐述但基本能够适用于本项目。</w:t>
            </w:r>
          </w:p>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rPr>
            </w:pPr>
            <w:r>
              <w:rPr>
                <w:rFonts w:hint="default" w:ascii="Arial" w:hAnsi="Arial" w:cs="Arial"/>
                <w:color w:val="auto"/>
                <w:szCs w:val="21"/>
                <w:highlight w:val="none"/>
              </w:rPr>
              <w:t>二档（</w:t>
            </w:r>
            <w:r>
              <w:rPr>
                <w:rFonts w:hint="eastAsia" w:ascii="Arial" w:hAnsi="Arial" w:cs="Arial"/>
                <w:color w:val="auto"/>
                <w:szCs w:val="21"/>
                <w:highlight w:val="none"/>
                <w:lang w:val="en-US" w:eastAsia="zh-CN"/>
              </w:rPr>
              <w:t>3</w:t>
            </w:r>
            <w:r>
              <w:rPr>
                <w:rFonts w:hint="default" w:ascii="Arial" w:hAnsi="Arial" w:cs="Arial"/>
                <w:color w:val="auto"/>
                <w:szCs w:val="21"/>
                <w:highlight w:val="none"/>
              </w:rPr>
              <w:t>分）：方案</w:t>
            </w:r>
            <w:r>
              <w:rPr>
                <w:rFonts w:hint="eastAsia" w:ascii="Arial" w:hAnsi="Arial" w:cs="Arial"/>
                <w:color w:val="auto"/>
                <w:szCs w:val="21"/>
                <w:highlight w:val="none"/>
                <w:lang w:val="en-US" w:eastAsia="zh-CN"/>
              </w:rPr>
              <w:t>2项及以上内容</w:t>
            </w:r>
            <w:r>
              <w:rPr>
                <w:rFonts w:hint="default" w:ascii="Arial" w:hAnsi="Arial" w:cs="Arial"/>
                <w:color w:val="auto"/>
                <w:szCs w:val="21"/>
                <w:highlight w:val="none"/>
              </w:rPr>
              <w:t>满足要求：所包含的要点齐全、内容与要点相符、每个要点均有展开阐述（没有特别具体）但基本能够适用于本项目。</w:t>
            </w:r>
          </w:p>
          <w:p>
            <w:pPr>
              <w:keepNext w:val="0"/>
              <w:keepLines w:val="0"/>
              <w:pageBreakBefore w:val="0"/>
              <w:widowControl w:val="0"/>
              <w:kinsoku/>
              <w:wordWrap/>
              <w:overflowPunct/>
              <w:topLinePunct w:val="0"/>
              <w:autoSpaceDE w:val="0"/>
              <w:autoSpaceDN w:val="0"/>
              <w:bidi w:val="0"/>
              <w:adjustRightInd w:val="0"/>
              <w:snapToGrid w:val="0"/>
              <w:spacing w:line="312" w:lineRule="auto"/>
              <w:jc w:val="left"/>
              <w:textAlignment w:val="auto"/>
              <w:rPr>
                <w:rFonts w:hint="default" w:ascii="Arial" w:hAnsi="Arial" w:cs="Arial"/>
                <w:color w:val="auto"/>
                <w:szCs w:val="21"/>
                <w:highlight w:val="none"/>
                <w:lang w:eastAsia="zh-CN"/>
              </w:rPr>
            </w:pPr>
            <w:r>
              <w:rPr>
                <w:rFonts w:hint="default" w:ascii="Arial" w:hAnsi="Arial" w:cs="Arial"/>
                <w:color w:val="auto"/>
                <w:szCs w:val="21"/>
                <w:highlight w:val="none"/>
              </w:rPr>
              <w:t>三档（</w:t>
            </w:r>
            <w:r>
              <w:rPr>
                <w:rFonts w:hint="eastAsia" w:ascii="Arial" w:hAnsi="Arial" w:cs="Arial"/>
                <w:color w:val="auto"/>
                <w:szCs w:val="21"/>
                <w:highlight w:val="none"/>
                <w:lang w:val="en-US" w:eastAsia="zh-CN"/>
              </w:rPr>
              <w:t>5</w:t>
            </w:r>
            <w:r>
              <w:rPr>
                <w:rFonts w:hint="default" w:ascii="Arial" w:hAnsi="Arial" w:cs="Arial"/>
                <w:color w:val="auto"/>
                <w:szCs w:val="21"/>
                <w:highlight w:val="none"/>
              </w:rPr>
              <w:t>分）：方案完全满足要求：包含的要点齐全无缺漏项、内容与要点相符、每个要点均有展开详细的阐述且能够适用于本项目</w:t>
            </w:r>
            <w:r>
              <w:rPr>
                <w:rFonts w:hint="default" w:ascii="Arial" w:hAnsi="Arial" w:cs="Arial"/>
                <w:color w:val="auto"/>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12" w:lineRule="auto"/>
              <w:jc w:val="left"/>
              <w:textAlignment w:val="auto"/>
              <w:rPr>
                <w:rFonts w:hint="default" w:ascii="Arial" w:hAnsi="Arial" w:cs="Arial"/>
                <w:color w:val="auto"/>
                <w:kern w:val="0"/>
                <w:szCs w:val="21"/>
                <w:highlight w:val="none"/>
              </w:rPr>
            </w:pPr>
            <w:r>
              <w:rPr>
                <w:rFonts w:hint="default" w:ascii="Arial" w:hAnsi="Arial" w:cs="Arial"/>
                <w:color w:val="auto"/>
                <w:szCs w:val="21"/>
                <w:highlight w:val="none"/>
                <w:lang w:val="en-US" w:eastAsia="zh-CN"/>
              </w:rPr>
              <w:t>未提供者不得分</w:t>
            </w:r>
            <w:r>
              <w:rPr>
                <w:rFonts w:hint="default" w:ascii="Arial" w:hAnsi="Arial" w:cs="Arial"/>
                <w:color w:val="auto"/>
                <w:szCs w:val="21"/>
                <w:highlight w:val="none"/>
              </w:rPr>
              <w:t>。</w:t>
            </w:r>
          </w:p>
        </w:tc>
        <w:tc>
          <w:tcPr>
            <w:tcW w:w="60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bCs/>
                <w:color w:val="auto"/>
                <w:kern w:val="0"/>
                <w:szCs w:val="21"/>
                <w:highlight w:val="none"/>
                <w:lang w:eastAsia="zh-CN"/>
              </w:rPr>
            </w:pPr>
            <w:r>
              <w:rPr>
                <w:rFonts w:hint="eastAsia" w:ascii="Arial" w:hAnsi="Arial" w:cs="Arial"/>
                <w:bCs/>
                <w:color w:val="auto"/>
                <w:kern w:val="0"/>
                <w:szCs w:val="21"/>
                <w:highlight w:val="none"/>
                <w:lang w:val="en-US" w:eastAsia="zh-CN"/>
              </w:rPr>
              <w:t>5</w:t>
            </w:r>
          </w:p>
        </w:tc>
        <w:tc>
          <w:tcPr>
            <w:tcW w:w="1245"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Cs/>
                <w:color w:val="auto"/>
                <w:kern w:val="0"/>
                <w:szCs w:val="21"/>
                <w:highlight w:val="none"/>
              </w:rPr>
            </w:pPr>
            <w:r>
              <w:rPr>
                <w:rFonts w:hint="default" w:ascii="Arial" w:hAnsi="Arial" w:cs="Arial"/>
                <w:color w:val="auto"/>
                <w:szCs w:val="21"/>
                <w:highlight w:val="none"/>
                <w:lang w:bidi="ar"/>
              </w:rPr>
              <w:t>培训方案</w:t>
            </w:r>
          </w:p>
        </w:tc>
        <w:tc>
          <w:tcPr>
            <w:tcW w:w="737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jc w:val="left"/>
              <w:textAlignment w:val="auto"/>
              <w:rPr>
                <w:rFonts w:hint="eastAsia" w:ascii="Arial" w:hAnsi="Arial" w:cs="Arial"/>
                <w:color w:val="auto"/>
                <w:szCs w:val="21"/>
                <w:highlight w:val="none"/>
                <w:lang w:eastAsia="zh-CN"/>
              </w:rPr>
            </w:pPr>
            <w:r>
              <w:rPr>
                <w:rFonts w:hint="default" w:ascii="Arial" w:hAnsi="Arial" w:cs="Arial"/>
                <w:color w:val="auto"/>
                <w:szCs w:val="21"/>
                <w:highlight w:val="none"/>
              </w:rPr>
              <w:t>评标委员会将依据投标者所提交的项目培训方案进行细致评估，该方案应详尽包含但不限于以下关键要素：培训承诺、培训目标、培训规划及人员配置、培训准备与实施、培训手册、培训受众、培训组织方法及教材选用等，进而进行全面评分。</w:t>
            </w:r>
          </w:p>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rPr>
            </w:pPr>
            <w:r>
              <w:rPr>
                <w:rFonts w:hint="default" w:ascii="Arial" w:hAnsi="Arial" w:cs="Arial"/>
                <w:color w:val="auto"/>
                <w:highlight w:val="none"/>
              </w:rPr>
              <w:t>一</w:t>
            </w:r>
            <w:r>
              <w:rPr>
                <w:rFonts w:hint="default" w:ascii="Arial" w:hAnsi="Arial" w:cs="Arial"/>
                <w:color w:val="auto"/>
                <w:szCs w:val="21"/>
                <w:highlight w:val="none"/>
              </w:rPr>
              <w:t xml:space="preserve">档（1 分）：培训方案有培训计划安排，但安排不明确。 </w:t>
            </w:r>
          </w:p>
          <w:p>
            <w:pPr>
              <w:keepNext w:val="0"/>
              <w:keepLines w:val="0"/>
              <w:pageBreakBefore w:val="0"/>
              <w:widowControl w:val="0"/>
              <w:kinsoku/>
              <w:wordWrap/>
              <w:overflowPunct/>
              <w:topLinePunct w:val="0"/>
              <w:bidi w:val="0"/>
              <w:snapToGrid w:val="0"/>
              <w:spacing w:line="312" w:lineRule="auto"/>
              <w:textAlignment w:val="auto"/>
              <w:rPr>
                <w:rFonts w:hint="default" w:ascii="Arial" w:hAnsi="Arial" w:cs="Arial"/>
                <w:color w:val="auto"/>
                <w:szCs w:val="21"/>
                <w:highlight w:val="none"/>
              </w:rPr>
            </w:pPr>
            <w:r>
              <w:rPr>
                <w:rFonts w:hint="default" w:ascii="Arial" w:hAnsi="Arial" w:cs="Arial"/>
                <w:color w:val="auto"/>
                <w:szCs w:val="21"/>
                <w:highlight w:val="none"/>
              </w:rPr>
              <w:t>二档（</w:t>
            </w:r>
            <w:r>
              <w:rPr>
                <w:rFonts w:hint="eastAsia" w:ascii="Arial" w:hAnsi="Arial" w:cs="Arial"/>
                <w:color w:val="auto"/>
                <w:szCs w:val="21"/>
                <w:highlight w:val="none"/>
                <w:lang w:val="en-US" w:eastAsia="zh-CN"/>
              </w:rPr>
              <w:t>3</w:t>
            </w:r>
            <w:r>
              <w:rPr>
                <w:rFonts w:hint="default" w:ascii="Arial" w:hAnsi="Arial" w:cs="Arial"/>
                <w:color w:val="auto"/>
                <w:szCs w:val="21"/>
                <w:highlight w:val="none"/>
              </w:rPr>
              <w:t>分）：培训方案有较全面、完整的计划，内容至少包含：培训时间、培训师资内容。</w:t>
            </w:r>
          </w:p>
          <w:p>
            <w:pPr>
              <w:keepNext w:val="0"/>
              <w:keepLines w:val="0"/>
              <w:pageBreakBefore w:val="0"/>
              <w:widowControl w:val="0"/>
              <w:kinsoku/>
              <w:wordWrap/>
              <w:overflowPunct/>
              <w:topLinePunct w:val="0"/>
              <w:autoSpaceDE w:val="0"/>
              <w:autoSpaceDN w:val="0"/>
              <w:bidi w:val="0"/>
              <w:adjustRightInd w:val="0"/>
              <w:snapToGrid w:val="0"/>
              <w:spacing w:line="312" w:lineRule="auto"/>
              <w:jc w:val="left"/>
              <w:textAlignment w:val="auto"/>
              <w:rPr>
                <w:rFonts w:hint="default" w:ascii="Arial" w:hAnsi="Arial" w:cs="Arial"/>
                <w:color w:val="auto"/>
                <w:highlight w:val="none"/>
                <w:lang w:eastAsia="zh-CN"/>
              </w:rPr>
            </w:pPr>
            <w:r>
              <w:rPr>
                <w:rFonts w:hint="default" w:ascii="Arial" w:hAnsi="Arial" w:cs="Arial"/>
                <w:color w:val="auto"/>
                <w:szCs w:val="21"/>
                <w:highlight w:val="none"/>
              </w:rPr>
              <w:t>三档（</w:t>
            </w:r>
            <w:r>
              <w:rPr>
                <w:rFonts w:hint="eastAsia" w:ascii="Arial" w:hAnsi="Arial" w:cs="Arial"/>
                <w:color w:val="auto"/>
                <w:szCs w:val="21"/>
                <w:highlight w:val="none"/>
                <w:lang w:val="en-US" w:eastAsia="zh-CN"/>
              </w:rPr>
              <w:t>5</w:t>
            </w:r>
            <w:r>
              <w:rPr>
                <w:rFonts w:hint="default" w:ascii="Arial" w:hAnsi="Arial" w:cs="Arial"/>
                <w:color w:val="auto"/>
                <w:szCs w:val="21"/>
                <w:highlight w:val="none"/>
              </w:rPr>
              <w:t>分）：培训方</w:t>
            </w:r>
            <w:r>
              <w:rPr>
                <w:rFonts w:hint="default" w:ascii="Arial" w:hAnsi="Arial" w:cs="Arial"/>
                <w:color w:val="auto"/>
                <w:highlight w:val="none"/>
              </w:rPr>
              <w:t>案有详实可行的计划，包含：拟派培训技术人员的安排、拟派培训技术人员的经验介绍、培训时间、规模人数等内容</w:t>
            </w:r>
            <w:r>
              <w:rPr>
                <w:rFonts w:hint="default" w:ascii="Arial" w:hAnsi="Arial" w:cs="Arial"/>
                <w:color w:val="auto"/>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12" w:lineRule="auto"/>
              <w:jc w:val="left"/>
              <w:textAlignment w:val="auto"/>
              <w:rPr>
                <w:rFonts w:hint="eastAsia" w:ascii="Arial" w:hAnsi="Arial" w:cs="Arial"/>
                <w:color w:val="auto"/>
                <w:szCs w:val="21"/>
                <w:highlight w:val="none"/>
                <w:lang w:eastAsia="zh-CN"/>
              </w:rPr>
            </w:pPr>
            <w:r>
              <w:rPr>
                <w:rFonts w:hint="default" w:ascii="Arial" w:hAnsi="Arial" w:cs="Arial"/>
                <w:color w:val="auto"/>
                <w:szCs w:val="21"/>
                <w:highlight w:val="none"/>
                <w:lang w:val="en-US" w:eastAsia="zh-CN"/>
              </w:rPr>
              <w:t>未提供者不得分</w:t>
            </w:r>
            <w:r>
              <w:rPr>
                <w:rFonts w:hint="default" w:ascii="Arial" w:hAnsi="Arial" w:cs="Arial"/>
                <w:color w:val="auto"/>
                <w:highlight w:val="none"/>
              </w:rPr>
              <w:t>。</w:t>
            </w:r>
          </w:p>
        </w:tc>
        <w:tc>
          <w:tcPr>
            <w:tcW w:w="60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0" w:type="auto"/>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bCs/>
                <w:color w:val="auto"/>
                <w:kern w:val="0"/>
                <w:szCs w:val="21"/>
                <w:highlight w:val="none"/>
                <w:lang w:eastAsia="zh-CN"/>
              </w:rPr>
            </w:pPr>
            <w:r>
              <w:rPr>
                <w:rFonts w:hint="eastAsia" w:ascii="Arial" w:hAnsi="Arial" w:cs="Arial"/>
                <w:bCs/>
                <w:color w:val="auto"/>
                <w:kern w:val="0"/>
                <w:szCs w:val="21"/>
                <w:highlight w:val="none"/>
                <w:lang w:val="en-US" w:eastAsia="zh-CN"/>
              </w:rPr>
              <w:t>6</w:t>
            </w:r>
          </w:p>
        </w:tc>
        <w:tc>
          <w:tcPr>
            <w:tcW w:w="1245"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bCs/>
                <w:color w:val="auto"/>
                <w:kern w:val="0"/>
                <w:szCs w:val="21"/>
                <w:highlight w:val="none"/>
                <w:lang w:eastAsia="zh-CN"/>
              </w:rPr>
            </w:pPr>
            <w:r>
              <w:rPr>
                <w:rFonts w:hint="eastAsia" w:ascii="Arial" w:hAnsi="Arial" w:cs="Arial"/>
                <w:bCs/>
                <w:color w:val="auto"/>
                <w:kern w:val="0"/>
                <w:szCs w:val="21"/>
                <w:highlight w:val="none"/>
                <w:lang w:val="en-US" w:eastAsia="zh-CN"/>
              </w:rPr>
              <w:t>业绩</w:t>
            </w:r>
          </w:p>
        </w:tc>
        <w:tc>
          <w:tcPr>
            <w:tcW w:w="7376" w:type="dxa"/>
            <w:noWrap w:val="0"/>
            <w:vAlign w:val="top"/>
          </w:tcPr>
          <w:p>
            <w:pPr>
              <w:keepNext w:val="0"/>
              <w:keepLines w:val="0"/>
              <w:pageBreakBefore w:val="0"/>
              <w:widowControl w:val="0"/>
              <w:kinsoku/>
              <w:wordWrap/>
              <w:overflowPunct/>
              <w:topLinePunct w:val="0"/>
              <w:bidi w:val="0"/>
              <w:snapToGrid w:val="0"/>
              <w:spacing w:line="312" w:lineRule="auto"/>
              <w:jc w:val="left"/>
              <w:textAlignment w:val="auto"/>
              <w:rPr>
                <w:rFonts w:hint="default" w:ascii="Arial" w:hAnsi="Arial" w:eastAsia="宋体" w:cs="Arial"/>
                <w:color w:val="auto"/>
                <w:szCs w:val="21"/>
                <w:highlight w:val="none"/>
                <w:lang w:val="en-US" w:eastAsia="zh-CN"/>
              </w:rPr>
            </w:pPr>
            <w:bookmarkStart w:id="83" w:name="OLE_LINK2"/>
            <w:r>
              <w:rPr>
                <w:rFonts w:hint="eastAsia" w:ascii="Arial" w:hAnsi="Arial" w:eastAsia="宋体" w:cs="Arial"/>
                <w:color w:val="auto"/>
                <w:szCs w:val="21"/>
                <w:highlight w:val="none"/>
                <w:lang w:val="en-US" w:eastAsia="zh-CN"/>
              </w:rPr>
              <w:t>供应商</w:t>
            </w:r>
            <w:bookmarkEnd w:id="83"/>
            <w:r>
              <w:rPr>
                <w:rFonts w:hint="eastAsia" w:ascii="Arial" w:hAnsi="Arial" w:eastAsia="宋体" w:cs="Arial"/>
                <w:color w:val="auto"/>
                <w:szCs w:val="21"/>
                <w:highlight w:val="none"/>
                <w:lang w:val="en-US" w:eastAsia="zh-CN"/>
              </w:rPr>
              <w:t>提供</w:t>
            </w:r>
            <w:r>
              <w:rPr>
                <w:rFonts w:hint="default" w:ascii="Arial" w:hAnsi="Arial" w:eastAsia="宋体" w:cs="Arial"/>
                <w:color w:val="auto"/>
                <w:szCs w:val="21"/>
                <w:highlight w:val="none"/>
                <w:lang w:val="en-US" w:eastAsia="zh-CN"/>
              </w:rPr>
              <w:t>202</w:t>
            </w:r>
            <w:r>
              <w:rPr>
                <w:rFonts w:hint="eastAsia" w:ascii="Arial" w:hAnsi="Arial" w:cs="Arial"/>
                <w:color w:val="auto"/>
                <w:szCs w:val="21"/>
                <w:highlight w:val="none"/>
                <w:lang w:val="en-US" w:eastAsia="zh-CN"/>
              </w:rPr>
              <w:t>2</w:t>
            </w:r>
            <w:r>
              <w:rPr>
                <w:rFonts w:hint="eastAsia" w:ascii="Arial" w:hAnsi="Arial" w:eastAsia="宋体" w:cs="Arial"/>
                <w:color w:val="auto"/>
                <w:szCs w:val="21"/>
                <w:highlight w:val="none"/>
                <w:lang w:val="en-US" w:eastAsia="zh-CN"/>
              </w:rPr>
              <w:t>年以来（以合同签订日期为准）同类业务合同业绩进行评价：提供一份业绩得3分，满分9分。注：（</w:t>
            </w:r>
            <w:r>
              <w:rPr>
                <w:rFonts w:hint="default" w:ascii="Arial" w:hAnsi="Arial" w:eastAsia="宋体" w:cs="Arial"/>
                <w:color w:val="auto"/>
                <w:szCs w:val="21"/>
                <w:highlight w:val="none"/>
                <w:lang w:val="en-US" w:eastAsia="zh-CN"/>
              </w:rPr>
              <w:t>1</w:t>
            </w:r>
            <w:r>
              <w:rPr>
                <w:rFonts w:hint="eastAsia" w:ascii="Arial" w:hAnsi="Arial" w:eastAsia="宋体" w:cs="Arial"/>
                <w:color w:val="auto"/>
                <w:szCs w:val="21"/>
                <w:highlight w:val="none"/>
                <w:lang w:val="en-US" w:eastAsia="zh-CN"/>
              </w:rPr>
              <w:t>）同类业务合同业绩是指：由供应商自身所完成的与本次采购同类项目的业绩。（</w:t>
            </w:r>
            <w:r>
              <w:rPr>
                <w:rFonts w:hint="default" w:ascii="Arial" w:hAnsi="Arial" w:eastAsia="宋体" w:cs="Arial"/>
                <w:color w:val="auto"/>
                <w:szCs w:val="21"/>
                <w:highlight w:val="none"/>
                <w:lang w:val="en-US" w:eastAsia="zh-CN"/>
              </w:rPr>
              <w:t>2</w:t>
            </w:r>
            <w:r>
              <w:rPr>
                <w:rFonts w:hint="eastAsia" w:ascii="Arial" w:hAnsi="Arial" w:eastAsia="宋体" w:cs="Arial"/>
                <w:color w:val="auto"/>
                <w:szCs w:val="21"/>
                <w:highlight w:val="none"/>
                <w:lang w:val="en-US" w:eastAsia="zh-CN"/>
              </w:rPr>
              <w:t>）需提供业绩的以下四项证明材料，否则不计分：①采购合同文本；</w:t>
            </w:r>
            <w:r>
              <w:rPr>
                <w:rFonts w:hint="default" w:ascii="Arial" w:hAnsi="Arial" w:eastAsia="宋体" w:cs="Arial"/>
                <w:color w:val="auto"/>
                <w:szCs w:val="21"/>
                <w:highlight w:val="none"/>
                <w:lang w:val="en-US" w:eastAsia="zh-CN"/>
              </w:rPr>
              <w:t>②</w:t>
            </w:r>
            <w:r>
              <w:rPr>
                <w:rFonts w:hint="eastAsia" w:ascii="Arial" w:hAnsi="Arial" w:eastAsia="宋体" w:cs="Arial"/>
                <w:color w:val="auto"/>
                <w:szCs w:val="21"/>
                <w:highlight w:val="none"/>
                <w:lang w:val="en-US" w:eastAsia="zh-CN"/>
              </w:rPr>
              <w:t>能够证明该业绩项目已经采购人验收合格的相关证明文件。如未按以上要求提供该项业绩完整资料的，</w:t>
            </w:r>
            <w:r>
              <w:rPr>
                <w:rFonts w:hint="eastAsia" w:ascii="Arial" w:hAnsi="Arial" w:cs="Arial"/>
                <w:color w:val="auto"/>
                <w:szCs w:val="21"/>
                <w:highlight w:val="none"/>
                <w:lang w:val="en-US" w:eastAsia="zh-CN"/>
              </w:rPr>
              <w:t>不予计分。</w:t>
            </w:r>
          </w:p>
        </w:tc>
        <w:tc>
          <w:tcPr>
            <w:tcW w:w="607"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0" w:type="auto"/>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bCs/>
                <w:color w:val="auto"/>
                <w:kern w:val="0"/>
                <w:szCs w:val="21"/>
                <w:highlight w:val="none"/>
                <w:lang w:eastAsia="zh-CN"/>
              </w:rPr>
            </w:pPr>
            <w:r>
              <w:rPr>
                <w:rFonts w:hint="eastAsia" w:ascii="Arial" w:hAnsi="Arial" w:cs="Arial"/>
                <w:bCs/>
                <w:color w:val="auto"/>
                <w:kern w:val="0"/>
                <w:szCs w:val="21"/>
                <w:highlight w:val="none"/>
                <w:lang w:val="en-US" w:eastAsia="zh-CN"/>
              </w:rPr>
              <w:t>7</w:t>
            </w:r>
          </w:p>
        </w:tc>
        <w:tc>
          <w:tcPr>
            <w:tcW w:w="1245"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bCs/>
                <w:color w:val="auto"/>
                <w:kern w:val="0"/>
                <w:szCs w:val="21"/>
                <w:highlight w:val="none"/>
                <w:lang w:val="en-US" w:eastAsia="zh-CN"/>
              </w:rPr>
            </w:pPr>
            <w:r>
              <w:rPr>
                <w:rFonts w:hint="default" w:ascii="Arial" w:hAnsi="Arial" w:cs="Arial"/>
                <w:bCs/>
                <w:color w:val="auto"/>
                <w:kern w:val="0"/>
                <w:szCs w:val="21"/>
                <w:highlight w:val="none"/>
              </w:rPr>
              <w:t>企业能</w:t>
            </w:r>
            <w:r>
              <w:rPr>
                <w:rFonts w:hint="eastAsia" w:ascii="Arial" w:hAnsi="Arial" w:cs="Arial"/>
                <w:bCs/>
                <w:color w:val="auto"/>
                <w:kern w:val="0"/>
                <w:szCs w:val="21"/>
                <w:highlight w:val="none"/>
                <w:lang w:val="en-US" w:eastAsia="zh-CN"/>
              </w:rPr>
              <w:t>力</w:t>
            </w:r>
          </w:p>
        </w:tc>
        <w:tc>
          <w:tcPr>
            <w:tcW w:w="7376" w:type="dxa"/>
            <w:noWrap w:val="0"/>
            <w:vAlign w:val="top"/>
          </w:tcPr>
          <w:p>
            <w:pPr>
              <w:keepNext w:val="0"/>
              <w:keepLines w:val="0"/>
              <w:pageBreakBefore w:val="0"/>
              <w:widowControl w:val="0"/>
              <w:numPr>
                <w:ilvl w:val="0"/>
                <w:numId w:val="6"/>
              </w:numPr>
              <w:kinsoku/>
              <w:wordWrap/>
              <w:overflowPunct/>
              <w:topLinePunct w:val="0"/>
              <w:bidi w:val="0"/>
              <w:snapToGrid w:val="0"/>
              <w:spacing w:line="312" w:lineRule="auto"/>
              <w:jc w:val="left"/>
              <w:textAlignment w:val="auto"/>
              <w:rPr>
                <w:rFonts w:hint="default" w:ascii="Arial" w:hAnsi="Arial" w:cs="Arial"/>
                <w:color w:val="auto"/>
                <w:kern w:val="0"/>
                <w:szCs w:val="21"/>
                <w:highlight w:val="none"/>
              </w:rPr>
            </w:pPr>
            <w:r>
              <w:rPr>
                <w:rFonts w:hint="eastAsia" w:ascii="Arial" w:hAnsi="Arial" w:cs="Arial"/>
                <w:color w:val="auto"/>
                <w:kern w:val="0"/>
                <w:szCs w:val="21"/>
                <w:highlight w:val="none"/>
                <w:lang w:eastAsia="zh-CN"/>
              </w:rPr>
              <w:t>供应商</w:t>
            </w:r>
            <w:r>
              <w:rPr>
                <w:rFonts w:hint="default" w:ascii="Arial" w:hAnsi="Arial" w:cs="Arial"/>
                <w:color w:val="auto"/>
                <w:kern w:val="0"/>
                <w:szCs w:val="21"/>
                <w:highlight w:val="none"/>
              </w:rPr>
              <w:t>为本项目拟派的项目负责人具备网络与信息安全管理员三级及以上、软件设计师中级（计算机技术与软件专业技术资格证书）、信息系统项目管理师高级（</w:t>
            </w:r>
            <w:bookmarkStart w:id="84" w:name="OLE_LINK3"/>
            <w:r>
              <w:rPr>
                <w:rFonts w:hint="default" w:ascii="Arial" w:hAnsi="Arial" w:cs="Arial"/>
                <w:color w:val="auto"/>
                <w:kern w:val="0"/>
                <w:szCs w:val="21"/>
                <w:highlight w:val="none"/>
              </w:rPr>
              <w:t>计算机技术与软件专业技术资格证书</w:t>
            </w:r>
            <w:bookmarkEnd w:id="84"/>
            <w:r>
              <w:rPr>
                <w:rFonts w:hint="default" w:ascii="Arial" w:hAnsi="Arial" w:cs="Arial"/>
                <w:color w:val="auto"/>
                <w:kern w:val="0"/>
                <w:szCs w:val="21"/>
                <w:highlight w:val="none"/>
              </w:rPr>
              <w:t>）的，每提供1项得1分，满分3分。</w:t>
            </w:r>
            <w:r>
              <w:rPr>
                <w:rFonts w:hint="eastAsia" w:ascii="Arial" w:hAnsi="Arial" w:cs="Arial"/>
                <w:color w:val="auto"/>
                <w:kern w:val="0"/>
                <w:szCs w:val="21"/>
                <w:highlight w:val="none"/>
                <w:lang w:eastAsia="zh-CN"/>
              </w:rPr>
              <w:t>供应商</w:t>
            </w:r>
            <w:r>
              <w:rPr>
                <w:rFonts w:hint="default" w:ascii="Arial" w:hAnsi="Arial" w:cs="Arial"/>
                <w:color w:val="auto"/>
                <w:kern w:val="0"/>
                <w:szCs w:val="21"/>
                <w:highlight w:val="none"/>
              </w:rPr>
              <w:t>须同时提供身份证复印件、证书复印件和投标截止时间前</w:t>
            </w:r>
            <w:r>
              <w:rPr>
                <w:rFonts w:hint="eastAsia" w:ascii="Arial" w:hAnsi="Arial" w:cs="Arial"/>
                <w:color w:val="auto"/>
                <w:kern w:val="0"/>
                <w:szCs w:val="21"/>
                <w:highlight w:val="none"/>
                <w:lang w:val="en-US" w:eastAsia="zh-CN"/>
              </w:rPr>
              <w:t>6</w:t>
            </w:r>
            <w:r>
              <w:rPr>
                <w:rFonts w:hint="default" w:ascii="Arial" w:hAnsi="Arial" w:cs="Arial"/>
                <w:color w:val="auto"/>
                <w:kern w:val="0"/>
                <w:szCs w:val="21"/>
                <w:highlight w:val="none"/>
              </w:rPr>
              <w:t>个月内任意一个月(不含投标截止时间当月)</w:t>
            </w:r>
            <w:r>
              <w:rPr>
                <w:rFonts w:hint="eastAsia" w:ascii="Arial" w:hAnsi="Arial" w:cs="Arial"/>
                <w:color w:val="auto"/>
                <w:kern w:val="0"/>
                <w:szCs w:val="21"/>
                <w:highlight w:val="none"/>
                <w:lang w:eastAsia="zh-CN"/>
              </w:rPr>
              <w:t>供应商</w:t>
            </w:r>
            <w:r>
              <w:rPr>
                <w:rFonts w:hint="default" w:ascii="Arial" w:hAnsi="Arial" w:cs="Arial"/>
                <w:color w:val="auto"/>
                <w:kern w:val="0"/>
                <w:szCs w:val="21"/>
                <w:highlight w:val="none"/>
              </w:rPr>
              <w:t>单位为其缴纳的社保证明材料复印件，未提供或提供不齐全不得分。</w:t>
            </w:r>
          </w:p>
          <w:p>
            <w:pPr>
              <w:keepNext w:val="0"/>
              <w:keepLines w:val="0"/>
              <w:pageBreakBefore w:val="0"/>
              <w:widowControl w:val="0"/>
              <w:numPr>
                <w:ilvl w:val="0"/>
                <w:numId w:val="6"/>
              </w:numPr>
              <w:kinsoku/>
              <w:wordWrap/>
              <w:overflowPunct/>
              <w:topLinePunct w:val="0"/>
              <w:bidi w:val="0"/>
              <w:snapToGrid w:val="0"/>
              <w:spacing w:line="312" w:lineRule="auto"/>
              <w:ind w:left="0" w:leftChars="0" w:firstLine="0" w:firstLineChars="0"/>
              <w:jc w:val="left"/>
              <w:textAlignment w:val="auto"/>
              <w:rPr>
                <w:rFonts w:hint="eastAsia"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供应商具有DCMM（数据管理能力成熟度）3级及以上认证证书的得2分。供应商须提供有效的证书复印件，或在响应文件中提供相应的互联网或者相关信息系统的查询网址或查询方式，否则不得分。</w:t>
            </w:r>
          </w:p>
          <w:p>
            <w:pPr>
              <w:keepNext w:val="0"/>
              <w:keepLines w:val="0"/>
              <w:pageBreakBefore w:val="0"/>
              <w:widowControl w:val="0"/>
              <w:numPr>
                <w:ilvl w:val="0"/>
                <w:numId w:val="6"/>
              </w:numPr>
              <w:kinsoku/>
              <w:wordWrap/>
              <w:overflowPunct/>
              <w:topLinePunct w:val="0"/>
              <w:bidi w:val="0"/>
              <w:snapToGrid w:val="0"/>
              <w:spacing w:line="312" w:lineRule="auto"/>
              <w:ind w:left="0" w:leftChars="0" w:firstLine="0" w:firstLineChars="0"/>
              <w:jc w:val="left"/>
              <w:textAlignment w:val="auto"/>
              <w:rPr>
                <w:rFonts w:hint="eastAsia"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供应商具有</w:t>
            </w:r>
            <w:bookmarkStart w:id="85" w:name="OLE_LINK4"/>
            <w:r>
              <w:rPr>
                <w:rFonts w:hint="eastAsia" w:ascii="Arial" w:hAnsi="Arial" w:cs="Arial"/>
                <w:color w:val="auto"/>
                <w:kern w:val="0"/>
                <w:szCs w:val="21"/>
                <w:highlight w:val="none"/>
                <w:lang w:val="en-US" w:eastAsia="zh-CN"/>
              </w:rPr>
              <w:t>ISO38505数据治理安全</w:t>
            </w:r>
            <w:bookmarkEnd w:id="85"/>
            <w:r>
              <w:rPr>
                <w:rFonts w:hint="eastAsia" w:ascii="Arial" w:hAnsi="Arial" w:cs="Arial"/>
                <w:color w:val="auto"/>
                <w:kern w:val="0"/>
                <w:szCs w:val="21"/>
                <w:highlight w:val="none"/>
                <w:lang w:val="en-US" w:eastAsia="zh-CN"/>
              </w:rPr>
              <w:t>、DSMM（数据安全能力成熟度模型）2级及以上认证证书的，每提供一项证书得1分，满分2分。供应商须提供有效的证书复印件，或在响应文件中提供相应的互联网或者相关信息系统的查询网址或查询方式，否则不得分</w:t>
            </w:r>
          </w:p>
          <w:p>
            <w:pPr>
              <w:keepNext w:val="0"/>
              <w:keepLines w:val="0"/>
              <w:pageBreakBefore w:val="0"/>
              <w:widowControl w:val="0"/>
              <w:numPr>
                <w:ilvl w:val="0"/>
                <w:numId w:val="6"/>
              </w:numPr>
              <w:kinsoku/>
              <w:wordWrap/>
              <w:overflowPunct/>
              <w:topLinePunct w:val="0"/>
              <w:bidi w:val="0"/>
              <w:snapToGrid w:val="0"/>
              <w:spacing w:line="312" w:lineRule="auto"/>
              <w:ind w:leftChars="0"/>
              <w:jc w:val="left"/>
              <w:textAlignment w:val="auto"/>
              <w:rPr>
                <w:rFonts w:hint="default"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供应商具有备本项目采购产品相关软件著作权证书的，每提供一项证书得1分</w:t>
            </w:r>
            <w:r>
              <w:rPr>
                <w:rFonts w:hint="eastAsia" w:ascii="Arial" w:hAnsi="Arial" w:cs="Arial"/>
                <w:strike w:val="0"/>
                <w:dstrike w:val="0"/>
                <w:color w:val="auto"/>
                <w:kern w:val="0"/>
                <w:szCs w:val="21"/>
                <w:highlight w:val="none"/>
                <w:lang w:val="en-US" w:eastAsia="zh-CN"/>
              </w:rPr>
              <w:t>，满分2分</w:t>
            </w:r>
            <w:r>
              <w:rPr>
                <w:rFonts w:hint="eastAsia" w:ascii="Arial" w:hAnsi="Arial" w:cs="Arial"/>
                <w:color w:val="auto"/>
                <w:kern w:val="0"/>
                <w:szCs w:val="21"/>
                <w:highlight w:val="none"/>
                <w:lang w:val="en-US" w:eastAsia="zh-CN"/>
              </w:rPr>
              <w:t>。</w:t>
            </w:r>
          </w:p>
        </w:tc>
        <w:tc>
          <w:tcPr>
            <w:tcW w:w="607"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0" w:type="auto"/>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eastAsia" w:ascii="Arial" w:hAnsi="Arial" w:eastAsia="宋体" w:cs="Arial"/>
                <w:bCs/>
                <w:color w:val="auto"/>
                <w:kern w:val="0"/>
                <w:szCs w:val="21"/>
                <w:highlight w:val="none"/>
                <w:lang w:eastAsia="zh-CN"/>
              </w:rPr>
            </w:pPr>
            <w:r>
              <w:rPr>
                <w:rFonts w:hint="eastAsia" w:ascii="Arial" w:hAnsi="Arial" w:cs="Arial"/>
                <w:bCs/>
                <w:color w:val="auto"/>
                <w:kern w:val="0"/>
                <w:szCs w:val="21"/>
                <w:highlight w:val="none"/>
                <w:lang w:val="en-US" w:eastAsia="zh-CN"/>
              </w:rPr>
              <w:t>8</w:t>
            </w:r>
          </w:p>
        </w:tc>
        <w:tc>
          <w:tcPr>
            <w:tcW w:w="1245"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Cs/>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系统演示</w:t>
            </w:r>
          </w:p>
        </w:tc>
        <w:tc>
          <w:tcPr>
            <w:tcW w:w="7376" w:type="dxa"/>
            <w:noWrap w:val="0"/>
            <w:vAlign w:val="top"/>
          </w:tcPr>
          <w:p>
            <w:pPr>
              <w:keepNext w:val="0"/>
              <w:keepLines w:val="0"/>
              <w:pageBreakBefore w:val="0"/>
              <w:widowControl w:val="0"/>
              <w:kinsoku/>
              <w:wordWrap/>
              <w:overflowPunct/>
              <w:topLinePunct w:val="0"/>
              <w:bidi w:val="0"/>
              <w:snapToGrid w:val="0"/>
              <w:spacing w:line="312" w:lineRule="auto"/>
              <w:jc w:val="left"/>
              <w:textAlignment w:val="auto"/>
              <w:rPr>
                <w:rFonts w:hint="default" w:ascii="Arial" w:hAnsi="Arial" w:cs="Arial"/>
                <w:color w:val="auto"/>
                <w:kern w:val="0"/>
                <w:szCs w:val="21"/>
                <w:highlight w:val="none"/>
              </w:rPr>
            </w:pPr>
            <w:r>
              <w:rPr>
                <w:rFonts w:ascii="Arial" w:hAnsi="Arial" w:eastAsia="宋体" w:cs="Arial"/>
                <w:i w:val="0"/>
                <w:iCs w:val="0"/>
                <w:caps w:val="0"/>
                <w:color w:val="auto"/>
                <w:spacing w:val="0"/>
                <w:sz w:val="21"/>
                <w:szCs w:val="21"/>
                <w:highlight w:val="none"/>
                <w:shd w:val="clear" w:fill="FFFFFF"/>
              </w:rPr>
              <w:t>供应商</w:t>
            </w:r>
            <w:r>
              <w:rPr>
                <w:rFonts w:hint="default" w:ascii="Arial" w:hAnsi="Arial" w:eastAsia="宋体" w:cs="Arial"/>
                <w:i w:val="0"/>
                <w:iCs w:val="0"/>
                <w:caps w:val="0"/>
                <w:color w:val="auto"/>
                <w:spacing w:val="0"/>
                <w:sz w:val="21"/>
                <w:szCs w:val="21"/>
                <w:highlight w:val="none"/>
                <w:shd w:val="clear" w:fill="FFFFFF"/>
              </w:rPr>
              <w:t>针对“</w:t>
            </w:r>
            <w:r>
              <w:rPr>
                <w:rFonts w:hint="eastAsia" w:ascii="宋体" w:hAnsi="宋体" w:eastAsia="宋体" w:cs="宋体"/>
                <w:i w:val="0"/>
                <w:iCs w:val="0"/>
                <w:color w:val="auto"/>
                <w:kern w:val="0"/>
                <w:sz w:val="22"/>
                <w:szCs w:val="22"/>
                <w:highlight w:val="none"/>
                <w:u w:val="none"/>
                <w:lang w:val="en-US" w:eastAsia="zh-CN" w:bidi="ar"/>
              </w:rPr>
              <w:t>※</w:t>
            </w:r>
            <w:r>
              <w:rPr>
                <w:rFonts w:hint="default" w:ascii="Arial" w:hAnsi="Arial" w:eastAsia="宋体" w:cs="Arial"/>
                <w:i w:val="0"/>
                <w:iCs w:val="0"/>
                <w:caps w:val="0"/>
                <w:color w:val="auto"/>
                <w:spacing w:val="0"/>
                <w:sz w:val="21"/>
                <w:szCs w:val="21"/>
                <w:highlight w:val="none"/>
                <w:shd w:val="clear" w:fill="FFFFFF"/>
              </w:rPr>
              <w:t>”标记的需要演示的参数逐条进行现场演示，全部符合得</w:t>
            </w:r>
            <w:r>
              <w:rPr>
                <w:rFonts w:hint="eastAsia" w:ascii="Arial" w:hAnsi="Arial" w:cs="Arial"/>
                <w:i w:val="0"/>
                <w:iCs w:val="0"/>
                <w:caps w:val="0"/>
                <w:color w:val="auto"/>
                <w:spacing w:val="0"/>
                <w:sz w:val="21"/>
                <w:szCs w:val="21"/>
                <w:highlight w:val="none"/>
                <w:shd w:val="clear" w:fill="FFFFFF"/>
                <w:lang w:val="en-US" w:eastAsia="zh-CN"/>
              </w:rPr>
              <w:t>2</w:t>
            </w:r>
            <w:r>
              <w:rPr>
                <w:rFonts w:hint="default" w:ascii="Arial" w:hAnsi="Arial" w:eastAsia="宋体" w:cs="Arial"/>
                <w:i w:val="0"/>
                <w:iCs w:val="0"/>
                <w:caps w:val="0"/>
                <w:color w:val="auto"/>
                <w:spacing w:val="0"/>
                <w:sz w:val="21"/>
                <w:szCs w:val="21"/>
                <w:highlight w:val="none"/>
                <w:shd w:val="clear" w:fill="FFFFFF"/>
              </w:rPr>
              <w:t>0分（</w:t>
            </w:r>
            <w:r>
              <w:rPr>
                <w:rFonts w:hint="default" w:ascii="Arial" w:hAnsi="Arial" w:eastAsia="宋体" w:cs="Arial"/>
                <w:i w:val="0"/>
                <w:iCs w:val="0"/>
                <w:caps w:val="0"/>
                <w:color w:val="auto"/>
                <w:spacing w:val="0"/>
                <w:sz w:val="21"/>
                <w:szCs w:val="21"/>
                <w:highlight w:val="none"/>
                <w:shd w:val="clear" w:fill="FFFFFF"/>
                <w:lang w:val="en-US"/>
              </w:rPr>
              <w:t>共</w:t>
            </w:r>
            <w:r>
              <w:rPr>
                <w:rFonts w:hint="eastAsia" w:ascii="Arial" w:hAnsi="Arial" w:cs="Arial"/>
                <w:i w:val="0"/>
                <w:iCs w:val="0"/>
                <w:caps w:val="0"/>
                <w:color w:val="auto"/>
                <w:spacing w:val="0"/>
                <w:sz w:val="21"/>
                <w:szCs w:val="21"/>
                <w:highlight w:val="none"/>
                <w:shd w:val="clear" w:fill="FFFFFF"/>
                <w:lang w:val="en-US" w:eastAsia="zh-CN"/>
              </w:rPr>
              <w:t>10</w:t>
            </w:r>
            <w:r>
              <w:rPr>
                <w:rFonts w:hint="default" w:ascii="Arial" w:hAnsi="Arial" w:eastAsia="宋体" w:cs="Arial"/>
                <w:i w:val="0"/>
                <w:iCs w:val="0"/>
                <w:caps w:val="0"/>
                <w:color w:val="auto"/>
                <w:spacing w:val="0"/>
                <w:sz w:val="21"/>
                <w:szCs w:val="21"/>
                <w:highlight w:val="none"/>
                <w:shd w:val="clear" w:fill="FFFFFF"/>
                <w:lang w:val="en-US"/>
              </w:rPr>
              <w:t>个演示项</w:t>
            </w:r>
            <w:r>
              <w:rPr>
                <w:rFonts w:hint="default" w:ascii="Arial" w:hAnsi="Arial" w:eastAsia="宋体" w:cs="Arial"/>
                <w:i w:val="0"/>
                <w:iCs w:val="0"/>
                <w:caps w:val="0"/>
                <w:color w:val="auto"/>
                <w:spacing w:val="0"/>
                <w:sz w:val="21"/>
                <w:szCs w:val="21"/>
                <w:highlight w:val="none"/>
                <w:shd w:val="clear" w:fill="FFFFFF"/>
              </w:rPr>
              <w:t>）；每一项内容不符合扣2分，扣完为止，</w:t>
            </w:r>
            <w:r>
              <w:rPr>
                <w:rFonts w:hint="default" w:ascii="Times New Roman" w:hAnsi="Times New Roman" w:eastAsia="宋体" w:cs="Times New Roman"/>
                <w:i w:val="0"/>
                <w:iCs w:val="0"/>
                <w:caps w:val="0"/>
                <w:color w:val="auto"/>
                <w:spacing w:val="0"/>
                <w:sz w:val="21"/>
                <w:szCs w:val="21"/>
                <w:highlight w:val="none"/>
                <w:shd w:val="clear" w:fill="FFFFFF"/>
                <w:lang w:val="en-US"/>
              </w:rPr>
              <w:t>不演示不得分</w:t>
            </w:r>
            <w:r>
              <w:rPr>
                <w:rFonts w:hint="eastAsia" w:ascii="宋体" w:hAnsi="宋体" w:eastAsia="宋体" w:cs="宋体"/>
                <w:i w:val="0"/>
                <w:iCs w:val="0"/>
                <w:color w:val="auto"/>
                <w:kern w:val="0"/>
                <w:sz w:val="22"/>
                <w:szCs w:val="22"/>
                <w:highlight w:val="none"/>
                <w:u w:val="none"/>
                <w:lang w:val="en-US" w:eastAsia="zh-CN" w:bidi="ar"/>
              </w:rPr>
              <w:t>注：（1）演示方式：供应商用截图、PPT方式演示的，或未演示的均不得分；（2）演示时间：</w:t>
            </w:r>
            <w:r>
              <w:rPr>
                <w:rFonts w:hint="default" w:ascii="Arial" w:hAnsi="Arial" w:cs="Arial" w:eastAsiaTheme="minorEastAsia"/>
                <w:bCs/>
                <w:color w:val="auto"/>
                <w:highlight w:val="none"/>
                <w:lang w:val="en-US" w:eastAsia="zh-CN"/>
              </w:rPr>
              <w:t>系统演示将在磋商小组组长组织下进行，供应商演示顺序按响应文件递送的顺序进行，当磋商小组组长下达演示通知后，供应商代表必须在5分钟内响应。当磋商小组组长下达演示开始时，开始计时，供应商须在20分钟内完成演示工作。供应商逾期响应将视为弃权。</w:t>
            </w:r>
          </w:p>
        </w:tc>
        <w:tc>
          <w:tcPr>
            <w:tcW w:w="607"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95" w:type="dxa"/>
            <w:gridSpan w:val="2"/>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bCs/>
                <w:color w:val="auto"/>
                <w:kern w:val="0"/>
                <w:szCs w:val="21"/>
                <w:highlight w:val="none"/>
              </w:rPr>
            </w:pPr>
            <w:r>
              <w:rPr>
                <w:rFonts w:hint="default" w:ascii="Arial" w:hAnsi="Arial" w:cs="Arial"/>
                <w:bCs/>
                <w:color w:val="auto"/>
                <w:kern w:val="0"/>
                <w:szCs w:val="21"/>
                <w:highlight w:val="none"/>
              </w:rPr>
              <w:t>合计</w:t>
            </w:r>
          </w:p>
        </w:tc>
        <w:tc>
          <w:tcPr>
            <w:tcW w:w="7376" w:type="dxa"/>
            <w:noWrap w:val="0"/>
            <w:vAlign w:val="center"/>
          </w:tcPr>
          <w:p>
            <w:pPr>
              <w:keepNext w:val="0"/>
              <w:keepLines w:val="0"/>
              <w:pageBreakBefore w:val="0"/>
              <w:widowControl w:val="0"/>
              <w:kinsoku/>
              <w:wordWrap/>
              <w:overflowPunct/>
              <w:topLinePunct w:val="0"/>
              <w:bidi w:val="0"/>
              <w:snapToGrid w:val="0"/>
              <w:spacing w:line="312" w:lineRule="auto"/>
              <w:jc w:val="left"/>
              <w:textAlignment w:val="auto"/>
              <w:rPr>
                <w:rFonts w:hint="default" w:ascii="Arial" w:hAnsi="Arial" w:cs="Arial"/>
                <w:color w:val="auto"/>
                <w:kern w:val="0"/>
                <w:szCs w:val="21"/>
                <w:highlight w:val="none"/>
              </w:rPr>
            </w:pPr>
          </w:p>
        </w:tc>
        <w:tc>
          <w:tcPr>
            <w:tcW w:w="607" w:type="dxa"/>
            <w:noWrap w:val="0"/>
            <w:vAlign w:val="center"/>
          </w:tcPr>
          <w:p>
            <w:pPr>
              <w:keepNext w:val="0"/>
              <w:keepLines w:val="0"/>
              <w:pageBreakBefore w:val="0"/>
              <w:widowControl w:val="0"/>
              <w:kinsoku/>
              <w:wordWrap/>
              <w:overflowPunct/>
              <w:topLinePunct w:val="0"/>
              <w:bidi w:val="0"/>
              <w:snapToGrid w:val="0"/>
              <w:spacing w:line="312" w:lineRule="auto"/>
              <w:jc w:val="center"/>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fldChar w:fldCharType="begin"/>
            </w:r>
            <w:r>
              <w:rPr>
                <w:rFonts w:hint="default" w:ascii="Arial" w:hAnsi="Arial" w:cs="Arial"/>
                <w:color w:val="auto"/>
                <w:kern w:val="0"/>
                <w:szCs w:val="21"/>
                <w:highlight w:val="none"/>
              </w:rPr>
              <w:instrText xml:space="preserve"> = sum(D2:D14) \* MERGEFORMAT </w:instrText>
            </w:r>
            <w:r>
              <w:rPr>
                <w:rFonts w:hint="default" w:ascii="Arial" w:hAnsi="Arial" w:cs="Arial"/>
                <w:color w:val="auto"/>
                <w:kern w:val="0"/>
                <w:szCs w:val="21"/>
                <w:highlight w:val="none"/>
              </w:rPr>
              <w:fldChar w:fldCharType="separate"/>
            </w:r>
            <w:r>
              <w:rPr>
                <w:rFonts w:hint="default" w:ascii="Arial" w:hAnsi="Arial" w:cs="Arial"/>
                <w:color w:val="auto"/>
                <w:kern w:val="0"/>
                <w:szCs w:val="21"/>
                <w:highlight w:val="none"/>
              </w:rPr>
              <w:t>100</w:t>
            </w:r>
            <w:r>
              <w:rPr>
                <w:rFonts w:hint="default" w:ascii="Arial" w:hAnsi="Arial" w:cs="Arial"/>
                <w:color w:val="auto"/>
                <w:kern w:val="0"/>
                <w:szCs w:val="21"/>
                <w:highlight w:val="none"/>
              </w:rPr>
              <w:fldChar w:fldCharType="end"/>
            </w:r>
          </w:p>
        </w:tc>
      </w:tr>
    </w:tbl>
    <w:p>
      <w:pPr>
        <w:ind w:firstLine="316" w:firstLineChars="150"/>
        <w:rPr>
          <w:rFonts w:hint="default" w:ascii="Arial" w:hAnsi="Arial" w:cs="Arial"/>
          <w:b/>
          <w:bCs/>
          <w:color w:val="auto"/>
          <w:szCs w:val="21"/>
          <w:highlight w:val="none"/>
          <w:lang w:val="zh-CN"/>
        </w:rPr>
      </w:pPr>
    </w:p>
    <w:p>
      <w:pPr>
        <w:spacing w:before="120" w:line="320" w:lineRule="atLeast"/>
        <w:ind w:firstLine="316" w:firstLineChars="150"/>
        <w:rPr>
          <w:rFonts w:hint="default" w:ascii="Arial" w:hAnsi="Arial" w:cs="Arial"/>
          <w:b/>
          <w:bCs/>
          <w:color w:val="auto"/>
          <w:kern w:val="0"/>
          <w:szCs w:val="21"/>
          <w:highlight w:val="none"/>
        </w:rPr>
      </w:pPr>
      <w:r>
        <w:rPr>
          <w:rFonts w:hint="default" w:ascii="Arial" w:hAnsi="Arial" w:cs="Arial"/>
          <w:b/>
          <w:bCs/>
          <w:color w:val="auto"/>
          <w:kern w:val="0"/>
          <w:szCs w:val="21"/>
          <w:highlight w:val="none"/>
        </w:rPr>
        <w:t>注：政策性扣除计算方法：</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供应商响应报价将按相应比例进行扣除，用扣除后的价格参与评审（计算价格分），价格扣除比例分别如下：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spacing w:before="120" w:line="320" w:lineRule="atLeast"/>
              <w:jc w:val="center"/>
              <w:rPr>
                <w:rFonts w:hint="default" w:ascii="Arial" w:hAnsi="Arial" w:cs="Arial"/>
                <w:color w:val="auto"/>
                <w:szCs w:val="21"/>
                <w:highlight w:val="none"/>
              </w:rPr>
            </w:pPr>
            <w:r>
              <w:rPr>
                <w:rFonts w:hint="default" w:ascii="Arial" w:hAnsi="Arial" w:cs="Arial"/>
                <w:color w:val="auto"/>
                <w:szCs w:val="21"/>
                <w:highlight w:val="none"/>
              </w:rPr>
              <w:t>独立响应</w:t>
            </w:r>
          </w:p>
        </w:tc>
        <w:tc>
          <w:tcPr>
            <w:tcW w:w="4962" w:type="dxa"/>
            <w:noWrap w:val="0"/>
            <w:vAlign w:val="top"/>
          </w:tcPr>
          <w:p>
            <w:p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供应商均为所列企业之一（小型企业、微型企业、残疾人福利企业、监狱企业）</w:t>
            </w:r>
          </w:p>
        </w:tc>
        <w:tc>
          <w:tcPr>
            <w:tcW w:w="2551" w:type="dxa"/>
            <w:noWrap w:val="0"/>
            <w:vAlign w:val="top"/>
          </w:tcPr>
          <w:p>
            <w:p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价格扣除响应报价的10%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pPr>
              <w:spacing w:before="120" w:line="320" w:lineRule="atLeast"/>
              <w:jc w:val="center"/>
              <w:rPr>
                <w:rFonts w:hint="default" w:ascii="Arial" w:hAnsi="Arial" w:cs="Arial"/>
                <w:color w:val="auto"/>
                <w:szCs w:val="21"/>
                <w:highlight w:val="none"/>
              </w:rPr>
            </w:pPr>
            <w:r>
              <w:rPr>
                <w:rFonts w:hint="default" w:ascii="Arial" w:hAnsi="Arial" w:cs="Arial"/>
                <w:color w:val="auto"/>
                <w:szCs w:val="21"/>
                <w:highlight w:val="none"/>
              </w:rPr>
              <w:t>联合体或</w:t>
            </w:r>
          </w:p>
          <w:p>
            <w:pPr>
              <w:spacing w:before="120" w:line="320" w:lineRule="atLeast"/>
              <w:jc w:val="center"/>
              <w:rPr>
                <w:rFonts w:hint="default" w:ascii="Arial" w:hAnsi="Arial" w:cs="Arial"/>
                <w:color w:val="auto"/>
                <w:szCs w:val="21"/>
                <w:highlight w:val="none"/>
              </w:rPr>
            </w:pPr>
            <w:r>
              <w:rPr>
                <w:rFonts w:hint="default" w:ascii="Arial" w:hAnsi="Arial" w:cs="Arial"/>
                <w:color w:val="auto"/>
                <w:szCs w:val="21"/>
                <w:highlight w:val="none"/>
              </w:rPr>
              <w:t>分包</w:t>
            </w:r>
          </w:p>
        </w:tc>
        <w:tc>
          <w:tcPr>
            <w:tcW w:w="4962" w:type="dxa"/>
            <w:noWrap w:val="0"/>
            <w:vAlign w:val="top"/>
          </w:tcPr>
          <w:p>
            <w:p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小微企业承接的金额比例为100%</w:t>
            </w:r>
          </w:p>
        </w:tc>
        <w:tc>
          <w:tcPr>
            <w:tcW w:w="2551" w:type="dxa"/>
            <w:noWrap w:val="0"/>
            <w:vAlign w:val="top"/>
          </w:tcPr>
          <w:p>
            <w:p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价格扣除响应报价的10%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pPr>
              <w:spacing w:before="120" w:line="320" w:lineRule="atLeast"/>
              <w:rPr>
                <w:rFonts w:hint="default" w:ascii="Arial" w:hAnsi="Arial" w:cs="Arial"/>
                <w:color w:val="auto"/>
                <w:szCs w:val="21"/>
                <w:highlight w:val="none"/>
              </w:rPr>
            </w:pPr>
          </w:p>
        </w:tc>
        <w:tc>
          <w:tcPr>
            <w:tcW w:w="4962" w:type="dxa"/>
            <w:noWrap w:val="0"/>
            <w:vAlign w:val="top"/>
          </w:tcPr>
          <w:p>
            <w:p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小微企业承接的金额比例达到合同总金额30%以上</w:t>
            </w:r>
          </w:p>
        </w:tc>
        <w:tc>
          <w:tcPr>
            <w:tcW w:w="2551" w:type="dxa"/>
            <w:noWrap w:val="0"/>
            <w:vAlign w:val="top"/>
          </w:tcPr>
          <w:p>
            <w:p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价格扣除响应报价的4%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p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注：未提供《中小企业声明函》、《分包意向协议书》或《联合体协议书》或不符合条件的，不享受价格扣除优惠。</w:t>
            </w:r>
          </w:p>
        </w:tc>
      </w:tr>
    </w:tbl>
    <w:p>
      <w:pPr>
        <w:rPr>
          <w:rFonts w:hint="default" w:ascii="Arial" w:hAnsi="Arial" w:cs="Arial"/>
          <w:color w:val="auto"/>
          <w:highlight w:val="none"/>
        </w:rPr>
      </w:pPr>
    </w:p>
    <w:bookmarkEnd w:id="82"/>
    <w:p>
      <w:pPr>
        <w:spacing w:before="120" w:line="320" w:lineRule="atLeast"/>
        <w:ind w:firstLine="420" w:firstLineChars="200"/>
        <w:rPr>
          <w:rFonts w:hint="default" w:ascii="Arial" w:hAnsi="Arial" w:cs="Arial"/>
          <w:color w:val="auto"/>
          <w:highlight w:val="none"/>
        </w:rPr>
      </w:pPr>
      <w:bookmarkStart w:id="86" w:name="_Hlk65851690"/>
      <w:r>
        <w:rPr>
          <w:rFonts w:hint="default" w:ascii="Arial" w:hAnsi="Arial" w:cs="Arial"/>
          <w:color w:val="auto"/>
          <w:highlight w:val="none"/>
        </w:rPr>
        <w:t>4.1偏离认定说明</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供应商根据采购需求中技术参数为基准，填写响应表，对于响应表或证明材料与技术参数不符的，按如下规定：</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（2）响应表中响应的内容与证明材料不一致的，以证明材料为准作为评审依据。</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（3）同时出现以上两种情况的，按照（1）-（2）顺序认定。</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（4）响应表与采购需求中技术参数比较有漏项的，如为实质性参数漏项，视为未响应；如为非实质性参数漏项，视为负偏离。</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（5）一项技术参数有多条小项要求的，必须全部响应。如只响应部分参数，视为漏项，按照（4）判定。评审时以每一条技术参数为评审依据。</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（8）对于单边任意参数的要求，例“长度≥50cm”，若响应为50 cm及50cm以上任意一个数值，均视为无偏离；若响应小于50cm，视为负偏离。此类参数无正偏离。</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（9）对于固定参数，响应与采购需求中技术参数一致，视为无偏离，其他均视为负偏离，此类参数无正偏离。</w:t>
      </w:r>
    </w:p>
    <w:p>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（10）如采购需求中技术参数有特殊要求与上述说明不一致的，以特殊要求为准。</w:t>
      </w:r>
    </w:p>
    <w:bookmarkEnd w:id="75"/>
    <w:bookmarkEnd w:id="76"/>
    <w:bookmarkEnd w:id="78"/>
    <w:bookmarkEnd w:id="86"/>
    <w:p>
      <w:pPr>
        <w:spacing w:before="120" w:line="320" w:lineRule="atLeast"/>
        <w:rPr>
          <w:rFonts w:hint="default" w:ascii="Arial" w:hAnsi="Arial" w:cs="Arial"/>
          <w:color w:val="auto"/>
          <w:szCs w:val="21"/>
          <w:highlight w:val="none"/>
        </w:rPr>
      </w:pPr>
    </w:p>
    <w:p>
      <w:pPr>
        <w:pStyle w:val="27"/>
        <w:snapToGrid w:val="0"/>
        <w:spacing w:before="120" w:after="120"/>
        <w:outlineLvl w:val="0"/>
        <w:rPr>
          <w:rFonts w:hint="default" w:ascii="Arial" w:hAnsi="Arial" w:cs="Arial"/>
          <w:b/>
          <w:color w:val="auto"/>
          <w:sz w:val="32"/>
          <w:szCs w:val="32"/>
          <w:highlight w:val="none"/>
        </w:rPr>
        <w:sectPr>
          <w:headerReference r:id="rId12" w:type="first"/>
          <w:headerReference r:id="rId11" w:type="default"/>
          <w:pgSz w:w="11906" w:h="16838"/>
          <w:pgMar w:top="1418" w:right="1133" w:bottom="1246" w:left="1418" w:header="851" w:footer="992" w:gutter="0"/>
          <w:cols w:space="720" w:num="1"/>
          <w:docGrid w:linePitch="312" w:charSpace="0"/>
        </w:sectPr>
      </w:pPr>
    </w:p>
    <w:p>
      <w:pPr>
        <w:pStyle w:val="27"/>
        <w:snapToGrid w:val="0"/>
        <w:spacing w:before="120" w:after="120" w:line="320" w:lineRule="exact"/>
        <w:jc w:val="center"/>
        <w:outlineLvl w:val="0"/>
        <w:rPr>
          <w:rFonts w:hint="default" w:ascii="Arial" w:hAnsi="Arial" w:cs="Arial"/>
          <w:color w:val="auto"/>
          <w:sz w:val="32"/>
          <w:szCs w:val="32"/>
          <w:highlight w:val="none"/>
        </w:rPr>
      </w:pPr>
      <w:bookmarkStart w:id="87" w:name="_Toc25316"/>
      <w:bookmarkStart w:id="88" w:name="_Toc29511"/>
      <w:bookmarkStart w:id="89" w:name="_Hlk160525271"/>
      <w:r>
        <w:rPr>
          <w:rFonts w:hint="default" w:ascii="Arial" w:hAnsi="Arial" w:cs="Arial"/>
          <w:color w:val="auto"/>
          <w:sz w:val="32"/>
          <w:szCs w:val="32"/>
          <w:highlight w:val="none"/>
        </w:rPr>
        <w:t>第五章  合同主要条款格式</w:t>
      </w:r>
      <w:bookmarkEnd w:id="87"/>
      <w:bookmarkEnd w:id="88"/>
    </w:p>
    <w:bookmarkEnd w:id="89"/>
    <w:p>
      <w:pPr>
        <w:spacing w:before="120" w:line="288" w:lineRule="auto"/>
        <w:ind w:firstLine="422" w:firstLineChars="200"/>
        <w:jc w:val="center"/>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广西壮族自治区政府采购合同</w:t>
      </w:r>
    </w:p>
    <w:p>
      <w:pPr>
        <w:spacing w:before="120" w:line="288" w:lineRule="auto"/>
        <w:ind w:firstLine="420" w:firstLineChars="200"/>
        <w:jc w:val="center"/>
        <w:outlineLvl w:val="1"/>
        <w:rPr>
          <w:rFonts w:hint="default" w:ascii="Arial" w:hAnsi="Arial" w:cs="Arial"/>
          <w:bCs/>
          <w:color w:val="auto"/>
          <w:szCs w:val="21"/>
          <w:highlight w:val="none"/>
        </w:rPr>
      </w:pPr>
    </w:p>
    <w:p>
      <w:pPr>
        <w:snapToGrid w:val="0"/>
        <w:spacing w:line="312" w:lineRule="auto"/>
        <w:ind w:right="480" w:firstLine="5985" w:firstLineChars="2850"/>
        <w:rPr>
          <w:rFonts w:hint="default" w:ascii="Arial" w:hAnsi="Arial" w:cs="Arial"/>
          <w:color w:val="auto"/>
          <w:szCs w:val="21"/>
          <w:highlight w:val="none"/>
        </w:rPr>
      </w:pPr>
      <w:r>
        <w:rPr>
          <w:rFonts w:hint="default" w:ascii="Arial" w:hAnsi="Arial" w:cs="Arial"/>
          <w:bCs/>
          <w:color w:val="auto"/>
          <w:szCs w:val="21"/>
          <w:highlight w:val="none"/>
        </w:rPr>
        <w:t>合同编号：</w:t>
      </w:r>
    </w:p>
    <w:p>
      <w:pPr>
        <w:snapToGrid w:val="0"/>
        <w:spacing w:line="312" w:lineRule="auto"/>
        <w:rPr>
          <w:rFonts w:hint="default" w:ascii="Arial" w:hAnsi="Arial" w:cs="Arial"/>
          <w:color w:val="auto"/>
          <w:kern w:val="0"/>
          <w:szCs w:val="21"/>
          <w:highlight w:val="none"/>
        </w:rPr>
      </w:pPr>
      <w:r>
        <w:rPr>
          <w:rFonts w:hint="default" w:ascii="Arial" w:hAnsi="Arial" w:cs="Arial"/>
          <w:color w:val="auto"/>
          <w:szCs w:val="21"/>
          <w:highlight w:val="none"/>
        </w:rPr>
        <w:t>采购单位（甲方）</w:t>
      </w:r>
      <w:r>
        <w:rPr>
          <w:rFonts w:hint="default" w:ascii="Arial" w:hAnsi="Arial" w:cs="Arial"/>
          <w:color w:val="auto"/>
          <w:kern w:val="0"/>
          <w:szCs w:val="21"/>
          <w:highlight w:val="none"/>
          <w:u w:val="single"/>
        </w:rPr>
        <w:t>桂林医科大学</w:t>
      </w:r>
      <w:r>
        <w:rPr>
          <w:rFonts w:hint="default" w:ascii="Arial" w:hAnsi="Arial" w:cs="Arial"/>
          <w:color w:val="auto"/>
          <w:kern w:val="0"/>
          <w:szCs w:val="21"/>
          <w:highlight w:val="none"/>
        </w:rPr>
        <w:t xml:space="preserve">                       </w:t>
      </w:r>
      <w:r>
        <w:rPr>
          <w:rFonts w:hint="default" w:ascii="Arial" w:hAnsi="Arial" w:cs="Arial"/>
          <w:color w:val="auto"/>
          <w:spacing w:val="-20"/>
          <w:szCs w:val="21"/>
          <w:highlight w:val="none"/>
        </w:rPr>
        <w:t>采 购 计 划 号：</w:t>
      </w:r>
    </w:p>
    <w:p>
      <w:pPr>
        <w:snapToGrid w:val="0"/>
        <w:spacing w:line="312" w:lineRule="auto"/>
        <w:rPr>
          <w:rFonts w:hint="default" w:ascii="Arial" w:hAnsi="Arial" w:cs="Arial"/>
          <w:color w:val="auto"/>
          <w:szCs w:val="21"/>
          <w:highlight w:val="none"/>
          <w:u w:val="single"/>
        </w:rPr>
      </w:pPr>
      <w:r>
        <w:rPr>
          <w:rFonts w:hint="default" w:ascii="Arial" w:hAnsi="Arial" w:cs="Arial"/>
          <w:color w:val="auto"/>
          <w:szCs w:val="21"/>
          <w:highlight w:val="none"/>
        </w:rPr>
        <w:t>供 应 商（乙方）                                 项目名称及</w:t>
      </w:r>
      <w:r>
        <w:rPr>
          <w:rFonts w:hint="default" w:ascii="Arial" w:hAnsi="Arial" w:cs="Arial"/>
          <w:color w:val="auto"/>
          <w:spacing w:val="-20"/>
          <w:szCs w:val="21"/>
          <w:highlight w:val="none"/>
        </w:rPr>
        <w:t>编号：</w:t>
      </w:r>
    </w:p>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 xml:space="preserve">签  订  地  点  </w:t>
      </w:r>
      <w:r>
        <w:rPr>
          <w:rFonts w:hint="default" w:ascii="Arial" w:hAnsi="Arial" w:cs="Arial"/>
          <w:color w:val="auto"/>
          <w:szCs w:val="21"/>
          <w:highlight w:val="none"/>
          <w:u w:val="single"/>
        </w:rPr>
        <w:t>桂林医科大学</w:t>
      </w:r>
      <w:r>
        <w:rPr>
          <w:rFonts w:hint="default" w:ascii="Arial" w:hAnsi="Arial" w:cs="Arial"/>
          <w:color w:val="auto"/>
          <w:szCs w:val="21"/>
          <w:highlight w:val="none"/>
        </w:rPr>
        <w:t xml:space="preserve">                       签 订 时 间：</w:t>
      </w:r>
    </w:p>
    <w:p>
      <w:pPr>
        <w:pStyle w:val="27"/>
        <w:spacing w:line="312" w:lineRule="auto"/>
        <w:ind w:firstLine="420" w:firstLineChars="200"/>
        <w:rPr>
          <w:rFonts w:hint="default" w:ascii="Arial" w:hAnsi="Arial" w:cs="Arial"/>
          <w:color w:val="auto"/>
          <w:highlight w:val="none"/>
        </w:rPr>
      </w:pPr>
      <w:r>
        <w:rPr>
          <w:rFonts w:hint="default" w:ascii="Arial" w:hAnsi="Arial" w:cs="Arial"/>
          <w:color w:val="auto"/>
          <w:highlight w:val="none"/>
        </w:rPr>
        <w:t>根据《中华人民共和国政府采购法》、《中华人民共和国民法典》等法律、法规规定，按照采购文件规定条款和乙方响应文件及其承诺，甲乙双方签订本合同。</w:t>
      </w:r>
    </w:p>
    <w:p>
      <w:pPr>
        <w:snapToGrid w:val="0"/>
        <w:spacing w:line="312"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第一条　合同标的</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1.供货一览表</w:t>
      </w:r>
    </w:p>
    <w:tbl>
      <w:tblPr>
        <w:tblStyle w:val="52"/>
        <w:tblW w:w="95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9"/>
        <w:gridCol w:w="1077"/>
        <w:gridCol w:w="1190"/>
        <w:gridCol w:w="1189"/>
        <w:gridCol w:w="669"/>
        <w:gridCol w:w="1076"/>
        <w:gridCol w:w="1076"/>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94"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1299"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标的</w:t>
            </w:r>
          </w:p>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名称</w:t>
            </w:r>
          </w:p>
        </w:tc>
        <w:tc>
          <w:tcPr>
            <w:tcW w:w="1077"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服务商</w:t>
            </w:r>
          </w:p>
        </w:tc>
        <w:tc>
          <w:tcPr>
            <w:tcW w:w="1190"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品牌</w:t>
            </w:r>
          </w:p>
        </w:tc>
        <w:tc>
          <w:tcPr>
            <w:tcW w:w="1189"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规格型号</w:t>
            </w:r>
          </w:p>
        </w:tc>
        <w:tc>
          <w:tcPr>
            <w:tcW w:w="669"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数  量</w:t>
            </w:r>
          </w:p>
        </w:tc>
        <w:tc>
          <w:tcPr>
            <w:tcW w:w="1076"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单位</w:t>
            </w:r>
          </w:p>
        </w:tc>
        <w:tc>
          <w:tcPr>
            <w:tcW w:w="1076"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单  价</w:t>
            </w:r>
          </w:p>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（元）</w:t>
            </w:r>
          </w:p>
        </w:tc>
        <w:tc>
          <w:tcPr>
            <w:tcW w:w="1506"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金  额</w:t>
            </w:r>
          </w:p>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494"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1299" w:type="dxa"/>
            <w:noWrap w:val="0"/>
            <w:vAlign w:val="center"/>
          </w:tcPr>
          <w:p>
            <w:pPr>
              <w:snapToGrid w:val="0"/>
              <w:spacing w:line="312" w:lineRule="auto"/>
              <w:jc w:val="center"/>
              <w:rPr>
                <w:rFonts w:hint="default" w:ascii="Arial" w:hAnsi="Arial" w:cs="Arial"/>
                <w:color w:val="auto"/>
                <w:szCs w:val="21"/>
                <w:highlight w:val="none"/>
              </w:rPr>
            </w:pPr>
          </w:p>
        </w:tc>
        <w:tc>
          <w:tcPr>
            <w:tcW w:w="1077" w:type="dxa"/>
            <w:noWrap w:val="0"/>
            <w:vAlign w:val="center"/>
          </w:tcPr>
          <w:p>
            <w:pPr>
              <w:snapToGrid w:val="0"/>
              <w:spacing w:line="312" w:lineRule="auto"/>
              <w:jc w:val="center"/>
              <w:rPr>
                <w:rFonts w:hint="default" w:ascii="Arial" w:hAnsi="Arial" w:cs="Arial"/>
                <w:color w:val="auto"/>
                <w:szCs w:val="21"/>
                <w:highlight w:val="none"/>
              </w:rPr>
            </w:pPr>
          </w:p>
        </w:tc>
        <w:tc>
          <w:tcPr>
            <w:tcW w:w="1190" w:type="dxa"/>
            <w:noWrap w:val="0"/>
            <w:vAlign w:val="center"/>
          </w:tcPr>
          <w:p>
            <w:pPr>
              <w:snapToGrid w:val="0"/>
              <w:spacing w:line="312" w:lineRule="auto"/>
              <w:jc w:val="center"/>
              <w:rPr>
                <w:rFonts w:hint="default" w:ascii="Arial" w:hAnsi="Arial" w:cs="Arial"/>
                <w:color w:val="auto"/>
                <w:szCs w:val="21"/>
                <w:highlight w:val="none"/>
              </w:rPr>
            </w:pPr>
          </w:p>
        </w:tc>
        <w:tc>
          <w:tcPr>
            <w:tcW w:w="1189" w:type="dxa"/>
            <w:noWrap w:val="0"/>
            <w:vAlign w:val="top"/>
          </w:tcPr>
          <w:p>
            <w:pPr>
              <w:snapToGrid w:val="0"/>
              <w:spacing w:line="312" w:lineRule="auto"/>
              <w:jc w:val="center"/>
              <w:rPr>
                <w:rFonts w:hint="default" w:ascii="Arial" w:hAnsi="Arial" w:cs="Arial"/>
                <w:color w:val="auto"/>
                <w:szCs w:val="21"/>
                <w:highlight w:val="none"/>
              </w:rPr>
            </w:pPr>
          </w:p>
        </w:tc>
        <w:tc>
          <w:tcPr>
            <w:tcW w:w="669" w:type="dxa"/>
            <w:noWrap w:val="0"/>
            <w:vAlign w:val="top"/>
          </w:tcPr>
          <w:p>
            <w:pPr>
              <w:snapToGrid w:val="0"/>
              <w:spacing w:line="312" w:lineRule="auto"/>
              <w:jc w:val="center"/>
              <w:rPr>
                <w:rFonts w:hint="default" w:ascii="Arial" w:hAnsi="Arial" w:cs="Arial"/>
                <w:color w:val="auto"/>
                <w:szCs w:val="21"/>
                <w:highlight w:val="none"/>
              </w:rPr>
            </w:pPr>
          </w:p>
        </w:tc>
        <w:tc>
          <w:tcPr>
            <w:tcW w:w="1076" w:type="dxa"/>
            <w:noWrap w:val="0"/>
            <w:vAlign w:val="top"/>
          </w:tcPr>
          <w:p>
            <w:pPr>
              <w:snapToGrid w:val="0"/>
              <w:spacing w:line="312" w:lineRule="auto"/>
              <w:jc w:val="center"/>
              <w:rPr>
                <w:rFonts w:hint="default" w:ascii="Arial" w:hAnsi="Arial" w:cs="Arial"/>
                <w:color w:val="auto"/>
                <w:szCs w:val="21"/>
                <w:highlight w:val="none"/>
              </w:rPr>
            </w:pPr>
          </w:p>
        </w:tc>
        <w:tc>
          <w:tcPr>
            <w:tcW w:w="1076" w:type="dxa"/>
            <w:noWrap w:val="0"/>
            <w:vAlign w:val="center"/>
          </w:tcPr>
          <w:p>
            <w:pPr>
              <w:snapToGrid w:val="0"/>
              <w:spacing w:line="312" w:lineRule="auto"/>
              <w:jc w:val="center"/>
              <w:rPr>
                <w:rFonts w:hint="default" w:ascii="Arial" w:hAnsi="Arial" w:cs="Arial"/>
                <w:color w:val="auto"/>
                <w:szCs w:val="21"/>
                <w:highlight w:val="none"/>
              </w:rPr>
            </w:pPr>
          </w:p>
        </w:tc>
        <w:tc>
          <w:tcPr>
            <w:tcW w:w="1506" w:type="dxa"/>
            <w:noWrap w:val="0"/>
            <w:vAlign w:val="center"/>
          </w:tcPr>
          <w:p>
            <w:pPr>
              <w:snapToGrid w:val="0"/>
              <w:spacing w:line="312" w:lineRule="auto"/>
              <w:jc w:val="cente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494" w:type="dxa"/>
            <w:noWrap w:val="0"/>
            <w:vAlign w:val="center"/>
          </w:tcPr>
          <w:p>
            <w:pPr>
              <w:snapToGrid w:val="0"/>
              <w:spacing w:line="312"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1299" w:type="dxa"/>
            <w:noWrap w:val="0"/>
            <w:vAlign w:val="center"/>
          </w:tcPr>
          <w:p>
            <w:pPr>
              <w:snapToGrid w:val="0"/>
              <w:spacing w:line="312" w:lineRule="auto"/>
              <w:jc w:val="center"/>
              <w:rPr>
                <w:rFonts w:hint="default" w:ascii="Arial" w:hAnsi="Arial" w:cs="Arial"/>
                <w:color w:val="auto"/>
                <w:szCs w:val="21"/>
                <w:highlight w:val="none"/>
              </w:rPr>
            </w:pPr>
          </w:p>
        </w:tc>
        <w:tc>
          <w:tcPr>
            <w:tcW w:w="1077" w:type="dxa"/>
            <w:noWrap w:val="0"/>
            <w:vAlign w:val="center"/>
          </w:tcPr>
          <w:p>
            <w:pPr>
              <w:snapToGrid w:val="0"/>
              <w:spacing w:line="312" w:lineRule="auto"/>
              <w:jc w:val="center"/>
              <w:rPr>
                <w:rFonts w:hint="default" w:ascii="Arial" w:hAnsi="Arial" w:cs="Arial"/>
                <w:color w:val="auto"/>
                <w:szCs w:val="21"/>
                <w:highlight w:val="none"/>
              </w:rPr>
            </w:pPr>
          </w:p>
        </w:tc>
        <w:tc>
          <w:tcPr>
            <w:tcW w:w="1190" w:type="dxa"/>
            <w:noWrap w:val="0"/>
            <w:vAlign w:val="center"/>
          </w:tcPr>
          <w:p>
            <w:pPr>
              <w:snapToGrid w:val="0"/>
              <w:spacing w:line="312" w:lineRule="auto"/>
              <w:jc w:val="center"/>
              <w:rPr>
                <w:rFonts w:hint="default" w:ascii="Arial" w:hAnsi="Arial" w:cs="Arial"/>
                <w:color w:val="auto"/>
                <w:szCs w:val="21"/>
                <w:highlight w:val="none"/>
              </w:rPr>
            </w:pPr>
          </w:p>
        </w:tc>
        <w:tc>
          <w:tcPr>
            <w:tcW w:w="1189" w:type="dxa"/>
            <w:noWrap w:val="0"/>
            <w:vAlign w:val="top"/>
          </w:tcPr>
          <w:p>
            <w:pPr>
              <w:snapToGrid w:val="0"/>
              <w:spacing w:line="312" w:lineRule="auto"/>
              <w:jc w:val="center"/>
              <w:rPr>
                <w:rFonts w:hint="default" w:ascii="Arial" w:hAnsi="Arial" w:cs="Arial"/>
                <w:color w:val="auto"/>
                <w:szCs w:val="21"/>
                <w:highlight w:val="none"/>
              </w:rPr>
            </w:pPr>
          </w:p>
        </w:tc>
        <w:tc>
          <w:tcPr>
            <w:tcW w:w="669" w:type="dxa"/>
            <w:noWrap w:val="0"/>
            <w:vAlign w:val="top"/>
          </w:tcPr>
          <w:p>
            <w:pPr>
              <w:snapToGrid w:val="0"/>
              <w:spacing w:line="312" w:lineRule="auto"/>
              <w:jc w:val="center"/>
              <w:rPr>
                <w:rFonts w:hint="default" w:ascii="Arial" w:hAnsi="Arial" w:cs="Arial"/>
                <w:color w:val="auto"/>
                <w:szCs w:val="21"/>
                <w:highlight w:val="none"/>
              </w:rPr>
            </w:pPr>
          </w:p>
        </w:tc>
        <w:tc>
          <w:tcPr>
            <w:tcW w:w="1076" w:type="dxa"/>
            <w:noWrap w:val="0"/>
            <w:vAlign w:val="top"/>
          </w:tcPr>
          <w:p>
            <w:pPr>
              <w:snapToGrid w:val="0"/>
              <w:spacing w:line="312" w:lineRule="auto"/>
              <w:jc w:val="center"/>
              <w:rPr>
                <w:rFonts w:hint="default" w:ascii="Arial" w:hAnsi="Arial" w:cs="Arial"/>
                <w:color w:val="auto"/>
                <w:szCs w:val="21"/>
                <w:highlight w:val="none"/>
              </w:rPr>
            </w:pPr>
          </w:p>
        </w:tc>
        <w:tc>
          <w:tcPr>
            <w:tcW w:w="1076" w:type="dxa"/>
            <w:noWrap w:val="0"/>
            <w:vAlign w:val="center"/>
          </w:tcPr>
          <w:p>
            <w:pPr>
              <w:snapToGrid w:val="0"/>
              <w:spacing w:line="312" w:lineRule="auto"/>
              <w:jc w:val="center"/>
              <w:rPr>
                <w:rFonts w:hint="default" w:ascii="Arial" w:hAnsi="Arial" w:cs="Arial"/>
                <w:color w:val="auto"/>
                <w:szCs w:val="21"/>
                <w:highlight w:val="none"/>
              </w:rPr>
            </w:pPr>
          </w:p>
        </w:tc>
        <w:tc>
          <w:tcPr>
            <w:tcW w:w="1506" w:type="dxa"/>
            <w:noWrap w:val="0"/>
            <w:vAlign w:val="center"/>
          </w:tcPr>
          <w:p>
            <w:pPr>
              <w:snapToGrid w:val="0"/>
              <w:spacing w:line="312" w:lineRule="auto"/>
              <w:jc w:val="cente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9576" w:type="dxa"/>
            <w:gridSpan w:val="9"/>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 xml:space="preserve">人民币合计金额（大写）                          （小写）                 </w:t>
            </w:r>
          </w:p>
        </w:tc>
      </w:tr>
    </w:tbl>
    <w:p>
      <w:pPr>
        <w:pStyle w:val="27"/>
        <w:spacing w:line="312" w:lineRule="auto"/>
        <w:ind w:firstLine="420" w:firstLineChars="200"/>
        <w:rPr>
          <w:rFonts w:hint="default" w:ascii="Arial" w:hAnsi="Arial" w:cs="Arial"/>
          <w:color w:val="auto"/>
          <w:highlight w:val="none"/>
        </w:rPr>
      </w:pPr>
      <w:r>
        <w:rPr>
          <w:rFonts w:hint="default" w:ascii="Arial" w:hAnsi="Arial" w:cs="Arial"/>
          <w:color w:val="auto"/>
          <w:highlight w:val="none"/>
        </w:rPr>
        <w:t>2.合同合计金额包括本次采购范围内产品价、服务的价格、保险费、安装调试费、税费、培训费、产品检测费、产品质保期内维护费等费用。在合同实施时，甲方将不予支付乙方没有列入的项目费用，并认为此项目的费用已包括在合同价款中。</w:t>
      </w:r>
    </w:p>
    <w:p>
      <w:pPr>
        <w:pStyle w:val="27"/>
        <w:spacing w:line="312" w:lineRule="auto"/>
        <w:ind w:firstLine="420" w:firstLineChars="200"/>
        <w:rPr>
          <w:rFonts w:hint="default" w:ascii="Arial" w:hAnsi="Arial" w:cs="Arial"/>
          <w:color w:val="auto"/>
          <w:highlight w:val="none"/>
        </w:rPr>
      </w:pPr>
      <w:r>
        <w:rPr>
          <w:rFonts w:hint="default" w:ascii="Arial" w:hAnsi="Arial" w:cs="Arial"/>
          <w:color w:val="auto"/>
          <w:highlight w:val="none"/>
        </w:rPr>
        <w:t>3. 采购合同履行中，甲方需追加与合同标的相同的货物的，在不改变合同其他条款的前提下，可以与乙方协商签订补充合同，但所有补充合同的采购金额不得超过原合同采购金额的10%。</w:t>
      </w:r>
    </w:p>
    <w:p>
      <w:pPr>
        <w:snapToGrid w:val="0"/>
        <w:spacing w:line="312" w:lineRule="auto"/>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第二条　质量保证</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pPr>
        <w:snapToGrid w:val="0"/>
        <w:spacing w:line="312" w:lineRule="auto"/>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第三条  权利保证</w:t>
      </w:r>
    </w:p>
    <w:p>
      <w:pPr>
        <w:pStyle w:val="27"/>
        <w:spacing w:line="312" w:lineRule="auto"/>
        <w:ind w:firstLine="420" w:firstLineChars="200"/>
        <w:rPr>
          <w:rFonts w:hint="default" w:ascii="Arial" w:hAnsi="Arial" w:cs="Arial"/>
          <w:color w:val="auto"/>
          <w:highlight w:val="none"/>
        </w:rPr>
      </w:pPr>
      <w:r>
        <w:rPr>
          <w:rFonts w:hint="default" w:ascii="Arial" w:hAnsi="Arial" w:cs="Arial"/>
          <w:color w:val="auto"/>
          <w:highlight w:val="none"/>
        </w:rPr>
        <w:t>1、乙方应保证所提供服务在使用时不会侵犯任何第三方的专利权、商标权、工业设计权等知识产权及其他合法权利，且所有权、处分权等没有受到任何限制。</w:t>
      </w:r>
    </w:p>
    <w:p>
      <w:pPr>
        <w:pStyle w:val="27"/>
        <w:spacing w:line="312" w:lineRule="auto"/>
        <w:ind w:firstLine="420" w:firstLineChars="200"/>
        <w:rPr>
          <w:rFonts w:hint="default" w:ascii="Arial" w:hAnsi="Arial" w:cs="Arial"/>
          <w:color w:val="auto"/>
          <w:highlight w:val="none"/>
        </w:rPr>
      </w:pPr>
      <w:r>
        <w:rPr>
          <w:rFonts w:hint="default" w:ascii="Arial" w:hAnsi="Arial" w:cs="Arial"/>
          <w:color w:val="auto"/>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12" w:lineRule="auto"/>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第四条  交付和验收</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1.交付使用时间：</w:t>
      </w:r>
      <w:r>
        <w:rPr>
          <w:rFonts w:hint="default" w:ascii="Arial" w:hAnsi="Arial" w:cs="Arial"/>
          <w:color w:val="auto"/>
          <w:szCs w:val="21"/>
          <w:highlight w:val="none"/>
          <w:u w:val="single"/>
        </w:rPr>
        <w:t>按乙方响应文件中所承诺的时间</w:t>
      </w:r>
      <w:r>
        <w:rPr>
          <w:rFonts w:hint="default" w:ascii="Arial" w:hAnsi="Arial" w:cs="Arial"/>
          <w:color w:val="auto"/>
          <w:szCs w:val="21"/>
          <w:highlight w:val="none"/>
        </w:rPr>
        <w:t>；地点：</w:t>
      </w:r>
      <w:r>
        <w:rPr>
          <w:rFonts w:hint="default" w:ascii="Arial" w:hAnsi="Arial" w:cs="Arial"/>
          <w:color w:val="auto"/>
          <w:szCs w:val="21"/>
          <w:highlight w:val="none"/>
          <w:u w:val="single"/>
        </w:rPr>
        <w:t xml:space="preserve"> 甲方指定地点。</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2.乙方提供不符合响应文件和本合同规定的服务成果，甲方有权拒绝接受。</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3.甲方应当在安装、调试完后七个工作日内进行验收。验收合格后由甲乙双方签署货物验收单并加盖采购单位公章，甲乙双方各执一份。</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5.甲方对验收有异议的，在验收后五个工作日内以书面形式向乙方提出，乙方应自收到甲方书面异议后</w:t>
      </w:r>
      <w:r>
        <w:rPr>
          <w:rFonts w:hint="default" w:ascii="Arial" w:hAnsi="Arial" w:cs="Arial"/>
          <w:color w:val="auto"/>
          <w:szCs w:val="21"/>
          <w:highlight w:val="none"/>
          <w:u w:val="single"/>
        </w:rPr>
        <w:t xml:space="preserve"> 7 </w:t>
      </w:r>
      <w:r>
        <w:rPr>
          <w:rFonts w:hint="default" w:ascii="Arial" w:hAnsi="Arial" w:cs="Arial"/>
          <w:color w:val="auto"/>
          <w:szCs w:val="21"/>
          <w:highlight w:val="none"/>
        </w:rPr>
        <w:t>日内及时予以解决。</w:t>
      </w:r>
    </w:p>
    <w:p>
      <w:pPr>
        <w:snapToGrid w:val="0"/>
        <w:spacing w:line="312"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第五条  安装和培训</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1.甲方应提供必要安装条件（如场地、电源、水源等）。</w:t>
      </w:r>
    </w:p>
    <w:p>
      <w:pPr>
        <w:snapToGrid w:val="0"/>
        <w:spacing w:line="312" w:lineRule="auto"/>
        <w:ind w:firstLine="420" w:firstLineChars="200"/>
        <w:rPr>
          <w:rFonts w:hint="default" w:ascii="Arial" w:hAnsi="Arial" w:cs="Arial"/>
          <w:color w:val="auto"/>
          <w:szCs w:val="21"/>
          <w:highlight w:val="none"/>
          <w:u w:val="single"/>
        </w:rPr>
      </w:pPr>
      <w:r>
        <w:rPr>
          <w:rFonts w:hint="default" w:ascii="Arial" w:hAnsi="Arial" w:cs="Arial"/>
          <w:color w:val="auto"/>
          <w:szCs w:val="21"/>
          <w:highlight w:val="none"/>
        </w:rPr>
        <w:t>2.乙方负责甲方有关人员的培训。培训时间、地点：</w:t>
      </w:r>
      <w:r>
        <w:rPr>
          <w:rFonts w:hint="default" w:ascii="Arial" w:hAnsi="Arial" w:cs="Arial"/>
          <w:color w:val="auto"/>
          <w:szCs w:val="21"/>
          <w:highlight w:val="none"/>
          <w:u w:val="single"/>
        </w:rPr>
        <w:t xml:space="preserve"> 由甲方决定。</w:t>
      </w:r>
    </w:p>
    <w:p>
      <w:pPr>
        <w:snapToGrid w:val="0"/>
        <w:spacing w:line="312"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第六条  售后服务、质保期</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1.乙方应按照国家有关法律法规和“三包”规定以及招响应文件和本合同附件，为甲方提供售后服务。</w:t>
      </w:r>
    </w:p>
    <w:p>
      <w:pPr>
        <w:snapToGrid w:val="0"/>
        <w:spacing w:line="312" w:lineRule="auto"/>
        <w:ind w:firstLine="420" w:firstLineChars="200"/>
        <w:rPr>
          <w:rFonts w:hint="default" w:ascii="Arial" w:hAnsi="Arial" w:cs="Arial"/>
          <w:color w:val="auto"/>
          <w:szCs w:val="21"/>
          <w:highlight w:val="none"/>
          <w:u w:val="single"/>
        </w:rPr>
      </w:pPr>
      <w:r>
        <w:rPr>
          <w:rFonts w:hint="default" w:ascii="Arial" w:hAnsi="Arial" w:cs="Arial"/>
          <w:color w:val="auto"/>
          <w:szCs w:val="21"/>
          <w:highlight w:val="none"/>
        </w:rPr>
        <w:t>2.质保期：</w:t>
      </w:r>
      <w:r>
        <w:rPr>
          <w:rFonts w:hint="default" w:ascii="Arial" w:hAnsi="Arial" w:cs="Arial"/>
          <w:color w:val="auto"/>
          <w:szCs w:val="21"/>
          <w:highlight w:val="none"/>
          <w:u w:val="single"/>
        </w:rPr>
        <w:t>按乙方承诺，但是不得低于国家相关标准</w:t>
      </w:r>
      <w:r>
        <w:rPr>
          <w:rFonts w:hint="default" w:ascii="Arial" w:hAnsi="Arial" w:cs="Arial"/>
          <w:color w:val="auto"/>
          <w:szCs w:val="21"/>
          <w:highlight w:val="none"/>
          <w:u w:val="single"/>
          <w:lang w:eastAsia="zh-CN"/>
        </w:rPr>
        <w:t>，如无特别要求，则质保期为自验收合格之日起三年，采购文件采购需求部分有特别要求的则以技术参数要求表为准</w:t>
      </w:r>
      <w:r>
        <w:rPr>
          <w:rFonts w:hint="default" w:ascii="Arial" w:hAnsi="Arial" w:cs="Arial"/>
          <w:color w:val="auto"/>
          <w:szCs w:val="21"/>
          <w:highlight w:val="none"/>
        </w:rPr>
        <w:t>。</w:t>
      </w:r>
    </w:p>
    <w:p>
      <w:pPr>
        <w:snapToGrid w:val="0"/>
        <w:spacing w:line="312" w:lineRule="auto"/>
        <w:ind w:firstLine="420" w:firstLineChars="200"/>
        <w:rPr>
          <w:rFonts w:hint="default" w:ascii="Arial" w:hAnsi="Arial" w:cs="Arial"/>
          <w:color w:val="auto"/>
          <w:szCs w:val="21"/>
          <w:highlight w:val="none"/>
          <w:u w:val="single"/>
        </w:rPr>
      </w:pPr>
      <w:r>
        <w:rPr>
          <w:rFonts w:hint="default" w:ascii="Arial" w:hAnsi="Arial" w:cs="Arial"/>
          <w:color w:val="auto"/>
          <w:szCs w:val="21"/>
          <w:highlight w:val="none"/>
        </w:rPr>
        <w:t>3.乙方提供的服务承诺和售后服务及质保期责任等其它具体约定事项。（见合同附件）</w:t>
      </w:r>
    </w:p>
    <w:p>
      <w:pPr>
        <w:snapToGrid w:val="0"/>
        <w:spacing w:line="312" w:lineRule="auto"/>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第七条　付款方式</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1.资金性质：</w:t>
      </w:r>
      <w:r>
        <w:rPr>
          <w:rFonts w:hint="default" w:ascii="Arial" w:hAnsi="Arial" w:cs="Arial"/>
          <w:color w:val="auto"/>
          <w:szCs w:val="21"/>
          <w:highlight w:val="none"/>
          <w:u w:val="single"/>
        </w:rPr>
        <w:t>财政性资金</w:t>
      </w:r>
      <w:r>
        <w:rPr>
          <w:rFonts w:hint="default" w:ascii="Arial" w:hAnsi="Arial" w:cs="Arial"/>
          <w:color w:val="auto"/>
          <w:szCs w:val="21"/>
          <w:highlight w:val="none"/>
        </w:rPr>
        <w:t>。</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2.付款方式：</w:t>
      </w:r>
    </w:p>
    <w:p>
      <w:pPr>
        <w:spacing w:line="360" w:lineRule="auto"/>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（1）合同签订完成后，</w:t>
      </w:r>
      <w:r>
        <w:rPr>
          <w:rFonts w:hint="eastAsia" w:ascii="Arial" w:hAnsi="Arial" w:cs="Arial"/>
          <w:b/>
          <w:bCs/>
          <w:color w:val="auto"/>
          <w:szCs w:val="21"/>
          <w:highlight w:val="none"/>
          <w:lang w:val="en-US" w:eastAsia="zh-CN"/>
        </w:rPr>
        <w:t>甲方</w:t>
      </w:r>
      <w:r>
        <w:rPr>
          <w:rFonts w:hint="default" w:ascii="Arial" w:hAnsi="Arial" w:cs="Arial"/>
          <w:b/>
          <w:bCs/>
          <w:color w:val="auto"/>
          <w:szCs w:val="21"/>
          <w:highlight w:val="none"/>
        </w:rPr>
        <w:t>支付合同总价30%给</w:t>
      </w:r>
      <w:r>
        <w:rPr>
          <w:rFonts w:hint="eastAsia" w:ascii="Arial" w:hAnsi="Arial" w:cs="Arial"/>
          <w:b/>
          <w:bCs/>
          <w:color w:val="auto"/>
          <w:szCs w:val="21"/>
          <w:highlight w:val="none"/>
          <w:lang w:val="en-US" w:eastAsia="zh-CN"/>
        </w:rPr>
        <w:t>成交供应商</w:t>
      </w:r>
      <w:r>
        <w:rPr>
          <w:rFonts w:hint="default" w:ascii="Arial" w:hAnsi="Arial" w:cs="Arial"/>
          <w:b/>
          <w:bCs/>
          <w:color w:val="auto"/>
          <w:szCs w:val="21"/>
          <w:highlight w:val="none"/>
        </w:rPr>
        <w:t>；通过</w:t>
      </w:r>
      <w:r>
        <w:rPr>
          <w:rFonts w:hint="eastAsia" w:ascii="Arial" w:hAnsi="Arial" w:cs="Arial"/>
          <w:b/>
          <w:bCs/>
          <w:color w:val="auto"/>
          <w:szCs w:val="21"/>
          <w:highlight w:val="none"/>
          <w:lang w:val="en-US" w:eastAsia="zh-CN"/>
        </w:rPr>
        <w:t>甲方</w:t>
      </w:r>
      <w:r>
        <w:rPr>
          <w:rFonts w:hint="default" w:ascii="Arial" w:hAnsi="Arial" w:cs="Arial"/>
          <w:b/>
          <w:bCs/>
          <w:color w:val="auto"/>
          <w:szCs w:val="21"/>
          <w:highlight w:val="none"/>
        </w:rPr>
        <w:t>组织的功能性验收合格后，凭正式发票</w:t>
      </w:r>
      <w:r>
        <w:rPr>
          <w:rFonts w:hint="eastAsia" w:ascii="Arial" w:hAnsi="Arial" w:cs="Arial"/>
          <w:b/>
          <w:bCs/>
          <w:color w:val="auto"/>
          <w:szCs w:val="21"/>
          <w:highlight w:val="none"/>
          <w:lang w:val="en-US" w:eastAsia="zh-CN"/>
        </w:rPr>
        <w:t>甲方</w:t>
      </w:r>
      <w:r>
        <w:rPr>
          <w:rFonts w:hint="default" w:ascii="Arial" w:hAnsi="Arial" w:cs="Arial"/>
          <w:b/>
          <w:bCs/>
          <w:color w:val="auto"/>
          <w:szCs w:val="21"/>
          <w:highlight w:val="none"/>
        </w:rPr>
        <w:t>在15个工作日内支付合同总价的70%给</w:t>
      </w:r>
      <w:r>
        <w:rPr>
          <w:rFonts w:hint="eastAsia" w:ascii="Arial" w:hAnsi="Arial" w:cs="Arial"/>
          <w:b/>
          <w:bCs/>
          <w:color w:val="auto"/>
          <w:szCs w:val="21"/>
          <w:highlight w:val="none"/>
          <w:lang w:val="en-US" w:eastAsia="zh-CN"/>
        </w:rPr>
        <w:t>乙方</w:t>
      </w:r>
      <w:r>
        <w:rPr>
          <w:rFonts w:hint="default" w:ascii="Arial" w:hAnsi="Arial" w:cs="Arial"/>
          <w:b/>
          <w:bCs/>
          <w:color w:val="auto"/>
          <w:szCs w:val="21"/>
          <w:highlight w:val="none"/>
        </w:rPr>
        <w:t>。</w:t>
      </w:r>
    </w:p>
    <w:p>
      <w:pPr>
        <w:spacing w:line="360" w:lineRule="auto"/>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（2）以上支付同时遵从财政部门的相关规定，本合同的付款时间为</w:t>
      </w:r>
      <w:r>
        <w:rPr>
          <w:rFonts w:hint="eastAsia" w:ascii="Arial" w:hAnsi="Arial" w:cs="Arial"/>
          <w:b/>
          <w:bCs/>
          <w:color w:val="auto"/>
          <w:szCs w:val="21"/>
          <w:highlight w:val="none"/>
          <w:lang w:val="en-US" w:eastAsia="zh-CN"/>
        </w:rPr>
        <w:t>甲方</w:t>
      </w:r>
      <w:r>
        <w:rPr>
          <w:rFonts w:hint="default" w:ascii="Arial" w:hAnsi="Arial" w:cs="Arial"/>
          <w:b/>
          <w:bCs/>
          <w:color w:val="auto"/>
          <w:szCs w:val="21"/>
          <w:highlight w:val="none"/>
        </w:rPr>
        <w:t>向财政支付部门提出支付申请的时间（不含政府财政支付部门审查的时间）。</w:t>
      </w:r>
    </w:p>
    <w:p>
      <w:pPr>
        <w:snapToGrid w:val="0"/>
        <w:spacing w:line="312"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 xml:space="preserve">第八条 履约保证金   </w:t>
      </w:r>
    </w:p>
    <w:p>
      <w:pPr>
        <w:snapToGrid w:val="0"/>
        <w:spacing w:line="312" w:lineRule="auto"/>
        <w:ind w:firstLine="420" w:firstLineChars="200"/>
        <w:rPr>
          <w:rFonts w:hint="default" w:ascii="Arial" w:hAnsi="Arial" w:cs="Arial"/>
          <w:b/>
          <w:color w:val="auto"/>
          <w:szCs w:val="21"/>
          <w:highlight w:val="none"/>
        </w:rPr>
      </w:pPr>
      <w:r>
        <w:rPr>
          <w:rFonts w:hint="default" w:ascii="Arial" w:hAnsi="Arial" w:cs="Arial"/>
          <w:color w:val="auto"/>
          <w:szCs w:val="21"/>
          <w:highlight w:val="none"/>
        </w:rPr>
        <w:t>履约保证金金额（人民币）：按成交金额的5%，如为中小微企业，则按成交金额2%收取履约保证金。履约保证金递交方式：以转账或电汇等非现金形式在领取成交通知书前从乙方基本账户交至以下账户：开户名称：桂林医科大学。开户银行：</w:t>
      </w:r>
      <w:r>
        <w:rPr>
          <w:rFonts w:hint="default" w:ascii="Arial" w:hAnsi="Arial" w:cs="Arial"/>
          <w:b/>
          <w:color w:val="auto"/>
          <w:kern w:val="0"/>
          <w:szCs w:val="21"/>
          <w:highlight w:val="none"/>
        </w:rPr>
        <w:t>建行桂林分行致和路支行</w:t>
      </w:r>
      <w:r>
        <w:rPr>
          <w:rFonts w:hint="default" w:ascii="Arial" w:hAnsi="Arial" w:cs="Arial"/>
          <w:color w:val="auto"/>
          <w:szCs w:val="21"/>
          <w:highlight w:val="none"/>
        </w:rPr>
        <w:t>。账号：</w:t>
      </w:r>
      <w:r>
        <w:rPr>
          <w:rFonts w:hint="default" w:ascii="Arial" w:hAnsi="Arial" w:cs="Arial"/>
          <w:b/>
          <w:color w:val="auto"/>
          <w:kern w:val="0"/>
          <w:szCs w:val="21"/>
          <w:highlight w:val="none"/>
        </w:rPr>
        <w:t>45001635413050500589</w:t>
      </w:r>
      <w:r>
        <w:rPr>
          <w:rFonts w:hint="default" w:ascii="Arial" w:hAnsi="Arial" w:cs="Arial"/>
          <w:color w:val="auto"/>
          <w:szCs w:val="21"/>
          <w:highlight w:val="none"/>
        </w:rPr>
        <w:t>。</w:t>
      </w:r>
      <w:r>
        <w:rPr>
          <w:rFonts w:hint="default" w:ascii="Arial" w:hAnsi="Arial" w:cs="Arial"/>
          <w:b/>
          <w:color w:val="auto"/>
          <w:szCs w:val="21"/>
          <w:highlight w:val="none"/>
        </w:rPr>
        <w:t>本项目履约保证金，合同验收满 (1年)乙方如无违约行为，甲方收到乙方提交退还履约保证金申请书后20个工作日内将履约保证金无息退回乙方。</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履约保证金退还方式及时间、条件、不予退还的情形：履约保证金自合同生效之日起生效，质保期满后，乙方可向甲方申请办理履约保证金的退付手续；如果乙方不履行合同约定的义务或其履行不符合合同的约定，甲方有权扣划全部或相应金额的履约保证金。</w:t>
      </w:r>
    </w:p>
    <w:p>
      <w:pPr>
        <w:snapToGrid w:val="0"/>
        <w:spacing w:line="312" w:lineRule="auto"/>
        <w:ind w:firstLine="420" w:firstLineChars="200"/>
        <w:rPr>
          <w:rFonts w:hint="default" w:ascii="Arial" w:hAnsi="Arial" w:cs="Arial"/>
          <w:b/>
          <w:color w:val="auto"/>
          <w:szCs w:val="21"/>
          <w:highlight w:val="none"/>
        </w:rPr>
      </w:pPr>
      <w:r>
        <w:rPr>
          <w:rFonts w:hint="default" w:ascii="Arial" w:hAnsi="Arial" w:cs="Arial"/>
          <w:color w:val="auto"/>
          <w:szCs w:val="21"/>
          <w:highlight w:val="none"/>
        </w:rPr>
        <w:t>履约保证金符合退还条件的，甲方在收到乙方提交的履约保证金退付申请之日起</w:t>
      </w:r>
      <w:r>
        <w:rPr>
          <w:rFonts w:hint="default" w:ascii="Arial" w:hAnsi="Arial" w:cs="Arial"/>
          <w:color w:val="auto"/>
          <w:szCs w:val="21"/>
          <w:highlight w:val="none"/>
          <w:u w:val="single"/>
        </w:rPr>
        <w:t xml:space="preserve"> 20</w:t>
      </w:r>
      <w:r>
        <w:rPr>
          <w:rFonts w:hint="default" w:ascii="Arial" w:hAnsi="Arial" w:cs="Arial"/>
          <w:color w:val="auto"/>
          <w:szCs w:val="21"/>
          <w:highlight w:val="none"/>
        </w:rPr>
        <w:t>个工作日内退还履约保证金，如未在规定时间内退还的，乙方可予以催告，经乙方催告后</w:t>
      </w:r>
      <w:r>
        <w:rPr>
          <w:rFonts w:hint="default" w:ascii="Arial" w:hAnsi="Arial" w:cs="Arial"/>
          <w:color w:val="auto"/>
          <w:szCs w:val="21"/>
          <w:highlight w:val="none"/>
          <w:u w:val="single"/>
        </w:rPr>
        <w:t xml:space="preserve">  30   </w:t>
      </w:r>
      <w:r>
        <w:rPr>
          <w:rFonts w:hint="default" w:ascii="Arial" w:hAnsi="Arial" w:cs="Arial"/>
          <w:color w:val="auto"/>
          <w:szCs w:val="21"/>
          <w:highlight w:val="none"/>
        </w:rPr>
        <w:t>天内仍未退还履约保证金的，甲方应按中国人民银行发布的同期同类贷款基准利率向乙方支付自催告日期起的利息。</w:t>
      </w:r>
    </w:p>
    <w:p>
      <w:pPr>
        <w:snapToGrid w:val="0"/>
        <w:spacing w:line="312"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第九条 税费</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本合同执行中相关的一切税费均由乙方负担。</w:t>
      </w:r>
    </w:p>
    <w:p>
      <w:pPr>
        <w:snapToGrid w:val="0"/>
        <w:spacing w:line="312"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第十条 质量保证及售后服务</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1、乙方按甲方指定的地点负责送货上门、安装、调试，负责培训使用人员和维护人员。</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2、乙方必须提供安装以及软硬件的测试和调整服务。</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3、在乙方承诺的质保期内，设备保修包换所需要的配件均是原厂原装，不得使用兼容货物。</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4、售后服务按厂家承诺执行。超过厂家承诺标准的，按乙方提交的售后服务承诺书执行。不少于一年两次回访以及对软件进行维护；质保期后需提供维修维护服务。</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5、乙方在质保期内应当为甲方提供以下技术支持和服务：</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1</w:t>
      </w:r>
      <w:r>
        <w:rPr>
          <w:rFonts w:hint="default" w:ascii="Arial" w:hAnsi="Arial" w:cs="Arial"/>
          <w:color w:val="auto"/>
          <w:szCs w:val="21"/>
          <w:highlight w:val="none"/>
        </w:rPr>
        <w:t>）保证应用系统7*24小时稳定运行，提供5*8小时无限次的远程技术支持服务，在接到</w:t>
      </w:r>
      <w:r>
        <w:rPr>
          <w:rFonts w:hint="eastAsia" w:ascii="Arial" w:hAnsi="Arial" w:cs="Arial"/>
          <w:color w:val="auto"/>
          <w:szCs w:val="21"/>
          <w:highlight w:val="none"/>
          <w:lang w:val="en-US" w:eastAsia="zh-CN"/>
        </w:rPr>
        <w:t>甲方</w:t>
      </w:r>
      <w:r>
        <w:rPr>
          <w:rFonts w:hint="default" w:ascii="Arial" w:hAnsi="Arial" w:cs="Arial"/>
          <w:color w:val="auto"/>
          <w:szCs w:val="21"/>
          <w:highlight w:val="none"/>
        </w:rPr>
        <w:t>通知后2小时内响应，重大故障24小时之内排除；一般故障两个工作日内排除。</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2</w:t>
      </w:r>
      <w:r>
        <w:rPr>
          <w:rFonts w:hint="default" w:ascii="Arial" w:hAnsi="Arial" w:cs="Arial"/>
          <w:color w:val="auto"/>
          <w:szCs w:val="21"/>
          <w:highlight w:val="none"/>
        </w:rPr>
        <w:t>）提供应用系统各业务模块日常维护，保证各业务模块功能正常使用，数据准确显示。保障平台和各业务系统接口数据正常交互。</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3</w:t>
      </w:r>
      <w:r>
        <w:rPr>
          <w:rFonts w:hint="default" w:ascii="Arial" w:hAnsi="Arial" w:cs="Arial"/>
          <w:color w:val="auto"/>
          <w:szCs w:val="21"/>
          <w:highlight w:val="none"/>
        </w:rPr>
        <w:t>）对第三方安全厂商漏洞扫描的中、高危漏洞，及时加固和封堵，保障网络安全。配合</w:t>
      </w:r>
      <w:r>
        <w:rPr>
          <w:rFonts w:hint="eastAsia" w:ascii="Arial" w:hAnsi="Arial" w:cs="Arial"/>
          <w:color w:val="auto"/>
          <w:szCs w:val="21"/>
          <w:highlight w:val="none"/>
          <w:lang w:val="en-US" w:eastAsia="zh-CN"/>
        </w:rPr>
        <w:t>甲方</w:t>
      </w:r>
      <w:r>
        <w:rPr>
          <w:rFonts w:hint="default" w:ascii="Arial" w:hAnsi="Arial" w:cs="Arial"/>
          <w:color w:val="auto"/>
          <w:szCs w:val="21"/>
          <w:highlight w:val="none"/>
        </w:rPr>
        <w:t>实施本平台的信息系统安全等级保护相关工作。（费用包含在投标报价中）</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（5）系统维护（升级）期内，能够安排技术人员提供技术和业务支持，关键时间段提供现场技术保障和维护服务。</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（6）培训服务要求： </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维护（升级）期内，</w:t>
      </w:r>
      <w:r>
        <w:rPr>
          <w:rFonts w:hint="eastAsia" w:ascii="Arial" w:hAnsi="Arial" w:cs="Arial"/>
          <w:color w:val="auto"/>
          <w:szCs w:val="21"/>
          <w:highlight w:val="none"/>
          <w:lang w:val="en-US" w:eastAsia="zh-CN"/>
        </w:rPr>
        <w:t>乙方</w:t>
      </w:r>
      <w:r>
        <w:rPr>
          <w:rFonts w:hint="default" w:ascii="Arial" w:hAnsi="Arial" w:cs="Arial"/>
          <w:color w:val="auto"/>
          <w:szCs w:val="21"/>
          <w:highlight w:val="none"/>
        </w:rPr>
        <w:t>需规划制定系统的运行与维护策略和具体方案，对售后服务及系统维护的技术责任、条件和支持体系作明确说明。在项目的不同阶段要求提供相关的培训课程，面向系统开发和管理员、各级领导、各类用户等不同群体提供系统化、定制化和有针对性的培训，具体要求如下：</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①培训内容应针对系统管理人员和各类用户分别进行。通过培训能使各类用户独立进行相应应用与管理、故障处理、日常维护等工作，确保系统能正常安全运行。</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②培训计划包括培训项目、人数、地点等详细内容。</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③培训人员应是供应商的正式雇员或专业的授权培训机构雇员。如果使用第三方培训机构，供应商应在响应文件中提供培训机构的名称，并能根据情况调整。</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w:t>
      </w:r>
      <w:r>
        <w:rPr>
          <w:rFonts w:hint="eastAsia" w:ascii="Arial" w:hAnsi="Arial" w:cs="Arial"/>
          <w:color w:val="auto"/>
          <w:szCs w:val="21"/>
          <w:highlight w:val="none"/>
          <w:lang w:val="en-US" w:eastAsia="zh-CN"/>
        </w:rPr>
        <w:t>乙方</w:t>
      </w:r>
      <w:r>
        <w:rPr>
          <w:rFonts w:hint="default" w:ascii="Arial" w:hAnsi="Arial" w:cs="Arial"/>
          <w:color w:val="auto"/>
          <w:szCs w:val="21"/>
          <w:highlight w:val="none"/>
        </w:rPr>
        <w:t>应于响应文件中</w:t>
      </w:r>
      <w:r>
        <w:rPr>
          <w:rFonts w:hint="eastAsia" w:ascii="Arial" w:hAnsi="Arial" w:cs="Arial"/>
          <w:color w:val="auto"/>
          <w:szCs w:val="21"/>
          <w:highlight w:val="none"/>
          <w:lang w:val="en-US" w:eastAsia="zh-CN"/>
        </w:rPr>
        <w:t>提供</w:t>
      </w:r>
      <w:r>
        <w:rPr>
          <w:rFonts w:hint="default" w:ascii="Arial" w:hAnsi="Arial" w:cs="Arial"/>
          <w:color w:val="auto"/>
          <w:szCs w:val="21"/>
          <w:highlight w:val="none"/>
        </w:rPr>
        <w:t>所投软件产品的测试承诺函、项目实施及质量和工期承诺函、售后服务承诺函等原件</w:t>
      </w:r>
    </w:p>
    <w:p>
      <w:pPr>
        <w:pStyle w:val="27"/>
        <w:snapToGrid w:val="0"/>
        <w:spacing w:line="312" w:lineRule="auto"/>
        <w:ind w:firstLine="413" w:firstLineChars="196"/>
        <w:rPr>
          <w:rFonts w:hint="default" w:ascii="Arial" w:hAnsi="Arial" w:cs="Arial"/>
          <w:b/>
          <w:color w:val="auto"/>
          <w:highlight w:val="none"/>
        </w:rPr>
      </w:pPr>
      <w:bookmarkStart w:id="90" w:name="_Toc217446110"/>
      <w:r>
        <w:rPr>
          <w:rFonts w:hint="default" w:ascii="Arial" w:hAnsi="Arial" w:cs="Arial"/>
          <w:b/>
          <w:color w:val="auto"/>
          <w:highlight w:val="none"/>
        </w:rPr>
        <w:t>第十一条 成果交付要求：</w:t>
      </w:r>
    </w:p>
    <w:p>
      <w:pPr>
        <w:pStyle w:val="27"/>
        <w:snapToGrid w:val="0"/>
        <w:spacing w:line="312" w:lineRule="auto"/>
        <w:ind w:firstLine="411" w:firstLineChars="196"/>
        <w:rPr>
          <w:rFonts w:hint="default" w:ascii="Arial" w:hAnsi="Arial" w:cs="Arial"/>
          <w:b w:val="0"/>
          <w:bCs/>
          <w:color w:val="auto"/>
          <w:highlight w:val="none"/>
        </w:rPr>
      </w:pPr>
      <w:r>
        <w:rPr>
          <w:rFonts w:hint="default" w:ascii="Arial" w:hAnsi="Arial" w:cs="Arial"/>
          <w:b w:val="0"/>
          <w:bCs/>
          <w:color w:val="auto"/>
          <w:highlight w:val="none"/>
        </w:rPr>
        <w:t>在本项目的开发过程中和交付使用后，要求各个阶段有各种成果和文档资料。要求将全面、规范的成果和文档资料交付给</w:t>
      </w:r>
      <w:r>
        <w:rPr>
          <w:rFonts w:hint="eastAsia" w:ascii="Arial" w:hAnsi="Arial" w:cs="Arial"/>
          <w:b w:val="0"/>
          <w:bCs/>
          <w:color w:val="auto"/>
          <w:highlight w:val="none"/>
          <w:lang w:val="en-US" w:eastAsia="zh-CN"/>
        </w:rPr>
        <w:t>甲方</w:t>
      </w:r>
      <w:r>
        <w:rPr>
          <w:rFonts w:hint="default" w:ascii="Arial" w:hAnsi="Arial" w:cs="Arial"/>
          <w:b w:val="0"/>
          <w:bCs/>
          <w:color w:val="auto"/>
          <w:highlight w:val="none"/>
        </w:rPr>
        <w:t>，且应提供明确的交付清单（交付的所有成果应包括成果的电子化版本）。同时，成果和文档资料符合软件工程的相关要求。要交付的成果和文档资料主要包括但不限于以下部分：</w:t>
      </w:r>
    </w:p>
    <w:p>
      <w:pPr>
        <w:pStyle w:val="27"/>
        <w:snapToGrid w:val="0"/>
        <w:spacing w:line="312" w:lineRule="auto"/>
        <w:ind w:firstLine="411" w:firstLineChars="196"/>
        <w:rPr>
          <w:rFonts w:hint="default" w:ascii="Arial" w:hAnsi="Arial" w:cs="Arial"/>
          <w:b w:val="0"/>
          <w:bCs/>
          <w:color w:val="auto"/>
          <w:highlight w:val="none"/>
        </w:rPr>
      </w:pPr>
      <w:r>
        <w:rPr>
          <w:rFonts w:hint="default" w:ascii="Arial" w:hAnsi="Arial" w:cs="Arial"/>
          <w:b w:val="0"/>
          <w:bCs/>
          <w:color w:val="auto"/>
          <w:highlight w:val="none"/>
        </w:rPr>
        <w:t>①执行代码和源代码：保证系统正常运行的所有执行代码，以及项目开发过程中为用户方定制功能的源代码（</w:t>
      </w:r>
      <w:r>
        <w:rPr>
          <w:rFonts w:hint="eastAsia" w:ascii="Arial" w:hAnsi="Arial" w:cs="Arial"/>
          <w:b w:val="0"/>
          <w:bCs/>
          <w:color w:val="auto"/>
          <w:highlight w:val="none"/>
          <w:lang w:val="en-US" w:eastAsia="zh-CN"/>
        </w:rPr>
        <w:t>乙方</w:t>
      </w:r>
      <w:r>
        <w:rPr>
          <w:rFonts w:hint="default" w:ascii="Arial" w:hAnsi="Arial" w:cs="Arial"/>
          <w:b w:val="0"/>
          <w:bCs/>
          <w:color w:val="auto"/>
          <w:highlight w:val="none"/>
        </w:rPr>
        <w:t>或第三方已有产品的源代码除外）。</w:t>
      </w:r>
    </w:p>
    <w:p>
      <w:pPr>
        <w:pStyle w:val="27"/>
        <w:snapToGrid w:val="0"/>
        <w:spacing w:line="312" w:lineRule="auto"/>
        <w:ind w:firstLine="411" w:firstLineChars="196"/>
        <w:rPr>
          <w:rFonts w:hint="default" w:ascii="Arial" w:hAnsi="Arial" w:cs="Arial"/>
          <w:b w:val="0"/>
          <w:bCs/>
          <w:color w:val="auto"/>
          <w:highlight w:val="none"/>
        </w:rPr>
      </w:pPr>
      <w:r>
        <w:rPr>
          <w:rFonts w:hint="default" w:ascii="Arial" w:hAnsi="Arial" w:cs="Arial"/>
          <w:b w:val="0"/>
          <w:bCs/>
          <w:color w:val="auto"/>
          <w:highlight w:val="none"/>
        </w:rPr>
        <w:t>②技术文档：包括项目开发实施中的各种技术文档，如实施环境配置说明、需求调研说明书或报告、系统（产品）设计说明、数据库字典说明、系统接口说明书、用户使用手册、系统维护说明、系统管理员手册、系统培训资料以及有关系统接口的技术说明等。</w:t>
      </w:r>
    </w:p>
    <w:p>
      <w:pPr>
        <w:pStyle w:val="27"/>
        <w:snapToGrid w:val="0"/>
        <w:spacing w:line="312" w:lineRule="auto"/>
        <w:ind w:firstLine="411" w:firstLineChars="196"/>
        <w:rPr>
          <w:rFonts w:hint="default" w:ascii="Arial" w:hAnsi="Arial" w:cs="Arial"/>
          <w:b w:val="0"/>
          <w:bCs/>
          <w:color w:val="auto"/>
          <w:highlight w:val="none"/>
        </w:rPr>
      </w:pPr>
      <w:r>
        <w:rPr>
          <w:rFonts w:hint="default" w:ascii="Arial" w:hAnsi="Arial" w:cs="Arial"/>
          <w:b w:val="0"/>
          <w:bCs/>
          <w:color w:val="auto"/>
          <w:highlight w:val="none"/>
        </w:rPr>
        <w:t>③以文档形式存在的项目成果：如系统建设中形成的各类标准规范、调研分析、规划设计报告等等。</w:t>
      </w:r>
    </w:p>
    <w:p>
      <w:pPr>
        <w:pStyle w:val="27"/>
        <w:snapToGrid w:val="0"/>
        <w:spacing w:line="312" w:lineRule="auto"/>
        <w:ind w:firstLine="411" w:firstLineChars="196"/>
        <w:rPr>
          <w:rFonts w:hint="default" w:ascii="Arial" w:hAnsi="Arial" w:cs="Arial"/>
          <w:b/>
          <w:color w:val="auto"/>
          <w:highlight w:val="none"/>
        </w:rPr>
      </w:pPr>
      <w:r>
        <w:rPr>
          <w:rFonts w:hint="default" w:ascii="Arial" w:hAnsi="Arial" w:cs="Arial"/>
          <w:b w:val="0"/>
          <w:bCs/>
          <w:color w:val="auto"/>
          <w:highlight w:val="none"/>
        </w:rPr>
        <w:t>④管理文档：包括项目开发实施中的一些工作文档，如：计划、报告、讨论纲要、会议记录等。</w:t>
      </w:r>
    </w:p>
    <w:p>
      <w:pPr>
        <w:pStyle w:val="27"/>
        <w:snapToGrid w:val="0"/>
        <w:spacing w:line="312" w:lineRule="auto"/>
        <w:ind w:firstLine="413" w:firstLineChars="196"/>
        <w:rPr>
          <w:rFonts w:hint="default" w:ascii="Arial" w:hAnsi="Arial" w:cs="Arial"/>
          <w:b/>
          <w:color w:val="auto"/>
          <w:highlight w:val="none"/>
        </w:rPr>
      </w:pPr>
      <w:r>
        <w:rPr>
          <w:rFonts w:hint="default" w:ascii="Arial" w:hAnsi="Arial" w:cs="Arial"/>
          <w:b/>
          <w:color w:val="auto"/>
          <w:highlight w:val="none"/>
        </w:rPr>
        <w:t>第十</w:t>
      </w:r>
      <w:r>
        <w:rPr>
          <w:rFonts w:hint="eastAsia" w:ascii="Arial" w:hAnsi="Arial" w:cs="Arial"/>
          <w:b/>
          <w:color w:val="auto"/>
          <w:highlight w:val="none"/>
          <w:lang w:val="en-US" w:eastAsia="zh-CN"/>
        </w:rPr>
        <w:t>二</w:t>
      </w:r>
      <w:r>
        <w:rPr>
          <w:rFonts w:hint="default" w:ascii="Arial" w:hAnsi="Arial" w:cs="Arial"/>
          <w:b/>
          <w:color w:val="auto"/>
          <w:highlight w:val="none"/>
        </w:rPr>
        <w:t>条 交货及验收</w:t>
      </w:r>
      <w:bookmarkEnd w:id="90"/>
      <w:r>
        <w:rPr>
          <w:rFonts w:hint="default" w:ascii="Arial" w:hAnsi="Arial" w:cs="Arial"/>
          <w:b/>
          <w:color w:val="auto"/>
          <w:highlight w:val="none"/>
        </w:rPr>
        <w:t>要求</w:t>
      </w:r>
    </w:p>
    <w:p>
      <w:pPr>
        <w:pStyle w:val="27"/>
        <w:snapToGrid w:val="0"/>
        <w:spacing w:line="312" w:lineRule="auto"/>
        <w:ind w:firstLine="420" w:firstLineChars="200"/>
        <w:jc w:val="left"/>
        <w:rPr>
          <w:rFonts w:hint="default" w:ascii="Arial" w:hAnsi="Arial" w:cs="Arial"/>
          <w:color w:val="auto"/>
          <w:highlight w:val="none"/>
        </w:rPr>
      </w:pPr>
      <w:r>
        <w:rPr>
          <w:rFonts w:hint="default" w:ascii="Arial" w:hAnsi="Arial" w:cs="Arial"/>
          <w:color w:val="auto"/>
          <w:highlight w:val="none"/>
        </w:rPr>
        <w:t>1. 甲方对乙方提交的服务依据采购文件上的技术规格要求和国家有关质量标准进行现场初步验收，外观、说明书符合采购文件技术要求的，给予签收，初步验收不合格的不予签收。</w:t>
      </w:r>
      <w:r>
        <w:rPr>
          <w:rFonts w:hint="default" w:ascii="Arial" w:hAnsi="Arial" w:cs="Arial"/>
          <w:bCs/>
          <w:color w:val="auto"/>
          <w:highlight w:val="none"/>
        </w:rPr>
        <w:t>甲方应当在安装、调试完毕并收到乙方验收申请后七个工作日内进行验收</w:t>
      </w:r>
      <w:r>
        <w:rPr>
          <w:rFonts w:hint="default" w:ascii="Arial" w:hAnsi="Arial" w:cs="Arial"/>
          <w:color w:val="auto"/>
          <w:highlight w:val="none"/>
        </w:rPr>
        <w:t>。</w:t>
      </w:r>
    </w:p>
    <w:p>
      <w:pPr>
        <w:pStyle w:val="27"/>
        <w:snapToGrid w:val="0"/>
        <w:spacing w:line="312" w:lineRule="auto"/>
        <w:ind w:firstLine="420" w:firstLineChars="200"/>
        <w:rPr>
          <w:rFonts w:hint="default" w:ascii="Arial" w:hAnsi="Arial" w:cs="Arial"/>
          <w:color w:val="auto"/>
          <w:highlight w:val="none"/>
        </w:rPr>
      </w:pPr>
      <w:r>
        <w:rPr>
          <w:rFonts w:hint="default" w:ascii="Arial" w:hAnsi="Arial" w:cs="Arial"/>
          <w:color w:val="auto"/>
          <w:highlight w:val="none"/>
        </w:rPr>
        <w:t>2. 乙方交货前应对产品作出全面检查和对验收文件进行整理，并列出清单，作为甲方收货验收和使用的技术条件依据，检验的结果应随货物交甲方。乙方不能完整交付服务成果及本款规定的单证和工具的，必须负责补齐，否则视为未按合同约定交货。</w:t>
      </w:r>
    </w:p>
    <w:p>
      <w:pPr>
        <w:pStyle w:val="27"/>
        <w:snapToGrid w:val="0"/>
        <w:spacing w:line="312" w:lineRule="auto"/>
        <w:ind w:firstLine="420" w:firstLineChars="200"/>
        <w:rPr>
          <w:rFonts w:hint="default" w:ascii="Arial" w:hAnsi="Arial" w:cs="Arial"/>
          <w:color w:val="auto"/>
          <w:highlight w:val="none"/>
          <w:u w:val="single"/>
        </w:rPr>
      </w:pPr>
      <w:r>
        <w:rPr>
          <w:rFonts w:hint="default" w:ascii="Arial" w:hAnsi="Arial" w:cs="Arial"/>
          <w:color w:val="auto"/>
          <w:highlight w:val="none"/>
        </w:rPr>
        <w:t>3. 甲方对乙方提供的服务成果在使用前进行调试时，乙方需负责安装并培训甲方的使用操作人员，并协助甲方一起调试，直到符合技术要求，甲方才做最终验收。</w:t>
      </w:r>
    </w:p>
    <w:p>
      <w:pPr>
        <w:pStyle w:val="27"/>
        <w:snapToGrid w:val="0"/>
        <w:spacing w:line="312" w:lineRule="auto"/>
        <w:ind w:firstLine="420" w:firstLineChars="200"/>
        <w:rPr>
          <w:rFonts w:hint="default" w:ascii="Arial" w:hAnsi="Arial" w:cs="Arial"/>
          <w:color w:val="auto"/>
          <w:highlight w:val="none"/>
        </w:rPr>
      </w:pPr>
      <w:r>
        <w:rPr>
          <w:rFonts w:hint="default" w:ascii="Arial" w:hAnsi="Arial" w:cs="Arial"/>
          <w:color w:val="auto"/>
          <w:highlight w:val="none"/>
        </w:rPr>
        <w:t>4.安装调试完毕并由乙方提出验收申请后</w:t>
      </w:r>
      <w:r>
        <w:rPr>
          <w:rFonts w:hint="default" w:ascii="Arial" w:hAnsi="Arial" w:cs="Arial"/>
          <w:bCs/>
          <w:color w:val="auto"/>
          <w:highlight w:val="none"/>
          <w:u w:val="single"/>
        </w:rPr>
        <w:t>七个工作日</w:t>
      </w:r>
      <w:r>
        <w:rPr>
          <w:rFonts w:hint="default" w:ascii="Arial" w:hAnsi="Arial" w:cs="Arial"/>
          <w:color w:val="auto"/>
          <w:highlight w:val="none"/>
        </w:rPr>
        <w:t>内，甲方无故不进行验收工作并已使用服务成果的，视同已安装调试完成并验收合格。验收合格的项目，甲方在收到发票后在30个日历日内向乙方支付采购资金，如无违约行为，在收到乙方提交退还履约保证金申请书后20个工作日内将履约保证金无息退回乙方。验收不合格的项目，将按本合同第十二条违约责任处理，未作约定的，按照《民法典》规定处理。</w:t>
      </w:r>
    </w:p>
    <w:p>
      <w:pPr>
        <w:pStyle w:val="27"/>
        <w:snapToGrid w:val="0"/>
        <w:spacing w:before="120" w:after="120" w:line="312" w:lineRule="auto"/>
        <w:ind w:firstLine="420" w:firstLineChars="200"/>
        <w:jc w:val="left"/>
        <w:rPr>
          <w:rFonts w:hint="default" w:ascii="Arial" w:hAnsi="Arial" w:cs="Arial"/>
          <w:color w:val="auto"/>
          <w:highlight w:val="none"/>
        </w:rPr>
      </w:pPr>
      <w:r>
        <w:rPr>
          <w:rFonts w:hint="default" w:ascii="Arial" w:hAnsi="Arial" w:cs="Arial"/>
          <w:color w:val="auto"/>
          <w:highlight w:val="none"/>
        </w:rPr>
        <w:t>5. 验收时乙方必须在现场，验收完毕后作出验收结果报告（验收书）；验收费用由乙方负责。费用标准参照国家或自治区有关规定执行。</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其他未尽事宜应严格按照《关于印发广西壮族自治区政府采购项目履约验收管理办法的通知》[桂财采〔2015〕22号]以及《财政部关于进一步加强政府采购需求和履约验收管理的指导意见》[财库〔2016〕205号]规定执行。</w:t>
      </w:r>
    </w:p>
    <w:p>
      <w:pPr>
        <w:snapToGrid w:val="0"/>
        <w:spacing w:line="312"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三</w:t>
      </w:r>
      <w:r>
        <w:rPr>
          <w:rFonts w:hint="default" w:ascii="Arial" w:hAnsi="Arial" w:cs="Arial"/>
          <w:b/>
          <w:color w:val="auto"/>
          <w:szCs w:val="21"/>
          <w:highlight w:val="none"/>
        </w:rPr>
        <w:t>条　违约责任</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w:t>
      </w:r>
      <w:r>
        <w:rPr>
          <w:rFonts w:hint="default" w:ascii="Arial" w:hAnsi="Arial" w:cs="Arial"/>
          <w:color w:val="auto"/>
          <w:szCs w:val="21"/>
          <w:highlight w:val="none"/>
          <w:u w:val="single"/>
        </w:rPr>
        <w:t>5%</w:t>
      </w:r>
      <w:r>
        <w:rPr>
          <w:rFonts w:hint="default" w:ascii="Arial" w:hAnsi="Arial" w:cs="Arial"/>
          <w:color w:val="auto"/>
          <w:szCs w:val="21"/>
          <w:highlight w:val="none"/>
        </w:rPr>
        <w:t>违约金并赔偿甲方经济损失。</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2.乙方提供的货物如侵犯了第三方合法权益而引发的任何纠纷或诉讼，均由乙方负责交涉并承担全部责任。</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3.因包装、运输引起的货物损坏，按质量不合格处罚。</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4.甲方无故延期接收货物、乙方逾期交货的，每天向对方偿付违约货款额0.3‰违约金，但违约金累计不得超过违约货款额</w:t>
      </w:r>
      <w:r>
        <w:rPr>
          <w:rFonts w:hint="default" w:ascii="Arial" w:hAnsi="Arial" w:cs="Arial"/>
          <w:color w:val="auto"/>
          <w:szCs w:val="21"/>
          <w:highlight w:val="none"/>
          <w:u w:val="single"/>
        </w:rPr>
        <w:t>5%</w:t>
      </w:r>
      <w:r>
        <w:rPr>
          <w:rFonts w:hint="default" w:ascii="Arial" w:hAnsi="Arial" w:cs="Arial"/>
          <w:color w:val="auto"/>
          <w:szCs w:val="21"/>
          <w:highlight w:val="none"/>
        </w:rPr>
        <w:t>，超过</w:t>
      </w:r>
      <w:r>
        <w:rPr>
          <w:rFonts w:hint="default" w:ascii="Arial" w:hAnsi="Arial" w:cs="Arial"/>
          <w:color w:val="auto"/>
          <w:szCs w:val="21"/>
          <w:highlight w:val="none"/>
          <w:u w:val="single"/>
        </w:rPr>
        <w:t xml:space="preserve"> 30 </w:t>
      </w:r>
      <w:r>
        <w:rPr>
          <w:rFonts w:hint="default" w:ascii="Arial" w:hAnsi="Arial" w:cs="Arial"/>
          <w:color w:val="auto"/>
          <w:szCs w:val="21"/>
          <w:highlight w:val="none"/>
        </w:rPr>
        <w:t>天对方有权解除合同，违约方承担因此给对方造成经济损失；甲方延期付货款的，每天向乙方偿付延期货款额0.</w:t>
      </w:r>
      <w:r>
        <w:rPr>
          <w:rFonts w:hint="default" w:ascii="Arial" w:hAnsi="Arial" w:cs="Arial"/>
          <w:color w:val="auto"/>
          <w:szCs w:val="21"/>
          <w:highlight w:val="none"/>
          <w:u w:val="single"/>
        </w:rPr>
        <w:t xml:space="preserve">3‰ </w:t>
      </w:r>
      <w:r>
        <w:rPr>
          <w:rFonts w:hint="default" w:ascii="Arial" w:hAnsi="Arial" w:cs="Arial"/>
          <w:color w:val="auto"/>
          <w:szCs w:val="21"/>
          <w:highlight w:val="none"/>
        </w:rPr>
        <w:t>滞纳金，但滞纳金累计不得超过延期货款额</w:t>
      </w:r>
      <w:r>
        <w:rPr>
          <w:rFonts w:hint="default" w:ascii="Arial" w:hAnsi="Arial" w:cs="Arial"/>
          <w:color w:val="auto"/>
          <w:szCs w:val="21"/>
          <w:highlight w:val="none"/>
          <w:u w:val="single"/>
        </w:rPr>
        <w:t>5%</w:t>
      </w:r>
      <w:r>
        <w:rPr>
          <w:rFonts w:hint="default" w:ascii="Arial" w:hAnsi="Arial" w:cs="Arial"/>
          <w:color w:val="auto"/>
          <w:szCs w:val="21"/>
          <w:highlight w:val="none"/>
        </w:rPr>
        <w:t>。</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5.乙方未按本合同和响应文件中规定的服务承诺提供售后服务的，乙方应按本合同合计金额</w:t>
      </w:r>
      <w:r>
        <w:rPr>
          <w:rFonts w:hint="default" w:ascii="Arial" w:hAnsi="Arial" w:cs="Arial"/>
          <w:color w:val="auto"/>
          <w:szCs w:val="21"/>
          <w:highlight w:val="none"/>
          <w:u w:val="single"/>
        </w:rPr>
        <w:t xml:space="preserve"> 5%</w:t>
      </w:r>
      <w:r>
        <w:rPr>
          <w:rFonts w:hint="default" w:ascii="Arial" w:hAnsi="Arial" w:cs="Arial"/>
          <w:color w:val="auto"/>
          <w:szCs w:val="21"/>
          <w:highlight w:val="none"/>
        </w:rPr>
        <w:t>向甲方支付违约金。</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6.其它违约行为按违约货款额5%收取违约金并赔偿经济损失。</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7.因甲方原因导致变更、中止或者终止采购合同的，应当依照合同约定对乙方受到的损失予以赔偿或者补偿。赔偿（补偿）标准：</w:t>
      </w:r>
      <w:r>
        <w:rPr>
          <w:rFonts w:hint="default" w:ascii="Arial" w:hAnsi="Arial" w:cs="Arial"/>
          <w:color w:val="auto"/>
          <w:szCs w:val="21"/>
          <w:highlight w:val="none"/>
          <w:u w:val="single"/>
        </w:rPr>
        <w:t xml:space="preserve">  按实际损失赔偿    </w:t>
      </w:r>
    </w:p>
    <w:p>
      <w:pPr>
        <w:pStyle w:val="27"/>
        <w:snapToGrid w:val="0"/>
        <w:spacing w:before="120" w:after="120" w:line="312" w:lineRule="auto"/>
        <w:ind w:firstLine="413" w:firstLineChars="196"/>
        <w:rPr>
          <w:rFonts w:hint="default" w:ascii="Arial" w:hAnsi="Arial" w:cs="Arial"/>
          <w:b/>
          <w:color w:val="auto"/>
          <w:highlight w:val="none"/>
        </w:rPr>
      </w:pPr>
      <w:r>
        <w:rPr>
          <w:rFonts w:hint="default" w:ascii="Arial" w:hAnsi="Arial" w:cs="Arial"/>
          <w:b/>
          <w:color w:val="auto"/>
          <w:highlight w:val="none"/>
        </w:rPr>
        <w:t>第十</w:t>
      </w:r>
      <w:r>
        <w:rPr>
          <w:rFonts w:hint="eastAsia" w:ascii="Arial" w:hAnsi="Arial" w:cs="Arial"/>
          <w:b/>
          <w:color w:val="auto"/>
          <w:highlight w:val="none"/>
          <w:lang w:val="en-US" w:eastAsia="zh-CN"/>
        </w:rPr>
        <w:t>四</w:t>
      </w:r>
      <w:r>
        <w:rPr>
          <w:rFonts w:hint="default" w:ascii="Arial" w:hAnsi="Arial" w:cs="Arial"/>
          <w:b/>
          <w:color w:val="auto"/>
          <w:highlight w:val="none"/>
        </w:rPr>
        <w:t>条 不可抗力事件处理</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 在合同有效期内，任何一方因不可抗力事件导致不能履行合同，则合同履行期可延长，其延长期与不可抗力影响期相同。</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 不可抗力事件发生后，应立即通知对方，并寄送有关权威机构出具的证明。</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 不可抗力事件延续六十天以上，双方应通过友好协商，确定是否继续履行合同。</w:t>
      </w:r>
    </w:p>
    <w:p>
      <w:pPr>
        <w:snapToGrid w:val="0"/>
        <w:spacing w:line="312" w:lineRule="auto"/>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五</w:t>
      </w:r>
      <w:r>
        <w:rPr>
          <w:rFonts w:hint="default" w:ascii="Arial" w:hAnsi="Arial" w:cs="Arial"/>
          <w:b/>
          <w:color w:val="auto"/>
          <w:szCs w:val="21"/>
          <w:highlight w:val="none"/>
        </w:rPr>
        <w:t>条  合同争议解决</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1、因服务质量问题发生争议的，应邀请国家认可的质量检测机构进行鉴定。服务符合标准的，鉴定费由甲方承担；服务不符合标准的，鉴定费由乙方承担。</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2、因履行本合同引起的或者与本合同有关的争议，甲乙双方应首先通过友好协商解决，如果协商不能解决，可向甲方所在地有管辖权的人民法院提起诉讼。</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3、诉讼期间，本合同继续履行。</w:t>
      </w:r>
    </w:p>
    <w:p>
      <w:pPr>
        <w:pStyle w:val="27"/>
        <w:snapToGrid w:val="0"/>
        <w:spacing w:before="120" w:after="120" w:line="312" w:lineRule="auto"/>
        <w:ind w:firstLine="422" w:firstLineChars="200"/>
        <w:rPr>
          <w:rFonts w:hint="default" w:ascii="Arial" w:hAnsi="Arial" w:cs="Arial"/>
          <w:color w:val="auto"/>
          <w:highlight w:val="none"/>
        </w:rPr>
      </w:pPr>
      <w:r>
        <w:rPr>
          <w:rFonts w:hint="default" w:ascii="Arial" w:hAnsi="Arial" w:cs="Arial"/>
          <w:b/>
          <w:color w:val="auto"/>
          <w:highlight w:val="none"/>
        </w:rPr>
        <w:t>第十</w:t>
      </w:r>
      <w:r>
        <w:rPr>
          <w:rFonts w:hint="eastAsia" w:ascii="Arial" w:hAnsi="Arial" w:cs="Arial"/>
          <w:b/>
          <w:color w:val="auto"/>
          <w:highlight w:val="none"/>
          <w:lang w:val="en-US" w:eastAsia="zh-CN"/>
        </w:rPr>
        <w:t>六</w:t>
      </w:r>
      <w:r>
        <w:rPr>
          <w:rFonts w:hint="default" w:ascii="Arial" w:hAnsi="Arial" w:cs="Arial"/>
          <w:b/>
          <w:color w:val="auto"/>
          <w:highlight w:val="none"/>
        </w:rPr>
        <w:t>条 合同生效及其它</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1．合同经双方法定代表人或授权代表签字并加盖单位公章后生效。</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2．合同执行中涉及采购资金和采购内容修改或补充的，须签书面补充协议，方可作为主合同不可分割的一部分。</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3．本合同未尽事宜，遵照《民法典》有关条文执行。</w:t>
      </w:r>
    </w:p>
    <w:p>
      <w:pPr>
        <w:snapToGrid w:val="0"/>
        <w:spacing w:line="312"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七</w:t>
      </w:r>
      <w:r>
        <w:rPr>
          <w:rFonts w:hint="default" w:ascii="Arial" w:hAnsi="Arial" w:cs="Arial"/>
          <w:b/>
          <w:color w:val="auto"/>
          <w:szCs w:val="21"/>
          <w:highlight w:val="none"/>
        </w:rPr>
        <w:t>条　合同的变更、终止与转让</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1.除《中华人民共和国政府采购法》第五十条规定的情形外，本合同一经签订，甲乙双方不得擅自变更、中止或终止。</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2.未经甲方书面同意，乙方不得擅自转让（无进口资格的乙方委托进口货物除外）其应履行的合同义务。</w:t>
      </w:r>
    </w:p>
    <w:p>
      <w:pPr>
        <w:snapToGrid w:val="0"/>
        <w:spacing w:line="312"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八</w:t>
      </w:r>
      <w:r>
        <w:rPr>
          <w:rFonts w:hint="default" w:ascii="Arial" w:hAnsi="Arial" w:cs="Arial"/>
          <w:b/>
          <w:color w:val="auto"/>
          <w:szCs w:val="21"/>
          <w:highlight w:val="none"/>
        </w:rPr>
        <w:t>条　签订本合同依据</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1.采购文件；</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2.乙方提供的响应文件；</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3.响应承诺书；</w:t>
      </w:r>
    </w:p>
    <w:p>
      <w:pPr>
        <w:snapToGrid w:val="0"/>
        <w:spacing w:line="312" w:lineRule="auto"/>
        <w:ind w:firstLine="420" w:firstLineChars="200"/>
        <w:rPr>
          <w:rFonts w:hint="default" w:ascii="Arial" w:hAnsi="Arial" w:cs="Arial"/>
          <w:color w:val="auto"/>
          <w:szCs w:val="21"/>
          <w:highlight w:val="none"/>
          <w:u w:val="single"/>
        </w:rPr>
      </w:pPr>
      <w:r>
        <w:rPr>
          <w:rFonts w:hint="default" w:ascii="Arial" w:hAnsi="Arial" w:cs="Arial"/>
          <w:color w:val="auto"/>
          <w:szCs w:val="21"/>
          <w:highlight w:val="none"/>
        </w:rPr>
        <w:t>4.成交通知书。</w:t>
      </w:r>
    </w:p>
    <w:p>
      <w:pPr>
        <w:snapToGrid w:val="0"/>
        <w:spacing w:line="312" w:lineRule="auto"/>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九</w:t>
      </w:r>
      <w:r>
        <w:rPr>
          <w:rFonts w:hint="default" w:ascii="Arial" w:hAnsi="Arial" w:cs="Arial"/>
          <w:b/>
          <w:color w:val="auto"/>
          <w:szCs w:val="21"/>
          <w:highlight w:val="none"/>
        </w:rPr>
        <w:t>条　</w:t>
      </w:r>
      <w:r>
        <w:rPr>
          <w:rFonts w:hint="default" w:ascii="Arial" w:hAnsi="Arial" w:cs="Arial"/>
          <w:color w:val="auto"/>
          <w:szCs w:val="21"/>
          <w:highlight w:val="none"/>
        </w:rPr>
        <w:t>本合同一式</w:t>
      </w:r>
      <w:r>
        <w:rPr>
          <w:rFonts w:hint="default"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陆</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份，具有同等法律效力。甲方</w:t>
      </w:r>
      <w:r>
        <w:rPr>
          <w:rFonts w:hint="default"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肆</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份，乙方</w:t>
      </w:r>
      <w:r>
        <w:rPr>
          <w:rFonts w:hint="default"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壹</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份</w:t>
      </w:r>
      <w:r>
        <w:rPr>
          <w:rFonts w:hint="eastAsia" w:ascii="Arial" w:hAnsi="Arial" w:cs="Arial"/>
          <w:color w:val="auto"/>
          <w:szCs w:val="21"/>
          <w:highlight w:val="none"/>
          <w:lang w:eastAsia="zh-CN"/>
        </w:rPr>
        <w:t>，</w:t>
      </w:r>
      <w:r>
        <w:rPr>
          <w:rFonts w:hint="default" w:ascii="Arial" w:hAnsi="Arial" w:cs="Arial"/>
          <w:color w:val="auto"/>
          <w:spacing w:val="4"/>
          <w:szCs w:val="21"/>
          <w:highlight w:val="none"/>
        </w:rPr>
        <w:t>采购代理机构</w:t>
      </w:r>
      <w:r>
        <w:rPr>
          <w:rFonts w:hint="default"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壹</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份。</w:t>
      </w:r>
    </w:p>
    <w:p>
      <w:pPr>
        <w:snapToGrid w:val="0"/>
        <w:spacing w:line="312"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本合同经甲乙双方法定代表人或授权代表签字并加盖单位公章后生效。</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4437"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 xml:space="preserve">甲方（章）           </w:t>
            </w:r>
          </w:p>
          <w:p>
            <w:pPr>
              <w:snapToGrid w:val="0"/>
              <w:spacing w:line="312" w:lineRule="auto"/>
              <w:ind w:firstLine="945" w:firstLineChars="450"/>
              <w:jc w:val="right"/>
              <w:rPr>
                <w:rFonts w:hint="default" w:ascii="Arial" w:hAnsi="Arial" w:cs="Arial"/>
                <w:color w:val="auto"/>
                <w:szCs w:val="21"/>
                <w:highlight w:val="none"/>
              </w:rPr>
            </w:pPr>
            <w:r>
              <w:rPr>
                <w:rFonts w:hint="default" w:ascii="Arial" w:hAnsi="Arial" w:cs="Arial"/>
                <w:color w:val="auto"/>
                <w:szCs w:val="21"/>
                <w:highlight w:val="none"/>
              </w:rPr>
              <w:t>年   月   日</w:t>
            </w:r>
          </w:p>
        </w:tc>
        <w:tc>
          <w:tcPr>
            <w:tcW w:w="4688"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 xml:space="preserve">乙方（章）              </w:t>
            </w:r>
          </w:p>
          <w:p>
            <w:pPr>
              <w:snapToGrid w:val="0"/>
              <w:spacing w:line="312" w:lineRule="auto"/>
              <w:jc w:val="right"/>
              <w:rPr>
                <w:rFonts w:hint="default" w:ascii="Arial" w:hAnsi="Arial" w:cs="Arial"/>
                <w:color w:val="auto"/>
                <w:szCs w:val="21"/>
                <w:highlight w:val="none"/>
              </w:rPr>
            </w:pPr>
            <w:r>
              <w:rPr>
                <w:rFonts w:hint="default" w:ascii="Arial" w:hAnsi="Arial" w:cs="Arial"/>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单位地址：</w:t>
            </w:r>
          </w:p>
        </w:tc>
        <w:tc>
          <w:tcPr>
            <w:tcW w:w="4688"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法定代表人：</w:t>
            </w:r>
          </w:p>
        </w:tc>
        <w:tc>
          <w:tcPr>
            <w:tcW w:w="4688"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委托代理人：</w:t>
            </w:r>
          </w:p>
        </w:tc>
        <w:tc>
          <w:tcPr>
            <w:tcW w:w="4688"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电话：</w:t>
            </w:r>
          </w:p>
        </w:tc>
        <w:tc>
          <w:tcPr>
            <w:tcW w:w="4688"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电子邮箱：</w:t>
            </w:r>
          </w:p>
        </w:tc>
        <w:tc>
          <w:tcPr>
            <w:tcW w:w="4688"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开户银行：</w:t>
            </w:r>
          </w:p>
        </w:tc>
        <w:tc>
          <w:tcPr>
            <w:tcW w:w="4688"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账号：</w:t>
            </w:r>
          </w:p>
        </w:tc>
        <w:tc>
          <w:tcPr>
            <w:tcW w:w="4688"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邮政编码：</w:t>
            </w:r>
          </w:p>
        </w:tc>
        <w:tc>
          <w:tcPr>
            <w:tcW w:w="4688" w:type="dxa"/>
            <w:noWrap w:val="0"/>
            <w:vAlign w:val="center"/>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9125" w:type="dxa"/>
            <w:gridSpan w:val="2"/>
            <w:noWrap w:val="0"/>
            <w:vAlign w:val="top"/>
          </w:tcPr>
          <w:p>
            <w:pPr>
              <w:snapToGrid w:val="0"/>
              <w:spacing w:line="312" w:lineRule="auto"/>
              <w:rPr>
                <w:rFonts w:hint="default" w:ascii="Arial" w:hAnsi="Arial" w:cs="Arial"/>
                <w:color w:val="auto"/>
                <w:szCs w:val="21"/>
                <w:highlight w:val="none"/>
              </w:rPr>
            </w:pPr>
            <w:r>
              <w:rPr>
                <w:rFonts w:hint="default" w:ascii="Arial" w:hAnsi="Arial" w:cs="Arial"/>
                <w:color w:val="auto"/>
                <w:szCs w:val="21"/>
                <w:highlight w:val="none"/>
              </w:rPr>
              <w:t>经办人：</w:t>
            </w:r>
          </w:p>
          <w:p>
            <w:pPr>
              <w:snapToGrid w:val="0"/>
              <w:spacing w:line="312" w:lineRule="auto"/>
              <w:ind w:firstLine="630" w:firstLineChars="300"/>
              <w:jc w:val="right"/>
              <w:rPr>
                <w:rFonts w:hint="default" w:ascii="Arial" w:hAnsi="Arial" w:cs="Arial"/>
                <w:color w:val="auto"/>
                <w:szCs w:val="21"/>
                <w:highlight w:val="none"/>
              </w:rPr>
            </w:pPr>
            <w:r>
              <w:rPr>
                <w:rFonts w:hint="default" w:ascii="Arial" w:hAnsi="Arial" w:cs="Arial"/>
                <w:color w:val="auto"/>
                <w:szCs w:val="21"/>
                <w:highlight w:val="none"/>
              </w:rPr>
              <w:t>年    月    日</w:t>
            </w:r>
          </w:p>
        </w:tc>
      </w:tr>
    </w:tbl>
    <w:p>
      <w:pPr>
        <w:spacing w:before="120" w:line="288" w:lineRule="auto"/>
        <w:jc w:val="left"/>
        <w:outlineLvl w:val="0"/>
        <w:rPr>
          <w:rFonts w:hint="default" w:ascii="Arial" w:hAnsi="Arial" w:cs="Arial"/>
          <w:b/>
          <w:bCs/>
          <w:color w:val="auto"/>
          <w:kern w:val="0"/>
          <w:szCs w:val="21"/>
          <w:highlight w:val="none"/>
        </w:rPr>
      </w:pPr>
      <w:r>
        <w:rPr>
          <w:rFonts w:hint="default" w:ascii="Arial" w:hAnsi="Arial" w:cs="Arial"/>
          <w:color w:val="auto"/>
          <w:highlight w:val="none"/>
        </w:rPr>
        <w:br w:type="page"/>
      </w:r>
      <w:bookmarkStart w:id="91" w:name="_Toc133"/>
      <w:bookmarkStart w:id="92" w:name="_Toc423"/>
      <w:r>
        <w:rPr>
          <w:rFonts w:hint="default" w:ascii="Arial" w:hAnsi="Arial" w:cs="Arial"/>
          <w:b/>
          <w:bCs/>
          <w:color w:val="auto"/>
          <w:kern w:val="0"/>
          <w:szCs w:val="21"/>
          <w:highlight w:val="none"/>
        </w:rPr>
        <w:t>合同附件1</w:t>
      </w:r>
      <w:bookmarkEnd w:id="91"/>
      <w:bookmarkEnd w:id="92"/>
    </w:p>
    <w:p>
      <w:pPr>
        <w:snapToGrid w:val="0"/>
        <w:spacing w:line="288" w:lineRule="auto"/>
        <w:jc w:val="center"/>
        <w:rPr>
          <w:rFonts w:hint="default" w:ascii="Arial" w:hAnsi="Arial" w:cs="Arial"/>
          <w:b/>
          <w:bCs/>
          <w:color w:val="auto"/>
          <w:szCs w:val="21"/>
          <w:highlight w:val="none"/>
        </w:rPr>
      </w:pPr>
      <w:r>
        <w:rPr>
          <w:rFonts w:hint="default" w:ascii="Arial" w:hAnsi="Arial" w:cs="Arial"/>
          <w:b/>
          <w:bCs/>
          <w:color w:val="auto"/>
          <w:szCs w:val="21"/>
          <w:highlight w:val="none"/>
        </w:rPr>
        <w:t>响应承诺书</w:t>
      </w:r>
    </w:p>
    <w:p>
      <w:pPr>
        <w:spacing w:line="288" w:lineRule="auto"/>
        <w:rPr>
          <w:rFonts w:hint="default" w:ascii="Arial" w:hAnsi="Arial" w:cs="Arial"/>
          <w:color w:val="auto"/>
          <w:szCs w:val="21"/>
          <w:highlight w:val="none"/>
        </w:rPr>
      </w:pPr>
      <w:r>
        <w:rPr>
          <w:rFonts w:hint="default" w:ascii="Arial" w:hAnsi="Arial" w:cs="Arial"/>
          <w:color w:val="auto"/>
          <w:szCs w:val="21"/>
          <w:highlight w:val="none"/>
        </w:rPr>
        <w:t>一般货物类</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noWrap w:val="0"/>
            <w:vAlign w:val="center"/>
          </w:tcPr>
          <w:p>
            <w:pPr>
              <w:spacing w:line="288" w:lineRule="auto"/>
              <w:ind w:right="210"/>
              <w:jc w:val="left"/>
              <w:rPr>
                <w:rFonts w:hint="default" w:ascii="Arial" w:hAnsi="Arial" w:cs="Arial"/>
                <w:color w:val="auto"/>
                <w:szCs w:val="21"/>
                <w:highlight w:val="none"/>
              </w:rPr>
            </w:pPr>
            <w:r>
              <w:rPr>
                <w:rFonts w:hint="default" w:ascii="Arial" w:hAnsi="Arial" w:cs="Arial"/>
                <w:color w:val="auto"/>
                <w:szCs w:val="21"/>
                <w:highlight w:val="none"/>
              </w:rPr>
              <w:t>1．乙方承诺具体事项：</w:t>
            </w:r>
          </w:p>
          <w:p>
            <w:pPr>
              <w:spacing w:line="288" w:lineRule="auto"/>
              <w:ind w:right="210"/>
              <w:jc w:val="left"/>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noWrap w:val="0"/>
            <w:vAlign w:val="center"/>
          </w:tcPr>
          <w:p>
            <w:pPr>
              <w:spacing w:line="288" w:lineRule="auto"/>
              <w:rPr>
                <w:rFonts w:hint="default" w:ascii="Arial" w:hAnsi="Arial" w:cs="Arial"/>
                <w:color w:val="auto"/>
                <w:szCs w:val="21"/>
                <w:highlight w:val="none"/>
              </w:rPr>
            </w:pPr>
            <w:r>
              <w:rPr>
                <w:rFonts w:hint="default" w:ascii="Arial" w:hAnsi="Arial" w:cs="Arial"/>
                <w:color w:val="auto"/>
                <w:szCs w:val="21"/>
                <w:highlight w:val="none"/>
              </w:rPr>
              <w:t>2．售后服务具体事项：</w:t>
            </w:r>
          </w:p>
          <w:p>
            <w:pPr>
              <w:spacing w:line="288" w:lineRule="auto"/>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noWrap w:val="0"/>
            <w:vAlign w:val="center"/>
          </w:tcPr>
          <w:p>
            <w:pPr>
              <w:spacing w:line="288" w:lineRule="auto"/>
              <w:rPr>
                <w:rFonts w:hint="default" w:ascii="Arial" w:hAnsi="Arial" w:cs="Arial"/>
                <w:color w:val="auto"/>
                <w:szCs w:val="21"/>
                <w:highlight w:val="none"/>
              </w:rPr>
            </w:pPr>
            <w:r>
              <w:rPr>
                <w:rFonts w:hint="default" w:ascii="Arial" w:hAnsi="Arial" w:cs="Arial"/>
                <w:color w:val="auto"/>
                <w:szCs w:val="21"/>
                <w:highlight w:val="none"/>
              </w:rPr>
              <w:t>3．质保期责任：</w:t>
            </w:r>
          </w:p>
          <w:p>
            <w:pPr>
              <w:spacing w:line="288" w:lineRule="auto"/>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noWrap w:val="0"/>
            <w:vAlign w:val="center"/>
          </w:tcPr>
          <w:p>
            <w:pPr>
              <w:spacing w:line="288" w:lineRule="auto"/>
              <w:rPr>
                <w:rFonts w:hint="default" w:ascii="Arial" w:hAnsi="Arial" w:cs="Arial"/>
                <w:color w:val="auto"/>
                <w:szCs w:val="21"/>
                <w:highlight w:val="none"/>
              </w:rPr>
            </w:pPr>
            <w:r>
              <w:rPr>
                <w:rFonts w:hint="default" w:ascii="Arial" w:hAnsi="Arial" w:cs="Arial"/>
                <w:color w:val="auto"/>
                <w:szCs w:val="21"/>
                <w:highlight w:val="none"/>
              </w:rPr>
              <w:t>4．其他具体事项：</w:t>
            </w:r>
          </w:p>
          <w:p>
            <w:pPr>
              <w:spacing w:line="288" w:lineRule="auto"/>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297" w:type="dxa"/>
            <w:noWrap w:val="0"/>
            <w:vAlign w:val="center"/>
          </w:tcPr>
          <w:p>
            <w:pPr>
              <w:spacing w:line="288" w:lineRule="auto"/>
              <w:rPr>
                <w:rFonts w:hint="default" w:ascii="Arial" w:hAnsi="Arial" w:cs="Arial"/>
                <w:color w:val="auto"/>
                <w:szCs w:val="21"/>
                <w:highlight w:val="none"/>
              </w:rPr>
            </w:pPr>
            <w:r>
              <w:rPr>
                <w:rFonts w:hint="default" w:ascii="Arial" w:hAnsi="Arial" w:cs="Arial"/>
                <w:color w:val="auto"/>
                <w:szCs w:val="21"/>
                <w:highlight w:val="none"/>
              </w:rPr>
              <w:t>甲方(章)</w:t>
            </w:r>
          </w:p>
          <w:p>
            <w:pPr>
              <w:spacing w:line="288" w:lineRule="auto"/>
              <w:rPr>
                <w:rFonts w:hint="default" w:ascii="Arial" w:hAnsi="Arial" w:cs="Arial"/>
                <w:color w:val="auto"/>
                <w:szCs w:val="21"/>
                <w:highlight w:val="none"/>
              </w:rPr>
            </w:pPr>
          </w:p>
          <w:p>
            <w:pPr>
              <w:spacing w:line="288" w:lineRule="auto"/>
              <w:rPr>
                <w:rFonts w:hint="default" w:ascii="Arial" w:hAnsi="Arial" w:cs="Arial"/>
                <w:color w:val="auto"/>
                <w:szCs w:val="21"/>
                <w:highlight w:val="none"/>
              </w:rPr>
            </w:pPr>
          </w:p>
          <w:p>
            <w:pPr>
              <w:wordWrap w:val="0"/>
              <w:spacing w:line="288" w:lineRule="auto"/>
              <w:jc w:val="right"/>
              <w:rPr>
                <w:rFonts w:hint="default" w:ascii="Arial" w:hAnsi="Arial" w:cs="Arial"/>
                <w:color w:val="auto"/>
                <w:szCs w:val="21"/>
                <w:highlight w:val="none"/>
              </w:rPr>
            </w:pPr>
            <w:r>
              <w:rPr>
                <w:rFonts w:hint="default" w:ascii="Arial" w:hAnsi="Arial" w:cs="Arial"/>
                <w:color w:val="auto"/>
                <w:szCs w:val="21"/>
                <w:highlight w:val="none"/>
              </w:rPr>
              <w:t xml:space="preserve"> 年  月   日</w:t>
            </w:r>
          </w:p>
        </w:tc>
        <w:tc>
          <w:tcPr>
            <w:tcW w:w="4285" w:type="dxa"/>
            <w:noWrap w:val="0"/>
            <w:vAlign w:val="center"/>
          </w:tcPr>
          <w:p>
            <w:pPr>
              <w:spacing w:line="288" w:lineRule="auto"/>
              <w:rPr>
                <w:rFonts w:hint="default" w:ascii="Arial" w:hAnsi="Arial" w:cs="Arial"/>
                <w:color w:val="auto"/>
                <w:szCs w:val="21"/>
                <w:highlight w:val="none"/>
              </w:rPr>
            </w:pPr>
            <w:r>
              <w:rPr>
                <w:rFonts w:hint="default" w:ascii="Arial" w:hAnsi="Arial" w:cs="Arial"/>
                <w:color w:val="auto"/>
                <w:szCs w:val="21"/>
                <w:highlight w:val="none"/>
              </w:rPr>
              <w:t>乙方(章)</w:t>
            </w:r>
          </w:p>
          <w:p>
            <w:pPr>
              <w:spacing w:line="288" w:lineRule="auto"/>
              <w:rPr>
                <w:rFonts w:hint="default" w:ascii="Arial" w:hAnsi="Arial" w:cs="Arial"/>
                <w:color w:val="auto"/>
                <w:szCs w:val="21"/>
                <w:highlight w:val="none"/>
              </w:rPr>
            </w:pPr>
          </w:p>
          <w:p>
            <w:pPr>
              <w:spacing w:line="288" w:lineRule="auto"/>
              <w:rPr>
                <w:rFonts w:hint="default" w:ascii="Arial" w:hAnsi="Arial" w:cs="Arial"/>
                <w:color w:val="auto"/>
                <w:szCs w:val="21"/>
                <w:highlight w:val="none"/>
              </w:rPr>
            </w:pPr>
          </w:p>
          <w:p>
            <w:pPr>
              <w:wordWrap w:val="0"/>
              <w:spacing w:line="288" w:lineRule="auto"/>
              <w:jc w:val="right"/>
              <w:rPr>
                <w:rFonts w:hint="default" w:ascii="Arial" w:hAnsi="Arial" w:cs="Arial"/>
                <w:color w:val="auto"/>
                <w:szCs w:val="21"/>
                <w:highlight w:val="none"/>
              </w:rPr>
            </w:pPr>
            <w:r>
              <w:rPr>
                <w:rFonts w:hint="default" w:ascii="Arial" w:hAnsi="Arial" w:cs="Arial"/>
                <w:color w:val="auto"/>
                <w:szCs w:val="21"/>
                <w:highlight w:val="none"/>
              </w:rPr>
              <w:t xml:space="preserve"> 年  月   日</w:t>
            </w:r>
          </w:p>
        </w:tc>
      </w:tr>
    </w:tbl>
    <w:p>
      <w:pPr>
        <w:widowControl/>
        <w:jc w:val="left"/>
        <w:rPr>
          <w:rFonts w:hint="default" w:ascii="Arial" w:hAnsi="Arial" w:cs="Arial"/>
          <w:b/>
          <w:bCs/>
          <w:color w:val="auto"/>
          <w:szCs w:val="21"/>
          <w:highlight w:val="none"/>
        </w:rPr>
      </w:pPr>
      <w:r>
        <w:rPr>
          <w:rFonts w:hint="default" w:ascii="Arial" w:hAnsi="Arial" w:cs="Arial"/>
          <w:color w:val="auto"/>
          <w:szCs w:val="21"/>
          <w:highlight w:val="none"/>
        </w:rPr>
        <w:t>注：售后服务事项填不下时可另加附页。</w:t>
      </w:r>
      <w:r>
        <w:rPr>
          <w:rFonts w:hint="default" w:ascii="Arial" w:hAnsi="Arial" w:cs="Arial"/>
          <w:b/>
          <w:color w:val="auto"/>
          <w:highlight w:val="none"/>
        </w:rPr>
        <w:br w:type="page"/>
      </w:r>
    </w:p>
    <w:bookmarkEnd w:id="0"/>
    <w:bookmarkEnd w:id="1"/>
    <w:p>
      <w:pPr>
        <w:pStyle w:val="27"/>
        <w:snapToGrid w:val="0"/>
        <w:spacing w:before="120" w:after="120" w:line="320" w:lineRule="exact"/>
        <w:jc w:val="center"/>
        <w:outlineLvl w:val="0"/>
        <w:rPr>
          <w:rFonts w:hint="default" w:ascii="Arial" w:hAnsi="Arial" w:cs="Arial"/>
          <w:color w:val="auto"/>
          <w:sz w:val="32"/>
          <w:szCs w:val="32"/>
          <w:highlight w:val="none"/>
        </w:rPr>
      </w:pPr>
      <w:bookmarkStart w:id="93" w:name="_Toc7118"/>
      <w:r>
        <w:rPr>
          <w:rFonts w:hint="default" w:ascii="Arial" w:hAnsi="Arial" w:cs="Arial"/>
          <w:color w:val="auto"/>
          <w:sz w:val="32"/>
          <w:szCs w:val="32"/>
          <w:highlight w:val="none"/>
        </w:rPr>
        <w:t>第六章  响应文件格式</w:t>
      </w:r>
      <w:bookmarkEnd w:id="93"/>
    </w:p>
    <w:p>
      <w:pPr>
        <w:rPr>
          <w:rFonts w:hint="default" w:ascii="Arial" w:hAnsi="Arial" w:cs="Arial"/>
          <w:color w:val="auto"/>
          <w:sz w:val="28"/>
          <w:szCs w:val="28"/>
          <w:highlight w:val="none"/>
        </w:rPr>
      </w:pPr>
      <w:bookmarkStart w:id="94" w:name="_Toc254970556"/>
      <w:bookmarkStart w:id="95" w:name="_Toc254970697"/>
    </w:p>
    <w:p>
      <w:pPr>
        <w:rPr>
          <w:rFonts w:hint="default" w:ascii="Arial" w:hAnsi="Arial" w:cs="Arial"/>
          <w:color w:val="auto"/>
          <w:sz w:val="28"/>
          <w:szCs w:val="28"/>
          <w:highlight w:val="none"/>
        </w:rPr>
      </w:pPr>
    </w:p>
    <w:p>
      <w:pPr>
        <w:spacing w:line="500" w:lineRule="exact"/>
        <w:ind w:firstLine="560" w:firstLineChars="200"/>
        <w:rPr>
          <w:rFonts w:hint="default" w:ascii="Arial" w:hAnsi="Arial" w:cs="Arial"/>
          <w:color w:val="auto"/>
          <w:sz w:val="28"/>
          <w:szCs w:val="28"/>
          <w:highlight w:val="none"/>
        </w:rPr>
      </w:pPr>
      <w:r>
        <w:rPr>
          <w:rFonts w:hint="default" w:ascii="Arial" w:hAnsi="Arial" w:cs="Arial"/>
          <w:color w:val="auto"/>
          <w:sz w:val="28"/>
          <w:szCs w:val="28"/>
          <w:highlight w:val="none"/>
        </w:rPr>
        <w:t>注：有签字、盖章要求的应按要求签字（签章）、盖章（签章）。</w:t>
      </w:r>
      <w:bookmarkEnd w:id="94"/>
      <w:bookmarkEnd w:id="95"/>
      <w:r>
        <w:rPr>
          <w:rFonts w:hint="default" w:ascii="Arial" w:hAnsi="Arial" w:cs="Arial"/>
          <w:bCs/>
          <w:color w:val="auto"/>
          <w:sz w:val="24"/>
          <w:highlight w:val="none"/>
        </w:rPr>
        <w:t xml:space="preserve"> </w:t>
      </w:r>
    </w:p>
    <w:p>
      <w:pPr>
        <w:rPr>
          <w:rFonts w:hint="default" w:ascii="Arial" w:hAnsi="Arial" w:cs="Arial"/>
          <w:color w:val="auto"/>
          <w:highlight w:val="none"/>
        </w:rPr>
      </w:pPr>
    </w:p>
    <w:p>
      <w:pPr>
        <w:snapToGrid w:val="0"/>
        <w:spacing w:before="120" w:beforeLines="50" w:after="50" w:line="440" w:lineRule="exact"/>
        <w:jc w:val="left"/>
        <w:outlineLvl w:val="1"/>
        <w:rPr>
          <w:rFonts w:hint="default" w:ascii="Arial" w:hAnsi="Arial" w:cs="Arial"/>
          <w:b/>
          <w:color w:val="auto"/>
          <w:sz w:val="24"/>
          <w:highlight w:val="none"/>
        </w:rPr>
      </w:pPr>
      <w:r>
        <w:rPr>
          <w:rFonts w:hint="default" w:ascii="Arial" w:hAnsi="Arial" w:cs="Arial"/>
          <w:color w:val="auto"/>
          <w:sz w:val="24"/>
          <w:highlight w:val="none"/>
        </w:rPr>
        <w:br w:type="page"/>
      </w:r>
      <w:r>
        <w:rPr>
          <w:rFonts w:hint="default" w:ascii="Arial" w:hAnsi="Arial" w:cs="Arial"/>
          <w:b/>
          <w:color w:val="auto"/>
          <w:sz w:val="24"/>
          <w:highlight w:val="none"/>
        </w:rPr>
        <w:t xml:space="preserve">1.响应文件封面格式： </w:t>
      </w:r>
    </w:p>
    <w:p>
      <w:pPr>
        <w:snapToGrid w:val="0"/>
        <w:spacing w:before="120" w:beforeLines="50" w:after="50" w:line="360" w:lineRule="exact"/>
        <w:rPr>
          <w:rFonts w:hint="default" w:ascii="Arial" w:hAnsi="Arial" w:cs="Arial"/>
          <w:color w:val="auto"/>
          <w:sz w:val="24"/>
          <w:highlight w:val="none"/>
        </w:rPr>
      </w:pPr>
    </w:p>
    <w:p>
      <w:pPr>
        <w:snapToGrid w:val="0"/>
        <w:spacing w:before="120" w:beforeLines="50" w:after="50" w:line="360" w:lineRule="exact"/>
        <w:jc w:val="center"/>
        <w:rPr>
          <w:rFonts w:hint="default" w:ascii="Arial" w:hAnsi="Arial" w:cs="Arial"/>
          <w:bCs/>
          <w:color w:val="auto"/>
          <w:sz w:val="24"/>
          <w:highlight w:val="none"/>
        </w:rPr>
      </w:pPr>
    </w:p>
    <w:p>
      <w:pPr>
        <w:snapToGrid w:val="0"/>
        <w:spacing w:before="120" w:beforeLines="50" w:after="50" w:line="360" w:lineRule="exact"/>
        <w:jc w:val="center"/>
        <w:rPr>
          <w:rFonts w:hint="default" w:ascii="Arial" w:hAnsi="Arial" w:cs="Arial"/>
          <w:b/>
          <w:bCs/>
          <w:color w:val="auto"/>
          <w:sz w:val="44"/>
          <w:szCs w:val="44"/>
          <w:highlight w:val="none"/>
        </w:rPr>
      </w:pPr>
    </w:p>
    <w:p>
      <w:pPr>
        <w:snapToGrid w:val="0"/>
        <w:spacing w:before="120" w:beforeLines="50" w:after="50" w:line="360" w:lineRule="exact"/>
        <w:jc w:val="center"/>
        <w:rPr>
          <w:rFonts w:hint="default" w:ascii="Arial" w:hAnsi="Arial" w:cs="Arial"/>
          <w:b/>
          <w:bCs/>
          <w:color w:val="auto"/>
          <w:sz w:val="44"/>
          <w:szCs w:val="44"/>
          <w:highlight w:val="none"/>
        </w:rPr>
      </w:pPr>
      <w:r>
        <w:rPr>
          <w:rFonts w:hint="default" w:ascii="Arial" w:hAnsi="Arial" w:cs="Arial"/>
          <w:b/>
          <w:bCs/>
          <w:color w:val="auto"/>
          <w:sz w:val="44"/>
          <w:szCs w:val="44"/>
          <w:highlight w:val="none"/>
        </w:rPr>
        <w:t>电子响应文件</w:t>
      </w:r>
    </w:p>
    <w:p>
      <w:pPr>
        <w:snapToGrid w:val="0"/>
        <w:spacing w:before="120" w:beforeLines="50" w:after="50" w:line="360" w:lineRule="exact"/>
        <w:rPr>
          <w:rFonts w:hint="default" w:ascii="Arial" w:hAnsi="Arial" w:cs="Arial"/>
          <w:bCs/>
          <w:color w:val="auto"/>
          <w:sz w:val="24"/>
          <w:highlight w:val="none"/>
        </w:rPr>
      </w:pPr>
    </w:p>
    <w:p>
      <w:pPr>
        <w:snapToGrid w:val="0"/>
        <w:spacing w:before="120" w:beforeLines="50" w:after="50" w:line="360" w:lineRule="exact"/>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 xml:space="preserve">项目名称： </w:t>
      </w:r>
    </w:p>
    <w:p>
      <w:pPr>
        <w:snapToGrid w:val="0"/>
        <w:spacing w:before="120" w:beforeLines="50" w:after="50" w:line="360" w:lineRule="exact"/>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项目编号：</w:t>
      </w:r>
    </w:p>
    <w:p>
      <w:pPr>
        <w:snapToGrid w:val="0"/>
        <w:spacing w:before="120" w:beforeLines="50" w:after="50" w:line="440" w:lineRule="exact"/>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分标号：（若无留空或写“/”）</w:t>
      </w:r>
    </w:p>
    <w:p>
      <w:pPr>
        <w:pStyle w:val="7"/>
        <w:snapToGrid w:val="0"/>
        <w:spacing w:before="50" w:after="50" w:line="440" w:lineRule="exact"/>
        <w:ind w:firstLine="720" w:firstLineChars="300"/>
        <w:rPr>
          <w:rFonts w:hint="default" w:ascii="Arial" w:hAnsi="Arial" w:cs="Arial"/>
          <w:bCs/>
          <w:color w:val="auto"/>
          <w:sz w:val="24"/>
          <w:szCs w:val="24"/>
          <w:highlight w:val="none"/>
        </w:rPr>
      </w:pPr>
      <w:r>
        <w:rPr>
          <w:rFonts w:hint="default" w:ascii="Arial" w:hAnsi="Arial" w:cs="Arial"/>
          <w:bCs/>
          <w:color w:val="auto"/>
          <w:sz w:val="24"/>
          <w:szCs w:val="24"/>
          <w:highlight w:val="none"/>
        </w:rPr>
        <w:t>响应文件名称：资格证明文件、商务技术文件、报价文件</w:t>
      </w:r>
    </w:p>
    <w:p>
      <w:pPr>
        <w:snapToGrid w:val="0"/>
        <w:spacing w:before="120" w:beforeLines="50" w:after="50" w:line="360" w:lineRule="exact"/>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供应商名称：</w:t>
      </w:r>
    </w:p>
    <w:p>
      <w:pPr>
        <w:snapToGrid w:val="0"/>
        <w:spacing w:before="120" w:beforeLines="50" w:after="50" w:line="360" w:lineRule="exact"/>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供应商地址：</w:t>
      </w:r>
    </w:p>
    <w:p>
      <w:pPr>
        <w:pStyle w:val="7"/>
        <w:snapToGrid w:val="0"/>
        <w:spacing w:before="50" w:after="50" w:line="360" w:lineRule="exact"/>
        <w:ind w:firstLine="960" w:firstLineChars="400"/>
        <w:rPr>
          <w:rFonts w:hint="default" w:ascii="Arial" w:hAnsi="Arial" w:cs="Arial"/>
          <w:bCs/>
          <w:color w:val="auto"/>
          <w:sz w:val="24"/>
          <w:szCs w:val="24"/>
          <w:highlight w:val="none"/>
        </w:rPr>
      </w:pPr>
    </w:p>
    <w:p>
      <w:pPr>
        <w:snapToGrid w:val="0"/>
        <w:spacing w:before="120" w:beforeLines="50" w:after="50" w:line="360" w:lineRule="exact"/>
        <w:jc w:val="center"/>
        <w:rPr>
          <w:rFonts w:hint="default" w:ascii="Arial" w:hAnsi="Arial" w:cs="Arial"/>
          <w:color w:val="auto"/>
          <w:sz w:val="24"/>
          <w:highlight w:val="none"/>
        </w:rPr>
      </w:pPr>
      <w:r>
        <w:rPr>
          <w:rFonts w:hint="default" w:ascii="Arial" w:hAnsi="Arial" w:cs="Arial"/>
          <w:color w:val="auto"/>
          <w:sz w:val="24"/>
          <w:highlight w:val="none"/>
        </w:rPr>
        <w:t xml:space="preserve">                        年  月  日</w:t>
      </w:r>
    </w:p>
    <w:p>
      <w:pPr>
        <w:snapToGrid w:val="0"/>
        <w:spacing w:before="50" w:after="50" w:line="440" w:lineRule="exact"/>
        <w:rPr>
          <w:rFonts w:hint="default" w:ascii="Arial" w:hAnsi="Arial" w:cs="Arial"/>
          <w:b/>
          <w:color w:val="auto"/>
          <w:sz w:val="24"/>
          <w:highlight w:val="none"/>
        </w:rPr>
      </w:pPr>
      <w:r>
        <w:rPr>
          <w:rFonts w:hint="default" w:ascii="Arial" w:hAnsi="Arial" w:cs="Arial"/>
          <w:b/>
          <w:color w:val="auto"/>
          <w:sz w:val="24"/>
          <w:highlight w:val="none"/>
        </w:rPr>
        <w:t xml:space="preserve"> </w:t>
      </w:r>
    </w:p>
    <w:p>
      <w:pPr>
        <w:rPr>
          <w:rFonts w:hint="default" w:ascii="Arial" w:hAnsi="Arial" w:cs="Arial"/>
          <w:color w:val="auto"/>
          <w:highlight w:val="none"/>
        </w:rPr>
      </w:pPr>
      <w:r>
        <w:rPr>
          <w:rFonts w:hint="default" w:ascii="Arial" w:hAnsi="Arial" w:cs="Arial"/>
          <w:color w:val="auto"/>
          <w:highlight w:val="none"/>
        </w:rPr>
        <w:t xml:space="preserve"> </w:t>
      </w:r>
    </w:p>
    <w:p>
      <w:pPr>
        <w:snapToGrid w:val="0"/>
        <w:spacing w:before="120" w:beforeLines="50" w:after="50" w:line="440" w:lineRule="exact"/>
        <w:jc w:val="center"/>
        <w:outlineLvl w:val="1"/>
        <w:rPr>
          <w:rFonts w:hint="default" w:ascii="Arial" w:hAnsi="Arial" w:cs="Arial"/>
          <w:b/>
          <w:bCs/>
          <w:color w:val="auto"/>
          <w:sz w:val="24"/>
          <w:highlight w:val="none"/>
        </w:rPr>
      </w:pPr>
      <w:bookmarkStart w:id="96" w:name="_Toc254970557"/>
      <w:bookmarkStart w:id="97" w:name="_Toc254970698"/>
      <w:r>
        <w:rPr>
          <w:rFonts w:hint="default" w:ascii="Arial" w:hAnsi="Arial" w:cs="Arial"/>
          <w:color w:val="auto"/>
          <w:sz w:val="24"/>
          <w:highlight w:val="none"/>
        </w:rPr>
        <w:br w:type="page"/>
      </w:r>
      <w:bookmarkEnd w:id="96"/>
      <w:bookmarkEnd w:id="97"/>
    </w:p>
    <w:p>
      <w:pPr>
        <w:snapToGrid w:val="0"/>
        <w:spacing w:before="120" w:beforeLines="50" w:after="50" w:line="440" w:lineRule="exact"/>
        <w:jc w:val="center"/>
        <w:rPr>
          <w:rFonts w:hint="default" w:ascii="Arial" w:hAnsi="Arial" w:cs="Arial"/>
          <w:color w:val="auto"/>
          <w:sz w:val="24"/>
          <w:highlight w:val="none"/>
        </w:rPr>
      </w:pPr>
    </w:p>
    <w:p>
      <w:pPr>
        <w:snapToGrid w:val="0"/>
        <w:spacing w:before="50" w:after="50" w:line="440" w:lineRule="exact"/>
        <w:ind w:firstLine="138" w:firstLineChars="49"/>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目录</w:t>
      </w:r>
    </w:p>
    <w:p>
      <w:pPr>
        <w:snapToGrid w:val="0"/>
        <w:spacing w:before="50" w:after="50" w:line="440" w:lineRule="exact"/>
        <w:ind w:firstLine="118" w:firstLineChars="49"/>
        <w:jc w:val="center"/>
        <w:rPr>
          <w:rFonts w:hint="default" w:ascii="Arial" w:hAnsi="Arial" w:cs="Arial"/>
          <w:b/>
          <w:color w:val="auto"/>
          <w:sz w:val="24"/>
          <w:highlight w:val="none"/>
        </w:rPr>
      </w:pPr>
      <w:r>
        <w:rPr>
          <w:rFonts w:hint="default" w:ascii="Arial" w:hAnsi="Arial" w:cs="Arial"/>
          <w:b/>
          <w:color w:val="auto"/>
          <w:sz w:val="24"/>
          <w:highlight w:val="none"/>
        </w:rPr>
        <w:t>（需有页码）</w:t>
      </w:r>
    </w:p>
    <w:p>
      <w:pPr>
        <w:snapToGrid w:val="0"/>
        <w:spacing w:before="120" w:beforeLines="50" w:after="50" w:line="440" w:lineRule="exact"/>
        <w:jc w:val="center"/>
        <w:outlineLvl w:val="1"/>
        <w:rPr>
          <w:rFonts w:hint="default" w:ascii="Arial" w:hAnsi="Arial" w:cs="Arial"/>
          <w:bCs/>
          <w:color w:val="auto"/>
          <w:sz w:val="24"/>
          <w:highlight w:val="none"/>
        </w:rPr>
      </w:pPr>
      <w:r>
        <w:rPr>
          <w:rFonts w:hint="default" w:ascii="Arial" w:hAnsi="Arial" w:cs="Arial"/>
          <w:b/>
          <w:color w:val="auto"/>
          <w:sz w:val="24"/>
          <w:highlight w:val="none"/>
        </w:rPr>
        <w:br w:type="page"/>
      </w:r>
      <w:r>
        <w:rPr>
          <w:rFonts w:hint="default" w:ascii="Arial" w:hAnsi="Arial" w:cs="Arial"/>
          <w:bCs/>
          <w:color w:val="auto"/>
          <w:sz w:val="24"/>
          <w:highlight w:val="none"/>
        </w:rPr>
        <w:t>第一部分 资格证明文件</w:t>
      </w:r>
    </w:p>
    <w:p>
      <w:pPr>
        <w:snapToGrid w:val="0"/>
        <w:spacing w:before="50" w:after="120" w:afterLines="50" w:line="400" w:lineRule="exact"/>
        <w:jc w:val="left"/>
        <w:rPr>
          <w:rFonts w:hint="default" w:ascii="Arial" w:hAnsi="Arial" w:cs="Arial"/>
          <w:b/>
          <w:color w:val="auto"/>
          <w:szCs w:val="21"/>
          <w:highlight w:val="none"/>
        </w:rPr>
      </w:pPr>
      <w:r>
        <w:rPr>
          <w:rFonts w:hint="default" w:ascii="Arial" w:hAnsi="Arial" w:cs="Arial"/>
          <w:b/>
          <w:color w:val="auto"/>
          <w:szCs w:val="21"/>
          <w:highlight w:val="none"/>
        </w:rPr>
        <w:t>1．响应声明书格式：</w:t>
      </w:r>
    </w:p>
    <w:p>
      <w:pPr>
        <w:snapToGrid w:val="0"/>
        <w:spacing w:before="120" w:beforeLines="50" w:after="50" w:line="360" w:lineRule="exact"/>
        <w:jc w:val="center"/>
        <w:rPr>
          <w:rFonts w:hint="default" w:ascii="Arial" w:hAnsi="Arial" w:cs="Arial"/>
          <w:b/>
          <w:color w:val="auto"/>
          <w:szCs w:val="21"/>
          <w:highlight w:val="none"/>
        </w:rPr>
      </w:pPr>
    </w:p>
    <w:p>
      <w:pPr>
        <w:snapToGrid w:val="0"/>
        <w:spacing w:before="120" w:beforeLines="50" w:after="50" w:line="360" w:lineRule="exact"/>
        <w:jc w:val="center"/>
        <w:rPr>
          <w:rFonts w:hint="default" w:ascii="Arial" w:hAnsi="Arial" w:cs="Arial"/>
          <w:b/>
          <w:color w:val="auto"/>
          <w:szCs w:val="21"/>
          <w:highlight w:val="none"/>
        </w:rPr>
      </w:pPr>
      <w:r>
        <w:rPr>
          <w:rFonts w:hint="default" w:ascii="Arial" w:hAnsi="Arial" w:cs="Arial"/>
          <w:b/>
          <w:color w:val="auto"/>
          <w:szCs w:val="21"/>
          <w:highlight w:val="none"/>
        </w:rPr>
        <w:t>响应声明书</w:t>
      </w:r>
    </w:p>
    <w:p>
      <w:pPr>
        <w:snapToGrid w:val="0"/>
        <w:spacing w:before="120" w:beforeLines="50" w:after="50" w:line="360" w:lineRule="exact"/>
        <w:jc w:val="center"/>
        <w:rPr>
          <w:rFonts w:hint="default" w:ascii="Arial" w:hAnsi="Arial" w:cs="Arial"/>
          <w:color w:val="auto"/>
          <w:szCs w:val="21"/>
          <w:highlight w:val="none"/>
        </w:rPr>
      </w:pPr>
    </w:p>
    <w:p>
      <w:pPr>
        <w:snapToGrid w:val="0"/>
        <w:spacing w:before="120" w:beforeLines="50" w:after="50" w:line="360" w:lineRule="exact"/>
        <w:rPr>
          <w:rFonts w:hint="default" w:ascii="Arial" w:hAnsi="Arial" w:cs="Arial"/>
          <w:color w:val="auto"/>
          <w:szCs w:val="21"/>
          <w:highlight w:val="none"/>
        </w:rPr>
      </w:pPr>
      <w:r>
        <w:rPr>
          <w:rFonts w:hint="default" w:ascii="Arial" w:hAnsi="Arial" w:cs="Arial"/>
          <w:color w:val="auto"/>
          <w:szCs w:val="21"/>
          <w:highlight w:val="none"/>
        </w:rPr>
        <w:t>致：</w:t>
      </w:r>
      <w:r>
        <w:rPr>
          <w:rFonts w:hint="default" w:ascii="Arial" w:hAnsi="Arial" w:cs="Arial"/>
          <w:i/>
          <w:iCs/>
          <w:color w:val="auto"/>
          <w:szCs w:val="21"/>
          <w:highlight w:val="none"/>
          <w:u w:val="single"/>
        </w:rPr>
        <w:t>（采购人名称）</w:t>
      </w:r>
      <w:r>
        <w:rPr>
          <w:rFonts w:hint="default" w:ascii="Arial" w:hAnsi="Arial" w:cs="Arial"/>
          <w:color w:val="auto"/>
          <w:szCs w:val="21"/>
          <w:highlight w:val="none"/>
        </w:rPr>
        <w:t>：</w:t>
      </w:r>
    </w:p>
    <w:p>
      <w:pPr>
        <w:snapToGrid w:val="0"/>
        <w:spacing w:before="120" w:beforeLines="50" w:after="50" w:line="360" w:lineRule="exact"/>
        <w:ind w:firstLine="630" w:firstLineChars="300"/>
        <w:rPr>
          <w:rFonts w:hint="default" w:ascii="Arial" w:hAnsi="Arial" w:cs="Arial"/>
          <w:color w:val="auto"/>
          <w:szCs w:val="21"/>
          <w:highlight w:val="none"/>
        </w:rPr>
      </w:pP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系中华人民共和国合法企业，</w:t>
      </w:r>
      <w:r>
        <w:rPr>
          <w:rFonts w:hint="default" w:ascii="Arial" w:hAnsi="Arial" w:cs="Arial"/>
          <w:color w:val="auto"/>
          <w:szCs w:val="21"/>
          <w:highlight w:val="none"/>
          <w:u w:val="single"/>
        </w:rPr>
        <w:t xml:space="preserve"> </w:t>
      </w:r>
      <w:r>
        <w:rPr>
          <w:rFonts w:hint="default" w:ascii="Arial" w:hAnsi="Arial" w:cs="Arial"/>
          <w:i/>
          <w:iCs/>
          <w:color w:val="auto"/>
          <w:szCs w:val="21"/>
          <w:highlight w:val="none"/>
          <w:u w:val="single"/>
        </w:rPr>
        <w:t xml:space="preserve"> （经营地址）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p>
      <w:pPr>
        <w:snapToGrid w:val="0"/>
        <w:spacing w:before="120" w:beforeLines="50" w:after="50" w:line="360" w:lineRule="exact"/>
        <w:ind w:firstLine="645"/>
        <w:rPr>
          <w:rFonts w:hint="default" w:ascii="Arial" w:hAnsi="Arial" w:cs="Arial"/>
          <w:color w:val="auto"/>
          <w:szCs w:val="21"/>
          <w:highlight w:val="none"/>
        </w:rPr>
      </w:pPr>
      <w:r>
        <w:rPr>
          <w:rFonts w:hint="default" w:ascii="Arial" w:hAnsi="Arial" w:cs="Arial"/>
          <w:color w:val="auto"/>
          <w:szCs w:val="21"/>
          <w:highlight w:val="none"/>
        </w:rPr>
        <w:t>我</w:t>
      </w:r>
      <w:r>
        <w:rPr>
          <w:rFonts w:hint="default" w:ascii="Arial" w:hAnsi="Arial" w:cs="Arial"/>
          <w:i/>
          <w:iCs/>
          <w:color w:val="auto"/>
          <w:szCs w:val="21"/>
          <w:highlight w:val="none"/>
          <w:u w:val="single"/>
        </w:rPr>
        <w:t xml:space="preserve">（姓名） </w:t>
      </w:r>
      <w:r>
        <w:rPr>
          <w:rFonts w:hint="default" w:ascii="Arial" w:hAnsi="Arial" w:cs="Arial"/>
          <w:color w:val="auto"/>
          <w:szCs w:val="21"/>
          <w:highlight w:val="none"/>
        </w:rPr>
        <w:t>系</w:t>
      </w: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的法定代表人，我方愿意参加贵方组织的</w:t>
      </w:r>
      <w:r>
        <w:rPr>
          <w:rFonts w:hint="default" w:ascii="Arial" w:hAnsi="Arial" w:cs="Arial"/>
          <w:i/>
          <w:iCs/>
          <w:color w:val="auto"/>
          <w:szCs w:val="21"/>
          <w:highlight w:val="none"/>
          <w:u w:val="single"/>
        </w:rPr>
        <w:t>（项目名称）</w:t>
      </w:r>
      <w:r>
        <w:rPr>
          <w:rFonts w:hint="default" w:ascii="Arial" w:hAnsi="Arial" w:cs="Arial"/>
          <w:color w:val="auto"/>
          <w:szCs w:val="21"/>
          <w:highlight w:val="none"/>
        </w:rPr>
        <w:t xml:space="preserve">项目的磋商，为便于贵方公正、择优地确定成交供应商及其响应产品和服务，我方就本次磋商有关事项郑重声明如下： </w:t>
      </w:r>
    </w:p>
    <w:p>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（1）我方向贵方提交的所有响应文件、资料都是准确的和真实的。</w:t>
      </w:r>
    </w:p>
    <w:p>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（2）我方不是采购人的附属机构；也不是为本项目提供整体设计、规范编制或者项目管理、监理、检测等服务的供应商或其附属机构。</w:t>
      </w:r>
    </w:p>
    <w:p>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 我方承诺在参加本政府采购项目活动前，没有被纳入政府部门或银行认定的失信名单，我方具有良好的商业信誉。</w:t>
      </w:r>
    </w:p>
    <w:p>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pPr>
        <w:snapToGrid w:val="0"/>
        <w:spacing w:before="120" w:beforeLines="50" w:line="360" w:lineRule="exact"/>
        <w:ind w:firstLine="420" w:firstLineChars="200"/>
        <w:rPr>
          <w:rFonts w:hint="default" w:ascii="Arial" w:hAnsi="Arial" w:cs="Arial"/>
          <w:color w:val="auto"/>
          <w:szCs w:val="21"/>
          <w:highlight w:val="none"/>
          <w:lang w:val="zh-CN"/>
        </w:rPr>
      </w:pPr>
      <w:r>
        <w:rPr>
          <w:rFonts w:hint="default" w:ascii="Arial" w:hAnsi="Arial" w:cs="Arial"/>
          <w:color w:val="auto"/>
          <w:szCs w:val="21"/>
          <w:highlight w:val="none"/>
        </w:rPr>
        <w:t>（5）</w:t>
      </w:r>
      <w:r>
        <w:rPr>
          <w:rFonts w:hint="default" w:ascii="Arial" w:hAnsi="Arial" w:cs="Arial"/>
          <w:color w:val="auto"/>
          <w:szCs w:val="21"/>
          <w:highlight w:val="none"/>
          <w:lang w:val="zh-CN"/>
        </w:rPr>
        <w:t>我方</w:t>
      </w:r>
      <w:r>
        <w:rPr>
          <w:rFonts w:hint="default" w:ascii="Arial" w:hAnsi="Arial" w:cs="Arial"/>
          <w:color w:val="auto"/>
          <w:szCs w:val="21"/>
          <w:highlight w:val="none"/>
        </w:rPr>
        <w:t>承诺</w:t>
      </w:r>
      <w:r>
        <w:rPr>
          <w:rFonts w:hint="default" w:ascii="Arial" w:hAnsi="Arial" w:cs="Arial"/>
          <w:color w:val="auto"/>
          <w:szCs w:val="21"/>
          <w:highlight w:val="none"/>
          <w:lang w:val="zh-CN"/>
        </w:rPr>
        <w:t>具有履行本项目合同所必需的设备和专业技术能力。</w:t>
      </w:r>
    </w:p>
    <w:p>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6）我方承诺未被列入失信被执行人、重大税收违法失信主体、政府采购严重违法失信行为记录名单，如我方提供的声明不实，则接受本次响应作为否决响应的处理，并根据财库〔2016〕125号《财政部关于在政府采购活动中查询及使用信用记录有关问题的通知》规定接受失信联合惩戒。</w:t>
      </w:r>
    </w:p>
    <w:p>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（7）我方承诺成交后按规定缴纳代理服务费。如未按时缴纳，贵方可不退还我方提交的磋商保证金，并从中扣除代理服务费。</w:t>
      </w:r>
    </w:p>
    <w:p>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我方对以上声明负全部法律责任。如有虚假或隐瞒，我方愿意承担一切后果，并不再寻求任何旨在减轻或免除法律责任的辩解。</w:t>
      </w:r>
    </w:p>
    <w:p>
      <w:pPr>
        <w:snapToGrid w:val="0"/>
        <w:spacing w:before="120" w:beforeLines="50" w:line="360" w:lineRule="exact"/>
        <w:rPr>
          <w:rFonts w:hint="default" w:ascii="Arial" w:hAnsi="Arial" w:cs="Arial"/>
          <w:color w:val="auto"/>
          <w:szCs w:val="21"/>
          <w:highlight w:val="none"/>
        </w:rPr>
      </w:pPr>
    </w:p>
    <w:p>
      <w:pPr>
        <w:snapToGrid w:val="0"/>
        <w:spacing w:before="120" w:beforeLines="50" w:line="360" w:lineRule="exact"/>
        <w:rPr>
          <w:rFonts w:hint="default" w:ascii="Arial" w:hAnsi="Arial" w:cs="Arial"/>
          <w:color w:val="auto"/>
          <w:szCs w:val="21"/>
          <w:highlight w:val="none"/>
          <w:u w:val="single"/>
        </w:rPr>
      </w:pPr>
      <w:r>
        <w:rPr>
          <w:rFonts w:hint="default" w:ascii="Arial" w:hAnsi="Arial" w:cs="Arial"/>
          <w:color w:val="auto"/>
          <w:szCs w:val="21"/>
          <w:highlight w:val="none"/>
          <w:u w:val="single"/>
        </w:rPr>
        <w:t xml:space="preserve"> </w:t>
      </w:r>
    </w:p>
    <w:p>
      <w:pPr>
        <w:snapToGrid w:val="0"/>
        <w:spacing w:before="120" w:beforeLines="50" w:after="50" w:line="360" w:lineRule="exact"/>
        <w:ind w:firstLine="3570" w:firstLineChars="1700"/>
        <w:rPr>
          <w:rFonts w:hint="default" w:ascii="Arial" w:hAnsi="Arial" w:cs="Arial"/>
          <w:color w:val="auto"/>
          <w:szCs w:val="21"/>
          <w:highlight w:val="none"/>
        </w:rPr>
      </w:pPr>
      <w:bookmarkStart w:id="98" w:name="_Hlk89177683"/>
      <w:r>
        <w:rPr>
          <w:rFonts w:hint="default" w:ascii="Arial" w:hAnsi="Arial" w:cs="Arial"/>
          <w:color w:val="auto"/>
          <w:szCs w:val="21"/>
          <w:highlight w:val="none"/>
        </w:rPr>
        <w:t>供应商名称（电子签章）</w:t>
      </w:r>
      <w:bookmarkEnd w:id="98"/>
      <w:r>
        <w:rPr>
          <w:rFonts w:hint="default" w:ascii="Arial" w:hAnsi="Arial" w:cs="Arial"/>
          <w:color w:val="auto"/>
          <w:szCs w:val="21"/>
          <w:highlight w:val="none"/>
        </w:rPr>
        <w:t>：</w:t>
      </w:r>
      <w:r>
        <w:rPr>
          <w:rFonts w:hint="default" w:ascii="Arial" w:hAnsi="Arial" w:cs="Arial"/>
          <w:color w:val="auto"/>
          <w:szCs w:val="21"/>
          <w:highlight w:val="none"/>
          <w:u w:val="single"/>
        </w:rPr>
        <w:t xml:space="preserve">                </w:t>
      </w:r>
    </w:p>
    <w:p>
      <w:pPr>
        <w:snapToGrid w:val="0"/>
        <w:spacing w:before="120" w:beforeLines="50" w:after="50" w:line="360" w:lineRule="exact"/>
        <w:ind w:firstLine="210" w:firstLineChars="100"/>
        <w:rPr>
          <w:rFonts w:hint="default" w:ascii="Arial" w:hAnsi="Arial" w:cs="Arial"/>
          <w:color w:val="auto"/>
          <w:szCs w:val="21"/>
          <w:highlight w:val="none"/>
        </w:rPr>
      </w:pPr>
      <w:r>
        <w:rPr>
          <w:rFonts w:hint="default" w:ascii="Arial" w:hAnsi="Arial" w:cs="Arial"/>
          <w:color w:val="auto"/>
          <w:szCs w:val="21"/>
          <w:highlight w:val="none"/>
        </w:rPr>
        <w:t xml:space="preserve">                                          年    月    日</w:t>
      </w:r>
    </w:p>
    <w:p>
      <w:pPr>
        <w:snapToGrid w:val="0"/>
        <w:spacing w:before="120" w:beforeLines="50" w:after="50" w:line="360" w:lineRule="exact"/>
        <w:rPr>
          <w:rFonts w:hint="default" w:ascii="Arial" w:hAnsi="Arial" w:cs="Arial"/>
          <w:b/>
          <w:color w:val="auto"/>
          <w:szCs w:val="21"/>
          <w:highlight w:val="none"/>
        </w:rPr>
      </w:pPr>
      <w:bookmarkStart w:id="99" w:name="_Toc455309222"/>
      <w:bookmarkStart w:id="100" w:name="_Toc462223472"/>
      <w:bookmarkStart w:id="101" w:name="_Toc462320613"/>
      <w:r>
        <w:rPr>
          <w:rFonts w:hint="default" w:ascii="Arial" w:hAnsi="Arial" w:cs="Arial"/>
          <w:b/>
          <w:color w:val="auto"/>
          <w:szCs w:val="21"/>
          <w:highlight w:val="none"/>
        </w:rPr>
        <w:t>2．法定代表人身份证明（无授权代表时提供）：</w:t>
      </w:r>
    </w:p>
    <w:p>
      <w:pPr>
        <w:snapToGrid w:val="0"/>
        <w:spacing w:before="120" w:beforeLines="50" w:after="50" w:line="360" w:lineRule="exact"/>
        <w:rPr>
          <w:rFonts w:hint="default" w:ascii="Arial" w:hAnsi="Arial" w:cs="Arial"/>
          <w:color w:val="auto"/>
          <w:highlight w:val="none"/>
        </w:rPr>
      </w:pPr>
    </w:p>
    <w:p>
      <w:pPr>
        <w:snapToGrid w:val="0"/>
        <w:spacing w:before="120" w:beforeLines="50" w:after="50" w:line="440" w:lineRule="exact"/>
        <w:jc w:val="center"/>
        <w:rPr>
          <w:rFonts w:hint="default" w:ascii="Arial" w:hAnsi="Arial" w:cs="Arial"/>
          <w:b/>
          <w:color w:val="auto"/>
          <w:szCs w:val="21"/>
          <w:highlight w:val="none"/>
        </w:rPr>
      </w:pPr>
      <w:r>
        <w:rPr>
          <w:rFonts w:hint="default" w:ascii="Arial" w:hAnsi="Arial" w:cs="Arial"/>
          <w:b/>
          <w:color w:val="auto"/>
          <w:szCs w:val="21"/>
          <w:highlight w:val="none"/>
        </w:rPr>
        <w:t>法定代表人身份证明</w:t>
      </w:r>
      <w:bookmarkEnd w:id="99"/>
      <w:bookmarkEnd w:id="100"/>
      <w:bookmarkEnd w:id="101"/>
    </w:p>
    <w:p>
      <w:pPr>
        <w:spacing w:line="360" w:lineRule="auto"/>
        <w:rPr>
          <w:rFonts w:hint="default" w:ascii="Arial" w:hAnsi="Arial" w:cs="Arial"/>
          <w:color w:val="auto"/>
          <w:highlight w:val="none"/>
        </w:rPr>
      </w:pPr>
    </w:p>
    <w:p>
      <w:pPr>
        <w:spacing w:line="360" w:lineRule="auto"/>
        <w:rPr>
          <w:rFonts w:hint="default" w:ascii="Arial" w:hAnsi="Arial" w:cs="Arial"/>
          <w:color w:val="auto"/>
          <w:highlight w:val="none"/>
        </w:rPr>
      </w:pPr>
    </w:p>
    <w:p>
      <w:pPr>
        <w:spacing w:line="540" w:lineRule="exact"/>
        <w:rPr>
          <w:rFonts w:hint="default" w:ascii="Arial" w:hAnsi="Arial" w:cs="Arial"/>
          <w:color w:val="auto"/>
          <w:szCs w:val="21"/>
          <w:highlight w:val="none"/>
        </w:rPr>
      </w:pPr>
      <w:r>
        <w:rPr>
          <w:rFonts w:hint="default" w:ascii="Arial" w:hAnsi="Arial" w:cs="Arial"/>
          <w:color w:val="auto"/>
          <w:szCs w:val="21"/>
          <w:highlight w:val="none"/>
        </w:rPr>
        <w:t>供应商名称：</w:t>
      </w:r>
      <w:r>
        <w:rPr>
          <w:rFonts w:hint="default" w:ascii="Arial" w:hAnsi="Arial" w:cs="Arial"/>
          <w:color w:val="auto"/>
          <w:szCs w:val="21"/>
          <w:highlight w:val="none"/>
          <w:u w:val="single"/>
        </w:rPr>
        <w:t xml:space="preserve">                                         </w:t>
      </w:r>
    </w:p>
    <w:p>
      <w:pPr>
        <w:spacing w:line="540" w:lineRule="exact"/>
        <w:rPr>
          <w:rFonts w:hint="default" w:ascii="Arial" w:hAnsi="Arial" w:cs="Arial"/>
          <w:color w:val="auto"/>
          <w:szCs w:val="21"/>
          <w:highlight w:val="none"/>
        </w:rPr>
      </w:pPr>
      <w:r>
        <w:rPr>
          <w:rFonts w:hint="default" w:ascii="Arial" w:hAnsi="Arial" w:cs="Arial"/>
          <w:color w:val="auto"/>
          <w:szCs w:val="21"/>
          <w:highlight w:val="none"/>
        </w:rPr>
        <w:t>单位性质：</w:t>
      </w:r>
      <w:r>
        <w:rPr>
          <w:rFonts w:hint="default" w:ascii="Arial" w:hAnsi="Arial" w:cs="Arial"/>
          <w:color w:val="auto"/>
          <w:szCs w:val="21"/>
          <w:highlight w:val="none"/>
          <w:u w:val="single"/>
        </w:rPr>
        <w:t xml:space="preserve">                                           </w:t>
      </w:r>
    </w:p>
    <w:p>
      <w:pPr>
        <w:spacing w:line="540" w:lineRule="exact"/>
        <w:rPr>
          <w:rFonts w:hint="default" w:ascii="Arial" w:hAnsi="Arial" w:cs="Arial"/>
          <w:color w:val="auto"/>
          <w:szCs w:val="21"/>
          <w:highlight w:val="none"/>
        </w:rPr>
      </w:pPr>
      <w:r>
        <w:rPr>
          <w:rFonts w:hint="default" w:ascii="Arial" w:hAnsi="Arial" w:cs="Arial"/>
          <w:color w:val="auto"/>
          <w:szCs w:val="21"/>
          <w:highlight w:val="none"/>
        </w:rPr>
        <w:t>地址：</w:t>
      </w:r>
      <w:r>
        <w:rPr>
          <w:rFonts w:hint="default" w:ascii="Arial" w:hAnsi="Arial" w:cs="Arial"/>
          <w:color w:val="auto"/>
          <w:szCs w:val="21"/>
          <w:highlight w:val="none"/>
          <w:u w:val="single"/>
        </w:rPr>
        <w:t xml:space="preserve">                                               </w:t>
      </w:r>
    </w:p>
    <w:p>
      <w:pPr>
        <w:spacing w:line="540" w:lineRule="exact"/>
        <w:rPr>
          <w:rFonts w:hint="default" w:ascii="Arial" w:hAnsi="Arial" w:cs="Arial"/>
          <w:color w:val="auto"/>
          <w:szCs w:val="21"/>
          <w:highlight w:val="none"/>
          <w:u w:val="single"/>
        </w:rPr>
      </w:pPr>
      <w:r>
        <w:rPr>
          <w:rFonts w:hint="default" w:ascii="Arial" w:hAnsi="Arial" w:cs="Arial"/>
          <w:color w:val="auto"/>
          <w:szCs w:val="21"/>
          <w:highlight w:val="none"/>
        </w:rPr>
        <w:t>成立时间：</w:t>
      </w:r>
      <w:r>
        <w:rPr>
          <w:rFonts w:hint="default" w:ascii="Arial" w:hAnsi="Arial" w:cs="Arial"/>
          <w:color w:val="auto"/>
          <w:szCs w:val="21"/>
          <w:highlight w:val="none"/>
          <w:u w:val="single"/>
        </w:rPr>
        <w:t xml:space="preserve">          年        月        日</w:t>
      </w:r>
    </w:p>
    <w:p>
      <w:pPr>
        <w:spacing w:line="540" w:lineRule="exact"/>
        <w:rPr>
          <w:rFonts w:hint="default" w:ascii="Arial" w:hAnsi="Arial" w:cs="Arial"/>
          <w:color w:val="auto"/>
          <w:szCs w:val="21"/>
          <w:highlight w:val="none"/>
        </w:rPr>
      </w:pPr>
      <w:r>
        <w:rPr>
          <w:rFonts w:hint="default" w:ascii="Arial" w:hAnsi="Arial" w:cs="Arial"/>
          <w:color w:val="auto"/>
          <w:szCs w:val="21"/>
          <w:highlight w:val="none"/>
        </w:rPr>
        <w:t>经营期限：</w:t>
      </w:r>
      <w:r>
        <w:rPr>
          <w:rFonts w:hint="default" w:ascii="Arial" w:hAnsi="Arial" w:cs="Arial"/>
          <w:color w:val="auto"/>
          <w:szCs w:val="21"/>
          <w:highlight w:val="none"/>
          <w:u w:val="single"/>
        </w:rPr>
        <w:t xml:space="preserve">                                           </w:t>
      </w:r>
    </w:p>
    <w:p>
      <w:pPr>
        <w:spacing w:line="540" w:lineRule="exact"/>
        <w:rPr>
          <w:rFonts w:hint="default" w:ascii="Arial" w:hAnsi="Arial" w:cs="Arial"/>
          <w:color w:val="auto"/>
          <w:szCs w:val="21"/>
          <w:highlight w:val="none"/>
        </w:rPr>
      </w:pPr>
      <w:r>
        <w:rPr>
          <w:rFonts w:hint="default" w:ascii="Arial" w:hAnsi="Arial" w:cs="Arial"/>
          <w:color w:val="auto"/>
          <w:szCs w:val="21"/>
          <w:highlight w:val="none"/>
        </w:rPr>
        <w:t>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；性别：</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pPr>
        <w:spacing w:line="540" w:lineRule="exact"/>
        <w:rPr>
          <w:rFonts w:hint="default" w:ascii="Arial" w:hAnsi="Arial" w:cs="Arial"/>
          <w:color w:val="auto"/>
          <w:szCs w:val="21"/>
          <w:highlight w:val="none"/>
        </w:rPr>
      </w:pPr>
      <w:r>
        <w:rPr>
          <w:rFonts w:hint="default" w:ascii="Arial" w:hAnsi="Arial" w:cs="Arial"/>
          <w:color w:val="auto"/>
          <w:szCs w:val="21"/>
          <w:highlight w:val="none"/>
        </w:rPr>
        <w:t>年龄：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；身份证：</w:t>
      </w:r>
      <w:r>
        <w:rPr>
          <w:rFonts w:hint="default" w:ascii="Arial" w:hAnsi="Arial" w:cs="Arial"/>
          <w:color w:val="auto"/>
          <w:szCs w:val="21"/>
          <w:highlight w:val="none"/>
          <w:u w:val="single"/>
        </w:rPr>
        <w:t xml:space="preserve">                                      </w:t>
      </w:r>
    </w:p>
    <w:p>
      <w:pPr>
        <w:spacing w:line="540" w:lineRule="exact"/>
        <w:rPr>
          <w:rFonts w:hint="default" w:ascii="Arial" w:hAnsi="Arial" w:cs="Arial"/>
          <w:color w:val="auto"/>
          <w:szCs w:val="21"/>
          <w:highlight w:val="none"/>
        </w:rPr>
      </w:pPr>
      <w:r>
        <w:rPr>
          <w:rFonts w:hint="default" w:ascii="Arial" w:hAnsi="Arial" w:cs="Arial"/>
          <w:color w:val="auto"/>
          <w:szCs w:val="21"/>
          <w:highlight w:val="none"/>
        </w:rPr>
        <w:t>系</w:t>
      </w:r>
      <w:r>
        <w:rPr>
          <w:rFonts w:hint="default" w:ascii="Arial" w:hAnsi="Arial" w:cs="Arial"/>
          <w:color w:val="auto"/>
          <w:szCs w:val="21"/>
          <w:highlight w:val="none"/>
          <w:u w:val="single"/>
        </w:rPr>
        <w:t xml:space="preserve">                                      （ 供应商名称）</w:t>
      </w:r>
      <w:r>
        <w:rPr>
          <w:rFonts w:hint="default" w:ascii="Arial" w:hAnsi="Arial" w:cs="Arial"/>
          <w:color w:val="auto"/>
          <w:szCs w:val="21"/>
          <w:highlight w:val="none"/>
        </w:rPr>
        <w:t>的法定代表人。</w:t>
      </w:r>
    </w:p>
    <w:p>
      <w:pPr>
        <w:spacing w:line="540" w:lineRule="exact"/>
        <w:rPr>
          <w:rFonts w:hint="default" w:ascii="Arial" w:hAnsi="Arial" w:cs="Arial"/>
          <w:color w:val="auto"/>
          <w:szCs w:val="21"/>
          <w:highlight w:val="none"/>
        </w:rPr>
      </w:pPr>
    </w:p>
    <w:p>
      <w:pPr>
        <w:spacing w:line="5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特此证明。</w:t>
      </w:r>
    </w:p>
    <w:p>
      <w:pPr>
        <w:spacing w:line="360" w:lineRule="auto"/>
        <w:ind w:firstLine="420" w:firstLineChars="200"/>
        <w:rPr>
          <w:rFonts w:hint="default" w:ascii="Arial" w:hAnsi="Arial" w:cs="Arial"/>
          <w:color w:val="auto"/>
          <w:szCs w:val="21"/>
          <w:highlight w:val="none"/>
        </w:rPr>
      </w:pPr>
    </w:p>
    <w:p>
      <w:pPr>
        <w:spacing w:line="360" w:lineRule="auto"/>
        <w:ind w:firstLine="4830" w:firstLineChars="2300"/>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                                                   年       月       日 </w:t>
      </w:r>
    </w:p>
    <w:p>
      <w:pPr>
        <w:spacing w:line="360" w:lineRule="auto"/>
        <w:ind w:firstLine="420" w:firstLineChars="200"/>
        <w:rPr>
          <w:rFonts w:hint="default" w:ascii="Arial" w:hAnsi="Arial" w:cs="Arial"/>
          <w:color w:val="auto"/>
          <w:szCs w:val="21"/>
          <w:highlight w:val="none"/>
        </w:rPr>
      </w:pP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附件：法定代表人身份证复印件</w:t>
      </w:r>
    </w:p>
    <w:p>
      <w:pPr>
        <w:spacing w:line="360" w:lineRule="auto"/>
        <w:rPr>
          <w:rFonts w:hint="default" w:ascii="Arial" w:hAnsi="Arial" w:cs="Arial"/>
          <w:color w:val="auto"/>
          <w:szCs w:val="21"/>
          <w:highlight w:val="none"/>
        </w:rPr>
      </w:pPr>
    </w:p>
    <w:p>
      <w:pPr>
        <w:spacing w:line="360" w:lineRule="auto"/>
        <w:rPr>
          <w:rFonts w:hint="default" w:ascii="Arial" w:hAnsi="Arial" w:cs="Arial"/>
          <w:color w:val="auto"/>
          <w:szCs w:val="21"/>
          <w:highlight w:val="none"/>
        </w:rPr>
      </w:pPr>
    </w:p>
    <w:p>
      <w:pPr>
        <w:snapToGrid w:val="0"/>
        <w:spacing w:before="120" w:beforeLines="50" w:after="50" w:line="360" w:lineRule="exact"/>
        <w:rPr>
          <w:rFonts w:hint="default" w:ascii="Arial" w:hAnsi="Arial" w:cs="Arial"/>
          <w:b/>
          <w:color w:val="auto"/>
          <w:szCs w:val="21"/>
          <w:highlight w:val="none"/>
        </w:rPr>
      </w:pPr>
      <w:r>
        <w:rPr>
          <w:rFonts w:hint="default" w:ascii="Arial" w:hAnsi="Arial" w:cs="Arial"/>
          <w:b/>
          <w:color w:val="auto"/>
          <w:szCs w:val="21"/>
          <w:highlight w:val="none"/>
        </w:rPr>
        <w:br w:type="page"/>
      </w:r>
      <w:r>
        <w:rPr>
          <w:rFonts w:hint="default" w:ascii="Arial" w:hAnsi="Arial" w:cs="Arial"/>
          <w:b/>
          <w:color w:val="auto"/>
          <w:szCs w:val="21"/>
          <w:highlight w:val="none"/>
        </w:rPr>
        <w:t>2．法定代表授权委托书（有授权代表时提供）：</w:t>
      </w:r>
    </w:p>
    <w:p>
      <w:pPr>
        <w:snapToGrid w:val="0"/>
        <w:spacing w:before="120" w:beforeLines="50" w:after="50" w:line="360" w:lineRule="exact"/>
        <w:rPr>
          <w:rFonts w:hint="default" w:ascii="Arial" w:hAnsi="Arial" w:cs="Arial"/>
          <w:b/>
          <w:color w:val="auto"/>
          <w:szCs w:val="21"/>
          <w:highlight w:val="none"/>
        </w:rPr>
      </w:pPr>
    </w:p>
    <w:p>
      <w:pPr>
        <w:snapToGrid w:val="0"/>
        <w:spacing w:before="120" w:beforeLines="50" w:after="50" w:line="440" w:lineRule="exact"/>
        <w:jc w:val="center"/>
        <w:rPr>
          <w:rFonts w:hint="default" w:ascii="Arial" w:hAnsi="Arial" w:cs="Arial"/>
          <w:b/>
          <w:color w:val="auto"/>
          <w:szCs w:val="21"/>
          <w:highlight w:val="none"/>
        </w:rPr>
      </w:pPr>
      <w:r>
        <w:rPr>
          <w:rFonts w:hint="default" w:ascii="Arial" w:hAnsi="Arial" w:cs="Arial"/>
          <w:b/>
          <w:color w:val="auto"/>
          <w:szCs w:val="21"/>
          <w:highlight w:val="none"/>
        </w:rPr>
        <w:t>法定代表人授权委托书</w:t>
      </w:r>
    </w:p>
    <w:p>
      <w:pPr>
        <w:snapToGrid w:val="0"/>
        <w:spacing w:before="120" w:beforeLines="50" w:after="50" w:line="440" w:lineRule="exact"/>
        <w:rPr>
          <w:rFonts w:hint="default" w:ascii="Arial" w:hAnsi="Arial" w:cs="Arial"/>
          <w:bCs/>
          <w:color w:val="auto"/>
          <w:szCs w:val="21"/>
          <w:highlight w:val="none"/>
        </w:rPr>
      </w:pPr>
    </w:p>
    <w:p>
      <w:pPr>
        <w:snapToGrid w:val="0"/>
        <w:spacing w:before="120" w:beforeLines="50" w:after="50" w:line="440" w:lineRule="exact"/>
        <w:rPr>
          <w:rFonts w:hint="default" w:ascii="Arial" w:hAnsi="Arial" w:cs="Arial"/>
          <w:b/>
          <w:bCs/>
          <w:color w:val="auto"/>
          <w:szCs w:val="21"/>
          <w:highlight w:val="none"/>
        </w:rPr>
      </w:pPr>
      <w:r>
        <w:rPr>
          <w:rFonts w:hint="default" w:ascii="Arial" w:hAnsi="Arial" w:cs="Arial"/>
          <w:bCs/>
          <w:color w:val="auto"/>
          <w:szCs w:val="21"/>
          <w:highlight w:val="none"/>
        </w:rPr>
        <w:t>致：</w:t>
      </w:r>
      <w:r>
        <w:rPr>
          <w:rFonts w:hint="default" w:ascii="Arial" w:hAnsi="Arial" w:cs="Arial"/>
          <w:i/>
          <w:iCs/>
          <w:color w:val="auto"/>
          <w:szCs w:val="21"/>
          <w:highlight w:val="none"/>
          <w:u w:val="single"/>
        </w:rPr>
        <w:t>（采购人名称）</w:t>
      </w:r>
    </w:p>
    <w:p>
      <w:pPr>
        <w:snapToGrid w:val="0"/>
        <w:spacing w:before="120" w:beforeLines="50" w:after="50" w:line="4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我 </w:t>
      </w:r>
      <w:r>
        <w:rPr>
          <w:rFonts w:hint="default" w:ascii="Arial" w:hAnsi="Arial" w:cs="Arial"/>
          <w:i/>
          <w:iCs/>
          <w:color w:val="auto"/>
          <w:szCs w:val="21"/>
          <w:highlight w:val="none"/>
          <w:u w:val="single"/>
        </w:rPr>
        <w:t>（姓名）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系</w:t>
      </w: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的法定代表人，现授权委托本单位在职职工</w:t>
      </w:r>
      <w:r>
        <w:rPr>
          <w:rFonts w:hint="default" w:ascii="Arial" w:hAnsi="Arial" w:cs="Arial"/>
          <w:i/>
          <w:iCs/>
          <w:color w:val="auto"/>
          <w:szCs w:val="21"/>
          <w:highlight w:val="none"/>
          <w:u w:val="single"/>
        </w:rPr>
        <w:t>（姓名）</w:t>
      </w:r>
      <w:r>
        <w:rPr>
          <w:rFonts w:hint="default" w:ascii="Arial" w:hAnsi="Arial" w:cs="Arial"/>
          <w:color w:val="auto"/>
          <w:szCs w:val="21"/>
          <w:highlight w:val="none"/>
        </w:rPr>
        <w:t>以我方的名义参加</w:t>
      </w:r>
      <w:r>
        <w:rPr>
          <w:rFonts w:hint="default" w:ascii="Arial" w:hAnsi="Arial" w:cs="Arial"/>
          <w:i/>
          <w:iCs/>
          <w:color w:val="auto"/>
          <w:szCs w:val="21"/>
          <w:highlight w:val="none"/>
          <w:u w:val="single"/>
        </w:rPr>
        <w:t>（项目名称 ）</w:t>
      </w:r>
      <w:r>
        <w:rPr>
          <w:rFonts w:hint="default" w:ascii="Arial" w:hAnsi="Arial" w:cs="Arial"/>
          <w:color w:val="auto"/>
          <w:szCs w:val="21"/>
          <w:highlight w:val="none"/>
        </w:rPr>
        <w:t>项目的磋商活动，并代表我方全权办理针对上述项目的磋商、截标、评审、签约等具体事务和签署相关文件。</w:t>
      </w:r>
    </w:p>
    <w:p>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 xml:space="preserve">    我方对被授权人的签名事项负全部责任。</w:t>
      </w:r>
    </w:p>
    <w:p>
      <w:pPr>
        <w:snapToGrid w:val="0"/>
        <w:spacing w:before="120" w:beforeLines="50" w:after="50" w:line="440" w:lineRule="exact"/>
        <w:ind w:firstLine="480"/>
        <w:rPr>
          <w:rFonts w:hint="default" w:ascii="Arial" w:hAnsi="Arial" w:cs="Arial"/>
          <w:color w:val="auto"/>
          <w:szCs w:val="21"/>
          <w:highlight w:val="none"/>
        </w:rPr>
      </w:pPr>
      <w:r>
        <w:rPr>
          <w:rFonts w:hint="default" w:ascii="Arial" w:hAnsi="Arial" w:cs="Arial"/>
          <w:color w:val="auto"/>
          <w:szCs w:val="21"/>
          <w:highlight w:val="none"/>
        </w:rPr>
        <w:t>在撤销授权的书面通知以前，本授权书一直有效。被授权人在授权书有效期内签署的所有文件不因授权的撤销而失效。</w:t>
      </w:r>
    </w:p>
    <w:p>
      <w:pPr>
        <w:snapToGrid w:val="0"/>
        <w:spacing w:before="120" w:beforeLines="50" w:after="50" w:line="440" w:lineRule="exact"/>
        <w:ind w:firstLine="480"/>
        <w:rPr>
          <w:rFonts w:hint="default" w:ascii="Arial" w:hAnsi="Arial" w:cs="Arial"/>
          <w:color w:val="auto"/>
          <w:szCs w:val="21"/>
          <w:highlight w:val="none"/>
        </w:rPr>
      </w:pPr>
      <w:r>
        <w:rPr>
          <w:rFonts w:hint="default" w:ascii="Arial" w:hAnsi="Arial" w:cs="Arial"/>
          <w:color w:val="auto"/>
          <w:szCs w:val="21"/>
          <w:highlight w:val="none"/>
        </w:rPr>
        <w:t>被授权人无转委托权，特此委托。</w:t>
      </w:r>
    </w:p>
    <w:p>
      <w:pPr>
        <w:snapToGrid w:val="0"/>
        <w:spacing w:before="120" w:beforeLines="50" w:after="50" w:line="440" w:lineRule="exact"/>
        <w:rPr>
          <w:rFonts w:hint="default" w:ascii="Arial" w:hAnsi="Arial" w:cs="Arial"/>
          <w:color w:val="auto"/>
          <w:szCs w:val="21"/>
          <w:highlight w:val="none"/>
          <w:u w:val="single"/>
        </w:rPr>
      </w:pPr>
      <w:r>
        <w:rPr>
          <w:rFonts w:hint="default" w:ascii="Arial" w:hAnsi="Arial" w:cs="Arial"/>
          <w:color w:val="auto"/>
          <w:szCs w:val="21"/>
          <w:highlight w:val="none"/>
        </w:rPr>
        <w:t>被授权人签名或签章：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法定代表人签名或签章：</w:t>
      </w:r>
      <w:r>
        <w:rPr>
          <w:rFonts w:hint="default" w:ascii="Arial" w:hAnsi="Arial" w:cs="Arial"/>
          <w:color w:val="auto"/>
          <w:szCs w:val="21"/>
          <w:highlight w:val="none"/>
          <w:u w:val="single"/>
        </w:rPr>
        <w:t xml:space="preserve">          </w:t>
      </w:r>
    </w:p>
    <w:p>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职务：</w:t>
      </w:r>
      <w:r>
        <w:rPr>
          <w:rFonts w:hint="default" w:ascii="Arial" w:hAnsi="Arial" w:cs="Arial"/>
          <w:color w:val="auto"/>
          <w:szCs w:val="21"/>
          <w:highlight w:val="none"/>
          <w:u w:val="single"/>
        </w:rPr>
        <w:t xml:space="preserve">           </w:t>
      </w:r>
    </w:p>
    <w:p>
      <w:pPr>
        <w:snapToGrid w:val="0"/>
        <w:spacing w:before="120" w:beforeLines="50" w:after="50" w:line="440" w:lineRule="exact"/>
        <w:rPr>
          <w:rFonts w:hint="default" w:ascii="Arial" w:hAnsi="Arial" w:cs="Arial"/>
          <w:color w:val="auto"/>
          <w:szCs w:val="21"/>
          <w:highlight w:val="none"/>
          <w:u w:val="single"/>
        </w:rPr>
      </w:pPr>
      <w:r>
        <w:rPr>
          <w:rFonts w:hint="default" w:ascii="Arial" w:hAnsi="Arial" w:cs="Arial"/>
          <w:color w:val="auto"/>
          <w:szCs w:val="21"/>
          <w:highlight w:val="none"/>
        </w:rPr>
        <w:t>被授权人身份证号码：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授权人身份证号码：</w:t>
      </w:r>
      <w:r>
        <w:rPr>
          <w:rFonts w:hint="default" w:ascii="Arial" w:hAnsi="Arial" w:cs="Arial"/>
          <w:color w:val="auto"/>
          <w:szCs w:val="21"/>
          <w:highlight w:val="none"/>
          <w:u w:val="single"/>
        </w:rPr>
        <w:t xml:space="preserve">                 </w:t>
      </w:r>
    </w:p>
    <w:p>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被授权人手机号码及邮箱：</w:t>
      </w:r>
      <w:r>
        <w:rPr>
          <w:rFonts w:hint="default" w:ascii="Arial" w:hAnsi="Arial" w:cs="Arial"/>
          <w:color w:val="auto"/>
          <w:szCs w:val="21"/>
          <w:highlight w:val="none"/>
          <w:u w:val="single"/>
        </w:rPr>
        <w:t xml:space="preserve">                       </w:t>
      </w:r>
    </w:p>
    <w:p>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 xml:space="preserve">                                </w:t>
      </w:r>
    </w:p>
    <w:p>
      <w:pPr>
        <w:snapToGrid w:val="0"/>
        <w:spacing w:before="120" w:beforeLines="50" w:after="50" w:line="440" w:lineRule="exact"/>
        <w:ind w:firstLine="5670" w:firstLineChars="2700"/>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pPr>
        <w:snapToGrid w:val="0"/>
        <w:spacing w:before="120" w:beforeLines="50" w:after="50" w:line="440" w:lineRule="exact"/>
        <w:jc w:val="center"/>
        <w:rPr>
          <w:rFonts w:hint="default" w:ascii="Arial" w:hAnsi="Arial" w:cs="Arial"/>
          <w:color w:val="auto"/>
          <w:szCs w:val="21"/>
          <w:highlight w:val="none"/>
        </w:rPr>
      </w:pPr>
      <w:r>
        <w:rPr>
          <w:rFonts w:hint="default" w:ascii="Arial" w:hAnsi="Arial" w:cs="Arial"/>
          <w:color w:val="auto"/>
          <w:szCs w:val="21"/>
          <w:highlight w:val="none"/>
        </w:rPr>
        <w:t xml:space="preserve">                                        年    月    日</w:t>
      </w:r>
    </w:p>
    <w:p>
      <w:pPr>
        <w:spacing w:line="360" w:lineRule="auto"/>
        <w:rPr>
          <w:rFonts w:hint="default" w:ascii="Arial" w:hAnsi="Arial" w:cs="Arial"/>
          <w:color w:val="auto"/>
          <w:szCs w:val="21"/>
          <w:highlight w:val="none"/>
        </w:rPr>
      </w:pPr>
    </w:p>
    <w:p>
      <w:pPr>
        <w:spacing w:line="360" w:lineRule="auto"/>
        <w:rPr>
          <w:rFonts w:hint="default" w:ascii="Arial" w:hAnsi="Arial" w:cs="Arial"/>
          <w:color w:val="auto"/>
          <w:szCs w:val="21"/>
          <w:highlight w:val="none"/>
        </w:rPr>
      </w:pPr>
    </w:p>
    <w:p>
      <w:pPr>
        <w:spacing w:line="360" w:lineRule="auto"/>
        <w:rPr>
          <w:rFonts w:hint="default" w:ascii="Arial" w:hAnsi="Arial" w:cs="Arial"/>
          <w:color w:val="auto"/>
          <w:szCs w:val="21"/>
          <w:highlight w:val="none"/>
        </w:rPr>
      </w:pP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附件：法定代表人身份证复印件及授权代表身份证复印件</w:t>
      </w:r>
    </w:p>
    <w:p>
      <w:pPr>
        <w:spacing w:line="360" w:lineRule="auto"/>
        <w:rPr>
          <w:rFonts w:hint="default" w:ascii="Arial" w:hAnsi="Arial" w:cs="Arial"/>
          <w:color w:val="auto"/>
          <w:highlight w:val="none"/>
        </w:rPr>
      </w:pPr>
    </w:p>
    <w:p>
      <w:pPr>
        <w:snapToGrid w:val="0"/>
        <w:spacing w:before="120" w:beforeLines="50" w:after="50" w:line="440" w:lineRule="exact"/>
        <w:rPr>
          <w:rFonts w:hint="default" w:ascii="Arial" w:hAnsi="Arial" w:cs="Arial"/>
          <w:b/>
          <w:color w:val="auto"/>
          <w:szCs w:val="21"/>
          <w:highlight w:val="none"/>
        </w:rPr>
      </w:pPr>
      <w:r>
        <w:rPr>
          <w:rFonts w:hint="default" w:ascii="Arial" w:hAnsi="Arial" w:cs="Arial"/>
          <w:color w:val="auto"/>
          <w:szCs w:val="21"/>
          <w:highlight w:val="none"/>
        </w:rPr>
        <w:br w:type="page"/>
      </w:r>
      <w:r>
        <w:rPr>
          <w:rFonts w:hint="default" w:ascii="Arial" w:hAnsi="Arial" w:cs="Arial"/>
          <w:color w:val="auto"/>
          <w:szCs w:val="21"/>
          <w:highlight w:val="none"/>
        </w:rPr>
        <w:t>3．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102" w:name="_Hlk89177738"/>
      <w:r>
        <w:rPr>
          <w:rFonts w:hint="default" w:ascii="Arial" w:hAnsi="Arial" w:cs="Arial"/>
          <w:color w:val="auto"/>
          <w:szCs w:val="21"/>
          <w:highlight w:val="none"/>
        </w:rPr>
        <w:t>供应商电子签章</w:t>
      </w:r>
      <w:bookmarkEnd w:id="102"/>
      <w:r>
        <w:rPr>
          <w:rFonts w:hint="default" w:ascii="Arial" w:hAnsi="Arial" w:cs="Arial"/>
          <w:color w:val="auto"/>
          <w:szCs w:val="21"/>
          <w:highlight w:val="none"/>
        </w:rPr>
        <w:t>）。</w:t>
      </w:r>
    </w:p>
    <w:p>
      <w:pPr>
        <w:snapToGrid w:val="0"/>
        <w:spacing w:before="120" w:beforeLines="50" w:after="50" w:line="440" w:lineRule="exact"/>
        <w:rPr>
          <w:rFonts w:hint="default" w:ascii="Arial" w:hAnsi="Arial" w:cs="Arial"/>
          <w:color w:val="auto"/>
          <w:szCs w:val="21"/>
          <w:highlight w:val="none"/>
        </w:rPr>
      </w:pPr>
    </w:p>
    <w:p>
      <w:pPr>
        <w:snapToGrid w:val="0"/>
        <w:spacing w:before="120" w:beforeLines="50" w:after="50" w:line="440" w:lineRule="exact"/>
        <w:rPr>
          <w:rFonts w:hint="default" w:ascii="Arial" w:hAnsi="Arial" w:cs="Arial"/>
          <w:b/>
          <w:color w:val="auto"/>
          <w:szCs w:val="21"/>
          <w:highlight w:val="none"/>
        </w:rPr>
      </w:pPr>
      <w:r>
        <w:rPr>
          <w:rFonts w:hint="default" w:ascii="Arial" w:hAnsi="Arial" w:cs="Arial"/>
          <w:color w:val="auto"/>
          <w:szCs w:val="21"/>
          <w:highlight w:val="none"/>
        </w:rPr>
        <w:t>4．财务状况报告（表）复印件或银行出具的资信证明复印件。</w:t>
      </w:r>
      <w:r>
        <w:rPr>
          <w:rFonts w:hint="default" w:ascii="Arial" w:hAnsi="Arial" w:cs="Arial"/>
          <w:color w:val="auto"/>
          <w:highlight w:val="none"/>
        </w:rPr>
        <w:t>对于从取得营业执照时间起到截标时间为止不足1年的供应商，只需提交</w:t>
      </w:r>
      <w:r>
        <w:rPr>
          <w:rFonts w:hint="default" w:ascii="Arial" w:hAnsi="Arial" w:cs="Arial"/>
          <w:color w:val="auto"/>
          <w:szCs w:val="21"/>
          <w:highlight w:val="none"/>
        </w:rPr>
        <w:t>截标时间前一个月的财务状况报告（表）复印件。（按“评审方法及标准” “资格审查表”规定提供）。（加盖供应商电子签章）。</w:t>
      </w:r>
    </w:p>
    <w:p>
      <w:pPr>
        <w:snapToGrid w:val="0"/>
        <w:spacing w:before="120" w:beforeLines="50" w:after="50" w:line="440" w:lineRule="exact"/>
        <w:rPr>
          <w:rFonts w:hint="default" w:ascii="Arial" w:hAnsi="Arial" w:cs="Arial"/>
          <w:color w:val="auto"/>
          <w:szCs w:val="21"/>
          <w:highlight w:val="none"/>
        </w:rPr>
      </w:pPr>
    </w:p>
    <w:p>
      <w:pPr>
        <w:snapToGrid w:val="0"/>
        <w:spacing w:before="50" w:after="120" w:afterLines="50" w:line="440" w:lineRule="exact"/>
        <w:jc w:val="left"/>
        <w:rPr>
          <w:rFonts w:hint="default" w:ascii="Arial" w:hAnsi="Arial" w:cs="Arial"/>
          <w:b/>
          <w:color w:val="auto"/>
          <w:szCs w:val="21"/>
          <w:highlight w:val="none"/>
        </w:rPr>
      </w:pPr>
      <w:r>
        <w:rPr>
          <w:rFonts w:hint="default" w:ascii="Arial" w:hAnsi="Arial" w:cs="Arial"/>
          <w:color w:val="auto"/>
          <w:szCs w:val="21"/>
          <w:highlight w:val="none"/>
        </w:rPr>
        <w:t>5．</w:t>
      </w:r>
      <w:r>
        <w:rPr>
          <w:rFonts w:hint="default" w:ascii="Arial" w:hAnsi="Arial" w:cs="Arial"/>
          <w:color w:val="auto"/>
          <w:highlight w:val="none"/>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default" w:ascii="Arial" w:hAnsi="Arial" w:cs="Arial"/>
          <w:color w:val="auto"/>
          <w:szCs w:val="21"/>
          <w:highlight w:val="none"/>
        </w:rPr>
        <w:t>（按“评审方法及标准” “资格性检查表”规定提供）（加盖供应商电子签章）。</w:t>
      </w:r>
    </w:p>
    <w:p>
      <w:pPr>
        <w:snapToGrid w:val="0"/>
        <w:spacing w:before="50" w:after="120" w:afterLines="50" w:line="440" w:lineRule="exact"/>
        <w:jc w:val="left"/>
        <w:rPr>
          <w:rFonts w:hint="default" w:ascii="Arial" w:hAnsi="Arial" w:cs="Arial"/>
          <w:color w:val="auto"/>
          <w:highlight w:val="none"/>
        </w:rPr>
      </w:pPr>
    </w:p>
    <w:p>
      <w:pPr>
        <w:pStyle w:val="27"/>
        <w:tabs>
          <w:tab w:val="left" w:pos="2127"/>
        </w:tabs>
        <w:spacing w:line="340" w:lineRule="exact"/>
        <w:rPr>
          <w:rFonts w:hint="default" w:ascii="Arial" w:hAnsi="Arial" w:cs="Arial"/>
          <w:b/>
          <w:color w:val="auto"/>
          <w:highlight w:val="none"/>
        </w:rPr>
      </w:pPr>
      <w:r>
        <w:rPr>
          <w:rFonts w:hint="default" w:ascii="Arial" w:hAnsi="Arial" w:cs="Arial"/>
          <w:color w:val="auto"/>
          <w:highlight w:val="none"/>
        </w:rPr>
        <w:t>6．具备法律、行政法规规定的其他要求的证明材料（按“评审方法及标准” “资格性检查表”规定提供）。</w:t>
      </w:r>
      <w:r>
        <w:rPr>
          <w:rFonts w:hint="default" w:ascii="Arial" w:hAnsi="Arial" w:cs="Arial"/>
          <w:b/>
          <w:color w:val="auto"/>
          <w:highlight w:val="none"/>
        </w:rPr>
        <w:t>（如采购文件有要求时提供）</w:t>
      </w:r>
    </w:p>
    <w:p>
      <w:pPr>
        <w:pStyle w:val="27"/>
        <w:tabs>
          <w:tab w:val="left" w:pos="2127"/>
        </w:tabs>
        <w:spacing w:line="340" w:lineRule="exact"/>
        <w:rPr>
          <w:rFonts w:hint="default" w:ascii="Arial" w:hAnsi="Arial" w:cs="Arial"/>
          <w:color w:val="auto"/>
          <w:highlight w:val="none"/>
        </w:rPr>
      </w:pPr>
    </w:p>
    <w:p>
      <w:pPr>
        <w:pStyle w:val="27"/>
        <w:tabs>
          <w:tab w:val="left" w:pos="2127"/>
        </w:tabs>
        <w:spacing w:line="340" w:lineRule="exact"/>
        <w:rPr>
          <w:rFonts w:hint="default" w:ascii="Arial" w:hAnsi="Arial" w:cs="Arial"/>
          <w:b/>
          <w:bCs/>
          <w:color w:val="auto"/>
          <w:highlight w:val="none"/>
        </w:rPr>
      </w:pPr>
      <w:r>
        <w:rPr>
          <w:rFonts w:hint="default" w:ascii="Arial" w:hAnsi="Arial" w:cs="Arial"/>
          <w:color w:val="auto"/>
          <w:highlight w:val="none"/>
        </w:rPr>
        <w:t>7.落实政府采购政策需满足的资格要求（按“评审方法及标准” “资格审查表”规定提供）。</w:t>
      </w:r>
      <w:r>
        <w:rPr>
          <w:rFonts w:hint="default" w:ascii="Arial" w:hAnsi="Arial" w:cs="Arial"/>
          <w:b/>
          <w:bCs/>
          <w:color w:val="auto"/>
          <w:highlight w:val="none"/>
        </w:rPr>
        <w:t>（如采购文件有要求时提供）</w:t>
      </w:r>
    </w:p>
    <w:p>
      <w:pPr>
        <w:widowControl/>
        <w:jc w:val="left"/>
        <w:rPr>
          <w:rFonts w:hint="default" w:ascii="Arial" w:hAnsi="Arial" w:cs="Arial"/>
          <w:b/>
          <w:color w:val="auto"/>
          <w:szCs w:val="21"/>
          <w:highlight w:val="none"/>
        </w:rPr>
      </w:pPr>
      <w:r>
        <w:rPr>
          <w:rFonts w:hint="default" w:ascii="Arial" w:hAnsi="Arial" w:cs="Arial"/>
          <w:color w:val="auto"/>
          <w:highlight w:val="none"/>
        </w:rPr>
        <w:br w:type="page"/>
      </w:r>
      <w:r>
        <w:rPr>
          <w:rFonts w:hint="default" w:ascii="Arial" w:hAnsi="Arial" w:cs="Arial"/>
          <w:color w:val="auto"/>
          <w:highlight w:val="none"/>
        </w:rPr>
        <w:t>8．满足供应商特定资格条件的其他证明材料加盖供应商电子签章（按“评审方法及标准” “资格性检查表”规定提供）。</w:t>
      </w:r>
      <w:r>
        <w:rPr>
          <w:rFonts w:hint="default" w:ascii="Arial" w:hAnsi="Arial" w:cs="Arial"/>
          <w:b/>
          <w:color w:val="auto"/>
          <w:highlight w:val="none"/>
        </w:rPr>
        <w:t>（如采购文件有要求时提供）</w:t>
      </w:r>
    </w:p>
    <w:p>
      <w:pPr>
        <w:snapToGrid w:val="0"/>
        <w:spacing w:before="50" w:after="120" w:afterLines="50" w:line="360" w:lineRule="auto"/>
        <w:jc w:val="left"/>
        <w:rPr>
          <w:rFonts w:hint="default" w:ascii="Arial" w:hAnsi="Arial" w:cs="Arial"/>
          <w:color w:val="auto"/>
          <w:szCs w:val="21"/>
          <w:highlight w:val="none"/>
        </w:rPr>
      </w:pPr>
      <w:r>
        <w:rPr>
          <w:rFonts w:hint="default" w:ascii="Arial" w:hAnsi="Arial" w:cs="Arial"/>
          <w:color w:val="auto"/>
          <w:highlight w:val="none"/>
        </w:rPr>
        <w:br w:type="page"/>
      </w:r>
      <w:r>
        <w:rPr>
          <w:rFonts w:hint="default" w:ascii="Arial" w:hAnsi="Arial" w:cs="Arial"/>
          <w:color w:val="auto"/>
          <w:szCs w:val="21"/>
          <w:highlight w:val="none"/>
        </w:rPr>
        <w:t>8.1供应商直接控股股东信息表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r>
    </w:tbl>
    <w:p>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注：</w:t>
      </w:r>
    </w:p>
    <w:p>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3.供应商不存在直接控股股东的，则填“无”。</w:t>
      </w: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ind w:firstLine="4410" w:firstLineChars="2100"/>
        <w:rPr>
          <w:rFonts w:hint="default" w:ascii="Arial" w:hAnsi="Arial" w:cs="Arial"/>
          <w:color w:val="auto"/>
          <w:szCs w:val="21"/>
          <w:highlight w:val="none"/>
        </w:rPr>
      </w:pPr>
      <w:r>
        <w:rPr>
          <w:rFonts w:hint="default" w:ascii="Arial" w:hAnsi="Arial" w:cs="Arial"/>
          <w:color w:val="auto"/>
          <w:szCs w:val="21"/>
          <w:highlight w:val="none"/>
        </w:rPr>
        <w:t>供应商名称(电子签章)：</w:t>
      </w:r>
    </w:p>
    <w:p>
      <w:pPr>
        <w:snapToGrid w:val="0"/>
        <w:spacing w:line="360" w:lineRule="auto"/>
        <w:ind w:firstLine="4515" w:firstLineChars="2150"/>
        <w:rPr>
          <w:rFonts w:hint="default" w:ascii="Arial" w:hAnsi="Arial" w:cs="Arial"/>
          <w:color w:val="auto"/>
          <w:szCs w:val="21"/>
          <w:highlight w:val="none"/>
        </w:rPr>
      </w:pPr>
      <w:r>
        <w:rPr>
          <w:rFonts w:hint="default" w:ascii="Arial" w:hAnsi="Arial" w:cs="Arial"/>
          <w:color w:val="auto"/>
          <w:szCs w:val="21"/>
          <w:highlight w:val="none"/>
        </w:rPr>
        <w:t>日期：  年  月   日</w:t>
      </w:r>
    </w:p>
    <w:p>
      <w:pPr>
        <w:snapToGrid w:val="0"/>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r>
        <w:rPr>
          <w:rFonts w:hint="default" w:ascii="Arial" w:hAnsi="Arial" w:cs="Arial"/>
          <w:color w:val="auto"/>
          <w:szCs w:val="21"/>
          <w:highlight w:val="none"/>
        </w:rPr>
        <w:t>8.2供应商直接管理关系信息表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hint="default" w:ascii="Arial" w:hAnsi="Arial" w:cs="Arial"/>
                <w:color w:val="auto"/>
                <w:szCs w:val="21"/>
                <w:highlight w:val="none"/>
              </w:rPr>
            </w:pPr>
          </w:p>
        </w:tc>
      </w:tr>
    </w:tbl>
    <w:p>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注：</w:t>
      </w:r>
    </w:p>
    <w:p>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2.本表所指的管理关系仅限于直接管理关系，不包括间接的管理关系。</w:t>
      </w:r>
    </w:p>
    <w:p>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3.供应商不存在直接管理关系的，则填“无”。</w:t>
      </w: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jc w:val="left"/>
        <w:rPr>
          <w:rFonts w:hint="default" w:ascii="Arial" w:hAnsi="Arial" w:cs="Arial"/>
          <w:color w:val="auto"/>
          <w:szCs w:val="21"/>
          <w:highlight w:val="none"/>
        </w:rPr>
      </w:pPr>
    </w:p>
    <w:p>
      <w:pPr>
        <w:snapToGrid w:val="0"/>
        <w:spacing w:line="360" w:lineRule="auto"/>
        <w:ind w:firstLine="4410" w:firstLineChars="2100"/>
        <w:rPr>
          <w:rFonts w:hint="default" w:ascii="Arial" w:hAnsi="Arial" w:cs="Arial"/>
          <w:color w:val="auto"/>
          <w:szCs w:val="21"/>
          <w:highlight w:val="none"/>
        </w:rPr>
      </w:pPr>
      <w:r>
        <w:rPr>
          <w:rFonts w:hint="default" w:ascii="Arial" w:hAnsi="Arial" w:cs="Arial"/>
          <w:color w:val="auto"/>
          <w:szCs w:val="21"/>
          <w:highlight w:val="none"/>
        </w:rPr>
        <w:t>供应商名称(电子签章)：</w:t>
      </w:r>
    </w:p>
    <w:p>
      <w:pPr>
        <w:snapToGrid w:val="0"/>
        <w:spacing w:line="360" w:lineRule="auto"/>
        <w:ind w:firstLine="4515" w:firstLineChars="2150"/>
        <w:rPr>
          <w:rFonts w:hint="default" w:ascii="Arial" w:hAnsi="Arial" w:cs="Arial"/>
          <w:color w:val="auto"/>
          <w:szCs w:val="21"/>
          <w:highlight w:val="none"/>
        </w:rPr>
      </w:pPr>
      <w:r>
        <w:rPr>
          <w:rFonts w:hint="default" w:ascii="Arial" w:hAnsi="Arial" w:cs="Arial"/>
          <w:color w:val="auto"/>
          <w:szCs w:val="21"/>
          <w:highlight w:val="none"/>
        </w:rPr>
        <w:t>日期：  年  月   日</w:t>
      </w:r>
    </w:p>
    <w:p>
      <w:pPr>
        <w:pStyle w:val="27"/>
        <w:tabs>
          <w:tab w:val="left" w:pos="2127"/>
        </w:tabs>
        <w:spacing w:line="340" w:lineRule="exact"/>
        <w:rPr>
          <w:rFonts w:hint="default" w:ascii="Arial" w:hAnsi="Arial" w:cs="Arial"/>
          <w:color w:val="auto"/>
          <w:highlight w:val="none"/>
        </w:rPr>
      </w:pPr>
    </w:p>
    <w:p>
      <w:pPr>
        <w:pStyle w:val="27"/>
        <w:tabs>
          <w:tab w:val="left" w:pos="2127"/>
        </w:tabs>
        <w:spacing w:line="340" w:lineRule="exact"/>
        <w:rPr>
          <w:rFonts w:hint="default" w:ascii="Arial" w:hAnsi="Arial" w:cs="Arial"/>
          <w:color w:val="auto"/>
          <w:highlight w:val="none"/>
        </w:rPr>
      </w:pPr>
      <w:r>
        <w:rPr>
          <w:rFonts w:hint="default" w:ascii="Arial" w:hAnsi="Arial" w:cs="Arial"/>
          <w:color w:val="auto"/>
          <w:highlight w:val="none"/>
        </w:rPr>
        <w:br w:type="page"/>
      </w:r>
      <w:r>
        <w:rPr>
          <w:rFonts w:hint="default" w:ascii="Arial" w:hAnsi="Arial" w:cs="Arial"/>
          <w:color w:val="auto"/>
          <w:highlight w:val="none"/>
        </w:rPr>
        <w:t>9．磋商保证金缴纳证明。</w:t>
      </w:r>
      <w:r>
        <w:rPr>
          <w:rFonts w:hint="default" w:ascii="Arial" w:hAnsi="Arial" w:cs="Arial"/>
          <w:b/>
          <w:color w:val="auto"/>
          <w:highlight w:val="none"/>
        </w:rPr>
        <w:t>（如采购文件有要求时提供）</w:t>
      </w:r>
    </w:p>
    <w:p>
      <w:pPr>
        <w:snapToGrid w:val="0"/>
        <w:spacing w:before="50" w:after="120" w:afterLines="50" w:line="440" w:lineRule="exact"/>
        <w:jc w:val="left"/>
        <w:rPr>
          <w:rFonts w:hint="default" w:ascii="Arial" w:hAnsi="Arial" w:cs="Arial"/>
          <w:color w:val="auto"/>
          <w:highlight w:val="none"/>
        </w:rPr>
      </w:pPr>
      <w:r>
        <w:rPr>
          <w:rFonts w:hint="default" w:ascii="Arial" w:hAnsi="Arial" w:cs="Arial"/>
          <w:color w:val="auto"/>
          <w:highlight w:val="none"/>
        </w:rPr>
        <w:t>以转账、电汇形式缴纳的，提供转账、电汇凭证扫描件或复印件（网银可提供截图）加盖</w:t>
      </w:r>
      <w:r>
        <w:rPr>
          <w:rFonts w:hint="default" w:ascii="Arial" w:hAnsi="Arial" w:cs="Arial"/>
          <w:color w:val="auto"/>
          <w:szCs w:val="21"/>
          <w:highlight w:val="none"/>
        </w:rPr>
        <w:t>供应商电子签章</w:t>
      </w:r>
      <w:r>
        <w:rPr>
          <w:rFonts w:hint="default" w:ascii="Arial" w:hAnsi="Arial" w:cs="Arial"/>
          <w:color w:val="auto"/>
          <w:highlight w:val="none"/>
        </w:rPr>
        <w:t>；</w:t>
      </w:r>
    </w:p>
    <w:p>
      <w:pPr>
        <w:snapToGrid w:val="0"/>
        <w:spacing w:before="50" w:after="120" w:afterLines="50" w:line="440" w:lineRule="exact"/>
        <w:jc w:val="left"/>
        <w:rPr>
          <w:rFonts w:hint="default" w:ascii="Arial" w:hAnsi="Arial" w:cs="Arial"/>
          <w:color w:val="auto"/>
          <w:highlight w:val="none"/>
        </w:rPr>
      </w:pPr>
      <w:r>
        <w:rPr>
          <w:rFonts w:hint="default" w:ascii="Arial" w:hAnsi="Arial" w:cs="Arial"/>
          <w:color w:val="auto"/>
          <w:highlight w:val="none"/>
        </w:rPr>
        <w:t>以其他非现金形式缴纳的，提供原件扫描件或复印件加盖</w:t>
      </w:r>
      <w:r>
        <w:rPr>
          <w:rFonts w:hint="default" w:ascii="Arial" w:hAnsi="Arial" w:cs="Arial"/>
          <w:color w:val="auto"/>
          <w:szCs w:val="21"/>
          <w:highlight w:val="none"/>
        </w:rPr>
        <w:t>供应商电子签章</w:t>
      </w:r>
      <w:r>
        <w:rPr>
          <w:rFonts w:hint="default" w:ascii="Arial" w:hAnsi="Arial" w:cs="Arial"/>
          <w:color w:val="auto"/>
          <w:highlight w:val="none"/>
        </w:rPr>
        <w:t>。</w:t>
      </w:r>
    </w:p>
    <w:p>
      <w:pPr>
        <w:snapToGrid w:val="0"/>
        <w:spacing w:before="50" w:after="120" w:afterLines="50" w:line="440" w:lineRule="exact"/>
        <w:jc w:val="left"/>
        <w:rPr>
          <w:rFonts w:hint="default" w:ascii="Arial" w:hAnsi="Arial" w:cs="Arial"/>
          <w:b/>
          <w:color w:val="auto"/>
          <w:szCs w:val="21"/>
          <w:highlight w:val="none"/>
        </w:rPr>
      </w:pPr>
    </w:p>
    <w:p>
      <w:pPr>
        <w:snapToGrid w:val="0"/>
        <w:spacing w:before="50" w:after="120" w:afterLines="50" w:line="400" w:lineRule="exact"/>
        <w:jc w:val="left"/>
        <w:rPr>
          <w:rFonts w:hint="default" w:ascii="Arial" w:hAnsi="Arial" w:cs="Arial"/>
          <w:bCs/>
          <w:color w:val="auto"/>
          <w:sz w:val="24"/>
          <w:highlight w:val="none"/>
        </w:rPr>
      </w:pPr>
      <w:r>
        <w:rPr>
          <w:rFonts w:hint="default" w:ascii="Arial" w:hAnsi="Arial" w:cs="Arial"/>
          <w:color w:val="auto"/>
          <w:szCs w:val="21"/>
          <w:highlight w:val="none"/>
        </w:rPr>
        <w:t>10．供应商认为应当要提交的资格证明材料。</w:t>
      </w:r>
      <w:r>
        <w:rPr>
          <w:rFonts w:hint="default" w:ascii="Arial" w:hAnsi="Arial" w:cs="Arial"/>
          <w:bCs/>
          <w:color w:val="auto"/>
          <w:sz w:val="24"/>
          <w:highlight w:val="none"/>
        </w:rPr>
        <w:t xml:space="preserve"> </w:t>
      </w:r>
    </w:p>
    <w:p>
      <w:pPr>
        <w:pStyle w:val="7"/>
        <w:overflowPunct w:val="0"/>
        <w:ind w:firstLine="0"/>
        <w:rPr>
          <w:rFonts w:hint="default" w:ascii="Arial" w:hAnsi="Arial" w:cs="Arial"/>
          <w:color w:val="auto"/>
          <w:highlight w:val="none"/>
        </w:rPr>
      </w:pPr>
    </w:p>
    <w:p>
      <w:pPr>
        <w:snapToGrid w:val="0"/>
        <w:spacing w:before="120" w:beforeLines="50" w:after="50" w:line="440" w:lineRule="exact"/>
        <w:jc w:val="center"/>
        <w:outlineLvl w:val="1"/>
        <w:rPr>
          <w:rFonts w:hint="default" w:ascii="Arial" w:hAnsi="Arial" w:cs="Arial"/>
          <w:bCs/>
          <w:color w:val="auto"/>
          <w:sz w:val="24"/>
          <w:highlight w:val="none"/>
        </w:rPr>
      </w:pPr>
      <w:r>
        <w:rPr>
          <w:rFonts w:hint="default" w:ascii="Arial" w:hAnsi="Arial" w:cs="Arial"/>
          <w:bCs/>
          <w:color w:val="auto"/>
          <w:sz w:val="24"/>
          <w:highlight w:val="none"/>
        </w:rPr>
        <w:br w:type="page"/>
      </w:r>
      <w:r>
        <w:rPr>
          <w:rFonts w:hint="default" w:ascii="Arial" w:hAnsi="Arial" w:cs="Arial"/>
          <w:bCs/>
          <w:color w:val="auto"/>
          <w:sz w:val="24"/>
          <w:highlight w:val="none"/>
        </w:rPr>
        <w:t>第二部分 商务技术文件</w:t>
      </w:r>
    </w:p>
    <w:p>
      <w:pPr>
        <w:snapToGrid w:val="0"/>
        <w:spacing w:before="50" w:after="120" w:afterLines="50" w:line="440" w:lineRule="exact"/>
        <w:jc w:val="center"/>
        <w:rPr>
          <w:rFonts w:hint="default" w:ascii="Arial" w:hAnsi="Arial" w:cs="Arial"/>
          <w:color w:val="auto"/>
          <w:highlight w:val="none"/>
        </w:rPr>
      </w:pPr>
      <w:r>
        <w:rPr>
          <w:rFonts w:hint="default" w:ascii="Arial" w:hAnsi="Arial" w:cs="Arial"/>
          <w:color w:val="auto"/>
          <w:highlight w:val="none"/>
        </w:rPr>
        <w:t>（本商务技术文件供应商可自行编写，也可参照下述提纲编写）</w:t>
      </w:r>
    </w:p>
    <w:p>
      <w:pPr>
        <w:rPr>
          <w:rFonts w:hint="default" w:ascii="Arial" w:hAnsi="Arial" w:cs="Arial"/>
          <w:color w:val="auto"/>
          <w:szCs w:val="21"/>
          <w:highlight w:val="none"/>
        </w:rPr>
      </w:pPr>
      <w:r>
        <w:rPr>
          <w:rFonts w:hint="default" w:ascii="Arial" w:hAnsi="Arial" w:cs="Arial"/>
          <w:color w:val="auto"/>
          <w:szCs w:val="21"/>
          <w:highlight w:val="none"/>
        </w:rPr>
        <w:t>1．对本项目第二章《采购需求》技术要求的响应表：</w:t>
      </w:r>
    </w:p>
    <w:p>
      <w:pPr>
        <w:ind w:firstLine="420" w:firstLineChars="200"/>
        <w:rPr>
          <w:rFonts w:hint="default" w:ascii="Arial" w:hAnsi="Arial" w:cs="Arial"/>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采购文件要求</w:t>
            </w:r>
          </w:p>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highlight w:val="none"/>
              </w:rPr>
              <w:t>偏离</w:t>
            </w:r>
            <w:r>
              <w:rPr>
                <w:rFonts w:hint="default" w:ascii="Arial" w:hAnsi="Arial" w:cs="Arial"/>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r>
    </w:tbl>
    <w:p>
      <w:pPr>
        <w:rPr>
          <w:rFonts w:hint="default" w:ascii="Arial" w:hAnsi="Arial" w:cs="Arial"/>
          <w:color w:val="auto"/>
          <w:szCs w:val="21"/>
          <w:highlight w:val="none"/>
        </w:rPr>
      </w:pPr>
    </w:p>
    <w:p>
      <w:pPr>
        <w:pStyle w:val="27"/>
        <w:tabs>
          <w:tab w:val="left" w:pos="2127"/>
        </w:tabs>
        <w:spacing w:line="340" w:lineRule="exact"/>
        <w:jc w:val="left"/>
        <w:rPr>
          <w:rFonts w:hint="default" w:ascii="Arial" w:hAnsi="Arial" w:cs="Arial"/>
          <w:color w:val="auto"/>
          <w:highlight w:val="none"/>
        </w:rPr>
      </w:pPr>
      <w:r>
        <w:rPr>
          <w:rFonts w:hint="default" w:ascii="Arial" w:hAnsi="Arial" w:cs="Arial"/>
          <w:color w:val="auto"/>
          <w:highlight w:val="none"/>
        </w:rPr>
        <w:t>注：（1）本表应对采购文件第二章《采购需求》中所列技术要求进行响应，并根据响应情况在“偏离说明”栏填写正偏离或负偏离及原因，完全符合的填写“无偏离”。</w:t>
      </w:r>
    </w:p>
    <w:p>
      <w:pPr>
        <w:rPr>
          <w:rFonts w:hint="default" w:ascii="Arial" w:hAnsi="Arial" w:cs="Arial"/>
          <w:color w:val="auto"/>
          <w:highlight w:val="none"/>
        </w:rPr>
      </w:pPr>
      <w:r>
        <w:rPr>
          <w:rFonts w:hint="default" w:ascii="Arial" w:hAnsi="Arial" w:cs="Arial"/>
          <w:color w:val="auto"/>
          <w:highlight w:val="none"/>
        </w:rPr>
        <w:t>（2）第二章《采购需求》中的总体要求无需响应。</w:t>
      </w:r>
    </w:p>
    <w:p>
      <w:pPr>
        <w:rPr>
          <w:rFonts w:hint="default" w:ascii="Arial" w:hAnsi="Arial" w:cs="Arial"/>
          <w:color w:val="auto"/>
          <w:highlight w:val="none"/>
        </w:rPr>
      </w:pPr>
      <w:r>
        <w:rPr>
          <w:rFonts w:hint="default" w:ascii="Arial" w:hAnsi="Arial" w:cs="Arial"/>
          <w:color w:val="auto"/>
          <w:highlight w:val="none"/>
        </w:rPr>
        <w:t>（3）偏离认定说明详见评审方法及标准。</w:t>
      </w:r>
    </w:p>
    <w:p>
      <w:pPr>
        <w:rPr>
          <w:rFonts w:hint="default" w:ascii="Arial" w:hAnsi="Arial" w:cs="Arial"/>
          <w:color w:val="auto"/>
          <w:highlight w:val="none"/>
        </w:rPr>
      </w:pPr>
      <w:r>
        <w:rPr>
          <w:rFonts w:hint="default" w:ascii="Arial" w:hAnsi="Arial" w:cs="Arial"/>
          <w:color w:val="auto"/>
          <w:highlight w:val="none"/>
        </w:rPr>
        <w:t>（4）本表可扩展。</w:t>
      </w:r>
    </w:p>
    <w:p>
      <w:pPr>
        <w:rPr>
          <w:rFonts w:hint="default" w:ascii="Arial" w:hAnsi="Arial" w:cs="Arial"/>
          <w:color w:val="auto"/>
          <w:szCs w:val="21"/>
          <w:highlight w:val="none"/>
        </w:rPr>
      </w:pPr>
    </w:p>
    <w:p>
      <w:pPr>
        <w:rPr>
          <w:rFonts w:hint="default" w:ascii="Arial" w:hAnsi="Arial" w:cs="Arial"/>
          <w:color w:val="auto"/>
          <w:spacing w:val="20"/>
          <w:szCs w:val="21"/>
          <w:highlight w:val="none"/>
          <w:u w:val="single"/>
        </w:rPr>
      </w:pPr>
    </w:p>
    <w:p>
      <w:pPr>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r>
        <w:rPr>
          <w:rFonts w:hint="default" w:ascii="Arial" w:hAnsi="Arial" w:cs="Arial"/>
          <w:color w:val="auto"/>
          <w:spacing w:val="20"/>
          <w:szCs w:val="21"/>
          <w:highlight w:val="none"/>
        </w:rPr>
        <w:t xml:space="preserve">              日 期：</w:t>
      </w:r>
      <w:r>
        <w:rPr>
          <w:rFonts w:hint="default" w:ascii="Arial" w:hAnsi="Arial" w:cs="Arial"/>
          <w:color w:val="auto"/>
          <w:spacing w:val="20"/>
          <w:szCs w:val="21"/>
          <w:highlight w:val="none"/>
          <w:u w:val="single"/>
        </w:rPr>
        <w:t xml:space="preserve">            </w:t>
      </w:r>
    </w:p>
    <w:p>
      <w:pPr>
        <w:rPr>
          <w:rFonts w:hint="default" w:ascii="Arial" w:hAnsi="Arial" w:cs="Arial"/>
          <w:color w:val="auto"/>
          <w:szCs w:val="21"/>
          <w:highlight w:val="none"/>
        </w:rPr>
      </w:pPr>
    </w:p>
    <w:p>
      <w:pPr>
        <w:jc w:val="left"/>
        <w:rPr>
          <w:rFonts w:hint="default" w:ascii="Arial" w:hAnsi="Arial" w:cs="Arial"/>
          <w:color w:val="auto"/>
          <w:szCs w:val="21"/>
          <w:highlight w:val="none"/>
        </w:rPr>
      </w:pPr>
      <w:bookmarkStart w:id="103" w:name="_Hlk19115689"/>
      <w:r>
        <w:rPr>
          <w:rFonts w:hint="default" w:ascii="Arial" w:hAnsi="Arial" w:cs="Arial"/>
          <w:color w:val="auto"/>
          <w:szCs w:val="21"/>
          <w:highlight w:val="none"/>
        </w:rPr>
        <w:t>2．质量保证期过后的优惠条件：供应商承诺给予采购人的各种优惠条件，包括货物或产品的售后服务、备品备件、专用耗材等方面的优惠条件。</w:t>
      </w:r>
    </w:p>
    <w:p>
      <w:pPr>
        <w:jc w:val="center"/>
        <w:rPr>
          <w:rFonts w:hint="default" w:ascii="Arial" w:hAnsi="Arial" w:cs="Arial"/>
          <w:color w:val="auto"/>
          <w:szCs w:val="21"/>
          <w:highlight w:val="none"/>
        </w:rPr>
      </w:pPr>
      <w:r>
        <w:rPr>
          <w:rFonts w:hint="default" w:ascii="Arial" w:hAnsi="Arial" w:cs="Arial"/>
          <w:color w:val="auto"/>
          <w:szCs w:val="21"/>
          <w:highlight w:val="none"/>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hint="default" w:ascii="Arial" w:hAnsi="Arial" w:cs="Arial"/>
                <w:color w:val="auto"/>
                <w:szCs w:val="21"/>
                <w:highlight w:val="none"/>
              </w:rPr>
            </w:pPr>
            <w:r>
              <w:rPr>
                <w:rFonts w:hint="default" w:ascii="Arial" w:hAnsi="Arial" w:cs="Arial"/>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pPr>
              <w:snapToGrid w:val="0"/>
              <w:spacing w:before="50" w:after="50" w:line="440" w:lineRule="exact"/>
              <w:jc w:val="center"/>
              <w:rPr>
                <w:rFonts w:hint="default" w:ascii="Arial" w:hAnsi="Arial" w:cs="Arial"/>
                <w:color w:val="auto"/>
                <w:szCs w:val="21"/>
                <w:highlight w:val="none"/>
              </w:rPr>
            </w:pPr>
            <w:r>
              <w:rPr>
                <w:rFonts w:hint="default" w:ascii="Arial" w:hAnsi="Arial" w:cs="Arial"/>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适用于何种响应货物（产品）名称及规格型号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优惠单价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pPr>
              <w:rPr>
                <w:rFonts w:hint="default" w:ascii="Arial" w:hAnsi="Arial" w:cs="Arial"/>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pPr>
              <w:rPr>
                <w:rFonts w:hint="default" w:ascii="Arial" w:hAnsi="Arial" w:cs="Arial"/>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pPr>
              <w:rPr>
                <w:rFonts w:hint="default" w:ascii="Arial" w:hAnsi="Arial" w:cs="Arial"/>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pPr>
              <w:rPr>
                <w:rFonts w:hint="default" w:ascii="Arial" w:hAnsi="Arial"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pPr>
              <w:rPr>
                <w:rFonts w:hint="default" w:ascii="Arial" w:hAnsi="Arial"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pPr>
              <w:rPr>
                <w:rFonts w:hint="default" w:ascii="Arial" w:hAnsi="Arial"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pPr>
              <w:rPr>
                <w:rFonts w:hint="default" w:ascii="Arial" w:hAnsi="Arial"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pPr>
              <w:rPr>
                <w:rFonts w:hint="default" w:ascii="Arial" w:hAnsi="Arial"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pPr>
              <w:rPr>
                <w:rFonts w:hint="default" w:ascii="Arial" w:hAnsi="Arial"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rPr>
                <w:rFonts w:hint="default" w:ascii="Arial" w:hAnsi="Arial" w:cs="Arial"/>
                <w:color w:val="auto"/>
                <w:szCs w:val="21"/>
                <w:highlight w:val="none"/>
              </w:rPr>
            </w:pPr>
          </w:p>
        </w:tc>
      </w:tr>
    </w:tbl>
    <w:p>
      <w:pPr>
        <w:rPr>
          <w:rFonts w:hint="default" w:ascii="Arial" w:hAnsi="Arial" w:cs="Arial"/>
          <w:color w:val="auto"/>
          <w:spacing w:val="20"/>
          <w:szCs w:val="21"/>
          <w:highlight w:val="none"/>
          <w:u w:val="single"/>
        </w:rPr>
      </w:pPr>
    </w:p>
    <w:p>
      <w:pPr>
        <w:rPr>
          <w:rFonts w:hint="default" w:ascii="Arial" w:hAnsi="Arial" w:cs="Arial"/>
          <w:color w:val="auto"/>
          <w:spacing w:val="20"/>
          <w:szCs w:val="21"/>
          <w:highlight w:val="none"/>
          <w:u w:val="single"/>
        </w:rPr>
      </w:pPr>
    </w:p>
    <w:p>
      <w:pPr>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r>
        <w:rPr>
          <w:rFonts w:hint="default" w:ascii="Arial" w:hAnsi="Arial" w:cs="Arial"/>
          <w:color w:val="auto"/>
          <w:spacing w:val="20"/>
          <w:szCs w:val="21"/>
          <w:highlight w:val="none"/>
        </w:rPr>
        <w:t xml:space="preserve">            日 期：</w:t>
      </w:r>
      <w:r>
        <w:rPr>
          <w:rFonts w:hint="default" w:ascii="Arial" w:hAnsi="Arial" w:cs="Arial"/>
          <w:color w:val="auto"/>
          <w:spacing w:val="20"/>
          <w:szCs w:val="21"/>
          <w:highlight w:val="none"/>
          <w:u w:val="single"/>
        </w:rPr>
        <w:t xml:space="preserve">            </w:t>
      </w:r>
    </w:p>
    <w:bookmarkEnd w:id="103"/>
    <w:p>
      <w:pPr>
        <w:snapToGrid w:val="0"/>
        <w:spacing w:before="50" w:after="120" w:afterLines="50" w:line="440" w:lineRule="exact"/>
        <w:jc w:val="left"/>
        <w:rPr>
          <w:rFonts w:hint="default" w:ascii="Arial" w:hAnsi="Arial" w:cs="Arial"/>
          <w:color w:val="auto"/>
          <w:highlight w:val="none"/>
        </w:rPr>
      </w:pPr>
    </w:p>
    <w:p>
      <w:pPr>
        <w:snapToGrid w:val="0"/>
        <w:spacing w:before="50" w:after="120" w:afterLines="50" w:line="440" w:lineRule="exact"/>
        <w:jc w:val="left"/>
        <w:rPr>
          <w:rFonts w:hint="default" w:ascii="Arial" w:hAnsi="Arial" w:cs="Arial"/>
          <w:color w:val="auto"/>
          <w:szCs w:val="21"/>
          <w:highlight w:val="none"/>
        </w:rPr>
      </w:pPr>
      <w:r>
        <w:rPr>
          <w:rFonts w:hint="default" w:ascii="Arial" w:hAnsi="Arial" w:cs="Arial"/>
          <w:color w:val="auto"/>
          <w:szCs w:val="21"/>
          <w:highlight w:val="none"/>
        </w:rPr>
        <w:br w:type="page"/>
      </w:r>
      <w:r>
        <w:rPr>
          <w:rFonts w:hint="default" w:ascii="Arial" w:hAnsi="Arial" w:cs="Arial"/>
          <w:color w:val="auto"/>
          <w:szCs w:val="21"/>
          <w:highlight w:val="none"/>
        </w:rPr>
        <w:t>3．对本项目第二章《采购需求》商务要求的响应表：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highlight w:val="none"/>
              </w:rPr>
              <w:t>偏离</w:t>
            </w:r>
            <w:r>
              <w:rPr>
                <w:rFonts w:hint="default" w:ascii="Arial" w:hAnsi="Arial" w:cs="Arial"/>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default" w:ascii="Arial" w:hAnsi="Arial" w:cs="Arial"/>
                <w:color w:val="auto"/>
                <w:szCs w:val="21"/>
                <w:highlight w:val="none"/>
              </w:rPr>
            </w:pPr>
          </w:p>
        </w:tc>
      </w:tr>
    </w:tbl>
    <w:p>
      <w:pPr>
        <w:pStyle w:val="27"/>
        <w:tabs>
          <w:tab w:val="left" w:pos="2127"/>
        </w:tabs>
        <w:spacing w:line="340" w:lineRule="exact"/>
        <w:ind w:firstLine="420" w:firstLineChars="200"/>
        <w:jc w:val="left"/>
        <w:rPr>
          <w:rFonts w:hint="default" w:ascii="Arial" w:hAnsi="Arial" w:cs="Arial"/>
          <w:color w:val="auto"/>
          <w:highlight w:val="none"/>
        </w:rPr>
      </w:pPr>
      <w:bookmarkStart w:id="104" w:name="_Hlk48144603"/>
      <w:bookmarkStart w:id="105" w:name="_Hlk89177792"/>
      <w:r>
        <w:rPr>
          <w:rFonts w:hint="default" w:ascii="Arial" w:hAnsi="Arial" w:cs="Arial"/>
          <w:color w:val="auto"/>
          <w:highlight w:val="none"/>
        </w:rPr>
        <w:t>注：</w:t>
      </w:r>
      <w:bookmarkStart w:id="106" w:name="_Hlk19049081"/>
      <w:r>
        <w:rPr>
          <w:rFonts w:hint="default" w:ascii="Arial" w:hAnsi="Arial" w:cs="Arial"/>
          <w:color w:val="auto"/>
          <w:highlight w:val="none"/>
        </w:rPr>
        <w:t>（1）本表应对采购文件第二章《采购需求》中所列商务要求进行响应，并根据响应情况在“偏离说明”栏填写正偏离或负偏离及原因，完全符合的填写“无偏离”。</w:t>
      </w:r>
    </w:p>
    <w:p>
      <w:pPr>
        <w:pStyle w:val="27"/>
        <w:tabs>
          <w:tab w:val="left" w:pos="2127"/>
        </w:tabs>
        <w:spacing w:line="340" w:lineRule="exact"/>
        <w:ind w:firstLine="420" w:firstLineChars="200"/>
        <w:jc w:val="left"/>
        <w:rPr>
          <w:rFonts w:hint="default" w:ascii="Arial" w:hAnsi="Arial" w:cs="Arial"/>
          <w:color w:val="auto"/>
          <w:highlight w:val="none"/>
        </w:rPr>
      </w:pPr>
      <w:r>
        <w:rPr>
          <w:rFonts w:hint="default" w:ascii="Arial" w:hAnsi="Arial" w:cs="Arial"/>
          <w:color w:val="auto"/>
          <w:highlight w:val="none"/>
        </w:rPr>
        <w:t>（2）第二章《采购需求》中的总体要求无需响应。</w:t>
      </w:r>
    </w:p>
    <w:p>
      <w:pPr>
        <w:ind w:firstLine="420" w:firstLineChars="200"/>
        <w:rPr>
          <w:rFonts w:hint="default" w:ascii="Arial" w:hAnsi="Arial" w:cs="Arial"/>
          <w:color w:val="auto"/>
          <w:highlight w:val="none"/>
        </w:rPr>
      </w:pPr>
      <w:r>
        <w:rPr>
          <w:rFonts w:hint="default" w:ascii="Arial" w:hAnsi="Arial" w:cs="Arial"/>
          <w:color w:val="auto"/>
          <w:highlight w:val="none"/>
        </w:rPr>
        <w:t>（3）偏离认定说明详见评审方法及标准。</w:t>
      </w:r>
    </w:p>
    <w:bookmarkEnd w:id="106"/>
    <w:p>
      <w:pPr>
        <w:pStyle w:val="27"/>
        <w:tabs>
          <w:tab w:val="left" w:pos="2127"/>
        </w:tabs>
        <w:spacing w:line="340" w:lineRule="exact"/>
        <w:ind w:firstLine="420" w:firstLineChars="200"/>
        <w:jc w:val="left"/>
        <w:rPr>
          <w:rFonts w:hint="default" w:ascii="Arial" w:hAnsi="Arial" w:cs="Arial"/>
          <w:color w:val="auto"/>
          <w:highlight w:val="none"/>
        </w:rPr>
      </w:pPr>
      <w:r>
        <w:rPr>
          <w:rFonts w:hint="default" w:ascii="Arial" w:hAnsi="Arial" w:cs="Arial"/>
          <w:color w:val="auto"/>
          <w:highlight w:val="none"/>
        </w:rPr>
        <w:t>（4）本表可扩展。</w:t>
      </w:r>
    </w:p>
    <w:bookmarkEnd w:id="104"/>
    <w:p>
      <w:pPr>
        <w:snapToGrid w:val="0"/>
        <w:spacing w:before="50" w:after="120" w:afterLines="50" w:line="440" w:lineRule="exact"/>
        <w:jc w:val="left"/>
        <w:rPr>
          <w:rFonts w:hint="default" w:ascii="Arial" w:hAnsi="Arial" w:cs="Arial"/>
          <w:color w:val="auto"/>
          <w:spacing w:val="20"/>
          <w:szCs w:val="21"/>
          <w:highlight w:val="none"/>
          <w:u w:val="single"/>
        </w:rPr>
      </w:pPr>
      <w:r>
        <w:rPr>
          <w:rFonts w:hint="default" w:ascii="Arial" w:hAnsi="Arial" w:cs="Arial"/>
          <w:color w:val="auto"/>
          <w:szCs w:val="21"/>
          <w:highlight w:val="none"/>
        </w:rPr>
        <w:t>供应商名称(电子签章)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r>
        <w:rPr>
          <w:rFonts w:hint="default" w:ascii="Arial" w:hAnsi="Arial" w:cs="Arial"/>
          <w:color w:val="auto"/>
          <w:spacing w:val="20"/>
          <w:szCs w:val="21"/>
          <w:highlight w:val="none"/>
        </w:rPr>
        <w:t xml:space="preserve">             日  期：</w:t>
      </w:r>
      <w:r>
        <w:rPr>
          <w:rFonts w:hint="default" w:ascii="Arial" w:hAnsi="Arial" w:cs="Arial"/>
          <w:color w:val="auto"/>
          <w:spacing w:val="20"/>
          <w:szCs w:val="21"/>
          <w:highlight w:val="none"/>
          <w:u w:val="single"/>
        </w:rPr>
        <w:t xml:space="preserve">        </w:t>
      </w:r>
    </w:p>
    <w:bookmarkEnd w:id="105"/>
    <w:p>
      <w:pPr>
        <w:snapToGrid w:val="0"/>
        <w:spacing w:before="50" w:after="120" w:afterLines="50" w:line="440" w:lineRule="exact"/>
        <w:jc w:val="left"/>
        <w:rPr>
          <w:rFonts w:hint="default" w:ascii="Arial" w:hAnsi="Arial" w:cs="Arial"/>
          <w:color w:val="auto"/>
          <w:spacing w:val="20"/>
          <w:szCs w:val="21"/>
          <w:highlight w:val="none"/>
          <w:u w:val="single"/>
        </w:rPr>
      </w:pPr>
    </w:p>
    <w:p>
      <w:pPr>
        <w:snapToGrid w:val="0"/>
        <w:spacing w:before="50" w:after="120" w:afterLines="50" w:line="440" w:lineRule="exact"/>
        <w:jc w:val="left"/>
        <w:rPr>
          <w:rFonts w:hint="default" w:ascii="Arial" w:hAnsi="Arial" w:cs="Arial"/>
          <w:color w:val="auto"/>
          <w:spacing w:val="20"/>
          <w:szCs w:val="21"/>
          <w:highlight w:val="none"/>
          <w:u w:val="single"/>
        </w:rPr>
      </w:pP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w:t>
      </w:r>
      <w:r>
        <w:rPr>
          <w:rFonts w:hint="default" w:ascii="Arial" w:hAnsi="Arial" w:cs="Arial"/>
          <w:bCs/>
          <w:color w:val="auto"/>
          <w:kern w:val="0"/>
          <w:szCs w:val="21"/>
          <w:highlight w:val="none"/>
        </w:rPr>
        <w:t>总体技术方案与需求匹配度及方案质量</w:t>
      </w:r>
      <w:r>
        <w:rPr>
          <w:rFonts w:hint="default" w:ascii="Arial" w:hAnsi="Arial" w:cs="Arial"/>
          <w:color w:val="auto"/>
          <w:szCs w:val="21"/>
          <w:highlight w:val="none"/>
        </w:rPr>
        <w:t>。（如有，自行编写）</w:t>
      </w:r>
    </w:p>
    <w:p>
      <w:pPr>
        <w:snapToGrid w:val="0"/>
        <w:spacing w:before="50" w:after="120" w:afterLines="50"/>
        <w:jc w:val="left"/>
        <w:rPr>
          <w:rFonts w:hint="default" w:ascii="Arial" w:hAnsi="Arial" w:cs="Arial"/>
          <w:color w:val="auto"/>
          <w:szCs w:val="21"/>
          <w:highlight w:val="none"/>
        </w:rPr>
      </w:pP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5.售后服务方案。（如有，自行编写）</w:t>
      </w:r>
    </w:p>
    <w:p>
      <w:pPr>
        <w:snapToGrid w:val="0"/>
        <w:spacing w:before="50" w:after="120" w:afterLines="50"/>
        <w:jc w:val="left"/>
        <w:rPr>
          <w:rFonts w:hint="default" w:ascii="Arial" w:hAnsi="Arial" w:cs="Arial"/>
          <w:color w:val="auto"/>
          <w:szCs w:val="21"/>
          <w:highlight w:val="none"/>
        </w:rPr>
      </w:pPr>
    </w:p>
    <w:p>
      <w:pPr>
        <w:numPr>
          <w:ilvl w:val="0"/>
          <w:numId w:val="0"/>
        </w:numPr>
        <w:snapToGrid w:val="0"/>
        <w:spacing w:before="50" w:after="120" w:afterLines="50"/>
        <w:ind w:leftChars="0"/>
        <w:jc w:val="left"/>
        <w:rPr>
          <w:rFonts w:hint="default" w:ascii="Arial" w:hAnsi="Arial" w:cs="Arial"/>
          <w:color w:val="auto"/>
          <w:szCs w:val="21"/>
          <w:highlight w:val="none"/>
          <w:lang w:bidi="ar"/>
        </w:rPr>
      </w:pPr>
      <w:r>
        <w:rPr>
          <w:rFonts w:hint="eastAsia" w:ascii="Arial" w:hAnsi="Arial" w:cs="Arial"/>
          <w:color w:val="auto"/>
          <w:szCs w:val="21"/>
          <w:highlight w:val="none"/>
          <w:lang w:val="en-US" w:eastAsia="zh-CN" w:bidi="ar"/>
        </w:rPr>
        <w:t>6.</w:t>
      </w:r>
      <w:r>
        <w:rPr>
          <w:rFonts w:hint="default" w:ascii="Arial" w:hAnsi="Arial" w:cs="Arial"/>
          <w:color w:val="auto"/>
          <w:szCs w:val="21"/>
          <w:highlight w:val="none"/>
          <w:lang w:bidi="ar"/>
        </w:rPr>
        <w:t>培训方案</w:t>
      </w:r>
      <w:r>
        <w:rPr>
          <w:rFonts w:hint="default" w:ascii="Arial" w:hAnsi="Arial" w:cs="Arial"/>
          <w:color w:val="auto"/>
          <w:szCs w:val="21"/>
          <w:highlight w:val="none"/>
        </w:rPr>
        <w:t>（如有，自行编写）</w:t>
      </w:r>
    </w:p>
    <w:p>
      <w:pPr>
        <w:numPr>
          <w:ilvl w:val="0"/>
          <w:numId w:val="0"/>
        </w:numPr>
        <w:snapToGrid w:val="0"/>
        <w:spacing w:before="50" w:after="120" w:afterLines="50"/>
        <w:ind w:leftChars="0"/>
        <w:jc w:val="left"/>
        <w:rPr>
          <w:rFonts w:hint="default" w:ascii="Arial" w:hAnsi="Arial" w:cs="Arial"/>
          <w:color w:val="auto"/>
          <w:szCs w:val="21"/>
          <w:highlight w:val="none"/>
          <w:lang w:val="en-US" w:eastAsia="zh-CN" w:bidi="ar"/>
        </w:rPr>
      </w:pPr>
    </w:p>
    <w:p>
      <w:pPr>
        <w:snapToGrid w:val="0"/>
        <w:spacing w:before="50" w:after="120" w:afterLines="50"/>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7</w:t>
      </w:r>
      <w:r>
        <w:rPr>
          <w:rFonts w:hint="default" w:ascii="Arial" w:hAnsi="Arial" w:cs="Arial"/>
          <w:color w:val="auto"/>
          <w:szCs w:val="21"/>
          <w:highlight w:val="none"/>
        </w:rPr>
        <w:t>．供应商认为需提供的其他材料（根据采购文件要求编写）</w:t>
      </w:r>
    </w:p>
    <w:p>
      <w:pPr>
        <w:snapToGrid w:val="0"/>
        <w:spacing w:before="50" w:after="120" w:afterLines="50" w:line="440" w:lineRule="exact"/>
        <w:jc w:val="left"/>
        <w:rPr>
          <w:rFonts w:hint="default" w:ascii="Arial" w:hAnsi="Arial" w:cs="Arial"/>
          <w:color w:val="auto"/>
          <w:spacing w:val="20"/>
          <w:szCs w:val="21"/>
          <w:highlight w:val="none"/>
          <w:u w:val="single"/>
        </w:rPr>
      </w:pPr>
    </w:p>
    <w:p>
      <w:pPr>
        <w:snapToGrid w:val="0"/>
        <w:spacing w:before="50" w:after="120" w:afterLines="50"/>
        <w:jc w:val="left"/>
        <w:rPr>
          <w:rFonts w:hint="default" w:ascii="Arial" w:hAnsi="Arial" w:cs="Arial"/>
          <w:color w:val="auto"/>
          <w:spacing w:val="20"/>
          <w:szCs w:val="21"/>
          <w:highlight w:val="none"/>
          <w:u w:val="single"/>
        </w:rPr>
      </w:pPr>
    </w:p>
    <w:p>
      <w:pPr>
        <w:rPr>
          <w:rFonts w:hint="default" w:ascii="Arial" w:hAnsi="Arial" w:cs="Arial"/>
          <w:color w:val="auto"/>
          <w:spacing w:val="20"/>
          <w:szCs w:val="21"/>
          <w:highlight w:val="none"/>
          <w:u w:val="single"/>
        </w:rPr>
      </w:pPr>
    </w:p>
    <w:p>
      <w:pPr>
        <w:rPr>
          <w:rFonts w:hint="default" w:ascii="Arial" w:hAnsi="Arial" w:cs="Arial"/>
          <w:color w:val="auto"/>
          <w:szCs w:val="21"/>
          <w:highlight w:val="none"/>
        </w:rPr>
        <w:sectPr>
          <w:headerReference r:id="rId13" w:type="default"/>
          <w:footerReference r:id="rId14" w:type="default"/>
          <w:pgSz w:w="11906" w:h="16838"/>
          <w:pgMar w:top="1418" w:right="1028" w:bottom="1418" w:left="1418" w:header="851" w:footer="992" w:gutter="0"/>
          <w:cols w:space="720" w:num="1"/>
          <w:docGrid w:linePitch="312" w:charSpace="0"/>
        </w:sectPr>
      </w:pPr>
    </w:p>
    <w:p>
      <w:pPr>
        <w:snapToGrid w:val="0"/>
        <w:spacing w:before="50" w:after="120" w:afterLines="50"/>
        <w:jc w:val="left"/>
        <w:rPr>
          <w:rFonts w:hint="default" w:ascii="Arial" w:hAnsi="Arial" w:cs="Arial"/>
          <w:b/>
          <w:color w:val="auto"/>
          <w:szCs w:val="21"/>
          <w:highlight w:val="none"/>
        </w:rPr>
      </w:pPr>
      <w:r>
        <w:rPr>
          <w:rFonts w:hint="eastAsia" w:ascii="Arial" w:hAnsi="Arial" w:cs="Arial"/>
          <w:color w:val="auto"/>
          <w:szCs w:val="21"/>
          <w:highlight w:val="none"/>
          <w:lang w:val="en-US" w:eastAsia="zh-CN"/>
        </w:rPr>
        <w:t>8</w:t>
      </w:r>
      <w:r>
        <w:rPr>
          <w:rFonts w:hint="default" w:ascii="Arial" w:hAnsi="Arial" w:cs="Arial"/>
          <w:color w:val="auto"/>
          <w:szCs w:val="21"/>
          <w:highlight w:val="none"/>
        </w:rPr>
        <w:t>．近年供应商类似成功案例的业绩证明</w:t>
      </w:r>
    </w:p>
    <w:p>
      <w:pPr>
        <w:snapToGrid w:val="0"/>
        <w:spacing w:before="50" w:after="120" w:afterLines="50"/>
        <w:jc w:val="center"/>
        <w:rPr>
          <w:rFonts w:hint="default" w:ascii="Arial" w:hAnsi="Arial" w:cs="Arial"/>
          <w:color w:val="auto"/>
          <w:szCs w:val="21"/>
          <w:highlight w:val="none"/>
        </w:rPr>
      </w:pPr>
      <w:r>
        <w:rPr>
          <w:rFonts w:hint="default" w:ascii="Arial" w:hAnsi="Arial" w:cs="Arial"/>
          <w:b/>
          <w:color w:val="auto"/>
          <w:szCs w:val="21"/>
          <w:highlight w:val="none"/>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4104"/>
        <w:gridCol w:w="2476"/>
        <w:gridCol w:w="1831"/>
        <w:gridCol w:w="1033"/>
        <w:gridCol w:w="1378"/>
        <w:gridCol w:w="20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2" w:hRule="atLeast"/>
        </w:trPr>
        <w:tc>
          <w:tcPr>
            <w:tcW w:w="927" w:type="dxa"/>
            <w:tcBorders>
              <w:top w:val="single" w:color="auto" w:sz="4" w:space="0"/>
              <w:left w:val="single" w:color="auto" w:sz="4" w:space="0"/>
              <w:right w:val="single" w:color="auto" w:sz="4" w:space="0"/>
            </w:tcBorders>
            <w:noWrap w:val="0"/>
            <w:vAlign w:val="top"/>
          </w:tcPr>
          <w:p>
            <w:pPr>
              <w:snapToGrid w:val="0"/>
              <w:spacing w:line="240" w:lineRule="exact"/>
              <w:jc w:val="center"/>
              <w:rPr>
                <w:rFonts w:hint="default" w:ascii="Arial" w:hAnsi="Arial" w:cs="Arial"/>
                <w:color w:val="auto"/>
                <w:szCs w:val="21"/>
                <w:highlight w:val="none"/>
              </w:rPr>
            </w:pPr>
          </w:p>
          <w:p>
            <w:pPr>
              <w:snapToGrid w:val="0"/>
              <w:spacing w:line="240" w:lineRule="exact"/>
              <w:jc w:val="center"/>
              <w:rPr>
                <w:rFonts w:hint="default" w:ascii="Arial" w:hAnsi="Arial" w:cs="Arial"/>
                <w:color w:val="auto"/>
                <w:szCs w:val="21"/>
                <w:highlight w:val="none"/>
              </w:rPr>
            </w:pPr>
          </w:p>
          <w:p>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410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采购单位名称</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项目名称或服务内容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服务</w:t>
            </w:r>
          </w:p>
          <w:p>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数量或年限</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单价（元）</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合同总价</w:t>
            </w:r>
          </w:p>
          <w:p>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（元）</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default" w:ascii="Arial" w:hAnsi="Arial" w:cs="Arial"/>
                <w:color w:val="auto"/>
                <w:szCs w:val="21"/>
                <w:highlight w:val="none"/>
              </w:rPr>
            </w:pPr>
          </w:p>
        </w:tc>
        <w:tc>
          <w:tcPr>
            <w:tcW w:w="410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default" w:ascii="Arial" w:hAnsi="Arial" w:cs="Arial"/>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default" w:ascii="Arial" w:hAnsi="Arial" w:cs="Arial"/>
                <w:color w:val="auto"/>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default"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default" w:ascii="Arial" w:hAnsi="Arial" w:cs="Arial"/>
                <w:color w:val="auto"/>
                <w:szCs w:val="21"/>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default" w:ascii="Arial" w:hAnsi="Arial" w:cs="Arial"/>
                <w:color w:val="auto"/>
                <w:szCs w:val="21"/>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2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410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92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410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2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410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2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410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default" w:ascii="Arial" w:hAnsi="Arial" w:cs="Arial"/>
                <w:color w:val="auto"/>
                <w:szCs w:val="21"/>
                <w:highlight w:val="none"/>
              </w:rPr>
            </w:pPr>
          </w:p>
        </w:tc>
      </w:tr>
    </w:tbl>
    <w:p>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w:t>
      </w:r>
    </w:p>
    <w:p>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 w:val="21"/>
          <w:szCs w:val="21"/>
          <w:highlight w:val="none"/>
        </w:rPr>
        <w:t>未附证明材料的业绩无效，证明材料见第四章《评审方法及标准》规定</w:t>
      </w:r>
    </w:p>
    <w:p>
      <w:pPr>
        <w:pStyle w:val="16"/>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 w:val="21"/>
          <w:szCs w:val="21"/>
          <w:highlight w:val="none"/>
        </w:rPr>
        <w:t>类似项目的定义见第四章《评审方法及标准》规定。</w:t>
      </w:r>
    </w:p>
    <w:p>
      <w:pPr>
        <w:rPr>
          <w:rFonts w:hint="default" w:ascii="Arial" w:hAnsi="Arial" w:cs="Arial"/>
          <w:color w:val="auto"/>
          <w:highlight w:val="none"/>
        </w:rPr>
      </w:pPr>
      <w:r>
        <w:rPr>
          <w:rFonts w:hint="default" w:ascii="Arial" w:hAnsi="Arial" w:cs="Arial"/>
          <w:color w:val="auto"/>
          <w:szCs w:val="21"/>
          <w:highlight w:val="none"/>
        </w:rPr>
        <w:t>（3）</w:t>
      </w:r>
      <w:r>
        <w:rPr>
          <w:rFonts w:hint="default" w:ascii="Arial" w:hAnsi="Arial" w:cs="Arial"/>
          <w:color w:val="auto"/>
          <w:highlight w:val="none"/>
        </w:rPr>
        <w:t>本表可拓展。</w:t>
      </w:r>
    </w:p>
    <w:p>
      <w:pPr>
        <w:rPr>
          <w:rFonts w:hint="default" w:ascii="Arial" w:hAnsi="Arial" w:cs="Arial"/>
          <w:color w:val="auto"/>
          <w:highlight w:val="none"/>
        </w:rPr>
      </w:pPr>
    </w:p>
    <w:p>
      <w:pPr>
        <w:snapToGrid w:val="0"/>
        <w:spacing w:before="50"/>
        <w:jc w:val="left"/>
        <w:rPr>
          <w:rFonts w:hint="default" w:ascii="Arial" w:hAnsi="Arial" w:cs="Arial"/>
          <w:color w:val="auto"/>
          <w:szCs w:val="21"/>
          <w:highlight w:val="none"/>
        </w:rPr>
        <w:sectPr>
          <w:pgSz w:w="16838" w:h="11906" w:orient="landscape"/>
          <w:pgMar w:top="1274" w:right="1418" w:bottom="1418" w:left="1418" w:header="851" w:footer="992" w:gutter="0"/>
          <w:cols w:space="720" w:num="1"/>
          <w:docGrid w:linePitch="312" w:charSpace="0"/>
        </w:sectPr>
      </w:pPr>
      <w:bookmarkStart w:id="107" w:name="_Hlk89177822"/>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bookmarkEnd w:id="107"/>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年    月   日</w:t>
      </w:r>
    </w:p>
    <w:p>
      <w:pPr>
        <w:snapToGrid w:val="0"/>
        <w:spacing w:before="50" w:after="120" w:afterLines="50"/>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9</w:t>
      </w:r>
      <w:r>
        <w:rPr>
          <w:rFonts w:hint="default" w:ascii="Arial" w:hAnsi="Arial" w:cs="Arial"/>
          <w:color w:val="auto"/>
          <w:szCs w:val="21"/>
          <w:highlight w:val="none"/>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pPr>
        <w:snapToGrid w:val="0"/>
        <w:spacing w:before="50" w:after="120" w:afterLines="50"/>
        <w:jc w:val="left"/>
        <w:rPr>
          <w:rFonts w:hint="default" w:ascii="Arial" w:hAnsi="Arial" w:cs="Arial"/>
          <w:color w:val="auto"/>
          <w:szCs w:val="21"/>
          <w:highlight w:val="none"/>
        </w:rPr>
      </w:pPr>
    </w:p>
    <w:p>
      <w:pPr>
        <w:snapToGrid w:val="0"/>
        <w:spacing w:before="50" w:after="120" w:afterLines="50"/>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10</w:t>
      </w:r>
      <w:r>
        <w:rPr>
          <w:rFonts w:hint="default" w:ascii="Arial" w:hAnsi="Arial" w:cs="Arial"/>
          <w:color w:val="auto"/>
          <w:szCs w:val="21"/>
          <w:highlight w:val="none"/>
        </w:rPr>
        <w:t>．符合政府采购政策的证明材料。</w:t>
      </w:r>
    </w:p>
    <w:p>
      <w:pPr>
        <w:snapToGrid w:val="0"/>
        <w:spacing w:before="50" w:after="120" w:afterLines="50"/>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10</w:t>
      </w:r>
      <w:r>
        <w:rPr>
          <w:rFonts w:hint="default" w:ascii="Arial" w:hAnsi="Arial" w:cs="Arial"/>
          <w:color w:val="auto"/>
          <w:szCs w:val="21"/>
          <w:highlight w:val="none"/>
        </w:rPr>
        <w:t>.1列入节能产品政府采购品目清单及环境标志产品政府采购品目清单的货物清单。</w:t>
      </w:r>
      <w:r>
        <w:rPr>
          <w:rFonts w:hint="default" w:ascii="Arial" w:hAnsi="Arial" w:cs="Arial"/>
          <w:b/>
          <w:color w:val="auto"/>
          <w:szCs w:val="21"/>
          <w:highlight w:val="none"/>
        </w:rPr>
        <w:t>（如有，须提供）</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响应产品中如有列入节能产品政府采购品目清单及环境标志产品政府采购品目清单的货物，应按下表提供清单。</w:t>
      </w:r>
    </w:p>
    <w:p>
      <w:pPr>
        <w:spacing w:line="360" w:lineRule="auto"/>
        <w:jc w:val="center"/>
        <w:rPr>
          <w:rFonts w:hint="default" w:ascii="Arial" w:hAnsi="Arial" w:cs="Arial"/>
          <w:color w:val="auto"/>
          <w:szCs w:val="21"/>
          <w:highlight w:val="none"/>
        </w:rPr>
      </w:pPr>
      <w:r>
        <w:rPr>
          <w:rFonts w:hint="default" w:ascii="Arial" w:hAnsi="Arial" w:cs="Arial"/>
          <w:b/>
          <w:color w:val="auto"/>
          <w:szCs w:val="21"/>
          <w:highlight w:val="none"/>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r>
              <w:rPr>
                <w:rFonts w:hint="default" w:ascii="Arial" w:hAnsi="Arial" w:cs="Arial"/>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hint="default" w:ascii="Arial" w:hAnsi="Arial" w:cs="Arial"/>
                <w:color w:val="auto"/>
                <w:kern w:val="0"/>
                <w:szCs w:val="21"/>
                <w:highlight w:val="none"/>
              </w:rPr>
            </w:pPr>
          </w:p>
        </w:tc>
      </w:tr>
    </w:tbl>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注：类别填写节能或环境标志，品目填写编号及产品名称如A02010104台式计算机。</w:t>
      </w:r>
    </w:p>
    <w:p>
      <w:pPr>
        <w:snapToGrid w:val="0"/>
        <w:spacing w:before="50" w:after="120" w:afterLines="50"/>
        <w:jc w:val="left"/>
        <w:rPr>
          <w:rFonts w:hint="default" w:ascii="Arial" w:hAnsi="Arial" w:cs="Arial"/>
          <w:color w:val="auto"/>
          <w:szCs w:val="21"/>
          <w:highlight w:val="none"/>
        </w:rPr>
      </w:pPr>
    </w:p>
    <w:p>
      <w:pPr>
        <w:snapToGrid w:val="0"/>
        <w:spacing w:before="120" w:beforeLines="50" w:after="50" w:line="440" w:lineRule="exact"/>
        <w:jc w:val="left"/>
        <w:outlineLvl w:val="1"/>
        <w:rPr>
          <w:rFonts w:hint="default" w:ascii="Arial" w:hAnsi="Arial" w:cs="Arial"/>
          <w:color w:val="auto"/>
          <w:szCs w:val="21"/>
          <w:highlight w:val="none"/>
        </w:rPr>
      </w:pPr>
      <w:r>
        <w:rPr>
          <w:rFonts w:hint="default" w:ascii="Arial" w:hAnsi="Arial" w:cs="Arial"/>
          <w:color w:val="auto"/>
          <w:szCs w:val="21"/>
          <w:highlight w:val="none"/>
        </w:rPr>
        <w:br w:type="page"/>
      </w:r>
      <w:bookmarkStart w:id="108" w:name="_Hlk19115874"/>
      <w:r>
        <w:rPr>
          <w:rFonts w:hint="eastAsia" w:ascii="Arial" w:hAnsi="Arial" w:cs="Arial"/>
          <w:color w:val="auto"/>
          <w:szCs w:val="21"/>
          <w:highlight w:val="none"/>
          <w:lang w:val="en-US" w:eastAsia="zh-CN"/>
        </w:rPr>
        <w:t>10</w:t>
      </w:r>
      <w:r>
        <w:rPr>
          <w:rFonts w:hint="default" w:ascii="Arial" w:hAnsi="Arial" w:cs="Arial"/>
          <w:color w:val="auto"/>
          <w:szCs w:val="21"/>
          <w:highlight w:val="none"/>
        </w:rPr>
        <w:t>.2</w:t>
      </w:r>
      <w:r>
        <w:rPr>
          <w:rFonts w:hint="default" w:ascii="Arial" w:hAnsi="Arial" w:cs="Arial"/>
          <w:bCs/>
          <w:color w:val="auto"/>
          <w:szCs w:val="21"/>
          <w:highlight w:val="none"/>
        </w:rPr>
        <w:t>中小企业声明函</w:t>
      </w:r>
      <w:r>
        <w:rPr>
          <w:rFonts w:hint="default" w:ascii="Arial" w:hAnsi="Arial" w:cs="Arial"/>
          <w:color w:val="auto"/>
          <w:szCs w:val="21"/>
          <w:highlight w:val="none"/>
        </w:rPr>
        <w:t>。</w:t>
      </w:r>
    </w:p>
    <w:bookmarkEnd w:id="108"/>
    <w:p>
      <w:pPr>
        <w:spacing w:line="360" w:lineRule="auto"/>
        <w:ind w:firstLine="3584" w:firstLineChars="1700"/>
        <w:rPr>
          <w:rFonts w:hint="default" w:ascii="Arial" w:hAnsi="Arial" w:cs="Arial"/>
          <w:b/>
          <w:color w:val="auto"/>
          <w:szCs w:val="21"/>
          <w:highlight w:val="none"/>
        </w:rPr>
      </w:pPr>
      <w:bookmarkStart w:id="109" w:name="_Hlk60651253"/>
    </w:p>
    <w:bookmarkEnd w:id="109"/>
    <w:p>
      <w:pPr>
        <w:spacing w:line="360" w:lineRule="auto"/>
        <w:ind w:firstLine="3584" w:firstLineChars="1700"/>
        <w:rPr>
          <w:rFonts w:hint="default" w:ascii="Arial" w:hAnsi="Arial" w:cs="Arial"/>
          <w:b/>
          <w:color w:val="auto"/>
          <w:szCs w:val="21"/>
          <w:highlight w:val="none"/>
        </w:rPr>
      </w:pPr>
      <w:bookmarkStart w:id="110" w:name="_Hlk19115884"/>
      <w:r>
        <w:rPr>
          <w:rFonts w:hint="default" w:ascii="Arial" w:hAnsi="Arial" w:cs="Arial"/>
          <w:b/>
          <w:color w:val="auto"/>
          <w:szCs w:val="21"/>
          <w:highlight w:val="none"/>
        </w:rPr>
        <w:t>中小企业声明函（服务）</w:t>
      </w:r>
    </w:p>
    <w:p>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本公司（联合体）郑重声明，根据《政府采购促进中小企业发展管理办法》（财库﹝2020﹞46 号）的规定，本公司（联合体）参加</w:t>
      </w:r>
      <w:r>
        <w:rPr>
          <w:rFonts w:hint="default" w:ascii="Arial" w:hAnsi="Arial" w:cs="Arial"/>
          <w:bCs/>
          <w:color w:val="auto"/>
          <w:szCs w:val="21"/>
          <w:highlight w:val="none"/>
          <w:u w:val="single"/>
        </w:rPr>
        <w:t>（单位名称）</w:t>
      </w:r>
      <w:r>
        <w:rPr>
          <w:rFonts w:hint="default" w:ascii="Arial" w:hAnsi="Arial" w:cs="Arial"/>
          <w:bCs/>
          <w:color w:val="auto"/>
          <w:szCs w:val="21"/>
          <w:highlight w:val="none"/>
        </w:rPr>
        <w:t>的</w:t>
      </w:r>
      <w:r>
        <w:rPr>
          <w:rFonts w:hint="default" w:ascii="Arial" w:hAnsi="Arial" w:cs="Arial"/>
          <w:bCs/>
          <w:color w:val="auto"/>
          <w:szCs w:val="21"/>
          <w:highlight w:val="none"/>
          <w:u w:val="single"/>
        </w:rPr>
        <w:t>（项目名称）</w:t>
      </w:r>
      <w:r>
        <w:rPr>
          <w:rFonts w:hint="default" w:ascii="Arial" w:hAnsi="Arial" w:cs="Arial"/>
          <w:bCs/>
          <w:color w:val="auto"/>
          <w:szCs w:val="21"/>
          <w:highlight w:val="none"/>
        </w:rPr>
        <w:t>采购活动，服务全部由符合政策要求的中小企业承接。相关企业（含联合体中的中小企业、签订分包意向协议的中小企业） 的具体情况如下：</w:t>
      </w:r>
    </w:p>
    <w:p>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1.</w:t>
      </w:r>
      <w:r>
        <w:rPr>
          <w:rFonts w:hint="default" w:ascii="Arial" w:hAnsi="Arial" w:cs="Arial"/>
          <w:bCs/>
          <w:color w:val="auto"/>
          <w:szCs w:val="21"/>
          <w:highlight w:val="none"/>
          <w:u w:val="single"/>
        </w:rPr>
        <w:t>（标的名称）</w:t>
      </w:r>
      <w:r>
        <w:rPr>
          <w:rFonts w:hint="default" w:ascii="Arial" w:hAnsi="Arial" w:cs="Arial"/>
          <w:bCs/>
          <w:color w:val="auto"/>
          <w:szCs w:val="21"/>
          <w:highlight w:val="none"/>
        </w:rPr>
        <w:t>，属于</w:t>
      </w:r>
      <w:r>
        <w:rPr>
          <w:rFonts w:hint="default" w:ascii="Arial" w:hAnsi="Arial" w:cs="Arial"/>
          <w:bCs/>
          <w:color w:val="auto"/>
          <w:szCs w:val="21"/>
          <w:highlight w:val="none"/>
          <w:u w:val="single"/>
        </w:rPr>
        <w:t>（采购文件中明确的所属行业）</w:t>
      </w:r>
      <w:r>
        <w:rPr>
          <w:rFonts w:hint="default" w:ascii="Arial" w:hAnsi="Arial" w:cs="Arial"/>
          <w:bCs/>
          <w:color w:val="auto"/>
          <w:szCs w:val="21"/>
          <w:highlight w:val="none"/>
        </w:rPr>
        <w:t>行业；承接企业为</w:t>
      </w:r>
      <w:r>
        <w:rPr>
          <w:rFonts w:hint="default" w:ascii="Arial" w:hAnsi="Arial" w:cs="Arial"/>
          <w:bCs/>
          <w:color w:val="auto"/>
          <w:szCs w:val="21"/>
          <w:highlight w:val="none"/>
          <w:u w:val="single"/>
        </w:rPr>
        <w:t>（企业名称）</w:t>
      </w:r>
      <w:r>
        <w:rPr>
          <w:rFonts w:hint="default" w:ascii="Arial" w:hAnsi="Arial" w:cs="Arial"/>
          <w:bCs/>
          <w:color w:val="auto"/>
          <w:szCs w:val="21"/>
          <w:highlight w:val="none"/>
        </w:rPr>
        <w:t>，从业人员</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人，营业收入为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万元，资产总额为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万元，属于</w:t>
      </w:r>
      <w:r>
        <w:rPr>
          <w:rFonts w:hint="default" w:ascii="Arial" w:hAnsi="Arial" w:cs="Arial"/>
          <w:bCs/>
          <w:color w:val="auto"/>
          <w:szCs w:val="21"/>
          <w:highlight w:val="none"/>
          <w:u w:val="single"/>
        </w:rPr>
        <w:t>（中型企业、小型企业、微型企业）</w:t>
      </w:r>
      <w:r>
        <w:rPr>
          <w:rFonts w:hint="default" w:ascii="Arial" w:hAnsi="Arial" w:cs="Arial"/>
          <w:bCs/>
          <w:color w:val="auto"/>
          <w:szCs w:val="21"/>
          <w:highlight w:val="none"/>
        </w:rPr>
        <w:t>；</w:t>
      </w:r>
    </w:p>
    <w:p>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2.</w:t>
      </w:r>
      <w:r>
        <w:rPr>
          <w:rFonts w:hint="default" w:ascii="Arial" w:hAnsi="Arial" w:cs="Arial"/>
          <w:bCs/>
          <w:color w:val="auto"/>
          <w:szCs w:val="21"/>
          <w:highlight w:val="none"/>
          <w:u w:val="single"/>
        </w:rPr>
        <w:t>（标的名称）</w:t>
      </w:r>
      <w:r>
        <w:rPr>
          <w:rFonts w:hint="default" w:ascii="Arial" w:hAnsi="Arial" w:cs="Arial"/>
          <w:bCs/>
          <w:color w:val="auto"/>
          <w:szCs w:val="21"/>
          <w:highlight w:val="none"/>
        </w:rPr>
        <w:t>，属于</w:t>
      </w:r>
      <w:r>
        <w:rPr>
          <w:rFonts w:hint="default" w:ascii="Arial" w:hAnsi="Arial" w:cs="Arial"/>
          <w:bCs/>
          <w:color w:val="auto"/>
          <w:szCs w:val="21"/>
          <w:highlight w:val="none"/>
          <w:u w:val="single"/>
        </w:rPr>
        <w:t>（采购文件中明确的所属行业）</w:t>
      </w:r>
      <w:r>
        <w:rPr>
          <w:rFonts w:hint="default" w:ascii="Arial" w:hAnsi="Arial" w:cs="Arial"/>
          <w:bCs/>
          <w:color w:val="auto"/>
          <w:szCs w:val="21"/>
          <w:highlight w:val="none"/>
        </w:rPr>
        <w:t>行业；承接企业为</w:t>
      </w:r>
      <w:r>
        <w:rPr>
          <w:rFonts w:hint="default" w:ascii="Arial" w:hAnsi="Arial" w:cs="Arial"/>
          <w:bCs/>
          <w:color w:val="auto"/>
          <w:szCs w:val="21"/>
          <w:highlight w:val="none"/>
          <w:u w:val="single"/>
        </w:rPr>
        <w:t>（企业名称）</w:t>
      </w:r>
      <w:r>
        <w:rPr>
          <w:rFonts w:hint="default" w:ascii="Arial" w:hAnsi="Arial" w:cs="Arial"/>
          <w:bCs/>
          <w:color w:val="auto"/>
          <w:szCs w:val="21"/>
          <w:highlight w:val="none"/>
        </w:rPr>
        <w:t>，从业人员</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人，营业收入为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万元，资产总额为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万元，属于</w:t>
      </w:r>
      <w:r>
        <w:rPr>
          <w:rFonts w:hint="default" w:ascii="Arial" w:hAnsi="Arial" w:cs="Arial"/>
          <w:bCs/>
          <w:color w:val="auto"/>
          <w:szCs w:val="21"/>
          <w:highlight w:val="none"/>
          <w:u w:val="single"/>
        </w:rPr>
        <w:t>（中型企业、小型企业、微型企业）</w:t>
      </w:r>
      <w:r>
        <w:rPr>
          <w:rFonts w:hint="default" w:ascii="Arial" w:hAnsi="Arial" w:cs="Arial"/>
          <w:bCs/>
          <w:color w:val="auto"/>
          <w:szCs w:val="21"/>
          <w:highlight w:val="none"/>
        </w:rPr>
        <w:t>；</w:t>
      </w:r>
    </w:p>
    <w:p>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w:t>
      </w:r>
    </w:p>
    <w:p>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以上企业，不属于大企业的分支机构，不存在控股股东为大企业的情形，也不存在与大企业的负责人为同一人的情形。</w:t>
      </w:r>
    </w:p>
    <w:p>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本企业对上述声明内容的真实性负责。如有虚假，将依法承担相应责任。</w:t>
      </w:r>
    </w:p>
    <w:p>
      <w:pPr>
        <w:spacing w:line="360" w:lineRule="auto"/>
        <w:ind w:firstLine="3150" w:firstLineChars="1500"/>
        <w:rPr>
          <w:rFonts w:hint="default" w:ascii="Arial" w:hAnsi="Arial" w:cs="Arial"/>
          <w:bCs/>
          <w:color w:val="auto"/>
          <w:szCs w:val="21"/>
          <w:highlight w:val="none"/>
        </w:rPr>
      </w:pPr>
      <w:r>
        <w:rPr>
          <w:rFonts w:hint="default" w:ascii="Arial" w:hAnsi="Arial" w:cs="Arial"/>
          <w:bCs/>
          <w:color w:val="auto"/>
          <w:szCs w:val="21"/>
          <w:highlight w:val="none"/>
        </w:rPr>
        <w:t>企业名称（电子签章）：  日期：</w:t>
      </w:r>
    </w:p>
    <w:p>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（1）标的名称按照第二章采购需求一览表中的名称填写，</w:t>
      </w:r>
      <w:r>
        <w:rPr>
          <w:rFonts w:hint="default" w:ascii="Arial" w:hAnsi="Arial" w:cs="Arial"/>
          <w:color w:val="auto"/>
          <w:szCs w:val="21"/>
          <w:highlight w:val="none"/>
        </w:rPr>
        <w:t>所属行业标明“/”的</w:t>
      </w:r>
      <w:r>
        <w:rPr>
          <w:rFonts w:hint="default" w:ascii="Arial" w:hAnsi="Arial" w:cs="Arial"/>
          <w:bCs/>
          <w:color w:val="auto"/>
          <w:szCs w:val="21"/>
          <w:highlight w:val="none"/>
        </w:rPr>
        <w:t>，无需在上表填写。</w:t>
      </w:r>
    </w:p>
    <w:p>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（2）如供应商为联合体或分包的，声明函中“项目名称”应填写联合体中小微企业承担的具体内容或者小微企业具体分包内容。</w:t>
      </w:r>
    </w:p>
    <w:p>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（5）根据国际统计局《劳动工资统计报表制度》，从业人员数是指本单位工作，并取得工资或其他形式劳动报酬的人员数，是在岗职工、劳务派遣人员及其他从业人员之和。</w:t>
      </w:r>
    </w:p>
    <w:p>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cs="Arial"/>
          <w:color w:val="auto"/>
          <w:szCs w:val="21"/>
          <w:highlight w:val="none"/>
        </w:rPr>
        <w:t>以及《金融业企业划型标准规定》（银发〔2015〕309号）</w:t>
      </w:r>
      <w:r>
        <w:rPr>
          <w:rFonts w:hint="default" w:ascii="Arial" w:hAnsi="Arial" w:cs="Arial"/>
          <w:bCs/>
          <w:color w:val="auto"/>
          <w:szCs w:val="21"/>
          <w:highlight w:val="none"/>
        </w:rPr>
        <w:t>）判断是否为中小企业。</w:t>
      </w:r>
    </w:p>
    <w:p>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pPr>
        <w:spacing w:line="360" w:lineRule="auto"/>
        <w:jc w:val="left"/>
        <w:rPr>
          <w:rFonts w:hint="default" w:ascii="Arial" w:hAnsi="Arial" w:cs="Arial"/>
          <w:bCs/>
          <w:color w:val="auto"/>
          <w:szCs w:val="21"/>
          <w:highlight w:val="none"/>
        </w:rPr>
      </w:pPr>
    </w:p>
    <w:p>
      <w:pPr>
        <w:snapToGrid w:val="0"/>
        <w:spacing w:before="50" w:after="120" w:afterLines="50"/>
        <w:jc w:val="left"/>
        <w:rPr>
          <w:rFonts w:hint="default" w:ascii="Arial" w:hAnsi="Arial" w:cs="Arial"/>
          <w:color w:val="auto"/>
          <w:szCs w:val="21"/>
          <w:highlight w:val="none"/>
        </w:rPr>
      </w:pPr>
    </w:p>
    <w:p>
      <w:pPr>
        <w:snapToGrid w:val="0"/>
        <w:spacing w:before="50" w:after="120" w:afterLines="50"/>
        <w:jc w:val="left"/>
        <w:rPr>
          <w:rFonts w:hint="default" w:ascii="Arial" w:hAnsi="Arial" w:cs="Arial"/>
          <w:color w:val="auto"/>
          <w:szCs w:val="21"/>
          <w:highlight w:val="none"/>
        </w:rPr>
      </w:pPr>
      <w:r>
        <w:rPr>
          <w:rFonts w:hint="eastAsia" w:ascii="Arial" w:hAnsi="Arial" w:cs="Arial"/>
          <w:color w:val="auto"/>
          <w:szCs w:val="21"/>
          <w:highlight w:val="none"/>
          <w:lang w:val="en-US" w:eastAsia="zh-CN"/>
        </w:rPr>
        <w:t>10</w:t>
      </w:r>
      <w:r>
        <w:rPr>
          <w:rFonts w:hint="default" w:ascii="Arial" w:hAnsi="Arial" w:cs="Arial"/>
          <w:color w:val="auto"/>
          <w:szCs w:val="21"/>
          <w:highlight w:val="none"/>
        </w:rPr>
        <w:t>.3监狱企业须提供最新一期《XX省监狱企业产品目录》或其他监狱企业证明材料。（非监狱企业无需提供）</w:t>
      </w:r>
    </w:p>
    <w:p>
      <w:pPr>
        <w:snapToGrid w:val="0"/>
        <w:spacing w:before="50" w:after="120" w:afterLines="50"/>
        <w:jc w:val="left"/>
        <w:rPr>
          <w:rFonts w:hint="default" w:ascii="Arial" w:hAnsi="Arial" w:cs="Arial"/>
          <w:color w:val="auto"/>
          <w:szCs w:val="21"/>
          <w:highlight w:val="none"/>
        </w:rPr>
      </w:pPr>
    </w:p>
    <w:p>
      <w:pPr>
        <w:widowControl/>
        <w:jc w:val="left"/>
        <w:rPr>
          <w:rFonts w:hint="default" w:ascii="Arial" w:hAnsi="Arial" w:cs="Arial"/>
          <w:color w:val="auto"/>
          <w:szCs w:val="21"/>
          <w:highlight w:val="none"/>
        </w:rPr>
      </w:pPr>
      <w:bookmarkStart w:id="111" w:name="_Hlk19051624"/>
      <w:r>
        <w:rPr>
          <w:rFonts w:hint="eastAsia" w:ascii="Arial" w:hAnsi="Arial" w:cs="Arial"/>
          <w:color w:val="auto"/>
          <w:szCs w:val="21"/>
          <w:highlight w:val="none"/>
          <w:lang w:val="en-US" w:eastAsia="zh-CN"/>
        </w:rPr>
        <w:t>10</w:t>
      </w:r>
      <w:r>
        <w:rPr>
          <w:rFonts w:hint="default" w:ascii="Arial" w:hAnsi="Arial" w:cs="Arial"/>
          <w:color w:val="auto"/>
          <w:szCs w:val="21"/>
          <w:highlight w:val="none"/>
        </w:rPr>
        <w:t>.4</w:t>
      </w:r>
      <w:r>
        <w:rPr>
          <w:rFonts w:hint="default" w:ascii="Arial" w:hAnsi="Arial" w:cs="Arial"/>
          <w:color w:val="auto"/>
          <w:highlight w:val="none"/>
        </w:rPr>
        <w:t>残疾人福利性单位须提供《残疾人福利性单位声明函》，格式如下。</w:t>
      </w:r>
      <w:r>
        <w:rPr>
          <w:rFonts w:hint="default" w:ascii="Arial" w:hAnsi="Arial" w:cs="Arial"/>
          <w:color w:val="auto"/>
          <w:szCs w:val="21"/>
          <w:highlight w:val="none"/>
        </w:rPr>
        <w:t>（非残疾人福利性单位无需提供）</w:t>
      </w:r>
    </w:p>
    <w:bookmarkEnd w:id="111"/>
    <w:p>
      <w:pPr>
        <w:spacing w:line="360" w:lineRule="auto"/>
        <w:jc w:val="center"/>
        <w:rPr>
          <w:rFonts w:hint="default" w:ascii="Arial" w:hAnsi="Arial" w:cs="Arial"/>
          <w:b/>
          <w:color w:val="auto"/>
          <w:szCs w:val="21"/>
          <w:highlight w:val="none"/>
        </w:rPr>
      </w:pPr>
      <w:bookmarkStart w:id="112" w:name="OLE_LINK14"/>
      <w:bookmarkStart w:id="113" w:name="OLE_LINK13"/>
      <w:r>
        <w:rPr>
          <w:rFonts w:hint="default" w:ascii="Arial" w:hAnsi="Arial" w:cs="Arial"/>
          <w:b/>
          <w:color w:val="auto"/>
          <w:szCs w:val="21"/>
          <w:highlight w:val="none"/>
        </w:rPr>
        <w:t>残疾人福利性单位声明函</w:t>
      </w:r>
      <w:bookmarkEnd w:id="112"/>
      <w:bookmarkEnd w:id="113"/>
    </w:p>
    <w:p>
      <w:pPr>
        <w:spacing w:line="360" w:lineRule="auto"/>
        <w:ind w:firstLine="420"/>
        <w:jc w:val="left"/>
        <w:rPr>
          <w:rFonts w:hint="default" w:ascii="Arial" w:hAnsi="Arial" w:cs="Arial"/>
          <w:color w:val="auto"/>
          <w:szCs w:val="21"/>
          <w:highlight w:val="none"/>
        </w:rPr>
      </w:pPr>
      <w:r>
        <w:rPr>
          <w:rFonts w:hint="default"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单位的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hint="default" w:ascii="Arial" w:hAnsi="Arial" w:cs="Arial"/>
          <w:color w:val="auto"/>
          <w:szCs w:val="21"/>
          <w:highlight w:val="none"/>
        </w:rPr>
      </w:pPr>
      <w:r>
        <w:rPr>
          <w:rFonts w:hint="default" w:ascii="Arial" w:hAnsi="Arial" w:cs="Arial"/>
          <w:color w:val="auto"/>
          <w:szCs w:val="21"/>
          <w:highlight w:val="none"/>
        </w:rPr>
        <w:t>本单位对上述声明的真实性负责。如有虚假，将依法承担相应责任。</w:t>
      </w:r>
    </w:p>
    <w:p>
      <w:pPr>
        <w:spacing w:line="360" w:lineRule="auto"/>
        <w:ind w:firstLine="420"/>
        <w:jc w:val="right"/>
        <w:rPr>
          <w:rFonts w:hint="default" w:ascii="Arial" w:hAnsi="Arial" w:cs="Arial"/>
          <w:color w:val="auto"/>
          <w:spacing w:val="6"/>
          <w:szCs w:val="21"/>
          <w:highlight w:val="none"/>
        </w:rPr>
      </w:pPr>
      <w:r>
        <w:rPr>
          <w:rFonts w:hint="default" w:ascii="Arial" w:hAnsi="Arial" w:cs="Arial"/>
          <w:color w:val="auto"/>
          <w:spacing w:val="6"/>
          <w:sz w:val="30"/>
          <w:szCs w:val="30"/>
          <w:highlight w:val="none"/>
        </w:rPr>
        <w:t xml:space="preserve"> </w:t>
      </w:r>
      <w:r>
        <w:rPr>
          <w:rFonts w:hint="default" w:ascii="Arial" w:hAnsi="Arial" w:cs="Arial"/>
          <w:color w:val="auto"/>
          <w:spacing w:val="6"/>
          <w:szCs w:val="21"/>
          <w:highlight w:val="none"/>
        </w:rPr>
        <w:t xml:space="preserve">                                             单位名称</w:t>
      </w:r>
      <w:r>
        <w:rPr>
          <w:rFonts w:hint="default" w:ascii="Arial" w:hAnsi="Arial" w:cs="Arial"/>
          <w:color w:val="auto"/>
          <w:szCs w:val="21"/>
          <w:highlight w:val="none"/>
        </w:rPr>
        <w:t>(电子签章)</w:t>
      </w:r>
      <w:r>
        <w:rPr>
          <w:rFonts w:hint="default" w:ascii="Arial" w:hAnsi="Arial" w:cs="Arial"/>
          <w:color w:val="auto"/>
          <w:spacing w:val="6"/>
          <w:szCs w:val="21"/>
          <w:highlight w:val="none"/>
        </w:rPr>
        <w:t xml:space="preserve">：          </w:t>
      </w:r>
    </w:p>
    <w:p>
      <w:pPr>
        <w:spacing w:line="360" w:lineRule="auto"/>
        <w:ind w:firstLine="420"/>
        <w:jc w:val="right"/>
        <w:rPr>
          <w:rFonts w:hint="default" w:ascii="Arial" w:hAnsi="Arial" w:cs="Arial"/>
          <w:color w:val="auto"/>
          <w:spacing w:val="6"/>
          <w:szCs w:val="21"/>
          <w:highlight w:val="none"/>
        </w:rPr>
      </w:pPr>
      <w:r>
        <w:rPr>
          <w:rFonts w:hint="default" w:ascii="Arial" w:hAnsi="Arial" w:cs="Arial"/>
          <w:color w:val="auto"/>
          <w:spacing w:val="6"/>
          <w:szCs w:val="21"/>
          <w:highlight w:val="none"/>
        </w:rPr>
        <w:t xml:space="preserve">                                                       日  期：</w:t>
      </w:r>
    </w:p>
    <w:p>
      <w:pPr>
        <w:spacing w:line="360" w:lineRule="auto"/>
        <w:rPr>
          <w:rFonts w:hint="default" w:ascii="Arial" w:hAnsi="Arial" w:cs="Arial"/>
          <w:color w:val="auto"/>
          <w:szCs w:val="21"/>
          <w:highlight w:val="none"/>
        </w:rPr>
      </w:pPr>
      <w:bookmarkStart w:id="114" w:name="_Hlk65852042"/>
    </w:p>
    <w:bookmarkEnd w:id="110"/>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br w:type="page"/>
      </w:r>
      <w:bookmarkEnd w:id="114"/>
      <w:bookmarkStart w:id="115" w:name="_Hlk93046716"/>
      <w:r>
        <w:rPr>
          <w:rFonts w:hint="default" w:ascii="Arial" w:hAnsi="Arial" w:cs="Arial"/>
          <w:color w:val="auto"/>
          <w:szCs w:val="21"/>
          <w:highlight w:val="none"/>
        </w:rPr>
        <w:t>1</w:t>
      </w:r>
      <w:r>
        <w:rPr>
          <w:rFonts w:hint="eastAsia" w:ascii="Arial" w:hAnsi="Arial" w:cs="Arial"/>
          <w:color w:val="auto"/>
          <w:szCs w:val="21"/>
          <w:highlight w:val="none"/>
          <w:lang w:val="en-US" w:eastAsia="zh-CN"/>
        </w:rPr>
        <w:t>1.</w:t>
      </w:r>
      <w:r>
        <w:rPr>
          <w:rFonts w:hint="default" w:ascii="Arial" w:hAnsi="Arial" w:cs="Arial"/>
          <w:color w:val="auto"/>
          <w:highlight w:val="none"/>
        </w:rPr>
        <w:t xml:space="preserve"> </w:t>
      </w:r>
      <w:r>
        <w:rPr>
          <w:rFonts w:hint="default" w:ascii="Arial" w:hAnsi="Arial" w:cs="Arial"/>
          <w:color w:val="auto"/>
          <w:szCs w:val="21"/>
          <w:highlight w:val="none"/>
        </w:rPr>
        <w:t>无串标行为承诺函</w:t>
      </w:r>
    </w:p>
    <w:p>
      <w:pPr>
        <w:snapToGrid w:val="0"/>
        <w:spacing w:before="50" w:after="120" w:afterLines="50"/>
        <w:jc w:val="center"/>
        <w:rPr>
          <w:rFonts w:hint="default" w:ascii="Arial" w:hAnsi="Arial" w:cs="Arial"/>
          <w:color w:val="auto"/>
          <w:szCs w:val="21"/>
          <w:highlight w:val="none"/>
        </w:rPr>
      </w:pPr>
    </w:p>
    <w:p>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供应商参加本项目无围标串标行为的承诺函</w:t>
      </w:r>
    </w:p>
    <w:p>
      <w:pPr>
        <w:snapToGrid w:val="0"/>
        <w:spacing w:before="50" w:after="120" w:afterLines="50"/>
        <w:jc w:val="left"/>
        <w:rPr>
          <w:rFonts w:hint="default" w:ascii="Arial" w:hAnsi="Arial" w:cs="Arial"/>
          <w:color w:val="auto"/>
          <w:szCs w:val="21"/>
          <w:highlight w:val="none"/>
        </w:rPr>
      </w:pP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一、我方承诺无下列相互串通投标的情形：</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1.不同供应商的响应文件由同一单位或者个人编制；或者不同供应商报名的IP地址一致的；</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2.不同供应商委托同一单位或者个人办理投标事宜；</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3.不同的供应商的响应文件载明的项目管理员为同一个人；</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4.不同供应商的响应文件异常一致或者投标报价呈规律性差异；</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5.不同供应商的响应文件相互混装；</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6.不同供应商的磋商保证金从同一单位或者个人账户转出。</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二、我方承诺无下列恶意串通的情形：</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1.供应商直接或者间接从采购人或者采购代理机构处获得其他供应商的相关信息并修改其响应文件或者响应文件；</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2.供应商按照采购人或者采购代理机构的授意撤换、修改响应文件或者响应文件；</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3.供应商之间协商报价、技术方案等响应文件或者响应文件的实质性内容；</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4.属于同一集团、协会、商会等组织成员的供应商按照该组织要求协同参加政府采购活动；</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5.供应商之间事先约定一致抬高或者压低投标报价，或者在招标项目中事先约定轮流以高价位或者低价位中标，或者事先约定由某一特定供应商中标，然后再参加投标；</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6.供应商之间商定部分供应商放弃参加政府采购活动或者放弃中标；</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7.供应商与采购人或者采购代理机构之间、供应商相互之间，为谋求特定供应商中标或者排斥其他供应商的其他串通行为。</w:t>
      </w:r>
    </w:p>
    <w:p>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以上情形一经核查属实，我方愿意承担一切后果，并不再寻求任何旨在减轻或者免除法律责任的辩解。</w:t>
      </w:r>
    </w:p>
    <w:p>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 xml:space="preserve">  </w:t>
      </w:r>
    </w:p>
    <w:p>
      <w:pPr>
        <w:snapToGrid w:val="0"/>
        <w:spacing w:before="50" w:after="120" w:afterLines="50"/>
        <w:jc w:val="center"/>
        <w:rPr>
          <w:rFonts w:hint="default" w:ascii="Arial" w:hAnsi="Arial" w:cs="Arial"/>
          <w:color w:val="auto"/>
          <w:szCs w:val="21"/>
          <w:highlight w:val="none"/>
        </w:rPr>
      </w:pPr>
    </w:p>
    <w:p>
      <w:pPr>
        <w:snapToGrid w:val="0"/>
        <w:spacing w:before="50" w:after="120" w:afterLines="50"/>
        <w:jc w:val="center"/>
        <w:rPr>
          <w:rFonts w:hint="default" w:ascii="Arial" w:hAnsi="Arial" w:cs="Arial"/>
          <w:color w:val="auto"/>
          <w:szCs w:val="21"/>
          <w:highlight w:val="none"/>
        </w:rPr>
      </w:pPr>
    </w:p>
    <w:p>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供应商名称(电子签章)：</w:t>
      </w:r>
    </w:p>
    <w:p>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日期：  年  月   日</w:t>
      </w:r>
    </w:p>
    <w:p>
      <w:pPr>
        <w:spacing w:line="360" w:lineRule="exact"/>
        <w:rPr>
          <w:rFonts w:hint="default" w:ascii="Arial" w:hAnsi="Arial" w:cs="Arial"/>
          <w:color w:val="auto"/>
          <w:szCs w:val="21"/>
          <w:highlight w:val="none"/>
        </w:rPr>
      </w:pPr>
      <w:r>
        <w:rPr>
          <w:rFonts w:hint="default" w:ascii="Arial" w:hAnsi="Arial" w:cs="Arial"/>
          <w:color w:val="auto"/>
          <w:szCs w:val="21"/>
          <w:highlight w:val="none"/>
        </w:rPr>
        <w:br w:type="page"/>
      </w:r>
      <w:bookmarkEnd w:id="115"/>
      <w:r>
        <w:rPr>
          <w:rFonts w:hint="default" w:ascii="Arial" w:hAnsi="Arial" w:cs="Arial"/>
          <w:color w:val="auto"/>
          <w:szCs w:val="21"/>
          <w:highlight w:val="none"/>
        </w:rPr>
        <w:t>1</w:t>
      </w:r>
      <w:r>
        <w:rPr>
          <w:rFonts w:hint="eastAsia" w:ascii="Arial" w:hAnsi="Arial" w:cs="Arial"/>
          <w:color w:val="auto"/>
          <w:szCs w:val="21"/>
          <w:highlight w:val="none"/>
          <w:lang w:val="en-US" w:eastAsia="zh-CN"/>
        </w:rPr>
        <w:t>2</w:t>
      </w:r>
      <w:r>
        <w:rPr>
          <w:rFonts w:hint="default" w:ascii="Arial" w:hAnsi="Arial" w:cs="Arial"/>
          <w:color w:val="auto"/>
          <w:szCs w:val="21"/>
          <w:highlight w:val="none"/>
        </w:rPr>
        <w:t>．代理服务费承诺书</w:t>
      </w:r>
    </w:p>
    <w:p>
      <w:pPr>
        <w:spacing w:line="360" w:lineRule="exact"/>
        <w:rPr>
          <w:rFonts w:hint="default" w:ascii="Arial" w:hAnsi="Arial" w:cs="Arial"/>
          <w:color w:val="auto"/>
          <w:szCs w:val="21"/>
          <w:highlight w:val="none"/>
        </w:rPr>
      </w:pPr>
      <w:r>
        <w:rPr>
          <w:rFonts w:hint="default" w:ascii="Arial" w:hAnsi="Arial" w:cs="Arial"/>
          <w:color w:val="auto"/>
          <w:szCs w:val="21"/>
          <w:highlight w:val="none"/>
        </w:rPr>
        <w:t>致：广西机电设备招标有限公司</w:t>
      </w:r>
    </w:p>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我单位参加了贵方组织的磋商项目编号为</w:t>
      </w:r>
      <w:r>
        <w:rPr>
          <w:rFonts w:hint="default" w:ascii="Arial" w:hAnsi="Arial" w:cs="Arial"/>
          <w:b/>
          <w:color w:val="auto"/>
          <w:szCs w:val="21"/>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的响应，并递交了磋商保证金</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r>
        <w:rPr>
          <w:rFonts w:hint="default" w:ascii="Arial" w:hAnsi="Arial" w:cs="Arial"/>
          <w:color w:val="auto"/>
          <w:kern w:val="0"/>
          <w:szCs w:val="21"/>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），在此我方说明如下：</w:t>
      </w:r>
    </w:p>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我方承诺，若我单位成交，保证在领取成交通知书之前，按本项目采购文件的规定标准向贵单位支付代理服务费。如我单位未按规定缴纳代理服务费，贵方可不退还我单位提交的磋商保证金，并从中扣除代理服务费，余款按下列账户退回。</w:t>
      </w:r>
    </w:p>
    <w:p>
      <w:pPr>
        <w:snapToGrid w:val="0"/>
        <w:spacing w:before="50" w:after="120" w:afterLines="50"/>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我公司选择第</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种方式缴纳代理服务费。</w:t>
      </w:r>
    </w:p>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第一种方式：一次性足额缴纳代理服务费。</w:t>
      </w:r>
    </w:p>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第二种方式：从磋商保证金中抵扣代理服务费，不足部分补交。</w:t>
      </w:r>
    </w:p>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收款户名</w:t>
            </w:r>
          </w:p>
        </w:tc>
        <w:tc>
          <w:tcPr>
            <w:tcW w:w="5431" w:type="dxa"/>
            <w:noWrap w:val="0"/>
            <w:vAlign w:val="center"/>
          </w:tcPr>
          <w:p>
            <w:pPr>
              <w:spacing w:line="360" w:lineRule="exact"/>
              <w:jc w:val="cente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账    号</w:t>
            </w:r>
          </w:p>
        </w:tc>
        <w:tc>
          <w:tcPr>
            <w:tcW w:w="5431" w:type="dxa"/>
            <w:noWrap w:val="0"/>
            <w:vAlign w:val="center"/>
          </w:tcPr>
          <w:p>
            <w:pPr>
              <w:spacing w:line="360" w:lineRule="exact"/>
              <w:jc w:val="cente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开户银行</w:t>
            </w:r>
          </w:p>
        </w:tc>
        <w:tc>
          <w:tcPr>
            <w:tcW w:w="5431" w:type="dxa"/>
            <w:noWrap w:val="0"/>
            <w:vAlign w:val="center"/>
          </w:tcPr>
          <w:p>
            <w:pPr>
              <w:spacing w:line="360" w:lineRule="exact"/>
              <w:jc w:val="cente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银行行号</w:t>
            </w:r>
          </w:p>
        </w:tc>
        <w:tc>
          <w:tcPr>
            <w:tcW w:w="5431" w:type="dxa"/>
            <w:noWrap w:val="0"/>
            <w:vAlign w:val="center"/>
          </w:tcPr>
          <w:p>
            <w:pPr>
              <w:spacing w:line="360" w:lineRule="exact"/>
              <w:jc w:val="center"/>
              <w:rPr>
                <w:rFonts w:hint="default" w:ascii="Arial" w:hAnsi="Arial" w:cs="Arial"/>
                <w:color w:val="auto"/>
                <w:szCs w:val="21"/>
                <w:highlight w:val="none"/>
              </w:rPr>
            </w:pPr>
          </w:p>
        </w:tc>
      </w:tr>
    </w:tbl>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3．如果我单位未遵守有关采购文件关于磋商保证金的规定，贵方可以没收我单位磋商保证金。</w:t>
      </w:r>
    </w:p>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 我单位选择第</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种方式作为代理服务费开票类型：</w:t>
      </w:r>
    </w:p>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第一种方式：开具收据。</w:t>
      </w:r>
    </w:p>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第二种方式：开具增值税普通发票。 1.公司名称</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；2.纳税人识别号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p>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第三种方式：开具增值税专用发票，开票信息如下：1.公司名称</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；2.纳税人识别号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；3.税局登记地址</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；4.税局登记电话</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；5.开户银行</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；6.银行账户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p>
      <w:pPr>
        <w:spacing w:before="120" w:beforeLines="50" w:line="360" w:lineRule="auto"/>
        <w:jc w:val="left"/>
        <w:rPr>
          <w:rFonts w:hint="default" w:ascii="Arial" w:hAnsi="Arial" w:cs="Arial"/>
          <w:color w:val="auto"/>
          <w:szCs w:val="21"/>
          <w:highlight w:val="none"/>
        </w:rPr>
      </w:pPr>
    </w:p>
    <w:p>
      <w:pPr>
        <w:spacing w:before="120" w:beforeLines="50" w:line="360" w:lineRule="auto"/>
        <w:jc w:val="left"/>
        <w:rPr>
          <w:rFonts w:hint="default" w:ascii="Arial" w:hAnsi="Arial" w:cs="Arial"/>
          <w:color w:val="auto"/>
          <w:szCs w:val="21"/>
          <w:highlight w:val="none"/>
          <w:u w:val="single"/>
        </w:rPr>
      </w:pPr>
      <w:bookmarkStart w:id="116" w:name="_Hlk89177854"/>
      <w:r>
        <w:rPr>
          <w:rFonts w:hint="default" w:ascii="Arial" w:hAnsi="Arial" w:cs="Arial"/>
          <w:color w:val="auto"/>
          <w:szCs w:val="21"/>
          <w:highlight w:val="none"/>
        </w:rPr>
        <w:t>供应商名称(电子签章)</w:t>
      </w:r>
      <w:bookmarkEnd w:id="116"/>
      <w:r>
        <w:rPr>
          <w:rFonts w:hint="default" w:ascii="Arial" w:hAnsi="Arial" w:cs="Arial"/>
          <w:color w:val="auto"/>
          <w:szCs w:val="21"/>
          <w:highlight w:val="none"/>
        </w:rPr>
        <w:t>：</w:t>
      </w:r>
      <w:r>
        <w:rPr>
          <w:rFonts w:hint="default" w:ascii="Arial" w:hAnsi="Arial" w:cs="Arial"/>
          <w:color w:val="auto"/>
          <w:szCs w:val="21"/>
          <w:highlight w:val="none"/>
          <w:u w:val="single"/>
        </w:rPr>
        <w:t xml:space="preserve">                              </w:t>
      </w:r>
    </w:p>
    <w:p>
      <w:pPr>
        <w:spacing w:before="120" w:beforeLines="50" w:line="360" w:lineRule="auto"/>
        <w:jc w:val="left"/>
        <w:rPr>
          <w:rFonts w:hint="default" w:ascii="Arial" w:hAnsi="Arial" w:cs="Arial"/>
          <w:color w:val="auto"/>
          <w:szCs w:val="21"/>
          <w:highlight w:val="none"/>
        </w:rPr>
      </w:pPr>
      <w:r>
        <w:rPr>
          <w:rFonts w:hint="default" w:ascii="Arial" w:hAnsi="Arial" w:cs="Arial"/>
          <w:color w:val="auto"/>
          <w:szCs w:val="21"/>
          <w:highlight w:val="none"/>
        </w:rPr>
        <w:t>供应商地址：</w:t>
      </w:r>
      <w:r>
        <w:rPr>
          <w:rFonts w:hint="default" w:ascii="Arial" w:hAnsi="Arial" w:cs="Arial"/>
          <w:color w:val="auto"/>
          <w:szCs w:val="21"/>
          <w:highlight w:val="none"/>
          <w:u w:val="single"/>
        </w:rPr>
        <w:t xml:space="preserve">                                     </w:t>
      </w:r>
    </w:p>
    <w:p>
      <w:pPr>
        <w:wordWrap w:val="0"/>
        <w:spacing w:before="120" w:beforeLines="50" w:line="360" w:lineRule="auto"/>
        <w:jc w:val="right"/>
        <w:rPr>
          <w:rFonts w:hint="default" w:ascii="Arial" w:hAnsi="Arial" w:cs="Arial"/>
          <w:color w:val="auto"/>
          <w:szCs w:val="21"/>
          <w:highlight w:val="none"/>
        </w:rPr>
      </w:pPr>
      <w:r>
        <w:rPr>
          <w:rFonts w:hint="default" w:ascii="Arial" w:hAnsi="Arial" w:cs="Arial"/>
          <w:color w:val="auto"/>
          <w:szCs w:val="21"/>
          <w:highlight w:val="none"/>
        </w:rPr>
        <w:t>日期：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pPr>
        <w:spacing w:before="120" w:beforeLines="50"/>
        <w:rPr>
          <w:rFonts w:hint="default" w:ascii="Arial" w:hAnsi="Arial" w:cs="Arial"/>
          <w:color w:val="auto"/>
          <w:szCs w:val="21"/>
          <w:highlight w:val="none"/>
        </w:rPr>
      </w:pPr>
      <w:r>
        <w:rPr>
          <w:rFonts w:hint="default" w:ascii="Arial" w:hAnsi="Arial" w:cs="Arial"/>
          <w:color w:val="auto"/>
          <w:szCs w:val="21"/>
          <w:highlight w:val="none"/>
        </w:rPr>
        <w:t>说明：</w:t>
      </w:r>
    </w:p>
    <w:p>
      <w:pPr>
        <w:spacing w:line="3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（1）为保障资金安全，上述账户不能为私人账户。</w:t>
      </w:r>
    </w:p>
    <w:p>
      <w:pPr>
        <w:spacing w:line="3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pPr>
        <w:spacing w:line="3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（3）如供应商未及时收到退回款项，请与广西机电设备招标有限公司财务部联系。广西机电设备招标有限公司财务部联系方式：联系人：吴茜；电话：0771-2821398；传真：0771-2843545。</w:t>
      </w:r>
    </w:p>
    <w:p>
      <w:pPr>
        <w:jc w:val="center"/>
        <w:rPr>
          <w:rFonts w:hint="default" w:ascii="Arial" w:hAnsi="Arial" w:cs="Arial"/>
          <w:b/>
          <w:bCs/>
          <w:color w:val="auto"/>
          <w:szCs w:val="21"/>
          <w:highlight w:val="none"/>
        </w:rPr>
      </w:pPr>
      <w:r>
        <w:rPr>
          <w:rFonts w:hint="default" w:ascii="Arial" w:hAnsi="Arial" w:cs="Arial"/>
          <w:color w:val="auto"/>
          <w:szCs w:val="21"/>
          <w:highlight w:val="none"/>
        </w:rPr>
        <w:br w:type="page"/>
      </w:r>
      <w:r>
        <w:rPr>
          <w:rFonts w:hint="default" w:ascii="Arial" w:hAnsi="Arial" w:cs="Arial"/>
          <w:b/>
          <w:bCs/>
          <w:color w:val="auto"/>
          <w:szCs w:val="21"/>
          <w:highlight w:val="none"/>
        </w:rPr>
        <w:t xml:space="preserve"> </w:t>
      </w:r>
    </w:p>
    <w:p>
      <w:pPr>
        <w:snapToGrid w:val="0"/>
        <w:spacing w:before="120" w:beforeLines="50" w:after="50" w:line="440" w:lineRule="exact"/>
        <w:jc w:val="center"/>
        <w:outlineLvl w:val="1"/>
        <w:rPr>
          <w:rFonts w:hint="default" w:ascii="Arial" w:hAnsi="Arial" w:cs="Arial"/>
          <w:bCs/>
          <w:color w:val="auto"/>
          <w:sz w:val="24"/>
          <w:highlight w:val="none"/>
        </w:rPr>
      </w:pPr>
      <w:r>
        <w:rPr>
          <w:rFonts w:hint="default" w:ascii="Arial" w:hAnsi="Arial" w:cs="Arial"/>
          <w:bCs/>
          <w:color w:val="auto"/>
          <w:sz w:val="24"/>
          <w:highlight w:val="none"/>
        </w:rPr>
        <w:t>第三部分 报价文件</w:t>
      </w:r>
    </w:p>
    <w:p>
      <w:pPr>
        <w:jc w:val="center"/>
        <w:rPr>
          <w:rFonts w:hint="default" w:ascii="Arial" w:hAnsi="Arial" w:cs="Arial"/>
          <w:b/>
          <w:bCs/>
          <w:color w:val="auto"/>
          <w:szCs w:val="21"/>
          <w:highlight w:val="none"/>
        </w:rPr>
      </w:pPr>
    </w:p>
    <w:p>
      <w:pPr>
        <w:rPr>
          <w:rFonts w:hint="default" w:ascii="Arial" w:hAnsi="Arial" w:cs="Arial"/>
          <w:b/>
          <w:color w:val="auto"/>
          <w:szCs w:val="21"/>
          <w:highlight w:val="none"/>
        </w:rPr>
      </w:pPr>
      <w:r>
        <w:rPr>
          <w:rFonts w:hint="default" w:ascii="Arial" w:hAnsi="Arial" w:cs="Arial"/>
          <w:b/>
          <w:color w:val="auto"/>
          <w:szCs w:val="21"/>
          <w:highlight w:val="none"/>
        </w:rPr>
        <w:t>1．响应函格式：</w:t>
      </w:r>
    </w:p>
    <w:p>
      <w:pPr>
        <w:rPr>
          <w:rFonts w:hint="default" w:ascii="Arial" w:hAnsi="Arial" w:cs="Arial"/>
          <w:b/>
          <w:color w:val="auto"/>
          <w:szCs w:val="21"/>
          <w:highlight w:val="none"/>
        </w:rPr>
      </w:pPr>
    </w:p>
    <w:p>
      <w:pPr>
        <w:jc w:val="center"/>
        <w:rPr>
          <w:rFonts w:hint="default" w:ascii="Arial" w:hAnsi="Arial" w:cs="Arial"/>
          <w:b/>
          <w:color w:val="auto"/>
          <w:szCs w:val="21"/>
          <w:highlight w:val="none"/>
        </w:rPr>
      </w:pPr>
      <w:r>
        <w:rPr>
          <w:rFonts w:hint="default" w:ascii="Arial" w:hAnsi="Arial" w:cs="Arial"/>
          <w:b/>
          <w:color w:val="auto"/>
          <w:szCs w:val="21"/>
          <w:highlight w:val="none"/>
        </w:rPr>
        <w:t>响 应 函</w:t>
      </w:r>
    </w:p>
    <w:p>
      <w:pPr>
        <w:rPr>
          <w:rFonts w:hint="default" w:ascii="Arial" w:hAnsi="Arial" w:cs="Arial"/>
          <w:b/>
          <w:color w:val="auto"/>
          <w:szCs w:val="21"/>
          <w:highlight w:val="none"/>
        </w:rPr>
      </w:pP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致：_</w:t>
      </w:r>
      <w:r>
        <w:rPr>
          <w:rFonts w:hint="default" w:ascii="Arial" w:hAnsi="Arial" w:cs="Arial"/>
          <w:i/>
          <w:iCs/>
          <w:color w:val="auto"/>
          <w:szCs w:val="21"/>
          <w:highlight w:val="none"/>
          <w:u w:val="single"/>
        </w:rPr>
        <w:t>（采购人名称）</w:t>
      </w:r>
      <w:r>
        <w:rPr>
          <w:rFonts w:hint="default" w:ascii="Arial" w:hAnsi="Arial" w:cs="Arial"/>
          <w:i/>
          <w:iCs/>
          <w:color w:val="auto"/>
          <w:szCs w:val="21"/>
          <w:highlight w:val="none"/>
        </w:rPr>
        <w:t>_</w:t>
      </w:r>
    </w:p>
    <w:p>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我方已仔细研究了</w:t>
      </w:r>
      <w:r>
        <w:rPr>
          <w:rFonts w:hint="default" w:ascii="Arial" w:hAnsi="Arial" w:cs="Arial"/>
          <w:i/>
          <w:iCs/>
          <w:color w:val="auto"/>
          <w:szCs w:val="21"/>
          <w:highlight w:val="none"/>
          <w:u w:val="single"/>
        </w:rPr>
        <w:t>（项目名称）</w:t>
      </w:r>
      <w:r>
        <w:rPr>
          <w:rFonts w:hint="default" w:ascii="Arial" w:hAnsi="Arial" w:cs="Arial"/>
          <w:color w:val="auto"/>
          <w:szCs w:val="21"/>
          <w:highlight w:val="none"/>
        </w:rPr>
        <w:t>的采购文件的全部内容，签字代表</w:t>
      </w:r>
      <w:r>
        <w:rPr>
          <w:rFonts w:hint="default" w:ascii="Arial" w:hAnsi="Arial" w:cs="Arial"/>
          <w:i/>
          <w:iCs/>
          <w:color w:val="auto"/>
          <w:szCs w:val="21"/>
          <w:highlight w:val="none"/>
          <w:u w:val="single"/>
        </w:rPr>
        <w:t>（授权代表姓名）</w:t>
      </w:r>
      <w:r>
        <w:rPr>
          <w:rFonts w:hint="default" w:ascii="Arial" w:hAnsi="Arial" w:cs="Arial"/>
          <w:color w:val="auto"/>
          <w:szCs w:val="21"/>
          <w:highlight w:val="none"/>
        </w:rPr>
        <w:t>经正式授权并代表供应商</w:t>
      </w:r>
      <w:r>
        <w:rPr>
          <w:rFonts w:hint="default" w:ascii="Arial" w:hAnsi="Arial" w:cs="Arial"/>
          <w:color w:val="auto"/>
          <w:szCs w:val="21"/>
          <w:highlight w:val="none"/>
          <w:u w:val="single"/>
        </w:rPr>
        <w:t xml:space="preserve"> </w:t>
      </w:r>
      <w:r>
        <w:rPr>
          <w:rFonts w:hint="default" w:ascii="Arial" w:hAnsi="Arial" w:cs="Arial"/>
          <w:i/>
          <w:iCs/>
          <w:color w:val="auto"/>
          <w:szCs w:val="21"/>
          <w:highlight w:val="none"/>
          <w:u w:val="single"/>
        </w:rPr>
        <w:t xml:space="preserve">（供应商名称） </w:t>
      </w:r>
      <w:r>
        <w:rPr>
          <w:rFonts w:hint="default" w:ascii="Arial" w:hAnsi="Arial" w:cs="Arial"/>
          <w:color w:val="auto"/>
          <w:szCs w:val="21"/>
          <w:highlight w:val="none"/>
        </w:rPr>
        <w:t>提交响应文件。</w:t>
      </w:r>
    </w:p>
    <w:p>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据此函，签字代表宣布同意如下：</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（2）供应商在响应之前已经与贵方进行了充分的沟通，完全理解并接受采购文件的各项规定和要求，对采购文件的合理性、合法性不再有异议。</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（3）响应有效期自响应文件递交截止之日起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天。</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（4）如成交，本响应文件至本项目合同履行完毕止均保持有效，本供应商将按“采购文件”及政府采购法律、法规的规定履行合同责任和义务，并承诺不分包及转包他人。</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（5）供应商同意按照贵方要求提供与磋商有关的一切数据或资料。</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（6）与本项目有关的一切正式往来信函请寄：</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地址：</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邮编：</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电话：</w:t>
      </w:r>
      <w:r>
        <w:rPr>
          <w:rFonts w:hint="default" w:ascii="Arial" w:hAnsi="Arial" w:cs="Arial"/>
          <w:color w:val="auto"/>
          <w:szCs w:val="21"/>
          <w:highlight w:val="none"/>
          <w:u w:val="single"/>
        </w:rPr>
        <w:t xml:space="preserve">            </w:t>
      </w: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传真：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pPr>
        <w:spacing w:line="360" w:lineRule="auto"/>
        <w:rPr>
          <w:rFonts w:hint="default" w:ascii="Arial" w:hAnsi="Arial" w:cs="Arial"/>
          <w:color w:val="auto"/>
          <w:szCs w:val="21"/>
          <w:highlight w:val="none"/>
          <w:u w:val="single"/>
        </w:rPr>
      </w:pPr>
      <w:r>
        <w:rPr>
          <w:rFonts w:hint="default" w:ascii="Arial" w:hAnsi="Arial" w:cs="Arial"/>
          <w:color w:val="auto"/>
          <w:szCs w:val="21"/>
          <w:highlight w:val="none"/>
        </w:rPr>
        <w:t>供应商代表姓名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邮箱：</w:t>
      </w:r>
      <w:r>
        <w:rPr>
          <w:rFonts w:hint="default" w:ascii="Arial" w:hAnsi="Arial" w:cs="Arial"/>
          <w:color w:val="auto"/>
          <w:szCs w:val="21"/>
          <w:highlight w:val="none"/>
          <w:u w:val="single"/>
        </w:rPr>
        <w:t xml:space="preserve">              </w:t>
      </w:r>
    </w:p>
    <w:p>
      <w:pPr>
        <w:spacing w:line="360" w:lineRule="auto"/>
        <w:rPr>
          <w:rFonts w:hint="default" w:ascii="Arial" w:hAnsi="Arial" w:cs="Arial"/>
          <w:color w:val="auto"/>
          <w:szCs w:val="21"/>
          <w:highlight w:val="none"/>
          <w:u w:val="single"/>
        </w:rPr>
      </w:pPr>
    </w:p>
    <w:p>
      <w:pPr>
        <w:spacing w:line="360" w:lineRule="auto"/>
        <w:rPr>
          <w:rFonts w:hint="default" w:ascii="Arial" w:hAnsi="Arial" w:cs="Arial"/>
          <w:color w:val="auto"/>
          <w:szCs w:val="21"/>
          <w:highlight w:val="none"/>
        </w:rPr>
      </w:pPr>
    </w:p>
    <w:p>
      <w:pPr>
        <w:spacing w:line="360" w:lineRule="auto"/>
        <w:rPr>
          <w:rFonts w:hint="default" w:ascii="Arial" w:hAnsi="Arial" w:cs="Arial"/>
          <w:color w:val="auto"/>
          <w:szCs w:val="21"/>
          <w:highlight w:val="none"/>
          <w:u w:val="singl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pPr>
        <w:spacing w:line="360" w:lineRule="auto"/>
        <w:rPr>
          <w:rFonts w:hint="default" w:ascii="Arial" w:hAnsi="Arial" w:cs="Arial"/>
          <w:color w:val="auto"/>
          <w:szCs w:val="21"/>
          <w:highlight w:val="none"/>
        </w:rPr>
      </w:pPr>
    </w:p>
    <w:p>
      <w:pPr>
        <w:spacing w:line="360" w:lineRule="auto"/>
        <w:rPr>
          <w:rFonts w:hint="default" w:ascii="Arial" w:hAnsi="Arial" w:cs="Arial"/>
          <w:color w:val="auto"/>
          <w:szCs w:val="21"/>
          <w:highlight w:val="none"/>
        </w:rPr>
      </w:pP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日期：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pPr>
        <w:rPr>
          <w:rFonts w:hint="default" w:ascii="Arial" w:hAnsi="Arial" w:cs="Arial"/>
          <w:b/>
          <w:color w:val="auto"/>
          <w:szCs w:val="21"/>
          <w:highlight w:val="none"/>
        </w:rPr>
      </w:pPr>
      <w:r>
        <w:rPr>
          <w:rFonts w:hint="default" w:ascii="Arial" w:hAnsi="Arial" w:cs="Arial"/>
          <w:b/>
          <w:color w:val="auto"/>
          <w:szCs w:val="21"/>
          <w:highlight w:val="none"/>
        </w:rPr>
        <w:br w:type="page"/>
      </w:r>
      <w:r>
        <w:rPr>
          <w:rFonts w:hint="default" w:ascii="Arial" w:hAnsi="Arial" w:cs="Arial"/>
          <w:b/>
          <w:color w:val="auto"/>
          <w:szCs w:val="21"/>
          <w:highlight w:val="none"/>
        </w:rPr>
        <w:t>2．磋商报价明细表格式：</w:t>
      </w:r>
    </w:p>
    <w:p>
      <w:pPr>
        <w:jc w:val="center"/>
        <w:rPr>
          <w:rFonts w:hint="default" w:ascii="Arial" w:hAnsi="Arial" w:cs="Arial"/>
          <w:b/>
          <w:color w:val="auto"/>
          <w:szCs w:val="21"/>
          <w:highlight w:val="none"/>
        </w:rPr>
      </w:pPr>
    </w:p>
    <w:p>
      <w:pPr>
        <w:jc w:val="center"/>
        <w:rPr>
          <w:rFonts w:hint="default" w:ascii="Arial" w:hAnsi="Arial" w:cs="Arial"/>
          <w:b/>
          <w:color w:val="auto"/>
          <w:szCs w:val="21"/>
          <w:highlight w:val="none"/>
        </w:rPr>
      </w:pPr>
      <w:r>
        <w:rPr>
          <w:rFonts w:hint="default" w:ascii="Arial" w:hAnsi="Arial" w:cs="Arial"/>
          <w:b/>
          <w:color w:val="auto"/>
          <w:szCs w:val="21"/>
          <w:highlight w:val="none"/>
        </w:rPr>
        <w:t>磋商报价明细表</w:t>
      </w:r>
    </w:p>
    <w:p>
      <w:pPr>
        <w:jc w:val="center"/>
        <w:rPr>
          <w:rFonts w:hint="default" w:ascii="Arial" w:hAnsi="Arial" w:cs="Arial"/>
          <w:b/>
          <w:color w:val="auto"/>
          <w:szCs w:val="21"/>
          <w:highlight w:val="none"/>
        </w:rPr>
      </w:pPr>
    </w:p>
    <w:p>
      <w:pPr>
        <w:rPr>
          <w:rFonts w:hint="default" w:ascii="Arial" w:hAnsi="Arial" w:cs="Arial"/>
          <w:color w:val="auto"/>
          <w:szCs w:val="21"/>
          <w:highlight w:val="none"/>
        </w:rPr>
      </w:pPr>
      <w:r>
        <w:rPr>
          <w:rFonts w:hint="default" w:ascii="Arial" w:hAnsi="Arial" w:cs="Arial"/>
          <w:color w:val="auto"/>
          <w:szCs w:val="21"/>
          <w:highlight w:val="none"/>
        </w:rPr>
        <w:t>分标号：                                                         金额单位：人民币（元）</w:t>
      </w:r>
    </w:p>
    <w:tbl>
      <w:tblPr>
        <w:tblStyle w:val="52"/>
        <w:tblW w:w="94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1"/>
        <w:gridCol w:w="1348"/>
        <w:gridCol w:w="1193"/>
        <w:gridCol w:w="1052"/>
        <w:gridCol w:w="1283"/>
        <w:gridCol w:w="1444"/>
        <w:gridCol w:w="1123"/>
        <w:gridCol w:w="12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exac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r>
              <w:rPr>
                <w:rFonts w:hint="default" w:ascii="Arial" w:hAnsi="Arial" w:cs="Arial"/>
                <w:color w:val="auto"/>
                <w:szCs w:val="21"/>
                <w:highlight w:val="none"/>
              </w:rPr>
              <w:t>序号</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产品或服务名称</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制造商或服务商</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品牌</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规格型号</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单位及数量</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单价</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exac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exac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exac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r>
              <w:rPr>
                <w:rFonts w:hint="default" w:ascii="Arial" w:hAnsi="Arial" w:cs="Arial"/>
                <w:color w:val="auto"/>
                <w:spacing w:val="20"/>
                <w:szCs w:val="21"/>
                <w:highlight w:val="none"/>
              </w:rPr>
              <w:t>……</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exact"/>
          <w:jc w:val="center"/>
        </w:trPr>
        <w:tc>
          <w:tcPr>
            <w:tcW w:w="9457" w:type="dxa"/>
            <w:gridSpan w:val="8"/>
            <w:tcBorders>
              <w:top w:val="single" w:color="auto" w:sz="4" w:space="0"/>
              <w:left w:val="single" w:color="auto" w:sz="4" w:space="0"/>
              <w:bottom w:val="single" w:color="auto" w:sz="4" w:space="0"/>
              <w:right w:val="single" w:color="auto" w:sz="4" w:space="0"/>
            </w:tcBorders>
            <w:noWrap w:val="0"/>
            <w:vAlign w:val="center"/>
          </w:tcPr>
          <w:p>
            <w:pPr>
              <w:rPr>
                <w:rFonts w:hint="default" w:ascii="Arial" w:hAnsi="Arial" w:cs="Arial"/>
                <w:color w:val="auto"/>
                <w:spacing w:val="20"/>
                <w:szCs w:val="21"/>
                <w:highlight w:val="none"/>
              </w:rPr>
            </w:pPr>
            <w:r>
              <w:rPr>
                <w:rFonts w:hint="default" w:ascii="Arial" w:hAnsi="Arial" w:cs="Arial"/>
                <w:color w:val="auto"/>
                <w:spacing w:val="20"/>
                <w:szCs w:val="21"/>
                <w:highlight w:val="none"/>
              </w:rPr>
              <w:t>响应总价：大写                 小写</w:t>
            </w:r>
          </w:p>
        </w:tc>
      </w:tr>
    </w:tbl>
    <w:p>
      <w:pPr>
        <w:spacing w:line="360" w:lineRule="auto"/>
        <w:rPr>
          <w:rFonts w:hint="default" w:ascii="Arial" w:hAnsi="Arial" w:cs="Arial"/>
          <w:color w:val="auto"/>
          <w:spacing w:val="20"/>
          <w:szCs w:val="21"/>
          <w:highlight w:val="none"/>
        </w:rPr>
      </w:pPr>
    </w:p>
    <w:p>
      <w:pPr>
        <w:pStyle w:val="18"/>
        <w:rPr>
          <w:rFonts w:hint="default" w:ascii="Arial" w:hAnsi="Arial" w:cs="Arial"/>
          <w:color w:val="auto"/>
          <w:highlight w:val="none"/>
        </w:rPr>
      </w:pPr>
      <w:r>
        <w:rPr>
          <w:rFonts w:hint="default" w:ascii="Arial" w:hAnsi="Arial" w:cs="Arial"/>
          <w:color w:val="auto"/>
          <w:szCs w:val="21"/>
          <w:highlight w:val="none"/>
        </w:rPr>
        <w:t>注：本表如</w:t>
      </w:r>
      <w:r>
        <w:rPr>
          <w:rFonts w:hint="default" w:ascii="Arial" w:hAnsi="Arial" w:cs="Arial"/>
          <w:color w:val="auto"/>
          <w:highlight w:val="none"/>
        </w:rPr>
        <w:t>与广西政府采购云平台不一致的，以广西政府采购云平台为准。</w:t>
      </w:r>
    </w:p>
    <w:p>
      <w:pPr>
        <w:jc w:val="left"/>
        <w:rPr>
          <w:rFonts w:hint="default" w:ascii="Arial" w:hAnsi="Arial" w:cs="Arial"/>
          <w:color w:val="auto"/>
          <w:szCs w:val="21"/>
          <w:highlight w:val="none"/>
        </w:rPr>
      </w:pPr>
    </w:p>
    <w:p>
      <w:pPr>
        <w:spacing w:line="360" w:lineRule="auto"/>
        <w:rPr>
          <w:rFonts w:hint="default" w:ascii="Arial" w:hAnsi="Arial" w:cs="Arial"/>
          <w:color w:val="auto"/>
          <w:spacing w:val="20"/>
          <w:szCs w:val="21"/>
          <w:highlight w:val="none"/>
        </w:rPr>
      </w:pPr>
    </w:p>
    <w:p>
      <w:pPr>
        <w:spacing w:line="360" w:lineRule="auto"/>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pPr>
        <w:spacing w:line="360" w:lineRule="auto"/>
        <w:rPr>
          <w:rFonts w:hint="default" w:ascii="Arial" w:hAnsi="Arial" w:cs="Arial"/>
          <w:color w:val="auto"/>
          <w:spacing w:val="20"/>
          <w:szCs w:val="21"/>
          <w:highlight w:val="none"/>
          <w:u w:val="single"/>
        </w:rPr>
      </w:pPr>
      <w:r>
        <w:rPr>
          <w:rFonts w:hint="default" w:ascii="Arial" w:hAnsi="Arial" w:cs="Arial"/>
          <w:color w:val="auto"/>
          <w:szCs w:val="21"/>
          <w:highlight w:val="none"/>
        </w:rPr>
        <w:t>日  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日 </w:t>
      </w:r>
    </w:p>
    <w:p>
      <w:pPr>
        <w:snapToGrid w:val="0"/>
        <w:spacing w:before="50" w:after="120" w:afterLines="50"/>
        <w:jc w:val="left"/>
        <w:rPr>
          <w:rFonts w:hint="default" w:ascii="Arial" w:hAnsi="Arial" w:cs="Arial"/>
          <w:color w:val="auto"/>
          <w:szCs w:val="21"/>
          <w:highlight w:val="none"/>
        </w:rPr>
      </w:pPr>
    </w:p>
    <w:p>
      <w:pPr>
        <w:snapToGrid w:val="0"/>
        <w:spacing w:before="120" w:beforeLines="50" w:after="50" w:line="440" w:lineRule="exact"/>
        <w:jc w:val="left"/>
        <w:outlineLvl w:val="1"/>
        <w:rPr>
          <w:rFonts w:hint="default" w:ascii="Arial" w:hAnsi="Arial" w:cs="Arial"/>
          <w:color w:val="auto"/>
          <w:szCs w:val="21"/>
          <w:highlight w:val="none"/>
        </w:rPr>
      </w:pPr>
    </w:p>
    <w:p>
      <w:pPr>
        <w:spacing w:line="360" w:lineRule="auto"/>
        <w:rPr>
          <w:rFonts w:hint="default" w:ascii="Arial" w:hAnsi="Arial" w:cs="Arial"/>
          <w:color w:val="auto"/>
          <w:szCs w:val="21"/>
          <w:highlight w:val="none"/>
        </w:rPr>
      </w:pPr>
    </w:p>
    <w:p>
      <w:pPr>
        <w:widowControl/>
        <w:jc w:val="left"/>
        <w:outlineLvl w:val="1"/>
        <w:rPr>
          <w:rFonts w:hint="default" w:ascii="Arial" w:hAnsi="Arial" w:cs="Arial"/>
          <w:color w:val="auto"/>
          <w:szCs w:val="21"/>
          <w:highlight w:val="none"/>
        </w:rPr>
      </w:pPr>
      <w:r>
        <w:rPr>
          <w:rFonts w:hint="default" w:ascii="Arial" w:hAnsi="Arial" w:cs="Arial"/>
          <w:b/>
          <w:color w:val="auto"/>
          <w:szCs w:val="21"/>
          <w:highlight w:val="none"/>
        </w:rPr>
        <w:br w:type="page"/>
      </w:r>
      <w:bookmarkStart w:id="117" w:name="_Hlk89178503"/>
      <w:r>
        <w:rPr>
          <w:rFonts w:hint="default" w:ascii="Arial" w:hAnsi="Arial" w:cs="Arial"/>
          <w:color w:val="auto"/>
          <w:szCs w:val="21"/>
          <w:highlight w:val="none"/>
        </w:rPr>
        <w:t>4.开标一览表</w:t>
      </w:r>
    </w:p>
    <w:p>
      <w:pPr>
        <w:widowControl/>
        <w:jc w:val="left"/>
        <w:rPr>
          <w:rFonts w:hint="default" w:ascii="Arial" w:hAnsi="Arial" w:cs="Arial"/>
          <w:color w:val="auto"/>
          <w:szCs w:val="21"/>
          <w:highlight w:val="none"/>
        </w:rPr>
      </w:pPr>
    </w:p>
    <w:p>
      <w:pPr>
        <w:widowControl/>
        <w:jc w:val="left"/>
        <w:rPr>
          <w:rFonts w:hint="default" w:ascii="Arial" w:hAnsi="Arial" w:cs="Arial"/>
          <w:color w:val="auto"/>
          <w:szCs w:val="21"/>
          <w:highlight w:val="none"/>
        </w:rPr>
      </w:pPr>
    </w:p>
    <w:p>
      <w:pPr>
        <w:widowControl/>
        <w:jc w:val="left"/>
        <w:rPr>
          <w:rFonts w:hint="default" w:ascii="Arial" w:hAnsi="Arial" w:cs="Arial"/>
          <w:color w:val="auto"/>
          <w:szCs w:val="21"/>
          <w:highlight w:val="none"/>
        </w:rPr>
      </w:pPr>
    </w:p>
    <w:p>
      <w:pPr>
        <w:rPr>
          <w:rFonts w:hint="default" w:ascii="Arial" w:hAnsi="Arial" w:cs="Arial"/>
          <w:b/>
          <w:color w:val="auto"/>
          <w:szCs w:val="21"/>
          <w:highlight w:val="none"/>
        </w:rPr>
      </w:pPr>
    </w:p>
    <w:p>
      <w:pPr>
        <w:rPr>
          <w:rFonts w:hint="default" w:ascii="Arial" w:hAnsi="Arial" w:cs="Arial"/>
          <w:b/>
          <w:color w:val="auto"/>
          <w:szCs w:val="21"/>
          <w:highlight w:val="none"/>
        </w:rPr>
      </w:pPr>
    </w:p>
    <w:p>
      <w:pPr>
        <w:rPr>
          <w:rFonts w:hint="default" w:ascii="Arial" w:hAnsi="Arial" w:cs="Arial"/>
          <w:b/>
          <w:color w:val="auto"/>
          <w:szCs w:val="21"/>
          <w:highlight w:val="none"/>
        </w:rPr>
      </w:pPr>
      <w:r>
        <w:rPr>
          <w:rFonts w:hint="default" w:ascii="Arial" w:hAnsi="Arial" w:cs="Arial"/>
          <w:b/>
          <w:color w:val="auto"/>
          <w:szCs w:val="21"/>
          <w:highlight w:val="none"/>
        </w:rPr>
        <w:t>格式详见广西政府采购云平台，且仅在广西政府采购云平台填写即可。</w:t>
      </w:r>
    </w:p>
    <w:bookmarkEnd w:id="117"/>
    <w:p>
      <w:pPr>
        <w:widowControl/>
        <w:jc w:val="left"/>
        <w:rPr>
          <w:rFonts w:hint="default" w:ascii="Arial" w:hAnsi="Arial" w:cs="Arial"/>
          <w:color w:val="auto"/>
          <w:szCs w:val="21"/>
          <w:highlight w:val="none"/>
        </w:rPr>
      </w:pPr>
    </w:p>
    <w:p>
      <w:pPr>
        <w:rPr>
          <w:rFonts w:hint="default" w:ascii="Arial" w:hAnsi="Arial" w:cs="Arial"/>
          <w:b/>
          <w:color w:val="auto"/>
          <w:szCs w:val="21"/>
          <w:highlight w:val="none"/>
        </w:rPr>
      </w:pPr>
    </w:p>
    <w:sectPr>
      <w:headerReference r:id="rId15"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_x000B__x000C_">
    <w:altName w:val="Microsoft JhengHei Light"/>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00"/>
    <w:family w:val="modern"/>
    <w:pitch w:val="default"/>
    <w:sig w:usb0="00000000" w:usb1="00000000" w:usb2="00000010" w:usb3="00000000" w:csb0="00040000" w:csb1="00000000"/>
  </w:font>
  <w:font w:name="Wingdings 2">
    <w:panose1 w:val="05020102010507070707"/>
    <w:charset w:val="00"/>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r>
      <w:fldChar w:fldCharType="begin"/>
    </w:r>
    <w:r>
      <w:instrText xml:space="preserve">PAGE   \* MERGEFORMAT</w:instrText>
    </w:r>
    <w:r>
      <w:fldChar w:fldCharType="separate"/>
    </w:r>
    <w:r>
      <w:rPr>
        <w:lang w:val="zh-CN"/>
      </w:rPr>
      <w:t>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 xml:space="preserve">广西机电设备招标有限公司采购文件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 xml:space="preserve">广西机电设备招标有限公司采购文件                                                           </w:t>
    </w:r>
  </w:p>
  <w:p>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广西机电设备招标有限公司采购文件                                                     评审方法及标准</w:t>
    </w:r>
  </w:p>
  <w:p>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6132F"/>
    <w:multiLevelType w:val="singleLevel"/>
    <w:tmpl w:val="AFD6132F"/>
    <w:lvl w:ilvl="0" w:tentative="0">
      <w:start w:val="7"/>
      <w:numFmt w:val="decimal"/>
      <w:lvlText w:val="%1."/>
      <w:lvlJc w:val="left"/>
      <w:pPr>
        <w:tabs>
          <w:tab w:val="left" w:pos="312"/>
        </w:tabs>
      </w:pPr>
    </w:lvl>
  </w:abstractNum>
  <w:abstractNum w:abstractNumId="1">
    <w:nsid w:val="FFBD547C"/>
    <w:multiLevelType w:val="singleLevel"/>
    <w:tmpl w:val="FFBD547C"/>
    <w:lvl w:ilvl="0" w:tentative="0">
      <w:start w:val="2"/>
      <w:numFmt w:val="decimal"/>
      <w:lvlText w:val="%1."/>
      <w:lvlJc w:val="left"/>
      <w:pPr>
        <w:tabs>
          <w:tab w:val="left" w:pos="312"/>
        </w:tabs>
      </w:pPr>
    </w:lvl>
  </w:abstractNum>
  <w:abstractNum w:abstractNumId="2">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F1BED00"/>
    <w:multiLevelType w:val="singleLevel"/>
    <w:tmpl w:val="1F1BED00"/>
    <w:lvl w:ilvl="0" w:tentative="0">
      <w:start w:val="1"/>
      <w:numFmt w:val="decimal"/>
      <w:suff w:val="nothing"/>
      <w:lvlText w:val="%1、"/>
      <w:lvlJc w:val="left"/>
    </w:lvl>
  </w:abstractNum>
  <w:abstractNum w:abstractNumId="4">
    <w:nsid w:val="3FFBA1C8"/>
    <w:multiLevelType w:val="singleLevel"/>
    <w:tmpl w:val="3FFBA1C8"/>
    <w:lvl w:ilvl="0" w:tentative="0">
      <w:start w:val="2"/>
      <w:numFmt w:val="decimal"/>
      <w:lvlText w:val="%1."/>
      <w:lvlJc w:val="left"/>
      <w:pPr>
        <w:tabs>
          <w:tab w:val="left" w:pos="312"/>
        </w:tabs>
      </w:pPr>
    </w:lvl>
  </w:abstractNum>
  <w:abstractNum w:abstractNumId="5">
    <w:nsid w:val="53C1F9C3"/>
    <w:multiLevelType w:val="singleLevel"/>
    <w:tmpl w:val="53C1F9C3"/>
    <w:lvl w:ilvl="0" w:tentative="0">
      <w:start w:val="3"/>
      <w:numFmt w:val="chineseCounting"/>
      <w:suff w:val="space"/>
      <w:lvlText w:val="第%1章"/>
      <w:lvlJc w:val="left"/>
      <w:rPr>
        <w:rFonts w:hint="eastAsia"/>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72A27"/>
    <w:rsid w:val="000003EF"/>
    <w:rsid w:val="0000091B"/>
    <w:rsid w:val="00000D0A"/>
    <w:rsid w:val="00000D19"/>
    <w:rsid w:val="00000E1A"/>
    <w:rsid w:val="00001B3E"/>
    <w:rsid w:val="00001CD6"/>
    <w:rsid w:val="000027E5"/>
    <w:rsid w:val="00002DDA"/>
    <w:rsid w:val="00003DAE"/>
    <w:rsid w:val="000058D7"/>
    <w:rsid w:val="00005E55"/>
    <w:rsid w:val="00006E2C"/>
    <w:rsid w:val="000079FF"/>
    <w:rsid w:val="00007B0D"/>
    <w:rsid w:val="000102A9"/>
    <w:rsid w:val="00010AC4"/>
    <w:rsid w:val="00010B1A"/>
    <w:rsid w:val="00010CAB"/>
    <w:rsid w:val="00011D72"/>
    <w:rsid w:val="00012078"/>
    <w:rsid w:val="00012665"/>
    <w:rsid w:val="0001292D"/>
    <w:rsid w:val="00013139"/>
    <w:rsid w:val="0001371C"/>
    <w:rsid w:val="00013748"/>
    <w:rsid w:val="00013897"/>
    <w:rsid w:val="00013D41"/>
    <w:rsid w:val="000143A3"/>
    <w:rsid w:val="00014DD6"/>
    <w:rsid w:val="0001598C"/>
    <w:rsid w:val="000160DA"/>
    <w:rsid w:val="00016C31"/>
    <w:rsid w:val="00016E1D"/>
    <w:rsid w:val="000207AB"/>
    <w:rsid w:val="00020BB1"/>
    <w:rsid w:val="00020BF0"/>
    <w:rsid w:val="000215B7"/>
    <w:rsid w:val="000217BF"/>
    <w:rsid w:val="000217D7"/>
    <w:rsid w:val="00021C98"/>
    <w:rsid w:val="00021CCD"/>
    <w:rsid w:val="00021EE3"/>
    <w:rsid w:val="00022424"/>
    <w:rsid w:val="000228AB"/>
    <w:rsid w:val="000233CA"/>
    <w:rsid w:val="00023569"/>
    <w:rsid w:val="00023652"/>
    <w:rsid w:val="0002407B"/>
    <w:rsid w:val="00024593"/>
    <w:rsid w:val="00024633"/>
    <w:rsid w:val="0002560A"/>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56"/>
    <w:rsid w:val="000311F9"/>
    <w:rsid w:val="00031757"/>
    <w:rsid w:val="00032686"/>
    <w:rsid w:val="0003274B"/>
    <w:rsid w:val="00032AD8"/>
    <w:rsid w:val="000331CC"/>
    <w:rsid w:val="0003322E"/>
    <w:rsid w:val="00033927"/>
    <w:rsid w:val="000353A8"/>
    <w:rsid w:val="00035840"/>
    <w:rsid w:val="00035844"/>
    <w:rsid w:val="00036BAA"/>
    <w:rsid w:val="00037786"/>
    <w:rsid w:val="00037895"/>
    <w:rsid w:val="00037C63"/>
    <w:rsid w:val="00037CE4"/>
    <w:rsid w:val="00040187"/>
    <w:rsid w:val="00040505"/>
    <w:rsid w:val="00040AC1"/>
    <w:rsid w:val="000418B1"/>
    <w:rsid w:val="00042343"/>
    <w:rsid w:val="00042BF9"/>
    <w:rsid w:val="00043295"/>
    <w:rsid w:val="00045069"/>
    <w:rsid w:val="00045194"/>
    <w:rsid w:val="00045488"/>
    <w:rsid w:val="00045947"/>
    <w:rsid w:val="000462A8"/>
    <w:rsid w:val="00046360"/>
    <w:rsid w:val="0004653D"/>
    <w:rsid w:val="000465AB"/>
    <w:rsid w:val="00046E59"/>
    <w:rsid w:val="000472E6"/>
    <w:rsid w:val="00047522"/>
    <w:rsid w:val="000479CD"/>
    <w:rsid w:val="00047AA1"/>
    <w:rsid w:val="00047FA4"/>
    <w:rsid w:val="000500E6"/>
    <w:rsid w:val="000504FE"/>
    <w:rsid w:val="000505FF"/>
    <w:rsid w:val="00052A50"/>
    <w:rsid w:val="00052CE3"/>
    <w:rsid w:val="00053BFC"/>
    <w:rsid w:val="0005428F"/>
    <w:rsid w:val="00054870"/>
    <w:rsid w:val="00054ABD"/>
    <w:rsid w:val="00054F7D"/>
    <w:rsid w:val="00055230"/>
    <w:rsid w:val="00055408"/>
    <w:rsid w:val="00055557"/>
    <w:rsid w:val="00055A1D"/>
    <w:rsid w:val="00055A8A"/>
    <w:rsid w:val="00055B53"/>
    <w:rsid w:val="00055E6D"/>
    <w:rsid w:val="00055F06"/>
    <w:rsid w:val="0005625F"/>
    <w:rsid w:val="000563CB"/>
    <w:rsid w:val="0005649E"/>
    <w:rsid w:val="00056597"/>
    <w:rsid w:val="00056999"/>
    <w:rsid w:val="0005700C"/>
    <w:rsid w:val="00057393"/>
    <w:rsid w:val="00057E45"/>
    <w:rsid w:val="000606B6"/>
    <w:rsid w:val="00060C55"/>
    <w:rsid w:val="000616F0"/>
    <w:rsid w:val="00062637"/>
    <w:rsid w:val="000631AC"/>
    <w:rsid w:val="000631B7"/>
    <w:rsid w:val="000639D4"/>
    <w:rsid w:val="00064A48"/>
    <w:rsid w:val="00064C80"/>
    <w:rsid w:val="00065AB2"/>
    <w:rsid w:val="00065AB7"/>
    <w:rsid w:val="00065D71"/>
    <w:rsid w:val="000673D8"/>
    <w:rsid w:val="00067DE7"/>
    <w:rsid w:val="000706AC"/>
    <w:rsid w:val="00070950"/>
    <w:rsid w:val="000709D3"/>
    <w:rsid w:val="00070F5F"/>
    <w:rsid w:val="000712F8"/>
    <w:rsid w:val="00071A6A"/>
    <w:rsid w:val="00071C4A"/>
    <w:rsid w:val="00071C95"/>
    <w:rsid w:val="00071E9C"/>
    <w:rsid w:val="0007216A"/>
    <w:rsid w:val="000727A1"/>
    <w:rsid w:val="00072848"/>
    <w:rsid w:val="00072A95"/>
    <w:rsid w:val="00073F01"/>
    <w:rsid w:val="00074923"/>
    <w:rsid w:val="000750EA"/>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90053"/>
    <w:rsid w:val="000900DF"/>
    <w:rsid w:val="00090193"/>
    <w:rsid w:val="0009021F"/>
    <w:rsid w:val="000904E6"/>
    <w:rsid w:val="00091D8D"/>
    <w:rsid w:val="00092247"/>
    <w:rsid w:val="000928F1"/>
    <w:rsid w:val="00092EBA"/>
    <w:rsid w:val="00093149"/>
    <w:rsid w:val="00093DF8"/>
    <w:rsid w:val="000941F6"/>
    <w:rsid w:val="000945C5"/>
    <w:rsid w:val="00094784"/>
    <w:rsid w:val="00094ECF"/>
    <w:rsid w:val="0009592E"/>
    <w:rsid w:val="00096085"/>
    <w:rsid w:val="00096686"/>
    <w:rsid w:val="0009715C"/>
    <w:rsid w:val="000A10DB"/>
    <w:rsid w:val="000A1429"/>
    <w:rsid w:val="000A2040"/>
    <w:rsid w:val="000A2075"/>
    <w:rsid w:val="000A2968"/>
    <w:rsid w:val="000A3515"/>
    <w:rsid w:val="000A3518"/>
    <w:rsid w:val="000A4210"/>
    <w:rsid w:val="000A5BD9"/>
    <w:rsid w:val="000A60F5"/>
    <w:rsid w:val="000A6F1D"/>
    <w:rsid w:val="000A70C7"/>
    <w:rsid w:val="000A7238"/>
    <w:rsid w:val="000A791D"/>
    <w:rsid w:val="000B0698"/>
    <w:rsid w:val="000B09FE"/>
    <w:rsid w:val="000B15EF"/>
    <w:rsid w:val="000B2354"/>
    <w:rsid w:val="000B26D6"/>
    <w:rsid w:val="000B28C2"/>
    <w:rsid w:val="000B316D"/>
    <w:rsid w:val="000B3194"/>
    <w:rsid w:val="000B3B92"/>
    <w:rsid w:val="000B3CFE"/>
    <w:rsid w:val="000B46D1"/>
    <w:rsid w:val="000B4EF3"/>
    <w:rsid w:val="000B554C"/>
    <w:rsid w:val="000B59FF"/>
    <w:rsid w:val="000B5D87"/>
    <w:rsid w:val="000B6F18"/>
    <w:rsid w:val="000B7E6D"/>
    <w:rsid w:val="000C3038"/>
    <w:rsid w:val="000C32BD"/>
    <w:rsid w:val="000C350A"/>
    <w:rsid w:val="000C38C8"/>
    <w:rsid w:val="000C3CF9"/>
    <w:rsid w:val="000C4988"/>
    <w:rsid w:val="000C56F1"/>
    <w:rsid w:val="000C59D1"/>
    <w:rsid w:val="000C5D4B"/>
    <w:rsid w:val="000C645C"/>
    <w:rsid w:val="000C668C"/>
    <w:rsid w:val="000C6F35"/>
    <w:rsid w:val="000C7045"/>
    <w:rsid w:val="000C7170"/>
    <w:rsid w:val="000C757A"/>
    <w:rsid w:val="000C7D6E"/>
    <w:rsid w:val="000C7D9F"/>
    <w:rsid w:val="000C7FA4"/>
    <w:rsid w:val="000D1B95"/>
    <w:rsid w:val="000D22C7"/>
    <w:rsid w:val="000D2CE7"/>
    <w:rsid w:val="000D3E1B"/>
    <w:rsid w:val="000D4061"/>
    <w:rsid w:val="000D4860"/>
    <w:rsid w:val="000D48FB"/>
    <w:rsid w:val="000D4B4F"/>
    <w:rsid w:val="000D4E04"/>
    <w:rsid w:val="000D4EC1"/>
    <w:rsid w:val="000D55FD"/>
    <w:rsid w:val="000D5F99"/>
    <w:rsid w:val="000D6AC8"/>
    <w:rsid w:val="000D788F"/>
    <w:rsid w:val="000E01DF"/>
    <w:rsid w:val="000E0C33"/>
    <w:rsid w:val="000E1C04"/>
    <w:rsid w:val="000E2AD1"/>
    <w:rsid w:val="000E2BC5"/>
    <w:rsid w:val="000E3CD3"/>
    <w:rsid w:val="000E3D2F"/>
    <w:rsid w:val="000E4712"/>
    <w:rsid w:val="000E59A7"/>
    <w:rsid w:val="000E612C"/>
    <w:rsid w:val="000E6B93"/>
    <w:rsid w:val="000E6D38"/>
    <w:rsid w:val="000E72E7"/>
    <w:rsid w:val="000E72F6"/>
    <w:rsid w:val="000E739E"/>
    <w:rsid w:val="000E75B3"/>
    <w:rsid w:val="000E7C49"/>
    <w:rsid w:val="000E7CC8"/>
    <w:rsid w:val="000F19FC"/>
    <w:rsid w:val="000F1B78"/>
    <w:rsid w:val="000F1F2C"/>
    <w:rsid w:val="000F1F51"/>
    <w:rsid w:val="000F1FB0"/>
    <w:rsid w:val="000F2181"/>
    <w:rsid w:val="000F24AC"/>
    <w:rsid w:val="000F26B5"/>
    <w:rsid w:val="000F2BA5"/>
    <w:rsid w:val="000F2F60"/>
    <w:rsid w:val="000F4249"/>
    <w:rsid w:val="000F4B3A"/>
    <w:rsid w:val="000F5331"/>
    <w:rsid w:val="000F55C9"/>
    <w:rsid w:val="000F5E26"/>
    <w:rsid w:val="000F6242"/>
    <w:rsid w:val="000F6F32"/>
    <w:rsid w:val="000F7264"/>
    <w:rsid w:val="000F75A8"/>
    <w:rsid w:val="000F76E0"/>
    <w:rsid w:val="000F7F50"/>
    <w:rsid w:val="00100331"/>
    <w:rsid w:val="00101255"/>
    <w:rsid w:val="0010130E"/>
    <w:rsid w:val="001016BB"/>
    <w:rsid w:val="0010251A"/>
    <w:rsid w:val="00102BC3"/>
    <w:rsid w:val="001031AB"/>
    <w:rsid w:val="00103458"/>
    <w:rsid w:val="00104104"/>
    <w:rsid w:val="001046E8"/>
    <w:rsid w:val="00104AFF"/>
    <w:rsid w:val="001054C2"/>
    <w:rsid w:val="001055AB"/>
    <w:rsid w:val="00105A06"/>
    <w:rsid w:val="00107322"/>
    <w:rsid w:val="001073D4"/>
    <w:rsid w:val="00107893"/>
    <w:rsid w:val="001078F4"/>
    <w:rsid w:val="00110797"/>
    <w:rsid w:val="00111344"/>
    <w:rsid w:val="00111ECD"/>
    <w:rsid w:val="001121DD"/>
    <w:rsid w:val="00112DBF"/>
    <w:rsid w:val="00112DD2"/>
    <w:rsid w:val="00113646"/>
    <w:rsid w:val="0011487E"/>
    <w:rsid w:val="001150C7"/>
    <w:rsid w:val="0011545B"/>
    <w:rsid w:val="00116258"/>
    <w:rsid w:val="0011730E"/>
    <w:rsid w:val="00117559"/>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2ED8"/>
    <w:rsid w:val="0012405C"/>
    <w:rsid w:val="001241D1"/>
    <w:rsid w:val="00124985"/>
    <w:rsid w:val="001252EA"/>
    <w:rsid w:val="00125609"/>
    <w:rsid w:val="00126655"/>
    <w:rsid w:val="00126707"/>
    <w:rsid w:val="001269E0"/>
    <w:rsid w:val="00130116"/>
    <w:rsid w:val="0013190A"/>
    <w:rsid w:val="00131C94"/>
    <w:rsid w:val="00131DE6"/>
    <w:rsid w:val="00131EAD"/>
    <w:rsid w:val="001326DF"/>
    <w:rsid w:val="00132AD8"/>
    <w:rsid w:val="00132CCE"/>
    <w:rsid w:val="00133D01"/>
    <w:rsid w:val="00134510"/>
    <w:rsid w:val="00134BB0"/>
    <w:rsid w:val="0013590D"/>
    <w:rsid w:val="00136031"/>
    <w:rsid w:val="00136073"/>
    <w:rsid w:val="001361F7"/>
    <w:rsid w:val="00136606"/>
    <w:rsid w:val="00136806"/>
    <w:rsid w:val="001369A6"/>
    <w:rsid w:val="00136BD6"/>
    <w:rsid w:val="00136DBC"/>
    <w:rsid w:val="00136F77"/>
    <w:rsid w:val="001375DF"/>
    <w:rsid w:val="00137856"/>
    <w:rsid w:val="00137BD8"/>
    <w:rsid w:val="00137E9D"/>
    <w:rsid w:val="00140291"/>
    <w:rsid w:val="0014039E"/>
    <w:rsid w:val="001404CD"/>
    <w:rsid w:val="001409F5"/>
    <w:rsid w:val="00141083"/>
    <w:rsid w:val="001422D4"/>
    <w:rsid w:val="001442C2"/>
    <w:rsid w:val="001449E1"/>
    <w:rsid w:val="00144D5F"/>
    <w:rsid w:val="00146194"/>
    <w:rsid w:val="001461B6"/>
    <w:rsid w:val="0014647C"/>
    <w:rsid w:val="00147072"/>
    <w:rsid w:val="00147916"/>
    <w:rsid w:val="0014795D"/>
    <w:rsid w:val="001479AA"/>
    <w:rsid w:val="00147F00"/>
    <w:rsid w:val="00150564"/>
    <w:rsid w:val="001506A7"/>
    <w:rsid w:val="00150882"/>
    <w:rsid w:val="00150A4A"/>
    <w:rsid w:val="001518B5"/>
    <w:rsid w:val="00151BBA"/>
    <w:rsid w:val="0015252D"/>
    <w:rsid w:val="00152656"/>
    <w:rsid w:val="001526A2"/>
    <w:rsid w:val="00152C00"/>
    <w:rsid w:val="00152C2B"/>
    <w:rsid w:val="00152E98"/>
    <w:rsid w:val="00152EF3"/>
    <w:rsid w:val="00153084"/>
    <w:rsid w:val="00153E0A"/>
    <w:rsid w:val="00154304"/>
    <w:rsid w:val="0015430F"/>
    <w:rsid w:val="0015450A"/>
    <w:rsid w:val="0015477A"/>
    <w:rsid w:val="00154F0A"/>
    <w:rsid w:val="00155767"/>
    <w:rsid w:val="00156891"/>
    <w:rsid w:val="00156BA3"/>
    <w:rsid w:val="00157320"/>
    <w:rsid w:val="001579B9"/>
    <w:rsid w:val="001602EB"/>
    <w:rsid w:val="00160E27"/>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C81"/>
    <w:rsid w:val="00166EE6"/>
    <w:rsid w:val="001672AF"/>
    <w:rsid w:val="001677C3"/>
    <w:rsid w:val="00167AA5"/>
    <w:rsid w:val="00167B16"/>
    <w:rsid w:val="00170A14"/>
    <w:rsid w:val="0017112B"/>
    <w:rsid w:val="001722F7"/>
    <w:rsid w:val="0017260F"/>
    <w:rsid w:val="001726CF"/>
    <w:rsid w:val="00172B96"/>
    <w:rsid w:val="00172BAF"/>
    <w:rsid w:val="00172EC0"/>
    <w:rsid w:val="00173191"/>
    <w:rsid w:val="001731C7"/>
    <w:rsid w:val="00173637"/>
    <w:rsid w:val="001737FE"/>
    <w:rsid w:val="00173F09"/>
    <w:rsid w:val="00174193"/>
    <w:rsid w:val="0017426E"/>
    <w:rsid w:val="00175341"/>
    <w:rsid w:val="00176E50"/>
    <w:rsid w:val="00176FB5"/>
    <w:rsid w:val="0017723E"/>
    <w:rsid w:val="001775DA"/>
    <w:rsid w:val="00177959"/>
    <w:rsid w:val="00177AD0"/>
    <w:rsid w:val="001804A1"/>
    <w:rsid w:val="00181135"/>
    <w:rsid w:val="00181344"/>
    <w:rsid w:val="00181C0B"/>
    <w:rsid w:val="00182382"/>
    <w:rsid w:val="00182DF8"/>
    <w:rsid w:val="00185AA7"/>
    <w:rsid w:val="00185D27"/>
    <w:rsid w:val="00187892"/>
    <w:rsid w:val="00187DFB"/>
    <w:rsid w:val="00190463"/>
    <w:rsid w:val="0019066F"/>
    <w:rsid w:val="00191323"/>
    <w:rsid w:val="00191435"/>
    <w:rsid w:val="00192213"/>
    <w:rsid w:val="001927A2"/>
    <w:rsid w:val="001927AF"/>
    <w:rsid w:val="00192C82"/>
    <w:rsid w:val="0019335B"/>
    <w:rsid w:val="00193A21"/>
    <w:rsid w:val="0019423A"/>
    <w:rsid w:val="0019513C"/>
    <w:rsid w:val="00195648"/>
    <w:rsid w:val="001959DC"/>
    <w:rsid w:val="00195B41"/>
    <w:rsid w:val="00195F44"/>
    <w:rsid w:val="00196019"/>
    <w:rsid w:val="00196C83"/>
    <w:rsid w:val="00196E92"/>
    <w:rsid w:val="00197054"/>
    <w:rsid w:val="001A0896"/>
    <w:rsid w:val="001A14B5"/>
    <w:rsid w:val="001A21A3"/>
    <w:rsid w:val="001A315B"/>
    <w:rsid w:val="001A3856"/>
    <w:rsid w:val="001A3F6D"/>
    <w:rsid w:val="001A4201"/>
    <w:rsid w:val="001A43A8"/>
    <w:rsid w:val="001A4C94"/>
    <w:rsid w:val="001A5CDB"/>
    <w:rsid w:val="001A5DA1"/>
    <w:rsid w:val="001A5DB5"/>
    <w:rsid w:val="001A5F35"/>
    <w:rsid w:val="001A63AC"/>
    <w:rsid w:val="001A775C"/>
    <w:rsid w:val="001A7CBA"/>
    <w:rsid w:val="001B05F1"/>
    <w:rsid w:val="001B0EC1"/>
    <w:rsid w:val="001B1736"/>
    <w:rsid w:val="001B1AE6"/>
    <w:rsid w:val="001B1FAA"/>
    <w:rsid w:val="001B20F1"/>
    <w:rsid w:val="001B32D3"/>
    <w:rsid w:val="001B32E4"/>
    <w:rsid w:val="001B35B1"/>
    <w:rsid w:val="001B3778"/>
    <w:rsid w:val="001B3E30"/>
    <w:rsid w:val="001B3E4A"/>
    <w:rsid w:val="001B4ED3"/>
    <w:rsid w:val="001B50CC"/>
    <w:rsid w:val="001B5355"/>
    <w:rsid w:val="001B555B"/>
    <w:rsid w:val="001B6049"/>
    <w:rsid w:val="001B60D4"/>
    <w:rsid w:val="001B6436"/>
    <w:rsid w:val="001B6482"/>
    <w:rsid w:val="001B66F9"/>
    <w:rsid w:val="001B7014"/>
    <w:rsid w:val="001B7A12"/>
    <w:rsid w:val="001B7C32"/>
    <w:rsid w:val="001B7CBF"/>
    <w:rsid w:val="001B7F9E"/>
    <w:rsid w:val="001C148A"/>
    <w:rsid w:val="001C15DB"/>
    <w:rsid w:val="001C1814"/>
    <w:rsid w:val="001C1860"/>
    <w:rsid w:val="001C3B66"/>
    <w:rsid w:val="001C3D80"/>
    <w:rsid w:val="001C4361"/>
    <w:rsid w:val="001C47AB"/>
    <w:rsid w:val="001C51A3"/>
    <w:rsid w:val="001C5358"/>
    <w:rsid w:val="001C56D1"/>
    <w:rsid w:val="001C59AB"/>
    <w:rsid w:val="001C6154"/>
    <w:rsid w:val="001C6921"/>
    <w:rsid w:val="001C7733"/>
    <w:rsid w:val="001C7A8C"/>
    <w:rsid w:val="001D15D9"/>
    <w:rsid w:val="001D1930"/>
    <w:rsid w:val="001D238A"/>
    <w:rsid w:val="001D23EF"/>
    <w:rsid w:val="001D3534"/>
    <w:rsid w:val="001D4681"/>
    <w:rsid w:val="001D537F"/>
    <w:rsid w:val="001D678A"/>
    <w:rsid w:val="001D723E"/>
    <w:rsid w:val="001D766D"/>
    <w:rsid w:val="001D7681"/>
    <w:rsid w:val="001D7D16"/>
    <w:rsid w:val="001E0464"/>
    <w:rsid w:val="001E131D"/>
    <w:rsid w:val="001E1AA9"/>
    <w:rsid w:val="001E1FA3"/>
    <w:rsid w:val="001E1FBB"/>
    <w:rsid w:val="001E21AC"/>
    <w:rsid w:val="001E2434"/>
    <w:rsid w:val="001E24A4"/>
    <w:rsid w:val="001E28CC"/>
    <w:rsid w:val="001E321D"/>
    <w:rsid w:val="001E38B1"/>
    <w:rsid w:val="001E3FEB"/>
    <w:rsid w:val="001E478C"/>
    <w:rsid w:val="001E4C00"/>
    <w:rsid w:val="001E4D12"/>
    <w:rsid w:val="001E4D56"/>
    <w:rsid w:val="001E5A07"/>
    <w:rsid w:val="001E5B91"/>
    <w:rsid w:val="001E5FDE"/>
    <w:rsid w:val="001E697B"/>
    <w:rsid w:val="001E72E0"/>
    <w:rsid w:val="001F0064"/>
    <w:rsid w:val="001F036C"/>
    <w:rsid w:val="001F09D1"/>
    <w:rsid w:val="001F16DF"/>
    <w:rsid w:val="001F17B3"/>
    <w:rsid w:val="001F1960"/>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0E06"/>
    <w:rsid w:val="002014F7"/>
    <w:rsid w:val="00202576"/>
    <w:rsid w:val="00202B50"/>
    <w:rsid w:val="00202EF9"/>
    <w:rsid w:val="00203204"/>
    <w:rsid w:val="00203236"/>
    <w:rsid w:val="002036E8"/>
    <w:rsid w:val="00203894"/>
    <w:rsid w:val="00203999"/>
    <w:rsid w:val="00203B3F"/>
    <w:rsid w:val="00203F11"/>
    <w:rsid w:val="002048AD"/>
    <w:rsid w:val="0020494A"/>
    <w:rsid w:val="00204EFB"/>
    <w:rsid w:val="002051F7"/>
    <w:rsid w:val="0020531C"/>
    <w:rsid w:val="00205C3B"/>
    <w:rsid w:val="00205EF5"/>
    <w:rsid w:val="002067D2"/>
    <w:rsid w:val="0020708A"/>
    <w:rsid w:val="00207642"/>
    <w:rsid w:val="00207AE2"/>
    <w:rsid w:val="00207F6A"/>
    <w:rsid w:val="00210256"/>
    <w:rsid w:val="00210394"/>
    <w:rsid w:val="0021070D"/>
    <w:rsid w:val="0021076E"/>
    <w:rsid w:val="00212B08"/>
    <w:rsid w:val="00213289"/>
    <w:rsid w:val="002132DA"/>
    <w:rsid w:val="00213825"/>
    <w:rsid w:val="00214189"/>
    <w:rsid w:val="00214ADD"/>
    <w:rsid w:val="00214F82"/>
    <w:rsid w:val="0021525B"/>
    <w:rsid w:val="002153E3"/>
    <w:rsid w:val="00215A0D"/>
    <w:rsid w:val="00215D15"/>
    <w:rsid w:val="00216B19"/>
    <w:rsid w:val="00216CCC"/>
    <w:rsid w:val="00216E16"/>
    <w:rsid w:val="0021738B"/>
    <w:rsid w:val="00220082"/>
    <w:rsid w:val="00220248"/>
    <w:rsid w:val="002203BD"/>
    <w:rsid w:val="00220776"/>
    <w:rsid w:val="0022128D"/>
    <w:rsid w:val="00222027"/>
    <w:rsid w:val="002221C3"/>
    <w:rsid w:val="0022228E"/>
    <w:rsid w:val="002223BA"/>
    <w:rsid w:val="002225A8"/>
    <w:rsid w:val="0022299A"/>
    <w:rsid w:val="00222B91"/>
    <w:rsid w:val="002230FD"/>
    <w:rsid w:val="002232B3"/>
    <w:rsid w:val="002242DB"/>
    <w:rsid w:val="00224756"/>
    <w:rsid w:val="00224878"/>
    <w:rsid w:val="0022514D"/>
    <w:rsid w:val="00225366"/>
    <w:rsid w:val="002253A0"/>
    <w:rsid w:val="00225495"/>
    <w:rsid w:val="00225CEE"/>
    <w:rsid w:val="00226447"/>
    <w:rsid w:val="002266DB"/>
    <w:rsid w:val="00226894"/>
    <w:rsid w:val="002268B0"/>
    <w:rsid w:val="00227577"/>
    <w:rsid w:val="002277E9"/>
    <w:rsid w:val="00227A5A"/>
    <w:rsid w:val="002301C5"/>
    <w:rsid w:val="002303A6"/>
    <w:rsid w:val="00230894"/>
    <w:rsid w:val="002308E9"/>
    <w:rsid w:val="00231775"/>
    <w:rsid w:val="00231B36"/>
    <w:rsid w:val="00231F9E"/>
    <w:rsid w:val="00232498"/>
    <w:rsid w:val="0023254E"/>
    <w:rsid w:val="00232918"/>
    <w:rsid w:val="00232D34"/>
    <w:rsid w:val="00232D45"/>
    <w:rsid w:val="0023350C"/>
    <w:rsid w:val="00233E70"/>
    <w:rsid w:val="002340AC"/>
    <w:rsid w:val="00234281"/>
    <w:rsid w:val="00234FD3"/>
    <w:rsid w:val="00236B90"/>
    <w:rsid w:val="002371BF"/>
    <w:rsid w:val="00237A87"/>
    <w:rsid w:val="002404C3"/>
    <w:rsid w:val="00241129"/>
    <w:rsid w:val="00241840"/>
    <w:rsid w:val="00241C36"/>
    <w:rsid w:val="002427EB"/>
    <w:rsid w:val="002427F0"/>
    <w:rsid w:val="002428BD"/>
    <w:rsid w:val="00242E09"/>
    <w:rsid w:val="00243214"/>
    <w:rsid w:val="002432B7"/>
    <w:rsid w:val="002440B2"/>
    <w:rsid w:val="002458CE"/>
    <w:rsid w:val="00245FBA"/>
    <w:rsid w:val="00246513"/>
    <w:rsid w:val="002465BE"/>
    <w:rsid w:val="00246B1D"/>
    <w:rsid w:val="00247439"/>
    <w:rsid w:val="00247BDE"/>
    <w:rsid w:val="0025009E"/>
    <w:rsid w:val="002507C4"/>
    <w:rsid w:val="00250B11"/>
    <w:rsid w:val="00251A50"/>
    <w:rsid w:val="00251EB3"/>
    <w:rsid w:val="00252473"/>
    <w:rsid w:val="00252737"/>
    <w:rsid w:val="00253254"/>
    <w:rsid w:val="0025329B"/>
    <w:rsid w:val="002538BA"/>
    <w:rsid w:val="00253EC4"/>
    <w:rsid w:val="0025418A"/>
    <w:rsid w:val="00254240"/>
    <w:rsid w:val="002550DC"/>
    <w:rsid w:val="00255BC2"/>
    <w:rsid w:val="00255BC8"/>
    <w:rsid w:val="00256539"/>
    <w:rsid w:val="00256D0C"/>
    <w:rsid w:val="00256DEA"/>
    <w:rsid w:val="00257C49"/>
    <w:rsid w:val="0026072F"/>
    <w:rsid w:val="00260952"/>
    <w:rsid w:val="00261192"/>
    <w:rsid w:val="00261857"/>
    <w:rsid w:val="00261A11"/>
    <w:rsid w:val="00261CB5"/>
    <w:rsid w:val="002625F2"/>
    <w:rsid w:val="00263413"/>
    <w:rsid w:val="0026431A"/>
    <w:rsid w:val="002644A4"/>
    <w:rsid w:val="0026452D"/>
    <w:rsid w:val="00265066"/>
    <w:rsid w:val="00265C93"/>
    <w:rsid w:val="00266300"/>
    <w:rsid w:val="00266926"/>
    <w:rsid w:val="00271150"/>
    <w:rsid w:val="00272E65"/>
    <w:rsid w:val="00274025"/>
    <w:rsid w:val="00274041"/>
    <w:rsid w:val="002747CC"/>
    <w:rsid w:val="00274830"/>
    <w:rsid w:val="00274A77"/>
    <w:rsid w:val="00274DF9"/>
    <w:rsid w:val="00275170"/>
    <w:rsid w:val="00275D77"/>
    <w:rsid w:val="00276E7A"/>
    <w:rsid w:val="002775AA"/>
    <w:rsid w:val="002778F2"/>
    <w:rsid w:val="00277F52"/>
    <w:rsid w:val="002809A3"/>
    <w:rsid w:val="00280E4E"/>
    <w:rsid w:val="00281979"/>
    <w:rsid w:val="00281E85"/>
    <w:rsid w:val="002837F8"/>
    <w:rsid w:val="00283ACF"/>
    <w:rsid w:val="00283C99"/>
    <w:rsid w:val="0028473D"/>
    <w:rsid w:val="00284850"/>
    <w:rsid w:val="00284AC7"/>
    <w:rsid w:val="00284D22"/>
    <w:rsid w:val="00284EAF"/>
    <w:rsid w:val="00285326"/>
    <w:rsid w:val="00285DE8"/>
    <w:rsid w:val="00286FB4"/>
    <w:rsid w:val="00290891"/>
    <w:rsid w:val="00291DA9"/>
    <w:rsid w:val="00292097"/>
    <w:rsid w:val="00292773"/>
    <w:rsid w:val="002927AC"/>
    <w:rsid w:val="0029469F"/>
    <w:rsid w:val="00294704"/>
    <w:rsid w:val="00294C20"/>
    <w:rsid w:val="00295405"/>
    <w:rsid w:val="002954FB"/>
    <w:rsid w:val="0029618D"/>
    <w:rsid w:val="002965BA"/>
    <w:rsid w:val="00296814"/>
    <w:rsid w:val="00296FE0"/>
    <w:rsid w:val="0029716C"/>
    <w:rsid w:val="002A0DD4"/>
    <w:rsid w:val="002A15A6"/>
    <w:rsid w:val="002A2537"/>
    <w:rsid w:val="002A2AB8"/>
    <w:rsid w:val="002A2B8E"/>
    <w:rsid w:val="002A2FD5"/>
    <w:rsid w:val="002A5126"/>
    <w:rsid w:val="002A518E"/>
    <w:rsid w:val="002A5948"/>
    <w:rsid w:val="002A59E9"/>
    <w:rsid w:val="002A64F2"/>
    <w:rsid w:val="002A6590"/>
    <w:rsid w:val="002A7478"/>
    <w:rsid w:val="002A7B26"/>
    <w:rsid w:val="002B01AD"/>
    <w:rsid w:val="002B047F"/>
    <w:rsid w:val="002B0E8A"/>
    <w:rsid w:val="002B0F54"/>
    <w:rsid w:val="002B17AC"/>
    <w:rsid w:val="002B2D78"/>
    <w:rsid w:val="002B32C9"/>
    <w:rsid w:val="002B3736"/>
    <w:rsid w:val="002B389E"/>
    <w:rsid w:val="002B3B60"/>
    <w:rsid w:val="002B4054"/>
    <w:rsid w:val="002B46FF"/>
    <w:rsid w:val="002B497D"/>
    <w:rsid w:val="002B4B1F"/>
    <w:rsid w:val="002B4D0E"/>
    <w:rsid w:val="002B542A"/>
    <w:rsid w:val="002B5495"/>
    <w:rsid w:val="002B54C5"/>
    <w:rsid w:val="002B55E5"/>
    <w:rsid w:val="002B57A9"/>
    <w:rsid w:val="002B5B9E"/>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1E27"/>
    <w:rsid w:val="002C2CCD"/>
    <w:rsid w:val="002C2F7F"/>
    <w:rsid w:val="002C2FB4"/>
    <w:rsid w:val="002C2FD3"/>
    <w:rsid w:val="002C30A3"/>
    <w:rsid w:val="002C31D8"/>
    <w:rsid w:val="002C3337"/>
    <w:rsid w:val="002C35FE"/>
    <w:rsid w:val="002C3683"/>
    <w:rsid w:val="002C369F"/>
    <w:rsid w:val="002C3A79"/>
    <w:rsid w:val="002C3BA9"/>
    <w:rsid w:val="002C4B65"/>
    <w:rsid w:val="002C6684"/>
    <w:rsid w:val="002C6840"/>
    <w:rsid w:val="002C6DC2"/>
    <w:rsid w:val="002C6DDA"/>
    <w:rsid w:val="002C70E0"/>
    <w:rsid w:val="002C713E"/>
    <w:rsid w:val="002D053D"/>
    <w:rsid w:val="002D0B99"/>
    <w:rsid w:val="002D1936"/>
    <w:rsid w:val="002D1CE8"/>
    <w:rsid w:val="002D2FB2"/>
    <w:rsid w:val="002D3782"/>
    <w:rsid w:val="002D3789"/>
    <w:rsid w:val="002D3CE3"/>
    <w:rsid w:val="002D48E6"/>
    <w:rsid w:val="002D4DBC"/>
    <w:rsid w:val="002D5B16"/>
    <w:rsid w:val="002D769A"/>
    <w:rsid w:val="002D7789"/>
    <w:rsid w:val="002D77B7"/>
    <w:rsid w:val="002D7CC4"/>
    <w:rsid w:val="002D7DBC"/>
    <w:rsid w:val="002E0C21"/>
    <w:rsid w:val="002E0FA4"/>
    <w:rsid w:val="002E192A"/>
    <w:rsid w:val="002E241A"/>
    <w:rsid w:val="002E2471"/>
    <w:rsid w:val="002E2B84"/>
    <w:rsid w:val="002E300A"/>
    <w:rsid w:val="002E30AC"/>
    <w:rsid w:val="002E3543"/>
    <w:rsid w:val="002E3B82"/>
    <w:rsid w:val="002E3C6A"/>
    <w:rsid w:val="002E3C95"/>
    <w:rsid w:val="002E3FAB"/>
    <w:rsid w:val="002E40D7"/>
    <w:rsid w:val="002E4BB3"/>
    <w:rsid w:val="002E5F0D"/>
    <w:rsid w:val="002E67C6"/>
    <w:rsid w:val="002E6EE7"/>
    <w:rsid w:val="002F0A79"/>
    <w:rsid w:val="002F0C6B"/>
    <w:rsid w:val="002F1884"/>
    <w:rsid w:val="002F1A12"/>
    <w:rsid w:val="002F1BB7"/>
    <w:rsid w:val="002F1CD0"/>
    <w:rsid w:val="002F1D5C"/>
    <w:rsid w:val="002F207F"/>
    <w:rsid w:val="002F24AF"/>
    <w:rsid w:val="002F3259"/>
    <w:rsid w:val="002F32ED"/>
    <w:rsid w:val="002F3799"/>
    <w:rsid w:val="002F43B6"/>
    <w:rsid w:val="002F49F9"/>
    <w:rsid w:val="002F4E60"/>
    <w:rsid w:val="002F515D"/>
    <w:rsid w:val="002F544D"/>
    <w:rsid w:val="002F594A"/>
    <w:rsid w:val="002F5BC1"/>
    <w:rsid w:val="002F6673"/>
    <w:rsid w:val="002F66DB"/>
    <w:rsid w:val="002F683E"/>
    <w:rsid w:val="002F689E"/>
    <w:rsid w:val="002F7EB8"/>
    <w:rsid w:val="003002C9"/>
    <w:rsid w:val="0030086D"/>
    <w:rsid w:val="00300D86"/>
    <w:rsid w:val="003017E1"/>
    <w:rsid w:val="00302F6A"/>
    <w:rsid w:val="00303B54"/>
    <w:rsid w:val="003040C0"/>
    <w:rsid w:val="00305CC7"/>
    <w:rsid w:val="00305F62"/>
    <w:rsid w:val="0030688B"/>
    <w:rsid w:val="00306AB8"/>
    <w:rsid w:val="003074FD"/>
    <w:rsid w:val="003076D7"/>
    <w:rsid w:val="00307A2D"/>
    <w:rsid w:val="00310204"/>
    <w:rsid w:val="00310272"/>
    <w:rsid w:val="0031058E"/>
    <w:rsid w:val="00310D86"/>
    <w:rsid w:val="00310F34"/>
    <w:rsid w:val="00311504"/>
    <w:rsid w:val="00311CB0"/>
    <w:rsid w:val="00311FD9"/>
    <w:rsid w:val="00312AF6"/>
    <w:rsid w:val="00312CB7"/>
    <w:rsid w:val="00312E68"/>
    <w:rsid w:val="0031351A"/>
    <w:rsid w:val="0031373F"/>
    <w:rsid w:val="00314711"/>
    <w:rsid w:val="003150BA"/>
    <w:rsid w:val="003161E5"/>
    <w:rsid w:val="00316C18"/>
    <w:rsid w:val="00317071"/>
    <w:rsid w:val="003170F2"/>
    <w:rsid w:val="00317B38"/>
    <w:rsid w:val="0032028C"/>
    <w:rsid w:val="003204DA"/>
    <w:rsid w:val="00320582"/>
    <w:rsid w:val="003206BE"/>
    <w:rsid w:val="00321282"/>
    <w:rsid w:val="0032130E"/>
    <w:rsid w:val="0032187E"/>
    <w:rsid w:val="003218EA"/>
    <w:rsid w:val="00321F93"/>
    <w:rsid w:val="003223D4"/>
    <w:rsid w:val="0032278A"/>
    <w:rsid w:val="0032279E"/>
    <w:rsid w:val="00322A25"/>
    <w:rsid w:val="0032318E"/>
    <w:rsid w:val="0032373F"/>
    <w:rsid w:val="00324A14"/>
    <w:rsid w:val="00325668"/>
    <w:rsid w:val="00326266"/>
    <w:rsid w:val="003262AB"/>
    <w:rsid w:val="0032659C"/>
    <w:rsid w:val="00327292"/>
    <w:rsid w:val="003272FD"/>
    <w:rsid w:val="0032744E"/>
    <w:rsid w:val="00327480"/>
    <w:rsid w:val="00327554"/>
    <w:rsid w:val="003279B6"/>
    <w:rsid w:val="00330A37"/>
    <w:rsid w:val="00330B81"/>
    <w:rsid w:val="00332EBA"/>
    <w:rsid w:val="00333A15"/>
    <w:rsid w:val="00333A67"/>
    <w:rsid w:val="00333A6D"/>
    <w:rsid w:val="00333F1D"/>
    <w:rsid w:val="00333F82"/>
    <w:rsid w:val="00335776"/>
    <w:rsid w:val="00336075"/>
    <w:rsid w:val="00336AA6"/>
    <w:rsid w:val="0033731A"/>
    <w:rsid w:val="003374B9"/>
    <w:rsid w:val="003375AB"/>
    <w:rsid w:val="003378B1"/>
    <w:rsid w:val="003408E2"/>
    <w:rsid w:val="003415A2"/>
    <w:rsid w:val="003419D5"/>
    <w:rsid w:val="003428BF"/>
    <w:rsid w:val="0034312D"/>
    <w:rsid w:val="0034330F"/>
    <w:rsid w:val="00343669"/>
    <w:rsid w:val="00343C67"/>
    <w:rsid w:val="0034413A"/>
    <w:rsid w:val="0034421D"/>
    <w:rsid w:val="00344BA3"/>
    <w:rsid w:val="00344BDC"/>
    <w:rsid w:val="00344D5E"/>
    <w:rsid w:val="00345475"/>
    <w:rsid w:val="00346AE5"/>
    <w:rsid w:val="00346C56"/>
    <w:rsid w:val="00347782"/>
    <w:rsid w:val="0034779A"/>
    <w:rsid w:val="00347D51"/>
    <w:rsid w:val="00347E11"/>
    <w:rsid w:val="00350268"/>
    <w:rsid w:val="00350594"/>
    <w:rsid w:val="003507AE"/>
    <w:rsid w:val="003511D2"/>
    <w:rsid w:val="003518DC"/>
    <w:rsid w:val="00351B25"/>
    <w:rsid w:val="00352523"/>
    <w:rsid w:val="00352542"/>
    <w:rsid w:val="0035274B"/>
    <w:rsid w:val="00352E7B"/>
    <w:rsid w:val="00353146"/>
    <w:rsid w:val="0035326A"/>
    <w:rsid w:val="0035327A"/>
    <w:rsid w:val="003534CB"/>
    <w:rsid w:val="0035375B"/>
    <w:rsid w:val="00353FC5"/>
    <w:rsid w:val="00354407"/>
    <w:rsid w:val="00354730"/>
    <w:rsid w:val="003547FD"/>
    <w:rsid w:val="0035516A"/>
    <w:rsid w:val="003555CF"/>
    <w:rsid w:val="00355AD7"/>
    <w:rsid w:val="00355B59"/>
    <w:rsid w:val="0035620E"/>
    <w:rsid w:val="003564B6"/>
    <w:rsid w:val="0035669E"/>
    <w:rsid w:val="003574FA"/>
    <w:rsid w:val="00357518"/>
    <w:rsid w:val="0035773F"/>
    <w:rsid w:val="00357C05"/>
    <w:rsid w:val="00357DE5"/>
    <w:rsid w:val="0036071E"/>
    <w:rsid w:val="00360B3F"/>
    <w:rsid w:val="00360B9B"/>
    <w:rsid w:val="00360E9D"/>
    <w:rsid w:val="0036394D"/>
    <w:rsid w:val="00363B12"/>
    <w:rsid w:val="0036423C"/>
    <w:rsid w:val="003648BB"/>
    <w:rsid w:val="00364B4C"/>
    <w:rsid w:val="00364B96"/>
    <w:rsid w:val="00364C38"/>
    <w:rsid w:val="00364D59"/>
    <w:rsid w:val="003654BE"/>
    <w:rsid w:val="003654DD"/>
    <w:rsid w:val="00365D2E"/>
    <w:rsid w:val="00365DBB"/>
    <w:rsid w:val="003673E6"/>
    <w:rsid w:val="003673EE"/>
    <w:rsid w:val="003675F0"/>
    <w:rsid w:val="00367A90"/>
    <w:rsid w:val="003703EC"/>
    <w:rsid w:val="00370963"/>
    <w:rsid w:val="00371009"/>
    <w:rsid w:val="00371BC4"/>
    <w:rsid w:val="003722E8"/>
    <w:rsid w:val="00372733"/>
    <w:rsid w:val="0037280D"/>
    <w:rsid w:val="00372888"/>
    <w:rsid w:val="003728E1"/>
    <w:rsid w:val="00372C4C"/>
    <w:rsid w:val="0037305D"/>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E8F"/>
    <w:rsid w:val="00381F75"/>
    <w:rsid w:val="0038248C"/>
    <w:rsid w:val="0038294D"/>
    <w:rsid w:val="003837C1"/>
    <w:rsid w:val="00383E24"/>
    <w:rsid w:val="00383F00"/>
    <w:rsid w:val="00384837"/>
    <w:rsid w:val="003856C6"/>
    <w:rsid w:val="00385E50"/>
    <w:rsid w:val="0038685F"/>
    <w:rsid w:val="00386B43"/>
    <w:rsid w:val="00386CBA"/>
    <w:rsid w:val="00386FC4"/>
    <w:rsid w:val="00391901"/>
    <w:rsid w:val="00391AC1"/>
    <w:rsid w:val="00391B2B"/>
    <w:rsid w:val="003923E6"/>
    <w:rsid w:val="00393FE9"/>
    <w:rsid w:val="0039476B"/>
    <w:rsid w:val="00396113"/>
    <w:rsid w:val="0039618A"/>
    <w:rsid w:val="00396F26"/>
    <w:rsid w:val="003973FD"/>
    <w:rsid w:val="00397413"/>
    <w:rsid w:val="003976E4"/>
    <w:rsid w:val="00397E21"/>
    <w:rsid w:val="00397FDC"/>
    <w:rsid w:val="003A04AE"/>
    <w:rsid w:val="003A0667"/>
    <w:rsid w:val="003A19D6"/>
    <w:rsid w:val="003A22AE"/>
    <w:rsid w:val="003A2D4E"/>
    <w:rsid w:val="003A3116"/>
    <w:rsid w:val="003A3999"/>
    <w:rsid w:val="003A4462"/>
    <w:rsid w:val="003A4663"/>
    <w:rsid w:val="003A4BFF"/>
    <w:rsid w:val="003A4DB8"/>
    <w:rsid w:val="003A4F4E"/>
    <w:rsid w:val="003A57E7"/>
    <w:rsid w:val="003A5B2B"/>
    <w:rsid w:val="003A5D90"/>
    <w:rsid w:val="003A62DA"/>
    <w:rsid w:val="003A7B14"/>
    <w:rsid w:val="003A7B7B"/>
    <w:rsid w:val="003A7D2A"/>
    <w:rsid w:val="003A7D38"/>
    <w:rsid w:val="003B08CD"/>
    <w:rsid w:val="003B14FD"/>
    <w:rsid w:val="003B1805"/>
    <w:rsid w:val="003B1EE9"/>
    <w:rsid w:val="003B2427"/>
    <w:rsid w:val="003B2D7D"/>
    <w:rsid w:val="003B3E12"/>
    <w:rsid w:val="003B4696"/>
    <w:rsid w:val="003B4E65"/>
    <w:rsid w:val="003B4EB6"/>
    <w:rsid w:val="003B6031"/>
    <w:rsid w:val="003B6E81"/>
    <w:rsid w:val="003B77E5"/>
    <w:rsid w:val="003B7E05"/>
    <w:rsid w:val="003C02B7"/>
    <w:rsid w:val="003C052A"/>
    <w:rsid w:val="003C131E"/>
    <w:rsid w:val="003C19A5"/>
    <w:rsid w:val="003C1C85"/>
    <w:rsid w:val="003C1F69"/>
    <w:rsid w:val="003C2450"/>
    <w:rsid w:val="003C2FEB"/>
    <w:rsid w:val="003C3516"/>
    <w:rsid w:val="003C3701"/>
    <w:rsid w:val="003C3A2A"/>
    <w:rsid w:val="003C3BB8"/>
    <w:rsid w:val="003C3E7F"/>
    <w:rsid w:val="003C4482"/>
    <w:rsid w:val="003C47C6"/>
    <w:rsid w:val="003C5260"/>
    <w:rsid w:val="003C612F"/>
    <w:rsid w:val="003C6468"/>
    <w:rsid w:val="003D0AF6"/>
    <w:rsid w:val="003D0BFD"/>
    <w:rsid w:val="003D11D9"/>
    <w:rsid w:val="003D13EB"/>
    <w:rsid w:val="003D14C5"/>
    <w:rsid w:val="003D1E5A"/>
    <w:rsid w:val="003D32C5"/>
    <w:rsid w:val="003D3990"/>
    <w:rsid w:val="003D42B5"/>
    <w:rsid w:val="003D42CB"/>
    <w:rsid w:val="003D43E2"/>
    <w:rsid w:val="003D4B62"/>
    <w:rsid w:val="003D4E9A"/>
    <w:rsid w:val="003D51C2"/>
    <w:rsid w:val="003D51F4"/>
    <w:rsid w:val="003D5811"/>
    <w:rsid w:val="003D58C5"/>
    <w:rsid w:val="003D5C4A"/>
    <w:rsid w:val="003D5FD4"/>
    <w:rsid w:val="003D6638"/>
    <w:rsid w:val="003D7786"/>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B5F"/>
    <w:rsid w:val="003E530F"/>
    <w:rsid w:val="003E5A33"/>
    <w:rsid w:val="003E65FD"/>
    <w:rsid w:val="003E69CF"/>
    <w:rsid w:val="003E6DA0"/>
    <w:rsid w:val="003E72DA"/>
    <w:rsid w:val="003F02A3"/>
    <w:rsid w:val="003F031C"/>
    <w:rsid w:val="003F0912"/>
    <w:rsid w:val="003F1622"/>
    <w:rsid w:val="003F1AA3"/>
    <w:rsid w:val="003F2013"/>
    <w:rsid w:val="003F23CB"/>
    <w:rsid w:val="003F25EF"/>
    <w:rsid w:val="003F3277"/>
    <w:rsid w:val="003F3520"/>
    <w:rsid w:val="003F4C79"/>
    <w:rsid w:val="003F4E06"/>
    <w:rsid w:val="003F4FF2"/>
    <w:rsid w:val="003F562C"/>
    <w:rsid w:val="003F5E3F"/>
    <w:rsid w:val="003F6463"/>
    <w:rsid w:val="003F67CB"/>
    <w:rsid w:val="003F6A4A"/>
    <w:rsid w:val="003F759C"/>
    <w:rsid w:val="00401CD0"/>
    <w:rsid w:val="00402608"/>
    <w:rsid w:val="00402A5A"/>
    <w:rsid w:val="00403542"/>
    <w:rsid w:val="00403A15"/>
    <w:rsid w:val="00405461"/>
    <w:rsid w:val="00405477"/>
    <w:rsid w:val="0040566B"/>
    <w:rsid w:val="004067F1"/>
    <w:rsid w:val="00406C91"/>
    <w:rsid w:val="00406E69"/>
    <w:rsid w:val="00410441"/>
    <w:rsid w:val="0041078F"/>
    <w:rsid w:val="00410B78"/>
    <w:rsid w:val="00410ED9"/>
    <w:rsid w:val="0041102C"/>
    <w:rsid w:val="00411154"/>
    <w:rsid w:val="004125D1"/>
    <w:rsid w:val="00412BDE"/>
    <w:rsid w:val="004146E5"/>
    <w:rsid w:val="00414DE0"/>
    <w:rsid w:val="004150FE"/>
    <w:rsid w:val="004158A0"/>
    <w:rsid w:val="00415D69"/>
    <w:rsid w:val="00415FAD"/>
    <w:rsid w:val="0041619C"/>
    <w:rsid w:val="00416D63"/>
    <w:rsid w:val="00416E51"/>
    <w:rsid w:val="0041747C"/>
    <w:rsid w:val="00417701"/>
    <w:rsid w:val="00417C68"/>
    <w:rsid w:val="00417D7A"/>
    <w:rsid w:val="00417EF4"/>
    <w:rsid w:val="004203AA"/>
    <w:rsid w:val="00420ABF"/>
    <w:rsid w:val="00420BA6"/>
    <w:rsid w:val="00420C59"/>
    <w:rsid w:val="0042121D"/>
    <w:rsid w:val="0042181C"/>
    <w:rsid w:val="00422508"/>
    <w:rsid w:val="0042267A"/>
    <w:rsid w:val="00422C59"/>
    <w:rsid w:val="00422CFC"/>
    <w:rsid w:val="00423B44"/>
    <w:rsid w:val="0042412E"/>
    <w:rsid w:val="0042472D"/>
    <w:rsid w:val="00424995"/>
    <w:rsid w:val="00424BDF"/>
    <w:rsid w:val="0042505E"/>
    <w:rsid w:val="004257A7"/>
    <w:rsid w:val="00425EF9"/>
    <w:rsid w:val="004275B3"/>
    <w:rsid w:val="004305C5"/>
    <w:rsid w:val="00430686"/>
    <w:rsid w:val="00430FEF"/>
    <w:rsid w:val="004318F1"/>
    <w:rsid w:val="004318F9"/>
    <w:rsid w:val="00432859"/>
    <w:rsid w:val="00432B9E"/>
    <w:rsid w:val="00432EAB"/>
    <w:rsid w:val="004336BA"/>
    <w:rsid w:val="004342CB"/>
    <w:rsid w:val="00434374"/>
    <w:rsid w:val="0043448E"/>
    <w:rsid w:val="00435197"/>
    <w:rsid w:val="004358F0"/>
    <w:rsid w:val="0043678E"/>
    <w:rsid w:val="00437B57"/>
    <w:rsid w:val="00437F88"/>
    <w:rsid w:val="00440CFD"/>
    <w:rsid w:val="004410BC"/>
    <w:rsid w:val="00441164"/>
    <w:rsid w:val="004414D3"/>
    <w:rsid w:val="00441A6C"/>
    <w:rsid w:val="004420F9"/>
    <w:rsid w:val="00442B10"/>
    <w:rsid w:val="004435D7"/>
    <w:rsid w:val="00443C09"/>
    <w:rsid w:val="00444188"/>
    <w:rsid w:val="00444473"/>
    <w:rsid w:val="0044482D"/>
    <w:rsid w:val="00444927"/>
    <w:rsid w:val="00444FEA"/>
    <w:rsid w:val="00445837"/>
    <w:rsid w:val="004458AB"/>
    <w:rsid w:val="00445C9F"/>
    <w:rsid w:val="00446D64"/>
    <w:rsid w:val="00447C52"/>
    <w:rsid w:val="0045023A"/>
    <w:rsid w:val="00450281"/>
    <w:rsid w:val="004503A1"/>
    <w:rsid w:val="00450674"/>
    <w:rsid w:val="0045201A"/>
    <w:rsid w:val="0045332A"/>
    <w:rsid w:val="00453DB3"/>
    <w:rsid w:val="00454B8F"/>
    <w:rsid w:val="00454C20"/>
    <w:rsid w:val="004558FA"/>
    <w:rsid w:val="00455C55"/>
    <w:rsid w:val="00455CAE"/>
    <w:rsid w:val="00455E9B"/>
    <w:rsid w:val="004567A6"/>
    <w:rsid w:val="0045683D"/>
    <w:rsid w:val="00456D15"/>
    <w:rsid w:val="004572FF"/>
    <w:rsid w:val="004578E3"/>
    <w:rsid w:val="004602D4"/>
    <w:rsid w:val="00460A4B"/>
    <w:rsid w:val="00460F94"/>
    <w:rsid w:val="00461090"/>
    <w:rsid w:val="00461252"/>
    <w:rsid w:val="0046159B"/>
    <w:rsid w:val="00461A84"/>
    <w:rsid w:val="00461EAE"/>
    <w:rsid w:val="0046220C"/>
    <w:rsid w:val="00462286"/>
    <w:rsid w:val="00462B80"/>
    <w:rsid w:val="00462F25"/>
    <w:rsid w:val="00463167"/>
    <w:rsid w:val="004631A1"/>
    <w:rsid w:val="0046330C"/>
    <w:rsid w:val="00463717"/>
    <w:rsid w:val="00463754"/>
    <w:rsid w:val="004637CD"/>
    <w:rsid w:val="0046451D"/>
    <w:rsid w:val="00464626"/>
    <w:rsid w:val="004653AD"/>
    <w:rsid w:val="00465498"/>
    <w:rsid w:val="00465A3C"/>
    <w:rsid w:val="00465F55"/>
    <w:rsid w:val="0046615C"/>
    <w:rsid w:val="00466742"/>
    <w:rsid w:val="00466AE4"/>
    <w:rsid w:val="0046756D"/>
    <w:rsid w:val="00467B68"/>
    <w:rsid w:val="00467FC1"/>
    <w:rsid w:val="00471361"/>
    <w:rsid w:val="00472834"/>
    <w:rsid w:val="004729E8"/>
    <w:rsid w:val="00472ADA"/>
    <w:rsid w:val="00472AF9"/>
    <w:rsid w:val="00472D54"/>
    <w:rsid w:val="00472E87"/>
    <w:rsid w:val="004741E2"/>
    <w:rsid w:val="00474322"/>
    <w:rsid w:val="00474620"/>
    <w:rsid w:val="0047548C"/>
    <w:rsid w:val="00475B81"/>
    <w:rsid w:val="00476085"/>
    <w:rsid w:val="00476446"/>
    <w:rsid w:val="004779AB"/>
    <w:rsid w:val="00477FA2"/>
    <w:rsid w:val="004801BA"/>
    <w:rsid w:val="0048028B"/>
    <w:rsid w:val="00481C87"/>
    <w:rsid w:val="00482785"/>
    <w:rsid w:val="004828B4"/>
    <w:rsid w:val="00482F94"/>
    <w:rsid w:val="004831AA"/>
    <w:rsid w:val="00483FA0"/>
    <w:rsid w:val="004840B7"/>
    <w:rsid w:val="00485352"/>
    <w:rsid w:val="0048639E"/>
    <w:rsid w:val="004876C2"/>
    <w:rsid w:val="004878B6"/>
    <w:rsid w:val="00490831"/>
    <w:rsid w:val="00491095"/>
    <w:rsid w:val="00491554"/>
    <w:rsid w:val="004918B1"/>
    <w:rsid w:val="00492621"/>
    <w:rsid w:val="00492C56"/>
    <w:rsid w:val="00492F1A"/>
    <w:rsid w:val="00493782"/>
    <w:rsid w:val="00493CF5"/>
    <w:rsid w:val="00493D4F"/>
    <w:rsid w:val="00493E2D"/>
    <w:rsid w:val="00494B2E"/>
    <w:rsid w:val="004952A2"/>
    <w:rsid w:val="0049590C"/>
    <w:rsid w:val="00495D9A"/>
    <w:rsid w:val="004966E0"/>
    <w:rsid w:val="0049688D"/>
    <w:rsid w:val="00497A20"/>
    <w:rsid w:val="004A00D5"/>
    <w:rsid w:val="004A0ECC"/>
    <w:rsid w:val="004A1246"/>
    <w:rsid w:val="004A1416"/>
    <w:rsid w:val="004A165E"/>
    <w:rsid w:val="004A17FA"/>
    <w:rsid w:val="004A25D9"/>
    <w:rsid w:val="004A2B26"/>
    <w:rsid w:val="004A3F18"/>
    <w:rsid w:val="004A4606"/>
    <w:rsid w:val="004A47E3"/>
    <w:rsid w:val="004A4D06"/>
    <w:rsid w:val="004A4FC8"/>
    <w:rsid w:val="004A5232"/>
    <w:rsid w:val="004A53D2"/>
    <w:rsid w:val="004A59C2"/>
    <w:rsid w:val="004A5A1E"/>
    <w:rsid w:val="004A6DFE"/>
    <w:rsid w:val="004A747A"/>
    <w:rsid w:val="004A76F0"/>
    <w:rsid w:val="004B0A5F"/>
    <w:rsid w:val="004B0FF1"/>
    <w:rsid w:val="004B11AD"/>
    <w:rsid w:val="004B15CE"/>
    <w:rsid w:val="004B2209"/>
    <w:rsid w:val="004B2630"/>
    <w:rsid w:val="004B495E"/>
    <w:rsid w:val="004B51A3"/>
    <w:rsid w:val="004B534E"/>
    <w:rsid w:val="004B59CB"/>
    <w:rsid w:val="004B6769"/>
    <w:rsid w:val="004B6901"/>
    <w:rsid w:val="004B6F05"/>
    <w:rsid w:val="004B7582"/>
    <w:rsid w:val="004B7977"/>
    <w:rsid w:val="004C0712"/>
    <w:rsid w:val="004C08EA"/>
    <w:rsid w:val="004C09C3"/>
    <w:rsid w:val="004C0F0D"/>
    <w:rsid w:val="004C1838"/>
    <w:rsid w:val="004C1CE3"/>
    <w:rsid w:val="004C358A"/>
    <w:rsid w:val="004C380C"/>
    <w:rsid w:val="004C3FD7"/>
    <w:rsid w:val="004C4B3E"/>
    <w:rsid w:val="004C53F0"/>
    <w:rsid w:val="004C5AA1"/>
    <w:rsid w:val="004C600D"/>
    <w:rsid w:val="004C6374"/>
    <w:rsid w:val="004C64D0"/>
    <w:rsid w:val="004C683A"/>
    <w:rsid w:val="004C6B4F"/>
    <w:rsid w:val="004C6D63"/>
    <w:rsid w:val="004C6DF5"/>
    <w:rsid w:val="004C79D9"/>
    <w:rsid w:val="004D118D"/>
    <w:rsid w:val="004D1BA2"/>
    <w:rsid w:val="004D200F"/>
    <w:rsid w:val="004D25E2"/>
    <w:rsid w:val="004D3A17"/>
    <w:rsid w:val="004D4AC2"/>
    <w:rsid w:val="004D5038"/>
    <w:rsid w:val="004D5EBD"/>
    <w:rsid w:val="004D6314"/>
    <w:rsid w:val="004D6531"/>
    <w:rsid w:val="004D69A2"/>
    <w:rsid w:val="004D6A67"/>
    <w:rsid w:val="004D7171"/>
    <w:rsid w:val="004D7312"/>
    <w:rsid w:val="004D7420"/>
    <w:rsid w:val="004D79DD"/>
    <w:rsid w:val="004D7D94"/>
    <w:rsid w:val="004E030E"/>
    <w:rsid w:val="004E054D"/>
    <w:rsid w:val="004E07DA"/>
    <w:rsid w:val="004E0B98"/>
    <w:rsid w:val="004E1454"/>
    <w:rsid w:val="004E1F07"/>
    <w:rsid w:val="004E234B"/>
    <w:rsid w:val="004E2921"/>
    <w:rsid w:val="004E2BC5"/>
    <w:rsid w:val="004E305F"/>
    <w:rsid w:val="004E3276"/>
    <w:rsid w:val="004E3C85"/>
    <w:rsid w:val="004E3FB6"/>
    <w:rsid w:val="004E41AF"/>
    <w:rsid w:val="004E4277"/>
    <w:rsid w:val="004E4F95"/>
    <w:rsid w:val="004E53FC"/>
    <w:rsid w:val="004E578F"/>
    <w:rsid w:val="004E5A30"/>
    <w:rsid w:val="004E5CF5"/>
    <w:rsid w:val="004E7540"/>
    <w:rsid w:val="004E7FC0"/>
    <w:rsid w:val="004F05B8"/>
    <w:rsid w:val="004F0962"/>
    <w:rsid w:val="004F0F05"/>
    <w:rsid w:val="004F1A7E"/>
    <w:rsid w:val="004F248F"/>
    <w:rsid w:val="004F2F35"/>
    <w:rsid w:val="004F3442"/>
    <w:rsid w:val="004F3B0D"/>
    <w:rsid w:val="004F3BE6"/>
    <w:rsid w:val="004F3D20"/>
    <w:rsid w:val="004F4978"/>
    <w:rsid w:val="004F4D42"/>
    <w:rsid w:val="004F4F47"/>
    <w:rsid w:val="004F5124"/>
    <w:rsid w:val="004F5196"/>
    <w:rsid w:val="004F5607"/>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507"/>
    <w:rsid w:val="005029F5"/>
    <w:rsid w:val="00503797"/>
    <w:rsid w:val="0050398F"/>
    <w:rsid w:val="00503F6D"/>
    <w:rsid w:val="00504292"/>
    <w:rsid w:val="005042A5"/>
    <w:rsid w:val="00504FA6"/>
    <w:rsid w:val="005058F0"/>
    <w:rsid w:val="00505B35"/>
    <w:rsid w:val="005064B5"/>
    <w:rsid w:val="005067EB"/>
    <w:rsid w:val="00506B64"/>
    <w:rsid w:val="00507089"/>
    <w:rsid w:val="00507998"/>
    <w:rsid w:val="00510100"/>
    <w:rsid w:val="005111E1"/>
    <w:rsid w:val="0051227C"/>
    <w:rsid w:val="0051254F"/>
    <w:rsid w:val="00512F8B"/>
    <w:rsid w:val="005130A1"/>
    <w:rsid w:val="00513BB1"/>
    <w:rsid w:val="00513E25"/>
    <w:rsid w:val="0051430B"/>
    <w:rsid w:val="005144B5"/>
    <w:rsid w:val="00514710"/>
    <w:rsid w:val="005152F9"/>
    <w:rsid w:val="00515A8E"/>
    <w:rsid w:val="005162F1"/>
    <w:rsid w:val="00516603"/>
    <w:rsid w:val="005169DD"/>
    <w:rsid w:val="005171E6"/>
    <w:rsid w:val="005174F2"/>
    <w:rsid w:val="0051788F"/>
    <w:rsid w:val="005209F7"/>
    <w:rsid w:val="005219BF"/>
    <w:rsid w:val="00521C86"/>
    <w:rsid w:val="00521FDC"/>
    <w:rsid w:val="0052249E"/>
    <w:rsid w:val="0052275F"/>
    <w:rsid w:val="00522FD1"/>
    <w:rsid w:val="005234BC"/>
    <w:rsid w:val="00523D53"/>
    <w:rsid w:val="00523F12"/>
    <w:rsid w:val="00523FCF"/>
    <w:rsid w:val="00524E5B"/>
    <w:rsid w:val="00525285"/>
    <w:rsid w:val="0052553B"/>
    <w:rsid w:val="00525A51"/>
    <w:rsid w:val="00525BBB"/>
    <w:rsid w:val="00526118"/>
    <w:rsid w:val="0052636C"/>
    <w:rsid w:val="005263EB"/>
    <w:rsid w:val="0052699C"/>
    <w:rsid w:val="00526D55"/>
    <w:rsid w:val="0052700A"/>
    <w:rsid w:val="00527A5E"/>
    <w:rsid w:val="00527BA9"/>
    <w:rsid w:val="00527FCB"/>
    <w:rsid w:val="00530166"/>
    <w:rsid w:val="00530771"/>
    <w:rsid w:val="00530783"/>
    <w:rsid w:val="00530833"/>
    <w:rsid w:val="00530A18"/>
    <w:rsid w:val="00530DE9"/>
    <w:rsid w:val="005320EA"/>
    <w:rsid w:val="005330E9"/>
    <w:rsid w:val="0053625D"/>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3ECD"/>
    <w:rsid w:val="00544329"/>
    <w:rsid w:val="00544453"/>
    <w:rsid w:val="005446AA"/>
    <w:rsid w:val="00545CEB"/>
    <w:rsid w:val="005474DE"/>
    <w:rsid w:val="0054766B"/>
    <w:rsid w:val="00550AA6"/>
    <w:rsid w:val="005516BD"/>
    <w:rsid w:val="00552F3F"/>
    <w:rsid w:val="005530E3"/>
    <w:rsid w:val="00553457"/>
    <w:rsid w:val="005539EC"/>
    <w:rsid w:val="00553A0B"/>
    <w:rsid w:val="0055446B"/>
    <w:rsid w:val="00554607"/>
    <w:rsid w:val="00554627"/>
    <w:rsid w:val="005547FF"/>
    <w:rsid w:val="00555E12"/>
    <w:rsid w:val="005563C9"/>
    <w:rsid w:val="005574F9"/>
    <w:rsid w:val="00560031"/>
    <w:rsid w:val="00560624"/>
    <w:rsid w:val="00560C38"/>
    <w:rsid w:val="00560DE2"/>
    <w:rsid w:val="00560FAC"/>
    <w:rsid w:val="005612D4"/>
    <w:rsid w:val="005613A3"/>
    <w:rsid w:val="005613A7"/>
    <w:rsid w:val="005619B7"/>
    <w:rsid w:val="00561A59"/>
    <w:rsid w:val="00561C1C"/>
    <w:rsid w:val="005623E2"/>
    <w:rsid w:val="00562E3D"/>
    <w:rsid w:val="0056300D"/>
    <w:rsid w:val="00563ADB"/>
    <w:rsid w:val="00563BCC"/>
    <w:rsid w:val="00563F75"/>
    <w:rsid w:val="005640EB"/>
    <w:rsid w:val="00565514"/>
    <w:rsid w:val="00565A6B"/>
    <w:rsid w:val="00565D96"/>
    <w:rsid w:val="00565DB8"/>
    <w:rsid w:val="00566845"/>
    <w:rsid w:val="00570148"/>
    <w:rsid w:val="00570584"/>
    <w:rsid w:val="0057070F"/>
    <w:rsid w:val="00571185"/>
    <w:rsid w:val="005712D6"/>
    <w:rsid w:val="00571548"/>
    <w:rsid w:val="00571712"/>
    <w:rsid w:val="00571812"/>
    <w:rsid w:val="00571DCD"/>
    <w:rsid w:val="0057218C"/>
    <w:rsid w:val="0057264F"/>
    <w:rsid w:val="005728C0"/>
    <w:rsid w:val="00572C81"/>
    <w:rsid w:val="00572E70"/>
    <w:rsid w:val="005731FC"/>
    <w:rsid w:val="00573369"/>
    <w:rsid w:val="00573C20"/>
    <w:rsid w:val="0057418A"/>
    <w:rsid w:val="00574923"/>
    <w:rsid w:val="00574D59"/>
    <w:rsid w:val="00575ACD"/>
    <w:rsid w:val="00575C24"/>
    <w:rsid w:val="0057619F"/>
    <w:rsid w:val="00576226"/>
    <w:rsid w:val="005762EA"/>
    <w:rsid w:val="005767AE"/>
    <w:rsid w:val="00580390"/>
    <w:rsid w:val="005817B2"/>
    <w:rsid w:val="005819F7"/>
    <w:rsid w:val="00581C35"/>
    <w:rsid w:val="005824C6"/>
    <w:rsid w:val="00582674"/>
    <w:rsid w:val="0058271E"/>
    <w:rsid w:val="00582761"/>
    <w:rsid w:val="0058283F"/>
    <w:rsid w:val="00583930"/>
    <w:rsid w:val="00583BFE"/>
    <w:rsid w:val="00583D8A"/>
    <w:rsid w:val="005840EF"/>
    <w:rsid w:val="005845A3"/>
    <w:rsid w:val="00584609"/>
    <w:rsid w:val="005848F8"/>
    <w:rsid w:val="00584E2F"/>
    <w:rsid w:val="00585151"/>
    <w:rsid w:val="0058525B"/>
    <w:rsid w:val="00585C03"/>
    <w:rsid w:val="0058619F"/>
    <w:rsid w:val="00586637"/>
    <w:rsid w:val="005867CF"/>
    <w:rsid w:val="00586E8E"/>
    <w:rsid w:val="00587820"/>
    <w:rsid w:val="00587C46"/>
    <w:rsid w:val="00587F56"/>
    <w:rsid w:val="00587FD9"/>
    <w:rsid w:val="005908B9"/>
    <w:rsid w:val="00590ECE"/>
    <w:rsid w:val="00591265"/>
    <w:rsid w:val="00591283"/>
    <w:rsid w:val="005915A4"/>
    <w:rsid w:val="005922F4"/>
    <w:rsid w:val="005924D3"/>
    <w:rsid w:val="005924F1"/>
    <w:rsid w:val="005925E3"/>
    <w:rsid w:val="00592F32"/>
    <w:rsid w:val="0059304D"/>
    <w:rsid w:val="005933AE"/>
    <w:rsid w:val="00595156"/>
    <w:rsid w:val="0059551F"/>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C52"/>
    <w:rsid w:val="005A1F74"/>
    <w:rsid w:val="005A23D2"/>
    <w:rsid w:val="005A2593"/>
    <w:rsid w:val="005A3196"/>
    <w:rsid w:val="005A339E"/>
    <w:rsid w:val="005A408B"/>
    <w:rsid w:val="005A4C48"/>
    <w:rsid w:val="005A6F80"/>
    <w:rsid w:val="005A7215"/>
    <w:rsid w:val="005A726F"/>
    <w:rsid w:val="005A72E6"/>
    <w:rsid w:val="005A782E"/>
    <w:rsid w:val="005A793B"/>
    <w:rsid w:val="005A79AE"/>
    <w:rsid w:val="005B0F25"/>
    <w:rsid w:val="005B16F7"/>
    <w:rsid w:val="005B1FD1"/>
    <w:rsid w:val="005B2054"/>
    <w:rsid w:val="005B2607"/>
    <w:rsid w:val="005B26FD"/>
    <w:rsid w:val="005B40A1"/>
    <w:rsid w:val="005B429E"/>
    <w:rsid w:val="005B44D0"/>
    <w:rsid w:val="005B4C41"/>
    <w:rsid w:val="005B4CD8"/>
    <w:rsid w:val="005B5179"/>
    <w:rsid w:val="005B5B11"/>
    <w:rsid w:val="005B60BD"/>
    <w:rsid w:val="005B6837"/>
    <w:rsid w:val="005B75B7"/>
    <w:rsid w:val="005B75BF"/>
    <w:rsid w:val="005B78D4"/>
    <w:rsid w:val="005B7BE6"/>
    <w:rsid w:val="005B7E46"/>
    <w:rsid w:val="005C02E1"/>
    <w:rsid w:val="005C0607"/>
    <w:rsid w:val="005C0A76"/>
    <w:rsid w:val="005C0F51"/>
    <w:rsid w:val="005C0F98"/>
    <w:rsid w:val="005C11E6"/>
    <w:rsid w:val="005C1F3B"/>
    <w:rsid w:val="005C208C"/>
    <w:rsid w:val="005C2562"/>
    <w:rsid w:val="005C2E67"/>
    <w:rsid w:val="005C30AD"/>
    <w:rsid w:val="005C35ED"/>
    <w:rsid w:val="005C35FA"/>
    <w:rsid w:val="005C3CEA"/>
    <w:rsid w:val="005C3D2C"/>
    <w:rsid w:val="005C48AC"/>
    <w:rsid w:val="005C4D24"/>
    <w:rsid w:val="005C4DD7"/>
    <w:rsid w:val="005C539A"/>
    <w:rsid w:val="005C549E"/>
    <w:rsid w:val="005C5CAB"/>
    <w:rsid w:val="005C6236"/>
    <w:rsid w:val="005C6386"/>
    <w:rsid w:val="005C667F"/>
    <w:rsid w:val="005C7021"/>
    <w:rsid w:val="005C778A"/>
    <w:rsid w:val="005C794A"/>
    <w:rsid w:val="005C7B1F"/>
    <w:rsid w:val="005D03CD"/>
    <w:rsid w:val="005D0923"/>
    <w:rsid w:val="005D11D1"/>
    <w:rsid w:val="005D12BF"/>
    <w:rsid w:val="005D14E9"/>
    <w:rsid w:val="005D1B75"/>
    <w:rsid w:val="005D1C71"/>
    <w:rsid w:val="005D21A6"/>
    <w:rsid w:val="005D29D5"/>
    <w:rsid w:val="005D3E97"/>
    <w:rsid w:val="005D4095"/>
    <w:rsid w:val="005D4641"/>
    <w:rsid w:val="005D4920"/>
    <w:rsid w:val="005D49FF"/>
    <w:rsid w:val="005D4D0A"/>
    <w:rsid w:val="005D5695"/>
    <w:rsid w:val="005D5F69"/>
    <w:rsid w:val="005D63D6"/>
    <w:rsid w:val="005D7ED3"/>
    <w:rsid w:val="005E0862"/>
    <w:rsid w:val="005E088E"/>
    <w:rsid w:val="005E0CBA"/>
    <w:rsid w:val="005E1375"/>
    <w:rsid w:val="005E147F"/>
    <w:rsid w:val="005E1CEB"/>
    <w:rsid w:val="005E218F"/>
    <w:rsid w:val="005E2A30"/>
    <w:rsid w:val="005E2CA2"/>
    <w:rsid w:val="005E2FF1"/>
    <w:rsid w:val="005E3041"/>
    <w:rsid w:val="005E3850"/>
    <w:rsid w:val="005E3DEF"/>
    <w:rsid w:val="005E4E97"/>
    <w:rsid w:val="005E5C65"/>
    <w:rsid w:val="005E5D43"/>
    <w:rsid w:val="005E5DFA"/>
    <w:rsid w:val="005E682E"/>
    <w:rsid w:val="005E6F86"/>
    <w:rsid w:val="005E7479"/>
    <w:rsid w:val="005E7892"/>
    <w:rsid w:val="005F0245"/>
    <w:rsid w:val="005F0652"/>
    <w:rsid w:val="005F07BE"/>
    <w:rsid w:val="005F1146"/>
    <w:rsid w:val="005F3CEA"/>
    <w:rsid w:val="005F4590"/>
    <w:rsid w:val="005F4A97"/>
    <w:rsid w:val="005F4E85"/>
    <w:rsid w:val="005F546F"/>
    <w:rsid w:val="005F5479"/>
    <w:rsid w:val="005F5B32"/>
    <w:rsid w:val="005F5CD6"/>
    <w:rsid w:val="005F66DC"/>
    <w:rsid w:val="005F6D4B"/>
    <w:rsid w:val="005F731B"/>
    <w:rsid w:val="005F783C"/>
    <w:rsid w:val="005F7D47"/>
    <w:rsid w:val="005F7E3B"/>
    <w:rsid w:val="0060009D"/>
    <w:rsid w:val="006002D9"/>
    <w:rsid w:val="00600CC3"/>
    <w:rsid w:val="0060130C"/>
    <w:rsid w:val="006013FB"/>
    <w:rsid w:val="00601F1A"/>
    <w:rsid w:val="00602686"/>
    <w:rsid w:val="00602746"/>
    <w:rsid w:val="0060294C"/>
    <w:rsid w:val="00603073"/>
    <w:rsid w:val="00603128"/>
    <w:rsid w:val="006036E2"/>
    <w:rsid w:val="006037C5"/>
    <w:rsid w:val="00604154"/>
    <w:rsid w:val="00604F87"/>
    <w:rsid w:val="006052B9"/>
    <w:rsid w:val="00605607"/>
    <w:rsid w:val="00605E4D"/>
    <w:rsid w:val="00605F6C"/>
    <w:rsid w:val="00606050"/>
    <w:rsid w:val="00606458"/>
    <w:rsid w:val="00606CC5"/>
    <w:rsid w:val="00606DB6"/>
    <w:rsid w:val="00607141"/>
    <w:rsid w:val="00607B23"/>
    <w:rsid w:val="00611189"/>
    <w:rsid w:val="00611504"/>
    <w:rsid w:val="00611913"/>
    <w:rsid w:val="006125C5"/>
    <w:rsid w:val="006126C4"/>
    <w:rsid w:val="0061278B"/>
    <w:rsid w:val="00612EA9"/>
    <w:rsid w:val="006136B7"/>
    <w:rsid w:val="006144BB"/>
    <w:rsid w:val="00616900"/>
    <w:rsid w:val="00616ACC"/>
    <w:rsid w:val="00616B2A"/>
    <w:rsid w:val="0061744E"/>
    <w:rsid w:val="0061780F"/>
    <w:rsid w:val="0061799E"/>
    <w:rsid w:val="00617CDA"/>
    <w:rsid w:val="006204D9"/>
    <w:rsid w:val="006205AD"/>
    <w:rsid w:val="00621934"/>
    <w:rsid w:val="00621943"/>
    <w:rsid w:val="00622007"/>
    <w:rsid w:val="00622295"/>
    <w:rsid w:val="00622B34"/>
    <w:rsid w:val="00622DEB"/>
    <w:rsid w:val="00623836"/>
    <w:rsid w:val="00623D94"/>
    <w:rsid w:val="00623F1D"/>
    <w:rsid w:val="006247C4"/>
    <w:rsid w:val="00624B58"/>
    <w:rsid w:val="00624D93"/>
    <w:rsid w:val="00624E2A"/>
    <w:rsid w:val="006251EF"/>
    <w:rsid w:val="006254B1"/>
    <w:rsid w:val="0062696D"/>
    <w:rsid w:val="00630007"/>
    <w:rsid w:val="006302EC"/>
    <w:rsid w:val="006305AE"/>
    <w:rsid w:val="00630940"/>
    <w:rsid w:val="00630B6A"/>
    <w:rsid w:val="006312F7"/>
    <w:rsid w:val="00631E60"/>
    <w:rsid w:val="006320CB"/>
    <w:rsid w:val="0063262B"/>
    <w:rsid w:val="00632656"/>
    <w:rsid w:val="00632F67"/>
    <w:rsid w:val="00633FD3"/>
    <w:rsid w:val="00634285"/>
    <w:rsid w:val="006345ED"/>
    <w:rsid w:val="006345EE"/>
    <w:rsid w:val="00640005"/>
    <w:rsid w:val="00640186"/>
    <w:rsid w:val="006403E0"/>
    <w:rsid w:val="0064043A"/>
    <w:rsid w:val="0064099A"/>
    <w:rsid w:val="00641627"/>
    <w:rsid w:val="00641758"/>
    <w:rsid w:val="00641DF1"/>
    <w:rsid w:val="00641F32"/>
    <w:rsid w:val="0064269A"/>
    <w:rsid w:val="00642B83"/>
    <w:rsid w:val="0064341D"/>
    <w:rsid w:val="00643C4B"/>
    <w:rsid w:val="00643DC7"/>
    <w:rsid w:val="00645164"/>
    <w:rsid w:val="006469A2"/>
    <w:rsid w:val="00646AB8"/>
    <w:rsid w:val="00646D0D"/>
    <w:rsid w:val="006471F9"/>
    <w:rsid w:val="0064782E"/>
    <w:rsid w:val="006507E9"/>
    <w:rsid w:val="00650822"/>
    <w:rsid w:val="006508E9"/>
    <w:rsid w:val="00650A98"/>
    <w:rsid w:val="006510B1"/>
    <w:rsid w:val="00652863"/>
    <w:rsid w:val="0065290E"/>
    <w:rsid w:val="00652921"/>
    <w:rsid w:val="00653C4B"/>
    <w:rsid w:val="00653D6D"/>
    <w:rsid w:val="00654978"/>
    <w:rsid w:val="006560A2"/>
    <w:rsid w:val="00656304"/>
    <w:rsid w:val="00656401"/>
    <w:rsid w:val="00656989"/>
    <w:rsid w:val="006572C7"/>
    <w:rsid w:val="006578FA"/>
    <w:rsid w:val="0066025F"/>
    <w:rsid w:val="006602EC"/>
    <w:rsid w:val="0066047B"/>
    <w:rsid w:val="00660BD7"/>
    <w:rsid w:val="00660E13"/>
    <w:rsid w:val="0066141F"/>
    <w:rsid w:val="00661B9D"/>
    <w:rsid w:val="00661FAB"/>
    <w:rsid w:val="00662016"/>
    <w:rsid w:val="006622A7"/>
    <w:rsid w:val="00662E8A"/>
    <w:rsid w:val="00663136"/>
    <w:rsid w:val="00663BB8"/>
    <w:rsid w:val="0066419D"/>
    <w:rsid w:val="0066434A"/>
    <w:rsid w:val="00664610"/>
    <w:rsid w:val="00664A63"/>
    <w:rsid w:val="00664DBC"/>
    <w:rsid w:val="006655C3"/>
    <w:rsid w:val="006661AE"/>
    <w:rsid w:val="006661E7"/>
    <w:rsid w:val="0066711D"/>
    <w:rsid w:val="0066735E"/>
    <w:rsid w:val="006674AF"/>
    <w:rsid w:val="00667861"/>
    <w:rsid w:val="00667980"/>
    <w:rsid w:val="00667EF3"/>
    <w:rsid w:val="00667FEE"/>
    <w:rsid w:val="006701A1"/>
    <w:rsid w:val="006707CC"/>
    <w:rsid w:val="00670E7B"/>
    <w:rsid w:val="00670ECD"/>
    <w:rsid w:val="00671E51"/>
    <w:rsid w:val="0067305F"/>
    <w:rsid w:val="00673BEE"/>
    <w:rsid w:val="006740EF"/>
    <w:rsid w:val="006746D0"/>
    <w:rsid w:val="00675115"/>
    <w:rsid w:val="00675FA0"/>
    <w:rsid w:val="00676A77"/>
    <w:rsid w:val="00677B79"/>
    <w:rsid w:val="00677FAC"/>
    <w:rsid w:val="006801FA"/>
    <w:rsid w:val="006802B9"/>
    <w:rsid w:val="00680B1F"/>
    <w:rsid w:val="00680E20"/>
    <w:rsid w:val="0068129F"/>
    <w:rsid w:val="006812AF"/>
    <w:rsid w:val="00681688"/>
    <w:rsid w:val="00681A87"/>
    <w:rsid w:val="00681D97"/>
    <w:rsid w:val="00681F24"/>
    <w:rsid w:val="006826D6"/>
    <w:rsid w:val="00682E85"/>
    <w:rsid w:val="00682F49"/>
    <w:rsid w:val="006838FF"/>
    <w:rsid w:val="00683AED"/>
    <w:rsid w:val="006840C7"/>
    <w:rsid w:val="0068441B"/>
    <w:rsid w:val="0068476F"/>
    <w:rsid w:val="00684771"/>
    <w:rsid w:val="00684C89"/>
    <w:rsid w:val="00685028"/>
    <w:rsid w:val="0068553C"/>
    <w:rsid w:val="006866FB"/>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5863"/>
    <w:rsid w:val="00695C9D"/>
    <w:rsid w:val="006966DF"/>
    <w:rsid w:val="006A0747"/>
    <w:rsid w:val="006A18E6"/>
    <w:rsid w:val="006A1DBF"/>
    <w:rsid w:val="006A29F8"/>
    <w:rsid w:val="006A4C49"/>
    <w:rsid w:val="006A55B0"/>
    <w:rsid w:val="006A6C1F"/>
    <w:rsid w:val="006A6E1F"/>
    <w:rsid w:val="006A7279"/>
    <w:rsid w:val="006A77AB"/>
    <w:rsid w:val="006A7D09"/>
    <w:rsid w:val="006B0723"/>
    <w:rsid w:val="006B0794"/>
    <w:rsid w:val="006B14B4"/>
    <w:rsid w:val="006B1642"/>
    <w:rsid w:val="006B1692"/>
    <w:rsid w:val="006B1958"/>
    <w:rsid w:val="006B2437"/>
    <w:rsid w:val="006B25B8"/>
    <w:rsid w:val="006B2E3C"/>
    <w:rsid w:val="006B32A1"/>
    <w:rsid w:val="006B3E1A"/>
    <w:rsid w:val="006B3F37"/>
    <w:rsid w:val="006B51B9"/>
    <w:rsid w:val="006B6756"/>
    <w:rsid w:val="006B75B6"/>
    <w:rsid w:val="006B7772"/>
    <w:rsid w:val="006B7896"/>
    <w:rsid w:val="006C0484"/>
    <w:rsid w:val="006C05A9"/>
    <w:rsid w:val="006C067B"/>
    <w:rsid w:val="006C179E"/>
    <w:rsid w:val="006C1850"/>
    <w:rsid w:val="006C367E"/>
    <w:rsid w:val="006C3AB5"/>
    <w:rsid w:val="006C541F"/>
    <w:rsid w:val="006C562C"/>
    <w:rsid w:val="006C5A85"/>
    <w:rsid w:val="006C61A8"/>
    <w:rsid w:val="006C65A0"/>
    <w:rsid w:val="006C6E7A"/>
    <w:rsid w:val="006C70B8"/>
    <w:rsid w:val="006C76C7"/>
    <w:rsid w:val="006C7EC3"/>
    <w:rsid w:val="006D0598"/>
    <w:rsid w:val="006D0793"/>
    <w:rsid w:val="006D0F97"/>
    <w:rsid w:val="006D3328"/>
    <w:rsid w:val="006D348B"/>
    <w:rsid w:val="006D3522"/>
    <w:rsid w:val="006D3530"/>
    <w:rsid w:val="006D3751"/>
    <w:rsid w:val="006D4415"/>
    <w:rsid w:val="006D4716"/>
    <w:rsid w:val="006D47F4"/>
    <w:rsid w:val="006D5683"/>
    <w:rsid w:val="006D60C9"/>
    <w:rsid w:val="006D6449"/>
    <w:rsid w:val="006D7B59"/>
    <w:rsid w:val="006D7EAC"/>
    <w:rsid w:val="006E035A"/>
    <w:rsid w:val="006E0607"/>
    <w:rsid w:val="006E0F39"/>
    <w:rsid w:val="006E17E8"/>
    <w:rsid w:val="006E1A47"/>
    <w:rsid w:val="006E2980"/>
    <w:rsid w:val="006E30E1"/>
    <w:rsid w:val="006E4782"/>
    <w:rsid w:val="006E530D"/>
    <w:rsid w:val="006E566E"/>
    <w:rsid w:val="006E56C1"/>
    <w:rsid w:val="006E6D01"/>
    <w:rsid w:val="006E6FDA"/>
    <w:rsid w:val="006E737E"/>
    <w:rsid w:val="006E74B2"/>
    <w:rsid w:val="006E7CBD"/>
    <w:rsid w:val="006F003B"/>
    <w:rsid w:val="006F0442"/>
    <w:rsid w:val="006F179A"/>
    <w:rsid w:val="006F27E3"/>
    <w:rsid w:val="006F28FB"/>
    <w:rsid w:val="006F2C5B"/>
    <w:rsid w:val="006F316D"/>
    <w:rsid w:val="006F34EF"/>
    <w:rsid w:val="006F39CD"/>
    <w:rsid w:val="006F3DAA"/>
    <w:rsid w:val="006F6C41"/>
    <w:rsid w:val="006F7DDF"/>
    <w:rsid w:val="00700123"/>
    <w:rsid w:val="007004A0"/>
    <w:rsid w:val="00700509"/>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4C6"/>
    <w:rsid w:val="0070698D"/>
    <w:rsid w:val="00706F45"/>
    <w:rsid w:val="00706FCE"/>
    <w:rsid w:val="00707892"/>
    <w:rsid w:val="007104DD"/>
    <w:rsid w:val="00710869"/>
    <w:rsid w:val="0071096A"/>
    <w:rsid w:val="00710E26"/>
    <w:rsid w:val="00710E49"/>
    <w:rsid w:val="00711196"/>
    <w:rsid w:val="00711B3F"/>
    <w:rsid w:val="007121B4"/>
    <w:rsid w:val="00712886"/>
    <w:rsid w:val="00714306"/>
    <w:rsid w:val="007150D4"/>
    <w:rsid w:val="00715DE1"/>
    <w:rsid w:val="00716962"/>
    <w:rsid w:val="00717B75"/>
    <w:rsid w:val="00717ECB"/>
    <w:rsid w:val="00717FE8"/>
    <w:rsid w:val="007203E3"/>
    <w:rsid w:val="00720C72"/>
    <w:rsid w:val="007213E4"/>
    <w:rsid w:val="0072163E"/>
    <w:rsid w:val="007223EB"/>
    <w:rsid w:val="00723722"/>
    <w:rsid w:val="00723ABC"/>
    <w:rsid w:val="00723F70"/>
    <w:rsid w:val="0072430C"/>
    <w:rsid w:val="0072461B"/>
    <w:rsid w:val="0072578A"/>
    <w:rsid w:val="0072662E"/>
    <w:rsid w:val="00730355"/>
    <w:rsid w:val="00730A19"/>
    <w:rsid w:val="00730CB1"/>
    <w:rsid w:val="0073147D"/>
    <w:rsid w:val="00731536"/>
    <w:rsid w:val="0073158E"/>
    <w:rsid w:val="0073172A"/>
    <w:rsid w:val="00732773"/>
    <w:rsid w:val="007327A7"/>
    <w:rsid w:val="00732EBC"/>
    <w:rsid w:val="00733672"/>
    <w:rsid w:val="0073379C"/>
    <w:rsid w:val="00733FFC"/>
    <w:rsid w:val="0073414D"/>
    <w:rsid w:val="00734289"/>
    <w:rsid w:val="007345C7"/>
    <w:rsid w:val="007349BC"/>
    <w:rsid w:val="00735086"/>
    <w:rsid w:val="00735263"/>
    <w:rsid w:val="00735626"/>
    <w:rsid w:val="00735AA3"/>
    <w:rsid w:val="00735AB7"/>
    <w:rsid w:val="00735B24"/>
    <w:rsid w:val="00735C2D"/>
    <w:rsid w:val="007360A4"/>
    <w:rsid w:val="007363B4"/>
    <w:rsid w:val="007363F0"/>
    <w:rsid w:val="00736733"/>
    <w:rsid w:val="00736761"/>
    <w:rsid w:val="00736B6F"/>
    <w:rsid w:val="007371A6"/>
    <w:rsid w:val="00737264"/>
    <w:rsid w:val="00737BA6"/>
    <w:rsid w:val="00737C7D"/>
    <w:rsid w:val="00740546"/>
    <w:rsid w:val="007409B2"/>
    <w:rsid w:val="00741510"/>
    <w:rsid w:val="00741BB2"/>
    <w:rsid w:val="00743ADC"/>
    <w:rsid w:val="00744416"/>
    <w:rsid w:val="00744493"/>
    <w:rsid w:val="00744C97"/>
    <w:rsid w:val="007462EC"/>
    <w:rsid w:val="00746589"/>
    <w:rsid w:val="0074663B"/>
    <w:rsid w:val="00746766"/>
    <w:rsid w:val="00746DF1"/>
    <w:rsid w:val="00747577"/>
    <w:rsid w:val="00747A16"/>
    <w:rsid w:val="00747C3F"/>
    <w:rsid w:val="00750613"/>
    <w:rsid w:val="0075090A"/>
    <w:rsid w:val="00750B94"/>
    <w:rsid w:val="00751195"/>
    <w:rsid w:val="00752112"/>
    <w:rsid w:val="007522AF"/>
    <w:rsid w:val="007533C9"/>
    <w:rsid w:val="007539CB"/>
    <w:rsid w:val="007544A9"/>
    <w:rsid w:val="0075471A"/>
    <w:rsid w:val="00755D9A"/>
    <w:rsid w:val="00756B31"/>
    <w:rsid w:val="00756D76"/>
    <w:rsid w:val="007572BA"/>
    <w:rsid w:val="00757425"/>
    <w:rsid w:val="007576A8"/>
    <w:rsid w:val="00761442"/>
    <w:rsid w:val="00761AC8"/>
    <w:rsid w:val="00761E92"/>
    <w:rsid w:val="0076206F"/>
    <w:rsid w:val="00762CF0"/>
    <w:rsid w:val="00762F5B"/>
    <w:rsid w:val="007632E0"/>
    <w:rsid w:val="00764453"/>
    <w:rsid w:val="00764801"/>
    <w:rsid w:val="00764C4A"/>
    <w:rsid w:val="0076515D"/>
    <w:rsid w:val="007655FA"/>
    <w:rsid w:val="007658E5"/>
    <w:rsid w:val="00765AA7"/>
    <w:rsid w:val="007662DE"/>
    <w:rsid w:val="007679EB"/>
    <w:rsid w:val="007707D2"/>
    <w:rsid w:val="0077088A"/>
    <w:rsid w:val="00770937"/>
    <w:rsid w:val="00770D32"/>
    <w:rsid w:val="00770D94"/>
    <w:rsid w:val="0077155E"/>
    <w:rsid w:val="00771631"/>
    <w:rsid w:val="0077178E"/>
    <w:rsid w:val="0077193B"/>
    <w:rsid w:val="00771AC9"/>
    <w:rsid w:val="00771F9B"/>
    <w:rsid w:val="0077261D"/>
    <w:rsid w:val="0077271B"/>
    <w:rsid w:val="00772ADE"/>
    <w:rsid w:val="007735A5"/>
    <w:rsid w:val="0077458D"/>
    <w:rsid w:val="00775223"/>
    <w:rsid w:val="007752E2"/>
    <w:rsid w:val="007759FE"/>
    <w:rsid w:val="007762CD"/>
    <w:rsid w:val="0077710D"/>
    <w:rsid w:val="00777290"/>
    <w:rsid w:val="007777C3"/>
    <w:rsid w:val="00780273"/>
    <w:rsid w:val="00780956"/>
    <w:rsid w:val="0078233F"/>
    <w:rsid w:val="00782BC9"/>
    <w:rsid w:val="00782D8F"/>
    <w:rsid w:val="00782DEF"/>
    <w:rsid w:val="00782F00"/>
    <w:rsid w:val="00782FC5"/>
    <w:rsid w:val="007834E3"/>
    <w:rsid w:val="0078357E"/>
    <w:rsid w:val="0078385A"/>
    <w:rsid w:val="007839E7"/>
    <w:rsid w:val="007841FF"/>
    <w:rsid w:val="00785009"/>
    <w:rsid w:val="00785E26"/>
    <w:rsid w:val="00785EFF"/>
    <w:rsid w:val="007865FC"/>
    <w:rsid w:val="00786824"/>
    <w:rsid w:val="00786C48"/>
    <w:rsid w:val="00786C51"/>
    <w:rsid w:val="0078724C"/>
    <w:rsid w:val="007872AD"/>
    <w:rsid w:val="00787C9D"/>
    <w:rsid w:val="00790695"/>
    <w:rsid w:val="007906CA"/>
    <w:rsid w:val="00791503"/>
    <w:rsid w:val="00792602"/>
    <w:rsid w:val="0079282F"/>
    <w:rsid w:val="00793068"/>
    <w:rsid w:val="007934D4"/>
    <w:rsid w:val="007939BD"/>
    <w:rsid w:val="00793C16"/>
    <w:rsid w:val="00793FBD"/>
    <w:rsid w:val="00794505"/>
    <w:rsid w:val="00795610"/>
    <w:rsid w:val="00795792"/>
    <w:rsid w:val="0079630D"/>
    <w:rsid w:val="00796AC3"/>
    <w:rsid w:val="00796C04"/>
    <w:rsid w:val="00796C5E"/>
    <w:rsid w:val="0079775B"/>
    <w:rsid w:val="00797A77"/>
    <w:rsid w:val="00797D70"/>
    <w:rsid w:val="007A0692"/>
    <w:rsid w:val="007A0B62"/>
    <w:rsid w:val="007A11B0"/>
    <w:rsid w:val="007A1236"/>
    <w:rsid w:val="007A1D32"/>
    <w:rsid w:val="007A21A0"/>
    <w:rsid w:val="007A2A69"/>
    <w:rsid w:val="007A2A6F"/>
    <w:rsid w:val="007A2D6D"/>
    <w:rsid w:val="007A387E"/>
    <w:rsid w:val="007A39D3"/>
    <w:rsid w:val="007A3BDD"/>
    <w:rsid w:val="007A3E4D"/>
    <w:rsid w:val="007A40B3"/>
    <w:rsid w:val="007A4506"/>
    <w:rsid w:val="007A4B1A"/>
    <w:rsid w:val="007A4EA2"/>
    <w:rsid w:val="007A57AE"/>
    <w:rsid w:val="007A6E20"/>
    <w:rsid w:val="007A73DA"/>
    <w:rsid w:val="007A74B2"/>
    <w:rsid w:val="007A7922"/>
    <w:rsid w:val="007B07C4"/>
    <w:rsid w:val="007B0B94"/>
    <w:rsid w:val="007B11EC"/>
    <w:rsid w:val="007B1798"/>
    <w:rsid w:val="007B1956"/>
    <w:rsid w:val="007B1F57"/>
    <w:rsid w:val="007B2DEC"/>
    <w:rsid w:val="007B4597"/>
    <w:rsid w:val="007B47A0"/>
    <w:rsid w:val="007B4B84"/>
    <w:rsid w:val="007B5174"/>
    <w:rsid w:val="007B5336"/>
    <w:rsid w:val="007B55C5"/>
    <w:rsid w:val="007B57D2"/>
    <w:rsid w:val="007B5E43"/>
    <w:rsid w:val="007B6B14"/>
    <w:rsid w:val="007B70FB"/>
    <w:rsid w:val="007B74DB"/>
    <w:rsid w:val="007C02CB"/>
    <w:rsid w:val="007C0482"/>
    <w:rsid w:val="007C123C"/>
    <w:rsid w:val="007C1DC9"/>
    <w:rsid w:val="007C1FC0"/>
    <w:rsid w:val="007C20FE"/>
    <w:rsid w:val="007C2678"/>
    <w:rsid w:val="007C2F6E"/>
    <w:rsid w:val="007C3435"/>
    <w:rsid w:val="007C376A"/>
    <w:rsid w:val="007C3E04"/>
    <w:rsid w:val="007C4A77"/>
    <w:rsid w:val="007C55BE"/>
    <w:rsid w:val="007C5AB5"/>
    <w:rsid w:val="007C5CCF"/>
    <w:rsid w:val="007C6AFF"/>
    <w:rsid w:val="007C766F"/>
    <w:rsid w:val="007C7AD6"/>
    <w:rsid w:val="007C7B0A"/>
    <w:rsid w:val="007C7C59"/>
    <w:rsid w:val="007C7DC7"/>
    <w:rsid w:val="007D0BB9"/>
    <w:rsid w:val="007D2593"/>
    <w:rsid w:val="007D2A26"/>
    <w:rsid w:val="007D36B9"/>
    <w:rsid w:val="007D40F5"/>
    <w:rsid w:val="007D4419"/>
    <w:rsid w:val="007D46D8"/>
    <w:rsid w:val="007D4892"/>
    <w:rsid w:val="007D48E9"/>
    <w:rsid w:val="007D53CB"/>
    <w:rsid w:val="007D564C"/>
    <w:rsid w:val="007D5857"/>
    <w:rsid w:val="007D6380"/>
    <w:rsid w:val="007D6E94"/>
    <w:rsid w:val="007D6F86"/>
    <w:rsid w:val="007D72EB"/>
    <w:rsid w:val="007D7CD6"/>
    <w:rsid w:val="007D7E01"/>
    <w:rsid w:val="007E06FB"/>
    <w:rsid w:val="007E0F0E"/>
    <w:rsid w:val="007E0F8F"/>
    <w:rsid w:val="007E317C"/>
    <w:rsid w:val="007E3E82"/>
    <w:rsid w:val="007E44F9"/>
    <w:rsid w:val="007E46B8"/>
    <w:rsid w:val="007E5E79"/>
    <w:rsid w:val="007E5ED9"/>
    <w:rsid w:val="007E5EDC"/>
    <w:rsid w:val="007E5F31"/>
    <w:rsid w:val="007E6646"/>
    <w:rsid w:val="007E66A7"/>
    <w:rsid w:val="007E6C51"/>
    <w:rsid w:val="007E7232"/>
    <w:rsid w:val="007E72AB"/>
    <w:rsid w:val="007F0378"/>
    <w:rsid w:val="007F0684"/>
    <w:rsid w:val="007F06B6"/>
    <w:rsid w:val="007F06E8"/>
    <w:rsid w:val="007F08B2"/>
    <w:rsid w:val="007F0AF8"/>
    <w:rsid w:val="007F219A"/>
    <w:rsid w:val="007F226D"/>
    <w:rsid w:val="007F2450"/>
    <w:rsid w:val="007F2696"/>
    <w:rsid w:val="007F2841"/>
    <w:rsid w:val="007F2A07"/>
    <w:rsid w:val="007F2A83"/>
    <w:rsid w:val="007F38F2"/>
    <w:rsid w:val="007F3A6F"/>
    <w:rsid w:val="007F3E44"/>
    <w:rsid w:val="007F3F16"/>
    <w:rsid w:val="007F4981"/>
    <w:rsid w:val="007F5C57"/>
    <w:rsid w:val="007F65DB"/>
    <w:rsid w:val="007F6761"/>
    <w:rsid w:val="007F6BC4"/>
    <w:rsid w:val="007F70D4"/>
    <w:rsid w:val="007F76B6"/>
    <w:rsid w:val="0080009A"/>
    <w:rsid w:val="00800120"/>
    <w:rsid w:val="0080073F"/>
    <w:rsid w:val="0080123D"/>
    <w:rsid w:val="00801CB1"/>
    <w:rsid w:val="00802AA7"/>
    <w:rsid w:val="00802B6F"/>
    <w:rsid w:val="00802BED"/>
    <w:rsid w:val="00803ACE"/>
    <w:rsid w:val="00803E5F"/>
    <w:rsid w:val="00804961"/>
    <w:rsid w:val="008055F7"/>
    <w:rsid w:val="00805B99"/>
    <w:rsid w:val="008064DA"/>
    <w:rsid w:val="00806E9B"/>
    <w:rsid w:val="00807090"/>
    <w:rsid w:val="008071F1"/>
    <w:rsid w:val="00807926"/>
    <w:rsid w:val="00807A15"/>
    <w:rsid w:val="00807AB5"/>
    <w:rsid w:val="008100A2"/>
    <w:rsid w:val="008107F5"/>
    <w:rsid w:val="00810E30"/>
    <w:rsid w:val="00810ED7"/>
    <w:rsid w:val="0081230B"/>
    <w:rsid w:val="008136E9"/>
    <w:rsid w:val="00813AEB"/>
    <w:rsid w:val="00813F5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50"/>
    <w:rsid w:val="00825EA0"/>
    <w:rsid w:val="00825F58"/>
    <w:rsid w:val="00826756"/>
    <w:rsid w:val="008268CF"/>
    <w:rsid w:val="008270EE"/>
    <w:rsid w:val="008271A4"/>
    <w:rsid w:val="00827497"/>
    <w:rsid w:val="0083026B"/>
    <w:rsid w:val="00831472"/>
    <w:rsid w:val="008329FF"/>
    <w:rsid w:val="00832E69"/>
    <w:rsid w:val="00832ECB"/>
    <w:rsid w:val="008333C3"/>
    <w:rsid w:val="00833526"/>
    <w:rsid w:val="008340EC"/>
    <w:rsid w:val="008344B2"/>
    <w:rsid w:val="00834909"/>
    <w:rsid w:val="00834B47"/>
    <w:rsid w:val="00835459"/>
    <w:rsid w:val="00836CC5"/>
    <w:rsid w:val="00836F1A"/>
    <w:rsid w:val="008373A3"/>
    <w:rsid w:val="00837C41"/>
    <w:rsid w:val="00837C92"/>
    <w:rsid w:val="00837F0F"/>
    <w:rsid w:val="00841165"/>
    <w:rsid w:val="008416E5"/>
    <w:rsid w:val="0084192B"/>
    <w:rsid w:val="0084210C"/>
    <w:rsid w:val="00842BBA"/>
    <w:rsid w:val="00842CB6"/>
    <w:rsid w:val="00842D41"/>
    <w:rsid w:val="00843029"/>
    <w:rsid w:val="00843420"/>
    <w:rsid w:val="00843B5D"/>
    <w:rsid w:val="008447D4"/>
    <w:rsid w:val="0084506C"/>
    <w:rsid w:val="008454BD"/>
    <w:rsid w:val="008463F3"/>
    <w:rsid w:val="00846D76"/>
    <w:rsid w:val="008476F0"/>
    <w:rsid w:val="00847EED"/>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8A1"/>
    <w:rsid w:val="0085642F"/>
    <w:rsid w:val="00857311"/>
    <w:rsid w:val="008573AF"/>
    <w:rsid w:val="00857645"/>
    <w:rsid w:val="00857D80"/>
    <w:rsid w:val="008602FC"/>
    <w:rsid w:val="00860761"/>
    <w:rsid w:val="0086083C"/>
    <w:rsid w:val="00860989"/>
    <w:rsid w:val="00860CF9"/>
    <w:rsid w:val="008622D3"/>
    <w:rsid w:val="0086268A"/>
    <w:rsid w:val="0086299A"/>
    <w:rsid w:val="0086337D"/>
    <w:rsid w:val="008639A2"/>
    <w:rsid w:val="00863BBB"/>
    <w:rsid w:val="00863D0B"/>
    <w:rsid w:val="008640FD"/>
    <w:rsid w:val="0086426C"/>
    <w:rsid w:val="0086564F"/>
    <w:rsid w:val="00865681"/>
    <w:rsid w:val="00866618"/>
    <w:rsid w:val="00867985"/>
    <w:rsid w:val="00867B6B"/>
    <w:rsid w:val="00870AFC"/>
    <w:rsid w:val="008715CC"/>
    <w:rsid w:val="008719F7"/>
    <w:rsid w:val="00871A30"/>
    <w:rsid w:val="00872589"/>
    <w:rsid w:val="00872770"/>
    <w:rsid w:val="00873754"/>
    <w:rsid w:val="00874A63"/>
    <w:rsid w:val="008751B8"/>
    <w:rsid w:val="008752FC"/>
    <w:rsid w:val="00875FA4"/>
    <w:rsid w:val="008763C8"/>
    <w:rsid w:val="00877D6E"/>
    <w:rsid w:val="00877E35"/>
    <w:rsid w:val="0088014E"/>
    <w:rsid w:val="00880528"/>
    <w:rsid w:val="00880BAB"/>
    <w:rsid w:val="008811B9"/>
    <w:rsid w:val="008817FF"/>
    <w:rsid w:val="00881CC6"/>
    <w:rsid w:val="00881D3D"/>
    <w:rsid w:val="00882284"/>
    <w:rsid w:val="0088239C"/>
    <w:rsid w:val="00882745"/>
    <w:rsid w:val="008828F7"/>
    <w:rsid w:val="00882A65"/>
    <w:rsid w:val="00882E58"/>
    <w:rsid w:val="008835B1"/>
    <w:rsid w:val="00883708"/>
    <w:rsid w:val="00883B3F"/>
    <w:rsid w:val="00884BF2"/>
    <w:rsid w:val="00884CE3"/>
    <w:rsid w:val="008851BE"/>
    <w:rsid w:val="00885538"/>
    <w:rsid w:val="0088555A"/>
    <w:rsid w:val="00885691"/>
    <w:rsid w:val="00886188"/>
    <w:rsid w:val="00886AF1"/>
    <w:rsid w:val="00887063"/>
    <w:rsid w:val="00887F1B"/>
    <w:rsid w:val="008900CF"/>
    <w:rsid w:val="00891E35"/>
    <w:rsid w:val="008921FF"/>
    <w:rsid w:val="008922CF"/>
    <w:rsid w:val="008923D1"/>
    <w:rsid w:val="008925B9"/>
    <w:rsid w:val="008937CB"/>
    <w:rsid w:val="0089427B"/>
    <w:rsid w:val="0089483C"/>
    <w:rsid w:val="00894A6B"/>
    <w:rsid w:val="00894A7F"/>
    <w:rsid w:val="00894CD9"/>
    <w:rsid w:val="00894CEF"/>
    <w:rsid w:val="00895E4B"/>
    <w:rsid w:val="00895E5A"/>
    <w:rsid w:val="008965EF"/>
    <w:rsid w:val="00896642"/>
    <w:rsid w:val="00896E3B"/>
    <w:rsid w:val="00897502"/>
    <w:rsid w:val="00897855"/>
    <w:rsid w:val="00897E32"/>
    <w:rsid w:val="008A0120"/>
    <w:rsid w:val="008A0E63"/>
    <w:rsid w:val="008A125D"/>
    <w:rsid w:val="008A173F"/>
    <w:rsid w:val="008A1D26"/>
    <w:rsid w:val="008A1EFD"/>
    <w:rsid w:val="008A2790"/>
    <w:rsid w:val="008A2C5D"/>
    <w:rsid w:val="008A3C32"/>
    <w:rsid w:val="008A3CB8"/>
    <w:rsid w:val="008A40AB"/>
    <w:rsid w:val="008A414F"/>
    <w:rsid w:val="008A4159"/>
    <w:rsid w:val="008A4F57"/>
    <w:rsid w:val="008A52CE"/>
    <w:rsid w:val="008A53A2"/>
    <w:rsid w:val="008A574C"/>
    <w:rsid w:val="008A614F"/>
    <w:rsid w:val="008A6A25"/>
    <w:rsid w:val="008B0BA7"/>
    <w:rsid w:val="008B0D11"/>
    <w:rsid w:val="008B12E5"/>
    <w:rsid w:val="008B1E06"/>
    <w:rsid w:val="008B20A4"/>
    <w:rsid w:val="008B2F1A"/>
    <w:rsid w:val="008B31AD"/>
    <w:rsid w:val="008B331F"/>
    <w:rsid w:val="008B3A87"/>
    <w:rsid w:val="008B3C1F"/>
    <w:rsid w:val="008B4243"/>
    <w:rsid w:val="008B4953"/>
    <w:rsid w:val="008B4A2A"/>
    <w:rsid w:val="008B4E19"/>
    <w:rsid w:val="008B4F72"/>
    <w:rsid w:val="008B585B"/>
    <w:rsid w:val="008B5F58"/>
    <w:rsid w:val="008B6367"/>
    <w:rsid w:val="008B63AD"/>
    <w:rsid w:val="008B6A3A"/>
    <w:rsid w:val="008B7546"/>
    <w:rsid w:val="008B7636"/>
    <w:rsid w:val="008B79D4"/>
    <w:rsid w:val="008C0557"/>
    <w:rsid w:val="008C0771"/>
    <w:rsid w:val="008C0845"/>
    <w:rsid w:val="008C127F"/>
    <w:rsid w:val="008C1715"/>
    <w:rsid w:val="008C1779"/>
    <w:rsid w:val="008C1DC1"/>
    <w:rsid w:val="008C28B3"/>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1FF3"/>
    <w:rsid w:val="008D229E"/>
    <w:rsid w:val="008D24C5"/>
    <w:rsid w:val="008D36D2"/>
    <w:rsid w:val="008D3FE4"/>
    <w:rsid w:val="008D415F"/>
    <w:rsid w:val="008D4B1B"/>
    <w:rsid w:val="008D4ECB"/>
    <w:rsid w:val="008D5506"/>
    <w:rsid w:val="008D56FC"/>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A80"/>
    <w:rsid w:val="008E2BCC"/>
    <w:rsid w:val="008E3B01"/>
    <w:rsid w:val="008E5A4E"/>
    <w:rsid w:val="008E6D37"/>
    <w:rsid w:val="008E6F6B"/>
    <w:rsid w:val="008E7155"/>
    <w:rsid w:val="008E71FB"/>
    <w:rsid w:val="008E7365"/>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C06"/>
    <w:rsid w:val="008F3E4F"/>
    <w:rsid w:val="008F4363"/>
    <w:rsid w:val="008F438C"/>
    <w:rsid w:val="008F465B"/>
    <w:rsid w:val="008F4C44"/>
    <w:rsid w:val="008F525C"/>
    <w:rsid w:val="008F540C"/>
    <w:rsid w:val="008F6060"/>
    <w:rsid w:val="008F6426"/>
    <w:rsid w:val="008F64B0"/>
    <w:rsid w:val="008F698E"/>
    <w:rsid w:val="008F6B8B"/>
    <w:rsid w:val="008F6EA1"/>
    <w:rsid w:val="008F74F0"/>
    <w:rsid w:val="00900604"/>
    <w:rsid w:val="00900A13"/>
    <w:rsid w:val="00900C3B"/>
    <w:rsid w:val="00901038"/>
    <w:rsid w:val="009013A1"/>
    <w:rsid w:val="0090146E"/>
    <w:rsid w:val="00901D9F"/>
    <w:rsid w:val="00901E4D"/>
    <w:rsid w:val="0090218B"/>
    <w:rsid w:val="0090259F"/>
    <w:rsid w:val="00903424"/>
    <w:rsid w:val="00903553"/>
    <w:rsid w:val="0090368C"/>
    <w:rsid w:val="00903CF5"/>
    <w:rsid w:val="00904206"/>
    <w:rsid w:val="0090491E"/>
    <w:rsid w:val="009049B3"/>
    <w:rsid w:val="00904D8C"/>
    <w:rsid w:val="009050F4"/>
    <w:rsid w:val="00905311"/>
    <w:rsid w:val="00905456"/>
    <w:rsid w:val="009058F9"/>
    <w:rsid w:val="0090621C"/>
    <w:rsid w:val="009065B6"/>
    <w:rsid w:val="00906618"/>
    <w:rsid w:val="00906C4A"/>
    <w:rsid w:val="00906D7A"/>
    <w:rsid w:val="00910866"/>
    <w:rsid w:val="00910B64"/>
    <w:rsid w:val="009110AD"/>
    <w:rsid w:val="009110CA"/>
    <w:rsid w:val="009111CC"/>
    <w:rsid w:val="009114FF"/>
    <w:rsid w:val="00911A79"/>
    <w:rsid w:val="00911D8B"/>
    <w:rsid w:val="009127CC"/>
    <w:rsid w:val="00914099"/>
    <w:rsid w:val="00914797"/>
    <w:rsid w:val="009158B9"/>
    <w:rsid w:val="0091620A"/>
    <w:rsid w:val="00916863"/>
    <w:rsid w:val="009171B3"/>
    <w:rsid w:val="00917458"/>
    <w:rsid w:val="00917EF4"/>
    <w:rsid w:val="0092092F"/>
    <w:rsid w:val="0092096D"/>
    <w:rsid w:val="00921B6D"/>
    <w:rsid w:val="00921E56"/>
    <w:rsid w:val="009221ED"/>
    <w:rsid w:val="0092259C"/>
    <w:rsid w:val="00922AB8"/>
    <w:rsid w:val="00923106"/>
    <w:rsid w:val="0092330D"/>
    <w:rsid w:val="00923D98"/>
    <w:rsid w:val="00923FFB"/>
    <w:rsid w:val="00924CAD"/>
    <w:rsid w:val="00926F12"/>
    <w:rsid w:val="00927072"/>
    <w:rsid w:val="009271F9"/>
    <w:rsid w:val="00927309"/>
    <w:rsid w:val="009278F2"/>
    <w:rsid w:val="00927DE3"/>
    <w:rsid w:val="00930591"/>
    <w:rsid w:val="00930609"/>
    <w:rsid w:val="00930B72"/>
    <w:rsid w:val="00931099"/>
    <w:rsid w:val="009316E7"/>
    <w:rsid w:val="0093196E"/>
    <w:rsid w:val="00931A58"/>
    <w:rsid w:val="00932113"/>
    <w:rsid w:val="00932AD7"/>
    <w:rsid w:val="00932E71"/>
    <w:rsid w:val="00933C9E"/>
    <w:rsid w:val="00934C06"/>
    <w:rsid w:val="009352C5"/>
    <w:rsid w:val="00935534"/>
    <w:rsid w:val="0093562F"/>
    <w:rsid w:val="00935882"/>
    <w:rsid w:val="00935F61"/>
    <w:rsid w:val="009360BB"/>
    <w:rsid w:val="00936B1F"/>
    <w:rsid w:val="009379F0"/>
    <w:rsid w:val="00937A67"/>
    <w:rsid w:val="00942B2E"/>
    <w:rsid w:val="009431FA"/>
    <w:rsid w:val="00943238"/>
    <w:rsid w:val="00943CFE"/>
    <w:rsid w:val="00943DE9"/>
    <w:rsid w:val="00943F96"/>
    <w:rsid w:val="00943FA2"/>
    <w:rsid w:val="0094494D"/>
    <w:rsid w:val="00944E59"/>
    <w:rsid w:val="00945401"/>
    <w:rsid w:val="0094570D"/>
    <w:rsid w:val="009459F4"/>
    <w:rsid w:val="00945ABE"/>
    <w:rsid w:val="00945E58"/>
    <w:rsid w:val="00946127"/>
    <w:rsid w:val="00946907"/>
    <w:rsid w:val="00946AB9"/>
    <w:rsid w:val="009508FB"/>
    <w:rsid w:val="00950CAE"/>
    <w:rsid w:val="00951256"/>
    <w:rsid w:val="009512EC"/>
    <w:rsid w:val="009519A8"/>
    <w:rsid w:val="00951F0B"/>
    <w:rsid w:val="0095315A"/>
    <w:rsid w:val="009534DD"/>
    <w:rsid w:val="009535C2"/>
    <w:rsid w:val="00953A73"/>
    <w:rsid w:val="009544D0"/>
    <w:rsid w:val="00954D5A"/>
    <w:rsid w:val="00954D5F"/>
    <w:rsid w:val="009551A8"/>
    <w:rsid w:val="009555DB"/>
    <w:rsid w:val="00955888"/>
    <w:rsid w:val="00956B6C"/>
    <w:rsid w:val="00957B5B"/>
    <w:rsid w:val="009601CB"/>
    <w:rsid w:val="0096059A"/>
    <w:rsid w:val="0096081E"/>
    <w:rsid w:val="00960D39"/>
    <w:rsid w:val="00960F7E"/>
    <w:rsid w:val="009611A5"/>
    <w:rsid w:val="00961742"/>
    <w:rsid w:val="0096193B"/>
    <w:rsid w:val="00961BF0"/>
    <w:rsid w:val="00963188"/>
    <w:rsid w:val="009631F1"/>
    <w:rsid w:val="00963240"/>
    <w:rsid w:val="009636C9"/>
    <w:rsid w:val="00963B82"/>
    <w:rsid w:val="00964338"/>
    <w:rsid w:val="00964475"/>
    <w:rsid w:val="00964A6E"/>
    <w:rsid w:val="00964FB4"/>
    <w:rsid w:val="0096563E"/>
    <w:rsid w:val="00965A82"/>
    <w:rsid w:val="009663B0"/>
    <w:rsid w:val="009666BD"/>
    <w:rsid w:val="0096670E"/>
    <w:rsid w:val="00966BFB"/>
    <w:rsid w:val="009670AC"/>
    <w:rsid w:val="00967C1C"/>
    <w:rsid w:val="00967CDA"/>
    <w:rsid w:val="00967F18"/>
    <w:rsid w:val="00970048"/>
    <w:rsid w:val="00971831"/>
    <w:rsid w:val="0097216D"/>
    <w:rsid w:val="00972D8F"/>
    <w:rsid w:val="0097363C"/>
    <w:rsid w:val="00973C2B"/>
    <w:rsid w:val="0097437B"/>
    <w:rsid w:val="0097441E"/>
    <w:rsid w:val="0097556A"/>
    <w:rsid w:val="00975FB0"/>
    <w:rsid w:val="009762C7"/>
    <w:rsid w:val="009766E7"/>
    <w:rsid w:val="0097670F"/>
    <w:rsid w:val="00976C61"/>
    <w:rsid w:val="009803EC"/>
    <w:rsid w:val="00981215"/>
    <w:rsid w:val="009812FC"/>
    <w:rsid w:val="009813BF"/>
    <w:rsid w:val="009819CD"/>
    <w:rsid w:val="00981D8D"/>
    <w:rsid w:val="00981F8F"/>
    <w:rsid w:val="00982C0D"/>
    <w:rsid w:val="00983A78"/>
    <w:rsid w:val="00983D98"/>
    <w:rsid w:val="009844B4"/>
    <w:rsid w:val="0098453B"/>
    <w:rsid w:val="0098462A"/>
    <w:rsid w:val="00984D82"/>
    <w:rsid w:val="009854EF"/>
    <w:rsid w:val="0098572B"/>
    <w:rsid w:val="009858AC"/>
    <w:rsid w:val="00985CDA"/>
    <w:rsid w:val="0098603A"/>
    <w:rsid w:val="00986137"/>
    <w:rsid w:val="00986B96"/>
    <w:rsid w:val="0098740B"/>
    <w:rsid w:val="00987C6F"/>
    <w:rsid w:val="00987C9A"/>
    <w:rsid w:val="0099018C"/>
    <w:rsid w:val="00990708"/>
    <w:rsid w:val="00990C3D"/>
    <w:rsid w:val="0099161A"/>
    <w:rsid w:val="0099199D"/>
    <w:rsid w:val="00991B9A"/>
    <w:rsid w:val="009921CE"/>
    <w:rsid w:val="00992AAA"/>
    <w:rsid w:val="00993263"/>
    <w:rsid w:val="0099331F"/>
    <w:rsid w:val="00993366"/>
    <w:rsid w:val="009933D8"/>
    <w:rsid w:val="00993499"/>
    <w:rsid w:val="009934DB"/>
    <w:rsid w:val="009939CB"/>
    <w:rsid w:val="00993CFF"/>
    <w:rsid w:val="00993D95"/>
    <w:rsid w:val="009948FE"/>
    <w:rsid w:val="00994D09"/>
    <w:rsid w:val="00995756"/>
    <w:rsid w:val="00996AFE"/>
    <w:rsid w:val="00997125"/>
    <w:rsid w:val="0099782B"/>
    <w:rsid w:val="009A0208"/>
    <w:rsid w:val="009A0B05"/>
    <w:rsid w:val="009A1B80"/>
    <w:rsid w:val="009A21EE"/>
    <w:rsid w:val="009A253B"/>
    <w:rsid w:val="009A2F7C"/>
    <w:rsid w:val="009A3C6E"/>
    <w:rsid w:val="009A4251"/>
    <w:rsid w:val="009A4F63"/>
    <w:rsid w:val="009A640C"/>
    <w:rsid w:val="009A657D"/>
    <w:rsid w:val="009A667C"/>
    <w:rsid w:val="009A6A04"/>
    <w:rsid w:val="009A6A34"/>
    <w:rsid w:val="009A7344"/>
    <w:rsid w:val="009A7387"/>
    <w:rsid w:val="009A78A6"/>
    <w:rsid w:val="009B01AE"/>
    <w:rsid w:val="009B04F2"/>
    <w:rsid w:val="009B0A42"/>
    <w:rsid w:val="009B0A43"/>
    <w:rsid w:val="009B123D"/>
    <w:rsid w:val="009B1C1B"/>
    <w:rsid w:val="009B1D3F"/>
    <w:rsid w:val="009B1E55"/>
    <w:rsid w:val="009B35BF"/>
    <w:rsid w:val="009B3B2E"/>
    <w:rsid w:val="009B45EB"/>
    <w:rsid w:val="009B4C3E"/>
    <w:rsid w:val="009B4D2F"/>
    <w:rsid w:val="009B5038"/>
    <w:rsid w:val="009B55FE"/>
    <w:rsid w:val="009B56BE"/>
    <w:rsid w:val="009B573C"/>
    <w:rsid w:val="009B6E0F"/>
    <w:rsid w:val="009B708C"/>
    <w:rsid w:val="009B7356"/>
    <w:rsid w:val="009B78AF"/>
    <w:rsid w:val="009B7A8A"/>
    <w:rsid w:val="009C07DB"/>
    <w:rsid w:val="009C099B"/>
    <w:rsid w:val="009C0B86"/>
    <w:rsid w:val="009C1604"/>
    <w:rsid w:val="009C1ADB"/>
    <w:rsid w:val="009C1F3C"/>
    <w:rsid w:val="009C25AE"/>
    <w:rsid w:val="009C3039"/>
    <w:rsid w:val="009C339C"/>
    <w:rsid w:val="009C37BF"/>
    <w:rsid w:val="009C398A"/>
    <w:rsid w:val="009C442E"/>
    <w:rsid w:val="009C4676"/>
    <w:rsid w:val="009C52A3"/>
    <w:rsid w:val="009C5FC3"/>
    <w:rsid w:val="009C6046"/>
    <w:rsid w:val="009C60E9"/>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84C"/>
    <w:rsid w:val="009D4C5D"/>
    <w:rsid w:val="009D59CA"/>
    <w:rsid w:val="009D6254"/>
    <w:rsid w:val="009D645F"/>
    <w:rsid w:val="009D6D3F"/>
    <w:rsid w:val="009D7410"/>
    <w:rsid w:val="009D7601"/>
    <w:rsid w:val="009D7622"/>
    <w:rsid w:val="009D7B8A"/>
    <w:rsid w:val="009E075E"/>
    <w:rsid w:val="009E1908"/>
    <w:rsid w:val="009E1EAB"/>
    <w:rsid w:val="009E1ECF"/>
    <w:rsid w:val="009E2463"/>
    <w:rsid w:val="009E27B9"/>
    <w:rsid w:val="009E2B4C"/>
    <w:rsid w:val="009E2C55"/>
    <w:rsid w:val="009E2E3F"/>
    <w:rsid w:val="009E2FAC"/>
    <w:rsid w:val="009E3197"/>
    <w:rsid w:val="009E322D"/>
    <w:rsid w:val="009E391D"/>
    <w:rsid w:val="009E4123"/>
    <w:rsid w:val="009E44A4"/>
    <w:rsid w:val="009E47AD"/>
    <w:rsid w:val="009E4A34"/>
    <w:rsid w:val="009E4E3B"/>
    <w:rsid w:val="009E4F7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429E"/>
    <w:rsid w:val="009F4825"/>
    <w:rsid w:val="009F48A7"/>
    <w:rsid w:val="009F49FF"/>
    <w:rsid w:val="009F5CE6"/>
    <w:rsid w:val="009F60E0"/>
    <w:rsid w:val="009F68A3"/>
    <w:rsid w:val="009F6B75"/>
    <w:rsid w:val="009F6C90"/>
    <w:rsid w:val="009F74DB"/>
    <w:rsid w:val="009F77DF"/>
    <w:rsid w:val="009F7813"/>
    <w:rsid w:val="009F783F"/>
    <w:rsid w:val="009F7CB3"/>
    <w:rsid w:val="00A00221"/>
    <w:rsid w:val="00A00437"/>
    <w:rsid w:val="00A00DDA"/>
    <w:rsid w:val="00A01385"/>
    <w:rsid w:val="00A01B9D"/>
    <w:rsid w:val="00A02C0A"/>
    <w:rsid w:val="00A03652"/>
    <w:rsid w:val="00A03A2A"/>
    <w:rsid w:val="00A03D17"/>
    <w:rsid w:val="00A0480E"/>
    <w:rsid w:val="00A04844"/>
    <w:rsid w:val="00A064E2"/>
    <w:rsid w:val="00A06ED8"/>
    <w:rsid w:val="00A0743A"/>
    <w:rsid w:val="00A07570"/>
    <w:rsid w:val="00A10103"/>
    <w:rsid w:val="00A10707"/>
    <w:rsid w:val="00A11137"/>
    <w:rsid w:val="00A111EA"/>
    <w:rsid w:val="00A1135E"/>
    <w:rsid w:val="00A11447"/>
    <w:rsid w:val="00A11B67"/>
    <w:rsid w:val="00A11C28"/>
    <w:rsid w:val="00A11DEE"/>
    <w:rsid w:val="00A12B28"/>
    <w:rsid w:val="00A12F3C"/>
    <w:rsid w:val="00A13C3A"/>
    <w:rsid w:val="00A13EAB"/>
    <w:rsid w:val="00A140CD"/>
    <w:rsid w:val="00A151EB"/>
    <w:rsid w:val="00A159C7"/>
    <w:rsid w:val="00A1615B"/>
    <w:rsid w:val="00A162DF"/>
    <w:rsid w:val="00A16324"/>
    <w:rsid w:val="00A17013"/>
    <w:rsid w:val="00A175C6"/>
    <w:rsid w:val="00A17AF1"/>
    <w:rsid w:val="00A17B4D"/>
    <w:rsid w:val="00A17B91"/>
    <w:rsid w:val="00A20220"/>
    <w:rsid w:val="00A20283"/>
    <w:rsid w:val="00A205D8"/>
    <w:rsid w:val="00A20CAE"/>
    <w:rsid w:val="00A216BF"/>
    <w:rsid w:val="00A21C7C"/>
    <w:rsid w:val="00A22A9E"/>
    <w:rsid w:val="00A23269"/>
    <w:rsid w:val="00A23756"/>
    <w:rsid w:val="00A238E0"/>
    <w:rsid w:val="00A23F95"/>
    <w:rsid w:val="00A24009"/>
    <w:rsid w:val="00A24010"/>
    <w:rsid w:val="00A24849"/>
    <w:rsid w:val="00A24AE4"/>
    <w:rsid w:val="00A24CF6"/>
    <w:rsid w:val="00A25E6E"/>
    <w:rsid w:val="00A26462"/>
    <w:rsid w:val="00A26700"/>
    <w:rsid w:val="00A26B21"/>
    <w:rsid w:val="00A27235"/>
    <w:rsid w:val="00A274E2"/>
    <w:rsid w:val="00A2766F"/>
    <w:rsid w:val="00A27B4F"/>
    <w:rsid w:val="00A308A9"/>
    <w:rsid w:val="00A30B97"/>
    <w:rsid w:val="00A30BDB"/>
    <w:rsid w:val="00A31193"/>
    <w:rsid w:val="00A312FC"/>
    <w:rsid w:val="00A31552"/>
    <w:rsid w:val="00A31F9A"/>
    <w:rsid w:val="00A32155"/>
    <w:rsid w:val="00A3288D"/>
    <w:rsid w:val="00A3307A"/>
    <w:rsid w:val="00A34B1A"/>
    <w:rsid w:val="00A34BDA"/>
    <w:rsid w:val="00A358DC"/>
    <w:rsid w:val="00A35AFC"/>
    <w:rsid w:val="00A3607A"/>
    <w:rsid w:val="00A362FE"/>
    <w:rsid w:val="00A37093"/>
    <w:rsid w:val="00A40477"/>
    <w:rsid w:val="00A40D38"/>
    <w:rsid w:val="00A4164A"/>
    <w:rsid w:val="00A4189A"/>
    <w:rsid w:val="00A41C3D"/>
    <w:rsid w:val="00A41F2E"/>
    <w:rsid w:val="00A42304"/>
    <w:rsid w:val="00A42475"/>
    <w:rsid w:val="00A42C8A"/>
    <w:rsid w:val="00A42D5D"/>
    <w:rsid w:val="00A432A0"/>
    <w:rsid w:val="00A4354B"/>
    <w:rsid w:val="00A43590"/>
    <w:rsid w:val="00A43F0A"/>
    <w:rsid w:val="00A43FF9"/>
    <w:rsid w:val="00A44220"/>
    <w:rsid w:val="00A44627"/>
    <w:rsid w:val="00A44F30"/>
    <w:rsid w:val="00A4578C"/>
    <w:rsid w:val="00A45F52"/>
    <w:rsid w:val="00A465E9"/>
    <w:rsid w:val="00A4661A"/>
    <w:rsid w:val="00A46A4B"/>
    <w:rsid w:val="00A47774"/>
    <w:rsid w:val="00A47BC1"/>
    <w:rsid w:val="00A47CAA"/>
    <w:rsid w:val="00A505E0"/>
    <w:rsid w:val="00A50899"/>
    <w:rsid w:val="00A50FC2"/>
    <w:rsid w:val="00A512A2"/>
    <w:rsid w:val="00A51DF0"/>
    <w:rsid w:val="00A5216F"/>
    <w:rsid w:val="00A52254"/>
    <w:rsid w:val="00A523A1"/>
    <w:rsid w:val="00A52401"/>
    <w:rsid w:val="00A5287D"/>
    <w:rsid w:val="00A52BBB"/>
    <w:rsid w:val="00A539C0"/>
    <w:rsid w:val="00A550F7"/>
    <w:rsid w:val="00A5513E"/>
    <w:rsid w:val="00A55E33"/>
    <w:rsid w:val="00A562BE"/>
    <w:rsid w:val="00A56A4F"/>
    <w:rsid w:val="00A56B98"/>
    <w:rsid w:val="00A56DDE"/>
    <w:rsid w:val="00A56EA0"/>
    <w:rsid w:val="00A56FB6"/>
    <w:rsid w:val="00A5787F"/>
    <w:rsid w:val="00A57E73"/>
    <w:rsid w:val="00A60436"/>
    <w:rsid w:val="00A607D9"/>
    <w:rsid w:val="00A60C3A"/>
    <w:rsid w:val="00A62095"/>
    <w:rsid w:val="00A621B7"/>
    <w:rsid w:val="00A62BA7"/>
    <w:rsid w:val="00A63037"/>
    <w:rsid w:val="00A6323E"/>
    <w:rsid w:val="00A63AF3"/>
    <w:rsid w:val="00A6419E"/>
    <w:rsid w:val="00A64E8C"/>
    <w:rsid w:val="00A64EF8"/>
    <w:rsid w:val="00A653ED"/>
    <w:rsid w:val="00A65E01"/>
    <w:rsid w:val="00A664B6"/>
    <w:rsid w:val="00A6677B"/>
    <w:rsid w:val="00A6771B"/>
    <w:rsid w:val="00A67CBE"/>
    <w:rsid w:val="00A67D1C"/>
    <w:rsid w:val="00A70590"/>
    <w:rsid w:val="00A710AC"/>
    <w:rsid w:val="00A717AD"/>
    <w:rsid w:val="00A7186E"/>
    <w:rsid w:val="00A71FC9"/>
    <w:rsid w:val="00A725DB"/>
    <w:rsid w:val="00A72B25"/>
    <w:rsid w:val="00A72EFB"/>
    <w:rsid w:val="00A73335"/>
    <w:rsid w:val="00A73738"/>
    <w:rsid w:val="00A739A6"/>
    <w:rsid w:val="00A73D15"/>
    <w:rsid w:val="00A73D7C"/>
    <w:rsid w:val="00A73E8F"/>
    <w:rsid w:val="00A747DC"/>
    <w:rsid w:val="00A74D4E"/>
    <w:rsid w:val="00A753BD"/>
    <w:rsid w:val="00A761EE"/>
    <w:rsid w:val="00A76B33"/>
    <w:rsid w:val="00A77933"/>
    <w:rsid w:val="00A77F98"/>
    <w:rsid w:val="00A80813"/>
    <w:rsid w:val="00A80EA4"/>
    <w:rsid w:val="00A819BA"/>
    <w:rsid w:val="00A819DD"/>
    <w:rsid w:val="00A81B13"/>
    <w:rsid w:val="00A81C95"/>
    <w:rsid w:val="00A81CE2"/>
    <w:rsid w:val="00A826DD"/>
    <w:rsid w:val="00A82734"/>
    <w:rsid w:val="00A83A16"/>
    <w:rsid w:val="00A83CA5"/>
    <w:rsid w:val="00A841A7"/>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335"/>
    <w:rsid w:val="00A904E2"/>
    <w:rsid w:val="00A90674"/>
    <w:rsid w:val="00A90D2E"/>
    <w:rsid w:val="00A912E7"/>
    <w:rsid w:val="00A91E97"/>
    <w:rsid w:val="00A92BCF"/>
    <w:rsid w:val="00A92E1F"/>
    <w:rsid w:val="00A93095"/>
    <w:rsid w:val="00A9376A"/>
    <w:rsid w:val="00A948C8"/>
    <w:rsid w:val="00A96085"/>
    <w:rsid w:val="00A96424"/>
    <w:rsid w:val="00A978D8"/>
    <w:rsid w:val="00AA0795"/>
    <w:rsid w:val="00AA19A6"/>
    <w:rsid w:val="00AA1AED"/>
    <w:rsid w:val="00AA1C8A"/>
    <w:rsid w:val="00AA20B1"/>
    <w:rsid w:val="00AA262E"/>
    <w:rsid w:val="00AA2C89"/>
    <w:rsid w:val="00AA336E"/>
    <w:rsid w:val="00AA3451"/>
    <w:rsid w:val="00AA3908"/>
    <w:rsid w:val="00AA39CD"/>
    <w:rsid w:val="00AA43BD"/>
    <w:rsid w:val="00AA4515"/>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8F"/>
    <w:rsid w:val="00AB64E5"/>
    <w:rsid w:val="00AB6C31"/>
    <w:rsid w:val="00AB703C"/>
    <w:rsid w:val="00AB7213"/>
    <w:rsid w:val="00AB7442"/>
    <w:rsid w:val="00AC1226"/>
    <w:rsid w:val="00AC1686"/>
    <w:rsid w:val="00AC179A"/>
    <w:rsid w:val="00AC24F6"/>
    <w:rsid w:val="00AC299E"/>
    <w:rsid w:val="00AC2DD1"/>
    <w:rsid w:val="00AC5281"/>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797"/>
    <w:rsid w:val="00AD4FA6"/>
    <w:rsid w:val="00AD5B17"/>
    <w:rsid w:val="00AD5D9A"/>
    <w:rsid w:val="00AD6676"/>
    <w:rsid w:val="00AD6833"/>
    <w:rsid w:val="00AD6912"/>
    <w:rsid w:val="00AD6997"/>
    <w:rsid w:val="00AD6DC8"/>
    <w:rsid w:val="00AD715B"/>
    <w:rsid w:val="00AD7381"/>
    <w:rsid w:val="00AD77FA"/>
    <w:rsid w:val="00AE0A81"/>
    <w:rsid w:val="00AE0E90"/>
    <w:rsid w:val="00AE1212"/>
    <w:rsid w:val="00AE186F"/>
    <w:rsid w:val="00AE1923"/>
    <w:rsid w:val="00AE1D4C"/>
    <w:rsid w:val="00AE2257"/>
    <w:rsid w:val="00AE252A"/>
    <w:rsid w:val="00AE2D96"/>
    <w:rsid w:val="00AE4168"/>
    <w:rsid w:val="00AE47D9"/>
    <w:rsid w:val="00AE48A4"/>
    <w:rsid w:val="00AE4EB6"/>
    <w:rsid w:val="00AE4F38"/>
    <w:rsid w:val="00AE4F3F"/>
    <w:rsid w:val="00AE507F"/>
    <w:rsid w:val="00AE544D"/>
    <w:rsid w:val="00AE6145"/>
    <w:rsid w:val="00AE6873"/>
    <w:rsid w:val="00AE6CDC"/>
    <w:rsid w:val="00AE6D21"/>
    <w:rsid w:val="00AE7F9B"/>
    <w:rsid w:val="00AF0979"/>
    <w:rsid w:val="00AF1DE2"/>
    <w:rsid w:val="00AF2806"/>
    <w:rsid w:val="00AF2DC1"/>
    <w:rsid w:val="00AF34D2"/>
    <w:rsid w:val="00AF406C"/>
    <w:rsid w:val="00AF428A"/>
    <w:rsid w:val="00AF436B"/>
    <w:rsid w:val="00AF498E"/>
    <w:rsid w:val="00AF4AF0"/>
    <w:rsid w:val="00AF4C7D"/>
    <w:rsid w:val="00AF4E90"/>
    <w:rsid w:val="00AF4FCC"/>
    <w:rsid w:val="00AF5912"/>
    <w:rsid w:val="00AF5D8B"/>
    <w:rsid w:val="00AF7341"/>
    <w:rsid w:val="00B001D8"/>
    <w:rsid w:val="00B0063B"/>
    <w:rsid w:val="00B00F17"/>
    <w:rsid w:val="00B01D45"/>
    <w:rsid w:val="00B01DB9"/>
    <w:rsid w:val="00B01E36"/>
    <w:rsid w:val="00B0346B"/>
    <w:rsid w:val="00B039CC"/>
    <w:rsid w:val="00B04AB9"/>
    <w:rsid w:val="00B04C10"/>
    <w:rsid w:val="00B0575B"/>
    <w:rsid w:val="00B068E4"/>
    <w:rsid w:val="00B068FF"/>
    <w:rsid w:val="00B104AD"/>
    <w:rsid w:val="00B10CE6"/>
    <w:rsid w:val="00B115ED"/>
    <w:rsid w:val="00B117CB"/>
    <w:rsid w:val="00B117D7"/>
    <w:rsid w:val="00B12732"/>
    <w:rsid w:val="00B1288F"/>
    <w:rsid w:val="00B13785"/>
    <w:rsid w:val="00B13B8E"/>
    <w:rsid w:val="00B142E0"/>
    <w:rsid w:val="00B15237"/>
    <w:rsid w:val="00B166DD"/>
    <w:rsid w:val="00B16CE5"/>
    <w:rsid w:val="00B17A45"/>
    <w:rsid w:val="00B17C23"/>
    <w:rsid w:val="00B21F97"/>
    <w:rsid w:val="00B22AAA"/>
    <w:rsid w:val="00B231BC"/>
    <w:rsid w:val="00B23573"/>
    <w:rsid w:val="00B23ABE"/>
    <w:rsid w:val="00B23B67"/>
    <w:rsid w:val="00B24A00"/>
    <w:rsid w:val="00B24B78"/>
    <w:rsid w:val="00B24E1A"/>
    <w:rsid w:val="00B26797"/>
    <w:rsid w:val="00B26C98"/>
    <w:rsid w:val="00B26E4F"/>
    <w:rsid w:val="00B271E8"/>
    <w:rsid w:val="00B275D8"/>
    <w:rsid w:val="00B27FB7"/>
    <w:rsid w:val="00B3111B"/>
    <w:rsid w:val="00B313F6"/>
    <w:rsid w:val="00B32506"/>
    <w:rsid w:val="00B3291A"/>
    <w:rsid w:val="00B32F66"/>
    <w:rsid w:val="00B33678"/>
    <w:rsid w:val="00B33DDF"/>
    <w:rsid w:val="00B33FD6"/>
    <w:rsid w:val="00B34AFD"/>
    <w:rsid w:val="00B3512D"/>
    <w:rsid w:val="00B354E2"/>
    <w:rsid w:val="00B358C1"/>
    <w:rsid w:val="00B3655A"/>
    <w:rsid w:val="00B36705"/>
    <w:rsid w:val="00B37073"/>
    <w:rsid w:val="00B40037"/>
    <w:rsid w:val="00B40833"/>
    <w:rsid w:val="00B40C0D"/>
    <w:rsid w:val="00B4158F"/>
    <w:rsid w:val="00B41861"/>
    <w:rsid w:val="00B41A1A"/>
    <w:rsid w:val="00B42107"/>
    <w:rsid w:val="00B424CD"/>
    <w:rsid w:val="00B433C5"/>
    <w:rsid w:val="00B437D9"/>
    <w:rsid w:val="00B43D84"/>
    <w:rsid w:val="00B440D1"/>
    <w:rsid w:val="00B44A28"/>
    <w:rsid w:val="00B44F05"/>
    <w:rsid w:val="00B453BC"/>
    <w:rsid w:val="00B457F9"/>
    <w:rsid w:val="00B45BBA"/>
    <w:rsid w:val="00B462D8"/>
    <w:rsid w:val="00B46347"/>
    <w:rsid w:val="00B46444"/>
    <w:rsid w:val="00B4762E"/>
    <w:rsid w:val="00B4785D"/>
    <w:rsid w:val="00B507E3"/>
    <w:rsid w:val="00B51599"/>
    <w:rsid w:val="00B52633"/>
    <w:rsid w:val="00B52AB9"/>
    <w:rsid w:val="00B52EAD"/>
    <w:rsid w:val="00B52F36"/>
    <w:rsid w:val="00B54308"/>
    <w:rsid w:val="00B5474A"/>
    <w:rsid w:val="00B54B53"/>
    <w:rsid w:val="00B54B97"/>
    <w:rsid w:val="00B5513A"/>
    <w:rsid w:val="00B55559"/>
    <w:rsid w:val="00B55825"/>
    <w:rsid w:val="00B5594B"/>
    <w:rsid w:val="00B55E9E"/>
    <w:rsid w:val="00B56439"/>
    <w:rsid w:val="00B57320"/>
    <w:rsid w:val="00B574FC"/>
    <w:rsid w:val="00B577AE"/>
    <w:rsid w:val="00B57E0B"/>
    <w:rsid w:val="00B60E24"/>
    <w:rsid w:val="00B61068"/>
    <w:rsid w:val="00B61183"/>
    <w:rsid w:val="00B6118D"/>
    <w:rsid w:val="00B6199F"/>
    <w:rsid w:val="00B62D2A"/>
    <w:rsid w:val="00B63142"/>
    <w:rsid w:val="00B63653"/>
    <w:rsid w:val="00B6487A"/>
    <w:rsid w:val="00B64CDE"/>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0E3"/>
    <w:rsid w:val="00B731A4"/>
    <w:rsid w:val="00B7351F"/>
    <w:rsid w:val="00B743DF"/>
    <w:rsid w:val="00B74B6F"/>
    <w:rsid w:val="00B75252"/>
    <w:rsid w:val="00B752A3"/>
    <w:rsid w:val="00B75640"/>
    <w:rsid w:val="00B75690"/>
    <w:rsid w:val="00B75FB3"/>
    <w:rsid w:val="00B77355"/>
    <w:rsid w:val="00B77E94"/>
    <w:rsid w:val="00B80265"/>
    <w:rsid w:val="00B80321"/>
    <w:rsid w:val="00B810A8"/>
    <w:rsid w:val="00B81FA5"/>
    <w:rsid w:val="00B82B5E"/>
    <w:rsid w:val="00B851CA"/>
    <w:rsid w:val="00B863E7"/>
    <w:rsid w:val="00B86526"/>
    <w:rsid w:val="00B867BF"/>
    <w:rsid w:val="00B8737B"/>
    <w:rsid w:val="00B8778B"/>
    <w:rsid w:val="00B87C40"/>
    <w:rsid w:val="00B87DD5"/>
    <w:rsid w:val="00B9031C"/>
    <w:rsid w:val="00B90653"/>
    <w:rsid w:val="00B90A74"/>
    <w:rsid w:val="00B91B8B"/>
    <w:rsid w:val="00B925DB"/>
    <w:rsid w:val="00B9333B"/>
    <w:rsid w:val="00B93360"/>
    <w:rsid w:val="00B938E4"/>
    <w:rsid w:val="00B93E85"/>
    <w:rsid w:val="00B947BF"/>
    <w:rsid w:val="00B94CF7"/>
    <w:rsid w:val="00B94E55"/>
    <w:rsid w:val="00B94F87"/>
    <w:rsid w:val="00B951C1"/>
    <w:rsid w:val="00B9556E"/>
    <w:rsid w:val="00B95CB4"/>
    <w:rsid w:val="00B95DC7"/>
    <w:rsid w:val="00B96C53"/>
    <w:rsid w:val="00B975CF"/>
    <w:rsid w:val="00BA0E26"/>
    <w:rsid w:val="00BA0F89"/>
    <w:rsid w:val="00BA1049"/>
    <w:rsid w:val="00BA179D"/>
    <w:rsid w:val="00BA1AC2"/>
    <w:rsid w:val="00BA1AFD"/>
    <w:rsid w:val="00BA217B"/>
    <w:rsid w:val="00BA25A4"/>
    <w:rsid w:val="00BA2A85"/>
    <w:rsid w:val="00BA2C24"/>
    <w:rsid w:val="00BA3CDC"/>
    <w:rsid w:val="00BA4159"/>
    <w:rsid w:val="00BA4525"/>
    <w:rsid w:val="00BA4BFB"/>
    <w:rsid w:val="00BA50C8"/>
    <w:rsid w:val="00BA51F6"/>
    <w:rsid w:val="00BA5586"/>
    <w:rsid w:val="00BA5B47"/>
    <w:rsid w:val="00BA5ED6"/>
    <w:rsid w:val="00BA6175"/>
    <w:rsid w:val="00BA648B"/>
    <w:rsid w:val="00BA6818"/>
    <w:rsid w:val="00BA6DD0"/>
    <w:rsid w:val="00BA77DE"/>
    <w:rsid w:val="00BA782E"/>
    <w:rsid w:val="00BA7A25"/>
    <w:rsid w:val="00BA7FAA"/>
    <w:rsid w:val="00BB05F4"/>
    <w:rsid w:val="00BB0630"/>
    <w:rsid w:val="00BB12F6"/>
    <w:rsid w:val="00BB13AC"/>
    <w:rsid w:val="00BB206D"/>
    <w:rsid w:val="00BB2314"/>
    <w:rsid w:val="00BB2F06"/>
    <w:rsid w:val="00BB3274"/>
    <w:rsid w:val="00BB3436"/>
    <w:rsid w:val="00BB3A7C"/>
    <w:rsid w:val="00BB3D9E"/>
    <w:rsid w:val="00BB48F9"/>
    <w:rsid w:val="00BB4AAA"/>
    <w:rsid w:val="00BB51DC"/>
    <w:rsid w:val="00BB5776"/>
    <w:rsid w:val="00BB5A18"/>
    <w:rsid w:val="00BB5B56"/>
    <w:rsid w:val="00BB606B"/>
    <w:rsid w:val="00BB6157"/>
    <w:rsid w:val="00BB6172"/>
    <w:rsid w:val="00BB62E8"/>
    <w:rsid w:val="00BB6853"/>
    <w:rsid w:val="00BB6B0B"/>
    <w:rsid w:val="00BB6C0B"/>
    <w:rsid w:val="00BB6DEB"/>
    <w:rsid w:val="00BB6F1C"/>
    <w:rsid w:val="00BB725C"/>
    <w:rsid w:val="00BB772D"/>
    <w:rsid w:val="00BC0872"/>
    <w:rsid w:val="00BC091B"/>
    <w:rsid w:val="00BC0969"/>
    <w:rsid w:val="00BC0BFC"/>
    <w:rsid w:val="00BC118F"/>
    <w:rsid w:val="00BC13E1"/>
    <w:rsid w:val="00BC2367"/>
    <w:rsid w:val="00BC23C0"/>
    <w:rsid w:val="00BC265E"/>
    <w:rsid w:val="00BC2978"/>
    <w:rsid w:val="00BC3563"/>
    <w:rsid w:val="00BC3677"/>
    <w:rsid w:val="00BC39D7"/>
    <w:rsid w:val="00BC6480"/>
    <w:rsid w:val="00BC6725"/>
    <w:rsid w:val="00BC6794"/>
    <w:rsid w:val="00BC68F0"/>
    <w:rsid w:val="00BC730B"/>
    <w:rsid w:val="00BC7C23"/>
    <w:rsid w:val="00BD0750"/>
    <w:rsid w:val="00BD08A6"/>
    <w:rsid w:val="00BD0E33"/>
    <w:rsid w:val="00BD1B59"/>
    <w:rsid w:val="00BD1D83"/>
    <w:rsid w:val="00BD2555"/>
    <w:rsid w:val="00BD35F1"/>
    <w:rsid w:val="00BD37BA"/>
    <w:rsid w:val="00BD383C"/>
    <w:rsid w:val="00BD4CCC"/>
    <w:rsid w:val="00BD4D8D"/>
    <w:rsid w:val="00BD5512"/>
    <w:rsid w:val="00BD5A96"/>
    <w:rsid w:val="00BD5F56"/>
    <w:rsid w:val="00BD601C"/>
    <w:rsid w:val="00BD6BB7"/>
    <w:rsid w:val="00BD70AE"/>
    <w:rsid w:val="00BD71BA"/>
    <w:rsid w:val="00BE057C"/>
    <w:rsid w:val="00BE0DCB"/>
    <w:rsid w:val="00BE1859"/>
    <w:rsid w:val="00BE24E9"/>
    <w:rsid w:val="00BE2D0C"/>
    <w:rsid w:val="00BE3463"/>
    <w:rsid w:val="00BE5199"/>
    <w:rsid w:val="00BE538C"/>
    <w:rsid w:val="00BE6738"/>
    <w:rsid w:val="00BE6ABA"/>
    <w:rsid w:val="00BE756C"/>
    <w:rsid w:val="00BE7822"/>
    <w:rsid w:val="00BE7934"/>
    <w:rsid w:val="00BE7AC2"/>
    <w:rsid w:val="00BF01F1"/>
    <w:rsid w:val="00BF04AD"/>
    <w:rsid w:val="00BF07D6"/>
    <w:rsid w:val="00BF0D7C"/>
    <w:rsid w:val="00BF1740"/>
    <w:rsid w:val="00BF2184"/>
    <w:rsid w:val="00BF37B1"/>
    <w:rsid w:val="00BF381C"/>
    <w:rsid w:val="00BF4733"/>
    <w:rsid w:val="00BF498B"/>
    <w:rsid w:val="00BF4EB8"/>
    <w:rsid w:val="00BF5D42"/>
    <w:rsid w:val="00BF6690"/>
    <w:rsid w:val="00BF7E99"/>
    <w:rsid w:val="00C00469"/>
    <w:rsid w:val="00C0047B"/>
    <w:rsid w:val="00C01059"/>
    <w:rsid w:val="00C010FA"/>
    <w:rsid w:val="00C01BB0"/>
    <w:rsid w:val="00C03866"/>
    <w:rsid w:val="00C03FC3"/>
    <w:rsid w:val="00C042FB"/>
    <w:rsid w:val="00C05422"/>
    <w:rsid w:val="00C05541"/>
    <w:rsid w:val="00C0591B"/>
    <w:rsid w:val="00C0643E"/>
    <w:rsid w:val="00C06647"/>
    <w:rsid w:val="00C06670"/>
    <w:rsid w:val="00C06FD8"/>
    <w:rsid w:val="00C0734D"/>
    <w:rsid w:val="00C07AE4"/>
    <w:rsid w:val="00C10E4A"/>
    <w:rsid w:val="00C10F84"/>
    <w:rsid w:val="00C11958"/>
    <w:rsid w:val="00C11E76"/>
    <w:rsid w:val="00C129C1"/>
    <w:rsid w:val="00C12B3E"/>
    <w:rsid w:val="00C13EC6"/>
    <w:rsid w:val="00C14145"/>
    <w:rsid w:val="00C14D49"/>
    <w:rsid w:val="00C15346"/>
    <w:rsid w:val="00C153CC"/>
    <w:rsid w:val="00C15E18"/>
    <w:rsid w:val="00C16044"/>
    <w:rsid w:val="00C16264"/>
    <w:rsid w:val="00C16A23"/>
    <w:rsid w:val="00C16DA8"/>
    <w:rsid w:val="00C17D16"/>
    <w:rsid w:val="00C202DC"/>
    <w:rsid w:val="00C20431"/>
    <w:rsid w:val="00C20D32"/>
    <w:rsid w:val="00C20DA8"/>
    <w:rsid w:val="00C20DF3"/>
    <w:rsid w:val="00C21563"/>
    <w:rsid w:val="00C21792"/>
    <w:rsid w:val="00C21910"/>
    <w:rsid w:val="00C21E33"/>
    <w:rsid w:val="00C2200C"/>
    <w:rsid w:val="00C224D0"/>
    <w:rsid w:val="00C22E4B"/>
    <w:rsid w:val="00C23E65"/>
    <w:rsid w:val="00C24017"/>
    <w:rsid w:val="00C240D2"/>
    <w:rsid w:val="00C243CD"/>
    <w:rsid w:val="00C247FF"/>
    <w:rsid w:val="00C24886"/>
    <w:rsid w:val="00C24921"/>
    <w:rsid w:val="00C24A19"/>
    <w:rsid w:val="00C24A20"/>
    <w:rsid w:val="00C25770"/>
    <w:rsid w:val="00C26063"/>
    <w:rsid w:val="00C262DD"/>
    <w:rsid w:val="00C2636E"/>
    <w:rsid w:val="00C268C6"/>
    <w:rsid w:val="00C26F90"/>
    <w:rsid w:val="00C27BD1"/>
    <w:rsid w:val="00C27BEB"/>
    <w:rsid w:val="00C27F83"/>
    <w:rsid w:val="00C3074B"/>
    <w:rsid w:val="00C30904"/>
    <w:rsid w:val="00C318AF"/>
    <w:rsid w:val="00C321FC"/>
    <w:rsid w:val="00C324F0"/>
    <w:rsid w:val="00C3267E"/>
    <w:rsid w:val="00C327BC"/>
    <w:rsid w:val="00C328EB"/>
    <w:rsid w:val="00C3385B"/>
    <w:rsid w:val="00C34193"/>
    <w:rsid w:val="00C34CC3"/>
    <w:rsid w:val="00C3500A"/>
    <w:rsid w:val="00C35323"/>
    <w:rsid w:val="00C35747"/>
    <w:rsid w:val="00C35A2D"/>
    <w:rsid w:val="00C35E84"/>
    <w:rsid w:val="00C3671C"/>
    <w:rsid w:val="00C368B2"/>
    <w:rsid w:val="00C36FB7"/>
    <w:rsid w:val="00C37102"/>
    <w:rsid w:val="00C37589"/>
    <w:rsid w:val="00C37A49"/>
    <w:rsid w:val="00C40622"/>
    <w:rsid w:val="00C4227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1633"/>
    <w:rsid w:val="00C529A7"/>
    <w:rsid w:val="00C52CEE"/>
    <w:rsid w:val="00C530B7"/>
    <w:rsid w:val="00C53C97"/>
    <w:rsid w:val="00C53EE3"/>
    <w:rsid w:val="00C5409B"/>
    <w:rsid w:val="00C558A5"/>
    <w:rsid w:val="00C56DA7"/>
    <w:rsid w:val="00C56EA1"/>
    <w:rsid w:val="00C5702A"/>
    <w:rsid w:val="00C57A60"/>
    <w:rsid w:val="00C57AE0"/>
    <w:rsid w:val="00C57C31"/>
    <w:rsid w:val="00C61102"/>
    <w:rsid w:val="00C617AE"/>
    <w:rsid w:val="00C620C3"/>
    <w:rsid w:val="00C62211"/>
    <w:rsid w:val="00C624A9"/>
    <w:rsid w:val="00C62B22"/>
    <w:rsid w:val="00C63304"/>
    <w:rsid w:val="00C63BC0"/>
    <w:rsid w:val="00C63D7F"/>
    <w:rsid w:val="00C64BB8"/>
    <w:rsid w:val="00C64D09"/>
    <w:rsid w:val="00C653B6"/>
    <w:rsid w:val="00C6554F"/>
    <w:rsid w:val="00C6582D"/>
    <w:rsid w:val="00C6595E"/>
    <w:rsid w:val="00C65AE0"/>
    <w:rsid w:val="00C661CD"/>
    <w:rsid w:val="00C66501"/>
    <w:rsid w:val="00C66925"/>
    <w:rsid w:val="00C66FFA"/>
    <w:rsid w:val="00C6779C"/>
    <w:rsid w:val="00C67A83"/>
    <w:rsid w:val="00C67BA4"/>
    <w:rsid w:val="00C7042B"/>
    <w:rsid w:val="00C7112E"/>
    <w:rsid w:val="00C71A7E"/>
    <w:rsid w:val="00C71C06"/>
    <w:rsid w:val="00C7346A"/>
    <w:rsid w:val="00C736A6"/>
    <w:rsid w:val="00C73BEB"/>
    <w:rsid w:val="00C73F09"/>
    <w:rsid w:val="00C7524C"/>
    <w:rsid w:val="00C766FC"/>
    <w:rsid w:val="00C7674A"/>
    <w:rsid w:val="00C768A7"/>
    <w:rsid w:val="00C76D6D"/>
    <w:rsid w:val="00C776FD"/>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A07"/>
    <w:rsid w:val="00C8751E"/>
    <w:rsid w:val="00C8799A"/>
    <w:rsid w:val="00C901FF"/>
    <w:rsid w:val="00C903B9"/>
    <w:rsid w:val="00C906AF"/>
    <w:rsid w:val="00C90742"/>
    <w:rsid w:val="00C907DF"/>
    <w:rsid w:val="00C91C46"/>
    <w:rsid w:val="00C92372"/>
    <w:rsid w:val="00C93087"/>
    <w:rsid w:val="00C931E5"/>
    <w:rsid w:val="00C93944"/>
    <w:rsid w:val="00C93F3A"/>
    <w:rsid w:val="00C9424C"/>
    <w:rsid w:val="00C94660"/>
    <w:rsid w:val="00C94796"/>
    <w:rsid w:val="00C94C8D"/>
    <w:rsid w:val="00C953D7"/>
    <w:rsid w:val="00C955D7"/>
    <w:rsid w:val="00C95C81"/>
    <w:rsid w:val="00C95F4E"/>
    <w:rsid w:val="00C96502"/>
    <w:rsid w:val="00C971AB"/>
    <w:rsid w:val="00C97752"/>
    <w:rsid w:val="00CA043B"/>
    <w:rsid w:val="00CA062B"/>
    <w:rsid w:val="00CA0CFC"/>
    <w:rsid w:val="00CA1D40"/>
    <w:rsid w:val="00CA2076"/>
    <w:rsid w:val="00CA2E6A"/>
    <w:rsid w:val="00CA301A"/>
    <w:rsid w:val="00CA3981"/>
    <w:rsid w:val="00CA4024"/>
    <w:rsid w:val="00CA4192"/>
    <w:rsid w:val="00CA447B"/>
    <w:rsid w:val="00CA46A4"/>
    <w:rsid w:val="00CA4B8E"/>
    <w:rsid w:val="00CA4CB1"/>
    <w:rsid w:val="00CA56B3"/>
    <w:rsid w:val="00CA5A78"/>
    <w:rsid w:val="00CA68D4"/>
    <w:rsid w:val="00CA705A"/>
    <w:rsid w:val="00CA71A9"/>
    <w:rsid w:val="00CA7BBD"/>
    <w:rsid w:val="00CA7F51"/>
    <w:rsid w:val="00CB0479"/>
    <w:rsid w:val="00CB0705"/>
    <w:rsid w:val="00CB0A16"/>
    <w:rsid w:val="00CB100F"/>
    <w:rsid w:val="00CB1696"/>
    <w:rsid w:val="00CB1DCD"/>
    <w:rsid w:val="00CB2774"/>
    <w:rsid w:val="00CB2A32"/>
    <w:rsid w:val="00CB3DBC"/>
    <w:rsid w:val="00CB4562"/>
    <w:rsid w:val="00CB47F9"/>
    <w:rsid w:val="00CB486A"/>
    <w:rsid w:val="00CB5079"/>
    <w:rsid w:val="00CB5679"/>
    <w:rsid w:val="00CB5713"/>
    <w:rsid w:val="00CB5A48"/>
    <w:rsid w:val="00CB68A2"/>
    <w:rsid w:val="00CB6A96"/>
    <w:rsid w:val="00CB731B"/>
    <w:rsid w:val="00CB7F3B"/>
    <w:rsid w:val="00CC01EB"/>
    <w:rsid w:val="00CC0A7F"/>
    <w:rsid w:val="00CC150E"/>
    <w:rsid w:val="00CC1D55"/>
    <w:rsid w:val="00CC1EB3"/>
    <w:rsid w:val="00CC25FD"/>
    <w:rsid w:val="00CC27B8"/>
    <w:rsid w:val="00CC2CA2"/>
    <w:rsid w:val="00CC307A"/>
    <w:rsid w:val="00CC327F"/>
    <w:rsid w:val="00CC3CE4"/>
    <w:rsid w:val="00CC474A"/>
    <w:rsid w:val="00CC4C03"/>
    <w:rsid w:val="00CC4E98"/>
    <w:rsid w:val="00CC61AA"/>
    <w:rsid w:val="00CC61B1"/>
    <w:rsid w:val="00CC71A0"/>
    <w:rsid w:val="00CC75C2"/>
    <w:rsid w:val="00CC778A"/>
    <w:rsid w:val="00CC7F41"/>
    <w:rsid w:val="00CD0246"/>
    <w:rsid w:val="00CD0842"/>
    <w:rsid w:val="00CD0F57"/>
    <w:rsid w:val="00CD14AF"/>
    <w:rsid w:val="00CD157B"/>
    <w:rsid w:val="00CD23D6"/>
    <w:rsid w:val="00CD24F6"/>
    <w:rsid w:val="00CD2656"/>
    <w:rsid w:val="00CD267E"/>
    <w:rsid w:val="00CD365A"/>
    <w:rsid w:val="00CD3F18"/>
    <w:rsid w:val="00CD3F88"/>
    <w:rsid w:val="00CD45E3"/>
    <w:rsid w:val="00CD47CC"/>
    <w:rsid w:val="00CD4B8D"/>
    <w:rsid w:val="00CD51EC"/>
    <w:rsid w:val="00CD5857"/>
    <w:rsid w:val="00CD5A3F"/>
    <w:rsid w:val="00CD5FFD"/>
    <w:rsid w:val="00CD688F"/>
    <w:rsid w:val="00CE02E6"/>
    <w:rsid w:val="00CE0E91"/>
    <w:rsid w:val="00CE1043"/>
    <w:rsid w:val="00CE1A3B"/>
    <w:rsid w:val="00CE1A6D"/>
    <w:rsid w:val="00CE1F54"/>
    <w:rsid w:val="00CE2413"/>
    <w:rsid w:val="00CE2717"/>
    <w:rsid w:val="00CE31E5"/>
    <w:rsid w:val="00CE3564"/>
    <w:rsid w:val="00CE381B"/>
    <w:rsid w:val="00CE420C"/>
    <w:rsid w:val="00CE4935"/>
    <w:rsid w:val="00CE58AF"/>
    <w:rsid w:val="00CE59BF"/>
    <w:rsid w:val="00CE6342"/>
    <w:rsid w:val="00CE6528"/>
    <w:rsid w:val="00CE6B16"/>
    <w:rsid w:val="00CE6BB0"/>
    <w:rsid w:val="00CE6F27"/>
    <w:rsid w:val="00CE79FE"/>
    <w:rsid w:val="00CE7E16"/>
    <w:rsid w:val="00CF010F"/>
    <w:rsid w:val="00CF0340"/>
    <w:rsid w:val="00CF072B"/>
    <w:rsid w:val="00CF0ADD"/>
    <w:rsid w:val="00CF0AFE"/>
    <w:rsid w:val="00CF0D20"/>
    <w:rsid w:val="00CF1AA8"/>
    <w:rsid w:val="00CF28EE"/>
    <w:rsid w:val="00CF3159"/>
    <w:rsid w:val="00CF3D08"/>
    <w:rsid w:val="00CF402D"/>
    <w:rsid w:val="00CF431B"/>
    <w:rsid w:val="00CF4CD8"/>
    <w:rsid w:val="00CF548A"/>
    <w:rsid w:val="00CF5577"/>
    <w:rsid w:val="00CF60F2"/>
    <w:rsid w:val="00CF62A8"/>
    <w:rsid w:val="00CF6DF4"/>
    <w:rsid w:val="00CF6EA7"/>
    <w:rsid w:val="00CF70C2"/>
    <w:rsid w:val="00CF7244"/>
    <w:rsid w:val="00CF7684"/>
    <w:rsid w:val="00D00020"/>
    <w:rsid w:val="00D004D3"/>
    <w:rsid w:val="00D00DEF"/>
    <w:rsid w:val="00D01366"/>
    <w:rsid w:val="00D01AB0"/>
    <w:rsid w:val="00D0212E"/>
    <w:rsid w:val="00D02657"/>
    <w:rsid w:val="00D04F7B"/>
    <w:rsid w:val="00D0512C"/>
    <w:rsid w:val="00D05B9C"/>
    <w:rsid w:val="00D06211"/>
    <w:rsid w:val="00D0635F"/>
    <w:rsid w:val="00D06E9F"/>
    <w:rsid w:val="00D06FFF"/>
    <w:rsid w:val="00D0757E"/>
    <w:rsid w:val="00D07B7D"/>
    <w:rsid w:val="00D109A9"/>
    <w:rsid w:val="00D10EF2"/>
    <w:rsid w:val="00D113E7"/>
    <w:rsid w:val="00D116F0"/>
    <w:rsid w:val="00D119B8"/>
    <w:rsid w:val="00D11B26"/>
    <w:rsid w:val="00D122BD"/>
    <w:rsid w:val="00D12A77"/>
    <w:rsid w:val="00D12E24"/>
    <w:rsid w:val="00D13CD4"/>
    <w:rsid w:val="00D13FF6"/>
    <w:rsid w:val="00D14332"/>
    <w:rsid w:val="00D14A77"/>
    <w:rsid w:val="00D15178"/>
    <w:rsid w:val="00D1522A"/>
    <w:rsid w:val="00D15B0C"/>
    <w:rsid w:val="00D167E6"/>
    <w:rsid w:val="00D16F9B"/>
    <w:rsid w:val="00D171B1"/>
    <w:rsid w:val="00D17611"/>
    <w:rsid w:val="00D17D94"/>
    <w:rsid w:val="00D17E36"/>
    <w:rsid w:val="00D17F3A"/>
    <w:rsid w:val="00D203A5"/>
    <w:rsid w:val="00D21482"/>
    <w:rsid w:val="00D21A5A"/>
    <w:rsid w:val="00D22170"/>
    <w:rsid w:val="00D22863"/>
    <w:rsid w:val="00D22A36"/>
    <w:rsid w:val="00D23426"/>
    <w:rsid w:val="00D23502"/>
    <w:rsid w:val="00D24213"/>
    <w:rsid w:val="00D24778"/>
    <w:rsid w:val="00D25322"/>
    <w:rsid w:val="00D25ADF"/>
    <w:rsid w:val="00D25BE6"/>
    <w:rsid w:val="00D25C2E"/>
    <w:rsid w:val="00D25FFA"/>
    <w:rsid w:val="00D264A4"/>
    <w:rsid w:val="00D269E6"/>
    <w:rsid w:val="00D26DF4"/>
    <w:rsid w:val="00D26E87"/>
    <w:rsid w:val="00D27086"/>
    <w:rsid w:val="00D2765A"/>
    <w:rsid w:val="00D27CDB"/>
    <w:rsid w:val="00D30458"/>
    <w:rsid w:val="00D30B67"/>
    <w:rsid w:val="00D30D2F"/>
    <w:rsid w:val="00D30EDA"/>
    <w:rsid w:val="00D31529"/>
    <w:rsid w:val="00D3190D"/>
    <w:rsid w:val="00D3345B"/>
    <w:rsid w:val="00D33974"/>
    <w:rsid w:val="00D33C7E"/>
    <w:rsid w:val="00D346EB"/>
    <w:rsid w:val="00D35DEF"/>
    <w:rsid w:val="00D362D1"/>
    <w:rsid w:val="00D36FEC"/>
    <w:rsid w:val="00D3723B"/>
    <w:rsid w:val="00D377B1"/>
    <w:rsid w:val="00D37996"/>
    <w:rsid w:val="00D379D3"/>
    <w:rsid w:val="00D37DF7"/>
    <w:rsid w:val="00D405B2"/>
    <w:rsid w:val="00D4101C"/>
    <w:rsid w:val="00D4115A"/>
    <w:rsid w:val="00D411AB"/>
    <w:rsid w:val="00D41BD7"/>
    <w:rsid w:val="00D41E32"/>
    <w:rsid w:val="00D41F47"/>
    <w:rsid w:val="00D42078"/>
    <w:rsid w:val="00D421C9"/>
    <w:rsid w:val="00D42731"/>
    <w:rsid w:val="00D42B4E"/>
    <w:rsid w:val="00D42CC1"/>
    <w:rsid w:val="00D42F6C"/>
    <w:rsid w:val="00D43A1F"/>
    <w:rsid w:val="00D44755"/>
    <w:rsid w:val="00D45EDA"/>
    <w:rsid w:val="00D46126"/>
    <w:rsid w:val="00D46268"/>
    <w:rsid w:val="00D465EF"/>
    <w:rsid w:val="00D508A9"/>
    <w:rsid w:val="00D50DFF"/>
    <w:rsid w:val="00D512A4"/>
    <w:rsid w:val="00D5138A"/>
    <w:rsid w:val="00D51A7A"/>
    <w:rsid w:val="00D521C2"/>
    <w:rsid w:val="00D52BC1"/>
    <w:rsid w:val="00D53401"/>
    <w:rsid w:val="00D5370C"/>
    <w:rsid w:val="00D53A72"/>
    <w:rsid w:val="00D53B37"/>
    <w:rsid w:val="00D54213"/>
    <w:rsid w:val="00D54F96"/>
    <w:rsid w:val="00D5509A"/>
    <w:rsid w:val="00D56FCB"/>
    <w:rsid w:val="00D57027"/>
    <w:rsid w:val="00D57713"/>
    <w:rsid w:val="00D578DF"/>
    <w:rsid w:val="00D57D43"/>
    <w:rsid w:val="00D57D99"/>
    <w:rsid w:val="00D60147"/>
    <w:rsid w:val="00D60335"/>
    <w:rsid w:val="00D60705"/>
    <w:rsid w:val="00D60DEF"/>
    <w:rsid w:val="00D611D1"/>
    <w:rsid w:val="00D61D9D"/>
    <w:rsid w:val="00D6217D"/>
    <w:rsid w:val="00D6231B"/>
    <w:rsid w:val="00D62DFA"/>
    <w:rsid w:val="00D62FC2"/>
    <w:rsid w:val="00D63531"/>
    <w:rsid w:val="00D63ACC"/>
    <w:rsid w:val="00D66949"/>
    <w:rsid w:val="00D670F8"/>
    <w:rsid w:val="00D672E0"/>
    <w:rsid w:val="00D67A60"/>
    <w:rsid w:val="00D67CAF"/>
    <w:rsid w:val="00D70016"/>
    <w:rsid w:val="00D70178"/>
    <w:rsid w:val="00D701D4"/>
    <w:rsid w:val="00D7055B"/>
    <w:rsid w:val="00D7100B"/>
    <w:rsid w:val="00D71336"/>
    <w:rsid w:val="00D71461"/>
    <w:rsid w:val="00D71471"/>
    <w:rsid w:val="00D71C56"/>
    <w:rsid w:val="00D71FF8"/>
    <w:rsid w:val="00D72473"/>
    <w:rsid w:val="00D72E14"/>
    <w:rsid w:val="00D72F8F"/>
    <w:rsid w:val="00D73C72"/>
    <w:rsid w:val="00D73DDB"/>
    <w:rsid w:val="00D74626"/>
    <w:rsid w:val="00D74D4E"/>
    <w:rsid w:val="00D7519D"/>
    <w:rsid w:val="00D75281"/>
    <w:rsid w:val="00D75B25"/>
    <w:rsid w:val="00D75FC5"/>
    <w:rsid w:val="00D7657C"/>
    <w:rsid w:val="00D7672A"/>
    <w:rsid w:val="00D76BAD"/>
    <w:rsid w:val="00D76E8B"/>
    <w:rsid w:val="00D7706C"/>
    <w:rsid w:val="00D77433"/>
    <w:rsid w:val="00D776E4"/>
    <w:rsid w:val="00D80F0E"/>
    <w:rsid w:val="00D810BB"/>
    <w:rsid w:val="00D81801"/>
    <w:rsid w:val="00D8205D"/>
    <w:rsid w:val="00D82A69"/>
    <w:rsid w:val="00D844C1"/>
    <w:rsid w:val="00D846FB"/>
    <w:rsid w:val="00D84E58"/>
    <w:rsid w:val="00D8560E"/>
    <w:rsid w:val="00D8567A"/>
    <w:rsid w:val="00D85E80"/>
    <w:rsid w:val="00D860C6"/>
    <w:rsid w:val="00D86512"/>
    <w:rsid w:val="00D86695"/>
    <w:rsid w:val="00D867A8"/>
    <w:rsid w:val="00D86A06"/>
    <w:rsid w:val="00D86ABB"/>
    <w:rsid w:val="00D86AD8"/>
    <w:rsid w:val="00D87080"/>
    <w:rsid w:val="00D87115"/>
    <w:rsid w:val="00D879C1"/>
    <w:rsid w:val="00D87C32"/>
    <w:rsid w:val="00D901C9"/>
    <w:rsid w:val="00D9026B"/>
    <w:rsid w:val="00D90400"/>
    <w:rsid w:val="00D90A77"/>
    <w:rsid w:val="00D90BA1"/>
    <w:rsid w:val="00D90EA9"/>
    <w:rsid w:val="00D91911"/>
    <w:rsid w:val="00D91B8A"/>
    <w:rsid w:val="00D9376B"/>
    <w:rsid w:val="00D93E53"/>
    <w:rsid w:val="00D93F56"/>
    <w:rsid w:val="00D9449B"/>
    <w:rsid w:val="00D94A33"/>
    <w:rsid w:val="00D95EC4"/>
    <w:rsid w:val="00D97CB3"/>
    <w:rsid w:val="00DA037D"/>
    <w:rsid w:val="00DA182E"/>
    <w:rsid w:val="00DA1D96"/>
    <w:rsid w:val="00DA1E23"/>
    <w:rsid w:val="00DA32AF"/>
    <w:rsid w:val="00DA33EF"/>
    <w:rsid w:val="00DA35AD"/>
    <w:rsid w:val="00DA3A33"/>
    <w:rsid w:val="00DA3DD7"/>
    <w:rsid w:val="00DA3EAD"/>
    <w:rsid w:val="00DA4370"/>
    <w:rsid w:val="00DA43C4"/>
    <w:rsid w:val="00DA44F1"/>
    <w:rsid w:val="00DA477A"/>
    <w:rsid w:val="00DA4973"/>
    <w:rsid w:val="00DA4FAC"/>
    <w:rsid w:val="00DA5172"/>
    <w:rsid w:val="00DA5259"/>
    <w:rsid w:val="00DA545B"/>
    <w:rsid w:val="00DA6185"/>
    <w:rsid w:val="00DA65CE"/>
    <w:rsid w:val="00DA67B4"/>
    <w:rsid w:val="00DA6B61"/>
    <w:rsid w:val="00DA6CF4"/>
    <w:rsid w:val="00DA70E8"/>
    <w:rsid w:val="00DA73AF"/>
    <w:rsid w:val="00DA7659"/>
    <w:rsid w:val="00DA7CFE"/>
    <w:rsid w:val="00DB0056"/>
    <w:rsid w:val="00DB016D"/>
    <w:rsid w:val="00DB0DD9"/>
    <w:rsid w:val="00DB149A"/>
    <w:rsid w:val="00DB21D5"/>
    <w:rsid w:val="00DB24D0"/>
    <w:rsid w:val="00DB285E"/>
    <w:rsid w:val="00DB30F4"/>
    <w:rsid w:val="00DB355E"/>
    <w:rsid w:val="00DB3A12"/>
    <w:rsid w:val="00DB3AC3"/>
    <w:rsid w:val="00DB3D95"/>
    <w:rsid w:val="00DB49CD"/>
    <w:rsid w:val="00DB53B6"/>
    <w:rsid w:val="00DB59FC"/>
    <w:rsid w:val="00DB669F"/>
    <w:rsid w:val="00DB6E07"/>
    <w:rsid w:val="00DB6E98"/>
    <w:rsid w:val="00DB73D7"/>
    <w:rsid w:val="00DB7E6A"/>
    <w:rsid w:val="00DB7ED2"/>
    <w:rsid w:val="00DC0D2B"/>
    <w:rsid w:val="00DC168D"/>
    <w:rsid w:val="00DC1926"/>
    <w:rsid w:val="00DC1C01"/>
    <w:rsid w:val="00DC1DE3"/>
    <w:rsid w:val="00DC1E36"/>
    <w:rsid w:val="00DC2886"/>
    <w:rsid w:val="00DC390F"/>
    <w:rsid w:val="00DC3A85"/>
    <w:rsid w:val="00DC3C12"/>
    <w:rsid w:val="00DC42CF"/>
    <w:rsid w:val="00DC45C4"/>
    <w:rsid w:val="00DC5DB6"/>
    <w:rsid w:val="00DC6168"/>
    <w:rsid w:val="00DC6B92"/>
    <w:rsid w:val="00DC7C54"/>
    <w:rsid w:val="00DD2301"/>
    <w:rsid w:val="00DD2520"/>
    <w:rsid w:val="00DD28FB"/>
    <w:rsid w:val="00DD30CB"/>
    <w:rsid w:val="00DD3791"/>
    <w:rsid w:val="00DD3820"/>
    <w:rsid w:val="00DD3A1E"/>
    <w:rsid w:val="00DD4752"/>
    <w:rsid w:val="00DD488F"/>
    <w:rsid w:val="00DD4D46"/>
    <w:rsid w:val="00DD4DAF"/>
    <w:rsid w:val="00DD52AB"/>
    <w:rsid w:val="00DD5948"/>
    <w:rsid w:val="00DD5CE2"/>
    <w:rsid w:val="00DD6294"/>
    <w:rsid w:val="00DD6715"/>
    <w:rsid w:val="00DD67E5"/>
    <w:rsid w:val="00DD6A57"/>
    <w:rsid w:val="00DD6DE4"/>
    <w:rsid w:val="00DD72B7"/>
    <w:rsid w:val="00DD7848"/>
    <w:rsid w:val="00DD7EAF"/>
    <w:rsid w:val="00DE0FBE"/>
    <w:rsid w:val="00DE1B18"/>
    <w:rsid w:val="00DE1D5F"/>
    <w:rsid w:val="00DE20F1"/>
    <w:rsid w:val="00DE21F5"/>
    <w:rsid w:val="00DE2445"/>
    <w:rsid w:val="00DE2792"/>
    <w:rsid w:val="00DE2EB4"/>
    <w:rsid w:val="00DE3203"/>
    <w:rsid w:val="00DE34E7"/>
    <w:rsid w:val="00DE357C"/>
    <w:rsid w:val="00DE38D9"/>
    <w:rsid w:val="00DE38E9"/>
    <w:rsid w:val="00DE3A21"/>
    <w:rsid w:val="00DE3CE5"/>
    <w:rsid w:val="00DE4063"/>
    <w:rsid w:val="00DE472C"/>
    <w:rsid w:val="00DE6EB9"/>
    <w:rsid w:val="00DE76BD"/>
    <w:rsid w:val="00DE7B6E"/>
    <w:rsid w:val="00DF074F"/>
    <w:rsid w:val="00DF12B3"/>
    <w:rsid w:val="00DF1A16"/>
    <w:rsid w:val="00DF1C08"/>
    <w:rsid w:val="00DF21F4"/>
    <w:rsid w:val="00DF2583"/>
    <w:rsid w:val="00DF26B1"/>
    <w:rsid w:val="00DF2CE5"/>
    <w:rsid w:val="00DF2E7F"/>
    <w:rsid w:val="00DF3158"/>
    <w:rsid w:val="00DF3219"/>
    <w:rsid w:val="00DF3DA5"/>
    <w:rsid w:val="00DF4355"/>
    <w:rsid w:val="00DF4FB9"/>
    <w:rsid w:val="00DF6037"/>
    <w:rsid w:val="00DF6922"/>
    <w:rsid w:val="00DF699D"/>
    <w:rsid w:val="00E0085F"/>
    <w:rsid w:val="00E00B69"/>
    <w:rsid w:val="00E01CA7"/>
    <w:rsid w:val="00E02E95"/>
    <w:rsid w:val="00E033BA"/>
    <w:rsid w:val="00E03692"/>
    <w:rsid w:val="00E0382F"/>
    <w:rsid w:val="00E03980"/>
    <w:rsid w:val="00E03B8E"/>
    <w:rsid w:val="00E041EC"/>
    <w:rsid w:val="00E047AD"/>
    <w:rsid w:val="00E056A7"/>
    <w:rsid w:val="00E058EE"/>
    <w:rsid w:val="00E06519"/>
    <w:rsid w:val="00E06676"/>
    <w:rsid w:val="00E06A0D"/>
    <w:rsid w:val="00E06DF1"/>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287"/>
    <w:rsid w:val="00E15B76"/>
    <w:rsid w:val="00E15D9D"/>
    <w:rsid w:val="00E16150"/>
    <w:rsid w:val="00E16787"/>
    <w:rsid w:val="00E16B17"/>
    <w:rsid w:val="00E16B28"/>
    <w:rsid w:val="00E16D2F"/>
    <w:rsid w:val="00E170F6"/>
    <w:rsid w:val="00E17B40"/>
    <w:rsid w:val="00E17D6E"/>
    <w:rsid w:val="00E17F71"/>
    <w:rsid w:val="00E20DE3"/>
    <w:rsid w:val="00E21224"/>
    <w:rsid w:val="00E22E87"/>
    <w:rsid w:val="00E2360B"/>
    <w:rsid w:val="00E2388B"/>
    <w:rsid w:val="00E23C52"/>
    <w:rsid w:val="00E23C67"/>
    <w:rsid w:val="00E23CEF"/>
    <w:rsid w:val="00E240A6"/>
    <w:rsid w:val="00E2631F"/>
    <w:rsid w:val="00E26A6B"/>
    <w:rsid w:val="00E26FCA"/>
    <w:rsid w:val="00E27665"/>
    <w:rsid w:val="00E278AC"/>
    <w:rsid w:val="00E279A0"/>
    <w:rsid w:val="00E27A4D"/>
    <w:rsid w:val="00E27BEE"/>
    <w:rsid w:val="00E3052B"/>
    <w:rsid w:val="00E31710"/>
    <w:rsid w:val="00E32188"/>
    <w:rsid w:val="00E32490"/>
    <w:rsid w:val="00E32616"/>
    <w:rsid w:val="00E328D8"/>
    <w:rsid w:val="00E32CE2"/>
    <w:rsid w:val="00E32D37"/>
    <w:rsid w:val="00E33C12"/>
    <w:rsid w:val="00E33C67"/>
    <w:rsid w:val="00E33F65"/>
    <w:rsid w:val="00E34142"/>
    <w:rsid w:val="00E3420B"/>
    <w:rsid w:val="00E344D0"/>
    <w:rsid w:val="00E3495E"/>
    <w:rsid w:val="00E35F46"/>
    <w:rsid w:val="00E36351"/>
    <w:rsid w:val="00E37667"/>
    <w:rsid w:val="00E406DA"/>
    <w:rsid w:val="00E4082D"/>
    <w:rsid w:val="00E40ADA"/>
    <w:rsid w:val="00E40B89"/>
    <w:rsid w:val="00E415FC"/>
    <w:rsid w:val="00E4170E"/>
    <w:rsid w:val="00E41BE9"/>
    <w:rsid w:val="00E41D81"/>
    <w:rsid w:val="00E43398"/>
    <w:rsid w:val="00E435C9"/>
    <w:rsid w:val="00E43FB8"/>
    <w:rsid w:val="00E44214"/>
    <w:rsid w:val="00E44A60"/>
    <w:rsid w:val="00E44A83"/>
    <w:rsid w:val="00E44BFF"/>
    <w:rsid w:val="00E44C59"/>
    <w:rsid w:val="00E44E8D"/>
    <w:rsid w:val="00E4549D"/>
    <w:rsid w:val="00E45517"/>
    <w:rsid w:val="00E45BF2"/>
    <w:rsid w:val="00E45DEA"/>
    <w:rsid w:val="00E47684"/>
    <w:rsid w:val="00E50C4C"/>
    <w:rsid w:val="00E5181A"/>
    <w:rsid w:val="00E51829"/>
    <w:rsid w:val="00E51E11"/>
    <w:rsid w:val="00E525AF"/>
    <w:rsid w:val="00E528AD"/>
    <w:rsid w:val="00E5372D"/>
    <w:rsid w:val="00E54291"/>
    <w:rsid w:val="00E5459C"/>
    <w:rsid w:val="00E5467F"/>
    <w:rsid w:val="00E548F1"/>
    <w:rsid w:val="00E549C2"/>
    <w:rsid w:val="00E54CAD"/>
    <w:rsid w:val="00E557B5"/>
    <w:rsid w:val="00E56127"/>
    <w:rsid w:val="00E56BD8"/>
    <w:rsid w:val="00E56F3C"/>
    <w:rsid w:val="00E57B6A"/>
    <w:rsid w:val="00E60952"/>
    <w:rsid w:val="00E60DB2"/>
    <w:rsid w:val="00E61E23"/>
    <w:rsid w:val="00E620A6"/>
    <w:rsid w:val="00E6210D"/>
    <w:rsid w:val="00E62171"/>
    <w:rsid w:val="00E62768"/>
    <w:rsid w:val="00E6462C"/>
    <w:rsid w:val="00E651B6"/>
    <w:rsid w:val="00E65A2C"/>
    <w:rsid w:val="00E65BC3"/>
    <w:rsid w:val="00E65BCA"/>
    <w:rsid w:val="00E66365"/>
    <w:rsid w:val="00E666EB"/>
    <w:rsid w:val="00E6726B"/>
    <w:rsid w:val="00E67672"/>
    <w:rsid w:val="00E676F1"/>
    <w:rsid w:val="00E676F9"/>
    <w:rsid w:val="00E67882"/>
    <w:rsid w:val="00E7001B"/>
    <w:rsid w:val="00E70455"/>
    <w:rsid w:val="00E7165C"/>
    <w:rsid w:val="00E71702"/>
    <w:rsid w:val="00E719D3"/>
    <w:rsid w:val="00E71E37"/>
    <w:rsid w:val="00E720FE"/>
    <w:rsid w:val="00E72A86"/>
    <w:rsid w:val="00E72C29"/>
    <w:rsid w:val="00E72CE3"/>
    <w:rsid w:val="00E73583"/>
    <w:rsid w:val="00E73D82"/>
    <w:rsid w:val="00E74EE7"/>
    <w:rsid w:val="00E76782"/>
    <w:rsid w:val="00E76956"/>
    <w:rsid w:val="00E76B49"/>
    <w:rsid w:val="00E76FB2"/>
    <w:rsid w:val="00E77030"/>
    <w:rsid w:val="00E779CB"/>
    <w:rsid w:val="00E77A9B"/>
    <w:rsid w:val="00E77BA8"/>
    <w:rsid w:val="00E80B80"/>
    <w:rsid w:val="00E811AD"/>
    <w:rsid w:val="00E814BC"/>
    <w:rsid w:val="00E81603"/>
    <w:rsid w:val="00E81A4E"/>
    <w:rsid w:val="00E83D1B"/>
    <w:rsid w:val="00E83F8E"/>
    <w:rsid w:val="00E8420B"/>
    <w:rsid w:val="00E84AB4"/>
    <w:rsid w:val="00E84B48"/>
    <w:rsid w:val="00E84DCE"/>
    <w:rsid w:val="00E84EBF"/>
    <w:rsid w:val="00E852D8"/>
    <w:rsid w:val="00E8590A"/>
    <w:rsid w:val="00E85F38"/>
    <w:rsid w:val="00E861A8"/>
    <w:rsid w:val="00E86216"/>
    <w:rsid w:val="00E86ED2"/>
    <w:rsid w:val="00E8754C"/>
    <w:rsid w:val="00E87629"/>
    <w:rsid w:val="00E87846"/>
    <w:rsid w:val="00E87853"/>
    <w:rsid w:val="00E90423"/>
    <w:rsid w:val="00E9047F"/>
    <w:rsid w:val="00E90630"/>
    <w:rsid w:val="00E91621"/>
    <w:rsid w:val="00E91759"/>
    <w:rsid w:val="00E91C47"/>
    <w:rsid w:val="00E91D47"/>
    <w:rsid w:val="00E92935"/>
    <w:rsid w:val="00E949D3"/>
    <w:rsid w:val="00E94C45"/>
    <w:rsid w:val="00E95E30"/>
    <w:rsid w:val="00E96473"/>
    <w:rsid w:val="00E9686D"/>
    <w:rsid w:val="00E97928"/>
    <w:rsid w:val="00E97A5E"/>
    <w:rsid w:val="00EA0024"/>
    <w:rsid w:val="00EA0948"/>
    <w:rsid w:val="00EA0D57"/>
    <w:rsid w:val="00EA0E45"/>
    <w:rsid w:val="00EA1EAD"/>
    <w:rsid w:val="00EA205B"/>
    <w:rsid w:val="00EA283E"/>
    <w:rsid w:val="00EA4907"/>
    <w:rsid w:val="00EA4974"/>
    <w:rsid w:val="00EA4A2E"/>
    <w:rsid w:val="00EA5618"/>
    <w:rsid w:val="00EA5CB4"/>
    <w:rsid w:val="00EA5FF7"/>
    <w:rsid w:val="00EA6303"/>
    <w:rsid w:val="00EA6872"/>
    <w:rsid w:val="00EA6B90"/>
    <w:rsid w:val="00EA6EA1"/>
    <w:rsid w:val="00EA7407"/>
    <w:rsid w:val="00EA7A0F"/>
    <w:rsid w:val="00EA7FDA"/>
    <w:rsid w:val="00EB010C"/>
    <w:rsid w:val="00EB01A1"/>
    <w:rsid w:val="00EB04B5"/>
    <w:rsid w:val="00EB0B41"/>
    <w:rsid w:val="00EB0CBA"/>
    <w:rsid w:val="00EB1073"/>
    <w:rsid w:val="00EB10C0"/>
    <w:rsid w:val="00EB199B"/>
    <w:rsid w:val="00EB1E8F"/>
    <w:rsid w:val="00EB210B"/>
    <w:rsid w:val="00EB269D"/>
    <w:rsid w:val="00EB28DF"/>
    <w:rsid w:val="00EB2979"/>
    <w:rsid w:val="00EB2D46"/>
    <w:rsid w:val="00EB39F9"/>
    <w:rsid w:val="00EB3BCE"/>
    <w:rsid w:val="00EB47E5"/>
    <w:rsid w:val="00EB56C2"/>
    <w:rsid w:val="00EB5877"/>
    <w:rsid w:val="00EB5CAD"/>
    <w:rsid w:val="00EB621E"/>
    <w:rsid w:val="00EB65A1"/>
    <w:rsid w:val="00EB6633"/>
    <w:rsid w:val="00EB6833"/>
    <w:rsid w:val="00EB684B"/>
    <w:rsid w:val="00EB6C79"/>
    <w:rsid w:val="00EB7939"/>
    <w:rsid w:val="00EB7C89"/>
    <w:rsid w:val="00EC04FD"/>
    <w:rsid w:val="00EC0DD2"/>
    <w:rsid w:val="00EC0E73"/>
    <w:rsid w:val="00EC1543"/>
    <w:rsid w:val="00EC23B5"/>
    <w:rsid w:val="00EC253C"/>
    <w:rsid w:val="00EC25DC"/>
    <w:rsid w:val="00EC2C2F"/>
    <w:rsid w:val="00EC2CF2"/>
    <w:rsid w:val="00EC2FEF"/>
    <w:rsid w:val="00EC3159"/>
    <w:rsid w:val="00EC323A"/>
    <w:rsid w:val="00EC34E3"/>
    <w:rsid w:val="00EC3D4A"/>
    <w:rsid w:val="00EC4820"/>
    <w:rsid w:val="00EC569C"/>
    <w:rsid w:val="00EC56F1"/>
    <w:rsid w:val="00EC5DD1"/>
    <w:rsid w:val="00EC70F7"/>
    <w:rsid w:val="00EC7EB7"/>
    <w:rsid w:val="00ED053F"/>
    <w:rsid w:val="00ED1A2D"/>
    <w:rsid w:val="00ED1CA8"/>
    <w:rsid w:val="00ED1CAE"/>
    <w:rsid w:val="00ED21B4"/>
    <w:rsid w:val="00ED241C"/>
    <w:rsid w:val="00ED28D4"/>
    <w:rsid w:val="00ED2F2E"/>
    <w:rsid w:val="00ED3836"/>
    <w:rsid w:val="00ED3A50"/>
    <w:rsid w:val="00ED4235"/>
    <w:rsid w:val="00ED46D7"/>
    <w:rsid w:val="00ED542F"/>
    <w:rsid w:val="00ED6A8D"/>
    <w:rsid w:val="00ED6B2E"/>
    <w:rsid w:val="00ED710B"/>
    <w:rsid w:val="00ED7133"/>
    <w:rsid w:val="00ED788F"/>
    <w:rsid w:val="00EE0223"/>
    <w:rsid w:val="00EE11F8"/>
    <w:rsid w:val="00EE1205"/>
    <w:rsid w:val="00EE1256"/>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4B9"/>
    <w:rsid w:val="00EF067D"/>
    <w:rsid w:val="00EF105D"/>
    <w:rsid w:val="00EF239C"/>
    <w:rsid w:val="00EF24F5"/>
    <w:rsid w:val="00EF2565"/>
    <w:rsid w:val="00EF27D0"/>
    <w:rsid w:val="00EF28B1"/>
    <w:rsid w:val="00EF2DE8"/>
    <w:rsid w:val="00EF32F6"/>
    <w:rsid w:val="00EF4580"/>
    <w:rsid w:val="00EF49CC"/>
    <w:rsid w:val="00EF539F"/>
    <w:rsid w:val="00EF5810"/>
    <w:rsid w:val="00EF5C4F"/>
    <w:rsid w:val="00EF662C"/>
    <w:rsid w:val="00EF67D1"/>
    <w:rsid w:val="00EF6928"/>
    <w:rsid w:val="00F016E4"/>
    <w:rsid w:val="00F01D20"/>
    <w:rsid w:val="00F03359"/>
    <w:rsid w:val="00F03C06"/>
    <w:rsid w:val="00F04097"/>
    <w:rsid w:val="00F045E2"/>
    <w:rsid w:val="00F04F56"/>
    <w:rsid w:val="00F04F7C"/>
    <w:rsid w:val="00F05409"/>
    <w:rsid w:val="00F063ED"/>
    <w:rsid w:val="00F0689B"/>
    <w:rsid w:val="00F06E52"/>
    <w:rsid w:val="00F06F62"/>
    <w:rsid w:val="00F070E5"/>
    <w:rsid w:val="00F07279"/>
    <w:rsid w:val="00F07EC3"/>
    <w:rsid w:val="00F100E0"/>
    <w:rsid w:val="00F10625"/>
    <w:rsid w:val="00F1079D"/>
    <w:rsid w:val="00F10A53"/>
    <w:rsid w:val="00F11209"/>
    <w:rsid w:val="00F11913"/>
    <w:rsid w:val="00F11C39"/>
    <w:rsid w:val="00F11CEB"/>
    <w:rsid w:val="00F11F41"/>
    <w:rsid w:val="00F1239B"/>
    <w:rsid w:val="00F1248F"/>
    <w:rsid w:val="00F1264C"/>
    <w:rsid w:val="00F13573"/>
    <w:rsid w:val="00F14673"/>
    <w:rsid w:val="00F1469A"/>
    <w:rsid w:val="00F147BE"/>
    <w:rsid w:val="00F1480E"/>
    <w:rsid w:val="00F149A3"/>
    <w:rsid w:val="00F14FB0"/>
    <w:rsid w:val="00F14FDE"/>
    <w:rsid w:val="00F153FC"/>
    <w:rsid w:val="00F15443"/>
    <w:rsid w:val="00F15BD1"/>
    <w:rsid w:val="00F1677E"/>
    <w:rsid w:val="00F1767B"/>
    <w:rsid w:val="00F20E6E"/>
    <w:rsid w:val="00F20F17"/>
    <w:rsid w:val="00F211C1"/>
    <w:rsid w:val="00F216B3"/>
    <w:rsid w:val="00F21EEB"/>
    <w:rsid w:val="00F23077"/>
    <w:rsid w:val="00F234F2"/>
    <w:rsid w:val="00F23B62"/>
    <w:rsid w:val="00F23BCE"/>
    <w:rsid w:val="00F25F15"/>
    <w:rsid w:val="00F2667D"/>
    <w:rsid w:val="00F26877"/>
    <w:rsid w:val="00F26C20"/>
    <w:rsid w:val="00F27165"/>
    <w:rsid w:val="00F27A80"/>
    <w:rsid w:val="00F30562"/>
    <w:rsid w:val="00F30CB3"/>
    <w:rsid w:val="00F312E0"/>
    <w:rsid w:val="00F3163A"/>
    <w:rsid w:val="00F31A97"/>
    <w:rsid w:val="00F31C6E"/>
    <w:rsid w:val="00F31E33"/>
    <w:rsid w:val="00F320EB"/>
    <w:rsid w:val="00F32803"/>
    <w:rsid w:val="00F3289C"/>
    <w:rsid w:val="00F32949"/>
    <w:rsid w:val="00F32E30"/>
    <w:rsid w:val="00F3344A"/>
    <w:rsid w:val="00F3372C"/>
    <w:rsid w:val="00F33FEC"/>
    <w:rsid w:val="00F35842"/>
    <w:rsid w:val="00F36501"/>
    <w:rsid w:val="00F36694"/>
    <w:rsid w:val="00F366B1"/>
    <w:rsid w:val="00F36CD4"/>
    <w:rsid w:val="00F3767D"/>
    <w:rsid w:val="00F37B21"/>
    <w:rsid w:val="00F37E3D"/>
    <w:rsid w:val="00F4093E"/>
    <w:rsid w:val="00F4170C"/>
    <w:rsid w:val="00F41879"/>
    <w:rsid w:val="00F41CFF"/>
    <w:rsid w:val="00F4243B"/>
    <w:rsid w:val="00F42646"/>
    <w:rsid w:val="00F42EA6"/>
    <w:rsid w:val="00F43598"/>
    <w:rsid w:val="00F43A0D"/>
    <w:rsid w:val="00F43F6D"/>
    <w:rsid w:val="00F45A39"/>
    <w:rsid w:val="00F45D26"/>
    <w:rsid w:val="00F4667C"/>
    <w:rsid w:val="00F46963"/>
    <w:rsid w:val="00F47047"/>
    <w:rsid w:val="00F501D2"/>
    <w:rsid w:val="00F50392"/>
    <w:rsid w:val="00F50828"/>
    <w:rsid w:val="00F50AA7"/>
    <w:rsid w:val="00F511C1"/>
    <w:rsid w:val="00F52B07"/>
    <w:rsid w:val="00F53002"/>
    <w:rsid w:val="00F54714"/>
    <w:rsid w:val="00F5494C"/>
    <w:rsid w:val="00F54BA2"/>
    <w:rsid w:val="00F54BD5"/>
    <w:rsid w:val="00F54F48"/>
    <w:rsid w:val="00F558D4"/>
    <w:rsid w:val="00F55FFC"/>
    <w:rsid w:val="00F56F60"/>
    <w:rsid w:val="00F577C6"/>
    <w:rsid w:val="00F57800"/>
    <w:rsid w:val="00F603F5"/>
    <w:rsid w:val="00F6185D"/>
    <w:rsid w:val="00F6204A"/>
    <w:rsid w:val="00F62238"/>
    <w:rsid w:val="00F62391"/>
    <w:rsid w:val="00F62A2D"/>
    <w:rsid w:val="00F6350B"/>
    <w:rsid w:val="00F63A0E"/>
    <w:rsid w:val="00F642E8"/>
    <w:rsid w:val="00F64B72"/>
    <w:rsid w:val="00F64FC3"/>
    <w:rsid w:val="00F6516D"/>
    <w:rsid w:val="00F65A96"/>
    <w:rsid w:val="00F65B4B"/>
    <w:rsid w:val="00F6644D"/>
    <w:rsid w:val="00F66F43"/>
    <w:rsid w:val="00F674B0"/>
    <w:rsid w:val="00F679A1"/>
    <w:rsid w:val="00F7113A"/>
    <w:rsid w:val="00F7132A"/>
    <w:rsid w:val="00F71859"/>
    <w:rsid w:val="00F71A9E"/>
    <w:rsid w:val="00F71B7B"/>
    <w:rsid w:val="00F721EA"/>
    <w:rsid w:val="00F72B0E"/>
    <w:rsid w:val="00F72BF8"/>
    <w:rsid w:val="00F72D40"/>
    <w:rsid w:val="00F72F42"/>
    <w:rsid w:val="00F731D2"/>
    <w:rsid w:val="00F73A5D"/>
    <w:rsid w:val="00F73C9D"/>
    <w:rsid w:val="00F73CF7"/>
    <w:rsid w:val="00F73E94"/>
    <w:rsid w:val="00F74718"/>
    <w:rsid w:val="00F74FA0"/>
    <w:rsid w:val="00F75320"/>
    <w:rsid w:val="00F75913"/>
    <w:rsid w:val="00F75C77"/>
    <w:rsid w:val="00F76222"/>
    <w:rsid w:val="00F766A0"/>
    <w:rsid w:val="00F76D63"/>
    <w:rsid w:val="00F77748"/>
    <w:rsid w:val="00F77E2A"/>
    <w:rsid w:val="00F8050A"/>
    <w:rsid w:val="00F80A24"/>
    <w:rsid w:val="00F80AB3"/>
    <w:rsid w:val="00F80C8A"/>
    <w:rsid w:val="00F81169"/>
    <w:rsid w:val="00F8129E"/>
    <w:rsid w:val="00F8204F"/>
    <w:rsid w:val="00F82251"/>
    <w:rsid w:val="00F83339"/>
    <w:rsid w:val="00F83651"/>
    <w:rsid w:val="00F84776"/>
    <w:rsid w:val="00F84C9F"/>
    <w:rsid w:val="00F84CA9"/>
    <w:rsid w:val="00F85A74"/>
    <w:rsid w:val="00F85A8A"/>
    <w:rsid w:val="00F85E5F"/>
    <w:rsid w:val="00F8681C"/>
    <w:rsid w:val="00F86A87"/>
    <w:rsid w:val="00F86C07"/>
    <w:rsid w:val="00F87678"/>
    <w:rsid w:val="00F8793A"/>
    <w:rsid w:val="00F87A7C"/>
    <w:rsid w:val="00F90BDB"/>
    <w:rsid w:val="00F912FF"/>
    <w:rsid w:val="00F91577"/>
    <w:rsid w:val="00F91832"/>
    <w:rsid w:val="00F91AC5"/>
    <w:rsid w:val="00F93535"/>
    <w:rsid w:val="00F938A8"/>
    <w:rsid w:val="00F9414F"/>
    <w:rsid w:val="00F9431A"/>
    <w:rsid w:val="00F94CF3"/>
    <w:rsid w:val="00F957C5"/>
    <w:rsid w:val="00F957C9"/>
    <w:rsid w:val="00F96182"/>
    <w:rsid w:val="00F963DA"/>
    <w:rsid w:val="00F9643D"/>
    <w:rsid w:val="00F967F7"/>
    <w:rsid w:val="00F969B9"/>
    <w:rsid w:val="00F97EF8"/>
    <w:rsid w:val="00FA106A"/>
    <w:rsid w:val="00FA1DE1"/>
    <w:rsid w:val="00FA1EC5"/>
    <w:rsid w:val="00FA2240"/>
    <w:rsid w:val="00FA22C1"/>
    <w:rsid w:val="00FA27B3"/>
    <w:rsid w:val="00FA2C3E"/>
    <w:rsid w:val="00FA5B44"/>
    <w:rsid w:val="00FA5DB7"/>
    <w:rsid w:val="00FA68B5"/>
    <w:rsid w:val="00FA711F"/>
    <w:rsid w:val="00FA7753"/>
    <w:rsid w:val="00FA77BD"/>
    <w:rsid w:val="00FB0499"/>
    <w:rsid w:val="00FB0560"/>
    <w:rsid w:val="00FB1834"/>
    <w:rsid w:val="00FB188E"/>
    <w:rsid w:val="00FB20FB"/>
    <w:rsid w:val="00FB21C9"/>
    <w:rsid w:val="00FB240E"/>
    <w:rsid w:val="00FB280F"/>
    <w:rsid w:val="00FB3415"/>
    <w:rsid w:val="00FB35FD"/>
    <w:rsid w:val="00FB3B04"/>
    <w:rsid w:val="00FB3B98"/>
    <w:rsid w:val="00FB44B4"/>
    <w:rsid w:val="00FB4DB2"/>
    <w:rsid w:val="00FB5309"/>
    <w:rsid w:val="00FB536C"/>
    <w:rsid w:val="00FB5814"/>
    <w:rsid w:val="00FB5F44"/>
    <w:rsid w:val="00FB645F"/>
    <w:rsid w:val="00FB71AB"/>
    <w:rsid w:val="00FB791F"/>
    <w:rsid w:val="00FB7943"/>
    <w:rsid w:val="00FB7C6D"/>
    <w:rsid w:val="00FB7F47"/>
    <w:rsid w:val="00FC1740"/>
    <w:rsid w:val="00FC1B2C"/>
    <w:rsid w:val="00FC2034"/>
    <w:rsid w:val="00FC247E"/>
    <w:rsid w:val="00FC24E9"/>
    <w:rsid w:val="00FC2A2B"/>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11D9"/>
    <w:rsid w:val="00FD11F8"/>
    <w:rsid w:val="00FD1613"/>
    <w:rsid w:val="00FD18ED"/>
    <w:rsid w:val="00FD3214"/>
    <w:rsid w:val="00FD36F8"/>
    <w:rsid w:val="00FD4326"/>
    <w:rsid w:val="00FD4BC6"/>
    <w:rsid w:val="00FD51BC"/>
    <w:rsid w:val="00FD56DD"/>
    <w:rsid w:val="00FD5C7D"/>
    <w:rsid w:val="00FD6A99"/>
    <w:rsid w:val="00FE0865"/>
    <w:rsid w:val="00FE098C"/>
    <w:rsid w:val="00FE0AF5"/>
    <w:rsid w:val="00FE0BAC"/>
    <w:rsid w:val="00FE0D21"/>
    <w:rsid w:val="00FE157B"/>
    <w:rsid w:val="00FE162B"/>
    <w:rsid w:val="00FE21E9"/>
    <w:rsid w:val="00FE2C2B"/>
    <w:rsid w:val="00FE2D16"/>
    <w:rsid w:val="00FE31B2"/>
    <w:rsid w:val="00FE3665"/>
    <w:rsid w:val="00FE3716"/>
    <w:rsid w:val="00FE3D20"/>
    <w:rsid w:val="00FE4494"/>
    <w:rsid w:val="00FE4D74"/>
    <w:rsid w:val="00FE4FCE"/>
    <w:rsid w:val="00FE5355"/>
    <w:rsid w:val="00FE559F"/>
    <w:rsid w:val="00FE5732"/>
    <w:rsid w:val="00FE6B63"/>
    <w:rsid w:val="00FE6C1B"/>
    <w:rsid w:val="00FE6FD5"/>
    <w:rsid w:val="00FE73AC"/>
    <w:rsid w:val="00FE7473"/>
    <w:rsid w:val="00FE77A6"/>
    <w:rsid w:val="00FE78C0"/>
    <w:rsid w:val="00FE7B51"/>
    <w:rsid w:val="00FF0CD1"/>
    <w:rsid w:val="00FF0F4C"/>
    <w:rsid w:val="00FF2CF2"/>
    <w:rsid w:val="00FF33A9"/>
    <w:rsid w:val="00FF3582"/>
    <w:rsid w:val="00FF3907"/>
    <w:rsid w:val="00FF3BC9"/>
    <w:rsid w:val="00FF42B1"/>
    <w:rsid w:val="00FF4F68"/>
    <w:rsid w:val="00FF5044"/>
    <w:rsid w:val="00FF52DE"/>
    <w:rsid w:val="00FF565C"/>
    <w:rsid w:val="00FF5F0C"/>
    <w:rsid w:val="00FF601C"/>
    <w:rsid w:val="00FF6063"/>
    <w:rsid w:val="00FF61B2"/>
    <w:rsid w:val="00FF64BE"/>
    <w:rsid w:val="00FF65DD"/>
    <w:rsid w:val="00FF70B5"/>
    <w:rsid w:val="00FF7189"/>
    <w:rsid w:val="00FF7721"/>
    <w:rsid w:val="00FF7F30"/>
    <w:rsid w:val="011A11A4"/>
    <w:rsid w:val="014B5B44"/>
    <w:rsid w:val="018C5F7F"/>
    <w:rsid w:val="0192039A"/>
    <w:rsid w:val="01A3683F"/>
    <w:rsid w:val="01BE4069"/>
    <w:rsid w:val="01BE5800"/>
    <w:rsid w:val="01C66FA2"/>
    <w:rsid w:val="01E46F65"/>
    <w:rsid w:val="025536AC"/>
    <w:rsid w:val="028279CD"/>
    <w:rsid w:val="02E536DD"/>
    <w:rsid w:val="03647C69"/>
    <w:rsid w:val="03675D38"/>
    <w:rsid w:val="03F06C42"/>
    <w:rsid w:val="041B3357"/>
    <w:rsid w:val="042572F6"/>
    <w:rsid w:val="04B57F23"/>
    <w:rsid w:val="04C34346"/>
    <w:rsid w:val="04E30437"/>
    <w:rsid w:val="052E6856"/>
    <w:rsid w:val="05542608"/>
    <w:rsid w:val="05650CA4"/>
    <w:rsid w:val="057A19AC"/>
    <w:rsid w:val="057C5487"/>
    <w:rsid w:val="05F41FAA"/>
    <w:rsid w:val="063B78DC"/>
    <w:rsid w:val="06C34CE0"/>
    <w:rsid w:val="07447816"/>
    <w:rsid w:val="076E0F6D"/>
    <w:rsid w:val="07E84F31"/>
    <w:rsid w:val="0839529D"/>
    <w:rsid w:val="08E51FBF"/>
    <w:rsid w:val="09016473"/>
    <w:rsid w:val="09545F44"/>
    <w:rsid w:val="09974C33"/>
    <w:rsid w:val="09B82947"/>
    <w:rsid w:val="09F2208C"/>
    <w:rsid w:val="0A1145F3"/>
    <w:rsid w:val="0A35072C"/>
    <w:rsid w:val="0A9F1271"/>
    <w:rsid w:val="0AB5719A"/>
    <w:rsid w:val="0ADC35D2"/>
    <w:rsid w:val="0B18752E"/>
    <w:rsid w:val="0B201256"/>
    <w:rsid w:val="0B2865E2"/>
    <w:rsid w:val="0B324FE0"/>
    <w:rsid w:val="0BAD0C84"/>
    <w:rsid w:val="0BF958C7"/>
    <w:rsid w:val="0C143CD0"/>
    <w:rsid w:val="0C395F54"/>
    <w:rsid w:val="0C3F3332"/>
    <w:rsid w:val="0C5A09A9"/>
    <w:rsid w:val="0C63547C"/>
    <w:rsid w:val="0CDB719E"/>
    <w:rsid w:val="0D3A7BC3"/>
    <w:rsid w:val="0D8A2B51"/>
    <w:rsid w:val="0E0812B7"/>
    <w:rsid w:val="0EAB6A73"/>
    <w:rsid w:val="0F4D0707"/>
    <w:rsid w:val="0FBA2A45"/>
    <w:rsid w:val="0FC41654"/>
    <w:rsid w:val="0FDE7285"/>
    <w:rsid w:val="101D798B"/>
    <w:rsid w:val="105D4A33"/>
    <w:rsid w:val="10737A3E"/>
    <w:rsid w:val="10C84018"/>
    <w:rsid w:val="10CB3522"/>
    <w:rsid w:val="11280AE6"/>
    <w:rsid w:val="112A0531"/>
    <w:rsid w:val="1182211B"/>
    <w:rsid w:val="118C2ED5"/>
    <w:rsid w:val="11B83D31"/>
    <w:rsid w:val="123F6BB3"/>
    <w:rsid w:val="12795B29"/>
    <w:rsid w:val="12F62B63"/>
    <w:rsid w:val="130003A3"/>
    <w:rsid w:val="13182592"/>
    <w:rsid w:val="13696837"/>
    <w:rsid w:val="13745202"/>
    <w:rsid w:val="13B31AEC"/>
    <w:rsid w:val="13B62550"/>
    <w:rsid w:val="13F978EE"/>
    <w:rsid w:val="13FE3FBA"/>
    <w:rsid w:val="140E1568"/>
    <w:rsid w:val="14404369"/>
    <w:rsid w:val="14DC4602"/>
    <w:rsid w:val="155E2843"/>
    <w:rsid w:val="15650D6B"/>
    <w:rsid w:val="158D7CFE"/>
    <w:rsid w:val="15BE3826"/>
    <w:rsid w:val="15EA63F9"/>
    <w:rsid w:val="164B51D1"/>
    <w:rsid w:val="16C75C22"/>
    <w:rsid w:val="17113C34"/>
    <w:rsid w:val="175D674F"/>
    <w:rsid w:val="176C50C5"/>
    <w:rsid w:val="17860873"/>
    <w:rsid w:val="17CD2550"/>
    <w:rsid w:val="17E51507"/>
    <w:rsid w:val="18012898"/>
    <w:rsid w:val="18114189"/>
    <w:rsid w:val="181B1727"/>
    <w:rsid w:val="187C6497"/>
    <w:rsid w:val="1890589D"/>
    <w:rsid w:val="18F06F2D"/>
    <w:rsid w:val="19421A22"/>
    <w:rsid w:val="19755131"/>
    <w:rsid w:val="19AD7F51"/>
    <w:rsid w:val="19E46B61"/>
    <w:rsid w:val="1A1D28E7"/>
    <w:rsid w:val="1A33718A"/>
    <w:rsid w:val="1A7875CB"/>
    <w:rsid w:val="1A9E4D99"/>
    <w:rsid w:val="1ABC3957"/>
    <w:rsid w:val="1B6963D4"/>
    <w:rsid w:val="1B8A679C"/>
    <w:rsid w:val="1BA50D14"/>
    <w:rsid w:val="1BA677E7"/>
    <w:rsid w:val="1C625D30"/>
    <w:rsid w:val="1C7671E3"/>
    <w:rsid w:val="1C777601"/>
    <w:rsid w:val="1C8A493E"/>
    <w:rsid w:val="1C9E0249"/>
    <w:rsid w:val="1CC26090"/>
    <w:rsid w:val="1CCB6998"/>
    <w:rsid w:val="1CD6623F"/>
    <w:rsid w:val="1CF90898"/>
    <w:rsid w:val="1CFA0C7E"/>
    <w:rsid w:val="1CFA0FE7"/>
    <w:rsid w:val="1D082136"/>
    <w:rsid w:val="1D0E6190"/>
    <w:rsid w:val="1D8A64E2"/>
    <w:rsid w:val="1D8C69C4"/>
    <w:rsid w:val="1DC270A9"/>
    <w:rsid w:val="1DCD6699"/>
    <w:rsid w:val="1DEF7FFE"/>
    <w:rsid w:val="1E1C7C6C"/>
    <w:rsid w:val="1E786F00"/>
    <w:rsid w:val="1EB26A1F"/>
    <w:rsid w:val="1F1F65F5"/>
    <w:rsid w:val="1F295F53"/>
    <w:rsid w:val="1F343C02"/>
    <w:rsid w:val="1F6B38E6"/>
    <w:rsid w:val="1F7A439B"/>
    <w:rsid w:val="1FAC7E53"/>
    <w:rsid w:val="1FB7496C"/>
    <w:rsid w:val="1FC517F2"/>
    <w:rsid w:val="1FD71884"/>
    <w:rsid w:val="20312D30"/>
    <w:rsid w:val="20322AED"/>
    <w:rsid w:val="203E7119"/>
    <w:rsid w:val="20517FE3"/>
    <w:rsid w:val="205E17D1"/>
    <w:rsid w:val="208D5606"/>
    <w:rsid w:val="20CE2C18"/>
    <w:rsid w:val="21275B00"/>
    <w:rsid w:val="2136064C"/>
    <w:rsid w:val="21453BAA"/>
    <w:rsid w:val="217C1DAF"/>
    <w:rsid w:val="218220DE"/>
    <w:rsid w:val="21920158"/>
    <w:rsid w:val="21D53029"/>
    <w:rsid w:val="21F36C2E"/>
    <w:rsid w:val="22130B27"/>
    <w:rsid w:val="22271E23"/>
    <w:rsid w:val="222C76C6"/>
    <w:rsid w:val="222D75BF"/>
    <w:rsid w:val="22466CF3"/>
    <w:rsid w:val="22A344E7"/>
    <w:rsid w:val="22AE20E1"/>
    <w:rsid w:val="22DE3197"/>
    <w:rsid w:val="230E0741"/>
    <w:rsid w:val="23A502A2"/>
    <w:rsid w:val="23F63E16"/>
    <w:rsid w:val="2408611D"/>
    <w:rsid w:val="24170CC7"/>
    <w:rsid w:val="24193003"/>
    <w:rsid w:val="243A32C2"/>
    <w:rsid w:val="24816262"/>
    <w:rsid w:val="24863FA5"/>
    <w:rsid w:val="25093A3B"/>
    <w:rsid w:val="25236D0D"/>
    <w:rsid w:val="252F645D"/>
    <w:rsid w:val="2540347D"/>
    <w:rsid w:val="258858A9"/>
    <w:rsid w:val="25C23ED2"/>
    <w:rsid w:val="2620774A"/>
    <w:rsid w:val="26757E2C"/>
    <w:rsid w:val="26790701"/>
    <w:rsid w:val="26CB0ACF"/>
    <w:rsid w:val="273508EE"/>
    <w:rsid w:val="27483692"/>
    <w:rsid w:val="27483A0D"/>
    <w:rsid w:val="276F6E45"/>
    <w:rsid w:val="278066D7"/>
    <w:rsid w:val="27827B0F"/>
    <w:rsid w:val="27886287"/>
    <w:rsid w:val="27B50A27"/>
    <w:rsid w:val="27D10A70"/>
    <w:rsid w:val="27EA6920"/>
    <w:rsid w:val="27F53526"/>
    <w:rsid w:val="27FA5E76"/>
    <w:rsid w:val="283E4390"/>
    <w:rsid w:val="28544A28"/>
    <w:rsid w:val="28665E9B"/>
    <w:rsid w:val="28690FE5"/>
    <w:rsid w:val="288E2BD2"/>
    <w:rsid w:val="28BB4FA4"/>
    <w:rsid w:val="28BC03AC"/>
    <w:rsid w:val="28DC50AB"/>
    <w:rsid w:val="28E55271"/>
    <w:rsid w:val="28FE79C5"/>
    <w:rsid w:val="290941ED"/>
    <w:rsid w:val="2923374B"/>
    <w:rsid w:val="29287BBC"/>
    <w:rsid w:val="29675D6A"/>
    <w:rsid w:val="29BD796F"/>
    <w:rsid w:val="2A1211FB"/>
    <w:rsid w:val="2A3D7487"/>
    <w:rsid w:val="2A8915BE"/>
    <w:rsid w:val="2A9E752D"/>
    <w:rsid w:val="2AAC3644"/>
    <w:rsid w:val="2B3107D0"/>
    <w:rsid w:val="2B563448"/>
    <w:rsid w:val="2B8946FF"/>
    <w:rsid w:val="2B971C13"/>
    <w:rsid w:val="2BEB624A"/>
    <w:rsid w:val="2BF27759"/>
    <w:rsid w:val="2C0A4741"/>
    <w:rsid w:val="2C670CAA"/>
    <w:rsid w:val="2C901738"/>
    <w:rsid w:val="2CC40A33"/>
    <w:rsid w:val="2CF021F3"/>
    <w:rsid w:val="2CF86E08"/>
    <w:rsid w:val="2D9B15EF"/>
    <w:rsid w:val="2DF913BF"/>
    <w:rsid w:val="2E304308"/>
    <w:rsid w:val="2EB26D79"/>
    <w:rsid w:val="2EEB7447"/>
    <w:rsid w:val="2F7145F4"/>
    <w:rsid w:val="2FEFEA96"/>
    <w:rsid w:val="30580298"/>
    <w:rsid w:val="30646F90"/>
    <w:rsid w:val="30A05CC2"/>
    <w:rsid w:val="30C70831"/>
    <w:rsid w:val="30CB0402"/>
    <w:rsid w:val="30ED5373"/>
    <w:rsid w:val="30FE2EAB"/>
    <w:rsid w:val="310054A0"/>
    <w:rsid w:val="31975A13"/>
    <w:rsid w:val="31BA5809"/>
    <w:rsid w:val="324D2681"/>
    <w:rsid w:val="32B805E5"/>
    <w:rsid w:val="32CC59DA"/>
    <w:rsid w:val="32E74BBA"/>
    <w:rsid w:val="331210F9"/>
    <w:rsid w:val="332419A8"/>
    <w:rsid w:val="34241696"/>
    <w:rsid w:val="34457450"/>
    <w:rsid w:val="344651E0"/>
    <w:rsid w:val="344B2538"/>
    <w:rsid w:val="34A827C2"/>
    <w:rsid w:val="35373F98"/>
    <w:rsid w:val="355D33BD"/>
    <w:rsid w:val="35C32B80"/>
    <w:rsid w:val="360D4EA6"/>
    <w:rsid w:val="363B7932"/>
    <w:rsid w:val="36D15C2A"/>
    <w:rsid w:val="36E13B8D"/>
    <w:rsid w:val="36FA4BBC"/>
    <w:rsid w:val="37046440"/>
    <w:rsid w:val="371D61FE"/>
    <w:rsid w:val="374B5AC3"/>
    <w:rsid w:val="3793414D"/>
    <w:rsid w:val="37DE31A7"/>
    <w:rsid w:val="38074707"/>
    <w:rsid w:val="38187E4F"/>
    <w:rsid w:val="3820445B"/>
    <w:rsid w:val="38210467"/>
    <w:rsid w:val="38401B73"/>
    <w:rsid w:val="384B1D2A"/>
    <w:rsid w:val="38746CA6"/>
    <w:rsid w:val="38A40B3E"/>
    <w:rsid w:val="38CA5FD2"/>
    <w:rsid w:val="38CF183A"/>
    <w:rsid w:val="39780BBB"/>
    <w:rsid w:val="39A30464"/>
    <w:rsid w:val="39D617F2"/>
    <w:rsid w:val="39E430C3"/>
    <w:rsid w:val="3A060CE4"/>
    <w:rsid w:val="3A1E77FC"/>
    <w:rsid w:val="3A316B7C"/>
    <w:rsid w:val="3A7942BB"/>
    <w:rsid w:val="3A83468A"/>
    <w:rsid w:val="3AA107FF"/>
    <w:rsid w:val="3AE0789A"/>
    <w:rsid w:val="3B396CAF"/>
    <w:rsid w:val="3B3C3143"/>
    <w:rsid w:val="3B731AB5"/>
    <w:rsid w:val="3B833738"/>
    <w:rsid w:val="3B874762"/>
    <w:rsid w:val="3BCB1798"/>
    <w:rsid w:val="3BD52B78"/>
    <w:rsid w:val="3C2527C5"/>
    <w:rsid w:val="3C4904A9"/>
    <w:rsid w:val="3C6424D1"/>
    <w:rsid w:val="3CC30D24"/>
    <w:rsid w:val="3D2037CC"/>
    <w:rsid w:val="3D28581D"/>
    <w:rsid w:val="3D3E2AEA"/>
    <w:rsid w:val="3D3F3F96"/>
    <w:rsid w:val="3D6F75C9"/>
    <w:rsid w:val="3DE87D1F"/>
    <w:rsid w:val="3DE90F01"/>
    <w:rsid w:val="3E266E35"/>
    <w:rsid w:val="3E2D2DAE"/>
    <w:rsid w:val="3E371E8C"/>
    <w:rsid w:val="3E7BC4A8"/>
    <w:rsid w:val="3EA3354D"/>
    <w:rsid w:val="3F6B03C8"/>
    <w:rsid w:val="3F7F04D5"/>
    <w:rsid w:val="3FF107D1"/>
    <w:rsid w:val="3FF9181B"/>
    <w:rsid w:val="4021454A"/>
    <w:rsid w:val="40A005F0"/>
    <w:rsid w:val="412C689A"/>
    <w:rsid w:val="417E1386"/>
    <w:rsid w:val="41B77267"/>
    <w:rsid w:val="422B6BF4"/>
    <w:rsid w:val="42347713"/>
    <w:rsid w:val="424F3353"/>
    <w:rsid w:val="42C90F9B"/>
    <w:rsid w:val="43537F74"/>
    <w:rsid w:val="43685C5F"/>
    <w:rsid w:val="439D447A"/>
    <w:rsid w:val="43B00A8F"/>
    <w:rsid w:val="442F66AF"/>
    <w:rsid w:val="45027F52"/>
    <w:rsid w:val="45216E60"/>
    <w:rsid w:val="45511B47"/>
    <w:rsid w:val="459F32B8"/>
    <w:rsid w:val="45A15DDB"/>
    <w:rsid w:val="45B22926"/>
    <w:rsid w:val="45E878B3"/>
    <w:rsid w:val="46155EB9"/>
    <w:rsid w:val="462E16A2"/>
    <w:rsid w:val="4681712C"/>
    <w:rsid w:val="468B6718"/>
    <w:rsid w:val="473B23EB"/>
    <w:rsid w:val="474B2E4D"/>
    <w:rsid w:val="47AB2AB3"/>
    <w:rsid w:val="47B32EAB"/>
    <w:rsid w:val="47C40E8C"/>
    <w:rsid w:val="47CB01FC"/>
    <w:rsid w:val="48482F92"/>
    <w:rsid w:val="488F40EF"/>
    <w:rsid w:val="48B1218F"/>
    <w:rsid w:val="48B14AB0"/>
    <w:rsid w:val="48D533E6"/>
    <w:rsid w:val="48D6123C"/>
    <w:rsid w:val="49146667"/>
    <w:rsid w:val="49150F51"/>
    <w:rsid w:val="492C20AE"/>
    <w:rsid w:val="49480BD4"/>
    <w:rsid w:val="49843F8C"/>
    <w:rsid w:val="499F04DF"/>
    <w:rsid w:val="49CB3BFF"/>
    <w:rsid w:val="4A6D2A44"/>
    <w:rsid w:val="4AA322CE"/>
    <w:rsid w:val="4AA4619B"/>
    <w:rsid w:val="4B284D77"/>
    <w:rsid w:val="4B3D634A"/>
    <w:rsid w:val="4BEC1507"/>
    <w:rsid w:val="4C2C658F"/>
    <w:rsid w:val="4CD363C9"/>
    <w:rsid w:val="4CE46F3C"/>
    <w:rsid w:val="4D7F6702"/>
    <w:rsid w:val="4D930007"/>
    <w:rsid w:val="4D9E38C3"/>
    <w:rsid w:val="4DF06CBE"/>
    <w:rsid w:val="4E1C0C26"/>
    <w:rsid w:val="4E835B1E"/>
    <w:rsid w:val="4EB73496"/>
    <w:rsid w:val="4F123950"/>
    <w:rsid w:val="4F134C73"/>
    <w:rsid w:val="4F885673"/>
    <w:rsid w:val="4F9537D8"/>
    <w:rsid w:val="4FE96C8A"/>
    <w:rsid w:val="4FED053A"/>
    <w:rsid w:val="4FF959C0"/>
    <w:rsid w:val="507519D9"/>
    <w:rsid w:val="50EC442B"/>
    <w:rsid w:val="50F80A65"/>
    <w:rsid w:val="510453E3"/>
    <w:rsid w:val="51640BBA"/>
    <w:rsid w:val="52127D7D"/>
    <w:rsid w:val="521F35BC"/>
    <w:rsid w:val="52256571"/>
    <w:rsid w:val="52412A63"/>
    <w:rsid w:val="52713FE5"/>
    <w:rsid w:val="53144CAE"/>
    <w:rsid w:val="53763D4D"/>
    <w:rsid w:val="54135280"/>
    <w:rsid w:val="54972DB4"/>
    <w:rsid w:val="54F00856"/>
    <w:rsid w:val="550F5041"/>
    <w:rsid w:val="5526139C"/>
    <w:rsid w:val="552B2D26"/>
    <w:rsid w:val="554E1470"/>
    <w:rsid w:val="555925CB"/>
    <w:rsid w:val="556F5ADF"/>
    <w:rsid w:val="55986D51"/>
    <w:rsid w:val="55D42624"/>
    <w:rsid w:val="55FE7C50"/>
    <w:rsid w:val="56133CA0"/>
    <w:rsid w:val="561B120B"/>
    <w:rsid w:val="56291938"/>
    <w:rsid w:val="56726418"/>
    <w:rsid w:val="56DD4ABD"/>
    <w:rsid w:val="5703231E"/>
    <w:rsid w:val="570C3B50"/>
    <w:rsid w:val="57116442"/>
    <w:rsid w:val="573D0CDB"/>
    <w:rsid w:val="578D3493"/>
    <w:rsid w:val="580C40E2"/>
    <w:rsid w:val="586A7A45"/>
    <w:rsid w:val="588F7387"/>
    <w:rsid w:val="58914C8B"/>
    <w:rsid w:val="58E3423E"/>
    <w:rsid w:val="58F23ED5"/>
    <w:rsid w:val="58FF3B6B"/>
    <w:rsid w:val="59284923"/>
    <w:rsid w:val="594902D2"/>
    <w:rsid w:val="5956205C"/>
    <w:rsid w:val="59774744"/>
    <w:rsid w:val="598729BA"/>
    <w:rsid w:val="599E6CB8"/>
    <w:rsid w:val="59E031E2"/>
    <w:rsid w:val="5AA974E8"/>
    <w:rsid w:val="5B01367D"/>
    <w:rsid w:val="5B451BDD"/>
    <w:rsid w:val="5B8340E7"/>
    <w:rsid w:val="5B884F51"/>
    <w:rsid w:val="5B8D0599"/>
    <w:rsid w:val="5B937814"/>
    <w:rsid w:val="5BA627EA"/>
    <w:rsid w:val="5BA747DB"/>
    <w:rsid w:val="5BAA125C"/>
    <w:rsid w:val="5C1D2452"/>
    <w:rsid w:val="5C6E79F1"/>
    <w:rsid w:val="5C8657B1"/>
    <w:rsid w:val="5C8C4CA1"/>
    <w:rsid w:val="5CA73484"/>
    <w:rsid w:val="5CC20A71"/>
    <w:rsid w:val="5CC4277D"/>
    <w:rsid w:val="5CE5499C"/>
    <w:rsid w:val="5CEC766A"/>
    <w:rsid w:val="5D635F29"/>
    <w:rsid w:val="5D77243C"/>
    <w:rsid w:val="5DBD16F0"/>
    <w:rsid w:val="5DF27165"/>
    <w:rsid w:val="5E2F13E4"/>
    <w:rsid w:val="5E553367"/>
    <w:rsid w:val="5EC546B7"/>
    <w:rsid w:val="5EC66420"/>
    <w:rsid w:val="5EE01513"/>
    <w:rsid w:val="5EFF388B"/>
    <w:rsid w:val="5F357743"/>
    <w:rsid w:val="5F702B80"/>
    <w:rsid w:val="5FA9036D"/>
    <w:rsid w:val="5FCA6045"/>
    <w:rsid w:val="5FE20A6A"/>
    <w:rsid w:val="5FE5609B"/>
    <w:rsid w:val="5FE80DF1"/>
    <w:rsid w:val="60256AAF"/>
    <w:rsid w:val="60394F33"/>
    <w:rsid w:val="607A028C"/>
    <w:rsid w:val="6148713D"/>
    <w:rsid w:val="616E4B25"/>
    <w:rsid w:val="61904268"/>
    <w:rsid w:val="61922827"/>
    <w:rsid w:val="61985AAE"/>
    <w:rsid w:val="619B21A0"/>
    <w:rsid w:val="61C95215"/>
    <w:rsid w:val="620863D2"/>
    <w:rsid w:val="626058BD"/>
    <w:rsid w:val="62807B67"/>
    <w:rsid w:val="6292504C"/>
    <w:rsid w:val="62D70238"/>
    <w:rsid w:val="634E5810"/>
    <w:rsid w:val="63862B63"/>
    <w:rsid w:val="63A81226"/>
    <w:rsid w:val="63A85CAB"/>
    <w:rsid w:val="63B15019"/>
    <w:rsid w:val="63E44C6E"/>
    <w:rsid w:val="64032214"/>
    <w:rsid w:val="646641E7"/>
    <w:rsid w:val="64CD7370"/>
    <w:rsid w:val="650A079C"/>
    <w:rsid w:val="65252425"/>
    <w:rsid w:val="65373D07"/>
    <w:rsid w:val="653C2C3E"/>
    <w:rsid w:val="65E5355A"/>
    <w:rsid w:val="65F22540"/>
    <w:rsid w:val="65FF158D"/>
    <w:rsid w:val="66547ED5"/>
    <w:rsid w:val="666418C5"/>
    <w:rsid w:val="674A3D4F"/>
    <w:rsid w:val="67746F85"/>
    <w:rsid w:val="679006E0"/>
    <w:rsid w:val="67AB6F5D"/>
    <w:rsid w:val="680B5FC0"/>
    <w:rsid w:val="681F17ED"/>
    <w:rsid w:val="682A1997"/>
    <w:rsid w:val="6864772D"/>
    <w:rsid w:val="687906A8"/>
    <w:rsid w:val="68983058"/>
    <w:rsid w:val="68BC6A3B"/>
    <w:rsid w:val="69555505"/>
    <w:rsid w:val="69732A7E"/>
    <w:rsid w:val="69A4700A"/>
    <w:rsid w:val="69AA001E"/>
    <w:rsid w:val="69BE7B00"/>
    <w:rsid w:val="69C24481"/>
    <w:rsid w:val="6A121AD7"/>
    <w:rsid w:val="6A3C248C"/>
    <w:rsid w:val="6A4635B4"/>
    <w:rsid w:val="6A793050"/>
    <w:rsid w:val="6A7B43F3"/>
    <w:rsid w:val="6A7B6A1C"/>
    <w:rsid w:val="6AD23B35"/>
    <w:rsid w:val="6B054AC4"/>
    <w:rsid w:val="6B385C9F"/>
    <w:rsid w:val="6B88444B"/>
    <w:rsid w:val="6BFFC1EB"/>
    <w:rsid w:val="6C212CD0"/>
    <w:rsid w:val="6C3226C6"/>
    <w:rsid w:val="6C545FF5"/>
    <w:rsid w:val="6C591BE2"/>
    <w:rsid w:val="6CC85393"/>
    <w:rsid w:val="6CDF8D85"/>
    <w:rsid w:val="6D0C6D61"/>
    <w:rsid w:val="6D1941CD"/>
    <w:rsid w:val="6D70219D"/>
    <w:rsid w:val="6DD43E53"/>
    <w:rsid w:val="6E0A4A26"/>
    <w:rsid w:val="6E144E55"/>
    <w:rsid w:val="6E5E1B6C"/>
    <w:rsid w:val="6EEF71D1"/>
    <w:rsid w:val="6F021A16"/>
    <w:rsid w:val="6F1D40CE"/>
    <w:rsid w:val="6FDE4964"/>
    <w:rsid w:val="6FF07487"/>
    <w:rsid w:val="7022582B"/>
    <w:rsid w:val="702C1AC0"/>
    <w:rsid w:val="7051517A"/>
    <w:rsid w:val="70D85BD1"/>
    <w:rsid w:val="71003FE0"/>
    <w:rsid w:val="71124305"/>
    <w:rsid w:val="71153587"/>
    <w:rsid w:val="715B338A"/>
    <w:rsid w:val="716A7ADC"/>
    <w:rsid w:val="71B47D1E"/>
    <w:rsid w:val="71DE2E53"/>
    <w:rsid w:val="72014278"/>
    <w:rsid w:val="721F39FF"/>
    <w:rsid w:val="72531D65"/>
    <w:rsid w:val="729E121E"/>
    <w:rsid w:val="72CD0809"/>
    <w:rsid w:val="72CE1EB1"/>
    <w:rsid w:val="72DC3F55"/>
    <w:rsid w:val="72E23A7A"/>
    <w:rsid w:val="72F6179B"/>
    <w:rsid w:val="7358488A"/>
    <w:rsid w:val="73610D05"/>
    <w:rsid w:val="737137FE"/>
    <w:rsid w:val="738003CA"/>
    <w:rsid w:val="73C56EED"/>
    <w:rsid w:val="73C711FA"/>
    <w:rsid w:val="73D32765"/>
    <w:rsid w:val="73EC4A22"/>
    <w:rsid w:val="73F2038F"/>
    <w:rsid w:val="74191065"/>
    <w:rsid w:val="75071477"/>
    <w:rsid w:val="75120509"/>
    <w:rsid w:val="75445943"/>
    <w:rsid w:val="758D4AB4"/>
    <w:rsid w:val="75A569F5"/>
    <w:rsid w:val="75B92CDE"/>
    <w:rsid w:val="75D12961"/>
    <w:rsid w:val="75EF15EF"/>
    <w:rsid w:val="76363985"/>
    <w:rsid w:val="763B5101"/>
    <w:rsid w:val="765941C5"/>
    <w:rsid w:val="76621BCB"/>
    <w:rsid w:val="766D1BD8"/>
    <w:rsid w:val="76CD13F8"/>
    <w:rsid w:val="76F4076B"/>
    <w:rsid w:val="773B6CD4"/>
    <w:rsid w:val="778754E4"/>
    <w:rsid w:val="77E30949"/>
    <w:rsid w:val="77E97E39"/>
    <w:rsid w:val="77EF8181"/>
    <w:rsid w:val="77F06BBC"/>
    <w:rsid w:val="77F16A53"/>
    <w:rsid w:val="783525A0"/>
    <w:rsid w:val="783C7F82"/>
    <w:rsid w:val="786F12BD"/>
    <w:rsid w:val="786F1AA9"/>
    <w:rsid w:val="7872551D"/>
    <w:rsid w:val="7920071D"/>
    <w:rsid w:val="79705FC5"/>
    <w:rsid w:val="79BE018B"/>
    <w:rsid w:val="79C52BC7"/>
    <w:rsid w:val="79C747F6"/>
    <w:rsid w:val="79F0522D"/>
    <w:rsid w:val="7A1662D5"/>
    <w:rsid w:val="7A36659D"/>
    <w:rsid w:val="7A6027C1"/>
    <w:rsid w:val="7A854A12"/>
    <w:rsid w:val="7AA03ED9"/>
    <w:rsid w:val="7AE64955"/>
    <w:rsid w:val="7B237820"/>
    <w:rsid w:val="7B77B649"/>
    <w:rsid w:val="7B8067BC"/>
    <w:rsid w:val="7B974622"/>
    <w:rsid w:val="7BDE67A2"/>
    <w:rsid w:val="7CA26617"/>
    <w:rsid w:val="7D4E72F0"/>
    <w:rsid w:val="7DBE3F66"/>
    <w:rsid w:val="7E3E23B3"/>
    <w:rsid w:val="7E494870"/>
    <w:rsid w:val="7E5A02D1"/>
    <w:rsid w:val="7E9219F9"/>
    <w:rsid w:val="7EB6527C"/>
    <w:rsid w:val="7EF87B3E"/>
    <w:rsid w:val="7EFF1A79"/>
    <w:rsid w:val="7F37208C"/>
    <w:rsid w:val="7F5B54EC"/>
    <w:rsid w:val="7F79668F"/>
    <w:rsid w:val="7F924DA0"/>
    <w:rsid w:val="7FB11BA0"/>
    <w:rsid w:val="7FE739F4"/>
    <w:rsid w:val="BFFF080D"/>
    <w:rsid w:val="DEBF193C"/>
    <w:rsid w:val="DF77E10B"/>
    <w:rsid w:val="EBFEC395"/>
    <w:rsid w:val="EEFEC5D4"/>
    <w:rsid w:val="EF73B078"/>
    <w:rsid w:val="EFE30709"/>
    <w:rsid w:val="F6F189D0"/>
    <w:rsid w:val="FBDFAD88"/>
    <w:rsid w:val="FCBF5DF1"/>
    <w:rsid w:val="FDD1AF34"/>
    <w:rsid w:val="FE2FF3C4"/>
    <w:rsid w:val="FF9EA514"/>
    <w:rsid w:val="FFA256D0"/>
    <w:rsid w:val="FFF77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8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116"/>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78"/>
    <w:autoRedefine/>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84"/>
    <w:autoRedefine/>
    <w:qFormat/>
    <w:uiPriority w:val="0"/>
    <w:pPr>
      <w:keepNext/>
      <w:keepLines/>
      <w:spacing w:before="280" w:after="290" w:line="372" w:lineRule="auto"/>
      <w:outlineLvl w:val="4"/>
    </w:pPr>
    <w:rPr>
      <w:b/>
      <w:sz w:val="28"/>
    </w:rPr>
  </w:style>
  <w:style w:type="paragraph" w:styleId="8">
    <w:name w:val="heading 6"/>
    <w:basedOn w:val="1"/>
    <w:next w:val="7"/>
    <w:link w:val="119"/>
    <w:autoRedefine/>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117"/>
    <w:autoRedefine/>
    <w:qFormat/>
    <w:uiPriority w:val="0"/>
    <w:pPr>
      <w:keepNext/>
      <w:keepLines/>
      <w:spacing w:before="240" w:after="64" w:line="317" w:lineRule="auto"/>
      <w:outlineLvl w:val="6"/>
    </w:pPr>
    <w:rPr>
      <w:b/>
      <w:sz w:val="24"/>
    </w:rPr>
  </w:style>
  <w:style w:type="paragraph" w:styleId="10">
    <w:name w:val="heading 8"/>
    <w:basedOn w:val="1"/>
    <w:next w:val="7"/>
    <w:link w:val="82"/>
    <w:autoRedefine/>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110"/>
    <w:autoRedefine/>
    <w:qFormat/>
    <w:uiPriority w:val="0"/>
    <w:pPr>
      <w:keepNext/>
      <w:keepLines/>
      <w:spacing w:before="240" w:after="64" w:line="317" w:lineRule="auto"/>
      <w:outlineLvl w:val="8"/>
    </w:pPr>
    <w:rPr>
      <w:rFonts w:ascii="Arial" w:hAnsi="Arial" w:eastAsia="黑体"/>
    </w:rPr>
  </w:style>
  <w:style w:type="character" w:default="1" w:styleId="54">
    <w:name w:val="Default Paragraph Font"/>
    <w:autoRedefine/>
    <w:qFormat/>
    <w:uiPriority w:val="0"/>
  </w:style>
  <w:style w:type="table" w:default="1" w:styleId="52">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autoRedefine/>
    <w:qFormat/>
    <w:uiPriority w:val="0"/>
    <w:pPr>
      <w:ind w:left="1400" w:leftChars="1400"/>
    </w:pPr>
    <w:rPr>
      <w:rFonts w:ascii="Times New Roman" w:hAnsi="Times New Roman" w:eastAsia="宋体" w:cs="Times New Roman"/>
    </w:rPr>
  </w:style>
  <w:style w:type="paragraph" w:styleId="15">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autoRedefine/>
    <w:qFormat/>
    <w:uiPriority w:val="0"/>
    <w:pPr>
      <w:spacing w:before="152" w:beforeLines="0" w:after="160" w:afterLines="0"/>
    </w:pPr>
    <w:rPr>
      <w:rFonts w:ascii="Arial" w:hAnsi="Arial" w:eastAsia="黑体" w:cs="Arial"/>
      <w:sz w:val="20"/>
      <w:szCs w:val="20"/>
    </w:rPr>
  </w:style>
  <w:style w:type="paragraph" w:styleId="17">
    <w:name w:val="Document Map"/>
    <w:basedOn w:val="1"/>
    <w:link w:val="104"/>
    <w:autoRedefine/>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125"/>
    <w:autoRedefine/>
    <w:qFormat/>
    <w:uiPriority w:val="0"/>
    <w:pPr>
      <w:jc w:val="left"/>
    </w:pPr>
  </w:style>
  <w:style w:type="paragraph" w:styleId="19">
    <w:name w:val="Body Text 3"/>
    <w:basedOn w:val="1"/>
    <w:link w:val="98"/>
    <w:autoRedefine/>
    <w:qFormat/>
    <w:uiPriority w:val="0"/>
    <w:pPr>
      <w:spacing w:line="500" w:lineRule="exact"/>
    </w:pPr>
    <w:rPr>
      <w:b/>
      <w:bCs/>
      <w:sz w:val="24"/>
    </w:rPr>
  </w:style>
  <w:style w:type="paragraph" w:styleId="20">
    <w:name w:val="Body Text"/>
    <w:basedOn w:val="1"/>
    <w:next w:val="1"/>
    <w:link w:val="106"/>
    <w:autoRedefine/>
    <w:qFormat/>
    <w:uiPriority w:val="99"/>
    <w:pPr>
      <w:spacing w:line="380" w:lineRule="exact"/>
    </w:pPr>
    <w:rPr>
      <w:sz w:val="24"/>
    </w:rPr>
  </w:style>
  <w:style w:type="paragraph" w:styleId="21">
    <w:name w:val="Body Text Indent"/>
    <w:basedOn w:val="1"/>
    <w:link w:val="96"/>
    <w:autoRedefine/>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autoRedefine/>
    <w:qFormat/>
    <w:uiPriority w:val="0"/>
    <w:pPr>
      <w:adjustRightInd w:val="0"/>
      <w:ind w:left="420" w:right="33"/>
      <w:jc w:val="left"/>
      <w:textAlignment w:val="baseline"/>
    </w:pPr>
    <w:rPr>
      <w:kern w:val="0"/>
      <w:sz w:val="24"/>
      <w:szCs w:val="20"/>
    </w:rPr>
  </w:style>
  <w:style w:type="paragraph" w:styleId="25">
    <w:name w:val="toc 5"/>
    <w:basedOn w:val="1"/>
    <w:next w:val="1"/>
    <w:autoRedefine/>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autoRedefine/>
    <w:qFormat/>
    <w:uiPriority w:val="39"/>
    <w:pPr>
      <w:ind w:left="840" w:leftChars="400"/>
    </w:pPr>
  </w:style>
  <w:style w:type="paragraph" w:styleId="27">
    <w:name w:val="Plain Text"/>
    <w:basedOn w:val="1"/>
    <w:next w:val="14"/>
    <w:link w:val="118"/>
    <w:autoRedefine/>
    <w:qFormat/>
    <w:uiPriority w:val="0"/>
    <w:rPr>
      <w:rFonts w:ascii="宋体" w:hAnsi="Courier New" w:cs="Courier New"/>
      <w:szCs w:val="21"/>
    </w:rPr>
  </w:style>
  <w:style w:type="paragraph" w:styleId="28">
    <w:name w:val="toc 8"/>
    <w:basedOn w:val="1"/>
    <w:next w:val="1"/>
    <w:autoRedefine/>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108"/>
    <w:autoRedefine/>
    <w:qFormat/>
    <w:uiPriority w:val="0"/>
    <w:pPr>
      <w:ind w:left="100" w:leftChars="2500"/>
    </w:pPr>
    <w:rPr>
      <w:rFonts w:ascii="宋体" w:hAnsi="Courier New"/>
      <w:szCs w:val="21"/>
    </w:rPr>
  </w:style>
  <w:style w:type="paragraph" w:styleId="30">
    <w:name w:val="Body Text Indent 2"/>
    <w:basedOn w:val="1"/>
    <w:link w:val="83"/>
    <w:autoRedefine/>
    <w:qFormat/>
    <w:uiPriority w:val="0"/>
    <w:pPr>
      <w:ind w:firstLine="630"/>
    </w:pPr>
    <w:rPr>
      <w:sz w:val="32"/>
      <w:szCs w:val="20"/>
    </w:rPr>
  </w:style>
  <w:style w:type="paragraph" w:styleId="31">
    <w:name w:val="Balloon Text"/>
    <w:basedOn w:val="1"/>
    <w:link w:val="76"/>
    <w:autoRedefine/>
    <w:qFormat/>
    <w:uiPriority w:val="0"/>
    <w:rPr>
      <w:sz w:val="18"/>
      <w:szCs w:val="18"/>
    </w:rPr>
  </w:style>
  <w:style w:type="paragraph" w:styleId="32">
    <w:name w:val="footer"/>
    <w:basedOn w:val="1"/>
    <w:link w:val="122"/>
    <w:qFormat/>
    <w:uiPriority w:val="0"/>
    <w:pPr>
      <w:tabs>
        <w:tab w:val="center" w:pos="4153"/>
        <w:tab w:val="right" w:pos="8306"/>
      </w:tabs>
      <w:snapToGrid w:val="0"/>
      <w:jc w:val="left"/>
    </w:pPr>
    <w:rPr>
      <w:sz w:val="18"/>
      <w:szCs w:val="18"/>
    </w:rPr>
  </w:style>
  <w:style w:type="paragraph" w:styleId="33">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autoRedefine/>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autoRedefine/>
    <w:qFormat/>
    <w:uiPriority w:val="0"/>
    <w:pPr>
      <w:ind w:left="200" w:hanging="200" w:hangingChars="200"/>
    </w:pPr>
    <w:rPr>
      <w:sz w:val="28"/>
    </w:rPr>
  </w:style>
  <w:style w:type="paragraph" w:styleId="37">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autoRedefine/>
    <w:qFormat/>
    <w:uiPriority w:val="0"/>
    <w:pPr>
      <w:ind w:left="2100" w:hanging="420"/>
    </w:pPr>
    <w:rPr>
      <w:szCs w:val="20"/>
    </w:rPr>
  </w:style>
  <w:style w:type="paragraph" w:styleId="39">
    <w:name w:val="Body Text Indent 3"/>
    <w:basedOn w:val="1"/>
    <w:link w:val="86"/>
    <w:autoRedefine/>
    <w:qFormat/>
    <w:uiPriority w:val="0"/>
    <w:pPr>
      <w:spacing w:after="120" w:afterLines="0"/>
      <w:ind w:left="420" w:leftChars="200"/>
    </w:pPr>
    <w:rPr>
      <w:sz w:val="16"/>
      <w:szCs w:val="16"/>
    </w:rPr>
  </w:style>
  <w:style w:type="paragraph" w:styleId="40">
    <w:name w:val="toc 2"/>
    <w:basedOn w:val="1"/>
    <w:next w:val="1"/>
    <w:autoRedefine/>
    <w:qFormat/>
    <w:uiPriority w:val="39"/>
    <w:pPr>
      <w:ind w:left="420" w:leftChars="200"/>
    </w:pPr>
  </w:style>
  <w:style w:type="paragraph" w:styleId="41">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74"/>
    <w:autoRedefine/>
    <w:qFormat/>
    <w:uiPriority w:val="0"/>
    <w:pPr>
      <w:spacing w:after="120" w:afterLines="0" w:line="480" w:lineRule="auto"/>
    </w:pPr>
  </w:style>
  <w:style w:type="paragraph" w:styleId="43">
    <w:name w:val="List 4"/>
    <w:basedOn w:val="1"/>
    <w:autoRedefine/>
    <w:qFormat/>
    <w:uiPriority w:val="0"/>
    <w:pPr>
      <w:ind w:left="100" w:leftChars="600" w:hanging="200" w:hangingChars="200"/>
    </w:pPr>
  </w:style>
  <w:style w:type="paragraph" w:styleId="44">
    <w:name w:val="List Continue 2"/>
    <w:basedOn w:val="1"/>
    <w:autoRedefine/>
    <w:qFormat/>
    <w:uiPriority w:val="0"/>
    <w:pPr>
      <w:spacing w:after="120" w:afterLines="0"/>
      <w:ind w:left="840" w:leftChars="400"/>
    </w:pPr>
  </w:style>
  <w:style w:type="paragraph" w:styleId="45">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autoRedefine/>
    <w:qFormat/>
    <w:uiPriority w:val="0"/>
    <w:pPr>
      <w:spacing w:line="400" w:lineRule="exact"/>
      <w:ind w:firstLine="420" w:firstLineChars="200"/>
    </w:pPr>
    <w:rPr>
      <w:rFonts w:ascii="宋体" w:hAnsi="Courier New"/>
      <w:b/>
      <w:szCs w:val="20"/>
    </w:rPr>
  </w:style>
  <w:style w:type="paragraph" w:styleId="48">
    <w:name w:val="Title"/>
    <w:basedOn w:val="1"/>
    <w:link w:val="115"/>
    <w:autoRedefine/>
    <w:qFormat/>
    <w:uiPriority w:val="0"/>
    <w:pPr>
      <w:jc w:val="center"/>
    </w:pPr>
    <w:rPr>
      <w:sz w:val="30"/>
    </w:rPr>
  </w:style>
  <w:style w:type="paragraph" w:styleId="49">
    <w:name w:val="annotation subject"/>
    <w:basedOn w:val="18"/>
    <w:next w:val="18"/>
    <w:link w:val="103"/>
    <w:autoRedefine/>
    <w:qFormat/>
    <w:uiPriority w:val="0"/>
    <w:rPr>
      <w:b/>
      <w:bCs/>
    </w:rPr>
  </w:style>
  <w:style w:type="paragraph" w:styleId="50">
    <w:name w:val="Body Text First Indent"/>
    <w:basedOn w:val="20"/>
    <w:link w:val="109"/>
    <w:autoRedefine/>
    <w:qFormat/>
    <w:uiPriority w:val="0"/>
    <w:pPr>
      <w:spacing w:after="120" w:afterLines="0" w:line="240" w:lineRule="auto"/>
      <w:ind w:firstLine="420" w:firstLineChars="100"/>
    </w:pPr>
    <w:rPr>
      <w:sz w:val="21"/>
    </w:rPr>
  </w:style>
  <w:style w:type="paragraph" w:styleId="51">
    <w:name w:val="Body Text First Indent 2"/>
    <w:basedOn w:val="1"/>
    <w:link w:val="101"/>
    <w:autoRedefine/>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22"/>
    <w:rPr>
      <w:b/>
      <w:bCs/>
    </w:rPr>
  </w:style>
  <w:style w:type="character" w:styleId="56">
    <w:name w:val="page number"/>
    <w:autoRedefine/>
    <w:qFormat/>
    <w:uiPriority w:val="0"/>
  </w:style>
  <w:style w:type="character" w:styleId="57">
    <w:name w:val="FollowedHyperlink"/>
    <w:autoRedefine/>
    <w:qFormat/>
    <w:uiPriority w:val="99"/>
    <w:rPr>
      <w:color w:val="800080"/>
      <w:u w:val="single"/>
    </w:rPr>
  </w:style>
  <w:style w:type="character" w:styleId="58">
    <w:name w:val="Emphasis"/>
    <w:basedOn w:val="54"/>
    <w:autoRedefine/>
    <w:qFormat/>
    <w:uiPriority w:val="0"/>
    <w:rPr>
      <w:i/>
    </w:rPr>
  </w:style>
  <w:style w:type="character" w:styleId="59">
    <w:name w:val="Hyperlink"/>
    <w:autoRedefine/>
    <w:qFormat/>
    <w:uiPriority w:val="99"/>
    <w:rPr>
      <w:color w:val="0000FF"/>
      <w:u w:val="single"/>
    </w:rPr>
  </w:style>
  <w:style w:type="character" w:styleId="60">
    <w:name w:val="annotation reference"/>
    <w:autoRedefine/>
    <w:qFormat/>
    <w:uiPriority w:val="0"/>
    <w:rPr>
      <w:sz w:val="21"/>
      <w:szCs w:val="21"/>
    </w:rPr>
  </w:style>
  <w:style w:type="character" w:customStyle="1" w:styleId="61">
    <w:name w:val="页眉 字符"/>
    <w:link w:val="33"/>
    <w:autoRedefine/>
    <w:qFormat/>
    <w:uiPriority w:val="99"/>
    <w:rPr>
      <w:kern w:val="2"/>
      <w:sz w:val="18"/>
      <w:szCs w:val="18"/>
    </w:rPr>
  </w:style>
  <w:style w:type="character" w:customStyle="1" w:styleId="62">
    <w:name w:val="gray12"/>
    <w:autoRedefine/>
    <w:qFormat/>
    <w:uiPriority w:val="0"/>
  </w:style>
  <w:style w:type="character" w:customStyle="1" w:styleId="63">
    <w:name w:val="z-窗体顶端 字符"/>
    <w:link w:val="64"/>
    <w:autoRedefine/>
    <w:qFormat/>
    <w:uiPriority w:val="0"/>
    <w:rPr>
      <w:rFonts w:ascii="Arial"/>
      <w:vanish/>
      <w:kern w:val="2"/>
      <w:sz w:val="16"/>
      <w:szCs w:val="24"/>
    </w:rPr>
  </w:style>
  <w:style w:type="paragraph" w:customStyle="1" w:styleId="64">
    <w:name w:val="_Style 62"/>
    <w:basedOn w:val="1"/>
    <w:next w:val="1"/>
    <w:link w:val="63"/>
    <w:autoRedefine/>
    <w:qFormat/>
    <w:uiPriority w:val="0"/>
    <w:pPr>
      <w:pBdr>
        <w:bottom w:val="single" w:color="auto" w:sz="6" w:space="1"/>
      </w:pBdr>
      <w:jc w:val="center"/>
    </w:pPr>
    <w:rPr>
      <w:rFonts w:ascii="Arial"/>
      <w:vanish/>
      <w:sz w:val="16"/>
    </w:rPr>
  </w:style>
  <w:style w:type="character" w:customStyle="1" w:styleId="65">
    <w:name w:val="1051"/>
    <w:autoRedefine/>
    <w:qFormat/>
    <w:uiPriority w:val="0"/>
    <w:rPr>
      <w:sz w:val="21"/>
      <w:szCs w:val="21"/>
    </w:rPr>
  </w:style>
  <w:style w:type="character" w:customStyle="1" w:styleId="66">
    <w:name w:val="纯文本 Char1"/>
    <w:autoRedefine/>
    <w:qFormat/>
    <w:uiPriority w:val="0"/>
    <w:rPr>
      <w:rFonts w:ascii="宋体" w:hAnsi="Courier New" w:eastAsia="宋体" w:cs="Courier New"/>
      <w:kern w:val="2"/>
      <w:sz w:val="21"/>
      <w:szCs w:val="21"/>
      <w:lang w:val="en-US" w:eastAsia="zh-CN" w:bidi="ar-SA"/>
    </w:rPr>
  </w:style>
  <w:style w:type="character" w:customStyle="1" w:styleId="67">
    <w:name w:val="content2"/>
    <w:autoRedefine/>
    <w:qFormat/>
    <w:uiPriority w:val="0"/>
  </w:style>
  <w:style w:type="character" w:customStyle="1" w:styleId="68">
    <w:name w:val="font01"/>
    <w:autoRedefine/>
    <w:qFormat/>
    <w:uiPriority w:val="0"/>
    <w:rPr>
      <w:rFonts w:hint="eastAsia" w:ascii="宋体" w:hAnsi="宋体" w:eastAsia="宋体"/>
      <w:color w:val="000000"/>
      <w:sz w:val="22"/>
      <w:szCs w:val="22"/>
      <w:u w:val="none"/>
    </w:rPr>
  </w:style>
  <w:style w:type="character" w:customStyle="1" w:styleId="69">
    <w:name w:val="graytext1"/>
    <w:autoRedefine/>
    <w:qFormat/>
    <w:uiPriority w:val="0"/>
    <w:rPr>
      <w:color w:val="666666"/>
    </w:rPr>
  </w:style>
  <w:style w:type="character" w:customStyle="1" w:styleId="70">
    <w:name w:val="style11"/>
    <w:autoRedefine/>
    <w:qFormat/>
    <w:uiPriority w:val="0"/>
    <w:rPr>
      <w:rFonts w:hint="default" w:ascii="Arial" w:hAnsi="Arial" w:cs="Arial"/>
    </w:rPr>
  </w:style>
  <w:style w:type="character" w:customStyle="1" w:styleId="71">
    <w:name w:val="style21"/>
    <w:autoRedefine/>
    <w:qFormat/>
    <w:uiPriority w:val="0"/>
    <w:rPr>
      <w:sz w:val="17"/>
      <w:szCs w:val="17"/>
    </w:rPr>
  </w:style>
  <w:style w:type="character" w:customStyle="1" w:styleId="72">
    <w:name w:val="批注文字 字符1"/>
    <w:autoRedefine/>
    <w:qFormat/>
    <w:uiPriority w:val="0"/>
    <w:rPr>
      <w:kern w:val="2"/>
      <w:sz w:val="21"/>
      <w:szCs w:val="24"/>
    </w:rPr>
  </w:style>
  <w:style w:type="character" w:customStyle="1" w:styleId="73">
    <w:name w:val="font61"/>
    <w:autoRedefine/>
    <w:qFormat/>
    <w:uiPriority w:val="0"/>
    <w:rPr>
      <w:rFonts w:hint="eastAsia" w:ascii="宋体" w:hAnsi="宋体" w:eastAsia="宋体" w:cs="宋体"/>
      <w:color w:val="000000"/>
      <w:sz w:val="20"/>
      <w:szCs w:val="20"/>
      <w:u w:val="none"/>
    </w:rPr>
  </w:style>
  <w:style w:type="character" w:customStyle="1" w:styleId="74">
    <w:name w:val="正文文本 2 字符"/>
    <w:link w:val="42"/>
    <w:autoRedefine/>
    <w:qFormat/>
    <w:uiPriority w:val="0"/>
    <w:rPr>
      <w:kern w:val="2"/>
      <w:sz w:val="21"/>
      <w:szCs w:val="24"/>
    </w:rPr>
  </w:style>
  <w:style w:type="character" w:customStyle="1" w:styleId="75">
    <w:name w:val="font51"/>
    <w:autoRedefine/>
    <w:qFormat/>
    <w:uiPriority w:val="0"/>
    <w:rPr>
      <w:rFonts w:hint="eastAsia" w:ascii="宋体" w:hAnsi="宋体" w:eastAsia="宋体" w:cs="宋体"/>
      <w:color w:val="000000"/>
      <w:sz w:val="20"/>
      <w:szCs w:val="20"/>
      <w:u w:val="none"/>
    </w:rPr>
  </w:style>
  <w:style w:type="character" w:customStyle="1" w:styleId="76">
    <w:name w:val="批注框文本 字符"/>
    <w:link w:val="31"/>
    <w:autoRedefine/>
    <w:qFormat/>
    <w:uiPriority w:val="0"/>
    <w:rPr>
      <w:kern w:val="2"/>
      <w:sz w:val="18"/>
      <w:szCs w:val="18"/>
    </w:rPr>
  </w:style>
  <w:style w:type="character" w:customStyle="1" w:styleId="77">
    <w:name w:val="font21"/>
    <w:autoRedefine/>
    <w:qFormat/>
    <w:uiPriority w:val="0"/>
    <w:rPr>
      <w:rFonts w:ascii="微软雅黑" w:hAnsi="微软雅黑" w:eastAsia="微软雅黑" w:cs="微软雅黑"/>
      <w:color w:val="000000"/>
      <w:sz w:val="20"/>
      <w:szCs w:val="20"/>
      <w:u w:val="none"/>
    </w:rPr>
  </w:style>
  <w:style w:type="character" w:customStyle="1" w:styleId="78">
    <w:name w:val="标题 4 字符"/>
    <w:link w:val="5"/>
    <w:autoRedefine/>
    <w:qFormat/>
    <w:uiPriority w:val="0"/>
    <w:rPr>
      <w:rFonts w:ascii="Arial" w:hAnsi="Arial" w:eastAsia="黑体"/>
      <w:sz w:val="28"/>
    </w:rPr>
  </w:style>
  <w:style w:type="character" w:customStyle="1" w:styleId="79">
    <w:name w:val="1ji Char"/>
    <w:link w:val="80"/>
    <w:autoRedefine/>
    <w:qFormat/>
    <w:uiPriority w:val="0"/>
    <w:rPr>
      <w:rFonts w:ascii="宋体" w:hAnsi="宋体" w:eastAsia="宋体"/>
      <w:b/>
      <w:bCs/>
      <w:kern w:val="44"/>
      <w:sz w:val="36"/>
      <w:szCs w:val="44"/>
      <w:lang w:val="en-US" w:eastAsia="zh-CN" w:bidi="ar-SA"/>
    </w:rPr>
  </w:style>
  <w:style w:type="paragraph" w:customStyle="1" w:styleId="80">
    <w:name w:val="1ji"/>
    <w:basedOn w:val="2"/>
    <w:link w:val="79"/>
    <w:autoRedefine/>
    <w:qFormat/>
    <w:uiPriority w:val="0"/>
    <w:pPr>
      <w:keepLines w:val="0"/>
      <w:widowControl/>
      <w:spacing w:before="0" w:beforeLines="0" w:after="0" w:afterLines="0" w:line="240" w:lineRule="auto"/>
      <w:jc w:val="center"/>
    </w:pPr>
    <w:rPr>
      <w:rFonts w:ascii="宋体" w:hAnsi="宋体"/>
      <w:sz w:val="36"/>
    </w:rPr>
  </w:style>
  <w:style w:type="character" w:customStyle="1" w:styleId="81">
    <w:name w:val="标题 2 字符"/>
    <w:link w:val="3"/>
    <w:autoRedefine/>
    <w:qFormat/>
    <w:uiPriority w:val="0"/>
    <w:rPr>
      <w:rFonts w:ascii="Arial" w:hAnsi="Arial" w:eastAsia="黑体"/>
      <w:b/>
      <w:bCs/>
      <w:kern w:val="2"/>
      <w:sz w:val="32"/>
      <w:szCs w:val="32"/>
    </w:rPr>
  </w:style>
  <w:style w:type="character" w:customStyle="1" w:styleId="82">
    <w:name w:val="标题 8 字符"/>
    <w:link w:val="10"/>
    <w:autoRedefine/>
    <w:qFormat/>
    <w:uiPriority w:val="0"/>
    <w:rPr>
      <w:rFonts w:ascii="Arial" w:hAnsi="Arial" w:eastAsia="黑体"/>
      <w:kern w:val="2"/>
      <w:sz w:val="24"/>
      <w:szCs w:val="24"/>
    </w:rPr>
  </w:style>
  <w:style w:type="character" w:customStyle="1" w:styleId="83">
    <w:name w:val="正文文本缩进 2 字符"/>
    <w:link w:val="30"/>
    <w:autoRedefine/>
    <w:qFormat/>
    <w:uiPriority w:val="0"/>
    <w:rPr>
      <w:kern w:val="2"/>
      <w:sz w:val="32"/>
    </w:rPr>
  </w:style>
  <w:style w:type="character" w:customStyle="1" w:styleId="84">
    <w:name w:val="标题 5 字符"/>
    <w:link w:val="6"/>
    <w:autoRedefine/>
    <w:qFormat/>
    <w:uiPriority w:val="0"/>
    <w:rPr>
      <w:b/>
      <w:kern w:val="2"/>
      <w:sz w:val="28"/>
      <w:szCs w:val="24"/>
    </w:rPr>
  </w:style>
  <w:style w:type="character" w:customStyle="1" w:styleId="85">
    <w:name w:val="HTML 预设格式 字符"/>
    <w:link w:val="45"/>
    <w:autoRedefine/>
    <w:qFormat/>
    <w:uiPriority w:val="0"/>
    <w:rPr>
      <w:rFonts w:ascii="黑体" w:hAnsi="Courier New" w:eastAsia="黑体" w:cs="Courier New"/>
    </w:rPr>
  </w:style>
  <w:style w:type="character" w:customStyle="1" w:styleId="86">
    <w:name w:val="正文文本缩进 3 字符"/>
    <w:link w:val="39"/>
    <w:autoRedefine/>
    <w:qFormat/>
    <w:uiPriority w:val="0"/>
    <w:rPr>
      <w:kern w:val="2"/>
      <w:sz w:val="16"/>
      <w:szCs w:val="16"/>
    </w:rPr>
  </w:style>
  <w:style w:type="character" w:customStyle="1" w:styleId="87">
    <w:name w:val="062"/>
    <w:autoRedefine/>
    <w:qFormat/>
    <w:uiPriority w:val="0"/>
    <w:rPr>
      <w:rFonts w:ascii="宋体" w:hAnsi="宋体"/>
      <w:b/>
      <w:bCs/>
      <w:sz w:val="32"/>
    </w:rPr>
  </w:style>
  <w:style w:type="character" w:customStyle="1" w:styleId="88">
    <w:name w:val="标题3 Char"/>
    <w:link w:val="89"/>
    <w:autoRedefine/>
    <w:qFormat/>
    <w:uiPriority w:val="0"/>
    <w:rPr>
      <w:rFonts w:ascii="宋体" w:hAnsi="宋体"/>
      <w:b/>
      <w:bCs/>
      <w:kern w:val="44"/>
      <w:sz w:val="24"/>
      <w:szCs w:val="24"/>
    </w:rPr>
  </w:style>
  <w:style w:type="paragraph" w:customStyle="1" w:styleId="89">
    <w:name w:val="标题3"/>
    <w:basedOn w:val="2"/>
    <w:link w:val="88"/>
    <w:autoRedefine/>
    <w:qFormat/>
    <w:uiPriority w:val="0"/>
    <w:pPr>
      <w:spacing w:before="0" w:beforeLines="50" w:after="0" w:afterLines="50" w:line="400" w:lineRule="exact"/>
    </w:pPr>
    <w:rPr>
      <w:rFonts w:ascii="宋体" w:hAnsi="宋体"/>
      <w:sz w:val="24"/>
      <w:szCs w:val="24"/>
    </w:rPr>
  </w:style>
  <w:style w:type="character" w:customStyle="1" w:styleId="90">
    <w:name w:val="font11"/>
    <w:autoRedefine/>
    <w:qFormat/>
    <w:uiPriority w:val="0"/>
    <w:rPr>
      <w:rFonts w:hint="eastAsia" w:ascii="宋体" w:hAnsi="宋体" w:eastAsia="宋体" w:cs="宋体"/>
      <w:color w:val="000000"/>
      <w:sz w:val="20"/>
      <w:szCs w:val="20"/>
      <w:u w:val="none"/>
    </w:rPr>
  </w:style>
  <w:style w:type="character" w:customStyle="1" w:styleId="91">
    <w:name w:val="apple-converted-space"/>
    <w:autoRedefine/>
    <w:qFormat/>
    <w:uiPriority w:val="0"/>
  </w:style>
  <w:style w:type="character" w:customStyle="1" w:styleId="92">
    <w:name w:val="short_text1"/>
    <w:autoRedefine/>
    <w:qFormat/>
    <w:uiPriority w:val="0"/>
    <w:rPr>
      <w:sz w:val="26"/>
    </w:rPr>
  </w:style>
  <w:style w:type="character" w:customStyle="1" w:styleId="93">
    <w:name w:val="font91"/>
    <w:autoRedefine/>
    <w:qFormat/>
    <w:uiPriority w:val="0"/>
    <w:rPr>
      <w:rFonts w:hint="eastAsia" w:ascii="宋体" w:hAnsi="宋体" w:eastAsia="宋体" w:cs="宋体"/>
      <w:color w:val="000000"/>
      <w:sz w:val="20"/>
      <w:szCs w:val="20"/>
      <w:u w:val="none"/>
      <w:vertAlign w:val="superscript"/>
    </w:rPr>
  </w:style>
  <w:style w:type="character" w:customStyle="1" w:styleId="94">
    <w:name w:val="mark8"/>
    <w:autoRedefine/>
    <w:qFormat/>
    <w:uiPriority w:val="0"/>
    <w:rPr>
      <w:b/>
      <w:bCs/>
      <w:sz w:val="21"/>
      <w:szCs w:val="21"/>
    </w:rPr>
  </w:style>
  <w:style w:type="character" w:customStyle="1" w:styleId="95">
    <w:name w:val="small"/>
    <w:autoRedefine/>
    <w:qFormat/>
    <w:uiPriority w:val="0"/>
  </w:style>
  <w:style w:type="character" w:customStyle="1" w:styleId="96">
    <w:name w:val="正文文本缩进 字符"/>
    <w:link w:val="21"/>
    <w:autoRedefine/>
    <w:qFormat/>
    <w:uiPriority w:val="99"/>
    <w:rPr>
      <w:rFonts w:ascii="仿宋_GB2312" w:eastAsia="仿宋_GB2312"/>
      <w:kern w:val="2"/>
      <w:sz w:val="32"/>
    </w:rPr>
  </w:style>
  <w:style w:type="character" w:customStyle="1" w:styleId="97">
    <w:name w:val="_Style 95"/>
    <w:autoRedefine/>
    <w:unhideWhenUsed/>
    <w:qFormat/>
    <w:uiPriority w:val="99"/>
    <w:rPr>
      <w:color w:val="605E5C"/>
      <w:shd w:val="clear" w:color="auto" w:fill="E1DFDD"/>
    </w:rPr>
  </w:style>
  <w:style w:type="character" w:customStyle="1" w:styleId="98">
    <w:name w:val="正文文本 3 字符"/>
    <w:link w:val="19"/>
    <w:autoRedefine/>
    <w:qFormat/>
    <w:uiPriority w:val="0"/>
    <w:rPr>
      <w:b/>
      <w:bCs/>
      <w:kern w:val="2"/>
      <w:sz w:val="24"/>
      <w:szCs w:val="24"/>
    </w:rPr>
  </w:style>
  <w:style w:type="character" w:customStyle="1" w:styleId="99">
    <w:name w:val="text11"/>
    <w:autoRedefine/>
    <w:qFormat/>
    <w:uiPriority w:val="0"/>
    <w:rPr>
      <w:rFonts w:hint="default" w:ascii="Verdana" w:hAnsi="Verdana"/>
      <w:color w:val="4E4E4E"/>
      <w:sz w:val="18"/>
      <w:szCs w:val="18"/>
    </w:rPr>
  </w:style>
  <w:style w:type="character" w:customStyle="1" w:styleId="100">
    <w:name w:val="unnamed3"/>
    <w:autoRedefine/>
    <w:qFormat/>
    <w:uiPriority w:val="0"/>
  </w:style>
  <w:style w:type="character" w:customStyle="1" w:styleId="101">
    <w:name w:val="正文文本首行缩进 2 字符"/>
    <w:link w:val="51"/>
    <w:autoRedefine/>
    <w:qFormat/>
    <w:uiPriority w:val="0"/>
    <w:rPr>
      <w:kern w:val="2"/>
      <w:sz w:val="21"/>
      <w:szCs w:val="24"/>
    </w:rPr>
  </w:style>
  <w:style w:type="character" w:customStyle="1" w:styleId="102">
    <w:name w:val="font41"/>
    <w:autoRedefine/>
    <w:qFormat/>
    <w:uiPriority w:val="0"/>
    <w:rPr>
      <w:rFonts w:hint="default" w:ascii="Times New Roman" w:hAnsi="Times New Roman" w:cs="Times New Roman"/>
      <w:color w:val="000000"/>
      <w:sz w:val="20"/>
      <w:szCs w:val="20"/>
      <w:u w:val="none"/>
    </w:rPr>
  </w:style>
  <w:style w:type="character" w:customStyle="1" w:styleId="103">
    <w:name w:val="批注主题 字符"/>
    <w:link w:val="49"/>
    <w:autoRedefine/>
    <w:qFormat/>
    <w:uiPriority w:val="0"/>
    <w:rPr>
      <w:b/>
      <w:bCs/>
      <w:kern w:val="2"/>
      <w:sz w:val="21"/>
      <w:szCs w:val="24"/>
    </w:rPr>
  </w:style>
  <w:style w:type="character" w:customStyle="1" w:styleId="104">
    <w:name w:val="文档结构图 字符"/>
    <w:link w:val="17"/>
    <w:autoRedefine/>
    <w:qFormat/>
    <w:uiPriority w:val="0"/>
    <w:rPr>
      <w:sz w:val="21"/>
      <w:shd w:val="clear" w:color="auto" w:fill="000080"/>
    </w:rPr>
  </w:style>
  <w:style w:type="character" w:customStyle="1" w:styleId="105">
    <w:name w:val="纯文本 字符1"/>
    <w:autoRedefine/>
    <w:qFormat/>
    <w:uiPriority w:val="99"/>
    <w:rPr>
      <w:rFonts w:ascii="宋体" w:hAnsi="Courier New" w:eastAsia="宋体" w:cs="Courier New"/>
      <w:kern w:val="2"/>
      <w:sz w:val="21"/>
      <w:szCs w:val="21"/>
      <w:lang w:val="en-US" w:eastAsia="zh-CN" w:bidi="ar-SA"/>
    </w:rPr>
  </w:style>
  <w:style w:type="character" w:customStyle="1" w:styleId="106">
    <w:name w:val="正文文本 字符"/>
    <w:link w:val="20"/>
    <w:autoRedefine/>
    <w:qFormat/>
    <w:uiPriority w:val="99"/>
    <w:rPr>
      <w:kern w:val="2"/>
      <w:sz w:val="24"/>
      <w:szCs w:val="24"/>
    </w:rPr>
  </w:style>
  <w:style w:type="character" w:customStyle="1" w:styleId="107">
    <w:name w:val="font121"/>
    <w:autoRedefine/>
    <w:qFormat/>
    <w:uiPriority w:val="0"/>
    <w:rPr>
      <w:rFonts w:ascii="Calibri" w:hAnsi="Calibri" w:cs="Calibri"/>
      <w:color w:val="000000"/>
      <w:sz w:val="20"/>
      <w:szCs w:val="20"/>
      <w:u w:val="none"/>
    </w:rPr>
  </w:style>
  <w:style w:type="character" w:customStyle="1" w:styleId="108">
    <w:name w:val="日期 字符"/>
    <w:link w:val="29"/>
    <w:autoRedefine/>
    <w:qFormat/>
    <w:uiPriority w:val="0"/>
    <w:rPr>
      <w:rFonts w:ascii="宋体" w:hAnsi="Courier New" w:cs="Courier New"/>
      <w:kern w:val="2"/>
      <w:sz w:val="21"/>
      <w:szCs w:val="21"/>
    </w:rPr>
  </w:style>
  <w:style w:type="character" w:customStyle="1" w:styleId="109">
    <w:name w:val="正文文本首行缩进 字符"/>
    <w:link w:val="50"/>
    <w:autoRedefine/>
    <w:qFormat/>
    <w:uiPriority w:val="0"/>
    <w:rPr>
      <w:kern w:val="2"/>
      <w:sz w:val="21"/>
      <w:szCs w:val="24"/>
    </w:rPr>
  </w:style>
  <w:style w:type="character" w:customStyle="1" w:styleId="110">
    <w:name w:val="标题 9 字符"/>
    <w:link w:val="11"/>
    <w:autoRedefine/>
    <w:qFormat/>
    <w:uiPriority w:val="0"/>
    <w:rPr>
      <w:rFonts w:ascii="Arial" w:hAnsi="Arial" w:eastAsia="黑体"/>
      <w:kern w:val="2"/>
      <w:sz w:val="21"/>
      <w:szCs w:val="24"/>
    </w:rPr>
  </w:style>
  <w:style w:type="character" w:customStyle="1" w:styleId="111">
    <w:name w:val="font12"/>
    <w:autoRedefine/>
    <w:qFormat/>
    <w:uiPriority w:val="0"/>
    <w:rPr>
      <w:rFonts w:hint="eastAsia" w:ascii="宋体" w:hAnsi="宋体" w:eastAsia="宋体" w:cs="宋体"/>
      <w:color w:val="000000"/>
      <w:sz w:val="20"/>
      <w:szCs w:val="20"/>
      <w:u w:val="none"/>
    </w:rPr>
  </w:style>
  <w:style w:type="character" w:customStyle="1" w:styleId="112">
    <w:name w:val="white"/>
    <w:autoRedefine/>
    <w:qFormat/>
    <w:uiPriority w:val="0"/>
  </w:style>
  <w:style w:type="character" w:customStyle="1" w:styleId="113">
    <w:name w:val="font31"/>
    <w:autoRedefine/>
    <w:qFormat/>
    <w:uiPriority w:val="0"/>
    <w:rPr>
      <w:rFonts w:hint="eastAsia" w:ascii="宋体" w:hAnsi="宋体" w:eastAsia="宋体" w:cs="宋体"/>
      <w:color w:val="000000"/>
      <w:sz w:val="22"/>
      <w:szCs w:val="22"/>
      <w:u w:val="none"/>
    </w:rPr>
  </w:style>
  <w:style w:type="character" w:customStyle="1" w:styleId="114">
    <w:name w:val="正文文本 字符1"/>
    <w:autoRedefine/>
    <w:qFormat/>
    <w:uiPriority w:val="99"/>
    <w:rPr>
      <w:kern w:val="2"/>
      <w:sz w:val="24"/>
      <w:szCs w:val="24"/>
    </w:rPr>
  </w:style>
  <w:style w:type="character" w:customStyle="1" w:styleId="115">
    <w:name w:val="标题 字符"/>
    <w:link w:val="48"/>
    <w:autoRedefine/>
    <w:qFormat/>
    <w:uiPriority w:val="0"/>
    <w:rPr>
      <w:kern w:val="2"/>
      <w:sz w:val="30"/>
      <w:szCs w:val="24"/>
    </w:rPr>
  </w:style>
  <w:style w:type="character" w:customStyle="1" w:styleId="116">
    <w:name w:val="标题 3 字符"/>
    <w:link w:val="4"/>
    <w:autoRedefine/>
    <w:qFormat/>
    <w:uiPriority w:val="0"/>
    <w:rPr>
      <w:b/>
      <w:bCs/>
      <w:kern w:val="2"/>
      <w:sz w:val="32"/>
      <w:szCs w:val="32"/>
    </w:rPr>
  </w:style>
  <w:style w:type="character" w:customStyle="1" w:styleId="117">
    <w:name w:val="标题 7 字符"/>
    <w:link w:val="9"/>
    <w:autoRedefine/>
    <w:qFormat/>
    <w:uiPriority w:val="0"/>
    <w:rPr>
      <w:b/>
      <w:kern w:val="2"/>
      <w:sz w:val="24"/>
      <w:szCs w:val="24"/>
    </w:rPr>
  </w:style>
  <w:style w:type="character" w:customStyle="1" w:styleId="118">
    <w:name w:val="纯文本 字符"/>
    <w:link w:val="27"/>
    <w:autoRedefine/>
    <w:qFormat/>
    <w:uiPriority w:val="99"/>
    <w:rPr>
      <w:rFonts w:ascii="宋体" w:hAnsi="Courier New" w:eastAsia="宋体" w:cs="Courier New"/>
      <w:kern w:val="2"/>
      <w:sz w:val="21"/>
      <w:szCs w:val="21"/>
      <w:lang w:val="en-US" w:eastAsia="zh-CN" w:bidi="ar-SA"/>
    </w:rPr>
  </w:style>
  <w:style w:type="character" w:customStyle="1" w:styleId="119">
    <w:name w:val="标题 6 字符"/>
    <w:link w:val="8"/>
    <w:autoRedefine/>
    <w:qFormat/>
    <w:uiPriority w:val="0"/>
    <w:rPr>
      <w:rFonts w:ascii="Arial" w:hAnsi="Arial" w:eastAsia="黑体"/>
      <w:b/>
      <w:kern w:val="2"/>
      <w:sz w:val="24"/>
      <w:szCs w:val="24"/>
    </w:rPr>
  </w:style>
  <w:style w:type="character" w:customStyle="1" w:styleId="120">
    <w:name w:val="cf01"/>
    <w:autoRedefine/>
    <w:qFormat/>
    <w:uiPriority w:val="0"/>
    <w:rPr>
      <w:rFonts w:hint="eastAsia" w:ascii="Microsoft YaHei UI" w:hAnsi="Microsoft YaHei UI" w:eastAsia="Microsoft YaHei UI"/>
      <w:sz w:val="18"/>
      <w:szCs w:val="18"/>
    </w:rPr>
  </w:style>
  <w:style w:type="character" w:customStyle="1" w:styleId="121">
    <w:name w:val="case31"/>
    <w:autoRedefine/>
    <w:qFormat/>
    <w:uiPriority w:val="0"/>
    <w:rPr>
      <w:rFonts w:hint="default" w:ascii="_x000B__x000C_" w:hAnsi="_x000B__x000C_"/>
      <w:sz w:val="21"/>
      <w:szCs w:val="21"/>
    </w:rPr>
  </w:style>
  <w:style w:type="character" w:customStyle="1" w:styleId="122">
    <w:name w:val="页脚 字符"/>
    <w:link w:val="32"/>
    <w:autoRedefine/>
    <w:qFormat/>
    <w:uiPriority w:val="0"/>
    <w:rPr>
      <w:kern w:val="2"/>
      <w:sz w:val="18"/>
      <w:szCs w:val="18"/>
    </w:rPr>
  </w:style>
  <w:style w:type="character" w:customStyle="1" w:styleId="123">
    <w:name w:val="正文-2字符首行缩进 Char"/>
    <w:link w:val="124"/>
    <w:autoRedefine/>
    <w:qFormat/>
    <w:uiPriority w:val="0"/>
    <w:rPr>
      <w:rFonts w:ascii="仿宋_GB2312" w:hAnsi="Calibri" w:eastAsia="仿宋_GB2312"/>
      <w:sz w:val="28"/>
      <w:szCs w:val="22"/>
    </w:rPr>
  </w:style>
  <w:style w:type="paragraph" w:customStyle="1" w:styleId="124">
    <w:name w:val="正文-2字符首行缩进"/>
    <w:basedOn w:val="1"/>
    <w:link w:val="123"/>
    <w:autoRedefine/>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25">
    <w:name w:val="批注文字 字符"/>
    <w:link w:val="18"/>
    <w:autoRedefine/>
    <w:qFormat/>
    <w:uiPriority w:val="0"/>
    <w:rPr>
      <w:kern w:val="2"/>
      <w:sz w:val="21"/>
      <w:szCs w:val="24"/>
    </w:rPr>
  </w:style>
  <w:style w:type="character" w:customStyle="1" w:styleId="126">
    <w:name w:val="标题 1 字符"/>
    <w:link w:val="2"/>
    <w:autoRedefine/>
    <w:qFormat/>
    <w:uiPriority w:val="9"/>
    <w:rPr>
      <w:rFonts w:eastAsia="宋体"/>
      <w:b/>
      <w:bCs/>
      <w:kern w:val="44"/>
      <w:sz w:val="44"/>
      <w:szCs w:val="44"/>
      <w:lang w:val="en-US" w:eastAsia="zh-CN" w:bidi="ar-SA"/>
    </w:rPr>
  </w:style>
  <w:style w:type="character" w:customStyle="1" w:styleId="127">
    <w:name w:val="f151"/>
    <w:autoRedefine/>
    <w:qFormat/>
    <w:uiPriority w:val="0"/>
    <w:rPr>
      <w:sz w:val="23"/>
      <w:szCs w:val="23"/>
    </w:rPr>
  </w:style>
  <w:style w:type="paragraph" w:customStyle="1" w:styleId="128">
    <w:name w:val="tgt1"/>
    <w:basedOn w:val="1"/>
    <w:autoRedefine/>
    <w:qFormat/>
    <w:uiPriority w:val="0"/>
    <w:pPr>
      <w:widowControl/>
      <w:spacing w:after="150" w:afterLines="0"/>
      <w:jc w:val="left"/>
    </w:pPr>
    <w:rPr>
      <w:rFonts w:ascii="宋体" w:hAnsi="宋体" w:cs="宋体"/>
      <w:kern w:val="0"/>
      <w:sz w:val="24"/>
    </w:rPr>
  </w:style>
  <w:style w:type="paragraph" w:customStyle="1" w:styleId="129">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30">
    <w:name w:val="普通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1">
    <w:name w:val="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32">
    <w:name w:val=" Char Char Char Char"/>
    <w:basedOn w:val="1"/>
    <w:autoRedefine/>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3">
    <w:name w:val="样式1"/>
    <w:basedOn w:val="1"/>
    <w:autoRedefine/>
    <w:qFormat/>
    <w:uiPriority w:val="0"/>
    <w:pPr>
      <w:spacing w:before="120" w:beforeLines="0" w:after="120" w:afterLines="0" w:line="300" w:lineRule="auto"/>
    </w:pPr>
    <w:rPr>
      <w:rFonts w:ascii="宋体" w:hAnsi="宋体"/>
      <w:b/>
      <w:sz w:val="24"/>
      <w:szCs w:val="20"/>
    </w:rPr>
  </w:style>
  <w:style w:type="paragraph" w:customStyle="1" w:styleId="134">
    <w:name w:val="1"/>
    <w:basedOn w:val="1"/>
    <w:next w:val="27"/>
    <w:autoRedefine/>
    <w:qFormat/>
    <w:uiPriority w:val="0"/>
    <w:rPr>
      <w:rFonts w:ascii="宋体" w:hAnsi="Courier New"/>
      <w:szCs w:val="20"/>
    </w:rPr>
  </w:style>
  <w:style w:type="paragraph" w:customStyle="1" w:styleId="135">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6">
    <w:name w:val="次小点说明 Char"/>
    <w:basedOn w:val="7"/>
    <w:autoRedefine/>
    <w:qFormat/>
    <w:uiPriority w:val="0"/>
    <w:pPr>
      <w:ind w:firstLine="0"/>
    </w:pPr>
    <w:rPr>
      <w:sz w:val="24"/>
      <w:szCs w:val="24"/>
    </w:rPr>
  </w:style>
  <w:style w:type="paragraph" w:customStyle="1" w:styleId="137">
    <w:name w:val="Char3"/>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8">
    <w:name w:val="Char Char Char Char Char Char Char Char Char Char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39">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140">
    <w:name w:val="样式 标题 3 + (中文) 黑体 小四 非加粗 段前: 7.8 磅 段后: 0 磅 行距: 固定值 20 磅"/>
    <w:basedOn w:val="4"/>
    <w:autoRedefine/>
    <w:qFormat/>
    <w:uiPriority w:val="0"/>
    <w:pPr>
      <w:spacing w:before="0" w:beforeLines="0" w:after="0" w:afterLines="0" w:line="400" w:lineRule="exact"/>
    </w:pPr>
    <w:rPr>
      <w:rFonts w:eastAsia="黑体" w:cs="宋体"/>
      <w:b w:val="0"/>
      <w:bCs w:val="0"/>
      <w:sz w:val="24"/>
      <w:szCs w:val="20"/>
    </w:rPr>
  </w:style>
  <w:style w:type="paragraph" w:customStyle="1" w:styleId="141">
    <w:name w:val="默认段落字体 Para Char"/>
    <w:basedOn w:val="1"/>
    <w:autoRedefine/>
    <w:qFormat/>
    <w:uiPriority w:val="0"/>
    <w:pPr>
      <w:adjustRightInd w:val="0"/>
      <w:spacing w:line="360" w:lineRule="auto"/>
    </w:pPr>
    <w:rPr>
      <w:kern w:val="0"/>
      <w:sz w:val="24"/>
      <w:szCs w:val="20"/>
    </w:rPr>
  </w:style>
  <w:style w:type="paragraph" w:customStyle="1" w:styleId="142">
    <w:name w:val="_Style 140"/>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xl26"/>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44">
    <w:name w:val="样式 首行缩进:  2 字符"/>
    <w:basedOn w:val="1"/>
    <w:autoRedefine/>
    <w:qFormat/>
    <w:uiPriority w:val="0"/>
    <w:pPr>
      <w:spacing w:line="400" w:lineRule="exact"/>
      <w:ind w:firstLine="200" w:firstLineChars="200"/>
    </w:pPr>
    <w:rPr>
      <w:rFonts w:cs="宋体"/>
      <w:sz w:val="24"/>
    </w:rPr>
  </w:style>
  <w:style w:type="paragraph" w:customStyle="1" w:styleId="145">
    <w:name w:val=" 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46">
    <w:name w:val=" Char Char Char Char Char Char Char"/>
    <w:basedOn w:val="1"/>
    <w:autoRedefine/>
    <w:qFormat/>
    <w:uiPriority w:val="0"/>
  </w:style>
  <w:style w:type="paragraph" w:customStyle="1" w:styleId="147">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Char Char Char1"/>
    <w:basedOn w:val="17"/>
    <w:autoRedefine/>
    <w:qFormat/>
    <w:uiPriority w:val="0"/>
    <w:pPr>
      <w:adjustRightInd/>
      <w:spacing w:line="240" w:lineRule="auto"/>
      <w:textAlignment w:val="auto"/>
    </w:pPr>
    <w:rPr>
      <w:rFonts w:ascii="Tahoma" w:hAnsi="Tahoma"/>
      <w:kern w:val="2"/>
      <w:sz w:val="24"/>
      <w:szCs w:val="24"/>
    </w:rPr>
  </w:style>
  <w:style w:type="paragraph" w:customStyle="1" w:styleId="150">
    <w:name w:val="Char Char Char"/>
    <w:basedOn w:val="1"/>
    <w:autoRedefine/>
    <w:qFormat/>
    <w:uiPriority w:val="0"/>
    <w:rPr>
      <w:rFonts w:ascii="Tahoma" w:hAnsi="Tahoma"/>
      <w:sz w:val="24"/>
      <w:szCs w:val="20"/>
    </w:rPr>
  </w:style>
  <w:style w:type="paragraph" w:customStyle="1" w:styleId="151">
    <w:name w:val="xl21"/>
    <w:basedOn w:val="1"/>
    <w:autoRedefine/>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2">
    <w:name w:val="List Paragraph2"/>
    <w:basedOn w:val="1"/>
    <w:autoRedefine/>
    <w:qFormat/>
    <w:uiPriority w:val="34"/>
    <w:pPr>
      <w:ind w:firstLine="420" w:firstLineChars="200"/>
    </w:pPr>
  </w:style>
  <w:style w:type="paragraph" w:customStyle="1" w:styleId="153">
    <w:name w:val="List Paragraph1"/>
    <w:basedOn w:val="1"/>
    <w:autoRedefine/>
    <w:qFormat/>
    <w:uiPriority w:val="0"/>
    <w:pPr>
      <w:ind w:firstLine="420" w:firstLineChars="200"/>
    </w:pPr>
    <w:rPr>
      <w:rFonts w:ascii="Calibri" w:hAnsi="Calibri"/>
      <w:szCs w:val="22"/>
    </w:rPr>
  </w:style>
  <w:style w:type="paragraph" w:customStyle="1" w:styleId="154">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1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列出段落1"/>
    <w:basedOn w:val="1"/>
    <w:autoRedefine/>
    <w:qFormat/>
    <w:uiPriority w:val="99"/>
    <w:pPr>
      <w:ind w:firstLine="420" w:firstLineChars="200"/>
    </w:pPr>
    <w:rPr>
      <w:rFonts w:ascii="等线" w:hAnsi="等线" w:eastAsia="等线" w:cs="Times New Roman"/>
    </w:rPr>
  </w:style>
  <w:style w:type="paragraph" w:customStyle="1" w:styleId="157">
    <w:name w:val=" Char2"/>
    <w:basedOn w:val="1"/>
    <w:autoRedefine/>
    <w:qFormat/>
    <w:uiPriority w:val="0"/>
    <w:pPr>
      <w:widowControl/>
      <w:spacing w:after="160" w:afterLines="0" w:line="240" w:lineRule="exact"/>
      <w:jc w:val="left"/>
    </w:pPr>
    <w:rPr>
      <w:rFonts w:ascii="Verdana" w:hAnsi="Verdana"/>
      <w:kern w:val="0"/>
      <w:szCs w:val="20"/>
      <w:lang w:eastAsia="en-US"/>
    </w:rPr>
  </w:style>
  <w:style w:type="paragraph" w:customStyle="1" w:styleId="158">
    <w:name w:val="默认段落字体 Para Char Char Char Char Char Char Char Char Char1 Char Char Char Char"/>
    <w:basedOn w:val="1"/>
    <w:autoRedefine/>
    <w:qFormat/>
    <w:uiPriority w:val="0"/>
    <w:rPr>
      <w:rFonts w:ascii="Tahoma" w:hAnsi="Tahoma"/>
      <w:sz w:val="24"/>
      <w:szCs w:val="20"/>
    </w:rPr>
  </w:style>
  <w:style w:type="paragraph" w:customStyle="1" w:styleId="159">
    <w:name w:val="表内文字"/>
    <w:basedOn w:val="1"/>
    <w:autoRedefine/>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60">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61">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62">
    <w:name w:val="xl31"/>
    <w:basedOn w:val="1"/>
    <w:autoRedefine/>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63">
    <w:name w:val=" Char Char Char Char Char Char1 Char"/>
    <w:basedOn w:val="1"/>
    <w:autoRedefine/>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64">
    <w:name w:val="a9"/>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65">
    <w:name w:val="2ji"/>
    <w:basedOn w:val="3"/>
    <w:autoRedefine/>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6">
    <w:name w:val=" Char Char Char Char Char Char Char Char Char Char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67">
    <w:name w:val="五号正文（标准）"/>
    <w:basedOn w:val="1"/>
    <w:autoRedefine/>
    <w:qFormat/>
    <w:uiPriority w:val="0"/>
    <w:pPr>
      <w:spacing w:line="360" w:lineRule="auto"/>
      <w:ind w:right="55" w:firstLine="560" w:firstLineChars="200"/>
    </w:pPr>
    <w:rPr>
      <w:rFonts w:eastAsia="仿宋_GB2312"/>
      <w:sz w:val="28"/>
      <w:szCs w:val="20"/>
    </w:rPr>
  </w:style>
  <w:style w:type="paragraph" w:customStyle="1" w:styleId="168">
    <w:name w:val="Char1"/>
    <w:basedOn w:val="1"/>
    <w:autoRedefine/>
    <w:qFormat/>
    <w:uiPriority w:val="0"/>
    <w:rPr>
      <w:szCs w:val="21"/>
    </w:rPr>
  </w:style>
  <w:style w:type="paragraph" w:customStyle="1" w:styleId="169">
    <w:name w:val="样式 标题 2 + Times New Roman 四号 非加粗 段前: 5 磅 段后: 0 磅 行距: 固定值 20..."/>
    <w:basedOn w:val="3"/>
    <w:autoRedefine/>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70">
    <w:name w:val="Char Char Char Char Char Char Char"/>
    <w:basedOn w:val="1"/>
    <w:autoRedefine/>
    <w:qFormat/>
    <w:uiPriority w:val="0"/>
  </w:style>
  <w:style w:type="paragraph" w:customStyle="1" w:styleId="171">
    <w:name w:val="图"/>
    <w:basedOn w:val="1"/>
    <w:autoRedefine/>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72">
    <w:name w:val="2-2ji"/>
    <w:basedOn w:val="3"/>
    <w:autoRedefine/>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73">
    <w:name w:val=" Char"/>
    <w:basedOn w:val="1"/>
    <w:autoRedefine/>
    <w:qFormat/>
    <w:uiPriority w:val="0"/>
    <w:pPr>
      <w:tabs>
        <w:tab w:val="left" w:pos="360"/>
      </w:tabs>
      <w:ind w:left="252" w:hanging="252" w:hangingChars="140"/>
    </w:pPr>
    <w:rPr>
      <w:rFonts w:ascii="宋体"/>
      <w:sz w:val="18"/>
      <w:szCs w:val="18"/>
    </w:rPr>
  </w:style>
  <w:style w:type="paragraph" w:customStyle="1" w:styleId="174">
    <w:name w:val="_Style 172"/>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7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6">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77">
    <w:name w:val="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8">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79">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styleId="181">
    <w:name w:val="List Paragraph"/>
    <w:basedOn w:val="1"/>
    <w:qFormat/>
    <w:uiPriority w:val="34"/>
    <w:pPr>
      <w:ind w:firstLine="420" w:firstLineChars="200"/>
    </w:pPr>
    <w:rPr>
      <w:rFonts w:ascii="Calibri" w:hAnsi="Calibri"/>
      <w:szCs w:val="22"/>
    </w:rPr>
  </w:style>
  <w:style w:type="paragraph" w:customStyle="1" w:styleId="182">
    <w:name w:val="xl30"/>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83">
    <w:name w:val="正文首行缩进两字符"/>
    <w:basedOn w:val="1"/>
    <w:autoRedefine/>
    <w:qFormat/>
    <w:uiPriority w:val="0"/>
    <w:pPr>
      <w:spacing w:line="360" w:lineRule="auto"/>
      <w:ind w:firstLine="200" w:firstLineChars="200"/>
    </w:pPr>
  </w:style>
  <w:style w:type="paragraph" w:customStyle="1" w:styleId="184">
    <w:name w:val="表格"/>
    <w:basedOn w:val="1"/>
    <w:autoRedefine/>
    <w:qFormat/>
    <w:uiPriority w:val="0"/>
    <w:pPr>
      <w:spacing w:line="400" w:lineRule="exact"/>
    </w:pPr>
    <w:rPr>
      <w:sz w:val="24"/>
    </w:rPr>
  </w:style>
  <w:style w:type="paragraph" w:customStyle="1" w:styleId="185">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2051</Words>
  <Characters>2370</Characters>
  <Lines>2276</Lines>
  <Paragraphs>2283</Paragraphs>
  <TotalTime>77</TotalTime>
  <ScaleCrop>false</ScaleCrop>
  <LinksUpToDate>false</LinksUpToDate>
  <CharactersWithSpaces>2403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2025-06-24T00:16:00Z</dcterms:created>
  <dc:creator>微软用户</dc:creator>
  <cp:lastModifiedBy>NTKO</cp:lastModifiedBy>
  <cp:lastPrinted>2020-06-15T19:23:00Z</cp:lastPrinted>
  <dcterms:modified xsi:type="dcterms:W3CDTF">2025-11-28T10:49:40Z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ICV">
    <vt:lpwstr>F0D1536CD1A543DBB25EAD5B98E1FC89_13</vt:lpwstr>
  </property>
  <property fmtid="{D5CDD505-2E9C-101B-9397-08002B2CF9AE}" pid="13" name="KSOTemplateDocerSaveRecord">
    <vt:lpwstr>eyJoZGlkIjoiZDE5ZTM0MDYxYzNhZTBmMmQ3ODcyYTgxMzFhNWNiMjMiLCJ1c2VySWQiOiIxNjUxNjQ0NjMyIn0=</vt:lpwstr>
  </property>
</Properties>
</file>