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hint="eastAsia" w:ascii="宋体" w:hAnsi="宋体"/>
          <w:color w:val="000000" w:themeColor="text1"/>
          <w:sz w:val="24"/>
          <w14:textFill>
            <w14:solidFill>
              <w14:schemeClr w14:val="tx1"/>
            </w14:solidFill>
          </w14:textFill>
        </w:rPr>
      </w:pPr>
      <w:bookmarkStart w:id="0" w:name="_Toc217446030"/>
      <w:bookmarkStart w:id="1" w:name="_Toc183682338"/>
    </w:p>
    <w:p>
      <w:pPr>
        <w:tabs>
          <w:tab w:val="left" w:pos="1710"/>
        </w:tabs>
        <w:rPr>
          <w:rFonts w:hint="eastAsia" w:ascii="宋体" w:hAnsi="宋体"/>
          <w:color w:val="000000" w:themeColor="text1"/>
          <w14:textFill>
            <w14:solidFill>
              <w14:schemeClr w14:val="tx1"/>
            </w14:solidFill>
          </w14:textFill>
        </w:rPr>
      </w:pPr>
    </w:p>
    <w:p>
      <w:pPr>
        <w:tabs>
          <w:tab w:val="left" w:pos="1710"/>
        </w:tabs>
        <w:rPr>
          <w:rFonts w:hint="eastAsia" w:ascii="宋体" w:hAnsi="宋体"/>
          <w:color w:val="000000" w:themeColor="text1"/>
          <w14:textFill>
            <w14:solidFill>
              <w14:schemeClr w14:val="tx1"/>
            </w14:solidFill>
          </w14:textFill>
        </w:rPr>
      </w:pPr>
    </w:p>
    <w:p>
      <w:pPr>
        <w:tabs>
          <w:tab w:val="left" w:pos="1710"/>
        </w:tabs>
        <w:rPr>
          <w:rFonts w:hint="eastAsia" w:ascii="宋体" w:hAnsi="宋体"/>
          <w:color w:val="000000" w:themeColor="text1"/>
          <w14:textFill>
            <w14:solidFill>
              <w14:schemeClr w14:val="tx1"/>
            </w14:solidFill>
          </w14:textFill>
        </w:rPr>
      </w:pPr>
    </w:p>
    <w:p>
      <w:pPr>
        <w:tabs>
          <w:tab w:val="left" w:pos="1710"/>
        </w:tabs>
        <w:rPr>
          <w:rFonts w:hint="eastAsia" w:ascii="宋体" w:hAnsi="宋体"/>
          <w:color w:val="000000" w:themeColor="text1"/>
          <w14:textFill>
            <w14:solidFill>
              <w14:schemeClr w14:val="tx1"/>
            </w14:solidFill>
          </w14:textFill>
        </w:rPr>
      </w:pPr>
    </w:p>
    <w:p>
      <w:pPr>
        <w:tabs>
          <w:tab w:val="left" w:pos="1710"/>
        </w:tabs>
        <w:rPr>
          <w:rFonts w:hint="eastAsia" w:ascii="宋体" w:hAnsi="宋体"/>
          <w:color w:val="000000" w:themeColor="text1"/>
          <w14:textFill>
            <w14:solidFill>
              <w14:schemeClr w14:val="tx1"/>
            </w14:solidFill>
          </w14:textFill>
        </w:rPr>
      </w:pPr>
    </w:p>
    <w:tbl>
      <w:tblPr>
        <w:tblStyle w:val="24"/>
        <w:tblW w:w="7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7655" w:type="dxa"/>
            <w:gridSpan w:val="2"/>
            <w:tcBorders>
              <w:top w:val="nil"/>
              <w:left w:val="nil"/>
              <w:right w:val="nil"/>
            </w:tcBorders>
          </w:tcPr>
          <w:p>
            <w:pPr>
              <w:snapToGrid w:val="0"/>
              <w:spacing w:line="240" w:lineRule="atLeast"/>
              <w:jc w:val="center"/>
              <w:rPr>
                <w:rFonts w:hint="eastAsia" w:ascii="宋体" w:hAnsi="宋体"/>
                <w:b/>
                <w:color w:val="000000" w:themeColor="text1"/>
                <w:sz w:val="60"/>
                <w:szCs w:val="60"/>
                <w14:textFill>
                  <w14:solidFill>
                    <w14:schemeClr w14:val="tx1"/>
                  </w14:solidFill>
                </w14:textFill>
              </w:rPr>
            </w:pPr>
            <w:r>
              <w:rPr>
                <w:rFonts w:ascii="宋体" w:hAnsi="宋体"/>
                <w:b/>
                <w:color w:val="000000" w:themeColor="text1"/>
                <w:sz w:val="60"/>
                <w:szCs w:val="60"/>
                <w14:textFill>
                  <w14:solidFill>
                    <w14:schemeClr w14:val="tx1"/>
                  </w14:solidFill>
                </w14:textFill>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exact"/>
          <w:jc w:val="center"/>
        </w:trPr>
        <w:tc>
          <w:tcPr>
            <w:tcW w:w="1764"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项目名称：</w:t>
            </w:r>
          </w:p>
        </w:tc>
        <w:tc>
          <w:tcPr>
            <w:tcW w:w="5891"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2026</w:t>
            </w:r>
            <w:r>
              <w:rPr>
                <w:rFonts w:hint="eastAsia" w:ascii="宋体" w:hAnsi="宋体"/>
                <w:b/>
                <w:color w:val="000000" w:themeColor="text1"/>
                <w:sz w:val="32"/>
                <w:szCs w:val="32"/>
                <w14:textFill>
                  <w14:solidFill>
                    <w14:schemeClr w14:val="tx1"/>
                  </w14:solidFill>
                </w14:textFill>
              </w:rPr>
              <w:t>至2027</w:t>
            </w:r>
            <w:r>
              <w:rPr>
                <w:rFonts w:ascii="宋体" w:hAnsi="宋体"/>
                <w:b/>
                <w:color w:val="000000" w:themeColor="text1"/>
                <w:sz w:val="32"/>
                <w:szCs w:val="32"/>
                <w14:textFill>
                  <w14:solidFill>
                    <w14:schemeClr w14:val="tx1"/>
                  </w14:solidFill>
                </w14:textFill>
              </w:rPr>
              <w:t>年公安二级网线路租赁项目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764"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项目编号：</w:t>
            </w:r>
          </w:p>
        </w:tc>
        <w:tc>
          <w:tcPr>
            <w:tcW w:w="5891" w:type="dxa"/>
            <w:vAlign w:val="center"/>
          </w:tcPr>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GXZC2025-C3-003480-JDZB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764"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联系电话：</w:t>
            </w:r>
          </w:p>
        </w:tc>
        <w:tc>
          <w:tcPr>
            <w:tcW w:w="5891"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0771-2808960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764"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采购方式：</w:t>
            </w:r>
          </w:p>
        </w:tc>
        <w:tc>
          <w:tcPr>
            <w:tcW w:w="5891" w:type="dxa"/>
            <w:vAlign w:val="center"/>
          </w:tcPr>
          <w:p>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竞争性磋商</w:t>
            </w:r>
          </w:p>
        </w:tc>
      </w:tr>
    </w:tbl>
    <w:p>
      <w:pPr>
        <w:tabs>
          <w:tab w:val="left" w:pos="1710"/>
        </w:tabs>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p>
      <w:pPr>
        <w:rPr>
          <w:rFonts w:hint="eastAsia" w:ascii="宋体" w:hAnsi="宋体"/>
          <w:color w:val="000000" w:themeColor="text1"/>
          <w14:textFill>
            <w14:solidFill>
              <w14:schemeClr w14:val="tx1"/>
            </w14:solidFill>
          </w14:textFill>
        </w:rPr>
      </w:pPr>
    </w:p>
    <w:tbl>
      <w:tblPr>
        <w:tblStyle w:val="24"/>
        <w:tblW w:w="8284" w:type="dxa"/>
        <w:jc w:val="center"/>
        <w:tblInd w:w="0" w:type="dxa"/>
        <w:tblLayout w:type="fixed"/>
        <w:tblCellMar>
          <w:top w:w="0" w:type="dxa"/>
          <w:left w:w="108" w:type="dxa"/>
          <w:bottom w:w="0" w:type="dxa"/>
          <w:right w:w="108" w:type="dxa"/>
        </w:tblCellMar>
      </w:tblPr>
      <w:tblGrid>
        <w:gridCol w:w="2707"/>
        <w:gridCol w:w="6"/>
        <w:gridCol w:w="5571"/>
      </w:tblGrid>
      <w:tr>
        <w:tblPrEx>
          <w:tblLayout w:type="fixed"/>
          <w:tblCellMar>
            <w:top w:w="0" w:type="dxa"/>
            <w:left w:w="108" w:type="dxa"/>
            <w:bottom w:w="0" w:type="dxa"/>
            <w:right w:w="108" w:type="dxa"/>
          </w:tblCellMar>
        </w:tblPrEx>
        <w:trPr>
          <w:trHeight w:val="703" w:hRule="atLeast"/>
          <w:jc w:val="center"/>
        </w:trPr>
        <w:tc>
          <w:tcPr>
            <w:tcW w:w="2707" w:type="dxa"/>
            <w:vAlign w:val="center"/>
          </w:tcPr>
          <w:p>
            <w:pPr>
              <w:autoSpaceDE w:val="0"/>
              <w:autoSpaceDN w:val="0"/>
              <w:adjustRightInd w:val="0"/>
              <w:jc w:val="righ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采购人：</w:t>
            </w:r>
          </w:p>
        </w:tc>
        <w:tc>
          <w:tcPr>
            <w:tcW w:w="5577" w:type="dxa"/>
            <w:gridSpan w:val="2"/>
            <w:vAlign w:val="center"/>
          </w:tcPr>
          <w:p>
            <w:pPr>
              <w:autoSpaceDE w:val="0"/>
              <w:autoSpaceDN w:val="0"/>
              <w:adjustRightInd w:val="0"/>
              <w:jc w:val="lef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广西公安计算机通讯技术研究所</w:t>
            </w:r>
          </w:p>
        </w:tc>
      </w:tr>
      <w:tr>
        <w:tblPrEx>
          <w:tblLayout w:type="fixed"/>
          <w:tblCellMar>
            <w:top w:w="0" w:type="dxa"/>
            <w:left w:w="108" w:type="dxa"/>
            <w:bottom w:w="0" w:type="dxa"/>
            <w:right w:w="108" w:type="dxa"/>
          </w:tblCellMar>
        </w:tblPrEx>
        <w:trPr>
          <w:trHeight w:val="703" w:hRule="atLeast"/>
          <w:jc w:val="center"/>
        </w:trPr>
        <w:tc>
          <w:tcPr>
            <w:tcW w:w="2713" w:type="dxa"/>
            <w:gridSpan w:val="2"/>
          </w:tcPr>
          <w:p>
            <w:pPr>
              <w:autoSpaceDE w:val="0"/>
              <w:autoSpaceDN w:val="0"/>
              <w:adjustRightInd w:val="0"/>
              <w:jc w:val="righ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采购代理机构：</w:t>
            </w:r>
          </w:p>
        </w:tc>
        <w:tc>
          <w:tcPr>
            <w:tcW w:w="5571" w:type="dxa"/>
          </w:tcPr>
          <w:p>
            <w:pPr>
              <w:autoSpaceDE w:val="0"/>
              <w:autoSpaceDN w:val="0"/>
              <w:adjustRightInd w:val="0"/>
              <w:rPr>
                <w:rFonts w:hint="eastAsia" w:ascii="宋体" w:hAnsi="宋体"/>
                <w:b/>
                <w:color w:val="000000" w:themeColor="text1"/>
                <w:sz w:val="32"/>
                <w:szCs w:val="32"/>
                <w:u w:val="single"/>
                <w14:textFill>
                  <w14:solidFill>
                    <w14:schemeClr w14:val="tx1"/>
                  </w14:solidFill>
                </w14:textFill>
              </w:rPr>
            </w:pPr>
            <w:r>
              <w:rPr>
                <w:rFonts w:ascii="宋体" w:hAnsi="宋体"/>
                <w:b/>
                <w:color w:val="000000" w:themeColor="text1"/>
                <w:sz w:val="32"/>
                <w:szCs w:val="32"/>
                <w14:textFill>
                  <w14:solidFill>
                    <w14:schemeClr w14:val="tx1"/>
                  </w14:solidFill>
                </w14:textFill>
              </w:rPr>
              <w:t>广西机电设备招标有限公司</w:t>
            </w:r>
          </w:p>
        </w:tc>
      </w:tr>
    </w:tbl>
    <w:p>
      <w:pPr>
        <w:rPr>
          <w:rFonts w:hint="eastAsia" w:ascii="宋体" w:hAnsi="宋体"/>
          <w:color w:val="000000" w:themeColor="text1"/>
          <w14:textFill>
            <w14:solidFill>
              <w14:schemeClr w14:val="tx1"/>
            </w14:solidFill>
          </w14:textFill>
        </w:rPr>
      </w:pPr>
    </w:p>
    <w:p>
      <w:pPr>
        <w:ind w:firstLine="321" w:firstLineChars="100"/>
        <w:jc w:val="center"/>
        <w:rPr>
          <w:rFonts w:hint="eastAsia" w:ascii="宋体" w:hAnsi="宋体"/>
          <w:b/>
          <w:color w:val="000000" w:themeColor="text1"/>
          <w:sz w:val="32"/>
          <w:szCs w:val="32"/>
          <w14:textFill>
            <w14:solidFill>
              <w14:schemeClr w14:val="tx1"/>
            </w14:solidFill>
          </w14:textFill>
        </w:rPr>
        <w:sectPr>
          <w:headerReference r:id="rId3" w:type="first"/>
          <w:footerReference r:id="rId6" w:type="first"/>
          <w:footerReference r:id="rId4" w:type="default"/>
          <w:footerReference r:id="rId5" w:type="even"/>
          <w:pgSz w:w="11906" w:h="16838"/>
          <w:pgMar w:top="1418" w:right="1418" w:bottom="1246" w:left="1418" w:header="851" w:footer="992" w:gutter="0"/>
          <w:pgNumType w:start="0"/>
          <w:cols w:space="720" w:num="1"/>
          <w:titlePg/>
          <w:docGrid w:linePitch="312" w:charSpace="0"/>
        </w:sectPr>
      </w:pPr>
      <w:r>
        <w:rPr>
          <w:rFonts w:ascii="宋体" w:hAnsi="宋体"/>
          <w:b/>
          <w:color w:val="000000" w:themeColor="text1"/>
          <w:sz w:val="32"/>
          <w:szCs w:val="32"/>
          <w14:textFill>
            <w14:solidFill>
              <w14:schemeClr w14:val="tx1"/>
            </w14:solidFill>
          </w14:textFill>
        </w:rPr>
        <w:t>2025年</w:t>
      </w:r>
      <w:r>
        <w:rPr>
          <w:rFonts w:hint="eastAsia" w:ascii="宋体" w:hAnsi="宋体"/>
          <w:b/>
          <w:color w:val="000000" w:themeColor="text1"/>
          <w:sz w:val="32"/>
          <w:szCs w:val="32"/>
          <w14:textFill>
            <w14:solidFill>
              <w14:schemeClr w14:val="tx1"/>
            </w14:solidFill>
          </w14:textFill>
        </w:rPr>
        <w:t>11</w:t>
      </w:r>
      <w:r>
        <w:rPr>
          <w:rFonts w:ascii="宋体" w:hAnsi="宋体"/>
          <w:b/>
          <w:color w:val="000000" w:themeColor="text1"/>
          <w:sz w:val="32"/>
          <w:szCs w:val="32"/>
          <w14:textFill>
            <w14:solidFill>
              <w14:schemeClr w14:val="tx1"/>
            </w14:solidFill>
          </w14:textFill>
        </w:rPr>
        <w:t>月</w:t>
      </w:r>
    </w:p>
    <w:p>
      <w:pPr>
        <w:rPr>
          <w:rFonts w:hint="eastAsia" w:ascii="宋体" w:hAnsi="宋体"/>
          <w:color w:val="000000" w:themeColor="text1"/>
          <w:sz w:val="32"/>
          <w:szCs w:val="32"/>
          <w14:textFill>
            <w14:solidFill>
              <w14:schemeClr w14:val="tx1"/>
            </w14:solidFill>
          </w14:textFill>
        </w:rPr>
      </w:pPr>
    </w:p>
    <w:p>
      <w:pPr>
        <w:pStyle w:val="11"/>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2" w:name="_Toc161859122"/>
      <w:bookmarkStart w:id="3" w:name="_Toc202202998"/>
      <w:bookmarkStart w:id="4" w:name="_Toc17133"/>
      <w:bookmarkStart w:id="5" w:name="_Toc173513739"/>
      <w:r>
        <w:rPr>
          <w:rFonts w:hAnsi="宋体" w:cs="Times New Roman"/>
          <w:color w:val="000000" w:themeColor="text1"/>
          <w:sz w:val="32"/>
          <w:szCs w:val="32"/>
          <w14:textFill>
            <w14:solidFill>
              <w14:schemeClr w14:val="tx1"/>
            </w14:solidFill>
          </w14:textFill>
        </w:rPr>
        <w:t>目    录</w:t>
      </w:r>
      <w:bookmarkEnd w:id="2"/>
      <w:bookmarkEnd w:id="3"/>
      <w:bookmarkEnd w:id="4"/>
      <w:bookmarkEnd w:id="5"/>
    </w:p>
    <w:p>
      <w:pPr>
        <w:pStyle w:val="15"/>
        <w:ind w:firstLine="241"/>
        <w:rPr>
          <w:rFonts w:hint="eastAsia"/>
          <w:b w:val="0"/>
          <w:bCs w:val="0"/>
          <w:caps w:val="0"/>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rStyle w:val="22"/>
          <w:color w:val="000000" w:themeColor="text1"/>
          <w:sz w:val="21"/>
          <w14:textFill>
            <w14:solidFill>
              <w14:schemeClr w14:val="tx1"/>
            </w14:solidFill>
          </w14:textFill>
        </w:rPr>
        <w:instrText xml:space="preserve"> TOC \o "1-1" \h \z \u </w:instrText>
      </w:r>
      <w:r>
        <w:rPr>
          <w:color w:val="000000" w:themeColor="text1"/>
          <w14:textFill>
            <w14:solidFill>
              <w14:schemeClr w14:val="tx1"/>
            </w14:solidFill>
          </w14:textFill>
        </w:rPr>
        <w:fldChar w:fldCharType="separate"/>
      </w:r>
    </w:p>
    <w:p>
      <w:pPr>
        <w:pStyle w:val="15"/>
        <w:ind w:firstLine="241"/>
        <w:rPr>
          <w:rFonts w:hint="eastAsia"/>
          <w:b w:val="0"/>
          <w:bCs w:val="0"/>
          <w:caps w:val="0"/>
          <w:color w:val="000000" w:themeColor="text1"/>
          <w:sz w:val="22"/>
          <w14:textFill>
            <w14:solidFill>
              <w14:schemeClr w14:val="tx1"/>
            </w14:solidFill>
          </w14:textFill>
        </w:rPr>
      </w:pPr>
      <w:r>
        <w:fldChar w:fldCharType="begin"/>
      </w:r>
      <w:r>
        <w:instrText xml:space="preserve"> HYPERLINK \l "_Toc202202999" </w:instrText>
      </w:r>
      <w:r>
        <w:fldChar w:fldCharType="separate"/>
      </w:r>
      <w:r>
        <w:rPr>
          <w:rStyle w:val="22"/>
          <w:rFonts w:hint="eastAsia"/>
          <w:color w:val="000000" w:themeColor="text1"/>
          <w14:textFill>
            <w14:solidFill>
              <w14:schemeClr w14:val="tx1"/>
            </w14:solidFill>
          </w14:textFill>
        </w:rPr>
        <w:t>第一章  竞争性磋商公告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_Toc202202999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5"/>
        <w:ind w:firstLine="241"/>
        <w:rPr>
          <w:rFonts w:hint="eastAsia"/>
          <w:b w:val="0"/>
          <w:bCs w:val="0"/>
          <w:caps w:val="0"/>
          <w:color w:val="000000" w:themeColor="text1"/>
          <w:sz w:val="22"/>
          <w14:textFill>
            <w14:solidFill>
              <w14:schemeClr w14:val="tx1"/>
            </w14:solidFill>
          </w14:textFill>
        </w:rPr>
      </w:pPr>
      <w:r>
        <w:fldChar w:fldCharType="begin"/>
      </w:r>
      <w:r>
        <w:instrText xml:space="preserve"> HYPERLINK \l "_Toc202203000" </w:instrText>
      </w:r>
      <w:r>
        <w:fldChar w:fldCharType="separate"/>
      </w:r>
      <w:r>
        <w:rPr>
          <w:rStyle w:val="22"/>
          <w:rFonts w:hint="eastAsia"/>
          <w:color w:val="000000" w:themeColor="text1"/>
          <w14:textFill>
            <w14:solidFill>
              <w14:schemeClr w14:val="tx1"/>
            </w14:solidFill>
          </w14:textFill>
        </w:rPr>
        <w:t>第二章  采购需求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_Toc202203000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5"/>
        <w:ind w:firstLine="241"/>
        <w:rPr>
          <w:rFonts w:hint="eastAsia"/>
          <w:b w:val="0"/>
          <w:bCs w:val="0"/>
          <w:caps w:val="0"/>
          <w:color w:val="000000" w:themeColor="text1"/>
          <w:sz w:val="22"/>
          <w14:textFill>
            <w14:solidFill>
              <w14:schemeClr w14:val="tx1"/>
            </w14:solidFill>
          </w14:textFill>
        </w:rPr>
      </w:pPr>
      <w:r>
        <w:fldChar w:fldCharType="begin"/>
      </w:r>
      <w:r>
        <w:instrText xml:space="preserve"> HYPERLINK \l "_Toc202203001" </w:instrText>
      </w:r>
      <w:r>
        <w:fldChar w:fldCharType="separate"/>
      </w:r>
      <w:r>
        <w:rPr>
          <w:rStyle w:val="22"/>
          <w:rFonts w:hint="eastAsia"/>
          <w:color w:val="000000" w:themeColor="text1"/>
          <w14:textFill>
            <w14:solidFill>
              <w14:schemeClr w14:val="tx1"/>
            </w14:solidFill>
          </w14:textFill>
        </w:rPr>
        <w:t>第三章  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_Toc202203001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5"/>
        <w:ind w:firstLine="241"/>
        <w:rPr>
          <w:rFonts w:hint="eastAsia"/>
          <w:b w:val="0"/>
          <w:bCs w:val="0"/>
          <w:caps w:val="0"/>
          <w:color w:val="000000" w:themeColor="text1"/>
          <w:sz w:val="22"/>
          <w14:textFill>
            <w14:solidFill>
              <w14:schemeClr w14:val="tx1"/>
            </w14:solidFill>
          </w14:textFill>
        </w:rPr>
      </w:pPr>
      <w:r>
        <w:fldChar w:fldCharType="begin"/>
      </w:r>
      <w:r>
        <w:instrText xml:space="preserve"> HYPERLINK \l "_Toc202203002" </w:instrText>
      </w:r>
      <w:r>
        <w:fldChar w:fldCharType="separate"/>
      </w:r>
      <w:r>
        <w:rPr>
          <w:rStyle w:val="22"/>
          <w:rFonts w:hint="eastAsia"/>
          <w:color w:val="000000" w:themeColor="text1"/>
          <w14:textFill>
            <w14:solidFill>
              <w14:schemeClr w14:val="tx1"/>
            </w14:solidFill>
          </w14:textFill>
        </w:rPr>
        <w:t>第四章  评审方法及标准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_Toc202203002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5"/>
        <w:ind w:firstLine="241"/>
        <w:rPr>
          <w:rFonts w:hint="eastAsia"/>
          <w:b w:val="0"/>
          <w:bCs w:val="0"/>
          <w:caps w:val="0"/>
          <w:color w:val="000000" w:themeColor="text1"/>
          <w:sz w:val="22"/>
          <w14:textFill>
            <w14:solidFill>
              <w14:schemeClr w14:val="tx1"/>
            </w14:solidFill>
          </w14:textFill>
        </w:rPr>
      </w:pPr>
      <w:r>
        <w:fldChar w:fldCharType="begin"/>
      </w:r>
      <w:r>
        <w:instrText xml:space="preserve"> HYPERLINK \l "_Toc202203003" </w:instrText>
      </w:r>
      <w:r>
        <w:fldChar w:fldCharType="separate"/>
      </w:r>
      <w:r>
        <w:rPr>
          <w:rStyle w:val="22"/>
          <w:rFonts w:hint="eastAsia"/>
          <w:color w:val="000000" w:themeColor="text1"/>
          <w14:textFill>
            <w14:solidFill>
              <w14:schemeClr w14:val="tx1"/>
            </w14:solidFill>
          </w14:textFill>
        </w:rPr>
        <w:t>第五章  合同主要条款格式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_Toc202203003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5"/>
        <w:ind w:firstLine="241"/>
        <w:rPr>
          <w:rFonts w:hint="eastAsia"/>
          <w:b w:val="0"/>
          <w:bCs w:val="0"/>
          <w:caps w:val="0"/>
          <w:color w:val="000000" w:themeColor="text1"/>
          <w:sz w:val="22"/>
          <w14:textFill>
            <w14:solidFill>
              <w14:schemeClr w14:val="tx1"/>
            </w14:solidFill>
          </w14:textFill>
        </w:rPr>
      </w:pPr>
      <w:r>
        <w:fldChar w:fldCharType="begin"/>
      </w:r>
      <w:r>
        <w:instrText xml:space="preserve"> HYPERLINK \l "_Toc202203004" </w:instrText>
      </w:r>
      <w:r>
        <w:fldChar w:fldCharType="separate"/>
      </w:r>
      <w:r>
        <w:rPr>
          <w:rStyle w:val="22"/>
          <w:rFonts w:hint="eastAsia"/>
          <w:color w:val="000000" w:themeColor="text1"/>
          <w14:textFill>
            <w14:solidFill>
              <w14:schemeClr w14:val="tx1"/>
            </w14:solidFill>
          </w14:textFill>
        </w:rPr>
        <w:t>第六章  响应文件格式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_Toc202203004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46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5"/>
        <w:ind w:firstLine="241"/>
        <w:rPr>
          <w:rFonts w:hint="eastAsia"/>
          <w:color w:val="000000" w:themeColor="text1"/>
          <w:sz w:val="28"/>
          <w:szCs w:val="28"/>
          <w14:textFill>
            <w14:solidFill>
              <w14:schemeClr w14:val="tx1"/>
            </w14:solidFill>
          </w14:textFill>
        </w:rPr>
      </w:pPr>
      <w:r>
        <w:rPr>
          <w:color w:val="000000" w:themeColor="text1"/>
          <w:szCs w:val="28"/>
          <w14:textFill>
            <w14:solidFill>
              <w14:schemeClr w14:val="tx1"/>
            </w14:solidFill>
          </w14:textFill>
        </w:rPr>
        <w:fldChar w:fldCharType="end"/>
      </w:r>
    </w:p>
    <w:p>
      <w:pPr>
        <w:rPr>
          <w:rFonts w:hint="eastAsia" w:ascii="宋体" w:hAnsi="宋体"/>
          <w:color w:val="000000" w:themeColor="text1"/>
          <w14:textFill>
            <w14:solidFill>
              <w14:schemeClr w14:val="tx1"/>
            </w14:solidFill>
          </w14:textFill>
        </w:rPr>
      </w:pPr>
      <w:bookmarkStart w:id="6" w:name="_Toc254970630"/>
      <w:bookmarkStart w:id="7" w:name="_Toc254970489"/>
    </w:p>
    <w:p>
      <w:pPr>
        <w:pStyle w:val="11"/>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pPr>
        <w:pStyle w:val="11"/>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8" w:name="_Toc202202999"/>
      <w:r>
        <w:rPr>
          <w:rFonts w:hAnsi="宋体" w:cs="Times New Roman"/>
          <w:color w:val="000000" w:themeColor="text1"/>
          <w:sz w:val="32"/>
          <w:szCs w:val="32"/>
          <w14:textFill>
            <w14:solidFill>
              <w14:schemeClr w14:val="tx1"/>
            </w14:solidFill>
          </w14:textFill>
        </w:rPr>
        <w:t xml:space="preserve">第一章  </w:t>
      </w:r>
      <w:bookmarkEnd w:id="6"/>
      <w:bookmarkEnd w:id="7"/>
      <w:r>
        <w:rPr>
          <w:rFonts w:hAnsi="宋体" w:cs="Times New Roman"/>
          <w:color w:val="000000" w:themeColor="text1"/>
          <w:sz w:val="32"/>
          <w:szCs w:val="32"/>
          <w14:textFill>
            <w14:solidFill>
              <w14:schemeClr w14:val="tx1"/>
            </w14:solidFill>
          </w14:textFill>
        </w:rPr>
        <w:t>竞争性磋商公告</w:t>
      </w:r>
      <w:bookmarkEnd w:id="8"/>
    </w:p>
    <w:p>
      <w:pPr>
        <w:spacing w:line="400" w:lineRule="exact"/>
        <w:jc w:val="center"/>
        <w:rPr>
          <w:rFonts w:hint="eastAsia" w:ascii="宋体" w:hAnsi="宋体"/>
          <w:color w:val="000000" w:themeColor="text1"/>
          <w:kern w:val="0"/>
          <w:sz w:val="24"/>
          <w14:textFill>
            <w14:solidFill>
              <w14:schemeClr w14:val="tx1"/>
            </w14:solidFill>
          </w14:textFill>
        </w:rPr>
      </w:pPr>
      <w:bookmarkStart w:id="9" w:name="_Hlk129616442"/>
      <w:bookmarkStart w:id="10" w:name="_Hlk168342128"/>
      <w:r>
        <w:rPr>
          <w:rFonts w:ascii="宋体" w:hAnsi="宋体"/>
          <w:color w:val="000000" w:themeColor="text1"/>
          <w:kern w:val="0"/>
          <w:sz w:val="24"/>
          <w14:textFill>
            <w14:solidFill>
              <w14:schemeClr w14:val="tx1"/>
            </w14:solidFill>
          </w14:textFill>
        </w:rPr>
        <w:t>广西机电设备招标有限公司关于</w:t>
      </w:r>
      <w:r>
        <w:rPr>
          <w:rFonts w:hint="eastAsia" w:ascii="宋体" w:hAnsi="宋体"/>
          <w:color w:val="000000" w:themeColor="text1"/>
          <w:kern w:val="0"/>
          <w:sz w:val="24"/>
          <w14:textFill>
            <w14:solidFill>
              <w14:schemeClr w14:val="tx1"/>
            </w14:solidFill>
          </w14:textFill>
        </w:rPr>
        <w:t>2026至2027年公安二级网线路租赁项目</w:t>
      </w:r>
    </w:p>
    <w:p>
      <w:pPr>
        <w:spacing w:line="400" w:lineRule="exact"/>
        <w:jc w:val="center"/>
        <w:rPr>
          <w:rFonts w:hint="eastAsia" w:ascii="宋体" w:hAnsi="宋体"/>
          <w:color w:val="000000" w:themeColor="text1"/>
          <w:kern w:val="0"/>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GXZC2025-C3-003480-JDZB</w:t>
      </w:r>
      <w:r>
        <w:rPr>
          <w:rFonts w:ascii="宋体" w:hAnsi="宋体"/>
          <w:color w:val="000000" w:themeColor="text1"/>
          <w:sz w:val="24"/>
          <w14:textFill>
            <w14:solidFill>
              <w14:schemeClr w14:val="tx1"/>
            </w14:solidFill>
          </w14:textFill>
        </w:rPr>
        <w:t>)</w:t>
      </w:r>
      <w:r>
        <w:rPr>
          <w:rFonts w:ascii="宋体" w:hAnsi="宋体"/>
          <w:color w:val="000000" w:themeColor="text1"/>
          <w:kern w:val="0"/>
          <w:sz w:val="24"/>
          <w14:textFill>
            <w14:solidFill>
              <w14:schemeClr w14:val="tx1"/>
            </w14:solidFill>
          </w14:textFill>
        </w:rPr>
        <w:t>竞争性磋商公告</w:t>
      </w:r>
    </w:p>
    <w:p>
      <w:pPr>
        <w:spacing w:line="312" w:lineRule="auto"/>
        <w:jc w:val="left"/>
        <w:rPr>
          <w:rFonts w:hint="eastAsia" w:ascii="宋体" w:hAnsi="宋体"/>
          <w:b/>
          <w:bCs/>
          <w:color w:val="000000" w:themeColor="text1"/>
          <w:kern w:val="0"/>
          <w:sz w:val="22"/>
          <w14:textFill>
            <w14:solidFill>
              <w14:schemeClr w14:val="tx1"/>
            </w14:solidFill>
          </w14:textFill>
        </w:rPr>
      </w:pPr>
    </w:p>
    <w:p>
      <w:pPr>
        <w:spacing w:line="312" w:lineRule="auto"/>
        <w:ind w:firstLine="420" w:firstLineChars="200"/>
        <w:jc w:val="left"/>
        <w:rPr>
          <w:rFonts w:hint="eastAsia" w:ascii="宋体" w:hAnsi="宋体"/>
          <w:b/>
          <w:bCs/>
          <w:color w:val="000000" w:themeColor="text1"/>
          <w:kern w:val="0"/>
          <w:sz w:val="22"/>
          <w14:textFill>
            <w14:solidFill>
              <w14:schemeClr w14:val="tx1"/>
            </w14:solidFill>
          </w14:textFill>
        </w:rPr>
      </w:pPr>
      <w:r>
        <w:rPr>
          <w:rFonts w:ascii="宋体" w:hAnsi="宋体"/>
          <w:color w:val="000000" w:themeColor="text1"/>
          <w:szCs w:val="21"/>
          <w14:textFill>
            <w14:solidFill>
              <w14:schemeClr w14:val="tx1"/>
            </w14:solidFill>
          </w14:textFill>
        </w:rPr>
        <w:t>项目概况：</w:t>
      </w:r>
      <w:r>
        <w:rPr>
          <w:rFonts w:hint="eastAsia" w:ascii="宋体" w:hAnsi="宋体"/>
          <w:color w:val="000000" w:themeColor="text1"/>
          <w:szCs w:val="21"/>
          <w14:textFill>
            <w14:solidFill>
              <w14:schemeClr w14:val="tx1"/>
            </w14:solidFill>
          </w14:textFill>
        </w:rPr>
        <w:t>2026至2027年公安二级网线路租赁项目</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GXZC2025-C3-003480-JDZB</w:t>
      </w:r>
      <w:r>
        <w:rPr>
          <w:rFonts w:ascii="宋体" w:hAnsi="宋体"/>
          <w:color w:val="000000" w:themeColor="text1"/>
          <w:szCs w:val="21"/>
          <w14:textFill>
            <w14:solidFill>
              <w14:schemeClr w14:val="tx1"/>
            </w14:solidFill>
          </w14:textFill>
        </w:rPr>
        <w:t>)的潜在供应商应在广西政府采购云平台（https://www.gcy.zfcg.gxzf.gov.cn/）获取采购文件，并于2025年</w:t>
      </w:r>
      <w:r>
        <w:rPr>
          <w:rFonts w:hint="eastAsia" w:ascii="宋体" w:hAnsi="宋体"/>
          <w:color w:val="000000" w:themeColor="text1"/>
          <w:szCs w:val="21"/>
          <w14:textFill>
            <w14:solidFill>
              <w14:schemeClr w14:val="tx1"/>
            </w14:solidFill>
          </w14:textFill>
        </w:rPr>
        <w:t>11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日09:</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0（北京时间）前提交响应文件。</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一、项目基本情况</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项目编号：</w:t>
      </w:r>
      <w:r>
        <w:rPr>
          <w:rFonts w:hint="eastAsia" w:ascii="宋体" w:hAnsi="宋体"/>
          <w:color w:val="000000" w:themeColor="text1"/>
          <w:kern w:val="0"/>
          <w:szCs w:val="21"/>
          <w14:textFill>
            <w14:solidFill>
              <w14:schemeClr w14:val="tx1"/>
            </w14:solidFill>
          </w14:textFill>
        </w:rPr>
        <w:t>GXZC2025-C3-003480-JDZB</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项目名称：</w:t>
      </w:r>
      <w:r>
        <w:rPr>
          <w:rFonts w:hint="eastAsia" w:ascii="宋体" w:hAnsi="宋体"/>
          <w:color w:val="000000" w:themeColor="text1"/>
          <w:kern w:val="0"/>
          <w:szCs w:val="21"/>
          <w14:textFill>
            <w14:solidFill>
              <w14:schemeClr w14:val="tx1"/>
            </w14:solidFill>
          </w14:textFill>
        </w:rPr>
        <w:t>2026至2027年公安二级网线路租赁项目</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采购方式：竞争性磋商</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预算总金额（元）：</w:t>
      </w:r>
      <w:r>
        <w:rPr>
          <w:rFonts w:hint="eastAsia" w:ascii="宋体" w:hAnsi="宋体"/>
          <w:color w:val="000000" w:themeColor="text1"/>
          <w:kern w:val="0"/>
          <w:szCs w:val="21"/>
          <w14:textFill>
            <w14:solidFill>
              <w14:schemeClr w14:val="tx1"/>
            </w14:solidFill>
          </w14:textFill>
        </w:rPr>
        <w:t>1136860</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采购需求：</w:t>
      </w:r>
      <w:bookmarkStart w:id="11" w:name="_Hlk77608065"/>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p>
    <w:bookmarkEnd w:id="11"/>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标项一</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14:textFill>
            <w14:solidFill>
              <w14:schemeClr w14:val="tx1"/>
            </w14:solidFill>
          </w14:textFill>
        </w:rPr>
        <w:t>2026至2027年公安二级网线路租赁项目A</w:t>
      </w:r>
      <w:r>
        <w:rPr>
          <w:rFonts w:ascii="宋体" w:hAnsi="宋体"/>
          <w:color w:val="000000" w:themeColor="text1"/>
          <w:kern w:val="0"/>
          <w:szCs w:val="21"/>
          <w14:textFill>
            <w14:solidFill>
              <w14:schemeClr w14:val="tx1"/>
            </w14:solidFill>
          </w14:textFill>
        </w:rPr>
        <w:t>分标</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数量：1</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预算金额（元）：660860</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简要规格描述或项目基本概况介绍、用途：详见</w:t>
      </w:r>
      <w:r>
        <w:rPr>
          <w:rFonts w:hint="eastAsia" w:ascii="宋体" w:hAnsi="宋体"/>
          <w:color w:val="000000" w:themeColor="text1"/>
          <w:kern w:val="0"/>
          <w:szCs w:val="21"/>
          <w14:textFill>
            <w14:solidFill>
              <w14:schemeClr w14:val="tx1"/>
            </w14:solidFill>
          </w14:textFill>
        </w:rPr>
        <w:t>采购需求</w:t>
      </w:r>
      <w:r>
        <w:rPr>
          <w:rFonts w:ascii="宋体" w:hAnsi="宋体"/>
          <w:color w:val="000000" w:themeColor="text1"/>
          <w:kern w:val="0"/>
          <w:szCs w:val="21"/>
          <w14:textFill>
            <w14:solidFill>
              <w14:schemeClr w14:val="tx1"/>
            </w14:solidFill>
          </w14:textFill>
        </w:rPr>
        <w:t>。</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最高限价（如有）：660860</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合同履约期限：</w:t>
      </w:r>
      <w:r>
        <w:rPr>
          <w:rFonts w:hint="eastAsia" w:ascii="宋体" w:hAnsi="宋体"/>
          <w:color w:val="000000" w:themeColor="text1"/>
          <w:kern w:val="0"/>
          <w:szCs w:val="21"/>
          <w14:textFill>
            <w14:solidFill>
              <w14:schemeClr w14:val="tx1"/>
            </w14:solidFill>
          </w14:textFill>
        </w:rPr>
        <w:t>交付使用时间：合同签订后3个日历日内。租用时间:2026年2月1日至2027年6月30日（17个月）。如合同签订之日晚于2026年2月1日，则从签订之日起计算17个月。</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ascii="宋体" w:hAnsi="宋体"/>
          <w:color w:val="000000" w:themeColor="text1"/>
          <w:szCs w:val="21"/>
          <w14:textFill>
            <w14:solidFill>
              <w14:schemeClr w14:val="tx1"/>
            </w14:solidFill>
          </w14:textFill>
        </w:rPr>
        <w:t>否</w:t>
      </w:r>
      <w:r>
        <w:rPr>
          <w:rFonts w:ascii="宋体" w:hAnsi="宋体"/>
          <w:color w:val="000000" w:themeColor="text1"/>
          <w:kern w:val="0"/>
          <w:szCs w:val="21"/>
          <w14:textFill>
            <w14:solidFill>
              <w14:schemeClr w14:val="tx1"/>
            </w14:solidFill>
          </w14:textFill>
        </w:rPr>
        <w:t>）接受联合体。</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备注：</w:t>
      </w:r>
      <w:r>
        <w:rPr>
          <w:rFonts w:hint="eastAsia" w:ascii="宋体" w:hAnsi="宋体"/>
          <w:color w:val="000000" w:themeColor="text1"/>
          <w:kern w:val="0"/>
          <w:szCs w:val="21"/>
          <w14:textFill>
            <w14:solidFill>
              <w14:schemeClr w14:val="tx1"/>
            </w14:solidFill>
          </w14:textFill>
        </w:rPr>
        <w:t>无</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标项二</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14:textFill>
            <w14:solidFill>
              <w14:schemeClr w14:val="tx1"/>
            </w14:solidFill>
          </w14:textFill>
        </w:rPr>
        <w:t>2026至2027年公安二级网线路租赁项目B</w:t>
      </w:r>
      <w:r>
        <w:rPr>
          <w:rFonts w:ascii="宋体" w:hAnsi="宋体"/>
          <w:color w:val="000000" w:themeColor="text1"/>
          <w:kern w:val="0"/>
          <w:szCs w:val="21"/>
          <w14:textFill>
            <w14:solidFill>
              <w14:schemeClr w14:val="tx1"/>
            </w14:solidFill>
          </w14:textFill>
        </w:rPr>
        <w:t>分标</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数量：1</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预算金额（元）：476000</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简要规格描述或项目基本概况介绍、用途：详见</w:t>
      </w:r>
      <w:r>
        <w:rPr>
          <w:rFonts w:hint="eastAsia" w:ascii="宋体" w:hAnsi="宋体"/>
          <w:color w:val="000000" w:themeColor="text1"/>
          <w:kern w:val="0"/>
          <w:szCs w:val="21"/>
          <w14:textFill>
            <w14:solidFill>
              <w14:schemeClr w14:val="tx1"/>
            </w14:solidFill>
          </w14:textFill>
        </w:rPr>
        <w:t>采购需求</w:t>
      </w:r>
      <w:r>
        <w:rPr>
          <w:rFonts w:ascii="宋体" w:hAnsi="宋体"/>
          <w:color w:val="000000" w:themeColor="text1"/>
          <w:kern w:val="0"/>
          <w:szCs w:val="21"/>
          <w14:textFill>
            <w14:solidFill>
              <w14:schemeClr w14:val="tx1"/>
            </w14:solidFill>
          </w14:textFill>
        </w:rPr>
        <w:t>。</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最高限价（如有）：476000</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合同履约期限：</w:t>
      </w:r>
      <w:r>
        <w:rPr>
          <w:rFonts w:hint="eastAsia" w:ascii="宋体" w:hAnsi="宋体"/>
          <w:color w:val="000000" w:themeColor="text1"/>
          <w:kern w:val="0"/>
          <w:szCs w:val="21"/>
          <w14:textFill>
            <w14:solidFill>
              <w14:schemeClr w14:val="tx1"/>
            </w14:solidFill>
          </w14:textFill>
        </w:rPr>
        <w:t>交付使用时间：合同签订后3个日历日内。租用时间:2026年2月1日至2027年6月30日（17个月）。如合同签订之日晚于2026年2月1日，则从签订之日起计算17个月。</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ascii="宋体" w:hAnsi="宋体"/>
          <w:color w:val="000000" w:themeColor="text1"/>
          <w:szCs w:val="21"/>
          <w14:textFill>
            <w14:solidFill>
              <w14:schemeClr w14:val="tx1"/>
            </w14:solidFill>
          </w14:textFill>
        </w:rPr>
        <w:t>否</w:t>
      </w:r>
      <w:r>
        <w:rPr>
          <w:rFonts w:ascii="宋体" w:hAnsi="宋体"/>
          <w:color w:val="000000" w:themeColor="text1"/>
          <w:kern w:val="0"/>
          <w:szCs w:val="21"/>
          <w14:textFill>
            <w14:solidFill>
              <w14:schemeClr w14:val="tx1"/>
            </w14:solidFill>
          </w14:textFill>
        </w:rPr>
        <w:t>）接受联合体。</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备注：</w:t>
      </w:r>
      <w:r>
        <w:rPr>
          <w:rFonts w:hint="eastAsia" w:ascii="宋体" w:hAnsi="宋体"/>
          <w:color w:val="000000" w:themeColor="text1"/>
          <w:kern w:val="0"/>
          <w:szCs w:val="21"/>
          <w14:textFill>
            <w14:solidFill>
              <w14:schemeClr w14:val="tx1"/>
            </w14:solidFill>
          </w14:textFill>
        </w:rPr>
        <w:t>无</w:t>
      </w:r>
    </w:p>
    <w:p>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二、申请人的资格要求</w:t>
      </w:r>
    </w:p>
    <w:p>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1、满足《中华人民共和国政府采购法》第二十二条规定；</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2、落实政府采购政策需满足的资格要求：</w:t>
      </w:r>
      <w:r>
        <w:rPr>
          <w:rFonts w:hint="eastAsia" w:ascii="宋体" w:hAnsi="宋体"/>
          <w:color w:val="000000" w:themeColor="text1"/>
          <w:szCs w:val="21"/>
          <w14:textFill>
            <w14:solidFill>
              <w14:schemeClr w14:val="tx1"/>
            </w14:solidFill>
          </w14:textFill>
        </w:rPr>
        <w:t>无</w:t>
      </w:r>
      <w:r>
        <w:rPr>
          <w:rFonts w:ascii="宋体" w:hAnsi="宋体"/>
          <w:color w:val="000000" w:themeColor="text1"/>
          <w:kern w:val="0"/>
          <w:szCs w:val="21"/>
          <w14:textFill>
            <w14:solidFill>
              <w14:schemeClr w14:val="tx1"/>
            </w14:solidFill>
          </w14:textFill>
        </w:rPr>
        <w:t>。</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3．本项目的特定资格要求：</w:t>
      </w:r>
      <w:r>
        <w:rPr>
          <w:rFonts w:hint="eastAsia" w:ascii="宋体" w:hAnsi="宋体"/>
          <w:color w:val="000000" w:themeColor="text1"/>
          <w:kern w:val="0"/>
          <w:szCs w:val="21"/>
          <w14:textFill>
            <w14:solidFill>
              <w14:schemeClr w14:val="tx1"/>
            </w14:solidFill>
          </w14:textFill>
        </w:rPr>
        <w:t xml:space="preserve"> </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（1）资质要求：</w:t>
      </w:r>
      <w:r>
        <w:rPr>
          <w:rFonts w:hint="eastAsia" w:ascii="宋体" w:hAnsi="宋体"/>
          <w:color w:val="000000" w:themeColor="text1"/>
          <w:kern w:val="0"/>
          <w:szCs w:val="21"/>
          <w14:textFill>
            <w14:solidFill>
              <w14:schemeClr w14:val="tx1"/>
            </w14:solidFill>
          </w14:textFill>
        </w:rPr>
        <w:t>供应商响应的线路必须具有基础电信业务经营许可证或为网络信息传输服务运营商经营的线路，响应文件中必须列明并提供相关证明文件复印件。供应商须提供线路运营商针对本项目的授权书和售后服务承诺书原件扫描件</w:t>
      </w:r>
      <w:r>
        <w:rPr>
          <w:rFonts w:ascii="宋体" w:hAnsi="宋体"/>
          <w:color w:val="000000" w:themeColor="text1"/>
          <w:kern w:val="0"/>
          <w:szCs w:val="21"/>
          <w14:textFill>
            <w14:solidFill>
              <w14:schemeClr w14:val="tx1"/>
            </w14:solidFill>
          </w14:textFill>
        </w:rPr>
        <w:t>。</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（2）业绩要求：无。</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（4）本项目是政府购买服务，公益一类事业单位、使用事业编制且由财政拨款保障的群团组织，不得参加本项目的采购活动。</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）未被列入失信被执行人、税收违法黑名单、政府采购严重违法失信行为记录名单。</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本项目不允许分包。</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）按照</w:t>
      </w:r>
      <w:r>
        <w:rPr>
          <w:rFonts w:ascii="宋体" w:hAnsi="宋体"/>
          <w:color w:val="000000" w:themeColor="text1"/>
          <w14:textFill>
            <w14:solidFill>
              <w14:schemeClr w14:val="tx1"/>
            </w14:solidFill>
          </w14:textFill>
        </w:rPr>
        <w:t>磋商</w:t>
      </w:r>
      <w:r>
        <w:rPr>
          <w:rFonts w:ascii="宋体" w:hAnsi="宋体"/>
          <w:color w:val="000000" w:themeColor="text1"/>
          <w:kern w:val="0"/>
          <w:szCs w:val="21"/>
          <w14:textFill>
            <w14:solidFill>
              <w14:schemeClr w14:val="tx1"/>
            </w14:solidFill>
          </w14:textFill>
        </w:rPr>
        <w:t>公告的规定获得</w:t>
      </w:r>
      <w:r>
        <w:rPr>
          <w:rFonts w:ascii="宋体" w:hAnsi="宋体"/>
          <w:color w:val="000000" w:themeColor="text1"/>
          <w14:textFill>
            <w14:solidFill>
              <w14:schemeClr w14:val="tx1"/>
            </w14:solidFill>
          </w14:textFill>
        </w:rPr>
        <w:t>采购文件</w:t>
      </w:r>
      <w:r>
        <w:rPr>
          <w:rFonts w:ascii="宋体" w:hAnsi="宋体"/>
          <w:color w:val="000000" w:themeColor="text1"/>
          <w:kern w:val="0"/>
          <w:szCs w:val="21"/>
          <w14:textFill>
            <w14:solidFill>
              <w14:schemeClr w14:val="tx1"/>
            </w14:solidFill>
          </w14:textFill>
        </w:rPr>
        <w:t>。采购文件有规定时按要求提交磋商保证金。</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三、获取采购文件</w:t>
      </w:r>
    </w:p>
    <w:p>
      <w:pPr>
        <w:spacing w:line="312" w:lineRule="auto"/>
        <w:ind w:firstLine="420" w:firstLineChars="200"/>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时间：2025年</w:t>
      </w:r>
      <w:r>
        <w:rPr>
          <w:rFonts w:hint="eastAsia" w:ascii="宋体" w:hAnsi="宋体"/>
          <w:color w:val="000000" w:themeColor="text1"/>
          <w14:textFill>
            <w14:solidFill>
              <w14:schemeClr w14:val="tx1"/>
            </w14:solidFill>
          </w14:textFill>
        </w:rPr>
        <w:t>11</w:t>
      </w:r>
      <w:r>
        <w:rPr>
          <w:rFonts w:ascii="宋体" w:hAnsi="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14</w:t>
      </w:r>
      <w:r>
        <w:rPr>
          <w:rFonts w:ascii="宋体" w:hAnsi="宋体"/>
          <w:color w:val="000000" w:themeColor="text1"/>
          <w14:textFill>
            <w14:solidFill>
              <w14:schemeClr w14:val="tx1"/>
            </w14:solidFill>
          </w14:textFill>
        </w:rPr>
        <w:t>日起至2025年</w:t>
      </w:r>
      <w:r>
        <w:rPr>
          <w:rFonts w:hint="eastAsia" w:ascii="宋体" w:hAnsi="宋体"/>
          <w:color w:val="000000" w:themeColor="text1"/>
          <w14:textFill>
            <w14:solidFill>
              <w14:schemeClr w14:val="tx1"/>
            </w14:solidFill>
          </w14:textFill>
        </w:rPr>
        <w:t>11</w:t>
      </w:r>
      <w:r>
        <w:rPr>
          <w:rFonts w:ascii="宋体" w:hAnsi="宋体"/>
          <w:color w:val="000000" w:themeColor="text1"/>
          <w14:textFill>
            <w14:solidFill>
              <w14:schemeClr w14:val="tx1"/>
            </w14:solidFill>
          </w14:textFill>
        </w:rPr>
        <w:t>月</w:t>
      </w:r>
      <w:r>
        <w:rPr>
          <w:rFonts w:hint="eastAsia" w:ascii="宋体" w:hAnsi="宋体"/>
          <w:color w:val="000000" w:themeColor="text1"/>
          <w14:textFill>
            <w14:solidFill>
              <w14:schemeClr w14:val="tx1"/>
            </w14:solidFill>
          </w14:textFill>
        </w:rPr>
        <w:t>21</w:t>
      </w:r>
      <w:r>
        <w:rPr>
          <w:rFonts w:ascii="宋体" w:hAnsi="宋体"/>
          <w:color w:val="000000" w:themeColor="text1"/>
          <w14:textFill>
            <w14:solidFill>
              <w14:schemeClr w14:val="tx1"/>
            </w14:solidFill>
          </w14:textFill>
        </w:rPr>
        <w:t>日，每天上午08时30分至12时00分，下午14时30分至17时30分（北京时间，法定节假日除外）。</w:t>
      </w:r>
    </w:p>
    <w:p>
      <w:pPr>
        <w:spacing w:line="312" w:lineRule="auto"/>
        <w:ind w:firstLine="420" w:firstLineChars="200"/>
        <w:rPr>
          <w:rFonts w:hint="eastAsia" w:ascii="宋体" w:hAnsi="宋体"/>
          <w:color w:val="000000" w:themeColor="text1"/>
          <w:szCs w:val="21"/>
          <w14:textFill>
            <w14:solidFill>
              <w14:schemeClr w14:val="tx1"/>
            </w14:solidFill>
          </w14:textFill>
        </w:rPr>
      </w:pPr>
      <w:bookmarkStart w:id="12" w:name="_Hlk46137393"/>
      <w:r>
        <w:rPr>
          <w:rFonts w:ascii="宋体" w:hAnsi="宋体"/>
          <w:color w:val="000000" w:themeColor="text1"/>
          <w:szCs w:val="21"/>
          <w14:textFill>
            <w14:solidFill>
              <w14:schemeClr w14:val="tx1"/>
            </w14:solidFill>
          </w14:textFill>
        </w:rPr>
        <w:t>地点（网址）：</w:t>
      </w:r>
      <w:bookmarkEnd w:id="12"/>
      <w:r>
        <w:rPr>
          <w:rFonts w:ascii="宋体" w:hAnsi="宋体"/>
          <w:color w:val="000000" w:themeColor="text1"/>
          <w:kern w:val="0"/>
          <w:szCs w:val="21"/>
          <w14:textFill>
            <w14:solidFill>
              <w14:schemeClr w14:val="tx1"/>
            </w14:solidFill>
          </w14:textFill>
        </w:rPr>
        <w:t>广西政府采购云平台（https://www.gcy.zfcg.gxzf.gov.cn/）</w:t>
      </w:r>
    </w:p>
    <w:p>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方式：本项目不提供纸质文件，供应商登录广西政府采购云平台https://www.gcy.zfcg.gxzf.gov.cn/在线申请获取采购文件（进入“项目采购”应用，在获取采购文件菜单中选择项目，申请获取采购文件）</w:t>
      </w:r>
    </w:p>
    <w:p>
      <w:pPr>
        <w:spacing w:line="312"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售价（元）：0。</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四、响应文件提交</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截止时间：2025年</w:t>
      </w:r>
      <w:r>
        <w:rPr>
          <w:rFonts w:hint="eastAsia" w:ascii="宋体" w:hAnsi="宋体"/>
          <w:color w:val="000000" w:themeColor="text1"/>
          <w:kern w:val="0"/>
          <w:szCs w:val="21"/>
          <w14:textFill>
            <w14:solidFill>
              <w14:schemeClr w14:val="tx1"/>
            </w14:solidFill>
          </w14:textFill>
        </w:rPr>
        <w:t>11</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25</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09</w:t>
      </w:r>
      <w:r>
        <w:rPr>
          <w:rFonts w:ascii="宋体" w:hAnsi="宋体"/>
          <w:color w:val="000000" w:themeColor="text1"/>
          <w:kern w:val="0"/>
          <w:szCs w:val="21"/>
          <w14:textFill>
            <w14:solidFill>
              <w14:schemeClr w14:val="tx1"/>
            </w14:solidFill>
          </w14:textFill>
        </w:rPr>
        <w:t>时</w:t>
      </w: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0分（北京时间）</w:t>
      </w:r>
    </w:p>
    <w:p>
      <w:pPr>
        <w:spacing w:line="30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地点（网址）：</w:t>
      </w:r>
      <w:r>
        <w:rPr>
          <w:rFonts w:ascii="宋体" w:hAnsi="宋体"/>
          <w:color w:val="000000" w:themeColor="text1"/>
          <w:szCs w:val="21"/>
          <w14:textFill>
            <w14:solidFill>
              <w14:schemeClr w14:val="tx1"/>
            </w14:solidFill>
          </w14:textFill>
        </w:rPr>
        <w:t>本项目为全流程电子化项目，没有现场递交响应文件及现场截标环节，通过广西政府采购云平台（https://www.gcy.zfcg.gxzf.gov.cn/）实行在线电子响应，供应商应先安装“政采云投标客户端”（请自行前往广西政府采购云平台进行下载），并按照本项目采购文件和“</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”的要求使用CA认证编制、加密响应文件后在响应截止时间前上传至广西政府采购云平台，供应商在广西政府采购云平台提交电子版响应文件时，请填写参加远程截标活动经办人联系方式。</w:t>
      </w:r>
    </w:p>
    <w:p>
      <w:pPr>
        <w:spacing w:line="300" w:lineRule="exact"/>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五、开启</w:t>
      </w:r>
    </w:p>
    <w:p>
      <w:pPr>
        <w:spacing w:line="312" w:lineRule="auto"/>
        <w:ind w:firstLine="442" w:firstLineChars="200"/>
        <w:jc w:val="left"/>
        <w:rPr>
          <w:rFonts w:hint="eastAsia" w:ascii="宋体" w:hAnsi="宋体"/>
          <w:color w:val="000000" w:themeColor="text1"/>
          <w:kern w:val="0"/>
          <w:szCs w:val="21"/>
          <w14:textFill>
            <w14:solidFill>
              <w14:schemeClr w14:val="tx1"/>
            </w14:solidFill>
          </w14:textFill>
        </w:rPr>
      </w:pPr>
      <w:r>
        <w:rPr>
          <w:rFonts w:ascii="宋体" w:hAnsi="宋体"/>
          <w:b/>
          <w:bCs/>
          <w:color w:val="000000" w:themeColor="text1"/>
          <w:kern w:val="0"/>
          <w:sz w:val="22"/>
          <w14:textFill>
            <w14:solidFill>
              <w14:schemeClr w14:val="tx1"/>
            </w14:solidFill>
          </w14:textFill>
        </w:rPr>
        <w:t>开启时间：</w:t>
      </w:r>
      <w:r>
        <w:rPr>
          <w:rFonts w:ascii="宋体" w:hAnsi="宋体"/>
          <w:color w:val="000000" w:themeColor="text1"/>
          <w:kern w:val="0"/>
          <w:szCs w:val="21"/>
          <w14:textFill>
            <w14:solidFill>
              <w14:schemeClr w14:val="tx1"/>
            </w14:solidFill>
          </w14:textFill>
        </w:rPr>
        <w:t>2025年</w:t>
      </w:r>
      <w:r>
        <w:rPr>
          <w:rFonts w:hint="eastAsia" w:ascii="宋体" w:hAnsi="宋体"/>
          <w:color w:val="000000" w:themeColor="text1"/>
          <w:kern w:val="0"/>
          <w:szCs w:val="21"/>
          <w14:textFill>
            <w14:solidFill>
              <w14:schemeClr w14:val="tx1"/>
            </w14:solidFill>
          </w14:textFill>
        </w:rPr>
        <w:t>11</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25</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09</w:t>
      </w:r>
      <w:r>
        <w:rPr>
          <w:rFonts w:ascii="宋体" w:hAnsi="宋体"/>
          <w:color w:val="000000" w:themeColor="text1"/>
          <w:kern w:val="0"/>
          <w:szCs w:val="21"/>
          <w14:textFill>
            <w14:solidFill>
              <w14:schemeClr w14:val="tx1"/>
            </w14:solidFill>
          </w14:textFill>
        </w:rPr>
        <w:t>时</w:t>
      </w: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0分（北京时间）</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地点：</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（https://www.gcy.zfcg.gxzf.gov.cn/）电子开标大厅。</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六、公告期限</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自本公告发布之日起5个工作日。</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七、其他补充事宜</w:t>
      </w:r>
    </w:p>
    <w:p>
      <w:pPr>
        <w:wordWrap w:val="0"/>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1.公告发布媒体：广西壮族自治区政府采购网（https://zfcg.gxzf.gov.cn）、中国政府采购网（https://www.ccgp.gov.cn）。</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2.需落实的政府采购政策：本项目适用政府采购促进中小企业、监狱企业发展、促进残疾人就业、节能环保等有关政策，具体详见采购文件。</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3.本项目供应商的产生方式：</w:t>
      </w:r>
      <w:r>
        <w:rPr>
          <w:rFonts w:ascii="宋体" w:hAnsi="宋体"/>
          <w:color w:val="000000" w:themeColor="text1"/>
          <w14:textFill>
            <w14:solidFill>
              <w14:schemeClr w14:val="tx1"/>
            </w14:solidFill>
          </w14:textFill>
        </w:rPr>
        <w:t>发布公告征集。</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4.注意事项：</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pPr>
        <w:wordWrap w:val="0"/>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若对项目采购电子交易系统操作有疑问，可登录广西政府采购云平台（https://www.gcy.zfcg.gxzf.gov.cn/），点击右侧咨询小采获取采小蜜智能服务管家帮助或点击右侧帮助文档查看供应商指南或拨打政采云服务热线95763获取热线服务帮助。</w:t>
      </w:r>
    </w:p>
    <w:p>
      <w:pPr>
        <w:spacing w:line="312" w:lineRule="auto"/>
        <w:ind w:firstLine="442" w:firstLineChars="200"/>
        <w:jc w:val="left"/>
        <w:rPr>
          <w:rFonts w:hint="eastAsia" w:ascii="宋体" w:hAnsi="宋体"/>
          <w:b/>
          <w:bCs/>
          <w:color w:val="000000" w:themeColor="text1"/>
          <w:kern w:val="0"/>
          <w:sz w:val="22"/>
          <w14:textFill>
            <w14:solidFill>
              <w14:schemeClr w14:val="tx1"/>
            </w14:solidFill>
          </w14:textFill>
        </w:rPr>
      </w:pPr>
      <w:r>
        <w:rPr>
          <w:rFonts w:ascii="宋体" w:hAnsi="宋体"/>
          <w:b/>
          <w:bCs/>
          <w:color w:val="000000" w:themeColor="text1"/>
          <w:kern w:val="0"/>
          <w:sz w:val="22"/>
          <w14:textFill>
            <w14:solidFill>
              <w14:schemeClr w14:val="tx1"/>
            </w14:solidFill>
          </w14:textFill>
        </w:rPr>
        <w:t>八、对本次采购提出询问，请按以下方式联系</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1.采购人信息</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3" w:name="_Hlk19048373"/>
      <w:r>
        <w:rPr>
          <w:rFonts w:ascii="宋体" w:hAnsi="宋体"/>
          <w:color w:val="000000" w:themeColor="text1"/>
          <w:kern w:val="0"/>
          <w:szCs w:val="21"/>
          <w14:textFill>
            <w14:solidFill>
              <w14:schemeClr w14:val="tx1"/>
            </w14:solidFill>
          </w14:textFill>
        </w:rPr>
        <w:t>名称：广西公安计算机通讯技术研究所</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地址：广西</w:t>
      </w:r>
      <w:r>
        <w:rPr>
          <w:rFonts w:hint="eastAsia" w:ascii="宋体" w:hAnsi="宋体"/>
          <w:color w:val="000000" w:themeColor="text1"/>
          <w:kern w:val="0"/>
          <w:szCs w:val="21"/>
          <w14:textFill>
            <w14:solidFill>
              <w14:schemeClr w14:val="tx1"/>
            </w14:solidFill>
          </w14:textFill>
        </w:rPr>
        <w:t>南宁市佛子岭路1号</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项目联系人：</w:t>
      </w:r>
      <w:r>
        <w:rPr>
          <w:rFonts w:hint="eastAsia" w:ascii="宋体" w:hAnsi="宋体"/>
          <w:color w:val="000000" w:themeColor="text1"/>
          <w:kern w:val="0"/>
          <w:szCs w:val="21"/>
          <w14:textFill>
            <w14:solidFill>
              <w14:schemeClr w14:val="tx1"/>
            </w14:solidFill>
          </w14:textFill>
        </w:rPr>
        <w:t>邓明</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项目联系方式：0771-</w:t>
      </w:r>
      <w:r>
        <w:rPr>
          <w:rStyle w:val="23"/>
          <w:rFonts w:hint="eastAsia" w:ascii="宋体" w:hAnsi="宋体"/>
          <w:color w:val="000000" w:themeColor="text1"/>
          <w14:textFill>
            <w14:solidFill>
              <w14:schemeClr w14:val="tx1"/>
            </w14:solidFill>
          </w14:textFill>
        </w:rPr>
        <w:t>2892610</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2.采购代理机构信息</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名称：广西机电设备招标有限公司</w:t>
      </w:r>
    </w:p>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bookmarkStart w:id="14" w:name="_Hlk43198245"/>
      <w:r>
        <w:rPr>
          <w:rFonts w:ascii="宋体" w:hAnsi="宋体"/>
          <w:color w:val="000000" w:themeColor="text1"/>
          <w14:textFill>
            <w14:solidFill>
              <w14:schemeClr w14:val="tx1"/>
            </w14:solidFill>
          </w14:textFill>
        </w:rPr>
        <w:t>广西南宁市金湖路63号金源CBD现代城B座7层701</w:t>
      </w:r>
      <w:bookmarkEnd w:id="14"/>
    </w:p>
    <w:bookmarkEnd w:id="13"/>
    <w:p>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项目联系人：旷若兰、</w:t>
      </w:r>
      <w:r>
        <w:rPr>
          <w:rFonts w:hint="eastAsia" w:ascii="宋体" w:hAnsi="宋体"/>
          <w:color w:val="000000" w:themeColor="text1"/>
          <w:kern w:val="0"/>
          <w:szCs w:val="21"/>
          <w14:textFill>
            <w14:solidFill>
              <w14:schemeClr w14:val="tx1"/>
            </w14:solidFill>
          </w14:textFill>
        </w:rPr>
        <w:t>覃梦琦</w:t>
      </w:r>
    </w:p>
    <w:p>
      <w:pPr>
        <w:spacing w:line="312" w:lineRule="auto"/>
        <w:ind w:right="420"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项目联系方式：0771-2808960</w:t>
      </w:r>
    </w:p>
    <w:p>
      <w:pPr>
        <w:spacing w:line="312" w:lineRule="auto"/>
        <w:ind w:firstLine="420" w:firstLineChars="200"/>
        <w:jc w:val="right"/>
        <w:rPr>
          <w:rFonts w:hint="eastAsia" w:ascii="宋体" w:hAnsi="宋体"/>
          <w:color w:val="000000" w:themeColor="text1"/>
          <w:kern w:val="0"/>
          <w:szCs w:val="21"/>
          <w14:textFill>
            <w14:solidFill>
              <w14:schemeClr w14:val="tx1"/>
            </w14:solidFill>
          </w14:textFill>
        </w:rPr>
      </w:pPr>
    </w:p>
    <w:p>
      <w:pPr>
        <w:spacing w:line="312" w:lineRule="auto"/>
        <w:ind w:firstLine="420" w:firstLineChars="2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广西机电设备招标有限公司</w:t>
      </w:r>
    </w:p>
    <w:p>
      <w:pPr>
        <w:spacing w:line="312" w:lineRule="auto"/>
        <w:ind w:firstLine="420" w:firstLineChars="200"/>
        <w:jc w:val="right"/>
        <w:rPr>
          <w:rFonts w:hint="eastAsia" w:ascii="宋体" w:hAnsi="宋体"/>
          <w:color w:val="000000" w:themeColor="text1"/>
          <w:kern w:val="0"/>
          <w:sz w:val="18"/>
          <w:szCs w:val="18"/>
          <w14:textFill>
            <w14:solidFill>
              <w14:schemeClr w14:val="tx1"/>
            </w14:solidFill>
          </w14:textFill>
        </w:rPr>
      </w:pPr>
      <w:r>
        <w:rPr>
          <w:rFonts w:ascii="宋体" w:hAnsi="宋体"/>
          <w:color w:val="000000" w:themeColor="text1"/>
          <w:kern w:val="0"/>
          <w:szCs w:val="21"/>
          <w14:textFill>
            <w14:solidFill>
              <w14:schemeClr w14:val="tx1"/>
            </w14:solidFill>
          </w14:textFill>
        </w:rPr>
        <w:t>2025年</w:t>
      </w:r>
      <w:r>
        <w:rPr>
          <w:rFonts w:hint="eastAsia" w:ascii="宋体" w:hAnsi="宋体"/>
          <w:color w:val="000000" w:themeColor="text1"/>
          <w:kern w:val="0"/>
          <w:szCs w:val="21"/>
          <w14:textFill>
            <w14:solidFill>
              <w14:schemeClr w14:val="tx1"/>
            </w14:solidFill>
          </w14:textFill>
        </w:rPr>
        <w:t>11</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14</w:t>
      </w:r>
      <w:r>
        <w:rPr>
          <w:rFonts w:ascii="宋体" w:hAnsi="宋体"/>
          <w:color w:val="000000" w:themeColor="text1"/>
          <w:kern w:val="0"/>
          <w:szCs w:val="21"/>
          <w14:textFill>
            <w14:solidFill>
              <w14:schemeClr w14:val="tx1"/>
            </w14:solidFill>
          </w14:textFill>
        </w:rPr>
        <w:t>日</w:t>
      </w:r>
    </w:p>
    <w:bookmarkEnd w:id="9"/>
    <w:p>
      <w:pPr>
        <w:ind w:firstLine="409" w:firstLineChars="195"/>
        <w:jc w:val="left"/>
        <w:rPr>
          <w:rFonts w:hint="eastAsia" w:ascii="宋体" w:hAnsi="宋体"/>
          <w:color w:val="000000" w:themeColor="text1"/>
          <w:kern w:val="0"/>
          <w:szCs w:val="21"/>
          <w14:textFill>
            <w14:solidFill>
              <w14:schemeClr w14:val="tx1"/>
            </w14:solidFill>
          </w14:textFill>
        </w:rPr>
      </w:pPr>
    </w:p>
    <w:bookmarkEnd w:id="10"/>
    <w:p>
      <w:pPr>
        <w:spacing w:line="312" w:lineRule="auto"/>
        <w:ind w:right="105" w:firstLine="360" w:firstLineChars="200"/>
        <w:jc w:val="right"/>
        <w:rPr>
          <w:rFonts w:hint="eastAsia" w:ascii="宋体" w:hAnsi="宋体"/>
          <w:color w:val="000000" w:themeColor="text1"/>
          <w:kern w:val="0"/>
          <w:sz w:val="18"/>
          <w:szCs w:val="18"/>
          <w14:textFill>
            <w14:solidFill>
              <w14:schemeClr w14:val="tx1"/>
            </w14:solidFill>
          </w14:textFill>
        </w:rPr>
      </w:pPr>
    </w:p>
    <w:p>
      <w:pPr>
        <w:pStyle w:val="11"/>
        <w:snapToGrid w:val="0"/>
        <w:spacing w:before="120" w:after="120" w:line="320" w:lineRule="exact"/>
        <w:jc w:val="center"/>
        <w:outlineLvl w:val="0"/>
        <w:rPr>
          <w:rFonts w:hint="eastAsia" w:hAnsi="宋体" w:cs="Times New Roman"/>
          <w:color w:val="000000" w:themeColor="text1"/>
          <w14:textFill>
            <w14:solidFill>
              <w14:schemeClr w14:val="tx1"/>
            </w14:solidFill>
          </w14:textFill>
        </w:rPr>
        <w:sectPr>
          <w:pgSz w:w="11906" w:h="16838"/>
          <w:pgMar w:top="1135" w:right="1133" w:bottom="1246" w:left="1418" w:header="851" w:footer="903" w:gutter="0"/>
          <w:pgNumType w:start="1"/>
          <w:cols w:space="720" w:num="1"/>
          <w:docGrid w:linePitch="312" w:charSpace="0"/>
        </w:sectPr>
      </w:pPr>
    </w:p>
    <w:p>
      <w:pPr>
        <w:rPr>
          <w:rFonts w:hint="eastAsia" w:ascii="宋体" w:hAnsi="宋体"/>
          <w:color w:val="000000" w:themeColor="text1"/>
          <w14:textFill>
            <w14:solidFill>
              <w14:schemeClr w14:val="tx1"/>
            </w14:solidFill>
          </w14:textFill>
        </w:rPr>
      </w:pPr>
    </w:p>
    <w:p>
      <w:pPr>
        <w:pStyle w:val="11"/>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15" w:name="_Toc202203000"/>
      <w:r>
        <w:rPr>
          <w:rFonts w:hAnsi="宋体" w:cs="Times New Roman"/>
          <w:color w:val="000000" w:themeColor="text1"/>
          <w:sz w:val="32"/>
          <w:szCs w:val="32"/>
          <w14:textFill>
            <w14:solidFill>
              <w14:schemeClr w14:val="tx1"/>
            </w14:solidFill>
          </w14:textFill>
        </w:rPr>
        <w:t>第二章  采购需求</w:t>
      </w:r>
      <w:bookmarkEnd w:id="15"/>
    </w:p>
    <w:p>
      <w:pPr>
        <w:spacing w:line="360" w:lineRule="auto"/>
        <w:outlineLvl w:val="1"/>
        <w:rPr>
          <w:rFonts w:hint="eastAsia" w:ascii="宋体" w:hAnsi="宋体"/>
          <w:b/>
          <w:color w:val="000000" w:themeColor="text1"/>
          <w:kern w:val="0"/>
          <w:sz w:val="28"/>
          <w:szCs w:val="28"/>
          <w14:textFill>
            <w14:solidFill>
              <w14:schemeClr w14:val="tx1"/>
            </w14:solidFill>
          </w14:textFill>
        </w:rPr>
      </w:pPr>
      <w:bookmarkStart w:id="16" w:name="_Toc254970490"/>
      <w:bookmarkStart w:id="17" w:name="_Toc254970631"/>
      <w:r>
        <w:rPr>
          <w:rFonts w:hint="eastAsia" w:ascii="宋体" w:hAnsi="宋体"/>
          <w:b/>
          <w:color w:val="000000" w:themeColor="text1"/>
          <w:kern w:val="0"/>
          <w:sz w:val="28"/>
          <w:szCs w:val="28"/>
          <w14:textFill>
            <w14:solidFill>
              <w14:schemeClr w14:val="tx1"/>
            </w14:solidFill>
          </w14:textFill>
        </w:rPr>
        <w:t>A</w:t>
      </w:r>
      <w:r>
        <w:rPr>
          <w:rFonts w:ascii="宋体" w:hAnsi="宋体"/>
          <w:b/>
          <w:color w:val="000000" w:themeColor="text1"/>
          <w:kern w:val="0"/>
          <w:sz w:val="28"/>
          <w:szCs w:val="28"/>
          <w14:textFill>
            <w14:solidFill>
              <w14:schemeClr w14:val="tx1"/>
            </w14:solidFill>
          </w14:textFill>
        </w:rPr>
        <w:t>分标</w:t>
      </w: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一、总体要求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1.政府采购政策的应用</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详见采购文件“评审方法及标准/政府采购政策应用说明”。</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2.采购需求要求未尽事宜由采购人与成交供应商在采购合同中约定。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3.标注“▲”的条款或要求系指实质性条款或实质性要求，必须满足，如存在负偏离将导致响应被否决。</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bookmarkStart w:id="18" w:name="_Hlk77607533"/>
      <w:r>
        <w:rPr>
          <w:rFonts w:ascii="宋体" w:hAnsi="宋体"/>
          <w:color w:val="000000" w:themeColor="text1"/>
          <w:szCs w:val="21"/>
          <w14:textFill>
            <w14:solidFill>
              <w14:schemeClr w14:val="tx1"/>
            </w14:solidFill>
          </w14:textFill>
        </w:rPr>
        <w:t>客观且未量化的指标视为实质性。</w:t>
      </w:r>
      <w:bookmarkEnd w:id="18"/>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二、技术要求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1.需实现的功能、目标及应用场景</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满足采购文件要求，验收达到合格标准。</w:t>
      </w:r>
    </w:p>
    <w:p>
      <w:pPr>
        <w:spacing w:line="360" w:lineRule="auto"/>
        <w:rPr>
          <w:rFonts w:hint="eastAsia" w:ascii="宋体" w:hAnsi="宋体"/>
          <w:color w:val="000000" w:themeColor="text1"/>
          <w:szCs w:val="21"/>
          <w14:textFill>
            <w14:solidFill>
              <w14:schemeClr w14:val="tx1"/>
            </w14:solidFill>
          </w14:textFill>
        </w:rPr>
      </w:pPr>
      <w:bookmarkStart w:id="19" w:name="_Hlk89170486"/>
      <w:r>
        <w:rPr>
          <w:rFonts w:ascii="宋体" w:hAnsi="宋体"/>
          <w:color w:val="000000" w:themeColor="text1"/>
          <w:szCs w:val="21"/>
          <w14:textFill>
            <w14:solidFill>
              <w14:schemeClr w14:val="tx1"/>
            </w14:solidFill>
          </w14:textFill>
        </w:rPr>
        <w:t>2.需执行的国家相关标准、行业标准、地方标准或者其他标准、规范</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i/>
          <w:color w:val="000000" w:themeColor="text1"/>
          <w:szCs w:val="21"/>
          <w:u w:val="single"/>
          <w14:textFill>
            <w14:solidFill>
              <w14:schemeClr w14:val="tx1"/>
            </w14:solidFill>
          </w14:textFill>
        </w:rPr>
        <w:t>详见技术指标要求。</w:t>
      </w:r>
    </w:p>
    <w:bookmarkEnd w:id="19"/>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3.标的所属行业：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所属行业根据项目情况按照以下行业类型选择：</w:t>
      </w:r>
      <w:r>
        <w:rPr>
          <w:rFonts w:hint="eastAsia" w:ascii="宋体" w:hAnsi="宋体"/>
          <w:color w:val="000000" w:themeColor="text1"/>
          <w:szCs w:val="21"/>
          <w14:textFill>
            <w14:solidFill>
              <w14:schemeClr w14:val="tx1"/>
            </w14:solidFill>
          </w14:textFill>
        </w:rPr>
        <w:t>租赁与商业服务业</w:t>
      </w:r>
      <w:r>
        <w:rPr>
          <w:rFonts w:ascii="宋体" w:hAnsi="宋体"/>
          <w:b/>
          <w:bCs/>
          <w:color w:val="000000" w:themeColor="text1"/>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4.核心产品</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本项目为服务项目，不适用核心产品规定。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5.服务内容和标准</w:t>
      </w:r>
    </w:p>
    <w:p>
      <w:pPr>
        <w:spacing w:line="360" w:lineRule="auto"/>
        <w:ind w:firstLine="420" w:firstLineChars="200"/>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5.1为做好新一期公安网二级网线路租赁与现有租赁合同的衔接工作，拟租赁公安厅至各市公安局公安二级网线路14条（每个市1000M主线各一条）及全网运维管理，租期为2026年2月1日至2027年6月30日（17个月）。</w:t>
      </w:r>
      <w:r>
        <w:rPr>
          <w:rFonts w:hint="eastAsia" w:ascii="宋体" w:hAnsi="宋体"/>
          <w:color w:val="000000" w:themeColor="text1"/>
          <w:kern w:val="0"/>
          <w:szCs w:val="21"/>
          <w14:textFill>
            <w14:solidFill>
              <w14:schemeClr w14:val="tx1"/>
            </w14:solidFill>
          </w14:textFill>
        </w:rPr>
        <w:t>如合同签订之日晚于2026年2月1日，则从签订之日起计算17个月。</w:t>
      </w:r>
    </w:p>
    <w:p>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5.2 技术指标要求</w:t>
      </w:r>
    </w:p>
    <w:p>
      <w:pPr>
        <w:spacing w:line="360" w:lineRule="auto"/>
        <w:ind w:firstLine="422" w:firstLineChars="200"/>
        <w:outlineLvl w:val="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（一）线路要求：</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1、提供公安厅至南宁市公安局1条双芯裸光纤线路（主线），要求接头损耗小于0.5dbm，全程损耗小于15dbm，光纤采用G.652光纤；</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2、提供公安厅至各市公安局（除南宁市）13条专线电路（主线），线路带宽为1000Mbps。电路两端的端口为GE单模光口，实际可用带宽≥80%，传输技术要求采用波分技术。</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3、传输模式要求使用点对点透传的方式开通公安厅至各市的GE单模光口电路。</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4、传输骨干层及接入层要求二级网全网的电路为光纤接入。传输网均具有故障自动倒换功能，能保证各电路不会因光缆的意外阻断和部分设备的故障而中断。</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5、接入地点详见附表（租用线路表）。</w:t>
      </w:r>
    </w:p>
    <w:p>
      <w:pPr>
        <w:spacing w:line="360" w:lineRule="auto"/>
        <w:ind w:firstLine="422" w:firstLineChars="200"/>
        <w:outlineLvl w:val="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（二）线路服务要求：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1、在租用期限内成交供应商应严格遵守《中华人民共和国电信条例》，维护双方权益，应按信息产业部颁布的《电信服务标准》的电路质量要求，保证采购人租用线路畅通及安全使用。</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2、供应商必须具有建设大型专用网络的能力和线路资源，能提供优质、快速、高效的专线线路租用服务，具有提供长期全区服务能力，严禁在资源不到位的专线转包给其它运营商。</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3、供应商设计的方案必须考虑到与现有全区公安网二、三级在用网络实现无缝连接，不能影响用户正常的网络互联。响应文件中须提供实现无缝连接的具体实施方案。</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4、采购人租用的二级网大带宽专线电路必须采用波分技术，供应商提供的光纤链路通道必须是二层传输通道。</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采购人租用的二级网数字电路，实现区公安厅至各地市公安局联网。要求所有电路与互联网（公网）及其它用户电路物理上隔离。全网具有全程可网管能力，供应商的网络要求有自愈环，具有故障自动倒换功能，能保证各级网数字电路不会因光缆的意外阻断和部分设备的故障而中断。请供应商在响应文件中对各自传输骨干网进行重点介绍。</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6、数字电路经过的传输机房应配备有大容量、双备份的后备电源，实现7×24小时不断电，同时具备恒温、防潮、防尘等条件，符合国家相关的安全保密要求。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7、成交供应商负责提供专线电路单模GE线缆至项目路由器设备接口。</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8、成交供应商必须积极配合采购人完成项目测试、验收等工作。</w:t>
      </w:r>
    </w:p>
    <w:p>
      <w:pPr>
        <w:spacing w:line="360" w:lineRule="auto"/>
        <w:ind w:firstLine="422" w:firstLineChars="200"/>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（三）网络设备要求：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成交供应商负责将所配套的网络设备在用户指定地点安装上架并进行通电测试，并负责完成本次配套的网络设备与租用的专线电路的连接，然后按照采购人要求组织开展设备、线路测试，填写纸质测试报告，经安装地点公安机关科信岗位人员签字后形成正式文档（一式叁份），分别由采购人、成交供应商、安装地点公安机关保存。</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2、成交供应商应在项目实施前2周完成机房环境勘察工作，以确保项目顺利实施。</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3、安装调试过程中涉及的机柜、线缆等辅材及施工费用均由成交供应商承担。</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4、成交供应商全免费负责将本分标所有设备运送至广西区内采购人指定地点。供应商进行本分标配套网络设备的采购、运输、交付使用时，需向用户提供详细的设备清单、运输计划、供货计划。</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5、成交供应商提供的配套设备需为全新的设备，提供的设备性能及数量不能低于采购人提供的标准（标准详见配套设备标准清单）。</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6、在合同有效期内，成交供应商负责对提供的配套设备进行维保。</w:t>
      </w:r>
    </w:p>
    <w:p>
      <w:pPr>
        <w:spacing w:line="360" w:lineRule="auto"/>
        <w:ind w:firstLine="422" w:firstLineChars="200"/>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（四）运行维护服务要求：</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供应商在响应文件中须针对本分标所配套设备制定详细具体的建设和实施设计方案，并提供所有设备的具体安装及网络割接方案;建设方案至少包括组网规划、IP地址规划、路由冗余设计、路由策略设计等；实施方案至少包括项目组织管理、实施进度计划、质量管理措施、技术保障措施、培训计划等。</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交供应商在整个项目的建设过程中，负责完成本分标设备的数据配置、调试、测试、验收等工作，并负责技术培训，并提供全方位的技术以及项目组织与管理方面的服务，对系统整体集成负责，对工程节点验收和整体验收负责。</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3、项目实施期间，成交供应商需在采购人指定地点召开项目实施例会及时报告实施进度，并负做好相</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4、测试文件由成交供应商提供，经采购人审定认可后，才能形成最终的测试文件。</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5、在实施过程中，成交供应商提供本分标网络设备安装所需的各类连接电缆耗材（网络设备与线路端接所需连接电缆耗材除外）和所需的工具等（其价格均已包含在合同总价中）。</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6、在系统进入试运行后，成交供应商未经用户许可不得更改任何系统配置，不得泄露用户的网络结构、设备配置等情况。</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7、成交供应商应积极协助配合采购人开展与本项目系统集成有关的其他工作。</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8、成交供应商必须提供运维管理软件，对本项目采购的所有设备进行监控、维护、管理。</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9、成交供应商提供整体网络运行维护方面的技术咨询服务，根据采购人要求，参与本次网络相关重大技术问题的攻关工作。</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10、在合同有效期内，成交供应商需提供一名技术员按采购人行政班时间常驻于采购人指定地点；技术员要求具备3年以上网络管理维护经验，</w:t>
      </w:r>
      <w:r>
        <w:rPr>
          <w:rFonts w:hint="eastAsia" w:ascii="宋体" w:hAnsi="宋体"/>
          <w:color w:val="000000" w:themeColor="text1"/>
          <w14:textFill>
            <w14:solidFill>
              <w14:schemeClr w14:val="tx1"/>
            </w14:solidFill>
          </w14:textFill>
        </w:rPr>
        <w:t>具备华为HCNP、华三H3CSE等同级别或以上网络认证证书</w:t>
      </w:r>
      <w:r>
        <w:rPr>
          <w:rFonts w:hint="eastAsia" w:ascii="宋体" w:hAnsi="宋体" w:cs="宋体"/>
          <w:color w:val="000000" w:themeColor="text1"/>
          <w:szCs w:val="21"/>
          <w14:textFill>
            <w14:solidFill>
              <w14:schemeClr w14:val="tx1"/>
            </w14:solidFill>
          </w14:textFill>
        </w:rPr>
        <w:t>，能够单独处理本项目常见网络故障。</w:t>
      </w:r>
    </w:p>
    <w:p>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5.3租用线路表（主线，14条）</w:t>
      </w:r>
    </w:p>
    <w:tbl>
      <w:tblPr>
        <w:tblStyle w:val="24"/>
        <w:tblW w:w="971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574"/>
        <w:gridCol w:w="4819"/>
        <w:gridCol w:w="127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Align w:val="center"/>
          </w:tcPr>
          <w:p>
            <w:pPr>
              <w:widowControl/>
              <w:spacing w:line="360" w:lineRule="auto"/>
              <w:jc w:val="center"/>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本端地址</w:t>
            </w:r>
          </w:p>
        </w:tc>
        <w:tc>
          <w:tcPr>
            <w:tcW w:w="6393" w:type="dxa"/>
            <w:gridSpan w:val="2"/>
            <w:vAlign w:val="center"/>
          </w:tcPr>
          <w:p>
            <w:pPr>
              <w:widowControl/>
              <w:spacing w:line="360" w:lineRule="auto"/>
              <w:jc w:val="center"/>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对端地址</w:t>
            </w:r>
          </w:p>
        </w:tc>
        <w:tc>
          <w:tcPr>
            <w:tcW w:w="1276" w:type="dxa"/>
            <w:vAlign w:val="center"/>
          </w:tcPr>
          <w:p>
            <w:pPr>
              <w:widowControl/>
              <w:spacing w:line="360" w:lineRule="auto"/>
              <w:jc w:val="center"/>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带宽</w:t>
            </w:r>
          </w:p>
          <w:p>
            <w:pPr>
              <w:widowControl/>
              <w:spacing w:line="360" w:lineRule="auto"/>
              <w:jc w:val="center"/>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（单位：M）</w:t>
            </w:r>
          </w:p>
        </w:tc>
        <w:tc>
          <w:tcPr>
            <w:tcW w:w="717" w:type="dxa"/>
            <w:vAlign w:val="center"/>
          </w:tcPr>
          <w:p>
            <w:pPr>
              <w:widowControl/>
              <w:spacing w:line="360" w:lineRule="auto"/>
              <w:jc w:val="center"/>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restart"/>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自治区公安厅（南宁市佛子岭路1号指定机房）</w:t>
            </w: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南宁市公安局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南宁市青秀区厢竹大道46号南宁市公安局</w:t>
            </w:r>
          </w:p>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双芯裸光纤</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柳州市公安局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柳州市学院路9号指定机房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桂林市秀峰区三多路1号指定机房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梧州市公安局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梧州市长洲区大旺路66号指定机房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北海市公安局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北海市北海大道168号指定机房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防城港市公安局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防城港市港口区金花茶大道69号指定机房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钦州市公安局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钦州市钦南区子材东大街6号指定机房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贵港市公安局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贵港市建设西路558号指定机房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玉林市公安局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玉林市玉州区双拥路99号指定机房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百色市公安局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百色市右江区龙景东路百色市公安局指定机房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贺州市公安局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贺州市八步区贺州大道18号指定机房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河池市公安局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河池市金城江区金城东路32号指定机房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来宾市公安局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来宾市翠屏路西199号指定机房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574"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崇左市公安局</w:t>
            </w:r>
          </w:p>
        </w:tc>
        <w:tc>
          <w:tcPr>
            <w:tcW w:w="4819"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崇左市石景林路8号指定机房</w:t>
            </w:r>
          </w:p>
        </w:tc>
        <w:tc>
          <w:tcPr>
            <w:tcW w:w="1276"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717"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bl>
    <w:p>
      <w:pPr>
        <w:spacing w:line="360" w:lineRule="auto"/>
        <w:ind w:firstLine="422" w:firstLineChars="200"/>
        <w:rPr>
          <w:rFonts w:hint="eastAsia" w:ascii="宋体" w:hAnsi="宋体"/>
          <w:b/>
          <w:color w:val="000000" w:themeColor="text1"/>
          <w:szCs w:val="21"/>
          <w14:textFill>
            <w14:solidFill>
              <w14:schemeClr w14:val="tx1"/>
            </w14:solidFill>
          </w14:textFill>
        </w:rPr>
      </w:pPr>
    </w:p>
    <w:p>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5.4线路配套设备及运维服务</w:t>
      </w:r>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82"/>
        <w:gridCol w:w="600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shd w:val="clear" w:color="auto" w:fill="D9D9D9"/>
            <w:vAlign w:val="center"/>
          </w:tcPr>
          <w:p>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282" w:type="dxa"/>
            <w:shd w:val="clear" w:color="auto" w:fill="D9D9D9"/>
            <w:vAlign w:val="center"/>
          </w:tcPr>
          <w:p>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设备类型</w:t>
            </w:r>
          </w:p>
        </w:tc>
        <w:tc>
          <w:tcPr>
            <w:tcW w:w="6000" w:type="dxa"/>
            <w:shd w:val="clear" w:color="auto" w:fill="D9D9D9"/>
            <w:vAlign w:val="center"/>
          </w:tcPr>
          <w:p>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性能参数</w:t>
            </w:r>
          </w:p>
        </w:tc>
        <w:tc>
          <w:tcPr>
            <w:tcW w:w="709" w:type="dxa"/>
            <w:shd w:val="clear" w:color="auto" w:fill="D9D9D9"/>
            <w:vAlign w:val="center"/>
          </w:tcPr>
          <w:p>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709" w:type="dxa"/>
            <w:shd w:val="clear" w:color="auto" w:fill="D9D9D9"/>
            <w:vAlign w:val="center"/>
          </w:tcPr>
          <w:p>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trPr>
        <w:tc>
          <w:tcPr>
            <w:tcW w:w="764" w:type="dxa"/>
            <w:vAlign w:val="center"/>
          </w:tcPr>
          <w:p>
            <w:pPr>
              <w:spacing w:line="360" w:lineRule="auto"/>
              <w:ind w:firstLine="172" w:firstLineChars="82"/>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282"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核心路由器租赁</w:t>
            </w:r>
          </w:p>
        </w:tc>
        <w:tc>
          <w:tcPr>
            <w:tcW w:w="6000" w:type="dxa"/>
          </w:tcPr>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1.提供2台核心路由器（主、备各一）租赁，安装地址为南宁市佛子岭路1号自治区公安厅技术大楼9楼机房；</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2.具体参数要求如下：</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（1）配置双主控、双电源；</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（2）配置10个万兆光口（含单模光模块）、24个千兆光口（含单模光模块）；</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（3）设备双风扇冗余、电源冗余满配置，支持机箱内双主控热备，要求所有业务板卡及电源、风扇模块均可热插拔；</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（4）支持RIP、OSPF、ISIS、BGP等IPv4动态路由协议；</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（5）多业务场景下（如配置20000条ACL规则+2000 MPLS L3VPN），设备具备线速转发能力。</w:t>
            </w:r>
          </w:p>
          <w:p>
            <w:pPr>
              <w:spacing w:line="360" w:lineRule="auto"/>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3.租赁期为2026年2月1日至2027年6月30日（17个月）。</w:t>
            </w:r>
            <w:r>
              <w:rPr>
                <w:rFonts w:hint="eastAsia" w:ascii="宋体" w:hAnsi="宋体"/>
                <w:color w:val="000000" w:themeColor="text1"/>
                <w:kern w:val="0"/>
                <w:szCs w:val="21"/>
                <w14:textFill>
                  <w14:solidFill>
                    <w14:schemeClr w14:val="tx1"/>
                  </w14:solidFill>
                </w14:textFill>
              </w:rPr>
              <w:t>如合同签订之日晚于2026年2月1日，则从签订之日起计算17个月</w:t>
            </w:r>
            <w:r>
              <w:rPr>
                <w:rFonts w:hint="eastAsia" w:ascii="宋体" w:hAnsi="宋体"/>
                <w:b/>
                <w:bCs/>
                <w:color w:val="000000" w:themeColor="text1"/>
                <w:kern w:val="0"/>
                <w:szCs w:val="21"/>
                <w14:textFill>
                  <w14:solidFill>
                    <w14:schemeClr w14:val="tx1"/>
                  </w14:solidFill>
                </w14:textFill>
              </w:rPr>
              <w:t>。</w:t>
            </w:r>
          </w:p>
        </w:tc>
        <w:tc>
          <w:tcPr>
            <w:tcW w:w="709" w:type="dxa"/>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709" w:type="dxa"/>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trPr>
        <w:tc>
          <w:tcPr>
            <w:tcW w:w="764" w:type="dxa"/>
            <w:vAlign w:val="center"/>
          </w:tcPr>
          <w:p>
            <w:pPr>
              <w:spacing w:line="360" w:lineRule="auto"/>
              <w:ind w:firstLine="172" w:firstLineChars="82"/>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1282"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网络管理系统服务</w:t>
            </w:r>
          </w:p>
        </w:tc>
        <w:tc>
          <w:tcPr>
            <w:tcW w:w="6000" w:type="dxa"/>
          </w:tcPr>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合同期内成交供应商为采购人免费提供网络管理系统服务及配套软硬件：</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1.不少于350个网络设备的管理；提供设备统一管理，拓扑、故障、性能以及智能配置工具和配置文件管理功能；</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2.配置敏捷报表或智能报表组件；配置网络质量检测组件；配置网流分析组件，提供40台路由器、交换机设备的网流分析；</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3.配置2台服务器，每台要求为：2*6核CPU，32GB内存，2*600GB硬盘，双电源；</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4.提供拓扑管理，能够以拓扑方式显示设备以及设备间的连接关系，拓扑上能够提供设备、链路的状态显示和刷新，能够提供设备和链路的信息，如：设备名称、设备IP、接口速率、带宽利用率等；</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网络流量分析：系统提供IP网络流量分析能力，支持通过NetFlow、NetStream、Sflow等协议对网络中的流量进行深入分析；系统支持不同纬度（设备、接口、应用、DSCP、主机、会话、接口组、IP组、应用组、DSCP组）的流量图表查看功能，并支持下一层深入详细分析流量数据；支持根据流程分析的条件直接创建流量取证任务；</w:t>
            </w:r>
          </w:p>
          <w:p>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报表管理：系统提供告警、性能、有线无线资源、用户终端定位信息等报表查询；支持用户拖拽式自定义报表内容，运用钻取、旋转、切片等操作，实现业务数据的灵活展现和统计汇总，提供自助式数据同比、环比、TOP N等分析功能。</w:t>
            </w:r>
          </w:p>
        </w:tc>
        <w:tc>
          <w:tcPr>
            <w:tcW w:w="709" w:type="dxa"/>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w:t>
            </w:r>
          </w:p>
        </w:tc>
        <w:tc>
          <w:tcPr>
            <w:tcW w:w="709" w:type="dxa"/>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64" w:type="dxa"/>
            <w:vAlign w:val="center"/>
          </w:tcPr>
          <w:p>
            <w:pPr>
              <w:spacing w:line="360" w:lineRule="auto"/>
              <w:ind w:firstLine="172" w:firstLineChars="82"/>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1282"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系统集成及运维服务</w:t>
            </w:r>
          </w:p>
        </w:tc>
        <w:tc>
          <w:tcPr>
            <w:tcW w:w="6000" w:type="dxa"/>
          </w:tcPr>
          <w:p>
            <w:pPr>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1.提供全网项目实施、系统集成及专网运行维护服务。</w:t>
            </w:r>
          </w:p>
          <w:p>
            <w:pPr>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合同有效期内，成交供应商需提供一名技术人员按采购人上班时间常驻指定地点；技术员要求具备3年以上网络管理维护经验，具备华为HCNP、华三H3CSE等同级别或以上网络认证证书，能够单独处理本项目常见网络故障，如人员无法胜任工作任务，甲方有权要求成交供应商无条件更换人员，直至替换人员满足成交供应商要求。</w:t>
            </w:r>
          </w:p>
          <w:p>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3.如配套租赁设备出现故障，成交供应商需提供维修服务；如设备无法修复，则提供性能相当的替换设备，所涉及的费用包含在此次报价中，采购人不另行支付。</w:t>
            </w:r>
          </w:p>
        </w:tc>
        <w:tc>
          <w:tcPr>
            <w:tcW w:w="709" w:type="dxa"/>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w:t>
            </w:r>
          </w:p>
        </w:tc>
        <w:tc>
          <w:tcPr>
            <w:tcW w:w="709" w:type="dxa"/>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bl>
    <w:p>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5.5</w:t>
      </w:r>
      <w:r>
        <w:rPr>
          <w:rFonts w:hint="eastAsia" w:ascii="宋体" w:hAnsi="宋体"/>
          <w:b/>
          <w:color w:val="000000" w:themeColor="text1"/>
          <w:szCs w:val="21"/>
          <w14:textFill>
            <w14:solidFill>
              <w14:schemeClr w14:val="tx1"/>
            </w14:solidFill>
          </w14:textFill>
        </w:rPr>
        <w:t>地市二级网线路核心路由器（主线）的硬件维保服务</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提供每个地市二级网线路对应的1台核心路由器（主线，安装位置为各市机房）硬件故障免费维修及配件免费更换服务。</w:t>
      </w:r>
    </w:p>
    <w:p>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5.6安装调试和其它要求</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（1）安装调试。</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（2）按厂家承诺实行“三包”。</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（3）租用时间: 2026年2月1日至2027年6月30日（17个月）。</w:t>
      </w:r>
      <w:r>
        <w:rPr>
          <w:rFonts w:hint="eastAsia" w:ascii="宋体" w:hAnsi="宋体"/>
          <w:color w:val="000000" w:themeColor="text1"/>
          <w:kern w:val="0"/>
          <w:szCs w:val="21"/>
          <w14:textFill>
            <w14:solidFill>
              <w14:schemeClr w14:val="tx1"/>
            </w14:solidFill>
          </w14:textFill>
        </w:rPr>
        <w:t>如合同签订之日晚于2026年2月1日，则从签订之日起计算17个月</w:t>
      </w:r>
      <w:r>
        <w:rPr>
          <w:rFonts w:hint="eastAsia" w:ascii="宋体" w:hAnsi="宋体"/>
          <w:b/>
          <w:bCs/>
          <w:color w:val="000000" w:themeColor="text1"/>
          <w:kern w:val="0"/>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（4）交付使用时间：合同签订后3个日历日内。</w:t>
      </w: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color w:val="000000" w:themeColor="text1"/>
          <w:szCs w:val="21"/>
          <w14:textFill>
            <w14:solidFill>
              <w14:schemeClr w14:val="tx1"/>
            </w14:solidFill>
          </w14:textFill>
        </w:rPr>
        <w:t>▲</w:t>
      </w:r>
      <w:r>
        <w:rPr>
          <w:rFonts w:ascii="宋体" w:hAnsi="宋体"/>
          <w:b/>
          <w:color w:val="000000" w:themeColor="text1"/>
          <w:kern w:val="0"/>
          <w:sz w:val="28"/>
          <w:szCs w:val="28"/>
          <w14:textFill>
            <w14:solidFill>
              <w14:schemeClr w14:val="tx1"/>
            </w14:solidFill>
          </w14:textFill>
        </w:rPr>
        <w:t>三、商务要求</w:t>
      </w:r>
    </w:p>
    <w:p>
      <w:pPr>
        <w:numPr>
          <w:ilvl w:val="0"/>
          <w:numId w:val="1"/>
        </w:numPr>
        <w:spacing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本项目分2个分标，供应商可以参与多个分标投标，最多只能中一个分标，按A→B分标的顺序在整个项目中推荐各分标的成交候选人。</w:t>
      </w:r>
    </w:p>
    <w:p>
      <w:pPr>
        <w:numPr>
          <w:ilvl w:val="0"/>
          <w:numId w:val="1"/>
        </w:num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报价要求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次报价须为人民币报价，供应商针对每项内容作出单价及总价分项报价，只要填报了一个确定数额的总价，无论分项价格是否全部填报了相应的金额，报价应被视为已经包含了但并不限于本项目各项购买服务及相关服务等的费用和所需缴纳的所有价格、税、费。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.合同签订日期</w:t>
      </w:r>
    </w:p>
    <w:p>
      <w:pPr>
        <w:spacing w:line="360" w:lineRule="auto"/>
        <w:rPr>
          <w:rFonts w:hint="eastAsia" w:ascii="宋体" w:hAnsi="宋体"/>
          <w:i/>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成交通知书发出之日起25日内。</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.服务时间</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交付使用时间：合同签订后3个日历日内。租用时间:2026年2月1日至2027年6月30日（17个月）</w:t>
      </w:r>
      <w:r>
        <w:rPr>
          <w:rFonts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如合同签订之日晚于2026年2月1日，则从签订之日起计算17个月</w:t>
      </w:r>
      <w:r>
        <w:rPr>
          <w:rFonts w:hint="eastAsia" w:ascii="宋体" w:hAnsi="宋体"/>
          <w:b/>
          <w:bCs/>
          <w:color w:val="000000" w:themeColor="text1"/>
          <w:kern w:val="0"/>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.服务地点</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采购人指定地点。</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.验收标准</w:t>
      </w:r>
    </w:p>
    <w:p>
      <w:pPr>
        <w:spacing w:line="360" w:lineRule="auto"/>
        <w:rPr>
          <w:rFonts w:hint="eastAsia" w:ascii="宋体" w:hAnsi="宋体"/>
          <w:color w:val="000000" w:themeColor="text1"/>
          <w:szCs w:val="21"/>
          <w14:textFill>
            <w14:solidFill>
              <w14:schemeClr w14:val="tx1"/>
            </w14:solidFill>
          </w14:textFill>
        </w:rPr>
      </w:pPr>
      <w:bookmarkStart w:id="20" w:name="_Hlk77607553"/>
      <w:r>
        <w:rPr>
          <w:rFonts w:ascii="宋体" w:hAnsi="宋体"/>
          <w:color w:val="000000" w:themeColor="text1"/>
          <w:szCs w:val="21"/>
          <w14:textFill>
            <w14:solidFill>
              <w14:schemeClr w14:val="tx1"/>
            </w14:solidFill>
          </w14:textFill>
        </w:rPr>
        <w:t>详见采购文件合同主要条款格式部分。</w:t>
      </w:r>
    </w:p>
    <w:bookmarkEnd w:id="20"/>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7.售后服务要求</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7.1因成交供应商使用、网络割接等原因影响网络运行的，须至少提前5个工作日通知采购人，并且尽快消除故障、恢复通信线路。</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成交供应商必须承诺保证网络的畅通，负责运营商到用户单位主干光缆所有设备的运行维护，如光收发器设备等，如果网络出现问题，必须在接到报告后15分钟内给予回应，1个小时内到达现场，负责排除故障，直到网络恢复正常，如传输设备故障在4小时内无法解决的应提供备件，确保网络正常运行；</w:t>
      </w:r>
      <w:r>
        <w:rPr>
          <w:rFonts w:hint="eastAsia" w:ascii="宋体" w:hAnsi="宋体" w:cs="宋体"/>
          <w:color w:val="000000" w:themeColor="text1"/>
          <w:szCs w:val="21"/>
          <w14:textFill>
            <w14:solidFill>
              <w14:schemeClr w14:val="tx1"/>
            </w14:solidFill>
          </w14:textFill>
        </w:rPr>
        <w:t>所涉及的费用包含在此次报价中，采购人不另行支付。</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7.3供应商须提供针对本项目为采购人服务的运营商客户经理和技术接口人及联系电话清单。</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7.4在合同有效期内，采购人线路使用地点若发生变更，成交供应商负责移装，并及时接通新迁点的租用电路。</w:t>
      </w:r>
      <w:r>
        <w:rPr>
          <w:rFonts w:hint="eastAsia" w:ascii="宋体" w:hAnsi="宋体" w:cs="宋体"/>
          <w:color w:val="000000" w:themeColor="text1"/>
          <w:szCs w:val="21"/>
          <w14:textFill>
            <w14:solidFill>
              <w14:schemeClr w14:val="tx1"/>
            </w14:solidFill>
          </w14:textFill>
        </w:rPr>
        <w:t>所涉及的费用包含在此次报价中，采购人不另行支付。</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7.5供应商须随响应文件附上《廉洁承诺书》，做出不向采购人工作人员行贿的承诺。未在响应文件中附上《廉洁承诺书》的可视为响应无效。</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7.6廉政责任书要求：合同签订后，由公安厅科信办组织，公安厅采购办项目主办人、成交供应商负责人、建设单位项目负责人签署《项目建设廉政责任书》。</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.付款方式、时间及条件</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.履约保证金</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pPr>
        <w:numPr>
          <w:ilvl w:val="255"/>
          <w:numId w:val="0"/>
        </w:num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10.服务质量保障要求</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1、服务考核标准</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1）整个线路租赁期作为一个考核周期。满分为100分。</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2）采购人或采购人委托监理依据表1所列各项考核指标要求在考核周期内的最后一个月完成对成交供应商服务质量考核评价，并在3个工作日内经供需双方对考核得分结果进行签字确认。</w:t>
      </w:r>
    </w:p>
    <w:p>
      <w:pPr>
        <w:widowControl/>
        <w:spacing w:line="300" w:lineRule="exact"/>
        <w:jc w:val="left"/>
        <w:rPr>
          <w:rFonts w:hint="eastAsia" w:ascii="宋体" w:hAnsi="宋体" w:cs="宋体"/>
          <w:color w:val="000000" w:themeColor="text1"/>
          <w:szCs w:val="21"/>
          <w14:textFill>
            <w14:solidFill>
              <w14:schemeClr w14:val="tx1"/>
            </w14:solidFill>
          </w14:textFill>
        </w:rPr>
      </w:pP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表1 服务质量评价表</w:t>
      </w:r>
    </w:p>
    <w:tbl>
      <w:tblPr>
        <w:tblStyle w:val="24"/>
        <w:tblW w:w="7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98"/>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考核指标</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指标和评分描述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线路交付时限</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线路须在合同签订起3个日历日内完成调试，具备开通条件。线路未按规定时限具备开通条件的，本项不得分。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线路运维质量</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合同期内单条线路非计划中断，30分钟以内恢复的不扣分；30分钟至2小时以内恢复的，每次扣1分；2小时至4小时以内恢复的，每次扣2分；超过4小时恢复的，每次扣5分。总分60分，扣完为止。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线路可用带宽</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线路两端端口为单模光口，实际可用带宽≥80%。不符合要求，每次每条线路扣1分。总分10分，扣完为止。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线路延时</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单条线路因延时过大（参考数值不大于200ms）导致影响业务的，每次扣1分。总分20分，扣完为止。</w:t>
            </w:r>
          </w:p>
        </w:tc>
      </w:tr>
    </w:tbl>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2、考核应用</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整个线路租赁期作为一个考核周期，采购人根据成交供应商服务考核评价得分，从合同总价中扣减相应金额款项。具体约定如下：</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1）以合同总价作为扣减基准。</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2）考核周期扣减金额与服务质量评价得分扣减金额折算关系如表2所示。</w:t>
      </w:r>
    </w:p>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表2 服务质量评价得分扣减金额折算表</w:t>
      </w:r>
    </w:p>
    <w:tbl>
      <w:tblPr>
        <w:tblStyle w:val="24"/>
        <w:tblW w:w="6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128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服务考核得分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扣减比例</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扣减金额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大于等于90分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大于等于80分，小于90</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大于等于70分，小于80分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大于等于60分，小于70分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小于60分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50%*合同总价</w:t>
            </w:r>
          </w:p>
        </w:tc>
      </w:tr>
    </w:tbl>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r>
        <w:rPr>
          <w:rFonts w:ascii="宋体" w:hAnsi="宋体"/>
          <w:color w:val="000000" w:themeColor="text1"/>
          <w:szCs w:val="21"/>
          <w14:textFill>
            <w14:solidFill>
              <w14:schemeClr w14:val="tx1"/>
            </w14:solidFill>
          </w14:textFill>
        </w:rPr>
        <w:t>包装和运输要求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根据财政部等三部门《关于印发&lt;商品包装政府采购需求标准（试行）&gt;、&lt;快递包装政府采购需求标准（试行）&gt;的通知》（财办库</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2020</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123号）规定，若响应产品使用塑料、纸质、木质等包装材料时应满足《商品包装政府采购需求标准（试行）》要求，若响应产品需要快递包装，快递封装材料应满足《快递包装政府采购需求标准（试行）》要求。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运输要求详见采购文件合同主要条款格式部分。</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.保险</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w:t>
      </w:r>
      <w:r>
        <w:rPr>
          <w:rFonts w:hint="eastAsia" w:ascii="宋体" w:hAnsi="宋体"/>
          <w:color w:val="000000" w:themeColor="text1"/>
          <w:szCs w:val="21"/>
          <w14:textFill>
            <w14:solidFill>
              <w14:schemeClr w14:val="tx1"/>
            </w14:solidFill>
          </w14:textFill>
        </w:rPr>
        <w:t>均</w:t>
      </w:r>
      <w:r>
        <w:rPr>
          <w:rFonts w:ascii="宋体" w:hAnsi="宋体"/>
          <w:color w:val="000000" w:themeColor="text1"/>
          <w:szCs w:val="21"/>
          <w14:textFill>
            <w14:solidFill>
              <w14:schemeClr w14:val="tx1"/>
            </w14:solidFill>
          </w14:textFill>
        </w:rPr>
        <w:t>由供应商承担。</w:t>
      </w:r>
    </w:p>
    <w:p>
      <w:pPr>
        <w:pStyle w:val="2"/>
        <w:numPr>
          <w:ilvl w:val="255"/>
          <w:numId w:val="0"/>
        </w:numP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13.保密工作条款</w:t>
      </w:r>
    </w:p>
    <w:p>
      <w:pPr>
        <w:snapToGrid w:val="0"/>
        <w:spacing w:line="32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成交供应商须与采购人签订《合作企业保密协议书》（格式自拟），遵守采购人信息安全管理规定。</w:t>
      </w:r>
    </w:p>
    <w:p>
      <w:pPr>
        <w:numPr>
          <w:ilvl w:val="255"/>
          <w:numId w:val="0"/>
        </w:numPr>
        <w:rPr>
          <w:rFonts w:hint="eastAsia" w:ascii="宋体" w:hAnsi="宋体"/>
          <w:color w:val="000000" w:themeColor="text1"/>
          <w14:textFill>
            <w14:solidFill>
              <w14:schemeClr w14:val="tx1"/>
            </w14:solidFill>
          </w14:textFill>
        </w:rPr>
      </w:pP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四、其他要求</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鉴于本项目租期到期后，可能存在后续项目的线路供应商与本项目不一致，因此参与本项目的供应商须以承诺函的方式承诺在本项目租期到期后额外继续提供不少于30个日历日（具体时间根据现场线路割接情况确定）的线路租赁服务，以便采购人组织对线路进行割接。供应商应在响应文件中提供承诺函（格式自拟），此费用包含在本次响应报价中，采购人不另行支付。</w:t>
      </w:r>
    </w:p>
    <w:p>
      <w:pPr>
        <w:pStyle w:val="11"/>
        <w:snapToGrid w:val="0"/>
        <w:rPr>
          <w:rFonts w:hint="eastAsia" w:hAnsi="宋体" w:cs="Times New Roman"/>
          <w:b/>
          <w:color w:val="000000" w:themeColor="text1"/>
          <w14:textFill>
            <w14:solidFill>
              <w14:schemeClr w14:val="tx1"/>
            </w14:solidFill>
          </w14:textFill>
        </w:rPr>
        <w:sectPr>
          <w:headerReference r:id="rId11" w:type="default"/>
          <w:pgSz w:w="11906" w:h="16838"/>
          <w:pgMar w:top="851" w:right="1133" w:bottom="1246" w:left="1418" w:header="851" w:footer="797" w:gutter="0"/>
          <w:cols w:space="720" w:num="1"/>
          <w:docGrid w:linePitch="312" w:charSpace="0"/>
        </w:sectPr>
      </w:pPr>
    </w:p>
    <w:p>
      <w:pPr>
        <w:spacing w:line="360" w:lineRule="auto"/>
        <w:outlineLvl w:val="1"/>
        <w:rPr>
          <w:rFonts w:hint="eastAsia" w:ascii="宋体" w:hAnsi="宋体"/>
          <w:b/>
          <w:color w:val="000000" w:themeColor="text1"/>
          <w:kern w:val="0"/>
          <w:sz w:val="28"/>
          <w:szCs w:val="28"/>
          <w14:textFill>
            <w14:solidFill>
              <w14:schemeClr w14:val="tx1"/>
            </w14:solidFill>
          </w14:textFill>
        </w:rPr>
      </w:pPr>
      <w:r>
        <w:rPr>
          <w:rFonts w:hint="eastAsia" w:ascii="宋体" w:hAnsi="宋体"/>
          <w:b/>
          <w:color w:val="000000" w:themeColor="text1"/>
          <w:kern w:val="0"/>
          <w:sz w:val="28"/>
          <w:szCs w:val="28"/>
          <w14:textFill>
            <w14:solidFill>
              <w14:schemeClr w14:val="tx1"/>
            </w14:solidFill>
          </w14:textFill>
        </w:rPr>
        <w:t>B</w:t>
      </w:r>
      <w:r>
        <w:rPr>
          <w:rFonts w:ascii="宋体" w:hAnsi="宋体"/>
          <w:b/>
          <w:color w:val="000000" w:themeColor="text1"/>
          <w:kern w:val="0"/>
          <w:sz w:val="28"/>
          <w:szCs w:val="28"/>
          <w14:textFill>
            <w14:solidFill>
              <w14:schemeClr w14:val="tx1"/>
            </w14:solidFill>
          </w14:textFill>
        </w:rPr>
        <w:t>分标</w:t>
      </w: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一、总体要求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1.政府采购政策的应用</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详见采购文件“评审方法及标准/政府采购政策应用说明”。</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2.采购需求要求未尽事宜由采购人与成交供应商在采购合同中约定。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3.标注“▲”的条款或要求系指实质性条款或实质性要求，必须满足，如存在负偏离将导致响应被否决。</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4.客观且未量化的指标视为实质性。</w:t>
      </w: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二、技术要求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1.需实现的功能、目标及应用场景</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满足采购文件要求，验收达到合格标准。</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2.需执行的国家相关标准、行业标准、地方标准或者其他标准、规范</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i/>
          <w:color w:val="000000" w:themeColor="text1"/>
          <w:szCs w:val="21"/>
          <w:u w:val="single"/>
          <w14:textFill>
            <w14:solidFill>
              <w14:schemeClr w14:val="tx1"/>
            </w14:solidFill>
          </w14:textFill>
        </w:rPr>
        <w:t>详见技术指标要求。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3.标的所属行业：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所属行业根据项目情况按照以下行业类型选择：</w:t>
      </w:r>
      <w:r>
        <w:rPr>
          <w:rFonts w:ascii="宋体" w:hAnsi="宋体"/>
          <w:b/>
          <w:bCs/>
          <w:color w:val="000000" w:themeColor="text1"/>
          <w:szCs w:val="21"/>
          <w14:textFill>
            <w14:solidFill>
              <w14:schemeClr w14:val="tx1"/>
            </w14:solidFill>
          </w14:textFill>
        </w:rPr>
        <w:t>租赁与商务服务业。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4.核心产品</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本项目为服务项目，不适用核心产品规定。</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5.服务内容和标准</w:t>
      </w:r>
    </w:p>
    <w:p>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5.1为做好新一期公安网二级网线路租赁与现有租赁合同的衔接工作，拟租赁公安厅至各市公安局公安二级网线路14条（每个市1000M备线各一条）及全网运维管理，租期为2026年2月1日至2027年6月30日（17个月）。</w:t>
      </w:r>
      <w:r>
        <w:rPr>
          <w:rFonts w:hint="eastAsia" w:ascii="宋体" w:hAnsi="宋体"/>
          <w:color w:val="000000" w:themeColor="text1"/>
          <w:kern w:val="0"/>
          <w:szCs w:val="21"/>
          <w14:textFill>
            <w14:solidFill>
              <w14:schemeClr w14:val="tx1"/>
            </w14:solidFill>
          </w14:textFill>
        </w:rPr>
        <w:t>如合同签订之日晚于2026年2月1日，则从签订之日起计算17个月</w:t>
      </w:r>
      <w:r>
        <w:rPr>
          <w:rFonts w:hint="eastAsia" w:ascii="宋体" w:hAnsi="宋体"/>
          <w:b/>
          <w:bCs/>
          <w:color w:val="000000" w:themeColor="text1"/>
          <w:kern w:val="0"/>
          <w:szCs w:val="21"/>
          <w14:textFill>
            <w14:solidFill>
              <w14:schemeClr w14:val="tx1"/>
            </w14:solidFill>
          </w14:textFill>
        </w:rPr>
        <w:t>。</w:t>
      </w:r>
    </w:p>
    <w:p>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5.2 技术指标要求</w:t>
      </w:r>
    </w:p>
    <w:p>
      <w:pPr>
        <w:spacing w:line="360" w:lineRule="auto"/>
        <w:ind w:firstLine="422" w:firstLineChars="200"/>
        <w:outlineLvl w:val="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（一）线路要求：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1、在租用期限内成交供应商应严格遵守《中华人民共和国电信条例》，维护双方权益，应按信息产业部颁布的《电信服务标准》的电路质量要求，保证采购人租用线路畅通及安全使用。</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2、供应商必须具有建设大型专用网络的能力和线路资源，能提供优质、快速、高效的专线线路租用服务，具有提供长期全区服务能力，严禁在资源不到位的专线转包给其它运营商。</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3、供应商设计的方案必须考虑到与现有全区公安网二、三级在用网络实现无缝连接，不能影响用户正常的网络互联。响应那文件中须提供实现无缝连接的具体实施方案。</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4、采购人租用的二级网大带宽专线电路必须采用波分技术，供应商提供的光纤链路通道必须是二层传输通道。</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采购人租用的二级网数字电路，实现区公安厅至各地市公安局联网。要求所有电路与互联网（公网）及其它用户电路物理上隔离。全网具有全程可网管能力，供应商的网络要求有自愈环，具有故障自动倒换功能，能保证各级网数字电路不会因光缆的意外阻断和部分设备的故障而中断。请供应商在响应文件中对各自传输骨干网进行重点介绍。</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6、数字电路经过的传输机房应配备有大容量、双备份的后备电源，实现7×24小时不断电，同时具备恒温、防潮、防尘等条件，符合国家相关的安全保密要求。</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7、成交供应商负责提供专线电路单模GE线缆至项目路由器设备接口。</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8、成交供应商必须积极配合采购人完成项目测试、验收等工作。</w:t>
      </w:r>
    </w:p>
    <w:p>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5.3租用线路表（备线，14条）</w:t>
      </w:r>
    </w:p>
    <w:tbl>
      <w:tblPr>
        <w:tblStyle w:val="24"/>
        <w:tblW w:w="971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755"/>
        <w:gridCol w:w="3885"/>
        <w:gridCol w:w="1485"/>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Align w:val="center"/>
          </w:tcPr>
          <w:p>
            <w:pPr>
              <w:widowControl/>
              <w:spacing w:line="360" w:lineRule="auto"/>
              <w:jc w:val="center"/>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本端地址</w:t>
            </w:r>
          </w:p>
        </w:tc>
        <w:tc>
          <w:tcPr>
            <w:tcW w:w="5640" w:type="dxa"/>
            <w:gridSpan w:val="2"/>
            <w:vAlign w:val="center"/>
          </w:tcPr>
          <w:p>
            <w:pPr>
              <w:widowControl/>
              <w:spacing w:line="360" w:lineRule="auto"/>
              <w:jc w:val="center"/>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对端地址</w:t>
            </w:r>
          </w:p>
        </w:tc>
        <w:tc>
          <w:tcPr>
            <w:tcW w:w="1485" w:type="dxa"/>
            <w:vAlign w:val="center"/>
          </w:tcPr>
          <w:p>
            <w:pPr>
              <w:widowControl/>
              <w:spacing w:line="360" w:lineRule="auto"/>
              <w:jc w:val="center"/>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带宽</w:t>
            </w:r>
          </w:p>
          <w:p>
            <w:pPr>
              <w:widowControl/>
              <w:spacing w:line="360" w:lineRule="auto"/>
              <w:jc w:val="center"/>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（单位：M）</w:t>
            </w:r>
          </w:p>
        </w:tc>
        <w:tc>
          <w:tcPr>
            <w:tcW w:w="1261" w:type="dxa"/>
            <w:vAlign w:val="center"/>
          </w:tcPr>
          <w:p>
            <w:pPr>
              <w:widowControl/>
              <w:spacing w:line="360" w:lineRule="auto"/>
              <w:jc w:val="center"/>
              <w:outlineLvl w:val="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restart"/>
            <w:vAlign w:val="center"/>
          </w:tcPr>
          <w:p>
            <w:pPr>
              <w:spacing w:line="360" w:lineRule="auto"/>
              <w:jc w:val="center"/>
              <w:rPr>
                <w:rFonts w:hint="eastAsia" w:ascii="宋体" w:hAnsi="宋体" w:cs="宋体"/>
                <w:color w:val="000000" w:themeColor="text1"/>
                <w:szCs w:val="21"/>
                <w14:textFill>
                  <w14:solidFill>
                    <w14:schemeClr w14:val="tx1"/>
                  </w14:solidFill>
                </w14:textFill>
              </w:rPr>
            </w:pPr>
            <w:bookmarkStart w:id="103" w:name="_GoBack" w:colFirst="2" w:colLast="2"/>
            <w:r>
              <w:rPr>
                <w:rFonts w:hint="eastAsia" w:ascii="宋体" w:hAnsi="宋体" w:cs="宋体"/>
                <w:color w:val="000000" w:themeColor="text1"/>
                <w:szCs w:val="21"/>
                <w14:textFill>
                  <w14:solidFill>
                    <w14:schemeClr w14:val="tx1"/>
                  </w14:solidFill>
                </w14:textFill>
              </w:rPr>
              <w:t>自治区公安厅（南宁市佛子岭路1号技术大楼9楼机房）</w:t>
            </w: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南宁市公安局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南宁市青秀区厢竹大道46号南宁市公安局</w:t>
            </w:r>
          </w:p>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双芯裸光纤</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柳州市公安局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柳州市学院路9号指定机房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桂林市秀峰区三多路1号指定机房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梧州市公安局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梧州市长洲区大旺路66号指定机房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北海市公安局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北海市北海大道168号指定机房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防城港市公安局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防城港市港口区金花茶大道69号指定机房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钦州市公安局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钦州市钦南区子材东大街6号指定机房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贵港市公安局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贵港市建设西路558号指定机房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玉林市公安局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玉林市玉州区双拥路99号指定机房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百色市公安局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百色市右江区龙景东路百色市公安局指定机房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贺州市公安局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贺州市八步区贺州大道18号指定机房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河池市公安局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河池市金城江区金城东路32号指定机房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来宾市公安局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来宾市翠屏路西199号指定机房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5" w:type="dxa"/>
            <w:vMerge w:val="continue"/>
            <w:vAlign w:val="center"/>
          </w:tcPr>
          <w:p>
            <w:pPr>
              <w:spacing w:line="360" w:lineRule="auto"/>
              <w:ind w:firstLine="420" w:firstLineChars="200"/>
              <w:jc w:val="center"/>
              <w:rPr>
                <w:rFonts w:hint="eastAsia" w:ascii="宋体" w:hAnsi="宋体" w:cs="宋体"/>
                <w:color w:val="000000" w:themeColor="text1"/>
                <w:szCs w:val="21"/>
                <w14:textFill>
                  <w14:solidFill>
                    <w14:schemeClr w14:val="tx1"/>
                  </w14:solidFill>
                </w14:textFill>
              </w:rPr>
            </w:pPr>
          </w:p>
        </w:tc>
        <w:tc>
          <w:tcPr>
            <w:tcW w:w="175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崇左市公安局</w:t>
            </w:r>
          </w:p>
        </w:tc>
        <w:tc>
          <w:tcPr>
            <w:tcW w:w="38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崇左市石景林路8号指定机房</w:t>
            </w:r>
          </w:p>
        </w:tc>
        <w:tc>
          <w:tcPr>
            <w:tcW w:w="1485"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261" w:type="dxa"/>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bookmarkEnd w:id="103"/>
    </w:tbl>
    <w:p>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w:t>
      </w:r>
      <w:r>
        <w:rPr>
          <w:rFonts w:hint="eastAsia" w:ascii="宋体" w:hAnsi="宋体"/>
          <w:b/>
          <w:color w:val="000000" w:themeColor="text1"/>
          <w:szCs w:val="21"/>
          <w14:textFill>
            <w14:solidFill>
              <w14:schemeClr w14:val="tx1"/>
            </w14:solidFill>
          </w14:textFill>
        </w:rPr>
        <w:t>地市二级网线路核心路由器（备线）的硬件维保服务</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提供每个地市二级网线路对应的1台核心路由器（备线，安装位置为各市机房）的硬件故障免费维修及配件免费更换服务。</w:t>
      </w:r>
    </w:p>
    <w:p>
      <w:pPr>
        <w:spacing w:line="360" w:lineRule="auto"/>
        <w:rPr>
          <w:rFonts w:hint="eastAsia" w:ascii="宋体" w:hAnsi="宋体"/>
          <w:b/>
          <w:color w:val="000000" w:themeColor="text1"/>
          <w:kern w:val="0"/>
          <w:szCs w:val="21"/>
          <w14:textFill>
            <w14:solidFill>
              <w14:schemeClr w14:val="tx1"/>
            </w14:solidFill>
          </w14:textFill>
        </w:rPr>
      </w:pP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Cs/>
          <w:color w:val="000000" w:themeColor="text1"/>
          <w:szCs w:val="21"/>
          <w14:textFill>
            <w14:solidFill>
              <w14:schemeClr w14:val="tx1"/>
            </w14:solidFill>
          </w14:textFill>
        </w:rPr>
        <w:t>▲</w:t>
      </w:r>
      <w:r>
        <w:rPr>
          <w:rFonts w:ascii="宋体" w:hAnsi="宋体"/>
          <w:b/>
          <w:color w:val="000000" w:themeColor="text1"/>
          <w:kern w:val="0"/>
          <w:sz w:val="28"/>
          <w:szCs w:val="28"/>
          <w14:textFill>
            <w14:solidFill>
              <w14:schemeClr w14:val="tx1"/>
            </w14:solidFill>
          </w14:textFill>
        </w:rPr>
        <w:t>三、商务要求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本项目分2个分标，供应商可以参与多个分标投标，最多只能中一个分标，按A→B分标的顺序在整个项目中推荐各分标的成交候选人</w:t>
      </w:r>
      <w:r>
        <w:rPr>
          <w:rFonts w:hint="eastAsia" w:ascii="宋体" w:hAnsi="宋体" w:cs="宋体"/>
          <w:color w:val="000000" w:themeColor="text1"/>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报价要求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次报价须为人民币报价，供应商针对每项内容作出单价及总价分项报价，只要填报了一个确定数额的总价，无论分项价格是否全部填报了相应的金额，报价应被视为已经包含了但并不限于本项目各项购买服务及相关服务等的费用和所需缴纳的所有价格、税、费。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.合同签订日期</w:t>
      </w:r>
    </w:p>
    <w:p>
      <w:pPr>
        <w:spacing w:line="360" w:lineRule="auto"/>
        <w:rPr>
          <w:rFonts w:hint="eastAsia" w:ascii="宋体" w:hAnsi="宋体"/>
          <w:i/>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成交通知书发出之日起25日内。</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.服务时间</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交付使用时间：合同签订后3个日历日内。租用时间:2026年2月1日至2027年6月30日（17个月）。</w:t>
      </w:r>
      <w:r>
        <w:rPr>
          <w:rFonts w:hint="eastAsia" w:ascii="宋体" w:hAnsi="宋体"/>
          <w:color w:val="000000" w:themeColor="text1"/>
          <w:kern w:val="0"/>
          <w:szCs w:val="21"/>
          <w14:textFill>
            <w14:solidFill>
              <w14:schemeClr w14:val="tx1"/>
            </w14:solidFill>
          </w14:textFill>
        </w:rPr>
        <w:t>如合同签订之日晚于2026年2月1日，则从签订之日起计算17个月</w:t>
      </w:r>
      <w:r>
        <w:rPr>
          <w:rFonts w:hint="eastAsia" w:ascii="宋体" w:hAnsi="宋体"/>
          <w:b/>
          <w:bCs/>
          <w:color w:val="000000" w:themeColor="text1"/>
          <w:kern w:val="0"/>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.服务地点</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采购人指定地点。</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.验收标准</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7.售后服务要求</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7.1因成交供应商使用、网络割接等原因影响网络运行的，须至少提前2个工作日通知采购人，并且尽快消除故障、恢复通信线路。</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成交供应商必须承诺保证网络的畅通，负责运营商到用户单位主干光缆所有设备的运行维护，如光收发器设备等，如果网络出现问题，必须在接到报告后15分钟内给予回应，1个小时内到达现场，负责排除故障，直到网络恢复正常，如传输设备故障在4小时内无法解决的应提供备件，确保网络正常运行；</w:t>
      </w:r>
      <w:r>
        <w:rPr>
          <w:rFonts w:hint="eastAsia" w:ascii="宋体" w:hAnsi="宋体" w:cs="宋体"/>
          <w:color w:val="000000" w:themeColor="text1"/>
          <w:szCs w:val="21"/>
          <w14:textFill>
            <w14:solidFill>
              <w14:schemeClr w14:val="tx1"/>
            </w14:solidFill>
          </w14:textFill>
        </w:rPr>
        <w:t>所涉及的费用包含在此次报价中，采购人不另行支付。</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供应商须提供针对本项目为采购人服务的运营商客户经理和技术接口人及联系电话清单。</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在合同有效期内，采购人线路使用地点若发生变更，成交供应商负责移装，并及时接通新迁点的租用电路。</w:t>
      </w:r>
      <w:r>
        <w:rPr>
          <w:rFonts w:hint="eastAsia" w:ascii="宋体" w:hAnsi="宋体" w:cs="宋体"/>
          <w:color w:val="000000" w:themeColor="text1"/>
          <w:szCs w:val="21"/>
          <w14:textFill>
            <w14:solidFill>
              <w14:schemeClr w14:val="tx1"/>
            </w14:solidFill>
          </w14:textFill>
        </w:rPr>
        <w:t>所涉及的费用包含在此次报价中，采购人不另行支付。</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7.5供应商须随响应文件附上《廉洁承诺书》，做出不向采购人工作人员行贿的承诺。未在响应文件中附上《廉洁承诺书》的可视为响应无效。</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7.6廉政责任书要求：合同签订后，由公安厅科信办组织，公安厅采购办项目主办人、成交供应商负责人、建设单位项目负责人签署《项目建设廉政责任书》。</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.付款方式、时间及条件</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.履约保证金</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pPr>
        <w:numPr>
          <w:ilvl w:val="255"/>
          <w:numId w:val="0"/>
        </w:num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服务质量保障要求</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（1）服务考核标准</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1）整个线路租赁期作为一个考核周期。满分为100分。</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2）采购人或采购人委托监理依据表1所列各项考核指标要求在考核周期内的最后一个月完成对成交供应商服务质量考核评价，并在3个工作日内经供需双方对考核得分结果进行签字确认。</w:t>
      </w:r>
    </w:p>
    <w:p>
      <w:pPr>
        <w:widowControl/>
        <w:spacing w:line="300" w:lineRule="exact"/>
        <w:jc w:val="left"/>
        <w:rPr>
          <w:rFonts w:hint="eastAsia" w:ascii="宋体" w:hAnsi="宋体" w:cs="宋体"/>
          <w:color w:val="000000" w:themeColor="text1"/>
          <w:szCs w:val="21"/>
          <w14:textFill>
            <w14:solidFill>
              <w14:schemeClr w14:val="tx1"/>
            </w14:solidFill>
          </w14:textFill>
        </w:rPr>
      </w:pP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表1 服务质量评价表</w:t>
      </w:r>
    </w:p>
    <w:tbl>
      <w:tblPr>
        <w:tblStyle w:val="24"/>
        <w:tblW w:w="7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98"/>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考核指标</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指标和评分描述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线路交付时限</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线路须在合同签订起3个日历日内完成调试，具备开通条件。线路未按规定时限具备开通条件的，本项不得分。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线路运维质量</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合同期内单条线路非计划中断，30分钟以内恢复的不扣分；30分钟至2小时以内恢复的，每次扣1分；2小时至4小时以内恢复的，每次扣2分；超过4小时恢复的，每次扣5分。总分60分，扣完为止。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线路可用带宽</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线路两端端口为单模光口，实际可用带宽≥80%。不符合要求，每次每条线路扣1分。总分10分，扣完为止。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00"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线路延时</w:t>
            </w:r>
          </w:p>
        </w:tc>
        <w:tc>
          <w:tcPr>
            <w:tcW w:w="798"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533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单条线路因延时过大（参考数值不大于200ms）导致影响业务的，每次扣1分。总分20分，扣完为止。</w:t>
            </w:r>
          </w:p>
        </w:tc>
      </w:tr>
    </w:tbl>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（2）考核应用</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整个线路租赁期作为一个考核周期，采购人根据成交供应商服务考核评价得分，从合同总价中扣减相应金额款项。具体约定如下：</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1）以合同总价作为扣减基准。</w:t>
      </w:r>
    </w:p>
    <w:p>
      <w:pPr>
        <w:widowControl/>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2）考核周期扣减金额与服务质量评价得分扣减金额折算关系如表2所示。</w:t>
      </w:r>
    </w:p>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表2 服务质量评价得分扣减金额折算表</w:t>
      </w:r>
    </w:p>
    <w:tbl>
      <w:tblPr>
        <w:tblStyle w:val="24"/>
        <w:tblW w:w="6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128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服务考核得分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扣减比例</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扣减金额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大于等于90分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大于等于80分，小于90</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大于等于70分，小于80分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大于等于60分，小于70分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711"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小于60分</w:t>
            </w:r>
          </w:p>
        </w:tc>
        <w:tc>
          <w:tcPr>
            <w:tcW w:w="1287"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2182" w:type="dxa"/>
            <w:vAlign w:val="center"/>
          </w:tcPr>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50%*合同总价</w:t>
            </w:r>
          </w:p>
        </w:tc>
      </w:tr>
    </w:tbl>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r>
        <w:rPr>
          <w:rFonts w:ascii="宋体" w:hAnsi="宋体"/>
          <w:color w:val="000000" w:themeColor="text1"/>
          <w:szCs w:val="21"/>
          <w14:textFill>
            <w14:solidFill>
              <w14:schemeClr w14:val="tx1"/>
            </w14:solidFill>
          </w14:textFill>
        </w:rPr>
        <w:t>包装和运输要求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根据财政部等三部门《关于印发&lt;商品包装政府采购需求标准（试行）&gt;、&lt;快递包装政府采购需求标准（试行）&gt;的通知》（财办库</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2020</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123号）规定，若响应产品使用塑料、纸质、木质等包装材料时应满足《商品包装政府采购需求标准（试行）》要求，若响应产品需要快递包装，快递封装材料应满足《快递包装政府采购需求标准（试行）》要求。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运输要求详见采购文件合同主要条款格式部分。</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.保险</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w:t>
      </w:r>
      <w:r>
        <w:rPr>
          <w:rFonts w:hint="eastAsia" w:ascii="宋体" w:hAnsi="宋体"/>
          <w:color w:val="000000" w:themeColor="text1"/>
          <w:szCs w:val="21"/>
          <w14:textFill>
            <w14:solidFill>
              <w14:schemeClr w14:val="tx1"/>
            </w14:solidFill>
          </w14:textFill>
        </w:rPr>
        <w:t>均</w:t>
      </w:r>
      <w:r>
        <w:rPr>
          <w:rFonts w:ascii="宋体" w:hAnsi="宋体"/>
          <w:color w:val="000000" w:themeColor="text1"/>
          <w:szCs w:val="21"/>
          <w14:textFill>
            <w14:solidFill>
              <w14:schemeClr w14:val="tx1"/>
            </w14:solidFill>
          </w14:textFill>
        </w:rPr>
        <w:t>由供应商承担。</w:t>
      </w:r>
    </w:p>
    <w:p>
      <w:pPr>
        <w:pStyle w:val="2"/>
        <w:numPr>
          <w:ilvl w:val="255"/>
          <w:numId w:val="0"/>
        </w:numP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13.保密工作条款</w:t>
      </w:r>
    </w:p>
    <w:p>
      <w:pPr>
        <w:snapToGrid w:val="0"/>
        <w:spacing w:line="32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成交供应商须与采购人签订《合作企业保密协议书》（格式自拟），遵守采购人信息安全管理规定。</w:t>
      </w:r>
    </w:p>
    <w:p>
      <w:pPr>
        <w:pStyle w:val="2"/>
        <w:rPr>
          <w:rFonts w:hint="eastAsia" w:ascii="宋体" w:hAnsi="宋体"/>
          <w:color w:val="000000" w:themeColor="text1"/>
          <w14:textFill>
            <w14:solidFill>
              <w14:schemeClr w14:val="tx1"/>
            </w14:solidFill>
          </w14:textFill>
        </w:rPr>
      </w:pPr>
    </w:p>
    <w:p>
      <w:pPr>
        <w:spacing w:line="360" w:lineRule="auto"/>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四、其他要求</w:t>
      </w:r>
    </w:p>
    <w:p>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鉴于本项目租期到期后，可能存在后续项目的线路供应商与本项目不一致，因此参与本项目的供应商须以承诺函的方式承诺在本项目租期到期后额外继续提供不少于30个日历日（具体时间根据现场线路割接情况确定）的线路租赁服务，以便采购人组织对线路进行割接。供应商应在响应文件中提供承诺函（格式自拟），此费用包含在本次响应报价中，采购人不另行支付。</w:t>
      </w:r>
    </w:p>
    <w:p>
      <w:pPr>
        <w:snapToGrid w:val="0"/>
        <w:spacing w:line="360" w:lineRule="auto"/>
        <w:rPr>
          <w:rFonts w:hint="eastAsia" w:ascii="宋体" w:hAnsi="宋体"/>
          <w:b/>
          <w:color w:val="000000" w:themeColor="text1"/>
          <w14:textFill>
            <w14:solidFill>
              <w14:schemeClr w14:val="tx1"/>
            </w14:solidFill>
          </w14:textFill>
        </w:rPr>
      </w:pPr>
    </w:p>
    <w:p>
      <w:pPr>
        <w:spacing w:line="528" w:lineRule="exact"/>
        <w:rPr>
          <w:rFonts w:hint="eastAsia" w:ascii="宋体" w:hAnsi="宋体"/>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 w:val="28"/>
          <w:szCs w:val="28"/>
          <w14:textFill>
            <w14:solidFill>
              <w14:schemeClr w14:val="tx1"/>
            </w14:solidFill>
          </w14:textFill>
        </w:rPr>
        <w:t xml:space="preserve">附件1：                </w:t>
      </w:r>
    </w:p>
    <w:p>
      <w:pPr>
        <w:spacing w:line="528" w:lineRule="exact"/>
        <w:ind w:firstLine="280" w:firstLineChars="100"/>
        <w:jc w:val="center"/>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中小微企业划型标准</w:t>
      </w:r>
    </w:p>
    <w:tbl>
      <w:tblPr>
        <w:tblStyle w:val="2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tblPrEx>
          <w:tblLayout w:type="fixed"/>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微型</w:t>
            </w:r>
          </w:p>
        </w:tc>
      </w:tr>
      <w:tr>
        <w:tblPrEx>
          <w:tblLayout w:type="fixed"/>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Y＜50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Y＜300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Y＜300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Z＜300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X＜5</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Y＜200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X＜20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Y＜50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Y＜2000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Y＜500</w:t>
            </w:r>
          </w:p>
        </w:tc>
      </w:tr>
      <w:tr>
        <w:tblPrEx>
          <w:tblLayout w:type="fixed"/>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r>
        <w:tblPrEx>
          <w:tblLayout w:type="fixed"/>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Y＜100</w:t>
            </w:r>
          </w:p>
        </w:tc>
      </w:tr>
      <w:tr>
        <w:tblPrEx>
          <w:tblLayout w:type="fixed"/>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X＜10</w:t>
            </w:r>
          </w:p>
        </w:tc>
      </w:tr>
    </w:tbl>
    <w:p>
      <w:pPr>
        <w:spacing w:line="360" w:lineRule="auto"/>
        <w:ind w:firstLine="525" w:firstLineChars="2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说明：上述标准参照《关于印发中小企业划型标准规定的通知》（工信部联企业</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2011</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300号），大型、中型和小型企业须同时满足所列指标的下限，否则下划一档；微型企业只须满足所列指标中的一项即可。</w:t>
      </w:r>
    </w:p>
    <w:p>
      <w:pPr>
        <w:spacing w:line="360" w:lineRule="auto"/>
        <w:rPr>
          <w:rFonts w:hint="eastAsia" w:ascii="宋体" w:hAnsi="宋体"/>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 w:val="28"/>
          <w:szCs w:val="28"/>
          <w14:textFill>
            <w14:solidFill>
              <w14:schemeClr w14:val="tx1"/>
            </w14:solidFill>
          </w14:textFill>
        </w:rPr>
        <w:t>附件2：</w:t>
      </w:r>
    </w:p>
    <w:p>
      <w:pPr>
        <w:spacing w:line="360" w:lineRule="auto"/>
        <w:rPr>
          <w:rFonts w:hint="eastAsia" w:ascii="宋体" w:hAnsi="宋体"/>
          <w:color w:val="000000" w:themeColor="text1"/>
          <w:szCs w:val="21"/>
          <w14:textFill>
            <w14:solidFill>
              <w14:schemeClr w14:val="tx1"/>
            </w14:solidFill>
          </w14:textFill>
        </w:rPr>
        <w:sectPr>
          <w:pgSz w:w="11906" w:h="16838"/>
          <w:pgMar w:top="851" w:right="1133" w:bottom="1246" w:left="1418" w:header="851" w:footer="797" w:gutter="0"/>
          <w:cols w:space="720" w:num="1"/>
          <w:docGrid w:linePitch="312" w:charSpace="0"/>
        </w:sectPr>
      </w:pPr>
      <w:r>
        <w:rPr>
          <w:rFonts w:ascii="宋体" w:hAnsi="宋体"/>
          <w:color w:val="000000" w:themeColor="text1"/>
          <w:kern w:val="0"/>
          <w:sz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573395" cy="812546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p>
    <w:bookmarkEnd w:id="16"/>
    <w:bookmarkEnd w:id="17"/>
    <w:p>
      <w:pPr>
        <w:pStyle w:val="11"/>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21" w:name="_Toc202203001"/>
      <w:r>
        <w:rPr>
          <w:rFonts w:hAnsi="宋体" w:cs="Times New Roman"/>
          <w:color w:val="000000" w:themeColor="text1"/>
          <w:sz w:val="32"/>
          <w:szCs w:val="32"/>
          <w14:textFill>
            <w14:solidFill>
              <w14:schemeClr w14:val="tx1"/>
            </w14:solidFill>
          </w14:textFill>
        </w:rPr>
        <w:t>第三章  供应商须知</w:t>
      </w:r>
      <w:bookmarkEnd w:id="21"/>
      <w:bookmarkStart w:id="22" w:name="_Toc254970667"/>
      <w:bookmarkStart w:id="23" w:name="_Toc254970526"/>
    </w:p>
    <w:p>
      <w:pPr>
        <w:pStyle w:val="3"/>
        <w:spacing w:before="40" w:after="40"/>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供应商须知前附表</w:t>
      </w:r>
      <w:bookmarkEnd w:id="22"/>
      <w:bookmarkEnd w:id="23"/>
      <w:bookmarkStart w:id="24" w:name="_投标人须知前附表"/>
      <w:bookmarkEnd w:id="24"/>
      <w:bookmarkStart w:id="25" w:name="_Hlk19088833"/>
    </w:p>
    <w:tbl>
      <w:tblPr>
        <w:tblStyle w:val="24"/>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135"/>
        <w:gridCol w:w="75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要点</w:t>
            </w:r>
          </w:p>
        </w:tc>
        <w:tc>
          <w:tcPr>
            <w:tcW w:w="7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项目基本信息</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2026至2027年公安二级网线路租赁项目</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项目编号：</w:t>
            </w:r>
            <w:r>
              <w:rPr>
                <w:rFonts w:hint="eastAsia" w:ascii="宋体" w:hAnsi="宋体"/>
                <w:color w:val="000000" w:themeColor="text1"/>
                <w:szCs w:val="21"/>
                <w14:textFill>
                  <w14:solidFill>
                    <w14:schemeClr w14:val="tx1"/>
                  </w14:solidFill>
                </w14:textFill>
              </w:rPr>
              <w:t>GXZC2025-C3-003480-JDZB</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采购计划号：</w:t>
            </w:r>
            <w:r>
              <w:rPr>
                <w:rFonts w:hint="eastAsia" w:ascii="宋体" w:hAnsi="宋体"/>
                <w:color w:val="000000" w:themeColor="text1"/>
                <w:szCs w:val="21"/>
                <w14:textFill>
                  <w14:solidFill>
                    <w14:schemeClr w14:val="tx1"/>
                  </w14:solidFill>
                </w14:textFill>
              </w:rPr>
              <w:t>广西政采[2025]21514号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1.3.2</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采购方式</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1.4</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促进中小企业发展措施</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1.5.1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供应商资格条件</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w:t>
            </w:r>
            <w:r>
              <w:rPr>
                <w:rFonts w:hint="eastAsia" w:ascii="宋体" w:hAnsi="宋体"/>
                <w:color w:val="000000" w:themeColor="text1"/>
                <w:szCs w:val="21"/>
                <w14:textFill>
                  <w14:solidFill>
                    <w14:schemeClr w14:val="tx1"/>
                  </w14:solidFill>
                </w14:textFill>
              </w:rPr>
              <w:t>竞争性</w:t>
            </w:r>
            <w:r>
              <w:rPr>
                <w:rFonts w:ascii="宋体" w:hAnsi="宋体"/>
                <w:color w:val="000000" w:themeColor="text1"/>
                <w:szCs w:val="21"/>
                <w14:textFill>
                  <w14:solidFill>
                    <w14:schemeClr w14:val="tx1"/>
                  </w14:solidFill>
                </w14:textFill>
              </w:rPr>
              <w:t>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bookmarkStart w:id="26" w:name="_Hlk85555568"/>
            <w:r>
              <w:rPr>
                <w:rFonts w:ascii="宋体" w:hAnsi="宋体"/>
                <w:b/>
                <w:color w:val="000000" w:themeColor="text1"/>
                <w:szCs w:val="21"/>
                <w14:textFill>
                  <w14:solidFill>
                    <w14:schemeClr w14:val="tx1"/>
                  </w14:solidFill>
                </w14:textFill>
              </w:rPr>
              <w:t>1.5.3</w:t>
            </w:r>
          </w:p>
        </w:tc>
        <w:tc>
          <w:tcPr>
            <w:tcW w:w="113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联合体</w:t>
            </w:r>
          </w:p>
        </w:tc>
        <w:tc>
          <w:tcPr>
            <w:tcW w:w="7513" w:type="dxa"/>
            <w:tcBorders>
              <w:top w:val="single" w:color="auto" w:sz="4" w:space="0"/>
              <w:left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接受联合体。</w:t>
            </w:r>
          </w:p>
        </w:tc>
      </w:tr>
      <w:bookmarkEnd w:id="26"/>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1.6</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踏勘</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否   □是</w:t>
            </w:r>
          </w:p>
          <w:p>
            <w:pP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踏勘时间： </w:t>
            </w:r>
            <w:r>
              <w:rPr>
                <w:rFonts w:ascii="宋体" w:hAnsi="宋体"/>
                <w:color w:val="000000" w:themeColor="text1"/>
                <w:szCs w:val="21"/>
                <w:u w:val="single"/>
                <w14:textFill>
                  <w14:solidFill>
                    <w14:schemeClr w14:val="tx1"/>
                  </w14:solidFill>
                </w14:textFill>
              </w:rPr>
              <w:t xml:space="preserve">             </w:t>
            </w:r>
          </w:p>
          <w:p>
            <w:pP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踏勘地点： </w:t>
            </w:r>
            <w:r>
              <w:rPr>
                <w:rFonts w:ascii="宋体" w:hAnsi="宋体"/>
                <w:color w:val="000000" w:themeColor="text1"/>
                <w:szCs w:val="21"/>
                <w:u w:val="single"/>
                <w14:textFill>
                  <w14:solidFill>
                    <w14:schemeClr w14:val="tx1"/>
                  </w14:solidFill>
                </w14:textFill>
              </w:rPr>
              <w:t xml:space="preserve">          </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踏勘要求：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1.7.2</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接受分包。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采购文件澄清、修改</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在磋商公告发布媒介发布。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确认收到澄清、修改发布的方式</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澄清、修改文件自磋商公告发布媒体发布之日起，视为供应商已收到该澄清、修改。供应商未及时关注磋商公告发布媒体造成的损失，由供应商自行负责。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3.4.1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响应有效期</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3.5</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磋商保证金</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磋商保证金金额：</w:t>
            </w: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分标：人民币</w:t>
            </w:r>
            <w:r>
              <w:rPr>
                <w:rFonts w:hint="eastAsia" w:ascii="宋体" w:hAnsi="宋体"/>
                <w:color w:val="000000" w:themeColor="text1"/>
                <w:szCs w:val="21"/>
                <w14:textFill>
                  <w14:solidFill>
                    <w14:schemeClr w14:val="tx1"/>
                  </w14:solidFill>
                </w14:textFill>
              </w:rPr>
              <w:t>陆仟</w:t>
            </w:r>
            <w:r>
              <w:rPr>
                <w:rFonts w:ascii="宋体" w:hAnsi="宋体"/>
                <w:color w:val="000000" w:themeColor="text1"/>
                <w:szCs w:val="21"/>
                <w14:textFill>
                  <w14:solidFill>
                    <w14:schemeClr w14:val="tx1"/>
                  </w14:solidFill>
                </w14:textFill>
              </w:rPr>
              <w:t>元整（¥</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,000.00元）；</w:t>
            </w: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分标：人民币</w:t>
            </w:r>
            <w:r>
              <w:rPr>
                <w:rFonts w:hint="eastAsia" w:ascii="宋体" w:hAnsi="宋体"/>
                <w:color w:val="000000" w:themeColor="text1"/>
                <w:szCs w:val="21"/>
                <w14:textFill>
                  <w14:solidFill>
                    <w14:schemeClr w14:val="tx1"/>
                  </w14:solidFill>
                </w14:textFill>
              </w:rPr>
              <w:t>肆仟</w:t>
            </w:r>
            <w:r>
              <w:rPr>
                <w:rFonts w:ascii="宋体" w:hAnsi="宋体"/>
                <w:color w:val="000000" w:themeColor="text1"/>
                <w:szCs w:val="21"/>
                <w14:textFill>
                  <w14:solidFill>
                    <w14:schemeClr w14:val="tx1"/>
                  </w14:solidFill>
                </w14:textFill>
              </w:rPr>
              <w:t>元整（¥</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,000.00元）。</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（1）缴纳方式一：</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应于响应截止时间前将磋商保证金以电汇、转账形式从供应商账户一次性足额缴纳至本项目（各分标）对应的专用虚拟账号，所交纳的磋商保证金仅限当次项目有效，不得重复替代使用。本项目（各分标）磋商保证金缴纳专用虚拟账号信息如下：</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开户名称：广西机电设备招标有限公司</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开户银行：平安银行南宁分行营业部</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银行账号：</w:t>
            </w: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分标：30210485357676</w:t>
            </w:r>
          </w:p>
          <w:p>
            <w:pPr>
              <w:spacing w:line="300" w:lineRule="exact"/>
              <w:ind w:firstLine="1050" w:firstLineChars="5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分标：30210485672199</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特别说明：本项目保证金采用虚拟账号，为保证磋商保证金与项目一一对应，供应商如参加本项目的响应，应按对应的专用虚拟账号分别缴纳磋商保证金。</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磋商保证金币种应与响应报价币种相同。磋商保证金缴纳后无需开具收据，但必须在响应截止时间之前到达指定账号，其到账时间以银行确认的到账时间为准。</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（2）缴纳方式二：</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供应商可于响应截止时间前选择广西政府采购云平台允许的其他非现金形式缴纳磋商保证金。具体按照广西政府采购云平台的方式操作。</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（3）财务部联系电话：0771-2821398。</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（4）未按以上要求缴纳磋商保证金的响应文件，将作无效响应文件处理。</w:t>
            </w:r>
          </w:p>
          <w:p>
            <w:pPr>
              <w:spacing w:line="300" w:lineRule="exact"/>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注：为保证磋商保证金退还的及时性与便利性，鼓励优先采用方式一递交磋商保证金。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3.6</w:t>
            </w:r>
          </w:p>
        </w:tc>
        <w:tc>
          <w:tcPr>
            <w:tcW w:w="113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响应文件的编制</w:t>
            </w:r>
          </w:p>
        </w:tc>
        <w:tc>
          <w:tcPr>
            <w:tcW w:w="7513" w:type="dxa"/>
            <w:tcBorders>
              <w:top w:val="single" w:color="auto" w:sz="4" w:space="0"/>
              <w:left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响应文件应按第六章响应文件格式分别编制并使用下载的政采云投标客户端上传。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3.7</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响应文件递交截止时间及截标时间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见</w:t>
            </w:r>
            <w:r>
              <w:rPr>
                <w:rFonts w:hint="eastAsia" w:ascii="宋体" w:hAnsi="宋体"/>
                <w:color w:val="000000" w:themeColor="text1"/>
                <w:kern w:val="0"/>
                <w:szCs w:val="21"/>
                <w14:textFill>
                  <w14:solidFill>
                    <w14:schemeClr w14:val="tx1"/>
                  </w14:solidFill>
                </w14:textFill>
              </w:rPr>
              <w:t>竞争性</w:t>
            </w:r>
            <w:r>
              <w:rPr>
                <w:rFonts w:ascii="宋体" w:hAnsi="宋体"/>
                <w:color w:val="000000" w:themeColor="text1"/>
                <w:kern w:val="0"/>
                <w:szCs w:val="21"/>
                <w14:textFill>
                  <w14:solidFill>
                    <w14:schemeClr w14:val="tx1"/>
                  </w14:solidFill>
                </w14:textFill>
              </w:rPr>
              <w:t>磋商公告要求</w:t>
            </w:r>
            <w:r>
              <w:rPr>
                <w:rFonts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4.2</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1"/>
                <w14:textFill>
                  <w14:solidFill>
                    <w14:schemeClr w14:val="tx1"/>
                  </w14:solidFill>
                </w14:textFill>
              </w:rPr>
              <w:t>备份响应文件</w:t>
            </w:r>
          </w:p>
        </w:tc>
        <w:tc>
          <w:tcPr>
            <w:tcW w:w="7513"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w:t>
            </w:r>
            <w:r>
              <w:rPr>
                <w:rFonts w:ascii="宋体" w:hAnsi="宋体"/>
                <w:color w:val="000000" w:themeColor="text1"/>
                <w:sz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接受   □不接受备份响应文件</w:t>
            </w:r>
          </w:p>
          <w:p>
            <w:pPr>
              <w:spacing w:line="276" w:lineRule="auto"/>
              <w:rPr>
                <w:rFonts w:hint="eastAsia" w:ascii="宋体" w:hAnsi="宋体"/>
                <w:color w:val="000000" w:themeColor="text1"/>
                <w:sz w:val="22"/>
                <w14:textFill>
                  <w14:solidFill>
                    <w14:schemeClr w14:val="tx1"/>
                  </w14:solidFill>
                </w14:textFill>
              </w:rPr>
            </w:pPr>
            <w:r>
              <w:rPr>
                <w:rFonts w:ascii="宋体" w:hAnsi="宋体"/>
                <w:color w:val="000000" w:themeColor="text1"/>
                <w:szCs w:val="21"/>
                <w14:textFill>
                  <w14:solidFill>
                    <w14:schemeClr w14:val="tx1"/>
                  </w14:solidFill>
                </w14:textFill>
              </w:rPr>
              <w:t>以政采云系统自动生成的备份文件为依据，当项目允许接受备份响应文件时，供应商才可以按规定上传备份响应文件。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4.3</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演示</w:t>
            </w:r>
          </w:p>
        </w:tc>
        <w:tc>
          <w:tcPr>
            <w:tcW w:w="7513"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否   □是</w:t>
            </w:r>
          </w:p>
          <w:p>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演示内容：</w:t>
            </w:r>
            <w:r>
              <w:rPr>
                <w:rFonts w:ascii="宋体" w:hAnsi="宋体"/>
                <w:color w:val="000000" w:themeColor="text1"/>
                <w:szCs w:val="21"/>
                <w:u w:val="single"/>
                <w14:textFill>
                  <w14:solidFill>
                    <w14:schemeClr w14:val="tx1"/>
                  </w14:solidFill>
                </w14:textFill>
              </w:rPr>
              <w:t xml:space="preserve">               </w:t>
            </w:r>
          </w:p>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演示形式：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4.4</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样品</w:t>
            </w:r>
          </w:p>
        </w:tc>
        <w:tc>
          <w:tcPr>
            <w:tcW w:w="7513"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否   □是</w:t>
            </w:r>
          </w:p>
          <w:p>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样品制作的标准和要求：</w:t>
            </w:r>
            <w:r>
              <w:rPr>
                <w:rFonts w:ascii="宋体" w:hAnsi="宋体"/>
                <w:color w:val="000000" w:themeColor="text1"/>
                <w:szCs w:val="21"/>
                <w:u w:val="single"/>
                <w14:textFill>
                  <w14:solidFill>
                    <w14:schemeClr w14:val="tx1"/>
                  </w14:solidFill>
                </w14:textFill>
              </w:rPr>
              <w:t xml:space="preserve">               </w:t>
            </w:r>
          </w:p>
          <w:p>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样品检测机构的要求：</w:t>
            </w:r>
            <w:r>
              <w:rPr>
                <w:rFonts w:ascii="宋体" w:hAnsi="宋体"/>
                <w:color w:val="000000" w:themeColor="text1"/>
                <w:szCs w:val="21"/>
                <w:u w:val="single"/>
                <w14:textFill>
                  <w14:solidFill>
                    <w14:schemeClr w14:val="tx1"/>
                  </w14:solidFill>
                </w14:textFill>
              </w:rPr>
              <w:t xml:space="preserve">                </w:t>
            </w:r>
          </w:p>
          <w:p>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检测内容：</w:t>
            </w:r>
            <w:r>
              <w:rPr>
                <w:rFonts w:ascii="宋体" w:hAnsi="宋体"/>
                <w:color w:val="000000" w:themeColor="text1"/>
                <w:szCs w:val="21"/>
                <w:u w:val="single"/>
                <w14:textFill>
                  <w14:solidFill>
                    <w14:schemeClr w14:val="tx1"/>
                  </w14:solidFill>
                </w14:textFill>
              </w:rPr>
              <w:t xml:space="preserve">                     </w:t>
            </w:r>
          </w:p>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样品递交方式：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结果公告</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采购代理机构在采购人依法确认成交供应商后2个工作日内在磋商公告发布的媒体上发布结果公告。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6.5.2</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成交通知书</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采购代理机构通过</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发出成交通知书。</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成交通知书在</w:t>
            </w:r>
            <w:r>
              <w:rPr>
                <w:rFonts w:ascii="宋体" w:hAnsi="宋体"/>
                <w:color w:val="000000" w:themeColor="text1"/>
                <w:kern w:val="0"/>
                <w:szCs w:val="21"/>
                <w14:textFill>
                  <w14:solidFill>
                    <w14:schemeClr w14:val="tx1"/>
                  </w14:solidFill>
                </w14:textFill>
              </w:rPr>
              <w:t>广西政府采购云</w:t>
            </w:r>
            <w:r>
              <w:rPr>
                <w:rFonts w:ascii="宋体" w:hAnsi="宋体"/>
                <w:color w:val="000000" w:themeColor="text1"/>
                <w:szCs w:val="21"/>
                <w14:textFill>
                  <w14:solidFill>
                    <w14:schemeClr w14:val="tx1"/>
                  </w14:solidFill>
                </w14:textFill>
              </w:rPr>
              <w:t>平台推送之日起，视为成交供应商已收到，成交供应商自行承担未及时查收的后果。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8.1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w:t>
            </w:r>
          </w:p>
        </w:tc>
        <w:tc>
          <w:tcPr>
            <w:tcW w:w="751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代理服务费</w:t>
            </w:r>
          </w:p>
        </w:tc>
        <w:tc>
          <w:tcPr>
            <w:tcW w:w="7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color w:val="000000" w:themeColor="text1"/>
                <w:szCs w:val="20"/>
                <w14:textFill>
                  <w14:solidFill>
                    <w14:schemeClr w14:val="tx1"/>
                  </w14:solidFill>
                </w14:textFill>
              </w:rPr>
              <w:t>代理服务费</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采购代理机构向成交供应商收取代理服务费。本项目代理服务费按照《招标代理服务费管理暂行办法》（计价格﹝2002﹞1980号）、《国家发展改革委关于降低部分建设项目收费标准规范收费行为等有关问题的通知》（发改价格﹝2011﹞534号）的规定采用差额定率累进法计算。具体费率如下：</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成交金额在100万元</w:t>
            </w:r>
            <w:r>
              <w:rPr>
                <w:rFonts w:hint="eastAsia" w:ascii="宋体" w:hAnsi="宋体"/>
                <w:color w:val="000000" w:themeColor="text1"/>
                <w:szCs w:val="21"/>
                <w14:textFill>
                  <w14:solidFill>
                    <w14:schemeClr w14:val="tx1"/>
                  </w14:solidFill>
                </w14:textFill>
              </w:rPr>
              <w:t>（含）</w:t>
            </w:r>
            <w:r>
              <w:rPr>
                <w:rFonts w:ascii="宋体" w:hAnsi="宋体"/>
                <w:color w:val="000000" w:themeColor="text1"/>
                <w:szCs w:val="21"/>
                <w14:textFill>
                  <w14:solidFill>
                    <w14:schemeClr w14:val="tx1"/>
                  </w14:solidFill>
                </w14:textFill>
              </w:rPr>
              <w:t>以下的：</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货物1.5％；服务招标1.5％；工程招标1.0％；</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成交金额在100万元-500万元</w:t>
            </w:r>
            <w:r>
              <w:rPr>
                <w:rFonts w:hint="eastAsia" w:ascii="宋体" w:hAnsi="宋体"/>
                <w:color w:val="000000" w:themeColor="text1"/>
                <w:szCs w:val="21"/>
                <w14:textFill>
                  <w14:solidFill>
                    <w14:schemeClr w14:val="tx1"/>
                  </w14:solidFill>
                </w14:textFill>
              </w:rPr>
              <w:t>（含）</w:t>
            </w:r>
            <w:r>
              <w:rPr>
                <w:rFonts w:ascii="宋体" w:hAnsi="宋体"/>
                <w:color w:val="000000" w:themeColor="text1"/>
                <w:szCs w:val="21"/>
                <w14:textFill>
                  <w14:solidFill>
                    <w14:schemeClr w14:val="tx1"/>
                  </w14:solidFill>
                </w14:textFill>
              </w:rPr>
              <w:t>之间：</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货物1.1％；服务招标0.8％；工程招标0.7％；</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成交金额在500万元-1000万元</w:t>
            </w:r>
            <w:r>
              <w:rPr>
                <w:rFonts w:hint="eastAsia" w:ascii="宋体" w:hAnsi="宋体"/>
                <w:color w:val="000000" w:themeColor="text1"/>
                <w:szCs w:val="21"/>
                <w14:textFill>
                  <w14:solidFill>
                    <w14:schemeClr w14:val="tx1"/>
                  </w14:solidFill>
                </w14:textFill>
              </w:rPr>
              <w:t>（含）</w:t>
            </w:r>
            <w:r>
              <w:rPr>
                <w:rFonts w:ascii="宋体" w:hAnsi="宋体"/>
                <w:color w:val="000000" w:themeColor="text1"/>
                <w:szCs w:val="21"/>
                <w14:textFill>
                  <w14:solidFill>
                    <w14:schemeClr w14:val="tx1"/>
                  </w14:solidFill>
                </w14:textFill>
              </w:rPr>
              <w:t>之间：</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货物0.8％；服务招标0.45％；工程招标0.55％；</w:t>
            </w:r>
          </w:p>
          <w:p>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成交金额在1000万元</w:t>
            </w:r>
            <w:r>
              <w:rPr>
                <w:rFonts w:hint="eastAsia" w:ascii="宋体" w:hAnsi="宋体"/>
                <w:color w:val="000000" w:themeColor="text1"/>
                <w:szCs w:val="21"/>
                <w14:textFill>
                  <w14:solidFill>
                    <w14:schemeClr w14:val="tx1"/>
                  </w14:solidFill>
                </w14:textFill>
              </w:rPr>
              <w:t>（含）</w:t>
            </w:r>
            <w:r>
              <w:rPr>
                <w:rFonts w:ascii="宋体" w:hAnsi="宋体"/>
                <w:color w:val="000000" w:themeColor="text1"/>
                <w:szCs w:val="21"/>
                <w14:textFill>
                  <w14:solidFill>
                    <w14:schemeClr w14:val="tx1"/>
                  </w14:solidFill>
                </w14:textFill>
              </w:rPr>
              <w:t>-5000万元之间：</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货物0.5％；服务招标0.25％；工程招标0.35％；</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差额定率累进法计算过程示例：</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例如：某服务招标代理业务成交金额为300万元，招标代理服务费金额按如下计算：</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100万元×1.5%＝1.5万元</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（300－100）万元×0.8%＝1.6万元</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合计收费＝1.5＋1.6=3.1万元</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下浮5%后的总金额为：3.1 ×( 1 - 5% ) = 2.945万元</w:t>
            </w:r>
          </w:p>
          <w:p>
            <w:pPr>
              <w:spacing w:line="300" w:lineRule="exact"/>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A3"/>
            </w:r>
            <w:r>
              <w:rPr>
                <w:rFonts w:ascii="宋体" w:hAnsi="宋体"/>
                <w:color w:val="000000" w:themeColor="text1"/>
                <w:szCs w:val="21"/>
                <w14:textFill>
                  <w14:solidFill>
                    <w14:schemeClr w14:val="tx1"/>
                  </w14:solidFill>
                </w14:textFill>
              </w:rPr>
              <w:t>采购代理机构</w:t>
            </w:r>
            <w:r>
              <w:rPr>
                <w:rFonts w:ascii="宋体" w:hAnsi="宋体"/>
                <w:color w:val="000000" w:themeColor="text1"/>
                <w:szCs w:val="20"/>
                <w14:textFill>
                  <w14:solidFill>
                    <w14:schemeClr w14:val="tx1"/>
                  </w14:solidFill>
                </w14:textFill>
              </w:rPr>
              <w:t>向成交供应商收取代理服务费，具体金额为</w:t>
            </w:r>
            <w:r>
              <w:rPr>
                <w:rFonts w:ascii="宋体" w:hAnsi="宋体"/>
                <w:color w:val="000000" w:themeColor="text1"/>
                <w:szCs w:val="20"/>
                <w:u w:val="single"/>
                <w14:textFill>
                  <w14:solidFill>
                    <w14:schemeClr w14:val="tx1"/>
                  </w14:solidFill>
                </w14:textFill>
              </w:rPr>
              <w:t xml:space="preserve">             </w:t>
            </w:r>
            <w:r>
              <w:rPr>
                <w:rFonts w:ascii="宋体" w:hAnsi="宋体"/>
                <w:color w:val="000000" w:themeColor="text1"/>
                <w:szCs w:val="20"/>
                <w14:textFill>
                  <w14:solidFill>
                    <w14:schemeClr w14:val="tx1"/>
                  </w14:solidFill>
                </w14:textFill>
              </w:rPr>
              <w:t>。</w:t>
            </w:r>
          </w:p>
          <w:p>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开户银行：广西北部湾银行南宁市金湖支行</w:t>
            </w:r>
          </w:p>
          <w:p>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（银行地址：南宁市金湖路57号文德大厦1楼）</w:t>
            </w:r>
          </w:p>
          <w:p>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开户名称：广西机电设备招标有限公司</w:t>
            </w:r>
          </w:p>
          <w:p>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银行账号：1705012090027723 (联行号 313611017053)</w:t>
            </w:r>
          </w:p>
          <w:p>
            <w:pPr>
              <w:spacing w:line="30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财务联系人：吴茜（电话：0771-2821398）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附件</w:t>
            </w:r>
          </w:p>
        </w:tc>
        <w:tc>
          <w:tcPr>
            <w:tcW w:w="7513"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无</w:t>
            </w:r>
          </w:p>
          <w:p>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□有，详见：</w:t>
            </w:r>
            <w:r>
              <w:rPr>
                <w:rFonts w:ascii="宋体" w:hAnsi="宋体"/>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图纸</w:t>
            </w:r>
          </w:p>
        </w:tc>
        <w:tc>
          <w:tcPr>
            <w:tcW w:w="7513"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无</w:t>
            </w:r>
          </w:p>
          <w:p>
            <w:pPr>
              <w:spacing w:line="276"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□有，详见：</w:t>
            </w:r>
            <w:r>
              <w:rPr>
                <w:rFonts w:ascii="宋体" w:hAnsi="宋体"/>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9.4</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其他事项</w:t>
            </w:r>
          </w:p>
        </w:tc>
        <w:tc>
          <w:tcPr>
            <w:tcW w:w="7513"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t>本文件中内容如有前后不一致，以在采购文件中先出现的为准。</w:t>
            </w:r>
          </w:p>
        </w:tc>
      </w:tr>
    </w:tbl>
    <w:p>
      <w:pPr>
        <w:rPr>
          <w:rFonts w:hint="eastAsia" w:ascii="宋体" w:hAnsi="宋体"/>
          <w:color w:val="000000" w:themeColor="text1"/>
          <w14:textFill>
            <w14:solidFill>
              <w14:schemeClr w14:val="tx1"/>
            </w14:solidFill>
          </w14:textFill>
        </w:rPr>
      </w:pPr>
    </w:p>
    <w:bookmarkEnd w:id="25"/>
    <w:p>
      <w:pPr>
        <w:spacing w:before="120" w:line="320" w:lineRule="atLeast"/>
        <w:outlineLvl w:val="1"/>
        <w:rPr>
          <w:rFonts w:hint="eastAsia" w:ascii="宋体" w:hAnsi="宋体"/>
          <w:b/>
          <w:bCs/>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27" w:name="_Toc254970549"/>
      <w:bookmarkStart w:id="28" w:name="_Toc254970690"/>
      <w:r>
        <w:rPr>
          <w:rFonts w:ascii="宋体" w:hAnsi="宋体"/>
          <w:b/>
          <w:bCs/>
          <w:color w:val="000000" w:themeColor="text1"/>
          <w:kern w:val="0"/>
          <w:szCs w:val="21"/>
          <w14:textFill>
            <w14:solidFill>
              <w14:schemeClr w14:val="tx1"/>
            </w14:solidFill>
          </w14:textFill>
        </w:rPr>
        <w:t>1．总则</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29" w:name="_Toc254970527"/>
      <w:bookmarkStart w:id="30" w:name="_Toc254970668"/>
      <w:r>
        <w:rPr>
          <w:rFonts w:ascii="宋体" w:hAnsi="宋体"/>
          <w:b/>
          <w:bCs/>
          <w:color w:val="000000" w:themeColor="text1"/>
          <w:kern w:val="0"/>
          <w:szCs w:val="21"/>
          <w14:textFill>
            <w14:solidFill>
              <w14:schemeClr w14:val="tx1"/>
            </w14:solidFill>
          </w14:textFill>
        </w:rPr>
        <w:t>1.1适用范围</w:t>
      </w:r>
      <w:bookmarkEnd w:id="29"/>
      <w:bookmarkEnd w:id="30"/>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本采购文件适用于供应商须知前附表所述项目的政府采购活动。</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31" w:name="_Toc254970669"/>
      <w:bookmarkStart w:id="32" w:name="_Toc254970528"/>
      <w:r>
        <w:rPr>
          <w:rFonts w:ascii="宋体" w:hAnsi="宋体"/>
          <w:b/>
          <w:bCs/>
          <w:color w:val="000000" w:themeColor="text1"/>
          <w:kern w:val="0"/>
          <w:szCs w:val="21"/>
          <w14:textFill>
            <w14:solidFill>
              <w14:schemeClr w14:val="tx1"/>
            </w14:solidFill>
          </w14:textFill>
        </w:rPr>
        <w:t>1.2定义</w:t>
      </w:r>
      <w:bookmarkEnd w:id="31"/>
      <w:bookmarkEnd w:id="32"/>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1.2.1“采购人”系指依法进行政府采购的国家机关、事业单位、团体组织。</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1.2.2“供应商”系</w:t>
      </w:r>
      <w:r>
        <w:rPr>
          <w:rFonts w:ascii="宋体" w:hAnsi="宋体"/>
          <w:color w:val="000000" w:themeColor="text1"/>
          <w14:textFill>
            <w14:solidFill>
              <w14:schemeClr w14:val="tx1"/>
            </w14:solidFill>
          </w14:textFill>
        </w:rPr>
        <w:t>指响应招标、参加投标竞争的法人、其他组织或者自然人</w:t>
      </w:r>
      <w:r>
        <w:rPr>
          <w:rFonts w:ascii="宋体" w:hAnsi="宋体"/>
          <w:color w:val="000000" w:themeColor="text1"/>
          <w:szCs w:val="21"/>
          <w14:textFill>
            <w14:solidFill>
              <w14:schemeClr w14:val="tx1"/>
            </w14:solidFill>
          </w14:textFill>
        </w:rPr>
        <w:t>。</w:t>
      </w:r>
    </w:p>
    <w:p>
      <w:pPr>
        <w:spacing w:before="120"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1.2.3本文件中的“法定代表人”若无特别说明，当供应商是企业的，是指企业法人营业执照上的法定代表人；当供应商是事业单位的，是指事业单位法人证书上的法定代表人或负责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1.2.6本项目的技术商务要求重要性分为“▲”（如有）、“#”（如有）和一般无标识指标。▲代表实质性要求指标，</w:t>
      </w:r>
      <w:r>
        <w:rPr>
          <w:rFonts w:ascii="宋体" w:hAnsi="宋体"/>
          <w:b/>
          <w:bCs/>
          <w:color w:val="000000" w:themeColor="text1"/>
          <w:szCs w:val="21"/>
          <w14:textFill>
            <w14:solidFill>
              <w14:schemeClr w14:val="tx1"/>
            </w14:solidFill>
          </w14:textFill>
        </w:rPr>
        <w:t>不满足该指标项将导致响应被否决</w:t>
      </w:r>
      <w:r>
        <w:rPr>
          <w:rFonts w:ascii="宋体" w:hAnsi="宋体"/>
          <w:color w:val="000000" w:themeColor="text1"/>
          <w:szCs w:val="21"/>
          <w14:textFill>
            <w14:solidFill>
              <w14:schemeClr w14:val="tx1"/>
            </w14:solidFill>
          </w14:textFill>
        </w:rPr>
        <w:t>，#代表重要指标，无标识则表示一般指标项。</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1.2.7本采购文件出现多种选项的条款，以“</w:t>
      </w:r>
      <w:r>
        <w:rPr>
          <w:rFonts w:ascii="宋体" w:hAnsi="宋体"/>
          <w:color w:val="000000" w:themeColor="text1"/>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”表示本条款所选择的方式。</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1.2.8“电子交易平台”是指以数据电文形式在线完成采购活动的信息平台，本采购文件中也称“广西政府采购云平台”。</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1.3项目信息</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1.3.1项目名称及编号：详见供应商须知前附表</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1.3.2采购方式：详见供应商须知前附表</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1.4促进中小企业发展政策</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33" w:name="_Hlk92205820"/>
      <w:r>
        <w:rPr>
          <w:rFonts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2020</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46号）第九条以及《广西壮族自治区财政厅 广西壮族自治区工业和信息化厅转发财政部 工业和信息化部政府采购促进中小企业发展管理办法的通知》（桂财采</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2021</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70号）规定，价格扣除比例在第四章评审方法及标准中规定，对小型企业和微型企业同等对待，不作区分。</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1.4.2中小企业定义</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1.4.2.2供应商提供的货物、工程或者服务符合下列情形的，享受本款规定的促进中小企业发展政策：</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在货物采购项目中，货物由中小企业制造，即货物由中小企业生产且使用该中小企业商号或者注册商标；</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在工程采购项目中，工程由中小企业承建，即工程施工单位为中小企业；</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1.4.2.3本项目标的所属行业在第二章采购需求中规定。供应商根据中小企业划分标准《关于印发中小企业划型标准规定的通知》（工信部联企业〔2011〕300号）判断是否为中小企业。（见第二章采购需求</w:t>
      </w: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附件）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符合条件的货物制造商、工程施工单位、服务承接单位为中小企业的，应按采购文件规定在响应文件中提供声明函。</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1.4.2.4视同中小企业情形</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（1）符合中小企业划分标准的个体工商户，视同中小企业。</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符合条件的货物制造商、工程施工单位、服务承接单位为监狱企业或残疾人福利性单位的，应按采购文件规定在响应文件中提供相关证明文件。</w:t>
      </w:r>
      <w:bookmarkEnd w:id="33"/>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1.5供应商资格要求</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1.5.1供应商资格要求：详见供应商须知前附表</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1.5.2按照磋商公告的规定获得采购文件。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1.5.3本项目是否接受联合体响应，见“供应商须知前附表”规定。</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如接受联合体响应，联合体响应要求如下： </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（1）供应商可以组成一个响应联合体，以一个供应商的身份共同参加响应。联合体响应的，须提供《联合体协议书》（格式后附）</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（6）联合体响应业绩、履约能力按照联合体各方其中较高的一方认定并计算（采购文件其他章节另有规定的除外）。</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（7）供应商为联合体的，可以由联合体中的一方或者多方共同交纳磋商保证金，其交纳的保证金对联合体各方均具有约束力。</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（8）联合体各方均应按照采购文件的规定提交资格证明文件。</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34" w:name="_Toc254970672"/>
      <w:bookmarkStart w:id="35" w:name="_Toc254970531"/>
      <w:r>
        <w:rPr>
          <w:rFonts w:ascii="宋体" w:hAnsi="宋体"/>
          <w:b/>
          <w:bCs/>
          <w:color w:val="000000" w:themeColor="text1"/>
          <w:kern w:val="0"/>
          <w:szCs w:val="21"/>
          <w14:textFill>
            <w14:solidFill>
              <w14:schemeClr w14:val="tx1"/>
            </w14:solidFill>
          </w14:textFill>
        </w:rPr>
        <w:t>1.6现场踏勘及响应费用</w:t>
      </w:r>
      <w:bookmarkEnd w:id="34"/>
      <w:bookmarkEnd w:id="35"/>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1.6.1前附表如规定现场踏勘的，供应商应按规定时间地点参加踏勘。</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1.6.2供应商均应自行承担所有与响应有关的全部费用（采购文件有相关的规定除外）。</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1.7转包与分包</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1.7.1如采购文件其他地方无特别规定，本项目不允许转包。</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pPr>
        <w:spacing w:before="120" w:line="276" w:lineRule="auto"/>
        <w:ind w:firstLine="422" w:firstLineChars="200"/>
        <w:outlineLvl w:val="2"/>
        <w:rPr>
          <w:rFonts w:hint="eastAsia" w:ascii="宋体" w:hAnsi="宋体"/>
          <w:b/>
          <w:bCs/>
          <w:color w:val="000000" w:themeColor="text1"/>
          <w:kern w:val="0"/>
          <w:szCs w:val="21"/>
          <w14:textFill>
            <w14:solidFill>
              <w14:schemeClr w14:val="tx1"/>
            </w14:solidFill>
          </w14:textFill>
        </w:rPr>
      </w:pPr>
      <w:bookmarkStart w:id="36" w:name="_Toc254970673"/>
      <w:bookmarkStart w:id="37" w:name="_Toc254970532"/>
      <w:r>
        <w:rPr>
          <w:rFonts w:ascii="宋体" w:hAnsi="宋体"/>
          <w:b/>
          <w:bCs/>
          <w:color w:val="000000" w:themeColor="text1"/>
          <w:kern w:val="0"/>
          <w:szCs w:val="21"/>
          <w14:textFill>
            <w14:solidFill>
              <w14:schemeClr w14:val="tx1"/>
            </w14:solidFill>
          </w14:textFill>
        </w:rPr>
        <w:t>1.8特别说明</w:t>
      </w:r>
      <w:bookmarkEnd w:id="36"/>
      <w:bookmarkEnd w:id="37"/>
    </w:p>
    <w:p>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1.8.1供应商应保证其提供的联系方式（电话、传真、电子邮件）有效，以保证往来函件（澄清、修改等）能及时通知供应商，并能及时反馈，否则采购人及代理机构不承担由此引起的一切后果。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1.8.2供应商应仔细阅读采购文件的所有内容，按照采购文件的要求提交响应文件，并对所提供的全部资料的真实性承担法律责任。</w:t>
      </w:r>
    </w:p>
    <w:p>
      <w:pPr>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1.8.3供应商在响应活动中提供任何虚假材料，将报监管部门查处。</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bookmarkStart w:id="38" w:name="_Toc254970534"/>
      <w:bookmarkStart w:id="39" w:name="_Toc254970675"/>
      <w:r>
        <w:rPr>
          <w:rFonts w:ascii="宋体" w:hAnsi="宋体"/>
          <w:b/>
          <w:bCs/>
          <w:color w:val="000000" w:themeColor="text1"/>
          <w:kern w:val="0"/>
          <w:szCs w:val="21"/>
          <w14:textFill>
            <w14:solidFill>
              <w14:schemeClr w14:val="tx1"/>
            </w14:solidFill>
          </w14:textFill>
        </w:rPr>
        <w:t>2．采购文件</w:t>
      </w:r>
      <w:bookmarkEnd w:id="38"/>
      <w:bookmarkEnd w:id="39"/>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2.1采购文件的构成</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第一章 竞争性磋商公告</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第二章 采购需求</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第三章 供应商须知</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第四章 评审方法及标准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第五章 合同主要条款格式</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第六章 响应文件格式</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2.2供应商的风险</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供应商没有按照采购文件要求提供全部资料，或者供应商没有对采购文件在各方面作出实质性响应是供应商的风险，并可能导致其响应被否决。</w:t>
      </w:r>
    </w:p>
    <w:p>
      <w:pPr>
        <w:spacing w:before="120" w:line="320" w:lineRule="atLeast"/>
        <w:ind w:firstLine="422" w:firstLineChars="200"/>
        <w:outlineLvl w:val="2"/>
        <w:rPr>
          <w:rFonts w:hint="eastAsia" w:ascii="宋体" w:hAnsi="宋体"/>
          <w:b/>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2.3采购文件的澄清与修改</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2.3.1任何已获得采购文件的潜在供应商，均可以书面形式要求采购代理机构作出书面解释、澄清。</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采购人、采购代理机构可以对已发出的采购文件进行必要的澄清或者修改，澄清或者修改的内容可能影响响应文件编制的，采购人、采购代理机构应当在提交首次响应文件截止时间至少5日前，在供应商须知前附表规定的方式通知所有获取采购文件的潜在供应商，不足5日的，采购人、采购代理机构应当顺延提交首次响应文件截止时间。</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bookmarkStart w:id="40" w:name="_Toc254970535"/>
      <w:bookmarkStart w:id="41" w:name="_Toc254970676"/>
      <w:r>
        <w:rPr>
          <w:rFonts w:ascii="宋体" w:hAnsi="宋体"/>
          <w:b/>
          <w:bCs/>
          <w:color w:val="000000" w:themeColor="text1"/>
          <w:kern w:val="0"/>
          <w:szCs w:val="21"/>
          <w14:textFill>
            <w14:solidFill>
              <w14:schemeClr w14:val="tx1"/>
            </w14:solidFill>
          </w14:textFill>
        </w:rPr>
        <w:t>3．响应文件</w:t>
      </w:r>
      <w:bookmarkEnd w:id="40"/>
      <w:bookmarkEnd w:id="41"/>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2" w:name="_Toc254970677"/>
      <w:bookmarkStart w:id="43" w:name="_Toc254970536"/>
      <w:r>
        <w:rPr>
          <w:rFonts w:ascii="宋体" w:hAnsi="宋体"/>
          <w:b/>
          <w:bCs/>
          <w:color w:val="000000" w:themeColor="text1"/>
          <w:kern w:val="0"/>
          <w:szCs w:val="21"/>
          <w14:textFill>
            <w14:solidFill>
              <w14:schemeClr w14:val="tx1"/>
            </w14:solidFill>
          </w14:textFill>
        </w:rPr>
        <w:t>3.1响应文件的组成</w:t>
      </w:r>
      <w:bookmarkEnd w:id="42"/>
      <w:bookmarkEnd w:id="43"/>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响应文件由第六章“响应文件格式”规定的内容和供应商所作的一切有效补充、修改和承诺等文件组成。</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4" w:name="_Toc254970537"/>
      <w:bookmarkStart w:id="45" w:name="_Toc254970678"/>
      <w:r>
        <w:rPr>
          <w:rFonts w:ascii="宋体" w:hAnsi="宋体"/>
          <w:b/>
          <w:color w:val="000000" w:themeColor="text1"/>
          <w:szCs w:val="21"/>
          <w14:textFill>
            <w14:solidFill>
              <w14:schemeClr w14:val="tx1"/>
            </w14:solidFill>
          </w14:textFill>
        </w:rPr>
        <w:t>3.2</w:t>
      </w:r>
      <w:r>
        <w:rPr>
          <w:rFonts w:ascii="宋体" w:hAnsi="宋体"/>
          <w:b/>
          <w:bCs/>
          <w:color w:val="000000" w:themeColor="text1"/>
          <w:kern w:val="0"/>
          <w:szCs w:val="21"/>
          <w14:textFill>
            <w14:solidFill>
              <w14:schemeClr w14:val="tx1"/>
            </w14:solidFill>
          </w14:textFill>
        </w:rPr>
        <w:t>响应文件的语言及计量</w:t>
      </w:r>
      <w:bookmarkEnd w:id="44"/>
      <w:bookmarkEnd w:id="45"/>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3.2.2计量单位采购文件已有明确规定的，应使用采购文件规定的计量单位；采购文件没有规定的，应采用中华人民共和国法定计量单位。</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6" w:name="_Toc254970538"/>
      <w:bookmarkStart w:id="47" w:name="_Toc254970679"/>
      <w:r>
        <w:rPr>
          <w:rFonts w:ascii="宋体" w:hAnsi="宋体"/>
          <w:b/>
          <w:bCs/>
          <w:color w:val="000000" w:themeColor="text1"/>
          <w:kern w:val="0"/>
          <w:szCs w:val="21"/>
          <w14:textFill>
            <w14:solidFill>
              <w14:schemeClr w14:val="tx1"/>
            </w14:solidFill>
          </w14:textFill>
        </w:rPr>
        <w:t>3.3响应报价</w:t>
      </w:r>
      <w:bookmarkEnd w:id="46"/>
      <w:bookmarkEnd w:id="47"/>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3.3.1响应报价应按采购文件中相关附表格式填写。</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3.3.2响应文件只允许有一个报价，有选择的或有条件的报价将不予接受。</w:t>
      </w:r>
    </w:p>
    <w:p>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3.3.3对于本文件中未列明，而供应商认为必需的费用也需列入响应报价。在合同实施时，采购人将不予支付成交供应商没有列入的项目费用，并认为此项目的费用已包括在响应报价中。</w:t>
      </w:r>
    </w:p>
    <w:p>
      <w:pPr>
        <w:suppressAutoHyphens/>
        <w:spacing w:before="120" w:line="320" w:lineRule="atLeast"/>
        <w:ind w:firstLine="420" w:firstLineChars="200"/>
        <w:rPr>
          <w:rFonts w:hint="eastAsia" w:ascii="宋体" w:hAnsi="宋体"/>
          <w:b/>
          <w:bCs/>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3.3.4采购人不接受供应商给予的赠品、回扣或者与采购无关的其他商品、服务。</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3.4响应有效期</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3.4.1如采购文件其他地方无特别规定，响应有效期则为响应截止之日起90天。在响应有效期内响应文件应保持有效。</w:t>
      </w:r>
      <w:r>
        <w:rPr>
          <w:rFonts w:ascii="宋体" w:hAnsi="宋体"/>
          <w:b/>
          <w:bCs/>
          <w:color w:val="000000" w:themeColor="text1"/>
          <w:szCs w:val="21"/>
          <w14:textFill>
            <w14:solidFill>
              <w14:schemeClr w14:val="tx1"/>
            </w14:solidFill>
          </w14:textFill>
        </w:rPr>
        <w:t>有效期不足的响应文件将被否决</w:t>
      </w:r>
      <w:r>
        <w:rPr>
          <w:rFonts w:ascii="宋体" w:hAnsi="宋体"/>
          <w:color w:val="000000" w:themeColor="text1"/>
          <w:szCs w:val="21"/>
          <w14:textFill>
            <w14:solidFill>
              <w14:schemeClr w14:val="tx1"/>
            </w14:solidFill>
          </w14:textFill>
        </w:rPr>
        <w:t>。</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3.4.2在特殊情况下，采购人可与供应商协商延长响应文件的有效期，这种要求和答复均以书面形式进行。</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8" w:name="_Toc254970682"/>
      <w:bookmarkStart w:id="49" w:name="_Toc254970541"/>
      <w:r>
        <w:rPr>
          <w:rFonts w:ascii="宋体" w:hAnsi="宋体"/>
          <w:b/>
          <w:bCs/>
          <w:color w:val="000000" w:themeColor="text1"/>
          <w:kern w:val="0"/>
          <w:szCs w:val="21"/>
          <w14:textFill>
            <w14:solidFill>
              <w14:schemeClr w14:val="tx1"/>
            </w14:solidFill>
          </w14:textFill>
        </w:rPr>
        <w:t>3.5磋商保证金</w:t>
      </w:r>
      <w:bookmarkEnd w:id="48"/>
      <w:bookmarkEnd w:id="49"/>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3.5.1供应商须按须知前附表规定提交磋商保证金，</w:t>
      </w:r>
      <w:r>
        <w:rPr>
          <w:rFonts w:ascii="宋体" w:hAnsi="宋体"/>
          <w:b/>
          <w:bCs/>
          <w:color w:val="000000" w:themeColor="text1"/>
          <w:szCs w:val="21"/>
          <w14:textFill>
            <w14:solidFill>
              <w14:schemeClr w14:val="tx1"/>
            </w14:solidFill>
          </w14:textFill>
        </w:rPr>
        <w:t>否则其响应将被否决</w:t>
      </w:r>
      <w:r>
        <w:rPr>
          <w:rFonts w:ascii="宋体" w:hAnsi="宋体"/>
          <w:color w:val="000000" w:themeColor="text1"/>
          <w:szCs w:val="21"/>
          <w14:textFill>
            <w14:solidFill>
              <w14:schemeClr w14:val="tx1"/>
            </w14:solidFill>
          </w14:textFill>
        </w:rPr>
        <w:t>。除采购文件规定不予退还保证金的情形外，代理机构在规定时间内退回供应商的磋商保证金（供应商自行承担因未按供应商须知前附表要求交纳导致磋商保证金无法及时退还的责任）。</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3.5.2磋商保证金币种应与响应报价币种相同。</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3.5.3未成交供应商的磋商保证金在成交通知书发出后</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个工作日内退还。成交供应商的磋商保证金在合同签订后</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个工作日内退还（办理退还手续时需要向采购代理机构提供两份合同复印件）。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3.5.4供应商有下列情形之一的，磋商保证金将不予退还：</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供应商在响应有效期内撤销响应文件的；</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供应商在响应过程中弄虚作假，提供虚假材料的；</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成交供应商无正当理由不与采购人签订合同的；</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将成交项目转让给他人或者在响应文件中未说明且未经采购人同意，将成交项目分包给他人的；</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供应商与采购人、其他供应商或者采购代理机构恶意串通的；</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拒绝履行合同义务的；</w:t>
      </w:r>
    </w:p>
    <w:p>
      <w:pPr>
        <w:numPr>
          <w:ilvl w:val="0"/>
          <w:numId w:val="2"/>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其他严重扰乱招投标程序的。</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50" w:name="_Toc254970542"/>
      <w:bookmarkStart w:id="51" w:name="_Toc254970683"/>
      <w:r>
        <w:rPr>
          <w:rFonts w:ascii="宋体" w:hAnsi="宋体"/>
          <w:b/>
          <w:bCs/>
          <w:color w:val="000000" w:themeColor="text1"/>
          <w:kern w:val="0"/>
          <w:szCs w:val="21"/>
          <w14:textFill>
            <w14:solidFill>
              <w14:schemeClr w14:val="tx1"/>
            </w14:solidFill>
          </w14:textFill>
        </w:rPr>
        <w:t>3.6响应文件的</w:t>
      </w:r>
      <w:bookmarkEnd w:id="50"/>
      <w:bookmarkEnd w:id="51"/>
      <w:r>
        <w:rPr>
          <w:rFonts w:ascii="宋体" w:hAnsi="宋体"/>
          <w:b/>
          <w:bCs/>
          <w:color w:val="000000" w:themeColor="text1"/>
          <w:kern w:val="0"/>
          <w:szCs w:val="21"/>
          <w14:textFill>
            <w14:solidFill>
              <w14:schemeClr w14:val="tx1"/>
            </w14:solidFill>
          </w14:textFill>
        </w:rPr>
        <w:t>编制要求</w:t>
      </w:r>
    </w:p>
    <w:p>
      <w:pPr>
        <w:spacing w:before="120" w:line="320" w:lineRule="atLeast"/>
        <w:ind w:firstLine="420" w:firstLineChars="200"/>
        <w:rPr>
          <w:rFonts w:hint="eastAsia" w:ascii="宋体" w:hAnsi="宋体"/>
          <w:b/>
          <w:bCs/>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3.6.1</w:t>
      </w:r>
      <w:r>
        <w:rPr>
          <w:rFonts w:ascii="宋体" w:hAnsi="宋体"/>
          <w:color w:val="000000" w:themeColor="text1"/>
          <w:szCs w:val="21"/>
          <w14:textFill>
            <w14:solidFill>
              <w14:schemeClr w14:val="tx1"/>
            </w14:solidFill>
          </w14:textFill>
        </w:rPr>
        <w:t>供应商应先安装“政采云投标客户端”（请自行前往</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进行下载），通过账号密码或CA登录客户端制作响应文件。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3.6.3供应商的响应文件未按照采购文件要求签署、盖章的，其响应无效。</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3.6.4为确保网上操作合法、有效和安全，供应商应当在响应截止时间前完成在</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的身份认证，确保在电子投标过程中能够对相关数据电文进行加密和使用电子签名。</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3.6.5响应文件中标注的供应商名称应与主体资格证明（如营业执照、事业单位法人证书、执业许可证、个体工商户营业执照、自然人身份证等）和公章/电子签章一致，</w:t>
      </w:r>
      <w:r>
        <w:rPr>
          <w:rFonts w:ascii="宋体" w:hAnsi="宋体"/>
          <w:b/>
          <w:bCs/>
          <w:color w:val="000000" w:themeColor="text1"/>
          <w:szCs w:val="21"/>
          <w14:textFill>
            <w14:solidFill>
              <w14:schemeClr w14:val="tx1"/>
            </w14:solidFill>
          </w14:textFill>
        </w:rPr>
        <w:t>否则作无效响应处理。</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3.7响应文件的递交、修改和撤回</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3.7.2未在规定时间内提交或者未按照采购文件要求签章、加密的电子响应文件，</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将拒收。</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52" w:name="_Toc254970544"/>
      <w:bookmarkStart w:id="53" w:name="_Toc254970685"/>
      <w:r>
        <w:rPr>
          <w:rFonts w:ascii="宋体" w:hAnsi="宋体"/>
          <w:color w:val="000000" w:themeColor="text1"/>
          <w:szCs w:val="21"/>
          <w14:textFill>
            <w14:solidFill>
              <w14:schemeClr w14:val="tx1"/>
            </w14:solidFill>
          </w14:textFill>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将拒收。</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3.7.4在响应截止时间前，除供应商补充、修改或者撤回响应文件外，任何单位和个人不得解密或提取响应文件。</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3.7.5在响应截止时间止提交电子版响应文件的供应商不足3家时，电子版响应文件由代理机构在</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操作退回，除此之外采购人和采购代理机构对已提交的响应文件概不退回。</w:t>
      </w:r>
    </w:p>
    <w:p>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54" w:name="_Hlk93046827"/>
      <w:r>
        <w:rPr>
          <w:rFonts w:ascii="宋体" w:hAnsi="宋体"/>
          <w:color w:val="000000" w:themeColor="text1"/>
          <w:szCs w:val="21"/>
          <w14:textFill>
            <w14:solidFill>
              <w14:schemeClr w14:val="tx1"/>
            </w14:solidFill>
          </w14:textFill>
        </w:rPr>
        <w:t>3.7.6采购文件</w:t>
      </w:r>
      <w:bookmarkStart w:id="55" w:name="_Hlk106638610"/>
      <w:r>
        <w:rPr>
          <w:rFonts w:ascii="宋体" w:hAnsi="宋体"/>
          <w:color w:val="000000" w:themeColor="text1"/>
          <w:szCs w:val="21"/>
          <w14:textFill>
            <w14:solidFill>
              <w14:schemeClr w14:val="tx1"/>
            </w14:solidFill>
          </w14:textFill>
        </w:rPr>
        <w:t>未允许同一供应商提交两个或以上不同的响应文件，但存在</w:t>
      </w:r>
      <w:r>
        <w:rPr>
          <w:rFonts w:ascii="宋体" w:hAnsi="宋体"/>
          <w:color w:val="000000" w:themeColor="text1"/>
          <w14:textFill>
            <w14:solidFill>
              <w14:schemeClr w14:val="tx1"/>
            </w14:solidFill>
          </w14:textFill>
        </w:rPr>
        <w:t>同</w:t>
      </w:r>
      <w:r>
        <w:rPr>
          <w:rFonts w:ascii="宋体" w:hAnsi="宋体"/>
          <w:color w:val="000000" w:themeColor="text1"/>
          <w:szCs w:val="21"/>
          <w14:textFill>
            <w14:solidFill>
              <w14:schemeClr w14:val="tx1"/>
            </w14:solidFill>
          </w14:textFill>
        </w:rPr>
        <w:t>一供应商提交两个或以上不同的响应文件的</w:t>
      </w:r>
      <w:bookmarkEnd w:id="55"/>
      <w:r>
        <w:rPr>
          <w:rFonts w:ascii="宋体" w:hAnsi="宋体"/>
          <w:color w:val="000000" w:themeColor="text1"/>
          <w:szCs w:val="21"/>
          <w14:textFill>
            <w14:solidFill>
              <w14:schemeClr w14:val="tx1"/>
            </w14:solidFill>
          </w14:textFill>
        </w:rPr>
        <w:t>，</w:t>
      </w:r>
      <w:r>
        <w:rPr>
          <w:rFonts w:ascii="宋体" w:hAnsi="宋体"/>
          <w:b/>
          <w:bCs/>
          <w:color w:val="000000" w:themeColor="text1"/>
          <w:szCs w:val="21"/>
          <w14:textFill>
            <w14:solidFill>
              <w14:schemeClr w14:val="tx1"/>
            </w14:solidFill>
          </w14:textFill>
        </w:rPr>
        <w:t>其响应无效。</w:t>
      </w:r>
      <w:r>
        <w:rPr>
          <w:rFonts w:ascii="宋体" w:hAnsi="宋体"/>
          <w:color w:val="000000" w:themeColor="text1"/>
          <w:szCs w:val="21"/>
          <w14:textFill>
            <w14:solidFill>
              <w14:schemeClr w14:val="tx1"/>
            </w14:solidFill>
          </w14:textFill>
        </w:rPr>
        <w:t>供应商在同一响应文件中对某项技术、商务要求提供有选择性的响应参数或方案等同于提交两个或以上不同的响应文件。</w:t>
      </w:r>
      <w:bookmarkEnd w:id="54"/>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4．截标</w:t>
      </w:r>
      <w:bookmarkEnd w:id="52"/>
      <w:bookmarkEnd w:id="53"/>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4.1截标准备</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本项目响应截止时间及地点见“供应商须知前附表”规定。</w:t>
      </w:r>
    </w:p>
    <w:p>
      <w:pPr>
        <w:autoSpaceDE w:val="0"/>
        <w:autoSpaceDN w:val="0"/>
        <w:adjustRightInd w:val="0"/>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全流程电子化项目没有现场递交响应文件及现场截标环节。采购代理机构将按照采购文件规定的时间通过</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如供应商成功解密响应文件，但未在</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电子开标大厅参加截标的，视同认可截标过程和结果，由此产生的后果由供应商自行负责。</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4.2截标程序</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4.2.1供应商登录广西政府采购云平台进入开标大厅签到。</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4.2.2解密电子响应文件。</w:t>
      </w:r>
      <w:r>
        <w:rPr>
          <w:rFonts w:ascii="宋体" w:hAnsi="宋体"/>
          <w:color w:val="000000" w:themeColor="text1"/>
          <w:kern w:val="0"/>
          <w:szCs w:val="21"/>
          <w14:textFill>
            <w14:solidFill>
              <w14:schemeClr w14:val="tx1"/>
            </w14:solidFill>
          </w14:textFill>
        </w:rPr>
        <w:t>广西政府采购云</w:t>
      </w:r>
      <w:r>
        <w:rPr>
          <w:rFonts w:ascii="宋体" w:hAnsi="宋体"/>
          <w:color w:val="000000" w:themeColor="text1"/>
          <w:szCs w:val="21"/>
          <w14:textFill>
            <w14:solidFill>
              <w14:schemeClr w14:val="tx1"/>
            </w14:solidFill>
          </w14:textFill>
        </w:rPr>
        <w:t>平台按截标时间自动提取所有响应文件。采购代理机构在</w:t>
      </w:r>
      <w:r>
        <w:rPr>
          <w:rFonts w:ascii="宋体" w:hAnsi="宋体"/>
          <w:color w:val="000000" w:themeColor="text1"/>
          <w:kern w:val="0"/>
          <w:szCs w:val="21"/>
          <w14:textFill>
            <w14:solidFill>
              <w14:schemeClr w14:val="tx1"/>
            </w14:solidFill>
          </w14:textFill>
        </w:rPr>
        <w:t>广西政府采购云</w:t>
      </w:r>
      <w:r>
        <w:rPr>
          <w:rFonts w:ascii="宋体" w:hAnsi="宋体"/>
          <w:color w:val="000000" w:themeColor="text1"/>
          <w:szCs w:val="21"/>
          <w14:textFill>
            <w14:solidFill>
              <w14:schemeClr w14:val="tx1"/>
            </w14:solidFill>
          </w14:textFill>
        </w:rPr>
        <w:t>平台向各供应商发出电子加密响应文件开始解密通知，由供应商平台设置时间内自行进行响应文件解密。供应商须使用加密时所用的CA锁准时登录到</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电子开标大厅签到并对电子响应文件解密。截标后供应商未及时进行解密的，代理机构可通知供应商。</w:t>
      </w:r>
      <w:bookmarkStart w:id="56" w:name="_Hlk106639817"/>
      <w:r>
        <w:rPr>
          <w:rFonts w:ascii="宋体" w:hAnsi="宋体"/>
          <w:color w:val="000000" w:themeColor="text1"/>
          <w14:textFill>
            <w14:solidFill>
              <w14:schemeClr w14:val="tx1"/>
            </w14:solidFill>
          </w14:textFill>
        </w:rPr>
        <w:t>通知后供应商仍未在上述规定时间内解密响应文件</w:t>
      </w:r>
      <w:bookmarkEnd w:id="56"/>
      <w:r>
        <w:rPr>
          <w:rFonts w:ascii="宋体" w:hAnsi="宋体"/>
          <w:color w:val="000000" w:themeColor="text1"/>
          <w:szCs w:val="21"/>
          <w14:textFill>
            <w14:solidFill>
              <w14:schemeClr w14:val="tx1"/>
            </w14:solidFill>
          </w14:textFill>
        </w:rPr>
        <w:t>，或者供应商没预留联系方式或预留联系方式无效导致代理机构无法联系到供应商进行解密的，均视为无效响应。</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4.2.3</w:t>
      </w:r>
      <w:bookmarkStart w:id="57" w:name="_Hlk106637968"/>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4.2.4解密异常情况处理：详见本章9.2电子交易活动的中止。</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4.2.5截标结束。</w:t>
      </w:r>
    </w:p>
    <w:p>
      <w:pPr>
        <w:pStyle w:val="11"/>
        <w:snapToGrid w:val="0"/>
        <w:spacing w:line="440" w:lineRule="exact"/>
        <w:ind w:firstLine="422" w:firstLineChars="200"/>
        <w:rPr>
          <w:rFonts w:hint="eastAsia" w:hAnsi="宋体" w:cs="Times New Roman"/>
          <w:color w:val="000000" w:themeColor="text1"/>
          <w14:textFill>
            <w14:solidFill>
              <w14:schemeClr w14:val="tx1"/>
            </w14:solidFill>
          </w14:textFill>
        </w:rPr>
      </w:pPr>
      <w:r>
        <w:rPr>
          <w:rFonts w:hAnsi="宋体" w:cs="Times New Roman"/>
          <w:b/>
          <w:bCs/>
          <w:color w:val="000000" w:themeColor="text1"/>
          <w14:textFill>
            <w14:solidFill>
              <w14:schemeClr w14:val="tx1"/>
            </w14:solidFill>
          </w14:textFill>
        </w:rPr>
        <w:t>特别说明：</w:t>
      </w:r>
      <w:r>
        <w:rPr>
          <w:rFonts w:hAnsi="宋体" w:cs="Times New Roman"/>
          <w:color w:val="000000" w:themeColor="text1"/>
          <w14:textFill>
            <w14:solidFill>
              <w14:schemeClr w14:val="tx1"/>
            </w14:solidFill>
          </w14:textFill>
        </w:rPr>
        <w:t>如遇</w:t>
      </w:r>
      <w:r>
        <w:rPr>
          <w:rFonts w:hAnsi="宋体" w:cs="Times New Roman"/>
          <w:color w:val="000000" w:themeColor="text1"/>
          <w:kern w:val="0"/>
          <w14:textFill>
            <w14:solidFill>
              <w14:schemeClr w14:val="tx1"/>
            </w14:solidFill>
          </w14:textFill>
        </w:rPr>
        <w:t>广西政府采购云平台</w:t>
      </w:r>
      <w:r>
        <w:rPr>
          <w:rFonts w:hAnsi="宋体" w:cs="Times New Roman"/>
          <w:color w:val="000000" w:themeColor="text1"/>
          <w14:textFill>
            <w14:solidFill>
              <w14:schemeClr w14:val="tx1"/>
            </w14:solidFill>
          </w14:textFill>
        </w:rPr>
        <w:t>电子化截标或评审程序调整的，按调整后的程序执行。</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4.3演示</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4.3.1“供应商须知前附表”规定在截标会议结束后进行演示的，供应商应按规定进行演示。</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4.3.2未按规定时间进行演示可能引起的演示分数被计为0分或响应无效等后果由供应商自行承担。</w:t>
      </w:r>
    </w:p>
    <w:p>
      <w:pPr>
        <w:spacing w:before="120" w:line="320" w:lineRule="atLeast"/>
        <w:ind w:firstLine="422" w:firstLineChars="200"/>
        <w:outlineLvl w:val="2"/>
        <w:rPr>
          <w:rFonts w:hint="eastAsia" w:ascii="宋体" w:hAnsi="宋体"/>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4.4样品</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4.4.1“供应商须知前附表”规定递交样品的，供应商应按前附表规定递交样品，递交样品时应附样品递交表（格式见第六章）。</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4.4.2未按规定时间递交样品可能引起的样品分数被计为0分或响应无效等后果由供应商自行承担。</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58" w:name="_Toc254970686"/>
      <w:bookmarkStart w:id="59" w:name="_Toc254970545"/>
      <w:r>
        <w:rPr>
          <w:rFonts w:ascii="宋体" w:hAnsi="宋体"/>
          <w:color w:val="000000" w:themeColor="text1"/>
          <w:szCs w:val="21"/>
          <w14:textFill>
            <w14:solidFill>
              <w14:schemeClr w14:val="tx1"/>
            </w14:solidFill>
          </w14:textFill>
        </w:rPr>
        <w:t>4.4.3样品封存或退还的说明请见第六章响应文件格式所附样品递交表。</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5．资格审查</w:t>
      </w:r>
    </w:p>
    <w:p>
      <w:pPr>
        <w:spacing w:before="120" w:line="320" w:lineRule="atLeast"/>
        <w:ind w:left="2" w:leftChars="1" w:firstLine="420" w:firstLineChars="200"/>
        <w:outlineLvl w:val="2"/>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5.1截标</w:t>
      </w:r>
      <w:r>
        <w:rPr>
          <w:rFonts w:ascii="宋体" w:hAnsi="宋体"/>
          <w:bCs/>
          <w:color w:val="000000" w:themeColor="text1"/>
          <w:szCs w:val="21"/>
          <w14:textFill>
            <w14:solidFill>
              <w14:schemeClr w14:val="tx1"/>
            </w14:solidFill>
          </w14:textFill>
        </w:rPr>
        <w:t>后，磋商小组通过电子交易平台对供应商的资格进行审查。资格审查</w:t>
      </w:r>
      <w:r>
        <w:rPr>
          <w:rFonts w:ascii="宋体" w:hAnsi="宋体"/>
          <w:bCs/>
          <w:color w:val="000000" w:themeColor="text1"/>
          <w:kern w:val="0"/>
          <w:szCs w:val="21"/>
          <w14:textFill>
            <w14:solidFill>
              <w14:schemeClr w14:val="tx1"/>
            </w14:solidFill>
          </w14:textFill>
        </w:rPr>
        <w:t>是根据法律法规和采购文件的规定，对供应商的基本资格条件、特定资格条件进行审查。</w:t>
      </w:r>
    </w:p>
    <w:p>
      <w:pPr>
        <w:spacing w:before="120" w:line="320" w:lineRule="atLeast"/>
        <w:ind w:left="2" w:leftChars="1" w:firstLine="420" w:firstLineChars="200"/>
        <w:outlineLvl w:val="2"/>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5.2资格审查标准在第四章评审方法及标准中规定，符合资格审查标准要求的供应商即为资格审查合格。</w:t>
      </w:r>
    </w:p>
    <w:p>
      <w:pPr>
        <w:spacing w:before="120" w:line="276" w:lineRule="auto"/>
        <w:ind w:left="2" w:leftChars="1" w:firstLine="420" w:firstLineChars="200"/>
        <w:outlineLvl w:val="2"/>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5.3供应商有下列情形之一的，资格审查不合格，作无效响应处理：</w:t>
      </w:r>
    </w:p>
    <w:p>
      <w:pPr>
        <w:spacing w:line="276"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5.3.1不具备采购文件中规定的资格要求或资格条件的；</w:t>
      </w:r>
      <w:r>
        <w:rPr>
          <w:rFonts w:ascii="宋体" w:hAnsi="宋体"/>
          <w:color w:val="000000" w:themeColor="text1"/>
          <w14:textFill>
            <w14:solidFill>
              <w14:schemeClr w14:val="tx1"/>
            </w14:solidFill>
          </w14:textFill>
        </w:rPr>
        <w:t>（注：其中信用查询规则见“供应商须知前附表”，</w:t>
      </w:r>
      <w:r>
        <w:rPr>
          <w:rFonts w:ascii="宋体" w:hAnsi="宋体"/>
          <w:color w:val="000000" w:themeColor="text1"/>
          <w:kern w:val="0"/>
          <w:szCs w:val="21"/>
          <w14:textFill>
            <w14:solidFill>
              <w14:schemeClr w14:val="tx1"/>
            </w14:solidFill>
          </w14:textFill>
        </w:rPr>
        <w:t>广西政府采购云</w:t>
      </w:r>
      <w:r>
        <w:rPr>
          <w:rFonts w:ascii="宋体" w:hAnsi="宋体"/>
          <w:color w:val="000000" w:themeColor="text1"/>
          <w14:textFill>
            <w14:solidFill>
              <w14:schemeClr w14:val="tx1"/>
            </w14:solidFill>
          </w14:textFill>
        </w:rPr>
        <w:t>平台已与“信用中国”平台做接口，可直接在线查询）</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5.3.2响应文件缺少任何一项资格证明文件或不符合第四章评审方法及标准中资格审查标准规定的评审内容的。</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6．评审</w:t>
      </w:r>
    </w:p>
    <w:bookmarkEnd w:id="58"/>
    <w:bookmarkEnd w:id="59"/>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6.1组建磋商小组</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6.2评审方法及依据</w:t>
      </w:r>
    </w:p>
    <w:p>
      <w:pPr>
        <w:spacing w:before="120" w:line="320" w:lineRule="atLeast"/>
        <w:ind w:firstLine="420" w:firstLineChars="200"/>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6.2.1本项目采用第四章评审方法及标准规定的方法进行评审。</w:t>
      </w:r>
    </w:p>
    <w:p>
      <w:pPr>
        <w:suppressAutoHyphens/>
        <w:spacing w:before="120" w:line="320" w:lineRule="atLeast"/>
        <w:ind w:firstLine="420" w:firstLineChars="200"/>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6.2.2磋商小组</w:t>
      </w:r>
      <w:r>
        <w:rPr>
          <w:rFonts w:ascii="宋体" w:hAnsi="宋体"/>
          <w:color w:val="000000" w:themeColor="text1"/>
          <w14:textFill>
            <w14:solidFill>
              <w14:schemeClr w14:val="tx1"/>
            </w14:solidFill>
          </w14:textFill>
        </w:rPr>
        <w:t>以采购文件、补充文件、响应文件、澄清及答复为评审依据，</w:t>
      </w:r>
      <w:r>
        <w:rPr>
          <w:rFonts w:ascii="宋体" w:hAnsi="宋体"/>
          <w:bCs/>
          <w:color w:val="000000" w:themeColor="text1"/>
          <w:kern w:val="0"/>
          <w:szCs w:val="21"/>
          <w14:textFill>
            <w14:solidFill>
              <w14:schemeClr w14:val="tx1"/>
            </w14:solidFill>
          </w14:textFill>
        </w:rPr>
        <w:t>第四章评审方法及标准没有规定的评审方法、标准及因素，不得作为评审依据。</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6.3评审程序</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bookmarkStart w:id="60" w:name="_Hlk19175507"/>
      <w:bookmarkStart w:id="61" w:name="_Hlk80956880"/>
      <w:r>
        <w:rPr>
          <w:rFonts w:ascii="宋体" w:hAnsi="宋体"/>
          <w:color w:val="000000" w:themeColor="text1"/>
          <w14:textFill>
            <w14:solidFill>
              <w14:schemeClr w14:val="tx1"/>
            </w14:solidFill>
          </w14:textFill>
        </w:rPr>
        <w:t>3.1符合性审查</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bCs/>
          <w:color w:val="000000" w:themeColor="text1"/>
          <w:kern w:val="1"/>
          <w:szCs w:val="21"/>
          <w14:textFill>
            <w14:solidFill>
              <w14:schemeClr w14:val="tx1"/>
            </w14:solidFill>
          </w14:textFill>
        </w:rPr>
        <w:t>资格审查结束后，</w:t>
      </w:r>
      <w:r>
        <w:rPr>
          <w:rFonts w:ascii="宋体" w:hAnsi="宋体"/>
          <w:color w:val="000000" w:themeColor="text1"/>
          <w14:textFill>
            <w14:solidFill>
              <w14:schemeClr w14:val="tx1"/>
            </w14:solidFill>
          </w14:textFill>
        </w:rPr>
        <w:t>磋商小组对通过资格审查的供应商的响应文件报价、商务资信、技术等方面实质性内容进行符合性审查，</w:t>
      </w:r>
      <w:r>
        <w:rPr>
          <w:rFonts w:ascii="宋体" w:hAnsi="宋体"/>
          <w:color w:val="000000" w:themeColor="text1"/>
          <w:szCs w:val="21"/>
          <w14:textFill>
            <w14:solidFill>
              <w14:schemeClr w14:val="tx1"/>
            </w14:solidFill>
          </w14:textFill>
        </w:rPr>
        <w:t>符合性审查标准详见第四章评审方法及标准。</w:t>
      </w:r>
    </w:p>
    <w:bookmarkEnd w:id="60"/>
    <w:bookmarkEnd w:id="61"/>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6.3.2</w:t>
      </w:r>
      <w:r>
        <w:rPr>
          <w:rFonts w:ascii="宋体" w:hAnsi="宋体"/>
          <w:color w:val="000000" w:themeColor="text1"/>
          <w14:textFill>
            <w14:solidFill>
              <w14:schemeClr w14:val="tx1"/>
            </w14:solidFill>
          </w14:textFill>
        </w:rPr>
        <w:t>强制性</w:t>
      </w:r>
      <w:r>
        <w:rPr>
          <w:rFonts w:ascii="宋体" w:hAnsi="宋体"/>
          <w:color w:val="000000" w:themeColor="text1"/>
          <w:szCs w:val="21"/>
          <w14:textFill>
            <w14:solidFill>
              <w14:schemeClr w14:val="tx1"/>
            </w14:solidFill>
          </w14:textFill>
        </w:rPr>
        <w:t>采购要求（仅适用于货物采购项目）</w:t>
      </w:r>
    </w:p>
    <w:p>
      <w:pPr>
        <w:suppressAutoHyphens/>
        <w:spacing w:before="120" w:line="320" w:lineRule="atLeast"/>
        <w:ind w:firstLine="422" w:firstLineChars="201"/>
        <w:rPr>
          <w:rFonts w:hint="eastAsia" w:ascii="宋体" w:hAnsi="宋体"/>
          <w:color w:val="000000" w:themeColor="text1"/>
          <w:szCs w:val="21"/>
          <w14:textFill>
            <w14:solidFill>
              <w14:schemeClr w14:val="tx1"/>
            </w14:solidFill>
          </w14:textFill>
        </w:rPr>
      </w:pPr>
      <w:bookmarkStart w:id="62" w:name="_Hlk47714684"/>
      <w:r>
        <w:rPr>
          <w:rFonts w:ascii="宋体" w:hAnsi="宋体"/>
          <w:color w:val="000000" w:themeColor="text1"/>
          <w:szCs w:val="21"/>
          <w14:textFill>
            <w14:solidFill>
              <w14:schemeClr w14:val="tx1"/>
            </w14:solidFill>
          </w14:textFill>
        </w:rPr>
        <w:t>（1）</w:t>
      </w:r>
      <w:bookmarkEnd w:id="62"/>
      <w:r>
        <w:rPr>
          <w:rFonts w:ascii="宋体" w:hAnsi="宋体"/>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w:t>
      </w:r>
      <w:r>
        <w:rPr>
          <w:rFonts w:ascii="宋体" w:hAnsi="宋体" w:cs="Segoe UI Symbol"/>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”的，供应商的响应货物必须使用政府强制采购的节能产品，否则响应文件作无效处理；属于品目清单内非标注“</w:t>
      </w:r>
      <w:r>
        <w:rPr>
          <w:rFonts w:ascii="宋体" w:hAnsi="宋体" w:cs="Segoe UI Symbol"/>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”的产品时，应优先采购。</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3" w:name="_Hlk19176155"/>
      <w:r>
        <w:rPr>
          <w:rFonts w:ascii="宋体" w:hAnsi="宋体"/>
          <w:color w:val="000000" w:themeColor="text1"/>
          <w:szCs w:val="21"/>
          <w14:textFill>
            <w14:solidFill>
              <w14:schemeClr w14:val="tx1"/>
            </w14:solidFill>
          </w14:textFill>
        </w:rPr>
        <w:t>（2）根据《关于调整网络安全专用产品安全管理有关事项的公告》（2023年1号）规定，本项目采购需求中的产品如果包括《网络关键设备和网络安全专用产品目录》中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6.3.3澄清、说明或补正</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（1）对响应文件中含义不明确、同类问题表述不一致或者有明显文字和计算错误的内容，磋商小组应在</w:t>
      </w:r>
      <w:r>
        <w:rPr>
          <w:rFonts w:ascii="宋体" w:hAnsi="宋体"/>
          <w:color w:val="000000" w:themeColor="text1"/>
          <w:kern w:val="0"/>
          <w:szCs w:val="21"/>
          <w14:textFill>
            <w14:solidFill>
              <w14:schemeClr w14:val="tx1"/>
            </w14:solidFill>
          </w14:textFill>
        </w:rPr>
        <w:t>广西政府采购云平台</w:t>
      </w:r>
      <w:r>
        <w:rPr>
          <w:rFonts w:ascii="宋体" w:hAnsi="宋体"/>
          <w:color w:val="000000" w:themeColor="text1"/>
          <w14:textFill>
            <w14:solidFill>
              <w14:schemeClr w14:val="tx1"/>
            </w14:solidFill>
          </w14:textFill>
        </w:rPr>
        <w:t>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6.3.4报价修正</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（1）报价出现前后不一致的，按照下列规定修正：</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响应文件中开标一览表（报价表）内容与响应文件中相应内容不一致的，以开标一览表（报价表）为准；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大写金额和小写金额不一致的，以大写金额为准；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单价金额小数点或者百分比有明显错位的，以开标一览表的总价为准，并修改单价；</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总价金额与按单价汇总金额不一致的，以单价金额计算结果为准。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同时出现两种以上不一致的，按照上述</w:t>
      </w: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顺序修正。修正后的报价按照上述“6.3.3澄清、说明或补正”的规定经供应商确认后产生约束力，供应商不确认的，其响应无效。</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（2）经供应商确认修正后的报价若超过采购预算金额或者最高限价，其响应文件作无效响应处理。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（3）经供应商确认修正后的报价作为签订合同的依据，并以此报价计算价格分。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（4）如磋商过程中有多轮报价的，磋商小组在每一轮报价均应按上述规则修正报价。</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6.3.5相同品牌认定（仅适用于货物采购项目）</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（1）单一产品采购项目，</w:t>
      </w:r>
      <w:r>
        <w:rPr>
          <w:rFonts w:ascii="宋体" w:hAnsi="宋体"/>
          <w:color w:val="000000" w:themeColor="text1"/>
          <w14:textFill>
            <w14:solidFill>
              <w14:schemeClr w14:val="tx1"/>
            </w14:solidFill>
          </w14:textFill>
        </w:rPr>
        <w:t>不同供应商提供的产品品牌相同时，按以下规定确定</w:t>
      </w:r>
      <w:r>
        <w:rPr>
          <w:rFonts w:ascii="宋体" w:hAnsi="宋体"/>
          <w:bCs/>
          <w:color w:val="000000" w:themeColor="text1"/>
          <w:kern w:val="0"/>
          <w:szCs w:val="21"/>
          <w14:textFill>
            <w14:solidFill>
              <w14:schemeClr w14:val="tx1"/>
            </w14:solidFill>
          </w14:textFill>
        </w:rPr>
        <w:t>相同品牌的响应有效性</w:t>
      </w:r>
      <w:r>
        <w:rPr>
          <w:rFonts w:ascii="宋体" w:hAnsi="宋体"/>
          <w:color w:val="000000" w:themeColor="text1"/>
          <w14:textFill>
            <w14:solidFill>
              <w14:schemeClr w14:val="tx1"/>
            </w14:solidFill>
          </w14:textFill>
        </w:rPr>
        <w:t>。</w:t>
      </w:r>
    </w:p>
    <w:bookmarkEnd w:id="63"/>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相同品牌产品且通过资格审查、符合性审查的不同供应商参加同一合同项下响应的，按一家供应商计算，评审后得分最高的同品牌供应商获得成交供应商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（2）非单一产品采购项目，采购人应当确定核心产品，并在采购文件中载明。不同供应商提供的核心产品品牌相同的，按上述规定处理。核心产品在第二章采购需求规定。</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6.3.6磋商</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（1）磋商小组按照“供应商须知前附表” 确定的顺序，集中与单一供应商分别进行磋商，并给予所有参加磋商的供应商平等的磋商机会。符合磋商资格的供应商必须在接到磋商通知后的规定时间内参加磋商，未在规定时间内参加磋商的视同放弃参加磋商权利，其响应文件按无效响应处理。</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（2）在磋商过程中，磋商小组可以根据采购文件和磋商情况实质性变动采购需求中的技术、服务要求以及合同草案条款，但不得变动采购文件中的其他内容。实质性变动的内容，须经采购人代表确认。</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对采购文件作出的实质性变动是采购文件的有效组成部分，由磋商小组通过广西政府采购云平台以书面形式同时通知所有参加磋商的供应商。</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（4）供应商的法定代表人或其授权代表无需到现场参加磋商，提问及回答/响应均通过广西政府采购云平台进行。磋商过程中使用的电子签章应为供应商上传响应文件的同一签章。</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6.3.7最后报价</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（1）采购文件能够详细列明采购标的的技术、服务要求的，磋商结束后，磋商小组应当要求所有实质性响应的供应商在规定时间内提交最后报价，提交最后报价的供应商不得少于3家。</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最后报价是供应商响应文件的有效组成部分。</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（2）最后报价要求通过广西政府采购云平台发出，供应商需在广西政府采购云平台设置的时间内报价，最后报价不得超过采购预算金额且具有唯一性，否则否决其响应。</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（3）已提交响应文件的供应商，在提交最后报价之前，可以根据磋商情况退出磋商。退出磋商的说明须经</w:t>
      </w:r>
      <w:r>
        <w:rPr>
          <w:rFonts w:hint="eastAsia" w:ascii="宋体" w:hAnsi="宋体"/>
          <w:color w:val="000000" w:themeColor="text1"/>
          <w14:textFill>
            <w14:solidFill>
              <w14:schemeClr w14:val="tx1"/>
            </w14:solidFill>
          </w14:textFill>
        </w:rPr>
        <w:t>供应商法定代表人（授权代表）</w:t>
      </w:r>
      <w:r>
        <w:rPr>
          <w:rFonts w:ascii="宋体" w:hAnsi="宋体"/>
          <w:color w:val="000000" w:themeColor="text1"/>
          <w14:textFill>
            <w14:solidFill>
              <w14:schemeClr w14:val="tx1"/>
            </w14:solidFill>
          </w14:textFill>
        </w:rPr>
        <w:t>签字扫描后以电子邮件方式发送至采购代理机构，并及时通知项目负责人。磋商小组在评审报告中注明退出磋商的供应商名单。采购人、采购代理机构应当退还退出磋商的供应商的磋商保证金。</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注：市场竞争不充分的科研项目、需要扶持的科技</w:t>
      </w:r>
      <w:r>
        <w:rPr>
          <w:rFonts w:ascii="宋体" w:hAnsi="宋体"/>
          <w:color w:val="000000" w:themeColor="text1"/>
          <w:szCs w:val="21"/>
          <w14:textFill>
            <w14:solidFill>
              <w14:schemeClr w14:val="tx1"/>
            </w14:solidFill>
          </w14:textFill>
        </w:rPr>
        <w:t>成果转化项目、政府购买服务项目（含政府和社会资本合作项目），提交最后报价的供应商可以为2家。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6.3.8串通投标认定</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磋商小组须根据以下规定认定供应商是否有</w:t>
      </w:r>
      <w:r>
        <w:rPr>
          <w:rFonts w:ascii="宋体" w:hAnsi="宋体"/>
          <w:bCs/>
          <w:color w:val="000000" w:themeColor="text1"/>
          <w:kern w:val="0"/>
          <w:szCs w:val="21"/>
          <w14:textFill>
            <w14:solidFill>
              <w14:schemeClr w14:val="tx1"/>
            </w14:solidFill>
          </w14:textFill>
        </w:rPr>
        <w:t>串通投标的行为</w:t>
      </w:r>
      <w:r>
        <w:rPr>
          <w:rFonts w:ascii="宋体" w:hAnsi="宋体"/>
          <w:color w:val="000000" w:themeColor="text1"/>
          <w14:textFill>
            <w14:solidFill>
              <w14:schemeClr w14:val="tx1"/>
            </w14:solidFill>
          </w14:textFill>
        </w:rPr>
        <w:t>。</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4" w:name="_Hlk19122026"/>
      <w:r>
        <w:rPr>
          <w:rFonts w:ascii="宋体" w:hAnsi="宋体"/>
          <w:color w:val="000000" w:themeColor="text1"/>
          <w:szCs w:val="21"/>
          <w14:textFill>
            <w14:solidFill>
              <w14:schemeClr w14:val="tx1"/>
            </w14:solidFill>
          </w14:textFill>
        </w:rPr>
        <w:t>（1）</w:t>
      </w:r>
      <w:bookmarkEnd w:id="64"/>
      <w:r>
        <w:rPr>
          <w:rFonts w:ascii="宋体" w:hAnsi="宋体"/>
          <w:color w:val="000000" w:themeColor="text1"/>
          <w:szCs w:val="21"/>
          <w14:textFill>
            <w14:solidFill>
              <w14:schemeClr w14:val="tx1"/>
            </w14:solidFill>
          </w14:textFill>
        </w:rPr>
        <w:t>根据《关于防治政府采购招标中串通投标行为的通知》（桂财采</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2016</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42号）规定，出现下述情况的，相关供应商的投标作无效投标处理：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5" w:name="_Hlk19122039"/>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单位负责人为同一人或者存在直接控股、管理关系，参加同一合同项下政府采购活动的不同供应商。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授权给供应商后参加同一合同项（分标、分包）投标的生产厂商。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视为或被认定为串通投标的相关供应商。</w:t>
      </w:r>
    </w:p>
    <w:bookmarkEnd w:id="65"/>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6" w:name="_Hlk19122058"/>
      <w:r>
        <w:rPr>
          <w:rFonts w:ascii="宋体" w:hAnsi="宋体"/>
          <w:color w:val="000000" w:themeColor="text1"/>
          <w:szCs w:val="21"/>
          <w14:textFill>
            <w14:solidFill>
              <w14:schemeClr w14:val="tx1"/>
            </w14:solidFill>
          </w14:textFill>
        </w:rPr>
        <w:t>（2）</w:t>
      </w:r>
      <w:bookmarkEnd w:id="66"/>
      <w:r>
        <w:rPr>
          <w:rFonts w:ascii="宋体" w:hAnsi="宋体"/>
          <w:color w:val="000000" w:themeColor="text1"/>
          <w:szCs w:val="21"/>
          <w14:textFill>
            <w14:solidFill>
              <w14:schemeClr w14:val="tx1"/>
            </w14:solidFill>
          </w14:textFill>
        </w:rPr>
        <w:t>根据《关于防治政府采购招标中串通投标行为的通知》（桂财采</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2016</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42号）规定，有下列情形之一的视为供应商相互串通投标，响应文件将被视为无效：</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7" w:name="_Hlk19122048"/>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不同供应商的响应文件由同一单位或者个人编制；或不同供应商报名的IP地址一致的；</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不同供应商委托同一单位或者个人办理投标事宜；</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不同的供应商的响应文件载明的项目管理员为同一个人；</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不同供应商的响应文件异常一致或投标报价呈规律性差异；</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不同供应商的响应文件相互混装；</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⑥</w:t>
      </w:r>
      <w:r>
        <w:rPr>
          <w:rFonts w:ascii="宋体" w:hAnsi="宋体"/>
          <w:color w:val="000000" w:themeColor="text1"/>
          <w:szCs w:val="21"/>
          <w14:textFill>
            <w14:solidFill>
              <w14:schemeClr w14:val="tx1"/>
            </w14:solidFill>
          </w14:textFill>
        </w:rPr>
        <w:t>不同供应商的保证金从同一单位或者个人账户转出。</w:t>
      </w:r>
    </w:p>
    <w:bookmarkEnd w:id="67"/>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8" w:name="_Hlk19122102"/>
      <w:r>
        <w:rPr>
          <w:rFonts w:ascii="宋体" w:hAnsi="宋体"/>
          <w:color w:val="000000" w:themeColor="text1"/>
          <w:szCs w:val="21"/>
          <w14:textFill>
            <w14:solidFill>
              <w14:schemeClr w14:val="tx1"/>
            </w14:solidFill>
          </w14:textFill>
        </w:rPr>
        <w:t>（3）</w:t>
      </w:r>
      <w:bookmarkEnd w:id="68"/>
      <w:r>
        <w:rPr>
          <w:rFonts w:ascii="宋体" w:hAnsi="宋体"/>
          <w:color w:val="000000" w:themeColor="text1"/>
          <w:szCs w:val="21"/>
          <w14:textFill>
            <w14:solidFill>
              <w14:schemeClr w14:val="tx1"/>
            </w14:solidFill>
          </w14:textFill>
        </w:rPr>
        <w:t>根据《关于防治政府采购招标中串通投标行为的通知》（桂财采</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2016</w:t>
      </w:r>
      <w:r>
        <w:rPr>
          <w:rFonts w:ascii="宋体" w:hAnsi="宋体"/>
          <w:color w:val="000000" w:themeColor="text1"/>
          <w:sz w:val="24"/>
          <w14:textFill>
            <w14:solidFill>
              <w14:schemeClr w14:val="tx1"/>
            </w14:solidFill>
          </w14:textFill>
        </w:rPr>
        <w:t>〕</w:t>
      </w:r>
      <w:r>
        <w:rPr>
          <w:rFonts w:ascii="宋体" w:hAnsi="宋体"/>
          <w:color w:val="000000" w:themeColor="text1"/>
          <w:szCs w:val="21"/>
          <w14:textFill>
            <w14:solidFill>
              <w14:schemeClr w14:val="tx1"/>
            </w14:solidFill>
          </w14:textFill>
        </w:rPr>
        <w:t>42号）规定，供应商有下列情形之一的，属于恶意串通行为，响应文件将被视为无效：</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9" w:name="_Hlk19122095"/>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供应商直接或者间接从采购人或者采购代理机构处获得其他供应商的相关信息并修改其响应文件或者响应文件；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供应商按照采购人或者采购代理机构的授意撤换、修改响应文件或者响应文件；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供应商之间协商报价、技术方案等响应文件或者响应文件的实质性内容；</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属于同一集团、协会、商会等组织成员的供应商按照该组织要求协同参加政府采购活动；</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⑥</w:t>
      </w:r>
      <w:r>
        <w:rPr>
          <w:rFonts w:ascii="宋体" w:hAnsi="宋体"/>
          <w:color w:val="000000" w:themeColor="text1"/>
          <w:szCs w:val="21"/>
          <w14:textFill>
            <w14:solidFill>
              <w14:schemeClr w14:val="tx1"/>
            </w14:solidFill>
          </w14:textFill>
        </w:rPr>
        <w:t>供应商之间商定部分供应商放弃参加政府采购活动或者放弃中标；</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⑦</w:t>
      </w:r>
      <w:r>
        <w:rPr>
          <w:rFonts w:ascii="宋体" w:hAnsi="宋体"/>
          <w:color w:val="000000" w:themeColor="text1"/>
          <w:szCs w:val="21"/>
          <w14:textFill>
            <w14:solidFill>
              <w14:schemeClr w14:val="tx1"/>
            </w14:solidFill>
          </w14:textFill>
        </w:rPr>
        <w:t>供应商与采购人或者采购代理机构之间、供应商相互之间，为谋求特定供应商中标或者排斥其他供应商的其他串通行为。</w:t>
      </w:r>
    </w:p>
    <w:bookmarkEnd w:id="69"/>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6.3.9响应无效认定</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（1）在评审过程中如发现下列情形之一的，响应文件将被视为无效：</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响应文件存在法律、法规及监督部门有关文件规定的无效情形；</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响应文件存在采购文件规定的无效情形。</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0" w:name="_Hlk19113313"/>
      <w:r>
        <w:rPr>
          <w:rFonts w:ascii="宋体" w:hAnsi="宋体"/>
          <w:color w:val="000000" w:themeColor="text1"/>
          <w:szCs w:val="21"/>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70"/>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1" w:name="_Hlk19113363"/>
      <w:r>
        <w:rPr>
          <w:rFonts w:ascii="宋体" w:hAnsi="宋体"/>
          <w:color w:val="000000" w:themeColor="text1"/>
          <w:szCs w:val="21"/>
          <w14:textFill>
            <w14:solidFill>
              <w14:schemeClr w14:val="tx1"/>
            </w14:solidFill>
          </w14:textFill>
        </w:rPr>
        <w:t>6.3.10比较与评价</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（1）磋商小组按采购文件中规定的评审方法和标准，对提交最后报价的供应商的响应文件和最后报价进行综合评分。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（2）磋商小组各成员独立对每个有效供应商的响应文件进行评价、打分。评价打分有误的应及时进行修正。评分标准如有客观分定义，磋商小组所有成员的客观分评分分值应当一致。</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（3）磋商小组按综合评分由高到低的排列顺序推荐综合评分排名第一的为第一成交候选人。若成交候选人综合评分相同的，按最后报价由低到高顺序排列；综合评分且最后报价相同的</w:t>
      </w:r>
      <w:r>
        <w:rPr>
          <w:rFonts w:ascii="宋体" w:hAnsi="宋体"/>
          <w:color w:val="000000" w:themeColor="text1"/>
          <w14:textFill>
            <w14:solidFill>
              <w14:schemeClr w14:val="tx1"/>
            </w14:solidFill>
          </w14:textFill>
        </w:rPr>
        <w:t>并列</w:t>
      </w:r>
      <w:r>
        <w:rPr>
          <w:rFonts w:ascii="宋体" w:hAnsi="宋体"/>
          <w:color w:val="000000" w:themeColor="text1"/>
          <w:szCs w:val="21"/>
          <w14:textFill>
            <w14:solidFill>
              <w14:schemeClr w14:val="tx1"/>
            </w14:solidFill>
          </w14:textFill>
        </w:rPr>
        <w:t>；成交候选人并列的，按技术部分评分由高到低顺序排列，若综合评分、最后报价、技术部分评分均相同的，按商务资信部分评分由高到低顺序排列。</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（4）磋商小组根据评审记录及评审结果编写评审报告，磋商小组成员均应当在评审报告上签字，对自己的评审意见承担法律责任。</w:t>
      </w:r>
      <w:r>
        <w:rPr>
          <w:rFonts w:ascii="宋体" w:hAnsi="宋体"/>
          <w:color w:val="000000" w:themeColor="text1"/>
          <w14:textFill>
            <w14:solidFill>
              <w14:schemeClr w14:val="tx1"/>
            </w14:solidFill>
          </w14:textFill>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资格性检查认定错误、分值汇总计算错误、分项评分超出评分标准范围、客观分评分不一致、经磋商小组一致认定评分畸高、畸低。</w:t>
      </w:r>
    </w:p>
    <w:bookmarkEnd w:id="71"/>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6.4确定成交供应商</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6.4.1采购代理机构在评审结束后2个工作日内将评审报告送采购人，采购人在5个工作日内按照评审报告中推荐的成交候选供应商顺序确定成交供应商。</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6.5结果公告</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6.5.1自成交供应商确定后2个工作日内，采购代理机构按照供应商须知</w:t>
      </w:r>
      <w:r>
        <w:rPr>
          <w:rFonts w:ascii="宋体" w:hAnsi="宋体"/>
          <w:color w:val="000000" w:themeColor="text1"/>
          <w:kern w:val="0"/>
          <w:szCs w:val="21"/>
          <w14:textFill>
            <w14:solidFill>
              <w14:schemeClr w14:val="tx1"/>
            </w14:solidFill>
          </w14:textFill>
        </w:rPr>
        <w:t>前附表的规定公告</w:t>
      </w:r>
      <w:r>
        <w:rPr>
          <w:rFonts w:ascii="宋体" w:hAnsi="宋体"/>
          <w:color w:val="000000" w:themeColor="text1"/>
          <w:szCs w:val="21"/>
          <w14:textFill>
            <w14:solidFill>
              <w14:schemeClr w14:val="tx1"/>
            </w14:solidFill>
          </w14:textFill>
        </w:rPr>
        <w:t>成交结果。</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6.5.2在发布结果公告的同时，采购代理机构以供应商须知前附表规定的形式向成交供应商发出成交通知书。成交通知书发出后，采购人改变成交结果，或者成交供应商放弃成交，应当承担相应的法律责任。</w:t>
      </w:r>
    </w:p>
    <w:p>
      <w:pPr>
        <w:suppressAutoHyphens/>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6.6废标</w:t>
      </w:r>
    </w:p>
    <w:p>
      <w:pPr>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6.6.1出现下列情形之一，将导致项目废标：</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（1</w:t>
      </w:r>
      <w:r>
        <w:rPr>
          <w:rFonts w:ascii="宋体" w:hAnsi="宋体"/>
          <w:color w:val="000000" w:themeColor="text1"/>
          <w:szCs w:val="21"/>
          <w14:textFill>
            <w14:solidFill>
              <w14:schemeClr w14:val="tx1"/>
            </w14:solidFill>
          </w14:textFill>
        </w:rPr>
        <w:t>）符合专业条件的供应商或者对采购文件做实质性响应的供应商不足三家；</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（2）出现影响采购公正的违法、违规行为的；</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（3）供应商的报价均超过了采购预算，采购人不能支付的；</w:t>
      </w:r>
    </w:p>
    <w:p>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hAnsi="宋体"/>
          <w:color w:val="000000" w:themeColor="text1"/>
          <w14:textFill>
            <w14:solidFill>
              <w14:schemeClr w14:val="tx1"/>
            </w14:solidFill>
          </w14:textFill>
        </w:rPr>
        <w:t>因发生重大变故或采购任务取消的。</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6.6.2废标后</w:t>
      </w:r>
      <w:r>
        <w:rPr>
          <w:rFonts w:ascii="宋体" w:hAnsi="宋体"/>
          <w:color w:val="000000" w:themeColor="text1"/>
          <w:szCs w:val="21"/>
          <w14:textFill>
            <w14:solidFill>
              <w14:schemeClr w14:val="tx1"/>
            </w14:solidFill>
          </w14:textFill>
        </w:rPr>
        <w:t>采购</w:t>
      </w:r>
      <w:r>
        <w:rPr>
          <w:rFonts w:ascii="宋体" w:hAnsi="宋体"/>
          <w:color w:val="000000" w:themeColor="text1"/>
          <w:kern w:val="1"/>
          <w:szCs w:val="21"/>
          <w14:textFill>
            <w14:solidFill>
              <w14:schemeClr w14:val="tx1"/>
            </w14:solidFill>
          </w14:textFill>
        </w:rPr>
        <w:t>代理机构将发布废标公告通知供应商。</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7．合同</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7.1合同授予标准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应在成交通知书发出前或签订合同前及时书面告知采购人，未主动告知，给采购人造成损失的，采购人有权取消其成交资格并没收磋商保证金。</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7.2签订合同</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7.2.1如采购文件无特别规定，成交供应商按采购文件确定的事项签订政府采购合同。</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7.2.3如成交供应商不按成交通知书的规定签订合同，其磋商保证金将不予退还，并报同级政府采购监督管理部门处理。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7.2.4成交供应商拒绝与采购人签订合同的，采购人可以按照评审报告推荐的成交候选人名单排序，确定下一候选人为成交供应商，也可以重新开展政府采购活动。</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7.3合同公告</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7.3.1如采购文件无特殊规定，成交供应商应在签订合同后1个工作日内，将政府采购合同副本送采购代理机构存档。</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7.4履行合同</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2" w:name="_Toc217446070"/>
      <w:bookmarkStart w:id="73" w:name="_Toc308164814"/>
      <w:r>
        <w:rPr>
          <w:rFonts w:ascii="宋体" w:hAnsi="宋体"/>
          <w:color w:val="000000" w:themeColor="text1"/>
          <w:szCs w:val="21"/>
          <w14:textFill>
            <w14:solidFill>
              <w14:schemeClr w14:val="tx1"/>
            </w14:solidFill>
          </w14:textFill>
        </w:rPr>
        <w:t>7.4.1采购人与成交供应商签订合同后，政府采购合同的履行、违约责任和解决争议的方法等适用《中华人民共和国民法典》</w:t>
      </w:r>
      <w:r>
        <w:rPr>
          <w:rFonts w:hint="eastAsia" w:ascii="宋体" w:hAnsi="宋体"/>
          <w:color w:val="000000" w:themeColor="text1"/>
          <w:szCs w:val="21"/>
          <w14:textFill>
            <w14:solidFill>
              <w14:schemeClr w14:val="tx1"/>
            </w14:solidFill>
          </w14:textFill>
        </w:rPr>
        <w:t>等有关法律法规规定</w:t>
      </w:r>
      <w:r>
        <w:rPr>
          <w:rFonts w:ascii="宋体" w:hAnsi="宋体"/>
          <w:color w:val="000000" w:themeColor="text1"/>
          <w:szCs w:val="21"/>
          <w14:textFill>
            <w14:solidFill>
              <w14:schemeClr w14:val="tx1"/>
            </w14:solidFill>
          </w14:textFill>
        </w:rPr>
        <w:t>。合同双方应严格执行合同条款，履行合同规定的义务，保证合同的顺利完成。双方均不得擅自变更、中止或者终止政府采购合同。</w:t>
      </w:r>
    </w:p>
    <w:p>
      <w:pPr>
        <w:spacing w:before="120" w:line="320" w:lineRule="atLeast"/>
        <w:ind w:firstLine="422" w:firstLineChars="200"/>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7.5履约验收</w:t>
      </w:r>
      <w:bookmarkEnd w:id="72"/>
      <w:bookmarkEnd w:id="73"/>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bookmarkStart w:id="74" w:name="_Toc254970674"/>
      <w:bookmarkStart w:id="75" w:name="_Toc254970533"/>
      <w:r>
        <w:rPr>
          <w:rFonts w:ascii="宋体" w:hAnsi="宋体"/>
          <w:b/>
          <w:bCs/>
          <w:color w:val="000000" w:themeColor="text1"/>
          <w:kern w:val="0"/>
          <w:szCs w:val="21"/>
          <w14:textFill>
            <w14:solidFill>
              <w14:schemeClr w14:val="tx1"/>
            </w14:solidFill>
          </w14:textFill>
        </w:rPr>
        <w:t>8．质疑和投诉</w:t>
      </w:r>
      <w:bookmarkEnd w:id="74"/>
      <w:bookmarkEnd w:id="75"/>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8.1质疑</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8.1.1质疑内容、时限</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8.1.2质疑形式</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8.1.3供应商提出质疑应当提交质疑函和必要的证明材料。质疑函应当包括下列内容：</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供应商的姓名或者名称、地址、邮编、联系人及联系电话；</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质疑项目的名称、编号；</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具体、明确的质疑事项和与质疑事项相关的请求；</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事实依据；</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必要的法律依据；</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提出质疑的日期。</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供应商为自然人的，应当由本人签字；供应商为法人或者其他组织的，应当由法定代表人、主要负责人，或者其授权代表签字或者盖章，并加盖公章。 </w:t>
      </w:r>
    </w:p>
    <w:p>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8.2投诉</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8.2.2投诉书应使用财政部发布的政府采购供应投诉书范本，并应按照“投诉书制作说明”进行编写。</w:t>
      </w:r>
    </w:p>
    <w:p>
      <w:pPr>
        <w:spacing w:before="120" w:line="320" w:lineRule="atLeast"/>
        <w:ind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9．其他事项</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9.1代理服务收费由采购代理机构向成交供应商收取。签订合同前，成交供应商应向采购代理机构一次付清代理服务费。</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9.2电子交易活动的中止。采购过程中出现以下情形，导致电子交易平台无法正常运行，或者无法保证电子交易的公平、公正和安全时，采购代理机构可中止电子交易活动：</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（1）电子交易平台发生故障而无法登录访问的；</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（2）电子交易平台应用或数据库出现错误，不能进行正常操作的；</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（3）电子交易平台发现严重安全漏洞，有潜在泄密危险的；</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（4）病毒发作导致不能进行正常操作的；</w:t>
      </w:r>
    </w:p>
    <w:p>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（5）其他无法保证电子交易的公平、公正和安全的情况。</w:t>
      </w:r>
    </w:p>
    <w:p>
      <w:pPr>
        <w:tabs>
          <w:tab w:val="left" w:pos="4820"/>
        </w:tabs>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9.3本项目的附件及图纸详见供应商须知前附表。</w:t>
      </w:r>
    </w:p>
    <w:p>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9.4本项目的其他事项详见供应商须知前附表。</w:t>
      </w:r>
    </w:p>
    <w:p>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10．其他说明</w:t>
      </w:r>
    </w:p>
    <w:p>
      <w:pPr>
        <w:spacing w:before="120" w:line="320" w:lineRule="atLeast"/>
        <w:ind w:left="2" w:leftChars="1" w:firstLine="422" w:firstLineChars="200"/>
        <w:outlineLvl w:val="1"/>
        <w:rPr>
          <w:rFonts w:hint="eastAsia" w:ascii="宋体" w:hAnsi="宋体"/>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10.1</w:t>
      </w:r>
      <w:r>
        <w:rPr>
          <w:rFonts w:ascii="宋体" w:hAnsi="宋体"/>
          <w:color w:val="000000" w:themeColor="text1"/>
          <w:kern w:val="0"/>
          <w:szCs w:val="21"/>
          <w14:textFill>
            <w14:solidFill>
              <w14:schemeClr w14:val="tx1"/>
            </w14:solidFill>
          </w14:textFill>
        </w:rPr>
        <w:t>其余未尽事宜按《中华人民共和国政府采购法》《中华人民共和国政府采购法实施条例》的相关规定执行。</w:t>
      </w:r>
    </w:p>
    <w:p>
      <w:pPr>
        <w:spacing w:before="120" w:line="320" w:lineRule="atLeast"/>
        <w:ind w:left="2" w:leftChars="1" w:firstLine="422" w:firstLineChars="200"/>
        <w:outlineLvl w:val="1"/>
        <w:rPr>
          <w:rFonts w:hint="eastAsia" w:ascii="宋体" w:hAnsi="宋体"/>
          <w:color w:val="000000" w:themeColor="text1"/>
          <w:sz w:val="32"/>
          <w:szCs w:val="32"/>
          <w14:textFill>
            <w14:solidFill>
              <w14:schemeClr w14:val="tx1"/>
            </w14:solidFill>
          </w14:textFill>
        </w:rPr>
        <w:sectPr>
          <w:headerReference r:id="rId13" w:type="first"/>
          <w:headerReference r:id="rId12" w:type="default"/>
          <w:pgSz w:w="11906" w:h="16838"/>
          <w:pgMar w:top="993" w:right="1133" w:bottom="1246" w:left="1418" w:header="851" w:footer="992" w:gutter="0"/>
          <w:cols w:space="720" w:num="1"/>
          <w:titlePg/>
          <w:docGrid w:linePitch="312" w:charSpace="0"/>
        </w:sectPr>
      </w:pPr>
      <w:r>
        <w:rPr>
          <w:rFonts w:ascii="宋体" w:hAnsi="宋体"/>
          <w:b/>
          <w:bCs/>
          <w:color w:val="000000" w:themeColor="text1"/>
          <w:kern w:val="0"/>
          <w:szCs w:val="21"/>
          <w14:textFill>
            <w14:solidFill>
              <w14:schemeClr w14:val="tx1"/>
            </w14:solidFill>
          </w14:textFill>
        </w:rPr>
        <w:t>10.2</w:t>
      </w:r>
      <w:r>
        <w:rPr>
          <w:rFonts w:ascii="宋体" w:hAnsi="宋体"/>
          <w:color w:val="000000" w:themeColor="text1"/>
          <w14:textFill>
            <w14:solidFill>
              <w14:schemeClr w14:val="tx1"/>
            </w14:solidFill>
          </w14:textFill>
        </w:rPr>
        <w:t>本采购文件是根据国家有关法律及有关政策、法规和参照国际惯例编制，解释权属采购代理机构。</w:t>
      </w:r>
    </w:p>
    <w:p>
      <w:pPr>
        <w:pStyle w:val="11"/>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76" w:name="_Toc202203002"/>
      <w:r>
        <w:rPr>
          <w:rFonts w:hAnsi="宋体" w:cs="Times New Roman"/>
          <w:color w:val="000000" w:themeColor="text1"/>
          <w:sz w:val="32"/>
          <w:szCs w:val="32"/>
          <w14:textFill>
            <w14:solidFill>
              <w14:schemeClr w14:val="tx1"/>
            </w14:solidFill>
          </w14:textFill>
        </w:rPr>
        <w:t>第四章  评审方法及标准</w:t>
      </w:r>
      <w:bookmarkEnd w:id="76"/>
    </w:p>
    <w:p>
      <w:pPr>
        <w:spacing w:before="120" w:line="320" w:lineRule="atLeast"/>
        <w:ind w:firstLine="413" w:firstLineChars="196"/>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1.评审方法</w:t>
      </w:r>
    </w:p>
    <w:p>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szCs w:val="21"/>
          <w14:textFill>
            <w14:solidFill>
              <w14:schemeClr w14:val="tx1"/>
            </w14:solidFill>
          </w14:textFill>
        </w:rPr>
        <w:t>本项目采用</w:t>
      </w:r>
      <w:r>
        <w:rPr>
          <w:rFonts w:ascii="宋体" w:hAnsi="宋体"/>
          <w:bCs/>
          <w:color w:val="000000" w:themeColor="text1"/>
          <w:kern w:val="1"/>
          <w:szCs w:val="21"/>
          <w14:textFill>
            <w14:solidFill>
              <w14:schemeClr w14:val="tx1"/>
            </w14:solidFill>
          </w14:textFill>
        </w:rPr>
        <w:t>综合评分法</w:t>
      </w:r>
      <w:r>
        <w:rPr>
          <w:rFonts w:ascii="宋体" w:hAnsi="宋体"/>
          <w:color w:val="000000" w:themeColor="text1"/>
          <w:szCs w:val="21"/>
          <w14:textFill>
            <w14:solidFill>
              <w14:schemeClr w14:val="tx1"/>
            </w14:solidFill>
          </w14:textFill>
        </w:rPr>
        <w:t>进行评审</w:t>
      </w:r>
      <w:r>
        <w:rPr>
          <w:rFonts w:ascii="宋体" w:hAnsi="宋体"/>
          <w:bCs/>
          <w:color w:val="000000" w:themeColor="text1"/>
          <w:kern w:val="1"/>
          <w:szCs w:val="21"/>
          <w14:textFill>
            <w14:solidFill>
              <w14:schemeClr w14:val="tx1"/>
            </w14:solidFill>
          </w14:textFill>
        </w:rPr>
        <w:t>。</w:t>
      </w:r>
      <w:r>
        <w:rPr>
          <w:rFonts w:ascii="宋体" w:hAnsi="宋体"/>
          <w:color w:val="000000" w:themeColor="text1"/>
          <w:szCs w:val="21"/>
          <w14:textFill>
            <w14:solidFill>
              <w14:schemeClr w14:val="tx1"/>
            </w14:solidFill>
          </w14:textFill>
        </w:rPr>
        <w:t>综合评分法，是指响应文件满足采购文件全部实质性要求且按照评审因素的量化指标评审得分最高的供应商为成交候选人的评审方法。</w:t>
      </w:r>
    </w:p>
    <w:p>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本项目评审的其他详细规定在第三章供应商须知中规定。</w:t>
      </w:r>
    </w:p>
    <w:p>
      <w:pPr>
        <w:spacing w:before="120" w:line="320" w:lineRule="atLeast"/>
        <w:ind w:firstLine="413" w:firstLineChars="196"/>
        <w:outlineLvl w:val="1"/>
        <w:rPr>
          <w:rFonts w:hint="eastAsia" w:ascii="宋体" w:hAnsi="宋体"/>
          <w:b/>
          <w:bCs/>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2.资格审查标准</w:t>
      </w:r>
      <w:r>
        <w:rPr>
          <w:rFonts w:ascii="宋体" w:hAnsi="宋体"/>
          <w:b/>
          <w:bCs/>
          <w:color w:val="000000" w:themeColor="text1"/>
          <w:kern w:val="0"/>
          <w:szCs w:val="21"/>
          <w14:textFill>
            <w14:solidFill>
              <w14:schemeClr w14:val="tx1"/>
            </w14:solidFill>
          </w14:textFill>
        </w:rPr>
        <w:t>（不满足任何一项审查内容要求，资格审查即为不合格）</w:t>
      </w:r>
    </w:p>
    <w:tbl>
      <w:tblPr>
        <w:tblStyle w:val="24"/>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46" w:type="dxa"/>
            <w:vAlign w:val="center"/>
          </w:tcPr>
          <w:p>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审查因素</w:t>
            </w:r>
          </w:p>
        </w:tc>
        <w:tc>
          <w:tcPr>
            <w:tcW w:w="1843" w:type="dxa"/>
            <w:vAlign w:val="center"/>
          </w:tcPr>
          <w:p>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审查内容</w:t>
            </w:r>
          </w:p>
        </w:tc>
        <w:tc>
          <w:tcPr>
            <w:tcW w:w="6242" w:type="dxa"/>
            <w:vAlign w:val="center"/>
          </w:tcPr>
          <w:p>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846" w:type="dxa"/>
            <w:vMerge w:val="restart"/>
            <w:vAlign w:val="center"/>
          </w:tcPr>
          <w:p>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供应商应符合的基本</w:t>
            </w:r>
            <w:r>
              <w:rPr>
                <w:rFonts w:ascii="宋体" w:hAnsi="宋体"/>
                <w:color w:val="000000" w:themeColor="text1"/>
                <w:szCs w:val="21"/>
                <w14:textFill>
                  <w14:solidFill>
                    <w14:schemeClr w14:val="tx1"/>
                  </w14:solidFill>
                </w14:textFill>
              </w:rPr>
              <w:t>资格要求</w:t>
            </w: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tc>
        <w:tc>
          <w:tcPr>
            <w:tcW w:w="6242" w:type="dxa"/>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Merge w:val="continue"/>
            <w:vAlign w:val="center"/>
          </w:tcPr>
          <w:p>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ascii="宋体" w:hAnsi="宋体"/>
                <w:color w:val="000000" w:themeColor="text1"/>
                <w:szCs w:val="21"/>
                <w14:textFill>
                  <w14:solidFill>
                    <w14:schemeClr w14:val="tx1"/>
                  </w14:solidFill>
                </w14:textFill>
              </w:rPr>
              <w:t>具有良好的商业信誉和健全的财务会计制度</w:t>
            </w:r>
          </w:p>
        </w:tc>
        <w:tc>
          <w:tcPr>
            <w:tcW w:w="6242" w:type="dxa"/>
          </w:tcPr>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审查商业信誉声明。须提供，格式见第六章响应文件格式“响应声明书”。</w:t>
            </w:r>
          </w:p>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审查2023年度或2024年度财务状况报告（表）复印件或银行出具的资信证明复印件，</w:t>
            </w:r>
            <w:r>
              <w:rPr>
                <w:rFonts w:ascii="宋体" w:hAnsi="宋体"/>
                <w:color w:val="000000" w:themeColor="text1"/>
                <w14:textFill>
                  <w14:solidFill>
                    <w14:schemeClr w14:val="tx1"/>
                  </w14:solidFill>
                </w14:textFill>
              </w:rPr>
              <w:t>对于从取得营业执照时间起到响应文件递交截止时间为止不足1年的供应商，只需提交</w:t>
            </w:r>
            <w:r>
              <w:rPr>
                <w:rFonts w:ascii="宋体" w:hAnsi="宋体"/>
                <w:color w:val="000000" w:themeColor="text1"/>
                <w:szCs w:val="21"/>
                <w14:textFill>
                  <w14:solidFill>
                    <w14:schemeClr w14:val="tx1"/>
                  </w14:solidFill>
                </w14:textFill>
              </w:rPr>
              <w:t>响应文件递交截止时间前一个月的财务状况报告（表）复印件。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Merge w:val="continue"/>
            <w:vAlign w:val="center"/>
          </w:tcPr>
          <w:p>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（3）具有履行合同所必需的设备和专业技术能力</w:t>
            </w:r>
          </w:p>
        </w:tc>
        <w:tc>
          <w:tcPr>
            <w:tcW w:w="6242" w:type="dxa"/>
          </w:tcPr>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审查供应商营业执照，须有效；</w:t>
            </w:r>
          </w:p>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审查书面声明。须提供，格式见第六章响应文件格式“响应</w:t>
            </w:r>
            <w:r>
              <w:rPr>
                <w:rFonts w:ascii="宋体" w:hAnsi="宋体"/>
                <w:color w:val="000000" w:themeColor="text1"/>
                <w14:textFill>
                  <w14:solidFill>
                    <w14:schemeClr w14:val="tx1"/>
                  </w14:solidFill>
                </w14:textFill>
              </w:rPr>
              <w:t>声明书</w:t>
            </w:r>
            <w:r>
              <w:rPr>
                <w:rFonts w:ascii="宋体" w:hAnsi="宋体"/>
                <w:color w:val="000000" w:themeColor="text1"/>
                <w:szCs w:val="21"/>
                <w14:textFill>
                  <w14:solidFill>
                    <w14:schemeClr w14:val="tx1"/>
                  </w14:solidFill>
                </w14:textFill>
              </w:rPr>
              <w:t>”。</w:t>
            </w:r>
          </w:p>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w:t>
            </w: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Merge w:val="continue"/>
            <w:vAlign w:val="center"/>
          </w:tcPr>
          <w:p>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（4）有依法缴纳税收和社会</w:t>
            </w:r>
            <w:r>
              <w:rPr>
                <w:rFonts w:ascii="宋体" w:hAnsi="宋体"/>
                <w:color w:val="000000" w:themeColor="text1"/>
                <w:szCs w:val="21"/>
                <w14:textFill>
                  <w14:solidFill>
                    <w14:schemeClr w14:val="tx1"/>
                  </w14:solidFill>
                </w14:textFill>
              </w:rPr>
              <w:t>保险</w:t>
            </w:r>
            <w:r>
              <w:rPr>
                <w:rFonts w:ascii="宋体" w:hAnsi="宋体"/>
                <w:color w:val="000000" w:themeColor="text1"/>
                <w:szCs w:val="21"/>
                <w:lang w:val="zh-CN"/>
                <w14:textFill>
                  <w14:solidFill>
                    <w14:schemeClr w14:val="tx1"/>
                  </w14:solidFill>
                </w14:textFill>
              </w:rPr>
              <w:t>的良好记录</w:t>
            </w:r>
          </w:p>
        </w:tc>
        <w:tc>
          <w:tcPr>
            <w:tcW w:w="6242" w:type="dxa"/>
          </w:tcPr>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审查响应截止时间前6个月内，</w:t>
            </w:r>
            <w:r>
              <w:rPr>
                <w:rFonts w:ascii="宋体" w:hAnsi="宋体"/>
                <w:color w:val="000000" w:themeColor="text1"/>
                <w14:textFill>
                  <w14:solidFill>
                    <w14:schemeClr w14:val="tx1"/>
                  </w14:solidFill>
                </w14:textFill>
              </w:rPr>
              <w:t>供应商任意1个月</w:t>
            </w:r>
            <w:r>
              <w:rPr>
                <w:rFonts w:ascii="宋体" w:hAnsi="宋体"/>
                <w:color w:val="000000" w:themeColor="text1"/>
                <w:szCs w:val="21"/>
                <w14:textFill>
                  <w14:solidFill>
                    <w14:schemeClr w14:val="tx1"/>
                  </w14:solidFill>
                </w14:textFill>
              </w:rPr>
              <w:t>依法缴纳税费的证明复印件加盖供应商电子签章。</w:t>
            </w:r>
          </w:p>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审查响应截止时间前6个月内，</w:t>
            </w:r>
            <w:r>
              <w:rPr>
                <w:rFonts w:ascii="宋体" w:hAnsi="宋体"/>
                <w:color w:val="000000" w:themeColor="text1"/>
                <w14:textFill>
                  <w14:solidFill>
                    <w14:schemeClr w14:val="tx1"/>
                  </w14:solidFill>
                </w14:textFill>
              </w:rPr>
              <w:t>供应商任意1个月</w:t>
            </w:r>
            <w:r>
              <w:rPr>
                <w:rFonts w:ascii="宋体" w:hAnsi="宋体"/>
                <w:color w:val="000000" w:themeColor="text1"/>
                <w:szCs w:val="21"/>
                <w14:textFill>
                  <w14:solidFill>
                    <w14:schemeClr w14:val="tx1"/>
                  </w14:solidFill>
                </w14:textFill>
              </w:rPr>
              <w:t>的社保缴费证明记录复印件加盖供应商电子签章。</w:t>
            </w:r>
          </w:p>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供应商成立不足1个月的，无须提供缴纳税费证明及社保缴费证明。</w:t>
            </w:r>
          </w:p>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依法免税或不需要缴纳社会保险的供应商，须提供相应文件证明其依法免税或不需要缴纳社会保险。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Merge w:val="continue"/>
            <w:vAlign w:val="center"/>
          </w:tcPr>
          <w:p>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（5）参加政府采购活动前三年内，在经营活动中没有重大违法记录及不良信用记录</w:t>
            </w:r>
          </w:p>
        </w:tc>
        <w:tc>
          <w:tcPr>
            <w:tcW w:w="6242"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审查无重大违法记录声明。须提供，格式见第六章响应文件格式“响应声明书”。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Merge w:val="continue"/>
            <w:vAlign w:val="center"/>
          </w:tcPr>
          <w:p>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（6）具备法律、行政法规规定的其他要求</w:t>
            </w:r>
          </w:p>
        </w:tc>
        <w:tc>
          <w:tcPr>
            <w:tcW w:w="6242"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Align w:val="center"/>
          </w:tcPr>
          <w:p>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kern w:val="0"/>
                <w:szCs w:val="21"/>
                <w14:textFill>
                  <w14:solidFill>
                    <w14:schemeClr w14:val="tx1"/>
                  </w14:solidFill>
                </w14:textFill>
              </w:rPr>
              <w:t>采购政策</w:t>
            </w: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落实政府采购政策需满足的资格要求</w:t>
            </w:r>
          </w:p>
        </w:tc>
        <w:tc>
          <w:tcPr>
            <w:tcW w:w="6242"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846" w:type="dxa"/>
            <w:vMerge w:val="restart"/>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w:t>
            </w:r>
            <w:r>
              <w:rPr>
                <w:rFonts w:ascii="宋体" w:hAnsi="宋体"/>
                <w:color w:val="000000" w:themeColor="text1"/>
                <w:szCs w:val="21"/>
                <w14:textFill>
                  <w14:solidFill>
                    <w14:schemeClr w14:val="tx1"/>
                  </w14:solidFill>
                </w14:textFill>
              </w:rPr>
              <w:t>特定资格要求</w:t>
            </w: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（1）资质要求</w:t>
            </w:r>
          </w:p>
        </w:tc>
        <w:tc>
          <w:tcPr>
            <w:tcW w:w="6242"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46" w:type="dxa"/>
            <w:vMerge w:val="continue"/>
            <w:vAlign w:val="center"/>
          </w:tcPr>
          <w:p>
            <w:pPr>
              <w:spacing w:line="240" w:lineRule="exact"/>
              <w:rPr>
                <w:rFonts w:hint="eastAsia" w:ascii="宋体" w:hAnsi="宋体"/>
                <w:color w:val="000000" w:themeColor="text1"/>
                <w:szCs w:val="21"/>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（2）业绩要求</w:t>
            </w:r>
          </w:p>
        </w:tc>
        <w:tc>
          <w:tcPr>
            <w:tcW w:w="6242"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4" w:hRule="atLeast"/>
          <w:jc w:val="center"/>
        </w:trPr>
        <w:tc>
          <w:tcPr>
            <w:tcW w:w="846" w:type="dxa"/>
            <w:vMerge w:val="continue"/>
            <w:vAlign w:val="center"/>
          </w:tcPr>
          <w:p>
            <w:pPr>
              <w:spacing w:line="240" w:lineRule="exact"/>
              <w:jc w:val="left"/>
              <w:rPr>
                <w:rFonts w:hint="eastAsia" w:ascii="宋体" w:hAnsi="宋体"/>
                <w:color w:val="000000" w:themeColor="text1"/>
                <w:szCs w:val="21"/>
                <w14:textFill>
                  <w14:solidFill>
                    <w14:schemeClr w14:val="tx1"/>
                  </w14:solidFill>
                </w14:textFill>
              </w:rPr>
            </w:pPr>
          </w:p>
        </w:tc>
        <w:tc>
          <w:tcPr>
            <w:tcW w:w="1843" w:type="dxa"/>
            <w:vMerge w:val="restart"/>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（3）供应商不得参加响应的情形</w:t>
            </w:r>
          </w:p>
        </w:tc>
        <w:tc>
          <w:tcPr>
            <w:tcW w:w="6242" w:type="dxa"/>
            <w:vAlign w:val="center"/>
          </w:tcPr>
          <w:p>
            <w:pPr>
              <w:spacing w:line="24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须提供，格式见第六章响应文件格式“供应商直接控股股东、管理关系信息表”。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46" w:type="dxa"/>
            <w:vMerge w:val="continue"/>
            <w:vAlign w:val="center"/>
          </w:tcPr>
          <w:p>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Merge w:val="continue"/>
            <w:vAlign w:val="center"/>
          </w:tcPr>
          <w:p>
            <w:pPr>
              <w:spacing w:line="240" w:lineRule="exact"/>
              <w:jc w:val="left"/>
              <w:rPr>
                <w:rFonts w:hint="eastAsia" w:ascii="宋体" w:hAnsi="宋体"/>
                <w:color w:val="000000" w:themeColor="text1"/>
                <w:szCs w:val="21"/>
                <w14:textFill>
                  <w14:solidFill>
                    <w14:schemeClr w14:val="tx1"/>
                  </w14:solidFill>
                </w14:textFill>
              </w:rPr>
            </w:pPr>
          </w:p>
        </w:tc>
        <w:tc>
          <w:tcPr>
            <w:tcW w:w="6242" w:type="dxa"/>
          </w:tcPr>
          <w:p>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不属于公益一类事业单位、使用事业编制且由财政拨款保障的群团组织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46" w:type="dxa"/>
            <w:vMerge w:val="continue"/>
            <w:vAlign w:val="center"/>
          </w:tcPr>
          <w:p>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（4）诚信要求</w:t>
            </w:r>
          </w:p>
        </w:tc>
        <w:tc>
          <w:tcPr>
            <w:tcW w:w="6242" w:type="dxa"/>
          </w:tcPr>
          <w:p>
            <w:pPr>
              <w:spacing w:line="24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未被列入失信被执行人、重大税收违法失信主体、政府采购严重违法失信行为记录名单。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46" w:type="dxa"/>
            <w:vMerge w:val="continue"/>
            <w:vAlign w:val="center"/>
          </w:tcPr>
          <w:p>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（5）分包</w:t>
            </w:r>
          </w:p>
        </w:tc>
        <w:tc>
          <w:tcPr>
            <w:tcW w:w="6242" w:type="dxa"/>
            <w:vAlign w:val="center"/>
          </w:tcPr>
          <w:p>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竞争性</w:t>
            </w:r>
            <w:r>
              <w:rPr>
                <w:rFonts w:ascii="宋体" w:hAnsi="宋体"/>
                <w:color w:val="000000" w:themeColor="text1"/>
                <w:szCs w:val="21"/>
                <w14:textFill>
                  <w14:solidFill>
                    <w14:schemeClr w14:val="tx1"/>
                  </w14:solidFill>
                </w14:textFill>
              </w:rPr>
              <w:t>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46" w:type="dxa"/>
            <w:vMerge w:val="continue"/>
            <w:vAlign w:val="center"/>
          </w:tcPr>
          <w:p>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（6）联合体</w:t>
            </w:r>
          </w:p>
        </w:tc>
        <w:tc>
          <w:tcPr>
            <w:tcW w:w="6242"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竞争性</w:t>
            </w:r>
            <w:r>
              <w:rPr>
                <w:rFonts w:ascii="宋体" w:hAnsi="宋体"/>
                <w:color w:val="000000" w:themeColor="text1"/>
                <w:szCs w:val="21"/>
                <w:lang w:val="zh-CN"/>
                <w14:textFill>
                  <w14:solidFill>
                    <w14:schemeClr w14:val="tx1"/>
                  </w14:solidFill>
                </w14:textFill>
              </w:rPr>
              <w:t>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46" w:type="dxa"/>
            <w:vMerge w:val="continue"/>
            <w:vAlign w:val="center"/>
          </w:tcPr>
          <w:p>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（5）其他要求</w:t>
            </w:r>
          </w:p>
        </w:tc>
        <w:tc>
          <w:tcPr>
            <w:tcW w:w="6242" w:type="dxa"/>
            <w:vAlign w:val="center"/>
          </w:tcPr>
          <w:p>
            <w:pPr>
              <w:spacing w:line="312" w:lineRule="auto"/>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按照磋商公告规定获得采购文件。足额、及时缴纳磋商保证金。</w:t>
            </w:r>
          </w:p>
        </w:tc>
      </w:tr>
    </w:tbl>
    <w:p>
      <w:pPr>
        <w:spacing w:before="120" w:line="320" w:lineRule="atLeast"/>
        <w:ind w:firstLine="413" w:firstLineChars="196"/>
        <w:outlineLvl w:val="1"/>
        <w:rPr>
          <w:rFonts w:hint="eastAsia" w:ascii="宋体" w:hAnsi="宋体"/>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3.符合性审查标准（不满足任何一项审查内容要求，符合性审查即为不合格）</w:t>
      </w:r>
    </w:p>
    <w:tbl>
      <w:tblPr>
        <w:tblStyle w:val="24"/>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12" w:type="dxa"/>
            <w:vAlign w:val="center"/>
          </w:tcPr>
          <w:p>
            <w:pPr>
              <w:spacing w:line="240" w:lineRule="exact"/>
              <w:jc w:val="center"/>
              <w:rPr>
                <w:rFonts w:hint="eastAsia" w:ascii="宋体" w:hAnsi="宋体"/>
                <w:b/>
                <w:color w:val="000000" w:themeColor="text1"/>
                <w:kern w:val="0"/>
                <w:szCs w:val="21"/>
                <w14:textFill>
                  <w14:solidFill>
                    <w14:schemeClr w14:val="tx1"/>
                  </w14:solidFill>
                </w14:textFill>
              </w:rPr>
            </w:pPr>
            <w:bookmarkStart w:id="77" w:name="_Hlk20388968"/>
            <w:bookmarkStart w:id="78" w:name="_Hlk48146640"/>
            <w:r>
              <w:rPr>
                <w:rFonts w:ascii="宋体" w:hAnsi="宋体"/>
                <w:b/>
                <w:color w:val="000000" w:themeColor="text1"/>
                <w:kern w:val="0"/>
                <w:szCs w:val="21"/>
                <w14:textFill>
                  <w14:solidFill>
                    <w14:schemeClr w14:val="tx1"/>
                  </w14:solidFill>
                </w14:textFill>
              </w:rPr>
              <w:t>审查因素</w:t>
            </w:r>
          </w:p>
        </w:tc>
        <w:tc>
          <w:tcPr>
            <w:tcW w:w="2333" w:type="dxa"/>
            <w:vAlign w:val="center"/>
          </w:tcPr>
          <w:p>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审查内容</w:t>
            </w:r>
          </w:p>
        </w:tc>
        <w:tc>
          <w:tcPr>
            <w:tcW w:w="5085" w:type="dxa"/>
          </w:tcPr>
          <w:p>
            <w:pPr>
              <w:spacing w:line="240" w:lineRule="exact"/>
              <w:jc w:val="center"/>
              <w:rPr>
                <w:rFonts w:hint="eastAsia" w:ascii="宋体" w:hAnsi="宋体"/>
                <w:b/>
                <w:color w:val="000000" w:themeColor="text1"/>
                <w:kern w:val="0"/>
                <w:szCs w:val="21"/>
                <w14:textFill>
                  <w14:solidFill>
                    <w14:schemeClr w14:val="tx1"/>
                  </w14:solidFill>
                </w14:textFill>
              </w:rPr>
            </w:pPr>
          </w:p>
          <w:p>
            <w:pPr>
              <w:spacing w:line="24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1512" w:type="dxa"/>
            <w:vMerge w:val="restart"/>
            <w:vAlign w:val="center"/>
          </w:tcPr>
          <w:p>
            <w:pPr>
              <w:spacing w:line="24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商务资信</w:t>
            </w:r>
          </w:p>
        </w:tc>
        <w:tc>
          <w:tcPr>
            <w:tcW w:w="2333" w:type="dxa"/>
            <w:vAlign w:val="center"/>
          </w:tcPr>
          <w:p>
            <w:pPr>
              <w:spacing w:line="24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法定代表人身份证明及授权委托书</w:t>
            </w:r>
          </w:p>
        </w:tc>
        <w:tc>
          <w:tcPr>
            <w:tcW w:w="5085"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授权代表参加响应时审查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法定代表人授权委托书及</w:t>
            </w:r>
            <w:r>
              <w:rPr>
                <w:rFonts w:hint="eastAsia" w:ascii="宋体" w:hAnsi="宋体"/>
                <w:color w:val="000000" w:themeColor="text1"/>
                <w:szCs w:val="21"/>
                <w14:textFill>
                  <w14:solidFill>
                    <w14:schemeClr w14:val="tx1"/>
                  </w14:solidFill>
                </w14:textFill>
              </w:rPr>
              <w:t>授权代表有效身份证</w:t>
            </w:r>
            <w:r>
              <w:rPr>
                <w:rFonts w:ascii="宋体" w:hAnsi="宋体"/>
                <w:color w:val="000000" w:themeColor="text1"/>
                <w:szCs w:val="21"/>
                <w14:textFill>
                  <w14:solidFill>
                    <w14:schemeClr w14:val="tx1"/>
                  </w14:solidFill>
                </w14:textFill>
              </w:rPr>
              <w:t>。</w:t>
            </w:r>
          </w:p>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法定代表人直接参加响应时审查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法定代表人身份证明及</w:t>
            </w:r>
            <w:r>
              <w:rPr>
                <w:rFonts w:hint="eastAsia" w:ascii="宋体" w:hAnsi="宋体" w:cs="宋体"/>
                <w:color w:val="000000" w:themeColor="text1"/>
                <w:szCs w:val="21"/>
                <w14:textFill>
                  <w14:solidFill>
                    <w14:schemeClr w14:val="tx1"/>
                  </w14:solidFill>
                </w14:textFill>
              </w:rPr>
              <w:t>法定代表人有效身份证</w:t>
            </w:r>
            <w:r>
              <w:rPr>
                <w:rFonts w:ascii="宋体" w:hAnsi="宋体"/>
                <w:color w:val="000000" w:themeColor="text1"/>
                <w:szCs w:val="21"/>
                <w14:textFill>
                  <w14:solidFill>
                    <w14:schemeClr w14:val="tx1"/>
                  </w14:solidFill>
                </w14:textFill>
              </w:rPr>
              <w:t>。</w:t>
            </w:r>
          </w:p>
          <w:p>
            <w:pPr>
              <w:spacing w:line="240" w:lineRule="exact"/>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格式及附件见第六章响应文件格式要求。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12" w:type="dxa"/>
            <w:vMerge w:val="continue"/>
            <w:vAlign w:val="center"/>
          </w:tcPr>
          <w:p>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实质性条款响应</w:t>
            </w:r>
          </w:p>
        </w:tc>
        <w:tc>
          <w:tcPr>
            <w:tcW w:w="5085"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采购文件实质性要求响应均无负偏离。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12" w:type="dxa"/>
            <w:vMerge w:val="continue"/>
            <w:vAlign w:val="center"/>
          </w:tcPr>
          <w:p>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串通投标</w:t>
            </w:r>
          </w:p>
        </w:tc>
        <w:tc>
          <w:tcPr>
            <w:tcW w:w="5085"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不属于供应商须知正文第6.3.8规定的串通投标情形，见第六章响应文件格式要求。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512" w:type="dxa"/>
            <w:vMerge w:val="restart"/>
            <w:vAlign w:val="center"/>
          </w:tcPr>
          <w:p>
            <w:pPr>
              <w:spacing w:line="24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报价</w:t>
            </w:r>
          </w:p>
        </w:tc>
        <w:tc>
          <w:tcPr>
            <w:tcW w:w="2333"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有效报价</w:t>
            </w:r>
          </w:p>
        </w:tc>
        <w:tc>
          <w:tcPr>
            <w:tcW w:w="5085" w:type="dxa"/>
            <w:vAlign w:val="center"/>
          </w:tcPr>
          <w:p>
            <w:pPr>
              <w:spacing w:line="240" w:lineRule="exact"/>
              <w:rPr>
                <w:rFonts w:hint="eastAsia" w:ascii="宋体" w:hAnsi="宋体"/>
                <w:bCs/>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最后报价未超出采购预算金额，也未超出最高限价（如有）。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512" w:type="dxa"/>
            <w:vMerge w:val="continue"/>
            <w:vAlign w:val="center"/>
          </w:tcPr>
          <w:p>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pPr>
              <w:spacing w:line="240" w:lineRule="exact"/>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漏项报价</w:t>
            </w:r>
          </w:p>
        </w:tc>
        <w:tc>
          <w:tcPr>
            <w:tcW w:w="5085"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未就所投分标进行报价或者存在漏项报价。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512" w:type="dxa"/>
            <w:vMerge w:val="continue"/>
            <w:vAlign w:val="center"/>
          </w:tcPr>
          <w:p>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响应报价唯一性</w:t>
            </w:r>
          </w:p>
        </w:tc>
        <w:tc>
          <w:tcPr>
            <w:tcW w:w="5085"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不存在有选择、有条件的最后报价（采购文件允许有备选方案或者其他约定的除外）。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512" w:type="dxa"/>
            <w:vMerge w:val="continue"/>
            <w:vAlign w:val="center"/>
          </w:tcPr>
          <w:p>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响应有效期</w:t>
            </w:r>
          </w:p>
        </w:tc>
        <w:tc>
          <w:tcPr>
            <w:tcW w:w="5085" w:type="dxa"/>
            <w:vAlign w:val="center"/>
          </w:tcPr>
          <w:p>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满足采购文件规定。</w:t>
            </w:r>
          </w:p>
        </w:tc>
      </w:tr>
      <w:bookmarkEnd w:id="77"/>
      <w:bookmarkEnd w:id="78"/>
    </w:tbl>
    <w:p>
      <w:pPr>
        <w:spacing w:before="120" w:line="320" w:lineRule="atLeast"/>
        <w:rPr>
          <w:rFonts w:hint="eastAsia" w:ascii="宋体" w:hAnsi="宋体"/>
          <w:color w:val="000000" w:themeColor="text1"/>
          <w14:textFill>
            <w14:solidFill>
              <w14:schemeClr w14:val="tx1"/>
            </w14:solidFill>
          </w14:textFill>
        </w:rPr>
      </w:pPr>
    </w:p>
    <w:p>
      <w:pPr>
        <w:spacing w:before="120" w:line="320" w:lineRule="atLeast"/>
        <w:rPr>
          <w:rFonts w:hint="eastAsia" w:ascii="宋体" w:hAnsi="宋体"/>
          <w:color w:val="000000" w:themeColor="text1"/>
          <w14:textFill>
            <w14:solidFill>
              <w14:schemeClr w14:val="tx1"/>
            </w14:solidFill>
          </w14:textFill>
        </w:rPr>
      </w:pPr>
    </w:p>
    <w:p>
      <w:pPr>
        <w:tabs>
          <w:tab w:val="left" w:pos="1950"/>
        </w:tabs>
        <w:spacing w:before="120" w:line="320" w:lineRule="atLeast"/>
        <w:jc w:val="left"/>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14:textFill>
            <w14:solidFill>
              <w14:schemeClr w14:val="tx1"/>
            </w14:solidFill>
          </w14:textFill>
        </w:rPr>
        <w:br w:type="page"/>
      </w:r>
      <w:r>
        <w:rPr>
          <w:rFonts w:ascii="宋体" w:hAnsi="宋体"/>
          <w:b/>
          <w:bCs/>
          <w:color w:val="000000" w:themeColor="text1"/>
          <w:kern w:val="0"/>
          <w:szCs w:val="21"/>
          <w14:textFill>
            <w14:solidFill>
              <w14:schemeClr w14:val="tx1"/>
            </w14:solidFill>
          </w14:textFill>
        </w:rPr>
        <w:t>4.评审标准</w:t>
      </w:r>
    </w:p>
    <w:p>
      <w:pPr>
        <w:tabs>
          <w:tab w:val="left" w:pos="1950"/>
        </w:tabs>
        <w:spacing w:before="120" w:line="320" w:lineRule="atLeast"/>
        <w:jc w:val="left"/>
        <w:outlineLvl w:val="1"/>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A、B</w:t>
      </w:r>
      <w:r>
        <w:rPr>
          <w:rFonts w:ascii="宋体" w:hAnsi="宋体"/>
          <w:b/>
          <w:bCs/>
          <w:color w:val="000000" w:themeColor="text1"/>
          <w:kern w:val="0"/>
          <w:szCs w:val="21"/>
          <w14:textFill>
            <w14:solidFill>
              <w14:schemeClr w14:val="tx1"/>
            </w14:solidFill>
          </w14:textFill>
        </w:rPr>
        <w:t>分标</w:t>
      </w:r>
    </w:p>
    <w:tbl>
      <w:tblPr>
        <w:tblStyle w:val="24"/>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6"/>
        <w:gridCol w:w="1271"/>
        <w:gridCol w:w="5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8" w:type="dxa"/>
            <w:gridSpan w:val="2"/>
            <w:vAlign w:val="center"/>
          </w:tcPr>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271" w:type="dxa"/>
            <w:vAlign w:val="center"/>
          </w:tcPr>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评分因素</w:t>
            </w:r>
          </w:p>
        </w:tc>
        <w:tc>
          <w:tcPr>
            <w:tcW w:w="5969" w:type="dxa"/>
            <w:vAlign w:val="center"/>
          </w:tcPr>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706" w:type="dxa"/>
            <w:vAlign w:val="center"/>
          </w:tcPr>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价格分</w:t>
            </w:r>
          </w:p>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（满分30分）</w:t>
            </w:r>
          </w:p>
        </w:tc>
        <w:tc>
          <w:tcPr>
            <w:tcW w:w="1271" w:type="dxa"/>
            <w:vAlign w:val="center"/>
          </w:tcPr>
          <w:p>
            <w:pPr>
              <w:adjustRightIn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响应报价分</w:t>
            </w:r>
          </w:p>
        </w:tc>
        <w:tc>
          <w:tcPr>
            <w:tcW w:w="5969" w:type="dxa"/>
            <w:vAlign w:val="center"/>
          </w:tcPr>
          <w:p>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以满足采购文件要求且响应价格最低的响应报价为评审基准价，其价格分为满分。其他供应商的价格分统一按照下列公式计算：响应报价得分</w:t>
            </w:r>
            <w:r>
              <w:rPr>
                <w:rFonts w:ascii="宋体" w:hAnsi="宋体" w:cs="宋体"/>
                <w:bCs/>
                <w:color w:val="000000" w:themeColor="text1"/>
                <w:szCs w:val="21"/>
                <w14:textFill>
                  <w14:solidFill>
                    <w14:schemeClr w14:val="tx1"/>
                  </w14:solidFill>
                </w14:textFill>
              </w:rPr>
              <w:t>=（评审基准价/响应报价）×响应报价分满分分值。</w:t>
            </w:r>
          </w:p>
          <w:p>
            <w:pPr>
              <w:pStyle w:val="17"/>
              <w:rPr>
                <w:rFonts w:hint="eastAsia" w:ascii="宋体" w:hAnsi="宋体"/>
                <w:bCs/>
                <w:color w:val="000000" w:themeColor="text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响应报价计算时均为供应商的实际响应报价进行政策性扣除后的价格，最终成交金额＝响应报价。政策性扣除计算方法见后。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restart"/>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1706" w:type="dxa"/>
            <w:vMerge w:val="restart"/>
            <w:vAlign w:val="center"/>
          </w:tcPr>
          <w:p>
            <w:pPr>
              <w:adjustRightInd w:val="0"/>
              <w:snapToGrid w:val="0"/>
              <w:ind w:left="-105" w:leftChars="-50" w:right="-105" w:rightChars="-5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技术方案、项目实施方案及人员配备（满分30分）</w:t>
            </w:r>
          </w:p>
        </w:tc>
        <w:tc>
          <w:tcPr>
            <w:tcW w:w="1271" w:type="dxa"/>
            <w:vAlign w:val="center"/>
          </w:tcPr>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技术方案分（满分15分）</w:t>
            </w:r>
          </w:p>
        </w:tc>
        <w:tc>
          <w:tcPr>
            <w:tcW w:w="5969" w:type="dxa"/>
            <w:vAlign w:val="center"/>
          </w:tcPr>
          <w:p>
            <w:pPr>
              <w:ind w:firstLine="420" w:firstLineChars="200"/>
              <w:jc w:val="left"/>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未提供技术方案得0分。</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一档（5分）：技术方案论述单薄，没有明显技术错误，技术方案较简单可行，主要设备性能一般，系统功能配置基本达到要求的；</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二档（10分）：在二档基础上，技术方案论述基本准确，技术架构基本合理，主要设备性能基本满足要求，提供光缆资源分布图，系统功能配置齐全，方案体现整体性、可靠性、兼容性的；</w:t>
            </w:r>
          </w:p>
          <w:p>
            <w:pPr>
              <w:snapToGrid w:val="0"/>
              <w:ind w:firstLine="420" w:firstLineChars="200"/>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15分）：在三档基础上，技术方案能深入了解用户需求，结合需求的分析对网络进行规划，论述准确，技术新，主要设备性能好，提供光缆资源分布图，系统功能配置齐全，系统设计紧密结合全程全网的建设理念；方案明显优于采购文件要求，且方案整体性、可靠性、先进性、兼容性、扩展性、冗余性、安全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continue"/>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p>
        </w:tc>
        <w:tc>
          <w:tcPr>
            <w:tcW w:w="1706" w:type="dxa"/>
            <w:vMerge w:val="continue"/>
            <w:vAlign w:val="center"/>
          </w:tcPr>
          <w:p>
            <w:pPr>
              <w:adjustRightInd w:val="0"/>
              <w:snapToGrid w:val="0"/>
              <w:ind w:left="-105" w:leftChars="-50" w:right="-105" w:rightChars="-50"/>
              <w:jc w:val="center"/>
              <w:textAlignment w:val="baseline"/>
              <w:rPr>
                <w:rFonts w:hint="eastAsia" w:ascii="宋体" w:hAnsi="宋体" w:cs="宋体"/>
                <w:bCs/>
                <w:color w:val="000000" w:themeColor="text1"/>
                <w:szCs w:val="21"/>
                <w14:textFill>
                  <w14:solidFill>
                    <w14:schemeClr w14:val="tx1"/>
                  </w14:solidFill>
                </w14:textFill>
              </w:rPr>
            </w:pPr>
          </w:p>
        </w:tc>
        <w:tc>
          <w:tcPr>
            <w:tcW w:w="1271" w:type="dxa"/>
            <w:vAlign w:val="center"/>
          </w:tcPr>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项目实施方案（满分15分）</w:t>
            </w:r>
          </w:p>
        </w:tc>
        <w:tc>
          <w:tcPr>
            <w:tcW w:w="5969" w:type="dxa"/>
            <w:vAlign w:val="center"/>
          </w:tcPr>
          <w:p>
            <w:pPr>
              <w:ind w:firstLine="420" w:firstLineChars="200"/>
              <w:jc w:val="left"/>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未提供项目实施方案得0分。</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一档（5分）：供应商的项目实施方案进度安排、相关保障措施能力、对各项关键工作安排、对本项目的风险预见、风险应对措施、项目管理方案、组织机构安排及分工与职责安排等描述不全且单一。</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10分）：供应商的项目实施方案进度安排合理较好，且有相关保障措施；对各项关键工作安排较合理；对本项目的风险预见、风险应对措施较好；项目管理方案比较完整，组织机构比较合理，人员有保障，分工与职责比较明确。</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15分）：供应商的项目实施方案进度安排合理，且相关保障措施到位；对各项关键工作安排合理；对本项目的风险预见、风险应对措施完备，有完善的项目于解决方案；项目管理方案完整,组织机构合理，人员有保障，分工与职责明确；提出具有建设性的方案优化建议，项目方案贴近本项目实际执行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restart"/>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1706" w:type="dxa"/>
            <w:vMerge w:val="restart"/>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服务方案及增值服务分 （满分30分）</w:t>
            </w:r>
          </w:p>
        </w:tc>
        <w:tc>
          <w:tcPr>
            <w:tcW w:w="1271" w:type="dxa"/>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服务方案分（满分12分）</w:t>
            </w:r>
          </w:p>
        </w:tc>
        <w:tc>
          <w:tcPr>
            <w:tcW w:w="5969" w:type="dxa"/>
            <w:vAlign w:val="center"/>
          </w:tcPr>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由评委依据响应文件中对到达故障现场时间、故障出现解决方案、定期维护（注明时间）、技术培训、应急保障方案等方面进行综合评定：</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一档（3分）：服务方案只满足采购文件售后服务要求的。</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二档（6分）：供应商提供服务方案，方案中对到达故障现场时间、故障出现解决方案、定期维护（注明时间）、技术培训、应急保障方案等方面的描述不全且较简单，方案可行。</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三档（9分）：供应商提供服务方案，方案中对到达故障现场时间、故障出现解决方案、定期维护（注明时间）、技术培训、应急保障方案等方面的描述全，且方案可行较详细。</w:t>
            </w:r>
          </w:p>
          <w:p>
            <w:pPr>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档（12分）：供应商所提供的项目服务方案，包含有项目维护、应急保障方案且描述了项目维护和应急保障方案的方法以及实现方式，服务承诺和保障措施考虑周全完整详细；并提供承诺书承诺服务期内如果网络出现问题，能1个小时内到达现场，负责排除故障，直到网络恢复正常，否则将按照</w:t>
            </w:r>
            <w:r>
              <w:rPr>
                <w:rFonts w:hint="eastAsia" w:ascii="宋体" w:hAnsi="宋体"/>
                <w:color w:val="000000" w:themeColor="text1"/>
                <w:szCs w:val="21"/>
                <w14:textFill>
                  <w14:solidFill>
                    <w14:schemeClr w14:val="tx1"/>
                  </w14:solidFill>
                </w14:textFill>
              </w:rPr>
              <w:t>服务质量保障要求</w:t>
            </w:r>
            <w:r>
              <w:rPr>
                <w:rFonts w:hint="eastAsia" w:ascii="宋体" w:hAnsi="宋体" w:cs="宋体"/>
                <w:bCs/>
                <w:color w:val="000000" w:themeColor="text1"/>
                <w:szCs w:val="21"/>
                <w14:textFill>
                  <w14:solidFill>
                    <w14:schemeClr w14:val="tx1"/>
                  </w14:solidFill>
                </w14:textFill>
              </w:rPr>
              <w:t xml:space="preserve">进行处置。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continue"/>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p>
        </w:tc>
        <w:tc>
          <w:tcPr>
            <w:tcW w:w="1706" w:type="dxa"/>
            <w:vMerge w:val="continue"/>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p>
        </w:tc>
        <w:tc>
          <w:tcPr>
            <w:tcW w:w="1271" w:type="dxa"/>
            <w:vAlign w:val="center"/>
          </w:tcPr>
          <w:p>
            <w:pPr>
              <w:adjustRightInd w:val="0"/>
              <w:snapToGrid w:val="0"/>
              <w:jc w:val="center"/>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增值服务（满分18分）</w:t>
            </w:r>
          </w:p>
        </w:tc>
        <w:tc>
          <w:tcPr>
            <w:tcW w:w="5969" w:type="dxa"/>
            <w:vAlign w:val="center"/>
          </w:tcPr>
          <w:p>
            <w:pPr>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根据供应商提供的网络优化、线路带宽动态提升、配套网络设备升级、开通临时线路等内容对项目有利增值服务情况，判定档次并打分：</w:t>
            </w:r>
          </w:p>
          <w:p>
            <w:pPr>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一档（6分）：提供有2项合理、可行增值服务的：</w:t>
            </w:r>
          </w:p>
          <w:p>
            <w:pPr>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二档（12分）：提供有4项合理、可行增值服务的；</w:t>
            </w:r>
          </w:p>
          <w:p>
            <w:pPr>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三档（18分）：提供有6项或以上合理、可行增值服务的。</w:t>
            </w:r>
          </w:p>
          <w:p>
            <w:pPr>
              <w:pStyle w:val="2"/>
              <w:rPr>
                <w:rFonts w:hint="eastAsia" w:ascii="宋体" w:hAnsi="宋体"/>
                <w:color w:val="000000" w:themeColor="text1"/>
                <w14:textFill>
                  <w14:solidFill>
                    <w14:schemeClr w14:val="tx1"/>
                  </w14:solidFill>
                </w14:textFill>
              </w:rPr>
            </w:pPr>
            <w:r>
              <w:rPr>
                <w:rFonts w:hint="eastAsia" w:ascii="宋体" w:hAnsi="宋体"/>
                <w:color w:val="000000" w:themeColor="text1"/>
                <w:sz w:val="21"/>
                <w:szCs w:val="22"/>
                <w14:textFill>
                  <w14:solidFill>
                    <w14:schemeClr w14:val="tx1"/>
                  </w14:solidFill>
                </w14:textFill>
              </w:rPr>
              <w:t>备注：单项可累加（如开通2条临时线路算2项）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restart"/>
            <w:vAlign w:val="center"/>
          </w:tcPr>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1706" w:type="dxa"/>
            <w:vMerge w:val="restart"/>
            <w:vAlign w:val="center"/>
          </w:tcPr>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履约能力分（满分10分）</w:t>
            </w:r>
          </w:p>
        </w:tc>
        <w:tc>
          <w:tcPr>
            <w:tcW w:w="1271" w:type="dxa"/>
            <w:vAlign w:val="center"/>
          </w:tcPr>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信誉分</w:t>
            </w:r>
          </w:p>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（满分2分）</w:t>
            </w:r>
          </w:p>
        </w:tc>
        <w:tc>
          <w:tcPr>
            <w:tcW w:w="5969" w:type="dxa"/>
          </w:tcPr>
          <w:p>
            <w:pPr>
              <w:snapToGrid w:val="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供应商提供有效的ISO9001质量管理体系认证、ISO14001环境管理体系证书的每一项得1分，满分2分。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continue"/>
            <w:vAlign w:val="center"/>
          </w:tcPr>
          <w:p>
            <w:pPr>
              <w:snapToGrid w:val="0"/>
              <w:jc w:val="center"/>
              <w:rPr>
                <w:rFonts w:hint="eastAsia" w:ascii="宋体" w:hAnsi="宋体" w:cs="宋体"/>
                <w:bCs/>
                <w:color w:val="000000" w:themeColor="text1"/>
                <w:szCs w:val="21"/>
                <w14:textFill>
                  <w14:solidFill>
                    <w14:schemeClr w14:val="tx1"/>
                  </w14:solidFill>
                </w14:textFill>
              </w:rPr>
            </w:pPr>
          </w:p>
        </w:tc>
        <w:tc>
          <w:tcPr>
            <w:tcW w:w="1706" w:type="dxa"/>
            <w:vMerge w:val="continue"/>
            <w:vAlign w:val="center"/>
          </w:tcPr>
          <w:p>
            <w:pPr>
              <w:snapToGrid w:val="0"/>
              <w:jc w:val="center"/>
              <w:rPr>
                <w:rFonts w:hint="eastAsia" w:ascii="宋体" w:hAnsi="宋体" w:cs="宋体"/>
                <w:bCs/>
                <w:color w:val="000000" w:themeColor="text1"/>
                <w:szCs w:val="21"/>
                <w14:textFill>
                  <w14:solidFill>
                    <w14:schemeClr w14:val="tx1"/>
                  </w14:solidFill>
                </w14:textFill>
              </w:rPr>
            </w:pPr>
          </w:p>
        </w:tc>
        <w:tc>
          <w:tcPr>
            <w:tcW w:w="1271" w:type="dxa"/>
            <w:vAlign w:val="center"/>
          </w:tcPr>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业绩分</w:t>
            </w:r>
          </w:p>
          <w:p>
            <w:pPr>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（满分8分）</w:t>
            </w:r>
          </w:p>
        </w:tc>
        <w:tc>
          <w:tcPr>
            <w:tcW w:w="5969" w:type="dxa"/>
          </w:tcPr>
          <w:p>
            <w:pPr>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供应商提供201</w:t>
            </w:r>
            <w:r>
              <w:rPr>
                <w:rFonts w:ascii="宋体" w:hAnsi="宋体" w:cs="宋体"/>
                <w:bCs/>
                <w:color w:val="000000" w:themeColor="text1"/>
                <w:szCs w:val="21"/>
                <w14:textFill>
                  <w14:solidFill>
                    <w14:schemeClr w14:val="tx1"/>
                  </w14:solidFill>
                </w14:textFill>
              </w:rPr>
              <w:t>9</w:t>
            </w:r>
            <w:r>
              <w:rPr>
                <w:rFonts w:hint="eastAsia" w:ascii="宋体" w:hAnsi="宋体" w:cs="宋体"/>
                <w:bCs/>
                <w:color w:val="000000" w:themeColor="text1"/>
                <w:szCs w:val="21"/>
                <w14:textFill>
                  <w14:solidFill>
                    <w14:schemeClr w14:val="tx1"/>
                  </w14:solidFill>
                </w14:textFill>
              </w:rPr>
              <w:t>年1月1日以来同类服务（</w:t>
            </w:r>
            <w:r>
              <w:rPr>
                <w:rFonts w:hint="eastAsia" w:ascii="宋体" w:hAnsi="宋体"/>
                <w:bCs/>
                <w:color w:val="000000" w:themeColor="text1"/>
                <w14:textFill>
                  <w14:solidFill>
                    <w14:schemeClr w14:val="tx1"/>
                  </w14:solidFill>
                </w14:textFill>
              </w:rPr>
              <w:t>专线租赁，地市级或以上跨域线路，且带宽不小于1000M，不包含互联网）</w:t>
            </w:r>
            <w:r>
              <w:rPr>
                <w:rFonts w:hint="eastAsia" w:ascii="宋体" w:hAnsi="宋体" w:cs="宋体"/>
                <w:bCs/>
                <w:color w:val="000000" w:themeColor="text1"/>
                <w:szCs w:val="21"/>
                <w14:textFill>
                  <w14:solidFill>
                    <w14:schemeClr w14:val="tx1"/>
                  </w14:solidFill>
                </w14:textFill>
              </w:rPr>
              <w:t>业绩的，每份合同得1分。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8" w:type="dxa"/>
            <w:gridSpan w:val="4"/>
            <w:vAlign w:val="center"/>
          </w:tcPr>
          <w:p>
            <w:pPr>
              <w:snapToGrid w:val="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总得分=1+2+3+4</w:t>
            </w:r>
          </w:p>
        </w:tc>
      </w:tr>
    </w:tbl>
    <w:p>
      <w:pPr>
        <w:spacing w:before="120" w:line="320" w:lineRule="atLeast"/>
        <w:ind w:firstLine="316" w:firstLineChars="150"/>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注：</w:t>
      </w:r>
      <w:r>
        <w:rPr>
          <w:rFonts w:ascii="宋体" w:hAnsi="宋体"/>
          <w:b/>
          <w:bCs/>
          <w:color w:val="000000" w:themeColor="text1"/>
          <w:kern w:val="0"/>
          <w:szCs w:val="21"/>
          <w14:textFill>
            <w14:solidFill>
              <w14:schemeClr w14:val="tx1"/>
            </w14:solidFill>
          </w14:textFill>
        </w:rPr>
        <w:t>政策性扣除计算方法</w:t>
      </w:r>
    </w:p>
    <w:p>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供应商响应</w:t>
      </w:r>
      <w:r>
        <w:rPr>
          <w:rFonts w:ascii="宋体" w:hAnsi="宋体"/>
          <w:color w:val="000000" w:themeColor="text1"/>
          <w:szCs w:val="21"/>
          <w14:textFill>
            <w14:solidFill>
              <w14:schemeClr w14:val="tx1"/>
            </w14:solidFill>
          </w14:textFill>
        </w:rPr>
        <w:t>报价将按相应比例进行扣除，用扣除后的价格参与评审（计算价格分）</w:t>
      </w:r>
      <w:r>
        <w:rPr>
          <w:rFonts w:hint="eastAsia" w:ascii="宋体" w:hAnsi="宋体"/>
          <w:color w:val="000000" w:themeColor="text1"/>
          <w:szCs w:val="21"/>
          <w14:textFill>
            <w14:solidFill>
              <w14:schemeClr w14:val="tx1"/>
            </w14:solidFill>
          </w14:textFill>
        </w:rPr>
        <w:t>，价格扣除比例分别如下：</w:t>
      </w:r>
    </w:p>
    <w:tbl>
      <w:tblPr>
        <w:tblStyle w:val="24"/>
        <w:tblW w:w="8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87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7" w:type="dxa"/>
          </w:tcPr>
          <w:p>
            <w:pPr>
              <w:spacing w:before="120" w:line="3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独立响应</w:t>
            </w:r>
          </w:p>
        </w:tc>
        <w:tc>
          <w:tcPr>
            <w:tcW w:w="4874" w:type="dxa"/>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供应商均为所列企业之一（小型企业、微型企业、残疾人福利企业、监狱企业）</w:t>
            </w:r>
          </w:p>
        </w:tc>
        <w:tc>
          <w:tcPr>
            <w:tcW w:w="2510" w:type="dxa"/>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7" w:type="dxa"/>
            <w:vMerge w:val="restart"/>
          </w:tcPr>
          <w:p>
            <w:pPr>
              <w:spacing w:before="120" w:line="3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联合体或</w:t>
            </w:r>
          </w:p>
          <w:p>
            <w:pPr>
              <w:spacing w:before="120" w:line="3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w:t>
            </w:r>
          </w:p>
        </w:tc>
        <w:tc>
          <w:tcPr>
            <w:tcW w:w="4874" w:type="dxa"/>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小微企业承接的金额比例为1</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w:t>
            </w:r>
          </w:p>
        </w:tc>
        <w:tc>
          <w:tcPr>
            <w:tcW w:w="2510" w:type="dxa"/>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7" w:type="dxa"/>
            <w:vMerge w:val="continue"/>
          </w:tcPr>
          <w:p>
            <w:pPr>
              <w:spacing w:before="120" w:line="320" w:lineRule="atLeast"/>
              <w:rPr>
                <w:rFonts w:hint="eastAsia" w:ascii="宋体" w:hAnsi="宋体"/>
                <w:color w:val="000000" w:themeColor="text1"/>
                <w:szCs w:val="21"/>
                <w14:textFill>
                  <w14:solidFill>
                    <w14:schemeClr w14:val="tx1"/>
                  </w14:solidFill>
                </w14:textFill>
              </w:rPr>
            </w:pPr>
          </w:p>
        </w:tc>
        <w:tc>
          <w:tcPr>
            <w:tcW w:w="4874" w:type="dxa"/>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小微企业承接的金额比例达到合同总金额3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以上</w:t>
            </w:r>
          </w:p>
        </w:tc>
        <w:tc>
          <w:tcPr>
            <w:tcW w:w="2510" w:type="dxa"/>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价格扣除响应报价的</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1" w:type="dxa"/>
            <w:gridSpan w:val="3"/>
          </w:tcPr>
          <w:p>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注：未提供《中小企业声明函》、《分包意向协议书》或《联合体协议书》或不符合条件的，不享受价格扣除优惠。</w:t>
            </w:r>
          </w:p>
        </w:tc>
      </w:tr>
    </w:tbl>
    <w:p>
      <w:pPr>
        <w:tabs>
          <w:tab w:val="left" w:pos="1950"/>
        </w:tabs>
        <w:spacing w:before="120" w:line="320" w:lineRule="atLeast"/>
        <w:jc w:val="left"/>
        <w:rPr>
          <w:rFonts w:hint="eastAsia" w:ascii="宋体" w:hAnsi="宋体"/>
          <w:b/>
          <w:bCs/>
          <w:color w:val="000000" w:themeColor="text1"/>
          <w:kern w:val="0"/>
          <w:szCs w:val="21"/>
          <w14:textFill>
            <w14:solidFill>
              <w14:schemeClr w14:val="tx1"/>
            </w14:solidFill>
          </w14:textFill>
        </w:rPr>
      </w:pPr>
    </w:p>
    <w:p>
      <w:pPr>
        <w:tabs>
          <w:tab w:val="left" w:pos="1950"/>
        </w:tabs>
        <w:spacing w:before="120" w:line="320" w:lineRule="atLeast"/>
        <w:jc w:val="left"/>
        <w:outlineLvl w:val="1"/>
        <w:rPr>
          <w:rFonts w:hint="eastAsia" w:ascii="宋体" w:hAnsi="宋体"/>
          <w:b/>
          <w:bCs/>
          <w:color w:val="000000" w:themeColor="text1"/>
          <w:kern w:val="0"/>
          <w:szCs w:val="21"/>
          <w14:textFill>
            <w14:solidFill>
              <w14:schemeClr w14:val="tx1"/>
            </w14:solidFill>
          </w14:textFill>
        </w:rPr>
        <w:sectPr>
          <w:headerReference r:id="rId14" w:type="default"/>
          <w:pgSz w:w="11906" w:h="16838"/>
          <w:pgMar w:top="1418" w:right="1418" w:bottom="1246" w:left="1418" w:header="851" w:footer="992" w:gutter="0"/>
          <w:cols w:space="720" w:num="1"/>
          <w:docGrid w:linePitch="312" w:charSpace="0"/>
        </w:sectPr>
      </w:pPr>
    </w:p>
    <w:bookmarkEnd w:id="27"/>
    <w:bookmarkEnd w:id="28"/>
    <w:p>
      <w:pPr>
        <w:pStyle w:val="11"/>
        <w:tabs>
          <w:tab w:val="left" w:pos="630"/>
          <w:tab w:val="center" w:pos="4535"/>
        </w:tabs>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79" w:name="_Toc202203003"/>
      <w:r>
        <w:rPr>
          <w:rFonts w:hAnsi="宋体" w:cs="Times New Roman"/>
          <w:color w:val="000000" w:themeColor="text1"/>
          <w:sz w:val="32"/>
          <w:szCs w:val="32"/>
          <w14:textFill>
            <w14:solidFill>
              <w14:schemeClr w14:val="tx1"/>
            </w14:solidFill>
          </w14:textFill>
        </w:rPr>
        <w:t>第五章  合同主要条款格式</w:t>
      </w:r>
      <w:bookmarkEnd w:id="79"/>
    </w:p>
    <w:p>
      <w:pPr>
        <w:spacing w:before="120" w:line="320" w:lineRule="atLeast"/>
        <w:ind w:firstLine="422" w:firstLineChars="200"/>
        <w:jc w:val="center"/>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采购合同</w:t>
      </w:r>
    </w:p>
    <w:p>
      <w:pPr>
        <w:snapToGrid w:val="0"/>
        <w:spacing w:line="360" w:lineRule="exact"/>
        <w:ind w:right="480" w:firstLine="5985" w:firstLineChars="2850"/>
        <w:rPr>
          <w:rFonts w:hint="eastAsia" w:ascii="宋体" w:hAnsi="宋体"/>
          <w:bCs/>
          <w:color w:val="000000" w:themeColor="text1"/>
          <w:szCs w:val="21"/>
          <w14:textFill>
            <w14:solidFill>
              <w14:schemeClr w14:val="tx1"/>
            </w14:solidFill>
          </w14:textFill>
        </w:rPr>
      </w:pPr>
    </w:p>
    <w:p>
      <w:pPr>
        <w:snapToGrid w:val="0"/>
        <w:spacing w:line="360" w:lineRule="exact"/>
        <w:ind w:right="480" w:firstLine="5985" w:firstLineChars="2850"/>
        <w:rPr>
          <w:rFonts w:hint="eastAsia" w:ascii="宋体" w:hAnsi="宋体"/>
          <w:bCs/>
          <w:color w:val="000000" w:themeColor="text1"/>
          <w:szCs w:val="21"/>
          <w:u w:val="single"/>
          <w14:textFill>
            <w14:solidFill>
              <w14:schemeClr w14:val="tx1"/>
            </w14:solidFill>
          </w14:textFill>
        </w:rPr>
      </w:pPr>
      <w:r>
        <w:rPr>
          <w:rFonts w:ascii="宋体" w:hAnsi="宋体"/>
          <w:bCs/>
          <w:color w:val="000000" w:themeColor="text1"/>
          <w:szCs w:val="21"/>
          <w14:textFill>
            <w14:solidFill>
              <w14:schemeClr w14:val="tx1"/>
            </w14:solidFill>
          </w14:textFill>
        </w:rPr>
        <w:t>合同编号：</w:t>
      </w:r>
    </w:p>
    <w:p>
      <w:pPr>
        <w:snapToGrid w:val="0"/>
        <w:spacing w:line="360" w:lineRule="exact"/>
        <w:rPr>
          <w:rFonts w:hint="eastAsia" w:ascii="宋体" w:hAnsi="宋体"/>
          <w:color w:val="000000" w:themeColor="text1"/>
          <w:szCs w:val="21"/>
          <w14:textFill>
            <w14:solidFill>
              <w14:schemeClr w14:val="tx1"/>
            </w14:solidFill>
          </w14:textFill>
        </w:rPr>
      </w:pPr>
    </w:p>
    <w:p>
      <w:pPr>
        <w:spacing w:line="360" w:lineRule="auto"/>
        <w:ind w:right="8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采购计划号：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合同编号：</w:t>
      </w:r>
      <w:r>
        <w:rPr>
          <w:rFonts w:hint="eastAsia" w:ascii="宋体" w:hAnsi="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采购人（甲方）：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供应商（乙方）：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项目编号：</w:t>
      </w:r>
      <w:r>
        <w:rPr>
          <w:rFonts w:hint="eastAsia" w:ascii="宋体" w:hAnsi="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cs="Calibri"/>
          <w:color w:val="000000" w:themeColor="text1"/>
          <w:szCs w:val="24"/>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分标：</w:t>
      </w:r>
      <w:r>
        <w:rPr>
          <w:rFonts w:ascii="宋体" w:hAnsi="宋体" w:cs="宋体"/>
          <w:color w:val="000000" w:themeColor="text1"/>
          <w:szCs w:val="21"/>
          <w14:textFill>
            <w14:solidFill>
              <w14:schemeClr w14:val="tx1"/>
            </w14:solidFill>
          </w14:textFill>
        </w:rPr>
        <w:t xml:space="preserve"> </w:t>
      </w:r>
      <w:r>
        <w:rPr>
          <w:rFonts w:ascii="宋体" w:hAnsi="宋体" w:cs="Calibri"/>
          <w:color w:val="000000" w:themeColor="text1"/>
          <w:szCs w:val="24"/>
          <w:u w:val="single"/>
          <w14:textFill>
            <w14:solidFill>
              <w14:schemeClr w14:val="tx1"/>
            </w14:solidFill>
          </w14:textFill>
        </w:rPr>
        <w:t xml:space="preserve">            </w:t>
      </w:r>
    </w:p>
    <w:p>
      <w:pPr>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签订地点：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签订时间：</w:t>
      </w:r>
      <w:r>
        <w:rPr>
          <w:rFonts w:hint="eastAsia" w:ascii="宋体" w:hAnsi="宋体" w:cs="宋体"/>
          <w:color w:val="000000" w:themeColor="text1"/>
          <w:szCs w:val="21"/>
          <w:u w:val="single"/>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根据《中华人民共和国政府采购法》、《中华人民共和国民法典》等法律、法规规定，按照采购文件规定条款和乙方响应文件及其承诺，甲乙双方签订本合同。</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第一条　合同标的</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1、项目一览表</w:t>
      </w:r>
    </w:p>
    <w:tbl>
      <w:tblPr>
        <w:tblStyle w:val="2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tblPrEx>
          <w:tblLayout w:type="fixed"/>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  量</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  价</w:t>
            </w:r>
          </w:p>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c>
          <w:tcPr>
            <w:tcW w:w="1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  价</w:t>
            </w:r>
          </w:p>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人民币合计金额（大写）：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tc>
      </w:tr>
    </w:tbl>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第二条　质量保证</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乙方所提供的</w:t>
      </w:r>
      <w:r>
        <w:rPr>
          <w:rFonts w:hint="eastAsia" w:ascii="宋体" w:hAnsi="宋体" w:cs="宋体"/>
          <w:color w:val="000000" w:themeColor="text1"/>
          <w:szCs w:val="21"/>
          <w:lang w:eastAsia="zh-Hans"/>
          <w14:textFill>
            <w14:solidFill>
              <w14:schemeClr w14:val="tx1"/>
            </w14:solidFill>
          </w14:textFill>
        </w:rPr>
        <w:t>货物、</w:t>
      </w:r>
      <w:r>
        <w:rPr>
          <w:rFonts w:hint="eastAsia" w:ascii="宋体" w:hAnsi="宋体" w:cs="宋体"/>
          <w:color w:val="000000" w:themeColor="text1"/>
          <w:szCs w:val="21"/>
          <w14:textFill>
            <w14:solidFill>
              <w14:schemeClr w14:val="tx1"/>
            </w14:solidFill>
          </w14:textFill>
        </w:rPr>
        <w:t>服务及服务内容必须与响应文件承诺相一致，有国家强制性标准的，还必须符合国家强制性标准的规定，没有国家强制性标准但有其他强制性标准的，必须符合其他强制性标准的规定。</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第三条　权利保证</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1、乙方应保证所提供</w:t>
      </w:r>
      <w:r>
        <w:rPr>
          <w:rFonts w:hint="eastAsia" w:ascii="宋体" w:hAnsi="宋体" w:cs="宋体"/>
          <w:color w:val="000000" w:themeColor="text1"/>
          <w:szCs w:val="21"/>
          <w:lang w:eastAsia="zh-Hans"/>
          <w14:textFill>
            <w14:solidFill>
              <w14:schemeClr w14:val="tx1"/>
            </w14:solidFill>
          </w14:textFill>
        </w:rPr>
        <w:t>货物及</w:t>
      </w:r>
      <w:r>
        <w:rPr>
          <w:rFonts w:hint="eastAsia" w:ascii="宋体" w:hAnsi="宋体" w:cs="宋体"/>
          <w:color w:val="000000" w:themeColor="text1"/>
          <w:szCs w:val="21"/>
          <w14:textFill>
            <w14:solidFill>
              <w14:schemeClr w14:val="tx1"/>
            </w14:solidFill>
          </w14:textFill>
        </w:rPr>
        <w:t>服务在使用时不会侵犯任何第三方的专利权、商标权、工业设计权等知识产权及其他合法权利，</w:t>
      </w:r>
      <w:r>
        <w:rPr>
          <w:rFonts w:hint="eastAsia" w:ascii="宋体" w:hAnsi="宋体" w:cs="宋体"/>
          <w:color w:val="000000" w:themeColor="text1"/>
          <w:szCs w:val="21"/>
          <w:lang w:bidi="ar"/>
          <w14:textFill>
            <w14:solidFill>
              <w14:schemeClr w14:val="tx1"/>
            </w14:solidFill>
          </w14:textFill>
        </w:rPr>
        <w:t>乙方保证所交付的</w:t>
      </w:r>
      <w:r>
        <w:rPr>
          <w:rFonts w:hint="eastAsia" w:ascii="宋体" w:hAnsi="宋体" w:cs="宋体"/>
          <w:color w:val="000000" w:themeColor="text1"/>
          <w:szCs w:val="21"/>
          <w:lang w:eastAsia="zh-Hans" w:bidi="ar"/>
          <w14:textFill>
            <w14:solidFill>
              <w14:schemeClr w14:val="tx1"/>
            </w14:solidFill>
          </w14:textFill>
        </w:rPr>
        <w:t>货物及服务</w:t>
      </w:r>
      <w:r>
        <w:rPr>
          <w:rFonts w:hint="eastAsia" w:ascii="宋体" w:hAnsi="宋体" w:cs="宋体"/>
          <w:color w:val="000000" w:themeColor="text1"/>
          <w:szCs w:val="21"/>
          <w:lang w:bidi="ar"/>
          <w14:textFill>
            <w14:solidFill>
              <w14:schemeClr w14:val="tx1"/>
            </w14:solidFill>
          </w14:textFill>
        </w:rPr>
        <w:t>的所有权完全属于乙方且无任何抵押、质押、查封等产权瑕疵。如乙方提供的</w:t>
      </w:r>
      <w:r>
        <w:rPr>
          <w:rFonts w:hint="eastAsia" w:ascii="宋体" w:hAnsi="宋体" w:cs="宋体"/>
          <w:color w:val="000000" w:themeColor="text1"/>
          <w:szCs w:val="21"/>
          <w:lang w:eastAsia="zh-Hans" w:bidi="ar"/>
          <w14:textFill>
            <w14:solidFill>
              <w14:schemeClr w14:val="tx1"/>
            </w14:solidFill>
          </w14:textFill>
        </w:rPr>
        <w:t>货物和服务</w:t>
      </w:r>
      <w:r>
        <w:rPr>
          <w:rFonts w:hint="eastAsia" w:ascii="宋体" w:hAnsi="宋体" w:cs="宋体"/>
          <w:color w:val="000000" w:themeColor="text1"/>
          <w:szCs w:val="21"/>
          <w:lang w:bidi="ar"/>
          <w14:textFill>
            <w14:solidFill>
              <w14:schemeClr w14:val="tx1"/>
            </w14:solidFill>
          </w14:textFill>
        </w:rPr>
        <w:t>存在任何权利瑕疵的，按本合同第</w:t>
      </w:r>
      <w:r>
        <w:rPr>
          <w:rFonts w:hint="eastAsia" w:ascii="宋体" w:hAnsi="宋体" w:cs="宋体"/>
          <w:color w:val="000000" w:themeColor="text1"/>
          <w:szCs w:val="21"/>
          <w:lang w:eastAsia="zh-Hans" w:bidi="ar"/>
          <w14:textFill>
            <w14:solidFill>
              <w14:schemeClr w14:val="tx1"/>
            </w14:solidFill>
          </w14:textFill>
        </w:rPr>
        <w:t>九</w:t>
      </w:r>
      <w:r>
        <w:rPr>
          <w:rFonts w:hint="eastAsia" w:ascii="宋体" w:hAnsi="宋体" w:cs="宋体"/>
          <w:color w:val="000000" w:themeColor="text1"/>
          <w:szCs w:val="21"/>
          <w:lang w:bidi="ar"/>
          <w14:textFill>
            <w14:solidFill>
              <w14:schemeClr w14:val="tx1"/>
            </w14:solidFill>
          </w14:textFill>
        </w:rPr>
        <w:t>条第3点处理。</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第四条　交付和验收</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1、服务期限：17个月，自全网（主、备线）调试开通运行并通过采购人确认并通过厅科信办组织的准备工作验收（准备工作验收通过后，起算服务时间）之日起算，服务地点：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2、乙方应按响应文件的承诺向甲方提供相应的服务，并提供所服务内容的相关技术资料。</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3、乙方提供不符合响应文件和本合同规定的服务成果，甲方有权拒绝接受。</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4、乙方应对</w:t>
      </w:r>
      <w:r>
        <w:rPr>
          <w:rFonts w:hint="eastAsia" w:ascii="宋体" w:hAnsi="宋体" w:cs="宋体"/>
          <w:color w:val="000000" w:themeColor="text1"/>
          <w:szCs w:val="21"/>
          <w:lang w:eastAsia="zh-Hans"/>
          <w14:textFill>
            <w14:solidFill>
              <w14:schemeClr w14:val="tx1"/>
            </w14:solidFill>
          </w14:textFill>
        </w:rPr>
        <w:t>货物</w:t>
      </w:r>
      <w:r>
        <w:rPr>
          <w:rFonts w:hint="eastAsia" w:ascii="宋体" w:hAnsi="宋体" w:cs="宋体"/>
          <w:color w:val="000000" w:themeColor="text1"/>
          <w:szCs w:val="21"/>
          <w14:textFill>
            <w14:solidFill>
              <w14:schemeClr w14:val="tx1"/>
            </w14:solidFill>
          </w14:textFill>
        </w:rPr>
        <w:t>和服务作出全面检查和对验收文件进行整理，并列出清单，作为甲方收货验收和使用的技术条件依据，检验的结果应随货物和服务成果交甲方。</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eastAsia="zh-Hans"/>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乙方完成服务后应及时书面通知甲方进行验收，甲方应在收到通知后七个工作日内进行验收。验收合格后由甲乙双方签署验收单并加盖甲方公章，甲乙双方各执一份。</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6、甲乙双方应按照《广西壮族自治区政府采购项目履约验收管理办法》、双方合同、响应文件验收。</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8、甲方验收时以书面形式提出异议的，乙方应自收到甲方书面异议后五个工作日内及时予以解决，</w:t>
      </w:r>
      <w:r>
        <w:rPr>
          <w:rFonts w:hint="eastAsia" w:ascii="宋体" w:hAnsi="宋体" w:cs="宋体"/>
          <w:color w:val="000000" w:themeColor="text1"/>
          <w:szCs w:val="21"/>
          <w:lang w:eastAsia="zh-Hans"/>
          <w14:textFill>
            <w14:solidFill>
              <w14:schemeClr w14:val="tx1"/>
            </w14:solidFill>
          </w14:textFill>
        </w:rPr>
        <w:t>否则视为乙方验收不</w:t>
      </w:r>
      <w:r>
        <w:rPr>
          <w:rFonts w:hint="eastAsia" w:ascii="宋体" w:hAnsi="宋体" w:cs="宋体"/>
          <w:color w:val="000000" w:themeColor="text1"/>
          <w:szCs w:val="21"/>
          <w14:textFill>
            <w14:solidFill>
              <w14:schemeClr w14:val="tx1"/>
            </w14:solidFill>
          </w14:textFill>
        </w:rPr>
        <w:t>合格</w:t>
      </w:r>
    </w:p>
    <w:p>
      <w:pPr>
        <w:spacing w:line="360" w:lineRule="auto"/>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r>
        <w:rPr>
          <w:rFonts w:hint="eastAsia" w:ascii="宋体" w:hAnsi="宋体" w:cs="宋体"/>
          <w:color w:val="000000" w:themeColor="text1"/>
          <w:kern w:val="0"/>
          <w:szCs w:val="21"/>
          <w:lang w:eastAsia="zh-Hans" w:bidi="ar"/>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甲方对乙方提供的</w:t>
      </w:r>
      <w:r>
        <w:rPr>
          <w:rFonts w:hint="eastAsia" w:ascii="宋体" w:hAnsi="宋体" w:cs="宋体"/>
          <w:color w:val="000000" w:themeColor="text1"/>
          <w:kern w:val="0"/>
          <w:szCs w:val="21"/>
          <w:lang w:eastAsia="zh-Hans" w:bidi="ar"/>
          <w14:textFill>
            <w14:solidFill>
              <w14:schemeClr w14:val="tx1"/>
            </w14:solidFill>
          </w14:textFill>
        </w:rPr>
        <w:t>设备</w:t>
      </w:r>
      <w:r>
        <w:rPr>
          <w:rFonts w:hint="eastAsia" w:ascii="宋体" w:hAnsi="宋体" w:cs="宋体"/>
          <w:color w:val="000000" w:themeColor="text1"/>
          <w:kern w:val="0"/>
          <w:szCs w:val="21"/>
          <w:lang w:bidi="ar"/>
          <w14:textFill>
            <w14:solidFill>
              <w14:schemeClr w14:val="tx1"/>
            </w14:solidFill>
          </w14:textFill>
        </w:rPr>
        <w:t>在使用前进行调试时，乙方需负责安装并培训甲方的使用操作人员，并协助甲方一起调试，直到符合技术要求，甲方才做最终验收。</w:t>
      </w:r>
    </w:p>
    <w:p>
      <w:pPr>
        <w:spacing w:line="360" w:lineRule="auto"/>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ascii="宋体" w:hAnsi="宋体" w:cs="宋体"/>
          <w:color w:val="000000" w:themeColor="text1"/>
          <w:kern w:val="0"/>
          <w:szCs w:val="21"/>
          <w:lang w:bidi="ar"/>
          <w14:textFill>
            <w14:solidFill>
              <w14:schemeClr w14:val="tx1"/>
            </w14:solidFill>
          </w14:textFill>
        </w:rPr>
        <w:t>0</w:t>
      </w:r>
      <w:r>
        <w:rPr>
          <w:rFonts w:hint="eastAsia" w:ascii="宋体" w:hAnsi="宋体" w:cs="宋体"/>
          <w:color w:val="000000" w:themeColor="text1"/>
          <w:kern w:val="0"/>
          <w:szCs w:val="21"/>
          <w:lang w:bidi="ar"/>
          <w14:textFill>
            <w14:solidFill>
              <w14:schemeClr w14:val="tx1"/>
            </w14:solidFill>
          </w14:textFill>
        </w:rPr>
        <w:t>、验收费用均由乙方负责。</w:t>
      </w:r>
    </w:p>
    <w:p>
      <w:pPr>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第五条  售后服务及培训</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1、乙方应按照国家有关法律法规</w:t>
      </w:r>
      <w:r>
        <w:rPr>
          <w:rFonts w:hint="eastAsia" w:ascii="宋体" w:hAnsi="宋体" w:cs="宋体"/>
          <w:color w:val="000000" w:themeColor="text1"/>
          <w:szCs w:val="21"/>
          <w:lang w:eastAsia="zh-Hans"/>
          <w14:textFill>
            <w14:solidFill>
              <w14:schemeClr w14:val="tx1"/>
            </w14:solidFill>
          </w14:textFill>
        </w:rPr>
        <w:t>、采购文件及响应文件</w:t>
      </w:r>
      <w:r>
        <w:rPr>
          <w:rFonts w:hint="eastAsia" w:ascii="宋体" w:hAnsi="宋体" w:cs="宋体"/>
          <w:color w:val="000000" w:themeColor="text1"/>
          <w:szCs w:val="21"/>
          <w14:textFill>
            <w14:solidFill>
              <w14:schemeClr w14:val="tx1"/>
            </w14:solidFill>
          </w14:textFill>
        </w:rPr>
        <w:t>和本合同所附的《售后服务承诺》要求为甲方提供相应的售后服务。</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2、甲方应提供必要测试条件（如场地、电源、水源等）。</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3、乙方负责甲方有关人员的培训。培训时间、地点：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snapToGrid w:val="0"/>
        <w:spacing w:line="360" w:lineRule="auto"/>
        <w:ind w:firstLine="422"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第六条　付款方式</w:t>
      </w:r>
    </w:p>
    <w:p>
      <w:pPr>
        <w:spacing w:line="360" w:lineRule="auto"/>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甲乙双方同意本合同金额的支付按以下第</w:t>
      </w:r>
      <w:r>
        <w:rPr>
          <w:rFonts w:hint="eastAsia" w:ascii="宋体" w:hAnsi="宋体" w:cs="宋体"/>
          <w:color w:val="000000" w:themeColor="text1"/>
          <w:szCs w:val="21"/>
          <w:u w:val="single"/>
          <w14:textFill>
            <w14:solidFill>
              <w14:schemeClr w14:val="tx1"/>
            </w14:solidFill>
          </w14:textFill>
        </w:rPr>
        <w:t xml:space="preserve"> 2 </w:t>
      </w:r>
      <w:r>
        <w:rPr>
          <w:rFonts w:hint="eastAsia" w:ascii="宋体" w:hAnsi="宋体" w:cs="宋体"/>
          <w:color w:val="000000" w:themeColor="text1"/>
          <w:szCs w:val="21"/>
          <w14:textFill>
            <w14:solidFill>
              <w14:schemeClr w14:val="tx1"/>
            </w14:solidFill>
          </w14:textFill>
        </w:rPr>
        <w:t>项约定执行：</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1、一次性支付</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2、分期支付</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签订后，甲方收到乙方缴纳的履约保证金，全网（主、备线）调试开通运行并通过采购人确认并通过厅科信办组织的准备工作验收（准备工作验收通过后，起算服务时间）后，支付合同款的25%，2026年12月前支付合同款的50%，线路租赁期结束并通过采购人组织的验收后，根据服务考核情况，支付合同款的25%。成交供应商应在采购人付款前开具对应金额的合法有效发票并交付给采购人，采购人在收到符合要求的发票后，按照合同约定的付款流程支付货款。</w:t>
      </w:r>
    </w:p>
    <w:p>
      <w:pPr>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履约保证金</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履约保证金金额：按成交金额的5%（如为中小企业，不超过合同金额的2%）。</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履约保证金递交方式：银行转账、支票、汇票、本票或者金融、担保机构出具的保函等非现金方式</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履约保证金退付方式、时间及条件：由</w:t>
      </w:r>
      <w:r>
        <w:rPr>
          <w:rFonts w:hint="eastAsia" w:ascii="宋体" w:hAnsi="宋体" w:cs="宋体"/>
          <w:color w:val="000000" w:themeColor="text1"/>
          <w:szCs w:val="21"/>
          <w:lang w:eastAsia="zh-Hans"/>
          <w14:textFill>
            <w14:solidFill>
              <w14:schemeClr w14:val="tx1"/>
            </w14:solidFill>
          </w14:textFill>
        </w:rPr>
        <w:t>乙方</w:t>
      </w:r>
      <w:r>
        <w:rPr>
          <w:rFonts w:hint="eastAsia" w:ascii="宋体" w:hAnsi="宋体" w:cs="宋体"/>
          <w:color w:val="000000" w:themeColor="text1"/>
          <w:szCs w:val="21"/>
          <w14:textFill>
            <w14:solidFill>
              <w14:schemeClr w14:val="tx1"/>
            </w14:solidFill>
          </w14:textFill>
        </w:rPr>
        <w:t>向履约保证金收取单位提供《广西壮族自治区政府采购项目合同验收书》（详见附件）及《政府采购项目履约保证金退付意见书》（详见附件），</w:t>
      </w:r>
      <w:r>
        <w:rPr>
          <w:rFonts w:hint="eastAsia" w:ascii="宋体" w:hAnsi="宋体" w:cs="宋体"/>
          <w:color w:val="000000" w:themeColor="text1"/>
          <w:szCs w:val="21"/>
          <w:lang w:eastAsia="zh-Hans"/>
          <w14:textFill>
            <w14:solidFill>
              <w14:schemeClr w14:val="tx1"/>
            </w14:solidFill>
          </w14:textFill>
        </w:rPr>
        <w:t>甲方</w:t>
      </w:r>
      <w:r>
        <w:rPr>
          <w:rFonts w:hint="eastAsia" w:ascii="宋体" w:hAnsi="宋体" w:cs="宋体"/>
          <w:color w:val="000000" w:themeColor="text1"/>
          <w:szCs w:val="21"/>
          <w14:textFill>
            <w14:solidFill>
              <w14:schemeClr w14:val="tx1"/>
            </w14:solidFill>
          </w14:textFill>
        </w:rPr>
        <w:t>在收到合格材料后5个工作日内办理退还手续（不计利息）。</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第八条  税费</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本合同执行中相关的一切税费均由乙方负担，合同另有约定的除外。</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违约责任</w:t>
      </w:r>
    </w:p>
    <w:p>
      <w:pPr>
        <w:spacing w:line="440" w:lineRule="exact"/>
        <w:ind w:firstLine="420" w:firstLineChars="200"/>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1</w:t>
      </w:r>
      <w:r>
        <w:rPr>
          <w:rFonts w:hint="eastAsia" w:ascii="宋体" w:hAnsi="宋体" w:cs="宋体"/>
          <w:color w:val="000000" w:themeColor="text1"/>
          <w:szCs w:val="24"/>
          <w:lang w:eastAsia="zh-Hans" w:bidi="ar"/>
          <w14:textFill>
            <w14:solidFill>
              <w14:schemeClr w14:val="tx1"/>
            </w14:solidFill>
          </w14:textFill>
        </w:rPr>
        <w:t>、</w:t>
      </w:r>
      <w:r>
        <w:rPr>
          <w:rFonts w:hint="eastAsia" w:ascii="宋体" w:hAnsi="宋体" w:cs="宋体"/>
          <w:color w:val="000000" w:themeColor="text1"/>
          <w:szCs w:val="24"/>
          <w:lang w:bidi="ar"/>
          <w14:textFill>
            <w14:solidFill>
              <w14:schemeClr w14:val="tx1"/>
            </w14:solidFill>
          </w14:textFill>
        </w:rPr>
        <w:t>乙方所提供的产品或服务的名称、商标品牌、生产厂家、规格型号、技术参数等不合格的，应在5个工作日内</w:t>
      </w:r>
      <w:r>
        <w:rPr>
          <w:rFonts w:hint="eastAsia" w:ascii="宋体" w:hAnsi="宋体" w:cs="宋体"/>
          <w:color w:val="000000" w:themeColor="text1"/>
          <w:szCs w:val="24"/>
          <w:lang w:eastAsia="zh-Hans" w:bidi="ar"/>
          <w14:textFill>
            <w14:solidFill>
              <w14:schemeClr w14:val="tx1"/>
            </w14:solidFill>
          </w14:textFill>
        </w:rPr>
        <w:t>整改</w:t>
      </w:r>
      <w:r>
        <w:rPr>
          <w:rFonts w:hint="eastAsia" w:ascii="宋体" w:hAnsi="宋体" w:cs="宋体"/>
          <w:color w:val="000000" w:themeColor="text1"/>
          <w:szCs w:val="24"/>
          <w:lang w:bidi="ar"/>
          <w14:textFill>
            <w14:solidFill>
              <w14:schemeClr w14:val="tx1"/>
            </w14:solidFill>
          </w14:textFill>
        </w:rPr>
        <w:t>，</w:t>
      </w:r>
      <w:r>
        <w:rPr>
          <w:rFonts w:hint="eastAsia" w:ascii="宋体" w:hAnsi="宋体" w:cs="宋体"/>
          <w:color w:val="000000" w:themeColor="text1"/>
          <w:szCs w:val="24"/>
          <w:lang w:eastAsia="zh-Hans" w:bidi="ar"/>
          <w14:textFill>
            <w14:solidFill>
              <w14:schemeClr w14:val="tx1"/>
            </w14:solidFill>
          </w14:textFill>
        </w:rPr>
        <w:t>整改</w:t>
      </w:r>
      <w:r>
        <w:rPr>
          <w:rFonts w:hint="eastAsia" w:ascii="宋体" w:hAnsi="宋体" w:cs="宋体"/>
          <w:color w:val="000000" w:themeColor="text1"/>
          <w:szCs w:val="24"/>
          <w:lang w:bidi="ar"/>
          <w14:textFill>
            <w14:solidFill>
              <w14:schemeClr w14:val="tx1"/>
            </w14:solidFill>
          </w14:textFill>
        </w:rPr>
        <w:t>不及时的，</w:t>
      </w:r>
      <w:r>
        <w:rPr>
          <w:rFonts w:hint="eastAsia" w:ascii="宋体" w:hAnsi="宋体" w:cs="宋体"/>
          <w:color w:val="000000" w:themeColor="text1"/>
          <w:szCs w:val="21"/>
          <w:lang w:bidi="ar"/>
          <w14:textFill>
            <w14:solidFill>
              <w14:schemeClr w14:val="tx1"/>
            </w14:solidFill>
          </w14:textFill>
        </w:rPr>
        <w:t>每逾期1日向甲方偿付合同总金额的5‰作为违约金，超过7日甲方有权解除合同，乙方应向甲方支付合同总金额的30%作为违约金，若还给甲方造成其他损失的，还需向甲方承担赔偿。</w:t>
      </w:r>
    </w:p>
    <w:p>
      <w:pPr>
        <w:spacing w:line="44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除不可抗力原因外，乙方没有按照合同规定的时间提供货物及服务的，甲方可要求乙方支付违约金。每推迟一天按合同金额的3‰支付违约金，该违约金累计不超过合同金额的10%。超过十个工作日甲方有权解除合同，乙方应向甲方支付合同总金额30%的违约金并承担因此给甲方造成的经济损失。</w:t>
      </w:r>
    </w:p>
    <w:p>
      <w:pPr>
        <w:spacing w:line="44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Hans" w:bidi="ar"/>
          <w14:textFill>
            <w14:solidFill>
              <w14:schemeClr w14:val="tx1"/>
            </w14:solidFill>
          </w14:textFill>
        </w:rPr>
        <w:t>3、</w:t>
      </w:r>
      <w:r>
        <w:rPr>
          <w:rFonts w:hint="eastAsia" w:ascii="宋体" w:hAnsi="宋体" w:cs="宋体"/>
          <w:color w:val="000000" w:themeColor="text1"/>
          <w:szCs w:val="21"/>
          <w:lang w:bidi="ar"/>
          <w14:textFill>
            <w14:solidFill>
              <w14:schemeClr w14:val="tx1"/>
            </w14:solidFill>
          </w14:textFill>
        </w:rPr>
        <w:t>乙方提供的货物、服务或服务成果如侵犯了第三方合法权益而引发的任何纠纷或诉讼，均由乙方负责交涉并承担全部责任。若甲方因此而遭受损失或甲方声誉因此受到严重不良影响的，甲方有权解除合同，乙方除返还全部合同款并按合同总金额的30%向甲方支付违约金外，还应赔偿甲方因此而遭受的全部损失.</w:t>
      </w:r>
    </w:p>
    <w:p>
      <w:pPr>
        <w:spacing w:line="440" w:lineRule="exact"/>
        <w:ind w:firstLine="420" w:firstLineChars="200"/>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乙方的售后服务未按本合同提供</w:t>
      </w:r>
      <w:r>
        <w:rPr>
          <w:rFonts w:hint="eastAsia" w:ascii="宋体" w:hAnsi="宋体" w:cs="宋体"/>
          <w:color w:val="000000" w:themeColor="text1"/>
          <w:szCs w:val="21"/>
          <w:lang w:eastAsia="zh-Hans" w:bidi="ar"/>
          <w14:textFill>
            <w14:solidFill>
              <w14:schemeClr w14:val="tx1"/>
            </w14:solidFill>
          </w14:textFill>
        </w:rPr>
        <w:t>或</w:t>
      </w:r>
      <w:r>
        <w:rPr>
          <w:rFonts w:hint="eastAsia" w:ascii="宋体" w:hAnsi="宋体" w:cs="宋体"/>
          <w:color w:val="000000" w:themeColor="text1"/>
          <w:szCs w:val="21"/>
          <w:lang w:bidi="ar"/>
          <w14:textFill>
            <w14:solidFill>
              <w14:schemeClr w14:val="tx1"/>
            </w14:solidFill>
          </w14:textFill>
        </w:rPr>
        <w:t>技术支持与服务或提供的服务未达到服务要求，甲方提出书面整改意见后，乙方仍未在规定时间内完成整改，每出现一次乙方需向甲方支付合同金额的0.1％的违约金。如乙方无正当理由拒绝的，甲方有权聘请第三方进行维护，因此产生的费用以及经济损失均由乙方承担。</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5</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除因甲方自身原因外，乙方操作造成甲方系统数据丢失、泄密的，应按合同金额的三倍支付违约金，违约金不足以弥补甲方损失的，还应支付赔偿金。</w:t>
      </w:r>
    </w:p>
    <w:p>
      <w:pPr>
        <w:spacing w:line="440" w:lineRule="exact"/>
        <w:ind w:firstLine="420" w:firstLineChars="200"/>
        <w:jc w:val="left"/>
        <w:rPr>
          <w:rFonts w:hint="eastAsia" w:ascii="宋体" w:hAnsi="宋体" w:cs="宋体"/>
          <w:color w:val="000000" w:themeColor="text1"/>
          <w:szCs w:val="21"/>
          <w:lang w:bidi="ar"/>
          <w14:textFill>
            <w14:solidFill>
              <w14:schemeClr w14:val="tx1"/>
            </w14:solidFill>
          </w14:textFill>
        </w:rPr>
      </w:pPr>
      <w:r>
        <w:rPr>
          <w:rFonts w:ascii="宋体" w:hAnsi="宋体" w:cs="宋体"/>
          <w:color w:val="000000" w:themeColor="text1"/>
          <w:szCs w:val="21"/>
          <w:lang w:bidi="ar"/>
          <w14:textFill>
            <w14:solidFill>
              <w14:schemeClr w14:val="tx1"/>
            </w14:solidFill>
          </w14:textFill>
        </w:rPr>
        <w:t>6</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如乙方违反合同要求的保密约定，每违反一次，视情节轻重，扣除合同金额的0.2％至1％，直至扣完合同金额为止，如合同款项已支付，则甲方有权向乙方追回。若还给甲方造成其他损失的，还需向甲方承担赔偿责任。</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7</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乙方不能就所成交的项目进行分包、转包，如发现乙方有分包、转包现象，甲方有权解除合同，追回已付款项，不再支付未付款项，并要求乙方支付合同总价款10%的违约金。如因此给甲方造成损失的，还应赔偿甲方损失。</w:t>
      </w:r>
    </w:p>
    <w:p>
      <w:pPr>
        <w:spacing w:line="440" w:lineRule="exact"/>
        <w:ind w:firstLine="420" w:firstLineChars="200"/>
        <w:jc w:val="left"/>
        <w:rPr>
          <w:rFonts w:hint="eastAsia" w:ascii="宋体" w:hAnsi="宋体" w:cs="宋体"/>
          <w:color w:val="000000" w:themeColor="text1"/>
          <w:szCs w:val="21"/>
          <w:lang w:eastAsia="zh-Hans" w:bidi="ar"/>
          <w14:textFill>
            <w14:solidFill>
              <w14:schemeClr w14:val="tx1"/>
            </w14:solidFill>
          </w14:textFill>
        </w:rPr>
      </w:pPr>
      <w:r>
        <w:rPr>
          <w:rFonts w:ascii="宋体" w:hAnsi="宋体" w:cs="宋体"/>
          <w:color w:val="000000" w:themeColor="text1"/>
          <w:szCs w:val="21"/>
          <w:lang w:bidi="ar"/>
          <w14:textFill>
            <w14:solidFill>
              <w14:schemeClr w14:val="tx1"/>
            </w14:solidFill>
          </w14:textFill>
        </w:rPr>
        <w:t>8</w:t>
      </w:r>
      <w:r>
        <w:rPr>
          <w:rFonts w:hint="eastAsia" w:ascii="宋体" w:hAnsi="宋体" w:cs="宋体"/>
          <w:color w:val="000000" w:themeColor="text1"/>
          <w:szCs w:val="21"/>
          <w:lang w:eastAsia="zh-Hans" w:bidi="ar"/>
          <w14:textFill>
            <w14:solidFill>
              <w14:schemeClr w14:val="tx1"/>
            </w14:solidFill>
          </w14:textFill>
        </w:rPr>
        <w:t>、乙方如有其它违反本合同或乙方投标承诺的违约行为，按本合同金额5% 向甲方支付违约金并赔偿经济损失。</w:t>
      </w:r>
    </w:p>
    <w:p>
      <w:pPr>
        <w:spacing w:line="440" w:lineRule="exact"/>
        <w:ind w:firstLine="420" w:firstLineChars="200"/>
        <w:jc w:val="left"/>
        <w:rPr>
          <w:rFonts w:hint="eastAsia" w:ascii="宋体" w:hAnsi="宋体" w:cs="宋体"/>
          <w:color w:val="000000" w:themeColor="text1"/>
          <w:szCs w:val="21"/>
          <w:lang w:bidi="ar"/>
          <w14:textFill>
            <w14:solidFill>
              <w14:schemeClr w14:val="tx1"/>
            </w14:solidFill>
          </w14:textFill>
        </w:rPr>
      </w:pPr>
      <w:r>
        <w:rPr>
          <w:rFonts w:ascii="宋体" w:hAnsi="宋体" w:cs="宋体"/>
          <w:color w:val="000000" w:themeColor="text1"/>
          <w:szCs w:val="21"/>
          <w:lang w:eastAsia="zh-Hans" w:bidi="ar"/>
          <w14:textFill>
            <w14:solidFill>
              <w14:schemeClr w14:val="tx1"/>
            </w14:solidFill>
          </w14:textFill>
        </w:rPr>
        <w:t>9</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经济损失是指一方因此而遭受的全部经济损失（包括但不限于直接损失、间接损失及实现债权的费用，如诉讼费、律师费、差旅费、调查费、财产保全责任险保险费等）。</w:t>
      </w:r>
    </w:p>
    <w:p>
      <w:pPr>
        <w:spacing w:line="440" w:lineRule="exact"/>
        <w:ind w:firstLine="420" w:firstLineChars="200"/>
        <w:jc w:val="left"/>
        <w:rPr>
          <w:rFonts w:hint="eastAsia" w:ascii="宋体" w:hAnsi="宋体" w:cs="宋体"/>
          <w:color w:val="000000" w:themeColor="text1"/>
          <w:szCs w:val="24"/>
          <w14:textFill>
            <w14:solidFill>
              <w14:schemeClr w14:val="tx1"/>
            </w14:solidFill>
          </w14:textFill>
        </w:rPr>
      </w:pPr>
      <w:r>
        <w:rPr>
          <w:rFonts w:ascii="宋体" w:hAnsi="宋体" w:cs="宋体"/>
          <w:color w:val="000000" w:themeColor="text1"/>
          <w:szCs w:val="21"/>
          <w:lang w:bidi="ar"/>
          <w14:textFill>
            <w14:solidFill>
              <w14:schemeClr w14:val="tx1"/>
            </w14:solidFill>
          </w14:textFill>
        </w:rPr>
        <w:t>10</w:t>
      </w:r>
      <w:r>
        <w:rPr>
          <w:rFonts w:hint="eastAsia" w:ascii="宋体" w:hAnsi="宋体" w:cs="宋体"/>
          <w:color w:val="000000" w:themeColor="text1"/>
          <w:szCs w:val="21"/>
          <w:lang w:eastAsia="zh-Hans" w:bidi="ar"/>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甲方有权从未付价款和履约保证金中先行扣除乙方应支付的违约金、赔偿金，不足另补。</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不可抗力事件处理</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2、不可抗力事件发生后，应立即通知对方，并寄送有关权威机构出具的证明。</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3、不可抗力事件延续一百二十天以上，双方应通过友好协商，确定是否继续履行合同。</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  合同争议解决</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2、因履行本合同引起的或者与本合同有关的争议，甲乙双方应首先通过友好协商解决，如果协商不能解决，可向甲方所在地有管辖权人民法院提起诉讼。</w:t>
      </w:r>
    </w:p>
    <w:p>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3、诉讼期间，本合同继续履行。</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第十二条  通知和送达</w:t>
      </w:r>
    </w:p>
    <w:p>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各方确认，本合同载明的各方地址为各方真实有效通讯地址，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知对方或受送达方拒绝签收等原因，导致文书未能被实际接收的，邮寄送达的，以文书退回之日视为送达之日。</w:t>
      </w:r>
    </w:p>
    <w:p>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3、上述送达地址和联系方式适用范围包括双方非诉时各类通知、合同等文件以及就合同发生纠纷时相关文件和法律文书的送达，同时包括在争议进入仲裁、民事诉讼程序后的一审、二审、再审和执行程序。</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第十三条 合同生效及其它</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1、合同经双方法定代表人或者授权代表签字并加盖单位公章后生效（委托代理人签字的需后附法定代表人授权委托书，格式自拟）。</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3、本合同未尽事宜，遵照《中华人民共和国民法典》有关条文执行。</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第十四条　合同的变更、终止与转让</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1、除《中华人民共和国政府采购法》第五十条规定的情形外，本合同一经签订，甲乙双方不得擅自变更、中止或者终止。</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2、乙方不得擅自转让其应履行的合同义务。</w:t>
      </w:r>
    </w:p>
    <w:p>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第十五条　签订本合同依据</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1、成交通知书；</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2、开标一览表；</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3、商务条款偏离表和技术需求偏离表；</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4、服务方案；</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5、响应文件中的其他相关文件。</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6、上述合同文件互相补充和解释。如果合同文件之间存在矛盾或者不一致之处，以上述文件的排列顺序在先者为准。</w:t>
      </w:r>
    </w:p>
    <w:p>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第十六条　</w:t>
      </w:r>
      <w:r>
        <w:rPr>
          <w:rFonts w:hint="eastAsia" w:ascii="宋体" w:hAnsi="宋体" w:cs="宋体"/>
          <w:color w:val="000000" w:themeColor="text1"/>
          <w:szCs w:val="21"/>
          <w14:textFill>
            <w14:solidFill>
              <w14:schemeClr w14:val="tx1"/>
            </w14:solidFill>
          </w14:textFill>
        </w:rPr>
        <w:t>本合同一式捌份，具有同等法律效力，财政部门（政府采购监管部门）、采购代理机构各一份，甲方执四份乙方执贰份（可根据需要另增加）。</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自签订之日起七个工作日内，甲方应当将合同副本报同级财政部门备案。</w:t>
      </w:r>
    </w:p>
    <w:p>
      <w:pPr>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本合同自签订之日起2个工作日内，甲方应当将采购合同在广西壮族自治区财政厅指定的媒体上公告。</w:t>
      </w:r>
      <w:r>
        <w:rPr>
          <w:rFonts w:ascii="宋体" w:hAnsi="宋体"/>
          <w:color w:val="000000" w:themeColor="text1"/>
          <w:szCs w:val="21"/>
          <w14:textFill>
            <w14:solidFill>
              <w14:schemeClr w14:val="tx1"/>
            </w14:solidFill>
          </w14:textFill>
        </w:rPr>
        <w:br w:type="page"/>
      </w:r>
    </w:p>
    <w:p>
      <w:pPr>
        <w:snapToGrid w:val="0"/>
        <w:spacing w:line="360" w:lineRule="exact"/>
        <w:jc w:val="center"/>
        <w:rPr>
          <w:rFonts w:hint="eastAsia" w:ascii="宋体" w:hAnsi="宋体"/>
          <w:b/>
          <w:bCs/>
          <w:color w:val="000000" w:themeColor="text1"/>
          <w:sz w:val="28"/>
          <w:szCs w:val="28"/>
          <w14:textFill>
            <w14:solidFill>
              <w14:schemeClr w14:val="tx1"/>
            </w14:solidFill>
          </w14:textFill>
        </w:rPr>
      </w:pPr>
    </w:p>
    <w:p>
      <w:pPr>
        <w:snapToGrid w:val="0"/>
        <w:spacing w:line="360" w:lineRule="exact"/>
        <w:jc w:val="center"/>
        <w:rPr>
          <w:rFonts w:hint="eastAsia" w:ascii="宋体" w:hAnsi="宋体"/>
          <w:b/>
          <w:bCs/>
          <w:color w:val="000000" w:themeColor="text1"/>
          <w:sz w:val="28"/>
          <w:szCs w:val="28"/>
          <w14:textFill>
            <w14:solidFill>
              <w14:schemeClr w14:val="tx1"/>
            </w14:solidFill>
          </w14:textFill>
        </w:rPr>
      </w:pPr>
    </w:p>
    <w:p>
      <w:pPr>
        <w:snapToGrid w:val="0"/>
        <w:spacing w:line="360" w:lineRule="exact"/>
        <w:jc w:val="center"/>
        <w:rPr>
          <w:rFonts w:hint="eastAsia"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（本页无正文，为合同签署页）</w:t>
      </w:r>
    </w:p>
    <w:p>
      <w:pPr>
        <w:snapToGrid w:val="0"/>
        <w:spacing w:line="360" w:lineRule="exact"/>
        <w:jc w:val="center"/>
        <w:rPr>
          <w:rFonts w:hint="eastAsia" w:ascii="宋体" w:hAnsi="宋体"/>
          <w:b/>
          <w:bCs/>
          <w:color w:val="000000" w:themeColor="text1"/>
          <w:sz w:val="28"/>
          <w:szCs w:val="28"/>
          <w14:textFill>
            <w14:solidFill>
              <w14:schemeClr w14:val="tx1"/>
            </w14:solidFill>
          </w14:textFill>
        </w:rPr>
      </w:pPr>
    </w:p>
    <w:p>
      <w:pPr>
        <w:snapToGrid w:val="0"/>
        <w:spacing w:line="360" w:lineRule="exact"/>
        <w:jc w:val="center"/>
        <w:rPr>
          <w:rFonts w:hint="eastAsia" w:ascii="宋体" w:hAnsi="宋体"/>
          <w:b/>
          <w:bCs/>
          <w:color w:val="000000" w:themeColor="text1"/>
          <w:sz w:val="28"/>
          <w:szCs w:val="28"/>
          <w14:textFill>
            <w14:solidFill>
              <w14:schemeClr w14:val="tx1"/>
            </w14:solidFill>
          </w14:textFill>
        </w:rPr>
      </w:pPr>
    </w:p>
    <w:tbl>
      <w:tblPr>
        <w:tblStyle w:val="24"/>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w:t>
            </w:r>
            <w:r>
              <w:rPr>
                <w:rFonts w:hint="eastAsia" w:ascii="宋体" w:hAnsi="宋体"/>
                <w:color w:val="000000" w:themeColor="text1"/>
                <w:szCs w:val="21"/>
                <w14:textFill>
                  <w14:solidFill>
                    <w14:schemeClr w14:val="tx1"/>
                  </w14:solidFill>
                </w14:textFill>
              </w:rPr>
              <w:t>公</w:t>
            </w:r>
            <w:r>
              <w:rPr>
                <w:rFonts w:ascii="宋体" w:hAnsi="宋体"/>
                <w:color w:val="000000" w:themeColor="text1"/>
                <w:szCs w:val="21"/>
                <w14:textFill>
                  <w14:solidFill>
                    <w14:schemeClr w14:val="tx1"/>
                  </w14:solidFill>
                </w14:textFill>
              </w:rPr>
              <w:t xml:space="preserve">章）           </w:t>
            </w:r>
          </w:p>
          <w:p>
            <w:pPr>
              <w:snapToGrid w:val="0"/>
              <w:spacing w:line="360" w:lineRule="exact"/>
              <w:ind w:firstLine="945" w:firstLineChars="450"/>
              <w:jc w:val="right"/>
              <w:rPr>
                <w:rFonts w:hint="eastAsia" w:ascii="宋体" w:hAnsi="宋体"/>
                <w:color w:val="000000" w:themeColor="text1"/>
                <w:szCs w:val="21"/>
                <w14:textFill>
                  <w14:solidFill>
                    <w14:schemeClr w14:val="tx1"/>
                  </w14:solidFill>
                </w14:textFill>
              </w:rPr>
            </w:pP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公</w:t>
            </w:r>
            <w:r>
              <w:rPr>
                <w:rFonts w:ascii="宋体" w:hAnsi="宋体"/>
                <w:color w:val="000000" w:themeColor="text1"/>
                <w:szCs w:val="21"/>
                <w14:textFill>
                  <w14:solidFill>
                    <w14:schemeClr w14:val="tx1"/>
                  </w14:solidFill>
                </w14:textFill>
              </w:rPr>
              <w:t xml:space="preserve">章）              </w:t>
            </w:r>
          </w:p>
          <w:p>
            <w:pPr>
              <w:snapToGrid w:val="0"/>
              <w:spacing w:line="360" w:lineRule="exact"/>
              <w:jc w:val="righ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单位地址：</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eastAsia="zh-Hans"/>
                <w14:textFill>
                  <w14:solidFill>
                    <w14:schemeClr w14:val="tx1"/>
                  </w14:solidFill>
                </w14:textFill>
              </w:rPr>
              <w:t>授权委托人</w:t>
            </w:r>
            <w:r>
              <w:rPr>
                <w:rFonts w:ascii="宋体" w:hAnsi="宋体"/>
                <w:color w:val="000000" w:themeColor="text1"/>
                <w:szCs w:val="21"/>
                <w14:textFill>
                  <w14:solidFill>
                    <w14:schemeClr w14:val="tx1"/>
                  </w14:solidFill>
                </w14:textFill>
              </w:rPr>
              <w:t>：</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eastAsia="zh-Hans"/>
                <w14:textFill>
                  <w14:solidFill>
                    <w14:schemeClr w14:val="tx1"/>
                  </w14:solidFill>
                </w14:textFill>
              </w:rPr>
              <w:t>授权委托人</w:t>
            </w:r>
            <w:r>
              <w:rPr>
                <w:rFonts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电子邮箱：</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437"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c>
          <w:tcPr>
            <w:tcW w:w="4688" w:type="dxa"/>
            <w:vAlign w:val="center"/>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1" w:hRule="atLeast"/>
          <w:jc w:val="center"/>
        </w:trPr>
        <w:tc>
          <w:tcPr>
            <w:tcW w:w="9125" w:type="dxa"/>
            <w:gridSpan w:val="2"/>
          </w:tcPr>
          <w:p>
            <w:pPr>
              <w:snapToGrid w:val="0"/>
              <w:spacing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经办人：</w:t>
            </w:r>
          </w:p>
          <w:p>
            <w:pPr>
              <w:snapToGrid w:val="0"/>
              <w:spacing w:line="360" w:lineRule="exact"/>
              <w:ind w:firstLine="630" w:firstLineChars="300"/>
              <w:jc w:val="right"/>
              <w:rPr>
                <w:rFonts w:hint="eastAsia" w:ascii="宋体" w:hAnsi="宋体"/>
                <w:color w:val="000000" w:themeColor="text1"/>
                <w:szCs w:val="21"/>
                <w14:textFill>
                  <w14:solidFill>
                    <w14:schemeClr w14:val="tx1"/>
                  </w14:solidFill>
                </w14:textFill>
              </w:rPr>
            </w:pPr>
          </w:p>
          <w:p>
            <w:pPr>
              <w:snapToGrid w:val="0"/>
              <w:spacing w:line="360" w:lineRule="exact"/>
              <w:ind w:firstLine="630" w:firstLineChars="300"/>
              <w:jc w:val="right"/>
              <w:rPr>
                <w:rFonts w:hint="eastAsia" w:ascii="宋体" w:hAnsi="宋体"/>
                <w:color w:val="000000" w:themeColor="text1"/>
                <w:szCs w:val="21"/>
                <w14:textFill>
                  <w14:solidFill>
                    <w14:schemeClr w14:val="tx1"/>
                  </w14:solidFill>
                </w14:textFill>
              </w:rPr>
            </w:pPr>
          </w:p>
          <w:p>
            <w:pPr>
              <w:snapToGrid w:val="0"/>
              <w:spacing w:line="360" w:lineRule="exact"/>
              <w:ind w:firstLine="630" w:firstLineChars="300"/>
              <w:jc w:val="righ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    月    日</w:t>
            </w:r>
          </w:p>
        </w:tc>
      </w:tr>
    </w:tbl>
    <w:p>
      <w:pPr>
        <w:spacing w:before="120" w:line="320" w:lineRule="atLeast"/>
        <w:jc w:val="left"/>
        <w:outlineLvl w:val="1"/>
        <w:rPr>
          <w:rFonts w:hint="eastAsia" w:ascii="宋体" w:hAnsi="宋体"/>
          <w:b/>
          <w:bCs/>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b/>
          <w:bCs/>
          <w:color w:val="000000" w:themeColor="text1"/>
          <w:kern w:val="0"/>
          <w:szCs w:val="21"/>
          <w14:textFill>
            <w14:solidFill>
              <w14:schemeClr w14:val="tx1"/>
            </w14:solidFill>
          </w14:textFill>
        </w:rPr>
        <w:t>合同附件</w:t>
      </w:r>
    </w:p>
    <w:p>
      <w:pPr>
        <w:snapToGrid w:val="0"/>
        <w:rPr>
          <w:rFonts w:hint="eastAsia" w:ascii="宋体" w:hAnsi="宋体"/>
          <w:color w:val="000000" w:themeColor="text1"/>
          <w:sz w:val="18"/>
          <w:szCs w:val="18"/>
          <w14:textFill>
            <w14:solidFill>
              <w14:schemeClr w14:val="tx1"/>
            </w14:solidFill>
          </w14:textFill>
        </w:rPr>
      </w:pPr>
    </w:p>
    <w:tbl>
      <w:tblPr>
        <w:tblStyle w:val="2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应</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商</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w:t>
            </w:r>
          </w:p>
        </w:tc>
        <w:tc>
          <w:tcPr>
            <w:tcW w:w="8640" w:type="dxa"/>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vAlign w:val="center"/>
          </w:tcPr>
          <w:p>
            <w:pPr>
              <w:rPr>
                <w:rFonts w:hint="eastAsia" w:ascii="宋体" w:hAnsi="宋体"/>
                <w:color w:val="000000" w:themeColor="text1"/>
                <w:szCs w:val="21"/>
                <w14:textFill>
                  <w14:solidFill>
                    <w14:schemeClr w14:val="tx1"/>
                  </w14:solidFill>
                </w14:textFill>
              </w:rPr>
            </w:pPr>
          </w:p>
        </w:tc>
        <w:tc>
          <w:tcPr>
            <w:tcW w:w="8640" w:type="dxa"/>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rPr>
                <w:rFonts w:hint="eastAsia" w:ascii="宋体" w:hAnsi="宋体"/>
                <w:color w:val="000000" w:themeColor="text1"/>
                <w:szCs w:val="21"/>
                <w14:textFill>
                  <w14:solidFill>
                    <w14:schemeClr w14:val="tx1"/>
                  </w14:solidFill>
                </w14:textFill>
              </w:rPr>
            </w:pPr>
          </w:p>
        </w:tc>
        <w:tc>
          <w:tcPr>
            <w:tcW w:w="8640" w:type="dxa"/>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该项目已于</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日验收并交付使用。根据合同规定，该项目的履约保证金期限于</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日已满，请将履约保证金</w:t>
            </w:r>
          </w:p>
          <w:p>
            <w:pPr>
              <w:spacing w:line="40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（大写）¥</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（小写）退付到达以下账户。</w:t>
            </w:r>
          </w:p>
          <w:p>
            <w:pPr>
              <w:spacing w:line="400" w:lineRule="exact"/>
              <w:ind w:firstLine="705"/>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单位名称：</w:t>
            </w:r>
          </w:p>
          <w:p>
            <w:pPr>
              <w:spacing w:line="400" w:lineRule="exact"/>
              <w:ind w:firstLine="705"/>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p>
            <w:pPr>
              <w:spacing w:line="400" w:lineRule="exact"/>
              <w:ind w:firstLine="705"/>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   号：</w:t>
            </w:r>
          </w:p>
          <w:p>
            <w:pPr>
              <w:spacing w:line="40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联系人及电话：</w:t>
            </w:r>
          </w:p>
          <w:p>
            <w:pPr>
              <w:spacing w:line="400" w:lineRule="exact"/>
              <w:rPr>
                <w:rFonts w:hint="eastAsia" w:ascii="宋体" w:hAnsi="宋体"/>
                <w:color w:val="000000" w:themeColor="text1"/>
                <w:szCs w:val="21"/>
                <w14:textFill>
                  <w14:solidFill>
                    <w14:schemeClr w14:val="tx1"/>
                  </w14:solidFill>
                </w14:textFill>
              </w:rPr>
            </w:pPr>
          </w:p>
          <w:p>
            <w:pPr>
              <w:spacing w:line="52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供应商</w:t>
            </w:r>
            <w:r>
              <w:rPr>
                <w:rFonts w:hint="eastAsia" w:ascii="宋体" w:hAnsi="宋体"/>
                <w:color w:val="000000" w:themeColor="text1"/>
                <w:szCs w:val="21"/>
                <w14:textFill>
                  <w14:solidFill>
                    <w14:schemeClr w14:val="tx1"/>
                  </w14:solidFill>
                </w14:textFill>
              </w:rPr>
              <w:t>公</w:t>
            </w:r>
            <w:r>
              <w:rPr>
                <w:rFonts w:ascii="宋体" w:hAnsi="宋体"/>
                <w:color w:val="000000" w:themeColor="text1"/>
                <w:szCs w:val="21"/>
                <w14:textFill>
                  <w14:solidFill>
                    <w14:schemeClr w14:val="tx1"/>
                  </w14:solidFill>
                </w14:textFill>
              </w:rPr>
              <w:t>章：</w:t>
            </w:r>
          </w:p>
          <w:p>
            <w:pPr>
              <w:spacing w:line="52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购</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位</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意</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见</w:t>
            </w:r>
          </w:p>
        </w:tc>
        <w:tc>
          <w:tcPr>
            <w:tcW w:w="8640" w:type="dxa"/>
          </w:tcPr>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退付意见：是否同意退付履约保证金及退付金额：</w:t>
            </w:r>
          </w:p>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p>
          <w:p>
            <w:pPr>
              <w:spacing w:line="52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联系人及电话：                                 采购单位</w:t>
            </w:r>
            <w:r>
              <w:rPr>
                <w:rFonts w:hint="eastAsia" w:ascii="宋体" w:hAnsi="宋体"/>
                <w:color w:val="000000" w:themeColor="text1"/>
                <w:szCs w:val="21"/>
                <w14:textFill>
                  <w14:solidFill>
                    <w14:schemeClr w14:val="tx1"/>
                  </w14:solidFill>
                </w14:textFill>
              </w:rPr>
              <w:t>公</w:t>
            </w:r>
            <w:r>
              <w:rPr>
                <w:rFonts w:ascii="宋体" w:hAnsi="宋体"/>
                <w:color w:val="000000" w:themeColor="text1"/>
                <w:szCs w:val="21"/>
                <w14:textFill>
                  <w14:solidFill>
                    <w14:schemeClr w14:val="tx1"/>
                  </w14:solidFill>
                </w14:textFill>
              </w:rPr>
              <w:t>章</w:t>
            </w:r>
          </w:p>
          <w:p>
            <w:pPr>
              <w:spacing w:line="52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财</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务</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部</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门</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意</w:t>
            </w:r>
          </w:p>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见</w:t>
            </w:r>
          </w:p>
        </w:tc>
        <w:tc>
          <w:tcPr>
            <w:tcW w:w="8640" w:type="dxa"/>
          </w:tcPr>
          <w:p>
            <w:pPr>
              <w:spacing w:line="6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此表于</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月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日收到。</w:t>
            </w:r>
          </w:p>
          <w:p>
            <w:pPr>
              <w:spacing w:line="6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会计审核：</w:t>
            </w:r>
          </w:p>
          <w:p>
            <w:pPr>
              <w:spacing w:line="6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财务负责人审核：</w:t>
            </w:r>
          </w:p>
          <w:p>
            <w:pPr>
              <w:spacing w:line="6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单位负责人签字：</w:t>
            </w:r>
          </w:p>
          <w:p>
            <w:pPr>
              <w:spacing w:line="6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出纳办理转账日期：</w:t>
            </w:r>
          </w:p>
        </w:tc>
      </w:tr>
    </w:tbl>
    <w:p>
      <w:pPr>
        <w:spacing w:line="380" w:lineRule="exact"/>
        <w:ind w:left="450" w:leftChars="114" w:hanging="211" w:hangingChars="100"/>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注：供应商凭经采购单位审批的退付意见书到相关财务部办理履约保证金退付事宜。</w:t>
      </w:r>
    </w:p>
    <w:p>
      <w:pPr>
        <w:spacing w:before="120" w:line="320" w:lineRule="atLeast"/>
        <w:jc w:val="left"/>
        <w:rPr>
          <w:rFonts w:hint="eastAsia" w:ascii="宋体" w:hAnsi="宋体"/>
          <w:b/>
          <w:bCs/>
          <w:color w:val="000000" w:themeColor="text1"/>
          <w:szCs w:val="21"/>
          <w14:textFill>
            <w14:solidFill>
              <w14:schemeClr w14:val="tx1"/>
            </w14:solidFill>
          </w14:textFill>
        </w:rPr>
      </w:pPr>
    </w:p>
    <w:p>
      <w:pPr>
        <w:widowControl/>
        <w:jc w:val="left"/>
        <w:rPr>
          <w:rFonts w:hint="eastAsia" w:ascii="宋体" w:hAnsi="宋体"/>
          <w:b/>
          <w:bCs/>
          <w:color w:val="000000" w:themeColor="text1"/>
          <w:kern w:val="0"/>
          <w:szCs w:val="21"/>
          <w14:textFill>
            <w14:solidFill>
              <w14:schemeClr w14:val="tx1"/>
            </w14:solidFill>
          </w14:textFill>
        </w:rPr>
        <w:sectPr>
          <w:headerReference r:id="rId15" w:type="default"/>
          <w:pgSz w:w="11906" w:h="16838"/>
          <w:pgMar w:top="1304" w:right="1418" w:bottom="1304" w:left="1418" w:header="851" w:footer="992" w:gutter="0"/>
          <w:cols w:space="720" w:num="1"/>
          <w:docGrid w:linePitch="312" w:charSpace="0"/>
        </w:sectPr>
      </w:pPr>
    </w:p>
    <w:p>
      <w:pPr>
        <w:spacing w:before="120" w:line="320" w:lineRule="atLeast"/>
        <w:jc w:val="left"/>
        <w:rPr>
          <w:rFonts w:hint="eastAsia" w:ascii="宋体" w:hAnsi="宋体"/>
          <w:color w:val="000000" w:themeColor="text1"/>
          <w:kern w:val="0"/>
          <w14:textFill>
            <w14:solidFill>
              <w14:schemeClr w14:val="tx1"/>
            </w14:solidFill>
          </w14:textFill>
        </w:rPr>
      </w:pPr>
      <w:bookmarkStart w:id="80" w:name="_Hlk48147045"/>
    </w:p>
    <w:bookmarkEnd w:id="0"/>
    <w:bookmarkEnd w:id="1"/>
    <w:bookmarkEnd w:id="80"/>
    <w:p>
      <w:pPr>
        <w:widowControl/>
        <w:jc w:val="center"/>
        <w:outlineLvl w:val="0"/>
        <w:rPr>
          <w:rFonts w:hint="eastAsia" w:ascii="宋体" w:hAnsi="宋体"/>
          <w:color w:val="000000" w:themeColor="text1"/>
          <w:sz w:val="32"/>
          <w:szCs w:val="32"/>
          <w14:textFill>
            <w14:solidFill>
              <w14:schemeClr w14:val="tx1"/>
            </w14:solidFill>
          </w14:textFill>
        </w:rPr>
      </w:pPr>
      <w:bookmarkStart w:id="81" w:name="_Toc202203004"/>
      <w:r>
        <w:rPr>
          <w:rFonts w:ascii="宋体" w:hAnsi="宋体"/>
          <w:color w:val="000000" w:themeColor="text1"/>
          <w:sz w:val="32"/>
          <w:szCs w:val="32"/>
          <w14:textFill>
            <w14:solidFill>
              <w14:schemeClr w14:val="tx1"/>
            </w14:solidFill>
          </w14:textFill>
        </w:rPr>
        <w:t>第六章  响应文件格式</w:t>
      </w:r>
      <w:bookmarkEnd w:id="81"/>
    </w:p>
    <w:p>
      <w:pPr>
        <w:rPr>
          <w:rFonts w:hint="eastAsia" w:ascii="宋体" w:hAnsi="宋体"/>
          <w:color w:val="000000" w:themeColor="text1"/>
          <w:sz w:val="28"/>
          <w:szCs w:val="28"/>
          <w14:textFill>
            <w14:solidFill>
              <w14:schemeClr w14:val="tx1"/>
            </w14:solidFill>
          </w14:textFill>
        </w:rPr>
      </w:pPr>
      <w:bookmarkStart w:id="82" w:name="_Toc254970556"/>
      <w:bookmarkStart w:id="83" w:name="_Toc254970697"/>
    </w:p>
    <w:bookmarkEnd w:id="82"/>
    <w:bookmarkEnd w:id="83"/>
    <w:p>
      <w:pPr>
        <w:rPr>
          <w:rFonts w:hint="eastAsia" w:ascii="宋体" w:hAnsi="宋体"/>
          <w:color w:val="000000" w:themeColor="text1"/>
          <w:sz w:val="28"/>
          <w:szCs w:val="28"/>
          <w14:textFill>
            <w14:solidFill>
              <w14:schemeClr w14:val="tx1"/>
            </w14:solidFill>
          </w14:textFill>
        </w:rPr>
      </w:pPr>
    </w:p>
    <w:p>
      <w:pPr>
        <w:spacing w:line="500" w:lineRule="exact"/>
        <w:ind w:firstLine="560" w:firstLineChars="200"/>
        <w:rPr>
          <w:rFonts w:hint="eastAsia" w:ascii="宋体" w:hAnsi="宋体"/>
          <w:color w:val="000000" w:themeColor="text1"/>
          <w:sz w:val="24"/>
          <w14:textFill>
            <w14:solidFill>
              <w14:schemeClr w14:val="tx1"/>
            </w14:solidFill>
          </w14:textFill>
        </w:rPr>
      </w:pPr>
      <w:bookmarkStart w:id="84" w:name="_Hlk19199063"/>
      <w:r>
        <w:rPr>
          <w:rFonts w:ascii="宋体" w:hAnsi="宋体"/>
          <w:color w:val="000000" w:themeColor="text1"/>
          <w:sz w:val="28"/>
          <w:szCs w:val="28"/>
          <w14:textFill>
            <w14:solidFill>
              <w14:schemeClr w14:val="tx1"/>
            </w14:solidFill>
          </w14:textFill>
        </w:rPr>
        <w:t>注：有签字、盖章要求的应按要求</w:t>
      </w:r>
      <w:bookmarkEnd w:id="84"/>
      <w:r>
        <w:rPr>
          <w:rFonts w:ascii="宋体" w:hAnsi="宋体"/>
          <w:color w:val="000000" w:themeColor="text1"/>
          <w:sz w:val="28"/>
          <w:szCs w:val="28"/>
          <w14:textFill>
            <w14:solidFill>
              <w14:schemeClr w14:val="tx1"/>
            </w14:solidFill>
          </w14:textFill>
        </w:rPr>
        <w:t>签字（签章）、盖章（签章）。</w:t>
      </w:r>
      <w:r>
        <w:rPr>
          <w:rFonts w:ascii="宋体" w:hAnsi="宋体"/>
          <w:bCs/>
          <w:color w:val="000000" w:themeColor="text1"/>
          <w:sz w:val="24"/>
          <w14:textFill>
            <w14:solidFill>
              <w14:schemeClr w14:val="tx1"/>
            </w14:solidFill>
          </w14:textFill>
        </w:rPr>
        <w:t xml:space="preserve"> </w:t>
      </w:r>
    </w:p>
    <w:p>
      <w:pPr>
        <w:snapToGrid w:val="0"/>
        <w:spacing w:before="120" w:beforeLines="50" w:after="50" w:line="440" w:lineRule="exact"/>
        <w:jc w:val="left"/>
        <w:outlineLvl w:val="1"/>
        <w:rPr>
          <w:rFonts w:hint="eastAsia"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ascii="宋体" w:hAnsi="宋体"/>
          <w:b/>
          <w:color w:val="000000" w:themeColor="text1"/>
          <w:sz w:val="24"/>
          <w14:textFill>
            <w14:solidFill>
              <w14:schemeClr w14:val="tx1"/>
            </w14:solidFill>
          </w14:textFill>
        </w:rPr>
        <w:t xml:space="preserve">1.响应文件封面格式： </w:t>
      </w:r>
    </w:p>
    <w:p>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pPr>
        <w:snapToGrid w:val="0"/>
        <w:spacing w:before="120" w:beforeLines="50" w:after="50" w:line="360" w:lineRule="exact"/>
        <w:jc w:val="center"/>
        <w:rPr>
          <w:rFonts w:hint="eastAsia" w:ascii="宋体" w:hAnsi="宋体"/>
          <w:bCs/>
          <w:color w:val="000000" w:themeColor="text1"/>
          <w:sz w:val="24"/>
          <w14:textFill>
            <w14:solidFill>
              <w14:schemeClr w14:val="tx1"/>
            </w14:solidFill>
          </w14:textFill>
        </w:rPr>
      </w:pPr>
    </w:p>
    <w:p>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电子响应文件</w:t>
      </w:r>
    </w:p>
    <w:p>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项目名称： </w:t>
      </w:r>
    </w:p>
    <w:p>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项目编号：</w:t>
      </w:r>
    </w:p>
    <w:p>
      <w:pPr>
        <w:snapToGrid w:val="0"/>
        <w:spacing w:before="120" w:beforeLines="50" w:after="50" w:line="44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分标号：（若无留空或写“/”）</w:t>
      </w:r>
    </w:p>
    <w:p>
      <w:pPr>
        <w:pStyle w:val="8"/>
        <w:snapToGrid w:val="0"/>
        <w:spacing w:before="50" w:after="50" w:line="440" w:lineRule="exact"/>
        <w:ind w:firstLine="720" w:firstLineChars="300"/>
        <w:rPr>
          <w:rFonts w:hint="eastAsia"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响应文件名称：资格证明文件、商务技术文件、报价文件</w:t>
      </w:r>
    </w:p>
    <w:p>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供应商名称：</w:t>
      </w:r>
    </w:p>
    <w:p>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供应商地址：</w:t>
      </w:r>
    </w:p>
    <w:p>
      <w:pPr>
        <w:pStyle w:val="8"/>
        <w:snapToGrid w:val="0"/>
        <w:spacing w:before="50" w:after="50" w:line="360" w:lineRule="exact"/>
        <w:ind w:firstLine="960" w:firstLineChars="400"/>
        <w:rPr>
          <w:rFonts w:hint="eastAsia" w:ascii="宋体" w:hAnsi="宋体"/>
          <w:bCs/>
          <w:color w:val="000000" w:themeColor="text1"/>
          <w:sz w:val="24"/>
          <w:szCs w:val="24"/>
          <w14:textFill>
            <w14:solidFill>
              <w14:schemeClr w14:val="tx1"/>
            </w14:solidFill>
          </w14:textFill>
        </w:rPr>
      </w:pPr>
    </w:p>
    <w:p>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pPr>
        <w:snapToGrid w:val="0"/>
        <w:spacing w:before="50" w:after="50" w:line="440" w:lineRule="exact"/>
        <w:ind w:firstLine="117" w:firstLineChars="49"/>
        <w:jc w:val="center"/>
        <w:rPr>
          <w:rFonts w:hint="eastAsia" w:ascii="宋体" w:hAnsi="宋体"/>
          <w:b/>
          <w:color w:val="000000" w:themeColor="text1"/>
          <w:sz w:val="28"/>
          <w:szCs w:val="28"/>
          <w14:textFill>
            <w14:solidFill>
              <w14:schemeClr w14:val="tx1"/>
            </w14:solidFill>
          </w14:textFill>
        </w:rPr>
      </w:pPr>
      <w:bookmarkStart w:id="85" w:name="_Toc254970698"/>
      <w:bookmarkStart w:id="86" w:name="_Toc254970557"/>
      <w:r>
        <w:rPr>
          <w:rFonts w:ascii="宋体" w:hAnsi="宋体"/>
          <w:color w:val="000000" w:themeColor="text1"/>
          <w:sz w:val="24"/>
          <w14:textFill>
            <w14:solidFill>
              <w14:schemeClr w14:val="tx1"/>
            </w14:solidFill>
          </w14:textFill>
        </w:rPr>
        <w:br w:type="page"/>
      </w:r>
      <w:bookmarkEnd w:id="85"/>
      <w:bookmarkEnd w:id="86"/>
      <w:r>
        <w:rPr>
          <w:rFonts w:ascii="宋体" w:hAnsi="宋体"/>
          <w:b/>
          <w:color w:val="000000" w:themeColor="text1"/>
          <w:sz w:val="28"/>
          <w:szCs w:val="28"/>
          <w14:textFill>
            <w14:solidFill>
              <w14:schemeClr w14:val="tx1"/>
            </w14:solidFill>
          </w14:textFill>
        </w:rPr>
        <w:t>目录</w:t>
      </w:r>
    </w:p>
    <w:p>
      <w:pPr>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（需有页码）</w:t>
      </w:r>
    </w:p>
    <w:p>
      <w:pPr>
        <w:jc w:val="center"/>
        <w:outlineLvl w:val="1"/>
        <w:rPr>
          <w:rFonts w:hint="eastAsia" w:ascii="宋体" w:hAnsi="宋体"/>
          <w:bCs/>
          <w:vanish/>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bCs/>
          <w:color w:val="000000" w:themeColor="text1"/>
          <w:sz w:val="24"/>
          <w14:textFill>
            <w14:solidFill>
              <w14:schemeClr w14:val="tx1"/>
            </w14:solidFill>
          </w14:textFill>
        </w:rPr>
        <w:t>第一部分 资格证明文件</w:t>
      </w:r>
    </w:p>
    <w:p>
      <w:pPr>
        <w:snapToGrid w:val="0"/>
        <w:spacing w:before="50" w:after="120" w:afterLines="50" w:line="400" w:lineRule="exact"/>
        <w:jc w:val="left"/>
        <w:rPr>
          <w:rFonts w:hint="eastAsia" w:ascii="宋体" w:hAnsi="宋体"/>
          <w:b/>
          <w:color w:val="000000" w:themeColor="text1"/>
          <w:szCs w:val="21"/>
          <w14:textFill>
            <w14:solidFill>
              <w14:schemeClr w14:val="tx1"/>
            </w14:solidFill>
          </w14:textFill>
        </w:rPr>
      </w:pPr>
      <w:bookmarkStart w:id="87" w:name="_Hlk19199154"/>
    </w:p>
    <w:p>
      <w:pPr>
        <w:snapToGrid w:val="0"/>
        <w:spacing w:before="50" w:after="120" w:afterLines="50"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根据采购文件规定及供应商提供的材料自行编写目录（部分格式后附）。</w:t>
      </w:r>
    </w:p>
    <w:p>
      <w:pPr>
        <w:snapToGrid w:val="0"/>
        <w:spacing w:before="50" w:after="120" w:afterLines="50" w:line="400" w:lineRule="exact"/>
        <w:jc w:val="left"/>
        <w:rPr>
          <w:rFonts w:hint="eastAsia" w:ascii="宋体" w:hAnsi="宋体"/>
          <w:b/>
          <w:color w:val="000000" w:themeColor="text1"/>
          <w:szCs w:val="21"/>
          <w14:textFill>
            <w14:solidFill>
              <w14:schemeClr w14:val="tx1"/>
            </w14:solidFill>
          </w14:textFill>
        </w:rPr>
      </w:pPr>
    </w:p>
    <w:p>
      <w:pPr>
        <w:snapToGrid w:val="0"/>
        <w:spacing w:before="50" w:after="120" w:afterLines="50" w:line="400" w:lineRule="exact"/>
        <w:jc w:val="left"/>
        <w:rPr>
          <w:rFonts w:hint="eastAsia" w:ascii="宋体" w:hAnsi="宋体"/>
          <w:b/>
          <w:color w:val="000000" w:themeColor="text1"/>
          <w:szCs w:val="21"/>
          <w14:textFill>
            <w14:solidFill>
              <w14:schemeClr w14:val="tx1"/>
            </w14:solidFill>
          </w14:textFill>
        </w:rPr>
        <w:sectPr>
          <w:pgSz w:w="11906" w:h="16838"/>
          <w:pgMar w:top="1304" w:right="1418" w:bottom="1304" w:left="1418" w:header="851" w:footer="992" w:gutter="0"/>
          <w:cols w:space="720" w:num="1"/>
          <w:docGrid w:linePitch="312" w:charSpace="0"/>
        </w:sectPr>
      </w:pPr>
    </w:p>
    <w:p>
      <w:pPr>
        <w:snapToGrid w:val="0"/>
        <w:spacing w:before="50" w:after="120" w:afterLines="50" w:line="400" w:lineRule="exact"/>
        <w:jc w:val="lef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响应声明书格式：</w:t>
      </w:r>
      <w:bookmarkEnd w:id="87"/>
    </w:p>
    <w:p>
      <w:pPr>
        <w:snapToGrid w:val="0"/>
        <w:spacing w:before="120" w:beforeLines="50" w:after="50" w:line="36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响应声明书</w:t>
      </w:r>
    </w:p>
    <w:p>
      <w:pPr>
        <w:snapToGrid w:val="0"/>
        <w:spacing w:before="120" w:beforeLines="50" w:after="50" w:line="360" w:lineRule="exact"/>
        <w:jc w:val="center"/>
        <w:rPr>
          <w:rFonts w:hint="eastAsia" w:ascii="宋体" w:hAnsi="宋体"/>
          <w:color w:val="000000" w:themeColor="text1"/>
          <w:szCs w:val="21"/>
          <w14:textFill>
            <w14:solidFill>
              <w14:schemeClr w14:val="tx1"/>
            </w14:solidFill>
          </w14:textFill>
        </w:rPr>
      </w:pPr>
    </w:p>
    <w:p>
      <w:pPr>
        <w:snapToGrid w:val="0"/>
        <w:spacing w:before="120" w:beforeLines="50" w:after="50" w:line="360" w:lineRule="exact"/>
        <w:rPr>
          <w:rFonts w:hint="eastAsia" w:ascii="宋体" w:hAnsi="宋体"/>
          <w:color w:val="000000" w:themeColor="text1"/>
          <w:szCs w:val="21"/>
          <w14:textFill>
            <w14:solidFill>
              <w14:schemeClr w14:val="tx1"/>
            </w14:solidFill>
          </w14:textFill>
        </w:rPr>
      </w:pPr>
      <w:bookmarkStart w:id="88" w:name="_Hlk19199166"/>
      <w:r>
        <w:rPr>
          <w:rFonts w:ascii="宋体" w:hAnsi="宋体"/>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（采购人名称）</w:t>
      </w:r>
      <w:r>
        <w:rPr>
          <w:rFonts w:ascii="宋体" w:hAnsi="宋体"/>
          <w:color w:val="000000" w:themeColor="text1"/>
          <w:szCs w:val="21"/>
          <w14:textFill>
            <w14:solidFill>
              <w14:schemeClr w14:val="tx1"/>
            </w14:solidFill>
          </w14:textFill>
        </w:rPr>
        <w:t>：</w:t>
      </w:r>
    </w:p>
    <w:p>
      <w:pPr>
        <w:snapToGrid w:val="0"/>
        <w:spacing w:before="120" w:beforeLines="50" w:after="50" w:line="360" w:lineRule="exact"/>
        <w:ind w:firstLine="630" w:firstLineChars="300"/>
        <w:rPr>
          <w:rFonts w:hint="eastAsia" w:ascii="宋体" w:hAnsi="宋体"/>
          <w:color w:val="000000" w:themeColor="text1"/>
          <w:szCs w:val="21"/>
          <w14:textFill>
            <w14:solidFill>
              <w14:schemeClr w14:val="tx1"/>
            </w14:solidFill>
          </w14:textFill>
        </w:rPr>
      </w:pP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系在中华人民共和国</w:t>
      </w:r>
      <w:r>
        <w:rPr>
          <w:rFonts w:hint="eastAsia" w:ascii="宋体" w:hAnsi="宋体"/>
          <w:color w:val="000000" w:themeColor="text1"/>
          <w:szCs w:val="21"/>
          <w14:textFill>
            <w14:solidFill>
              <w14:schemeClr w14:val="tx1"/>
            </w14:solidFill>
          </w14:textFill>
        </w:rPr>
        <w:t>境内</w:t>
      </w:r>
      <w:r>
        <w:rPr>
          <w:rFonts w:ascii="宋体" w:hAnsi="宋体"/>
          <w:color w:val="000000" w:themeColor="text1"/>
          <w:szCs w:val="21"/>
          <w14:textFill>
            <w14:solidFill>
              <w14:schemeClr w14:val="tx1"/>
            </w14:solidFill>
          </w14:textFill>
        </w:rPr>
        <w:t>存续的合法企业，统一社会信用代码为</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，经营地址为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pPr>
        <w:snapToGrid w:val="0"/>
        <w:spacing w:before="120" w:beforeLines="50" w:after="50" w:line="360" w:lineRule="exact"/>
        <w:ind w:firstLine="645"/>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w:t>
      </w:r>
      <w:r>
        <w:rPr>
          <w:rFonts w:ascii="宋体" w:hAnsi="宋体"/>
          <w:i/>
          <w:iCs/>
          <w:color w:val="000000" w:themeColor="text1"/>
          <w:szCs w:val="21"/>
          <w:u w:val="single"/>
          <w14:textFill>
            <w14:solidFill>
              <w14:schemeClr w14:val="tx1"/>
            </w14:solidFill>
          </w14:textFill>
        </w:rPr>
        <w:t xml:space="preserve">（姓名）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的法定代表人，我方愿意参加贵方组织的</w:t>
      </w:r>
      <w:r>
        <w:rPr>
          <w:rFonts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项目的磋商，为便于贵方公正、择优地确定成交供应商及其响应产品和服务，我方就本次磋商有关事项郑重声明如下：</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（1）我方向贵方提交的所有响应文件、资料都是准确的和真实有效的。</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我方承诺在参加本政府采购项目活动前，没有被纳入政府部门或银行认定的失信名单，我方具有良好的商业信誉。</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w:t>
      </w:r>
      <w:r>
        <w:rPr>
          <w:rFonts w:hint="eastAsia" w:ascii="宋体" w:hAnsi="宋体"/>
          <w:color w:val="000000" w:themeColor="text1"/>
          <w:szCs w:val="21"/>
          <w14:textFill>
            <w14:solidFill>
              <w14:schemeClr w14:val="tx1"/>
            </w14:solidFill>
          </w14:textFill>
        </w:rPr>
        <w:t>中华人民共和国政府采购法</w:t>
      </w:r>
      <w:r>
        <w:rPr>
          <w:rFonts w:ascii="宋体" w:hAnsi="宋体"/>
          <w:color w:val="000000" w:themeColor="text1"/>
          <w:szCs w:val="21"/>
          <w14:textFill>
            <w14:solidFill>
              <w14:schemeClr w14:val="tx1"/>
            </w14:solidFill>
          </w14:textFill>
        </w:rPr>
        <w:t>》有关提供虚假材料的规定给予的处罚。</w:t>
      </w:r>
    </w:p>
    <w:p>
      <w:pPr>
        <w:snapToGrid w:val="0"/>
        <w:spacing w:before="120" w:beforeLines="50" w:line="360" w:lineRule="exact"/>
        <w:ind w:firstLine="420" w:firstLineChars="200"/>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（5）</w:t>
      </w:r>
      <w:r>
        <w:rPr>
          <w:rFonts w:ascii="宋体" w:hAnsi="宋体"/>
          <w:color w:val="000000" w:themeColor="text1"/>
          <w:szCs w:val="21"/>
          <w:lang w:val="zh-CN"/>
          <w14:textFill>
            <w14:solidFill>
              <w14:schemeClr w14:val="tx1"/>
            </w14:solidFill>
          </w14:textFill>
        </w:rPr>
        <w:t>我方</w:t>
      </w:r>
      <w:r>
        <w:rPr>
          <w:rFonts w:ascii="宋体" w:hAnsi="宋体"/>
          <w:color w:val="000000" w:themeColor="text1"/>
          <w:szCs w:val="21"/>
          <w14:textFill>
            <w14:solidFill>
              <w14:schemeClr w14:val="tx1"/>
            </w14:solidFill>
          </w14:textFill>
        </w:rPr>
        <w:t>承诺</w:t>
      </w:r>
      <w:r>
        <w:rPr>
          <w:rFonts w:ascii="宋体" w:hAnsi="宋体"/>
          <w:color w:val="000000" w:themeColor="text1"/>
          <w:szCs w:val="21"/>
          <w:lang w:val="zh-CN"/>
          <w14:textFill>
            <w14:solidFill>
              <w14:schemeClr w14:val="tx1"/>
            </w14:solidFill>
          </w14:textFill>
        </w:rPr>
        <w:t>具有履行本项目合同所必需的设备和专业技术能力。</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（7）我方承诺成交后按规定缴纳代理服务费。如未按时缴纳，贵方可不退还我方提交的磋商保证金，并从中扣除代理服务费。</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（8）我方承诺不属于公益一类事业单位、使用事业编制且由财政拨款保障的群团组织，可以作为政府购买服务的承接主体。</w:t>
      </w:r>
    </w:p>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bookmarkEnd w:id="88"/>
    <w:p>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p>
    <w:p>
      <w:pPr>
        <w:snapToGrid w:val="0"/>
        <w:spacing w:before="120" w:beforeLines="50" w:after="50" w:line="360" w:lineRule="exact"/>
        <w:ind w:firstLine="3570" w:firstLineChars="17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pPr>
        <w:snapToGrid w:val="0"/>
        <w:spacing w:before="120" w:beforeLines="50" w:after="50" w:line="360" w:lineRule="exact"/>
        <w:ind w:firstLine="210" w:firstLineChars="1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p>
      <w:pPr>
        <w:widowControl/>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Cs w:val="21"/>
          <w14:textFill>
            <w14:solidFill>
              <w14:schemeClr w14:val="tx1"/>
            </w14:solidFill>
          </w14:textFill>
        </w:rPr>
        <w:t>2．</w:t>
      </w:r>
      <w:r>
        <w:rPr>
          <w:rFonts w:ascii="宋体" w:hAnsi="宋体"/>
          <w:color w:val="000000" w:themeColor="text1"/>
          <w14:textFill>
            <w14:solidFill>
              <w14:schemeClr w14:val="tx1"/>
            </w14:solidFill>
          </w14:textFill>
        </w:rPr>
        <w:t>满足供应商特定资格条件的其他证明材料</w:t>
      </w:r>
      <w:r>
        <w:rPr>
          <w:rFonts w:ascii="宋体" w:hAnsi="宋体"/>
          <w:color w:val="000000" w:themeColor="text1"/>
          <w:szCs w:val="21"/>
          <w14:textFill>
            <w14:solidFill>
              <w14:schemeClr w14:val="tx1"/>
            </w14:solidFill>
          </w14:textFill>
        </w:rPr>
        <w:t>加盖供应商电子签章</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按“评审方法及标准” “资格性检查表”“</w:t>
      </w:r>
      <w:r>
        <w:rPr>
          <w:rFonts w:ascii="宋体" w:hAnsi="宋体"/>
          <w:color w:val="000000" w:themeColor="text1"/>
          <w:szCs w:val="21"/>
          <w:lang w:val="zh-CN"/>
          <w14:textFill>
            <w14:solidFill>
              <w14:schemeClr w14:val="tx1"/>
            </w14:solidFill>
          </w14:textFill>
        </w:rPr>
        <w:t xml:space="preserve"> 供应商应符合的</w:t>
      </w:r>
      <w:r>
        <w:rPr>
          <w:rFonts w:ascii="宋体" w:hAnsi="宋体"/>
          <w:color w:val="000000" w:themeColor="text1"/>
          <w:szCs w:val="21"/>
          <w14:textFill>
            <w14:solidFill>
              <w14:schemeClr w14:val="tx1"/>
            </w14:solidFill>
          </w14:textFill>
        </w:rPr>
        <w:t>特定资格条件”规定提供</w:t>
      </w:r>
      <w:r>
        <w:rPr>
          <w:rFonts w:ascii="宋体" w:hAnsi="宋体"/>
          <w:color w:val="000000" w:themeColor="text1"/>
          <w14:textFill>
            <w14:solidFill>
              <w14:schemeClr w14:val="tx1"/>
            </w14:solidFill>
          </w14:textFill>
        </w:rPr>
        <w:t>）。</w:t>
      </w:r>
      <w:r>
        <w:rPr>
          <w:rFonts w:ascii="宋体" w:hAnsi="宋体"/>
          <w:b/>
          <w:color w:val="000000" w:themeColor="text1"/>
          <w:szCs w:val="21"/>
          <w14:textFill>
            <w14:solidFill>
              <w14:schemeClr w14:val="tx1"/>
            </w14:solidFill>
          </w14:textFill>
        </w:rPr>
        <w:t>（如采购文件有要求时提供）</w:t>
      </w:r>
    </w:p>
    <w:p>
      <w:pPr>
        <w:snapToGrid w:val="0"/>
        <w:spacing w:before="50" w:after="120" w:afterLines="50"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2.1供应商直接控股股东信息表</w:t>
      </w:r>
    </w:p>
    <w:tbl>
      <w:tblPr>
        <w:tblStyle w:val="24"/>
        <w:tblW w:w="9476" w:type="dxa"/>
        <w:tblInd w:w="125" w:type="dxa"/>
        <w:tblLayout w:type="fixed"/>
        <w:tblCellMar>
          <w:top w:w="0" w:type="dxa"/>
          <w:left w:w="0" w:type="dxa"/>
          <w:bottom w:w="0" w:type="dxa"/>
          <w:right w:w="0" w:type="dxa"/>
        </w:tblCellMar>
      </w:tblPr>
      <w:tblGrid>
        <w:gridCol w:w="828"/>
        <w:gridCol w:w="2269"/>
        <w:gridCol w:w="1239"/>
        <w:gridCol w:w="3722"/>
        <w:gridCol w:w="1418"/>
      </w:tblGrid>
      <w:tr>
        <w:tblPrEx>
          <w:tblLayout w:type="fixed"/>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bl>
    <w:p>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w:t>
      </w:r>
    </w:p>
    <w:p>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3.供应商不存在直接控股股东的，则填“无”。</w:t>
      </w: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ind w:firstLine="4410" w:firstLineChars="21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pPr>
        <w:snapToGrid w:val="0"/>
        <w:spacing w:line="360" w:lineRule="auto"/>
        <w:ind w:firstLine="4515" w:firstLineChars="2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  年  月   日</w:t>
      </w:r>
    </w:p>
    <w:p>
      <w:pPr>
        <w:snapToGrid w:val="0"/>
        <w:jc w:val="left"/>
        <w:rPr>
          <w:rFonts w:hint="eastAsia" w:ascii="宋体" w:hAnsi="宋体"/>
          <w:color w:val="000000" w:themeColor="text1"/>
          <w:szCs w:val="21"/>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ascii="宋体" w:hAnsi="宋体"/>
          <w:color w:val="000000" w:themeColor="text1"/>
          <w:szCs w:val="21"/>
          <w14:textFill>
            <w14:solidFill>
              <w14:schemeClr w14:val="tx1"/>
            </w14:solidFill>
          </w14:textFill>
        </w:rPr>
        <w:t>2.2供应商直接管理关系信息表</w:t>
      </w:r>
    </w:p>
    <w:tbl>
      <w:tblPr>
        <w:tblStyle w:val="24"/>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blPrEx>
          <w:shd w:val="clear" w:color="auto" w:fill="FBFBFB"/>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shd w:val="clear" w:color="auto" w:fill="FBFBFB"/>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shd w:val="clear" w:color="auto" w:fill="FBFBFB"/>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r>
        <w:tblPrEx>
          <w:shd w:val="clear" w:color="auto" w:fill="FBFBFB"/>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hint="eastAsia" w:ascii="宋体" w:hAnsi="宋体"/>
                <w:color w:val="000000" w:themeColor="text1"/>
                <w:szCs w:val="21"/>
                <w14:textFill>
                  <w14:solidFill>
                    <w14:schemeClr w14:val="tx1"/>
                  </w14:solidFill>
                </w14:textFill>
              </w:rPr>
            </w:pPr>
          </w:p>
        </w:tc>
      </w:tr>
    </w:tbl>
    <w:p>
      <w:pPr>
        <w:snapToGrid w:val="0"/>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w:t>
      </w:r>
    </w:p>
    <w:p>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2.本表所指的管理关系仅限于直接管理关系，不包括间接的管理关系。</w:t>
      </w:r>
    </w:p>
    <w:p>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3.供应商不存在直接管理关系的，则填“无”。</w:t>
      </w: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jc w:val="left"/>
        <w:rPr>
          <w:rFonts w:hint="eastAsia" w:ascii="宋体" w:hAnsi="宋体"/>
          <w:color w:val="000000" w:themeColor="text1"/>
          <w:szCs w:val="21"/>
          <w14:textFill>
            <w14:solidFill>
              <w14:schemeClr w14:val="tx1"/>
            </w14:solidFill>
          </w14:textFill>
        </w:rPr>
      </w:pPr>
    </w:p>
    <w:p>
      <w:pPr>
        <w:snapToGrid w:val="0"/>
        <w:spacing w:line="360" w:lineRule="auto"/>
        <w:ind w:firstLine="4410" w:firstLineChars="21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pPr>
        <w:snapToGrid w:val="0"/>
        <w:spacing w:line="360" w:lineRule="auto"/>
        <w:ind w:firstLine="4515" w:firstLineChars="2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  年  月   日</w:t>
      </w:r>
    </w:p>
    <w:p>
      <w:pPr>
        <w:pStyle w:val="11"/>
        <w:tabs>
          <w:tab w:val="left" w:pos="2127"/>
        </w:tabs>
        <w:spacing w:line="340" w:lineRule="exact"/>
        <w:rPr>
          <w:rFonts w:hint="eastAsia" w:hAnsi="宋体" w:cs="Times New Roman"/>
          <w:color w:val="000000" w:themeColor="text1"/>
          <w14:textFill>
            <w14:solidFill>
              <w14:schemeClr w14:val="tx1"/>
            </w14:solidFill>
          </w14:textFill>
        </w:rPr>
      </w:pPr>
    </w:p>
    <w:p>
      <w:pPr>
        <w:snapToGrid w:val="0"/>
        <w:spacing w:before="50" w:after="120" w:afterLines="50" w:line="440" w:lineRule="exact"/>
        <w:jc w:val="left"/>
        <w:rPr>
          <w:rFonts w:hint="eastAsia" w:ascii="宋体" w:hAnsi="宋体"/>
          <w:color w:val="000000" w:themeColor="text1"/>
          <w14:textFill>
            <w14:solidFill>
              <w14:schemeClr w14:val="tx1"/>
            </w14:solidFill>
          </w14:textFill>
        </w:rPr>
        <w:sectPr>
          <w:headerReference r:id="rId16" w:type="default"/>
          <w:pgSz w:w="11906" w:h="16838"/>
          <w:pgMar w:top="1304" w:right="1418" w:bottom="1304" w:left="1418" w:header="851" w:footer="992" w:gutter="0"/>
          <w:cols w:space="720" w:num="1"/>
          <w:docGrid w:linePitch="312" w:charSpace="0"/>
        </w:sectPr>
      </w:pPr>
    </w:p>
    <w:p>
      <w:pPr>
        <w:spacing w:line="360" w:lineRule="auto"/>
        <w:ind w:firstLine="420"/>
        <w:jc w:val="right"/>
        <w:rPr>
          <w:rFonts w:hint="eastAsia" w:ascii="宋体" w:hAnsi="宋体"/>
          <w:color w:val="000000" w:themeColor="text1"/>
          <w:spacing w:val="6"/>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widowControl/>
        <w:jc w:val="left"/>
        <w:outlineLvl w:val="1"/>
        <w:rPr>
          <w:rFonts w:hint="eastAsia" w:ascii="宋体" w:hAnsi="宋体"/>
          <w:bCs/>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snapToGrid w:val="0"/>
        <w:spacing w:before="120" w:beforeLines="50" w:after="50" w:line="440" w:lineRule="exact"/>
        <w:jc w:val="center"/>
        <w:outlineLvl w:val="1"/>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第二部分 商务技术文件</w:t>
      </w:r>
    </w:p>
    <w:p>
      <w:pPr>
        <w:jc w:val="center"/>
        <w:rPr>
          <w:rFonts w:hint="eastAsia" w:ascii="宋体" w:hAnsi="宋体"/>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t>（本商务文件供应商可自行编写，也可参照下述提纲编写）</w:t>
      </w:r>
    </w:p>
    <w:p>
      <w:pPr>
        <w:snapToGrid w:val="0"/>
        <w:spacing w:before="50" w:after="120" w:afterLines="50"/>
        <w:jc w:val="left"/>
        <w:rPr>
          <w:rFonts w:hint="eastAsia" w:ascii="宋体" w:hAnsi="宋体"/>
          <w:color w:val="000000" w:themeColor="text1"/>
          <w:szCs w:val="21"/>
          <w14:textFill>
            <w14:solidFill>
              <w14:schemeClr w14:val="tx1"/>
            </w14:solidFill>
          </w14:textFill>
        </w:rPr>
      </w:pPr>
    </w:p>
    <w:p>
      <w:pPr>
        <w:snapToGrid w:val="0"/>
        <w:spacing w:before="120" w:beforeLines="50" w:after="50" w:line="360" w:lineRule="exact"/>
        <w:rPr>
          <w:rFonts w:hint="eastAsia" w:ascii="宋体" w:hAnsi="宋体"/>
          <w:b/>
          <w:color w:val="000000" w:themeColor="text1"/>
          <w:szCs w:val="21"/>
          <w14:textFill>
            <w14:solidFill>
              <w14:schemeClr w14:val="tx1"/>
            </w14:solidFill>
          </w14:textFill>
        </w:rPr>
      </w:pPr>
      <w:bookmarkStart w:id="89" w:name="_Hlk19199735"/>
      <w:r>
        <w:rPr>
          <w:rFonts w:ascii="宋体" w:hAnsi="宋体"/>
          <w:b/>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．法定代表人身份证明</w:t>
      </w:r>
      <w:r>
        <w:rPr>
          <w:rFonts w:ascii="宋体" w:hAnsi="宋体"/>
          <w:b/>
          <w:color w:val="000000" w:themeColor="text1"/>
          <w:szCs w:val="21"/>
          <w14:textFill>
            <w14:solidFill>
              <w14:schemeClr w14:val="tx1"/>
            </w14:solidFill>
          </w14:textFill>
        </w:rPr>
        <w:t>（无授权代表时提供）：</w:t>
      </w:r>
    </w:p>
    <w:bookmarkEnd w:id="89"/>
    <w:p>
      <w:pPr>
        <w:jc w:val="center"/>
        <w:rPr>
          <w:rFonts w:hint="eastAsia" w:ascii="宋体" w:hAnsi="宋体"/>
          <w:color w:val="000000" w:themeColor="text1"/>
          <w14:textFill>
            <w14:solidFill>
              <w14:schemeClr w14:val="tx1"/>
            </w14:solidFill>
          </w14:textFill>
        </w:rPr>
      </w:pPr>
      <w:bookmarkStart w:id="90" w:name="_Toc455309222"/>
      <w:bookmarkStart w:id="91" w:name="_Toc462320613"/>
      <w:bookmarkStart w:id="92" w:name="_Toc462223472"/>
    </w:p>
    <w:bookmarkEnd w:id="90"/>
    <w:bookmarkEnd w:id="91"/>
    <w:bookmarkEnd w:id="92"/>
    <w:p>
      <w:pPr>
        <w:snapToGrid w:val="0"/>
        <w:spacing w:before="120" w:beforeLines="50" w:after="50" w:line="44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法定代表人身份证明</w:t>
      </w:r>
    </w:p>
    <w:p>
      <w:pPr>
        <w:spacing w:line="360" w:lineRule="auto"/>
        <w:rPr>
          <w:rFonts w:hint="eastAsia" w:ascii="宋体" w:hAnsi="宋体"/>
          <w:color w:val="000000" w:themeColor="text1"/>
          <w14:textFill>
            <w14:solidFill>
              <w14:schemeClr w14:val="tx1"/>
            </w14:solidFill>
          </w14:textFill>
        </w:rPr>
      </w:pPr>
    </w:p>
    <w:p>
      <w:pPr>
        <w:spacing w:line="360" w:lineRule="auto"/>
        <w:rPr>
          <w:rFonts w:hint="eastAsia" w:ascii="宋体" w:hAnsi="宋体"/>
          <w:color w:val="000000" w:themeColor="text1"/>
          <w14:textFill>
            <w14:solidFill>
              <w14:schemeClr w14:val="tx1"/>
            </w14:solidFill>
          </w14:textFill>
        </w:rPr>
      </w:pP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ascii="宋体" w:hAnsi="宋体"/>
          <w:color w:val="000000" w:themeColor="text1"/>
          <w:szCs w:val="21"/>
          <w:u w:val="single"/>
          <w14:textFill>
            <w14:solidFill>
              <w14:schemeClr w14:val="tx1"/>
            </w14:solidFill>
          </w14:textFill>
        </w:rPr>
        <w:t xml:space="preserve">                                         </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r>
        <w:rPr>
          <w:rFonts w:ascii="宋体" w:hAnsi="宋体"/>
          <w:color w:val="000000" w:themeColor="text1"/>
          <w:szCs w:val="21"/>
          <w:u w:val="single"/>
          <w14:textFill>
            <w14:solidFill>
              <w14:schemeClr w14:val="tx1"/>
            </w14:solidFill>
          </w14:textFill>
        </w:rPr>
        <w:t xml:space="preserve">                                   </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单位性质：</w:t>
      </w:r>
      <w:r>
        <w:rPr>
          <w:rFonts w:ascii="宋体" w:hAnsi="宋体"/>
          <w:color w:val="000000" w:themeColor="text1"/>
          <w:szCs w:val="21"/>
          <w:u w:val="single"/>
          <w14:textFill>
            <w14:solidFill>
              <w14:schemeClr w14:val="tx1"/>
            </w14:solidFill>
          </w14:textFill>
        </w:rPr>
        <w:t xml:space="preserve">                                           </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p>
    <w:p>
      <w:pPr>
        <w:spacing w:line="54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成立时间：</w:t>
      </w:r>
      <w:r>
        <w:rPr>
          <w:rFonts w:ascii="宋体" w:hAnsi="宋体"/>
          <w:color w:val="000000" w:themeColor="text1"/>
          <w:szCs w:val="21"/>
          <w:u w:val="single"/>
          <w14:textFill>
            <w14:solidFill>
              <w14:schemeClr w14:val="tx1"/>
            </w14:solidFill>
          </w14:textFill>
        </w:rPr>
        <w:t xml:space="preserve">          年        月        日</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经营期限：</w:t>
      </w:r>
      <w:r>
        <w:rPr>
          <w:rFonts w:ascii="宋体" w:hAnsi="宋体"/>
          <w:color w:val="000000" w:themeColor="text1"/>
          <w:szCs w:val="21"/>
          <w:u w:val="single"/>
          <w14:textFill>
            <w14:solidFill>
              <w14:schemeClr w14:val="tx1"/>
            </w14:solidFill>
          </w14:textFill>
        </w:rPr>
        <w:t xml:space="preserve">                                           </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；性别：</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；身份证：</w:t>
      </w:r>
      <w:r>
        <w:rPr>
          <w:rFonts w:ascii="宋体" w:hAnsi="宋体"/>
          <w:color w:val="000000" w:themeColor="text1"/>
          <w:szCs w:val="21"/>
          <w:u w:val="single"/>
          <w14:textFill>
            <w14:solidFill>
              <w14:schemeClr w14:val="tx1"/>
            </w14:solidFill>
          </w14:textFill>
        </w:rPr>
        <w:t xml:space="preserve">                                      </w:t>
      </w:r>
    </w:p>
    <w:p>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w:t>
      </w:r>
      <w:r>
        <w:rPr>
          <w:rFonts w:ascii="宋体" w:hAnsi="宋体"/>
          <w:color w:val="000000" w:themeColor="text1"/>
          <w:szCs w:val="21"/>
          <w:u w:val="single"/>
          <w14:textFill>
            <w14:solidFill>
              <w14:schemeClr w14:val="tx1"/>
            </w14:solidFill>
          </w14:textFill>
        </w:rPr>
        <w:t xml:space="preserve">                                      （ 供应商名称）</w:t>
      </w:r>
      <w:r>
        <w:rPr>
          <w:rFonts w:ascii="宋体" w:hAnsi="宋体"/>
          <w:color w:val="000000" w:themeColor="text1"/>
          <w:szCs w:val="21"/>
          <w14:textFill>
            <w14:solidFill>
              <w14:schemeClr w14:val="tx1"/>
            </w14:solidFill>
          </w14:textFill>
        </w:rPr>
        <w:t>的法定代表人。</w:t>
      </w:r>
    </w:p>
    <w:p>
      <w:pPr>
        <w:spacing w:line="540" w:lineRule="exact"/>
        <w:rPr>
          <w:rFonts w:hint="eastAsia" w:ascii="宋体" w:hAnsi="宋体"/>
          <w:color w:val="000000" w:themeColor="text1"/>
          <w:szCs w:val="21"/>
          <w14:textFill>
            <w14:solidFill>
              <w14:schemeClr w14:val="tx1"/>
            </w14:solidFill>
          </w14:textFill>
        </w:rPr>
      </w:pPr>
    </w:p>
    <w:p>
      <w:pPr>
        <w:spacing w:line="5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特此证明。</w:t>
      </w:r>
    </w:p>
    <w:p>
      <w:pPr>
        <w:spacing w:line="540" w:lineRule="exact"/>
        <w:rPr>
          <w:rFonts w:hint="eastAsia" w:ascii="宋体" w:hAnsi="宋体"/>
          <w:color w:val="000000" w:themeColor="text1"/>
          <w:szCs w:val="21"/>
          <w14:textFill>
            <w14:solidFill>
              <w14:schemeClr w14:val="tx1"/>
            </w14:solidFill>
          </w14:textFill>
        </w:rPr>
      </w:pPr>
    </w:p>
    <w:p>
      <w:pPr>
        <w:spacing w:line="360" w:lineRule="auto"/>
        <w:ind w:firstLine="4830" w:firstLineChars="23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 </w:t>
      </w:r>
    </w:p>
    <w:p>
      <w:pPr>
        <w:spacing w:line="540" w:lineRule="exact"/>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bookmarkStart w:id="93" w:name="_Hlk19199756"/>
      <w:r>
        <w:rPr>
          <w:rFonts w:ascii="宋体" w:hAnsi="宋体"/>
          <w:color w:val="000000" w:themeColor="text1"/>
          <w:szCs w:val="21"/>
          <w14:textFill>
            <w14:solidFill>
              <w14:schemeClr w14:val="tx1"/>
            </w14:solidFill>
          </w14:textFill>
        </w:rPr>
        <w:t>附件：法定代表人</w:t>
      </w:r>
      <w:r>
        <w:rPr>
          <w:rFonts w:hint="eastAsia" w:ascii="宋体" w:hAnsi="宋体"/>
          <w:color w:val="000000" w:themeColor="text1"/>
          <w:szCs w:val="21"/>
          <w14:textFill>
            <w14:solidFill>
              <w14:schemeClr w14:val="tx1"/>
            </w14:solidFill>
          </w14:textFill>
        </w:rPr>
        <w:t>有效</w:t>
      </w:r>
      <w:r>
        <w:rPr>
          <w:rFonts w:ascii="宋体" w:hAnsi="宋体"/>
          <w:color w:val="000000" w:themeColor="text1"/>
          <w:szCs w:val="21"/>
          <w14:textFill>
            <w14:solidFill>
              <w14:schemeClr w14:val="tx1"/>
            </w14:solidFill>
          </w14:textFill>
        </w:rPr>
        <w:t>身份证</w:t>
      </w:r>
      <w:r>
        <w:rPr>
          <w:rFonts w:hint="eastAsia" w:ascii="宋体" w:hAnsi="宋体"/>
          <w:color w:val="000000" w:themeColor="text1"/>
          <w:szCs w:val="21"/>
          <w14:textFill>
            <w14:solidFill>
              <w14:schemeClr w14:val="tx1"/>
            </w14:solidFill>
          </w14:textFill>
        </w:rPr>
        <w:t>正、反面</w:t>
      </w:r>
      <w:r>
        <w:rPr>
          <w:rFonts w:ascii="宋体" w:hAnsi="宋体"/>
          <w:color w:val="000000" w:themeColor="text1"/>
          <w:szCs w:val="21"/>
          <w14:textFill>
            <w14:solidFill>
              <w14:schemeClr w14:val="tx1"/>
            </w14:solidFill>
          </w14:textFill>
        </w:rPr>
        <w:t>复印件</w:t>
      </w:r>
    </w:p>
    <w:p>
      <w:pPr>
        <w:spacing w:line="360" w:lineRule="auto"/>
        <w:rPr>
          <w:rFonts w:hint="eastAsia" w:ascii="宋体" w:hAnsi="宋体"/>
          <w:color w:val="000000" w:themeColor="text1"/>
          <w:szCs w:val="21"/>
          <w14:textFill>
            <w14:solidFill>
              <w14:schemeClr w14:val="tx1"/>
            </w14:solidFill>
          </w14:textFill>
        </w:rPr>
      </w:pPr>
    </w:p>
    <w:bookmarkEnd w:id="93"/>
    <w:p>
      <w:pPr>
        <w:snapToGrid w:val="0"/>
        <w:spacing w:before="120" w:beforeLines="50" w:after="50" w:line="360" w:lineRule="exact"/>
        <w:jc w:val="left"/>
        <w:rPr>
          <w:rFonts w:hint="eastAsia" w:ascii="宋体" w:hAnsi="宋体"/>
          <w:color w:val="000000" w:themeColor="text1"/>
          <w14:textFill>
            <w14:solidFill>
              <w14:schemeClr w14:val="tx1"/>
            </w14:solidFill>
          </w14:textFill>
        </w:rPr>
      </w:pPr>
      <w:r>
        <w:rPr>
          <w:rFonts w:ascii="宋体" w:hAnsi="宋体"/>
          <w:b/>
          <w:color w:val="000000" w:themeColor="text1"/>
          <w:szCs w:val="21"/>
          <w14:textFill>
            <w14:solidFill>
              <w14:schemeClr w14:val="tx1"/>
            </w14:solidFill>
          </w14:textFill>
        </w:rPr>
        <w:br w:type="page"/>
      </w:r>
      <w:bookmarkStart w:id="94" w:name="_Hlk19199766"/>
      <w:r>
        <w:rPr>
          <w:rFonts w:ascii="宋体" w:hAnsi="宋体"/>
          <w:b/>
          <w:color w:val="000000" w:themeColor="text1"/>
          <w:szCs w:val="21"/>
          <w14:textFill>
            <w14:solidFill>
              <w14:schemeClr w14:val="tx1"/>
            </w14:solidFill>
          </w14:textFill>
        </w:rPr>
        <w:t>1．授权委托书（有授权代表时提供）：</w:t>
      </w:r>
    </w:p>
    <w:bookmarkEnd w:id="94"/>
    <w:p>
      <w:pPr>
        <w:snapToGrid w:val="0"/>
        <w:spacing w:before="120" w:beforeLines="50" w:after="50" w:line="36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法定代表人授权委托书</w:t>
      </w:r>
    </w:p>
    <w:p>
      <w:pPr>
        <w:snapToGrid w:val="0"/>
        <w:spacing w:before="120" w:beforeLines="50" w:after="50" w:line="440" w:lineRule="exact"/>
        <w:rPr>
          <w:rFonts w:hint="eastAsia" w:ascii="宋体" w:hAnsi="宋体"/>
          <w:b/>
          <w:bCs/>
          <w:color w:val="000000" w:themeColor="text1"/>
          <w:szCs w:val="21"/>
          <w14:textFill>
            <w14:solidFill>
              <w14:schemeClr w14:val="tx1"/>
            </w14:solidFill>
          </w14:textFill>
        </w:rPr>
      </w:pPr>
      <w:bookmarkStart w:id="95" w:name="_Hlk19199779"/>
      <w:r>
        <w:rPr>
          <w:rFonts w:ascii="宋体" w:hAnsi="宋体"/>
          <w:bCs/>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（采购人名称）</w:t>
      </w:r>
    </w:p>
    <w:p>
      <w:pPr>
        <w:snapToGrid w:val="0"/>
        <w:spacing w:before="120" w:beforeLines="50" w:after="50"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我 </w:t>
      </w:r>
      <w:r>
        <w:rPr>
          <w:rFonts w:ascii="宋体" w:hAnsi="宋体"/>
          <w:i/>
          <w:iCs/>
          <w:color w:val="000000" w:themeColor="text1"/>
          <w:szCs w:val="21"/>
          <w:u w:val="single"/>
          <w14:textFill>
            <w14:solidFill>
              <w14:schemeClr w14:val="tx1"/>
            </w14:solidFill>
          </w14:textFill>
        </w:rPr>
        <w:t>（姓名）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的法定代表人，现授权委托本单位在职职工</w:t>
      </w:r>
      <w:r>
        <w:rPr>
          <w:rFonts w:ascii="宋体" w:hAnsi="宋体"/>
          <w:i/>
          <w:iCs/>
          <w:color w:val="000000" w:themeColor="text1"/>
          <w:szCs w:val="21"/>
          <w:u w:val="single"/>
          <w14:textFill>
            <w14:solidFill>
              <w14:schemeClr w14:val="tx1"/>
            </w14:solidFill>
          </w14:textFill>
        </w:rPr>
        <w:t>（姓名）</w:t>
      </w:r>
      <w:r>
        <w:rPr>
          <w:rFonts w:ascii="宋体" w:hAnsi="宋体"/>
          <w:color w:val="000000" w:themeColor="text1"/>
          <w:szCs w:val="21"/>
          <w14:textFill>
            <w14:solidFill>
              <w14:schemeClr w14:val="tx1"/>
            </w14:solidFill>
          </w14:textFill>
        </w:rPr>
        <w:t>以我方的名义参加</w:t>
      </w:r>
      <w:r>
        <w:rPr>
          <w:rFonts w:ascii="宋体" w:hAnsi="宋体"/>
          <w:i/>
          <w:iCs/>
          <w:color w:val="000000" w:themeColor="text1"/>
          <w:szCs w:val="21"/>
          <w:u w:val="single"/>
          <w14:textFill>
            <w14:solidFill>
              <w14:schemeClr w14:val="tx1"/>
            </w14:solidFill>
          </w14:textFill>
        </w:rPr>
        <w:t>（项目名称 ）</w:t>
      </w:r>
      <w:r>
        <w:rPr>
          <w:rFonts w:ascii="宋体" w:hAnsi="宋体"/>
          <w:color w:val="000000" w:themeColor="text1"/>
          <w:szCs w:val="21"/>
          <w14:textFill>
            <w14:solidFill>
              <w14:schemeClr w14:val="tx1"/>
            </w14:solidFill>
          </w14:textFill>
        </w:rPr>
        <w:t>项目的磋商活动，并代表我方全权办理针对上述项目的磋商、截标、评审、签约等具体事务和签署相关文件。</w:t>
      </w:r>
    </w:p>
    <w:p>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我方对被授权人的签名事项负全部责任。</w:t>
      </w:r>
    </w:p>
    <w:p>
      <w:pPr>
        <w:snapToGrid w:val="0"/>
        <w:spacing w:before="120" w:beforeLines="50" w:after="50" w:line="440" w:lineRule="exact"/>
        <w:ind w:firstLine="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被授权人无转委托权，特此委托。</w:t>
      </w:r>
    </w:p>
    <w:p>
      <w:pPr>
        <w:snapToGrid w:val="0"/>
        <w:spacing w:before="120" w:beforeLines="50" w:after="50" w:line="44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被授权人签名或签章：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法定代表人签名或签章：</w:t>
      </w:r>
      <w:r>
        <w:rPr>
          <w:rFonts w:ascii="宋体" w:hAnsi="宋体"/>
          <w:color w:val="000000" w:themeColor="text1"/>
          <w:szCs w:val="21"/>
          <w:u w:val="single"/>
          <w14:textFill>
            <w14:solidFill>
              <w14:schemeClr w14:val="tx1"/>
            </w14:solidFill>
          </w14:textFill>
        </w:rPr>
        <w:t xml:space="preserve">          </w:t>
      </w:r>
    </w:p>
    <w:p>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被授权人身份证号码：</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p>
    <w:p>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被授权人手机号码及邮箱：</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授权人身份证号码：</w:t>
      </w:r>
      <w:r>
        <w:rPr>
          <w:rFonts w:ascii="宋体" w:hAnsi="宋体"/>
          <w:color w:val="000000" w:themeColor="text1"/>
          <w:szCs w:val="21"/>
          <w:u w:val="single"/>
          <w14:textFill>
            <w14:solidFill>
              <w14:schemeClr w14:val="tx1"/>
            </w14:solidFill>
          </w14:textFill>
        </w:rPr>
        <w:t xml:space="preserve">                 </w:t>
      </w:r>
    </w:p>
    <w:p>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snapToGrid w:val="0"/>
        <w:spacing w:before="120" w:beforeLines="50" w:after="50" w:line="440" w:lineRule="exact"/>
        <w:ind w:firstLine="5670" w:firstLineChars="27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pPr>
        <w:snapToGrid w:val="0"/>
        <w:spacing w:before="120" w:beforeLines="50" w:after="50" w:line="4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附件：法定代表人</w:t>
      </w:r>
      <w:r>
        <w:rPr>
          <w:rFonts w:hint="eastAsia" w:ascii="宋体" w:hAnsi="宋体"/>
          <w:color w:val="000000" w:themeColor="text1"/>
          <w:szCs w:val="21"/>
          <w14:textFill>
            <w14:solidFill>
              <w14:schemeClr w14:val="tx1"/>
            </w14:solidFill>
          </w14:textFill>
        </w:rPr>
        <w:t>有效</w:t>
      </w:r>
      <w:r>
        <w:rPr>
          <w:rFonts w:ascii="宋体" w:hAnsi="宋体"/>
          <w:color w:val="000000" w:themeColor="text1"/>
          <w:szCs w:val="21"/>
          <w14:textFill>
            <w14:solidFill>
              <w14:schemeClr w14:val="tx1"/>
            </w14:solidFill>
          </w14:textFill>
        </w:rPr>
        <w:t>身份证</w:t>
      </w:r>
      <w:r>
        <w:rPr>
          <w:rFonts w:hint="eastAsia" w:ascii="宋体" w:hAnsi="宋体"/>
          <w:color w:val="000000" w:themeColor="text1"/>
          <w:szCs w:val="21"/>
          <w14:textFill>
            <w14:solidFill>
              <w14:schemeClr w14:val="tx1"/>
            </w14:solidFill>
          </w14:textFill>
        </w:rPr>
        <w:t>正、反面</w:t>
      </w:r>
      <w:r>
        <w:rPr>
          <w:rFonts w:ascii="宋体" w:hAnsi="宋体"/>
          <w:color w:val="000000" w:themeColor="text1"/>
          <w:szCs w:val="21"/>
          <w14:textFill>
            <w14:solidFill>
              <w14:schemeClr w14:val="tx1"/>
            </w14:solidFill>
          </w14:textFill>
        </w:rPr>
        <w:t>复印件及授权代表</w:t>
      </w:r>
      <w:r>
        <w:rPr>
          <w:rFonts w:hint="eastAsia" w:ascii="宋体" w:hAnsi="宋体"/>
          <w:color w:val="000000" w:themeColor="text1"/>
          <w:szCs w:val="21"/>
          <w14:textFill>
            <w14:solidFill>
              <w14:schemeClr w14:val="tx1"/>
            </w14:solidFill>
          </w14:textFill>
        </w:rPr>
        <w:t>有效</w:t>
      </w:r>
      <w:r>
        <w:rPr>
          <w:rFonts w:ascii="宋体" w:hAnsi="宋体"/>
          <w:color w:val="000000" w:themeColor="text1"/>
          <w:szCs w:val="21"/>
          <w14:textFill>
            <w14:solidFill>
              <w14:schemeClr w14:val="tx1"/>
            </w14:solidFill>
          </w14:textFill>
        </w:rPr>
        <w:t>身份证</w:t>
      </w:r>
      <w:r>
        <w:rPr>
          <w:rFonts w:hint="eastAsia" w:ascii="宋体" w:hAnsi="宋体"/>
          <w:color w:val="000000" w:themeColor="text1"/>
          <w:szCs w:val="21"/>
          <w14:textFill>
            <w14:solidFill>
              <w14:schemeClr w14:val="tx1"/>
            </w14:solidFill>
          </w14:textFill>
        </w:rPr>
        <w:t>正、反面</w:t>
      </w:r>
      <w:r>
        <w:rPr>
          <w:rFonts w:ascii="宋体" w:hAnsi="宋体"/>
          <w:color w:val="000000" w:themeColor="text1"/>
          <w:szCs w:val="21"/>
          <w14:textFill>
            <w14:solidFill>
              <w14:schemeClr w14:val="tx1"/>
            </w14:solidFill>
          </w14:textFill>
        </w:rPr>
        <w:t>复印件</w:t>
      </w:r>
    </w:p>
    <w:p>
      <w:pPr>
        <w:spacing w:line="360" w:lineRule="auto"/>
        <w:rPr>
          <w:rFonts w:hint="eastAsia" w:ascii="宋体" w:hAnsi="宋体"/>
          <w:color w:val="000000" w:themeColor="text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End w:id="95"/>
      <w:r>
        <w:rPr>
          <w:rFonts w:ascii="宋体" w:hAnsi="宋体"/>
          <w:color w:val="000000" w:themeColor="text1"/>
          <w:szCs w:val="21"/>
          <w14:textFill>
            <w14:solidFill>
              <w14:schemeClr w14:val="tx1"/>
            </w14:solidFill>
          </w14:textFill>
        </w:rPr>
        <w:t>2．对本项目第二章《采购需求》技术要求的响应表：</w:t>
      </w:r>
    </w:p>
    <w:tbl>
      <w:tblPr>
        <w:tblStyle w:val="24"/>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r>
    </w:tbl>
    <w:p>
      <w:pPr>
        <w:rPr>
          <w:rFonts w:hint="eastAsia" w:ascii="宋体" w:hAnsi="宋体"/>
          <w:color w:val="000000" w:themeColor="text1"/>
          <w:szCs w:val="21"/>
          <w14:textFill>
            <w14:solidFill>
              <w14:schemeClr w14:val="tx1"/>
            </w14:solidFill>
          </w14:textFill>
        </w:rPr>
      </w:pPr>
    </w:p>
    <w:p>
      <w:pPr>
        <w:pStyle w:val="11"/>
        <w:tabs>
          <w:tab w:val="left" w:pos="2127"/>
        </w:tabs>
        <w:spacing w:line="340" w:lineRule="exact"/>
        <w:jc w:val="left"/>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注：（1）本表应对采购文件第二章《采购需求》中所列技术要求进行响应，并根据响应情况在“偏离说明”栏填写正偏离或负偏离及原因，完全符合的填写“无偏离”。</w:t>
      </w:r>
    </w:p>
    <w:p>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（2）第二章《采购需求》中的总体要求无需响应。</w:t>
      </w:r>
    </w:p>
    <w:p>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（3）偏离认定说明详见评审方法及标准。</w:t>
      </w:r>
    </w:p>
    <w:p>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（4）本表可扩展。</w:t>
      </w:r>
    </w:p>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pacing w:val="20"/>
          <w:szCs w:val="21"/>
          <w:u w:val="single"/>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pPr>
        <w:rPr>
          <w:rFonts w:hint="eastAsia" w:ascii="宋体" w:hAnsi="宋体"/>
          <w:color w:val="000000" w:themeColor="text1"/>
          <w:spacing w:val="20"/>
          <w:szCs w:val="21"/>
          <w:u w:val="single"/>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p>
    <w:p>
      <w:pPr>
        <w:snapToGrid w:val="0"/>
        <w:spacing w:before="50" w:after="120" w:afterLines="50"/>
        <w:jc w:val="left"/>
        <w:rPr>
          <w:rFonts w:hint="eastAsia" w:ascii="宋体" w:hAnsi="宋体"/>
          <w:color w:val="000000" w:themeColor="text1"/>
          <w:szCs w:val="21"/>
          <w14:textFill>
            <w14:solidFill>
              <w14:schemeClr w14:val="tx1"/>
            </w14:solidFill>
          </w14:textFill>
        </w:rPr>
      </w:pPr>
    </w:p>
    <w:p>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3．项目拟投入服务团队人员结构表（包括但不限于学历、证书情况、职称、年龄等）</w:t>
      </w:r>
    </w:p>
    <w:p>
      <w:pPr>
        <w:snapToGrid w:val="0"/>
        <w:spacing w:before="120" w:beforeLines="50" w:after="50"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项目拟投入服务团队人员（含项目负责人）一览表</w:t>
      </w:r>
    </w:p>
    <w:tbl>
      <w:tblPr>
        <w:tblStyle w:val="24"/>
        <w:tblW w:w="91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hint="eastAsia" w:ascii="宋体" w:hAnsi="宋体"/>
                <w:color w:val="000000" w:themeColor="text1"/>
                <w:szCs w:val="21"/>
                <w14:textFill>
                  <w14:solidFill>
                    <w14:schemeClr w14:val="tx1"/>
                  </w14:solidFill>
                </w14:textFill>
              </w:rPr>
            </w:pPr>
          </w:p>
        </w:tc>
      </w:tr>
    </w:tbl>
    <w:p>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注：在填写时，如本表格不适合供应商的实际情况，可根据本表格式自行划表填写。</w:t>
      </w:r>
    </w:p>
    <w:p>
      <w:pPr>
        <w:snapToGrid w:val="0"/>
        <w:spacing w:before="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pPr>
        <w:rPr>
          <w:rFonts w:hint="eastAsia" w:ascii="宋体" w:hAnsi="宋体"/>
          <w:color w:val="000000" w:themeColor="text1"/>
          <w:spacing w:val="20"/>
          <w:szCs w:val="21"/>
          <w:u w:val="single"/>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p>
    <w:p>
      <w:pPr>
        <w:snapToGrid w:val="0"/>
        <w:spacing w:before="50" w:after="120" w:afterLines="50" w:line="44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color w:val="000000" w:themeColor="text1"/>
          <w:szCs w:val="21"/>
          <w14:textFill>
            <w14:solidFill>
              <w14:schemeClr w14:val="tx1"/>
            </w14:solidFill>
          </w14:textFill>
        </w:rPr>
        <w:t>4．对本项目第二章《采购需求》商务要求的响应表：</w:t>
      </w:r>
    </w:p>
    <w:tbl>
      <w:tblPr>
        <w:tblStyle w:val="24"/>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olor w:val="000000" w:themeColor="text1"/>
                <w:szCs w:val="21"/>
                <w14:textFill>
                  <w14:solidFill>
                    <w14:schemeClr w14:val="tx1"/>
                  </w14:solidFill>
                </w14:textFill>
              </w:rPr>
            </w:pPr>
          </w:p>
        </w:tc>
      </w:tr>
    </w:tbl>
    <w:p>
      <w:pPr>
        <w:pStyle w:val="11"/>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bookmarkStart w:id="96" w:name="_Hlk48144603"/>
      <w:r>
        <w:rPr>
          <w:rFonts w:hAnsi="宋体" w:cs="Times New Roman"/>
          <w:color w:val="000000" w:themeColor="text1"/>
          <w14:textFill>
            <w14:solidFill>
              <w14:schemeClr w14:val="tx1"/>
            </w14:solidFill>
          </w14:textFill>
        </w:rPr>
        <w:t>注：</w:t>
      </w:r>
      <w:bookmarkStart w:id="97" w:name="_Hlk19049081"/>
      <w:r>
        <w:rPr>
          <w:rFonts w:hAnsi="宋体" w:cs="Times New Roman"/>
          <w:color w:val="000000" w:themeColor="text1"/>
          <w14:textFill>
            <w14:solidFill>
              <w14:schemeClr w14:val="tx1"/>
            </w14:solidFill>
          </w14:textFill>
        </w:rPr>
        <w:t>（1）本表应对采购文件第二章《采购需求》中所列商务要求进行响应，并根据响应情况在“偏离说明”栏填写正偏离或负偏离及原因，完全符合的填写“无偏离”。</w:t>
      </w:r>
    </w:p>
    <w:p>
      <w:pPr>
        <w:pStyle w:val="11"/>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（2）第二章《采购需求》中的总体要求无需响应。</w:t>
      </w:r>
    </w:p>
    <w:p>
      <w:pPr>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（3）偏离认定说明详见评审方法及标准。</w:t>
      </w:r>
    </w:p>
    <w:bookmarkEnd w:id="97"/>
    <w:p>
      <w:pPr>
        <w:pStyle w:val="11"/>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（4）本表可扩展。</w:t>
      </w:r>
    </w:p>
    <w:bookmarkEnd w:id="96"/>
    <w:p>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pPr>
    </w:p>
    <w:p>
      <w:pPr>
        <w:pStyle w:val="11"/>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p>
    <w:p>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pPr>
        <w:snapToGrid w:val="0"/>
        <w:spacing w:before="50"/>
        <w:jc w:val="left"/>
        <w:rPr>
          <w:rFonts w:hint="eastAsia" w:ascii="宋体" w:hAnsi="宋体"/>
          <w:color w:val="000000" w:themeColor="text1"/>
          <w:szCs w:val="21"/>
          <w14:textFill>
            <w14:solidFill>
              <w14:schemeClr w14:val="tx1"/>
            </w14:solidFill>
          </w14:textFill>
        </w:rPr>
        <w:sectPr>
          <w:pgSz w:w="11906" w:h="16838"/>
          <w:pgMar w:top="1304" w:right="1418" w:bottom="1304" w:left="1418" w:header="851" w:footer="992" w:gutter="0"/>
          <w:cols w:space="720" w:num="1"/>
          <w:docGrid w:linePitch="312" w:charSpace="0"/>
        </w:sectPr>
      </w:pPr>
      <w:bookmarkStart w:id="98" w:name="_Hlk33625589"/>
    </w:p>
    <w:bookmarkEnd w:id="98"/>
    <w:p>
      <w:pPr>
        <w:snapToGrid w:val="0"/>
        <w:spacing w:before="50" w:after="120" w:afterLines="50"/>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5．近年供应商类似成功案例的业绩证明</w:t>
      </w:r>
    </w:p>
    <w:p>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类似成功案例业绩一览表</w:t>
      </w:r>
    </w:p>
    <w:tbl>
      <w:tblPr>
        <w:tblStyle w:val="24"/>
        <w:tblW w:w="13793"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tcPr>
          <w:p>
            <w:pPr>
              <w:snapToGrid w:val="0"/>
              <w:spacing w:line="240" w:lineRule="exact"/>
              <w:jc w:val="center"/>
              <w:rPr>
                <w:rFonts w:hint="eastAsia" w:ascii="宋体" w:hAnsi="宋体"/>
                <w:color w:val="000000" w:themeColor="text1"/>
                <w:szCs w:val="21"/>
                <w14:textFill>
                  <w14:solidFill>
                    <w14:schemeClr w14:val="tx1"/>
                  </w14:solidFill>
                </w14:textFill>
              </w:rPr>
            </w:pPr>
          </w:p>
          <w:p>
            <w:pPr>
              <w:snapToGrid w:val="0"/>
              <w:spacing w:line="240" w:lineRule="exact"/>
              <w:jc w:val="center"/>
              <w:rPr>
                <w:rFonts w:hint="eastAsia" w:ascii="宋体" w:hAnsi="宋体"/>
                <w:color w:val="000000" w:themeColor="text1"/>
                <w:szCs w:val="21"/>
                <w14:textFill>
                  <w14:solidFill>
                    <w14:schemeClr w14:val="tx1"/>
                  </w14:solidFill>
                </w14:textFill>
              </w:rPr>
            </w:pPr>
          </w:p>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8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采购单位名称</w:t>
            </w:r>
          </w:p>
        </w:tc>
        <w:tc>
          <w:tcPr>
            <w:tcW w:w="326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项目名称或服务内容</w:t>
            </w: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w:t>
            </w:r>
          </w:p>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数量或年限</w:t>
            </w:r>
          </w:p>
        </w:tc>
        <w:tc>
          <w:tcPr>
            <w:tcW w:w="1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单价（元）</w:t>
            </w:r>
          </w:p>
        </w:tc>
        <w:tc>
          <w:tcPr>
            <w:tcW w:w="13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合同总价</w:t>
            </w:r>
          </w:p>
          <w:p>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bl>
    <w:p>
      <w:pPr>
        <w:pStyle w:val="9"/>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注：</w:t>
      </w:r>
    </w:p>
    <w:p>
      <w:pPr>
        <w:pStyle w:val="9"/>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 w:val="21"/>
          <w:szCs w:val="21"/>
          <w14:textFill>
            <w14:solidFill>
              <w14:schemeClr w14:val="tx1"/>
            </w14:solidFill>
          </w14:textFill>
        </w:rPr>
        <w:t>未附证明材料的业绩无效，证明材料见第四章《评审方法及标准》规定。</w:t>
      </w:r>
    </w:p>
    <w:p>
      <w:pPr>
        <w:pStyle w:val="9"/>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（2）</w:t>
      </w:r>
      <w:r>
        <w:rPr>
          <w:rFonts w:ascii="宋体" w:hAnsi="宋体" w:eastAsia="宋体" w:cs="Times New Roman"/>
          <w:color w:val="000000" w:themeColor="text1"/>
          <w:sz w:val="21"/>
          <w:szCs w:val="21"/>
          <w14:textFill>
            <w14:solidFill>
              <w14:schemeClr w14:val="tx1"/>
            </w14:solidFill>
          </w14:textFill>
        </w:rPr>
        <w:t>类似项目的定义见第四章《评审方法及标准》规定。</w:t>
      </w:r>
    </w:p>
    <w:p>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（3）</w:t>
      </w:r>
      <w:r>
        <w:rPr>
          <w:rFonts w:ascii="宋体" w:hAnsi="宋体"/>
          <w:color w:val="000000" w:themeColor="text1"/>
          <w14:textFill>
            <w14:solidFill>
              <w14:schemeClr w14:val="tx1"/>
            </w14:solidFill>
          </w14:textFill>
        </w:rPr>
        <w:t>本表可拓展</w:t>
      </w:r>
    </w:p>
    <w:p>
      <w:pPr>
        <w:snapToGrid w:val="0"/>
        <w:spacing w:before="50"/>
        <w:jc w:val="left"/>
        <w:rPr>
          <w:rFonts w:hint="eastAsia" w:ascii="宋体" w:hAnsi="宋体"/>
          <w:color w:val="000000" w:themeColor="text1"/>
          <w:szCs w:val="21"/>
          <w14:textFill>
            <w14:solidFill>
              <w14:schemeClr w14:val="tx1"/>
            </w14:solidFill>
          </w14:textFill>
        </w:rPr>
      </w:pPr>
    </w:p>
    <w:p>
      <w:pPr>
        <w:snapToGrid w:val="0"/>
        <w:spacing w:before="50"/>
        <w:jc w:val="left"/>
        <w:rPr>
          <w:rFonts w:hint="eastAsia" w:ascii="宋体" w:hAnsi="宋体"/>
          <w:color w:val="000000" w:themeColor="text1"/>
          <w:szCs w:val="21"/>
          <w14:textFill>
            <w14:solidFill>
              <w14:schemeClr w14:val="tx1"/>
            </w14:solidFill>
          </w14:textFill>
        </w:rPr>
        <w:sectPr>
          <w:headerReference r:id="rId17" w:type="default"/>
          <w:footerReference r:id="rId18" w:type="default"/>
          <w:pgSz w:w="16838" w:h="11906" w:orient="landscape"/>
          <w:pgMar w:top="1274" w:right="1418" w:bottom="1418" w:left="1418" w:header="851" w:footer="992" w:gutter="0"/>
          <w:cols w:space="720" w:num="1"/>
          <w:docGrid w:linePitch="312" w:charSpace="0"/>
        </w:sect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年    月   </w:t>
      </w:r>
    </w:p>
    <w:p>
      <w:pPr>
        <w:snapToGrid w:val="0"/>
        <w:spacing w:before="50" w:after="156" w:afterLines="50"/>
        <w:jc w:val="left"/>
        <w:rPr>
          <w:rFonts w:hint="eastAsia" w:ascii="宋体" w:hAnsi="宋体"/>
          <w:color w:val="000000" w:themeColor="text1"/>
          <w:szCs w:val="21"/>
          <w14:textFill>
            <w14:solidFill>
              <w14:schemeClr w14:val="tx1"/>
            </w14:solidFill>
          </w14:textFill>
        </w:rPr>
      </w:pPr>
      <w:bookmarkStart w:id="99" w:name="_Hlk93046716"/>
      <w:bookmarkStart w:id="100" w:name="_Hlk19110561"/>
      <w:r>
        <w:rPr>
          <w:rFonts w:ascii="宋体" w:hAnsi="宋体"/>
          <w:color w:val="000000" w:themeColor="text1"/>
          <w:szCs w:val="21"/>
          <w14:textFill>
            <w14:solidFill>
              <w14:schemeClr w14:val="tx1"/>
            </w14:solidFill>
          </w14:textFill>
        </w:rPr>
        <w:t>6．无串标行为承诺函</w:t>
      </w:r>
    </w:p>
    <w:p>
      <w:pPr>
        <w:snapToGrid w:val="0"/>
        <w:spacing w:before="50" w:after="156" w:afterLines="50"/>
        <w:jc w:val="center"/>
        <w:rPr>
          <w:rFonts w:hint="eastAsia" w:ascii="宋体" w:hAnsi="宋体"/>
          <w:color w:val="000000" w:themeColor="text1"/>
          <w:szCs w:val="21"/>
          <w14:textFill>
            <w14:solidFill>
              <w14:schemeClr w14:val="tx1"/>
            </w14:solidFill>
          </w14:textFill>
        </w:rPr>
      </w:pPr>
    </w:p>
    <w:p>
      <w:pPr>
        <w:snapToGrid w:val="0"/>
        <w:spacing w:before="50" w:after="156"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供应商参加本项目无围标串标行为的承诺函</w:t>
      </w:r>
    </w:p>
    <w:p>
      <w:pPr>
        <w:snapToGrid w:val="0"/>
        <w:spacing w:before="50" w:after="156" w:afterLines="50"/>
        <w:jc w:val="left"/>
        <w:rPr>
          <w:rFonts w:hint="eastAsia" w:ascii="宋体" w:hAnsi="宋体"/>
          <w:color w:val="000000" w:themeColor="text1"/>
          <w:szCs w:val="21"/>
          <w14:textFill>
            <w14:solidFill>
              <w14:schemeClr w14:val="tx1"/>
            </w14:solidFill>
          </w14:textFill>
        </w:rPr>
      </w:pP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一、我方承诺无下列相互串通投标的情形：</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1.不同供应商的响应文件由同一单位或者个人编制；或者不同供应商报名的IP地址一致的；</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2.不同供应商委托同一单位或者个人办理投标事宜；</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3.不同的供应商的响应文件载明的项目管理员为同一个人；</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4.不同供应商的响应文件异常一致或者投标报价呈规律性差异；</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5.不同供应商的响应文件相互混装；</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6.不同供应商的磋商保证金从同一单位或者个人账户转出。</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二、我方承诺无下列恶意串通的情形：</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1.供应商直接或者间接从采购人或者采购代理机构处获得其他供应商的相关信息并修改其响应文件或者响应文件；</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2.供应商按照采购人或者采购代理机构的授意撤换、修改响应文件或者响应文件；</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3.供应商之间协商报价、技术方案等响应文件或者响应文件的实质性内容；</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4.属于同一集团、协会、商会等组织成员的供应商按照该组织要求协同参加政府采购活动；</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6.供应商之间商定部分供应商放弃参加政府采购活动或者放弃中标；</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7.供应商与采购人或者采购代理机构之间、供应商相互之间，为谋求特定供应商中标或者排斥其他供应商的其他串通行为。</w:t>
      </w: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以上情形一经核查属实，我方愿意承担一切后果，并不再寻求任何旨在减轻或者免除法律责任的辩解。</w:t>
      </w:r>
    </w:p>
    <w:p>
      <w:pPr>
        <w:snapToGrid w:val="0"/>
        <w:spacing w:before="50" w:after="156"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snapToGrid w:val="0"/>
        <w:spacing w:before="50" w:after="156" w:afterLines="50"/>
        <w:jc w:val="center"/>
        <w:rPr>
          <w:rFonts w:hint="eastAsia" w:ascii="宋体" w:hAnsi="宋体"/>
          <w:color w:val="000000" w:themeColor="text1"/>
          <w:szCs w:val="21"/>
          <w14:textFill>
            <w14:solidFill>
              <w14:schemeClr w14:val="tx1"/>
            </w14:solidFill>
          </w14:textFill>
        </w:rPr>
      </w:pPr>
    </w:p>
    <w:p>
      <w:pPr>
        <w:snapToGrid w:val="0"/>
        <w:spacing w:before="50" w:after="156" w:afterLines="50"/>
        <w:jc w:val="center"/>
        <w:rPr>
          <w:rFonts w:hint="eastAsia" w:ascii="宋体" w:hAnsi="宋体"/>
          <w:color w:val="000000" w:themeColor="text1"/>
          <w:szCs w:val="21"/>
          <w14:textFill>
            <w14:solidFill>
              <w14:schemeClr w14:val="tx1"/>
            </w14:solidFill>
          </w14:textFill>
        </w:rPr>
      </w:pPr>
    </w:p>
    <w:p>
      <w:pPr>
        <w:snapToGrid w:val="0"/>
        <w:spacing w:before="50" w:after="156"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p>
    <w:p>
      <w:pPr>
        <w:snapToGrid w:val="0"/>
        <w:spacing w:before="50" w:after="156"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  年  月   日</w:t>
      </w:r>
    </w:p>
    <w:p>
      <w:pPr>
        <w:snapToGrid w:val="0"/>
        <w:spacing w:before="50" w:after="156" w:afterLines="50"/>
        <w:jc w:val="left"/>
        <w:rPr>
          <w:rFonts w:hint="eastAsia" w:ascii="宋体" w:hAnsi="宋体"/>
          <w:color w:val="000000" w:themeColor="text1"/>
          <w:szCs w:val="21"/>
          <w14:textFill>
            <w14:solidFill>
              <w14:schemeClr w14:val="tx1"/>
            </w14:solidFill>
          </w14:textFill>
        </w:rPr>
        <w:sectPr>
          <w:footerReference r:id="rId19" w:type="default"/>
          <w:pgSz w:w="11906" w:h="16838"/>
          <w:pgMar w:top="1418" w:right="1418" w:bottom="1418" w:left="1531" w:header="851" w:footer="992" w:gutter="0"/>
          <w:cols w:space="720" w:num="1"/>
          <w:docGrid w:type="lines" w:linePitch="312" w:charSpace="0"/>
        </w:sectPr>
      </w:pPr>
      <w:r>
        <w:rPr>
          <w:rFonts w:ascii="宋体" w:hAnsi="宋体"/>
          <w:color w:val="000000" w:themeColor="text1"/>
          <w:szCs w:val="21"/>
          <w14:textFill>
            <w14:solidFill>
              <w14:schemeClr w14:val="tx1"/>
            </w14:solidFill>
          </w14:textFill>
        </w:rPr>
        <w:br w:type="page"/>
      </w:r>
      <w:bookmarkEnd w:id="99"/>
      <w:bookmarkEnd w:id="100"/>
    </w:p>
    <w:p>
      <w:pPr>
        <w:snapToGrid w:val="0"/>
        <w:spacing w:before="156" w:beforeLines="50" w:after="50" w:line="360" w:lineRule="exact"/>
        <w:rPr>
          <w:rFonts w:hint="eastAsia" w:ascii="宋体" w:hAnsi="宋体"/>
          <w:color w:val="000000" w:themeColor="text1"/>
          <w14:textFill>
            <w14:solidFill>
              <w14:schemeClr w14:val="tx1"/>
            </w14:solidFill>
          </w14:textFill>
        </w:rPr>
      </w:pPr>
      <w:r>
        <w:rPr>
          <w:rFonts w:ascii="宋体" w:hAnsi="宋体"/>
          <w:bCs/>
          <w:color w:val="000000" w:themeColor="text1"/>
          <w:sz w:val="24"/>
          <w14:textFill>
            <w14:solidFill>
              <w14:schemeClr w14:val="tx1"/>
            </w14:solidFill>
          </w14:textFill>
        </w:rPr>
        <w:t>3．其他文书格式</w:t>
      </w:r>
    </w:p>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w:t>
      </w:r>
      <w:r>
        <w:rPr>
          <w:rFonts w:ascii="宋体" w:hAnsi="宋体"/>
          <w:bCs/>
          <w:color w:val="000000" w:themeColor="text1"/>
          <w:szCs w:val="21"/>
          <w14:textFill>
            <w14:solidFill>
              <w14:schemeClr w14:val="tx1"/>
            </w14:solidFill>
          </w14:textFill>
        </w:rPr>
        <w:t>中小企业声明函</w:t>
      </w:r>
      <w:r>
        <w:rPr>
          <w:rFonts w:ascii="宋体" w:hAnsi="宋体"/>
          <w:color w:val="000000" w:themeColor="text1"/>
          <w:szCs w:val="21"/>
          <w14:textFill>
            <w14:solidFill>
              <w14:schemeClr w14:val="tx1"/>
            </w14:solidFill>
          </w14:textFill>
        </w:rPr>
        <w:t>。</w:t>
      </w:r>
    </w:p>
    <w:p>
      <w:pPr>
        <w:spacing w:line="360" w:lineRule="auto"/>
        <w:ind w:firstLine="3584" w:firstLineChars="1700"/>
        <w:rPr>
          <w:rFonts w:hint="eastAsia" w:ascii="宋体" w:hAnsi="宋体"/>
          <w:b/>
          <w:color w:val="000000" w:themeColor="text1"/>
          <w:szCs w:val="21"/>
          <w14:textFill>
            <w14:solidFill>
              <w14:schemeClr w14:val="tx1"/>
            </w14:solidFill>
          </w14:textFill>
        </w:rPr>
      </w:pPr>
    </w:p>
    <w:p>
      <w:pPr>
        <w:spacing w:line="360" w:lineRule="auto"/>
        <w:ind w:firstLine="3584" w:firstLineChars="17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中小企业声明函（服务）</w:t>
      </w:r>
    </w:p>
    <w:p>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ascii="宋体" w:hAnsi="宋体"/>
          <w:bCs/>
          <w:color w:val="000000" w:themeColor="text1"/>
          <w:szCs w:val="21"/>
          <w:u w:val="single"/>
          <w14:textFill>
            <w14:solidFill>
              <w14:schemeClr w14:val="tx1"/>
            </w14:solidFill>
          </w14:textFill>
        </w:rPr>
        <w:t>（单位名称）</w:t>
      </w:r>
      <w:r>
        <w:rPr>
          <w:rFonts w:ascii="宋体" w:hAnsi="宋体"/>
          <w:bCs/>
          <w:color w:val="000000" w:themeColor="text1"/>
          <w:szCs w:val="21"/>
          <w14:textFill>
            <w14:solidFill>
              <w14:schemeClr w14:val="tx1"/>
            </w14:solidFill>
          </w14:textFill>
        </w:rPr>
        <w:t>的</w:t>
      </w:r>
      <w:r>
        <w:rPr>
          <w:rFonts w:ascii="宋体" w:hAnsi="宋体"/>
          <w:bCs/>
          <w:color w:val="000000" w:themeColor="text1"/>
          <w:szCs w:val="21"/>
          <w:u w:val="single"/>
          <w14:textFill>
            <w14:solidFill>
              <w14:schemeClr w14:val="tx1"/>
            </w14:solidFill>
          </w14:textFill>
        </w:rPr>
        <w:t>（项目名称）</w:t>
      </w:r>
      <w:r>
        <w:rPr>
          <w:rFonts w:ascii="宋体" w:hAnsi="宋体"/>
          <w:bCs/>
          <w:color w:val="000000" w:themeColor="text1"/>
          <w:szCs w:val="21"/>
          <w14:textFill>
            <w14:solidFill>
              <w14:schemeClr w14:val="tx1"/>
            </w14:solidFill>
          </w14:textFill>
        </w:rPr>
        <w:t>采购活动，服务全部由符合政策要求的中小企业承接。相关企业（含联合体中的中小企业、签订分包意向协议的中小企业） 的具体情况如下：</w:t>
      </w:r>
    </w:p>
    <w:p>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ascii="宋体" w:hAnsi="宋体"/>
          <w:bCs/>
          <w:color w:val="000000" w:themeColor="text1"/>
          <w:szCs w:val="21"/>
          <w:u w:val="single"/>
          <w14:textFill>
            <w14:solidFill>
              <w14:schemeClr w14:val="tx1"/>
            </w14:solidFill>
          </w14:textFill>
        </w:rPr>
        <w:t>（标的名称）</w:t>
      </w:r>
      <w:r>
        <w:rPr>
          <w:rFonts w:ascii="宋体" w:hAnsi="宋体"/>
          <w:bCs/>
          <w:color w:val="000000" w:themeColor="text1"/>
          <w:szCs w:val="21"/>
          <w14:textFill>
            <w14:solidFill>
              <w14:schemeClr w14:val="tx1"/>
            </w14:solidFill>
          </w14:textFill>
        </w:rPr>
        <w:t>，属于</w:t>
      </w:r>
      <w:r>
        <w:rPr>
          <w:rFonts w:ascii="宋体" w:hAnsi="宋体"/>
          <w:bCs/>
          <w:color w:val="000000" w:themeColor="text1"/>
          <w:szCs w:val="21"/>
          <w:u w:val="single"/>
          <w14:textFill>
            <w14:solidFill>
              <w14:schemeClr w14:val="tx1"/>
            </w14:solidFill>
          </w14:textFill>
        </w:rPr>
        <w:t>（采购文件中明确的所属行业）</w:t>
      </w:r>
      <w:r>
        <w:rPr>
          <w:rFonts w:ascii="宋体" w:hAnsi="宋体"/>
          <w:bCs/>
          <w:color w:val="000000" w:themeColor="text1"/>
          <w:szCs w:val="21"/>
          <w14:textFill>
            <w14:solidFill>
              <w14:schemeClr w14:val="tx1"/>
            </w14:solidFill>
          </w14:textFill>
        </w:rPr>
        <w:t>行业；承接企业为</w:t>
      </w:r>
      <w:r>
        <w:rPr>
          <w:rFonts w:ascii="宋体" w:hAnsi="宋体"/>
          <w:bCs/>
          <w:color w:val="000000" w:themeColor="text1"/>
          <w:szCs w:val="21"/>
          <w:u w:val="single"/>
          <w14:textFill>
            <w14:solidFill>
              <w14:schemeClr w14:val="tx1"/>
            </w14:solidFill>
          </w14:textFill>
        </w:rPr>
        <w:t>（企业名称）</w:t>
      </w:r>
      <w:r>
        <w:rPr>
          <w:rFonts w:ascii="宋体" w:hAnsi="宋体"/>
          <w:bCs/>
          <w:color w:val="000000" w:themeColor="text1"/>
          <w:szCs w:val="21"/>
          <w14:textFill>
            <w14:solidFill>
              <w14:schemeClr w14:val="tx1"/>
            </w14:solidFill>
          </w14:textFill>
        </w:rPr>
        <w:t>，从业人员</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人，营业收入为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万元，资产总额为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万元，属于</w:t>
      </w:r>
      <w:r>
        <w:rPr>
          <w:rFonts w:ascii="宋体" w:hAnsi="宋体"/>
          <w:bCs/>
          <w:color w:val="000000" w:themeColor="text1"/>
          <w:szCs w:val="21"/>
          <w:u w:val="single"/>
          <w14:textFill>
            <w14:solidFill>
              <w14:schemeClr w14:val="tx1"/>
            </w14:solidFill>
          </w14:textFill>
        </w:rPr>
        <w:t>（中型企业、小型企业、微型企业）</w:t>
      </w:r>
      <w:r>
        <w:rPr>
          <w:rFonts w:ascii="宋体" w:hAnsi="宋体"/>
          <w:bCs/>
          <w:color w:val="000000" w:themeColor="text1"/>
          <w:szCs w:val="21"/>
          <w14:textFill>
            <w14:solidFill>
              <w14:schemeClr w14:val="tx1"/>
            </w14:solidFill>
          </w14:textFill>
        </w:rPr>
        <w:t>；</w:t>
      </w:r>
    </w:p>
    <w:p>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ascii="宋体" w:hAnsi="宋体"/>
          <w:bCs/>
          <w:color w:val="000000" w:themeColor="text1"/>
          <w:szCs w:val="21"/>
          <w:u w:val="single"/>
          <w14:textFill>
            <w14:solidFill>
              <w14:schemeClr w14:val="tx1"/>
            </w14:solidFill>
          </w14:textFill>
        </w:rPr>
        <w:t>（标的名称）</w:t>
      </w:r>
      <w:r>
        <w:rPr>
          <w:rFonts w:ascii="宋体" w:hAnsi="宋体"/>
          <w:bCs/>
          <w:color w:val="000000" w:themeColor="text1"/>
          <w:szCs w:val="21"/>
          <w14:textFill>
            <w14:solidFill>
              <w14:schemeClr w14:val="tx1"/>
            </w14:solidFill>
          </w14:textFill>
        </w:rPr>
        <w:t>，属于</w:t>
      </w:r>
      <w:r>
        <w:rPr>
          <w:rFonts w:ascii="宋体" w:hAnsi="宋体"/>
          <w:bCs/>
          <w:color w:val="000000" w:themeColor="text1"/>
          <w:szCs w:val="21"/>
          <w:u w:val="single"/>
          <w14:textFill>
            <w14:solidFill>
              <w14:schemeClr w14:val="tx1"/>
            </w14:solidFill>
          </w14:textFill>
        </w:rPr>
        <w:t>（采购文件中明确的所属行业）</w:t>
      </w:r>
      <w:r>
        <w:rPr>
          <w:rFonts w:ascii="宋体" w:hAnsi="宋体"/>
          <w:bCs/>
          <w:color w:val="000000" w:themeColor="text1"/>
          <w:szCs w:val="21"/>
          <w14:textFill>
            <w14:solidFill>
              <w14:schemeClr w14:val="tx1"/>
            </w14:solidFill>
          </w14:textFill>
        </w:rPr>
        <w:t>行业；承接企业为</w:t>
      </w:r>
      <w:r>
        <w:rPr>
          <w:rFonts w:ascii="宋体" w:hAnsi="宋体"/>
          <w:bCs/>
          <w:color w:val="000000" w:themeColor="text1"/>
          <w:szCs w:val="21"/>
          <w:u w:val="single"/>
          <w14:textFill>
            <w14:solidFill>
              <w14:schemeClr w14:val="tx1"/>
            </w14:solidFill>
          </w14:textFill>
        </w:rPr>
        <w:t>（企业名称）</w:t>
      </w:r>
      <w:r>
        <w:rPr>
          <w:rFonts w:ascii="宋体" w:hAnsi="宋体"/>
          <w:bCs/>
          <w:color w:val="000000" w:themeColor="text1"/>
          <w:szCs w:val="21"/>
          <w14:textFill>
            <w14:solidFill>
              <w14:schemeClr w14:val="tx1"/>
            </w14:solidFill>
          </w14:textFill>
        </w:rPr>
        <w:t>，从业人员</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人，营业收入为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万元，资产总额为</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万元，属于</w:t>
      </w:r>
      <w:r>
        <w:rPr>
          <w:rFonts w:ascii="宋体" w:hAnsi="宋体"/>
          <w:bCs/>
          <w:color w:val="000000" w:themeColor="text1"/>
          <w:szCs w:val="21"/>
          <w:u w:val="single"/>
          <w14:textFill>
            <w14:solidFill>
              <w14:schemeClr w14:val="tx1"/>
            </w14:solidFill>
          </w14:textFill>
        </w:rPr>
        <w:t>（中型企业、小型企业、微型企业）</w:t>
      </w:r>
      <w:r>
        <w:rPr>
          <w:rFonts w:ascii="宋体" w:hAnsi="宋体"/>
          <w:bCs/>
          <w:color w:val="000000" w:themeColor="text1"/>
          <w:szCs w:val="21"/>
          <w14:textFill>
            <w14:solidFill>
              <w14:schemeClr w14:val="tx1"/>
            </w14:solidFill>
          </w14:textFill>
        </w:rPr>
        <w:t>；</w:t>
      </w:r>
    </w:p>
    <w:p>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w:t>
      </w:r>
    </w:p>
    <w:p>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本企业对上述声明内容的真实性负责。如有虚假，将依法承担相应责任。</w:t>
      </w:r>
    </w:p>
    <w:p>
      <w:pPr>
        <w:spacing w:line="360" w:lineRule="auto"/>
        <w:ind w:firstLine="3150" w:firstLineChars="15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企业名称（电子签章）：  日期：</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注：</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（1）标的名称按照第二章采购需求一览表中的名称填写，</w:t>
      </w:r>
      <w:r>
        <w:rPr>
          <w:rFonts w:ascii="宋体" w:hAnsi="宋体"/>
          <w:color w:val="000000" w:themeColor="text1"/>
          <w:szCs w:val="21"/>
          <w14:textFill>
            <w14:solidFill>
              <w14:schemeClr w14:val="tx1"/>
            </w14:solidFill>
          </w14:textFill>
        </w:rPr>
        <w:t>所属行业标明“/”的</w:t>
      </w:r>
      <w:r>
        <w:rPr>
          <w:rFonts w:ascii="宋体" w:hAnsi="宋体"/>
          <w:bCs/>
          <w:color w:val="000000" w:themeColor="text1"/>
          <w:szCs w:val="21"/>
          <w14:textFill>
            <w14:solidFill>
              <w14:schemeClr w14:val="tx1"/>
            </w14:solidFill>
          </w14:textFill>
        </w:rPr>
        <w:t>，无需在上表填写。</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（2）如供应商为联合体或分包的，声明函中“项目名称”应填写联合体中小微企业承担的具体内容或者小微企业具体分包内容。</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（3）从业人员、营业收入、资产总额填报上一年度数据，无上一年度数据的新成立企业参照国务院批准的中小企业划分标准，根据企业自身情况如实判断。</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（4）根据工业和信息化部对“从业人员”定义的答复，《</w:t>
      </w:r>
      <w:r>
        <w:rPr>
          <w:rFonts w:hint="eastAsia" w:ascii="宋体" w:hAnsi="宋体"/>
          <w:bCs/>
          <w:color w:val="000000" w:themeColor="text1"/>
          <w:szCs w:val="21"/>
          <w14:textFill>
            <w14:solidFill>
              <w14:schemeClr w14:val="tx1"/>
            </w14:solidFill>
          </w14:textFill>
        </w:rPr>
        <w:t>中华人民共和国民法典</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中华人民共和国公司法</w:t>
      </w:r>
      <w:r>
        <w:rPr>
          <w:rFonts w:ascii="宋体" w:hAnsi="宋体"/>
          <w:bCs/>
          <w:color w:val="000000" w:themeColor="text1"/>
          <w:szCs w:val="21"/>
          <w14:textFill>
            <w14:solidFill>
              <w14:schemeClr w14:val="tx1"/>
            </w14:solidFill>
          </w14:textFill>
        </w:rPr>
        <w:t>》等法律规定，分公司不具有法人资格，其民事责任由总公司承担。企业划型时，应将分公司的从业人员、营业收入、资产总额等指标数据纳入合并计算。</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（5）根据国家统计局《劳动工资统计报表制度》，从业人员数是指本单位工作，并取得工资或其他形式劳动报酬的人员数，是在岗职工、劳务派遣人员及其他从业人员之和。</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（6）本声明函由供应商填写，供应商应按中小企业划分标准《关于印发中小企业划型标准规定的通知》（工信部联企业〔2011〕300号</w:t>
      </w:r>
      <w:r>
        <w:rPr>
          <w:rFonts w:ascii="宋体" w:hAnsi="宋体"/>
          <w:color w:val="000000" w:themeColor="text1"/>
          <w:szCs w:val="21"/>
          <w14:textFill>
            <w14:solidFill>
              <w14:schemeClr w14:val="tx1"/>
            </w14:solidFill>
          </w14:textFill>
        </w:rPr>
        <w:t>以及《金融业企业划型标准规定》（银发〔2015〕309号）</w:t>
      </w:r>
      <w:r>
        <w:rPr>
          <w:rFonts w:ascii="宋体" w:hAnsi="宋体"/>
          <w:bCs/>
          <w:color w:val="000000" w:themeColor="text1"/>
          <w:szCs w:val="21"/>
          <w14:textFill>
            <w14:solidFill>
              <w14:schemeClr w14:val="tx1"/>
            </w14:solidFill>
          </w14:textFill>
        </w:rPr>
        <w:t>）判断是否为中小企业。</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napToGrid w:val="0"/>
        <w:spacing w:before="50" w:after="156" w:afterLines="50"/>
        <w:jc w:val="left"/>
        <w:rPr>
          <w:rFonts w:hint="eastAsia" w:ascii="宋体" w:hAnsi="宋体"/>
          <w:color w:val="000000" w:themeColor="text1"/>
          <w:szCs w:val="21"/>
          <w14:textFill>
            <w14:solidFill>
              <w14:schemeClr w14:val="tx1"/>
            </w14:solidFill>
          </w14:textFill>
        </w:rPr>
      </w:pPr>
    </w:p>
    <w:p>
      <w:pPr>
        <w:snapToGrid w:val="0"/>
        <w:spacing w:before="50" w:after="156"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.2监狱企业须提供最新一期《XX省监狱企业产品目录》或其他监狱企业证明材料。（非监狱企业无需提供）</w:t>
      </w:r>
    </w:p>
    <w:p>
      <w:pPr>
        <w:snapToGrid w:val="0"/>
        <w:spacing w:before="50" w:after="156" w:afterLines="50"/>
        <w:jc w:val="left"/>
        <w:rPr>
          <w:rFonts w:hint="eastAsia" w:ascii="宋体" w:hAnsi="宋体"/>
          <w:color w:val="000000" w:themeColor="text1"/>
          <w:szCs w:val="21"/>
          <w14:textFill>
            <w14:solidFill>
              <w14:schemeClr w14:val="tx1"/>
            </w14:solidFill>
          </w14:textFill>
        </w:rPr>
      </w:pPr>
    </w:p>
    <w:p>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.3</w:t>
      </w:r>
      <w:r>
        <w:rPr>
          <w:rFonts w:ascii="宋体" w:hAnsi="宋体"/>
          <w:color w:val="000000" w:themeColor="text1"/>
          <w14:textFill>
            <w14:solidFill>
              <w14:schemeClr w14:val="tx1"/>
            </w14:solidFill>
          </w14:textFill>
        </w:rPr>
        <w:t>残疾人福利性单位须提供《残疾人福利性单位声明函》，格式如下。</w:t>
      </w:r>
      <w:r>
        <w:rPr>
          <w:rFonts w:ascii="宋体" w:hAnsi="宋体"/>
          <w:color w:val="000000" w:themeColor="text1"/>
          <w:szCs w:val="21"/>
          <w14:textFill>
            <w14:solidFill>
              <w14:schemeClr w14:val="tx1"/>
            </w14:solidFill>
          </w14:textFill>
        </w:rPr>
        <w:t>（非残疾人福利性单位无需提供）</w:t>
      </w:r>
    </w:p>
    <w:p>
      <w:pPr>
        <w:spacing w:line="360" w:lineRule="auto"/>
        <w:jc w:val="center"/>
        <w:rPr>
          <w:rFonts w:hint="eastAsia" w:ascii="宋体" w:hAnsi="宋体"/>
          <w:b/>
          <w:color w:val="000000" w:themeColor="text1"/>
          <w:szCs w:val="21"/>
          <w14:textFill>
            <w14:solidFill>
              <w14:schemeClr w14:val="tx1"/>
            </w14:solidFill>
          </w14:textFill>
        </w:rPr>
      </w:pPr>
    </w:p>
    <w:p>
      <w:pPr>
        <w:spacing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残疾人福利性单位声明函</w:t>
      </w:r>
    </w:p>
    <w:p>
      <w:pPr>
        <w:spacing w:line="360" w:lineRule="auto"/>
        <w:ind w:firstLine="42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单位的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本单位对上述声明的真实性负责。如有虚假，将依法承担相应责任。</w:t>
      </w:r>
    </w:p>
    <w:p>
      <w:pPr>
        <w:spacing w:line="360" w:lineRule="auto"/>
        <w:ind w:firstLine="420"/>
        <w:jc w:val="right"/>
        <w:rPr>
          <w:rFonts w:hint="eastAsia" w:ascii="宋体" w:hAnsi="宋体"/>
          <w:color w:val="000000" w:themeColor="text1"/>
          <w:spacing w:val="6"/>
          <w:szCs w:val="21"/>
          <w14:textFill>
            <w14:solidFill>
              <w14:schemeClr w14:val="tx1"/>
            </w14:solidFill>
          </w14:textFill>
        </w:rPr>
      </w:pPr>
      <w:r>
        <w:rPr>
          <w:rFonts w:ascii="宋体" w:hAnsi="宋体"/>
          <w:color w:val="000000" w:themeColor="text1"/>
          <w:spacing w:val="6"/>
          <w:sz w:val="30"/>
          <w:szCs w:val="30"/>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 xml:space="preserve">                                             单位名称</w:t>
      </w:r>
      <w:r>
        <w:rPr>
          <w:rFonts w:ascii="宋体" w:hAnsi="宋体"/>
          <w:color w:val="000000" w:themeColor="text1"/>
          <w:szCs w:val="21"/>
          <w14:textFill>
            <w14:solidFill>
              <w14:schemeClr w14:val="tx1"/>
            </w14:solidFill>
          </w14:textFill>
        </w:rPr>
        <w:t>(电子签章)</w:t>
      </w:r>
      <w:r>
        <w:rPr>
          <w:rFonts w:ascii="宋体" w:hAnsi="宋体"/>
          <w:color w:val="000000" w:themeColor="text1"/>
          <w:spacing w:val="6"/>
          <w:szCs w:val="21"/>
          <w14:textFill>
            <w14:solidFill>
              <w14:schemeClr w14:val="tx1"/>
            </w14:solidFill>
          </w14:textFill>
        </w:rPr>
        <w:t xml:space="preserve">：          </w:t>
      </w:r>
    </w:p>
    <w:p>
      <w:pPr>
        <w:snapToGrid w:val="0"/>
        <w:spacing w:before="50" w:after="156" w:afterLines="50"/>
        <w:jc w:val="left"/>
        <w:rPr>
          <w:rFonts w:hint="eastAsia" w:ascii="宋体" w:hAnsi="宋体"/>
          <w:bCs/>
          <w:color w:val="000000" w:themeColor="text1"/>
          <w:sz w:val="24"/>
          <w14:textFill>
            <w14:solidFill>
              <w14:schemeClr w14:val="tx1"/>
            </w14:solidFill>
          </w14:textFill>
        </w:rPr>
      </w:pPr>
      <w:r>
        <w:rPr>
          <w:rFonts w:ascii="宋体" w:hAnsi="宋体"/>
          <w:color w:val="000000" w:themeColor="text1"/>
          <w:spacing w:val="6"/>
          <w:szCs w:val="21"/>
          <w14:textFill>
            <w14:solidFill>
              <w14:schemeClr w14:val="tx1"/>
            </w14:solidFill>
          </w14:textFill>
        </w:rPr>
        <w:t xml:space="preserve">                                                       日  期：</w:t>
      </w:r>
    </w:p>
    <w:p>
      <w:pPr>
        <w:snapToGrid w:val="0"/>
        <w:spacing w:before="156" w:beforeLines="50" w:after="50" w:line="440" w:lineRule="exact"/>
        <w:jc w:val="center"/>
        <w:outlineLvl w:val="1"/>
        <w:rPr>
          <w:rFonts w:hint="eastAsia" w:ascii="宋体" w:hAnsi="宋体"/>
          <w:bCs/>
          <w:color w:val="000000" w:themeColor="text1"/>
          <w:sz w:val="24"/>
          <w14:textFill>
            <w14:solidFill>
              <w14:schemeClr w14:val="tx1"/>
            </w14:solidFill>
          </w14:textFill>
        </w:rPr>
        <w:sectPr>
          <w:pgSz w:w="11906" w:h="16838"/>
          <w:pgMar w:top="1418" w:right="1418" w:bottom="1418" w:left="1531" w:header="851" w:footer="992" w:gutter="0"/>
          <w:cols w:space="720" w:num="1"/>
          <w:docGrid w:type="lines" w:linePitch="312" w:charSpace="0"/>
        </w:sectPr>
      </w:pPr>
    </w:p>
    <w:p>
      <w:pPr>
        <w:snapToGrid w:val="0"/>
        <w:spacing w:before="156" w:beforeLines="50" w:after="50" w:line="440" w:lineRule="exact"/>
        <w:jc w:val="center"/>
        <w:outlineLvl w:val="1"/>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第三部分 报价文件</w:t>
      </w:r>
    </w:p>
    <w:p>
      <w:pPr>
        <w:jc w:val="center"/>
        <w:rPr>
          <w:rFonts w:hint="eastAsia" w:ascii="宋体" w:hAnsi="宋体"/>
          <w:b/>
          <w:bCs/>
          <w:color w:val="000000" w:themeColor="text1"/>
          <w:szCs w:val="21"/>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1．响应函格式：</w:t>
      </w:r>
    </w:p>
    <w:p>
      <w:pPr>
        <w:rPr>
          <w:rFonts w:hint="eastAsia" w:ascii="宋体" w:hAnsi="宋体"/>
          <w:b/>
          <w:color w:val="000000" w:themeColor="text1"/>
          <w:szCs w:val="21"/>
          <w14:textFill>
            <w14:solidFill>
              <w14:schemeClr w14:val="tx1"/>
            </w14:solidFill>
          </w14:textFill>
        </w:rPr>
      </w:pPr>
    </w:p>
    <w:p>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 应 函</w:t>
      </w:r>
    </w:p>
    <w:p>
      <w:pPr>
        <w:rPr>
          <w:rFonts w:hint="eastAsia" w:ascii="宋体" w:hAnsi="宋体"/>
          <w:b/>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bookmarkStart w:id="101" w:name="_Hlk19110643"/>
      <w:r>
        <w:rPr>
          <w:rFonts w:ascii="宋体" w:hAnsi="宋体"/>
          <w:color w:val="000000" w:themeColor="text1"/>
          <w:szCs w:val="21"/>
          <w14:textFill>
            <w14:solidFill>
              <w14:schemeClr w14:val="tx1"/>
            </w14:solidFill>
          </w14:textFill>
        </w:rPr>
        <w:t>致：_</w:t>
      </w:r>
      <w:r>
        <w:rPr>
          <w:rFonts w:ascii="宋体" w:hAnsi="宋体"/>
          <w:i/>
          <w:iCs/>
          <w:color w:val="000000" w:themeColor="text1"/>
          <w:szCs w:val="21"/>
          <w:u w:val="single"/>
          <w14:textFill>
            <w14:solidFill>
              <w14:schemeClr w14:val="tx1"/>
            </w14:solidFill>
          </w14:textFill>
        </w:rPr>
        <w:t>（采购人名称）</w:t>
      </w:r>
      <w:r>
        <w:rPr>
          <w:rFonts w:ascii="宋体" w:hAnsi="宋体"/>
          <w:i/>
          <w:iCs/>
          <w:color w:val="000000" w:themeColor="text1"/>
          <w:szCs w:val="21"/>
          <w14:textFill>
            <w14:solidFill>
              <w14:schemeClr w14:val="tx1"/>
            </w14:solidFill>
          </w14:textFill>
        </w:rPr>
        <w:t>_</w:t>
      </w:r>
    </w:p>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我方已仔细研究了</w:t>
      </w:r>
      <w:r>
        <w:rPr>
          <w:rFonts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的采购文件的全部内容，签字代表</w:t>
      </w:r>
      <w:r>
        <w:rPr>
          <w:rFonts w:ascii="宋体" w:hAnsi="宋体"/>
          <w:i/>
          <w:iCs/>
          <w:color w:val="000000" w:themeColor="text1"/>
          <w:szCs w:val="21"/>
          <w:u w:val="single"/>
          <w14:textFill>
            <w14:solidFill>
              <w14:schemeClr w14:val="tx1"/>
            </w14:solidFill>
          </w14:textFill>
        </w:rPr>
        <w:t>（授权代表姓名）</w:t>
      </w:r>
      <w:r>
        <w:rPr>
          <w:rFonts w:ascii="宋体" w:hAnsi="宋体"/>
          <w:color w:val="000000" w:themeColor="text1"/>
          <w:szCs w:val="21"/>
          <w14:textFill>
            <w14:solidFill>
              <w14:schemeClr w14:val="tx1"/>
            </w14:solidFill>
          </w14:textFill>
        </w:rPr>
        <w:t>经正式授权并代表供应商</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（供应商名称） </w:t>
      </w:r>
      <w:r>
        <w:rPr>
          <w:rFonts w:ascii="宋体" w:hAnsi="宋体"/>
          <w:color w:val="000000" w:themeColor="text1"/>
          <w:szCs w:val="21"/>
          <w14:textFill>
            <w14:solidFill>
              <w14:schemeClr w14:val="tx1"/>
            </w14:solidFill>
          </w14:textFill>
        </w:rPr>
        <w:t>提交响应文件。</w:t>
      </w:r>
    </w:p>
    <w:bookmarkEnd w:id="101"/>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据此函，签字代表宣布同意如下：</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（1）供应商已详细审查全部“采购文件”，包括修改文件（如有的话）以及全部参考资料和有关附件，已经了解我方对于采购文件、采购过程、采购结果有依法进行询问、质疑、投诉的权利及相关渠道和要求。</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（2）供应商在响应之前已经与贵方进行了充分的沟通，完全理解并接受采购文件的各项规定和要求，对采购文件的合理性、合法性不再有异议。</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（3）本响应有效期自响应文件递交截止之日</w:t>
      </w:r>
      <w:r>
        <w:rPr>
          <w:rFonts w:ascii="宋体" w:hAnsi="宋体"/>
          <w:b/>
          <w:bCs/>
          <w:color w:val="000000" w:themeColor="text1"/>
          <w:szCs w:val="21"/>
          <w14:textFill>
            <w14:solidFill>
              <w14:schemeClr w14:val="tx1"/>
            </w14:solidFill>
          </w14:textFill>
        </w:rPr>
        <w:t>起</w:t>
      </w:r>
      <w:r>
        <w:rPr>
          <w:rFonts w:ascii="宋体" w:hAnsi="宋体"/>
          <w:b/>
          <w:bCs/>
          <w:color w:val="000000" w:themeColor="text1"/>
          <w:szCs w:val="21"/>
          <w:u w:val="single"/>
          <w14:textFill>
            <w14:solidFill>
              <w14:schemeClr w14:val="tx1"/>
            </w14:solidFill>
          </w14:textFill>
        </w:rPr>
        <w:t xml:space="preserve"> 90 </w:t>
      </w:r>
      <w:r>
        <w:rPr>
          <w:rFonts w:ascii="宋体" w:hAnsi="宋体"/>
          <w:b/>
          <w:bCs/>
          <w:color w:val="000000" w:themeColor="text1"/>
          <w:szCs w:val="21"/>
          <w14:textFill>
            <w14:solidFill>
              <w14:schemeClr w14:val="tx1"/>
            </w14:solidFill>
          </w14:textFill>
        </w:rPr>
        <w:t>天</w:t>
      </w:r>
      <w:r>
        <w:rPr>
          <w:rFonts w:ascii="宋体" w:hAnsi="宋体"/>
          <w:color w:val="000000" w:themeColor="text1"/>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（4）如成交，本响应文件至本项目合同履行完毕止均保持有效，本供应商将按“采购文件”及政府采购法律、法规的规定履行合同责任和义务，并承诺不分包及转包他人。</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（5）供应商同意按照贵方要求提供与响应有关的一切数据或资料。</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（6）与本项目有关的一切正式往来信函请寄：</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邮编：</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电话：</w:t>
      </w:r>
      <w:r>
        <w:rPr>
          <w:rFonts w:ascii="宋体" w:hAnsi="宋体"/>
          <w:color w:val="000000" w:themeColor="text1"/>
          <w:szCs w:val="21"/>
          <w:u w:val="single"/>
          <w14:textFill>
            <w14:solidFill>
              <w14:schemeClr w14:val="tx1"/>
            </w14:solidFill>
          </w14:textFill>
        </w:rPr>
        <w:t xml:space="preserve">            </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供应商代表姓名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邮箱：</w:t>
      </w:r>
      <w:r>
        <w:rPr>
          <w:rFonts w:ascii="宋体" w:hAnsi="宋体"/>
          <w:color w:val="000000" w:themeColor="text1"/>
          <w:szCs w:val="21"/>
          <w:u w:val="single"/>
          <w14:textFill>
            <w14:solidFill>
              <w14:schemeClr w14:val="tx1"/>
            </w14:solidFill>
          </w14:textFill>
        </w:rPr>
        <w:t xml:space="preserve">              </w:t>
      </w: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ascii="宋体" w:hAnsi="宋体"/>
          <w:b/>
          <w:color w:val="000000" w:themeColor="text1"/>
          <w:szCs w:val="21"/>
          <w14:textFill>
            <w14:solidFill>
              <w14:schemeClr w14:val="tx1"/>
            </w14:solidFill>
          </w14:textFill>
        </w:rPr>
        <w:t>2．响应报价明细表格式：</w:t>
      </w:r>
    </w:p>
    <w:p>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响应报价明细表</w:t>
      </w:r>
    </w:p>
    <w:p>
      <w:pPr>
        <w:ind w:firstLine="2415" w:firstLineChars="1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金额单位：人民币（元）</w:t>
      </w:r>
    </w:p>
    <w:tbl>
      <w:tblPr>
        <w:tblStyle w:val="24"/>
        <w:tblW w:w="862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tblPrEx>
          <w:tblLayout w:type="fixed"/>
          <w:tblCellMar>
            <w:top w:w="0" w:type="dxa"/>
            <w:left w:w="108" w:type="dxa"/>
            <w:bottom w:w="0" w:type="dxa"/>
            <w:right w:w="108" w:type="dxa"/>
          </w:tblCellMar>
        </w:tblPrEx>
        <w:trPr>
          <w:trHeight w:val="883"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服务商</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r>
              <w:rPr>
                <w:rFonts w:ascii="宋体" w:hAnsi="宋体"/>
                <w:color w:val="000000" w:themeColor="text1"/>
                <w:spacing w:val="20"/>
                <w:szCs w:val="21"/>
                <w14:textFill>
                  <w14:solidFill>
                    <w14:schemeClr w14:val="tx1"/>
                  </w14:solidFill>
                </w14:textFill>
              </w:rPr>
              <w:t>……</w:t>
            </w: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pacing w:val="20"/>
                <w:szCs w:val="21"/>
                <w14:textFill>
                  <w14:solidFill>
                    <w14:schemeClr w14:val="tx1"/>
                  </w14:solidFill>
                </w14:textFill>
              </w:rPr>
            </w:pPr>
          </w:p>
        </w:tc>
      </w:tr>
    </w:tbl>
    <w:p>
      <w:pPr>
        <w:rPr>
          <w:rFonts w:hint="eastAsia" w:ascii="宋体" w:hAnsi="宋体"/>
          <w:color w:val="000000" w:themeColor="text1"/>
          <w:spacing w:val="20"/>
          <w:szCs w:val="21"/>
          <w:u w:val="single"/>
          <w14:textFill>
            <w14:solidFill>
              <w14:schemeClr w14:val="tx1"/>
            </w14:solidFill>
          </w14:textFill>
        </w:rPr>
      </w:pPr>
    </w:p>
    <w:p>
      <w:pPr>
        <w:spacing w:line="360" w:lineRule="auto"/>
        <w:rPr>
          <w:rFonts w:hint="eastAsia" w:ascii="宋体" w:hAnsi="宋体"/>
          <w:color w:val="000000" w:themeColor="text1"/>
          <w:spacing w:val="20"/>
          <w:szCs w:val="21"/>
          <w14:textFill>
            <w14:solidFill>
              <w14:schemeClr w14:val="tx1"/>
            </w14:solidFill>
          </w14:textFill>
        </w:rPr>
      </w:pPr>
    </w:p>
    <w:p>
      <w:pPr>
        <w:pStyle w:val="6"/>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注：本表如</w:t>
      </w:r>
      <w:r>
        <w:rPr>
          <w:rFonts w:ascii="宋体" w:hAnsi="宋体"/>
          <w:color w:val="000000" w:themeColor="text1"/>
          <w14:textFill>
            <w14:solidFill>
              <w14:schemeClr w14:val="tx1"/>
            </w14:solidFill>
          </w14:textFill>
        </w:rPr>
        <w:t>与广西政府采购云平台不一致的，以广西政府采购云平台为准。</w:t>
      </w:r>
    </w:p>
    <w:p>
      <w:pPr>
        <w:jc w:val="left"/>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pacing w:val="20"/>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供应商名称（电子签章）：</w:t>
      </w:r>
      <w:r>
        <w:rPr>
          <w:rFonts w:ascii="宋体" w:hAnsi="宋体"/>
          <w:color w:val="000000" w:themeColor="text1"/>
          <w:szCs w:val="21"/>
          <w:u w:val="single"/>
          <w14:textFill>
            <w14:solidFill>
              <w14:schemeClr w14:val="tx1"/>
            </w14:solidFill>
          </w14:textFill>
        </w:rPr>
        <w:t xml:space="preserve">                          </w:t>
      </w:r>
    </w:p>
    <w:p>
      <w:pPr>
        <w:spacing w:line="360" w:lineRule="auto"/>
        <w:rPr>
          <w:rFonts w:hint="eastAsia"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日  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p>
    <w:p>
      <w:pPr>
        <w:snapToGrid w:val="0"/>
        <w:spacing w:before="50" w:after="156" w:afterLines="50"/>
        <w:jc w:val="left"/>
        <w:outlineLvl w:val="1"/>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102" w:name="_Hlk65852042"/>
    </w:p>
    <w:p>
      <w:pPr>
        <w:widowControl/>
        <w:jc w:val="left"/>
        <w:outlineLvl w:val="1"/>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3.开标一览表</w:t>
      </w:r>
    </w:p>
    <w:p>
      <w:pPr>
        <w:widowControl/>
        <w:jc w:val="left"/>
        <w:rPr>
          <w:rFonts w:hint="eastAsia" w:ascii="宋体" w:hAnsi="宋体"/>
          <w:color w:val="000000" w:themeColor="text1"/>
          <w:szCs w:val="21"/>
          <w14:textFill>
            <w14:solidFill>
              <w14:schemeClr w14:val="tx1"/>
            </w14:solidFill>
          </w14:textFill>
        </w:rPr>
      </w:pPr>
    </w:p>
    <w:p>
      <w:pPr>
        <w:widowControl/>
        <w:jc w:val="left"/>
        <w:rPr>
          <w:rFonts w:hint="eastAsia" w:ascii="宋体" w:hAnsi="宋体"/>
          <w:color w:val="000000" w:themeColor="text1"/>
          <w:szCs w:val="21"/>
          <w14:textFill>
            <w14:solidFill>
              <w14:schemeClr w14:val="tx1"/>
            </w14:solidFill>
          </w14:textFill>
        </w:rPr>
      </w:pPr>
    </w:p>
    <w:p>
      <w:pPr>
        <w:widowControl/>
        <w:jc w:val="left"/>
        <w:rPr>
          <w:rFonts w:hint="eastAsia" w:ascii="宋体" w:hAnsi="宋体"/>
          <w:color w:val="000000" w:themeColor="text1"/>
          <w:szCs w:val="21"/>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格式详见广西政府采购云平台，且仅在广西政府采购云平台填写即可。</w:t>
      </w:r>
    </w:p>
    <w:p>
      <w:pPr>
        <w:widowControl/>
        <w:jc w:val="left"/>
        <w:rPr>
          <w:rFonts w:hint="eastAsia" w:ascii="宋体" w:hAnsi="宋体"/>
          <w:color w:val="000000" w:themeColor="text1"/>
          <w:szCs w:val="21"/>
          <w14:textFill>
            <w14:solidFill>
              <w14:schemeClr w14:val="tx1"/>
            </w14:solidFill>
          </w14:textFill>
        </w:rPr>
      </w:pPr>
    </w:p>
    <w:bookmarkEnd w:id="102"/>
    <w:p>
      <w:pPr>
        <w:spacing w:line="360" w:lineRule="auto"/>
        <w:ind w:firstLine="420"/>
        <w:rPr>
          <w:rFonts w:hint="eastAsia" w:ascii="宋体" w:hAnsi="宋体"/>
          <w:color w:val="000000" w:themeColor="text1"/>
          <w:szCs w:val="21"/>
          <w14:textFill>
            <w14:solidFill>
              <w14:schemeClr w14:val="tx1"/>
            </w14:solidFill>
          </w14:textFill>
        </w:rPr>
      </w:pPr>
    </w:p>
    <w:p>
      <w:pPr>
        <w:snapToGrid w:val="0"/>
        <w:spacing w:before="156" w:beforeLines="50" w:after="50" w:line="440" w:lineRule="exact"/>
        <w:jc w:val="left"/>
        <w:outlineLvl w:val="1"/>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w:t>
      </w:r>
    </w:p>
    <w:p>
      <w:pPr>
        <w:snapToGrid w:val="0"/>
        <w:spacing w:before="156" w:beforeLines="50" w:after="50" w:line="360" w:lineRule="exact"/>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w:t>
      </w:r>
    </w:p>
    <w:p>
      <w:pPr>
        <w:rPr>
          <w:rFonts w:hint="eastAsia" w:ascii="宋体" w:hAnsi="宋体"/>
          <w:color w:val="000000" w:themeColor="text1"/>
          <w14:textFill>
            <w14:solidFill>
              <w14:schemeClr w14:val="tx1"/>
            </w14:solidFill>
          </w14:textFill>
        </w:rPr>
      </w:pPr>
    </w:p>
    <w:p>
      <w:pPr>
        <w:spacing w:line="560" w:lineRule="exact"/>
        <w:ind w:firstLine="640" w:firstLineChars="200"/>
        <w:contextualSpacing/>
        <w:rPr>
          <w:rFonts w:hint="eastAsia" w:ascii="宋体" w:hAnsi="宋体"/>
          <w:color w:val="000000" w:themeColor="text1"/>
          <w:kern w:val="0"/>
          <w:sz w:val="32"/>
          <w:szCs w:val="32"/>
          <w:lang w:bidi="ar"/>
          <w14:textFill>
            <w14:solidFill>
              <w14:schemeClr w14:val="tx1"/>
            </w14:solidFill>
          </w14:textFill>
        </w:rPr>
      </w:pPr>
    </w:p>
    <w:sectPr>
      <w:pgSz w:w="11906" w:h="16838"/>
      <w:pgMar w:top="1418" w:right="1418"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0"/>
      </w:rPr>
    </w:pPr>
    <w:r>
      <w:fldChar w:fldCharType="begin"/>
    </w:r>
    <w:r>
      <w:rPr>
        <w:rStyle w:val="20"/>
        <w:sz w:val="21"/>
        <w:szCs w:val="24"/>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0"/>
      </w:rPr>
    </w:pPr>
    <w:r>
      <w:fldChar w:fldCharType="begin"/>
    </w:r>
    <w:r>
      <w:rPr>
        <w:rStyle w:val="20"/>
        <w:sz w:val="21"/>
        <w:szCs w:val="24"/>
      </w:rPr>
      <w:instrText xml:space="preserve">PAGE  </w:instrText>
    </w:r>
    <w:r>
      <w:fldChar w:fldCharType="separate"/>
    </w:r>
    <w:r>
      <w:rPr>
        <w:rStyle w:val="20"/>
        <w:sz w:val="21"/>
        <w:szCs w:val="24"/>
      </w:rPr>
      <w:t>8</w:t>
    </w:r>
    <w:r>
      <w:fldChar w:fldCharType="end"/>
    </w:r>
  </w:p>
  <w:p>
    <w:pPr>
      <w:pStyle w:val="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0"/>
      </w:rPr>
    </w:pPr>
    <w:r>
      <w:fldChar w:fldCharType="begin"/>
    </w:r>
    <w:r>
      <w:rPr>
        <w:rStyle w:val="20"/>
        <w:sz w:val="21"/>
        <w:szCs w:val="24"/>
      </w:rPr>
      <w:instrText xml:space="preserve">PAGE  </w:instrText>
    </w:r>
    <w:r>
      <w:fldChar w:fldCharType="separate"/>
    </w:r>
    <w:r>
      <w:rPr>
        <w:rStyle w:val="20"/>
        <w:sz w:val="21"/>
        <w:szCs w:val="24"/>
      </w:rPr>
      <w:t>57</w:t>
    </w:r>
    <w:r>
      <w:fldChar w:fldCharType="end"/>
    </w:r>
  </w:p>
  <w:p>
    <w:pPr>
      <w:pStyle w:val="2"/>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p>
    <w:pPr>
      <w:pStyle w:val="14"/>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B2DE9"/>
    <w:multiLevelType w:val="singleLevel"/>
    <w:tmpl w:val="958B2DE9"/>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yZWYyNzU0Nzk1OWU1NDE5NWRmNzBiYWVlZjc1MjQifQ=="/>
  </w:docVars>
  <w:rsids>
    <w:rsidRoot w:val="002C6A22"/>
    <w:rsid w:val="00000A62"/>
    <w:rsid w:val="000017CB"/>
    <w:rsid w:val="00004339"/>
    <w:rsid w:val="00005540"/>
    <w:rsid w:val="000138DE"/>
    <w:rsid w:val="00014F20"/>
    <w:rsid w:val="00015797"/>
    <w:rsid w:val="00015AB5"/>
    <w:rsid w:val="00017DF3"/>
    <w:rsid w:val="000216E1"/>
    <w:rsid w:val="0002201A"/>
    <w:rsid w:val="00022634"/>
    <w:rsid w:val="00024CF1"/>
    <w:rsid w:val="00026356"/>
    <w:rsid w:val="00027A52"/>
    <w:rsid w:val="00027E0A"/>
    <w:rsid w:val="00032DCA"/>
    <w:rsid w:val="0003344F"/>
    <w:rsid w:val="00046BC5"/>
    <w:rsid w:val="00051109"/>
    <w:rsid w:val="00054C56"/>
    <w:rsid w:val="0005683E"/>
    <w:rsid w:val="00056DE4"/>
    <w:rsid w:val="000574C7"/>
    <w:rsid w:val="00060751"/>
    <w:rsid w:val="00060E88"/>
    <w:rsid w:val="00061C56"/>
    <w:rsid w:val="00061E63"/>
    <w:rsid w:val="000633C2"/>
    <w:rsid w:val="00063774"/>
    <w:rsid w:val="00065BA3"/>
    <w:rsid w:val="00066459"/>
    <w:rsid w:val="00067015"/>
    <w:rsid w:val="0007116C"/>
    <w:rsid w:val="00071CC2"/>
    <w:rsid w:val="000837D7"/>
    <w:rsid w:val="00086221"/>
    <w:rsid w:val="00087B06"/>
    <w:rsid w:val="00092E26"/>
    <w:rsid w:val="00095776"/>
    <w:rsid w:val="00095CB2"/>
    <w:rsid w:val="000A2499"/>
    <w:rsid w:val="000A39FB"/>
    <w:rsid w:val="000A7317"/>
    <w:rsid w:val="000B04A1"/>
    <w:rsid w:val="000B1918"/>
    <w:rsid w:val="000B1951"/>
    <w:rsid w:val="000B24B4"/>
    <w:rsid w:val="000B3B44"/>
    <w:rsid w:val="000C0012"/>
    <w:rsid w:val="000C1094"/>
    <w:rsid w:val="000C2520"/>
    <w:rsid w:val="000C2BC7"/>
    <w:rsid w:val="000C4B79"/>
    <w:rsid w:val="000D01E4"/>
    <w:rsid w:val="000D1D66"/>
    <w:rsid w:val="000D347E"/>
    <w:rsid w:val="000D3BF2"/>
    <w:rsid w:val="000D3D54"/>
    <w:rsid w:val="000D6264"/>
    <w:rsid w:val="000D62AF"/>
    <w:rsid w:val="000D64DC"/>
    <w:rsid w:val="000D6918"/>
    <w:rsid w:val="000D6E27"/>
    <w:rsid w:val="000E0F5B"/>
    <w:rsid w:val="000E7743"/>
    <w:rsid w:val="000F108D"/>
    <w:rsid w:val="000F1A35"/>
    <w:rsid w:val="000F213A"/>
    <w:rsid w:val="000F2EB5"/>
    <w:rsid w:val="000F4577"/>
    <w:rsid w:val="000F6409"/>
    <w:rsid w:val="000F7160"/>
    <w:rsid w:val="000F7C3F"/>
    <w:rsid w:val="001002F1"/>
    <w:rsid w:val="001051DF"/>
    <w:rsid w:val="00111DEE"/>
    <w:rsid w:val="001148AD"/>
    <w:rsid w:val="00116681"/>
    <w:rsid w:val="00116F75"/>
    <w:rsid w:val="0011734B"/>
    <w:rsid w:val="00122A7E"/>
    <w:rsid w:val="00124133"/>
    <w:rsid w:val="00124318"/>
    <w:rsid w:val="001246BB"/>
    <w:rsid w:val="0012637E"/>
    <w:rsid w:val="001269CD"/>
    <w:rsid w:val="0012775F"/>
    <w:rsid w:val="00130269"/>
    <w:rsid w:val="00131F4C"/>
    <w:rsid w:val="00132A2A"/>
    <w:rsid w:val="00133709"/>
    <w:rsid w:val="001343FD"/>
    <w:rsid w:val="00134BA9"/>
    <w:rsid w:val="001361B2"/>
    <w:rsid w:val="00136438"/>
    <w:rsid w:val="0013798E"/>
    <w:rsid w:val="001404A8"/>
    <w:rsid w:val="00140BC4"/>
    <w:rsid w:val="0015097B"/>
    <w:rsid w:val="00150AE1"/>
    <w:rsid w:val="00151421"/>
    <w:rsid w:val="001524F3"/>
    <w:rsid w:val="0015250B"/>
    <w:rsid w:val="00155D91"/>
    <w:rsid w:val="00157199"/>
    <w:rsid w:val="001629FC"/>
    <w:rsid w:val="00165C27"/>
    <w:rsid w:val="001676C6"/>
    <w:rsid w:val="00170881"/>
    <w:rsid w:val="00172706"/>
    <w:rsid w:val="0017332F"/>
    <w:rsid w:val="00173481"/>
    <w:rsid w:val="00173A6C"/>
    <w:rsid w:val="001756EC"/>
    <w:rsid w:val="00177151"/>
    <w:rsid w:val="001813D3"/>
    <w:rsid w:val="001831C5"/>
    <w:rsid w:val="00187AD7"/>
    <w:rsid w:val="001926FA"/>
    <w:rsid w:val="00192ACB"/>
    <w:rsid w:val="001934CB"/>
    <w:rsid w:val="00194F8E"/>
    <w:rsid w:val="00195F9A"/>
    <w:rsid w:val="001A0619"/>
    <w:rsid w:val="001A1252"/>
    <w:rsid w:val="001A3EFB"/>
    <w:rsid w:val="001A5BB2"/>
    <w:rsid w:val="001B5453"/>
    <w:rsid w:val="001B5BB9"/>
    <w:rsid w:val="001B6EF1"/>
    <w:rsid w:val="001C107E"/>
    <w:rsid w:val="001C3097"/>
    <w:rsid w:val="001C425F"/>
    <w:rsid w:val="001C478D"/>
    <w:rsid w:val="001C558B"/>
    <w:rsid w:val="001C62DF"/>
    <w:rsid w:val="001D6D69"/>
    <w:rsid w:val="001D6E35"/>
    <w:rsid w:val="001D7396"/>
    <w:rsid w:val="001D7AEB"/>
    <w:rsid w:val="001E119B"/>
    <w:rsid w:val="001E2D5A"/>
    <w:rsid w:val="001E65FE"/>
    <w:rsid w:val="001E6AA7"/>
    <w:rsid w:val="001F0B2D"/>
    <w:rsid w:val="001F3711"/>
    <w:rsid w:val="001F3874"/>
    <w:rsid w:val="001F3A5A"/>
    <w:rsid w:val="001F62E7"/>
    <w:rsid w:val="001F75B7"/>
    <w:rsid w:val="001F7662"/>
    <w:rsid w:val="001F7788"/>
    <w:rsid w:val="001F7CB8"/>
    <w:rsid w:val="001F7F40"/>
    <w:rsid w:val="00203FC7"/>
    <w:rsid w:val="00205907"/>
    <w:rsid w:val="00205A83"/>
    <w:rsid w:val="00206571"/>
    <w:rsid w:val="00206ADB"/>
    <w:rsid w:val="00210D0B"/>
    <w:rsid w:val="002114D3"/>
    <w:rsid w:val="00217646"/>
    <w:rsid w:val="0022046E"/>
    <w:rsid w:val="00222620"/>
    <w:rsid w:val="00227245"/>
    <w:rsid w:val="002315EA"/>
    <w:rsid w:val="00233061"/>
    <w:rsid w:val="00233A83"/>
    <w:rsid w:val="00236728"/>
    <w:rsid w:val="00237D04"/>
    <w:rsid w:val="00243F52"/>
    <w:rsid w:val="00244724"/>
    <w:rsid w:val="00244EBE"/>
    <w:rsid w:val="00246583"/>
    <w:rsid w:val="00247108"/>
    <w:rsid w:val="00251184"/>
    <w:rsid w:val="002529B7"/>
    <w:rsid w:val="0025635A"/>
    <w:rsid w:val="0025709E"/>
    <w:rsid w:val="00257334"/>
    <w:rsid w:val="00261926"/>
    <w:rsid w:val="00262A3D"/>
    <w:rsid w:val="00263899"/>
    <w:rsid w:val="00263F0F"/>
    <w:rsid w:val="00266122"/>
    <w:rsid w:val="00267B82"/>
    <w:rsid w:val="00267F40"/>
    <w:rsid w:val="002738C4"/>
    <w:rsid w:val="00276E4D"/>
    <w:rsid w:val="00277D83"/>
    <w:rsid w:val="00283B45"/>
    <w:rsid w:val="00285E73"/>
    <w:rsid w:val="00286D49"/>
    <w:rsid w:val="00286D4C"/>
    <w:rsid w:val="00290EC8"/>
    <w:rsid w:val="002918FB"/>
    <w:rsid w:val="00293B85"/>
    <w:rsid w:val="0029544D"/>
    <w:rsid w:val="002956AF"/>
    <w:rsid w:val="002956F1"/>
    <w:rsid w:val="00296ED2"/>
    <w:rsid w:val="00297BA8"/>
    <w:rsid w:val="002A0C30"/>
    <w:rsid w:val="002A16E3"/>
    <w:rsid w:val="002A43AD"/>
    <w:rsid w:val="002A4F75"/>
    <w:rsid w:val="002A5E2F"/>
    <w:rsid w:val="002A6109"/>
    <w:rsid w:val="002A72F4"/>
    <w:rsid w:val="002A796A"/>
    <w:rsid w:val="002B2199"/>
    <w:rsid w:val="002B3381"/>
    <w:rsid w:val="002B3CC0"/>
    <w:rsid w:val="002B4421"/>
    <w:rsid w:val="002B78F3"/>
    <w:rsid w:val="002B7BC6"/>
    <w:rsid w:val="002C0C31"/>
    <w:rsid w:val="002C1DAE"/>
    <w:rsid w:val="002C2675"/>
    <w:rsid w:val="002C434E"/>
    <w:rsid w:val="002C4A21"/>
    <w:rsid w:val="002C4C61"/>
    <w:rsid w:val="002C6A22"/>
    <w:rsid w:val="002C6D66"/>
    <w:rsid w:val="002D16E8"/>
    <w:rsid w:val="002D1853"/>
    <w:rsid w:val="002D1D1E"/>
    <w:rsid w:val="002D25B4"/>
    <w:rsid w:val="002D269B"/>
    <w:rsid w:val="002D514B"/>
    <w:rsid w:val="002D68AB"/>
    <w:rsid w:val="002D6EB6"/>
    <w:rsid w:val="002D76AB"/>
    <w:rsid w:val="002D7EBC"/>
    <w:rsid w:val="002E4195"/>
    <w:rsid w:val="002E5D83"/>
    <w:rsid w:val="002E6257"/>
    <w:rsid w:val="002F0C47"/>
    <w:rsid w:val="002F2171"/>
    <w:rsid w:val="002F219F"/>
    <w:rsid w:val="002F66F4"/>
    <w:rsid w:val="00300BA1"/>
    <w:rsid w:val="00303FC6"/>
    <w:rsid w:val="0030452B"/>
    <w:rsid w:val="0030751B"/>
    <w:rsid w:val="00310E24"/>
    <w:rsid w:val="00312E6F"/>
    <w:rsid w:val="003130D8"/>
    <w:rsid w:val="00315743"/>
    <w:rsid w:val="00315821"/>
    <w:rsid w:val="00315AC4"/>
    <w:rsid w:val="0031644E"/>
    <w:rsid w:val="003249BB"/>
    <w:rsid w:val="00325CEC"/>
    <w:rsid w:val="003274E5"/>
    <w:rsid w:val="00330004"/>
    <w:rsid w:val="003361B9"/>
    <w:rsid w:val="003376F2"/>
    <w:rsid w:val="003400C2"/>
    <w:rsid w:val="00345870"/>
    <w:rsid w:val="003458CB"/>
    <w:rsid w:val="00346BF5"/>
    <w:rsid w:val="00350D1A"/>
    <w:rsid w:val="00351955"/>
    <w:rsid w:val="0035452B"/>
    <w:rsid w:val="0035461E"/>
    <w:rsid w:val="00356597"/>
    <w:rsid w:val="00361712"/>
    <w:rsid w:val="00364276"/>
    <w:rsid w:val="00364AA3"/>
    <w:rsid w:val="00364C18"/>
    <w:rsid w:val="00367BD7"/>
    <w:rsid w:val="00370600"/>
    <w:rsid w:val="0037081D"/>
    <w:rsid w:val="00371830"/>
    <w:rsid w:val="003723ED"/>
    <w:rsid w:val="003804D8"/>
    <w:rsid w:val="00384FD5"/>
    <w:rsid w:val="00385731"/>
    <w:rsid w:val="00386EB3"/>
    <w:rsid w:val="003904B3"/>
    <w:rsid w:val="003927E8"/>
    <w:rsid w:val="003937F2"/>
    <w:rsid w:val="00393B62"/>
    <w:rsid w:val="0039514B"/>
    <w:rsid w:val="003A3DAB"/>
    <w:rsid w:val="003A5177"/>
    <w:rsid w:val="003A6EC0"/>
    <w:rsid w:val="003B17E2"/>
    <w:rsid w:val="003B3D98"/>
    <w:rsid w:val="003B5311"/>
    <w:rsid w:val="003B5513"/>
    <w:rsid w:val="003B5B1E"/>
    <w:rsid w:val="003B68E8"/>
    <w:rsid w:val="003C04BE"/>
    <w:rsid w:val="003C091E"/>
    <w:rsid w:val="003C10FB"/>
    <w:rsid w:val="003C18CF"/>
    <w:rsid w:val="003C2D50"/>
    <w:rsid w:val="003C2FE6"/>
    <w:rsid w:val="003C336C"/>
    <w:rsid w:val="003C6612"/>
    <w:rsid w:val="003C7D59"/>
    <w:rsid w:val="003D07A2"/>
    <w:rsid w:val="003D1FA9"/>
    <w:rsid w:val="003D612F"/>
    <w:rsid w:val="003D7180"/>
    <w:rsid w:val="003E05A1"/>
    <w:rsid w:val="003E146F"/>
    <w:rsid w:val="003E25AE"/>
    <w:rsid w:val="003E3932"/>
    <w:rsid w:val="003E3D80"/>
    <w:rsid w:val="003E4704"/>
    <w:rsid w:val="003E4775"/>
    <w:rsid w:val="003E4F3A"/>
    <w:rsid w:val="003E5A23"/>
    <w:rsid w:val="003E5D43"/>
    <w:rsid w:val="003F03D3"/>
    <w:rsid w:val="003F4A6F"/>
    <w:rsid w:val="003F6048"/>
    <w:rsid w:val="003F683B"/>
    <w:rsid w:val="003F6BE5"/>
    <w:rsid w:val="004008E0"/>
    <w:rsid w:val="00404EBE"/>
    <w:rsid w:val="00407A50"/>
    <w:rsid w:val="004100B5"/>
    <w:rsid w:val="00411318"/>
    <w:rsid w:val="00413F8D"/>
    <w:rsid w:val="004230BE"/>
    <w:rsid w:val="00423F5B"/>
    <w:rsid w:val="00426894"/>
    <w:rsid w:val="00431019"/>
    <w:rsid w:val="00431361"/>
    <w:rsid w:val="0043233D"/>
    <w:rsid w:val="00433B9C"/>
    <w:rsid w:val="00435D4E"/>
    <w:rsid w:val="00440875"/>
    <w:rsid w:val="004413FF"/>
    <w:rsid w:val="004432F0"/>
    <w:rsid w:val="00443BE0"/>
    <w:rsid w:val="00444E0F"/>
    <w:rsid w:val="004466FC"/>
    <w:rsid w:val="00452BC1"/>
    <w:rsid w:val="004535E1"/>
    <w:rsid w:val="00454183"/>
    <w:rsid w:val="00454E33"/>
    <w:rsid w:val="0045584B"/>
    <w:rsid w:val="004568D0"/>
    <w:rsid w:val="00461196"/>
    <w:rsid w:val="00462E90"/>
    <w:rsid w:val="00463671"/>
    <w:rsid w:val="00465F2C"/>
    <w:rsid w:val="004666C3"/>
    <w:rsid w:val="00467081"/>
    <w:rsid w:val="00467548"/>
    <w:rsid w:val="00467697"/>
    <w:rsid w:val="00467FAF"/>
    <w:rsid w:val="004718F4"/>
    <w:rsid w:val="004725EC"/>
    <w:rsid w:val="00472A56"/>
    <w:rsid w:val="004751B4"/>
    <w:rsid w:val="00476D66"/>
    <w:rsid w:val="00477716"/>
    <w:rsid w:val="00482E3B"/>
    <w:rsid w:val="00486A12"/>
    <w:rsid w:val="00486BDF"/>
    <w:rsid w:val="00487CB6"/>
    <w:rsid w:val="00491055"/>
    <w:rsid w:val="00493443"/>
    <w:rsid w:val="00493751"/>
    <w:rsid w:val="00494636"/>
    <w:rsid w:val="004A1524"/>
    <w:rsid w:val="004A43E2"/>
    <w:rsid w:val="004A44DF"/>
    <w:rsid w:val="004A470A"/>
    <w:rsid w:val="004A5478"/>
    <w:rsid w:val="004A592B"/>
    <w:rsid w:val="004A5AF0"/>
    <w:rsid w:val="004A614A"/>
    <w:rsid w:val="004A6BFC"/>
    <w:rsid w:val="004A6E72"/>
    <w:rsid w:val="004A7237"/>
    <w:rsid w:val="004B3BF9"/>
    <w:rsid w:val="004B475A"/>
    <w:rsid w:val="004B4D2A"/>
    <w:rsid w:val="004B5EE5"/>
    <w:rsid w:val="004B6CF3"/>
    <w:rsid w:val="004B7AEF"/>
    <w:rsid w:val="004B7D65"/>
    <w:rsid w:val="004C0CAB"/>
    <w:rsid w:val="004C23A9"/>
    <w:rsid w:val="004C41A2"/>
    <w:rsid w:val="004C65FE"/>
    <w:rsid w:val="004D175D"/>
    <w:rsid w:val="004D3179"/>
    <w:rsid w:val="004D325D"/>
    <w:rsid w:val="004D534D"/>
    <w:rsid w:val="004D5A77"/>
    <w:rsid w:val="004D6A32"/>
    <w:rsid w:val="004E2820"/>
    <w:rsid w:val="004E2A91"/>
    <w:rsid w:val="004E556C"/>
    <w:rsid w:val="004F2E4D"/>
    <w:rsid w:val="004F3B1D"/>
    <w:rsid w:val="004F6386"/>
    <w:rsid w:val="0050021D"/>
    <w:rsid w:val="00501110"/>
    <w:rsid w:val="00503310"/>
    <w:rsid w:val="00503E07"/>
    <w:rsid w:val="0050557F"/>
    <w:rsid w:val="00505963"/>
    <w:rsid w:val="00506B31"/>
    <w:rsid w:val="00507DE2"/>
    <w:rsid w:val="0051309D"/>
    <w:rsid w:val="00513639"/>
    <w:rsid w:val="00513EED"/>
    <w:rsid w:val="005146E5"/>
    <w:rsid w:val="005158EB"/>
    <w:rsid w:val="00517113"/>
    <w:rsid w:val="0052026A"/>
    <w:rsid w:val="00522146"/>
    <w:rsid w:val="00524231"/>
    <w:rsid w:val="005312B7"/>
    <w:rsid w:val="005336ED"/>
    <w:rsid w:val="00534EB6"/>
    <w:rsid w:val="00541467"/>
    <w:rsid w:val="00543FBF"/>
    <w:rsid w:val="0054529B"/>
    <w:rsid w:val="0054544E"/>
    <w:rsid w:val="005573C1"/>
    <w:rsid w:val="00560274"/>
    <w:rsid w:val="00560BDB"/>
    <w:rsid w:val="00564AEF"/>
    <w:rsid w:val="005709B2"/>
    <w:rsid w:val="00570F43"/>
    <w:rsid w:val="00571475"/>
    <w:rsid w:val="00571CA7"/>
    <w:rsid w:val="00571D39"/>
    <w:rsid w:val="0057253E"/>
    <w:rsid w:val="00572890"/>
    <w:rsid w:val="005742C7"/>
    <w:rsid w:val="00575ED6"/>
    <w:rsid w:val="00575F28"/>
    <w:rsid w:val="00576A95"/>
    <w:rsid w:val="00576DD8"/>
    <w:rsid w:val="00577500"/>
    <w:rsid w:val="00581CFE"/>
    <w:rsid w:val="00582283"/>
    <w:rsid w:val="00584E0A"/>
    <w:rsid w:val="00585BD3"/>
    <w:rsid w:val="00594626"/>
    <w:rsid w:val="005A07F7"/>
    <w:rsid w:val="005A31F9"/>
    <w:rsid w:val="005A365B"/>
    <w:rsid w:val="005A549D"/>
    <w:rsid w:val="005B0FBC"/>
    <w:rsid w:val="005B66A0"/>
    <w:rsid w:val="005C0AA9"/>
    <w:rsid w:val="005C4276"/>
    <w:rsid w:val="005C43F7"/>
    <w:rsid w:val="005C4E67"/>
    <w:rsid w:val="005D58F4"/>
    <w:rsid w:val="005D74EB"/>
    <w:rsid w:val="005E0528"/>
    <w:rsid w:val="005E0C33"/>
    <w:rsid w:val="005E1030"/>
    <w:rsid w:val="005E28D8"/>
    <w:rsid w:val="005E3681"/>
    <w:rsid w:val="005E36EA"/>
    <w:rsid w:val="005E3AF1"/>
    <w:rsid w:val="005E40A0"/>
    <w:rsid w:val="005E4C0E"/>
    <w:rsid w:val="005E672D"/>
    <w:rsid w:val="005E7E02"/>
    <w:rsid w:val="005F131B"/>
    <w:rsid w:val="005F436D"/>
    <w:rsid w:val="005F53E0"/>
    <w:rsid w:val="006005D6"/>
    <w:rsid w:val="00600B61"/>
    <w:rsid w:val="006013CA"/>
    <w:rsid w:val="00601555"/>
    <w:rsid w:val="00604159"/>
    <w:rsid w:val="006068C7"/>
    <w:rsid w:val="0061085B"/>
    <w:rsid w:val="006109D5"/>
    <w:rsid w:val="00612081"/>
    <w:rsid w:val="00620F31"/>
    <w:rsid w:val="00622190"/>
    <w:rsid w:val="00623C5B"/>
    <w:rsid w:val="00623FDE"/>
    <w:rsid w:val="006247D8"/>
    <w:rsid w:val="006310E6"/>
    <w:rsid w:val="00641513"/>
    <w:rsid w:val="00643E02"/>
    <w:rsid w:val="00644786"/>
    <w:rsid w:val="00646B51"/>
    <w:rsid w:val="006473EA"/>
    <w:rsid w:val="006510D2"/>
    <w:rsid w:val="00657526"/>
    <w:rsid w:val="00657777"/>
    <w:rsid w:val="00660A0A"/>
    <w:rsid w:val="00662071"/>
    <w:rsid w:val="00663D61"/>
    <w:rsid w:val="006655B6"/>
    <w:rsid w:val="006707E8"/>
    <w:rsid w:val="00671234"/>
    <w:rsid w:val="006821D9"/>
    <w:rsid w:val="006828AA"/>
    <w:rsid w:val="00686B77"/>
    <w:rsid w:val="00687BAD"/>
    <w:rsid w:val="006907AF"/>
    <w:rsid w:val="00696417"/>
    <w:rsid w:val="00697ABF"/>
    <w:rsid w:val="006A353A"/>
    <w:rsid w:val="006A3553"/>
    <w:rsid w:val="006A4CD3"/>
    <w:rsid w:val="006B10DF"/>
    <w:rsid w:val="006B389A"/>
    <w:rsid w:val="006B3A6E"/>
    <w:rsid w:val="006B41ED"/>
    <w:rsid w:val="006B5069"/>
    <w:rsid w:val="006B6726"/>
    <w:rsid w:val="006B6FCA"/>
    <w:rsid w:val="006B7105"/>
    <w:rsid w:val="006C0E51"/>
    <w:rsid w:val="006C1BE2"/>
    <w:rsid w:val="006C2EEC"/>
    <w:rsid w:val="006C4C13"/>
    <w:rsid w:val="006C5E14"/>
    <w:rsid w:val="006C5E87"/>
    <w:rsid w:val="006D1CB4"/>
    <w:rsid w:val="006D38D7"/>
    <w:rsid w:val="006D3A83"/>
    <w:rsid w:val="006D3AAD"/>
    <w:rsid w:val="006E0944"/>
    <w:rsid w:val="006F0907"/>
    <w:rsid w:val="006F0DD3"/>
    <w:rsid w:val="006F211F"/>
    <w:rsid w:val="006F24DB"/>
    <w:rsid w:val="006F2FB6"/>
    <w:rsid w:val="006F312D"/>
    <w:rsid w:val="006F79FF"/>
    <w:rsid w:val="007018BD"/>
    <w:rsid w:val="00701E32"/>
    <w:rsid w:val="0070333B"/>
    <w:rsid w:val="007039A9"/>
    <w:rsid w:val="00704C18"/>
    <w:rsid w:val="00710E74"/>
    <w:rsid w:val="007123FB"/>
    <w:rsid w:val="00715AE5"/>
    <w:rsid w:val="00717D69"/>
    <w:rsid w:val="00721C06"/>
    <w:rsid w:val="00722713"/>
    <w:rsid w:val="00723C6B"/>
    <w:rsid w:val="00724A9F"/>
    <w:rsid w:val="00725E8C"/>
    <w:rsid w:val="00727665"/>
    <w:rsid w:val="00731309"/>
    <w:rsid w:val="00735565"/>
    <w:rsid w:val="00735C1B"/>
    <w:rsid w:val="00737663"/>
    <w:rsid w:val="00740387"/>
    <w:rsid w:val="007406C6"/>
    <w:rsid w:val="00740CA4"/>
    <w:rsid w:val="007434BD"/>
    <w:rsid w:val="00746A31"/>
    <w:rsid w:val="00747275"/>
    <w:rsid w:val="007510A6"/>
    <w:rsid w:val="0075160F"/>
    <w:rsid w:val="00755DF0"/>
    <w:rsid w:val="007564B1"/>
    <w:rsid w:val="0075690F"/>
    <w:rsid w:val="0075712D"/>
    <w:rsid w:val="0076096C"/>
    <w:rsid w:val="0076254B"/>
    <w:rsid w:val="007628CD"/>
    <w:rsid w:val="007659A9"/>
    <w:rsid w:val="00765A8F"/>
    <w:rsid w:val="007679E7"/>
    <w:rsid w:val="00767F45"/>
    <w:rsid w:val="00767FB8"/>
    <w:rsid w:val="0077507C"/>
    <w:rsid w:val="00775CF8"/>
    <w:rsid w:val="00775ED3"/>
    <w:rsid w:val="00776BB8"/>
    <w:rsid w:val="00777DC3"/>
    <w:rsid w:val="007834EE"/>
    <w:rsid w:val="00784B9C"/>
    <w:rsid w:val="007964CA"/>
    <w:rsid w:val="007977BA"/>
    <w:rsid w:val="007A4322"/>
    <w:rsid w:val="007B10ED"/>
    <w:rsid w:val="007B1757"/>
    <w:rsid w:val="007B20E5"/>
    <w:rsid w:val="007B400A"/>
    <w:rsid w:val="007B4592"/>
    <w:rsid w:val="007B5759"/>
    <w:rsid w:val="007B5EDF"/>
    <w:rsid w:val="007B7B8E"/>
    <w:rsid w:val="007C7D00"/>
    <w:rsid w:val="007D203F"/>
    <w:rsid w:val="007D37E4"/>
    <w:rsid w:val="007D5BF5"/>
    <w:rsid w:val="007D5F63"/>
    <w:rsid w:val="007E18EF"/>
    <w:rsid w:val="007E1F32"/>
    <w:rsid w:val="007E290D"/>
    <w:rsid w:val="007E3EC2"/>
    <w:rsid w:val="007E7BDC"/>
    <w:rsid w:val="007F3483"/>
    <w:rsid w:val="007F368A"/>
    <w:rsid w:val="00801B35"/>
    <w:rsid w:val="00802AC8"/>
    <w:rsid w:val="008034FC"/>
    <w:rsid w:val="008064F5"/>
    <w:rsid w:val="00807E72"/>
    <w:rsid w:val="00811397"/>
    <w:rsid w:val="00812CD4"/>
    <w:rsid w:val="008134C7"/>
    <w:rsid w:val="0081629F"/>
    <w:rsid w:val="00821180"/>
    <w:rsid w:val="00823C85"/>
    <w:rsid w:val="0082670B"/>
    <w:rsid w:val="00826A74"/>
    <w:rsid w:val="0083055D"/>
    <w:rsid w:val="00830C6D"/>
    <w:rsid w:val="008340C5"/>
    <w:rsid w:val="00835E6D"/>
    <w:rsid w:val="008371F3"/>
    <w:rsid w:val="008376C4"/>
    <w:rsid w:val="008430B7"/>
    <w:rsid w:val="00843143"/>
    <w:rsid w:val="008435F9"/>
    <w:rsid w:val="0084393D"/>
    <w:rsid w:val="008450CB"/>
    <w:rsid w:val="00845679"/>
    <w:rsid w:val="00845EEF"/>
    <w:rsid w:val="00847E7C"/>
    <w:rsid w:val="00847F44"/>
    <w:rsid w:val="00853045"/>
    <w:rsid w:val="00854723"/>
    <w:rsid w:val="00857D25"/>
    <w:rsid w:val="008602D8"/>
    <w:rsid w:val="008608A3"/>
    <w:rsid w:val="0086109F"/>
    <w:rsid w:val="008616D5"/>
    <w:rsid w:val="008617CA"/>
    <w:rsid w:val="00862EBD"/>
    <w:rsid w:val="00863D1D"/>
    <w:rsid w:val="008677D5"/>
    <w:rsid w:val="0087147A"/>
    <w:rsid w:val="00871C50"/>
    <w:rsid w:val="008721F6"/>
    <w:rsid w:val="008724F0"/>
    <w:rsid w:val="0087335C"/>
    <w:rsid w:val="00876F88"/>
    <w:rsid w:val="00880468"/>
    <w:rsid w:val="00881DE3"/>
    <w:rsid w:val="008823E2"/>
    <w:rsid w:val="00885B98"/>
    <w:rsid w:val="008905B8"/>
    <w:rsid w:val="00891E25"/>
    <w:rsid w:val="00892D48"/>
    <w:rsid w:val="00895385"/>
    <w:rsid w:val="00896331"/>
    <w:rsid w:val="00897AE3"/>
    <w:rsid w:val="008A00A0"/>
    <w:rsid w:val="008A0C4A"/>
    <w:rsid w:val="008A2A82"/>
    <w:rsid w:val="008A3DB6"/>
    <w:rsid w:val="008A466F"/>
    <w:rsid w:val="008A59B8"/>
    <w:rsid w:val="008A6918"/>
    <w:rsid w:val="008A6EC9"/>
    <w:rsid w:val="008B049C"/>
    <w:rsid w:val="008B13D6"/>
    <w:rsid w:val="008B2038"/>
    <w:rsid w:val="008B38BC"/>
    <w:rsid w:val="008B7FF8"/>
    <w:rsid w:val="008C03C6"/>
    <w:rsid w:val="008C03F3"/>
    <w:rsid w:val="008C10E6"/>
    <w:rsid w:val="008C1B10"/>
    <w:rsid w:val="008C449E"/>
    <w:rsid w:val="008C71A0"/>
    <w:rsid w:val="008C7CF6"/>
    <w:rsid w:val="008D1CE5"/>
    <w:rsid w:val="008D4714"/>
    <w:rsid w:val="008D6105"/>
    <w:rsid w:val="008E0356"/>
    <w:rsid w:val="008E1FC1"/>
    <w:rsid w:val="008E5200"/>
    <w:rsid w:val="008E6235"/>
    <w:rsid w:val="008F0090"/>
    <w:rsid w:val="008F1562"/>
    <w:rsid w:val="008F3262"/>
    <w:rsid w:val="008F3E52"/>
    <w:rsid w:val="008F4EFF"/>
    <w:rsid w:val="008F5FC8"/>
    <w:rsid w:val="008F7851"/>
    <w:rsid w:val="00902299"/>
    <w:rsid w:val="00904D04"/>
    <w:rsid w:val="009069EE"/>
    <w:rsid w:val="00907199"/>
    <w:rsid w:val="009130F9"/>
    <w:rsid w:val="00914770"/>
    <w:rsid w:val="00916A08"/>
    <w:rsid w:val="00916D98"/>
    <w:rsid w:val="00917069"/>
    <w:rsid w:val="00921E43"/>
    <w:rsid w:val="00927151"/>
    <w:rsid w:val="00936CBE"/>
    <w:rsid w:val="00936F8F"/>
    <w:rsid w:val="00936FD8"/>
    <w:rsid w:val="009375BD"/>
    <w:rsid w:val="009400EC"/>
    <w:rsid w:val="00941C3A"/>
    <w:rsid w:val="00942A5E"/>
    <w:rsid w:val="00944324"/>
    <w:rsid w:val="00944431"/>
    <w:rsid w:val="00946C02"/>
    <w:rsid w:val="00947DC7"/>
    <w:rsid w:val="0095014B"/>
    <w:rsid w:val="00952E82"/>
    <w:rsid w:val="009534CE"/>
    <w:rsid w:val="00956B2A"/>
    <w:rsid w:val="009609A9"/>
    <w:rsid w:val="0096467F"/>
    <w:rsid w:val="00967AD9"/>
    <w:rsid w:val="009712C3"/>
    <w:rsid w:val="00973B2C"/>
    <w:rsid w:val="00975725"/>
    <w:rsid w:val="009774F0"/>
    <w:rsid w:val="009819D7"/>
    <w:rsid w:val="009848F1"/>
    <w:rsid w:val="00992061"/>
    <w:rsid w:val="00993B78"/>
    <w:rsid w:val="0099442B"/>
    <w:rsid w:val="0099739F"/>
    <w:rsid w:val="0099745F"/>
    <w:rsid w:val="009A1106"/>
    <w:rsid w:val="009A24A4"/>
    <w:rsid w:val="009A3408"/>
    <w:rsid w:val="009A3792"/>
    <w:rsid w:val="009A4C86"/>
    <w:rsid w:val="009B3D29"/>
    <w:rsid w:val="009B3E83"/>
    <w:rsid w:val="009B6438"/>
    <w:rsid w:val="009C772E"/>
    <w:rsid w:val="009D30DF"/>
    <w:rsid w:val="009D32AC"/>
    <w:rsid w:val="009D3BA0"/>
    <w:rsid w:val="009D4022"/>
    <w:rsid w:val="009D45B3"/>
    <w:rsid w:val="009D616A"/>
    <w:rsid w:val="009D6919"/>
    <w:rsid w:val="009E0F0C"/>
    <w:rsid w:val="009E1DDA"/>
    <w:rsid w:val="009E295C"/>
    <w:rsid w:val="009E402F"/>
    <w:rsid w:val="009E46CF"/>
    <w:rsid w:val="009E51D1"/>
    <w:rsid w:val="009F3190"/>
    <w:rsid w:val="009F6474"/>
    <w:rsid w:val="009F6B74"/>
    <w:rsid w:val="009F71AA"/>
    <w:rsid w:val="00A00329"/>
    <w:rsid w:val="00A01AC9"/>
    <w:rsid w:val="00A046A0"/>
    <w:rsid w:val="00A04872"/>
    <w:rsid w:val="00A04AD1"/>
    <w:rsid w:val="00A05451"/>
    <w:rsid w:val="00A05C2E"/>
    <w:rsid w:val="00A07947"/>
    <w:rsid w:val="00A200AC"/>
    <w:rsid w:val="00A21F6C"/>
    <w:rsid w:val="00A22A09"/>
    <w:rsid w:val="00A22C7F"/>
    <w:rsid w:val="00A249F9"/>
    <w:rsid w:val="00A24FF6"/>
    <w:rsid w:val="00A279AD"/>
    <w:rsid w:val="00A3032B"/>
    <w:rsid w:val="00A30714"/>
    <w:rsid w:val="00A36302"/>
    <w:rsid w:val="00A3791A"/>
    <w:rsid w:val="00A402C9"/>
    <w:rsid w:val="00A443D4"/>
    <w:rsid w:val="00A44D92"/>
    <w:rsid w:val="00A451A3"/>
    <w:rsid w:val="00A454D1"/>
    <w:rsid w:val="00A46467"/>
    <w:rsid w:val="00A50BA9"/>
    <w:rsid w:val="00A52565"/>
    <w:rsid w:val="00A529A9"/>
    <w:rsid w:val="00A5371F"/>
    <w:rsid w:val="00A55911"/>
    <w:rsid w:val="00A602C5"/>
    <w:rsid w:val="00A60D29"/>
    <w:rsid w:val="00A61E1D"/>
    <w:rsid w:val="00A66CA3"/>
    <w:rsid w:val="00A70167"/>
    <w:rsid w:val="00A707D3"/>
    <w:rsid w:val="00A71147"/>
    <w:rsid w:val="00A718DB"/>
    <w:rsid w:val="00A722FB"/>
    <w:rsid w:val="00A7489D"/>
    <w:rsid w:val="00A75172"/>
    <w:rsid w:val="00A75CD1"/>
    <w:rsid w:val="00A77760"/>
    <w:rsid w:val="00A82DCA"/>
    <w:rsid w:val="00A83E40"/>
    <w:rsid w:val="00A8446F"/>
    <w:rsid w:val="00A91BFB"/>
    <w:rsid w:val="00A9536F"/>
    <w:rsid w:val="00A95718"/>
    <w:rsid w:val="00A95DCF"/>
    <w:rsid w:val="00AA3723"/>
    <w:rsid w:val="00AA6C16"/>
    <w:rsid w:val="00AA734E"/>
    <w:rsid w:val="00AA78BA"/>
    <w:rsid w:val="00AB022A"/>
    <w:rsid w:val="00AB05E7"/>
    <w:rsid w:val="00AB15EC"/>
    <w:rsid w:val="00AB2795"/>
    <w:rsid w:val="00AB2D7B"/>
    <w:rsid w:val="00AB494B"/>
    <w:rsid w:val="00AC1013"/>
    <w:rsid w:val="00AC15E0"/>
    <w:rsid w:val="00AC6CF6"/>
    <w:rsid w:val="00AC7D96"/>
    <w:rsid w:val="00AD08B0"/>
    <w:rsid w:val="00AD3655"/>
    <w:rsid w:val="00AD54F7"/>
    <w:rsid w:val="00AD5B94"/>
    <w:rsid w:val="00AD5EFC"/>
    <w:rsid w:val="00AD625E"/>
    <w:rsid w:val="00AE1E7E"/>
    <w:rsid w:val="00AE251B"/>
    <w:rsid w:val="00AE2948"/>
    <w:rsid w:val="00AE39E2"/>
    <w:rsid w:val="00AE3EAD"/>
    <w:rsid w:val="00AE7335"/>
    <w:rsid w:val="00AF2A9C"/>
    <w:rsid w:val="00AF5E26"/>
    <w:rsid w:val="00AF66A0"/>
    <w:rsid w:val="00B00B1F"/>
    <w:rsid w:val="00B0412B"/>
    <w:rsid w:val="00B058B2"/>
    <w:rsid w:val="00B06CD5"/>
    <w:rsid w:val="00B13FEA"/>
    <w:rsid w:val="00B1793E"/>
    <w:rsid w:val="00B20425"/>
    <w:rsid w:val="00B215DE"/>
    <w:rsid w:val="00B21A49"/>
    <w:rsid w:val="00B226C5"/>
    <w:rsid w:val="00B238CC"/>
    <w:rsid w:val="00B25F63"/>
    <w:rsid w:val="00B26F27"/>
    <w:rsid w:val="00B27EA7"/>
    <w:rsid w:val="00B3015B"/>
    <w:rsid w:val="00B34022"/>
    <w:rsid w:val="00B34B1C"/>
    <w:rsid w:val="00B353A4"/>
    <w:rsid w:val="00B3705B"/>
    <w:rsid w:val="00B42C7F"/>
    <w:rsid w:val="00B46762"/>
    <w:rsid w:val="00B54321"/>
    <w:rsid w:val="00B544E7"/>
    <w:rsid w:val="00B551EE"/>
    <w:rsid w:val="00B57B4B"/>
    <w:rsid w:val="00B6177C"/>
    <w:rsid w:val="00B71A50"/>
    <w:rsid w:val="00B74D17"/>
    <w:rsid w:val="00B751FC"/>
    <w:rsid w:val="00B77916"/>
    <w:rsid w:val="00B8111E"/>
    <w:rsid w:val="00B814BD"/>
    <w:rsid w:val="00B81DBA"/>
    <w:rsid w:val="00B83669"/>
    <w:rsid w:val="00B9282D"/>
    <w:rsid w:val="00B93BDD"/>
    <w:rsid w:val="00BA128F"/>
    <w:rsid w:val="00BA2DFC"/>
    <w:rsid w:val="00BA493F"/>
    <w:rsid w:val="00BA5472"/>
    <w:rsid w:val="00BB1B15"/>
    <w:rsid w:val="00BB3131"/>
    <w:rsid w:val="00BB3EA9"/>
    <w:rsid w:val="00BB4828"/>
    <w:rsid w:val="00BB6519"/>
    <w:rsid w:val="00BB6AA3"/>
    <w:rsid w:val="00BC0632"/>
    <w:rsid w:val="00BC2A4E"/>
    <w:rsid w:val="00BC43C8"/>
    <w:rsid w:val="00BC5812"/>
    <w:rsid w:val="00BC5F29"/>
    <w:rsid w:val="00BC5F5B"/>
    <w:rsid w:val="00BD0686"/>
    <w:rsid w:val="00BD39AC"/>
    <w:rsid w:val="00BD4EAD"/>
    <w:rsid w:val="00BD7C2A"/>
    <w:rsid w:val="00BE36E5"/>
    <w:rsid w:val="00BE5641"/>
    <w:rsid w:val="00BF1588"/>
    <w:rsid w:val="00BF221D"/>
    <w:rsid w:val="00BF3972"/>
    <w:rsid w:val="00BF6AB8"/>
    <w:rsid w:val="00BF6AE1"/>
    <w:rsid w:val="00BF6CEA"/>
    <w:rsid w:val="00C0044E"/>
    <w:rsid w:val="00C0089D"/>
    <w:rsid w:val="00C043E6"/>
    <w:rsid w:val="00C04D83"/>
    <w:rsid w:val="00C05810"/>
    <w:rsid w:val="00C05F54"/>
    <w:rsid w:val="00C06407"/>
    <w:rsid w:val="00C106F8"/>
    <w:rsid w:val="00C143CB"/>
    <w:rsid w:val="00C1488A"/>
    <w:rsid w:val="00C15424"/>
    <w:rsid w:val="00C16AB0"/>
    <w:rsid w:val="00C17BB6"/>
    <w:rsid w:val="00C25C73"/>
    <w:rsid w:val="00C27A42"/>
    <w:rsid w:val="00C328D2"/>
    <w:rsid w:val="00C37230"/>
    <w:rsid w:val="00C41100"/>
    <w:rsid w:val="00C42266"/>
    <w:rsid w:val="00C4460A"/>
    <w:rsid w:val="00C44B58"/>
    <w:rsid w:val="00C45053"/>
    <w:rsid w:val="00C5085A"/>
    <w:rsid w:val="00C50D84"/>
    <w:rsid w:val="00C513EB"/>
    <w:rsid w:val="00C57D8B"/>
    <w:rsid w:val="00C60E6A"/>
    <w:rsid w:val="00C623AA"/>
    <w:rsid w:val="00C63D80"/>
    <w:rsid w:val="00C66285"/>
    <w:rsid w:val="00C71251"/>
    <w:rsid w:val="00C73479"/>
    <w:rsid w:val="00C77A69"/>
    <w:rsid w:val="00C807A1"/>
    <w:rsid w:val="00C8386F"/>
    <w:rsid w:val="00C838DA"/>
    <w:rsid w:val="00C9010C"/>
    <w:rsid w:val="00C90F89"/>
    <w:rsid w:val="00C929BE"/>
    <w:rsid w:val="00C93BC7"/>
    <w:rsid w:val="00C941D4"/>
    <w:rsid w:val="00C94FE0"/>
    <w:rsid w:val="00C9609F"/>
    <w:rsid w:val="00CA013E"/>
    <w:rsid w:val="00CA0444"/>
    <w:rsid w:val="00CA11F1"/>
    <w:rsid w:val="00CA3716"/>
    <w:rsid w:val="00CA4F1B"/>
    <w:rsid w:val="00CA6533"/>
    <w:rsid w:val="00CB529E"/>
    <w:rsid w:val="00CC0EE9"/>
    <w:rsid w:val="00CC1ACA"/>
    <w:rsid w:val="00CC2274"/>
    <w:rsid w:val="00CC4322"/>
    <w:rsid w:val="00CC4EB0"/>
    <w:rsid w:val="00CC6299"/>
    <w:rsid w:val="00CC7008"/>
    <w:rsid w:val="00CD0BDC"/>
    <w:rsid w:val="00CD1FDB"/>
    <w:rsid w:val="00CD233E"/>
    <w:rsid w:val="00CE0892"/>
    <w:rsid w:val="00CE18DF"/>
    <w:rsid w:val="00CE29D3"/>
    <w:rsid w:val="00CE51B4"/>
    <w:rsid w:val="00CE5869"/>
    <w:rsid w:val="00CE62EF"/>
    <w:rsid w:val="00CF231B"/>
    <w:rsid w:val="00CF2688"/>
    <w:rsid w:val="00CF5096"/>
    <w:rsid w:val="00CF6358"/>
    <w:rsid w:val="00CF64BD"/>
    <w:rsid w:val="00CF6944"/>
    <w:rsid w:val="00CF739C"/>
    <w:rsid w:val="00CF78BC"/>
    <w:rsid w:val="00D02471"/>
    <w:rsid w:val="00D0458D"/>
    <w:rsid w:val="00D049F8"/>
    <w:rsid w:val="00D06907"/>
    <w:rsid w:val="00D06DA5"/>
    <w:rsid w:val="00D10582"/>
    <w:rsid w:val="00D1245A"/>
    <w:rsid w:val="00D1689F"/>
    <w:rsid w:val="00D17C9C"/>
    <w:rsid w:val="00D210D9"/>
    <w:rsid w:val="00D24ECE"/>
    <w:rsid w:val="00D25656"/>
    <w:rsid w:val="00D27046"/>
    <w:rsid w:val="00D30EDA"/>
    <w:rsid w:val="00D32DB6"/>
    <w:rsid w:val="00D339C2"/>
    <w:rsid w:val="00D35506"/>
    <w:rsid w:val="00D361CB"/>
    <w:rsid w:val="00D41750"/>
    <w:rsid w:val="00D43B82"/>
    <w:rsid w:val="00D5076C"/>
    <w:rsid w:val="00D528CF"/>
    <w:rsid w:val="00D52BFB"/>
    <w:rsid w:val="00D558CD"/>
    <w:rsid w:val="00D559DD"/>
    <w:rsid w:val="00D55F92"/>
    <w:rsid w:val="00D5637A"/>
    <w:rsid w:val="00D56493"/>
    <w:rsid w:val="00D61357"/>
    <w:rsid w:val="00D649E5"/>
    <w:rsid w:val="00D67901"/>
    <w:rsid w:val="00D71479"/>
    <w:rsid w:val="00D7467E"/>
    <w:rsid w:val="00D74990"/>
    <w:rsid w:val="00D77D14"/>
    <w:rsid w:val="00D80ED8"/>
    <w:rsid w:val="00D844EE"/>
    <w:rsid w:val="00D84C39"/>
    <w:rsid w:val="00D90CDD"/>
    <w:rsid w:val="00D922D5"/>
    <w:rsid w:val="00D92ECC"/>
    <w:rsid w:val="00D93C88"/>
    <w:rsid w:val="00D9454E"/>
    <w:rsid w:val="00D956A0"/>
    <w:rsid w:val="00D97D4A"/>
    <w:rsid w:val="00DA2315"/>
    <w:rsid w:val="00DA24E9"/>
    <w:rsid w:val="00DA2D39"/>
    <w:rsid w:val="00DA7671"/>
    <w:rsid w:val="00DB178F"/>
    <w:rsid w:val="00DB1DB2"/>
    <w:rsid w:val="00DB3B43"/>
    <w:rsid w:val="00DB5A62"/>
    <w:rsid w:val="00DB79A3"/>
    <w:rsid w:val="00DB7DDA"/>
    <w:rsid w:val="00DD628E"/>
    <w:rsid w:val="00DD76CE"/>
    <w:rsid w:val="00DE1FA8"/>
    <w:rsid w:val="00DE3A53"/>
    <w:rsid w:val="00DE46FC"/>
    <w:rsid w:val="00DE4733"/>
    <w:rsid w:val="00DE4BE9"/>
    <w:rsid w:val="00DF1BC5"/>
    <w:rsid w:val="00DF3DDA"/>
    <w:rsid w:val="00DF6107"/>
    <w:rsid w:val="00DF68C6"/>
    <w:rsid w:val="00DF6F80"/>
    <w:rsid w:val="00E02EDA"/>
    <w:rsid w:val="00E04362"/>
    <w:rsid w:val="00E15467"/>
    <w:rsid w:val="00E154C8"/>
    <w:rsid w:val="00E1603F"/>
    <w:rsid w:val="00E179AC"/>
    <w:rsid w:val="00E2027C"/>
    <w:rsid w:val="00E21FDC"/>
    <w:rsid w:val="00E24272"/>
    <w:rsid w:val="00E249CB"/>
    <w:rsid w:val="00E25D56"/>
    <w:rsid w:val="00E2690F"/>
    <w:rsid w:val="00E27240"/>
    <w:rsid w:val="00E30566"/>
    <w:rsid w:val="00E3061D"/>
    <w:rsid w:val="00E3079D"/>
    <w:rsid w:val="00E31E9D"/>
    <w:rsid w:val="00E3291D"/>
    <w:rsid w:val="00E350E2"/>
    <w:rsid w:val="00E35F1D"/>
    <w:rsid w:val="00E41E16"/>
    <w:rsid w:val="00E432AE"/>
    <w:rsid w:val="00E458FB"/>
    <w:rsid w:val="00E4672F"/>
    <w:rsid w:val="00E47C1B"/>
    <w:rsid w:val="00E47FA7"/>
    <w:rsid w:val="00E50149"/>
    <w:rsid w:val="00E51663"/>
    <w:rsid w:val="00E532F9"/>
    <w:rsid w:val="00E54E53"/>
    <w:rsid w:val="00E5507C"/>
    <w:rsid w:val="00E56332"/>
    <w:rsid w:val="00E61E5D"/>
    <w:rsid w:val="00E716E2"/>
    <w:rsid w:val="00E744A0"/>
    <w:rsid w:val="00E76158"/>
    <w:rsid w:val="00E76C6D"/>
    <w:rsid w:val="00E802EE"/>
    <w:rsid w:val="00E82A02"/>
    <w:rsid w:val="00E85071"/>
    <w:rsid w:val="00E85C66"/>
    <w:rsid w:val="00E8629D"/>
    <w:rsid w:val="00E9241E"/>
    <w:rsid w:val="00E97633"/>
    <w:rsid w:val="00EA0332"/>
    <w:rsid w:val="00EA252E"/>
    <w:rsid w:val="00EA3FD7"/>
    <w:rsid w:val="00EB0CC3"/>
    <w:rsid w:val="00EB0EA9"/>
    <w:rsid w:val="00EB1125"/>
    <w:rsid w:val="00EB2811"/>
    <w:rsid w:val="00EB2F5A"/>
    <w:rsid w:val="00EB68C2"/>
    <w:rsid w:val="00EC05DD"/>
    <w:rsid w:val="00EC1B8B"/>
    <w:rsid w:val="00EC1C3E"/>
    <w:rsid w:val="00EC4045"/>
    <w:rsid w:val="00EC6069"/>
    <w:rsid w:val="00EC6262"/>
    <w:rsid w:val="00EC6F7C"/>
    <w:rsid w:val="00EC7B3A"/>
    <w:rsid w:val="00ED1137"/>
    <w:rsid w:val="00ED520F"/>
    <w:rsid w:val="00ED5D55"/>
    <w:rsid w:val="00ED6950"/>
    <w:rsid w:val="00ED737E"/>
    <w:rsid w:val="00EE026C"/>
    <w:rsid w:val="00EE123E"/>
    <w:rsid w:val="00EF0067"/>
    <w:rsid w:val="00EF0CA2"/>
    <w:rsid w:val="00EF171E"/>
    <w:rsid w:val="00EF436A"/>
    <w:rsid w:val="00EF50F5"/>
    <w:rsid w:val="00EF5265"/>
    <w:rsid w:val="00F008BD"/>
    <w:rsid w:val="00F011B5"/>
    <w:rsid w:val="00F0274D"/>
    <w:rsid w:val="00F03A89"/>
    <w:rsid w:val="00F074F9"/>
    <w:rsid w:val="00F10C2A"/>
    <w:rsid w:val="00F116FB"/>
    <w:rsid w:val="00F148D4"/>
    <w:rsid w:val="00F15E42"/>
    <w:rsid w:val="00F164D1"/>
    <w:rsid w:val="00F17AA7"/>
    <w:rsid w:val="00F22EEA"/>
    <w:rsid w:val="00F27D0D"/>
    <w:rsid w:val="00F317B0"/>
    <w:rsid w:val="00F31F89"/>
    <w:rsid w:val="00F35887"/>
    <w:rsid w:val="00F37C40"/>
    <w:rsid w:val="00F40F0C"/>
    <w:rsid w:val="00F41EB0"/>
    <w:rsid w:val="00F42036"/>
    <w:rsid w:val="00F454D8"/>
    <w:rsid w:val="00F45C65"/>
    <w:rsid w:val="00F53269"/>
    <w:rsid w:val="00F555C4"/>
    <w:rsid w:val="00F604FF"/>
    <w:rsid w:val="00F60EA2"/>
    <w:rsid w:val="00F626D4"/>
    <w:rsid w:val="00F63B9F"/>
    <w:rsid w:val="00F64158"/>
    <w:rsid w:val="00F64A57"/>
    <w:rsid w:val="00F65D2D"/>
    <w:rsid w:val="00F66717"/>
    <w:rsid w:val="00F672A0"/>
    <w:rsid w:val="00F67DC6"/>
    <w:rsid w:val="00F70559"/>
    <w:rsid w:val="00F72481"/>
    <w:rsid w:val="00F72954"/>
    <w:rsid w:val="00F72B64"/>
    <w:rsid w:val="00F7560A"/>
    <w:rsid w:val="00F76024"/>
    <w:rsid w:val="00F77929"/>
    <w:rsid w:val="00F77B7F"/>
    <w:rsid w:val="00F8033C"/>
    <w:rsid w:val="00F87280"/>
    <w:rsid w:val="00F905F0"/>
    <w:rsid w:val="00F9098F"/>
    <w:rsid w:val="00F91E71"/>
    <w:rsid w:val="00F9684B"/>
    <w:rsid w:val="00FA1836"/>
    <w:rsid w:val="00FA5013"/>
    <w:rsid w:val="00FA615C"/>
    <w:rsid w:val="00FA7073"/>
    <w:rsid w:val="00FA78DC"/>
    <w:rsid w:val="00FB08B1"/>
    <w:rsid w:val="00FB3E5B"/>
    <w:rsid w:val="00FB3F3A"/>
    <w:rsid w:val="00FC269F"/>
    <w:rsid w:val="00FC3397"/>
    <w:rsid w:val="00FC3F12"/>
    <w:rsid w:val="00FC66E3"/>
    <w:rsid w:val="00FD1735"/>
    <w:rsid w:val="00FD290D"/>
    <w:rsid w:val="00FD6479"/>
    <w:rsid w:val="00FD75ED"/>
    <w:rsid w:val="00FD7CDE"/>
    <w:rsid w:val="00FE12C6"/>
    <w:rsid w:val="00FE1BC9"/>
    <w:rsid w:val="00FE1CF1"/>
    <w:rsid w:val="00FE2900"/>
    <w:rsid w:val="00FE3BD1"/>
    <w:rsid w:val="00FF6276"/>
    <w:rsid w:val="00FF7491"/>
    <w:rsid w:val="011B01E5"/>
    <w:rsid w:val="01CB2420"/>
    <w:rsid w:val="04F93F38"/>
    <w:rsid w:val="05C34787"/>
    <w:rsid w:val="05CD77D1"/>
    <w:rsid w:val="07FE5CBC"/>
    <w:rsid w:val="08117BAD"/>
    <w:rsid w:val="09B115CA"/>
    <w:rsid w:val="0AD1269E"/>
    <w:rsid w:val="0AFC74CB"/>
    <w:rsid w:val="0CBD513B"/>
    <w:rsid w:val="0D7F4022"/>
    <w:rsid w:val="0DD52CE6"/>
    <w:rsid w:val="0E034C9C"/>
    <w:rsid w:val="0E3C1CFB"/>
    <w:rsid w:val="0E5E3A7F"/>
    <w:rsid w:val="10226BBA"/>
    <w:rsid w:val="10496F1D"/>
    <w:rsid w:val="10583483"/>
    <w:rsid w:val="10D202CF"/>
    <w:rsid w:val="11321157"/>
    <w:rsid w:val="11664425"/>
    <w:rsid w:val="116705E6"/>
    <w:rsid w:val="11864624"/>
    <w:rsid w:val="11F64AC5"/>
    <w:rsid w:val="12D60530"/>
    <w:rsid w:val="135874AC"/>
    <w:rsid w:val="14FA2BDF"/>
    <w:rsid w:val="15415C5E"/>
    <w:rsid w:val="165F2A2B"/>
    <w:rsid w:val="185F7B65"/>
    <w:rsid w:val="18CD394A"/>
    <w:rsid w:val="18CD5688"/>
    <w:rsid w:val="18F57708"/>
    <w:rsid w:val="1A155D65"/>
    <w:rsid w:val="1A797589"/>
    <w:rsid w:val="1A9D6CB8"/>
    <w:rsid w:val="1C5823F6"/>
    <w:rsid w:val="1DCD0BC2"/>
    <w:rsid w:val="1E4324D8"/>
    <w:rsid w:val="1F5D0D1B"/>
    <w:rsid w:val="1FAC139E"/>
    <w:rsid w:val="1FD83CBA"/>
    <w:rsid w:val="1FE45D69"/>
    <w:rsid w:val="1FF84995"/>
    <w:rsid w:val="20D36BE3"/>
    <w:rsid w:val="21F63D37"/>
    <w:rsid w:val="22F2065B"/>
    <w:rsid w:val="256F2FC3"/>
    <w:rsid w:val="25944300"/>
    <w:rsid w:val="27A26A64"/>
    <w:rsid w:val="28F315FF"/>
    <w:rsid w:val="297F5EFD"/>
    <w:rsid w:val="2BC369FA"/>
    <w:rsid w:val="2CC044D6"/>
    <w:rsid w:val="2D1839CC"/>
    <w:rsid w:val="2D866ECD"/>
    <w:rsid w:val="2DCB3C6D"/>
    <w:rsid w:val="2E2D78DE"/>
    <w:rsid w:val="2F041BA6"/>
    <w:rsid w:val="2F50024D"/>
    <w:rsid w:val="31A315A5"/>
    <w:rsid w:val="31EF6F01"/>
    <w:rsid w:val="32D26F72"/>
    <w:rsid w:val="33052BDE"/>
    <w:rsid w:val="337C1864"/>
    <w:rsid w:val="34B575C9"/>
    <w:rsid w:val="35F3253E"/>
    <w:rsid w:val="36E0506A"/>
    <w:rsid w:val="370074BA"/>
    <w:rsid w:val="37533ABB"/>
    <w:rsid w:val="38403AB2"/>
    <w:rsid w:val="38C942E7"/>
    <w:rsid w:val="38E10FE4"/>
    <w:rsid w:val="399D7242"/>
    <w:rsid w:val="39A36BA3"/>
    <w:rsid w:val="39DC0F86"/>
    <w:rsid w:val="3A522D6E"/>
    <w:rsid w:val="3B455F54"/>
    <w:rsid w:val="3B9F8845"/>
    <w:rsid w:val="3C5F4C83"/>
    <w:rsid w:val="3CEA7FFA"/>
    <w:rsid w:val="3CF3B514"/>
    <w:rsid w:val="3D021609"/>
    <w:rsid w:val="3E9C1E20"/>
    <w:rsid w:val="3EC4515E"/>
    <w:rsid w:val="3F3FF3B2"/>
    <w:rsid w:val="3FA71675"/>
    <w:rsid w:val="40D65A81"/>
    <w:rsid w:val="411B276F"/>
    <w:rsid w:val="41227CB9"/>
    <w:rsid w:val="41850CE8"/>
    <w:rsid w:val="43F959BD"/>
    <w:rsid w:val="44E15803"/>
    <w:rsid w:val="45801B83"/>
    <w:rsid w:val="45FB46FF"/>
    <w:rsid w:val="46190062"/>
    <w:rsid w:val="47FA508C"/>
    <w:rsid w:val="490C1619"/>
    <w:rsid w:val="495E32F8"/>
    <w:rsid w:val="498D530D"/>
    <w:rsid w:val="499A3D33"/>
    <w:rsid w:val="4AF84C20"/>
    <w:rsid w:val="4B511739"/>
    <w:rsid w:val="4BA25597"/>
    <w:rsid w:val="4BF14F45"/>
    <w:rsid w:val="4C236E57"/>
    <w:rsid w:val="4C704493"/>
    <w:rsid w:val="4CB47586"/>
    <w:rsid w:val="4CBF6517"/>
    <w:rsid w:val="4EE738D7"/>
    <w:rsid w:val="4EFDC16F"/>
    <w:rsid w:val="4F433FD0"/>
    <w:rsid w:val="4FFA02A3"/>
    <w:rsid w:val="50A417A0"/>
    <w:rsid w:val="50DF6D04"/>
    <w:rsid w:val="517165EE"/>
    <w:rsid w:val="5197528D"/>
    <w:rsid w:val="51A37951"/>
    <w:rsid w:val="51AE6567"/>
    <w:rsid w:val="51B2799C"/>
    <w:rsid w:val="526F57C8"/>
    <w:rsid w:val="5483DBEF"/>
    <w:rsid w:val="54F16F6B"/>
    <w:rsid w:val="555A6772"/>
    <w:rsid w:val="55650785"/>
    <w:rsid w:val="558648DF"/>
    <w:rsid w:val="562C74A4"/>
    <w:rsid w:val="567BFBD1"/>
    <w:rsid w:val="58D519A7"/>
    <w:rsid w:val="59403AAC"/>
    <w:rsid w:val="5A870015"/>
    <w:rsid w:val="5BFB63FF"/>
    <w:rsid w:val="5CA0750D"/>
    <w:rsid w:val="5CC41B21"/>
    <w:rsid w:val="5F0E600B"/>
    <w:rsid w:val="5F115420"/>
    <w:rsid w:val="5F506981"/>
    <w:rsid w:val="60252D6F"/>
    <w:rsid w:val="608B1EE4"/>
    <w:rsid w:val="61E15FB7"/>
    <w:rsid w:val="61FA38FE"/>
    <w:rsid w:val="62D74037"/>
    <w:rsid w:val="62EF200D"/>
    <w:rsid w:val="64C42805"/>
    <w:rsid w:val="65007DEE"/>
    <w:rsid w:val="6507761E"/>
    <w:rsid w:val="651A012B"/>
    <w:rsid w:val="666259C0"/>
    <w:rsid w:val="66D54D7F"/>
    <w:rsid w:val="681D451D"/>
    <w:rsid w:val="68B86C5B"/>
    <w:rsid w:val="69C93F50"/>
    <w:rsid w:val="6ACD21CE"/>
    <w:rsid w:val="6BE902A4"/>
    <w:rsid w:val="6D31642F"/>
    <w:rsid w:val="6E500B71"/>
    <w:rsid w:val="6ED529FF"/>
    <w:rsid w:val="6F6B2D3D"/>
    <w:rsid w:val="6FDA0392"/>
    <w:rsid w:val="70340294"/>
    <w:rsid w:val="70D3150B"/>
    <w:rsid w:val="713C35B6"/>
    <w:rsid w:val="71D21C39"/>
    <w:rsid w:val="71E61D98"/>
    <w:rsid w:val="723E40A9"/>
    <w:rsid w:val="73ED0C79"/>
    <w:rsid w:val="742D00E2"/>
    <w:rsid w:val="748E6582"/>
    <w:rsid w:val="74D20BB4"/>
    <w:rsid w:val="75792336"/>
    <w:rsid w:val="75FFDB64"/>
    <w:rsid w:val="76D11042"/>
    <w:rsid w:val="773508A4"/>
    <w:rsid w:val="77C48E00"/>
    <w:rsid w:val="78DA3BFE"/>
    <w:rsid w:val="7B0F32F8"/>
    <w:rsid w:val="7B6D3744"/>
    <w:rsid w:val="7B7B368F"/>
    <w:rsid w:val="7BFBB180"/>
    <w:rsid w:val="7CCD740C"/>
    <w:rsid w:val="7D5022E8"/>
    <w:rsid w:val="7DEF08BC"/>
    <w:rsid w:val="7E267C7C"/>
    <w:rsid w:val="7ECBE528"/>
    <w:rsid w:val="7FBB7303"/>
    <w:rsid w:val="7FF78AED"/>
    <w:rsid w:val="7FFFA3E2"/>
    <w:rsid w:val="AFBB8C65"/>
    <w:rsid w:val="B3FC121E"/>
    <w:rsid w:val="BDEF5FF6"/>
    <w:rsid w:val="BDFFFD2A"/>
    <w:rsid w:val="BFFBB478"/>
    <w:rsid w:val="CFFF7BBF"/>
    <w:rsid w:val="ECBD7A39"/>
    <w:rsid w:val="EF5F434A"/>
    <w:rsid w:val="EF77E147"/>
    <w:rsid w:val="EFFDE58A"/>
    <w:rsid w:val="F3ED7E62"/>
    <w:rsid w:val="FBE5BE0B"/>
    <w:rsid w:val="FEE1EEC6"/>
    <w:rsid w:val="FFB7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28"/>
    <w:unhideWhenUsed/>
    <w:qFormat/>
    <w:uiPriority w:val="99"/>
    <w:pPr>
      <w:tabs>
        <w:tab w:val="center" w:pos="4153"/>
        <w:tab w:val="right" w:pos="8306"/>
      </w:tabs>
      <w:snapToGrid w:val="0"/>
      <w:jc w:val="left"/>
    </w:pPr>
    <w:rPr>
      <w:sz w:val="18"/>
      <w:szCs w:val="18"/>
    </w:rPr>
  </w:style>
  <w:style w:type="paragraph" w:styleId="5">
    <w:name w:val="annotation subject"/>
    <w:basedOn w:val="6"/>
    <w:next w:val="6"/>
    <w:link w:val="30"/>
    <w:unhideWhenUsed/>
    <w:qFormat/>
    <w:uiPriority w:val="99"/>
    <w:pPr>
      <w:jc w:val="left"/>
    </w:pPr>
    <w:rPr>
      <w:b/>
      <w:bCs/>
    </w:rPr>
  </w:style>
  <w:style w:type="paragraph" w:styleId="6">
    <w:name w:val="annotation text"/>
    <w:basedOn w:val="1"/>
    <w:next w:val="7"/>
    <w:link w:val="25"/>
    <w:qFormat/>
    <w:uiPriority w:val="0"/>
  </w:style>
  <w:style w:type="paragraph" w:styleId="7">
    <w:name w:val="Body Text Indent"/>
    <w:basedOn w:val="1"/>
    <w:qFormat/>
    <w:uiPriority w:val="0"/>
    <w:pPr>
      <w:spacing w:after="120"/>
      <w:ind w:left="420" w:leftChars="200"/>
    </w:pPr>
  </w:style>
  <w:style w:type="paragraph" w:styleId="8">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9">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10">
    <w:name w:val="Body Text"/>
    <w:basedOn w:val="1"/>
    <w:link w:val="26"/>
    <w:unhideWhenUsed/>
    <w:qFormat/>
    <w:uiPriority w:val="99"/>
    <w:pPr>
      <w:spacing w:after="120"/>
    </w:pPr>
  </w:style>
  <w:style w:type="paragraph" w:styleId="11">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7"/>
    <w:unhideWhenUsed/>
    <w:qFormat/>
    <w:uiPriority w:val="99"/>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39"/>
    <w:pPr>
      <w:widowControl w:val="0"/>
      <w:tabs>
        <w:tab w:val="right" w:leader="dot" w:pos="8398"/>
      </w:tabs>
      <w:spacing w:before="120" w:after="120"/>
      <w:ind w:firstLine="240" w:firstLineChars="100"/>
    </w:pPr>
    <w:rPr>
      <w:rFonts w:ascii="宋体" w:hAnsi="宋体" w:eastAsia="宋体" w:cs="Times New Roman"/>
      <w:b/>
      <w:bCs/>
      <w:caps/>
      <w:kern w:val="2"/>
      <w:sz w:val="24"/>
      <w:szCs w:val="24"/>
      <w:lang w:val="en-US" w:eastAsia="zh-CN" w:bidi="ar-SA"/>
    </w:rPr>
  </w:style>
  <w:style w:type="paragraph" w:styleId="16">
    <w:name w:val="Normal (Web)"/>
    <w:basedOn w:val="1"/>
    <w:unhideWhenUsed/>
    <w:qFormat/>
    <w:uiPriority w:val="99"/>
    <w:rPr>
      <w:sz w:val="24"/>
      <w:szCs w:val="24"/>
    </w:rPr>
  </w:style>
  <w:style w:type="paragraph" w:styleId="17">
    <w:name w:val="Title"/>
    <w:basedOn w:val="1"/>
    <w:next w:val="1"/>
    <w:qFormat/>
    <w:uiPriority w:val="0"/>
    <w:pPr>
      <w:jc w:val="left"/>
    </w:pPr>
    <w:rPr>
      <w:sz w:val="30"/>
    </w:rPr>
  </w:style>
  <w:style w:type="character" w:styleId="19">
    <w:name w:val="Strong"/>
    <w:qFormat/>
    <w:uiPriority w:val="22"/>
    <w:rPr>
      <w:b/>
    </w:rPr>
  </w:style>
  <w:style w:type="character" w:styleId="20">
    <w:name w:val="page number"/>
    <w:qFormat/>
    <w:uiPriority w:val="0"/>
  </w:style>
  <w:style w:type="character" w:styleId="21">
    <w:name w:val="Emphasis"/>
    <w:qFormat/>
    <w:uiPriority w:val="20"/>
    <w:rPr>
      <w:i/>
      <w:iCs/>
    </w:rPr>
  </w:style>
  <w:style w:type="character" w:styleId="22">
    <w:name w:val="Hyperlink"/>
    <w:unhideWhenUsed/>
    <w:qFormat/>
    <w:uiPriority w:val="99"/>
    <w:rPr>
      <w:color w:val="0000FF"/>
      <w:u w:val="single"/>
    </w:rPr>
  </w:style>
  <w:style w:type="character" w:styleId="23">
    <w:name w:val="annotation reference"/>
    <w:qFormat/>
    <w:uiPriority w:val="0"/>
    <w:rPr>
      <w:sz w:val="21"/>
      <w:szCs w:val="21"/>
    </w:rPr>
  </w:style>
  <w:style w:type="character" w:customStyle="1" w:styleId="25">
    <w:name w:val="批注文字 字符"/>
    <w:link w:val="6"/>
    <w:qFormat/>
    <w:uiPriority w:val="0"/>
    <w:rPr>
      <w:kern w:val="2"/>
      <w:sz w:val="21"/>
      <w:szCs w:val="22"/>
    </w:rPr>
  </w:style>
  <w:style w:type="character" w:customStyle="1" w:styleId="26">
    <w:name w:val="正文文本 字符"/>
    <w:link w:val="10"/>
    <w:semiHidden/>
    <w:qFormat/>
    <w:uiPriority w:val="99"/>
    <w:rPr>
      <w:kern w:val="2"/>
      <w:sz w:val="21"/>
      <w:szCs w:val="22"/>
    </w:rPr>
  </w:style>
  <w:style w:type="character" w:customStyle="1" w:styleId="27">
    <w:name w:val="批注框文本 字符"/>
    <w:link w:val="13"/>
    <w:semiHidden/>
    <w:qFormat/>
    <w:uiPriority w:val="99"/>
    <w:rPr>
      <w:kern w:val="2"/>
      <w:sz w:val="18"/>
      <w:szCs w:val="18"/>
    </w:rPr>
  </w:style>
  <w:style w:type="character" w:customStyle="1" w:styleId="28">
    <w:name w:val="页脚 字符"/>
    <w:link w:val="2"/>
    <w:qFormat/>
    <w:uiPriority w:val="99"/>
    <w:rPr>
      <w:sz w:val="18"/>
      <w:szCs w:val="18"/>
    </w:rPr>
  </w:style>
  <w:style w:type="character" w:customStyle="1" w:styleId="29">
    <w:name w:val="页眉 字符"/>
    <w:link w:val="14"/>
    <w:qFormat/>
    <w:uiPriority w:val="99"/>
    <w:rPr>
      <w:kern w:val="2"/>
      <w:sz w:val="18"/>
      <w:szCs w:val="18"/>
    </w:rPr>
  </w:style>
  <w:style w:type="character" w:customStyle="1" w:styleId="30">
    <w:name w:val="批注主题 字符"/>
    <w:link w:val="5"/>
    <w:semiHidden/>
    <w:qFormat/>
    <w:uiPriority w:val="99"/>
    <w:rPr>
      <w:b/>
      <w:bCs/>
      <w:kern w:val="2"/>
      <w:sz w:val="21"/>
      <w:szCs w:val="22"/>
    </w:rPr>
  </w:style>
  <w:style w:type="paragraph" w:customStyle="1" w:styleId="31">
    <w:name w:val="正文-2字符首行缩进"/>
    <w:qFormat/>
    <w:uiPriority w:val="0"/>
    <w:pPr>
      <w:spacing w:line="360" w:lineRule="auto"/>
      <w:ind w:firstLine="200" w:firstLineChars="200"/>
      <w:jc w:val="both"/>
    </w:pPr>
    <w:rPr>
      <w:rFonts w:ascii="仿宋_GB2312" w:hAnsi="Times New Roman" w:eastAsia="仿宋_GB2312" w:cs="Times New Roman"/>
      <w:sz w:val="28"/>
      <w:szCs w:val="22"/>
      <w:lang w:val="en-US" w:eastAsia="zh-CN" w:bidi="ar-SA"/>
    </w:rPr>
  </w:style>
  <w:style w:type="paragraph" w:customStyle="1" w:styleId="32">
    <w:name w:val="列出段落1"/>
    <w:qFormat/>
    <w:uiPriority w:val="99"/>
    <w:pPr>
      <w:widowControl w:val="0"/>
      <w:ind w:firstLine="420" w:firstLineChars="200"/>
      <w:jc w:val="both"/>
    </w:pPr>
    <w:rPr>
      <w:rFonts w:ascii="等线" w:hAnsi="等线" w:eastAsia="等线" w:cs="Times New Roman"/>
      <w:kern w:val="2"/>
      <w:sz w:val="21"/>
      <w:szCs w:val="24"/>
      <w:lang w:val="en-US" w:eastAsia="zh-CN" w:bidi="ar-SA"/>
    </w:rPr>
  </w:style>
  <w:style w:type="paragraph" w:customStyle="1" w:styleId="33">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34">
    <w:name w:val="未处理的提及1"/>
    <w:unhideWhenUsed/>
    <w:qFormat/>
    <w:uiPriority w:val="99"/>
    <w:rPr>
      <w:color w:val="605E5C"/>
      <w:shd w:val="clear" w:color="auto" w:fill="E1DFDD"/>
    </w:rPr>
  </w:style>
  <w:style w:type="paragraph" w:customStyle="1" w:styleId="35">
    <w:name w:val="List Paragraph"/>
    <w:basedOn w:val="1"/>
    <w:qFormat/>
    <w:uiPriority w:val="34"/>
    <w:pPr>
      <w:ind w:firstLine="420" w:firstLineChars="200"/>
    </w:pPr>
  </w:style>
  <w:style w:type="paragraph" w:customStyle="1" w:styleId="3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7388</Words>
  <Characters>42112</Characters>
  <Lines>350</Lines>
  <Paragraphs>98</Paragraphs>
  <TotalTime>0</TotalTime>
  <ScaleCrop>false</ScaleCrop>
  <LinksUpToDate>false</LinksUpToDate>
  <CharactersWithSpaces>49402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2025-09-26T09:42:00Z</dcterms:created>
  <dc:creator>nabunala</dc:creator>
  <cp:lastModifiedBy>Lenovo</cp:lastModifiedBy>
  <cp:lastPrinted>2023-07-09T01:08:00Z</cp:lastPrinted>
  <dcterms:modified xsi:type="dcterms:W3CDTF">2025-11-14T03:13:40Z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5B8A63E2AAF4401EA246258B17A811E5</vt:lpwstr>
  </property>
  <property fmtid="{D5CDD505-2E9C-101B-9397-08002B2CF9AE}" pid="4" name="KSOTemplateDocerSaveRecord">
    <vt:lpwstr>eyJoZGlkIjoiODZjODIwMTcxMGVkNmUzM2EyMTI0NzVmYzY3M2MyMTMiLCJ1c2VySWQiOiI1MTM5MTc0OTAifQ==</vt:lpwstr>
  </property>
</Properties>
</file>