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18ED5">
      <w:pPr>
        <w:jc w:val="center"/>
        <w:rPr>
          <w:rFonts w:asciiTheme="minorEastAsia" w:hAnsiTheme="minorEastAsia" w:eastAsiaTheme="minorEastAsia"/>
          <w:b/>
          <w:bCs/>
          <w:color w:val="auto"/>
          <w:sz w:val="44"/>
          <w:szCs w:val="44"/>
          <w:highlight w:val="none"/>
        </w:rPr>
      </w:pPr>
    </w:p>
    <w:p w14:paraId="220F306F">
      <w:pPr>
        <w:jc w:val="center"/>
        <w:rPr>
          <w:rFonts w:asciiTheme="minorEastAsia" w:hAnsiTheme="minorEastAsia" w:eastAsiaTheme="minorEastAsia"/>
          <w:bCs/>
          <w:color w:val="auto"/>
          <w:sz w:val="56"/>
          <w:highlight w:val="none"/>
        </w:rPr>
      </w:pPr>
      <w:r>
        <w:rPr>
          <w:rFonts w:hint="eastAsia" w:asciiTheme="minorEastAsia" w:hAnsiTheme="minorEastAsia" w:eastAsiaTheme="minorEastAsia"/>
          <w:bCs/>
          <w:color w:val="auto"/>
          <w:sz w:val="56"/>
          <w:highlight w:val="none"/>
        </w:rPr>
        <w:t>广西</w:t>
      </w:r>
      <w:r>
        <w:rPr>
          <w:rFonts w:hint="eastAsia" w:asciiTheme="minorEastAsia" w:hAnsiTheme="minorEastAsia" w:eastAsiaTheme="minorEastAsia"/>
          <w:bCs/>
          <w:color w:val="auto"/>
          <w:sz w:val="56"/>
          <w:highlight w:val="none"/>
          <w:lang w:eastAsia="zh-CN"/>
        </w:rPr>
        <w:t>桂水</w:t>
      </w:r>
      <w:r>
        <w:rPr>
          <w:rFonts w:hint="eastAsia" w:asciiTheme="minorEastAsia" w:hAnsiTheme="minorEastAsia" w:eastAsiaTheme="minorEastAsia"/>
          <w:bCs/>
          <w:color w:val="auto"/>
          <w:sz w:val="56"/>
          <w:highlight w:val="none"/>
        </w:rPr>
        <w:t>工程咨询有限公司</w:t>
      </w:r>
    </w:p>
    <w:p w14:paraId="5C8ED075">
      <w:pPr>
        <w:pStyle w:val="16"/>
        <w:rPr>
          <w:rFonts w:asciiTheme="minorEastAsia" w:hAnsiTheme="minorEastAsia" w:eastAsiaTheme="minorEastAsia"/>
          <w:b/>
          <w:bCs/>
          <w:color w:val="auto"/>
          <w:sz w:val="10"/>
          <w:highlight w:val="none"/>
        </w:rPr>
      </w:pPr>
    </w:p>
    <w:p w14:paraId="4FF1EA6E">
      <w:pPr>
        <w:pStyle w:val="16"/>
        <w:rPr>
          <w:rFonts w:asciiTheme="minorEastAsia" w:hAnsiTheme="minorEastAsia" w:eastAsiaTheme="minorEastAsia"/>
          <w:color w:val="auto"/>
          <w:sz w:val="72"/>
          <w:highlight w:val="none"/>
        </w:rPr>
      </w:pPr>
      <w:r>
        <w:rPr>
          <w:rFonts w:asciiTheme="minorEastAsia" w:hAnsiTheme="minorEastAsia" w:eastAsiaTheme="minorEastAsia"/>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52135" cy="0"/>
                <wp:effectExtent l="0" t="13970" r="5715" b="2413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V="1">
                          <a:off x="0" y="0"/>
                          <a:ext cx="5652135" cy="0"/>
                        </a:xfrm>
                        <a:prstGeom prst="line">
                          <a:avLst/>
                        </a:prstGeom>
                        <a:noFill/>
                        <a:ln w="28575">
                          <a:solidFill>
                            <a:srgbClr val="000000"/>
                          </a:solidFill>
                          <a:round/>
                        </a:ln>
                        <a:effectLst/>
                      </wps:spPr>
                      <wps:bodyPr/>
                    </wps:wsp>
                  </a:graphicData>
                </a:graphic>
              </wp:anchor>
            </w:drawing>
          </mc:Choice>
          <mc:Fallback>
            <w:pict>
              <v:line id="直线 4" o:spid="_x0000_s1026" o:spt="20" style="position:absolute;left:0pt;flip:y;margin-top:0pt;height:0pt;width:445.05pt;mso-position-horizontal:center;z-index:251659264;mso-width-relative:page;mso-height-relative:page;" filled="f" stroked="t" coordsize="21600,21600" o:gfxdata="UEsDBAoAAAAAAIdO4kAAAAAAAAAAAAAAAAAEAAAAZHJzL1BLAwQUAAAACACHTuJAjCrEw9EAAAAC&#10;AQAADwAAAGRycy9kb3ducmV2LnhtbE2PwU7DMBBE70j8g7VIXBC1w6FKQ5wekEAcuDTwAZt4SSLi&#10;dYjdpu3Xs+UCl5FGs5p5W26PflQHmuMQ2EK2MqCI2+AG7ix8vD/f56BiQnY4BiYLJ4qwra6vSixc&#10;WHhHhzp1Sko4FmihT2kqtI5tTx7jKkzEkn2G2WMSO3fazbhIuR/1gzFr7XFgWehxoqee2q967y3s&#10;mhzfXs13HU68Pi/nOr7cTa21tzeZeQSV6Jj+juGCL+hQCVMT9uyiGi3II+lXJcs3JgPVXKyuSv0f&#10;vfoBUEsDBBQAAAAIAIdO4kC+AYz85AEAALoDAAAOAAAAZHJzL2Uyb0RvYy54bWytU81u2zAMvg/Y&#10;Owi6L07SuSuMOD0k6C7dFqDd7oos20IlURCVOHmWvcZOu+xx+hqjlJ923aWH+iCIIvmR30d6dr2z&#10;hm1VQA2u5pPRmDPlJDTadTX/fn/z4YozjMI1woBTNd8r5Nfz9+9mg6/UFHowjQqMQBxWg695H6Ov&#10;igJlr6zAEXjlyNlCsCKSGbqiCWIgdGuK6Xh8WQwQGh9AKkR6XR6c/IgYXgMIbaulWoLcWOXiATUo&#10;IyJRwl575PPcbdsqGb+1LarITM2JacwnFaH7Op3FfCaqLgjfa3lsQbymhRecrNCOip6hliIKtgn6&#10;PyirZQCENo4k2OJAJCtCLCbjF9rc9cKrzIWkRn8WHd8OVn7drgLTTc0vOHPC0sAff/56/P2HfUza&#10;DB4rClm4VUjs5M7d+VuQD8gcLHrhOpV7vN97SpykjOKflGSgpwrr4Qs0FCM2EbJQuzZY1hrtf6TE&#10;BE5isF2ezP48GbWLTNJjeVlOJxclZ/LkK0SVIFKiDxg/K7AsXWputEuiiUpsbzGmlp5C0rODG21M&#10;HrxxbKj59Kr8VOYMBKOb5E1xGLr1wgS2FWl38pcJkud5WICNaw5VjEt5Kq/dsfRJgIOUa2j2q3BS&#10;iUaamzuuX9qZ53bW8umXm/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CrEw9EAAAACAQAADwAA&#10;AAAAAAABACAAAAAiAAAAZHJzL2Rvd25yZXYueG1sUEsBAhQAFAAAAAgAh07iQL4BjPzkAQAAugMA&#10;AA4AAAAAAAAAAQAgAAAAIAEAAGRycy9lMm9Eb2MueG1sUEsFBgAAAAAGAAYAWQEAAHYFAAAAAA==&#10;">
                <v:fill on="f" focussize="0,0"/>
                <v:stroke weight="2.25pt" color="#000000" joinstyle="round"/>
                <v:imagedata o:title=""/>
                <o:lock v:ext="edit" aspectratio="f"/>
              </v:line>
            </w:pict>
          </mc:Fallback>
        </mc:AlternateContent>
      </w:r>
    </w:p>
    <w:p w14:paraId="0EA12F50">
      <w:pPr>
        <w:pStyle w:val="16"/>
        <w:rPr>
          <w:rFonts w:asciiTheme="minorEastAsia" w:hAnsiTheme="minorEastAsia" w:eastAsiaTheme="minorEastAsia"/>
          <w:color w:val="auto"/>
          <w:sz w:val="84"/>
          <w:szCs w:val="84"/>
          <w:highlight w:val="none"/>
        </w:rPr>
      </w:pPr>
      <w:r>
        <w:rPr>
          <w:rFonts w:hint="eastAsia" w:asciiTheme="minorEastAsia" w:hAnsiTheme="minorEastAsia" w:eastAsiaTheme="minorEastAsia"/>
          <w:color w:val="auto"/>
          <w:sz w:val="84"/>
          <w:szCs w:val="84"/>
          <w:highlight w:val="none"/>
        </w:rPr>
        <w:t>竞争性谈判文件</w:t>
      </w:r>
    </w:p>
    <w:p w14:paraId="3C4C369A">
      <w:pPr>
        <w:pStyle w:val="16"/>
        <w:rPr>
          <w:rFonts w:asciiTheme="minorEastAsia" w:hAnsiTheme="minorEastAsia" w:eastAsiaTheme="minorEastAsia"/>
          <w:color w:val="auto"/>
          <w:sz w:val="21"/>
          <w:szCs w:val="21"/>
          <w:highlight w:val="none"/>
        </w:rPr>
      </w:pPr>
    </w:p>
    <w:p w14:paraId="3B73E76A">
      <w:pPr>
        <w:pStyle w:val="16"/>
        <w:rPr>
          <w:rFonts w:asciiTheme="minorEastAsia" w:hAnsiTheme="minorEastAsia" w:eastAsiaTheme="minorEastAsia"/>
          <w:color w:val="auto"/>
          <w:sz w:val="21"/>
          <w:szCs w:val="21"/>
          <w:highlight w:val="none"/>
        </w:rPr>
      </w:pPr>
    </w:p>
    <w:p w14:paraId="702C20EB">
      <w:pPr>
        <w:pStyle w:val="16"/>
        <w:rPr>
          <w:rFonts w:asciiTheme="minorEastAsia" w:hAnsiTheme="minorEastAsia" w:eastAsiaTheme="minorEastAsia"/>
          <w:color w:val="auto"/>
          <w:sz w:val="21"/>
          <w:szCs w:val="21"/>
          <w:highlight w:val="none"/>
        </w:rPr>
      </w:pPr>
    </w:p>
    <w:p w14:paraId="149B0C19">
      <w:pPr>
        <w:pStyle w:val="16"/>
        <w:rPr>
          <w:rFonts w:asciiTheme="minorEastAsia" w:hAnsiTheme="minorEastAsia" w:eastAsiaTheme="minorEastAsia"/>
          <w:color w:val="auto"/>
          <w:sz w:val="21"/>
          <w:szCs w:val="21"/>
          <w:highlight w:val="none"/>
        </w:rPr>
      </w:pPr>
    </w:p>
    <w:p w14:paraId="5E4F837F">
      <w:pPr>
        <w:pStyle w:val="16"/>
        <w:rPr>
          <w:rFonts w:asciiTheme="minorEastAsia" w:hAnsiTheme="minorEastAsia" w:eastAsiaTheme="minorEastAsia"/>
          <w:color w:val="auto"/>
          <w:sz w:val="21"/>
          <w:szCs w:val="21"/>
          <w:highlight w:val="none"/>
        </w:rPr>
      </w:pPr>
    </w:p>
    <w:p w14:paraId="2F675F1E">
      <w:pPr>
        <w:pStyle w:val="16"/>
        <w:rPr>
          <w:rFonts w:asciiTheme="minorEastAsia" w:hAnsiTheme="minorEastAsia" w:eastAsiaTheme="minorEastAsia"/>
          <w:color w:val="auto"/>
          <w:sz w:val="21"/>
          <w:szCs w:val="21"/>
          <w:highlight w:val="none"/>
        </w:rPr>
      </w:pPr>
    </w:p>
    <w:p w14:paraId="40BB9674">
      <w:pPr>
        <w:pStyle w:val="16"/>
        <w:rPr>
          <w:rFonts w:asciiTheme="minorEastAsia" w:hAnsiTheme="minorEastAsia" w:eastAsiaTheme="minorEastAsia"/>
          <w:color w:val="auto"/>
          <w:sz w:val="21"/>
          <w:szCs w:val="21"/>
          <w:highlight w:val="none"/>
        </w:rPr>
      </w:pPr>
    </w:p>
    <w:p w14:paraId="7CD296D0">
      <w:pPr>
        <w:pStyle w:val="16"/>
        <w:rPr>
          <w:rFonts w:asciiTheme="minorEastAsia" w:hAnsiTheme="minorEastAsia" w:eastAsiaTheme="minorEastAsia"/>
          <w:color w:val="auto"/>
          <w:sz w:val="21"/>
          <w:szCs w:val="21"/>
          <w:highlight w:val="none"/>
        </w:rPr>
      </w:pPr>
    </w:p>
    <w:p w14:paraId="51ACB795">
      <w:pPr>
        <w:pStyle w:val="16"/>
        <w:rPr>
          <w:rFonts w:asciiTheme="minorEastAsia" w:hAnsiTheme="minorEastAsia" w:eastAsiaTheme="minorEastAsia"/>
          <w:color w:val="auto"/>
          <w:sz w:val="21"/>
          <w:szCs w:val="21"/>
          <w:highlight w:val="none"/>
        </w:rPr>
      </w:pPr>
    </w:p>
    <w:p w14:paraId="23CE12B0">
      <w:pPr>
        <w:pStyle w:val="16"/>
        <w:rPr>
          <w:rFonts w:asciiTheme="minorEastAsia" w:hAnsiTheme="minorEastAsia" w:eastAsiaTheme="minorEastAsia"/>
          <w:color w:val="auto"/>
          <w:sz w:val="21"/>
          <w:szCs w:val="21"/>
          <w:highlight w:val="none"/>
        </w:rPr>
      </w:pPr>
    </w:p>
    <w:p w14:paraId="25273C34">
      <w:pPr>
        <w:ind w:left="2268" w:leftChars="449" w:hanging="1280" w:hangingChars="400"/>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sz w:val="32"/>
          <w:highlight w:val="none"/>
        </w:rPr>
        <w:t>项目名称：</w:t>
      </w:r>
      <w:r>
        <w:rPr>
          <w:rFonts w:hint="eastAsia" w:asciiTheme="minorEastAsia" w:hAnsiTheme="minorEastAsia" w:eastAsiaTheme="minorEastAsia"/>
          <w:color w:val="auto"/>
          <w:sz w:val="32"/>
          <w:highlight w:val="none"/>
          <w:lang w:eastAsia="zh-CN"/>
        </w:rPr>
        <w:t>集成电路器件工艺基础实训室项目</w:t>
      </w:r>
    </w:p>
    <w:p w14:paraId="0147A2D0">
      <w:pPr>
        <w:pStyle w:val="16"/>
        <w:ind w:firstLine="960" w:firstLineChars="300"/>
        <w:jc w:val="both"/>
        <w:rPr>
          <w:rFonts w:hint="eastAsia" w:ascii="宋体" w:hAnsi="宋体" w:cs="宋体" w:eastAsiaTheme="minorEastAsia"/>
          <w:b/>
          <w:bCs/>
          <w:color w:val="auto"/>
          <w:kern w:val="0"/>
          <w:sz w:val="32"/>
          <w:szCs w:val="32"/>
          <w:highlight w:val="none"/>
          <w:lang w:eastAsia="zh-CN"/>
        </w:rPr>
      </w:pPr>
      <w:r>
        <w:rPr>
          <w:rFonts w:hint="eastAsia" w:asciiTheme="minorEastAsia" w:hAnsiTheme="minorEastAsia" w:eastAsiaTheme="minorEastAsia"/>
          <w:color w:val="auto"/>
          <w:sz w:val="32"/>
          <w:highlight w:val="none"/>
        </w:rPr>
        <w:t>项目编号：</w:t>
      </w:r>
      <w:r>
        <w:rPr>
          <w:rFonts w:hint="eastAsia" w:asciiTheme="minorEastAsia" w:hAnsiTheme="minorEastAsia" w:eastAsiaTheme="minorEastAsia"/>
          <w:color w:val="auto"/>
          <w:sz w:val="32"/>
          <w:highlight w:val="none"/>
          <w:lang w:eastAsia="zh-CN"/>
        </w:rPr>
        <w:t>GXZC2025-J1-003585-GSZX</w:t>
      </w:r>
    </w:p>
    <w:p w14:paraId="40DD0132">
      <w:pPr>
        <w:pStyle w:val="16"/>
        <w:rPr>
          <w:rFonts w:asciiTheme="minorEastAsia" w:hAnsiTheme="minorEastAsia" w:eastAsiaTheme="minorEastAsia"/>
          <w:color w:val="auto"/>
          <w:sz w:val="21"/>
          <w:szCs w:val="21"/>
          <w:highlight w:val="none"/>
        </w:rPr>
      </w:pPr>
    </w:p>
    <w:p w14:paraId="6F6C503C">
      <w:pPr>
        <w:pStyle w:val="16"/>
        <w:rPr>
          <w:rFonts w:asciiTheme="minorEastAsia" w:hAnsiTheme="minorEastAsia" w:eastAsiaTheme="minorEastAsia"/>
          <w:color w:val="auto"/>
          <w:sz w:val="21"/>
          <w:szCs w:val="21"/>
          <w:highlight w:val="none"/>
        </w:rPr>
      </w:pPr>
    </w:p>
    <w:p w14:paraId="284A26D6">
      <w:pPr>
        <w:pStyle w:val="16"/>
        <w:rPr>
          <w:rFonts w:asciiTheme="minorEastAsia" w:hAnsiTheme="minorEastAsia" w:eastAsiaTheme="minorEastAsia"/>
          <w:color w:val="auto"/>
          <w:sz w:val="21"/>
          <w:szCs w:val="21"/>
          <w:highlight w:val="none"/>
        </w:rPr>
      </w:pPr>
    </w:p>
    <w:p w14:paraId="516243B1">
      <w:pPr>
        <w:pStyle w:val="16"/>
        <w:rPr>
          <w:rFonts w:asciiTheme="minorEastAsia" w:hAnsiTheme="minorEastAsia" w:eastAsiaTheme="minorEastAsia"/>
          <w:color w:val="auto"/>
          <w:sz w:val="21"/>
          <w:szCs w:val="21"/>
          <w:highlight w:val="none"/>
        </w:rPr>
      </w:pPr>
    </w:p>
    <w:p w14:paraId="7379B3F1">
      <w:pPr>
        <w:pStyle w:val="16"/>
        <w:rPr>
          <w:rFonts w:asciiTheme="minorEastAsia" w:hAnsiTheme="minorEastAsia" w:eastAsiaTheme="minorEastAsia"/>
          <w:color w:val="auto"/>
          <w:sz w:val="21"/>
          <w:szCs w:val="21"/>
          <w:highlight w:val="none"/>
        </w:rPr>
      </w:pPr>
    </w:p>
    <w:p w14:paraId="22618122">
      <w:pPr>
        <w:rPr>
          <w:rFonts w:asciiTheme="minorEastAsia" w:hAnsiTheme="minorEastAsia" w:eastAsiaTheme="minorEastAsia"/>
          <w:color w:val="auto"/>
          <w:sz w:val="21"/>
          <w:szCs w:val="21"/>
          <w:highlight w:val="none"/>
        </w:rPr>
      </w:pPr>
    </w:p>
    <w:p w14:paraId="3462252A">
      <w:pPr>
        <w:pStyle w:val="16"/>
        <w:rPr>
          <w:color w:val="auto"/>
          <w:highlight w:val="none"/>
        </w:rPr>
      </w:pPr>
    </w:p>
    <w:p w14:paraId="47C620C7">
      <w:pPr>
        <w:pStyle w:val="16"/>
        <w:rPr>
          <w:rFonts w:asciiTheme="minorEastAsia" w:hAnsiTheme="minorEastAsia" w:eastAsiaTheme="minorEastAsia"/>
          <w:color w:val="auto"/>
          <w:sz w:val="21"/>
          <w:szCs w:val="21"/>
          <w:highlight w:val="none"/>
        </w:rPr>
      </w:pPr>
    </w:p>
    <w:p w14:paraId="1B28D744">
      <w:pPr>
        <w:pStyle w:val="16"/>
        <w:jc w:val="both"/>
        <w:rPr>
          <w:rFonts w:asciiTheme="minorEastAsia" w:hAnsiTheme="minorEastAsia" w:eastAsiaTheme="minorEastAsia"/>
          <w:color w:val="auto"/>
          <w:sz w:val="21"/>
          <w:szCs w:val="21"/>
          <w:highlight w:val="none"/>
        </w:rPr>
      </w:pPr>
    </w:p>
    <w:p w14:paraId="05A489F0">
      <w:pPr>
        <w:pStyle w:val="16"/>
        <w:ind w:firstLine="640" w:firstLineChars="200"/>
        <w:jc w:val="both"/>
        <w:rPr>
          <w:rFonts w:asciiTheme="minorEastAsia" w:hAnsiTheme="minorEastAsia" w:eastAsiaTheme="minorEastAsia"/>
          <w:color w:val="auto"/>
          <w:sz w:val="32"/>
          <w:highlight w:val="none"/>
        </w:rPr>
      </w:pPr>
    </w:p>
    <w:p w14:paraId="5BA531AD">
      <w:pPr>
        <w:ind w:firstLine="960" w:firstLineChars="3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采购人：广西信息职业技术学院</w:t>
      </w:r>
    </w:p>
    <w:p w14:paraId="1B80061E">
      <w:pPr>
        <w:ind w:firstLine="960" w:firstLineChars="300"/>
        <w:rPr>
          <w:rFonts w:hint="eastAsia" w:asciiTheme="minorEastAsia" w:hAnsiTheme="minorEastAsia" w:eastAsiaTheme="minorEastAsia"/>
          <w:bCs/>
          <w:color w:val="auto"/>
          <w:sz w:val="32"/>
          <w:szCs w:val="32"/>
          <w:highlight w:val="none"/>
        </w:rPr>
      </w:pPr>
    </w:p>
    <w:p w14:paraId="68BAFF34">
      <w:pPr>
        <w:ind w:firstLine="960" w:firstLineChars="3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采购代理机构：广西</w:t>
      </w:r>
      <w:r>
        <w:rPr>
          <w:rFonts w:hint="eastAsia" w:asciiTheme="minorEastAsia" w:hAnsiTheme="minorEastAsia" w:eastAsiaTheme="minorEastAsia"/>
          <w:bCs/>
          <w:color w:val="auto"/>
          <w:sz w:val="32"/>
          <w:szCs w:val="32"/>
          <w:highlight w:val="none"/>
          <w:lang w:eastAsia="zh-CN"/>
        </w:rPr>
        <w:t>桂水</w:t>
      </w:r>
      <w:r>
        <w:rPr>
          <w:rFonts w:hint="eastAsia" w:asciiTheme="minorEastAsia" w:hAnsiTheme="minorEastAsia" w:eastAsiaTheme="minorEastAsia"/>
          <w:bCs/>
          <w:color w:val="auto"/>
          <w:sz w:val="32"/>
          <w:szCs w:val="32"/>
          <w:highlight w:val="none"/>
        </w:rPr>
        <w:t>工程咨询有限公司</w:t>
      </w:r>
    </w:p>
    <w:p w14:paraId="0D2D73DF">
      <w:pPr>
        <w:ind w:firstLine="960" w:firstLineChars="300"/>
        <w:jc w:val="center"/>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202</w:t>
      </w:r>
      <w:r>
        <w:rPr>
          <w:rFonts w:hint="eastAsia" w:asciiTheme="minorEastAsia" w:hAnsiTheme="minorEastAsia" w:eastAsiaTheme="minorEastAsia"/>
          <w:bCs/>
          <w:color w:val="auto"/>
          <w:sz w:val="32"/>
          <w:szCs w:val="32"/>
          <w:highlight w:val="none"/>
          <w:lang w:val="en-US" w:eastAsia="zh-CN"/>
        </w:rPr>
        <w:t>5</w:t>
      </w:r>
      <w:r>
        <w:rPr>
          <w:rFonts w:hint="eastAsia" w:asciiTheme="minorEastAsia" w:hAnsiTheme="minorEastAsia" w:eastAsiaTheme="minorEastAsia"/>
          <w:bCs/>
          <w:color w:val="auto"/>
          <w:sz w:val="32"/>
          <w:szCs w:val="32"/>
          <w:highlight w:val="none"/>
        </w:rPr>
        <w:t>年</w:t>
      </w:r>
      <w:r>
        <w:rPr>
          <w:rFonts w:hint="eastAsia" w:asciiTheme="minorEastAsia" w:hAnsiTheme="minorEastAsia" w:eastAsiaTheme="minorEastAsia"/>
          <w:bCs/>
          <w:color w:val="auto"/>
          <w:sz w:val="32"/>
          <w:szCs w:val="32"/>
          <w:highlight w:val="none"/>
          <w:lang w:val="en-US" w:eastAsia="zh-CN"/>
        </w:rPr>
        <w:t>11</w:t>
      </w:r>
      <w:r>
        <w:rPr>
          <w:rFonts w:hint="eastAsia" w:asciiTheme="minorEastAsia" w:hAnsiTheme="minorEastAsia" w:eastAsiaTheme="minorEastAsia"/>
          <w:bCs/>
          <w:color w:val="auto"/>
          <w:sz w:val="32"/>
          <w:szCs w:val="32"/>
          <w:highlight w:val="none"/>
        </w:rPr>
        <w:t>月</w:t>
      </w:r>
    </w:p>
    <w:p w14:paraId="43C6E540">
      <w:pPr>
        <w:rPr>
          <w:rFonts w:asciiTheme="minorEastAsia" w:hAnsiTheme="minorEastAsia" w:eastAsiaTheme="minorEastAsia"/>
          <w:color w:val="auto"/>
          <w:sz w:val="32"/>
          <w:szCs w:val="32"/>
          <w:highlight w:val="none"/>
        </w:rPr>
        <w:sectPr>
          <w:headerReference r:id="rId5" w:type="first"/>
          <w:headerReference r:id="rId4" w:type="default"/>
          <w:footerReference r:id="rId6" w:type="default"/>
          <w:footerReference r:id="rId7" w:type="even"/>
          <w:pgSz w:w="11907" w:h="16840"/>
          <w:pgMar w:top="1077" w:right="1418" w:bottom="1418" w:left="1077" w:header="624" w:footer="737" w:gutter="0"/>
          <w:pgNumType w:start="1"/>
          <w:cols w:space="720" w:num="1"/>
          <w:titlePg/>
          <w:docGrid w:linePitch="312" w:charSpace="0"/>
        </w:sectPr>
      </w:pPr>
      <w:bookmarkStart w:id="0" w:name="_Toc246095513"/>
      <w:bookmarkStart w:id="1" w:name="_Toc246095451"/>
      <w:bookmarkStart w:id="2" w:name="_Toc246094907"/>
    </w:p>
    <w:p w14:paraId="4C7E00C2">
      <w:pPr>
        <w:jc w:val="center"/>
        <w:rPr>
          <w:rFonts w:asciiTheme="minorEastAsia" w:hAnsiTheme="minorEastAsia" w:eastAsiaTheme="minorEastAsia"/>
          <w:color w:val="auto"/>
          <w:sz w:val="44"/>
          <w:szCs w:val="44"/>
          <w:highlight w:val="none"/>
        </w:rPr>
      </w:pPr>
      <w:r>
        <w:rPr>
          <w:rFonts w:hint="eastAsia" w:asciiTheme="minorEastAsia" w:hAnsiTheme="minorEastAsia" w:eastAsiaTheme="minorEastAsia"/>
          <w:color w:val="auto"/>
          <w:sz w:val="44"/>
          <w:szCs w:val="44"/>
          <w:highlight w:val="none"/>
        </w:rPr>
        <w:t>目  录</w:t>
      </w:r>
    </w:p>
    <w:p w14:paraId="5BF8FD68">
      <w:pPr>
        <w:spacing w:after="0" w:line="400" w:lineRule="exact"/>
        <w:rPr>
          <w:rFonts w:asciiTheme="minorEastAsia" w:hAnsiTheme="minorEastAsia" w:eastAsiaTheme="minorEastAsia"/>
          <w:color w:val="auto"/>
          <w:sz w:val="28"/>
          <w:szCs w:val="28"/>
          <w:highlight w:val="none"/>
        </w:rPr>
      </w:pPr>
    </w:p>
    <w:p w14:paraId="173C6B0E">
      <w:pPr>
        <w:pStyle w:val="29"/>
        <w:ind w:firstLine="599" w:firstLineChars="214"/>
        <w:rPr>
          <w:rStyle w:val="44"/>
          <w:rFonts w:cstheme="minorBidi"/>
          <w:b/>
          <w:bCs/>
          <w:color w:val="auto"/>
          <w:highlight w:val="none"/>
        </w:rPr>
      </w:pPr>
      <w:r>
        <w:rPr>
          <w:rFonts w:hint="eastAsia" w:cs="仿宋"/>
          <w:color w:val="auto"/>
          <w:highlight w:val="none"/>
        </w:rPr>
        <w:fldChar w:fldCharType="begin"/>
      </w:r>
      <w:r>
        <w:rPr>
          <w:rFonts w:hint="eastAsia" w:cs="仿宋"/>
          <w:color w:val="auto"/>
          <w:highlight w:val="none"/>
        </w:rPr>
        <w:instrText xml:space="preserve"> TOC \o "1-3" \h \z \u </w:instrText>
      </w:r>
      <w:r>
        <w:rPr>
          <w:rFonts w:hint="eastAsia" w:cs="仿宋"/>
          <w:color w:val="auto"/>
          <w:highlight w:val="none"/>
        </w:rPr>
        <w:fldChar w:fldCharType="separate"/>
      </w:r>
      <w:r>
        <w:rPr>
          <w:color w:val="auto"/>
          <w:highlight w:val="none"/>
        </w:rPr>
        <w:fldChar w:fldCharType="begin"/>
      </w:r>
      <w:r>
        <w:rPr>
          <w:color w:val="auto"/>
          <w:highlight w:val="none"/>
        </w:rPr>
        <w:instrText xml:space="preserve"> HYPERLINK \l "_Toc7192541" </w:instrText>
      </w:r>
      <w:r>
        <w:rPr>
          <w:color w:val="auto"/>
          <w:highlight w:val="none"/>
        </w:rPr>
        <w:fldChar w:fldCharType="separate"/>
      </w:r>
      <w:r>
        <w:rPr>
          <w:rStyle w:val="44"/>
          <w:rFonts w:cstheme="minorBidi"/>
          <w:b/>
          <w:bCs/>
          <w:color w:val="auto"/>
          <w:highlight w:val="none"/>
        </w:rPr>
        <w:t>第一章  竞争性谈判公告</w:t>
      </w:r>
      <w:r>
        <w:rPr>
          <w:rStyle w:val="44"/>
          <w:rFonts w:cstheme="minorBidi"/>
          <w:b/>
          <w:bCs/>
          <w:color w:val="auto"/>
          <w:highlight w:val="none"/>
        </w:rPr>
        <w:tab/>
      </w:r>
      <w:r>
        <w:rPr>
          <w:rStyle w:val="44"/>
          <w:rFonts w:cstheme="minorBidi"/>
          <w:b/>
          <w:bCs/>
          <w:color w:val="auto"/>
          <w:highlight w:val="none"/>
        </w:rPr>
        <w:fldChar w:fldCharType="begin"/>
      </w:r>
      <w:r>
        <w:rPr>
          <w:rStyle w:val="44"/>
          <w:rFonts w:cstheme="minorBidi"/>
          <w:b/>
          <w:bCs/>
          <w:color w:val="auto"/>
          <w:highlight w:val="none"/>
        </w:rPr>
        <w:instrText xml:space="preserve"> PAGEREF _Toc7192541 \h </w:instrText>
      </w:r>
      <w:r>
        <w:rPr>
          <w:rStyle w:val="44"/>
          <w:rFonts w:cstheme="minorBidi"/>
          <w:b/>
          <w:bCs/>
          <w:color w:val="auto"/>
          <w:highlight w:val="none"/>
        </w:rPr>
        <w:fldChar w:fldCharType="separate"/>
      </w:r>
      <w:r>
        <w:rPr>
          <w:rStyle w:val="44"/>
          <w:rFonts w:cstheme="minorBidi"/>
          <w:b/>
          <w:bCs/>
          <w:color w:val="auto"/>
          <w:highlight w:val="none"/>
        </w:rPr>
        <w:t>1</w:t>
      </w:r>
      <w:r>
        <w:rPr>
          <w:rStyle w:val="44"/>
          <w:rFonts w:cstheme="minorBidi"/>
          <w:b/>
          <w:bCs/>
          <w:color w:val="auto"/>
          <w:highlight w:val="none"/>
        </w:rPr>
        <w:fldChar w:fldCharType="end"/>
      </w:r>
      <w:r>
        <w:rPr>
          <w:rStyle w:val="44"/>
          <w:rFonts w:cstheme="minorBidi"/>
          <w:b/>
          <w:bCs/>
          <w:color w:val="auto"/>
          <w:highlight w:val="none"/>
        </w:rPr>
        <w:fldChar w:fldCharType="end"/>
      </w:r>
    </w:p>
    <w:p w14:paraId="66FACA6C">
      <w:pPr>
        <w:pStyle w:val="29"/>
        <w:ind w:left="0" w:leftChars="0" w:firstLine="560" w:firstLineChars="200"/>
        <w:rPr>
          <w:rFonts w:cstheme="minorBidi"/>
          <w:color w:val="auto"/>
          <w:highlight w:val="none"/>
        </w:rPr>
      </w:pPr>
      <w:r>
        <w:rPr>
          <w:color w:val="auto"/>
          <w:highlight w:val="none"/>
        </w:rPr>
        <w:fldChar w:fldCharType="begin"/>
      </w:r>
      <w:r>
        <w:rPr>
          <w:color w:val="auto"/>
          <w:highlight w:val="none"/>
        </w:rPr>
        <w:instrText xml:space="preserve"> HYPERLINK \l "_Toc7192542" </w:instrText>
      </w:r>
      <w:r>
        <w:rPr>
          <w:color w:val="auto"/>
          <w:highlight w:val="none"/>
        </w:rPr>
        <w:fldChar w:fldCharType="separate"/>
      </w:r>
      <w:r>
        <w:rPr>
          <w:rStyle w:val="44"/>
          <w:b/>
          <w:bCs/>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_Toc7192542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3375A2E">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"_Toc7192543" </w:instrText>
      </w:r>
      <w:r>
        <w:rPr>
          <w:color w:val="auto"/>
          <w:highlight w:val="none"/>
        </w:rPr>
        <w:fldChar w:fldCharType="separate"/>
      </w:r>
      <w:r>
        <w:rPr>
          <w:rStyle w:val="44"/>
          <w:rFonts w:asciiTheme="minorEastAsia" w:hAnsiTheme="minorEastAsia" w:eastAsiaTheme="minorEastAsia"/>
          <w:color w:val="auto"/>
          <w:sz w:val="28"/>
          <w:szCs w:val="28"/>
          <w:highlight w:val="none"/>
        </w:rPr>
        <w:t>供应商须知前附表</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_Toc7192543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1F528E5">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"_Toc7192544" </w:instrText>
      </w:r>
      <w:r>
        <w:rPr>
          <w:color w:val="auto"/>
          <w:highlight w:val="none"/>
        </w:rPr>
        <w:fldChar w:fldCharType="separate"/>
      </w:r>
      <w:r>
        <w:rPr>
          <w:rStyle w:val="44"/>
          <w:rFonts w:asciiTheme="minorEastAsia" w:hAnsiTheme="minorEastAsia" w:eastAsiaTheme="minorEastAsia"/>
          <w:color w:val="auto"/>
          <w:sz w:val="28"/>
          <w:szCs w:val="28"/>
          <w:highlight w:val="none"/>
        </w:rPr>
        <w:t>一、总则</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_Toc7192544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15</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E546E21">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"_Toc7192545" </w:instrText>
      </w:r>
      <w:r>
        <w:rPr>
          <w:color w:val="auto"/>
          <w:highlight w:val="none"/>
        </w:rPr>
        <w:fldChar w:fldCharType="separate"/>
      </w:r>
      <w:r>
        <w:rPr>
          <w:rStyle w:val="44"/>
          <w:rFonts w:asciiTheme="minorEastAsia" w:hAnsiTheme="minorEastAsia" w:eastAsiaTheme="minorEastAsia"/>
          <w:color w:val="auto"/>
          <w:sz w:val="28"/>
          <w:szCs w:val="28"/>
          <w:highlight w:val="none"/>
        </w:rPr>
        <w:t>二、竞争性谈判文件</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_Toc7192545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17</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15B3F41">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"_Toc7192546" </w:instrText>
      </w:r>
      <w:r>
        <w:rPr>
          <w:color w:val="auto"/>
          <w:highlight w:val="none"/>
        </w:rPr>
        <w:fldChar w:fldCharType="separate"/>
      </w:r>
      <w:r>
        <w:rPr>
          <w:rStyle w:val="44"/>
          <w:rFonts w:asciiTheme="minorEastAsia" w:hAnsiTheme="minorEastAsia" w:eastAsiaTheme="minorEastAsia"/>
          <w:color w:val="auto"/>
          <w:sz w:val="28"/>
          <w:szCs w:val="28"/>
          <w:highlight w:val="none"/>
        </w:rPr>
        <w:t>三、响应文件</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_Toc7192546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18</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BF3F8E8">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"_Toc7192547" </w:instrText>
      </w:r>
      <w:r>
        <w:rPr>
          <w:color w:val="auto"/>
          <w:highlight w:val="none"/>
        </w:rPr>
        <w:fldChar w:fldCharType="separate"/>
      </w:r>
      <w:r>
        <w:rPr>
          <w:rStyle w:val="44"/>
          <w:rFonts w:asciiTheme="minorEastAsia" w:hAnsiTheme="minorEastAsia" w:eastAsiaTheme="minorEastAsia"/>
          <w:color w:val="auto"/>
          <w:sz w:val="28"/>
          <w:szCs w:val="28"/>
          <w:highlight w:val="none"/>
        </w:rPr>
        <w:t>四、谈判与评审</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_Toc7192547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20</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5A565E20">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"_Toc7192548" </w:instrText>
      </w:r>
      <w:r>
        <w:rPr>
          <w:color w:val="auto"/>
          <w:highlight w:val="none"/>
        </w:rPr>
        <w:fldChar w:fldCharType="separate"/>
      </w:r>
      <w:r>
        <w:rPr>
          <w:rStyle w:val="44"/>
          <w:rFonts w:asciiTheme="minorEastAsia" w:hAnsiTheme="minorEastAsia" w:eastAsiaTheme="minorEastAsia"/>
          <w:color w:val="auto"/>
          <w:sz w:val="28"/>
          <w:szCs w:val="28"/>
          <w:highlight w:val="none"/>
        </w:rPr>
        <w:t>五、评审结果</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_Toc7192548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4C34E8B">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"_Toc7192549" </w:instrText>
      </w:r>
      <w:r>
        <w:rPr>
          <w:color w:val="auto"/>
          <w:highlight w:val="none"/>
        </w:rPr>
        <w:fldChar w:fldCharType="separate"/>
      </w:r>
      <w:r>
        <w:rPr>
          <w:rStyle w:val="44"/>
          <w:rFonts w:asciiTheme="minorEastAsia" w:hAnsiTheme="minorEastAsia" w:eastAsiaTheme="minorEastAsia"/>
          <w:color w:val="auto"/>
          <w:sz w:val="28"/>
          <w:szCs w:val="28"/>
          <w:highlight w:val="none"/>
        </w:rPr>
        <w:t>六、合同授予</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_Toc7192549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26</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65ED240">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"_Toc7192550" </w:instrText>
      </w:r>
      <w:r>
        <w:rPr>
          <w:color w:val="auto"/>
          <w:highlight w:val="none"/>
        </w:rPr>
        <w:fldChar w:fldCharType="separate"/>
      </w:r>
      <w:r>
        <w:rPr>
          <w:rStyle w:val="44"/>
          <w:rFonts w:asciiTheme="minorEastAsia" w:hAnsiTheme="minorEastAsia" w:eastAsiaTheme="minorEastAsia"/>
          <w:color w:val="auto"/>
          <w:sz w:val="28"/>
          <w:szCs w:val="28"/>
          <w:highlight w:val="none"/>
        </w:rPr>
        <w:t>七、其他</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_Toc7192550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27</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6342E182">
      <w:pPr>
        <w:pStyle w:val="29"/>
        <w:ind w:firstLine="840"/>
        <w:rPr>
          <w:rFonts w:cstheme="minorBidi"/>
          <w:color w:val="auto"/>
          <w:highlight w:val="none"/>
        </w:rPr>
      </w:pPr>
      <w:r>
        <w:rPr>
          <w:color w:val="auto"/>
          <w:highlight w:val="none"/>
        </w:rPr>
        <w:fldChar w:fldCharType="begin"/>
      </w:r>
      <w:r>
        <w:rPr>
          <w:color w:val="auto"/>
          <w:highlight w:val="none"/>
        </w:rPr>
        <w:instrText xml:space="preserve"> HYPERLINK \l "_Toc7192551" </w:instrText>
      </w:r>
      <w:r>
        <w:rPr>
          <w:color w:val="auto"/>
          <w:highlight w:val="none"/>
        </w:rPr>
        <w:fldChar w:fldCharType="separate"/>
      </w:r>
      <w:r>
        <w:rPr>
          <w:rStyle w:val="44"/>
          <w:b/>
          <w:bCs/>
          <w:color w:val="auto"/>
          <w:highlight w:val="none"/>
        </w:rPr>
        <w:t>第三章  项目采购需求和说明</w:t>
      </w:r>
      <w:r>
        <w:rPr>
          <w:color w:val="auto"/>
          <w:highlight w:val="none"/>
        </w:rPr>
        <w:tab/>
      </w:r>
      <w:r>
        <w:rPr>
          <w:color w:val="auto"/>
          <w:highlight w:val="none"/>
        </w:rPr>
        <w:fldChar w:fldCharType="begin"/>
      </w:r>
      <w:r>
        <w:rPr>
          <w:color w:val="auto"/>
          <w:highlight w:val="none"/>
        </w:rPr>
        <w:instrText xml:space="preserve"> PAGEREF _Toc7192551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96FE22B">
      <w:pPr>
        <w:pStyle w:val="29"/>
        <w:ind w:firstLine="840"/>
        <w:rPr>
          <w:rFonts w:cstheme="minorBidi"/>
          <w:color w:val="auto"/>
          <w:highlight w:val="none"/>
        </w:rPr>
      </w:pPr>
      <w:r>
        <w:rPr>
          <w:color w:val="auto"/>
          <w:highlight w:val="none"/>
        </w:rPr>
        <w:fldChar w:fldCharType="begin"/>
      </w:r>
      <w:r>
        <w:rPr>
          <w:color w:val="auto"/>
          <w:highlight w:val="none"/>
        </w:rPr>
        <w:instrText xml:space="preserve"> HYPERLINK \l "_Toc7192552" </w:instrText>
      </w:r>
      <w:r>
        <w:rPr>
          <w:color w:val="auto"/>
          <w:highlight w:val="none"/>
        </w:rPr>
        <w:fldChar w:fldCharType="separate"/>
      </w:r>
      <w:r>
        <w:rPr>
          <w:rStyle w:val="44"/>
          <w:b/>
          <w:bCs/>
          <w:color w:val="auto"/>
          <w:highlight w:val="none"/>
        </w:rPr>
        <w:t>第四章  评审方法及评审标准</w:t>
      </w:r>
      <w:r>
        <w:rPr>
          <w:color w:val="auto"/>
          <w:highlight w:val="none"/>
        </w:rPr>
        <w:tab/>
      </w:r>
      <w:r>
        <w:rPr>
          <w:color w:val="auto"/>
          <w:highlight w:val="none"/>
        </w:rPr>
        <w:fldChar w:fldCharType="begin"/>
      </w:r>
      <w:r>
        <w:rPr>
          <w:color w:val="auto"/>
          <w:highlight w:val="none"/>
        </w:rPr>
        <w:instrText xml:space="preserve"> PAGEREF _Toc7192552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385AFDB">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"_Toc7192553" </w:instrText>
      </w:r>
      <w:r>
        <w:rPr>
          <w:color w:val="auto"/>
          <w:highlight w:val="none"/>
        </w:rPr>
        <w:fldChar w:fldCharType="separate"/>
      </w:r>
      <w:r>
        <w:rPr>
          <w:rStyle w:val="44"/>
          <w:rFonts w:cs="Arial" w:asciiTheme="minorEastAsia" w:hAnsiTheme="minorEastAsia" w:eastAsiaTheme="minorEastAsia"/>
          <w:bCs/>
          <w:color w:val="auto"/>
          <w:sz w:val="28"/>
          <w:szCs w:val="28"/>
          <w:highlight w:val="none"/>
        </w:rPr>
        <w:t>一、评审原则</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_Toc7192553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50</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01B9B1F">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"_Toc7192554" </w:instrText>
      </w:r>
      <w:r>
        <w:rPr>
          <w:color w:val="auto"/>
          <w:highlight w:val="none"/>
        </w:rPr>
        <w:fldChar w:fldCharType="separate"/>
      </w:r>
      <w:r>
        <w:rPr>
          <w:rStyle w:val="44"/>
          <w:rFonts w:cs="Arial" w:asciiTheme="minorEastAsia" w:hAnsiTheme="minorEastAsia" w:eastAsiaTheme="minorEastAsia"/>
          <w:bCs/>
          <w:color w:val="auto"/>
          <w:sz w:val="28"/>
          <w:szCs w:val="28"/>
          <w:highlight w:val="none"/>
        </w:rPr>
        <w:t>二、评审标准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_Toc7192554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50</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9B43120">
      <w:pPr>
        <w:pStyle w:val="17"/>
        <w:tabs>
          <w:tab w:val="right" w:leader="dot" w:pos="9402"/>
        </w:tabs>
        <w:spacing w:line="500" w:lineRule="exact"/>
        <w:ind w:left="0" w:firstLine="600" w:firstLineChars="300"/>
        <w:rPr>
          <w:rFonts w:asciiTheme="minorEastAsia" w:hAnsiTheme="minorEastAsia" w:eastAsiaTheme="minorEastAsia" w:cstheme="minorBidi"/>
          <w:smallCaps w:val="0"/>
          <w:color w:val="auto"/>
          <w:sz w:val="28"/>
          <w:szCs w:val="28"/>
          <w:highlight w:val="none"/>
        </w:rPr>
      </w:pPr>
      <w:r>
        <w:rPr>
          <w:color w:val="auto"/>
          <w:highlight w:val="none"/>
        </w:rPr>
        <w:fldChar w:fldCharType="begin"/>
      </w:r>
      <w:r>
        <w:rPr>
          <w:color w:val="auto"/>
          <w:highlight w:val="none"/>
        </w:rPr>
        <w:instrText xml:space="preserve"> HYPERLINK \l "_Toc7192555" </w:instrText>
      </w:r>
      <w:r>
        <w:rPr>
          <w:color w:val="auto"/>
          <w:highlight w:val="none"/>
        </w:rPr>
        <w:fldChar w:fldCharType="separate"/>
      </w:r>
      <w:r>
        <w:rPr>
          <w:rStyle w:val="44"/>
          <w:rFonts w:cs="Arial" w:asciiTheme="minorEastAsia" w:hAnsiTheme="minorEastAsia" w:eastAsiaTheme="minorEastAsia"/>
          <w:bCs/>
          <w:color w:val="auto"/>
          <w:sz w:val="28"/>
          <w:szCs w:val="28"/>
          <w:highlight w:val="none"/>
        </w:rPr>
        <w:t>三、确定成交供应商</w:t>
      </w:r>
      <w:r>
        <w:rPr>
          <w:rFonts w:asciiTheme="minorEastAsia" w:hAnsiTheme="minorEastAsia" w:eastAsiaTheme="minorEastAsia"/>
          <w:color w:val="auto"/>
          <w:sz w:val="28"/>
          <w:szCs w:val="28"/>
          <w:highlight w:val="none"/>
        </w:rPr>
        <w:tab/>
      </w: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PAGEREF _Toc7192555 \h </w:instrText>
      </w:r>
      <w:r>
        <w:rPr>
          <w:rFonts w:asciiTheme="minorEastAsia" w:hAnsiTheme="minorEastAsia" w:eastAsiaTheme="minorEastAsia"/>
          <w:color w:val="auto"/>
          <w:sz w:val="28"/>
          <w:szCs w:val="28"/>
          <w:highlight w:val="none"/>
        </w:rPr>
        <w:fldChar w:fldCharType="separate"/>
      </w:r>
      <w:r>
        <w:rPr>
          <w:rFonts w:asciiTheme="minorEastAsia" w:hAnsiTheme="minorEastAsia" w:eastAsiaTheme="minorEastAsia"/>
          <w:color w:val="auto"/>
          <w:sz w:val="28"/>
          <w:szCs w:val="28"/>
          <w:highlight w:val="none"/>
        </w:rPr>
        <w:t>53</w:t>
      </w:r>
      <w:r>
        <w:rPr>
          <w:rFonts w:asciiTheme="minorEastAsia" w:hAnsiTheme="minorEastAsia" w:eastAsiaTheme="minorEastAsia"/>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4750177">
      <w:pPr>
        <w:pStyle w:val="29"/>
        <w:ind w:firstLine="840"/>
        <w:rPr>
          <w:rFonts w:cstheme="minorBidi"/>
          <w:color w:val="auto"/>
          <w:highlight w:val="none"/>
        </w:rPr>
      </w:pPr>
      <w:r>
        <w:rPr>
          <w:color w:val="auto"/>
          <w:highlight w:val="none"/>
        </w:rPr>
        <w:fldChar w:fldCharType="begin"/>
      </w:r>
      <w:r>
        <w:rPr>
          <w:color w:val="auto"/>
          <w:highlight w:val="none"/>
        </w:rPr>
        <w:instrText xml:space="preserve"> HYPERLINK \l "_Toc7192556" </w:instrText>
      </w:r>
      <w:r>
        <w:rPr>
          <w:color w:val="auto"/>
          <w:highlight w:val="none"/>
        </w:rPr>
        <w:fldChar w:fldCharType="separate"/>
      </w:r>
      <w:r>
        <w:rPr>
          <w:rStyle w:val="44"/>
          <w:b/>
          <w:bCs/>
          <w:color w:val="auto"/>
          <w:highlight w:val="none"/>
        </w:rPr>
        <w:t>第五章  合同条款</w:t>
      </w:r>
      <w:r>
        <w:rPr>
          <w:color w:val="auto"/>
          <w:highlight w:val="none"/>
        </w:rPr>
        <w:tab/>
      </w:r>
      <w:r>
        <w:rPr>
          <w:color w:val="auto"/>
          <w:highlight w:val="none"/>
        </w:rPr>
        <w:fldChar w:fldCharType="begin"/>
      </w:r>
      <w:r>
        <w:rPr>
          <w:color w:val="auto"/>
          <w:highlight w:val="none"/>
        </w:rPr>
        <w:instrText xml:space="preserve"> PAGEREF _Toc7192556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2F4CF56">
      <w:pPr>
        <w:pStyle w:val="29"/>
        <w:ind w:firstLine="840"/>
        <w:rPr>
          <w:rFonts w:cstheme="minorBidi"/>
          <w:color w:val="auto"/>
          <w:highlight w:val="none"/>
        </w:rPr>
      </w:pPr>
      <w:r>
        <w:rPr>
          <w:color w:val="auto"/>
          <w:highlight w:val="none"/>
        </w:rPr>
        <w:fldChar w:fldCharType="begin"/>
      </w:r>
      <w:r>
        <w:rPr>
          <w:color w:val="auto"/>
          <w:highlight w:val="none"/>
        </w:rPr>
        <w:instrText xml:space="preserve"> HYPERLINK \l "_Toc7192557" </w:instrText>
      </w:r>
      <w:r>
        <w:rPr>
          <w:color w:val="auto"/>
          <w:highlight w:val="none"/>
        </w:rPr>
        <w:fldChar w:fldCharType="separate"/>
      </w:r>
      <w:r>
        <w:rPr>
          <w:rStyle w:val="44"/>
          <w:b/>
          <w:bCs/>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_Toc7192557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4B57C1BA">
      <w:pPr>
        <w:spacing w:after="0" w:line="500" w:lineRule="exact"/>
        <w:ind w:firstLine="560" w:firstLineChars="200"/>
        <w:rPr>
          <w:rFonts w:asciiTheme="minorEastAsia" w:hAnsiTheme="minorEastAsia" w:eastAsiaTheme="minorEastAsia"/>
          <w:color w:val="auto"/>
          <w:sz w:val="20"/>
          <w:szCs w:val="20"/>
          <w:highlight w:val="none"/>
        </w:rPr>
        <w:sectPr>
          <w:headerReference r:id="rId8" w:type="first"/>
          <w:footerReference r:id="rId9" w:type="first"/>
          <w:pgSz w:w="11907" w:h="16840"/>
          <w:pgMar w:top="1077" w:right="1418" w:bottom="1418" w:left="1077" w:header="624" w:footer="737" w:gutter="0"/>
          <w:pgNumType w:start="1"/>
          <w:cols w:space="720" w:num="1"/>
          <w:docGrid w:linePitch="312" w:charSpace="0"/>
        </w:sectPr>
      </w:pPr>
      <w:r>
        <w:rPr>
          <w:rFonts w:hint="eastAsia" w:cs="仿宋" w:asciiTheme="minorEastAsia" w:hAnsiTheme="minorEastAsia" w:eastAsiaTheme="minorEastAsia"/>
          <w:bCs/>
          <w:color w:val="auto"/>
          <w:sz w:val="28"/>
          <w:szCs w:val="28"/>
          <w:highlight w:val="none"/>
        </w:rPr>
        <w:fldChar w:fldCharType="end"/>
      </w:r>
    </w:p>
    <w:p w14:paraId="6559A24D">
      <w:pPr>
        <w:pStyle w:val="2"/>
        <w:spacing w:line="360" w:lineRule="auto"/>
        <w:ind w:firstLine="723" w:firstLineChars="200"/>
        <w:rPr>
          <w:rFonts w:asciiTheme="minorEastAsia" w:hAnsiTheme="minorEastAsia" w:eastAsiaTheme="minorEastAsia"/>
          <w:b/>
          <w:bCs/>
          <w:color w:val="auto"/>
          <w:highlight w:val="none"/>
        </w:rPr>
      </w:pPr>
      <w:bookmarkStart w:id="3" w:name="_Toc7192541"/>
      <w:r>
        <w:rPr>
          <w:rFonts w:hint="eastAsia" w:asciiTheme="minorEastAsia" w:hAnsiTheme="minorEastAsia" w:eastAsiaTheme="minorEastAsia"/>
          <w:b/>
          <w:bCs/>
          <w:color w:val="auto"/>
          <w:highlight w:val="none"/>
        </w:rPr>
        <w:t>第一章  竞争性谈判公告</w:t>
      </w:r>
      <w:bookmarkEnd w:id="0"/>
      <w:bookmarkEnd w:id="1"/>
      <w:bookmarkEnd w:id="2"/>
      <w:bookmarkEnd w:id="3"/>
    </w:p>
    <w:p w14:paraId="29FB94B2">
      <w:pPr>
        <w:spacing w:after="0" w:line="360" w:lineRule="auto"/>
        <w:ind w:firstLine="562" w:firstLineChars="200"/>
        <w:jc w:val="center"/>
        <w:rPr>
          <w:rFonts w:asciiTheme="minorEastAsia" w:hAnsiTheme="minorEastAsia" w:eastAsiaTheme="minorEastAsia"/>
          <w:b/>
          <w:color w:val="auto"/>
          <w:sz w:val="28"/>
          <w:szCs w:val="28"/>
          <w:highlight w:val="none"/>
        </w:rPr>
      </w:pPr>
      <w:bookmarkStart w:id="4" w:name="_Toc246094908"/>
      <w:bookmarkStart w:id="5" w:name="_Toc246095452"/>
      <w:bookmarkStart w:id="6" w:name="_Toc246095514"/>
      <w:r>
        <w:rPr>
          <w:rFonts w:hint="eastAsia" w:asciiTheme="minorEastAsia" w:hAnsiTheme="minorEastAsia" w:eastAsiaTheme="minorEastAsia"/>
          <w:b/>
          <w:color w:val="auto"/>
          <w:sz w:val="28"/>
          <w:szCs w:val="28"/>
          <w:highlight w:val="none"/>
        </w:rPr>
        <w:t>广西</w:t>
      </w:r>
      <w:r>
        <w:rPr>
          <w:rFonts w:hint="eastAsia" w:asciiTheme="minorEastAsia" w:hAnsiTheme="minorEastAsia" w:eastAsiaTheme="minorEastAsia"/>
          <w:b/>
          <w:color w:val="auto"/>
          <w:sz w:val="28"/>
          <w:szCs w:val="28"/>
          <w:highlight w:val="none"/>
          <w:lang w:eastAsia="zh-CN"/>
        </w:rPr>
        <w:t>桂水</w:t>
      </w:r>
      <w:r>
        <w:rPr>
          <w:rFonts w:hint="eastAsia" w:asciiTheme="minorEastAsia" w:hAnsiTheme="minorEastAsia" w:eastAsiaTheme="minorEastAsia"/>
          <w:b/>
          <w:color w:val="auto"/>
          <w:sz w:val="28"/>
          <w:szCs w:val="28"/>
          <w:highlight w:val="none"/>
        </w:rPr>
        <w:t>工程咨询有限公司关于</w:t>
      </w:r>
      <w:r>
        <w:rPr>
          <w:rFonts w:hint="eastAsia" w:asciiTheme="minorEastAsia" w:hAnsiTheme="minorEastAsia" w:eastAsiaTheme="minorEastAsia"/>
          <w:b/>
          <w:color w:val="auto"/>
          <w:sz w:val="28"/>
          <w:szCs w:val="28"/>
          <w:highlight w:val="none"/>
          <w:lang w:eastAsia="zh-CN"/>
        </w:rPr>
        <w:t>集成电路器件工艺基础实训室项目</w:t>
      </w:r>
      <w:r>
        <w:rPr>
          <w:rFonts w:asciiTheme="minorEastAsia" w:hAnsiTheme="minorEastAsia" w:eastAsiaTheme="minorEastAsia"/>
          <w:b/>
          <w:color w:val="auto"/>
          <w:sz w:val="28"/>
          <w:szCs w:val="28"/>
          <w:highlight w:val="none"/>
        </w:rPr>
        <w:t>（</w:t>
      </w:r>
      <w:r>
        <w:rPr>
          <w:rFonts w:hint="eastAsia" w:asciiTheme="minorEastAsia" w:hAnsiTheme="minorEastAsia" w:eastAsiaTheme="minorEastAsia"/>
          <w:b/>
          <w:color w:val="auto"/>
          <w:sz w:val="28"/>
          <w:szCs w:val="28"/>
          <w:highlight w:val="none"/>
        </w:rPr>
        <w:t>项目</w:t>
      </w:r>
      <w:r>
        <w:rPr>
          <w:rFonts w:asciiTheme="minorEastAsia" w:hAnsiTheme="minorEastAsia" w:eastAsiaTheme="minorEastAsia"/>
          <w:b/>
          <w:color w:val="auto"/>
          <w:sz w:val="28"/>
          <w:szCs w:val="28"/>
          <w:highlight w:val="none"/>
        </w:rPr>
        <w:t>编号：</w:t>
      </w:r>
      <w:r>
        <w:rPr>
          <w:rFonts w:hint="eastAsia" w:asciiTheme="minorEastAsia" w:hAnsiTheme="minorEastAsia" w:eastAsiaTheme="minorEastAsia"/>
          <w:b/>
          <w:color w:val="auto"/>
          <w:sz w:val="28"/>
          <w:szCs w:val="28"/>
          <w:highlight w:val="none"/>
          <w:lang w:eastAsia="zh-CN"/>
        </w:rPr>
        <w:t>GXZC2025-J1-003585-GSZX</w:t>
      </w:r>
      <w:r>
        <w:rPr>
          <w:rFonts w:asciiTheme="minorEastAsia" w:hAnsiTheme="minorEastAsia" w:eastAsiaTheme="minorEastAsia"/>
          <w:b/>
          <w:color w:val="auto"/>
          <w:sz w:val="28"/>
          <w:szCs w:val="28"/>
          <w:highlight w:val="none"/>
        </w:rPr>
        <w:t>）竞争性谈判公告</w:t>
      </w:r>
    </w:p>
    <w:tbl>
      <w:tblPr>
        <w:tblStyle w:val="3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0"/>
      </w:tblGrid>
      <w:tr w14:paraId="4B69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0" w:type="dxa"/>
          </w:tcPr>
          <w:p w14:paraId="430B648B">
            <w:pPr>
              <w:spacing w:after="0" w:line="360" w:lineRule="auto"/>
              <w:ind w:firstLine="482" w:firstLineChars="200"/>
              <w:rPr>
                <w:rFonts w:asciiTheme="minorEastAsia" w:hAnsiTheme="minorEastAsia" w:eastAsiaTheme="minorEastAsia" w:cstheme="minorEastAsia"/>
                <w:b/>
                <w:bCs/>
                <w:color w:val="auto"/>
                <w:sz w:val="24"/>
                <w:szCs w:val="24"/>
                <w:highlight w:val="none"/>
              </w:rPr>
            </w:pPr>
            <w:bookmarkStart w:id="7" w:name="_Toc7192542"/>
            <w:r>
              <w:rPr>
                <w:rFonts w:hint="eastAsia" w:asciiTheme="minorEastAsia" w:hAnsiTheme="minorEastAsia" w:eastAsiaTheme="minorEastAsia" w:cstheme="minorEastAsia"/>
                <w:b/>
                <w:bCs/>
                <w:color w:val="auto"/>
                <w:sz w:val="24"/>
                <w:szCs w:val="24"/>
                <w:highlight w:val="none"/>
              </w:rPr>
              <w:t>项目概况：</w:t>
            </w:r>
          </w:p>
          <w:p w14:paraId="3597201F">
            <w:pPr>
              <w:spacing w:after="0" w:line="360" w:lineRule="auto"/>
              <w:ind w:firstLine="480" w:firstLineChars="200"/>
              <w:rPr>
                <w:rFonts w:hint="eastAsia" w:ascii="宋体" w:hAnsi="宋体" w:eastAsia="宋体" w:cs="宋体"/>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lang w:eastAsia="zh-CN"/>
              </w:rPr>
              <w:t>集成电路器件工艺基础实训室项目</w:t>
            </w:r>
            <w:r>
              <w:rPr>
                <w:rFonts w:hint="eastAsia" w:asciiTheme="minorEastAsia" w:hAnsiTheme="minorEastAsia" w:eastAsiaTheme="minorEastAsia" w:cstheme="minorEastAsia"/>
                <w:color w:val="auto"/>
                <w:sz w:val="24"/>
                <w:szCs w:val="24"/>
                <w:highlight w:val="none"/>
              </w:rPr>
              <w:t>的潜在供应商应在</w:t>
            </w:r>
            <w:r>
              <w:rPr>
                <w:rFonts w:hint="eastAsia" w:ascii="宋体" w:hAnsi="宋体" w:eastAsia="宋体" w:cs="宋体"/>
                <w:color w:val="auto"/>
                <w:sz w:val="24"/>
                <w:szCs w:val="24"/>
                <w:highlight w:val="none"/>
                <w:u w:val="single"/>
              </w:rPr>
              <w:t>广西政府采购云平台（https://</w:t>
            </w:r>
          </w:p>
          <w:p w14:paraId="4B4978C4">
            <w:pPr>
              <w:spacing w:after="0" w:line="360" w:lineRule="auto"/>
              <w:rPr>
                <w:rFonts w:asciiTheme="minorEastAsia" w:hAnsiTheme="minorEastAsia" w:eastAsiaTheme="minorEastAsia" w:cstheme="minorEastAsia"/>
                <w:b/>
                <w:bCs/>
                <w:color w:val="auto"/>
                <w:sz w:val="24"/>
                <w:szCs w:val="24"/>
                <w:highlight w:val="none"/>
              </w:rPr>
            </w:pPr>
            <w:r>
              <w:rPr>
                <w:rFonts w:hint="eastAsia" w:ascii="宋体" w:hAnsi="宋体" w:eastAsia="宋体" w:cs="宋体"/>
                <w:color w:val="auto"/>
                <w:sz w:val="24"/>
                <w:szCs w:val="24"/>
                <w:highlight w:val="none"/>
                <w:u w:val="single"/>
              </w:rPr>
              <w:t>www.gcy.zfcg.gxzf.gov.cn/）</w:t>
            </w:r>
            <w:r>
              <w:rPr>
                <w:rFonts w:hint="eastAsia" w:asciiTheme="minorEastAsia" w:hAnsiTheme="minorEastAsia" w:eastAsiaTheme="minorEastAsia" w:cstheme="minorEastAsia"/>
                <w:color w:val="auto"/>
                <w:sz w:val="24"/>
                <w:szCs w:val="24"/>
                <w:highlight w:val="none"/>
              </w:rPr>
              <w:t>获取采购文件，并于</w:t>
            </w:r>
            <w:r>
              <w:rPr>
                <w:rFonts w:hint="eastAsia" w:asciiTheme="minorEastAsia" w:hAnsiTheme="minorEastAsia" w:eastAsiaTheme="minorEastAsia" w:cstheme="minorEastAsia"/>
                <w:color w:val="auto"/>
                <w:sz w:val="24"/>
                <w:szCs w:val="24"/>
                <w:highlight w:val="none"/>
                <w:u w:val="single"/>
                <w:lang w:eastAsia="zh-CN"/>
              </w:rPr>
              <w:t>2025年11月27日09时30分</w:t>
            </w:r>
            <w:r>
              <w:rPr>
                <w:rFonts w:hint="eastAsia" w:asciiTheme="minorEastAsia" w:hAnsiTheme="minorEastAsia" w:eastAsiaTheme="minorEastAsia" w:cstheme="minorEastAsia"/>
                <w:color w:val="auto"/>
                <w:sz w:val="24"/>
                <w:szCs w:val="24"/>
                <w:highlight w:val="none"/>
              </w:rPr>
              <w:t>（北京时间）前提交响应文件。</w:t>
            </w:r>
          </w:p>
        </w:tc>
      </w:tr>
    </w:tbl>
    <w:p w14:paraId="2BA00100">
      <w:pPr>
        <w:spacing w:after="0"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一、项目基本情况</w:t>
      </w:r>
    </w:p>
    <w:p w14:paraId="6DED4E91">
      <w:pPr>
        <w:spacing w:after="0"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GXZC2025-J1-003585-GSZX</w:t>
      </w:r>
    </w:p>
    <w:p w14:paraId="02528B59">
      <w:pPr>
        <w:spacing w:after="0"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集成电路器件工艺基础实训室项目</w:t>
      </w:r>
    </w:p>
    <w:p w14:paraId="006D7CFE">
      <w:pP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采购方式：☑竞争性谈判</w:t>
      </w:r>
    </w:p>
    <w:p w14:paraId="4E69A77D">
      <w:pPr>
        <w:spacing w:after="0" w:line="360" w:lineRule="auto"/>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cs="Arial" w:asciiTheme="minorEastAsia" w:hAnsiTheme="minorEastAsia" w:eastAsiaTheme="minorEastAsia"/>
          <w:bCs/>
          <w:color w:val="auto"/>
          <w:sz w:val="24"/>
          <w:highlight w:val="none"/>
        </w:rPr>
        <w:t>人民币</w:t>
      </w:r>
      <w:r>
        <w:rPr>
          <w:rFonts w:hint="eastAsia" w:cs="Arial" w:asciiTheme="minorEastAsia" w:hAnsiTheme="minorEastAsia" w:eastAsiaTheme="minorEastAsia"/>
          <w:bCs/>
          <w:color w:val="auto"/>
          <w:sz w:val="24"/>
          <w:highlight w:val="none"/>
          <w:lang w:val="en-US" w:eastAsia="zh-CN"/>
        </w:rPr>
        <w:t>壹佰捌拾万零伍仟零伍元柒角壹分</w:t>
      </w:r>
      <w:r>
        <w:rPr>
          <w:rFonts w:hint="eastAsia" w:cs="Arial" w:asciiTheme="minorEastAsia" w:hAnsiTheme="minorEastAsia" w:eastAsiaTheme="minorEastAsia"/>
          <w:bCs/>
          <w:color w:val="auto"/>
          <w:sz w:val="24"/>
          <w:highlight w:val="none"/>
          <w:lang w:val="en-US" w:eastAsia="zh-CN"/>
        </w:rPr>
        <w:t>（￥</w:t>
      </w:r>
      <w:r>
        <w:rPr>
          <w:rFonts w:hint="eastAsia" w:cs="Arial" w:asciiTheme="minorEastAsia" w:hAnsiTheme="minorEastAsia" w:eastAsiaTheme="minorEastAsia"/>
          <w:bCs/>
          <w:color w:val="auto"/>
          <w:sz w:val="24"/>
          <w:highlight w:val="none"/>
        </w:rPr>
        <w:t>1805005.71</w:t>
      </w:r>
      <w:r>
        <w:rPr>
          <w:rFonts w:hint="eastAsia" w:cs="Arial" w:asciiTheme="minorEastAsia" w:hAnsiTheme="minorEastAsia" w:eastAsiaTheme="minorEastAsia"/>
          <w:bCs/>
          <w:color w:val="auto"/>
          <w:sz w:val="24"/>
          <w:highlight w:val="none"/>
          <w:lang w:val="en-US" w:eastAsia="zh-CN"/>
        </w:rPr>
        <w:t>）</w:t>
      </w:r>
    </w:p>
    <w:p w14:paraId="2BEEC04E">
      <w:pP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p>
    <w:p w14:paraId="758E4DA6">
      <w:pPr>
        <w:spacing w:after="0"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w:t>
      </w:r>
    </w:p>
    <w:tbl>
      <w:tblPr>
        <w:tblStyle w:val="38"/>
        <w:tblpPr w:leftFromText="180" w:rightFromText="180" w:vertAnchor="text" w:horzAnchor="page" w:tblpX="1367" w:tblpY="659"/>
        <w:tblOverlap w:val="never"/>
        <w:tblW w:w="95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582"/>
        <w:gridCol w:w="845"/>
        <w:gridCol w:w="886"/>
        <w:gridCol w:w="5419"/>
      </w:tblGrid>
      <w:tr w14:paraId="51205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3DFC71BD">
            <w:pPr>
              <w:spacing w:after="0" w:line="360" w:lineRule="auto"/>
              <w:jc w:val="center"/>
              <w:rPr>
                <w:rFonts w:hint="default" w:asciiTheme="minorEastAsia" w:hAnsiTheme="minorEastAsia" w:eastAsiaTheme="minorEastAsia" w:cstheme="minorEastAsia"/>
                <w:bCs/>
                <w:color w:val="auto"/>
                <w:sz w:val="22"/>
                <w:szCs w:val="22"/>
                <w:highlight w:val="none"/>
                <w:lang w:val="en-US" w:eastAsia="zh-CN" w:bidi="ar-SA"/>
              </w:rPr>
            </w:pPr>
            <w:r>
              <w:rPr>
                <w:rFonts w:hint="eastAsia" w:asciiTheme="minorEastAsia" w:hAnsiTheme="minorEastAsia" w:eastAsiaTheme="minorEastAsia" w:cstheme="minorEastAsia"/>
                <w:bCs/>
                <w:color w:val="auto"/>
                <w:sz w:val="22"/>
                <w:szCs w:val="22"/>
                <w:highlight w:val="none"/>
                <w:lang w:val="en-US" w:eastAsia="zh-CN"/>
              </w:rPr>
              <w:t>项号</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3D24D229">
            <w:pPr>
              <w:spacing w:after="0" w:line="360" w:lineRule="auto"/>
              <w:jc w:val="center"/>
              <w:rPr>
                <w:rFonts w:hint="default" w:asciiTheme="minorEastAsia" w:hAnsiTheme="minorEastAsia" w:eastAsiaTheme="minorEastAsia" w:cstheme="minorEastAsia"/>
                <w:color w:val="auto"/>
                <w:sz w:val="22"/>
                <w:szCs w:val="22"/>
                <w:highlight w:val="none"/>
                <w:lang w:val="en-US" w:eastAsia="zh-CN" w:bidi="ar-SA"/>
              </w:rPr>
            </w:pPr>
            <w:r>
              <w:rPr>
                <w:rFonts w:hint="eastAsia" w:asciiTheme="minorEastAsia" w:hAnsiTheme="minorEastAsia" w:eastAsiaTheme="minorEastAsia" w:cstheme="minorEastAsia"/>
                <w:color w:val="auto"/>
                <w:sz w:val="22"/>
                <w:szCs w:val="22"/>
                <w:highlight w:val="none"/>
                <w:lang w:val="en-US" w:eastAsia="zh-CN"/>
              </w:rPr>
              <w:t>标的名称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A701EB9">
            <w:pPr>
              <w:pStyle w:val="108"/>
              <w:jc w:val="center"/>
              <w:rPr>
                <w:rFonts w:hint="eastAsia" w:asciiTheme="minorEastAsia" w:hAnsiTheme="minorEastAsia" w:eastAsiaTheme="minorEastAsia" w:cstheme="minorEastAsia"/>
                <w:bCs/>
                <w:color w:val="auto"/>
                <w:sz w:val="22"/>
                <w:szCs w:val="22"/>
                <w:highlight w:val="none"/>
                <w:lang w:val="en-US" w:eastAsia="zh-CN" w:bidi="ar-SA"/>
              </w:rPr>
            </w:pPr>
            <w:r>
              <w:rPr>
                <w:rFonts w:hint="eastAsia" w:ascii="宋体" w:hAnsi="宋体" w:cs="宋体" w:eastAsiaTheme="minorEastAsia"/>
                <w:bCs/>
                <w:color w:val="auto"/>
                <w:sz w:val="22"/>
                <w:szCs w:val="22"/>
                <w:highlight w:val="none"/>
                <w:lang w:val="en-US" w:eastAsia="zh-CN"/>
              </w:rPr>
              <w:t>数量</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2C37D465">
            <w:pPr>
              <w:spacing w:after="0" w:line="360" w:lineRule="exac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rPr>
              <w:t>单位</w:t>
            </w:r>
          </w:p>
        </w:tc>
        <w:tc>
          <w:tcPr>
            <w:tcW w:w="5419" w:type="dxa"/>
            <w:tcBorders>
              <w:top w:val="single" w:color="auto" w:sz="4" w:space="0"/>
              <w:left w:val="single" w:color="auto" w:sz="4" w:space="0"/>
              <w:bottom w:val="single" w:color="auto" w:sz="4" w:space="0"/>
              <w:right w:val="single" w:color="auto" w:sz="4" w:space="0"/>
            </w:tcBorders>
            <w:vAlign w:val="center"/>
          </w:tcPr>
          <w:p w14:paraId="46D08423">
            <w:pPr>
              <w:spacing w:after="0" w:line="360" w:lineRule="exact"/>
              <w:ind w:firstLine="1100" w:firstLineChars="5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简要技术需求规格描述</w:t>
            </w:r>
          </w:p>
        </w:tc>
      </w:tr>
      <w:tr w14:paraId="23A15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0FFECF79">
            <w:pPr>
              <w:spacing w:after="0" w:line="360" w:lineRule="auto"/>
              <w:jc w:val="center"/>
              <w:rPr>
                <w:rFonts w:hint="default" w:asciiTheme="minorEastAsia" w:hAnsiTheme="minorEastAsia" w:eastAsiaTheme="minorEastAsia" w:cstheme="minorEastAsia"/>
                <w:bCs/>
                <w:color w:val="auto"/>
                <w:sz w:val="22"/>
                <w:szCs w:val="22"/>
                <w:highlight w:val="none"/>
                <w:lang w:val="en-US" w:eastAsia="zh-CN"/>
              </w:rPr>
            </w:pPr>
            <w:r>
              <w:rPr>
                <w:rFonts w:hint="eastAsia" w:asciiTheme="minorEastAsia" w:hAnsiTheme="minorEastAsia" w:eastAsiaTheme="minorEastAsia" w:cstheme="minorEastAsia"/>
                <w:bCs/>
                <w:color w:val="auto"/>
                <w:sz w:val="22"/>
                <w:szCs w:val="22"/>
                <w:highlight w:val="none"/>
                <w:lang w:val="en-US" w:eastAsia="zh-CN"/>
              </w:rPr>
              <w:t>1</w:t>
            </w:r>
          </w:p>
        </w:tc>
        <w:tc>
          <w:tcPr>
            <w:tcW w:w="1582" w:type="dxa"/>
            <w:tcBorders>
              <w:top w:val="single" w:color="auto" w:sz="4" w:space="0"/>
              <w:left w:val="single" w:color="auto" w:sz="4" w:space="0"/>
              <w:bottom w:val="single" w:color="auto" w:sz="4" w:space="0"/>
              <w:right w:val="single" w:color="auto" w:sz="4" w:space="0"/>
            </w:tcBorders>
            <w:vAlign w:val="center"/>
          </w:tcPr>
          <w:p w14:paraId="1BA378EA">
            <w:pPr>
              <w:spacing w:after="0" w:line="360" w:lineRule="auto"/>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IC制造和封装虚拟仿真一体平台</w:t>
            </w:r>
          </w:p>
        </w:tc>
        <w:tc>
          <w:tcPr>
            <w:tcW w:w="845" w:type="dxa"/>
            <w:tcBorders>
              <w:top w:val="single" w:color="auto" w:sz="4" w:space="0"/>
              <w:left w:val="single" w:color="auto" w:sz="4" w:space="0"/>
              <w:bottom w:val="single" w:color="auto" w:sz="4" w:space="0"/>
              <w:right w:val="single" w:color="auto" w:sz="4" w:space="0"/>
            </w:tcBorders>
            <w:vAlign w:val="center"/>
          </w:tcPr>
          <w:p w14:paraId="6FD854EB">
            <w:pPr>
              <w:pStyle w:val="108"/>
              <w:jc w:val="center"/>
              <w:rPr>
                <w:rFonts w:asciiTheme="minorEastAsia" w:hAnsiTheme="minorEastAsia" w:eastAsiaTheme="minorEastAsia" w:cstheme="minorEastAsia"/>
                <w:bCs/>
                <w:color w:val="auto"/>
                <w:sz w:val="22"/>
                <w:szCs w:val="22"/>
                <w:highlight w:val="none"/>
              </w:rPr>
            </w:pPr>
            <w:r>
              <w:rPr>
                <w:rFonts w:hint="eastAsia" w:ascii="宋体" w:hAnsi="宋体" w:cs="宋体"/>
                <w:bCs/>
                <w:color w:val="auto"/>
                <w:sz w:val="22"/>
                <w:szCs w:val="22"/>
                <w:highlight w:val="none"/>
              </w:rPr>
              <w:t>1</w:t>
            </w:r>
            <w:r>
              <w:rPr>
                <w:rFonts w:ascii="宋体" w:hAnsi="宋体" w:cs="宋体"/>
                <w:bCs/>
                <w:color w:val="auto"/>
                <w:sz w:val="22"/>
                <w:szCs w:val="22"/>
                <w:highlight w:val="none"/>
              </w:rPr>
              <w:t>3</w:t>
            </w:r>
          </w:p>
        </w:tc>
        <w:tc>
          <w:tcPr>
            <w:tcW w:w="886" w:type="dxa"/>
            <w:tcBorders>
              <w:top w:val="single" w:color="auto" w:sz="4" w:space="0"/>
              <w:left w:val="single" w:color="auto" w:sz="4" w:space="0"/>
              <w:bottom w:val="single" w:color="auto" w:sz="4" w:space="0"/>
              <w:right w:val="single" w:color="auto" w:sz="4" w:space="0"/>
            </w:tcBorders>
            <w:vAlign w:val="center"/>
          </w:tcPr>
          <w:p w14:paraId="7D8891EC">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c>
          <w:tcPr>
            <w:tcW w:w="5419" w:type="dxa"/>
            <w:tcBorders>
              <w:top w:val="single" w:color="auto" w:sz="4" w:space="0"/>
              <w:left w:val="single" w:color="auto" w:sz="4" w:space="0"/>
              <w:bottom w:val="single" w:color="auto" w:sz="4" w:space="0"/>
              <w:right w:val="single" w:color="auto" w:sz="4" w:space="0"/>
            </w:tcBorders>
            <w:vAlign w:val="center"/>
          </w:tcPr>
          <w:p w14:paraId="7397349A">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1.半导体IC器件</w:t>
            </w:r>
          </w:p>
          <w:p w14:paraId="7AF2C36E">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▲（1）PN结物理</w:t>
            </w:r>
          </w:p>
          <w:p w14:paraId="76AE52FD">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课件1套，视频1个，作业1套。实验：PN结掺杂浓度仿真；PN结VI特性仿真。（提供功能截图）</w:t>
            </w:r>
          </w:p>
          <w:p w14:paraId="23373649">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......具体</w:t>
            </w:r>
            <w:r>
              <w:rPr>
                <w:rFonts w:hint="eastAsia" w:ascii="宋体" w:hAnsi="宋体" w:eastAsia="宋体" w:cs="宋体"/>
                <w:color w:val="auto"/>
                <w:sz w:val="22"/>
                <w:szCs w:val="22"/>
                <w:highlight w:val="none"/>
              </w:rPr>
              <w:t>详见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第三章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项目采购需求和说明</w:t>
            </w:r>
            <w:r>
              <w:rPr>
                <w:rFonts w:hint="eastAsia" w:ascii="宋体" w:hAnsi="宋体" w:eastAsia="宋体" w:cs="宋体"/>
                <w:color w:val="auto"/>
                <w:sz w:val="22"/>
                <w:szCs w:val="22"/>
                <w:highlight w:val="none"/>
                <w:lang w:eastAsia="zh-CN"/>
              </w:rPr>
              <w:t>》”。</w:t>
            </w:r>
          </w:p>
        </w:tc>
      </w:tr>
      <w:tr w14:paraId="70E34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01D8A93F">
            <w:pPr>
              <w:spacing w:after="0"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57ADABC4">
            <w:pPr>
              <w:pStyle w:val="22"/>
              <w:snapToGrid w:val="0"/>
              <w:spacing w:line="380" w:lineRule="exact"/>
              <w:jc w:val="center"/>
              <w:rPr>
                <w:rFonts w:hint="eastAsia" w:ascii="宋体" w:hAnsi="宋体" w:eastAsia="宋体" w:cs="宋体"/>
                <w:color w:val="auto"/>
                <w:kern w:val="2"/>
                <w:sz w:val="22"/>
                <w:szCs w:val="22"/>
                <w:highlight w:val="none"/>
                <w:lang w:val="en-US" w:eastAsia="zh-CN" w:bidi="ar-SA"/>
              </w:rPr>
            </w:pPr>
            <w:r>
              <w:rPr>
                <w:rFonts w:hint="eastAsia" w:hAnsi="宋体" w:cs="宋体"/>
                <w:color w:val="auto"/>
                <w:sz w:val="22"/>
                <w:szCs w:val="22"/>
                <w:highlight w:val="none"/>
                <w:lang w:bidi="ar"/>
              </w:rPr>
              <w:t>芯片FT测试平台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3171611">
            <w:pPr>
              <w:pStyle w:val="108"/>
              <w:jc w:val="center"/>
              <w:rPr>
                <w:rFonts w:hint="eastAsia" w:ascii="宋体" w:hAnsi="宋体" w:eastAsia="宋体" w:cs="Times New Roman"/>
                <w:color w:val="auto"/>
                <w:sz w:val="22"/>
                <w:szCs w:val="22"/>
                <w:highlight w:val="none"/>
                <w:lang w:val="en-US" w:eastAsia="zh-CN" w:bidi="ar-SA"/>
              </w:rPr>
            </w:pPr>
            <w:r>
              <w:rPr>
                <w:rFonts w:hint="eastAsia" w:ascii="宋体" w:hAnsi="宋体" w:cs="宋体"/>
                <w:bCs/>
                <w:color w:val="auto"/>
                <w:sz w:val="22"/>
                <w:szCs w:val="22"/>
                <w:highlight w:val="none"/>
              </w:rPr>
              <w:t>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8451CDF">
            <w:pPr>
              <w:pStyle w:val="108"/>
              <w:jc w:val="center"/>
              <w:rPr>
                <w:rFonts w:hint="eastAsia" w:ascii="宋体" w:hAnsi="宋体" w:eastAsia="宋体" w:cs="Times New Roman"/>
                <w:color w:val="auto"/>
                <w:sz w:val="22"/>
                <w:szCs w:val="22"/>
                <w:highlight w:val="none"/>
                <w:lang w:val="en-US" w:eastAsia="zh-CN" w:bidi="ar-SA"/>
              </w:rPr>
            </w:pPr>
            <w:r>
              <w:rPr>
                <w:rFonts w:hint="eastAsia" w:ascii="宋体" w:hAnsi="宋体" w:cs="宋体"/>
                <w:bCs/>
                <w:color w:val="auto"/>
                <w:sz w:val="22"/>
                <w:szCs w:val="22"/>
                <w:highlight w:val="none"/>
              </w:rPr>
              <w:t>套</w:t>
            </w:r>
          </w:p>
        </w:tc>
        <w:tc>
          <w:tcPr>
            <w:tcW w:w="5419" w:type="dxa"/>
            <w:tcBorders>
              <w:top w:val="single" w:color="auto" w:sz="4" w:space="0"/>
              <w:left w:val="single" w:color="auto" w:sz="4" w:space="0"/>
              <w:bottom w:val="single" w:color="auto" w:sz="4" w:space="0"/>
              <w:right w:val="single" w:color="auto" w:sz="4" w:space="0"/>
            </w:tcBorders>
            <w:vAlign w:val="center"/>
          </w:tcPr>
          <w:p w14:paraId="4BEB0C38">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1.系统槽数：不低于5槽</w:t>
            </w:r>
          </w:p>
          <w:p w14:paraId="3E8F324F">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2.数字通道：不低于32通道</w:t>
            </w:r>
          </w:p>
          <w:p w14:paraId="6DBBFB0B">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3.模拟通道：</w:t>
            </w:r>
          </w:p>
          <w:p w14:paraId="7F5F0712">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4通道数字化仪、4通道任意波发生器；数字化仪： 输入范围 -10V～+10V；</w:t>
            </w:r>
          </w:p>
          <w:p w14:paraId="29B07FDA">
            <w:pPr>
              <w:spacing w:after="0" w:line="360" w:lineRule="exact"/>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具体</w:t>
            </w:r>
            <w:r>
              <w:rPr>
                <w:rFonts w:hint="eastAsia" w:asciiTheme="minorEastAsia" w:hAnsiTheme="minorEastAsia" w:eastAsiaTheme="minorEastAsia" w:cstheme="minorEastAsia"/>
                <w:color w:val="auto"/>
                <w:sz w:val="22"/>
                <w:szCs w:val="22"/>
                <w:highlight w:val="none"/>
              </w:rPr>
              <w:t>详见</w:t>
            </w:r>
            <w:r>
              <w:rPr>
                <w:rFonts w:hint="eastAsia" w:asciiTheme="minorEastAsia" w:hAnsiTheme="minorEastAsia" w:eastAsiaTheme="minorEastAsia" w:cstheme="minorEastAsia"/>
                <w:color w:val="auto"/>
                <w:sz w:val="22"/>
                <w:szCs w:val="22"/>
                <w:highlight w:val="none"/>
                <w:lang w:eastAsia="zh-CN"/>
              </w:rPr>
              <w:t>“第三章《项目采购需求和说明》”。</w:t>
            </w:r>
          </w:p>
        </w:tc>
      </w:tr>
      <w:tr w14:paraId="1F05C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19CDBFA1">
            <w:pPr>
              <w:spacing w:after="0"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1343F37">
            <w:pPr>
              <w:pStyle w:val="22"/>
              <w:snapToGrid w:val="0"/>
              <w:spacing w:line="380" w:lineRule="exact"/>
              <w:jc w:val="center"/>
              <w:rPr>
                <w:rFonts w:hint="eastAsia" w:ascii="宋体" w:hAnsi="宋体" w:eastAsia="宋体" w:cs="宋体"/>
                <w:color w:val="auto"/>
                <w:kern w:val="2"/>
                <w:sz w:val="24"/>
                <w:szCs w:val="24"/>
                <w:highlight w:val="none"/>
                <w:lang w:val="en-US" w:eastAsia="zh-CN" w:bidi="ar-SA"/>
              </w:rPr>
            </w:pPr>
            <w:r>
              <w:rPr>
                <w:rFonts w:hint="eastAsia"/>
                <w:color w:val="auto"/>
                <w:highlight w:val="none"/>
              </w:rPr>
              <w:t>集成电路测试应用平台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5EAA808">
            <w:pPr>
              <w:pStyle w:val="108"/>
              <w:jc w:val="center"/>
              <w:rPr>
                <w:rFonts w:hint="eastAsia" w:ascii="Calibri" w:hAnsi="宋体" w:eastAsia="宋体" w:cs="宋体"/>
                <w:color w:val="auto"/>
                <w:sz w:val="24"/>
                <w:szCs w:val="24"/>
                <w:highlight w:val="none"/>
                <w:lang w:val="en-US" w:eastAsia="zh-CN" w:bidi="ar-SA"/>
              </w:rPr>
            </w:pPr>
            <w:r>
              <w:rPr>
                <w:rFonts w:hint="eastAsia" w:ascii="宋体" w:hAnsi="宋体" w:cs="宋体"/>
                <w:bCs/>
                <w:color w:val="auto"/>
                <w:szCs w:val="21"/>
                <w:highlight w:val="none"/>
              </w:rPr>
              <w:t>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FD3DA92">
            <w:pPr>
              <w:pStyle w:val="108"/>
              <w:jc w:val="center"/>
              <w:rPr>
                <w:rFonts w:hint="eastAsia" w:ascii="Calibri" w:hAnsi="宋体" w:eastAsia="宋体" w:cs="宋体"/>
                <w:color w:val="auto"/>
                <w:sz w:val="24"/>
                <w:szCs w:val="24"/>
                <w:highlight w:val="none"/>
                <w:lang w:val="en-US" w:eastAsia="zh-CN" w:bidi="ar-SA"/>
              </w:rPr>
            </w:pPr>
            <w:r>
              <w:rPr>
                <w:rFonts w:hint="eastAsia" w:ascii="宋体" w:hAnsi="宋体" w:cs="宋体"/>
                <w:bCs/>
                <w:color w:val="auto"/>
                <w:szCs w:val="21"/>
                <w:highlight w:val="none"/>
              </w:rPr>
              <w:t>套</w:t>
            </w:r>
          </w:p>
        </w:tc>
        <w:tc>
          <w:tcPr>
            <w:tcW w:w="5419" w:type="dxa"/>
            <w:tcBorders>
              <w:top w:val="single" w:color="auto" w:sz="4" w:space="0"/>
              <w:left w:val="single" w:color="auto" w:sz="4" w:space="0"/>
              <w:bottom w:val="single" w:color="auto" w:sz="4" w:space="0"/>
              <w:right w:val="single" w:color="auto" w:sz="4" w:space="0"/>
            </w:tcBorders>
            <w:vAlign w:val="center"/>
          </w:tcPr>
          <w:p w14:paraId="11920E52">
            <w:pPr>
              <w:spacing w:after="0" w:line="36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highlight w:val="none"/>
              </w:rPr>
              <w:t>1.整体架构</w:t>
            </w:r>
          </w:p>
          <w:p w14:paraId="68C3747F">
            <w:pPr>
              <w:spacing w:after="0" w:line="360" w:lineRule="exact"/>
              <w:rPr>
                <w:rFonts w:hint="eastAsia" w:ascii="宋体" w:hAnsi="宋体" w:eastAsia="宋体" w:cs="宋体"/>
                <w:color w:val="auto"/>
                <w:highlight w:val="none"/>
              </w:rPr>
            </w:pPr>
            <w:r>
              <w:rPr>
                <w:rFonts w:hint="eastAsia" w:ascii="宋体" w:hAnsi="宋体" w:eastAsia="宋体" w:cs="宋体"/>
                <w:color w:val="auto"/>
                <w:highlight w:val="none"/>
              </w:rPr>
              <w:t>平台采用模块化仪器与 ATE（自动测试设备）架构设计，内部集成7 种独立集成电路测试仪器​，包括逻辑分析仪（LA）、数字图案发生器（Digital Pattern）、示波器（OSC）、任意波形发生器（AWG）、可编程直流电源（PWR）、数字万用表（DMM）及通用输入输出接口（GPIO）。每种仪器需同时配置：① 专用手动测试接口（支持单人操作调试）；② 标准化自动化测试接口（兼容行业通用测试接口板），可独立完成集成电路芯片的手动测试与自动化批量测试，无需额外外接仪器。</w:t>
            </w:r>
          </w:p>
          <w:p w14:paraId="5F9E7FCE">
            <w:pPr>
              <w:spacing w:after="0" w:line="360" w:lineRule="exact"/>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具体</w:t>
            </w:r>
            <w:r>
              <w:rPr>
                <w:rFonts w:hint="eastAsia" w:asciiTheme="minorEastAsia" w:hAnsiTheme="minorEastAsia" w:eastAsiaTheme="minorEastAsia" w:cstheme="minorEastAsia"/>
                <w:color w:val="auto"/>
                <w:sz w:val="22"/>
                <w:szCs w:val="22"/>
                <w:highlight w:val="none"/>
              </w:rPr>
              <w:t>详见</w:t>
            </w:r>
            <w:r>
              <w:rPr>
                <w:rFonts w:hint="eastAsia" w:asciiTheme="minorEastAsia" w:hAnsiTheme="minorEastAsia" w:eastAsiaTheme="minorEastAsia" w:cstheme="minorEastAsia"/>
                <w:color w:val="auto"/>
                <w:sz w:val="22"/>
                <w:szCs w:val="22"/>
                <w:highlight w:val="none"/>
                <w:lang w:eastAsia="zh-CN"/>
              </w:rPr>
              <w:t>“第三章《项目采购需求和说明》”。</w:t>
            </w:r>
          </w:p>
        </w:tc>
      </w:tr>
      <w:tr w14:paraId="075FC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40DF779E">
            <w:pPr>
              <w:spacing w:after="0"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0DCB3928">
            <w:pPr>
              <w:pStyle w:val="22"/>
              <w:snapToGrid w:val="0"/>
              <w:spacing w:line="380" w:lineRule="exact"/>
              <w:jc w:val="center"/>
              <w:rPr>
                <w:rFonts w:hint="eastAsia" w:ascii="宋体" w:hAnsi="宋体" w:eastAsia="宋体" w:cs="宋体"/>
                <w:color w:val="auto"/>
                <w:kern w:val="2"/>
                <w:sz w:val="22"/>
                <w:szCs w:val="22"/>
                <w:highlight w:val="none"/>
                <w:lang w:val="en-US" w:eastAsia="zh-CN" w:bidi="ar-SA"/>
              </w:rPr>
            </w:pPr>
            <w:r>
              <w:rPr>
                <w:rFonts w:hint="eastAsia" w:hAnsi="宋体" w:cs="宋体"/>
                <w:color w:val="auto"/>
                <w:sz w:val="22"/>
                <w:szCs w:val="22"/>
                <w:highlight w:val="none"/>
                <w:lang w:bidi="ar"/>
              </w:rPr>
              <w:t>实验室辅助备件</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4B7DC4D">
            <w:pPr>
              <w:pStyle w:val="108"/>
              <w:jc w:val="center"/>
              <w:rPr>
                <w:rFonts w:hint="eastAsia" w:ascii="宋体" w:hAnsi="宋体" w:eastAsia="宋体" w:cs="Times New Roman"/>
                <w:color w:val="auto"/>
                <w:sz w:val="22"/>
                <w:szCs w:val="22"/>
                <w:highlight w:val="none"/>
                <w:lang w:val="en-US" w:eastAsia="zh-CN" w:bidi="ar-SA"/>
              </w:rPr>
            </w:pPr>
            <w:r>
              <w:rPr>
                <w:rFonts w:hint="eastAsia" w:ascii="宋体" w:hAnsi="宋体" w:cs="宋体"/>
                <w:bCs/>
                <w:color w:val="auto"/>
                <w:sz w:val="22"/>
                <w:szCs w:val="22"/>
                <w:highlight w:val="none"/>
              </w:rPr>
              <w:t>1</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5D4E0D97">
            <w:pPr>
              <w:pStyle w:val="108"/>
              <w:jc w:val="center"/>
              <w:rPr>
                <w:rFonts w:hint="eastAsia" w:ascii="宋体" w:hAnsi="宋体" w:eastAsia="宋体" w:cs="Times New Roman"/>
                <w:color w:val="auto"/>
                <w:sz w:val="22"/>
                <w:szCs w:val="22"/>
                <w:highlight w:val="none"/>
                <w:lang w:val="en-US" w:eastAsia="zh-CN" w:bidi="ar-SA"/>
              </w:rPr>
            </w:pPr>
            <w:r>
              <w:rPr>
                <w:rFonts w:hint="eastAsia" w:ascii="宋体" w:hAnsi="宋体" w:cs="宋体"/>
                <w:bCs/>
                <w:color w:val="auto"/>
                <w:sz w:val="22"/>
                <w:szCs w:val="22"/>
                <w:highlight w:val="none"/>
              </w:rPr>
              <w:t>套</w:t>
            </w:r>
          </w:p>
        </w:tc>
        <w:tc>
          <w:tcPr>
            <w:tcW w:w="5419" w:type="dxa"/>
            <w:tcBorders>
              <w:top w:val="single" w:color="auto" w:sz="4" w:space="0"/>
              <w:left w:val="single" w:color="auto" w:sz="4" w:space="0"/>
              <w:bottom w:val="single" w:color="auto" w:sz="4" w:space="0"/>
              <w:right w:val="single" w:color="auto" w:sz="4" w:space="0"/>
            </w:tcBorders>
            <w:vAlign w:val="center"/>
          </w:tcPr>
          <w:p w14:paraId="1A4A0283">
            <w:pPr>
              <w:pStyle w:val="108"/>
              <w:numPr>
                <w:ilvl w:val="0"/>
                <w:numId w:val="0"/>
              </w:numPr>
              <w:spacing w:line="360" w:lineRule="exact"/>
              <w:jc w:val="both"/>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bidi="ar-SA"/>
              </w:rPr>
              <w:t>1、</w:t>
            </w:r>
            <w:r>
              <w:rPr>
                <w:rFonts w:hint="eastAsia" w:ascii="宋体" w:hAnsi="宋体" w:cs="宋体"/>
                <w:color w:val="auto"/>
                <w:sz w:val="22"/>
                <w:szCs w:val="22"/>
                <w:highlight w:val="none"/>
              </w:rPr>
              <w:t>料盒：一体成型耐高温铝料盒，约78.2*135*143.8mm，3个。</w:t>
            </w:r>
          </w:p>
          <w:p w14:paraId="34130192">
            <w:pPr>
              <w:pStyle w:val="108"/>
              <w:numPr>
                <w:ilvl w:val="0"/>
                <w:numId w:val="0"/>
              </w:numPr>
              <w:spacing w:line="360" w:lineRule="exact"/>
              <w:jc w:val="both"/>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r>
              <w:rPr>
                <w:rFonts w:hint="eastAsia" w:ascii="宋体" w:hAnsi="宋体" w:cs="宋体"/>
                <w:color w:val="auto"/>
                <w:sz w:val="22"/>
                <w:szCs w:val="22"/>
                <w:highlight w:val="none"/>
              </w:rPr>
              <w:t>框架</w:t>
            </w:r>
          </w:p>
          <w:p w14:paraId="3BBC9F46">
            <w:pPr>
              <w:pStyle w:val="108"/>
              <w:numPr>
                <w:ilvl w:val="0"/>
                <w:numId w:val="0"/>
              </w:numPr>
              <w:spacing w:line="360" w:lineRule="exact"/>
              <w:jc w:val="both"/>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bidi="ar-SA"/>
              </w:rPr>
              <w:t>（1）</w:t>
            </w:r>
            <w:r>
              <w:rPr>
                <w:rFonts w:hint="eastAsia" w:ascii="宋体" w:hAnsi="宋体" w:cs="宋体"/>
                <w:color w:val="auto"/>
                <w:sz w:val="22"/>
                <w:szCs w:val="22"/>
                <w:highlight w:val="none"/>
              </w:rPr>
              <w:t>框架SOP8：不低于150MIL；</w:t>
            </w:r>
          </w:p>
          <w:p w14:paraId="43DF493C">
            <w:pPr>
              <w:pStyle w:val="108"/>
              <w:numPr>
                <w:ilvl w:val="0"/>
                <w:numId w:val="0"/>
              </w:numPr>
              <w:spacing w:line="360" w:lineRule="exact"/>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bidi="ar-SA"/>
              </w:rPr>
              <w:t>（2）</w:t>
            </w:r>
            <w:r>
              <w:rPr>
                <w:rFonts w:hint="eastAsia" w:ascii="宋体" w:hAnsi="宋体" w:cs="宋体"/>
                <w:color w:val="auto"/>
                <w:sz w:val="22"/>
                <w:szCs w:val="22"/>
                <w:highlight w:val="none"/>
              </w:rPr>
              <w:t>256ea/条，数量不少于20条</w:t>
            </w:r>
          </w:p>
          <w:p w14:paraId="669C6733">
            <w:pPr>
              <w:spacing w:after="0" w:line="360" w:lineRule="exact"/>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具体</w:t>
            </w:r>
            <w:r>
              <w:rPr>
                <w:rFonts w:hint="eastAsia" w:asciiTheme="minorEastAsia" w:hAnsiTheme="minorEastAsia" w:eastAsiaTheme="minorEastAsia" w:cstheme="minorEastAsia"/>
                <w:color w:val="auto"/>
                <w:sz w:val="22"/>
                <w:szCs w:val="22"/>
                <w:highlight w:val="none"/>
              </w:rPr>
              <w:t>详见</w:t>
            </w:r>
            <w:r>
              <w:rPr>
                <w:rFonts w:hint="eastAsia" w:asciiTheme="minorEastAsia" w:hAnsiTheme="minorEastAsia" w:eastAsiaTheme="minorEastAsia" w:cstheme="minorEastAsia"/>
                <w:color w:val="auto"/>
                <w:sz w:val="22"/>
                <w:szCs w:val="22"/>
                <w:highlight w:val="none"/>
                <w:lang w:eastAsia="zh-CN"/>
              </w:rPr>
              <w:t>“第三章《项目采购需求和说明》”。</w:t>
            </w:r>
          </w:p>
        </w:tc>
      </w:tr>
      <w:tr w14:paraId="4F6D9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838" w:type="dxa"/>
            <w:tcBorders>
              <w:top w:val="single" w:color="auto" w:sz="4" w:space="0"/>
              <w:left w:val="single" w:color="auto" w:sz="4" w:space="0"/>
              <w:right w:val="single" w:color="auto" w:sz="4" w:space="0"/>
            </w:tcBorders>
            <w:vAlign w:val="center"/>
          </w:tcPr>
          <w:p w14:paraId="4D3A96BE">
            <w:pPr>
              <w:spacing w:after="0" w:line="360"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582" w:type="dxa"/>
            <w:tcBorders>
              <w:top w:val="single" w:color="auto" w:sz="4" w:space="0"/>
              <w:left w:val="single" w:color="auto" w:sz="4" w:space="0"/>
              <w:right w:val="single" w:color="auto" w:sz="4" w:space="0"/>
            </w:tcBorders>
            <w:shd w:val="clear" w:color="auto" w:fill="auto"/>
            <w:vAlign w:val="center"/>
          </w:tcPr>
          <w:p w14:paraId="4CB8EC9C">
            <w:pPr>
              <w:pStyle w:val="22"/>
              <w:snapToGrid w:val="0"/>
              <w:spacing w:line="380" w:lineRule="exact"/>
              <w:jc w:val="center"/>
              <w:rPr>
                <w:rFonts w:hint="eastAsia" w:ascii="宋体" w:hAnsi="宋体" w:eastAsia="宋体" w:cs="宋体"/>
                <w:color w:val="auto"/>
                <w:kern w:val="2"/>
                <w:sz w:val="22"/>
                <w:szCs w:val="22"/>
                <w:highlight w:val="none"/>
                <w:lang w:val="en-US" w:eastAsia="zh-CN" w:bidi="ar-SA"/>
              </w:rPr>
            </w:pPr>
            <w:r>
              <w:rPr>
                <w:rFonts w:hint="eastAsia" w:hAnsi="宋体" w:cs="宋体"/>
                <w:color w:val="auto"/>
                <w:sz w:val="22"/>
                <w:szCs w:val="22"/>
                <w:highlight w:val="none"/>
              </w:rPr>
              <w:t>实验室环境建设</w:t>
            </w:r>
          </w:p>
        </w:tc>
        <w:tc>
          <w:tcPr>
            <w:tcW w:w="845" w:type="dxa"/>
            <w:tcBorders>
              <w:top w:val="single" w:color="auto" w:sz="4" w:space="0"/>
              <w:left w:val="single" w:color="auto" w:sz="4" w:space="0"/>
              <w:right w:val="single" w:color="auto" w:sz="4" w:space="0"/>
            </w:tcBorders>
            <w:shd w:val="clear" w:color="auto" w:fill="auto"/>
            <w:vAlign w:val="center"/>
          </w:tcPr>
          <w:p w14:paraId="4DA106B7">
            <w:pPr>
              <w:pStyle w:val="108"/>
              <w:spacing w:line="400" w:lineRule="exact"/>
              <w:jc w:val="center"/>
              <w:rPr>
                <w:rFonts w:hint="eastAsia" w:ascii="宋体" w:hAnsi="宋体" w:eastAsia="宋体" w:cs="Times New Roman"/>
                <w:color w:val="auto"/>
                <w:sz w:val="22"/>
                <w:szCs w:val="22"/>
                <w:highlight w:val="none"/>
                <w:lang w:val="en-US" w:eastAsia="zh-CN" w:bidi="ar-SA"/>
              </w:rPr>
            </w:pPr>
            <w:r>
              <w:rPr>
                <w:rFonts w:hint="eastAsia" w:ascii="宋体" w:hAnsi="宋体" w:cs="宋体"/>
                <w:bCs/>
                <w:color w:val="auto"/>
                <w:sz w:val="22"/>
                <w:szCs w:val="22"/>
                <w:highlight w:val="none"/>
              </w:rPr>
              <w:t>1</w:t>
            </w:r>
          </w:p>
        </w:tc>
        <w:tc>
          <w:tcPr>
            <w:tcW w:w="886" w:type="dxa"/>
            <w:tcBorders>
              <w:top w:val="single" w:color="auto" w:sz="4" w:space="0"/>
              <w:left w:val="single" w:color="auto" w:sz="4" w:space="0"/>
              <w:right w:val="single" w:color="auto" w:sz="4" w:space="0"/>
            </w:tcBorders>
            <w:shd w:val="clear" w:color="auto" w:fill="auto"/>
            <w:vAlign w:val="center"/>
          </w:tcPr>
          <w:p w14:paraId="3222F607">
            <w:pPr>
              <w:pStyle w:val="108"/>
              <w:spacing w:line="400" w:lineRule="exact"/>
              <w:jc w:val="center"/>
              <w:rPr>
                <w:rFonts w:hint="eastAsia" w:ascii="宋体" w:hAnsi="宋体" w:eastAsia="宋体" w:cs="Times New Roman"/>
                <w:color w:val="auto"/>
                <w:sz w:val="22"/>
                <w:szCs w:val="22"/>
                <w:highlight w:val="none"/>
                <w:lang w:val="en-US" w:eastAsia="zh-CN" w:bidi="ar-SA"/>
              </w:rPr>
            </w:pPr>
            <w:r>
              <w:rPr>
                <w:rFonts w:hint="eastAsia" w:ascii="宋体" w:hAnsi="宋体" w:cs="宋体"/>
                <w:bCs/>
                <w:color w:val="auto"/>
                <w:sz w:val="22"/>
                <w:szCs w:val="22"/>
                <w:highlight w:val="none"/>
              </w:rPr>
              <w:t>套</w:t>
            </w:r>
          </w:p>
        </w:tc>
        <w:tc>
          <w:tcPr>
            <w:tcW w:w="5419" w:type="dxa"/>
            <w:tcBorders>
              <w:top w:val="single" w:color="auto" w:sz="4" w:space="0"/>
              <w:left w:val="single" w:color="auto" w:sz="4" w:space="0"/>
              <w:right w:val="single" w:color="auto" w:sz="4" w:space="0"/>
            </w:tcBorders>
            <w:vAlign w:val="center"/>
          </w:tcPr>
          <w:p w14:paraId="16089EAB">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主要包含半导体生产模拟环境及文化建设。</w:t>
            </w:r>
          </w:p>
          <w:p w14:paraId="645DD2B4">
            <w:pPr>
              <w:spacing w:after="0"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一、辅材堆放区装修</w:t>
            </w:r>
          </w:p>
          <w:p w14:paraId="4B6ED1FE">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1.墙体面积：176.37㎡</w:t>
            </w:r>
          </w:p>
          <w:p w14:paraId="7AA93A83">
            <w:pPr>
              <w:spacing w:after="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采用50mm厚的夹芯彩钢板，具有美观和刚性强的特点。夹芯彩钢板的芯材可以是岩棉、硅岩或玻镁板等，具有防火、保温、隔音等性能，常用的有冷轧钢板（A3板）和不锈钢板（如SUS201、SUS304、SUS316等），厚度一般为0.8 - 1.5mm）</w:t>
            </w:r>
          </w:p>
          <w:p w14:paraId="4C08C869">
            <w:pPr>
              <w:spacing w:after="0" w:line="360" w:lineRule="exact"/>
              <w:rPr>
                <w:rFonts w:hint="eastAsia" w:ascii="宋体" w:hAnsi="宋体" w:eastAsia="宋体" w:cs="宋体"/>
                <w:color w:val="auto"/>
                <w:sz w:val="22"/>
                <w:szCs w:val="22"/>
                <w:highlight w:val="none"/>
                <w:lang w:val="en-US" w:eastAsia="zh-CN"/>
              </w:rPr>
            </w:pPr>
          </w:p>
          <w:p w14:paraId="58B23B3D">
            <w:pPr>
              <w:spacing w:after="0" w:line="360" w:lineRule="exact"/>
              <w:rPr>
                <w:rFonts w:hint="eastAsia" w:asciiTheme="minorEastAsia" w:hAnsiTheme="minorEastAsia" w:eastAsiaTheme="minorEastAsia" w:cstheme="minorEastAsia"/>
                <w:color w:val="auto"/>
                <w:sz w:val="22"/>
                <w:szCs w:val="22"/>
                <w:highlight w:val="none"/>
              </w:rPr>
            </w:pPr>
            <w:r>
              <w:rPr>
                <w:rFonts w:hint="eastAsia" w:ascii="宋体" w:hAnsi="宋体" w:eastAsia="宋体" w:cs="宋体"/>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具体</w:t>
            </w:r>
            <w:r>
              <w:rPr>
                <w:rFonts w:hint="eastAsia" w:asciiTheme="minorEastAsia" w:hAnsiTheme="minorEastAsia" w:eastAsiaTheme="minorEastAsia" w:cstheme="minorEastAsia"/>
                <w:color w:val="auto"/>
                <w:sz w:val="22"/>
                <w:szCs w:val="22"/>
                <w:highlight w:val="none"/>
              </w:rPr>
              <w:t>详见</w:t>
            </w:r>
            <w:r>
              <w:rPr>
                <w:rFonts w:hint="eastAsia" w:asciiTheme="minorEastAsia" w:hAnsiTheme="minorEastAsia" w:eastAsiaTheme="minorEastAsia" w:cstheme="minorEastAsia"/>
                <w:color w:val="auto"/>
                <w:sz w:val="22"/>
                <w:szCs w:val="22"/>
                <w:highlight w:val="none"/>
                <w:lang w:eastAsia="zh-CN"/>
              </w:rPr>
              <w:t>“第三章《项目采购需求和说明》”。</w:t>
            </w:r>
          </w:p>
        </w:tc>
      </w:tr>
    </w:tbl>
    <w:p w14:paraId="631B0EF3">
      <w:pP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426E14F8">
      <w:pP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合同履行期限：合同签订之日起40天内安装调试完毕并交付使用。</w:t>
      </w:r>
    </w:p>
    <w:p w14:paraId="50286BDA">
      <w:pPr>
        <w:spacing w:after="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本项目（否）接受联合体投标。</w:t>
      </w:r>
    </w:p>
    <w:p w14:paraId="0B5CBBD5">
      <w:pPr>
        <w:spacing w:after="0" w:line="360" w:lineRule="auto"/>
        <w:ind w:firstLine="482" w:firstLineChars="200"/>
        <w:rPr>
          <w:rFonts w:asciiTheme="minorEastAsia" w:hAnsiTheme="minorEastAsia" w:eastAsiaTheme="minorEastAsia" w:cstheme="minorEastAsia"/>
          <w:b/>
          <w:bCs/>
          <w:color w:val="auto"/>
          <w:sz w:val="24"/>
          <w:szCs w:val="24"/>
          <w:highlight w:val="none"/>
        </w:rPr>
      </w:pPr>
      <w:bookmarkStart w:id="8" w:name="_Toc35393630"/>
      <w:bookmarkStart w:id="9" w:name="_Toc28359013"/>
      <w:bookmarkStart w:id="10" w:name="_Toc28359090"/>
      <w:bookmarkStart w:id="11" w:name="_Toc35393799"/>
      <w:r>
        <w:rPr>
          <w:rFonts w:hint="eastAsia" w:asciiTheme="minorEastAsia" w:hAnsiTheme="minorEastAsia" w:eastAsiaTheme="minorEastAsia" w:cstheme="minorEastAsia"/>
          <w:b/>
          <w:bCs/>
          <w:color w:val="auto"/>
          <w:sz w:val="24"/>
          <w:szCs w:val="24"/>
          <w:highlight w:val="none"/>
        </w:rPr>
        <w:t>二、供应商的资格要求</w:t>
      </w:r>
      <w:bookmarkEnd w:id="8"/>
      <w:bookmarkEnd w:id="9"/>
      <w:bookmarkEnd w:id="10"/>
      <w:bookmarkEnd w:id="11"/>
    </w:p>
    <w:p w14:paraId="62E8EA76">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14:paraId="4551DB01">
      <w:pPr>
        <w:spacing w:after="0" w:line="360" w:lineRule="auto"/>
        <w:ind w:firstLine="480" w:firstLineChars="200"/>
        <w:rPr>
          <w:rFonts w:hint="eastAsia" w:ascii="宋体" w:hAnsi="宋体" w:eastAsia="宋体" w:cs="宋体"/>
          <w:color w:val="auto"/>
          <w:sz w:val="24"/>
          <w:szCs w:val="24"/>
          <w:highlight w:val="none"/>
        </w:rPr>
      </w:pPr>
      <w:bookmarkStart w:id="12" w:name="_Toc35393800"/>
      <w:bookmarkStart w:id="13" w:name="_Toc35393631"/>
      <w:r>
        <w:rPr>
          <w:rFonts w:hint="eastAsia" w:asciiTheme="minorEastAsia" w:hAnsiTheme="minorEastAsia" w:eastAsiaTheme="minorEastAsia" w:cstheme="minorEastAsia"/>
          <w:color w:val="auto"/>
          <w:sz w:val="24"/>
          <w:szCs w:val="24"/>
          <w:highlight w:val="none"/>
        </w:rPr>
        <w:t>2.落实政府采购政策需满足的资格要求：</w:t>
      </w:r>
      <w:r>
        <w:rPr>
          <w:rFonts w:hint="eastAsia" w:ascii="宋体" w:hAnsi="宋体" w:eastAsia="宋体" w:cs="宋体"/>
          <w:color w:val="auto"/>
          <w:sz w:val="24"/>
          <w:szCs w:val="24"/>
          <w:highlight w:val="none"/>
        </w:rPr>
        <w:t>无，本项目非专门面向中小企业采购。</w:t>
      </w:r>
    </w:p>
    <w:p w14:paraId="30E6F34B">
      <w:pPr>
        <w:spacing w:after="0" w:line="360" w:lineRule="auto"/>
        <w:ind w:firstLine="480" w:firstLineChars="200"/>
        <w:rPr>
          <w:rFonts w:ascii="宋体" w:hAnsi="宋体" w:eastAsia="宋体" w:cs="宋体"/>
          <w:bCs/>
          <w:color w:val="auto"/>
          <w:sz w:val="24"/>
          <w:szCs w:val="24"/>
          <w:highlight w:val="none"/>
        </w:rPr>
      </w:pPr>
      <w:r>
        <w:rPr>
          <w:rFonts w:hint="eastAsia" w:asciiTheme="minorEastAsia" w:hAnsiTheme="minorEastAsia" w:eastAsiaTheme="minorEastAsia" w:cstheme="minorEastAsia"/>
          <w:color w:val="auto"/>
          <w:sz w:val="24"/>
          <w:szCs w:val="24"/>
          <w:highlight w:val="none"/>
        </w:rPr>
        <w:t>3.项目的特定</w:t>
      </w:r>
      <w:r>
        <w:rPr>
          <w:rFonts w:hint="eastAsia" w:cs="仿宋_GB2312" w:asciiTheme="minorEastAsia" w:hAnsiTheme="minorEastAsia" w:eastAsiaTheme="minorEastAsia"/>
          <w:color w:val="auto"/>
          <w:sz w:val="24"/>
          <w:szCs w:val="24"/>
          <w:highlight w:val="none"/>
        </w:rPr>
        <w:t>资格要求：</w:t>
      </w:r>
      <w:r>
        <w:rPr>
          <w:rFonts w:hint="eastAsia" w:ascii="宋体" w:hAnsi="宋体" w:eastAsia="宋体" w:cs="宋体"/>
          <w:bCs/>
          <w:color w:val="auto"/>
          <w:sz w:val="24"/>
          <w:szCs w:val="24"/>
          <w:highlight w:val="none"/>
        </w:rPr>
        <w:t>无。</w:t>
      </w:r>
    </w:p>
    <w:p w14:paraId="48B3DD8B">
      <w:pPr>
        <w:spacing w:after="0"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三、获取采购文件</w:t>
      </w:r>
      <w:bookmarkEnd w:id="12"/>
      <w:bookmarkEnd w:id="13"/>
    </w:p>
    <w:p w14:paraId="558C8852">
      <w:pPr>
        <w:widowControl w:val="0"/>
        <w:adjustRightInd/>
        <w:snapToGrid/>
        <w:spacing w:after="0" w:line="360" w:lineRule="auto"/>
        <w:ind w:firstLine="480" w:firstLineChars="200"/>
        <w:rPr>
          <w:rFonts w:ascii="宋体" w:hAnsi="宋体" w:eastAsia="宋体" w:cs="宋体"/>
          <w:color w:val="auto"/>
          <w:sz w:val="24"/>
          <w:szCs w:val="24"/>
          <w:highlight w:val="none"/>
        </w:rPr>
      </w:pPr>
      <w:bookmarkStart w:id="14" w:name="_Toc29240"/>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日，每天上午00:00至12:00，下午12:00至23:59（北京时间，法定节假日除外）。</w:t>
      </w:r>
      <w:bookmarkEnd w:id="14"/>
    </w:p>
    <w:p w14:paraId="14F14B77">
      <w:pPr>
        <w:widowControl w:val="0"/>
        <w:adjustRightInd/>
        <w:snapToGrid/>
        <w:spacing w:after="0" w:line="360" w:lineRule="auto"/>
        <w:ind w:firstLine="480" w:firstLineChars="200"/>
        <w:rPr>
          <w:rFonts w:ascii="宋体" w:hAnsi="宋体" w:eastAsia="宋体" w:cs="宋体"/>
          <w:color w:val="auto"/>
          <w:sz w:val="24"/>
          <w:szCs w:val="24"/>
          <w:highlight w:val="none"/>
        </w:rPr>
      </w:pPr>
      <w:bookmarkStart w:id="15" w:name="_Toc13637"/>
      <w:r>
        <w:rPr>
          <w:rFonts w:hint="eastAsia" w:ascii="宋体" w:hAnsi="宋体" w:eastAsia="宋体" w:cs="宋体"/>
          <w:color w:val="auto"/>
          <w:sz w:val="24"/>
          <w:szCs w:val="24"/>
          <w:highlight w:val="none"/>
        </w:rPr>
        <w:t>地点：广西政府采购云平台（https://www.gcy.zfcg.gxzf.gov.cn/）</w:t>
      </w:r>
      <w:bookmarkEnd w:id="15"/>
    </w:p>
    <w:p w14:paraId="2DBC4694">
      <w:pPr>
        <w:widowControl w:val="0"/>
        <w:adjustRightInd/>
        <w:snapToGrid/>
        <w:spacing w:after="0" w:line="360" w:lineRule="auto"/>
        <w:ind w:firstLine="480" w:firstLineChars="200"/>
        <w:rPr>
          <w:rFonts w:ascii="宋体" w:hAnsi="宋体" w:eastAsia="宋体" w:cs="宋体"/>
          <w:color w:val="auto"/>
          <w:sz w:val="24"/>
          <w:szCs w:val="24"/>
          <w:highlight w:val="none"/>
        </w:rPr>
      </w:pPr>
      <w:bookmarkStart w:id="16" w:name="_Toc205"/>
      <w:r>
        <w:rPr>
          <w:rFonts w:hint="eastAsia" w:ascii="宋体" w:hAnsi="宋体" w:eastAsia="宋体" w:cs="宋体"/>
          <w:color w:val="auto"/>
          <w:sz w:val="24"/>
          <w:szCs w:val="24"/>
          <w:highlight w:val="none"/>
        </w:rPr>
        <w:t>方式：供应商须登录广西政府采购云平台在“供应商入驻”完成账号注册后，登录广西政府采购云平台“项目采购-获取采购文件”模块自行下载采购文件。如在操作过程中遇到问题或需技术支持，请致电平台客服电话：95763。</w:t>
      </w:r>
      <w:bookmarkEnd w:id="16"/>
    </w:p>
    <w:p w14:paraId="2135570A">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售价：0元/份。</w:t>
      </w:r>
    </w:p>
    <w:p w14:paraId="4A718DE1">
      <w:pPr>
        <w:spacing w:after="0" w:line="360" w:lineRule="auto"/>
        <w:ind w:firstLine="482" w:firstLineChars="200"/>
        <w:rPr>
          <w:rFonts w:asciiTheme="minorEastAsia" w:hAnsiTheme="minorEastAsia" w:eastAsiaTheme="minorEastAsia" w:cstheme="minorEastAsia"/>
          <w:b/>
          <w:bCs/>
          <w:color w:val="auto"/>
          <w:sz w:val="24"/>
          <w:szCs w:val="24"/>
          <w:highlight w:val="none"/>
        </w:rPr>
      </w:pPr>
      <w:bookmarkStart w:id="17" w:name="_Toc28359015"/>
      <w:bookmarkStart w:id="18" w:name="_Toc28359092"/>
      <w:bookmarkStart w:id="19" w:name="_Toc35393801"/>
      <w:bookmarkStart w:id="20" w:name="_Toc35393632"/>
      <w:r>
        <w:rPr>
          <w:rFonts w:hint="eastAsia" w:asciiTheme="minorEastAsia" w:hAnsiTheme="minorEastAsia" w:eastAsiaTheme="minorEastAsia" w:cstheme="minorEastAsia"/>
          <w:b/>
          <w:bCs/>
          <w:color w:val="auto"/>
          <w:sz w:val="24"/>
          <w:szCs w:val="24"/>
          <w:highlight w:val="none"/>
        </w:rPr>
        <w:t>四、响应文件提交</w:t>
      </w:r>
      <w:bookmarkEnd w:id="17"/>
      <w:bookmarkEnd w:id="18"/>
      <w:bookmarkEnd w:id="19"/>
      <w:bookmarkEnd w:id="20"/>
    </w:p>
    <w:p w14:paraId="4EA35EC2">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2025年11月27日09时30分</w:t>
      </w:r>
      <w:r>
        <w:rPr>
          <w:rFonts w:hint="eastAsia" w:ascii="宋体" w:hAnsi="宋体" w:eastAsia="宋体" w:cs="宋体"/>
          <w:color w:val="auto"/>
          <w:sz w:val="24"/>
          <w:szCs w:val="24"/>
          <w:highlight w:val="none"/>
        </w:rPr>
        <w:t>（北京时间）。</w:t>
      </w:r>
      <w:bookmarkStart w:id="21" w:name="_Toc12641"/>
    </w:p>
    <w:p w14:paraId="200DD948">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地点：本项目为全流程电子化项目，申请人需要提交电子响应文件，电子响应文件必须用数字证书CA锁加密后在响应文件提交截止时间前，通过网络上传至广西政府采购云平台。</w:t>
      </w:r>
      <w:bookmarkEnd w:id="21"/>
    </w:p>
    <w:p w14:paraId="6BF632B2">
      <w:pPr>
        <w:spacing w:after="0"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五、开启</w:t>
      </w:r>
    </w:p>
    <w:p w14:paraId="138B12B7">
      <w:pPr>
        <w:widowControl w:val="0"/>
        <w:adjustRightInd/>
        <w:snapToGrid/>
        <w:spacing w:after="0" w:line="360" w:lineRule="auto"/>
        <w:ind w:firstLine="480" w:firstLineChars="200"/>
        <w:rPr>
          <w:rFonts w:ascii="宋体" w:hAnsi="宋体" w:eastAsia="宋体" w:cs="宋体"/>
          <w:color w:val="auto"/>
          <w:sz w:val="24"/>
          <w:szCs w:val="24"/>
          <w:highlight w:val="none"/>
          <w:u w:val="single"/>
        </w:rPr>
      </w:pPr>
      <w:bookmarkStart w:id="22" w:name="_Toc28359017"/>
      <w:bookmarkStart w:id="23" w:name="_Toc35393803"/>
      <w:bookmarkStart w:id="24" w:name="_Toc35393634"/>
      <w:bookmarkStart w:id="25" w:name="_Toc28359094"/>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2025年11月27日09时30分</w:t>
      </w:r>
      <w:r>
        <w:rPr>
          <w:rFonts w:hint="eastAsia" w:ascii="宋体" w:hAnsi="宋体" w:eastAsia="宋体" w:cs="宋体"/>
          <w:color w:val="auto"/>
          <w:sz w:val="24"/>
          <w:szCs w:val="24"/>
          <w:highlight w:val="none"/>
        </w:rPr>
        <w:t>（北京时间）</w:t>
      </w:r>
    </w:p>
    <w:p w14:paraId="6AB2701E">
      <w:pPr>
        <w:widowControl w:val="0"/>
        <w:adjustRightInd/>
        <w:snapToGrid/>
        <w:spacing w:after="0" w:line="360" w:lineRule="auto"/>
        <w:ind w:firstLine="480" w:firstLineChars="200"/>
        <w:rPr>
          <w:rFonts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地点：广西政府采购云平台开标大厅。</w:t>
      </w:r>
    </w:p>
    <w:p w14:paraId="71CFEA95">
      <w:pPr>
        <w:spacing w:after="0" w:line="360" w:lineRule="auto"/>
        <w:ind w:firstLine="482" w:firstLineChars="200"/>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六、公告期限</w:t>
      </w:r>
      <w:bookmarkEnd w:id="22"/>
      <w:bookmarkEnd w:id="23"/>
      <w:bookmarkEnd w:id="24"/>
      <w:bookmarkEnd w:id="25"/>
    </w:p>
    <w:p w14:paraId="42A81EE1">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个工作日。</w:t>
      </w:r>
    </w:p>
    <w:p w14:paraId="0E455DD1">
      <w:pPr>
        <w:spacing w:after="0" w:line="360" w:lineRule="auto"/>
        <w:ind w:firstLine="482" w:firstLineChars="200"/>
        <w:rPr>
          <w:rFonts w:asciiTheme="minorEastAsia" w:hAnsiTheme="minorEastAsia" w:eastAsiaTheme="minorEastAsia" w:cstheme="minorEastAsia"/>
          <w:color w:val="auto"/>
          <w:sz w:val="24"/>
          <w:szCs w:val="24"/>
          <w:highlight w:val="none"/>
        </w:rPr>
      </w:pPr>
      <w:bookmarkStart w:id="26" w:name="_Toc35393804"/>
      <w:bookmarkStart w:id="27" w:name="_Toc35393635"/>
      <w:r>
        <w:rPr>
          <w:rFonts w:hint="eastAsia" w:asciiTheme="minorEastAsia" w:hAnsiTheme="minorEastAsia" w:eastAsiaTheme="minorEastAsia" w:cstheme="minorEastAsia"/>
          <w:b/>
          <w:bCs/>
          <w:color w:val="auto"/>
          <w:sz w:val="24"/>
          <w:szCs w:val="24"/>
          <w:highlight w:val="none"/>
        </w:rPr>
        <w:t>七、其他补充事宜</w:t>
      </w:r>
      <w:bookmarkEnd w:id="26"/>
      <w:bookmarkEnd w:id="27"/>
    </w:p>
    <w:p w14:paraId="2CC1CD59">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1.采购项目需要落实的政府采购政策：</w:t>
      </w:r>
    </w:p>
    <w:p w14:paraId="4E7B99B4">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（1）政府采购促进中小企业发展。</w:t>
      </w:r>
    </w:p>
    <w:p w14:paraId="1CC5BD0C">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（2）政府采购支持采用本国产品的政策。</w:t>
      </w:r>
      <w:bookmarkStart w:id="101" w:name="_GoBack"/>
      <w:bookmarkEnd w:id="101"/>
    </w:p>
    <w:p w14:paraId="0AC7A900">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（3）强制采购、优先采购环境标志产品、节能产品。</w:t>
      </w:r>
    </w:p>
    <w:p w14:paraId="1993104B">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（4）促进残疾人就业政府采购政策。</w:t>
      </w:r>
    </w:p>
    <w:p w14:paraId="1787221B">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（5）政府采购支持监狱企业发展。</w:t>
      </w:r>
    </w:p>
    <w:p w14:paraId="41DBCA69">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（6）扶持不发达地区和少数民族地区政策。</w:t>
      </w:r>
    </w:p>
    <w:p w14:paraId="339FA033">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D0E5BEF">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173DFE6E">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4.本项目不接受未获取本竞争性谈判文件的供应商竞标。</w:t>
      </w:r>
    </w:p>
    <w:p w14:paraId="7DE2B9FF">
      <w:pPr>
        <w:spacing w:after="0" w:line="360" w:lineRule="auto"/>
        <w:ind w:firstLine="480" w:firstLineChars="200"/>
        <w:rPr>
          <w:rFonts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5.网上查询地址：</w:t>
      </w:r>
      <w:r>
        <w:rPr>
          <w:rFonts w:hint="eastAsia" w:ascii="宋体" w:hAnsi="宋体" w:eastAsia="宋体" w:cs="宋体"/>
          <w:color w:val="auto"/>
          <w:sz w:val="24"/>
          <w:szCs w:val="24"/>
          <w:highlight w:val="none"/>
        </w:rPr>
        <w:t>中国政府采购网（http://www.ccgp.gov.cn/）、广西壮族自治区政府采购网（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宋体" w:hAnsi="宋体" w:eastAsia="宋体" w:cs="宋体"/>
          <w:color w:val="auto"/>
          <w:sz w:val="24"/>
          <w:szCs w:val="24"/>
          <w:highlight w:val="none"/>
        </w:rPr>
        <w:t xml:space="preserve"> http://zfcg.gxzf.gov.cn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053B0300">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6.在线竞标响应（电子竞标）说明</w:t>
      </w:r>
    </w:p>
    <w:p w14:paraId="4C680F68">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广西政府采购云平台实行在线竞标响应（电子竞标），供应商需要登陆“广西政府采购云平台电子交易客户端”，并按照本竞争性谈判文件和广西政府采购云平台的要求，通过“广西政府采购云平台电子交易客户端”编制并加密响应文件。供应商未按规定编制并加密的响应文件，广西政府采购云平台将予以拒收。通过广西政府采购云平台参与在线竞标时如遇平台技术问题详询95763。</w:t>
      </w:r>
    </w:p>
    <w:p w14:paraId="484614F2">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确保网上操作合法、有效和安全，供应商应当在响应文件递交截止时间前完成在“广西政府采购云平台”的身份认证，确保在电子竞标过程中能够对相关数据电文进行加密和使用电子签章。使用“广西政府采购云平台电子交易客户端”需要提前申领CA数字证书；</w:t>
      </w:r>
    </w:p>
    <w:p w14:paraId="2E58FC1E">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1D0A3323">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（4）响应文件提交截止时间后，代理机构向各供应商发出电子加密响应文件【开始解密】通知，代理机构发起解密通知后 30 分钟内，响应文件提交截止时间前已将生成的“电子加密响应文件”上传递交至广西政府采购云平台的供应商，必须在此时间段内登录广西政府采购云平台，用“项目采购-开标评标”功能完成电子响应文件的解密。供应商响应文件提交截止前通过“广西政府采购云平台”上传递交的“电子加密响应文件”无法正常解密的，请及时联系代理机构，代理机构与项目归属监督部门备案后告知供应商通过邮件传输递交电子备份文件，通过邮件传输递交电子备份文件也必须在发起解密通知后 30 分钟内完成，逾期未完成传输的，拒收其响应文件。</w:t>
      </w:r>
    </w:p>
    <w:p w14:paraId="4A4D242F">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请各供应商在获取采购文件时，认真填写供应商名称、联系人、联系电话等相关信息。项目开标当天联系人要保持电话畅通，如因供应商自身原因导致无法响应文件无法正常解密、电子备份文件未能在规定的时间内传输递交、无法正常谈判（竞标）等，后果由供应商自行承担。</w:t>
      </w:r>
    </w:p>
    <w:p w14:paraId="68159124">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（6）本项目为全流程电子标项目，无需供应商来开标现场递交响应文件，供应商授权委托代理人可以不用到开标现场参加开标（截标）会。</w:t>
      </w:r>
    </w:p>
    <w:p w14:paraId="3DD389DE">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能够出现异常解密、递交电子备份文件的前提，是供应商已上传了标书且未能按时正常解密标书；系统生成标书时，生成两份，一个是竞标用的标书，一个是备份标书；提供的备份标书要跟上传的电子标书是同一份，否则系统也不支持进行异常解密。</w:t>
      </w:r>
    </w:p>
    <w:p w14:paraId="7040F178">
      <w:pPr>
        <w:spacing w:after="0" w:line="360" w:lineRule="auto"/>
        <w:ind w:firstLine="482" w:firstLineChars="200"/>
        <w:rPr>
          <w:rFonts w:asciiTheme="minorEastAsia" w:hAnsiTheme="minorEastAsia" w:eastAsiaTheme="minorEastAsia" w:cstheme="minorEastAsia"/>
          <w:b/>
          <w:bCs/>
          <w:color w:val="auto"/>
          <w:sz w:val="24"/>
          <w:szCs w:val="24"/>
          <w:highlight w:val="none"/>
        </w:rPr>
      </w:pPr>
      <w:bookmarkStart w:id="28" w:name="_Toc28359095"/>
      <w:bookmarkStart w:id="29" w:name="_Toc28359018"/>
      <w:bookmarkStart w:id="30" w:name="_Toc35393636"/>
      <w:bookmarkStart w:id="31" w:name="_Toc35393805"/>
      <w:r>
        <w:rPr>
          <w:rFonts w:hint="eastAsia" w:asciiTheme="minorEastAsia" w:hAnsiTheme="minorEastAsia" w:eastAsiaTheme="minorEastAsia" w:cstheme="minorEastAsia"/>
          <w:b/>
          <w:bCs/>
          <w:color w:val="auto"/>
          <w:sz w:val="24"/>
          <w:szCs w:val="24"/>
          <w:highlight w:val="none"/>
        </w:rPr>
        <w:t>八、凡对本次采购提出询问，请按以下方式联系。</w:t>
      </w:r>
      <w:bookmarkEnd w:id="28"/>
      <w:bookmarkEnd w:id="29"/>
      <w:bookmarkEnd w:id="30"/>
      <w:bookmarkEnd w:id="31"/>
    </w:p>
    <w:p w14:paraId="2E1CAC0B">
      <w:pPr>
        <w:spacing w:after="0"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090C072D">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称：广西信息职业技术学院 </w:t>
      </w:r>
    </w:p>
    <w:p w14:paraId="05403BD3">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地址：南宁市邕宁区步云路31号行政楼211室</w:t>
      </w:r>
    </w:p>
    <w:p w14:paraId="71D01587">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bookmarkStart w:id="32" w:name="_Toc28359086"/>
      <w:bookmarkStart w:id="33" w:name="_Toc28359009"/>
      <w:r>
        <w:rPr>
          <w:rFonts w:hint="eastAsia" w:ascii="宋体" w:hAnsi="宋体" w:eastAsia="宋体" w:cs="宋体"/>
          <w:color w:val="auto"/>
          <w:sz w:val="24"/>
          <w:szCs w:val="24"/>
          <w:highlight w:val="none"/>
        </w:rPr>
        <w:t>项目联系人：谢老师</w:t>
      </w:r>
    </w:p>
    <w:p w14:paraId="3E9D2F3D">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项目联系方式：0771-5872155、0771-2206025</w:t>
      </w:r>
    </w:p>
    <w:p w14:paraId="738E6F5A">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32"/>
      <w:bookmarkEnd w:id="33"/>
    </w:p>
    <w:p w14:paraId="5A112F41">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称：广西桂水工程咨询有限公司 </w:t>
      </w:r>
    </w:p>
    <w:p w14:paraId="69953539">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址：广西南宁市青秀区建政路12号商业综合楼A区五楼（水利厅大院内） </w:t>
      </w:r>
    </w:p>
    <w:p w14:paraId="63FAD29E">
      <w:pPr>
        <w:widowControl w:val="0"/>
        <w:adjustRightInd/>
        <w:snapToGrid/>
        <w:spacing w:after="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bookmarkStart w:id="34" w:name="_Toc28359087"/>
      <w:bookmarkStart w:id="35" w:name="_Toc28359010"/>
      <w:r>
        <w:rPr>
          <w:rFonts w:hint="eastAsia" w:ascii="宋体" w:hAnsi="宋体" w:eastAsia="宋体" w:cs="宋体"/>
          <w:color w:val="auto"/>
          <w:sz w:val="24"/>
          <w:szCs w:val="24"/>
          <w:highlight w:val="none"/>
        </w:rPr>
        <w:t>韦柳利、邓夏</w:t>
      </w:r>
    </w:p>
    <w:p w14:paraId="30D7335E">
      <w:pPr>
        <w:widowControl w:val="0"/>
        <w:adjustRightInd/>
        <w:snapToGrid/>
        <w:spacing w:after="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项目联系方式：15977785594、0771-5501160 </w:t>
      </w:r>
    </w:p>
    <w:bookmarkEnd w:id="34"/>
    <w:bookmarkEnd w:id="35"/>
    <w:p w14:paraId="5133BFB1">
      <w:pPr>
        <w:pStyle w:val="70"/>
        <w:rPr>
          <w:color w:val="auto"/>
          <w:highlight w:val="none"/>
        </w:rPr>
      </w:pPr>
    </w:p>
    <w:p w14:paraId="4FB9CC7F">
      <w:pPr>
        <w:pStyle w:val="70"/>
        <w:rPr>
          <w:color w:val="auto"/>
          <w:highlight w:val="none"/>
        </w:rPr>
      </w:pPr>
    </w:p>
    <w:p w14:paraId="6B8D2A95">
      <w:pPr>
        <w:pStyle w:val="70"/>
        <w:rPr>
          <w:color w:val="auto"/>
          <w:highlight w:val="none"/>
        </w:rPr>
      </w:pPr>
    </w:p>
    <w:p w14:paraId="3D99F401">
      <w:pPr>
        <w:pStyle w:val="70"/>
        <w:rPr>
          <w:color w:val="auto"/>
          <w:highlight w:val="none"/>
        </w:rPr>
      </w:pPr>
    </w:p>
    <w:p w14:paraId="34AFC218">
      <w:pPr>
        <w:pStyle w:val="70"/>
        <w:rPr>
          <w:color w:val="auto"/>
          <w:highlight w:val="none"/>
        </w:rPr>
      </w:pPr>
    </w:p>
    <w:p w14:paraId="37F48604">
      <w:pPr>
        <w:pStyle w:val="70"/>
        <w:rPr>
          <w:color w:val="auto"/>
          <w:highlight w:val="none"/>
        </w:rPr>
      </w:pPr>
    </w:p>
    <w:p w14:paraId="39AF9F33">
      <w:pPr>
        <w:pStyle w:val="70"/>
        <w:rPr>
          <w:color w:val="auto"/>
          <w:highlight w:val="none"/>
        </w:rPr>
      </w:pPr>
    </w:p>
    <w:p w14:paraId="4BEED953">
      <w:pPr>
        <w:rPr>
          <w:color w:val="auto"/>
          <w:highlight w:val="none"/>
        </w:rPr>
      </w:pPr>
    </w:p>
    <w:p w14:paraId="30B84884">
      <w:pPr>
        <w:pStyle w:val="70"/>
        <w:rPr>
          <w:color w:val="auto"/>
          <w:highlight w:val="none"/>
        </w:rPr>
      </w:pPr>
    </w:p>
    <w:p w14:paraId="456F8A3D">
      <w:pPr>
        <w:pStyle w:val="2"/>
        <w:ind w:firstLine="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1E49AB53">
      <w:pPr>
        <w:pStyle w:val="2"/>
        <w:spacing w:line="360" w:lineRule="auto"/>
        <w:ind w:firstLine="723" w:firstLineChars="20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第二章  供应商须知</w:t>
      </w:r>
      <w:bookmarkEnd w:id="4"/>
      <w:bookmarkEnd w:id="5"/>
      <w:bookmarkEnd w:id="6"/>
      <w:bookmarkEnd w:id="7"/>
    </w:p>
    <w:p w14:paraId="64FCED87">
      <w:pPr>
        <w:spacing w:after="0" w:line="360" w:lineRule="auto"/>
        <w:ind w:firstLine="640" w:firstLineChars="200"/>
        <w:jc w:val="center"/>
        <w:rPr>
          <w:rFonts w:cs="Times New Roman" w:asciiTheme="minorEastAsia" w:hAnsiTheme="minorEastAsia" w:eastAsiaTheme="minorEastAsia"/>
          <w:bCs/>
          <w:color w:val="auto"/>
          <w:sz w:val="32"/>
          <w:szCs w:val="32"/>
          <w:highlight w:val="none"/>
        </w:rPr>
      </w:pPr>
      <w:bookmarkStart w:id="36" w:name="_Toc246094909"/>
      <w:bookmarkStart w:id="37" w:name="_Toc7192543"/>
      <w:bookmarkStart w:id="38" w:name="_Toc246095453"/>
      <w:bookmarkStart w:id="39" w:name="_Toc246095515"/>
      <w:r>
        <w:rPr>
          <w:rFonts w:hint="eastAsia" w:cs="Times New Roman" w:asciiTheme="minorEastAsia" w:hAnsiTheme="minorEastAsia" w:eastAsiaTheme="minorEastAsia"/>
          <w:bCs/>
          <w:color w:val="auto"/>
          <w:sz w:val="32"/>
          <w:szCs w:val="32"/>
          <w:highlight w:val="none"/>
        </w:rPr>
        <w:t>供应商须知前附表</w:t>
      </w:r>
      <w:bookmarkEnd w:id="36"/>
      <w:bookmarkEnd w:id="37"/>
      <w:bookmarkEnd w:id="38"/>
      <w:bookmarkEnd w:id="39"/>
    </w:p>
    <w:tbl>
      <w:tblPr>
        <w:tblStyle w:val="38"/>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291"/>
        <w:gridCol w:w="7336"/>
      </w:tblGrid>
      <w:tr w14:paraId="40B2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36" w:type="dxa"/>
            <w:vAlign w:val="center"/>
          </w:tcPr>
          <w:p w14:paraId="2E010002">
            <w:pPr>
              <w:spacing w:after="0" w:line="440" w:lineRule="exact"/>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条款号</w:t>
            </w:r>
          </w:p>
        </w:tc>
        <w:tc>
          <w:tcPr>
            <w:tcW w:w="1291" w:type="dxa"/>
            <w:vAlign w:val="center"/>
          </w:tcPr>
          <w:p w14:paraId="21EC991D">
            <w:pPr>
              <w:spacing w:after="0" w:line="440" w:lineRule="exact"/>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条款名称</w:t>
            </w:r>
          </w:p>
        </w:tc>
        <w:tc>
          <w:tcPr>
            <w:tcW w:w="7336" w:type="dxa"/>
            <w:vAlign w:val="center"/>
          </w:tcPr>
          <w:p w14:paraId="66B7E7C9">
            <w:pPr>
              <w:spacing w:after="0" w:line="440" w:lineRule="exact"/>
              <w:ind w:firstLine="482" w:firstLineChars="200"/>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编列内容</w:t>
            </w:r>
          </w:p>
        </w:tc>
      </w:tr>
      <w:tr w14:paraId="4862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0D836F22">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291" w:type="dxa"/>
            <w:vAlign w:val="center"/>
          </w:tcPr>
          <w:p w14:paraId="73446513">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采购人</w:t>
            </w:r>
          </w:p>
        </w:tc>
        <w:tc>
          <w:tcPr>
            <w:tcW w:w="7336" w:type="dxa"/>
            <w:vAlign w:val="center"/>
          </w:tcPr>
          <w:p w14:paraId="588C219F">
            <w:pPr>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采购人：广西信息职业技术学院</w:t>
            </w:r>
          </w:p>
          <w:p w14:paraId="4D3A6DD6">
            <w:pPr>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址：南宁市邕宁区步云路31号行政楼211室</w:t>
            </w:r>
          </w:p>
          <w:p w14:paraId="37A30164">
            <w:pPr>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联系人：谢老师</w:t>
            </w:r>
          </w:p>
          <w:p w14:paraId="34E4EED0">
            <w:pPr>
              <w:spacing w:after="0" w:line="440" w:lineRule="exact"/>
              <w:ind w:firstLine="480" w:firstLineChars="200"/>
              <w:rPr>
                <w:rFonts w:hint="eastAsia" w:ascii="宋体" w:hAnsi="宋体" w:eastAsia="宋体"/>
                <w:color w:val="auto"/>
                <w:sz w:val="24"/>
                <w:highlight w:val="none"/>
              </w:rPr>
            </w:pPr>
            <w:r>
              <w:rPr>
                <w:rFonts w:hint="eastAsia" w:ascii="宋体" w:hAnsi="宋体" w:eastAsia="宋体" w:cs="宋体"/>
                <w:color w:val="auto"/>
                <w:sz w:val="24"/>
                <w:szCs w:val="24"/>
                <w:highlight w:val="none"/>
              </w:rPr>
              <w:t>电话：0771-5872155 、</w:t>
            </w:r>
            <w:r>
              <w:rPr>
                <w:rFonts w:hint="eastAsia" w:ascii="宋体" w:hAnsi="宋体" w:eastAsia="宋体"/>
                <w:color w:val="auto"/>
                <w:sz w:val="24"/>
                <w:highlight w:val="none"/>
              </w:rPr>
              <w:t>0771-2206025</w:t>
            </w:r>
          </w:p>
          <w:p w14:paraId="645FF985">
            <w:pPr>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邮 箱：/</w:t>
            </w:r>
          </w:p>
        </w:tc>
      </w:tr>
      <w:tr w14:paraId="6AF8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58174F79">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291" w:type="dxa"/>
            <w:vAlign w:val="center"/>
          </w:tcPr>
          <w:p w14:paraId="1897BEE4">
            <w:pPr>
              <w:spacing w:after="0" w:line="440" w:lineRule="exact"/>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采购代理机构</w:t>
            </w:r>
          </w:p>
        </w:tc>
        <w:tc>
          <w:tcPr>
            <w:tcW w:w="7336" w:type="dxa"/>
            <w:vAlign w:val="center"/>
          </w:tcPr>
          <w:p w14:paraId="23F1D79A">
            <w:pPr>
              <w:spacing w:after="0"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采购代理机构：广西桂水工程咨询有限公司</w:t>
            </w:r>
          </w:p>
          <w:p w14:paraId="53871B55">
            <w:pPr>
              <w:spacing w:after="0"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地址：广西南宁市青秀区建政路12号商业综合楼A区五楼（水利厅大院内） </w:t>
            </w:r>
          </w:p>
          <w:p w14:paraId="1EA7800E">
            <w:pPr>
              <w:spacing w:after="0"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联系人：韦柳利、邓夏</w:t>
            </w:r>
          </w:p>
          <w:p w14:paraId="109EF64A">
            <w:pPr>
              <w:spacing w:after="0" w:line="440" w:lineRule="exact"/>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联系电话：15977785594、0771-5501160</w:t>
            </w:r>
          </w:p>
          <w:p w14:paraId="575B1927">
            <w:pPr>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邮箱：gxgsyfgs@163.com</w:t>
            </w:r>
          </w:p>
        </w:tc>
      </w:tr>
      <w:tr w14:paraId="049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4ECDD3E5">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w:t>
            </w:r>
          </w:p>
        </w:tc>
        <w:tc>
          <w:tcPr>
            <w:tcW w:w="1291" w:type="dxa"/>
            <w:vAlign w:val="center"/>
          </w:tcPr>
          <w:p w14:paraId="3E324DEB">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项目名称</w:t>
            </w:r>
          </w:p>
        </w:tc>
        <w:tc>
          <w:tcPr>
            <w:tcW w:w="7336" w:type="dxa"/>
            <w:vAlign w:val="center"/>
          </w:tcPr>
          <w:p w14:paraId="77037BAB">
            <w:pPr>
              <w:spacing w:after="0" w:line="440" w:lineRule="exact"/>
              <w:ind w:firstLine="480" w:firstLineChars="200"/>
              <w:rPr>
                <w:rFonts w:hint="eastAsia" w:cs="宋体" w:asciiTheme="minorEastAsia" w:hAnsiTheme="minorEastAsia" w:eastAsiaTheme="minorEastAsia"/>
                <w:color w:val="auto"/>
                <w:sz w:val="24"/>
                <w:highlight w:val="none"/>
                <w:lang w:eastAsia="zh-CN"/>
              </w:rPr>
            </w:pPr>
            <w:r>
              <w:rPr>
                <w:rFonts w:hint="eastAsia" w:asciiTheme="minorEastAsia" w:hAnsiTheme="minorEastAsia" w:eastAsiaTheme="minorEastAsia" w:cstheme="minorEastAsia"/>
                <w:color w:val="auto"/>
                <w:sz w:val="24"/>
                <w:szCs w:val="24"/>
                <w:highlight w:val="none"/>
                <w:lang w:eastAsia="zh-CN"/>
              </w:rPr>
              <w:t>集成电路器件工艺基础实训室项目</w:t>
            </w:r>
          </w:p>
        </w:tc>
      </w:tr>
      <w:tr w14:paraId="4758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32D1951B">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1.5</w:t>
            </w:r>
          </w:p>
        </w:tc>
        <w:tc>
          <w:tcPr>
            <w:tcW w:w="1291" w:type="dxa"/>
            <w:vAlign w:val="center"/>
          </w:tcPr>
          <w:p w14:paraId="5EFFB3E5">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项目编号</w:t>
            </w:r>
          </w:p>
        </w:tc>
        <w:tc>
          <w:tcPr>
            <w:tcW w:w="7336" w:type="dxa"/>
            <w:vAlign w:val="center"/>
          </w:tcPr>
          <w:p w14:paraId="7BE4FF63">
            <w:pPr>
              <w:spacing w:after="0" w:line="440" w:lineRule="exact"/>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lang w:eastAsia="zh-CN"/>
              </w:rPr>
              <w:t>GXZC2025-J1-003585-GSZX</w:t>
            </w:r>
          </w:p>
        </w:tc>
      </w:tr>
      <w:tr w14:paraId="4762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22F4F886">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w:t>
            </w:r>
          </w:p>
        </w:tc>
        <w:tc>
          <w:tcPr>
            <w:tcW w:w="1291" w:type="dxa"/>
            <w:vAlign w:val="center"/>
          </w:tcPr>
          <w:p w14:paraId="4CA5C501">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采购预算</w:t>
            </w:r>
          </w:p>
        </w:tc>
        <w:tc>
          <w:tcPr>
            <w:tcW w:w="7336" w:type="dxa"/>
            <w:vAlign w:val="center"/>
          </w:tcPr>
          <w:p w14:paraId="75258ACB">
            <w:pPr>
              <w:spacing w:after="0" w:line="440" w:lineRule="exact"/>
              <w:ind w:firstLine="480" w:firstLineChars="200"/>
              <w:rPr>
                <w:rFonts w:cs="Arial" w:asciiTheme="minorEastAsia" w:hAnsiTheme="minorEastAsia" w:eastAsiaTheme="minorEastAsia"/>
                <w:bCs/>
                <w:color w:val="auto"/>
                <w:sz w:val="24"/>
                <w:highlight w:val="none"/>
              </w:rPr>
            </w:pPr>
            <w:r>
              <w:rPr>
                <w:rFonts w:cs="Arial" w:asciiTheme="minorEastAsia" w:hAnsiTheme="minorEastAsia" w:eastAsiaTheme="minorEastAsia"/>
                <w:bCs/>
                <w:color w:val="auto"/>
                <w:sz w:val="24"/>
                <w:highlight w:val="none"/>
              </w:rPr>
              <w:t>（</w:t>
            </w:r>
            <w:r>
              <w:rPr>
                <w:rFonts w:hint="eastAsia" w:cs="Arial" w:asciiTheme="minorEastAsia" w:hAnsiTheme="minorEastAsia" w:eastAsiaTheme="minorEastAsia"/>
                <w:bCs/>
                <w:color w:val="auto"/>
                <w:sz w:val="24"/>
                <w:highlight w:val="none"/>
              </w:rPr>
              <w:t>1）采购预算</w:t>
            </w:r>
            <w:r>
              <w:rPr>
                <w:rFonts w:hint="eastAsia" w:cs="Arial" w:asciiTheme="minorEastAsia" w:hAnsiTheme="minorEastAsia" w:eastAsiaTheme="minorEastAsia"/>
                <w:bCs/>
                <w:color w:val="auto"/>
                <w:sz w:val="24"/>
                <w:highlight w:val="none"/>
                <w:lang w:eastAsia="zh-CN"/>
              </w:rPr>
              <w:t>（</w:t>
            </w:r>
            <w:r>
              <w:rPr>
                <w:rFonts w:hint="eastAsia" w:cs="Arial" w:asciiTheme="minorEastAsia" w:hAnsiTheme="minorEastAsia" w:eastAsiaTheme="minorEastAsia"/>
                <w:bCs/>
                <w:color w:val="auto"/>
                <w:sz w:val="24"/>
                <w:highlight w:val="none"/>
                <w:lang w:val="en-US" w:eastAsia="zh-CN"/>
              </w:rPr>
              <w:t>元</w:t>
            </w:r>
            <w:r>
              <w:rPr>
                <w:rFonts w:hint="eastAsia" w:cs="Arial" w:asciiTheme="minorEastAsia" w:hAnsiTheme="minorEastAsia" w:eastAsiaTheme="minorEastAsia"/>
                <w:bCs/>
                <w:color w:val="auto"/>
                <w:sz w:val="24"/>
                <w:highlight w:val="none"/>
                <w:lang w:eastAsia="zh-CN"/>
              </w:rPr>
              <w:t>）</w:t>
            </w:r>
            <w:r>
              <w:rPr>
                <w:rFonts w:hint="eastAsia" w:cs="Arial" w:asciiTheme="minorEastAsia" w:hAnsiTheme="minorEastAsia" w:eastAsiaTheme="minorEastAsia"/>
                <w:bCs/>
                <w:color w:val="auto"/>
                <w:sz w:val="24"/>
                <w:highlight w:val="none"/>
              </w:rPr>
              <w:t>：</w:t>
            </w:r>
            <w:r>
              <w:rPr>
                <w:rFonts w:hint="eastAsia" w:cs="Arial" w:asciiTheme="minorEastAsia" w:hAnsiTheme="minorEastAsia" w:eastAsiaTheme="minorEastAsia"/>
                <w:bCs/>
                <w:color w:val="auto"/>
                <w:sz w:val="24"/>
                <w:highlight w:val="none"/>
              </w:rPr>
              <w:t>人民币</w:t>
            </w:r>
            <w:r>
              <w:rPr>
                <w:rFonts w:hint="eastAsia" w:cs="Arial" w:asciiTheme="minorEastAsia" w:hAnsiTheme="minorEastAsia" w:eastAsiaTheme="minorEastAsia"/>
                <w:bCs/>
                <w:color w:val="auto"/>
                <w:sz w:val="24"/>
                <w:highlight w:val="none"/>
                <w:lang w:val="en-US" w:eastAsia="zh-CN"/>
              </w:rPr>
              <w:t>壹佰捌拾万零伍仟零伍元柒角壹分</w:t>
            </w:r>
            <w:r>
              <w:rPr>
                <w:rFonts w:hint="eastAsia" w:cs="Arial" w:asciiTheme="minorEastAsia" w:hAnsiTheme="minorEastAsia" w:eastAsiaTheme="minorEastAsia"/>
                <w:bCs/>
                <w:color w:val="auto"/>
                <w:sz w:val="24"/>
                <w:highlight w:val="none"/>
                <w:lang w:val="en-US" w:eastAsia="zh-CN"/>
              </w:rPr>
              <w:t>（￥</w:t>
            </w:r>
            <w:r>
              <w:rPr>
                <w:rFonts w:hint="eastAsia" w:cs="Arial" w:asciiTheme="minorEastAsia" w:hAnsiTheme="minorEastAsia" w:eastAsiaTheme="minorEastAsia"/>
                <w:bCs/>
                <w:color w:val="auto"/>
                <w:sz w:val="24"/>
                <w:highlight w:val="none"/>
              </w:rPr>
              <w:t>1805005.71</w:t>
            </w:r>
            <w:r>
              <w:rPr>
                <w:rFonts w:hint="eastAsia" w:cs="Arial" w:asciiTheme="minorEastAsia" w:hAnsiTheme="minorEastAsia" w:eastAsiaTheme="minorEastAsia"/>
                <w:bCs/>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highlight w:val="none"/>
              </w:rPr>
              <w:t>竞标报价不得高于采购预算价,否则作无效竞标处理。</w:t>
            </w:r>
          </w:p>
          <w:p w14:paraId="506DAF46">
            <w:pPr>
              <w:spacing w:after="0" w:line="440" w:lineRule="exact"/>
              <w:ind w:firstLine="480" w:firstLineChars="200"/>
              <w:rPr>
                <w:rFonts w:cs="Arial" w:asciiTheme="minorEastAsia" w:hAnsiTheme="minorEastAsia" w:eastAsiaTheme="minorEastAsia"/>
                <w:bCs/>
                <w:color w:val="auto"/>
                <w:sz w:val="24"/>
                <w:highlight w:val="none"/>
              </w:rPr>
            </w:pPr>
            <w:r>
              <w:rPr>
                <w:rFonts w:hint="eastAsia" w:cs="Arial" w:asciiTheme="minorEastAsia" w:hAnsiTheme="minorEastAsia" w:eastAsiaTheme="minorEastAsia"/>
                <w:bCs/>
                <w:color w:val="auto"/>
                <w:sz w:val="24"/>
                <w:highlight w:val="none"/>
              </w:rPr>
              <w:t>（2）最高限价： ☑不设定   □设定</w:t>
            </w:r>
          </w:p>
        </w:tc>
      </w:tr>
      <w:tr w14:paraId="3065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4A953FC3">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1.7</w:t>
            </w:r>
          </w:p>
        </w:tc>
        <w:tc>
          <w:tcPr>
            <w:tcW w:w="1291" w:type="dxa"/>
            <w:vAlign w:val="center"/>
          </w:tcPr>
          <w:p w14:paraId="2E0BA804">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资金来源</w:t>
            </w:r>
          </w:p>
        </w:tc>
        <w:tc>
          <w:tcPr>
            <w:tcW w:w="7336" w:type="dxa"/>
            <w:vAlign w:val="center"/>
          </w:tcPr>
          <w:p w14:paraId="4430BE73">
            <w:pPr>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政府财政性资金</w:t>
            </w:r>
          </w:p>
        </w:tc>
      </w:tr>
      <w:tr w14:paraId="0E73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73F3E5C4">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w:t>
            </w:r>
          </w:p>
        </w:tc>
        <w:tc>
          <w:tcPr>
            <w:tcW w:w="1291" w:type="dxa"/>
            <w:vAlign w:val="center"/>
          </w:tcPr>
          <w:p w14:paraId="15CEE3B3">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供应商资格条件</w:t>
            </w:r>
          </w:p>
        </w:tc>
        <w:tc>
          <w:tcPr>
            <w:tcW w:w="7336" w:type="dxa"/>
            <w:vAlign w:val="center"/>
          </w:tcPr>
          <w:p w14:paraId="55D46CEA">
            <w:pPr>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1.基本资格条件：</w:t>
            </w:r>
          </w:p>
          <w:p w14:paraId="008FA726">
            <w:pPr>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（1）满足《中华人民共和国政府采购法》第二十二条规定。</w:t>
            </w:r>
          </w:p>
          <w:p w14:paraId="3A00BF04">
            <w:pPr>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（2）落实政府采购政策需满足的资格要求：本项目属于非专门面向中小企业采购。</w:t>
            </w:r>
          </w:p>
          <w:p w14:paraId="088D04F0">
            <w:pPr>
              <w:spacing w:after="0"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（3）项目的特定资格要求：无。</w:t>
            </w:r>
          </w:p>
          <w:p w14:paraId="6D80F8B7">
            <w:pPr>
              <w:spacing w:after="0"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0389837">
            <w:pPr>
              <w:spacing w:after="0"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1CA02C9">
            <w:pPr>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stheme="minorEastAsia"/>
                <w:color w:val="auto"/>
                <w:sz w:val="24"/>
                <w:szCs w:val="24"/>
                <w:highlight w:val="none"/>
              </w:rPr>
              <w:t>本项目不接受未获取本竞争性谈判文件的供应商竞标。</w:t>
            </w:r>
          </w:p>
          <w:p w14:paraId="53E46BE9">
            <w:pPr>
              <w:spacing w:after="0"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olor w:val="auto"/>
                <w:sz w:val="24"/>
                <w:highlight w:val="none"/>
              </w:rPr>
              <w:t>5.</w:t>
            </w:r>
            <w:r>
              <w:rPr>
                <w:rFonts w:hint="eastAsia" w:asciiTheme="minorEastAsia" w:hAnsiTheme="minorEastAsia" w:eastAsiaTheme="minorEastAsia" w:cstheme="minorEastAsia"/>
                <w:color w:val="auto"/>
                <w:sz w:val="24"/>
                <w:szCs w:val="24"/>
                <w:highlight w:val="none"/>
              </w:rPr>
              <w:t>本项目（否）接受联合体投标</w:t>
            </w:r>
            <w:r>
              <w:rPr>
                <w:rFonts w:hint="eastAsia" w:asciiTheme="minorEastAsia" w:hAnsiTheme="minorEastAsia" w:eastAsiaTheme="minorEastAsia"/>
                <w:color w:val="auto"/>
                <w:sz w:val="24"/>
                <w:highlight w:val="none"/>
              </w:rPr>
              <w:t>。</w:t>
            </w:r>
          </w:p>
        </w:tc>
      </w:tr>
      <w:tr w14:paraId="7C66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0C71603D">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6.1</w:t>
            </w:r>
          </w:p>
        </w:tc>
        <w:tc>
          <w:tcPr>
            <w:tcW w:w="1291" w:type="dxa"/>
            <w:vAlign w:val="center"/>
          </w:tcPr>
          <w:p w14:paraId="01AD05FF">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现场勘察</w:t>
            </w:r>
          </w:p>
        </w:tc>
        <w:tc>
          <w:tcPr>
            <w:tcW w:w="7336" w:type="dxa"/>
            <w:vAlign w:val="center"/>
          </w:tcPr>
          <w:p w14:paraId="3E37727D">
            <w:pPr>
              <w:autoSpaceDE w:val="0"/>
              <w:autoSpaceDN w:val="0"/>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☑不组织。由供应商自行决定是否勘察现场，建议供应商自行对项目现场和其周围环境进行现场勘察，以获取有关编制响应文件和签署实施项目合同所需的各种资料。</w:t>
            </w:r>
          </w:p>
          <w:p w14:paraId="1F2ACF61">
            <w:pPr>
              <w:spacing w:after="0" w:line="440" w:lineRule="exact"/>
              <w:ind w:firstLine="480" w:firstLineChars="200"/>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□组织，时间:，地点:,联系人：,电话：。</w:t>
            </w:r>
          </w:p>
        </w:tc>
      </w:tr>
      <w:tr w14:paraId="6E6E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3596F51C">
            <w:pPr>
              <w:spacing w:after="0" w:line="440" w:lineRule="exact"/>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10.1.1</w:t>
            </w:r>
          </w:p>
        </w:tc>
        <w:tc>
          <w:tcPr>
            <w:tcW w:w="1291" w:type="dxa"/>
            <w:vAlign w:val="center"/>
          </w:tcPr>
          <w:p w14:paraId="3A5CE0BE">
            <w:pPr>
              <w:spacing w:after="0" w:line="440" w:lineRule="exact"/>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价格文件组成内容</w:t>
            </w:r>
          </w:p>
        </w:tc>
        <w:tc>
          <w:tcPr>
            <w:tcW w:w="7336" w:type="dxa"/>
            <w:vAlign w:val="center"/>
          </w:tcPr>
          <w:p w14:paraId="7119CC15">
            <w:pPr>
              <w:autoSpaceDE w:val="0"/>
              <w:autoSpaceDN w:val="0"/>
              <w:spacing w:after="0" w:line="440" w:lineRule="exact"/>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价格文件（下列文件列明“必须提供”的，须加盖公章按要求提供，否则作竞标无效处理）</w:t>
            </w:r>
            <w:r>
              <w:rPr>
                <w:rFonts w:hint="eastAsia" w:cs="宋体" w:asciiTheme="minorEastAsia" w:hAnsiTheme="minorEastAsia" w:eastAsiaTheme="minorEastAsia"/>
                <w:color w:val="auto"/>
                <w:sz w:val="24"/>
                <w:highlight w:val="none"/>
              </w:rPr>
              <w:t>：</w:t>
            </w:r>
          </w:p>
          <w:p w14:paraId="0E9B85CB">
            <w:pPr>
              <w:pStyle w:val="96"/>
              <w:autoSpaceDE w:val="0"/>
              <w:autoSpaceDN w:val="0"/>
              <w:spacing w:after="0" w:line="440" w:lineRule="exact"/>
              <w:ind w:left="440" w:leftChars="200" w:firstLine="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(1)谈判报价表；（格式见附件，</w:t>
            </w:r>
            <w:r>
              <w:rPr>
                <w:rFonts w:hint="eastAsia" w:cs="宋体" w:asciiTheme="minorEastAsia" w:hAnsiTheme="minorEastAsia" w:eastAsiaTheme="minorEastAsia"/>
                <w:b/>
                <w:color w:val="auto"/>
                <w:sz w:val="24"/>
                <w:highlight w:val="none"/>
              </w:rPr>
              <w:t>必须提供)</w:t>
            </w:r>
          </w:p>
          <w:p w14:paraId="5E5764E8">
            <w:pPr>
              <w:autoSpaceDE w:val="0"/>
              <w:autoSpaceDN w:val="0"/>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(2)供应商针对报价需要说明的其他文件和说明（格式自拟）。</w:t>
            </w:r>
          </w:p>
        </w:tc>
      </w:tr>
      <w:tr w14:paraId="1D8A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060DBB08">
            <w:pPr>
              <w:spacing w:after="0"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10.1.2</w:t>
            </w:r>
          </w:p>
        </w:tc>
        <w:tc>
          <w:tcPr>
            <w:tcW w:w="1291" w:type="dxa"/>
            <w:vAlign w:val="center"/>
          </w:tcPr>
          <w:p w14:paraId="1719576F">
            <w:pPr>
              <w:spacing w:after="0"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商务技术文件组成内容</w:t>
            </w:r>
          </w:p>
        </w:tc>
        <w:tc>
          <w:tcPr>
            <w:tcW w:w="7336" w:type="dxa"/>
            <w:vAlign w:val="center"/>
          </w:tcPr>
          <w:p w14:paraId="1D86147C">
            <w:pPr>
              <w:adjustRightInd/>
              <w:spacing w:after="0" w:line="440" w:lineRule="exact"/>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商务技术文件（下列文件列明“必须提供”的，须加盖公章按要求提供，否则作竞标无效处理；其余项结合第三章“项目采购需求和说明”要求提供，要求“必须提供”的，如未提供，谈判小组有权拒绝其响应文件。</w:t>
            </w:r>
            <w:r>
              <w:rPr>
                <w:rFonts w:hint="eastAsia" w:cs="宋体" w:asciiTheme="minorEastAsia" w:hAnsiTheme="minorEastAsia" w:eastAsiaTheme="minorEastAsia"/>
                <w:b/>
                <w:color w:val="auto"/>
                <w:sz w:val="24"/>
                <w:highlight w:val="none"/>
                <w:u w:val="single"/>
              </w:rPr>
              <w:t>供应商所提供的材料不完整，或模糊不清以致关键信息无法辨认的，谈判小组有权认定该材料无效</w:t>
            </w:r>
            <w:r>
              <w:rPr>
                <w:rFonts w:hint="eastAsia" w:cs="宋体" w:asciiTheme="minorEastAsia" w:hAnsiTheme="minorEastAsia" w:eastAsiaTheme="minorEastAsia"/>
                <w:b/>
                <w:color w:val="auto"/>
                <w:sz w:val="24"/>
                <w:highlight w:val="none"/>
              </w:rPr>
              <w:t>。其他如有请提供）</w:t>
            </w:r>
          </w:p>
          <w:p w14:paraId="19D49AFA">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谈判书；（格式见附件，</w:t>
            </w:r>
            <w:r>
              <w:rPr>
                <w:rFonts w:hint="eastAsia" w:cs="宋体" w:asciiTheme="minorEastAsia" w:hAnsiTheme="minorEastAsia" w:eastAsiaTheme="minorEastAsia"/>
                <w:b/>
                <w:color w:val="auto"/>
                <w:sz w:val="24"/>
                <w:highlight w:val="none"/>
              </w:rPr>
              <w:t>必须提供)</w:t>
            </w:r>
          </w:p>
          <w:p w14:paraId="3A005434">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sz w:val="24"/>
                <w:highlight w:val="none"/>
              </w:rPr>
              <w:t>竞标声明书；（格式见附件，</w:t>
            </w:r>
            <w:r>
              <w:rPr>
                <w:rFonts w:hint="eastAsia" w:cs="宋体" w:asciiTheme="minorEastAsia" w:hAnsiTheme="minorEastAsia" w:eastAsiaTheme="minorEastAsia"/>
                <w:b/>
                <w:color w:val="auto"/>
                <w:sz w:val="24"/>
                <w:highlight w:val="none"/>
              </w:rPr>
              <w:t>必须提供)</w:t>
            </w:r>
          </w:p>
          <w:p w14:paraId="5EC439ED">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技术响应、偏离情况说明表；（格式见附件，</w:t>
            </w:r>
            <w:r>
              <w:rPr>
                <w:rFonts w:hint="eastAsia" w:cs="宋体" w:asciiTheme="minorEastAsia" w:hAnsiTheme="minorEastAsia" w:eastAsiaTheme="minorEastAsia"/>
                <w:b/>
                <w:color w:val="auto"/>
                <w:sz w:val="24"/>
                <w:highlight w:val="none"/>
              </w:rPr>
              <w:t>必须提供）</w:t>
            </w:r>
          </w:p>
          <w:p w14:paraId="3BBBDC99">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4)</w:t>
            </w:r>
            <w:r>
              <w:rPr>
                <w:rFonts w:hint="eastAsia" w:cs="宋体" w:asciiTheme="minorEastAsia" w:hAnsiTheme="minorEastAsia" w:eastAsiaTheme="minorEastAsia"/>
                <w:color w:val="auto"/>
                <w:sz w:val="24"/>
                <w:highlight w:val="none"/>
              </w:rPr>
              <w:t>商务响应表；（格式见附件，</w:t>
            </w:r>
            <w:r>
              <w:rPr>
                <w:rFonts w:hint="eastAsia" w:cs="宋体" w:asciiTheme="minorEastAsia" w:hAnsiTheme="minorEastAsia" w:eastAsiaTheme="minorEastAsia"/>
                <w:b/>
                <w:color w:val="auto"/>
                <w:sz w:val="24"/>
                <w:highlight w:val="none"/>
              </w:rPr>
              <w:t>必须提供)</w:t>
            </w:r>
          </w:p>
          <w:p w14:paraId="6C1415A9">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售后服务承诺（由供应商按本项目竞争性谈判文件第三章“项目采购需求和说明”要求自行编制）；</w:t>
            </w:r>
            <w:r>
              <w:rPr>
                <w:rFonts w:hint="eastAsia" w:cs="宋体" w:asciiTheme="minorEastAsia" w:hAnsiTheme="minorEastAsia" w:eastAsiaTheme="minorEastAsia"/>
                <w:b/>
                <w:color w:val="auto"/>
                <w:sz w:val="24"/>
                <w:highlight w:val="none"/>
              </w:rPr>
              <w:t>（必须提供）</w:t>
            </w:r>
          </w:p>
          <w:p w14:paraId="5459F209">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6)</w:t>
            </w:r>
            <w:r>
              <w:rPr>
                <w:rFonts w:hint="eastAsia" w:cs="宋体" w:asciiTheme="minorEastAsia" w:hAnsiTheme="minorEastAsia" w:eastAsiaTheme="minorEastAsia"/>
                <w:color w:val="auto"/>
                <w:sz w:val="24"/>
                <w:highlight w:val="none"/>
              </w:rPr>
              <w:t>有效的“营业执照”正本或副本复印件</w:t>
            </w:r>
            <w:r>
              <w:rPr>
                <w:rFonts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事业单位提供事业单位法人证书）；</w:t>
            </w:r>
            <w:r>
              <w:rPr>
                <w:rFonts w:hint="eastAsia" w:cs="宋体" w:asciiTheme="minorEastAsia" w:hAnsiTheme="minorEastAsia" w:eastAsiaTheme="minorEastAsia"/>
                <w:b/>
                <w:color w:val="auto"/>
                <w:sz w:val="24"/>
                <w:highlight w:val="none"/>
              </w:rPr>
              <w:t>(必须提供)</w:t>
            </w:r>
          </w:p>
          <w:p w14:paraId="42645626">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7)</w:t>
            </w:r>
            <w:r>
              <w:rPr>
                <w:rFonts w:hint="eastAsia" w:cs="宋体" w:asciiTheme="minorEastAsia" w:hAnsiTheme="minorEastAsia" w:eastAsiaTheme="minorEastAsia"/>
                <w:color w:val="auto"/>
                <w:sz w:val="24"/>
                <w:highlight w:val="none"/>
              </w:rPr>
              <w:t>提交响应文件截止之日前</w:t>
            </w:r>
            <w:r>
              <w:rPr>
                <w:rFonts w:hint="eastAsia" w:ascii="宋体" w:hAnsi="宋体" w:eastAsia="宋体" w:cs="宋体"/>
                <w:color w:val="auto"/>
                <w:sz w:val="24"/>
                <w:szCs w:val="24"/>
                <w:highlight w:val="none"/>
              </w:rPr>
              <w:t>近半年内任意连续三个月</w:t>
            </w:r>
            <w:r>
              <w:rPr>
                <w:rFonts w:hint="eastAsia" w:cs="宋体" w:asciiTheme="minorEastAsia" w:hAnsiTheme="minorEastAsia" w:eastAsiaTheme="minorEastAsia"/>
                <w:color w:val="auto"/>
                <w:sz w:val="24"/>
                <w:highlight w:val="none"/>
              </w:rPr>
              <w:t>的依法缴纳税费或依法免缴税费（包括无纳税记录或零报税）的证明（新成立的且不足三个月的企业按实际提供），证明材料可以是：银行已缴纳税费凭证复印件或第三方有效的相关业务托缴凭证或其他有效证明，或供应商所在地税务部门出具的有效证明（复印件）；</w:t>
            </w:r>
            <w:r>
              <w:rPr>
                <w:rFonts w:hint="eastAsia" w:cs="宋体" w:asciiTheme="minorEastAsia" w:hAnsiTheme="minorEastAsia" w:eastAsiaTheme="minorEastAsia"/>
                <w:b/>
                <w:color w:val="auto"/>
                <w:sz w:val="24"/>
                <w:highlight w:val="none"/>
              </w:rPr>
              <w:t>(必须提供)</w:t>
            </w:r>
          </w:p>
          <w:p w14:paraId="0E4E34AF">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8)</w:t>
            </w:r>
            <w:r>
              <w:rPr>
                <w:rFonts w:hint="eastAsia" w:cs="宋体" w:asciiTheme="minorEastAsia" w:hAnsiTheme="minorEastAsia" w:eastAsiaTheme="minorEastAsia"/>
                <w:color w:val="auto"/>
                <w:sz w:val="24"/>
                <w:highlight w:val="none"/>
              </w:rPr>
              <w:t>提交响应文件截止之日前</w:t>
            </w:r>
            <w:r>
              <w:rPr>
                <w:rFonts w:hint="eastAsia" w:ascii="宋体" w:hAnsi="宋体" w:eastAsia="宋体" w:cs="宋体"/>
                <w:color w:val="auto"/>
                <w:sz w:val="24"/>
                <w:szCs w:val="24"/>
                <w:highlight w:val="none"/>
              </w:rPr>
              <w:t>近半年内任意连续三个月</w:t>
            </w:r>
            <w:r>
              <w:rPr>
                <w:rFonts w:hint="eastAsia" w:cs="宋体" w:asciiTheme="minorEastAsia" w:hAnsiTheme="minorEastAsia" w:eastAsiaTheme="minorEastAsia"/>
                <w:color w:val="auto"/>
                <w:sz w:val="24"/>
                <w:highlight w:val="none"/>
              </w:rPr>
              <w:t>的依法缴纳社会保险费或依法免缴社保费的相关证明（新成立的且不足三个月的企业按实际提供），证明材料可以是：银行已缴纳社会保险费凭证复印件或第三方有效的相关业务托缴凭证或其他有效证明；不需要缴纳社会保险金的应提供供应商所在地有关行政主管部门出具相应的文件证明（复印件）；</w:t>
            </w:r>
            <w:r>
              <w:rPr>
                <w:rFonts w:hint="eastAsia" w:cs="宋体" w:asciiTheme="minorEastAsia" w:hAnsiTheme="minorEastAsia" w:eastAsiaTheme="minorEastAsia"/>
                <w:b/>
                <w:color w:val="auto"/>
                <w:sz w:val="24"/>
                <w:highlight w:val="none"/>
              </w:rPr>
              <w:t>（必须提供）</w:t>
            </w:r>
          </w:p>
          <w:p w14:paraId="3E057B08">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9)</w:t>
            </w:r>
            <w:r>
              <w:rPr>
                <w:rFonts w:hint="eastAsia" w:cs="宋体" w:asciiTheme="minorEastAsia" w:hAnsiTheme="minorEastAsia" w:eastAsiaTheme="minorEastAsia"/>
                <w:color w:val="auto"/>
                <w:sz w:val="24"/>
                <w:highlight w:val="none"/>
              </w:rPr>
              <w:t>供应商202</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年度</w:t>
            </w:r>
            <w:r>
              <w:rPr>
                <w:rFonts w:hint="eastAsia" w:cs="宋体" w:asciiTheme="minorEastAsia" w:hAnsiTheme="minorEastAsia" w:eastAsiaTheme="minorEastAsia"/>
                <w:color w:val="auto"/>
                <w:sz w:val="24"/>
                <w:szCs w:val="24"/>
                <w:highlight w:val="none"/>
              </w:rPr>
              <w:t>经第三方审计的</w:t>
            </w:r>
            <w:r>
              <w:rPr>
                <w:rFonts w:hint="eastAsia" w:cs="宋体" w:asciiTheme="minorEastAsia" w:hAnsiTheme="minorEastAsia" w:eastAsiaTheme="minorEastAsia"/>
                <w:color w:val="auto"/>
                <w:sz w:val="24"/>
                <w:highlight w:val="none"/>
              </w:rPr>
              <w:t>财务报表（账务报表至少包含资产负债表、利润表、现金流量表）复印件（新成立的公司提供公司成立日之后次月起到响应文件递交截止前一个月的财务报表复印件）或供应商提交响应文件截止之日前三个月内其基本开户银行出具的银行资信证明（仅提供银行出具的存款证明不能作为其银行资信证明）复印件；</w:t>
            </w:r>
            <w:r>
              <w:rPr>
                <w:rFonts w:hint="eastAsia" w:cs="宋体" w:asciiTheme="minorEastAsia" w:hAnsiTheme="minorEastAsia" w:eastAsiaTheme="minorEastAsia"/>
                <w:b/>
                <w:color w:val="auto"/>
                <w:sz w:val="24"/>
                <w:highlight w:val="none"/>
              </w:rPr>
              <w:t>（必须提供）</w:t>
            </w:r>
          </w:p>
          <w:p w14:paraId="477CA5C9">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10)</w:t>
            </w:r>
            <w:r>
              <w:rPr>
                <w:rFonts w:hint="eastAsia" w:cs="宋体" w:asciiTheme="minorEastAsia" w:hAnsiTheme="minorEastAsia" w:eastAsiaTheme="minorEastAsia"/>
                <w:color w:val="auto"/>
                <w:sz w:val="24"/>
                <w:highlight w:val="none"/>
              </w:rPr>
              <w:t>具备履行合同所必需的设备和专业技术服务能力的承诺书（格式见附件）；</w:t>
            </w:r>
            <w:r>
              <w:rPr>
                <w:rFonts w:hint="eastAsia" w:cs="宋体" w:asciiTheme="minorEastAsia" w:hAnsiTheme="minorEastAsia" w:eastAsiaTheme="minorEastAsia"/>
                <w:b/>
                <w:color w:val="auto"/>
                <w:sz w:val="24"/>
                <w:highlight w:val="none"/>
              </w:rPr>
              <w:t>（必须提供）</w:t>
            </w:r>
          </w:p>
          <w:p w14:paraId="73FF0519">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11)</w:t>
            </w:r>
            <w:r>
              <w:rPr>
                <w:rFonts w:hint="eastAsia" w:asciiTheme="minorEastAsia" w:hAnsiTheme="minorEastAsia" w:eastAsiaTheme="minorEastAsia"/>
                <w:color w:val="auto"/>
                <w:sz w:val="24"/>
                <w:highlight w:val="none"/>
              </w:rPr>
              <w:t>参加本次政府采购活动前三年内在经营活动中无重大违法记录</w:t>
            </w:r>
            <w:r>
              <w:rPr>
                <w:rFonts w:hint="eastAsia" w:cs="宋体" w:asciiTheme="minorEastAsia" w:hAnsiTheme="minorEastAsia" w:eastAsiaTheme="minorEastAsia"/>
                <w:color w:val="auto"/>
                <w:sz w:val="24"/>
                <w:highlight w:val="none"/>
              </w:rPr>
              <w:t>的书面声明原件；（格式见附件，</w:t>
            </w:r>
            <w:r>
              <w:rPr>
                <w:rFonts w:hint="eastAsia" w:cs="宋体" w:asciiTheme="minorEastAsia" w:hAnsiTheme="minorEastAsia" w:eastAsiaTheme="minorEastAsia"/>
                <w:b/>
                <w:color w:val="auto"/>
                <w:sz w:val="24"/>
                <w:highlight w:val="none"/>
              </w:rPr>
              <w:t>必须提供）</w:t>
            </w:r>
          </w:p>
          <w:p w14:paraId="581AE713">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12)</w:t>
            </w:r>
            <w:r>
              <w:rPr>
                <w:rFonts w:hint="eastAsia" w:cs="宋体" w:asciiTheme="minorEastAsia" w:hAnsiTheme="minorEastAsia" w:eastAsiaTheme="minorEastAsia"/>
                <w:color w:val="auto"/>
                <w:sz w:val="24"/>
                <w:highlight w:val="none"/>
              </w:rPr>
              <w:t>供应商控股及管理关系情况申报表；（格式见附件，</w:t>
            </w:r>
            <w:r>
              <w:rPr>
                <w:rFonts w:hint="eastAsia" w:cs="宋体" w:asciiTheme="minorEastAsia" w:hAnsiTheme="minorEastAsia" w:eastAsiaTheme="minorEastAsia"/>
                <w:b/>
                <w:color w:val="auto"/>
                <w:sz w:val="24"/>
                <w:highlight w:val="none"/>
              </w:rPr>
              <w:t>必须提供)</w:t>
            </w:r>
          </w:p>
          <w:p w14:paraId="6D8219F2">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13)</w:t>
            </w:r>
            <w:r>
              <w:rPr>
                <w:rFonts w:hint="eastAsia" w:cs="宋体" w:asciiTheme="minorEastAsia" w:hAnsiTheme="minorEastAsia" w:eastAsiaTheme="minorEastAsia"/>
                <w:color w:val="auto"/>
                <w:sz w:val="24"/>
                <w:highlight w:val="none"/>
              </w:rPr>
              <w:t>法定代表人身份证明书原件及法定代表人或负责人有效身份证正反面复印件；（格式见附件）</w:t>
            </w:r>
            <w:r>
              <w:rPr>
                <w:rFonts w:hint="eastAsia" w:cs="宋体" w:asciiTheme="minorEastAsia" w:hAnsiTheme="minorEastAsia" w:eastAsiaTheme="minorEastAsia"/>
                <w:b/>
                <w:color w:val="auto"/>
                <w:sz w:val="24"/>
                <w:highlight w:val="none"/>
              </w:rPr>
              <w:t>（必须提供）</w:t>
            </w:r>
          </w:p>
          <w:p w14:paraId="6DA78ED5">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14)</w:t>
            </w:r>
            <w:r>
              <w:rPr>
                <w:rFonts w:hint="eastAsia" w:cs="宋体" w:asciiTheme="minorEastAsia" w:hAnsiTheme="minorEastAsia" w:eastAsiaTheme="minorEastAsia"/>
                <w:color w:val="auto"/>
                <w:sz w:val="24"/>
                <w:highlight w:val="none"/>
              </w:rPr>
              <w:t>法定代表人授权委托书原件及被授权人有效身份证正反面复印件；（格式见附件，</w:t>
            </w:r>
            <w:r>
              <w:rPr>
                <w:rFonts w:hint="eastAsia" w:cs="宋体" w:asciiTheme="minorEastAsia" w:hAnsiTheme="minorEastAsia" w:eastAsiaTheme="minorEastAsia"/>
                <w:b/>
                <w:color w:val="auto"/>
                <w:sz w:val="24"/>
                <w:highlight w:val="none"/>
              </w:rPr>
              <w:t>委托时必须提供，否则竞标无效）</w:t>
            </w:r>
          </w:p>
          <w:p w14:paraId="3A3693AD">
            <w:pPr>
              <w:pStyle w:val="96"/>
              <w:autoSpaceDE w:val="0"/>
              <w:autoSpaceDN w:val="0"/>
              <w:spacing w:after="0" w:line="440" w:lineRule="exact"/>
              <w:ind w:firstLine="48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cs="宋体" w:asciiTheme="minorEastAsia" w:hAnsiTheme="minorEastAsia" w:eastAsiaTheme="minorEastAsia"/>
                <w:color w:val="auto"/>
                <w:sz w:val="24"/>
                <w:highlight w:val="none"/>
              </w:rPr>
              <w:t>15)</w:t>
            </w:r>
            <w:r>
              <w:rPr>
                <w:rFonts w:hint="eastAsia" w:cs="宋体" w:asciiTheme="minorEastAsia" w:hAnsiTheme="minorEastAsia" w:eastAsiaTheme="minorEastAsia"/>
                <w:color w:val="auto"/>
                <w:sz w:val="24"/>
                <w:highlight w:val="none"/>
              </w:rPr>
              <w:t>供应商认为需要提供的有关资料、文件、说明（如货物认证、检测报告、鉴定证书；产品获奖证书；产品样本、使用保养说明书、图纸等技术资料；</w:t>
            </w:r>
            <w:r>
              <w:rPr>
                <w:rFonts w:hint="eastAsia" w:cs="宋体" w:asciiTheme="minorEastAsia" w:hAnsiTheme="minorEastAsia" w:eastAsiaTheme="minorEastAsia"/>
                <w:b/>
                <w:bCs/>
                <w:color w:val="auto"/>
                <w:sz w:val="24"/>
                <w:highlight w:val="none"/>
              </w:rPr>
              <w:t>供应商竞标产品如属于小型、微型企业的，须提供《中小企业声明函》(格式见附件)；属监狱企业的，请提供由省级以上监狱管理局、戒毒管理局（含新疆生产建设兵团）出具的属于监狱企业的证明文件；属于残疾人福利性单位的，请提供《残疾人福利性单位声明函》(格式见附件)等）。</w:t>
            </w:r>
          </w:p>
        </w:tc>
      </w:tr>
      <w:tr w14:paraId="72DC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7432035B">
            <w:pPr>
              <w:spacing w:after="0"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10.1.3</w:t>
            </w:r>
          </w:p>
        </w:tc>
        <w:tc>
          <w:tcPr>
            <w:tcW w:w="1291" w:type="dxa"/>
            <w:vAlign w:val="center"/>
          </w:tcPr>
          <w:p w14:paraId="61524AE7">
            <w:pPr>
              <w:spacing w:after="0" w:line="440" w:lineRule="exact"/>
              <w:jc w:val="center"/>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响应文件电子版</w:t>
            </w:r>
          </w:p>
        </w:tc>
        <w:tc>
          <w:tcPr>
            <w:tcW w:w="7336" w:type="dxa"/>
            <w:vAlign w:val="center"/>
          </w:tcPr>
          <w:p w14:paraId="27775E4A">
            <w:pPr>
              <w:autoSpaceDE w:val="0"/>
              <w:autoSpaceDN w:val="0"/>
              <w:spacing w:after="0"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1.响应文件电子版要求：按照本采购文件“响应文件格式”编写（未附格式的，由供应商自行拟定），不可涂改并在规定处加盖公章，否则响应文件按无效响应处理。</w:t>
            </w:r>
          </w:p>
          <w:p w14:paraId="416A2F8F">
            <w:pPr>
              <w:autoSpaceDE w:val="0"/>
              <w:autoSpaceDN w:val="0"/>
              <w:spacing w:after="0" w:line="440" w:lineRule="exact"/>
              <w:ind w:firstLine="480" w:firstLineChars="200"/>
              <w:rPr>
                <w:rFonts w:cs="宋体"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2.响应文件电子版密封方式：电子响应文件通过平台有效CA加密后在广西政府采购云平台</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rPr>
              <w:t>。</w:t>
            </w:r>
          </w:p>
        </w:tc>
      </w:tr>
      <w:tr w14:paraId="0B1E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3339D168">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12.1</w:t>
            </w:r>
          </w:p>
        </w:tc>
        <w:tc>
          <w:tcPr>
            <w:tcW w:w="1291" w:type="dxa"/>
            <w:vAlign w:val="center"/>
          </w:tcPr>
          <w:p w14:paraId="22E21E83">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响应有效期</w:t>
            </w:r>
          </w:p>
        </w:tc>
        <w:tc>
          <w:tcPr>
            <w:tcW w:w="7336" w:type="dxa"/>
            <w:vAlign w:val="center"/>
          </w:tcPr>
          <w:p w14:paraId="57CEF5EF">
            <w:pPr>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自响应文件提交截止之日起60 天（日历天）内</w:t>
            </w:r>
          </w:p>
        </w:tc>
      </w:tr>
      <w:tr w14:paraId="59DD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6D58BE9F">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13.1</w:t>
            </w:r>
          </w:p>
        </w:tc>
        <w:tc>
          <w:tcPr>
            <w:tcW w:w="1291" w:type="dxa"/>
            <w:vAlign w:val="center"/>
          </w:tcPr>
          <w:p w14:paraId="3E553BD3">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谈判保证金</w:t>
            </w:r>
          </w:p>
        </w:tc>
        <w:tc>
          <w:tcPr>
            <w:tcW w:w="7336" w:type="dxa"/>
            <w:vAlign w:val="center"/>
          </w:tcPr>
          <w:p w14:paraId="1AD16C43">
            <w:pPr>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需要缴纳谈判保证金</w:t>
            </w:r>
          </w:p>
          <w:p w14:paraId="01D79650">
            <w:pPr>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谈判保证金金额：</w:t>
            </w:r>
            <w:r>
              <w:rPr>
                <w:rFonts w:hint="eastAsia" w:ascii="宋体" w:hAnsi="宋体" w:eastAsia="宋体" w:cs="宋体"/>
                <w:color w:val="auto"/>
                <w:sz w:val="24"/>
                <w:highlight w:val="none"/>
              </w:rPr>
              <w:t>人民币15000.00元</w:t>
            </w:r>
            <w:r>
              <w:rPr>
                <w:rFonts w:hint="eastAsia" w:cs="宋体" w:asciiTheme="minorEastAsia" w:hAnsiTheme="minorEastAsia" w:eastAsiaTheme="minorEastAsia"/>
                <w:color w:val="auto"/>
                <w:sz w:val="24"/>
                <w:highlight w:val="none"/>
              </w:rPr>
              <w:t>；</w:t>
            </w:r>
          </w:p>
          <w:p w14:paraId="44C662A6">
            <w:pPr>
              <w:spacing w:after="0" w:line="440" w:lineRule="exact"/>
              <w:ind w:firstLine="480" w:firstLineChars="200"/>
              <w:rPr>
                <w:rFonts w:hint="eastAsia" w:ascii="宋体" w:hAnsi="宋体" w:eastAsia="宋体"/>
                <w:bCs/>
                <w:color w:val="auto"/>
                <w:sz w:val="24"/>
                <w:highlight w:val="none"/>
              </w:rPr>
            </w:pPr>
            <w:r>
              <w:rPr>
                <w:rFonts w:hint="eastAsia" w:asciiTheme="minorEastAsia" w:hAnsiTheme="minorEastAsia" w:eastAsiaTheme="minorEastAsia"/>
                <w:bCs/>
                <w:color w:val="auto"/>
                <w:sz w:val="24"/>
                <w:highlight w:val="none"/>
              </w:rPr>
              <w:t>谈判保证金交纳方式：</w:t>
            </w:r>
            <w:r>
              <w:rPr>
                <w:rFonts w:hint="eastAsia" w:ascii="宋体" w:hAnsi="宋体" w:eastAsia="宋体"/>
                <w:bCs/>
                <w:color w:val="auto"/>
                <w:sz w:val="24"/>
                <w:highlight w:val="none"/>
              </w:rPr>
              <w:t>以银行转账、支票、汇票、本票或者金融机构、担保机构出具的保函等非现金形式提交。</w:t>
            </w:r>
          </w:p>
          <w:p w14:paraId="0E7CBEFD">
            <w:pPr>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（1）谈判保证金通过银行支付的，必须从供应商银行账户转出并于响应文件递交截止时间前到达指定银行账户</w:t>
            </w:r>
            <w:r>
              <w:rPr>
                <w:rFonts w:hint="eastAsia" w:ascii="宋体" w:hAnsi="宋体" w:eastAsia="宋体" w:cs="宋体"/>
                <w:color w:val="auto"/>
                <w:sz w:val="24"/>
                <w:highlight w:val="none"/>
                <w:u w:val="single"/>
              </w:rPr>
              <w:t>【账户名称：广西桂水工程咨询有限公司；开户银行：广西北部湾银行南宁市园湖支行；银行账号：8051 5860 9300 002】</w:t>
            </w:r>
            <w:r>
              <w:rPr>
                <w:rFonts w:hint="eastAsia" w:asciiTheme="minorEastAsia" w:hAnsiTheme="minorEastAsia" w:eastAsiaTheme="minorEastAsia"/>
                <w:color w:val="auto"/>
                <w:sz w:val="24"/>
                <w:highlight w:val="none"/>
              </w:rPr>
              <w:t>，否则视为无效谈判保证金。</w:t>
            </w:r>
          </w:p>
          <w:p w14:paraId="2FC1BF8E">
            <w:pPr>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办理谈判保证金缴纳手续时，请务必在银行进帐单或电汇单的用途或空白栏上注明项目名称</w:t>
            </w:r>
            <w:r>
              <w:rPr>
                <w:rFonts w:hint="eastAsia" w:asciiTheme="minorEastAsia" w:hAnsiTheme="minorEastAsia" w:eastAsiaTheme="minorEastAsia"/>
                <w:bCs/>
                <w:color w:val="auto"/>
                <w:sz w:val="24"/>
                <w:highlight w:val="none"/>
              </w:rPr>
              <w:t>（简称即可）</w:t>
            </w:r>
            <w:r>
              <w:rPr>
                <w:rFonts w:hint="eastAsia" w:asciiTheme="minorEastAsia" w:hAnsiTheme="minorEastAsia" w:eastAsiaTheme="minorEastAsia"/>
                <w:color w:val="auto"/>
                <w:sz w:val="24"/>
                <w:highlight w:val="none"/>
              </w:rPr>
              <w:t>或项目编号，以免耽误竞标。谈判保证金退还（不计息）均以转账形式退回到供应商银行账户。</w:t>
            </w:r>
          </w:p>
          <w:p w14:paraId="0D9F67F1">
            <w:pPr>
              <w:spacing w:after="0" w:line="440" w:lineRule="exact"/>
              <w:ind w:firstLine="480" w:firstLineChars="2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以保函形式提交谈判保证金的，在竞标截止时间前，供应商在递交响应文件时递交保函原件，由采购人核验保函信息，确认保函是否有效后交由采购人管理，保函原件无效的或未能在竞标截止时间前现场提交的，其竞标无效。</w:t>
            </w:r>
          </w:p>
          <w:p w14:paraId="195830F7">
            <w:pPr>
              <w:spacing w:after="0" w:line="44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（3）谈判保证金不足额缴纳的，或银行保函额度不足的，其竞标无效。</w:t>
            </w:r>
          </w:p>
          <w:p w14:paraId="2B3C0049">
            <w:pPr>
              <w:spacing w:after="0" w:line="440" w:lineRule="exact"/>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不需要缴纳谈判保证金</w:t>
            </w:r>
          </w:p>
        </w:tc>
      </w:tr>
      <w:tr w14:paraId="6548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1F86F81F">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14.4</w:t>
            </w:r>
          </w:p>
        </w:tc>
        <w:tc>
          <w:tcPr>
            <w:tcW w:w="1291" w:type="dxa"/>
            <w:vAlign w:val="center"/>
          </w:tcPr>
          <w:p w14:paraId="03A2A820">
            <w:pPr>
              <w:spacing w:after="0" w:line="400" w:lineRule="exact"/>
              <w:jc w:val="center"/>
              <w:rPr>
                <w:rFonts w:cs="宋体"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响应报价要求</w:t>
            </w:r>
          </w:p>
        </w:tc>
        <w:tc>
          <w:tcPr>
            <w:tcW w:w="7336" w:type="dxa"/>
            <w:vAlign w:val="center"/>
          </w:tcPr>
          <w:p w14:paraId="55CAEB88">
            <w:pPr>
              <w:spacing w:after="0" w:line="400" w:lineRule="exact"/>
              <w:ind w:firstLine="480" w:firstLineChars="200"/>
              <w:rPr>
                <w:rFonts w:cs="宋体" w:asciiTheme="minorEastAsia" w:hAnsiTheme="minorEastAsia" w:eastAsiaTheme="minorEastAsia"/>
                <w:color w:val="auto"/>
                <w:sz w:val="24"/>
                <w:highlight w:val="none"/>
              </w:rPr>
            </w:pPr>
            <w:r>
              <w:rPr>
                <w:rFonts w:hint="eastAsia" w:ascii="宋体" w:hAnsi="宋体" w:eastAsia="宋体" w:cs="宋体"/>
                <w:color w:val="auto"/>
                <w:sz w:val="24"/>
                <w:highlight w:val="none"/>
              </w:rPr>
              <w:t>本次报价须为人民币报价，</w:t>
            </w:r>
            <w:r>
              <w:rPr>
                <w:rFonts w:hint="eastAsia" w:ascii="宋体" w:hAnsi="宋体" w:eastAsia="宋体" w:cs="宋体"/>
                <w:color w:val="auto"/>
                <w:sz w:val="24"/>
                <w:szCs w:val="24"/>
                <w:highlight w:val="none"/>
              </w:rPr>
              <w:t>包括货物价款，标准附件、备品配件、专用工具、安装耗材、包装、运输、装卸、保险、税金、货物到就位以及安装、调试、检验、技术培训及技术资料、软件费、保修等全部费用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对于本文件中未列明，而供应商认为必需的费用也需列入总报价。在合同实施时，采购人将不予支付成交供应商没有列入的项目费用，并认为此项目的费用已包括在总报价中。</w:t>
            </w:r>
          </w:p>
        </w:tc>
      </w:tr>
      <w:tr w14:paraId="0B44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7A60B29E">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16.1</w:t>
            </w:r>
          </w:p>
        </w:tc>
        <w:tc>
          <w:tcPr>
            <w:tcW w:w="1291" w:type="dxa"/>
            <w:vAlign w:val="center"/>
          </w:tcPr>
          <w:p w14:paraId="4D0C5662">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递交响应文件截止时间</w:t>
            </w:r>
          </w:p>
        </w:tc>
        <w:tc>
          <w:tcPr>
            <w:tcW w:w="7336" w:type="dxa"/>
            <w:vAlign w:val="center"/>
          </w:tcPr>
          <w:p w14:paraId="55B9638C">
            <w:pPr>
              <w:spacing w:after="0" w:line="440" w:lineRule="exact"/>
              <w:ind w:firstLine="480" w:firstLineChars="200"/>
              <w:rPr>
                <w:rFonts w:cs="宋体"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lang w:eastAsia="zh-CN"/>
              </w:rPr>
              <w:t>2025年11月27日09时30分</w:t>
            </w:r>
            <w:r>
              <w:rPr>
                <w:rFonts w:hint="eastAsia" w:ascii="宋体" w:hAnsi="宋体" w:eastAsia="宋体" w:cs="宋体"/>
                <w:color w:val="auto"/>
                <w:sz w:val="24"/>
                <w:szCs w:val="24"/>
                <w:highlight w:val="none"/>
              </w:rPr>
              <w:t>之前将电子竞标响应文件上传到广西政府采购云平台。应按照本项目竞争性谈判文件和广西政府采购云平台的要求编制、加密传输竞标响应文件。竟标人在使用系统进行响应的过程中遇到涉及平台使用的任何问题，可致电广西政府采购云平台技术支持热线咨询，联系方式：95763。</w:t>
            </w:r>
          </w:p>
        </w:tc>
      </w:tr>
      <w:tr w14:paraId="478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7068B87C">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16.2</w:t>
            </w:r>
          </w:p>
        </w:tc>
        <w:tc>
          <w:tcPr>
            <w:tcW w:w="1291" w:type="dxa"/>
            <w:vAlign w:val="center"/>
          </w:tcPr>
          <w:p w14:paraId="052901E6">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响应文件递交地点</w:t>
            </w:r>
          </w:p>
        </w:tc>
        <w:tc>
          <w:tcPr>
            <w:tcW w:w="7336" w:type="dxa"/>
            <w:vAlign w:val="center"/>
          </w:tcPr>
          <w:p w14:paraId="5E867C32">
            <w:pPr>
              <w:spacing w:after="0" w:line="440" w:lineRule="exact"/>
              <w:ind w:firstLine="480" w:firstLineChars="200"/>
              <w:rPr>
                <w:rFonts w:cs="宋体"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本项目为全流程电子化项目，申请人需要提交电子响应文件，电子响应文件必须用数字证书CA锁加密后在响应文件提交截止时间前，通过网络上传至广西政府采购云平台。</w:t>
            </w:r>
          </w:p>
        </w:tc>
      </w:tr>
      <w:tr w14:paraId="48EE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4476D090">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cs="宋体" w:asciiTheme="minorEastAsia" w:hAnsiTheme="minorEastAsia" w:eastAsiaTheme="minorEastAsia"/>
                <w:color w:val="auto"/>
                <w:sz w:val="24"/>
                <w:highlight w:val="none"/>
              </w:rPr>
              <w:t>8</w:t>
            </w:r>
            <w:r>
              <w:rPr>
                <w:rFonts w:hint="eastAsia" w:cs="宋体" w:asciiTheme="minorEastAsia" w:hAnsiTheme="minorEastAsia" w:eastAsiaTheme="minorEastAsia"/>
                <w:color w:val="auto"/>
                <w:sz w:val="24"/>
                <w:highlight w:val="none"/>
              </w:rPr>
              <w:t>.1</w:t>
            </w:r>
          </w:p>
        </w:tc>
        <w:tc>
          <w:tcPr>
            <w:tcW w:w="1291" w:type="dxa"/>
            <w:vAlign w:val="center"/>
          </w:tcPr>
          <w:p w14:paraId="57221048">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谈判时间和地点</w:t>
            </w:r>
          </w:p>
        </w:tc>
        <w:tc>
          <w:tcPr>
            <w:tcW w:w="7336" w:type="dxa"/>
            <w:vAlign w:val="center"/>
          </w:tcPr>
          <w:p w14:paraId="6049DCB3">
            <w:pPr>
              <w:spacing w:after="0" w:line="400" w:lineRule="exact"/>
              <w:ind w:firstLine="480" w:firstLineChars="200"/>
              <w:rPr>
                <w:rFonts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谈判</w:t>
            </w:r>
            <w:r>
              <w:rPr>
                <w:rFonts w:hint="eastAsia" w:ascii="宋体" w:hAnsi="宋体" w:eastAsia="宋体" w:cs="宋体"/>
                <w:color w:val="auto"/>
                <w:sz w:val="24"/>
                <w:szCs w:val="24"/>
                <w:highlight w:val="none"/>
              </w:rPr>
              <w:t>时间：响应文件递交截止时间后。</w:t>
            </w:r>
          </w:p>
          <w:p w14:paraId="4D007BCB">
            <w:pPr>
              <w:spacing w:after="0" w:line="400" w:lineRule="exact"/>
              <w:ind w:firstLine="480" w:firstLineChars="200"/>
              <w:rPr>
                <w:rFonts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谈判</w:t>
            </w:r>
            <w:r>
              <w:rPr>
                <w:rFonts w:hint="eastAsia" w:ascii="宋体" w:hAnsi="宋体" w:eastAsia="宋体" w:cs="宋体"/>
                <w:color w:val="auto"/>
                <w:sz w:val="24"/>
                <w:szCs w:val="24"/>
                <w:highlight w:val="none"/>
              </w:rPr>
              <w:t>地点：本项目需要供应商代表在截标当天截标后，按</w:t>
            </w:r>
            <w:r>
              <w:rPr>
                <w:rFonts w:hint="eastAsia" w:cs="宋体" w:asciiTheme="minorEastAsia" w:hAnsiTheme="minorEastAsia" w:eastAsiaTheme="minorEastAsia"/>
                <w:color w:val="auto"/>
                <w:sz w:val="24"/>
                <w:highlight w:val="none"/>
              </w:rPr>
              <w:t>谈判</w:t>
            </w:r>
            <w:r>
              <w:rPr>
                <w:rFonts w:hint="eastAsia" w:ascii="宋体" w:hAnsi="宋体" w:eastAsia="宋体" w:cs="宋体"/>
                <w:color w:val="auto"/>
                <w:sz w:val="24"/>
                <w:szCs w:val="24"/>
                <w:highlight w:val="none"/>
              </w:rPr>
              <w:t>小组要求及时登陆广西政府采购云平台等候在线谈判。</w:t>
            </w:r>
          </w:p>
          <w:p w14:paraId="29F46F0D">
            <w:pPr>
              <w:spacing w:after="0" w:line="440" w:lineRule="exact"/>
              <w:ind w:firstLine="480" w:firstLineChars="200"/>
              <w:rPr>
                <w:rFonts w:cs="宋体"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响应文件递交截止时间后，由</w:t>
            </w:r>
            <w:r>
              <w:rPr>
                <w:rFonts w:hint="eastAsia" w:cs="宋体" w:asciiTheme="minorEastAsia" w:hAnsiTheme="minorEastAsia" w:eastAsiaTheme="minorEastAsia"/>
                <w:color w:val="auto"/>
                <w:sz w:val="24"/>
                <w:highlight w:val="none"/>
              </w:rPr>
              <w:t>谈判</w:t>
            </w:r>
            <w:r>
              <w:rPr>
                <w:rFonts w:hint="eastAsia" w:ascii="宋体" w:hAnsi="宋体" w:eastAsia="宋体" w:cs="宋体"/>
                <w:color w:val="auto"/>
                <w:sz w:val="24"/>
                <w:szCs w:val="24"/>
                <w:highlight w:val="none"/>
              </w:rPr>
              <w:t>小组在评标室内线上开启响应文件进行评审并向供应商发出谈判通知。</w:t>
            </w:r>
          </w:p>
        </w:tc>
      </w:tr>
      <w:tr w14:paraId="12AA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36" w:type="dxa"/>
            <w:vAlign w:val="center"/>
          </w:tcPr>
          <w:p w14:paraId="4491DFF2">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0</w:t>
            </w:r>
            <w:r>
              <w:rPr>
                <w:rFonts w:hint="eastAsia" w:cs="宋体" w:asciiTheme="minorEastAsia" w:hAnsiTheme="minorEastAsia" w:eastAsiaTheme="minorEastAsia"/>
                <w:color w:val="auto"/>
                <w:sz w:val="24"/>
                <w:highlight w:val="none"/>
              </w:rPr>
              <w:t>.1</w:t>
            </w:r>
          </w:p>
        </w:tc>
        <w:tc>
          <w:tcPr>
            <w:tcW w:w="1291" w:type="dxa"/>
            <w:vAlign w:val="center"/>
          </w:tcPr>
          <w:p w14:paraId="7E5B6980">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评标办法</w:t>
            </w:r>
          </w:p>
        </w:tc>
        <w:tc>
          <w:tcPr>
            <w:tcW w:w="7336" w:type="dxa"/>
            <w:vAlign w:val="center"/>
          </w:tcPr>
          <w:p w14:paraId="580F4F91">
            <w:pPr>
              <w:spacing w:after="0" w:line="44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最低评标价法</w:t>
            </w:r>
          </w:p>
        </w:tc>
      </w:tr>
      <w:tr w14:paraId="5A9A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36" w:type="dxa"/>
            <w:vAlign w:val="center"/>
          </w:tcPr>
          <w:p w14:paraId="50547AA2">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20.2</w:t>
            </w:r>
          </w:p>
        </w:tc>
        <w:tc>
          <w:tcPr>
            <w:tcW w:w="1291" w:type="dxa"/>
            <w:vAlign w:val="center"/>
          </w:tcPr>
          <w:p w14:paraId="0C669F6C">
            <w:pPr>
              <w:spacing w:after="0"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谈判小组组成</w:t>
            </w:r>
          </w:p>
        </w:tc>
        <w:tc>
          <w:tcPr>
            <w:tcW w:w="7336" w:type="dxa"/>
            <w:vAlign w:val="center"/>
          </w:tcPr>
          <w:p w14:paraId="36BE3353">
            <w:pPr>
              <w:spacing w:after="0"/>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谈判小组组成：共3人组成，其中采购人代表1人，政府采购评审专家2人。</w:t>
            </w:r>
          </w:p>
        </w:tc>
      </w:tr>
      <w:tr w14:paraId="1981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36" w:type="dxa"/>
            <w:vAlign w:val="center"/>
          </w:tcPr>
          <w:p w14:paraId="3DC952B3">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30.1</w:t>
            </w:r>
          </w:p>
        </w:tc>
        <w:tc>
          <w:tcPr>
            <w:tcW w:w="1291" w:type="dxa"/>
            <w:vAlign w:val="center"/>
          </w:tcPr>
          <w:p w14:paraId="24F5C65B">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履约保证金</w:t>
            </w:r>
          </w:p>
        </w:tc>
        <w:tc>
          <w:tcPr>
            <w:tcW w:w="7336" w:type="dxa"/>
            <w:vAlign w:val="center"/>
          </w:tcPr>
          <w:p w14:paraId="20D632EC">
            <w:pPr>
              <w:spacing w:after="0"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☑需要缴纳履约保证金</w:t>
            </w:r>
            <w:r>
              <w:rPr>
                <w:rFonts w:hint="eastAsia" w:ascii="宋体" w:hAnsi="宋体" w:eastAsia="宋体" w:cs="宋体"/>
                <w:color w:val="auto"/>
                <w:sz w:val="24"/>
                <w:szCs w:val="24"/>
                <w:highlight w:val="none"/>
                <w:lang w:eastAsia="zh-CN"/>
              </w:rPr>
              <w:t>。</w:t>
            </w:r>
          </w:p>
          <w:p w14:paraId="3893DCB1">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履约保证金金额：按合同金额的5%（金额：元）（如成交供应商为中小企业，则按合同金额的2%收取）。</w:t>
            </w:r>
          </w:p>
          <w:p w14:paraId="357AC217">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成交通知书发出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个工作日内，</w:t>
            </w:r>
            <w:r>
              <w:rPr>
                <w:rFonts w:hint="eastAsia" w:ascii="宋体" w:hAnsi="宋体" w:eastAsia="宋体" w:cs="宋体"/>
                <w:color w:val="auto"/>
                <w:sz w:val="24"/>
                <w:szCs w:val="24"/>
                <w:highlight w:val="none"/>
              </w:rPr>
              <w:t>乙方须向甲方缴纳履约保证金。乙方不按时交纳履约保证金，视为成交乙方自行放弃成交资格。</w:t>
            </w:r>
          </w:p>
          <w:p w14:paraId="680812D9">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履约保证金递交方式：以银行转账、支票、汇票、本票或者金融机构、担保机构出具的保函等非现金形式提交。</w:t>
            </w:r>
          </w:p>
          <w:p w14:paraId="2CB1CF2C">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开户名：广西信息职业技术学院</w:t>
            </w:r>
          </w:p>
          <w:p w14:paraId="3D78CDCD">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开户行：20023301040009198</w:t>
            </w:r>
          </w:p>
          <w:p w14:paraId="79E80B3E">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号：农业银行南宁青年国际支行</w:t>
            </w:r>
          </w:p>
          <w:p w14:paraId="4011B1BD">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转帐时注明：集成电路器件工艺基础实训室项目履约保证金。</w:t>
            </w:r>
          </w:p>
          <w:p w14:paraId="129CF130">
            <w:pPr>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回时间及方式：履约保证金在项目质量保证期期满及履行合同全部义务后，由承包人提出申请，发包人审核合格无误后十五个工作日内在扣除应扣款项后原路退还剩余质量保证金（不计利息）。涉及违约的违约金和项目质量问题损失赔偿从履约保证金中扣减，履约保证金不足以支付违约金、赔偿损失的，承包人仍应承担相应的违约赔偿责任。</w:t>
            </w:r>
          </w:p>
          <w:p w14:paraId="19863877">
            <w:pPr>
              <w:spacing w:after="0"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不需要缴纳履约保证金</w:t>
            </w:r>
            <w:r>
              <w:rPr>
                <w:rFonts w:hint="eastAsia" w:ascii="宋体" w:hAnsi="宋体" w:eastAsia="宋体" w:cs="宋体"/>
                <w:color w:val="auto"/>
                <w:sz w:val="24"/>
                <w:szCs w:val="24"/>
                <w:highlight w:val="none"/>
                <w:lang w:eastAsia="zh-CN"/>
              </w:rPr>
              <w:t>。</w:t>
            </w:r>
          </w:p>
        </w:tc>
      </w:tr>
      <w:tr w14:paraId="2E77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6A722901">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w:t>
            </w:r>
          </w:p>
        </w:tc>
        <w:tc>
          <w:tcPr>
            <w:tcW w:w="1291" w:type="dxa"/>
            <w:vAlign w:val="center"/>
          </w:tcPr>
          <w:p w14:paraId="10AFBA92">
            <w:pPr>
              <w:spacing w:after="0" w:line="440" w:lineRule="exact"/>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招标代理服务费</w:t>
            </w:r>
          </w:p>
        </w:tc>
        <w:tc>
          <w:tcPr>
            <w:tcW w:w="7336" w:type="dxa"/>
            <w:vAlign w:val="center"/>
          </w:tcPr>
          <w:p w14:paraId="18BC46BF">
            <w:pPr>
              <w:autoSpaceDE w:val="0"/>
              <w:autoSpaceDN w:val="0"/>
              <w:spacing w:after="0" w:line="440" w:lineRule="exact"/>
              <w:ind w:firstLine="480" w:firstLineChars="200"/>
              <w:textAlignment w:val="bottom"/>
              <w:rPr>
                <w:rFonts w:hint="eastAsia" w:ascii="宋体" w:hAnsi="宋体" w:eastAsia="宋体"/>
                <w:color w:val="auto"/>
                <w:sz w:val="24"/>
                <w:highlight w:val="none"/>
              </w:rPr>
            </w:pPr>
            <w:r>
              <w:rPr>
                <w:rFonts w:hint="eastAsia" w:ascii="宋体" w:hAnsi="宋体" w:eastAsia="宋体" w:cs="Courier New"/>
                <w:color w:val="auto"/>
                <w:sz w:val="24"/>
                <w:highlight w:val="none"/>
              </w:rPr>
              <w:sym w:font="Wingdings" w:char="F0FE"/>
            </w:r>
            <w:r>
              <w:rPr>
                <w:rFonts w:hint="eastAsia" w:ascii="宋体" w:hAnsi="宋体" w:eastAsia="宋体"/>
                <w:color w:val="auto"/>
                <w:sz w:val="24"/>
                <w:highlight w:val="none"/>
              </w:rPr>
              <w:t>招标代理服务费由成交人支付。</w:t>
            </w:r>
          </w:p>
          <w:p w14:paraId="623EE817">
            <w:pPr>
              <w:numPr>
                <w:ilvl w:val="0"/>
                <w:numId w:val="1"/>
              </w:numPr>
              <w:autoSpaceDE w:val="0"/>
              <w:autoSpaceDN w:val="0"/>
              <w:spacing w:after="0" w:line="440" w:lineRule="exact"/>
              <w:ind w:firstLine="480" w:firstLineChars="200"/>
              <w:textAlignment w:val="bottom"/>
              <w:rPr>
                <w:rFonts w:hint="eastAsia" w:ascii="宋体" w:hAnsi="宋体" w:eastAsia="宋体"/>
                <w:color w:val="auto"/>
                <w:sz w:val="24"/>
                <w:highlight w:val="none"/>
              </w:rPr>
            </w:pPr>
            <w:r>
              <w:rPr>
                <w:rFonts w:hint="eastAsia" w:ascii="宋体" w:hAnsi="宋体" w:eastAsia="宋体"/>
                <w:color w:val="auto"/>
                <w:sz w:val="24"/>
                <w:highlight w:val="none"/>
              </w:rPr>
              <w:t>成交人领取成交通知书前，应向采购代理机构一次付清招标代理服务费。</w:t>
            </w:r>
          </w:p>
          <w:p w14:paraId="099D6795">
            <w:pPr>
              <w:numPr>
                <w:ilvl w:val="0"/>
                <w:numId w:val="1"/>
              </w:numPr>
              <w:autoSpaceDE w:val="0"/>
              <w:autoSpaceDN w:val="0"/>
              <w:spacing w:after="0" w:line="440" w:lineRule="exact"/>
              <w:ind w:firstLine="480" w:firstLineChars="200"/>
              <w:textAlignment w:val="bottom"/>
              <w:rPr>
                <w:rFonts w:hint="eastAsia" w:ascii="宋体" w:hAnsi="宋体" w:eastAsia="宋体"/>
                <w:color w:val="auto"/>
                <w:sz w:val="24"/>
                <w:highlight w:val="none"/>
              </w:rPr>
            </w:pPr>
            <w:r>
              <w:rPr>
                <w:rFonts w:hint="eastAsia" w:ascii="宋体" w:hAnsi="宋体" w:eastAsia="宋体"/>
                <w:color w:val="auto"/>
                <w:sz w:val="24"/>
                <w:highlight w:val="none"/>
              </w:rPr>
              <w:t>本项目招标代理服务费参照国家发展计划委员会《招标代理服务费管理暂行办法》（计价格（2002）1980号收费标准、《国家发展改革委关于降低部分建设项目收费标准规范收费行为等有关问题的通知》（发改价格[2011]534号）规定的（服务招标）类标准，以成交金额为基准价，按差额定率累进法计算下浮20%收取。具体标准如下：</w:t>
            </w:r>
          </w:p>
          <w:tbl>
            <w:tblPr>
              <w:tblStyle w:val="38"/>
              <w:tblW w:w="6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1658"/>
              <w:gridCol w:w="1427"/>
              <w:gridCol w:w="1283"/>
            </w:tblGrid>
            <w:tr w14:paraId="41AD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21" w:type="dxa"/>
                  <w:tcBorders>
                    <w:tl2br w:val="single" w:color="auto" w:sz="4" w:space="0"/>
                  </w:tcBorders>
                  <w:noWrap w:val="0"/>
                  <w:vAlign w:val="top"/>
                </w:tcPr>
                <w:p w14:paraId="49ED5BAF">
                  <w:pPr>
                    <w:spacing w:after="0" w:line="440" w:lineRule="exact"/>
                    <w:rPr>
                      <w:rFonts w:hint="eastAsia" w:ascii="宋体" w:hAnsi="宋体" w:eastAsia="宋体"/>
                      <w:color w:val="auto"/>
                      <w:sz w:val="24"/>
                      <w:highlight w:val="none"/>
                    </w:rPr>
                  </w:pPr>
                  <w:r>
                    <w:rPr>
                      <w:rFonts w:hint="eastAsia" w:ascii="宋体" w:hAnsi="宋体" w:eastAsia="宋体"/>
                      <w:color w:val="auto"/>
                      <w:sz w:val="24"/>
                      <w:highlight w:val="none"/>
                    </w:rPr>
                    <w:t xml:space="preserve">               费率</w:t>
                  </w:r>
                </w:p>
                <w:p w14:paraId="0E52A90E">
                  <w:pPr>
                    <w:spacing w:after="0" w:line="440" w:lineRule="exact"/>
                    <w:rPr>
                      <w:rFonts w:hint="eastAsia" w:ascii="宋体" w:hAnsi="宋体" w:eastAsia="宋体"/>
                      <w:color w:val="auto"/>
                      <w:sz w:val="24"/>
                      <w:highlight w:val="none"/>
                    </w:rPr>
                  </w:pPr>
                  <w:r>
                    <w:rPr>
                      <w:rFonts w:hint="eastAsia" w:ascii="宋体" w:hAnsi="宋体" w:eastAsia="宋体"/>
                      <w:color w:val="auto"/>
                      <w:sz w:val="24"/>
                      <w:highlight w:val="none"/>
                    </w:rPr>
                    <w:t>成交金额</w:t>
                  </w:r>
                </w:p>
              </w:tc>
              <w:tc>
                <w:tcPr>
                  <w:tcW w:w="1658" w:type="dxa"/>
                  <w:noWrap w:val="0"/>
                  <w:vAlign w:val="center"/>
                </w:tcPr>
                <w:p w14:paraId="1513E76D">
                  <w:pPr>
                    <w:spacing w:after="0" w:line="440" w:lineRule="exact"/>
                    <w:ind w:firstLine="120" w:firstLineChars="50"/>
                    <w:jc w:val="center"/>
                    <w:rPr>
                      <w:rFonts w:hint="eastAsia" w:ascii="宋体" w:hAnsi="宋体" w:eastAsia="宋体"/>
                      <w:color w:val="auto"/>
                      <w:sz w:val="24"/>
                      <w:highlight w:val="none"/>
                    </w:rPr>
                  </w:pPr>
                  <w:r>
                    <w:rPr>
                      <w:rFonts w:hint="eastAsia" w:ascii="宋体" w:hAnsi="宋体" w:eastAsia="宋体"/>
                      <w:color w:val="auto"/>
                      <w:sz w:val="24"/>
                      <w:highlight w:val="none"/>
                    </w:rPr>
                    <w:t>货物招标</w:t>
                  </w:r>
                </w:p>
              </w:tc>
              <w:tc>
                <w:tcPr>
                  <w:tcW w:w="1427" w:type="dxa"/>
                  <w:noWrap w:val="0"/>
                  <w:vAlign w:val="center"/>
                </w:tcPr>
                <w:p w14:paraId="6CE24259">
                  <w:pPr>
                    <w:spacing w:after="0" w:line="440" w:lineRule="exact"/>
                    <w:jc w:val="center"/>
                    <w:rPr>
                      <w:rFonts w:hint="eastAsia" w:ascii="宋体" w:hAnsi="宋体" w:eastAsia="宋体"/>
                      <w:color w:val="auto"/>
                      <w:sz w:val="24"/>
                      <w:highlight w:val="none"/>
                    </w:rPr>
                  </w:pPr>
                  <w:r>
                    <w:rPr>
                      <w:rFonts w:hint="eastAsia" w:ascii="宋体" w:hAnsi="宋体" w:eastAsia="宋体"/>
                      <w:color w:val="auto"/>
                      <w:sz w:val="24"/>
                      <w:highlight w:val="none"/>
                    </w:rPr>
                    <w:t>服务招标</w:t>
                  </w:r>
                </w:p>
              </w:tc>
              <w:tc>
                <w:tcPr>
                  <w:tcW w:w="1283" w:type="dxa"/>
                  <w:noWrap w:val="0"/>
                  <w:vAlign w:val="center"/>
                </w:tcPr>
                <w:p w14:paraId="169D66B1">
                  <w:pPr>
                    <w:spacing w:after="0" w:line="440" w:lineRule="exact"/>
                    <w:jc w:val="center"/>
                    <w:rPr>
                      <w:rFonts w:hint="eastAsia" w:ascii="宋体" w:hAnsi="宋体" w:eastAsia="宋体"/>
                      <w:color w:val="auto"/>
                      <w:sz w:val="24"/>
                      <w:highlight w:val="none"/>
                    </w:rPr>
                  </w:pPr>
                  <w:r>
                    <w:rPr>
                      <w:rFonts w:hint="eastAsia" w:ascii="宋体" w:hAnsi="宋体" w:eastAsia="宋体"/>
                      <w:color w:val="auto"/>
                      <w:sz w:val="24"/>
                      <w:highlight w:val="none"/>
                    </w:rPr>
                    <w:t>工程招标</w:t>
                  </w:r>
                </w:p>
              </w:tc>
            </w:tr>
            <w:tr w14:paraId="7A97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21" w:type="dxa"/>
                  <w:noWrap w:val="0"/>
                  <w:vAlign w:val="top"/>
                </w:tcPr>
                <w:p w14:paraId="6195B225">
                  <w:pPr>
                    <w:spacing w:after="0" w:line="440" w:lineRule="exact"/>
                    <w:rPr>
                      <w:rFonts w:hint="eastAsia" w:ascii="宋体" w:hAnsi="宋体" w:eastAsia="宋体"/>
                      <w:color w:val="auto"/>
                      <w:sz w:val="24"/>
                      <w:highlight w:val="none"/>
                    </w:rPr>
                  </w:pPr>
                  <w:r>
                    <w:rPr>
                      <w:rFonts w:hint="eastAsia" w:ascii="宋体" w:hAnsi="宋体" w:eastAsia="宋体"/>
                      <w:color w:val="auto"/>
                      <w:sz w:val="24"/>
                      <w:highlight w:val="none"/>
                    </w:rPr>
                    <w:t>100万元以下</w:t>
                  </w:r>
                </w:p>
              </w:tc>
              <w:tc>
                <w:tcPr>
                  <w:tcW w:w="1658" w:type="dxa"/>
                  <w:noWrap w:val="0"/>
                  <w:vAlign w:val="top"/>
                </w:tcPr>
                <w:p w14:paraId="20077E88">
                  <w:pPr>
                    <w:spacing w:after="0" w:line="440" w:lineRule="exact"/>
                    <w:jc w:val="center"/>
                    <w:rPr>
                      <w:rFonts w:hint="eastAsia" w:ascii="宋体" w:hAnsi="宋体" w:eastAsia="宋体"/>
                      <w:color w:val="auto"/>
                      <w:sz w:val="24"/>
                      <w:highlight w:val="none"/>
                    </w:rPr>
                  </w:pPr>
                  <w:r>
                    <w:rPr>
                      <w:rFonts w:ascii="宋体" w:hAnsi="宋体" w:eastAsia="宋体" w:cs="宋体"/>
                      <w:color w:val="auto"/>
                      <w:sz w:val="24"/>
                      <w:highlight w:val="none"/>
                    </w:rPr>
                    <w:t>1.5%</w:t>
                  </w:r>
                </w:p>
              </w:tc>
              <w:tc>
                <w:tcPr>
                  <w:tcW w:w="1427" w:type="dxa"/>
                  <w:noWrap w:val="0"/>
                  <w:vAlign w:val="top"/>
                </w:tcPr>
                <w:p w14:paraId="45411EF4">
                  <w:pPr>
                    <w:spacing w:after="0" w:line="440" w:lineRule="exact"/>
                    <w:jc w:val="center"/>
                    <w:rPr>
                      <w:rFonts w:hint="eastAsia" w:ascii="宋体" w:hAnsi="宋体" w:eastAsia="宋体"/>
                      <w:color w:val="auto"/>
                      <w:sz w:val="24"/>
                      <w:highlight w:val="none"/>
                    </w:rPr>
                  </w:pPr>
                  <w:r>
                    <w:rPr>
                      <w:rFonts w:ascii="宋体" w:hAnsi="宋体" w:eastAsia="宋体" w:cs="宋体"/>
                      <w:color w:val="auto"/>
                      <w:sz w:val="24"/>
                      <w:highlight w:val="none"/>
                    </w:rPr>
                    <w:t>1.5%</w:t>
                  </w:r>
                </w:p>
              </w:tc>
              <w:tc>
                <w:tcPr>
                  <w:tcW w:w="1283" w:type="dxa"/>
                  <w:noWrap w:val="0"/>
                  <w:vAlign w:val="top"/>
                </w:tcPr>
                <w:p w14:paraId="6E73E165">
                  <w:pPr>
                    <w:spacing w:after="0" w:line="440" w:lineRule="exact"/>
                    <w:ind w:firstLine="240" w:firstLineChars="100"/>
                    <w:jc w:val="center"/>
                    <w:rPr>
                      <w:rFonts w:hint="eastAsia" w:ascii="宋体" w:hAnsi="宋体" w:eastAsia="宋体"/>
                      <w:color w:val="auto"/>
                      <w:sz w:val="24"/>
                      <w:highlight w:val="none"/>
                    </w:rPr>
                  </w:pPr>
                  <w:r>
                    <w:rPr>
                      <w:rFonts w:ascii="宋体" w:hAnsi="宋体" w:eastAsia="宋体" w:cs="宋体"/>
                      <w:color w:val="auto"/>
                      <w:sz w:val="24"/>
                      <w:highlight w:val="none"/>
                    </w:rPr>
                    <w:t>1.0%</w:t>
                  </w:r>
                </w:p>
              </w:tc>
            </w:tr>
            <w:tr w14:paraId="70CF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21" w:type="dxa"/>
                  <w:noWrap w:val="0"/>
                  <w:vAlign w:val="top"/>
                </w:tcPr>
                <w:p w14:paraId="667A38D8">
                  <w:pPr>
                    <w:spacing w:after="0" w:line="440" w:lineRule="exact"/>
                    <w:rPr>
                      <w:rFonts w:hint="eastAsia" w:ascii="宋体" w:hAnsi="宋体" w:eastAsia="宋体"/>
                      <w:color w:val="auto"/>
                      <w:sz w:val="24"/>
                      <w:highlight w:val="none"/>
                    </w:rPr>
                  </w:pPr>
                  <w:r>
                    <w:rPr>
                      <w:rFonts w:hint="eastAsia" w:ascii="宋体" w:hAnsi="宋体" w:eastAsia="宋体"/>
                      <w:color w:val="auto"/>
                      <w:sz w:val="24"/>
                      <w:highlight w:val="none"/>
                    </w:rPr>
                    <w:t>100～500万元</w:t>
                  </w:r>
                </w:p>
              </w:tc>
              <w:tc>
                <w:tcPr>
                  <w:tcW w:w="1658" w:type="dxa"/>
                  <w:noWrap w:val="0"/>
                  <w:vAlign w:val="top"/>
                </w:tcPr>
                <w:p w14:paraId="457ECB52">
                  <w:pPr>
                    <w:spacing w:after="0" w:line="440" w:lineRule="exact"/>
                    <w:jc w:val="center"/>
                    <w:rPr>
                      <w:rFonts w:hint="eastAsia" w:ascii="宋体" w:hAnsi="宋体" w:eastAsia="宋体"/>
                      <w:color w:val="auto"/>
                      <w:sz w:val="24"/>
                      <w:highlight w:val="none"/>
                    </w:rPr>
                  </w:pPr>
                  <w:r>
                    <w:rPr>
                      <w:rFonts w:ascii="宋体" w:hAnsi="宋体" w:eastAsia="宋体" w:cs="宋体"/>
                      <w:color w:val="auto"/>
                      <w:sz w:val="24"/>
                      <w:highlight w:val="none"/>
                    </w:rPr>
                    <w:t>1.1%</w:t>
                  </w:r>
                </w:p>
              </w:tc>
              <w:tc>
                <w:tcPr>
                  <w:tcW w:w="1427" w:type="dxa"/>
                  <w:noWrap w:val="0"/>
                  <w:vAlign w:val="top"/>
                </w:tcPr>
                <w:p w14:paraId="361379FA">
                  <w:pPr>
                    <w:spacing w:after="0" w:line="440" w:lineRule="exact"/>
                    <w:jc w:val="center"/>
                    <w:rPr>
                      <w:rFonts w:hint="eastAsia" w:ascii="宋体" w:hAnsi="宋体" w:eastAsia="宋体"/>
                      <w:color w:val="auto"/>
                      <w:sz w:val="24"/>
                      <w:highlight w:val="none"/>
                    </w:rPr>
                  </w:pPr>
                  <w:r>
                    <w:rPr>
                      <w:rFonts w:ascii="宋体" w:hAnsi="宋体" w:eastAsia="宋体" w:cs="宋体"/>
                      <w:color w:val="auto"/>
                      <w:sz w:val="24"/>
                      <w:highlight w:val="none"/>
                    </w:rPr>
                    <w:t>0.8%</w:t>
                  </w:r>
                </w:p>
              </w:tc>
              <w:tc>
                <w:tcPr>
                  <w:tcW w:w="1283" w:type="dxa"/>
                  <w:noWrap w:val="0"/>
                  <w:vAlign w:val="top"/>
                </w:tcPr>
                <w:p w14:paraId="77B40279">
                  <w:pPr>
                    <w:spacing w:after="0" w:line="440" w:lineRule="exact"/>
                    <w:ind w:firstLine="240" w:firstLineChars="100"/>
                    <w:jc w:val="center"/>
                    <w:rPr>
                      <w:rFonts w:hint="eastAsia" w:ascii="宋体" w:hAnsi="宋体" w:eastAsia="宋体"/>
                      <w:color w:val="auto"/>
                      <w:sz w:val="24"/>
                      <w:highlight w:val="none"/>
                    </w:rPr>
                  </w:pPr>
                  <w:r>
                    <w:rPr>
                      <w:rFonts w:ascii="宋体" w:hAnsi="宋体" w:eastAsia="宋体" w:cs="宋体"/>
                      <w:color w:val="auto"/>
                      <w:sz w:val="24"/>
                      <w:highlight w:val="none"/>
                    </w:rPr>
                    <w:t>0.7%</w:t>
                  </w:r>
                </w:p>
              </w:tc>
            </w:tr>
          </w:tbl>
          <w:p w14:paraId="77405173">
            <w:pPr>
              <w:adjustRightInd/>
              <w:spacing w:after="0" w:line="440" w:lineRule="exact"/>
              <w:ind w:firstLine="480" w:firstLineChars="200"/>
              <w:jc w:val="both"/>
              <w:rPr>
                <w:rFonts w:hint="eastAsia" w:ascii="宋体" w:hAnsi="宋体" w:eastAsia="宋体"/>
                <w:color w:val="auto"/>
                <w:sz w:val="24"/>
                <w:highlight w:val="none"/>
              </w:rPr>
            </w:pPr>
            <w:r>
              <w:rPr>
                <w:rFonts w:hint="eastAsia" w:ascii="宋体" w:hAnsi="宋体" w:eastAsia="宋体"/>
                <w:color w:val="auto"/>
                <w:sz w:val="24"/>
                <w:highlight w:val="none"/>
              </w:rPr>
              <w:t>例如：某货物招标代理业务预算金额为</w:t>
            </w:r>
            <w:r>
              <w:rPr>
                <w:rFonts w:ascii="宋体" w:hAnsi="宋体" w:eastAsia="宋体"/>
                <w:color w:val="auto"/>
                <w:sz w:val="24"/>
                <w:highlight w:val="none"/>
              </w:rPr>
              <w:t>300</w:t>
            </w:r>
            <w:r>
              <w:rPr>
                <w:rFonts w:hint="eastAsia" w:ascii="宋体" w:hAnsi="宋体" w:eastAsia="宋体"/>
                <w:color w:val="auto"/>
                <w:sz w:val="24"/>
                <w:highlight w:val="none"/>
              </w:rPr>
              <w:t>万元，招标代理服务费金额按如下计算：</w:t>
            </w:r>
          </w:p>
          <w:p w14:paraId="7AF8AFA4">
            <w:pPr>
              <w:adjustRightInd/>
              <w:spacing w:after="0" w:line="440" w:lineRule="exact"/>
              <w:ind w:firstLine="480" w:firstLineChars="200"/>
              <w:jc w:val="both"/>
              <w:rPr>
                <w:rFonts w:hint="eastAsia" w:ascii="宋体" w:hAnsi="宋体" w:eastAsia="宋体"/>
                <w:color w:val="auto"/>
                <w:sz w:val="24"/>
                <w:highlight w:val="none"/>
              </w:rPr>
            </w:pPr>
            <w:r>
              <w:rPr>
                <w:rFonts w:ascii="宋体" w:hAnsi="宋体" w:eastAsia="宋体"/>
                <w:color w:val="auto"/>
                <w:sz w:val="24"/>
                <w:highlight w:val="none"/>
              </w:rPr>
              <w:t>100</w:t>
            </w:r>
            <w:r>
              <w:rPr>
                <w:rFonts w:hint="eastAsia" w:ascii="宋体" w:hAnsi="宋体" w:eastAsia="宋体"/>
                <w:color w:val="auto"/>
                <w:sz w:val="24"/>
                <w:highlight w:val="none"/>
              </w:rPr>
              <w:t>万元×</w:t>
            </w:r>
            <w:r>
              <w:rPr>
                <w:rFonts w:ascii="宋体" w:hAnsi="宋体" w:eastAsia="宋体"/>
                <w:color w:val="auto"/>
                <w:sz w:val="24"/>
                <w:highlight w:val="none"/>
              </w:rPr>
              <w:t>1.5%</w:t>
            </w:r>
            <w:r>
              <w:rPr>
                <w:rFonts w:hint="eastAsia" w:ascii="宋体" w:hAnsi="宋体" w:eastAsia="宋体"/>
                <w:color w:val="auto"/>
                <w:sz w:val="24"/>
                <w:highlight w:val="none"/>
              </w:rPr>
              <w:t>＝</w:t>
            </w:r>
            <w:r>
              <w:rPr>
                <w:rFonts w:ascii="宋体" w:hAnsi="宋体" w:eastAsia="宋体"/>
                <w:color w:val="auto"/>
                <w:sz w:val="24"/>
                <w:highlight w:val="none"/>
              </w:rPr>
              <w:t xml:space="preserve">1.5 </w:t>
            </w:r>
            <w:r>
              <w:rPr>
                <w:rFonts w:hint="eastAsia" w:ascii="宋体" w:hAnsi="宋体" w:eastAsia="宋体"/>
                <w:color w:val="auto"/>
                <w:sz w:val="24"/>
                <w:highlight w:val="none"/>
              </w:rPr>
              <w:t>万元</w:t>
            </w:r>
          </w:p>
          <w:p w14:paraId="110D25C7">
            <w:pPr>
              <w:adjustRightInd/>
              <w:spacing w:after="0" w:line="440" w:lineRule="exact"/>
              <w:ind w:firstLine="480" w:firstLineChars="200"/>
              <w:jc w:val="both"/>
              <w:rPr>
                <w:rFonts w:hint="eastAsia"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300</w:t>
            </w:r>
            <w:r>
              <w:rPr>
                <w:rFonts w:hint="eastAsia" w:ascii="宋体" w:hAnsi="宋体" w:eastAsia="宋体"/>
                <w:color w:val="auto"/>
                <w:sz w:val="24"/>
                <w:highlight w:val="none"/>
              </w:rPr>
              <w:t>－</w:t>
            </w:r>
            <w:r>
              <w:rPr>
                <w:rFonts w:ascii="宋体" w:hAnsi="宋体" w:eastAsia="宋体"/>
                <w:color w:val="auto"/>
                <w:sz w:val="24"/>
                <w:highlight w:val="none"/>
              </w:rPr>
              <w:t>100</w:t>
            </w:r>
            <w:r>
              <w:rPr>
                <w:rFonts w:hint="eastAsia" w:ascii="宋体" w:hAnsi="宋体" w:eastAsia="宋体"/>
                <w:color w:val="auto"/>
                <w:sz w:val="24"/>
                <w:highlight w:val="none"/>
              </w:rPr>
              <w:t>）万元×</w:t>
            </w:r>
            <w:r>
              <w:rPr>
                <w:rFonts w:ascii="宋体" w:hAnsi="宋体" w:eastAsia="宋体"/>
                <w:color w:val="auto"/>
                <w:sz w:val="24"/>
                <w:highlight w:val="none"/>
              </w:rPr>
              <w:t>1.1%</w:t>
            </w:r>
            <w:r>
              <w:rPr>
                <w:rFonts w:hint="eastAsia" w:ascii="宋体" w:hAnsi="宋体" w:eastAsia="宋体"/>
                <w:color w:val="auto"/>
                <w:sz w:val="24"/>
                <w:highlight w:val="none"/>
              </w:rPr>
              <w:t>＝</w:t>
            </w:r>
            <w:r>
              <w:rPr>
                <w:rFonts w:ascii="宋体" w:hAnsi="宋体" w:eastAsia="宋体"/>
                <w:color w:val="auto"/>
                <w:sz w:val="24"/>
                <w:highlight w:val="none"/>
              </w:rPr>
              <w:t>2.2</w:t>
            </w:r>
            <w:r>
              <w:rPr>
                <w:rFonts w:hint="eastAsia" w:ascii="宋体" w:hAnsi="宋体" w:eastAsia="宋体"/>
                <w:color w:val="auto"/>
                <w:sz w:val="24"/>
                <w:highlight w:val="none"/>
              </w:rPr>
              <w:t>万元</w:t>
            </w:r>
          </w:p>
          <w:p w14:paraId="4A497C01">
            <w:pPr>
              <w:autoSpaceDE w:val="0"/>
              <w:autoSpaceDN w:val="0"/>
              <w:spacing w:after="0" w:line="440" w:lineRule="exact"/>
              <w:ind w:firstLine="480" w:firstLineChars="200"/>
              <w:textAlignment w:val="bottom"/>
              <w:rPr>
                <w:rFonts w:hint="eastAsia" w:ascii="宋体" w:hAnsi="宋体" w:eastAsia="宋体"/>
                <w:color w:val="auto"/>
                <w:sz w:val="24"/>
                <w:highlight w:val="none"/>
              </w:rPr>
            </w:pPr>
            <w:r>
              <w:rPr>
                <w:rFonts w:hint="eastAsia" w:ascii="宋体" w:hAnsi="宋体" w:eastAsia="宋体"/>
                <w:color w:val="auto"/>
                <w:sz w:val="24"/>
                <w:highlight w:val="none"/>
              </w:rPr>
              <w:t>合计收费＝</w:t>
            </w:r>
            <w:r>
              <w:rPr>
                <w:rFonts w:ascii="宋体" w:hAnsi="宋体" w:eastAsia="宋体"/>
                <w:color w:val="auto"/>
                <w:sz w:val="24"/>
                <w:highlight w:val="none"/>
              </w:rPr>
              <w:t>1.5</w:t>
            </w:r>
            <w:r>
              <w:rPr>
                <w:rFonts w:hint="eastAsia" w:ascii="宋体" w:hAnsi="宋体" w:eastAsia="宋体"/>
                <w:color w:val="auto"/>
                <w:sz w:val="24"/>
                <w:highlight w:val="none"/>
              </w:rPr>
              <w:t>＋</w:t>
            </w:r>
            <w:r>
              <w:rPr>
                <w:rFonts w:ascii="宋体" w:hAnsi="宋体" w:eastAsia="宋体"/>
                <w:color w:val="auto"/>
                <w:sz w:val="24"/>
                <w:highlight w:val="none"/>
              </w:rPr>
              <w:t>2.2=3.7</w:t>
            </w:r>
            <w:r>
              <w:rPr>
                <w:rFonts w:hint="eastAsia" w:ascii="宋体" w:hAnsi="宋体" w:eastAsia="宋体"/>
                <w:color w:val="auto"/>
                <w:sz w:val="24"/>
                <w:highlight w:val="none"/>
              </w:rPr>
              <w:t>万元</w:t>
            </w:r>
          </w:p>
          <w:p w14:paraId="36BA13BC">
            <w:pPr>
              <w:spacing w:after="0" w:line="440" w:lineRule="exact"/>
              <w:ind w:firstLine="480" w:firstLineChars="200"/>
              <w:rPr>
                <w:rFonts w:hint="eastAsia" w:ascii="宋体" w:hAnsi="宋体" w:eastAsia="宋体"/>
                <w:color w:val="auto"/>
                <w:sz w:val="24"/>
                <w:highlight w:val="none"/>
              </w:rPr>
            </w:pPr>
            <w:r>
              <w:rPr>
                <w:rFonts w:hint="eastAsia" w:ascii="宋体" w:hAnsi="宋体" w:eastAsia="宋体" w:cs="Courier New"/>
                <w:color w:val="auto"/>
                <w:sz w:val="24"/>
                <w:highlight w:val="none"/>
              </w:rPr>
              <w:t>（3）</w:t>
            </w:r>
            <w:r>
              <w:rPr>
                <w:rFonts w:hint="eastAsia" w:ascii="宋体" w:hAnsi="宋体" w:eastAsia="宋体"/>
                <w:color w:val="auto"/>
                <w:sz w:val="24"/>
                <w:highlight w:val="none"/>
              </w:rPr>
              <w:t>采购代理机构指定的收取招标代理服务费的银行账户：</w:t>
            </w:r>
          </w:p>
          <w:p w14:paraId="02D37DAE">
            <w:pPr>
              <w:autoSpaceDE w:val="0"/>
              <w:autoSpaceDN w:val="0"/>
              <w:spacing w:after="0" w:line="440" w:lineRule="exact"/>
              <w:ind w:left="480" w:leftChars="218"/>
              <w:textAlignment w:val="bottom"/>
              <w:rPr>
                <w:rFonts w:hint="eastAsia" w:ascii="宋体" w:hAnsi="宋体" w:eastAsia="宋体" w:cs="Arial"/>
                <w:color w:val="auto"/>
                <w:sz w:val="24"/>
                <w:highlight w:val="none"/>
              </w:rPr>
            </w:pPr>
            <w:r>
              <w:rPr>
                <w:rFonts w:hint="eastAsia" w:ascii="宋体" w:hAnsi="宋体" w:eastAsia="宋体" w:cs="Courier New"/>
                <w:color w:val="auto"/>
                <w:sz w:val="24"/>
                <w:highlight w:val="none"/>
              </w:rPr>
              <w:t>开户名称：</w:t>
            </w:r>
            <w:r>
              <w:rPr>
                <w:rFonts w:hint="eastAsia" w:ascii="宋体" w:hAnsi="宋体" w:eastAsia="宋体" w:cs="Arial"/>
                <w:color w:val="auto"/>
                <w:sz w:val="24"/>
                <w:highlight w:val="none"/>
              </w:rPr>
              <w:t>广西桂水工程咨询有限公司第一分公司；</w:t>
            </w:r>
          </w:p>
          <w:p w14:paraId="1CE9B899">
            <w:pPr>
              <w:autoSpaceDE w:val="0"/>
              <w:autoSpaceDN w:val="0"/>
              <w:spacing w:after="0" w:line="440" w:lineRule="exact"/>
              <w:ind w:left="480" w:leftChars="218"/>
              <w:textAlignment w:val="bottom"/>
              <w:rPr>
                <w:rFonts w:hint="eastAsia" w:ascii="宋体" w:hAnsi="宋体" w:eastAsia="宋体" w:cs="Arial"/>
                <w:color w:val="auto"/>
                <w:sz w:val="24"/>
                <w:highlight w:val="none"/>
              </w:rPr>
            </w:pPr>
            <w:r>
              <w:rPr>
                <w:rFonts w:hint="eastAsia" w:ascii="宋体" w:hAnsi="宋体" w:eastAsia="宋体" w:cs="Arial"/>
                <w:color w:val="auto"/>
                <w:sz w:val="24"/>
                <w:highlight w:val="none"/>
              </w:rPr>
              <w:t>开户银行：广西北部湾银行股份有限公司南宁市嘉宾支行；</w:t>
            </w:r>
          </w:p>
          <w:p w14:paraId="5D68C8FB">
            <w:pPr>
              <w:autoSpaceDE w:val="0"/>
              <w:autoSpaceDN w:val="0"/>
              <w:spacing w:after="0" w:line="440" w:lineRule="exact"/>
              <w:ind w:left="480" w:leftChars="218"/>
              <w:textAlignment w:val="bottom"/>
              <w:rPr>
                <w:rFonts w:hint="eastAsia" w:ascii="宋体" w:hAnsi="宋体" w:eastAsia="宋体" w:cs="Courier New"/>
                <w:color w:val="auto"/>
                <w:sz w:val="24"/>
                <w:highlight w:val="none"/>
              </w:rPr>
            </w:pPr>
            <w:r>
              <w:rPr>
                <w:rFonts w:hint="eastAsia" w:ascii="宋体" w:hAnsi="宋体" w:eastAsia="宋体" w:cs="Arial"/>
                <w:color w:val="auto"/>
                <w:sz w:val="24"/>
                <w:highlight w:val="none"/>
              </w:rPr>
              <w:t>银行账号：8001 0950 0288 886；</w:t>
            </w:r>
          </w:p>
          <w:p w14:paraId="1747EDDF">
            <w:pPr>
              <w:spacing w:after="0" w:line="440" w:lineRule="exact"/>
              <w:ind w:firstLine="480" w:firstLineChars="200"/>
              <w:rPr>
                <w:rFonts w:asciiTheme="minorEastAsia" w:hAnsiTheme="minorEastAsia" w:eastAsiaTheme="minorEastAsia"/>
                <w:color w:val="auto"/>
                <w:sz w:val="24"/>
                <w:highlight w:val="none"/>
              </w:rPr>
            </w:pPr>
            <w:r>
              <w:rPr>
                <w:rFonts w:hint="eastAsia" w:ascii="宋体" w:hAnsi="宋体" w:eastAsia="宋体" w:cs="Courier New"/>
                <w:color w:val="auto"/>
                <w:sz w:val="24"/>
                <w:highlight w:val="none"/>
              </w:rPr>
              <w:t>□</w:t>
            </w:r>
            <w:r>
              <w:rPr>
                <w:rFonts w:hint="eastAsia" w:ascii="宋体" w:hAnsi="宋体" w:eastAsia="宋体"/>
                <w:color w:val="auto"/>
                <w:sz w:val="24"/>
                <w:highlight w:val="none"/>
              </w:rPr>
              <w:t>招标代理服务费由采购人支付</w:t>
            </w:r>
          </w:p>
        </w:tc>
      </w:tr>
      <w:tr w14:paraId="7AAF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495CF5E2">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w:t>
            </w:r>
          </w:p>
        </w:tc>
        <w:tc>
          <w:tcPr>
            <w:tcW w:w="1291" w:type="dxa"/>
            <w:vAlign w:val="center"/>
          </w:tcPr>
          <w:p w14:paraId="275F5315">
            <w:pPr>
              <w:spacing w:after="0" w:line="44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质疑函接收及联系方式</w:t>
            </w:r>
          </w:p>
        </w:tc>
        <w:tc>
          <w:tcPr>
            <w:tcW w:w="7336" w:type="dxa"/>
            <w:vAlign w:val="center"/>
          </w:tcPr>
          <w:p w14:paraId="78C3F47B">
            <w:pPr>
              <w:spacing w:after="0" w:line="44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接收质疑函的方式</w:t>
            </w:r>
            <w:r>
              <w:rPr>
                <w:rFonts w:hint="eastAsia" w:asciiTheme="minorEastAsia" w:hAnsiTheme="minorEastAsia" w:eastAsiaTheme="minorEastAsia"/>
                <w:color w:val="auto"/>
                <w:sz w:val="24"/>
                <w:highlight w:val="none"/>
              </w:rPr>
              <w:t>：接收供应商或其委托代理人以书面形式递交的质疑函原件，委托</w:t>
            </w:r>
            <w:r>
              <w:rPr>
                <w:rFonts w:asciiTheme="minorEastAsia" w:hAnsiTheme="minorEastAsia" w:eastAsiaTheme="minorEastAsia"/>
                <w:color w:val="auto"/>
                <w:sz w:val="24"/>
                <w:highlight w:val="none"/>
              </w:rPr>
              <w:t>代理人提出质疑</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还</w:t>
            </w:r>
            <w:r>
              <w:rPr>
                <w:rFonts w:asciiTheme="minorEastAsia" w:hAnsiTheme="minorEastAsia" w:eastAsiaTheme="minorEastAsia"/>
                <w:color w:val="auto"/>
                <w:sz w:val="24"/>
                <w:highlight w:val="none"/>
              </w:rPr>
              <w:t>应当提交</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签署的授权委托书</w:t>
            </w:r>
            <w:r>
              <w:rPr>
                <w:rFonts w:hint="eastAsia" w:asciiTheme="minorEastAsia" w:hAnsiTheme="minorEastAsia" w:eastAsiaTheme="minorEastAsia"/>
                <w:color w:val="auto"/>
                <w:sz w:val="24"/>
                <w:highlight w:val="none"/>
              </w:rPr>
              <w:t>。</w:t>
            </w:r>
          </w:p>
          <w:p w14:paraId="66A46C8C">
            <w:pPr>
              <w:spacing w:after="0" w:line="44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联系部门</w:t>
            </w:r>
            <w:r>
              <w:rPr>
                <w:rFonts w:hint="eastAsia" w:asciiTheme="minorEastAsia" w:hAnsiTheme="minorEastAsia" w:eastAsiaTheme="minorEastAsia"/>
                <w:color w:val="auto"/>
                <w:sz w:val="24"/>
                <w:highlight w:val="none"/>
              </w:rPr>
              <w:t>：广西</w:t>
            </w:r>
            <w:r>
              <w:rPr>
                <w:rFonts w:hint="eastAsia" w:asciiTheme="minorEastAsia" w:hAnsiTheme="minorEastAsia" w:eastAsiaTheme="minorEastAsia"/>
                <w:color w:val="auto"/>
                <w:sz w:val="24"/>
                <w:highlight w:val="none"/>
                <w:lang w:eastAsia="zh-CN"/>
              </w:rPr>
              <w:t>桂水</w:t>
            </w:r>
            <w:r>
              <w:rPr>
                <w:rFonts w:hint="eastAsia" w:asciiTheme="minorEastAsia" w:hAnsiTheme="minorEastAsia" w:eastAsiaTheme="minorEastAsia"/>
                <w:color w:val="auto"/>
                <w:sz w:val="24"/>
                <w:highlight w:val="none"/>
              </w:rPr>
              <w:t>工程咨询有限公司</w:t>
            </w:r>
          </w:p>
          <w:p w14:paraId="1978646B">
            <w:pPr>
              <w:spacing w:after="0" w:line="44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rPr>
              <w:t xml:space="preserve">： </w:t>
            </w:r>
            <w:r>
              <w:rPr>
                <w:rFonts w:hint="eastAsia" w:ascii="宋体" w:hAnsi="宋体" w:eastAsia="宋体" w:cs="宋体"/>
                <w:color w:val="auto"/>
                <w:sz w:val="24"/>
                <w:highlight w:val="none"/>
              </w:rPr>
              <w:t>0771-5349283</w:t>
            </w:r>
          </w:p>
          <w:p w14:paraId="0D647E89">
            <w:pPr>
              <w:spacing w:after="0" w:line="44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通讯地址</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stheme="minorEastAsia"/>
                <w:color w:val="auto"/>
                <w:sz w:val="24"/>
                <w:szCs w:val="24"/>
                <w:highlight w:val="none"/>
              </w:rPr>
              <w:t>南宁市青秀区民族大道32号宜尚酒店停车场内</w:t>
            </w:r>
          </w:p>
        </w:tc>
      </w:tr>
      <w:tr w14:paraId="6472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4686CAD5">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w:t>
            </w:r>
          </w:p>
        </w:tc>
        <w:tc>
          <w:tcPr>
            <w:tcW w:w="1291" w:type="dxa"/>
            <w:vAlign w:val="center"/>
          </w:tcPr>
          <w:p w14:paraId="65607DA2">
            <w:pPr>
              <w:spacing w:after="0" w:line="440" w:lineRule="exact"/>
              <w:jc w:val="center"/>
              <w:rPr>
                <w:rFonts w:cs="宋体" w:asciiTheme="minorEastAsia" w:hAnsiTheme="minorEastAsia" w:eastAsiaTheme="minorEastAsia"/>
                <w:color w:val="auto"/>
                <w:sz w:val="24"/>
                <w:highlight w:val="none"/>
              </w:rPr>
            </w:pPr>
          </w:p>
        </w:tc>
        <w:tc>
          <w:tcPr>
            <w:tcW w:w="7336" w:type="dxa"/>
            <w:vAlign w:val="center"/>
          </w:tcPr>
          <w:p w14:paraId="3FB4079C">
            <w:pPr>
              <w:spacing w:after="0" w:line="40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1、本采购文件中描述供应商的“公章”是指根据我国对公章的管理规定，用供应商法定主体行为名称制作的</w:t>
            </w:r>
            <w:r>
              <w:rPr>
                <w:rFonts w:hint="eastAsia" w:ascii="宋体" w:hAnsi="宋体" w:eastAsia="宋体" w:cs="宋体"/>
                <w:b/>
                <w:bCs/>
                <w:color w:val="auto"/>
                <w:sz w:val="24"/>
                <w:highlight w:val="none"/>
              </w:rPr>
              <w:t>印章（含电子印章）</w:t>
            </w:r>
            <w:r>
              <w:rPr>
                <w:rFonts w:hint="eastAsia" w:ascii="宋体" w:hAnsi="宋体" w:eastAsia="宋体" w:cs="宋体"/>
                <w:color w:val="auto"/>
                <w:sz w:val="24"/>
                <w:highlight w:val="none"/>
              </w:rPr>
              <w:t>，除本采购文件有特殊规定外，供应商的财务章、部门章、分公司章、工会章、合同章、投标专用章、业务专用章及银行的转账章、现金收讫章、现金付讫章等其他形式印章均不能代替公章。</w:t>
            </w:r>
          </w:p>
          <w:p w14:paraId="60DC2D06">
            <w:pPr>
              <w:spacing w:after="0" w:line="40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采购文件规定的法定代表人指负责人或者自然人。本采购文件所称负责人是指参加投标的其他组织营业执照或者执业许可证等证照上的负责人，本采购文件所称自然人指参与投标的自然人本人，且应具备独立承担民事责任能力，自然人应当为年满18岁以上成年人（十六周岁以上的未成年人，以自己的劳动收入为主要生活来源的，视为完全民事行为能力人）。</w:t>
            </w:r>
          </w:p>
          <w:p w14:paraId="3F897493">
            <w:pPr>
              <w:spacing w:after="0" w:line="40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3、本采购文件中描述供应商的“签字”是指供应商的法定代表人或者委托代理人在文件规定签署处</w:t>
            </w:r>
            <w:r>
              <w:rPr>
                <w:rFonts w:hint="eastAsia" w:ascii="宋体" w:hAnsi="宋体" w:eastAsia="宋体" w:cs="宋体"/>
                <w:b/>
                <w:bCs/>
                <w:color w:val="auto"/>
                <w:sz w:val="24"/>
                <w:highlight w:val="none"/>
              </w:rPr>
              <w:t>签名（含电子签名）</w:t>
            </w:r>
            <w:r>
              <w:rPr>
                <w:rFonts w:hint="eastAsia" w:ascii="宋体" w:hAnsi="宋体" w:eastAsia="宋体" w:cs="宋体"/>
                <w:color w:val="auto"/>
                <w:sz w:val="24"/>
                <w:highlight w:val="none"/>
              </w:rPr>
              <w:t>的行为，</w:t>
            </w:r>
            <w:r>
              <w:rPr>
                <w:rFonts w:hint="eastAsia" w:ascii="宋体" w:hAnsi="宋体" w:eastAsia="宋体" w:cs="宋体"/>
                <w:b/>
                <w:bCs/>
                <w:color w:val="auto"/>
                <w:sz w:val="24"/>
                <w:highlight w:val="none"/>
              </w:rPr>
              <w:t>私章（含电子私章）</w:t>
            </w:r>
            <w:r>
              <w:rPr>
                <w:rFonts w:hint="eastAsia" w:ascii="宋体" w:hAnsi="宋体" w:eastAsia="宋体" w:cs="宋体"/>
                <w:color w:val="auto"/>
                <w:sz w:val="24"/>
                <w:highlight w:val="none"/>
              </w:rPr>
              <w:t>、印鉴等其他形式均不能代替签字。</w:t>
            </w:r>
          </w:p>
          <w:p w14:paraId="525F4DD5">
            <w:pPr>
              <w:spacing w:after="0" w:line="40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4、自然人投标的，采购文件规定盖公章处由自然人摁手指指印。</w:t>
            </w:r>
          </w:p>
          <w:p w14:paraId="4FF1BE92">
            <w:pPr>
              <w:spacing w:after="0" w:line="40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5、本采购文件所称的“以上”“以下”“以内”“届满”，包括本数；所称的“不满”“超过”“以外”，不包括本数。</w:t>
            </w:r>
          </w:p>
          <w:p w14:paraId="62B596DA">
            <w:pPr>
              <w:spacing w:after="0" w:line="40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6.供应商须知前附表是对供应商须知的具体补充和修改，如有矛盾，应以本前附表为准。</w:t>
            </w:r>
          </w:p>
          <w:p w14:paraId="6ACD939A">
            <w:pPr>
              <w:spacing w:after="0" w:line="440" w:lineRule="exact"/>
              <w:ind w:firstLine="480" w:firstLineChars="200"/>
              <w:rPr>
                <w:rFonts w:cs="宋体" w:asciiTheme="minorEastAsia" w:hAnsiTheme="minorEastAsia" w:eastAsiaTheme="minorEastAsia"/>
                <w:color w:val="auto"/>
                <w:sz w:val="24"/>
                <w:highlight w:val="none"/>
              </w:rPr>
            </w:pPr>
            <w:r>
              <w:rPr>
                <w:rFonts w:hint="eastAsia" w:ascii="宋体" w:hAnsi="宋体" w:eastAsia="宋体" w:cs="宋体"/>
                <w:color w:val="auto"/>
                <w:sz w:val="24"/>
                <w:highlight w:val="none"/>
              </w:rPr>
              <w:t>7.本采购文件是根据国家有关法律及有关政策、法规编制，解释权属采购代理机构。</w:t>
            </w:r>
          </w:p>
        </w:tc>
      </w:tr>
      <w:tr w14:paraId="5451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7C116495">
            <w:pPr>
              <w:spacing w:after="0" w:line="440" w:lineRule="exact"/>
              <w:ind w:firstLine="240" w:firstLineChars="100"/>
              <w:jc w:val="both"/>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w:t>
            </w:r>
          </w:p>
        </w:tc>
        <w:tc>
          <w:tcPr>
            <w:tcW w:w="1291" w:type="dxa"/>
            <w:vAlign w:val="center"/>
          </w:tcPr>
          <w:p w14:paraId="23A54361">
            <w:pPr>
              <w:spacing w:after="0" w:line="440" w:lineRule="exact"/>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信用信息查询渠道、截止时间、查询记录和证据留存方式</w:t>
            </w:r>
          </w:p>
        </w:tc>
        <w:tc>
          <w:tcPr>
            <w:tcW w:w="7336" w:type="dxa"/>
            <w:vAlign w:val="center"/>
          </w:tcPr>
          <w:p w14:paraId="059068A4">
            <w:pPr>
              <w:spacing w:after="0" w:line="440" w:lineRule="exact"/>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递交响应文件截止时间后，由采购人或采购代理机构对供应商进行信用信息查询，具体规定如下：</w:t>
            </w:r>
          </w:p>
          <w:p w14:paraId="082C248B">
            <w:pPr>
              <w:spacing w:after="0" w:line="440" w:lineRule="exact"/>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查询渠道：“</w:t>
            </w:r>
            <w:r>
              <w:rPr>
                <w:rFonts w:cs="仿宋" w:asciiTheme="minorEastAsia" w:hAnsiTheme="minorEastAsia" w:eastAsiaTheme="minorEastAsia"/>
                <w:color w:val="auto"/>
                <w:sz w:val="24"/>
                <w:highlight w:val="none"/>
              </w:rPr>
              <w:t>信用中国</w:t>
            </w:r>
            <w:r>
              <w:rPr>
                <w:rFonts w:hint="eastAsia" w:cs="仿宋" w:asciiTheme="minorEastAsia" w:hAnsiTheme="minorEastAsia" w:eastAsiaTheme="minorEastAsia"/>
                <w:color w:val="auto"/>
                <w:sz w:val="24"/>
                <w:highlight w:val="none"/>
              </w:rPr>
              <w:t>”</w:t>
            </w:r>
            <w:r>
              <w:rPr>
                <w:rFonts w:cs="仿宋" w:asciiTheme="minorEastAsia" w:hAnsiTheme="minorEastAsia" w:eastAsiaTheme="minorEastAsia"/>
                <w:color w:val="auto"/>
                <w:sz w:val="24"/>
                <w:highlight w:val="none"/>
              </w:rPr>
              <w:t>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cs="仿宋" w:asciiTheme="minorEastAsia" w:hAnsiTheme="minorEastAsia" w:eastAsiaTheme="minorEastAsia"/>
                <w:color w:val="auto"/>
                <w:sz w:val="24"/>
                <w:highlight w:val="none"/>
              </w:rPr>
              <w:t>www.ccgp.gov.cn</w:t>
            </w:r>
            <w:r>
              <w:rPr>
                <w:rFonts w:cs="仿宋" w:asciiTheme="minorEastAsia" w:hAnsiTheme="minorEastAsia" w:eastAsiaTheme="minorEastAsia"/>
                <w:color w:val="auto"/>
                <w:sz w:val="24"/>
                <w:highlight w:val="none"/>
              </w:rPr>
              <w:fldChar w:fldCharType="end"/>
            </w:r>
            <w:r>
              <w:rPr>
                <w:rFonts w:cs="仿宋" w:asciiTheme="minorEastAsia" w:hAnsiTheme="minorEastAsia" w:eastAsiaTheme="minorEastAsia"/>
                <w:color w:val="auto"/>
                <w:sz w:val="24"/>
                <w:highlight w:val="none"/>
              </w:rPr>
              <w:t>)</w:t>
            </w:r>
            <w:r>
              <w:rPr>
                <w:rFonts w:hint="eastAsia" w:cs="仿宋" w:asciiTheme="minorEastAsia" w:hAnsiTheme="minorEastAsia" w:eastAsiaTheme="minorEastAsia"/>
                <w:color w:val="auto"/>
                <w:sz w:val="24"/>
                <w:highlight w:val="none"/>
              </w:rPr>
              <w:t>等。</w:t>
            </w:r>
          </w:p>
          <w:p w14:paraId="56C4C4B6">
            <w:pPr>
              <w:spacing w:after="0" w:line="440" w:lineRule="exact"/>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cs="仿宋" w:asciiTheme="minorEastAsia" w:hAnsiTheme="minorEastAsia" w:eastAsiaTheme="minorEastAsia"/>
                <w:color w:val="auto"/>
                <w:sz w:val="24"/>
                <w:highlight w:val="none"/>
              </w:rPr>
              <w:t>信用中国</w:t>
            </w:r>
            <w:r>
              <w:rPr>
                <w:rFonts w:hint="eastAsia" w:cs="仿宋" w:asciiTheme="minorEastAsia" w:hAnsiTheme="minorEastAsia" w:eastAsiaTheme="minorEastAsia"/>
                <w:color w:val="auto"/>
                <w:sz w:val="24"/>
                <w:highlight w:val="none"/>
              </w:rPr>
              <w:t>”</w:t>
            </w:r>
            <w:r>
              <w:rPr>
                <w:rFonts w:cs="仿宋" w:asciiTheme="minorEastAsia" w:hAnsiTheme="minorEastAsia" w:eastAsiaTheme="minorEastAsia"/>
                <w:color w:val="auto"/>
                <w:sz w:val="24"/>
                <w:highlight w:val="none"/>
              </w:rPr>
              <w:t>网站</w:t>
            </w:r>
            <w:r>
              <w:rPr>
                <w:rFonts w:hint="eastAsia" w:cs="仿宋" w:asciiTheme="minorEastAsia" w:hAnsiTheme="minorEastAsia" w:eastAsiaTheme="minorEastAsia"/>
                <w:color w:val="auto"/>
                <w:sz w:val="24"/>
                <w:highlight w:val="none"/>
              </w:rPr>
              <w:t>查询内容：失信被执行人、重大税收违法案件当事人名单、政府采购严重违法失信行为记录名单</w:t>
            </w:r>
            <w:r>
              <w:rPr>
                <w:rFonts w:cs="仿宋" w:asciiTheme="minorEastAsia" w:hAnsiTheme="minorEastAsia" w:eastAsiaTheme="minorEastAsia"/>
                <w:color w:val="auto"/>
                <w:sz w:val="24"/>
                <w:highlight w:val="none"/>
              </w:rPr>
              <w:t>查询结果或界面截图</w:t>
            </w:r>
            <w:r>
              <w:rPr>
                <w:rFonts w:hint="eastAsia" w:cs="仿宋" w:asciiTheme="minorEastAsia" w:hAnsiTheme="minorEastAsia" w:eastAsiaTheme="minorEastAsia"/>
                <w:color w:val="auto"/>
                <w:sz w:val="24"/>
                <w:highlight w:val="none"/>
              </w:rPr>
              <w:t>；查询或打印截止时点：公告之日起至递交响应文件截止时间前。</w:t>
            </w:r>
          </w:p>
          <w:p w14:paraId="653E5043">
            <w:pPr>
              <w:spacing w:after="0" w:line="440" w:lineRule="exact"/>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w:t>
            </w:r>
            <w:r>
              <w:rPr>
                <w:rFonts w:cs="仿宋" w:asciiTheme="minorEastAsia" w:hAnsiTheme="minorEastAsia" w:eastAsiaTheme="minorEastAsia"/>
                <w:color w:val="auto"/>
                <w:sz w:val="24"/>
                <w:highlight w:val="none"/>
              </w:rPr>
              <w:t>中国政府采购网</w:t>
            </w:r>
            <w:r>
              <w:rPr>
                <w:rFonts w:hint="eastAsia" w:cs="仿宋" w:asciiTheme="minorEastAsia" w:hAnsiTheme="minorEastAsia" w:eastAsiaTheme="minorEastAsia"/>
                <w:color w:val="auto"/>
                <w:sz w:val="24"/>
                <w:highlight w:val="none"/>
              </w:rPr>
              <w:t>”</w:t>
            </w:r>
            <w:r>
              <w:rPr>
                <w:rFonts w:cs="仿宋" w:asciiTheme="minorEastAsia" w:hAnsiTheme="minorEastAsia" w:eastAsiaTheme="minorEastAsia"/>
                <w:color w:val="auto"/>
                <w:sz w:val="24"/>
                <w:highlight w:val="none"/>
              </w:rPr>
              <w:t>的查询内容：政府采购严重违法失信行为信息记录；查询时间：</w:t>
            </w:r>
            <w:r>
              <w:rPr>
                <w:rFonts w:hint="eastAsia" w:cs="仿宋" w:asciiTheme="minorEastAsia" w:hAnsiTheme="minorEastAsia" w:eastAsiaTheme="minorEastAsia"/>
                <w:color w:val="auto"/>
                <w:sz w:val="24"/>
                <w:highlight w:val="none"/>
              </w:rPr>
              <w:t>递交响应文件截止时间前</w:t>
            </w:r>
            <w:r>
              <w:rPr>
                <w:rFonts w:cs="仿宋" w:asciiTheme="minorEastAsia" w:hAnsiTheme="minorEastAsia" w:eastAsiaTheme="minorEastAsia"/>
                <w:color w:val="auto"/>
                <w:sz w:val="24"/>
                <w:highlight w:val="none"/>
              </w:rPr>
              <w:t>三年</w:t>
            </w:r>
            <w:r>
              <w:rPr>
                <w:rFonts w:hint="eastAsia" w:cs="仿宋" w:asciiTheme="minorEastAsia" w:hAnsiTheme="minorEastAsia" w:eastAsiaTheme="minorEastAsia"/>
                <w:color w:val="auto"/>
                <w:sz w:val="24"/>
                <w:highlight w:val="none"/>
              </w:rPr>
              <w:t>内</w:t>
            </w:r>
            <w:r>
              <w:rPr>
                <w:rFonts w:cs="仿宋" w:asciiTheme="minorEastAsia" w:hAnsiTheme="minorEastAsia" w:eastAsiaTheme="minorEastAsia"/>
                <w:color w:val="auto"/>
                <w:sz w:val="24"/>
                <w:highlight w:val="none"/>
              </w:rPr>
              <w:t>。</w:t>
            </w:r>
          </w:p>
          <w:p w14:paraId="2D6A99CF">
            <w:pPr>
              <w:spacing w:after="0" w:line="440" w:lineRule="exact"/>
              <w:ind w:firstLine="480" w:firstLineChars="200"/>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查询记录和证据留存方式：在查询网站中直接打印查询记录，打印材料作为评审资料保存。</w:t>
            </w:r>
          </w:p>
          <w:p w14:paraId="2C8E88CD">
            <w:pPr>
              <w:spacing w:after="0" w:line="440" w:lineRule="exact"/>
              <w:ind w:firstLine="480" w:firstLineChars="200"/>
              <w:jc w:val="both"/>
              <w:rPr>
                <w:rFonts w:cs="宋体"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信用信息使用规则：对在“</w:t>
            </w:r>
            <w:r>
              <w:rPr>
                <w:rFonts w:cs="仿宋" w:asciiTheme="minorEastAsia" w:hAnsiTheme="minorEastAsia" w:eastAsiaTheme="minorEastAsia"/>
                <w:color w:val="auto"/>
                <w:sz w:val="24"/>
                <w:highlight w:val="none"/>
              </w:rPr>
              <w:t>信用中国</w:t>
            </w:r>
            <w:r>
              <w:rPr>
                <w:rFonts w:hint="eastAsia" w:cs="仿宋" w:asciiTheme="minorEastAsia" w:hAnsiTheme="minorEastAsia" w:eastAsiaTheme="minorEastAsia"/>
                <w:color w:val="auto"/>
                <w:sz w:val="24"/>
                <w:highlight w:val="none"/>
              </w:rPr>
              <w:t>”</w:t>
            </w:r>
            <w:r>
              <w:rPr>
                <w:rFonts w:cs="仿宋" w:asciiTheme="minorEastAsia" w:hAnsiTheme="minorEastAsia" w:eastAsiaTheme="minorEastAsia"/>
                <w:color w:val="auto"/>
                <w:sz w:val="24"/>
                <w:highlight w:val="none"/>
              </w:rPr>
              <w:t>网站(www.creditchina.gov.cn)、中国政府采购网(www.ccgp.gov.cn)等渠道</w:t>
            </w:r>
            <w:r>
              <w:rPr>
                <w:rFonts w:hint="eastAsia" w:cs="仿宋" w:asciiTheme="minorEastAsia" w:hAnsiTheme="minorEastAsia" w:eastAsiaTheme="minorEastAsia"/>
                <w:color w:val="auto"/>
                <w:sz w:val="24"/>
                <w:highlight w:val="none"/>
              </w:rPr>
              <w:t>列入失信被执行人、重大税收违法案件当事人名单、政府采购严重违法失信行为记录名单及其他不符合《中华人民共和国政府采购法》第二十二条规定条件的供应商，资格审查不通过，不得参与政府采购活动。</w:t>
            </w:r>
            <w:r>
              <w:rPr>
                <w:rFonts w:cs="仿宋" w:asciiTheme="minorEastAsia" w:hAnsiTheme="minorEastAsia" w:eastAsiaTheme="minorEastAsia"/>
                <w:color w:val="auto"/>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FEF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vAlign w:val="center"/>
          </w:tcPr>
          <w:p w14:paraId="7454995C">
            <w:pPr>
              <w:spacing w:after="0" w:line="440" w:lineRule="exact"/>
              <w:ind w:firstLine="240" w:firstLineChars="100"/>
              <w:jc w:val="both"/>
              <w:rPr>
                <w:rFonts w:cs="宋体" w:asciiTheme="minorEastAsia" w:hAnsiTheme="minorEastAsia" w:eastAsiaTheme="minorEastAsia"/>
                <w:color w:val="auto"/>
                <w:sz w:val="24"/>
                <w:highlight w:val="none"/>
              </w:rPr>
            </w:pPr>
            <w:bookmarkStart w:id="40" w:name="_Toc246095454"/>
            <w:bookmarkStart w:id="41" w:name="_Toc246095516"/>
            <w:bookmarkStart w:id="42" w:name="_Toc246094910"/>
            <w:r>
              <w:rPr>
                <w:rFonts w:hint="eastAsia" w:cs="宋体" w:asciiTheme="minorEastAsia" w:hAnsiTheme="minorEastAsia" w:eastAsiaTheme="minorEastAsia"/>
                <w:color w:val="auto"/>
                <w:sz w:val="24"/>
                <w:highlight w:val="none"/>
              </w:rPr>
              <w:t>37</w:t>
            </w:r>
          </w:p>
        </w:tc>
        <w:tc>
          <w:tcPr>
            <w:tcW w:w="1291" w:type="dxa"/>
            <w:vAlign w:val="center"/>
          </w:tcPr>
          <w:p w14:paraId="6BA94BEC">
            <w:pPr>
              <w:widowControl w:val="0"/>
              <w:adjustRightInd/>
              <w:snapToGrid/>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在线竞标响应（电子竞标）说明</w:t>
            </w:r>
          </w:p>
          <w:p w14:paraId="39EE8746">
            <w:pPr>
              <w:spacing w:after="0" w:line="440" w:lineRule="exact"/>
              <w:jc w:val="center"/>
              <w:rPr>
                <w:rFonts w:cs="宋体" w:asciiTheme="minorEastAsia" w:hAnsiTheme="minorEastAsia" w:eastAsiaTheme="minorEastAsia"/>
                <w:color w:val="auto"/>
                <w:sz w:val="24"/>
                <w:highlight w:val="none"/>
              </w:rPr>
            </w:pPr>
          </w:p>
        </w:tc>
        <w:tc>
          <w:tcPr>
            <w:tcW w:w="7336" w:type="dxa"/>
            <w:vAlign w:val="center"/>
          </w:tcPr>
          <w:p w14:paraId="6C93063B">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广西政府采购云平台实行在线竞标响应（电子竞标），供应商需要登陆“广西政府采购云平台电子交易客户端”，并按照本竞争性谈判文件和广西政府采购云平台的要求，通过“广西政府采购云平台电子交易客户端”编制并加密响应文件。供应商未按规定编制并加密的响应文件，广西政府采购云平台将予以拒收。通过广西政府采购云平台参与在线竞标时如遇平台技术问题详询95763。</w:t>
            </w:r>
          </w:p>
          <w:p w14:paraId="574B391E">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为确保网上操作合法、有效和安全，供应商应当在响应文件递交截止时间前完成在“广西政府采购云平台”的身份认证，确保在电子竞标过程中能够对相关数据电文进行加密和使用电子签章。使用“广西政府采购云平台电子交易客户端”需要提前申领CA数字证书；</w:t>
            </w:r>
          </w:p>
          <w:p w14:paraId="564474C3">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008B9D8F">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（4）响应文件提交截止时间后，代理机构向各供应商发出电子加密响应文件【开始解密】通知，代理机构发起解密通知后 30 分钟内，响应文件提交截止时间前已将生成的“电子加密响应文件”上传递交至广西政府采购云平台的供应商，必须在此时间段内登录广西政府采购云平台，用“项目采购-开标评标”功能完成电子响应文件的解密。供应商响应文件提交截止前通过“广西政府采购云平台”上传递交的“电子加密响应文件”无法正常解密的，请及时联系代理机构，代理机构与项目归属监督部门备案后告知供应商通过邮件传输递交电子备份文件，通过邮件传输递交电子备份文件也必须在发起解密通知后 30 分钟内完成，逾期未完成传输的，拒收其响应文件。</w:t>
            </w:r>
          </w:p>
          <w:p w14:paraId="7DC1C3BC">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请各供应商在获取采购文件时，认真填写供应商名称、联系人、联系电话等相关信息。项目开标当天联系人要保持电话畅通，如因供应商自身原因导致无法响应文件无法正常解密、电子备份文件未能在规定的时间内传输递交、无法正常谈判（竞标）等，后果由供应商自行承担。</w:t>
            </w:r>
          </w:p>
          <w:p w14:paraId="746DB79B">
            <w:pPr>
              <w:widowControl w:val="0"/>
              <w:adjustRightInd/>
              <w:snapToGrid/>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（6）本项目为全流程电子标项目，无需供应商来开标现场递交响应文件，供应商授权委托代理人可以不用到开标现场参加开标（截标）会。</w:t>
            </w:r>
          </w:p>
          <w:p w14:paraId="52A8A8AA">
            <w:pPr>
              <w:widowControl w:val="0"/>
              <w:adjustRightInd/>
              <w:snapToGrid/>
              <w:spacing w:after="0" w:line="360" w:lineRule="auto"/>
              <w:ind w:firstLine="480" w:firstLineChars="200"/>
              <w:rPr>
                <w:rFonts w:cs="仿宋"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注：能够出现异常解密、递交电子备份文件的前提，是供应商已上传了标书且未能按时正常解密标书；系统生成标书时，生成两份，一个是竞标用的标书，一个是备份标书；提供的备份标书要跟上传的电子标书是同一份，否则系统也不支持进行异常解密。</w:t>
            </w:r>
          </w:p>
        </w:tc>
      </w:tr>
    </w:tbl>
    <w:p w14:paraId="17831373">
      <w:pPr>
        <w:pStyle w:val="3"/>
        <w:spacing w:before="240" w:beforeLines="100"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bookmarkStart w:id="43" w:name="_Toc7192544"/>
      <w:r>
        <w:rPr>
          <w:rFonts w:hint="eastAsia" w:asciiTheme="minorEastAsia" w:hAnsiTheme="minorEastAsia" w:eastAsiaTheme="minorEastAsia"/>
          <w:color w:val="auto"/>
          <w:highlight w:val="none"/>
        </w:rPr>
        <w:t>一、总则</w:t>
      </w:r>
      <w:bookmarkEnd w:id="40"/>
      <w:bookmarkEnd w:id="41"/>
      <w:bookmarkEnd w:id="42"/>
      <w:bookmarkEnd w:id="43"/>
    </w:p>
    <w:p w14:paraId="68387C5C">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l. 项目概况</w:t>
      </w:r>
    </w:p>
    <w:p w14:paraId="6257BEC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1.1适用范围：本文件仅适用于本文件中所叙述的服务类政府采购项目。</w:t>
      </w:r>
    </w:p>
    <w:p w14:paraId="3BAC6670">
      <w:pPr>
        <w:spacing w:after="0"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  采购人：见供应商须知前附表。</w:t>
      </w:r>
    </w:p>
    <w:p w14:paraId="162E3831">
      <w:pPr>
        <w:spacing w:after="0"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  采购代理机构：见供应商须知前附表。</w:t>
      </w:r>
    </w:p>
    <w:p w14:paraId="530DFC1C">
      <w:pPr>
        <w:spacing w:after="0"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1.4  项目名称：</w:t>
      </w:r>
      <w:r>
        <w:rPr>
          <w:rFonts w:hint="eastAsia" w:asciiTheme="minorEastAsia" w:hAnsiTheme="minorEastAsia" w:eastAsiaTheme="minorEastAsia"/>
          <w:bCs/>
          <w:color w:val="auto"/>
          <w:sz w:val="24"/>
          <w:highlight w:val="none"/>
        </w:rPr>
        <w:t>见供应商须知前附表。</w:t>
      </w:r>
    </w:p>
    <w:p w14:paraId="1D142078">
      <w:pPr>
        <w:spacing w:after="0"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color w:val="auto"/>
          <w:sz w:val="24"/>
          <w:highlight w:val="none"/>
        </w:rPr>
        <w:t>1.5  项目编号：</w:t>
      </w:r>
      <w:r>
        <w:rPr>
          <w:rFonts w:hint="eastAsia" w:asciiTheme="minorEastAsia" w:hAnsiTheme="minorEastAsia" w:eastAsiaTheme="minorEastAsia"/>
          <w:bCs/>
          <w:color w:val="auto"/>
          <w:sz w:val="24"/>
          <w:highlight w:val="none"/>
        </w:rPr>
        <w:t>见供应商须知前附表。</w:t>
      </w:r>
    </w:p>
    <w:p w14:paraId="6EE466BB">
      <w:pPr>
        <w:spacing w:after="0"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1.6  采购预算：见供应商须知前附表。</w:t>
      </w:r>
    </w:p>
    <w:p w14:paraId="7C6BE13A">
      <w:pPr>
        <w:spacing w:after="0"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1.7  资金来源：见供应商须知前附表。</w:t>
      </w:r>
    </w:p>
    <w:p w14:paraId="37E7FCE5">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2.定义</w:t>
      </w:r>
    </w:p>
    <w:p w14:paraId="58364DA0">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2.1 “采购人"是指依法进行政府采购的国家机关、事业单位、团体组织。</w:t>
      </w:r>
    </w:p>
    <w:p w14:paraId="30E9F6A8">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2.2 “采购代理机构”是指依法设立、从事采购代理业务并提供相关服务的社会中介机构。</w:t>
      </w:r>
    </w:p>
    <w:p w14:paraId="2F9DBF35">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2.3 “供应商”是指响应本文件要求，参加谈判的法人、其他组织或者自然人。如果该供应商在本次谈判中成交，即成为"成交供应商"。法人包括企业法人、机关法人、事业单位法人和社会团体法人。其他组织包括合伙企业、非企业专业服务机构、个体工商户、农村承包经营户及国家有关法律法规规定的组织。自然人是指中国公民。</w:t>
      </w:r>
    </w:p>
    <w:p w14:paraId="0A6E6677">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2.4“货物”是指各种形态和种类的物品，包括原材料、燃料、设备、产品等。</w:t>
      </w:r>
    </w:p>
    <w:p w14:paraId="65AD1680">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w:t>
      </w:r>
      <w:r>
        <w:rPr>
          <w:rFonts w:cs="Arial" w:asciiTheme="minorEastAsia" w:hAnsiTheme="minorEastAsia" w:eastAsiaTheme="minorEastAsia"/>
          <w:color w:val="auto"/>
          <w:sz w:val="24"/>
          <w:highlight w:val="none"/>
        </w:rPr>
        <w:t>5</w:t>
      </w:r>
      <w:r>
        <w:rPr>
          <w:rFonts w:hint="eastAsia" w:cs="Arial" w:asciiTheme="minorEastAsia" w:hAnsiTheme="minorEastAsia" w:eastAsiaTheme="minorEastAsia"/>
          <w:color w:val="auto"/>
          <w:sz w:val="24"/>
          <w:highlight w:val="none"/>
        </w:rPr>
        <w:t>“服务”系指除货物和工程以外的其他政府采购对象。</w:t>
      </w:r>
    </w:p>
    <w:p w14:paraId="4E7CFB87">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w:t>
      </w:r>
      <w:r>
        <w:rPr>
          <w:rFonts w:cs="Arial" w:asciiTheme="minorEastAsia" w:hAnsiTheme="minorEastAsia" w:eastAsiaTheme="minorEastAsia"/>
          <w:color w:val="auto"/>
          <w:sz w:val="24"/>
          <w:highlight w:val="none"/>
        </w:rPr>
        <w:t>6</w:t>
      </w:r>
      <w:r>
        <w:rPr>
          <w:rFonts w:hint="eastAsia" w:cs="Arial" w:asciiTheme="minorEastAsia" w:hAnsiTheme="minorEastAsia" w:eastAsiaTheme="minorEastAsia"/>
          <w:color w:val="auto"/>
          <w:sz w:val="24"/>
          <w:highlight w:val="none"/>
        </w:rPr>
        <w:t>“响应文件”是指供应商根据本文件要求，编制包含报价、技术和服务等所有内容的文件。</w:t>
      </w:r>
    </w:p>
    <w:p w14:paraId="499FF7AC">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2.7</w:t>
      </w:r>
      <w:r>
        <w:rPr>
          <w:rFonts w:hint="eastAsia" w:ascii="宋体" w:hAnsi="宋体" w:eastAsia="宋体" w:cs="宋体"/>
          <w:color w:val="auto"/>
          <w:sz w:val="24"/>
          <w:szCs w:val="24"/>
          <w:highlight w:val="none"/>
        </w:rPr>
        <w:t>“书面形式”如无特殊规定，“书面形式” 是指合同书、信件和数据电文(包括电报、电传、传真、电子数据交换和电子邮件)等可以有形地表现所载内容的形式。采购文件如有特殊规定，以采购文件规定为准。</w:t>
      </w:r>
    </w:p>
    <w:p w14:paraId="57D27D53">
      <w:pPr>
        <w:spacing w:after="0" w:line="400" w:lineRule="exact"/>
        <w:ind w:firstLine="480" w:firstLineChars="200"/>
        <w:rPr>
          <w:rFonts w:cs="Arial" w:asciiTheme="minorEastAsia" w:hAnsiTheme="minorEastAsia" w:eastAsiaTheme="minorEastAsia"/>
          <w:color w:val="auto"/>
          <w:sz w:val="24"/>
          <w:highlight w:val="none"/>
        </w:rPr>
      </w:pPr>
      <w:r>
        <w:rPr>
          <w:rFonts w:cs="Arial" w:asciiTheme="minorEastAsia" w:hAnsiTheme="minorEastAsia" w:eastAsiaTheme="minorEastAsia"/>
          <w:color w:val="auto"/>
          <w:sz w:val="24"/>
          <w:highlight w:val="none"/>
        </w:rPr>
        <w:t>2.8</w:t>
      </w:r>
      <w:r>
        <w:rPr>
          <w:rFonts w:hint="eastAsia" w:cs="Arial" w:asciiTheme="minorEastAsia" w:hAnsiTheme="minorEastAsia" w:eastAsiaTheme="minorEastAsia"/>
          <w:color w:val="auto"/>
          <w:sz w:val="24"/>
          <w:highlight w:val="none"/>
        </w:rPr>
        <w:t>本文件中的“法定代表人”若法律法规无特别规定，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ADF7D4F">
      <w:pPr>
        <w:spacing w:after="0" w:line="440" w:lineRule="exact"/>
        <w:ind w:firstLine="484" w:firstLineChars="2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“实质性要求”是指</w:t>
      </w:r>
      <w:r>
        <w:rPr>
          <w:rFonts w:hint="eastAsia" w:ascii="宋体" w:hAnsi="宋体" w:eastAsia="宋体" w:cs="宋体"/>
          <w:b/>
          <w:bCs/>
          <w:color w:val="auto"/>
          <w:sz w:val="24"/>
          <w:szCs w:val="24"/>
          <w:highlight w:val="none"/>
          <w:lang w:eastAsia="zh-CN"/>
        </w:rPr>
        <w:t>竞争性谈判文件</w:t>
      </w:r>
      <w:r>
        <w:rPr>
          <w:rFonts w:hint="eastAsia" w:ascii="宋体" w:hAnsi="宋体" w:eastAsia="宋体" w:cs="宋体"/>
          <w:b/>
          <w:bCs/>
          <w:color w:val="auto"/>
          <w:sz w:val="24"/>
          <w:szCs w:val="24"/>
          <w:highlight w:val="none"/>
        </w:rPr>
        <w:t>中已经指明不满足则</w:t>
      </w:r>
      <w:r>
        <w:rPr>
          <w:rFonts w:hint="eastAsia" w:ascii="宋体" w:hAnsi="宋体" w:eastAsia="宋体" w:cs="宋体"/>
          <w:b/>
          <w:bCs/>
          <w:color w:val="auto"/>
          <w:sz w:val="24"/>
          <w:szCs w:val="24"/>
          <w:highlight w:val="none"/>
          <w:lang w:val="en-US" w:eastAsia="zh-CN"/>
        </w:rPr>
        <w:t>竞标</w:t>
      </w:r>
      <w:r>
        <w:rPr>
          <w:rFonts w:hint="eastAsia" w:ascii="宋体" w:hAnsi="宋体" w:eastAsia="宋体" w:cs="宋体"/>
          <w:b/>
          <w:bCs/>
          <w:color w:val="auto"/>
          <w:sz w:val="24"/>
          <w:szCs w:val="24"/>
          <w:highlight w:val="none"/>
        </w:rPr>
        <w:t>无效的条款，或者响应文件按无效处理的条款，或者不能负偏离的条款，或者采购需求中带“▲”的条款。</w:t>
      </w:r>
    </w:p>
    <w:p w14:paraId="30AA065C">
      <w:pPr>
        <w:spacing w:after="0" w:line="440" w:lineRule="exact"/>
        <w:ind w:firstLine="484" w:firstLineChars="2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2.10</w:t>
      </w:r>
      <w:r>
        <w:rPr>
          <w:rFonts w:hint="eastAsia" w:ascii="宋体" w:hAnsi="宋体" w:eastAsia="宋体" w:cs="宋体"/>
          <w:b/>
          <w:bCs/>
          <w:color w:val="auto"/>
          <w:sz w:val="24"/>
          <w:szCs w:val="24"/>
          <w:highlight w:val="none"/>
        </w:rPr>
        <w:t>“正偏离”，是指响应文件对</w:t>
      </w:r>
      <w:r>
        <w:rPr>
          <w:rFonts w:hint="eastAsia" w:ascii="宋体" w:hAnsi="宋体" w:eastAsia="宋体" w:cs="宋体"/>
          <w:b/>
          <w:bCs/>
          <w:color w:val="auto"/>
          <w:sz w:val="24"/>
          <w:szCs w:val="24"/>
          <w:highlight w:val="none"/>
          <w:lang w:eastAsia="zh-CN"/>
        </w:rPr>
        <w:t>竞争性谈判文件</w:t>
      </w:r>
      <w:r>
        <w:rPr>
          <w:rFonts w:hint="eastAsia" w:ascii="宋体" w:hAnsi="宋体" w:eastAsia="宋体" w:cs="宋体"/>
          <w:b/>
          <w:bCs/>
          <w:color w:val="auto"/>
          <w:sz w:val="24"/>
          <w:szCs w:val="24"/>
          <w:highlight w:val="none"/>
        </w:rPr>
        <w:t>“采购需求”中有关条款作出的响应优于条款要求并有利于采购人的情形。</w:t>
      </w:r>
    </w:p>
    <w:p w14:paraId="1DB9F49B">
      <w:pPr>
        <w:spacing w:after="0" w:line="440" w:lineRule="exact"/>
        <w:ind w:firstLine="484" w:firstLineChars="2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2.11</w:t>
      </w:r>
      <w:r>
        <w:rPr>
          <w:rFonts w:hint="eastAsia" w:ascii="宋体" w:hAnsi="宋体" w:eastAsia="宋体" w:cs="宋体"/>
          <w:b/>
          <w:bCs/>
          <w:color w:val="auto"/>
          <w:sz w:val="24"/>
          <w:szCs w:val="24"/>
          <w:highlight w:val="none"/>
        </w:rPr>
        <w:t>“负偏离”，是指响应文件对</w:t>
      </w:r>
      <w:r>
        <w:rPr>
          <w:rFonts w:hint="eastAsia" w:ascii="宋体" w:hAnsi="宋体" w:eastAsia="宋体" w:cs="宋体"/>
          <w:b/>
          <w:bCs/>
          <w:color w:val="auto"/>
          <w:sz w:val="24"/>
          <w:szCs w:val="24"/>
          <w:highlight w:val="none"/>
          <w:lang w:eastAsia="zh-CN"/>
        </w:rPr>
        <w:t>竞争性谈判文件</w:t>
      </w:r>
      <w:r>
        <w:rPr>
          <w:rFonts w:hint="eastAsia" w:ascii="宋体" w:hAnsi="宋体" w:eastAsia="宋体" w:cs="宋体"/>
          <w:b/>
          <w:bCs/>
          <w:color w:val="auto"/>
          <w:sz w:val="24"/>
          <w:szCs w:val="24"/>
          <w:highlight w:val="none"/>
        </w:rPr>
        <w:t>“采购需求”中有关条款作出的响应不满足条款要求，导致采购人要求不能得到满足的情形。</w:t>
      </w:r>
    </w:p>
    <w:p w14:paraId="05728779">
      <w:pPr>
        <w:spacing w:after="0" w:line="440" w:lineRule="exact"/>
        <w:ind w:firstLine="484" w:firstLineChars="2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2.12</w:t>
      </w:r>
      <w:r>
        <w:rPr>
          <w:rFonts w:hint="eastAsia" w:ascii="宋体" w:hAnsi="宋体" w:eastAsia="宋体" w:cs="宋体"/>
          <w:b/>
          <w:bCs/>
          <w:color w:val="auto"/>
          <w:sz w:val="24"/>
          <w:szCs w:val="24"/>
          <w:highlight w:val="none"/>
        </w:rPr>
        <w:t>“允许负偏离的条款”是指采购需求中的不属于“实质性要求”的条款。</w:t>
      </w:r>
    </w:p>
    <w:p w14:paraId="454065A8">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供应商资格条件</w:t>
      </w:r>
    </w:p>
    <w:p w14:paraId="0491CB5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 基本资格条件：见“供应商须知前附表”规定。</w:t>
      </w:r>
    </w:p>
    <w:p w14:paraId="0D29536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 供应商的特定要求：见“供应商须知前附表”规定。</w:t>
      </w:r>
    </w:p>
    <w:p w14:paraId="784B36D8">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3.3 存在下列情形之一的供应商不得参加资格性审查： </w:t>
      </w:r>
    </w:p>
    <w:p w14:paraId="3AFD2578">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单位负责人为同一人或者存在直接控股、管理关系的不同供应商，不得参加本项目同一合同项下的政府采购活动。为本项目提供整体设计、规范编制或者项目管理、监理、检测等服务的供应商，不得再参加本项目的采购活动。 </w:t>
      </w:r>
    </w:p>
    <w:p w14:paraId="6B780A54">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（2）在财政部门禁止参加政府采购活动期限以内的。</w:t>
      </w:r>
    </w:p>
    <w:p w14:paraId="5E75DC76">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3.4 按本项目采购公告规定方式获得竞争性谈判文件。 </w:t>
      </w:r>
    </w:p>
    <w:p w14:paraId="0D1978C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 本项目是否接受联合体竞标，见“供应商须知前附表”规定。</w:t>
      </w:r>
    </w:p>
    <w:p w14:paraId="4FEEE79D">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3.6“供应商须知前附表”规定接受联合体竞标的，除应符合本章第3.1～3.5项和“供应商须知前附表”的要求外，还应遵守以下规定： </w:t>
      </w:r>
    </w:p>
    <w:p w14:paraId="6A7835CE">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（1）两个以上供应商可以组成一个竞标联合体，以一个供应商的身份竞标。 </w:t>
      </w:r>
    </w:p>
    <w:p w14:paraId="5760E4C4">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以联合体形式参加竞标的，联合体各方均应当具备《中华人民共和国政府采购法》第二十二条规定的条件。联合体中有同类资质的供应商按照联合体分工承担相同工作的，应当按照资质等级较低的供应商确定资质等级。 </w:t>
      </w:r>
    </w:p>
    <w:p w14:paraId="15E9991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联合体各方之间应当签订联合竞标协议，联合竞标协议中应确定主办方（主体），代表联合体进行竞标和澄清。联合竞标协议应明确约定联合体各方承担的工作和相应的责任，并将联合竞标协议连同响应文件一并提交采购代理机构。 </w:t>
      </w:r>
    </w:p>
    <w:p w14:paraId="39C8E37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（4）以联合体形式参加政府采购活动的，联合体各方不得再单独参加或者与其他供应商另外组成联合体参加同一合同项下的政府采购活动。 </w:t>
      </w:r>
    </w:p>
    <w:p w14:paraId="513C58B8">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（5）联合体业绩计算，按照联合竞标协议分工认定。</w:t>
      </w:r>
    </w:p>
    <w:p w14:paraId="0922C103">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 语言文字及计量单位</w:t>
      </w:r>
    </w:p>
    <w:p w14:paraId="003DC29F">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除专用术语外，与采购有关的语言均使用中文。必要时专用术语应附有中文注释。所有计量均采用中华人民共和国法定计量单位。</w:t>
      </w:r>
    </w:p>
    <w:p w14:paraId="4EC35DB1">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 竞标费用</w:t>
      </w:r>
    </w:p>
    <w:p w14:paraId="6933289F">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5.1供应商应自行承担所有与编写和提交响应文件有关的费用，不论谈判结果如何，采购人和采购代理机构在任何情况下无义务和责任承担此类费用。</w:t>
      </w:r>
    </w:p>
    <w:p w14:paraId="325E83FE">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5.2本项目的招标代理服务费按须知</w:t>
      </w:r>
      <w:r>
        <w:rPr>
          <w:rFonts w:hint="eastAsia" w:asciiTheme="minorEastAsia" w:hAnsiTheme="minorEastAsia" w:eastAsiaTheme="minorEastAsia"/>
          <w:b/>
          <w:bCs/>
          <w:color w:val="auto"/>
          <w:sz w:val="24"/>
          <w:highlight w:val="none"/>
        </w:rPr>
        <w:t>前附表</w:t>
      </w:r>
      <w:r>
        <w:rPr>
          <w:rFonts w:hint="eastAsia" w:asciiTheme="minorEastAsia" w:hAnsiTheme="minorEastAsia" w:eastAsiaTheme="minorEastAsia"/>
          <w:color w:val="auto"/>
          <w:sz w:val="24"/>
          <w:highlight w:val="none"/>
        </w:rPr>
        <w:t>的规定执行，由成交供应商在领取成交通知书前，一次性向采购代理机构支付。</w:t>
      </w:r>
    </w:p>
    <w:p w14:paraId="596E7EE7">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 现场勘察</w:t>
      </w:r>
    </w:p>
    <w:p w14:paraId="66AB7A0A">
      <w:pPr>
        <w:spacing w:after="0" w:line="400" w:lineRule="exact"/>
        <w:ind w:firstLine="480" w:firstLineChars="200"/>
        <w:rPr>
          <w:rFonts w:cs="Arial"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6.1</w:t>
      </w:r>
      <w:r>
        <w:rPr>
          <w:rFonts w:hint="eastAsia" w:cs="Arial" w:asciiTheme="minorEastAsia" w:hAnsiTheme="minorEastAsia" w:eastAsiaTheme="minorEastAsia"/>
          <w:color w:val="auto"/>
          <w:sz w:val="24"/>
          <w:highlight w:val="none"/>
        </w:rPr>
        <w:t>前附表如规定现场踏勘的，供应商应按规定时间地点参加踏勘。</w:t>
      </w:r>
    </w:p>
    <w:p w14:paraId="6407D4AE">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6.2 供应商应承担现场勘察的责任和风险。勘查现场的费用由供应商自己承担。采购人</w:t>
      </w:r>
      <w:r>
        <w:rPr>
          <w:rFonts w:asciiTheme="minorEastAsia" w:hAnsiTheme="minorEastAsia" w:eastAsiaTheme="minorEastAsia"/>
          <w:color w:val="auto"/>
          <w:sz w:val="24"/>
          <w:highlight w:val="none"/>
        </w:rPr>
        <w:t>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由此而做出的推论、理解和结论概不负责。</w:t>
      </w:r>
    </w:p>
    <w:p w14:paraId="24CB2C47">
      <w:pPr>
        <w:pStyle w:val="3"/>
        <w:spacing w:before="240" w:beforeLines="100" w:line="400" w:lineRule="exact"/>
        <w:rPr>
          <w:rFonts w:asciiTheme="minorEastAsia" w:hAnsiTheme="minorEastAsia" w:eastAsiaTheme="minorEastAsia"/>
          <w:color w:val="auto"/>
          <w:highlight w:val="none"/>
        </w:rPr>
      </w:pPr>
      <w:bookmarkStart w:id="44" w:name="_Toc246095455"/>
      <w:bookmarkStart w:id="45" w:name="_Toc246094911"/>
      <w:bookmarkStart w:id="46" w:name="_Toc246095517"/>
      <w:bookmarkStart w:id="47" w:name="_Toc7192545"/>
      <w:r>
        <w:rPr>
          <w:rFonts w:hint="eastAsia" w:asciiTheme="minorEastAsia" w:hAnsiTheme="minorEastAsia" w:eastAsiaTheme="minorEastAsia"/>
          <w:color w:val="auto"/>
          <w:highlight w:val="none"/>
        </w:rPr>
        <w:t>二、竞争性谈判文件</w:t>
      </w:r>
      <w:bookmarkEnd w:id="44"/>
      <w:bookmarkEnd w:id="45"/>
      <w:bookmarkEnd w:id="46"/>
      <w:bookmarkEnd w:id="47"/>
    </w:p>
    <w:p w14:paraId="1D1DDFFC">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 竞争性谈判文件的组成</w:t>
      </w:r>
    </w:p>
    <w:p w14:paraId="498A8285">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7.1 竞争性谈判文件包括下列内容：</w:t>
      </w:r>
    </w:p>
    <w:p w14:paraId="050570D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 竞争性谈判公告</w:t>
      </w:r>
    </w:p>
    <w:p w14:paraId="636BA9EC">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 供应商须知</w:t>
      </w:r>
    </w:p>
    <w:p w14:paraId="2A0E644C">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 项目采购需求和说明</w:t>
      </w:r>
    </w:p>
    <w:p w14:paraId="6BA2235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 评标办法</w:t>
      </w:r>
    </w:p>
    <w:p w14:paraId="4B78607D">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 合同条款</w:t>
      </w:r>
    </w:p>
    <w:p w14:paraId="14A96F2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 响应文件格式</w:t>
      </w:r>
    </w:p>
    <w:p w14:paraId="5F60CFB1">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7.2 除本供应商须知第7.1款所述的竞争性谈判文件内容外，采购人在采购期间、符合法定时间发出的答疑、澄清、修改或补充内容，均是竞争性谈判文件的组成部分，对采购人和供应商起约束作用。根据本章第8条、第9条对竞争性谈判文件所作的澄清、修改，构成竞争性谈判文件的组成部分。</w:t>
      </w:r>
    </w:p>
    <w:p w14:paraId="0D80F89D">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7.3 供应商应认真审阅竞争性谈判文件。如果供应商编制的响应文件不符合竞争性谈判文件的要求，责任由供应商自负。实质上不响应竞争性谈判文件要求的响应文件将被采购人拒绝。</w:t>
      </w:r>
    </w:p>
    <w:p w14:paraId="5C82801B">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 竞争性谈判文件的澄清</w:t>
      </w:r>
    </w:p>
    <w:p w14:paraId="0918F44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8.1 供应商应仔细阅读和检查竞争性谈判文件的全部内容。如发现缺页、</w:t>
      </w:r>
      <w:r>
        <w:rPr>
          <w:rFonts w:hint="eastAsia" w:cs="Arial" w:asciiTheme="minorEastAsia" w:hAnsiTheme="minorEastAsia" w:eastAsiaTheme="minorEastAsia"/>
          <w:color w:val="auto"/>
          <w:sz w:val="24"/>
          <w:highlight w:val="none"/>
        </w:rPr>
        <w:t>有误或有不合理要求的</w:t>
      </w:r>
      <w:r>
        <w:rPr>
          <w:rFonts w:hint="eastAsia" w:asciiTheme="minorEastAsia" w:hAnsiTheme="minorEastAsia" w:eastAsiaTheme="minorEastAsia"/>
          <w:color w:val="auto"/>
          <w:sz w:val="24"/>
          <w:highlight w:val="none"/>
        </w:rPr>
        <w:t>，供应商必须在</w:t>
      </w:r>
      <w:r>
        <w:rPr>
          <w:rFonts w:asciiTheme="minorEastAsia" w:hAnsiTheme="minorEastAsia" w:eastAsiaTheme="minorEastAsia"/>
          <w:color w:val="auto"/>
          <w:sz w:val="24"/>
          <w:highlight w:val="none"/>
        </w:rPr>
        <w:t>提交首次响应文件截止之日前</w:t>
      </w:r>
      <w:r>
        <w:rPr>
          <w:rFonts w:hint="eastAsia" w:asciiTheme="minorEastAsia" w:hAnsiTheme="minorEastAsia" w:eastAsiaTheme="minorEastAsia"/>
          <w:color w:val="auto"/>
          <w:sz w:val="24"/>
          <w:highlight w:val="none"/>
        </w:rPr>
        <w:t>，以书面形式要求</w:t>
      </w:r>
      <w:r>
        <w:rPr>
          <w:rFonts w:asciiTheme="minorEastAsia" w:hAnsiTheme="minorEastAsia" w:eastAsiaTheme="minorEastAsia"/>
          <w:color w:val="auto"/>
          <w:sz w:val="24"/>
          <w:highlight w:val="none"/>
        </w:rPr>
        <w:t>采购人</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采购代理机构</w:t>
      </w:r>
      <w:r>
        <w:rPr>
          <w:rFonts w:hint="eastAsia" w:asciiTheme="minorEastAsia" w:hAnsiTheme="minorEastAsia" w:eastAsiaTheme="minorEastAsia"/>
          <w:color w:val="auto"/>
          <w:sz w:val="24"/>
          <w:highlight w:val="none"/>
        </w:rPr>
        <w:t>澄清。逾期不提出澄清要求视为对竞争性谈判文件无异议。</w:t>
      </w:r>
    </w:p>
    <w:p w14:paraId="284F421F">
      <w:pPr>
        <w:spacing w:after="0" w:line="400" w:lineRule="exact"/>
        <w:ind w:firstLine="480" w:firstLineChars="200"/>
        <w:rPr>
          <w:rFonts w:cs="Arial"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Theme="minorEastAsia" w:hAnsiTheme="minorEastAsia" w:eastAsiaTheme="minorEastAsia"/>
          <w:color w:val="auto"/>
          <w:sz w:val="24"/>
          <w:highlight w:val="none"/>
        </w:rPr>
        <w:t>采购人、采购代理机构可以对已发出的谈判文件进行必要的澄清，澄清的内容作为谈判文件的组成部分。澄清的内容可能影响响应文件编制的，</w:t>
      </w:r>
      <w:r>
        <w:rPr>
          <w:rFonts w:hint="eastAsia" w:asciiTheme="minorEastAsia" w:hAnsiTheme="minorEastAsia" w:eastAsiaTheme="minorEastAsia"/>
          <w:color w:val="auto"/>
          <w:sz w:val="24"/>
          <w:highlight w:val="none"/>
        </w:rPr>
        <w:t>谈判文件的澄清将在</w:t>
      </w:r>
      <w:r>
        <w:rPr>
          <w:rFonts w:hint="eastAsia" w:cs="Arial" w:asciiTheme="minorEastAsia" w:hAnsiTheme="minorEastAsia" w:eastAsiaTheme="minorEastAsia"/>
          <w:color w:val="auto"/>
          <w:sz w:val="24"/>
          <w:highlight w:val="none"/>
        </w:rPr>
        <w:t>提交首次响应文件截止之日3</w:t>
      </w:r>
      <w:r>
        <w:rPr>
          <w:rFonts w:hint="eastAsia" w:asciiTheme="minorEastAsia" w:hAnsiTheme="minorEastAsia" w:eastAsiaTheme="minorEastAsia"/>
          <w:color w:val="auto"/>
          <w:sz w:val="24"/>
          <w:highlight w:val="none"/>
        </w:rPr>
        <w:t>个工作日前以书面形式（</w:t>
      </w:r>
      <w:r>
        <w:rPr>
          <w:rFonts w:hint="eastAsia" w:cs="Arial" w:asciiTheme="minorEastAsia" w:hAnsiTheme="minorEastAsia" w:eastAsiaTheme="minorEastAsia"/>
          <w:color w:val="auto"/>
          <w:sz w:val="24"/>
          <w:highlight w:val="none"/>
        </w:rPr>
        <w:t>在发布竞争性谈判公告的政府采购信息发布媒体上发布</w:t>
      </w:r>
      <w:r>
        <w:rPr>
          <w:rFonts w:hint="eastAsia" w:asciiTheme="minorEastAsia" w:hAnsiTheme="minorEastAsia" w:eastAsiaTheme="minorEastAsia"/>
          <w:color w:val="auto"/>
          <w:sz w:val="24"/>
          <w:highlight w:val="none"/>
        </w:rPr>
        <w:t>）发给所有获取竞争性谈判文件的供应商，但不指明澄清问题的来源，供应商未及时关注采购代理机构在公告发布媒介上发布的澄清文件造成的损失，由供应商自行负责。</w:t>
      </w:r>
      <w:r>
        <w:rPr>
          <w:rFonts w:asciiTheme="minorEastAsia" w:hAnsiTheme="minorEastAsia" w:eastAsiaTheme="minorEastAsia"/>
          <w:color w:val="auto"/>
          <w:sz w:val="24"/>
          <w:highlight w:val="none"/>
        </w:rPr>
        <w:t>不足3个工作日的，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顺延提交首次响应文件截止之日</w:t>
      </w:r>
      <w:r>
        <w:rPr>
          <w:rFonts w:hint="eastAsia" w:asciiTheme="minorEastAsia" w:hAnsiTheme="minorEastAsia" w:eastAsiaTheme="minorEastAsia"/>
          <w:color w:val="auto"/>
          <w:sz w:val="24"/>
          <w:highlight w:val="none"/>
        </w:rPr>
        <w:t>。</w:t>
      </w:r>
      <w:r>
        <w:rPr>
          <w:rFonts w:hint="eastAsia" w:cs="Arial" w:asciiTheme="minorEastAsia" w:hAnsiTheme="minorEastAsia" w:eastAsiaTheme="minorEastAsia"/>
          <w:color w:val="auto"/>
          <w:sz w:val="24"/>
          <w:highlight w:val="none"/>
        </w:rPr>
        <w:t>该澄清的内容为谈判文件的组成部分。</w:t>
      </w:r>
    </w:p>
    <w:p w14:paraId="2BB4B81F">
      <w:pPr>
        <w:spacing w:after="0" w:line="400" w:lineRule="exact"/>
        <w:ind w:firstLine="480" w:firstLineChars="200"/>
        <w:rPr>
          <w:rFonts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8.3当谈判文件与谈判文件的澄清就同一内容的表述不一致时，以最后发出的公告或书面文件为准。</w:t>
      </w:r>
    </w:p>
    <w:p w14:paraId="61202CD0">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 竞争性谈判文件的修改</w:t>
      </w:r>
    </w:p>
    <w:p w14:paraId="3D278AAB">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9.1</w:t>
      </w:r>
      <w:r>
        <w:rPr>
          <w:rFonts w:asciiTheme="minorEastAsia" w:hAnsiTheme="minorEastAsia" w:eastAsiaTheme="minorEastAsia"/>
          <w:color w:val="auto"/>
          <w:sz w:val="24"/>
          <w:highlight w:val="none"/>
        </w:rPr>
        <w:t>采购人、采购代理机构可以对已发出的谈判文件进行必要的</w:t>
      </w:r>
      <w:r>
        <w:rPr>
          <w:rFonts w:hint="eastAsia" w:asciiTheme="minorEastAsia" w:hAnsiTheme="minorEastAsia" w:eastAsiaTheme="minorEastAsia"/>
          <w:color w:val="auto"/>
          <w:sz w:val="24"/>
          <w:highlight w:val="none"/>
        </w:rPr>
        <w:t>修改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修改</w:t>
      </w:r>
      <w:r>
        <w:rPr>
          <w:rFonts w:asciiTheme="minorEastAsia" w:hAnsiTheme="minorEastAsia" w:eastAsiaTheme="minorEastAsia"/>
          <w:color w:val="auto"/>
          <w:sz w:val="24"/>
          <w:highlight w:val="none"/>
        </w:rPr>
        <w:t>的内容作为谈判文件的组成部分。</w:t>
      </w:r>
      <w:r>
        <w:rPr>
          <w:rFonts w:hint="eastAsia" w:asciiTheme="minorEastAsia" w:hAnsiTheme="minorEastAsia" w:eastAsiaTheme="minorEastAsia"/>
          <w:color w:val="auto"/>
          <w:sz w:val="24"/>
          <w:highlight w:val="none"/>
        </w:rPr>
        <w:t>修改</w:t>
      </w:r>
      <w:r>
        <w:rPr>
          <w:rFonts w:asciiTheme="minorEastAsia" w:hAnsiTheme="minorEastAsia" w:eastAsiaTheme="minorEastAsia"/>
          <w:color w:val="auto"/>
          <w:sz w:val="24"/>
          <w:highlight w:val="none"/>
        </w:rPr>
        <w:t>的内容可能影响响应文件编制的，</w:t>
      </w:r>
      <w:r>
        <w:rPr>
          <w:rFonts w:hint="eastAsia" w:asciiTheme="minorEastAsia" w:hAnsiTheme="minorEastAsia" w:eastAsiaTheme="minorEastAsia"/>
          <w:color w:val="auto"/>
          <w:sz w:val="24"/>
          <w:highlight w:val="none"/>
        </w:rPr>
        <w:t>谈判文件的修改将在</w:t>
      </w:r>
      <w:r>
        <w:rPr>
          <w:rFonts w:hint="eastAsia" w:cs="Arial" w:asciiTheme="minorEastAsia" w:hAnsiTheme="minorEastAsia" w:eastAsiaTheme="minorEastAsia"/>
          <w:color w:val="auto"/>
          <w:sz w:val="24"/>
          <w:highlight w:val="none"/>
        </w:rPr>
        <w:t>提交首次响应文件截止之日3</w:t>
      </w:r>
      <w:r>
        <w:rPr>
          <w:rFonts w:hint="eastAsia" w:asciiTheme="minorEastAsia" w:hAnsiTheme="minorEastAsia" w:eastAsiaTheme="minorEastAsia"/>
          <w:color w:val="auto"/>
          <w:sz w:val="24"/>
          <w:highlight w:val="none"/>
        </w:rPr>
        <w:t>个工作日前以书面形式（</w:t>
      </w:r>
      <w:r>
        <w:rPr>
          <w:rFonts w:hint="eastAsia" w:cs="Arial" w:asciiTheme="minorEastAsia" w:hAnsiTheme="minorEastAsia" w:eastAsiaTheme="minorEastAsia"/>
          <w:color w:val="auto"/>
          <w:sz w:val="24"/>
          <w:highlight w:val="none"/>
        </w:rPr>
        <w:t>在发布竞争性谈判公告的政府采购信息发布媒体上发布</w:t>
      </w:r>
      <w:r>
        <w:rPr>
          <w:rFonts w:hint="eastAsia" w:asciiTheme="minorEastAsia" w:hAnsiTheme="minorEastAsia" w:eastAsiaTheme="minorEastAsia"/>
          <w:color w:val="auto"/>
          <w:sz w:val="24"/>
          <w:highlight w:val="none"/>
        </w:rPr>
        <w:t>）发给所有获取竞争性谈判文件的供应商，供应商未及时关注采购代理机构在公告发布媒介上发布的修改文件造成的损失，由供应商自行负责。</w:t>
      </w:r>
      <w:r>
        <w:rPr>
          <w:rFonts w:asciiTheme="minorEastAsia" w:hAnsiTheme="minorEastAsia" w:eastAsiaTheme="minorEastAsia"/>
          <w:color w:val="auto"/>
          <w:sz w:val="24"/>
          <w:highlight w:val="none"/>
        </w:rPr>
        <w:t>不足3个工作日的，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顺延提交首次响应文件截止之日</w:t>
      </w:r>
      <w:r>
        <w:rPr>
          <w:rFonts w:hint="eastAsia" w:asciiTheme="minorEastAsia" w:hAnsiTheme="minorEastAsia" w:eastAsiaTheme="minorEastAsia"/>
          <w:color w:val="auto"/>
          <w:sz w:val="24"/>
          <w:highlight w:val="none"/>
        </w:rPr>
        <w:t>。</w:t>
      </w:r>
      <w:r>
        <w:rPr>
          <w:rFonts w:hint="eastAsia" w:cs="Arial" w:asciiTheme="minorEastAsia" w:hAnsiTheme="minorEastAsia" w:eastAsiaTheme="minorEastAsia"/>
          <w:color w:val="auto"/>
          <w:sz w:val="24"/>
          <w:highlight w:val="none"/>
        </w:rPr>
        <w:t>该修改的内容为谈判文件的组成部分。</w:t>
      </w:r>
    </w:p>
    <w:p w14:paraId="34F99296">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9.2</w:t>
      </w:r>
      <w:r>
        <w:rPr>
          <w:rFonts w:hint="eastAsia" w:cs="Arial" w:asciiTheme="minorEastAsia" w:hAnsiTheme="minorEastAsia" w:eastAsiaTheme="minorEastAsia"/>
          <w:color w:val="auto"/>
          <w:sz w:val="24"/>
          <w:highlight w:val="none"/>
        </w:rPr>
        <w:t>当谈判文件与谈判文件的修改就同一内容的表述不一致时，以最后发出的公告或书面文件为准。</w:t>
      </w:r>
    </w:p>
    <w:p w14:paraId="4F170721">
      <w:pPr>
        <w:pStyle w:val="3"/>
        <w:spacing w:before="240" w:beforeLines="100" w:line="400" w:lineRule="exact"/>
        <w:rPr>
          <w:rFonts w:asciiTheme="minorEastAsia" w:hAnsiTheme="minorEastAsia" w:eastAsiaTheme="minorEastAsia"/>
          <w:color w:val="auto"/>
          <w:highlight w:val="none"/>
        </w:rPr>
      </w:pPr>
      <w:bookmarkStart w:id="48" w:name="_Toc246095518"/>
      <w:bookmarkStart w:id="49" w:name="_Toc246094912"/>
      <w:bookmarkStart w:id="50" w:name="_Toc7192546"/>
      <w:bookmarkStart w:id="51" w:name="_Toc246095456"/>
      <w:r>
        <w:rPr>
          <w:rFonts w:hint="eastAsia" w:asciiTheme="minorEastAsia" w:hAnsiTheme="minorEastAsia" w:eastAsiaTheme="minorEastAsia"/>
          <w:color w:val="auto"/>
          <w:highlight w:val="none"/>
        </w:rPr>
        <w:t>三、响应文件</w:t>
      </w:r>
      <w:bookmarkEnd w:id="48"/>
      <w:bookmarkEnd w:id="49"/>
      <w:bookmarkEnd w:id="50"/>
      <w:bookmarkEnd w:id="51"/>
    </w:p>
    <w:p w14:paraId="62F7FE75">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 响应文件的组成</w:t>
      </w:r>
    </w:p>
    <w:p w14:paraId="65940D6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10.1响应文件应分为价格文件和商务技术文件两个部分组成。</w:t>
      </w:r>
    </w:p>
    <w:p w14:paraId="473CED0D">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10.1.1价格文件：</w:t>
      </w:r>
      <w:r>
        <w:rPr>
          <w:rFonts w:asciiTheme="minorEastAsia" w:hAnsiTheme="minorEastAsia" w:eastAsiaTheme="minorEastAsia"/>
          <w:color w:val="auto"/>
          <w:sz w:val="24"/>
          <w:highlight w:val="none"/>
        </w:rPr>
        <w:t>具体材料见“</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须知前附表”</w:t>
      </w:r>
      <w:r>
        <w:rPr>
          <w:rFonts w:hint="eastAsia" w:asciiTheme="minorEastAsia" w:hAnsiTheme="minorEastAsia" w:eastAsiaTheme="minorEastAsia"/>
          <w:color w:val="auto"/>
          <w:sz w:val="24"/>
          <w:highlight w:val="none"/>
        </w:rPr>
        <w:t>。</w:t>
      </w:r>
    </w:p>
    <w:p w14:paraId="5BC63D6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10.1.2 商务技术文件：</w:t>
      </w:r>
      <w:r>
        <w:rPr>
          <w:rFonts w:asciiTheme="minorEastAsia" w:hAnsiTheme="minorEastAsia" w:eastAsiaTheme="minorEastAsia"/>
          <w:color w:val="auto"/>
          <w:sz w:val="24"/>
          <w:highlight w:val="none"/>
        </w:rPr>
        <w:t>具体材料见“</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须知前附表”</w:t>
      </w:r>
      <w:r>
        <w:rPr>
          <w:rFonts w:hint="eastAsia" w:asciiTheme="minorEastAsia" w:hAnsiTheme="minorEastAsia" w:eastAsiaTheme="minorEastAsia"/>
          <w:color w:val="auto"/>
          <w:sz w:val="24"/>
          <w:highlight w:val="none"/>
        </w:rPr>
        <w:t>。</w:t>
      </w:r>
    </w:p>
    <w:p w14:paraId="5C86CA1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10.1.3 响应文件电子版：</w:t>
      </w:r>
      <w:r>
        <w:rPr>
          <w:rFonts w:asciiTheme="minorEastAsia" w:hAnsiTheme="minorEastAsia" w:eastAsiaTheme="minorEastAsia"/>
          <w:color w:val="auto"/>
          <w:sz w:val="24"/>
          <w:highlight w:val="none"/>
        </w:rPr>
        <w:t>具体材料见“</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须知前附表”</w:t>
      </w:r>
      <w:r>
        <w:rPr>
          <w:rFonts w:hint="eastAsia" w:asciiTheme="minorEastAsia" w:hAnsiTheme="minorEastAsia" w:eastAsiaTheme="minorEastAsia"/>
          <w:color w:val="auto"/>
          <w:sz w:val="24"/>
          <w:highlight w:val="none"/>
        </w:rPr>
        <w:t>。</w:t>
      </w:r>
    </w:p>
    <w:p w14:paraId="4D432A6C">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 供应商应按照采购人提供的响应文件格式和顺序，自行编制响应文件，响应文件应包含本须知第10.1条中规定的内容，但表格可以按同样格式扩展。</w:t>
      </w:r>
      <w:bookmarkStart w:id="52" w:name="_Toc219773118"/>
    </w:p>
    <w:bookmarkEnd w:id="52"/>
    <w:p w14:paraId="6B8B0DC0">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 谈判报价</w:t>
      </w:r>
    </w:p>
    <w:p w14:paraId="36E9505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11.1响应文件中的报价均采用人民币表示。谈判报价应按谈判文件中相关附表格式填写。</w:t>
      </w:r>
    </w:p>
    <w:p w14:paraId="4976BA48">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w:t>
      </w:r>
      <w:r>
        <w:rPr>
          <w:rFonts w:hint="eastAsia" w:cs="Arial" w:asciiTheme="minorEastAsia" w:hAnsiTheme="minorEastAsia" w:eastAsiaTheme="minorEastAsia"/>
          <w:color w:val="auto"/>
          <w:sz w:val="24"/>
          <w:highlight w:val="none"/>
        </w:rPr>
        <w:t>最后谈判报价是履行合同的最终价格。应包括第三章“</w:t>
      </w:r>
      <w:r>
        <w:rPr>
          <w:rFonts w:hint="eastAsia" w:asciiTheme="minorEastAsia" w:hAnsiTheme="minorEastAsia" w:eastAsiaTheme="minorEastAsia"/>
          <w:color w:val="auto"/>
          <w:sz w:val="24"/>
          <w:highlight w:val="none"/>
        </w:rPr>
        <w:t>项目采购需求和说明</w:t>
      </w:r>
      <w:r>
        <w:rPr>
          <w:rFonts w:hint="eastAsia" w:cs="Arial" w:asciiTheme="minorEastAsia" w:hAnsiTheme="minorEastAsia" w:eastAsiaTheme="minorEastAsia"/>
          <w:color w:val="auto"/>
          <w:sz w:val="24"/>
          <w:highlight w:val="none"/>
        </w:rPr>
        <w:t>”规定的各项价格</w:t>
      </w:r>
      <w:r>
        <w:rPr>
          <w:rFonts w:hint="eastAsia" w:asciiTheme="minorEastAsia" w:hAnsiTheme="minorEastAsia" w:eastAsiaTheme="minorEastAsia"/>
          <w:color w:val="auto"/>
          <w:sz w:val="24"/>
          <w:highlight w:val="none"/>
        </w:rPr>
        <w:t>。若无特殊规定，报价包含完成本项目所有内容所需的一</w:t>
      </w:r>
      <w:r>
        <w:rPr>
          <w:rFonts w:hint="eastAsia" w:cs="Arial" w:asciiTheme="minorEastAsia" w:hAnsiTheme="minorEastAsia" w:eastAsiaTheme="minorEastAsia"/>
          <w:color w:val="auto"/>
          <w:sz w:val="24"/>
          <w:highlight w:val="none"/>
        </w:rPr>
        <w:t>切费用（包括但不限于货物、货物标准附件、备品备件、专用工具、设备安装辅材、施工辅材、包装、运输、装卸、保险、货到就位的各种费用以及安装、调试、本采购文件所列设备材料需进行补充完善才能完成本项目的或实际采购中产品材料有任何遗漏的费用（含本项目需要但本文件中未列出的设备材料）、税金、售后服务、技术培训及其他所有成本费用，以及合同明示或暗示的所有责任</w:t>
      </w:r>
      <w:r>
        <w:rPr>
          <w:rFonts w:hint="eastAsia" w:asciiTheme="minorEastAsia" w:hAnsiTheme="minorEastAsia" w:eastAsiaTheme="minorEastAsia"/>
          <w:color w:val="auto"/>
          <w:sz w:val="24"/>
          <w:highlight w:val="none"/>
        </w:rPr>
        <w:t>、义务和一般风险等一切费用。</w:t>
      </w:r>
    </w:p>
    <w:p w14:paraId="61278FC6">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11.3对于本文件中未列明，而供应商认为必需的费用也需列入总报价。在合同实施时，采购人将不予支付成交供应商没有列入的项目费用，并认为此项目的费用已包括在总报价中。</w:t>
      </w:r>
    </w:p>
    <w:p w14:paraId="7C1E82ED">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11.4供应商必须就所竞项目（或分标）的全部内容作完整唯一报价，漏项报价的或有选择的或有条件的报价，其竞标将视为无效。</w:t>
      </w:r>
    </w:p>
    <w:p w14:paraId="33AFB485">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11.5供应商的报价超出采购预算价或最高限价（如有）的，其竞标无效。</w:t>
      </w:r>
    </w:p>
    <w:p w14:paraId="197B1B4B">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 响应有效期</w:t>
      </w:r>
    </w:p>
    <w:p w14:paraId="67220D5F">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12.1在供应商须知前附表规定的响应有效期内，供应商不得要求撤销或修改其响应文件。</w:t>
      </w:r>
    </w:p>
    <w:p w14:paraId="523A044B">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 出现特殊情况需要延长响应有效期的，采购人以书面形式通知所有供应商延长响应有效期。供应商同意延长的，应相应延长其谈判保证金的有效期，但不得要求或被允许修改或撤销其响应文件；供应商拒绝延长的，其报价失效，但供应商有权收回其谈判保证金。</w:t>
      </w:r>
    </w:p>
    <w:p w14:paraId="26C50FA4">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 谈判保证金</w:t>
      </w:r>
    </w:p>
    <w:p w14:paraId="0E70A7EE">
      <w:pPr>
        <w:spacing w:after="0" w:line="400" w:lineRule="exact"/>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13.1 供应商应按供应商须知前附表规定的数额、方式要求交纳谈判保证金，</w:t>
      </w:r>
      <w:r>
        <w:rPr>
          <w:rFonts w:hint="eastAsia" w:asciiTheme="minorEastAsia" w:hAnsiTheme="minorEastAsia" w:eastAsiaTheme="minorEastAsia"/>
          <w:b/>
          <w:color w:val="auto"/>
          <w:sz w:val="24"/>
          <w:highlight w:val="none"/>
        </w:rPr>
        <w:t>否则其竞标无效。</w:t>
      </w:r>
    </w:p>
    <w:p w14:paraId="0874DE38">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13.2办理谈判保证金手续时，请务必在银行进账单或电汇单的用途或空白栏上注明项目名称或项目编号，以免耽误谈判。对未按采购文件要求缴纳谈判保证金的响应文件，采购代理机构将视其为不响应谈判条件而予以拒绝。</w:t>
      </w:r>
    </w:p>
    <w:p w14:paraId="300F2034">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w:t>
      </w:r>
      <w:r>
        <w:rPr>
          <w:rFonts w:hint="eastAsia" w:cs="Arial" w:asciiTheme="minorEastAsia" w:hAnsiTheme="minorEastAsia" w:eastAsiaTheme="minorEastAsia"/>
          <w:color w:val="auto"/>
          <w:sz w:val="24"/>
          <w:highlight w:val="none"/>
        </w:rPr>
        <w:t>未成交供应商的谈判保证金在成交通知书发出后5个工作日内退还</w:t>
      </w:r>
      <w:r>
        <w:rPr>
          <w:rFonts w:hint="eastAsia" w:asciiTheme="minorEastAsia" w:hAnsiTheme="minorEastAsia" w:eastAsiaTheme="minorEastAsia"/>
          <w:color w:val="auto"/>
          <w:sz w:val="24"/>
          <w:highlight w:val="none"/>
        </w:rPr>
        <w:t>（不计利息）。成交人的谈判保证金，在成交人与采购人签订合同后 5个工作日内退还。谈判保证金一律以转账方式退还，不计利息。</w:t>
      </w:r>
    </w:p>
    <w:p w14:paraId="73D1FEC8">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13.4 如供应商有下列情形之一的，其谈判保证金将不予退还：</w:t>
      </w:r>
    </w:p>
    <w:p w14:paraId="71831FD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（一）供应商在提交响应文件截止时间后撤回响应文件的；</w:t>
      </w:r>
    </w:p>
    <w:p w14:paraId="4DAC07AC">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（二）供应商在响应文件中提供虚假材料的；</w:t>
      </w:r>
    </w:p>
    <w:p w14:paraId="5F0DFDD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（三）除因不可抗力或谈判文件认可的情形以外，成交供应商不与采购人签订合同的；</w:t>
      </w:r>
    </w:p>
    <w:p w14:paraId="39EE5776">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（四）供应商与采购人、其他供应商或者采购代理机构恶意串通的；</w:t>
      </w:r>
    </w:p>
    <w:p w14:paraId="5B8E8BE1">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（五）成交人在收到成交通知书后，未按竞争性谈判文件规定提交履约保证金；</w:t>
      </w:r>
    </w:p>
    <w:p w14:paraId="52ABED9D">
      <w:pPr>
        <w:spacing w:after="0" w:line="400" w:lineRule="exact"/>
        <w:ind w:firstLine="480" w:firstLineChars="200"/>
        <w:rPr>
          <w:rFonts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（六）法律法规</w:t>
      </w:r>
      <w:r>
        <w:rPr>
          <w:rFonts w:cs="Arial" w:asciiTheme="minorEastAsia" w:hAnsiTheme="minorEastAsia" w:eastAsiaTheme="minorEastAsia"/>
          <w:color w:val="auto"/>
          <w:sz w:val="24"/>
          <w:highlight w:val="none"/>
        </w:rPr>
        <w:t>规定的其他情形</w:t>
      </w:r>
      <w:r>
        <w:rPr>
          <w:rFonts w:hint="eastAsia" w:cs="Arial" w:asciiTheme="minorEastAsia" w:hAnsiTheme="minorEastAsia" w:eastAsiaTheme="minorEastAsia"/>
          <w:color w:val="auto"/>
          <w:sz w:val="24"/>
          <w:highlight w:val="none"/>
        </w:rPr>
        <w:t>。</w:t>
      </w:r>
    </w:p>
    <w:p w14:paraId="293F1282">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 响应文件编制</w:t>
      </w:r>
    </w:p>
    <w:p w14:paraId="6621F84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 响应文件应按第六章“响应文件格式”进行编写，如有必要，可以增加附页，作为响应文件的组成部分。</w:t>
      </w:r>
    </w:p>
    <w:p w14:paraId="6704938F">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 供应商应根据“广西政府采购云平台”及本</w:t>
      </w:r>
      <w:r>
        <w:rPr>
          <w:rFonts w:hint="eastAsia" w:asciiTheme="minorEastAsia" w:hAnsiTheme="minorEastAsia" w:eastAsiaTheme="minorEastAsia"/>
          <w:color w:val="auto"/>
          <w:sz w:val="24"/>
          <w:highlight w:val="none"/>
          <w:lang w:eastAsia="zh-CN"/>
        </w:rPr>
        <w:t>竞争性谈判文件</w:t>
      </w:r>
      <w:r>
        <w:rPr>
          <w:rFonts w:hint="eastAsia" w:asciiTheme="minorEastAsia" w:hAnsiTheme="minorEastAsia" w:eastAsiaTheme="minorEastAsia"/>
          <w:color w:val="auto"/>
          <w:sz w:val="24"/>
          <w:highlight w:val="none"/>
        </w:rPr>
        <w:t xml:space="preserve">规定的格式编制响应文件，响应文件内容不完整、编排混乱导致响应文件被误读、漏读或者查找不到相关内容的，由供应商自行承担。 </w:t>
      </w:r>
    </w:p>
    <w:p w14:paraId="06320CDB">
      <w:pPr>
        <w:spacing w:after="0" w:line="40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14.3 响应文件须由供应商在规定位置盖公章并由法定代表人或委托代理人签字或签章，否则其响应文件按无效响应处理。 </w:t>
      </w:r>
    </w:p>
    <w:p w14:paraId="2E72B876">
      <w:pPr>
        <w:spacing w:after="0" w:line="40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14.4 响应文件中标注的供应商名称应与营业执照（事业单位法人证书、执业许可证、自然人 身份证）及公章一致，否则其响应文件按无效响应处理。 </w:t>
      </w:r>
    </w:p>
    <w:p w14:paraId="3D35A7EC">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14.5 响应文件应尽量避免涂改、行间插字或删除。如果出现上述情况，改动之处应由供应商的法定代表人或其委托代理人签字或加盖公章。响应文件因涂改、行间插字或删除导致字迹潦草或表达不清所引起的后果由供应商承担。 </w:t>
      </w:r>
    </w:p>
    <w:p w14:paraId="614E5DD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14.6 电子响应文件中须加盖供应商公章，并根据“广西政府采购云平台”及本</w:t>
      </w:r>
      <w:r>
        <w:rPr>
          <w:rFonts w:hint="eastAsia" w:asciiTheme="minorEastAsia" w:hAnsiTheme="minorEastAsia" w:eastAsiaTheme="minorEastAsia"/>
          <w:color w:val="auto"/>
          <w:sz w:val="24"/>
          <w:highlight w:val="none"/>
          <w:lang w:eastAsia="zh-CN"/>
        </w:rPr>
        <w:t>竞争性谈判文件</w:t>
      </w:r>
      <w:r>
        <w:rPr>
          <w:rFonts w:hint="eastAsia" w:asciiTheme="minorEastAsia" w:hAnsiTheme="minorEastAsia" w:eastAsiaTheme="minorEastAsia"/>
          <w:color w:val="auto"/>
          <w:sz w:val="24"/>
          <w:highlight w:val="none"/>
        </w:rPr>
        <w:t>规定的格式和顺序编制电子响应文件并进行关联定位，以便评标委员会在评审时，点击评审项可直接定位到该评审项内容。如对</w:t>
      </w:r>
      <w:r>
        <w:rPr>
          <w:rFonts w:hint="eastAsia" w:asciiTheme="minorEastAsia" w:hAnsiTheme="minorEastAsia" w:eastAsiaTheme="minorEastAsia"/>
          <w:color w:val="auto"/>
          <w:sz w:val="24"/>
          <w:highlight w:val="none"/>
          <w:lang w:eastAsia="zh-CN"/>
        </w:rPr>
        <w:t>竞争性谈判文件</w:t>
      </w:r>
      <w:r>
        <w:rPr>
          <w:rFonts w:hint="eastAsia" w:asciiTheme="minorEastAsia" w:hAnsiTheme="minorEastAsia" w:eastAsiaTheme="minorEastAsia"/>
          <w:color w:val="auto"/>
          <w:sz w:val="24"/>
          <w:highlight w:val="none"/>
        </w:rPr>
        <w:t xml:space="preserve">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p w14:paraId="2D7200C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14.7 CA 签章上关于法人或授权代表签字信息，供应商在响应文件中涉及到要求签字的位置【线下签好字然后扫描或者拍照做成 PDF 的格式】或【通过广西政府采购云平台电子交易客户端使用 CA 法人</w:t>
      </w:r>
      <w:r>
        <w:rPr>
          <w:rFonts w:hint="eastAsia" w:asciiTheme="minorEastAsia" w:hAnsiTheme="minorEastAsia" w:eastAsiaTheme="minorEastAsia"/>
          <w:color w:val="auto"/>
          <w:sz w:val="24"/>
          <w:highlight w:val="none"/>
          <w:lang w:val="en-US" w:eastAsia="zh-CN"/>
        </w:rPr>
        <w:t>电子签章</w:t>
      </w:r>
      <w:r>
        <w:rPr>
          <w:rFonts w:hint="eastAsia" w:asciiTheme="minorEastAsia" w:hAnsiTheme="minorEastAsia" w:eastAsiaTheme="minorEastAsia"/>
          <w:color w:val="auto"/>
          <w:sz w:val="24"/>
          <w:highlight w:val="none"/>
        </w:rPr>
        <w:t>或授权代表</w:t>
      </w:r>
      <w:r>
        <w:rPr>
          <w:rFonts w:hint="eastAsia" w:asciiTheme="minorEastAsia" w:hAnsiTheme="minorEastAsia" w:eastAsiaTheme="minorEastAsia"/>
          <w:color w:val="auto"/>
          <w:sz w:val="24"/>
          <w:highlight w:val="none"/>
          <w:lang w:val="en-US" w:eastAsia="zh-CN"/>
        </w:rPr>
        <w:t>电子</w:t>
      </w:r>
      <w:r>
        <w:rPr>
          <w:rFonts w:hint="eastAsia" w:asciiTheme="minorEastAsia" w:hAnsiTheme="minorEastAsia" w:eastAsiaTheme="minorEastAsia"/>
          <w:color w:val="auto"/>
          <w:sz w:val="24"/>
          <w:highlight w:val="none"/>
        </w:rPr>
        <w:t xml:space="preserve">签章】亦可。响应文件中涉及到签字的位置未按要求签字的，提供的材料视为无效。 </w:t>
      </w:r>
    </w:p>
    <w:p w14:paraId="436C1FDA">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14.8 响应文件（包含电子备份响应文件），其中电子响应文件中所须加盖公章部分均采用 CA </w:t>
      </w:r>
      <w:r>
        <w:rPr>
          <w:rFonts w:hint="eastAsia" w:asciiTheme="minorEastAsia" w:hAnsiTheme="minorEastAsia" w:eastAsiaTheme="minorEastAsia"/>
          <w:color w:val="auto"/>
          <w:sz w:val="24"/>
          <w:highlight w:val="none"/>
          <w:lang w:val="en-US" w:eastAsia="zh-CN"/>
        </w:rPr>
        <w:t>电子公章</w:t>
      </w:r>
      <w:r>
        <w:rPr>
          <w:rFonts w:hint="eastAsia" w:asciiTheme="minorEastAsia" w:hAnsiTheme="minorEastAsia" w:eastAsiaTheme="minorEastAsia"/>
          <w:color w:val="auto"/>
          <w:sz w:val="24"/>
          <w:highlight w:val="none"/>
        </w:rPr>
        <w:t>或企业公章。若</w:t>
      </w:r>
      <w:r>
        <w:rPr>
          <w:rFonts w:hint="eastAsia" w:asciiTheme="minorEastAsia" w:hAnsiTheme="minorEastAsia" w:eastAsiaTheme="minorEastAsia"/>
          <w:color w:val="auto"/>
          <w:sz w:val="24"/>
          <w:highlight w:val="none"/>
          <w:lang w:eastAsia="zh-CN"/>
        </w:rPr>
        <w:t>竞争性谈判文件</w:t>
      </w:r>
      <w:r>
        <w:rPr>
          <w:rFonts w:hint="eastAsia" w:asciiTheme="minorEastAsia" w:hAnsiTheme="minorEastAsia" w:eastAsiaTheme="minorEastAsia"/>
          <w:color w:val="auto"/>
          <w:sz w:val="24"/>
          <w:highlight w:val="none"/>
        </w:rPr>
        <w:t>中有专门标注的某关联点，并要求供应商在电子响应系统中作出响应响应的，如供应商未对关联点进行响应或者在响应文件其它内容进行描述，造成电子评审不能查询的责任由供应商自行承担。</w:t>
      </w:r>
    </w:p>
    <w:p w14:paraId="600A273D">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14.9 </w:t>
      </w:r>
      <w:r>
        <w:rPr>
          <w:rFonts w:hint="eastAsia" w:asciiTheme="minorEastAsia" w:hAnsiTheme="minorEastAsia" w:eastAsiaTheme="minorEastAsia"/>
          <w:b/>
          <w:bCs/>
          <w:color w:val="auto"/>
          <w:sz w:val="24"/>
          <w:highlight w:val="none"/>
        </w:rPr>
        <w:t xml:space="preserve">磋商响应文件中所提供的资格证明文件及相关材料若为复印件必须加盖磋商单位 CA </w:t>
      </w:r>
      <w:r>
        <w:rPr>
          <w:rFonts w:hint="eastAsia" w:asciiTheme="minorEastAsia" w:hAnsiTheme="minorEastAsia" w:eastAsiaTheme="minorEastAsia"/>
          <w:b/>
          <w:bCs/>
          <w:color w:val="auto"/>
          <w:sz w:val="24"/>
          <w:highlight w:val="none"/>
          <w:lang w:val="en-US" w:eastAsia="zh-CN"/>
        </w:rPr>
        <w:t>电子公章</w:t>
      </w:r>
      <w:r>
        <w:rPr>
          <w:rFonts w:hint="eastAsia" w:asciiTheme="minorEastAsia" w:hAnsiTheme="minorEastAsia" w:eastAsiaTheme="minorEastAsia"/>
          <w:b/>
          <w:bCs/>
          <w:color w:val="auto"/>
          <w:sz w:val="24"/>
          <w:highlight w:val="none"/>
        </w:rPr>
        <w:t>或企业公章，否则视为无效。</w:t>
      </w:r>
    </w:p>
    <w:p w14:paraId="0B4061AA">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 响应文件的密封和标识</w:t>
      </w:r>
    </w:p>
    <w:p w14:paraId="5BB6E53F">
      <w:pPr>
        <w:pStyle w:val="22"/>
        <w:adjustRightInd w:val="0"/>
        <w:snapToGrid w:val="0"/>
        <w:spacing w:line="4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 xml:space="preserve">15.1 </w:t>
      </w:r>
      <w:r>
        <w:rPr>
          <w:rFonts w:hint="eastAsia" w:hAnsi="宋体" w:cs="宋体"/>
          <w:bCs/>
          <w:color w:val="auto"/>
          <w:sz w:val="24"/>
          <w:szCs w:val="24"/>
          <w:highlight w:val="none"/>
          <w:lang w:val="zh-CN"/>
        </w:rPr>
        <w:t>供应商进行电子交易应安装客户端软件—“广西政府采购云平台电子交易客户端”，并按照磋商文件和电子交易平台的要求编制并加密响应文件。供应商未按规定加密的响应文件，电子交易平台将拒收并提示。</w:t>
      </w:r>
      <w:r>
        <w:rPr>
          <w:rFonts w:hint="eastAsia" w:hAnsi="宋体" w:cs="宋体"/>
          <w:bCs/>
          <w:color w:val="auto"/>
          <w:sz w:val="24"/>
          <w:szCs w:val="24"/>
          <w:highlight w:val="none"/>
        </w:rPr>
        <w:t xml:space="preserve"> </w:t>
      </w:r>
    </w:p>
    <w:p w14:paraId="4FE5A680">
      <w:pPr>
        <w:pStyle w:val="22"/>
        <w:adjustRightInd w:val="0"/>
        <w:snapToGrid w:val="0"/>
        <w:spacing w:line="40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15.</w:t>
      </w:r>
      <w:r>
        <w:rPr>
          <w:rFonts w:hint="eastAsia" w:hAnsi="宋体" w:cs="宋体"/>
          <w:color w:val="auto"/>
          <w:sz w:val="24"/>
          <w:szCs w:val="24"/>
          <w:highlight w:val="none"/>
        </w:rPr>
        <w:t>2</w:t>
      </w:r>
      <w:r>
        <w:rPr>
          <w:rFonts w:hint="eastAsia" w:hAnsi="宋体" w:cs="宋体"/>
          <w:color w:val="auto"/>
          <w:sz w:val="24"/>
          <w:szCs w:val="24"/>
          <w:highlight w:val="none"/>
          <w:lang w:val="zh-CN"/>
        </w:rPr>
        <w:t>使用“广西政府采购云平台电子交易客户端”需要提前申领CA数字证书，申领流程</w:t>
      </w:r>
      <w:r>
        <w:rPr>
          <w:rFonts w:hint="eastAsia" w:hAnsi="宋体" w:cs="宋体"/>
          <w:color w:val="auto"/>
          <w:sz w:val="24"/>
          <w:szCs w:val="24"/>
          <w:highlight w:val="none"/>
        </w:rPr>
        <w:t>:</w:t>
      </w:r>
      <w:r>
        <w:rPr>
          <w:rFonts w:hint="eastAsia" w:hAnsi="宋体" w:cs="宋体"/>
          <w:b/>
          <w:bCs/>
          <w:color w:val="auto"/>
          <w:sz w:val="24"/>
          <w:szCs w:val="24"/>
          <w:highlight w:val="none"/>
        </w:rPr>
        <w:t>登陆</w:t>
      </w:r>
      <w:r>
        <w:rPr>
          <w:rFonts w:hint="eastAsia" w:hAnsi="宋体" w:cs="宋体"/>
          <w:b/>
          <w:bCs/>
          <w:color w:val="auto"/>
          <w:sz w:val="24"/>
          <w:szCs w:val="24"/>
          <w:highlight w:val="none"/>
          <w:lang w:val="zh-CN"/>
        </w:rPr>
        <w:t>广西政府采购云平台</w:t>
      </w:r>
      <w:r>
        <w:rPr>
          <w:rFonts w:hint="eastAsia" w:hAnsi="宋体" w:cs="宋体"/>
          <w:b/>
          <w:bCs/>
          <w:color w:val="auto"/>
          <w:sz w:val="24"/>
          <w:szCs w:val="24"/>
          <w:highlight w:val="none"/>
        </w:rPr>
        <w:t>-服务中心-帮助中心-项目采购-常见问题-广西政府采购云平台常见问题-CA管理</w:t>
      </w:r>
      <w:r>
        <w:rPr>
          <w:rFonts w:hint="eastAsia" w:hAnsi="宋体" w:cs="宋体"/>
          <w:b/>
          <w:bCs/>
          <w:color w:val="auto"/>
          <w:sz w:val="24"/>
          <w:szCs w:val="24"/>
          <w:highlight w:val="none"/>
          <w:lang w:val="zh-CN"/>
        </w:rPr>
        <w:t>。</w:t>
      </w:r>
      <w:r>
        <w:rPr>
          <w:rFonts w:hint="eastAsia" w:hAnsi="宋体" w:cs="宋体"/>
          <w:color w:val="auto"/>
          <w:sz w:val="24"/>
          <w:szCs w:val="24"/>
          <w:highlight w:val="none"/>
        </w:rPr>
        <w:t xml:space="preserve"> </w:t>
      </w:r>
    </w:p>
    <w:p w14:paraId="5BD27406">
      <w:pPr>
        <w:pStyle w:val="22"/>
        <w:adjustRightInd w:val="0"/>
        <w:snapToGrid w:val="0"/>
        <w:spacing w:line="400" w:lineRule="exact"/>
        <w:ind w:firstLine="480" w:firstLineChars="200"/>
        <w:rPr>
          <w:rFonts w:hAnsi="宋体" w:cs="宋体"/>
          <w:color w:val="auto"/>
          <w:sz w:val="24"/>
          <w:szCs w:val="24"/>
          <w:highlight w:val="none"/>
        </w:rPr>
      </w:pPr>
      <w:r>
        <w:rPr>
          <w:rFonts w:hint="eastAsia" w:hAnsi="宋体" w:cs="宋体"/>
          <w:bCs/>
          <w:color w:val="auto"/>
          <w:sz w:val="24"/>
          <w:szCs w:val="24"/>
          <w:highlight w:val="none"/>
        </w:rPr>
        <w:t>15</w:t>
      </w:r>
      <w:r>
        <w:rPr>
          <w:rFonts w:hint="eastAsia" w:hAnsi="宋体" w:cs="宋体"/>
          <w:color w:val="auto"/>
          <w:sz w:val="24"/>
          <w:szCs w:val="24"/>
          <w:highlight w:val="none"/>
        </w:rPr>
        <w:t>.3 为确保网上操作合法、有效和安全，供应商应当在响应文件提交截止时间前完成在“广西政府采购云平台”的身份认证，确保在电子交易过程中能够对相关数据电文进行加密和使用电子签名。</w:t>
      </w:r>
    </w:p>
    <w:p w14:paraId="15C83BBC">
      <w:pPr>
        <w:spacing w:after="0" w:line="400" w:lineRule="exact"/>
        <w:ind w:firstLine="490" w:firstLineChars="200"/>
        <w:rPr>
          <w:rFonts w:cs="Courier New" w:asciiTheme="minorEastAsia" w:hAnsiTheme="minorEastAsia" w:eastAsiaTheme="minorEastAsia"/>
          <w:b/>
          <w:bCs/>
          <w:color w:val="auto"/>
          <w:spacing w:val="2"/>
          <w:sz w:val="24"/>
          <w:highlight w:val="none"/>
        </w:rPr>
      </w:pPr>
      <w:r>
        <w:rPr>
          <w:rFonts w:hint="eastAsia" w:cs="Courier New" w:asciiTheme="minorEastAsia" w:hAnsiTheme="minorEastAsia" w:eastAsiaTheme="minorEastAsia"/>
          <w:b/>
          <w:bCs/>
          <w:color w:val="auto"/>
          <w:spacing w:val="2"/>
          <w:sz w:val="24"/>
          <w:highlight w:val="none"/>
        </w:rPr>
        <w:t>16. 响应文件的递交</w:t>
      </w:r>
    </w:p>
    <w:p w14:paraId="34AC0F7E">
      <w:pPr>
        <w:spacing w:after="0" w:line="440" w:lineRule="exact"/>
        <w:ind w:firstLine="484" w:firstLineChars="20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16.1 供应商必须在“供应商须知前附表”规定的时间和地点提交响应文件。</w:t>
      </w:r>
    </w:p>
    <w:p w14:paraId="71FA575E">
      <w:pPr>
        <w:spacing w:after="0" w:line="440" w:lineRule="exact"/>
        <w:ind w:firstLine="484" w:firstLineChars="20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16.2在响应文件提交截止时间以后，不能补充、修改响应文件。</w:t>
      </w:r>
    </w:p>
    <w:p w14:paraId="65A4C481">
      <w:pPr>
        <w:spacing w:after="0" w:line="440" w:lineRule="exact"/>
        <w:ind w:firstLine="484" w:firstLineChars="20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16.3在提交“最后报价”后，供应商不能退出磋商。</w:t>
      </w:r>
    </w:p>
    <w:p w14:paraId="1522270F">
      <w:pPr>
        <w:spacing w:after="0" w:line="440" w:lineRule="exact"/>
        <w:ind w:firstLine="484" w:firstLineChars="201"/>
        <w:rPr>
          <w:rFonts w:cs="Courier New" w:asciiTheme="minorEastAsia" w:hAnsiTheme="minorEastAsia" w:eastAsiaTheme="minorEastAsia"/>
          <w:bCs/>
          <w:color w:val="auto"/>
          <w:spacing w:val="2"/>
          <w:sz w:val="24"/>
          <w:highlight w:val="none"/>
        </w:rPr>
      </w:pPr>
      <w:r>
        <w:rPr>
          <w:rFonts w:hint="eastAsia" w:ascii="宋体" w:hAnsi="宋体" w:eastAsia="宋体" w:cs="宋体"/>
          <w:b/>
          <w:bCs/>
          <w:color w:val="auto"/>
          <w:sz w:val="24"/>
          <w:szCs w:val="24"/>
          <w:highlight w:val="none"/>
        </w:rPr>
        <w:t>16.4电子交易平台收到响应文件，将妥善保存并即时向供应商发出确认回执通知。在响应文件提交截止时间前，除供应商补充、修改或者撤回响应文件外，任何单位和个人不得解密或提取响应文件。</w:t>
      </w:r>
    </w:p>
    <w:p w14:paraId="057F8A99">
      <w:pPr>
        <w:spacing w:after="0" w:line="400" w:lineRule="exact"/>
        <w:ind w:firstLine="490" w:firstLineChars="200"/>
        <w:rPr>
          <w:rFonts w:cs="Courier New" w:asciiTheme="minorEastAsia" w:hAnsiTheme="minorEastAsia" w:eastAsiaTheme="minorEastAsia"/>
          <w:b/>
          <w:bCs/>
          <w:color w:val="auto"/>
          <w:spacing w:val="2"/>
          <w:sz w:val="24"/>
          <w:highlight w:val="none"/>
        </w:rPr>
      </w:pPr>
      <w:r>
        <w:rPr>
          <w:rFonts w:hint="eastAsia" w:cs="Courier New" w:asciiTheme="minorEastAsia" w:hAnsiTheme="minorEastAsia" w:eastAsiaTheme="minorEastAsia"/>
          <w:b/>
          <w:bCs/>
          <w:color w:val="auto"/>
          <w:spacing w:val="2"/>
          <w:sz w:val="24"/>
          <w:highlight w:val="none"/>
        </w:rPr>
        <w:t>17. 响应文件的修改和撤回</w:t>
      </w:r>
    </w:p>
    <w:p w14:paraId="44281089">
      <w:pPr>
        <w:spacing w:after="0" w:line="440" w:lineRule="exact"/>
        <w:ind w:firstLine="482" w:firstLineChars="201"/>
        <w:jc w:val="both"/>
        <w:rPr>
          <w:rFonts w:ascii="宋体" w:hAnsi="宋体" w:eastAsia="宋体" w:cs="宋体"/>
          <w:color w:val="auto"/>
          <w:sz w:val="24"/>
          <w:szCs w:val="24"/>
          <w:highlight w:val="none"/>
        </w:rPr>
      </w:pPr>
      <w:bookmarkStart w:id="53" w:name="_Toc7192547"/>
      <w:r>
        <w:rPr>
          <w:rFonts w:hint="eastAsia" w:ascii="宋体" w:hAnsi="宋体" w:eastAsia="宋体" w:cs="宋体"/>
          <w:color w:val="auto"/>
          <w:sz w:val="24"/>
          <w:szCs w:val="24"/>
          <w:highlight w:val="none"/>
        </w:rPr>
        <w:t>17.1 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532402B9">
      <w:pPr>
        <w:spacing w:after="0" w:line="440" w:lineRule="exact"/>
        <w:ind w:firstLine="482" w:firstLineChars="201"/>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17.2首次响应文件的退回</w:t>
      </w:r>
    </w:p>
    <w:p w14:paraId="773D105E">
      <w:pPr>
        <w:spacing w:after="0" w:line="440" w:lineRule="exact"/>
        <w:ind w:firstLine="482" w:firstLineChars="201"/>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FFF6BF4">
      <w:pPr>
        <w:pStyle w:val="3"/>
        <w:spacing w:before="240" w:beforeLines="100"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四、谈判与评审</w:t>
      </w:r>
      <w:bookmarkEnd w:id="53"/>
    </w:p>
    <w:p w14:paraId="1BC2AEC2">
      <w:pPr>
        <w:pStyle w:val="22"/>
        <w:spacing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 谈判时间和地点</w:t>
      </w:r>
    </w:p>
    <w:p w14:paraId="07474A2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8</w:t>
      </w:r>
      <w:r>
        <w:rPr>
          <w:rFonts w:hint="eastAsia" w:asciiTheme="minorEastAsia" w:hAnsiTheme="minorEastAsia" w:eastAsiaTheme="minorEastAsia"/>
          <w:color w:val="auto"/>
          <w:sz w:val="24"/>
          <w:highlight w:val="none"/>
        </w:rPr>
        <w:t>.1 谈判小组将在供应商须知前附表规定的时间和地点组织谈判，供应商的法定代表人或其授权委托人必须按供应商须知前附表规定的要求在线等候谈判，否则作无效响应处理。</w:t>
      </w:r>
    </w:p>
    <w:p w14:paraId="3C7E865E">
      <w:pPr>
        <w:pStyle w:val="22"/>
        <w:spacing w:line="400" w:lineRule="exact"/>
        <w:ind w:firstLine="482" w:firstLineChars="200"/>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19</w:t>
      </w:r>
      <w:r>
        <w:rPr>
          <w:rFonts w:hint="eastAsia" w:asciiTheme="minorEastAsia" w:hAnsiTheme="minorEastAsia" w:eastAsiaTheme="minorEastAsia"/>
          <w:b/>
          <w:color w:val="auto"/>
          <w:sz w:val="24"/>
          <w:highlight w:val="none"/>
        </w:rPr>
        <w:t>. 谈判小组成立</w:t>
      </w:r>
    </w:p>
    <w:p w14:paraId="1BEBD3A0">
      <w:pPr>
        <w:pStyle w:val="22"/>
        <w:spacing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19</w:t>
      </w:r>
      <w:r>
        <w:rPr>
          <w:rFonts w:hint="eastAsia" w:asciiTheme="minorEastAsia" w:hAnsiTheme="minorEastAsia" w:eastAsiaTheme="minorEastAsia"/>
          <w:color w:val="auto"/>
          <w:sz w:val="24"/>
          <w:highlight w:val="none"/>
        </w:rPr>
        <w:t>.1竞争性谈判小组成立</w:t>
      </w:r>
    </w:p>
    <w:p w14:paraId="4040BBE5">
      <w:pPr>
        <w:pStyle w:val="22"/>
        <w:spacing w:line="440" w:lineRule="exact"/>
        <w:ind w:firstLine="480" w:firstLineChars="200"/>
        <w:rPr>
          <w:rFonts w:hAnsi="宋体" w:cs="宋体"/>
          <w:color w:val="auto"/>
          <w:sz w:val="24"/>
          <w:szCs w:val="24"/>
          <w:highlight w:val="none"/>
        </w:rPr>
      </w:pPr>
      <w:r>
        <w:rPr>
          <w:rFonts w:hint="eastAsia" w:asciiTheme="minorEastAsia" w:hAnsiTheme="minorEastAsia" w:eastAsiaTheme="minorEastAsia"/>
          <w:color w:val="auto"/>
          <w:sz w:val="24"/>
          <w:highlight w:val="none"/>
        </w:rPr>
        <w:t>谈判</w:t>
      </w:r>
      <w:r>
        <w:rPr>
          <w:rFonts w:hint="eastAsia" w:hAnsi="宋体" w:cs="宋体"/>
          <w:color w:val="auto"/>
          <w:sz w:val="24"/>
          <w:szCs w:val="24"/>
          <w:highlight w:val="none"/>
        </w:rPr>
        <w:t>小组由采购人代表和政府采购评审专家共3人及以上单数组成，其中政府采购评审专家人数不得少于磋商小组成员总数的2/3。</w:t>
      </w:r>
    </w:p>
    <w:p w14:paraId="11E8EB82">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采购代理机构依据法律规定，在广西政府采购云平台按规定的程序进行随机抽取政府采购评审专家。</w:t>
      </w:r>
    </w:p>
    <w:p w14:paraId="0454A604">
      <w:pPr>
        <w:pStyle w:val="22"/>
        <w:spacing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19</w:t>
      </w:r>
      <w:r>
        <w:rPr>
          <w:rFonts w:hint="eastAsia" w:asciiTheme="minorEastAsia" w:hAnsiTheme="minorEastAsia" w:eastAsiaTheme="minorEastAsia"/>
          <w:color w:val="auto"/>
          <w:sz w:val="24"/>
          <w:highlight w:val="none"/>
        </w:rPr>
        <w:t>.2 竞争性谈判小组在采购活动过程中应当履行下列职责：</w:t>
      </w:r>
    </w:p>
    <w:p w14:paraId="254A5C9F">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（1）确认谈判文件； </w:t>
      </w:r>
    </w:p>
    <w:p w14:paraId="080EAE40">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（2）从符合相应资格条件的供应商名单中确定不少于3家的供应商参加谈判；</w:t>
      </w:r>
    </w:p>
    <w:p w14:paraId="1E2C92B6">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（3）审查供应商的响应文件并作出评价；</w:t>
      </w:r>
    </w:p>
    <w:p w14:paraId="71DD7541">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（4）要求供应商解释或者澄清其响应文件；</w:t>
      </w:r>
    </w:p>
    <w:p w14:paraId="1E900334">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（5）编写评审报告； </w:t>
      </w:r>
    </w:p>
    <w:p w14:paraId="7D3F3E85">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（6）告知采购人、采购代理机构在评审过程中发现的供应商的违法违规行为。</w:t>
      </w:r>
    </w:p>
    <w:p w14:paraId="772D52D2">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rPr>
        <w:t>.3竞争性谈判小组成员应当履行下列义务：</w:t>
      </w:r>
    </w:p>
    <w:p w14:paraId="45E1FBAD">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（1）遵纪守法，客观、公正、廉洁地履行职责；</w:t>
      </w:r>
    </w:p>
    <w:p w14:paraId="72BB8111">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（2）根据采购文件的规定独立进行评审，对个人的评审意见承担法律责任；</w:t>
      </w:r>
    </w:p>
    <w:p w14:paraId="39470F15">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（3）参与评审报告的起草；</w:t>
      </w:r>
    </w:p>
    <w:p w14:paraId="407E9268">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（4）配合采购人、采购代理机构答复供应商提出的质疑；</w:t>
      </w:r>
    </w:p>
    <w:p w14:paraId="57D2570B">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（5）配合财政部门的投诉处理和监督检查工作。</w:t>
      </w:r>
    </w:p>
    <w:p w14:paraId="667F8FEC">
      <w:pPr>
        <w:pStyle w:val="22"/>
        <w:spacing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0</w:t>
      </w:r>
      <w:r>
        <w:rPr>
          <w:rFonts w:hint="eastAsia" w:asciiTheme="minorEastAsia" w:hAnsiTheme="minorEastAsia" w:eastAsiaTheme="minorEastAsia"/>
          <w:b/>
          <w:color w:val="auto"/>
          <w:sz w:val="24"/>
          <w:highlight w:val="none"/>
        </w:rPr>
        <w:t>.评审原则及方法</w:t>
      </w:r>
    </w:p>
    <w:p w14:paraId="58E2DC90">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.1 评审原则：</w:t>
      </w:r>
    </w:p>
    <w:p w14:paraId="1FF5346F">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评审活动遵循公平、公正、科学和择优的原则。</w:t>
      </w:r>
    </w:p>
    <w:p w14:paraId="6FAEA236">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.2 评审方法：</w:t>
      </w:r>
    </w:p>
    <w:p w14:paraId="5F995C79">
      <w:pPr>
        <w:pStyle w:val="22"/>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按照供应商须知前附表和第四章“评审方法及评审标准”规定的方法、评审因素和标准对响应文件进行评审。在评审中，不得改变第四章“评审方法及评审标准”规定的方法、评审因素和标准；第四章“评审方法及评审标准”没有规定的方法、评审因素和标准，不作为评审依据。</w:t>
      </w:r>
    </w:p>
    <w:p w14:paraId="6563D65C">
      <w:pPr>
        <w:pStyle w:val="22"/>
        <w:spacing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 评审程序</w:t>
      </w:r>
    </w:p>
    <w:p w14:paraId="032309EE">
      <w:pPr>
        <w:spacing w:after="0" w:line="400" w:lineRule="exact"/>
        <w:ind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谈判小组确认竞争性谈判文件。</w:t>
      </w:r>
    </w:p>
    <w:p w14:paraId="505DEBFF">
      <w:pPr>
        <w:spacing w:after="0" w:line="4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highlight w:val="none"/>
        </w:rPr>
        <w:t>.2资格审查和符合性审查</w:t>
      </w:r>
    </w:p>
    <w:p w14:paraId="54FCDBB3">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资格条件及响应文件进行评审，并从符合竞争性谈判文件规定的相应资格条件的供应商名单中确定不少于3家的供应商参加谈判除《政府采购非招标采购方式管理办法》（财政部74号令）第二十七条第二款规定的“公开招标的货物、服务采购项目，招标过程中提交响应文件或者经评审实质性响应采购文件要求的供应商只有两家时，采购人、采购代理机构按照本办法第四条经本级财政部门批准后可以与该两家供应商进行竞争性谈判采购”情形除外，供应商最低数量可以为两家。</w:t>
      </w:r>
    </w:p>
    <w:p w14:paraId="2B0E7603">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资格条件</w:t>
      </w:r>
      <w:r>
        <w:rPr>
          <w:rFonts w:hint="eastAsia" w:asciiTheme="minorEastAsia" w:hAnsiTheme="minorEastAsia" w:eastAsiaTheme="minorEastAsia"/>
          <w:color w:val="auto"/>
          <w:sz w:val="24"/>
          <w:highlight w:val="none"/>
        </w:rPr>
        <w:t>不符合</w:t>
      </w:r>
      <w:r>
        <w:rPr>
          <w:rFonts w:asciiTheme="minorEastAsia" w:hAnsiTheme="minorEastAsia" w:eastAsiaTheme="minorEastAsia"/>
          <w:color w:val="auto"/>
          <w:sz w:val="24"/>
          <w:highlight w:val="none"/>
        </w:rPr>
        <w:t>的供应商</w:t>
      </w:r>
      <w:r>
        <w:rPr>
          <w:rFonts w:hint="eastAsia" w:asciiTheme="minorEastAsia" w:hAnsiTheme="minorEastAsia" w:eastAsiaTheme="minorEastAsia"/>
          <w:color w:val="auto"/>
          <w:sz w:val="24"/>
          <w:highlight w:val="none"/>
        </w:rPr>
        <w:t>或</w:t>
      </w:r>
      <w:r>
        <w:rPr>
          <w:rFonts w:asciiTheme="minorEastAsia" w:hAnsiTheme="minorEastAsia" w:eastAsiaTheme="minorEastAsia"/>
          <w:color w:val="auto"/>
          <w:sz w:val="24"/>
          <w:highlight w:val="none"/>
        </w:rPr>
        <w:t>未实质性响应谈判文件的响应文件按无效</w:t>
      </w:r>
      <w:r>
        <w:rPr>
          <w:rFonts w:hint="eastAsia" w:asciiTheme="minorEastAsia" w:hAnsiTheme="minorEastAsia" w:eastAsiaTheme="minorEastAsia"/>
          <w:color w:val="auto"/>
          <w:sz w:val="24"/>
          <w:highlight w:val="none"/>
        </w:rPr>
        <w:t>竞标</w:t>
      </w:r>
      <w:r>
        <w:rPr>
          <w:rFonts w:asciiTheme="minorEastAsia" w:hAnsiTheme="minorEastAsia" w:eastAsiaTheme="minorEastAsia"/>
          <w:color w:val="auto"/>
          <w:sz w:val="24"/>
          <w:highlight w:val="none"/>
        </w:rPr>
        <w:t>处理，谈判小组告知有关供应商。</w:t>
      </w:r>
    </w:p>
    <w:p w14:paraId="7A6648E5">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21.2.1资格审查</w:t>
      </w:r>
    </w:p>
    <w:p w14:paraId="799392FF">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供应商有下列情形之一的，资格审查不通过：</w:t>
      </w:r>
    </w:p>
    <w:p w14:paraId="6516A40B">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（1）不符合《中华人民共和国政府采购法》第二十二条规定条件的。</w:t>
      </w:r>
    </w:p>
    <w:p w14:paraId="3D96ADD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（2）未按本项目采购公告规定方式获得竞争性谈判文件的。</w:t>
      </w:r>
    </w:p>
    <w:p w14:paraId="5BA2FC8B">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（3）参加同一合同项下的政府采购活动的不同供应商，单位负责人为同一人或者存在直接控股、管理关系的。</w:t>
      </w:r>
    </w:p>
    <w:p w14:paraId="752DACE0">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（4）为本次采购项目提供整体设计、规范编制或者项目管理、监理、检测等服务的。</w:t>
      </w:r>
    </w:p>
    <w:p w14:paraId="5C677305">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（5）在“信用中国”网站(www.creditchina.gov.cn)</w:t>
      </w:r>
      <w:r>
        <w:rPr>
          <w:rFonts w:hint="eastAsia" w:cs="宋体" w:asciiTheme="minorEastAsia" w:hAnsiTheme="minorEastAsia" w:eastAsiaTheme="minorEastAsia"/>
          <w:color w:val="auto"/>
          <w:sz w:val="24"/>
          <w:highlight w:val="none"/>
        </w:rPr>
        <w:t>、中国政府采购网（www.ccgp.gov.cn）等</w:t>
      </w:r>
      <w:r>
        <w:rPr>
          <w:rFonts w:hint="eastAsia" w:asciiTheme="minorEastAsia" w:hAnsiTheme="minorEastAsia" w:eastAsiaTheme="minorEastAsia"/>
          <w:color w:val="auto"/>
          <w:sz w:val="24"/>
          <w:highlight w:val="none"/>
        </w:rPr>
        <w:t>渠道被列入失信被执行人、重大税收违法案件当事人名单、政府采购严重违法失信行为记录名单的。</w:t>
      </w:r>
    </w:p>
    <w:p w14:paraId="24BEDA4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（6）不按照采购文件要求提供合格的资格证明材料的。</w:t>
      </w:r>
    </w:p>
    <w:p w14:paraId="0908FFCF">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（7）违反国家法律法规规定的其他资格内容的。</w:t>
      </w:r>
    </w:p>
    <w:p w14:paraId="4F4D426A">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21.2.2符合性审查</w:t>
      </w:r>
    </w:p>
    <w:p w14:paraId="34EF0EE4">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依据采购文件的规定，谈判小组对通过资格审查的供应商的响应文件从有效性、完整性和对采购文件的响应程度等几方面进行审查，以确定是否对采购文件的实质性要求和条件作出响应。</w:t>
      </w:r>
    </w:p>
    <w:p w14:paraId="40C4BEA6">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21.3</w:t>
      </w:r>
      <w:r>
        <w:rPr>
          <w:rFonts w:hint="eastAsia" w:asciiTheme="minorEastAsia" w:hAnsiTheme="minorEastAsia" w:eastAsiaTheme="minorEastAsia"/>
          <w:color w:val="auto"/>
          <w:sz w:val="24"/>
          <w:highlight w:val="none"/>
        </w:rPr>
        <w:t>澄清有关问题</w:t>
      </w:r>
    </w:p>
    <w:p w14:paraId="13CA8405">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对响应文件中含义不明确、同类问题表述不一致或者有明显文字和计算错误的内容，谈判小组可以</w:t>
      </w:r>
      <w:r>
        <w:rPr>
          <w:rFonts w:hint="eastAsia" w:ascii="宋体" w:hAnsi="宋体" w:eastAsia="宋体" w:cs="宋体"/>
          <w:color w:val="auto"/>
          <w:kern w:val="2"/>
          <w:sz w:val="24"/>
          <w:szCs w:val="24"/>
          <w:highlight w:val="none"/>
        </w:rPr>
        <w:t>以电子澄清函形式在线同时通知所有参加磋商的供应商，</w:t>
      </w:r>
      <w:r>
        <w:rPr>
          <w:rFonts w:hint="eastAsia" w:asciiTheme="minorEastAsia" w:hAnsiTheme="minorEastAsia" w:eastAsiaTheme="minorEastAsia"/>
          <w:color w:val="auto"/>
          <w:sz w:val="24"/>
          <w:highlight w:val="none"/>
        </w:rPr>
        <w:t>要求供应商作出必要的澄清、说明或者纠正。供应商的澄清、说明或者纠正应当采用电子</w:t>
      </w:r>
      <w:r>
        <w:rPr>
          <w:rFonts w:hint="eastAsia" w:ascii="宋体" w:hAnsi="宋体" w:eastAsia="宋体" w:cs="宋体"/>
          <w:color w:val="auto"/>
          <w:kern w:val="2"/>
          <w:sz w:val="24"/>
          <w:szCs w:val="24"/>
          <w:highlight w:val="none"/>
        </w:rPr>
        <w:t>回函</w:t>
      </w:r>
      <w:r>
        <w:rPr>
          <w:rFonts w:hint="eastAsia" w:asciiTheme="minorEastAsia" w:hAnsiTheme="minorEastAsia" w:eastAsiaTheme="minorEastAsia"/>
          <w:color w:val="auto"/>
          <w:sz w:val="24"/>
          <w:highlight w:val="none"/>
        </w:rPr>
        <w:t>形式在线提交，由法定代表人或其委托代理人签字或</w:t>
      </w:r>
      <w:r>
        <w:rPr>
          <w:rFonts w:hint="eastAsia" w:ascii="宋体" w:hAnsi="宋体" w:eastAsia="宋体" w:cs="宋体"/>
          <w:color w:val="auto"/>
          <w:kern w:val="2"/>
          <w:sz w:val="24"/>
          <w:szCs w:val="24"/>
          <w:highlight w:val="none"/>
        </w:rPr>
        <w:t>加盖公章</w:t>
      </w:r>
      <w:r>
        <w:rPr>
          <w:rFonts w:hint="eastAsia" w:asciiTheme="minorEastAsia" w:hAnsiTheme="minorEastAsia" w:eastAsiaTheme="minorEastAsia"/>
          <w:color w:val="auto"/>
          <w:sz w:val="24"/>
          <w:highlight w:val="none"/>
        </w:rPr>
        <w:t>确认，且不得超出响应文件的范围或者改变响应文件的实质性内容。该澄清、说明或者纠正是响应文件的组成部分</w:t>
      </w:r>
    </w:p>
    <w:p w14:paraId="60D7CF56">
      <w:pPr>
        <w:spacing w:after="0" w:line="4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cs="宋体" w:asciiTheme="minorEastAsia" w:hAnsiTheme="minorEastAsia" w:eastAsiaTheme="minorEastAsia"/>
          <w:color w:val="auto"/>
          <w:sz w:val="24"/>
          <w:highlight w:val="none"/>
        </w:rPr>
        <w:t>1.4</w:t>
      </w:r>
      <w:r>
        <w:rPr>
          <w:rFonts w:hint="eastAsia" w:cs="宋体" w:asciiTheme="minorEastAsia" w:hAnsiTheme="minorEastAsia" w:eastAsiaTheme="minorEastAsia"/>
          <w:color w:val="auto"/>
          <w:sz w:val="24"/>
          <w:highlight w:val="none"/>
        </w:rPr>
        <w:t>谈判</w:t>
      </w:r>
    </w:p>
    <w:p w14:paraId="28AF5590">
      <w:pPr>
        <w:spacing w:after="0" w:line="400" w:lineRule="exact"/>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谈判小组按已确定的</w:t>
      </w:r>
      <w:r>
        <w:rPr>
          <w:rFonts w:hint="eastAsia" w:asciiTheme="minorEastAsia" w:hAnsiTheme="minorEastAsia" w:eastAsiaTheme="minorEastAsia"/>
          <w:color w:val="auto"/>
          <w:sz w:val="24"/>
          <w:highlight w:val="none"/>
        </w:rPr>
        <w:t>谈判顺序，谈判小组所有成员应当集中与单一供应商分别进行在线谈判，并给予所有参加谈判的供应商平等的在线谈判机会。符合谈判资格的供应商未在规定时间内参加在线谈判的，视同放弃参加谈判权利，其响应文件作无效处理。</w:t>
      </w:r>
    </w:p>
    <w:p w14:paraId="5E3857C5">
      <w:pPr>
        <w:spacing w:after="0"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在谈判过程中，</w:t>
      </w:r>
      <w:r>
        <w:rPr>
          <w:rFonts w:hint="eastAsia" w:asciiTheme="minorEastAsia" w:hAnsiTheme="minorEastAsia" w:eastAsiaTheme="minorEastAsia"/>
          <w:color w:val="auto"/>
          <w:sz w:val="24"/>
          <w:highlight w:val="none"/>
          <w:u w:val="single"/>
        </w:rPr>
        <w:t>谈判小组可以根据谈判文件和谈判情况实质性变动采购需求中的技术、服务要求以及合同草案条款，但不得变动谈判文件中的其他内容。实质性变动的内容，须经采购人代表确认。</w:t>
      </w:r>
    </w:p>
    <w:p w14:paraId="5348BFC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对谈判文件作出的实质性变动是谈判文件的有效组成部分，</w:t>
      </w:r>
      <w:r>
        <w:rPr>
          <w:rFonts w:hint="eastAsia" w:ascii="宋体" w:hAnsi="宋体" w:eastAsia="宋体" w:cs="宋体"/>
          <w:color w:val="auto"/>
          <w:kern w:val="2"/>
          <w:sz w:val="24"/>
          <w:szCs w:val="24"/>
          <w:highlight w:val="none"/>
        </w:rPr>
        <w:t>由</w:t>
      </w:r>
      <w:r>
        <w:rPr>
          <w:rFonts w:hint="eastAsia" w:asciiTheme="minorEastAsia" w:hAnsiTheme="minorEastAsia" w:eastAsiaTheme="minorEastAsia"/>
          <w:color w:val="auto"/>
          <w:sz w:val="24"/>
          <w:highlight w:val="none"/>
        </w:rPr>
        <w:t>谈判小组</w:t>
      </w:r>
      <w:r>
        <w:rPr>
          <w:rFonts w:hint="eastAsia" w:ascii="宋体" w:hAnsi="宋体" w:eastAsia="宋体" w:cs="宋体"/>
          <w:color w:val="auto"/>
          <w:kern w:val="2"/>
          <w:sz w:val="24"/>
          <w:szCs w:val="24"/>
          <w:highlight w:val="none"/>
        </w:rPr>
        <w:t>及时以电子澄清函形式在线同时通知所有参加磋商的供应商</w:t>
      </w:r>
      <w:r>
        <w:rPr>
          <w:rFonts w:hint="eastAsia" w:asciiTheme="minorEastAsia" w:hAnsiTheme="minorEastAsia" w:eastAsiaTheme="minorEastAsia"/>
          <w:color w:val="auto"/>
          <w:sz w:val="24"/>
          <w:highlight w:val="none"/>
        </w:rPr>
        <w:t>。</w:t>
      </w:r>
    </w:p>
    <w:p w14:paraId="4899EED3">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供应商应当按照谈判文件的变动情况和谈判小组的要求以电子</w:t>
      </w:r>
      <w:r>
        <w:rPr>
          <w:rFonts w:hint="eastAsia" w:ascii="宋体" w:hAnsi="宋体" w:eastAsia="宋体" w:cs="宋体"/>
          <w:color w:val="auto"/>
          <w:kern w:val="2"/>
          <w:sz w:val="24"/>
          <w:szCs w:val="24"/>
          <w:highlight w:val="none"/>
        </w:rPr>
        <w:t>回函的形式</w:t>
      </w:r>
      <w:r>
        <w:rPr>
          <w:rFonts w:hint="eastAsia" w:asciiTheme="minorEastAsia" w:hAnsiTheme="minorEastAsia" w:eastAsiaTheme="minorEastAsia"/>
          <w:color w:val="auto"/>
          <w:sz w:val="24"/>
          <w:highlight w:val="none"/>
        </w:rPr>
        <w:t>在线</w:t>
      </w:r>
      <w:r>
        <w:rPr>
          <w:rFonts w:hint="eastAsia" w:ascii="宋体" w:hAnsi="宋体" w:eastAsia="宋体" w:cs="宋体"/>
          <w:color w:val="auto"/>
          <w:kern w:val="2"/>
          <w:sz w:val="24"/>
          <w:szCs w:val="24"/>
          <w:highlight w:val="none"/>
        </w:rPr>
        <w:t>重新提交响应文件</w:t>
      </w:r>
      <w:r>
        <w:rPr>
          <w:rFonts w:hint="eastAsia" w:asciiTheme="minorEastAsia" w:hAnsiTheme="minorEastAsia" w:eastAsiaTheme="minorEastAsia"/>
          <w:color w:val="auto"/>
          <w:sz w:val="24"/>
          <w:highlight w:val="none"/>
        </w:rPr>
        <w:t>，并由其法定代表人或授权代表签字或者</w:t>
      </w:r>
      <w:r>
        <w:rPr>
          <w:rFonts w:hint="eastAsia" w:ascii="宋体" w:hAnsi="宋体" w:eastAsia="宋体" w:cs="宋体"/>
          <w:color w:val="auto"/>
          <w:kern w:val="2"/>
          <w:sz w:val="24"/>
          <w:szCs w:val="24"/>
          <w:highlight w:val="none"/>
        </w:rPr>
        <w:t>加盖公章</w:t>
      </w:r>
      <w:r>
        <w:rPr>
          <w:rFonts w:hint="eastAsia" w:asciiTheme="minorEastAsia" w:hAnsiTheme="minorEastAsia" w:eastAsiaTheme="minorEastAsia"/>
          <w:color w:val="auto"/>
          <w:sz w:val="24"/>
          <w:highlight w:val="none"/>
        </w:rPr>
        <w:t>。由授权代表签字的，应当附法定代表人授权书。供应商为自然人的，应当由本人签字并附身份证明。参加谈判的供应商未在规定时间内重新提交响应文件的，视同放弃提交权利，其响应文件作无效处理。</w:t>
      </w:r>
    </w:p>
    <w:p w14:paraId="7BB00ECE">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谈判中，谈判的任何一方不得透露与谈判有关的其他供应商的技术资料、价格和其他信息。</w:t>
      </w:r>
    </w:p>
    <w:p w14:paraId="3121EB38">
      <w:pPr>
        <w:tabs>
          <w:tab w:val="left" w:pos="540"/>
        </w:tabs>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广西政府采购平台将对谈判过程和重要谈判内容进行记录，谈判双方在记录上签字或加盖公章确认。</w:t>
      </w:r>
    </w:p>
    <w:p w14:paraId="031F6FB1">
      <w:pPr>
        <w:tabs>
          <w:tab w:val="left" w:pos="540"/>
        </w:tabs>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谈判小组一致确定响应供应商符合谈判文件要求的，按谈判文件设定的方法和标准确定成交候选人。第一轮谈判谈判小组未能确定成交候选人的，对谈判文件修正后进行第二轮谈判，以此类推。</w:t>
      </w:r>
    </w:p>
    <w:p w14:paraId="2A155BA9">
      <w:pPr>
        <w:tabs>
          <w:tab w:val="left" w:pos="540"/>
        </w:tabs>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21.5</w:t>
      </w:r>
      <w:r>
        <w:rPr>
          <w:rFonts w:hint="eastAsia" w:asciiTheme="minorEastAsia" w:hAnsiTheme="minorEastAsia" w:eastAsiaTheme="minorEastAsia"/>
          <w:color w:val="auto"/>
          <w:sz w:val="24"/>
          <w:highlight w:val="none"/>
        </w:rPr>
        <w:t>最后报价</w:t>
      </w:r>
    </w:p>
    <w:p w14:paraId="28D0243C">
      <w:pPr>
        <w:spacing w:after="0" w:line="400" w:lineRule="exact"/>
        <w:ind w:firstLine="482" w:firstLineChars="200"/>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21.5</w:t>
      </w:r>
      <w:r>
        <w:rPr>
          <w:rFonts w:hint="eastAsia" w:asciiTheme="minorEastAsia" w:hAnsiTheme="minorEastAsia" w:eastAsiaTheme="minorEastAsia"/>
          <w:b/>
          <w:bCs/>
          <w:color w:val="auto"/>
          <w:sz w:val="24"/>
          <w:highlight w:val="none"/>
        </w:rPr>
        <w:t>.1 谈判文件能够详细列明采购标的的技术、服务要求的，谈判结束后，谈判小组应当要求所有继续参加谈判的供应商在规定时间内密封提交最后报价，提交最后报价的供应商不得少于3家。</w:t>
      </w:r>
    </w:p>
    <w:p w14:paraId="2CFC5B97">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21.5</w:t>
      </w:r>
      <w:r>
        <w:rPr>
          <w:rFonts w:hint="eastAsia" w:asciiTheme="minorEastAsia" w:hAnsiTheme="minorEastAsia" w:eastAsiaTheme="minorEastAsia"/>
          <w:color w:val="auto"/>
          <w:sz w:val="24"/>
          <w:highlight w:val="none"/>
        </w:rPr>
        <w:t>.2 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在线提交最后报价。</w:t>
      </w:r>
    </w:p>
    <w:p w14:paraId="7C516BF3">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21.5</w:t>
      </w:r>
      <w:r>
        <w:rPr>
          <w:rFonts w:hint="eastAsia" w:asciiTheme="minorEastAsia" w:hAnsiTheme="minorEastAsia" w:eastAsiaTheme="minorEastAsia"/>
          <w:color w:val="auto"/>
          <w:sz w:val="24"/>
          <w:highlight w:val="none"/>
        </w:rPr>
        <w:t>.3 最后报价是供应商响应文件的有效组成部分。</w:t>
      </w:r>
    </w:p>
    <w:p w14:paraId="34FBA479">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21.5</w:t>
      </w:r>
      <w:r>
        <w:rPr>
          <w:rFonts w:hint="eastAsia" w:asciiTheme="minorEastAsia" w:hAnsiTheme="minorEastAsia" w:eastAsiaTheme="minorEastAsia"/>
          <w:color w:val="auto"/>
          <w:sz w:val="24"/>
          <w:highlight w:val="none"/>
        </w:rPr>
        <w:t>.4 已经提交响应文件的供应商，在提交最后报价之前，可以根据谈判情况退出谈判。采购人、采购代理机构将退还退出谈判的供应商的保证金。</w:t>
      </w:r>
    </w:p>
    <w:p w14:paraId="361FE744">
      <w:pPr>
        <w:tabs>
          <w:tab w:val="left" w:pos="540"/>
        </w:tabs>
        <w:spacing w:after="0" w:line="400" w:lineRule="exact"/>
        <w:ind w:firstLine="480" w:firstLineChars="200"/>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21.6</w:t>
      </w:r>
      <w:r>
        <w:rPr>
          <w:rFonts w:hint="eastAsia" w:asciiTheme="minorEastAsia" w:hAnsiTheme="minorEastAsia" w:eastAsiaTheme="minorEastAsia"/>
          <w:b/>
          <w:bCs/>
          <w:color w:val="auto"/>
          <w:sz w:val="24"/>
          <w:highlight w:val="none"/>
        </w:rPr>
        <w:t>在谈判过程中出现法律法规和谈判文件均没有明确规定的情形时，由谈判小组现场协商解决，协商不一致的，由全体谈判小组投票表决，以得票率二分之一以上专家的意见为准。</w:t>
      </w:r>
    </w:p>
    <w:p w14:paraId="52270910">
      <w:pPr>
        <w:spacing w:after="0" w:line="40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2</w:t>
      </w:r>
      <w:r>
        <w:rPr>
          <w:rFonts w:hint="eastAsia" w:asciiTheme="minorEastAsia" w:hAnsiTheme="minorEastAsia" w:eastAsiaTheme="minorEastAsia"/>
          <w:b/>
          <w:bCs/>
          <w:color w:val="auto"/>
          <w:sz w:val="24"/>
          <w:highlight w:val="none"/>
        </w:rPr>
        <w:t>. 错误修正</w:t>
      </w:r>
    </w:p>
    <w:p w14:paraId="6E4D3FE2">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w:t>
      </w:r>
      <w:r>
        <w:rPr>
          <w:rFonts w:cs="Arial" w:asciiTheme="minorEastAsia" w:hAnsiTheme="minorEastAsia" w:eastAsiaTheme="minorEastAsia"/>
          <w:color w:val="auto"/>
          <w:sz w:val="24"/>
          <w:highlight w:val="none"/>
        </w:rPr>
        <w:t>2</w:t>
      </w:r>
      <w:r>
        <w:rPr>
          <w:rFonts w:hint="eastAsia" w:cs="Arial" w:asciiTheme="minorEastAsia" w:hAnsiTheme="minorEastAsia" w:eastAsiaTheme="minorEastAsia"/>
          <w:color w:val="auto"/>
          <w:sz w:val="24"/>
          <w:highlight w:val="none"/>
        </w:rPr>
        <w:t>.1响应文件如果出现计算或表达上的错误，修正错误的原则如下：</w:t>
      </w:r>
    </w:p>
    <w:p w14:paraId="7FCDDB3D">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（1）响应文件的大写金额和小写金额不一致的，以大写金额为准；</w:t>
      </w:r>
    </w:p>
    <w:p w14:paraId="2B9BF68A">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（2）总价金额与按单价汇总金额不一致的，以单价金额计算结果为准；</w:t>
      </w:r>
    </w:p>
    <w:p w14:paraId="6086057C">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（3）单价金额小数点有明显错位的，应以总价为准，并修正单价；</w:t>
      </w:r>
    </w:p>
    <w:p w14:paraId="4FBCD742">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（4）对不同文字文本响应文件的解释发生异议的，以中文文本为准。</w:t>
      </w:r>
    </w:p>
    <w:p w14:paraId="7B94D154">
      <w:pPr>
        <w:pStyle w:val="22"/>
        <w:spacing w:line="400" w:lineRule="exact"/>
        <w:ind w:firstLine="480" w:firstLineChars="200"/>
        <w:rPr>
          <w:rFonts w:asciiTheme="minorEastAsia" w:hAnsiTheme="minorEastAsia" w:eastAsiaTheme="minorEastAsia"/>
          <w:b/>
          <w:color w:val="auto"/>
          <w:sz w:val="24"/>
          <w:highlight w:val="none"/>
        </w:rPr>
      </w:pPr>
      <w:r>
        <w:rPr>
          <w:rFonts w:hint="eastAsia" w:cs="Arial" w:asciiTheme="minorEastAsia" w:hAnsiTheme="minorEastAsia" w:eastAsiaTheme="minorEastAsia"/>
          <w:color w:val="auto"/>
          <w:sz w:val="24"/>
          <w:highlight w:val="none"/>
        </w:rPr>
        <w:t>2</w:t>
      </w:r>
      <w:r>
        <w:rPr>
          <w:rFonts w:cs="Arial" w:asciiTheme="minorEastAsia" w:hAnsiTheme="minorEastAsia" w:eastAsiaTheme="minorEastAsia"/>
          <w:color w:val="auto"/>
          <w:sz w:val="24"/>
          <w:highlight w:val="none"/>
        </w:rPr>
        <w:t>2</w:t>
      </w:r>
      <w:r>
        <w:rPr>
          <w:rFonts w:hint="eastAsia" w:cs="Arial" w:asciiTheme="minorEastAsia" w:hAnsiTheme="minorEastAsia" w:eastAsiaTheme="minorEastAsia"/>
          <w:color w:val="auto"/>
          <w:sz w:val="24"/>
          <w:highlight w:val="none"/>
        </w:rPr>
        <w:t>.2谈判小组按上述修正错误的原则及方法调整或修正响应文件的响应报价，供应商同意并签字或加盖公章确认后，调整后的响应报价对供应商具有约束作用。如果供应商不接受修正后的报价，则其响应将作为无效响应处理。</w:t>
      </w:r>
    </w:p>
    <w:p w14:paraId="03650E18">
      <w:pPr>
        <w:spacing w:after="0" w:line="400" w:lineRule="exact"/>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3</w:t>
      </w:r>
      <w:r>
        <w:rPr>
          <w:rFonts w:hint="eastAsia" w:asciiTheme="minorEastAsia" w:hAnsiTheme="minorEastAsia" w:eastAsiaTheme="minorEastAsia"/>
          <w:b/>
          <w:bCs/>
          <w:color w:val="auto"/>
          <w:sz w:val="24"/>
          <w:highlight w:val="none"/>
        </w:rPr>
        <w:t>. 评审过程的保密</w:t>
      </w:r>
    </w:p>
    <w:p w14:paraId="57D455B3">
      <w:pPr>
        <w:spacing w:after="0" w:line="400" w:lineRule="exact"/>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w:t>
      </w:r>
      <w:r>
        <w:rPr>
          <w:rFonts w:asciiTheme="minorEastAsia" w:hAnsiTheme="minorEastAsia" w:eastAsiaTheme="minorEastAsia"/>
          <w:bCs/>
          <w:color w:val="auto"/>
          <w:sz w:val="24"/>
          <w:highlight w:val="none"/>
        </w:rPr>
        <w:t>3</w:t>
      </w:r>
      <w:r>
        <w:rPr>
          <w:rFonts w:hint="eastAsia" w:asciiTheme="minorEastAsia" w:hAnsiTheme="minorEastAsia" w:eastAsiaTheme="minorEastAsia"/>
          <w:bCs/>
          <w:color w:val="auto"/>
          <w:sz w:val="24"/>
          <w:highlight w:val="none"/>
        </w:rPr>
        <w:t>.1 在评审活动中，凡属于审查、澄清、评价和比较的有关资料及有关授予合同的信息，都不应向供应商或与评审无关的其他人泄露。</w:t>
      </w:r>
    </w:p>
    <w:p w14:paraId="3507D933">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2</w:t>
      </w:r>
      <w:r>
        <w:rPr>
          <w:rFonts w:asciiTheme="minorEastAsia" w:hAnsiTheme="minorEastAsia" w:eastAsiaTheme="minorEastAsia"/>
          <w:bCs/>
          <w:color w:val="auto"/>
          <w:sz w:val="24"/>
          <w:highlight w:val="none"/>
        </w:rPr>
        <w:t>3</w:t>
      </w:r>
      <w:r>
        <w:rPr>
          <w:rFonts w:hint="eastAsia" w:asciiTheme="minorEastAsia" w:hAnsiTheme="minorEastAsia" w:eastAsiaTheme="minorEastAsia"/>
          <w:bCs/>
          <w:color w:val="auto"/>
          <w:sz w:val="24"/>
          <w:highlight w:val="none"/>
        </w:rPr>
        <w:t>.2 在响应文件的审查、澄清、评价和比较以及授予合同的过程中，供应商对采购人和谈判小组成员施加影响的任何行为，都将导致被取消谈判资格。</w:t>
      </w:r>
    </w:p>
    <w:p w14:paraId="123802F9">
      <w:pPr>
        <w:spacing w:after="0" w:line="400" w:lineRule="exact"/>
        <w:ind w:firstLine="480"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2</w:t>
      </w:r>
      <w:r>
        <w:rPr>
          <w:rFonts w:asciiTheme="minorEastAsia" w:hAnsiTheme="minorEastAsia" w:eastAsiaTheme="minorEastAsia"/>
          <w:b/>
          <w:bCs/>
          <w:color w:val="auto"/>
          <w:sz w:val="24"/>
          <w:highlight w:val="none"/>
        </w:rPr>
        <w:t>4</w:t>
      </w:r>
      <w:r>
        <w:rPr>
          <w:rFonts w:hint="eastAsia" w:asciiTheme="minorEastAsia" w:hAnsiTheme="minorEastAsia" w:eastAsiaTheme="minorEastAsia"/>
          <w:b/>
          <w:bCs/>
          <w:color w:val="auto"/>
          <w:sz w:val="24"/>
          <w:highlight w:val="none"/>
        </w:rPr>
        <w:t>.</w:t>
      </w:r>
      <w:bookmarkStart w:id="54" w:name="_Toc254970673"/>
      <w:bookmarkStart w:id="55" w:name="_Toc254970532"/>
      <w:r>
        <w:rPr>
          <w:rFonts w:hint="eastAsia" w:asciiTheme="minorEastAsia" w:hAnsiTheme="minorEastAsia" w:eastAsiaTheme="minorEastAsia"/>
          <w:b/>
          <w:bCs/>
          <w:color w:val="auto"/>
          <w:sz w:val="24"/>
          <w:highlight w:val="none"/>
        </w:rPr>
        <w:t xml:space="preserve"> 特别说明：</w:t>
      </w:r>
      <w:bookmarkEnd w:id="54"/>
      <w:bookmarkEnd w:id="55"/>
    </w:p>
    <w:p w14:paraId="12F3F73D">
      <w:pPr>
        <w:spacing w:after="0" w:line="400" w:lineRule="exact"/>
        <w:ind w:firstLine="480" w:firstLineChars="200"/>
        <w:rPr>
          <w:rFonts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（本条款所述供应商等同于供应商，评标等同于评审，投标等同于谈判或响应）</w:t>
      </w:r>
    </w:p>
    <w:p w14:paraId="409243B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24.1单位负责人为同一人或者存在直接控股、管理关系的，不得参加同一合同项下投标或未划分分标的同一合同项下投标，否则投标文件将被视为无效。</w:t>
      </w:r>
      <w:r>
        <w:rPr>
          <w:rFonts w:hint="eastAsia" w:asciiTheme="minorEastAsia" w:hAnsiTheme="minorEastAsia" w:eastAsiaTheme="minorEastAsia"/>
          <w:b/>
          <w:color w:val="auto"/>
          <w:sz w:val="24"/>
          <w:highlight w:val="none"/>
        </w:rPr>
        <w:t>生产厂商授权给供应商后自己不得参加同一合同项下的政府采购活动；生产厂商对同一品牌同一型号的货物，仅能委托一个代理商参加竞标。</w:t>
      </w:r>
    </w:p>
    <w:p w14:paraId="443A6098">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24.2除单一来源采购项目外，为采购项目提供整体设计、规范编制或者项目管理、监理、检测等服务的供应商，不得再参加该采购项目的其他采购活动，否则投标无效。</w:t>
      </w:r>
    </w:p>
    <w:p w14:paraId="3179D972">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24.3出现下列情形之一的，在评审过程中，取其中通过资格审查、符合性审查且报价最低的参加评审；当报价相同时，则由采购人自主选择确定一个参加评审的供应商，其他响应文件无效：</w:t>
      </w:r>
    </w:p>
    <w:p w14:paraId="173A1F7F">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（1）根据桂财采[2016]42号的规定，提供相同品牌产品的不同供应商参加同一合同项下投标的，评审时，按上述规定确定其中一家为有效供应商。</w:t>
      </w:r>
    </w:p>
    <w:p w14:paraId="744ECFBB">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（2）非单一产品采购项目中，多家供应商提供的核心产品相同的，视为提供相同品牌产品，应当按一个供应商认定，评审时，按上述规定确定其中一家为有效供应商。核心产品在谈判文件中写明。</w:t>
      </w:r>
    </w:p>
    <w:p w14:paraId="3C022FC3">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24.4 供应商投标所使用的资格、信誉、荣誉、业绩与企业认证必须为本法人所拥有。</w:t>
      </w:r>
      <w:r>
        <w:rPr>
          <w:rFonts w:hint="eastAsia" w:asciiTheme="minorEastAsia" w:hAnsiTheme="minorEastAsia" w:eastAsiaTheme="minorEastAsia"/>
          <w:b/>
          <w:color w:val="auto"/>
          <w:sz w:val="24"/>
          <w:highlight w:val="none"/>
        </w:rPr>
        <w:t>（本采购文件第三章“项目采购需求和说明”另有约定的从其约定）</w:t>
      </w:r>
    </w:p>
    <w:p w14:paraId="420F1E8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24.5 供应商应仔细阅读采购文件的所有内容，按照采购文件的要求提交投标文件，并对所提供的全部资料的真实性承担法律责任。</w:t>
      </w:r>
    </w:p>
    <w:p w14:paraId="7212C7B3">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24.6供应商在投标活动中提供任何虚假材料,其投标无效，并报监管部门查处；中标后发现的,中标人须依照《中华人民共和国消费者权益保护法》规定赔偿采购人，且民事赔偿并不免除违法供应商的行政与刑事责任。</w:t>
      </w:r>
    </w:p>
    <w:p w14:paraId="13709A45">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24.7在政府采购活动中，采购人员及相关人员与供应商有下列利害关系之一的，应当回避：</w:t>
      </w:r>
    </w:p>
    <w:p w14:paraId="793E5E04">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（1）参加采购活动前3年内与供应商存在劳动关系；</w:t>
      </w:r>
    </w:p>
    <w:p w14:paraId="3C429207">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（2）参加采购活动前3年内担任供应商的董事、监事；</w:t>
      </w:r>
    </w:p>
    <w:p w14:paraId="20908131">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（3）参加采购活动前3年内是供应商的控股股东或者实际控制人；</w:t>
      </w:r>
    </w:p>
    <w:p w14:paraId="09A79D81">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（4）与供应商的法定代表人或者负责人有夫妻、直系血亲、三代以内旁系血亲或者近姻亲关系；</w:t>
      </w:r>
    </w:p>
    <w:p w14:paraId="0C373A3C">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（5）与供应商有其他可能影响政府采购活动公平、公正进行的关系。</w:t>
      </w:r>
    </w:p>
    <w:p w14:paraId="02ABDDB5">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F2F304">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 供应商相互串通投标</w:t>
      </w:r>
    </w:p>
    <w:p w14:paraId="6E58FA7A">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有下列情形之一的视为供应商相互串通投标，投标文件将被视为无效：</w:t>
      </w:r>
    </w:p>
    <w:p w14:paraId="632588EA">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（1）不同供应商的投标文件由同一单位或者个人编制；或不同供应商报名的IP地址一致的；</w:t>
      </w:r>
    </w:p>
    <w:p w14:paraId="0069D26C">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（2）不同供应商委托同一单位或者个人办理投标事宜；</w:t>
      </w:r>
    </w:p>
    <w:p w14:paraId="0561D0C5">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（3）不同的供应商的投标文件载明的项目管理员为同一个人；</w:t>
      </w:r>
    </w:p>
    <w:p w14:paraId="4F30D771">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（4）不同供应商的投标文件异常一致或投标报价呈规律性差异；</w:t>
      </w:r>
    </w:p>
    <w:p w14:paraId="690A90B8">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（5）不同供应商的投标文件相互混装；</w:t>
      </w:r>
    </w:p>
    <w:p w14:paraId="1A11EDC5">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（6）不同供应商的投标保证金从同一单位或者个人账户转出。</w:t>
      </w:r>
    </w:p>
    <w:p w14:paraId="53145A41">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 xml:space="preserve">6. </w:t>
      </w:r>
      <w:r>
        <w:rPr>
          <w:rFonts w:hint="eastAsia" w:asciiTheme="minorEastAsia" w:hAnsiTheme="minorEastAsia" w:eastAsiaTheme="minorEastAsia"/>
          <w:b/>
          <w:color w:val="auto"/>
          <w:sz w:val="24"/>
          <w:highlight w:val="none"/>
        </w:rPr>
        <w:t>供应商恶意串通投标</w:t>
      </w:r>
    </w:p>
    <w:p w14:paraId="5778DAE4">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供应商有下列情形之一的，属于恶意串通行为：</w:t>
      </w:r>
    </w:p>
    <w:p w14:paraId="77184867">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（1）供应商直接或者间接从采购人或者采购代理机构处获得其他供应商的相关信息并修改其投标文件或者响应文件：</w:t>
      </w:r>
    </w:p>
    <w:p w14:paraId="5DEBFD43">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（2）供应商按照采购人或者采购代理机构的授意撤换、修改投标文件或者响应文件；</w:t>
      </w:r>
    </w:p>
    <w:p w14:paraId="6D4543E1">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（3）供应商之间协商报价、技术方案等投标文件或者响应文件的实质性内容；</w:t>
      </w:r>
    </w:p>
    <w:p w14:paraId="370DC402">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（4）属于同一集团、协会、商会等组织成员的供应商按照该组织要求协同参加政府采购活动；</w:t>
      </w:r>
    </w:p>
    <w:p w14:paraId="4B56748F">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（5）供应商之间事先约定一致抬高或者压低投标报价,或者在招标项目中事先约定轮流以高价位或者低价位中标,或者事先约定由某一特定供应商中标,然后再参加投标；</w:t>
      </w:r>
    </w:p>
    <w:p w14:paraId="7A6EA16E">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（6）供应商之间商定部分供应商放弃参加政府采购活动或者放弃中标；</w:t>
      </w:r>
    </w:p>
    <w:p w14:paraId="477A24AB">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（7）供应商与采购人或者采购代理机构之间、供应商相互之间，为谋求特定供应商中标或者排斥其他供应商的其他串通行为。</w:t>
      </w:r>
    </w:p>
    <w:p w14:paraId="55773AF2">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7</w:t>
      </w:r>
      <w:r>
        <w:rPr>
          <w:rFonts w:hint="eastAsia" w:asciiTheme="minorEastAsia" w:hAnsiTheme="minorEastAsia" w:eastAsiaTheme="minorEastAsia"/>
          <w:b/>
          <w:color w:val="auto"/>
          <w:sz w:val="24"/>
          <w:highlight w:val="none"/>
        </w:rPr>
        <w:t>. 终止采购</w:t>
      </w:r>
    </w:p>
    <w:p w14:paraId="7BEDEF08">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出现下列情形之一的，采购人或者采购代理机构终止竞争性谈判采购活动，发布项目终止公告并说明原因，重新开展采购活动：</w:t>
      </w:r>
    </w:p>
    <w:p w14:paraId="783670CD">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（一）因情况变化，不再符合规定的竞争性谈判采购方式适用情形的；</w:t>
      </w:r>
    </w:p>
    <w:p w14:paraId="5CF1507A">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（二）出现影响采购公正的违法、违规行为的；</w:t>
      </w:r>
    </w:p>
    <w:p w14:paraId="153EB8C1">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（三）在采购过程中符合竞争要求的供应商或者报价未超过采购预算的供应商不足3家的，但</w:t>
      </w:r>
      <w:r>
        <w:rPr>
          <w:rFonts w:hint="eastAsia" w:asciiTheme="minorEastAsia" w:hAnsiTheme="minorEastAsia" w:eastAsiaTheme="minorEastAsia"/>
          <w:color w:val="auto"/>
          <w:sz w:val="24"/>
          <w:highlight w:val="none"/>
        </w:rPr>
        <w:t>《政府采购非招标采购方式管理办法》</w:t>
      </w:r>
      <w:r>
        <w:rPr>
          <w:rFonts w:asciiTheme="minorEastAsia" w:hAnsiTheme="minorEastAsia" w:eastAsiaTheme="minorEastAsia"/>
          <w:color w:val="auto"/>
          <w:sz w:val="24"/>
          <w:highlight w:val="none"/>
        </w:rPr>
        <w:t>第二十七条第二款规定的情形除外。</w:t>
      </w:r>
    </w:p>
    <w:p w14:paraId="184A99DC">
      <w:pPr>
        <w:pStyle w:val="3"/>
        <w:spacing w:before="120" w:beforeLines="50" w:line="400" w:lineRule="exact"/>
        <w:rPr>
          <w:rFonts w:asciiTheme="minorEastAsia" w:hAnsiTheme="minorEastAsia" w:eastAsiaTheme="minorEastAsia"/>
          <w:color w:val="auto"/>
          <w:highlight w:val="none"/>
        </w:rPr>
      </w:pPr>
      <w:bookmarkStart w:id="56" w:name="_Toc246095522"/>
      <w:bookmarkStart w:id="57" w:name="_Toc246095460"/>
      <w:bookmarkStart w:id="58" w:name="_Toc246094916"/>
      <w:bookmarkStart w:id="59" w:name="_Toc7192548"/>
      <w:r>
        <w:rPr>
          <w:rFonts w:hint="eastAsia" w:asciiTheme="minorEastAsia" w:hAnsiTheme="minorEastAsia" w:eastAsiaTheme="minorEastAsia"/>
          <w:color w:val="auto"/>
          <w:highlight w:val="none"/>
        </w:rPr>
        <w:t>五、</w:t>
      </w:r>
      <w:bookmarkEnd w:id="56"/>
      <w:bookmarkEnd w:id="57"/>
      <w:bookmarkEnd w:id="58"/>
      <w:r>
        <w:rPr>
          <w:rFonts w:hint="eastAsia" w:asciiTheme="minorEastAsia" w:hAnsiTheme="minorEastAsia" w:eastAsiaTheme="minorEastAsia"/>
          <w:color w:val="auto"/>
          <w:highlight w:val="none"/>
        </w:rPr>
        <w:t>评审结果</w:t>
      </w:r>
      <w:bookmarkEnd w:id="59"/>
    </w:p>
    <w:p w14:paraId="0902DB4F">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 评审结果确定</w:t>
      </w:r>
    </w:p>
    <w:p w14:paraId="1F59211B">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采购代理机构在评审结束后2个工作日内将评审报告送采购人确认。采购人在收到评审报告后5个工作日内，从评审报告提出的成交候选人中，根据质量和服务均能满足采购文件实质性响应要求且最后报价/评标价最低的原则确定成交供应商（也可以书面授权谈判小组直接确定成交供应商）。采购人逾期未确定成交供应商且不提出异议的，视为确定评审报告提出的评标价最低的供应商为成交供应商。</w:t>
      </w:r>
    </w:p>
    <w:p w14:paraId="59291C9C">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9</w:t>
      </w:r>
      <w:r>
        <w:rPr>
          <w:rFonts w:hint="eastAsia" w:asciiTheme="minorEastAsia" w:hAnsiTheme="minorEastAsia" w:eastAsiaTheme="minorEastAsia"/>
          <w:b/>
          <w:color w:val="auto"/>
          <w:sz w:val="24"/>
          <w:highlight w:val="none"/>
        </w:rPr>
        <w:t>. 成交通知</w:t>
      </w:r>
    </w:p>
    <w:p w14:paraId="68EC51B6">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采购代理机构在成交供应商确定后2个工作日内，在省级以上财政部门指定的媒体上公告成交结果，同时向成交供应商发出成交通知书。</w:t>
      </w:r>
    </w:p>
    <w:p w14:paraId="4326A20A">
      <w:pPr>
        <w:pStyle w:val="3"/>
        <w:spacing w:before="240" w:beforeLines="100" w:line="400" w:lineRule="exact"/>
        <w:rPr>
          <w:rFonts w:asciiTheme="minorEastAsia" w:hAnsiTheme="minorEastAsia" w:eastAsiaTheme="minorEastAsia"/>
          <w:color w:val="auto"/>
          <w:highlight w:val="none"/>
        </w:rPr>
      </w:pPr>
      <w:bookmarkStart w:id="60" w:name="_Toc7192549"/>
      <w:r>
        <w:rPr>
          <w:rFonts w:hint="eastAsia" w:asciiTheme="minorEastAsia" w:hAnsiTheme="minorEastAsia" w:eastAsiaTheme="minorEastAsia"/>
          <w:color w:val="auto"/>
          <w:highlight w:val="none"/>
        </w:rPr>
        <w:t>六、合同授予</w:t>
      </w:r>
      <w:bookmarkEnd w:id="60"/>
    </w:p>
    <w:p w14:paraId="5E10D115">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30. 履约保证金</w:t>
      </w:r>
    </w:p>
    <w:p w14:paraId="25ABFC53">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30.1成交供应商应按供应商须知前附表规定的履约保证金的金额、方式，在签订合同前缴纳给采购人指定账户。否则,不予签订合同。</w:t>
      </w:r>
    </w:p>
    <w:p w14:paraId="1D1CF203">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30.2 履约保证金作为违约金的一部分及用于补偿采购人因成交供应商不能完成其合同义务而蒙受的损失。如成交供应商不按双方签订的合同规定履约，则不予退还其全部履约保证金，履约保证金不足以赔偿损失的，按实际损失赔偿。</w:t>
      </w:r>
    </w:p>
    <w:p w14:paraId="385C48BE">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30.3履约担保的有效期应当自本合同生效之日起至采购人签认验收合格之日止。项目验收合格，成交供应商向采购人办理成果移交手续后，由供应商向采购人提供《政府采购项目履约保证金退付意见书》及《政府采购项目合同验收报告》（详见附件），采购人在收到合格材料后</w:t>
      </w:r>
      <w:r>
        <w:rPr>
          <w:rFonts w:hint="eastAsia" w:ascii="宋体" w:hAnsi="宋体" w:eastAsia="宋体" w:cs="宋体"/>
          <w:color w:val="auto"/>
          <w:sz w:val="24"/>
          <w:szCs w:val="24"/>
          <w:highlight w:val="none"/>
        </w:rPr>
        <w:t>按合同规定的时间</w:t>
      </w:r>
      <w:r>
        <w:rPr>
          <w:rFonts w:hint="eastAsia" w:asciiTheme="minorEastAsia" w:hAnsiTheme="minorEastAsia" w:eastAsiaTheme="minorEastAsia"/>
          <w:color w:val="auto"/>
          <w:sz w:val="24"/>
          <w:highlight w:val="none"/>
        </w:rPr>
        <w:t>内扣减成交供应商赔偿金和其他应从成交供应商扣回的款项后，将履约保证金的余额退还给成交供应商（无息）。</w:t>
      </w:r>
    </w:p>
    <w:p w14:paraId="0FB85E24">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30.4在履约保证金退还日期前，若成交供应商的开户名称、开户银行、帐号有变动的，请以书面形式通知采购人，否则由此产生的后果由成交供应商自负。</w:t>
      </w:r>
    </w:p>
    <w:p w14:paraId="26BC6521">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 签订合同</w:t>
      </w:r>
    </w:p>
    <w:p w14:paraId="49C78634">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w:t>
      </w:r>
      <w:r>
        <w:rPr>
          <w:rFonts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成交通知书发出之日起25日内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成交供应商必须与采购人签订合同。磋商文件、成交供应商的响应文件、应答文件等，均为签订政府采购合同的依据。</w:t>
      </w:r>
    </w:p>
    <w:p w14:paraId="1C2DD6B2">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如成交供应商不按成交通知书的规定签订合同，则按成交供应商违约处理，采购代理机构将不予退还成交供应商谈判保证金并上缴财政国库。</w:t>
      </w:r>
    </w:p>
    <w:p w14:paraId="118F2F67">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w:t>
      </w:r>
      <w:r>
        <w:rPr>
          <w:rFonts w:asciiTheme="minorEastAsia" w:hAnsiTheme="minorEastAsia" w:eastAsiaTheme="minorEastAsia"/>
          <w:color w:val="auto"/>
          <w:sz w:val="24"/>
          <w:highlight w:val="none"/>
        </w:rPr>
        <w:t>.3成交供应商拒绝签订政府采购合同的，</w:t>
      </w:r>
      <w:r>
        <w:rPr>
          <w:rFonts w:hint="eastAsia" w:asciiTheme="minorEastAsia" w:hAnsiTheme="minorEastAsia" w:eastAsiaTheme="minorEastAsia"/>
          <w:color w:val="auto"/>
          <w:sz w:val="24"/>
          <w:highlight w:val="none"/>
        </w:rPr>
        <w:t>如</w:t>
      </w:r>
      <w:r>
        <w:rPr>
          <w:rFonts w:asciiTheme="minorEastAsia" w:hAnsiTheme="minorEastAsia" w:eastAsiaTheme="minorEastAsia"/>
          <w:color w:val="auto"/>
          <w:sz w:val="24"/>
          <w:highlight w:val="none"/>
        </w:rPr>
        <w:t>政府采购活动或</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供应商不存在违法违规情形的，采购人可以根据采购项目的实际情况，综合考虑递补供应商的经济性和效率等因素，自主确定是否重新开展采购活动或确定下一候选人为成交供应商。</w:t>
      </w:r>
    </w:p>
    <w:p w14:paraId="49C75A8B">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采购人或成交供应商不得单方面向合同另一方提出任何竞争性谈判文件没有约定的条件或不合理的要求，作为签订合同的条件，也不得协商另行订立背离竞争性谈判文件和合同实质性内容的协议。</w:t>
      </w:r>
    </w:p>
    <w:p w14:paraId="2FA4472E">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31.5在合同履行中，采购人需追加与合同标的相同的货物、工程或者服务的，在不改变原合同条款的前提下，可以与供应商协商签订补充合同，但所有补充合同的采购金额不得超过原采购合同金额的10%。</w:t>
      </w:r>
    </w:p>
    <w:p w14:paraId="2EE06A6D">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 政府采购合同公告</w:t>
      </w:r>
    </w:p>
    <w:p w14:paraId="4FBDEBFD">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根据</w:t>
      </w:r>
      <w:r>
        <w:rPr>
          <w:rFonts w:cs="Arial" w:asciiTheme="minorEastAsia" w:hAnsiTheme="minorEastAsia" w:eastAsiaTheme="minorEastAsia"/>
          <w:color w:val="auto"/>
          <w:sz w:val="24"/>
          <w:highlight w:val="none"/>
        </w:rPr>
        <w:t>《中华人民共和国政府采购法实施条例》第五十条</w:t>
      </w:r>
      <w:r>
        <w:rPr>
          <w:rFonts w:hint="eastAsia" w:cs="Arial" w:asciiTheme="minorEastAsia" w:hAnsiTheme="minorEastAsia" w:eastAsiaTheme="minorEastAsia"/>
          <w:color w:val="auto"/>
          <w:sz w:val="24"/>
          <w:highlight w:val="none"/>
        </w:rPr>
        <w:t>规定，采购人应当自政府采购合同签订之日起2个工作日内，将政府采购合同在省级以上人民政府财政部门指定的媒体上公告，</w:t>
      </w:r>
      <w:r>
        <w:rPr>
          <w:rFonts w:cs="Arial" w:asciiTheme="minorEastAsia" w:hAnsiTheme="minorEastAsia" w:eastAsiaTheme="minorEastAsia"/>
          <w:color w:val="auto"/>
          <w:sz w:val="24"/>
          <w:highlight w:val="none"/>
        </w:rPr>
        <w:t>但政府采购合同中涉及国家秘密、商业秘密的内容除外。</w:t>
      </w:r>
    </w:p>
    <w:p w14:paraId="0A101166">
      <w:pPr>
        <w:pStyle w:val="3"/>
        <w:spacing w:before="240" w:beforeLines="100" w:line="400" w:lineRule="exact"/>
        <w:rPr>
          <w:rFonts w:asciiTheme="minorEastAsia" w:hAnsiTheme="minorEastAsia" w:eastAsiaTheme="minorEastAsia"/>
          <w:color w:val="auto"/>
          <w:highlight w:val="none"/>
        </w:rPr>
      </w:pPr>
      <w:bookmarkStart w:id="61" w:name="_Toc246095523"/>
      <w:bookmarkStart w:id="62" w:name="_Toc246095461"/>
      <w:bookmarkStart w:id="63" w:name="_Toc7192550"/>
      <w:bookmarkStart w:id="64" w:name="_Toc246094917"/>
      <w:r>
        <w:rPr>
          <w:rFonts w:hint="eastAsia" w:asciiTheme="minorEastAsia" w:hAnsiTheme="minorEastAsia" w:eastAsiaTheme="minorEastAsia"/>
          <w:color w:val="auto"/>
          <w:highlight w:val="none"/>
        </w:rPr>
        <w:t>七、其他</w:t>
      </w:r>
      <w:bookmarkEnd w:id="61"/>
      <w:bookmarkEnd w:id="62"/>
      <w:bookmarkEnd w:id="63"/>
      <w:bookmarkEnd w:id="64"/>
    </w:p>
    <w:p w14:paraId="2E243A22">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33. 招标代理服务费</w:t>
      </w:r>
    </w:p>
    <w:p w14:paraId="469F615A">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33.1本项目招标代理服务费按供应商须知前附表33款规定收取。成交人领取成交通知书前，应向采购代理机构一次付清招标代理服务费，否则，采购代理机构将视之为违约。</w:t>
      </w:r>
    </w:p>
    <w:p w14:paraId="50E39ED0">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34. 询问、质疑和投诉</w:t>
      </w:r>
    </w:p>
    <w:p w14:paraId="799C1C48">
      <w:pPr>
        <w:spacing w:after="0" w:line="400" w:lineRule="exact"/>
        <w:ind w:firstLine="480" w:firstLineChars="200"/>
        <w:rPr>
          <w:rFonts w:cs="Arial" w:asciiTheme="minorEastAsia" w:hAnsiTheme="minorEastAsia" w:eastAsiaTheme="minorEastAsia"/>
          <w:color w:val="auto"/>
          <w:sz w:val="24"/>
          <w:highlight w:val="none"/>
        </w:rPr>
      </w:pPr>
      <w:r>
        <w:rPr>
          <w:rFonts w:cs="Arial" w:asciiTheme="minorEastAsia" w:hAnsiTheme="minorEastAsia" w:eastAsiaTheme="minorEastAsia"/>
          <w:color w:val="auto"/>
          <w:sz w:val="24"/>
          <w:highlight w:val="none"/>
        </w:rPr>
        <w:t>34</w:t>
      </w:r>
      <w:r>
        <w:rPr>
          <w:rFonts w:hint="eastAsia" w:cs="Arial" w:asciiTheme="minorEastAsia" w:hAnsiTheme="minorEastAsia" w:eastAsiaTheme="minorEastAsia"/>
          <w:color w:val="auto"/>
          <w:sz w:val="24"/>
          <w:highlight w:val="none"/>
        </w:rPr>
        <w:t>.1供应商对政府采购活动事项有疑问的，可以向采购人、采购代理机构提出询问。</w:t>
      </w:r>
    </w:p>
    <w:p w14:paraId="24817413">
      <w:pPr>
        <w:spacing w:after="0" w:line="400" w:lineRule="exact"/>
        <w:ind w:firstLine="480" w:firstLineChars="200"/>
        <w:rPr>
          <w:rFonts w:cs="Arial" w:asciiTheme="minorEastAsia" w:hAnsiTheme="minorEastAsia" w:eastAsiaTheme="minorEastAsia"/>
          <w:color w:val="auto"/>
          <w:sz w:val="24"/>
          <w:highlight w:val="none"/>
        </w:rPr>
      </w:pPr>
      <w:r>
        <w:rPr>
          <w:rFonts w:cs="Arial" w:asciiTheme="minorEastAsia" w:hAnsiTheme="minorEastAsia" w:eastAsiaTheme="minorEastAsia"/>
          <w:color w:val="auto"/>
          <w:sz w:val="24"/>
          <w:highlight w:val="none"/>
        </w:rPr>
        <w:t>34</w:t>
      </w:r>
      <w:r>
        <w:rPr>
          <w:rFonts w:hint="eastAsia" w:cs="Arial" w:asciiTheme="minorEastAsia" w:hAnsiTheme="minorEastAsia" w:eastAsiaTheme="minorEastAsia"/>
          <w:color w:val="auto"/>
          <w:sz w:val="24"/>
          <w:highlight w:val="none"/>
        </w:rPr>
        <w:t>.2供应商认为采购文件、采购过程或成交结果使自己的合法权益受到损害的，应当在知道或者应知其权益受到损害之日起七个工作日内，以书面形式向采购人、采购代理机构提出质疑。具体计算起算时间如下：</w:t>
      </w:r>
    </w:p>
    <w:p w14:paraId="74AF7FE1">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（一）对可以质疑的采购文件提出质疑的，为收到采购文件之日或者采购文件公告期限届满之日；</w:t>
      </w:r>
    </w:p>
    <w:p w14:paraId="4C51F256">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（二）对采购过程提出质疑的，为各采购程序环节结束之日；</w:t>
      </w:r>
    </w:p>
    <w:p w14:paraId="136CA228">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（三）对成交结果提出质疑的，为成交结果公告期限届满之日。</w:t>
      </w:r>
    </w:p>
    <w:p w14:paraId="7299D44E">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采购人或采购代理机构在收到供应商书面质疑后</w:t>
      </w:r>
      <w:r>
        <w:rPr>
          <w:rFonts w:cs="Arial" w:asciiTheme="minorEastAsia" w:hAnsiTheme="minorEastAsia" w:eastAsiaTheme="minorEastAsia"/>
          <w:color w:val="auto"/>
          <w:sz w:val="24"/>
          <w:highlight w:val="none"/>
        </w:rPr>
        <w:t>7</w:t>
      </w:r>
      <w:r>
        <w:rPr>
          <w:rFonts w:hint="eastAsia" w:cs="Arial" w:asciiTheme="minorEastAsia" w:hAnsiTheme="minorEastAsia" w:eastAsiaTheme="minorEastAsia"/>
          <w:color w:val="auto"/>
          <w:sz w:val="24"/>
          <w:highlight w:val="none"/>
        </w:rPr>
        <w:t>个工作日内，对质疑内容作出答复。供应商对采购人或采购代理机构的质疑答复不满意或者采购人或采购代理机构未在规定时间内作出答复的，可以在答复期满后十五个工作日内向同级采购监管部门</w:t>
      </w:r>
      <w:r>
        <w:rPr>
          <w:rFonts w:hint="eastAsia" w:ascii="宋体" w:hAnsi="宋体" w:eastAsia="宋体" w:cs="宋体"/>
          <w:bCs/>
          <w:color w:val="auto"/>
          <w:sz w:val="24"/>
          <w:szCs w:val="24"/>
          <w:highlight w:val="none"/>
        </w:rPr>
        <w:t>(广西壮族自治区财政厅政府采购监督管理处)</w:t>
      </w:r>
      <w:r>
        <w:rPr>
          <w:rFonts w:hint="eastAsia" w:cs="Arial" w:asciiTheme="minorEastAsia" w:hAnsiTheme="minorEastAsia" w:eastAsiaTheme="minorEastAsia"/>
          <w:color w:val="auto"/>
          <w:sz w:val="24"/>
          <w:highlight w:val="none"/>
        </w:rPr>
        <w:t>投诉。</w:t>
      </w:r>
    </w:p>
    <w:p w14:paraId="6DC6898B">
      <w:pPr>
        <w:spacing w:after="0" w:line="400" w:lineRule="exact"/>
        <w:ind w:firstLine="480" w:firstLineChars="200"/>
        <w:rPr>
          <w:rFonts w:cs="Arial" w:asciiTheme="minorEastAsia" w:hAnsiTheme="minorEastAsia" w:eastAsiaTheme="minorEastAsia"/>
          <w:color w:val="auto"/>
          <w:sz w:val="24"/>
          <w:highlight w:val="none"/>
        </w:rPr>
      </w:pPr>
      <w:r>
        <w:rPr>
          <w:rFonts w:cs="Arial" w:asciiTheme="minorEastAsia" w:hAnsiTheme="minorEastAsia" w:eastAsiaTheme="minorEastAsia"/>
          <w:color w:val="auto"/>
          <w:sz w:val="24"/>
          <w:highlight w:val="none"/>
        </w:rPr>
        <w:t>34</w:t>
      </w:r>
      <w:r>
        <w:rPr>
          <w:rFonts w:hint="eastAsia" w:cs="Arial" w:asciiTheme="minorEastAsia" w:hAnsiTheme="minorEastAsia" w:eastAsiaTheme="minorEastAsia"/>
          <w:color w:val="auto"/>
          <w:sz w:val="24"/>
          <w:highlight w:val="none"/>
        </w:rPr>
        <w:t>.3供应商的</w:t>
      </w:r>
      <w:r>
        <w:rPr>
          <w:rFonts w:hint="eastAsia" w:cs="Arial" w:asciiTheme="minorEastAsia" w:hAnsiTheme="minorEastAsia" w:eastAsiaTheme="minorEastAsia"/>
          <w:bCs/>
          <w:color w:val="auto"/>
          <w:sz w:val="24"/>
          <w:highlight w:val="none"/>
        </w:rPr>
        <w:t>质疑和投诉行为应当符合《政府采购质疑和投诉办法》（中华人民共和国财政部令第94号）规定。</w:t>
      </w:r>
      <w:r>
        <w:rPr>
          <w:rFonts w:hint="eastAsia" w:cs="Arial" w:asciiTheme="minorEastAsia" w:hAnsiTheme="minorEastAsia" w:eastAsiaTheme="minorEastAsia"/>
          <w:color w:val="auto"/>
          <w:sz w:val="24"/>
          <w:highlight w:val="none"/>
        </w:rPr>
        <w:t>质疑、投诉应当采用书面形式，</w:t>
      </w:r>
      <w:r>
        <w:rPr>
          <w:rFonts w:hint="eastAsia" w:cs="Arial" w:asciiTheme="minorEastAsia" w:hAnsiTheme="minorEastAsia" w:eastAsiaTheme="minorEastAsia"/>
          <w:bCs/>
          <w:color w:val="auto"/>
          <w:sz w:val="24"/>
          <w:highlight w:val="none"/>
        </w:rPr>
        <w:t>质疑函、投诉书应按财政部发布《政府采购供应商质疑函范本》、《政府采购供应商投诉书范本》编制，</w:t>
      </w:r>
      <w:r>
        <w:rPr>
          <w:rFonts w:hint="eastAsia" w:cs="Arial" w:asciiTheme="minorEastAsia" w:hAnsiTheme="minorEastAsia" w:eastAsiaTheme="minorEastAsia"/>
          <w:color w:val="auto"/>
          <w:sz w:val="24"/>
          <w:highlight w:val="none"/>
        </w:rPr>
        <w:t>质疑书、投诉书均应明确阐述采购文件、采购过程、成交结果中使自己合法权益受到损害的实质性内容，提供相关事实、明确的请求、必要的证明材料，便于有关单位调查、答复和处理。</w:t>
      </w:r>
    </w:p>
    <w:p w14:paraId="7BD3AAD3">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供应商提出质疑应当提交质疑函和必要的证明材料，针对同一采购程序环节的质疑必须在法定质疑期内一次性提出。</w:t>
      </w:r>
    </w:p>
    <w:p w14:paraId="60790094">
      <w:pPr>
        <w:spacing w:after="0" w:line="400" w:lineRule="exact"/>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35. 适用法律</w:t>
      </w:r>
    </w:p>
    <w:p w14:paraId="20E7CB53">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采购当事人的一切活动均适用于《中华人民共和国政府采购法》、《中华人民共和国政府采购法实施条例》、《</w:t>
      </w:r>
      <w:r>
        <w:rPr>
          <w:rFonts w:asciiTheme="minorEastAsia" w:hAnsiTheme="minorEastAsia" w:eastAsiaTheme="minorEastAsia"/>
          <w:color w:val="auto"/>
          <w:sz w:val="24"/>
          <w:highlight w:val="none"/>
        </w:rPr>
        <w:t>政府采购非招标采购方式管理办法</w:t>
      </w:r>
      <w:r>
        <w:rPr>
          <w:rFonts w:hint="eastAsia" w:asciiTheme="minorEastAsia" w:hAnsiTheme="minorEastAsia" w:eastAsiaTheme="minorEastAsia"/>
          <w:color w:val="auto"/>
          <w:sz w:val="24"/>
          <w:highlight w:val="none"/>
        </w:rPr>
        <w:t>》及相关规定。</w:t>
      </w:r>
    </w:p>
    <w:p w14:paraId="414AD377">
      <w:pPr>
        <w:spacing w:after="0" w:line="400" w:lineRule="exact"/>
        <w:ind w:firstLine="440" w:firstLineChars="200"/>
        <w:rPr>
          <w:rFonts w:asciiTheme="minorEastAsia" w:hAnsiTheme="minorEastAsia" w:eastAsiaTheme="minorEastAsia"/>
          <w:color w:val="auto"/>
          <w:highlight w:val="none"/>
        </w:rPr>
        <w:sectPr>
          <w:headerReference r:id="rId10" w:type="first"/>
          <w:footerReference r:id="rId11" w:type="default"/>
          <w:footerReference r:id="rId12" w:type="even"/>
          <w:pgSz w:w="11907" w:h="16840"/>
          <w:pgMar w:top="1077" w:right="1275" w:bottom="1418" w:left="1077" w:header="624" w:footer="737" w:gutter="0"/>
          <w:pgNumType w:start="1"/>
          <w:cols w:space="720" w:num="1"/>
          <w:docGrid w:linePitch="312" w:charSpace="0"/>
        </w:sectPr>
      </w:pPr>
    </w:p>
    <w:p w14:paraId="3887E1D7">
      <w:pPr>
        <w:pStyle w:val="2"/>
        <w:ind w:firstLine="720" w:firstLineChars="200"/>
        <w:rPr>
          <w:rFonts w:asciiTheme="minorEastAsia" w:hAnsiTheme="minorEastAsia" w:eastAsiaTheme="minorEastAsia"/>
          <w:color w:val="auto"/>
          <w:highlight w:val="none"/>
        </w:rPr>
      </w:pPr>
      <w:bookmarkStart w:id="65" w:name="_Toc7192551"/>
      <w:r>
        <w:rPr>
          <w:rFonts w:hint="eastAsia" w:asciiTheme="minorEastAsia" w:hAnsiTheme="minorEastAsia" w:eastAsiaTheme="minorEastAsia"/>
          <w:color w:val="auto"/>
          <w:highlight w:val="none"/>
        </w:rPr>
        <w:t>第三章  项目采购需求和说明</w:t>
      </w:r>
      <w:bookmarkEnd w:id="65"/>
    </w:p>
    <w:p w14:paraId="7ADE01F5">
      <w:pPr>
        <w:spacing w:after="0" w:line="400" w:lineRule="exact"/>
        <w:ind w:firstLine="482" w:firstLineChars="200"/>
        <w:rPr>
          <w:rFonts w:asciiTheme="minorEastAsia" w:hAnsiTheme="minorEastAsia" w:eastAsiaTheme="minorEastAsia"/>
          <w:b/>
          <w:color w:val="auto"/>
          <w:sz w:val="24"/>
          <w:highlight w:val="none"/>
        </w:rPr>
      </w:pPr>
      <w:bookmarkStart w:id="66" w:name="_Toc246095462"/>
      <w:bookmarkStart w:id="67" w:name="_Toc246095524"/>
      <w:bookmarkStart w:id="68" w:name="_Toc246094918"/>
      <w:r>
        <w:rPr>
          <w:rFonts w:hint="eastAsia" w:asciiTheme="minorEastAsia" w:hAnsiTheme="minorEastAsia" w:eastAsiaTheme="minorEastAsia"/>
          <w:b/>
          <w:color w:val="auto"/>
          <w:sz w:val="24"/>
          <w:highlight w:val="none"/>
        </w:rPr>
        <w:t>说明：</w:t>
      </w:r>
    </w:p>
    <w:p w14:paraId="1BEE9C66">
      <w:pPr>
        <w:spacing w:after="0"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、本一览表中设备或货物的技术参数及其性能（配置）是本项目的基本要求，供应商可选满足或优于本一览表的技术参数性能（配置）要求的设备或货物进行竞标。</w:t>
      </w:r>
    </w:p>
    <w:p w14:paraId="1DBFFC90">
      <w:pPr>
        <w:spacing w:after="0" w:line="336"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、对于本项目采购需求中项目要求及技术需求，供应商应以满足采购需求的产品和服务进行响应，同时填写投标报价明细表，并以详细、正确的品牌型号及技术参数、性能（配置）填写技术响应表。</w:t>
      </w:r>
    </w:p>
    <w:p w14:paraId="54BDC9F0">
      <w:pPr>
        <w:spacing w:after="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根据《财政部发展改革委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eastAsia="宋体" w:cs="宋体"/>
          <w:b/>
          <w:bCs/>
          <w:color w:val="auto"/>
          <w:sz w:val="24"/>
          <w:szCs w:val="24"/>
          <w:highlight w:val="none"/>
        </w:rPr>
        <w:t>否则投标文件作无效处理</w:t>
      </w:r>
      <w:r>
        <w:rPr>
          <w:rFonts w:hint="eastAsia" w:ascii="宋体" w:hAnsi="宋体" w:eastAsia="宋体" w:cs="宋体"/>
          <w:color w:val="auto"/>
          <w:sz w:val="24"/>
          <w:szCs w:val="24"/>
          <w:highlight w:val="none"/>
        </w:rPr>
        <w:t>。如本项目包含的货物属于品目清单内非标注“★”的产品时，应优先采购</w:t>
      </w:r>
      <w:r>
        <w:rPr>
          <w:rFonts w:hint="eastAsia" w:ascii="宋体" w:hAnsi="宋体" w:eastAsia="宋体" w:cs="宋体"/>
          <w:color w:val="auto"/>
          <w:sz w:val="24"/>
          <w:szCs w:val="24"/>
          <w:highlight w:val="none"/>
          <w:lang w:eastAsia="zh-CN"/>
        </w:rPr>
        <w:t>。</w:t>
      </w:r>
    </w:p>
    <w:p w14:paraId="78043399">
      <w:pPr>
        <w:spacing w:after="0" w:line="336" w:lineRule="auto"/>
        <w:ind w:firstLine="480" w:firstLineChars="200"/>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4、供应商应对响应文件内容所涉及的专利、专有技术承担法律责任，并负责保护采购人的利益不受任何损害。一切由于文字、商标、技术和软件专利授权引起的法律裁决、诉讼和赔偿费用均由中标人负责。同时，具有产品专利、专有技术的供应商应在其响应文件中提供与其自有产品专利、专有技术相关的有效证明材料，否则，不能就其产品的专利、专有技术在本项目采购过程中被侵权问题而提出异议。</w:t>
      </w:r>
    </w:p>
    <w:p w14:paraId="153F2D66">
      <w:pPr>
        <w:spacing w:after="0" w:line="336"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5、竞争性谈判文件中标注“▲”号的条款为实质性条款，必须满足或优于，否则竞标无效；非“▲”号要求或技术指标发生负偏离或不响应达</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项（不含）以上的竞标无效。</w:t>
      </w:r>
    </w:p>
    <w:p w14:paraId="30079BDB">
      <w:pPr>
        <w:spacing w:after="0" w:line="420" w:lineRule="exact"/>
        <w:ind w:firstLine="487" w:firstLineChars="202"/>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、最终报价有时间限制，请各供应商提前做好准备，以免耽误报价。最终报价时，供应商只需报一个总价，结算时，各分项单价按最终报价与第一次报价的比例进行调整。</w:t>
      </w:r>
    </w:p>
    <w:tbl>
      <w:tblPr>
        <w:tblStyle w:val="38"/>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890"/>
        <w:gridCol w:w="401"/>
        <w:gridCol w:w="322"/>
        <w:gridCol w:w="557"/>
        <w:gridCol w:w="6252"/>
        <w:gridCol w:w="922"/>
      </w:tblGrid>
      <w:tr w14:paraId="1876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noWrap w:val="0"/>
            <w:vAlign w:val="center"/>
          </w:tcPr>
          <w:p w14:paraId="7076170E">
            <w:pPr>
              <w:pStyle w:val="22"/>
              <w:snapToGrid w:val="0"/>
              <w:spacing w:line="380" w:lineRule="exact"/>
              <w:rPr>
                <w:rFonts w:hint="eastAsia" w:hAnsi="宋体" w:cs="宋体"/>
                <w:b/>
                <w:color w:val="auto"/>
                <w:sz w:val="24"/>
                <w:szCs w:val="24"/>
                <w:highlight w:val="none"/>
                <w:lang w:val="en-US" w:eastAsia="zh-CN"/>
              </w:rPr>
            </w:pPr>
            <w:bookmarkStart w:id="69" w:name="_Toc11525"/>
            <w:bookmarkStart w:id="70" w:name="OLE_LINK1"/>
            <w:r>
              <w:rPr>
                <w:rFonts w:hint="eastAsia" w:hAnsi="宋体" w:cs="宋体"/>
                <w:b/>
                <w:color w:val="auto"/>
                <w:sz w:val="24"/>
                <w:szCs w:val="24"/>
                <w:highlight w:val="none"/>
              </w:rPr>
              <w:t>一、技术需求</w:t>
            </w:r>
            <w:bookmarkEnd w:id="69"/>
          </w:p>
        </w:tc>
      </w:tr>
      <w:tr w14:paraId="5F6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noWrap w:val="0"/>
            <w:vAlign w:val="center"/>
          </w:tcPr>
          <w:p w14:paraId="5AAC0ED0">
            <w:pPr>
              <w:pStyle w:val="22"/>
              <w:snapToGrid w:val="0"/>
              <w:spacing w:line="380" w:lineRule="exact"/>
              <w:jc w:val="center"/>
              <w:rPr>
                <w:rFonts w:hAnsi="宋体" w:cs="宋体"/>
                <w:b/>
                <w:color w:val="auto"/>
                <w:sz w:val="24"/>
                <w:szCs w:val="24"/>
                <w:highlight w:val="none"/>
              </w:rPr>
            </w:pPr>
            <w:bookmarkStart w:id="71" w:name="_Toc29663"/>
            <w:r>
              <w:rPr>
                <w:rFonts w:hint="eastAsia" w:hAnsi="宋体" w:cs="宋体"/>
                <w:b/>
                <w:color w:val="auto"/>
                <w:sz w:val="24"/>
                <w:szCs w:val="24"/>
                <w:highlight w:val="none"/>
              </w:rPr>
              <w:t>序号</w:t>
            </w:r>
            <w:bookmarkEnd w:id="71"/>
          </w:p>
        </w:tc>
        <w:tc>
          <w:tcPr>
            <w:tcW w:w="451" w:type="pct"/>
            <w:noWrap w:val="0"/>
            <w:vAlign w:val="center"/>
          </w:tcPr>
          <w:p w14:paraId="584EBACC">
            <w:pPr>
              <w:pStyle w:val="22"/>
              <w:snapToGrid w:val="0"/>
              <w:spacing w:line="380" w:lineRule="exact"/>
              <w:jc w:val="center"/>
              <w:rPr>
                <w:rFonts w:hint="default" w:hAnsi="宋体" w:eastAsia="宋体" w:cs="宋体"/>
                <w:b/>
                <w:color w:val="auto"/>
                <w:sz w:val="24"/>
                <w:szCs w:val="24"/>
                <w:highlight w:val="none"/>
                <w:lang w:val="en-US" w:eastAsia="zh-CN"/>
              </w:rPr>
            </w:pPr>
            <w:r>
              <w:rPr>
                <w:rFonts w:hint="eastAsia" w:hAnsi="宋体" w:cs="宋体"/>
                <w:b/>
                <w:color w:val="auto"/>
                <w:sz w:val="24"/>
                <w:szCs w:val="24"/>
                <w:highlight w:val="none"/>
                <w:lang w:val="en-US" w:eastAsia="zh-CN"/>
              </w:rPr>
              <w:t>货物名称</w:t>
            </w:r>
          </w:p>
        </w:tc>
        <w:tc>
          <w:tcPr>
            <w:tcW w:w="366" w:type="pct"/>
            <w:gridSpan w:val="2"/>
            <w:noWrap w:val="0"/>
            <w:vAlign w:val="center"/>
          </w:tcPr>
          <w:p w14:paraId="3DC6AA25">
            <w:pPr>
              <w:pStyle w:val="22"/>
              <w:snapToGrid w:val="0"/>
              <w:spacing w:line="380" w:lineRule="exact"/>
              <w:jc w:val="center"/>
              <w:rPr>
                <w:rFonts w:hint="eastAsia" w:hAnsi="宋体" w:cs="宋体"/>
                <w:b/>
                <w:color w:val="auto"/>
                <w:sz w:val="24"/>
                <w:szCs w:val="24"/>
                <w:highlight w:val="none"/>
              </w:rPr>
            </w:pPr>
            <w:bookmarkStart w:id="72" w:name="_Toc17139"/>
            <w:r>
              <w:rPr>
                <w:rFonts w:hint="eastAsia" w:hAnsi="宋体" w:cs="宋体"/>
                <w:b/>
                <w:color w:val="auto"/>
                <w:sz w:val="24"/>
                <w:szCs w:val="24"/>
                <w:highlight w:val="none"/>
              </w:rPr>
              <w:t>数量</w:t>
            </w:r>
            <w:bookmarkEnd w:id="72"/>
          </w:p>
        </w:tc>
        <w:tc>
          <w:tcPr>
            <w:tcW w:w="280" w:type="pct"/>
            <w:noWrap w:val="0"/>
            <w:vAlign w:val="center"/>
          </w:tcPr>
          <w:p w14:paraId="060D4506">
            <w:pPr>
              <w:pStyle w:val="22"/>
              <w:snapToGrid w:val="0"/>
              <w:spacing w:line="380" w:lineRule="exact"/>
              <w:jc w:val="center"/>
              <w:rPr>
                <w:rFonts w:hint="eastAsia" w:hAnsi="宋体" w:cs="宋体"/>
                <w:b/>
                <w:color w:val="auto"/>
                <w:sz w:val="24"/>
                <w:szCs w:val="24"/>
                <w:highlight w:val="none"/>
              </w:rPr>
            </w:pPr>
            <w:bookmarkStart w:id="73" w:name="_Toc4468"/>
            <w:r>
              <w:rPr>
                <w:rFonts w:hint="eastAsia" w:hAnsi="宋体" w:cs="宋体"/>
                <w:b/>
                <w:color w:val="auto"/>
                <w:sz w:val="24"/>
                <w:szCs w:val="24"/>
                <w:highlight w:val="none"/>
              </w:rPr>
              <w:t>单位</w:t>
            </w:r>
            <w:bookmarkEnd w:id="73"/>
          </w:p>
        </w:tc>
        <w:tc>
          <w:tcPr>
            <w:tcW w:w="3167" w:type="pct"/>
            <w:noWrap w:val="0"/>
            <w:vAlign w:val="center"/>
          </w:tcPr>
          <w:p w14:paraId="73956A7C">
            <w:pPr>
              <w:pStyle w:val="22"/>
              <w:snapToGrid w:val="0"/>
              <w:spacing w:line="380" w:lineRule="exact"/>
              <w:jc w:val="center"/>
              <w:rPr>
                <w:rFonts w:hAnsi="宋体" w:cs="宋体"/>
                <w:b/>
                <w:color w:val="auto"/>
                <w:sz w:val="24"/>
                <w:szCs w:val="24"/>
                <w:highlight w:val="none"/>
              </w:rPr>
            </w:pPr>
            <w:r>
              <w:rPr>
                <w:rFonts w:hint="eastAsia" w:hAnsi="宋体" w:cs="宋体"/>
                <w:b/>
                <w:color w:val="auto"/>
                <w:sz w:val="24"/>
                <w:szCs w:val="24"/>
                <w:highlight w:val="none"/>
              </w:rPr>
              <w:t>技术参数</w:t>
            </w:r>
            <w:r>
              <w:rPr>
                <w:rFonts w:hint="eastAsia" w:hAnsi="宋体" w:cs="宋体"/>
                <w:b/>
                <w:color w:val="auto"/>
                <w:sz w:val="24"/>
                <w:szCs w:val="24"/>
                <w:highlight w:val="none"/>
                <w:lang w:val="en-US" w:eastAsia="zh-CN"/>
              </w:rPr>
              <w:t>及</w:t>
            </w:r>
            <w:r>
              <w:rPr>
                <w:rFonts w:hint="eastAsia" w:hAnsi="宋体" w:cs="宋体"/>
                <w:b/>
                <w:color w:val="auto"/>
                <w:sz w:val="24"/>
                <w:szCs w:val="24"/>
                <w:highlight w:val="none"/>
              </w:rPr>
              <w:t>性能指标</w:t>
            </w:r>
          </w:p>
        </w:tc>
        <w:tc>
          <w:tcPr>
            <w:tcW w:w="466" w:type="pct"/>
            <w:noWrap w:val="0"/>
            <w:vAlign w:val="center"/>
          </w:tcPr>
          <w:p w14:paraId="4DEFCFDC">
            <w:pPr>
              <w:pStyle w:val="22"/>
              <w:snapToGrid w:val="0"/>
              <w:spacing w:line="380" w:lineRule="exact"/>
              <w:jc w:val="center"/>
              <w:rPr>
                <w:rFonts w:hint="default" w:hAnsi="宋体" w:cs="宋体"/>
                <w:b/>
                <w:color w:val="auto"/>
                <w:sz w:val="24"/>
                <w:szCs w:val="24"/>
                <w:highlight w:val="none"/>
                <w:lang w:val="en-US"/>
              </w:rPr>
            </w:pPr>
            <w:r>
              <w:rPr>
                <w:rFonts w:hint="eastAsia" w:hAnsi="宋体" w:cs="宋体"/>
                <w:b/>
                <w:color w:val="auto"/>
                <w:sz w:val="24"/>
                <w:szCs w:val="24"/>
                <w:highlight w:val="none"/>
                <w:lang w:val="en-US" w:eastAsia="zh-CN"/>
              </w:rPr>
              <w:t>所属行业</w:t>
            </w:r>
          </w:p>
        </w:tc>
      </w:tr>
      <w:tr w14:paraId="019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67" w:type="pct"/>
            <w:noWrap w:val="0"/>
            <w:vAlign w:val="center"/>
          </w:tcPr>
          <w:p w14:paraId="474EAD62">
            <w:pPr>
              <w:pStyle w:val="22"/>
              <w:snapToGrid w:val="0"/>
              <w:spacing w:line="380" w:lineRule="exact"/>
              <w:jc w:val="center"/>
              <w:rPr>
                <w:rFonts w:hAnsi="宋体" w:cs="宋体"/>
                <w:color w:val="auto"/>
                <w:sz w:val="24"/>
                <w:szCs w:val="24"/>
                <w:highlight w:val="none"/>
              </w:rPr>
            </w:pPr>
            <w:bookmarkStart w:id="74" w:name="_Toc18672"/>
            <w:r>
              <w:rPr>
                <w:rFonts w:hint="eastAsia" w:hAnsi="宋体" w:cs="宋体"/>
                <w:color w:val="auto"/>
                <w:sz w:val="24"/>
                <w:szCs w:val="24"/>
                <w:highlight w:val="none"/>
              </w:rPr>
              <w:t>1</w:t>
            </w:r>
            <w:bookmarkEnd w:id="74"/>
          </w:p>
        </w:tc>
        <w:tc>
          <w:tcPr>
            <w:tcW w:w="451" w:type="pct"/>
            <w:noWrap w:val="0"/>
            <w:vAlign w:val="center"/>
          </w:tcPr>
          <w:p w14:paraId="36B776D0">
            <w:pPr>
              <w:pStyle w:val="22"/>
              <w:snapToGrid w:val="0"/>
              <w:spacing w:line="380" w:lineRule="exact"/>
              <w:jc w:val="center"/>
              <w:rPr>
                <w:rFonts w:hint="eastAsia" w:hAnsi="宋体" w:cs="宋体"/>
                <w:color w:val="auto"/>
                <w:sz w:val="24"/>
                <w:szCs w:val="24"/>
                <w:highlight w:val="none"/>
              </w:rPr>
            </w:pPr>
            <w:r>
              <w:rPr>
                <w:rFonts w:hint="eastAsia" w:hAnsi="宋体" w:cs="宋体"/>
                <w:color w:val="auto"/>
                <w:highlight w:val="none"/>
              </w:rPr>
              <w:t>IC制造和封装虚拟仿真一体平台</w:t>
            </w:r>
          </w:p>
        </w:tc>
        <w:tc>
          <w:tcPr>
            <w:tcW w:w="366" w:type="pct"/>
            <w:gridSpan w:val="2"/>
            <w:noWrap w:val="0"/>
            <w:vAlign w:val="center"/>
          </w:tcPr>
          <w:p w14:paraId="1C6A70EC">
            <w:pPr>
              <w:pStyle w:val="108"/>
              <w:jc w:val="center"/>
              <w:rPr>
                <w:rFonts w:hint="eastAsia" w:ascii="宋体" w:hAnsi="宋体"/>
                <w:color w:val="auto"/>
                <w:szCs w:val="21"/>
                <w:highlight w:val="none"/>
              </w:rPr>
            </w:pPr>
            <w:r>
              <w:rPr>
                <w:rFonts w:hint="eastAsia" w:ascii="宋体" w:hAnsi="宋体" w:cs="宋体"/>
                <w:bCs/>
                <w:color w:val="auto"/>
                <w:szCs w:val="21"/>
                <w:highlight w:val="none"/>
              </w:rPr>
              <w:t>1</w:t>
            </w:r>
            <w:r>
              <w:rPr>
                <w:rFonts w:ascii="宋体" w:hAnsi="宋体" w:cs="宋体"/>
                <w:bCs/>
                <w:color w:val="auto"/>
                <w:szCs w:val="21"/>
                <w:highlight w:val="none"/>
              </w:rPr>
              <w:t>3</w:t>
            </w:r>
          </w:p>
        </w:tc>
        <w:tc>
          <w:tcPr>
            <w:tcW w:w="280" w:type="pct"/>
            <w:noWrap w:val="0"/>
            <w:vAlign w:val="center"/>
          </w:tcPr>
          <w:p w14:paraId="18873F5B">
            <w:pPr>
              <w:pStyle w:val="108"/>
              <w:jc w:val="center"/>
              <w:rPr>
                <w:rFonts w:hint="eastAsia" w:ascii="宋体" w:hAnsi="宋体"/>
                <w:color w:val="auto"/>
                <w:szCs w:val="21"/>
                <w:highlight w:val="none"/>
              </w:rPr>
            </w:pPr>
            <w:r>
              <w:rPr>
                <w:rFonts w:hint="eastAsia" w:ascii="宋体" w:hAnsi="宋体" w:cs="宋体"/>
                <w:bCs/>
                <w:color w:val="auto"/>
                <w:szCs w:val="21"/>
                <w:highlight w:val="none"/>
              </w:rPr>
              <w:t>套</w:t>
            </w:r>
          </w:p>
        </w:tc>
        <w:tc>
          <w:tcPr>
            <w:tcW w:w="3167" w:type="pct"/>
            <w:noWrap w:val="0"/>
            <w:vAlign w:val="center"/>
          </w:tcPr>
          <w:p w14:paraId="57A2D2EC">
            <w:pPr>
              <w:keepNext w:val="0"/>
              <w:keepLines w:val="0"/>
              <w:pageBreakBefore w:val="0"/>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1.半导体IC器件</w:t>
            </w:r>
          </w:p>
          <w:p w14:paraId="28B4252E">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color w:val="auto"/>
                <w:sz w:val="22"/>
                <w:szCs w:val="22"/>
                <w:highlight w:val="none"/>
              </w:rPr>
              <w:t>▲（1）PN结物理</w:t>
            </w:r>
          </w:p>
          <w:p w14:paraId="43054F03">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课件1套，视频1个，作业1套。实验：PN结掺杂浓度仿真；PN结VI特性仿真。</w:t>
            </w:r>
            <w:r>
              <w:rPr>
                <w:rFonts w:hint="eastAsia" w:ascii="宋体" w:hAnsi="宋体" w:eastAsia="宋体" w:cs="宋体"/>
                <w:b/>
                <w:bCs/>
                <w:color w:val="auto"/>
                <w:sz w:val="22"/>
                <w:szCs w:val="22"/>
                <w:highlight w:val="none"/>
              </w:rPr>
              <w:t>（提供功能截图）</w:t>
            </w:r>
          </w:p>
          <w:p w14:paraId="0501389F">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（2）二极管</w:t>
            </w:r>
          </w:p>
          <w:p w14:paraId="77E6A595">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课件1套：LED、光伏电池，视频1个，作业1套。实验： LED、太阳能电池，工艺流程设计和仿真。</w:t>
            </w:r>
          </w:p>
          <w:p w14:paraId="50444940">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（3）三极管</w:t>
            </w:r>
          </w:p>
          <w:p w14:paraId="48652FE8">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课件1套：NPN、PNP、NMOS、PMOS，视频1个，作业1套。实验：NPN三极管、PNP、NMOS、PMOS，工艺流程设计和仿真。工程： NPN、PNP、NMOS、PMOS，工艺参数设计（主要包括：制膜、光刻、刻蚀、掺杂扩散、合金），并通过NPN结构仿真，判断设置的正确性。</w:t>
            </w:r>
          </w:p>
          <w:p w14:paraId="5322C690">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（4）数字电路</w:t>
            </w:r>
          </w:p>
          <w:p w14:paraId="3CE26E69">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课件1套：CMOS非门和NMOS触发器，视频1个，作业1套。实验：CMOS非门、NMOS触发器，工艺流程设计和仿真。工程：CMOS非门、NMOS触发器，工艺参数设计和CMOS结构仿真。</w:t>
            </w:r>
          </w:p>
          <w:p w14:paraId="65F3F4C2">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（5）HEMT功率管</w:t>
            </w:r>
          </w:p>
          <w:p w14:paraId="4E2CAF6F">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课件1套：HEMT功率管，视频1个，作业1套。实验： HEMT功率管，工艺流程设计和仿真。工程： HEMT功率管工艺参数设计，并通过结构仿真，判断设置的正确性。</w:t>
            </w:r>
          </w:p>
          <w:p w14:paraId="5A903D1B">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（6）MEMS</w:t>
            </w:r>
          </w:p>
          <w:p w14:paraId="695D5B39">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课件1套，视频1个，作业1套。实验：MEMS可变电容，工艺流程设计和仿真。工程：MEMS可变电容工艺参数设计，并通过结构仿真，判断设置的正确性。</w:t>
            </w:r>
          </w:p>
          <w:p w14:paraId="4A6326D8">
            <w:pPr>
              <w:keepNext w:val="0"/>
              <w:keepLines w:val="0"/>
              <w:pageBreakBefore w:val="0"/>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2.集成电路制造工艺</w:t>
            </w:r>
          </w:p>
          <w:p w14:paraId="33B7917D">
            <w:pPr>
              <w:pStyle w:val="29"/>
              <w:keepNext w:val="0"/>
              <w:keepLines w:val="0"/>
              <w:pageBreakBefore w:val="0"/>
              <w:numPr>
                <w:ilvl w:val="0"/>
                <w:numId w:val="2"/>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IC制造</w:t>
            </w:r>
          </w:p>
          <w:p w14:paraId="2B207ADF">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课件1套：集成电路的类别、IC设计与制造的流程，讲课视频1个、作业1套。</w:t>
            </w:r>
          </w:p>
          <w:p w14:paraId="736304FB">
            <w:pPr>
              <w:keepNext w:val="0"/>
              <w:keepLines w:val="0"/>
              <w:pageBreakBefore w:val="0"/>
              <w:numPr>
                <w:ilvl w:val="0"/>
                <w:numId w:val="2"/>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氧化</w:t>
            </w:r>
            <w:r>
              <w:rPr>
                <w:rFonts w:hint="eastAsia" w:ascii="宋体" w:hAnsi="宋体" w:eastAsia="宋体" w:cs="宋体"/>
                <w:color w:val="auto"/>
                <w:sz w:val="22"/>
                <w:szCs w:val="22"/>
                <w:highlight w:val="none"/>
              </w:rPr>
              <w:tab/>
            </w:r>
          </w:p>
          <w:p w14:paraId="1069593A">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课件1套：薄膜、氧化工艺，讲课视频1个、作业1套。实验（氧化）：原理、工艺参数设置和生产操作、质量检验，热分解淀积原理。</w:t>
            </w:r>
          </w:p>
          <w:p w14:paraId="3058B2DD">
            <w:pPr>
              <w:pStyle w:val="29"/>
              <w:keepNext w:val="0"/>
              <w:keepLines w:val="0"/>
              <w:pageBreakBefore w:val="0"/>
              <w:numPr>
                <w:ilvl w:val="0"/>
                <w:numId w:val="2"/>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化学淀积</w:t>
            </w:r>
          </w:p>
          <w:p w14:paraId="300222F7">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课件1套：LPCVD、PECVD、ALD化学淀积，讲课视频1个，作业1套。实验：LPCVD、PECVD、ALD：原理、工艺参数设置和生产操作、温度曲线仿真。</w:t>
            </w:r>
          </w:p>
          <w:p w14:paraId="7A365B59">
            <w:pPr>
              <w:keepNext w:val="0"/>
              <w:keepLines w:val="0"/>
              <w:pageBreakBefore w:val="0"/>
              <w:numPr>
                <w:ilvl w:val="0"/>
                <w:numId w:val="2"/>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物理淀积</w:t>
            </w:r>
          </w:p>
          <w:p w14:paraId="5FE5EBA8">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课件1套：电子束蒸发、磁控溅射、真空蒸发，讲课视频1个，作业1套。实验：电子束蒸发、磁控溅射、真空蒸发：原理、工艺参数设置和生产操作。</w:t>
            </w:r>
          </w:p>
          <w:p w14:paraId="26C497E8">
            <w:pPr>
              <w:pStyle w:val="29"/>
              <w:keepNext w:val="0"/>
              <w:keepLines w:val="0"/>
              <w:pageBreakBefore w:val="0"/>
              <w:numPr>
                <w:ilvl w:val="0"/>
                <w:numId w:val="2"/>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外延</w:t>
            </w:r>
          </w:p>
          <w:p w14:paraId="2EAED30E">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课件1套：外延工艺，讲课视频1个，作业1套。实验：外延，原理、工艺参数设置和生产操作、温度曲线仿真</w:t>
            </w:r>
          </w:p>
          <w:p w14:paraId="5F670721">
            <w:pPr>
              <w:keepNext w:val="0"/>
              <w:keepLines w:val="0"/>
              <w:pageBreakBefore w:val="0"/>
              <w:numPr>
                <w:ilvl w:val="0"/>
                <w:numId w:val="2"/>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光刻</w:t>
            </w:r>
          </w:p>
          <w:p w14:paraId="4F91C662">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课件1套：光刻原理、涂胶、曝光工艺、显影、制掩膜板，讲课视频1个，作业1套。实验：涂胶前烘、光学曝光、极紫外光刻、显影后烘：工艺参数设置和生产操作。</w:t>
            </w:r>
          </w:p>
          <w:p w14:paraId="1FCFE666">
            <w:pPr>
              <w:pStyle w:val="29"/>
              <w:keepNext w:val="0"/>
              <w:keepLines w:val="0"/>
              <w:pageBreakBefore w:val="0"/>
              <w:numPr>
                <w:ilvl w:val="0"/>
                <w:numId w:val="2"/>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刻蚀</w:t>
            </w:r>
          </w:p>
          <w:p w14:paraId="180DAC4B">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课件1套：刻蚀和去胶，讲课视频1个，作业1套。实验：湿法刻蚀、等离子刻蚀机、反应离子刻蚀机、溶剂去胶、等离子体去胶：原理、工艺参数设置和生产操作。</w:t>
            </w:r>
          </w:p>
          <w:p w14:paraId="1F730F3B">
            <w:pPr>
              <w:keepNext w:val="0"/>
              <w:keepLines w:val="0"/>
              <w:pageBreakBefore w:val="0"/>
              <w:numPr>
                <w:ilvl w:val="0"/>
                <w:numId w:val="2"/>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掺杂</w:t>
            </w:r>
            <w:r>
              <w:rPr>
                <w:rFonts w:hint="eastAsia" w:ascii="宋体" w:hAnsi="宋体" w:eastAsia="宋体" w:cs="宋体"/>
                <w:color w:val="auto"/>
                <w:sz w:val="22"/>
                <w:szCs w:val="22"/>
                <w:highlight w:val="none"/>
              </w:rPr>
              <w:tab/>
            </w:r>
          </w:p>
          <w:p w14:paraId="294A9031">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扩散和离子注入掺杂，讲课视频1个，作业1套。实验：PN结掺杂浓度仿真，PN结偏置电压仿真，VI特性仿真；实验.液/固态源扩散，原理、生产操作，硼和磷扩散工艺参数设置和温度曲线仿真；实验：离子注入掺杂原理、工艺参数设置和生产操作。</w:t>
            </w:r>
          </w:p>
          <w:p w14:paraId="5068CF24">
            <w:pPr>
              <w:pStyle w:val="29"/>
              <w:keepNext w:val="0"/>
              <w:keepLines w:val="0"/>
              <w:pageBreakBefore w:val="0"/>
              <w:numPr>
                <w:ilvl w:val="0"/>
                <w:numId w:val="2"/>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辅助工艺</w:t>
            </w:r>
          </w:p>
          <w:p w14:paraId="18974FA8">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课件1套：金属化、平坦化、清洗、测试，讲课视频1个，作业1套。实验：化学机械抛光原理、工艺参数设置和生产操作；实验：ICT测试操作，NPN和NMOS输出曲线微电子IC封装技术仿真模块。</w:t>
            </w:r>
          </w:p>
          <w:p w14:paraId="7E39C797">
            <w:pPr>
              <w:keepNext w:val="0"/>
              <w:keepLines w:val="0"/>
              <w:pageBreakBefore w:val="0"/>
              <w:numPr>
                <w:ilvl w:val="0"/>
                <w:numId w:val="2"/>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晶圆制造</w:t>
            </w:r>
            <w:r>
              <w:rPr>
                <w:rFonts w:hint="eastAsia" w:ascii="宋体" w:hAnsi="宋体" w:eastAsia="宋体" w:cs="宋体"/>
                <w:color w:val="auto"/>
                <w:sz w:val="22"/>
                <w:szCs w:val="22"/>
                <w:highlight w:val="none"/>
              </w:rPr>
              <w:tab/>
            </w:r>
          </w:p>
          <w:p w14:paraId="07C616E0">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课件1套，视频1个，作业1套。实验：拉单晶工艺参数设置和设备操作，并进行温度曲线所真.实验：晶圆加工划片和抛光工艺参数设置和设备操作，晶圆VR车间操作。</w:t>
            </w:r>
          </w:p>
          <w:p w14:paraId="68A5BF62">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3.IC版图设计工艺验证仿真</w:t>
            </w:r>
          </w:p>
          <w:p w14:paraId="7C92182F">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▲（1）版图设计规则仿真理论：课件1套，视频1个，作业1套.</w:t>
            </w:r>
          </w:p>
          <w:p w14:paraId="386B6EBE">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（2）版图设计规则仿真：NPN三极管和CMOS非门版图设计规则仿真：选择设计NPN和CMOS版图的关键结构几何尺寸，根据尺寸，进行结构仿真，直观检查版图设计的DFM可制造性。</w:t>
            </w:r>
          </w:p>
          <w:p w14:paraId="158C4B2F">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▲（3）版图设计结构仿真：输入所设计的GDS版图文件，提取数据，绘制IC版图的每层图形，并由设计师设置每层的功能和厚度，进行IC结构3D仿真。</w:t>
            </w:r>
            <w:r>
              <w:rPr>
                <w:rFonts w:hint="eastAsia" w:ascii="宋体" w:hAnsi="宋体" w:eastAsia="宋体" w:cs="宋体"/>
                <w:b/>
                <w:bCs/>
                <w:color w:val="auto"/>
                <w:sz w:val="22"/>
                <w:szCs w:val="22"/>
                <w:highlight w:val="none"/>
              </w:rPr>
              <w:t>（提供功能截图）</w:t>
            </w:r>
          </w:p>
          <w:p w14:paraId="3127F793">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▲(4)版图设计工艺验证：版图设计工艺仿真验证仿真：在IC版图设计文件结构仿真基础上；选择设计该IC版图每层结构的实现工艺流程，并进行3D结构仿真；验证版图设计的工艺合理性和正确性。</w:t>
            </w:r>
            <w:r>
              <w:rPr>
                <w:rFonts w:hint="eastAsia" w:ascii="宋体" w:hAnsi="宋体" w:eastAsia="宋体" w:cs="宋体"/>
                <w:b/>
                <w:bCs/>
                <w:color w:val="auto"/>
                <w:sz w:val="22"/>
                <w:szCs w:val="22"/>
                <w:highlight w:val="none"/>
              </w:rPr>
              <w:t>（提供功能截图）</w:t>
            </w:r>
          </w:p>
          <w:p w14:paraId="77007805">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4.IC制造实验工厂</w:t>
            </w:r>
          </w:p>
          <w:p w14:paraId="1316584E">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课件1套，视频1个，作业1套。工程. NPN三极管和CMOS非门实验工厂：在虚拟制造工厂中，按照器件的工艺流程，漫游找到每个工序设备并操作，显示每台设备加工完成前后器件结构变化。</w:t>
            </w:r>
            <w:r>
              <w:rPr>
                <w:rFonts w:hint="eastAsia" w:ascii="宋体" w:hAnsi="宋体" w:eastAsia="宋体" w:cs="宋体"/>
                <w:b/>
                <w:bCs/>
                <w:color w:val="auto"/>
                <w:sz w:val="22"/>
                <w:szCs w:val="22"/>
                <w:highlight w:val="none"/>
              </w:rPr>
              <w:t>（提供功能截图）</w:t>
            </w:r>
          </w:p>
          <w:p w14:paraId="6D9A0348">
            <w:pPr>
              <w:keepNext w:val="0"/>
              <w:keepLines w:val="0"/>
              <w:pageBreakBefore w:val="0"/>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5.IC封装技术</w:t>
            </w:r>
          </w:p>
          <w:p w14:paraId="62DA2F73">
            <w:pPr>
              <w:pStyle w:val="29"/>
              <w:keepNext w:val="0"/>
              <w:keepLines w:val="0"/>
              <w:pageBreakBefore w:val="0"/>
              <w:numPr>
                <w:ilvl w:val="0"/>
                <w:numId w:val="3"/>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IC封装制程</w:t>
            </w:r>
          </w:p>
          <w:p w14:paraId="31934716">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课件1套：晶圆减薄划片、外壳封胶、引脚工艺、芯片测试，视频1个，作业1套。实验：抛光、划片、封胶、测试：工艺参数设置和生产操作。</w:t>
            </w:r>
          </w:p>
          <w:p w14:paraId="58F87325">
            <w:pPr>
              <w:keepNext w:val="0"/>
              <w:keepLines w:val="0"/>
              <w:pageBreakBefore w:val="0"/>
              <w:numPr>
                <w:ilvl w:val="0"/>
                <w:numId w:val="3"/>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引线贴装键合</w:t>
            </w:r>
          </w:p>
          <w:p w14:paraId="1BF345BA">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课件1套：芯片贴装、引线键合、倒装焊接、.载带自动焊，视频1个，作业1套。实验：点胶和粘晶、邦定、倒装焊：工艺参数设置和生产操作。</w:t>
            </w:r>
          </w:p>
          <w:p w14:paraId="1701EA65">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6.微电子封装技术</w:t>
            </w:r>
          </w:p>
          <w:p w14:paraId="1D13B5FA">
            <w:pPr>
              <w:keepNext w:val="0"/>
              <w:keepLines w:val="0"/>
              <w:pageBreakBefore w:val="0"/>
              <w:numPr>
                <w:ilvl w:val="0"/>
                <w:numId w:val="4"/>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立体封装</w:t>
            </w:r>
          </w:p>
          <w:p w14:paraId="02BD48E6">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课件1</w:t>
            </w:r>
            <w:r>
              <w:rPr>
                <w:rFonts w:hint="eastAsia" w:ascii="宋体" w:hAnsi="宋体" w:eastAsia="宋体" w:cs="宋体"/>
                <w:caps w:val="0"/>
                <w:color w:val="auto"/>
                <w:kern w:val="0"/>
                <w:sz w:val="22"/>
                <w:szCs w:val="22"/>
                <w:highlight w:val="none"/>
                <w:lang w:val="en-US" w:eastAsia="zh-CN" w:bidi="ar-SA"/>
              </w:rPr>
              <w:t>套：</w:t>
            </w:r>
            <w:r>
              <w:rPr>
                <w:rFonts w:hint="eastAsia" w:ascii="宋体" w:hAnsi="宋体" w:cs="宋体"/>
                <w:b w:val="0"/>
                <w:bCs w:val="0"/>
                <w:color w:val="auto"/>
                <w:sz w:val="22"/>
                <w:szCs w:val="22"/>
                <w:highlight w:val="none"/>
              </w:rPr>
              <w:t>器件叠层封装WELP/TSV、晶圆级封装FC (WLCSP) 、系统级封装SOC/SIP，视频1个，作业1套。</w:t>
            </w:r>
          </w:p>
          <w:p w14:paraId="0C1B5674">
            <w:pPr>
              <w:pStyle w:val="29"/>
              <w:keepNext w:val="0"/>
              <w:keepLines w:val="0"/>
              <w:pageBreakBefore w:val="0"/>
              <w:numPr>
                <w:ilvl w:val="0"/>
                <w:numId w:val="4"/>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微组装工艺</w:t>
            </w:r>
          </w:p>
          <w:p w14:paraId="33A16DF4">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课件1套，视频1个，作业1套。实验：工艺流程设计和仿真：FC、BGA、QFP、BGA/QFP、BGA/QFN、PoP、MCM。工程：BGA电脑工艺参数设计。</w:t>
            </w:r>
          </w:p>
          <w:p w14:paraId="6F95BA4F">
            <w:pPr>
              <w:keepNext w:val="0"/>
              <w:keepLines w:val="0"/>
              <w:pageBreakBefore w:val="0"/>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7.IC器件封装工艺设计</w:t>
            </w:r>
          </w:p>
          <w:p w14:paraId="4989EA47">
            <w:pPr>
              <w:pStyle w:val="29"/>
              <w:keepNext w:val="0"/>
              <w:keepLines w:val="0"/>
              <w:pageBreakBefore w:val="0"/>
              <w:numPr>
                <w:ilvl w:val="0"/>
                <w:numId w:val="5"/>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封装类型</w:t>
            </w:r>
          </w:p>
          <w:p w14:paraId="7145CCDF">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课件1套：PTH插件封装、SMD/BGA表贴封装、微电子封装，视频1个，作业1套。</w:t>
            </w:r>
          </w:p>
          <w:p w14:paraId="483AEB9B">
            <w:pPr>
              <w:pStyle w:val="29"/>
              <w:keepNext w:val="0"/>
              <w:keepLines w:val="0"/>
              <w:pageBreakBefore w:val="0"/>
              <w:numPr>
                <w:ilvl w:val="0"/>
                <w:numId w:val="5"/>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SOP/BGA封装</w:t>
            </w:r>
          </w:p>
          <w:p w14:paraId="50A43394">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课件1套：SOP表贴器件封装、BGA阵列器件封装，视频1个，作业1套。实验/工程：SOP和BGA封装工艺流程和参数设计。</w:t>
            </w:r>
          </w:p>
          <w:p w14:paraId="4629723E">
            <w:pPr>
              <w:pStyle w:val="29"/>
              <w:keepNext w:val="0"/>
              <w:keepLines w:val="0"/>
              <w:pageBreakBefore w:val="0"/>
              <w:numPr>
                <w:ilvl w:val="0"/>
                <w:numId w:val="5"/>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器件叠层封装</w:t>
            </w:r>
          </w:p>
          <w:p w14:paraId="3DF68A5F">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课件1套：WBLP器件叠层封装和TSV器件叠层封装，视频1个，作业1套。实验/工程：WBLP和TSV封装工艺流程和参数设计。</w:t>
            </w:r>
          </w:p>
          <w:p w14:paraId="335EE6E9">
            <w:pPr>
              <w:pStyle w:val="29"/>
              <w:keepNext w:val="0"/>
              <w:keepLines w:val="0"/>
              <w:pageBreakBefore w:val="0"/>
              <w:numPr>
                <w:ilvl w:val="0"/>
                <w:numId w:val="5"/>
              </w:numPr>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晶圆级封装</w:t>
            </w:r>
          </w:p>
          <w:p w14:paraId="1951F1FF">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课件1套：晶圆级封装，视频1个，作业1套。实验/工程：FC (WLCSP)封装工艺流程和参数设计。</w:t>
            </w:r>
          </w:p>
          <w:p w14:paraId="6F037D48">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（5）系统级封装</w:t>
            </w:r>
          </w:p>
          <w:p w14:paraId="312847D1">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课件1套：系统级封装，视频1个，作业1套。实验/工程： SIP封装工艺流程设计和参数设计.</w:t>
            </w:r>
          </w:p>
          <w:p w14:paraId="22F07E8F">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▲8.封装实验工厂</w:t>
            </w:r>
          </w:p>
          <w:p w14:paraId="17D569B6">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课件1套，视频1个，作业1套。工程：SOP和BGA封装实验工厂：在虚拟制造工厂中，按照器件封装的工艺流程，漫游找到每个工序设备并操作，显示每台设备加工完成前后器件结构变化。</w:t>
            </w:r>
            <w:r>
              <w:rPr>
                <w:rFonts w:hint="eastAsia" w:ascii="宋体" w:hAnsi="宋体" w:eastAsia="宋体" w:cs="宋体"/>
                <w:b/>
                <w:bCs/>
                <w:color w:val="auto"/>
                <w:sz w:val="22"/>
                <w:szCs w:val="22"/>
                <w:highlight w:val="none"/>
              </w:rPr>
              <w:t>（提供功能截图）</w:t>
            </w:r>
          </w:p>
          <w:p w14:paraId="2EC3DCC5">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2" w:firstLineChars="200"/>
              <w:textAlignment w:val="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▲9.考评和教师系统</w:t>
            </w:r>
          </w:p>
          <w:p w14:paraId="5F70524A">
            <w:pPr>
              <w:keepNext w:val="0"/>
              <w:keepLines w:val="0"/>
              <w:pageBreakBefore w:val="0"/>
              <w:numPr>
                <w:ilvl w:val="0"/>
                <w:numId w:val="6"/>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课程类型</w:t>
            </w:r>
          </w:p>
          <w:p w14:paraId="20287E4D">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集成电路制造工艺、半导体器件、集成电路封装技术、微电子封装技术</w:t>
            </w:r>
            <w:r>
              <w:rPr>
                <w:rFonts w:hint="eastAsia" w:ascii="宋体" w:hAnsi="宋体" w:cs="宋体"/>
                <w:color w:val="auto"/>
                <w:sz w:val="22"/>
                <w:szCs w:val="22"/>
                <w:highlight w:val="none"/>
              </w:rPr>
              <w:t>（提供功能截图）</w:t>
            </w:r>
          </w:p>
          <w:p w14:paraId="597B2ED8">
            <w:pPr>
              <w:keepNext w:val="0"/>
              <w:keepLines w:val="0"/>
              <w:pageBreakBefore w:val="0"/>
              <w:numPr>
                <w:ilvl w:val="0"/>
                <w:numId w:val="6"/>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学生管理</w:t>
            </w:r>
          </w:p>
          <w:p w14:paraId="0CB05C36">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录入（文本和手工）、查询、修改、历史。</w:t>
            </w:r>
          </w:p>
          <w:p w14:paraId="3EBBBE82">
            <w:pPr>
              <w:keepNext w:val="0"/>
              <w:keepLines w:val="0"/>
              <w:pageBreakBefore w:val="0"/>
              <w:numPr>
                <w:ilvl w:val="0"/>
                <w:numId w:val="6"/>
              </w:numPr>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课程大纲、课程考试</w:t>
            </w:r>
          </w:p>
          <w:p w14:paraId="57F7AB27">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教师可设定课程大钢的章节，学生可查询。基于课程大钢选择出题，知识题20题（20分），实践题8题（80分）。</w:t>
            </w:r>
            <w:r>
              <w:rPr>
                <w:rFonts w:hint="eastAsia" w:ascii="宋体" w:hAnsi="宋体" w:eastAsia="宋体" w:cs="宋体"/>
                <w:b/>
                <w:bCs/>
                <w:color w:val="auto"/>
                <w:sz w:val="22"/>
                <w:szCs w:val="22"/>
                <w:highlight w:val="none"/>
              </w:rPr>
              <w:t>（提供功能截图）</w:t>
            </w:r>
          </w:p>
          <w:p w14:paraId="7B1B0085">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（5）考评和成绩统计</w:t>
            </w:r>
          </w:p>
          <w:p w14:paraId="4ACD1027">
            <w:pPr>
              <w:pStyle w:val="29"/>
              <w:keepNext w:val="0"/>
              <w:keepLines w:val="0"/>
              <w:pageBreakBefore w:val="0"/>
              <w:tabs>
                <w:tab w:val="left" w:pos="840"/>
                <w:tab w:val="right" w:leader="dot" w:pos="8296"/>
                <w:tab w:val="clear" w:pos="9402"/>
              </w:tabs>
              <w:kinsoku/>
              <w:wordWrap/>
              <w:overflowPunct/>
              <w:topLinePunct w:val="0"/>
              <w:autoSpaceDE/>
              <w:autoSpaceDN/>
              <w:bidi w:val="0"/>
              <w:spacing w:before="0" w:after="0" w:line="360" w:lineRule="exact"/>
              <w:ind w:firstLine="440" w:firstLineChars="200"/>
              <w:textAlignment w:val="auto"/>
              <w:rPr>
                <w:rFonts w:hint="eastAsia" w:ascii="宋体" w:hAnsi="宋体" w:cs="宋体"/>
                <w:b w:val="0"/>
                <w:bCs w:val="0"/>
                <w:color w:val="auto"/>
                <w:sz w:val="22"/>
                <w:szCs w:val="22"/>
                <w:highlight w:val="none"/>
              </w:rPr>
            </w:pPr>
            <w:r>
              <w:rPr>
                <w:rFonts w:hint="eastAsia" w:ascii="宋体" w:hAnsi="宋体" w:cs="宋体"/>
                <w:b w:val="0"/>
                <w:bCs w:val="0"/>
                <w:color w:val="auto"/>
                <w:sz w:val="22"/>
                <w:szCs w:val="22"/>
                <w:highlight w:val="none"/>
              </w:rPr>
              <w:t>系统自动考评、统计和分析，课程总成绩=课程考试%+作业%+实验%+工程%，可查询课程考试、作业、实验、工程的成绩。</w:t>
            </w:r>
          </w:p>
          <w:p w14:paraId="54BE9692">
            <w:pPr>
              <w:keepNext w:val="0"/>
              <w:keepLines w:val="0"/>
              <w:pageBreakBefore w:val="0"/>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10.配套支撑硬件平台</w:t>
            </w:r>
          </w:p>
          <w:p w14:paraId="13F79974">
            <w:pPr>
              <w:keepNext w:val="0"/>
              <w:keepLines w:val="0"/>
              <w:pageBreakBefore w:val="0"/>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加密卡加密算法AES 128位，受保护功能/应用程序的最大数目(15点)。工作站1台：i7/16G DDR5 4800/2TB M.2 SDD/T400 4g。</w:t>
            </w:r>
          </w:p>
          <w:p w14:paraId="5322E256">
            <w:pPr>
              <w:keepNext w:val="0"/>
              <w:keepLines w:val="0"/>
              <w:pageBreakBefore w:val="0"/>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11.质保要求</w:t>
            </w:r>
          </w:p>
          <w:p w14:paraId="28F2E7C6">
            <w:pPr>
              <w:keepNext w:val="0"/>
              <w:keepLines w:val="0"/>
              <w:pageBreakBefore w:val="0"/>
              <w:kinsoku/>
              <w:wordWrap/>
              <w:overflowPunct/>
              <w:topLinePunct w:val="0"/>
              <w:autoSpaceDE/>
              <w:autoSpaceDN/>
              <w:bidi w:val="0"/>
              <w:spacing w:after="0" w:line="36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产品提供3年硬件质保服务，3年资源更新服务</w:t>
            </w:r>
            <w:r>
              <w:rPr>
                <w:rFonts w:hint="eastAsia" w:ascii="宋体" w:hAnsi="宋体" w:eastAsia="宋体" w:cs="宋体"/>
                <w:color w:val="auto"/>
                <w:sz w:val="22"/>
                <w:szCs w:val="22"/>
                <w:highlight w:val="none"/>
              </w:rPr>
              <w:t>（包含但不限于课件、视频、作业、实验、工程等内容），系统及软件提供永久使用授权</w:t>
            </w:r>
          </w:p>
        </w:tc>
        <w:tc>
          <w:tcPr>
            <w:tcW w:w="466" w:type="pct"/>
            <w:noWrap w:val="0"/>
            <w:vAlign w:val="center"/>
          </w:tcPr>
          <w:p w14:paraId="67B353CE">
            <w:pPr>
              <w:spacing w:after="0" w:line="360" w:lineRule="exac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工业</w:t>
            </w:r>
          </w:p>
        </w:tc>
      </w:tr>
      <w:tr w14:paraId="70B5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noWrap w:val="0"/>
            <w:vAlign w:val="center"/>
          </w:tcPr>
          <w:p w14:paraId="30607D0A">
            <w:pPr>
              <w:pStyle w:val="22"/>
              <w:snapToGrid w:val="0"/>
              <w:spacing w:line="380" w:lineRule="exact"/>
              <w:jc w:val="center"/>
              <w:rPr>
                <w:rFonts w:hAnsi="宋体" w:cs="宋体"/>
                <w:color w:val="auto"/>
                <w:sz w:val="24"/>
                <w:szCs w:val="24"/>
                <w:highlight w:val="none"/>
              </w:rPr>
            </w:pPr>
            <w:bookmarkStart w:id="75" w:name="_Toc22599"/>
            <w:r>
              <w:rPr>
                <w:rFonts w:hint="eastAsia" w:hAnsi="宋体" w:cs="宋体"/>
                <w:color w:val="auto"/>
                <w:sz w:val="24"/>
                <w:szCs w:val="24"/>
                <w:highlight w:val="none"/>
              </w:rPr>
              <w:t>2</w:t>
            </w:r>
            <w:bookmarkEnd w:id="75"/>
          </w:p>
        </w:tc>
        <w:tc>
          <w:tcPr>
            <w:tcW w:w="451" w:type="pct"/>
            <w:noWrap w:val="0"/>
            <w:vAlign w:val="center"/>
          </w:tcPr>
          <w:p w14:paraId="31EC06EE">
            <w:pPr>
              <w:pStyle w:val="22"/>
              <w:snapToGrid w:val="0"/>
              <w:spacing w:line="380" w:lineRule="exact"/>
              <w:jc w:val="center"/>
              <w:rPr>
                <w:rFonts w:hint="eastAsia" w:hAnsi="宋体" w:cs="宋体"/>
                <w:color w:val="auto"/>
                <w:sz w:val="24"/>
                <w:szCs w:val="24"/>
                <w:highlight w:val="none"/>
              </w:rPr>
            </w:pPr>
            <w:r>
              <w:rPr>
                <w:rFonts w:hint="eastAsia" w:hAnsi="宋体" w:cs="宋体"/>
                <w:color w:val="auto"/>
                <w:highlight w:val="none"/>
                <w:lang w:bidi="ar"/>
              </w:rPr>
              <w:t>芯片FT测试平台</w:t>
            </w:r>
          </w:p>
        </w:tc>
        <w:tc>
          <w:tcPr>
            <w:tcW w:w="366" w:type="pct"/>
            <w:gridSpan w:val="2"/>
            <w:noWrap w:val="0"/>
            <w:vAlign w:val="center"/>
          </w:tcPr>
          <w:p w14:paraId="4488273C">
            <w:pPr>
              <w:pStyle w:val="108"/>
              <w:jc w:val="center"/>
              <w:rPr>
                <w:rFonts w:hint="eastAsia" w:ascii="宋体" w:hAnsi="宋体"/>
                <w:color w:val="auto"/>
                <w:szCs w:val="21"/>
                <w:highlight w:val="none"/>
              </w:rPr>
            </w:pPr>
            <w:r>
              <w:rPr>
                <w:rFonts w:hint="eastAsia" w:ascii="宋体" w:hAnsi="宋体" w:cs="宋体"/>
                <w:bCs/>
                <w:color w:val="auto"/>
                <w:szCs w:val="21"/>
                <w:highlight w:val="none"/>
              </w:rPr>
              <w:t>1</w:t>
            </w:r>
          </w:p>
        </w:tc>
        <w:tc>
          <w:tcPr>
            <w:tcW w:w="280" w:type="pct"/>
            <w:noWrap w:val="0"/>
            <w:vAlign w:val="center"/>
          </w:tcPr>
          <w:p w14:paraId="455D45A2">
            <w:pPr>
              <w:pStyle w:val="108"/>
              <w:jc w:val="center"/>
              <w:rPr>
                <w:rFonts w:hint="eastAsia" w:ascii="宋体" w:hAnsi="宋体"/>
                <w:color w:val="auto"/>
                <w:szCs w:val="21"/>
                <w:highlight w:val="none"/>
              </w:rPr>
            </w:pPr>
            <w:r>
              <w:rPr>
                <w:rFonts w:hint="eastAsia" w:ascii="宋体" w:hAnsi="宋体" w:cs="宋体"/>
                <w:bCs/>
                <w:color w:val="auto"/>
                <w:szCs w:val="21"/>
                <w:highlight w:val="none"/>
              </w:rPr>
              <w:t>套</w:t>
            </w:r>
          </w:p>
        </w:tc>
        <w:tc>
          <w:tcPr>
            <w:tcW w:w="3167" w:type="pct"/>
            <w:noWrap w:val="0"/>
            <w:vAlign w:val="center"/>
          </w:tcPr>
          <w:p w14:paraId="0E32260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1.系统槽数：不低于5槽</w:t>
            </w:r>
          </w:p>
          <w:p w14:paraId="66B8589A">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2.数字通道：不低于32通道</w:t>
            </w:r>
          </w:p>
          <w:p w14:paraId="13B1A15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3.模拟通道：</w:t>
            </w:r>
          </w:p>
          <w:p w14:paraId="6AD7C2D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4通道数字化仪、4通道任意波发生器；数字化仪： 输入范围 -10V～+10V；</w:t>
            </w:r>
          </w:p>
          <w:p w14:paraId="33A72D4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任意波发生器：输出范围 -10V～+10V</w:t>
            </w:r>
          </w:p>
          <w:p w14:paraId="63E50D9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4.DPS电源：2 通道，输出电压±12V</w:t>
            </w:r>
          </w:p>
          <w:p w14:paraId="7F115726">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5.数字码型信号输出：最高数据速率：200Mbps； 电压范围： -1.5V～+6.5V ；电压精度：≤±0.2%  设置值±10mV； 输出阻抗：50Ω（±5%）； 输出电流： ≥33mA；输出保护： -2V～+7V ；通道间同步： ≤1ns； 边沿调节分辨率：160ps</w:t>
            </w:r>
          </w:p>
          <w:p w14:paraId="3E9AE75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6.数字码型信号采集：最高采集速率：200Mbps；阈值电压范围：-1.5V～+6.5V； 阈值电压精度：≤±0.2%设置值±10mV</w:t>
            </w:r>
          </w:p>
          <w:p w14:paraId="4AC4825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7.PPMU：</w:t>
            </w:r>
          </w:p>
          <w:p w14:paraId="3E235FB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（1）驱动输出：电压范围：-1.5V～+6.5V，电压精度：≤±0.2%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设置值±5mV， 负载能力：≥20mA ；电流范围：±2μA、±20μA、±200μA、±2mA、±20mA。； </w:t>
            </w:r>
          </w:p>
          <w:p w14:paraId="03AAF74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（2）测量：电压范围：-1.5V～+6.5V， 电压精度：≤±0.2%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设置值±5mV；电流范围：±2μA、±20μA、±200μA、±2mA、±20mA；</w:t>
            </w:r>
          </w:p>
          <w:p w14:paraId="3276193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8.DPS电源：</w:t>
            </w:r>
          </w:p>
          <w:p w14:paraId="3EA6C0E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输出电压：-12V ～ +12V； 电压精度：≤±0.2%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设置值±10mV；输出电流：≥0.5A；</w:t>
            </w:r>
          </w:p>
          <w:p w14:paraId="7DA7155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9.系统主要功能：每通道具有独立的 PMU 单元；具有直流参数测试能力； 具有时间参数测试能力；具有逻辑功能测试能力； 具有特征扫描功能能力；支持对数字集成电路、模拟集成电路、数模混合集成电路的测试。</w:t>
            </w:r>
          </w:p>
          <w:p w14:paraId="677E1D6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10.软件功能：测试工程开发、测试参数验证、测试结果读取和保存、图形化测试向量编辑工具。</w:t>
            </w:r>
          </w:p>
          <w:p w14:paraId="199F349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▲基于集成电路测试课程专用AI智能教学辅助系统。</w:t>
            </w:r>
          </w:p>
          <w:p w14:paraId="3C39092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11.芯片测试范围： </w:t>
            </w:r>
          </w:p>
          <w:p w14:paraId="7AD18C5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（1）支持对数字集成电路、模拟集成电路、数模混合集成电路的测试、SOC测试。 </w:t>
            </w:r>
          </w:p>
          <w:p w14:paraId="3EFB48B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（2）数字芯片：≥5种（至少包含：组合逻辑、时序逻辑、译码器）。</w:t>
            </w:r>
          </w:p>
          <w:p w14:paraId="4746868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（3）模拟芯片：≥3种（至少包含：电源线性电源芯片、DC/DC电源芯片、运放） 。</w:t>
            </w:r>
          </w:p>
          <w:p w14:paraId="518382A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（4）数模混合芯片:≥2种（至少包含：ADC、DAC）。</w:t>
            </w:r>
          </w:p>
          <w:p w14:paraId="160CC60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▲（5）SOC芯片:≥2种（至少包含：MCU(微控制单元)）。</w:t>
            </w:r>
          </w:p>
          <w:p w14:paraId="16ACAA3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（6）每类被测芯片提供负载版（测试子板）：≥2套。</w:t>
            </w:r>
          </w:p>
          <w:p w14:paraId="6C4BEBF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▲（7）供货时随货提供所需要的配套教学资源，至少包括：被测芯片（数字芯片、模拟芯片、数模混合芯片、SOC芯片）、测试子板、配套测试程序、实验指导书。</w:t>
            </w:r>
          </w:p>
          <w:p w14:paraId="32B7D186">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12.质保要求</w:t>
            </w:r>
            <w:r>
              <w:rPr>
                <w:rFonts w:hint="eastAsia" w:ascii="宋体" w:hAnsi="宋体" w:eastAsia="宋体" w:cs="宋体"/>
                <w:b/>
                <w:bCs/>
                <w:color w:val="auto"/>
                <w:sz w:val="22"/>
                <w:szCs w:val="22"/>
                <w:highlight w:val="none"/>
              </w:rPr>
              <w:t>：产品提供3年硬件质保服务，3年配套教学资源更新服务</w:t>
            </w:r>
            <w:r>
              <w:rPr>
                <w:rFonts w:hint="eastAsia" w:ascii="宋体" w:hAnsi="宋体" w:eastAsia="宋体" w:cs="宋体"/>
                <w:color w:val="auto"/>
                <w:sz w:val="22"/>
                <w:szCs w:val="22"/>
                <w:highlight w:val="none"/>
              </w:rPr>
              <w:t>，系统及软件提供永久使用授权。</w:t>
            </w:r>
          </w:p>
        </w:tc>
        <w:tc>
          <w:tcPr>
            <w:tcW w:w="466" w:type="pct"/>
            <w:noWrap w:val="0"/>
            <w:vAlign w:val="center"/>
          </w:tcPr>
          <w:p w14:paraId="5CA4598B">
            <w:pPr>
              <w:spacing w:after="0" w:line="360" w:lineRule="exact"/>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软件和信息技术服务业</w:t>
            </w:r>
          </w:p>
        </w:tc>
      </w:tr>
      <w:tr w14:paraId="15C8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noWrap w:val="0"/>
            <w:vAlign w:val="center"/>
          </w:tcPr>
          <w:p w14:paraId="45913450">
            <w:pPr>
              <w:pStyle w:val="22"/>
              <w:snapToGrid w:val="0"/>
              <w:spacing w:line="380" w:lineRule="exact"/>
              <w:jc w:val="center"/>
              <w:rPr>
                <w:rFonts w:hAnsi="宋体" w:cs="宋体"/>
                <w:color w:val="auto"/>
                <w:sz w:val="24"/>
                <w:szCs w:val="24"/>
                <w:highlight w:val="none"/>
              </w:rPr>
            </w:pPr>
            <w:bookmarkStart w:id="76" w:name="_Toc16933"/>
            <w:r>
              <w:rPr>
                <w:rFonts w:hint="eastAsia" w:hAnsi="宋体" w:cs="宋体"/>
                <w:color w:val="auto"/>
                <w:sz w:val="24"/>
                <w:szCs w:val="24"/>
                <w:highlight w:val="none"/>
              </w:rPr>
              <w:t>3</w:t>
            </w:r>
            <w:bookmarkEnd w:id="76"/>
          </w:p>
        </w:tc>
        <w:tc>
          <w:tcPr>
            <w:tcW w:w="451" w:type="pct"/>
            <w:noWrap w:val="0"/>
            <w:vAlign w:val="center"/>
          </w:tcPr>
          <w:p w14:paraId="66410E8D">
            <w:pPr>
              <w:pStyle w:val="22"/>
              <w:snapToGrid w:val="0"/>
              <w:spacing w:line="380" w:lineRule="exact"/>
              <w:jc w:val="center"/>
              <w:rPr>
                <w:rFonts w:hint="eastAsia" w:hAnsi="宋体" w:cs="宋体"/>
                <w:color w:val="auto"/>
                <w:sz w:val="24"/>
                <w:szCs w:val="24"/>
                <w:highlight w:val="none"/>
              </w:rPr>
            </w:pPr>
            <w:r>
              <w:rPr>
                <w:rFonts w:hint="eastAsia"/>
                <w:color w:val="auto"/>
                <w:highlight w:val="none"/>
              </w:rPr>
              <w:t>集成电路测试应用平台</w:t>
            </w:r>
          </w:p>
        </w:tc>
        <w:tc>
          <w:tcPr>
            <w:tcW w:w="366" w:type="pct"/>
            <w:gridSpan w:val="2"/>
            <w:noWrap w:val="0"/>
            <w:vAlign w:val="center"/>
          </w:tcPr>
          <w:p w14:paraId="0F39EED0">
            <w:pPr>
              <w:pStyle w:val="108"/>
              <w:jc w:val="center"/>
              <w:rPr>
                <w:rFonts w:hint="eastAsia" w:hAnsi="宋体" w:cs="宋体"/>
                <w:color w:val="auto"/>
                <w:sz w:val="24"/>
                <w:szCs w:val="24"/>
                <w:highlight w:val="none"/>
              </w:rPr>
            </w:pPr>
            <w:r>
              <w:rPr>
                <w:rFonts w:hint="eastAsia" w:ascii="宋体" w:hAnsi="宋体" w:cs="宋体"/>
                <w:bCs/>
                <w:color w:val="auto"/>
                <w:szCs w:val="21"/>
                <w:highlight w:val="none"/>
              </w:rPr>
              <w:t>1</w:t>
            </w:r>
          </w:p>
        </w:tc>
        <w:tc>
          <w:tcPr>
            <w:tcW w:w="280" w:type="pct"/>
            <w:noWrap w:val="0"/>
            <w:vAlign w:val="center"/>
          </w:tcPr>
          <w:p w14:paraId="53B0588E">
            <w:pPr>
              <w:pStyle w:val="108"/>
              <w:jc w:val="center"/>
              <w:rPr>
                <w:rFonts w:hint="eastAsia" w:hAnsi="宋体" w:cs="宋体"/>
                <w:color w:val="auto"/>
                <w:sz w:val="24"/>
                <w:szCs w:val="24"/>
                <w:highlight w:val="none"/>
              </w:rPr>
            </w:pPr>
            <w:r>
              <w:rPr>
                <w:rFonts w:hint="eastAsia" w:ascii="宋体" w:hAnsi="宋体" w:cs="宋体"/>
                <w:bCs/>
                <w:color w:val="auto"/>
                <w:szCs w:val="21"/>
                <w:highlight w:val="none"/>
              </w:rPr>
              <w:t>套</w:t>
            </w:r>
          </w:p>
        </w:tc>
        <w:tc>
          <w:tcPr>
            <w:tcW w:w="3167" w:type="pct"/>
            <w:noWrap w:val="0"/>
            <w:vAlign w:val="center"/>
          </w:tcPr>
          <w:p w14:paraId="46FD438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▲1.整体架构</w:t>
            </w:r>
          </w:p>
          <w:p w14:paraId="5C01EFA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平台采用模块化仪器与 ATE（自动测试设备）架构设计，内部集成7 种独立集成电路测试仪器​，包括逻辑分析仪（LA）、数字图案发生器（Digital Pattern）、示波器（OSC）、任意波形发生器（AWG）、可编程直流电源（PWR）、数字万用表（DMM）及通用输入输出接口（GPIO）。每种仪器需同时配置：① 专用手动测试接口（支持单人操作调试）；② 标准化自动化测试接口（兼容行业通用测试接口板），可独立完成集成电路芯片的手动测试与自动化批量测试，无需额外外接仪器。</w:t>
            </w:r>
          </w:p>
          <w:p w14:paraId="0ED873E6">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2.逻辑分析仪（LA）</w:t>
            </w:r>
          </w:p>
          <w:p w14:paraId="090AA67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通道数量：≥34 通道</w:t>
            </w:r>
          </w:p>
          <w:p w14:paraId="4DF5A1A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采样率：≥1GS/s</w:t>
            </w:r>
          </w:p>
          <w:p w14:paraId="1DD13EF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输入电压范围：0V~5V（DC/AC 耦合兼容）</w:t>
            </w:r>
          </w:p>
          <w:p w14:paraId="5CFF3D1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输入阈值范围：0V~2V（连续可调）</w:t>
            </w:r>
          </w:p>
          <w:p w14:paraId="0595BD6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阈值精度：≤350mV</w:t>
            </w:r>
          </w:p>
          <w:p w14:paraId="01DA090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输入阻抗：100kΩ || 7.5pF（典型值）</w:t>
            </w:r>
          </w:p>
          <w:p w14:paraId="1090F85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3.数字图案发生器（Digital Pattern）</w:t>
            </w:r>
          </w:p>
          <w:p w14:paraId="2B62796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通道数量：≥16 通道（每通道独立可控）</w:t>
            </w:r>
          </w:p>
          <w:p w14:paraId="3DC58AB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4.示波器（OSC）</w:t>
            </w:r>
          </w:p>
          <w:p w14:paraId="11D0DFF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通道数量：≥2 通道</w:t>
            </w:r>
          </w:p>
          <w:p w14:paraId="2758B44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带宽：≥100MHz</w:t>
            </w:r>
          </w:p>
          <w:p w14:paraId="14419093">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采样率：≥1GS/s（单通道模式）</w:t>
            </w:r>
          </w:p>
          <w:p w14:paraId="77F8B49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垂直分辨率：≥8bits</w:t>
            </w:r>
          </w:p>
          <w:p w14:paraId="3526BC9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电压测量精度：10mV/div 量程下，绝对分辨率≤0.391mV</w:t>
            </w:r>
          </w:p>
          <w:p w14:paraId="5CCBF78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输入阻抗：1MΩ || 20pF（典型值）</w:t>
            </w:r>
          </w:p>
          <w:p w14:paraId="2408D8FA">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输入耦合：支持 DC/AC </w:t>
            </w:r>
          </w:p>
          <w:p w14:paraId="7584DDEA">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触发分辨率：≤1ns</w:t>
            </w:r>
          </w:p>
          <w:p w14:paraId="191A4DA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5.任意波形发生器（AWG）</w:t>
            </w:r>
          </w:p>
          <w:p w14:paraId="0C6CF4B3">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通道数量：≥1 通道</w:t>
            </w:r>
          </w:p>
          <w:p w14:paraId="0E97CDFA">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垂直分辨率：≥14bit</w:t>
            </w:r>
          </w:p>
          <w:p w14:paraId="3D4F374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模拟带宽：≥20MHz</w:t>
            </w:r>
          </w:p>
          <w:p w14:paraId="721729A3">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最大采样率：≥125MS/s</w:t>
            </w:r>
          </w:p>
          <w:p w14:paraId="4A87134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输出电压范围：</w:t>
            </w:r>
          </w:p>
          <w:p w14:paraId="2C9A370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50Ω 负载时：±6V（峰峰值）</w:t>
            </w:r>
          </w:p>
          <w:p w14:paraId="5FD1E20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高阻抗（＞10kΩ）负载时：±12V（峰峰值）</w:t>
            </w:r>
          </w:p>
          <w:p w14:paraId="50C05B8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电压分辨率：</w:t>
            </w:r>
          </w:p>
          <w:p w14:paraId="75793F7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50Ω 负载时：≤0.732mV</w:t>
            </w:r>
          </w:p>
          <w:p w14:paraId="5308FD6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高阻抗（＞10kΩ）负载时：≤1.46mV</w:t>
            </w:r>
          </w:p>
          <w:p w14:paraId="7591ABD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输出精度：±1%（满量程）</w:t>
            </w:r>
          </w:p>
          <w:p w14:paraId="3CE31826">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触发分辨率：≤8ns</w:t>
            </w:r>
          </w:p>
          <w:p w14:paraId="2BDCDDA5">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波形库：内置正弦波、方波、三角波等</w:t>
            </w:r>
          </w:p>
          <w:p w14:paraId="6C69E10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6.可编程直流电源（PWR）</w:t>
            </w:r>
          </w:p>
          <w:p w14:paraId="189A523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（1）+6V 档位</w:t>
            </w:r>
          </w:p>
          <w:p w14:paraId="701A36E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电压输出范围：0V~6V</w:t>
            </w:r>
          </w:p>
          <w:p w14:paraId="7E9B18D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电流输出范围：0A~1A</w:t>
            </w:r>
          </w:p>
          <w:p w14:paraId="1B08E3D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电压编程 / 回读精度：≤0.1% FS +5mV</w:t>
            </w:r>
          </w:p>
          <w:p w14:paraId="3212BF8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电流编程 / 回读精度：≤0.2% FS +10mA</w:t>
            </w:r>
          </w:p>
          <w:p w14:paraId="5177D12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电压编程分辨率：≤1.7mV</w:t>
            </w:r>
          </w:p>
          <w:p w14:paraId="70583C8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电压回读分辨率：≤0.41mV</w:t>
            </w:r>
          </w:p>
          <w:p w14:paraId="1DDA4CE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电流编程分辨率：≤0.3mA</w:t>
            </w:r>
          </w:p>
          <w:p w14:paraId="0BAC59A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电流回读分辨率：≤70μA</w:t>
            </w:r>
          </w:p>
          <w:p w14:paraId="075D4FE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（2）±25V 档位</w:t>
            </w:r>
          </w:p>
          <w:p w14:paraId="395A39F5">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电压输出范围：0V~±25V（正负可独立调节）</w:t>
            </w:r>
          </w:p>
          <w:p w14:paraId="30DCAD5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电流输出范围：0A~500mA</w:t>
            </w:r>
          </w:p>
          <w:p w14:paraId="64DF099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电压编程 / 回读精度：≤0.15% FS +20mV</w:t>
            </w:r>
          </w:p>
          <w:p w14:paraId="20E064E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电流编程 / 回读精度：≤0.15% FS +4mA</w:t>
            </w:r>
          </w:p>
          <w:p w14:paraId="57BE467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电压编程分辨率：≤6.5mV</w:t>
            </w:r>
          </w:p>
          <w:p w14:paraId="3FAF0DE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电压回读分辨率：≤1.7mV</w:t>
            </w:r>
          </w:p>
          <w:p w14:paraId="497213F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电流编程分辨率：≤0.15mA</w:t>
            </w:r>
          </w:p>
          <w:p w14:paraId="24D2AB2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电流回读分辨率：≤35μA</w:t>
            </w:r>
          </w:p>
          <w:p w14:paraId="6C9939C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7.数字万用表（DMM）</w:t>
            </w:r>
          </w:p>
          <w:p w14:paraId="1B519103">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显示分辨率：≥5 位半</w:t>
            </w:r>
          </w:p>
          <w:p w14:paraId="2735F0E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采样率：≥5S/s</w:t>
            </w:r>
          </w:p>
          <w:p w14:paraId="3422AF65">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测量功能：支持直流电压 / 电流、交流电压 / 电流、电阻、二极管测试</w:t>
            </w:r>
          </w:p>
          <w:p w14:paraId="42A95F0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最大共模电压：300V DC 或 300V AC（rms）</w:t>
            </w:r>
          </w:p>
          <w:p w14:paraId="143811D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8.通用输入输出接口（GPIO）</w:t>
            </w:r>
          </w:p>
          <w:p w14:paraId="7F31D98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通道数量：≥8 通道（每通道独立编程）</w:t>
            </w:r>
          </w:p>
          <w:p w14:paraId="4D48483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输入特性：0V~5V TTL 电平（兼容 5V 逻辑）</w:t>
            </w:r>
          </w:p>
          <w:p w14:paraId="3661FFB6">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输出特性：3.3V LVTTL 电平</w:t>
            </w:r>
          </w:p>
          <w:p w14:paraId="23C798C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控制方式：支持软件独立配置输入 / 输出模式</w:t>
            </w:r>
          </w:p>
          <w:p w14:paraId="3549A8F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9.主控主机</w:t>
            </w:r>
          </w:p>
          <w:p w14:paraId="619CD705">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处理器：≥Intel Core i3（第 10 代及以上）</w:t>
            </w:r>
          </w:p>
          <w:p w14:paraId="5B6E720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内存：≥8GB DDR4（可扩展至 32GB）</w:t>
            </w:r>
          </w:p>
          <w:p w14:paraId="64229056">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存储：≥256GB SSD（支持额外加装 HDD）</w:t>
            </w:r>
          </w:p>
          <w:p w14:paraId="524553C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操作系统：预装 Windows 10 专业版（64 位）</w:t>
            </w:r>
          </w:p>
          <w:p w14:paraId="00391F7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接口：至少包含 2 个 USB 3.0、1 个千兆网口、1 个 HDMI 接口</w:t>
            </w:r>
          </w:p>
          <w:p w14:paraId="0CD2D56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二、软件技术参数</w:t>
            </w:r>
          </w:p>
          <w:p w14:paraId="71ED4C7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1.集成电路参数测试软件</w:t>
            </w:r>
          </w:p>
          <w:p w14:paraId="4848E56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配套专用集成电路芯片参数测试软件，支持可视化参数配置（无需代码编写），可完成芯片参数的自动测试、数据采集、分析及报告生成。需至少支持以下芯片类型的测试功能：</w:t>
            </w:r>
          </w:p>
          <w:p w14:paraId="7E92B9A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ADC 芯片：LSB、FSR、Offset、Gain Error、DNL、INL、THD、SFDR、SINAD、ENOB、SNR 等</w:t>
            </w:r>
          </w:p>
          <w:p w14:paraId="2C711C1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存储器芯片：ICC、VIH、VIL、IIH、IIL、VOH、VOL、IOH、IOL、Tp（传输延迟）、Func（功能测试）等</w:t>
            </w:r>
          </w:p>
          <w:p w14:paraId="62F59DA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运算放大器芯片：Gain（增益）、CMRR（共模抑制比）、PSRR（电源抑制比）、Slew Rate（压摆率）、A-F（幅频特性）、Offset（失调电压）等</w:t>
            </w:r>
          </w:p>
          <w:p w14:paraId="3C811FE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 系列数字芯片：ICCL（低电平电源电流）、ICCH（高电平电源电流）、IIL、IIH、VOH、VOL、Tr（上升时间）、Tf（下降时间）、Func（功能测试）等</w:t>
            </w:r>
          </w:p>
          <w:p w14:paraId="30F4686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2.仪器手动测试软面板</w:t>
            </w:r>
          </w:p>
          <w:p w14:paraId="1360F7C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配套 7 种集成仪器的独立手动测试软面板，界面需包含：① 实时波形显示区；② 参数调节控件；③ 数据记录表格；④ 波形截图 / 导出功能，支持单人完成仪器调试与单点测试。</w:t>
            </w:r>
          </w:p>
          <w:p w14:paraId="7D34B3D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▲3.二次开发接口</w:t>
            </w:r>
          </w:p>
          <w:p w14:paraId="20B546B5">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开放硬件底层 API 接口，需同时支持：① LabVIEW；② Python；③ C 语言，提供完整开发文档（含函数说明、调用示例、驱动包），支持用户自定义测试流程。</w:t>
            </w:r>
          </w:p>
          <w:p w14:paraId="4191131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远程控制与数据管理</w:t>
            </w:r>
          </w:p>
          <w:p w14:paraId="049BD48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远程访问：支持互联网远程控制（需兼容主流浏览器），可实时查看设备状态、操作测试流程</w:t>
            </w:r>
          </w:p>
          <w:p w14:paraId="49D2B61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数据记录：自动记录学生实验过程数据（如测试参数、波形、结果等），支持按实验项目、学生姓名检索</w:t>
            </w:r>
          </w:p>
          <w:p w14:paraId="12593FB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评价功能：内置实验评价模块，可设置评分标准（如测试精度、流程完整性），自动生成实验报告与成绩表</w:t>
            </w:r>
          </w:p>
          <w:p w14:paraId="5BDF77D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三、配套附件与实验</w:t>
            </w:r>
          </w:p>
          <w:p w14:paraId="3E7B23F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1.基础配套</w:t>
            </w:r>
          </w:p>
          <w:p w14:paraId="3844870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测试线缆：包含各仪器专用测试线（如示波器探头、电源输出线），数量满足4人同时实验需求</w:t>
            </w:r>
          </w:p>
          <w:p w14:paraId="2D7B919A">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测试接口板：提供与设备自动化接口兼容的标准接口板（含接线标识）</w:t>
            </w:r>
          </w:p>
          <w:p w14:paraId="7B00AC8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被测芯片：每种实验对应的原装正品芯片（每种数量≥50 片，确保实验复用性）</w:t>
            </w:r>
          </w:p>
          <w:p w14:paraId="17D3E7D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实验指导书：提供纸质版（≥10 本）与电子版，含实验原理、操作步骤、数据处理方法、常见问题排查</w:t>
            </w:r>
          </w:p>
          <w:p w14:paraId="069EF59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▲2.专用测试接口板</w:t>
            </w:r>
          </w:p>
          <w:p w14:paraId="0B6C44A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提供至少4种带真实被测芯片的专用测试接口板​（板载芯片为原装正品，无需额外焊接），具体要求如下：</w:t>
            </w:r>
          </w:p>
          <w:p w14:paraId="2533CD6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模拟芯片测试接口板：板载≥1 种型号运算放大器芯片</w:t>
            </w:r>
          </w:p>
          <w:p w14:paraId="6B81EEB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混合信号芯片测试接口板：板载≥1 种型号 ADC 芯片</w:t>
            </w:r>
          </w:p>
          <w:p w14:paraId="43E6171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数字芯片测试接口板：板载≥1 种型号存储器芯片</w:t>
            </w:r>
          </w:p>
          <w:p w14:paraId="5A0589D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基础芯片测试接口板：板载≥1 种型号 74 系列芯片</w:t>
            </w:r>
          </w:p>
          <w:p w14:paraId="4AF5CE7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质保与服务</w:t>
            </w:r>
          </w:p>
          <w:p w14:paraId="5BB2AB0C">
            <w:pPr>
              <w:keepNext w:val="0"/>
              <w:keepLines w:val="0"/>
              <w:pageBreakBefore w:val="0"/>
              <w:widowControl/>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质保期：≥1 年（整机质保，含配件）</w:t>
            </w:r>
          </w:p>
          <w:p w14:paraId="49721A2F">
            <w:pPr>
              <w:keepNext w:val="0"/>
              <w:keepLines w:val="0"/>
              <w:pageBreakBefore w:val="0"/>
              <w:widowControl/>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安装调试：供货后 15 个工作日内完成现场安装、调试及操作人员培训</w:t>
            </w:r>
          </w:p>
          <w:p w14:paraId="012B5851">
            <w:pPr>
              <w:keepNext w:val="0"/>
              <w:keepLines w:val="0"/>
              <w:pageBreakBefore w:val="0"/>
              <w:widowControl/>
              <w:kinsoku/>
              <w:wordWrap/>
              <w:overflowPunct/>
              <w:topLinePunct w:val="0"/>
              <w:autoSpaceDE/>
              <w:autoSpaceDN/>
              <w:bidi w:val="0"/>
              <w:adjustRightInd/>
              <w:snapToGrid/>
              <w:spacing w:after="0" w:line="360" w:lineRule="exact"/>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技术支持：提供 7×24 小时电话技术支持，48 小时内响应现场维修需求</w:t>
            </w:r>
          </w:p>
        </w:tc>
        <w:tc>
          <w:tcPr>
            <w:tcW w:w="466" w:type="pct"/>
            <w:noWrap w:val="0"/>
            <w:vAlign w:val="center"/>
          </w:tcPr>
          <w:p w14:paraId="2FA15EB2">
            <w:pPr>
              <w:spacing w:after="0" w:line="360" w:lineRule="exac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软件和信息技术服务业</w:t>
            </w:r>
          </w:p>
        </w:tc>
      </w:tr>
      <w:tr w14:paraId="2358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7" w:type="pct"/>
            <w:noWrap w:val="0"/>
            <w:vAlign w:val="center"/>
          </w:tcPr>
          <w:p w14:paraId="436F64F5">
            <w:pPr>
              <w:pStyle w:val="22"/>
              <w:snapToGrid w:val="0"/>
              <w:spacing w:line="380" w:lineRule="exact"/>
              <w:jc w:val="center"/>
              <w:rPr>
                <w:rFonts w:hint="eastAsia" w:hAnsi="宋体" w:cs="宋体"/>
                <w:color w:val="auto"/>
                <w:sz w:val="24"/>
                <w:szCs w:val="24"/>
                <w:highlight w:val="none"/>
              </w:rPr>
            </w:pPr>
            <w:r>
              <w:rPr>
                <w:rFonts w:hint="eastAsia" w:hAnsi="宋体" w:cs="宋体"/>
                <w:color w:val="auto"/>
                <w:sz w:val="24"/>
                <w:szCs w:val="24"/>
                <w:highlight w:val="none"/>
              </w:rPr>
              <w:t>4</w:t>
            </w:r>
          </w:p>
        </w:tc>
        <w:tc>
          <w:tcPr>
            <w:tcW w:w="451" w:type="pct"/>
            <w:noWrap w:val="0"/>
            <w:vAlign w:val="center"/>
          </w:tcPr>
          <w:p w14:paraId="3E39B8DC">
            <w:pPr>
              <w:pStyle w:val="22"/>
              <w:snapToGrid w:val="0"/>
              <w:spacing w:line="380" w:lineRule="exact"/>
              <w:jc w:val="center"/>
              <w:rPr>
                <w:rFonts w:hint="eastAsia" w:hAnsi="宋体" w:cs="宋体"/>
                <w:color w:val="auto"/>
                <w:sz w:val="24"/>
                <w:szCs w:val="24"/>
                <w:highlight w:val="none"/>
              </w:rPr>
            </w:pPr>
            <w:r>
              <w:rPr>
                <w:rFonts w:hint="eastAsia" w:hAnsi="宋体" w:cs="宋体"/>
                <w:color w:val="auto"/>
                <w:highlight w:val="none"/>
                <w:lang w:bidi="ar"/>
              </w:rPr>
              <w:t>实验室辅助备件</w:t>
            </w:r>
          </w:p>
        </w:tc>
        <w:tc>
          <w:tcPr>
            <w:tcW w:w="366" w:type="pct"/>
            <w:gridSpan w:val="2"/>
            <w:noWrap w:val="0"/>
            <w:vAlign w:val="center"/>
          </w:tcPr>
          <w:p w14:paraId="4B275B0C">
            <w:pPr>
              <w:pStyle w:val="108"/>
              <w:jc w:val="center"/>
              <w:rPr>
                <w:rFonts w:hint="eastAsia" w:ascii="宋体" w:hAnsi="宋体"/>
                <w:color w:val="auto"/>
                <w:szCs w:val="21"/>
                <w:highlight w:val="none"/>
              </w:rPr>
            </w:pPr>
            <w:r>
              <w:rPr>
                <w:rFonts w:hint="eastAsia" w:ascii="宋体" w:hAnsi="宋体" w:cs="宋体"/>
                <w:bCs/>
                <w:color w:val="auto"/>
                <w:szCs w:val="21"/>
                <w:highlight w:val="none"/>
              </w:rPr>
              <w:t>1</w:t>
            </w:r>
          </w:p>
        </w:tc>
        <w:tc>
          <w:tcPr>
            <w:tcW w:w="280" w:type="pct"/>
            <w:noWrap w:val="0"/>
            <w:vAlign w:val="center"/>
          </w:tcPr>
          <w:p w14:paraId="14772060">
            <w:pPr>
              <w:pStyle w:val="108"/>
              <w:jc w:val="center"/>
              <w:rPr>
                <w:rFonts w:hint="eastAsia" w:ascii="宋体" w:hAnsi="宋体"/>
                <w:color w:val="auto"/>
                <w:szCs w:val="21"/>
                <w:highlight w:val="none"/>
              </w:rPr>
            </w:pPr>
            <w:r>
              <w:rPr>
                <w:rFonts w:hint="eastAsia" w:ascii="宋体" w:hAnsi="宋体" w:cs="宋体"/>
                <w:bCs/>
                <w:color w:val="auto"/>
                <w:szCs w:val="21"/>
                <w:highlight w:val="none"/>
              </w:rPr>
              <w:t>套</w:t>
            </w:r>
          </w:p>
        </w:tc>
        <w:tc>
          <w:tcPr>
            <w:tcW w:w="3167" w:type="pct"/>
            <w:noWrap w:val="0"/>
            <w:vAlign w:val="center"/>
          </w:tcPr>
          <w:p w14:paraId="23A526ED">
            <w:pPr>
              <w:pStyle w:val="108"/>
              <w:keepNext w:val="0"/>
              <w:keepLines w:val="0"/>
              <w:pageBreakBefore w:val="0"/>
              <w:widowControl/>
              <w:numPr>
                <w:ilvl w:val="0"/>
                <w:numId w:val="0"/>
              </w:numPr>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bidi="ar-SA"/>
              </w:rPr>
              <w:t>1、</w:t>
            </w:r>
            <w:r>
              <w:rPr>
                <w:rFonts w:hint="eastAsia" w:ascii="宋体" w:hAnsi="宋体" w:cs="宋体"/>
                <w:color w:val="auto"/>
                <w:sz w:val="22"/>
                <w:szCs w:val="22"/>
                <w:highlight w:val="none"/>
              </w:rPr>
              <w:t>料盒：一体成型耐高温铝料盒，约78.2*135*143.8mm，3个。</w:t>
            </w:r>
          </w:p>
          <w:p w14:paraId="3E3CC3E2">
            <w:pPr>
              <w:pStyle w:val="108"/>
              <w:keepNext w:val="0"/>
              <w:keepLines w:val="0"/>
              <w:pageBreakBefore w:val="0"/>
              <w:widowControl/>
              <w:numPr>
                <w:ilvl w:val="0"/>
                <w:numId w:val="0"/>
              </w:numPr>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bidi="ar-SA"/>
              </w:rPr>
              <w:t>2、</w:t>
            </w:r>
            <w:r>
              <w:rPr>
                <w:rFonts w:hint="eastAsia" w:ascii="宋体" w:hAnsi="宋体" w:cs="宋体"/>
                <w:color w:val="auto"/>
                <w:sz w:val="22"/>
                <w:szCs w:val="22"/>
                <w:highlight w:val="none"/>
              </w:rPr>
              <w:t>框架</w:t>
            </w:r>
          </w:p>
          <w:p w14:paraId="0C596904">
            <w:pPr>
              <w:pStyle w:val="108"/>
              <w:keepNext w:val="0"/>
              <w:keepLines w:val="0"/>
              <w:pageBreakBefore w:val="0"/>
              <w:widowControl/>
              <w:numPr>
                <w:ilvl w:val="0"/>
                <w:numId w:val="0"/>
              </w:numPr>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bidi="ar-SA"/>
              </w:rPr>
              <w:t>（</w:t>
            </w:r>
            <w:r>
              <w:rPr>
                <w:rFonts w:hint="eastAsia" w:ascii="宋体" w:hAnsi="宋体" w:cs="宋体"/>
                <w:color w:val="auto"/>
                <w:sz w:val="22"/>
                <w:szCs w:val="22"/>
                <w:highlight w:val="none"/>
                <w:lang w:val="en-US" w:eastAsia="zh-CN" w:bidi="ar-SA"/>
              </w:rPr>
              <w:t>1</w:t>
            </w:r>
            <w:r>
              <w:rPr>
                <w:rFonts w:hint="eastAsia" w:ascii="宋体" w:hAnsi="宋体" w:eastAsia="宋体" w:cs="宋体"/>
                <w:color w:val="auto"/>
                <w:sz w:val="22"/>
                <w:szCs w:val="22"/>
                <w:highlight w:val="none"/>
                <w:lang w:val="en-US" w:eastAsia="zh-CN" w:bidi="ar-SA"/>
              </w:rPr>
              <w:t>）</w:t>
            </w:r>
            <w:r>
              <w:rPr>
                <w:rFonts w:hint="eastAsia" w:ascii="宋体" w:hAnsi="宋体" w:cs="宋体"/>
                <w:color w:val="auto"/>
                <w:sz w:val="22"/>
                <w:szCs w:val="22"/>
                <w:highlight w:val="none"/>
              </w:rPr>
              <w:t>框架SOP8：不低于150MIL；</w:t>
            </w:r>
          </w:p>
          <w:p w14:paraId="42914E54">
            <w:pPr>
              <w:pStyle w:val="108"/>
              <w:keepNext w:val="0"/>
              <w:keepLines w:val="0"/>
              <w:pageBreakBefore w:val="0"/>
              <w:widowControl/>
              <w:numPr>
                <w:ilvl w:val="0"/>
                <w:numId w:val="0"/>
              </w:numPr>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eastAsia="宋体" w:cs="宋体"/>
                <w:color w:val="auto"/>
                <w:sz w:val="22"/>
                <w:szCs w:val="22"/>
                <w:highlight w:val="none"/>
                <w:lang w:val="en-US" w:eastAsia="zh-CN" w:bidi="ar-SA"/>
              </w:rPr>
              <w:t>（</w:t>
            </w:r>
            <w:r>
              <w:rPr>
                <w:rFonts w:hint="eastAsia" w:ascii="宋体" w:hAnsi="宋体" w:cs="宋体"/>
                <w:color w:val="auto"/>
                <w:sz w:val="22"/>
                <w:szCs w:val="22"/>
                <w:highlight w:val="none"/>
                <w:lang w:val="en-US" w:eastAsia="zh-CN" w:bidi="ar-SA"/>
              </w:rPr>
              <w:t>2</w:t>
            </w:r>
            <w:r>
              <w:rPr>
                <w:rFonts w:hint="eastAsia" w:ascii="宋体" w:hAnsi="宋体" w:eastAsia="宋体" w:cs="宋体"/>
                <w:color w:val="auto"/>
                <w:sz w:val="22"/>
                <w:szCs w:val="22"/>
                <w:highlight w:val="none"/>
                <w:lang w:val="en-US" w:eastAsia="zh-CN" w:bidi="ar-SA"/>
              </w:rPr>
              <w:t>）</w:t>
            </w:r>
            <w:r>
              <w:rPr>
                <w:rFonts w:hint="eastAsia" w:ascii="宋体" w:hAnsi="宋体" w:cs="宋体"/>
                <w:color w:val="auto"/>
                <w:sz w:val="22"/>
                <w:szCs w:val="22"/>
                <w:highlight w:val="none"/>
              </w:rPr>
              <w:t>256ea/条，数量不少于20条</w:t>
            </w:r>
          </w:p>
          <w:p w14:paraId="1526D5E3">
            <w:pPr>
              <w:pStyle w:val="108"/>
              <w:keepNext w:val="0"/>
              <w:keepLines w:val="0"/>
              <w:pageBreakBefore w:val="0"/>
              <w:widowControl/>
              <w:numPr>
                <w:ilvl w:val="0"/>
                <w:numId w:val="0"/>
              </w:numPr>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bidi="ar-SA"/>
              </w:rPr>
              <w:t>3</w:t>
            </w:r>
            <w:r>
              <w:rPr>
                <w:rFonts w:hint="eastAsia" w:ascii="宋体" w:hAnsi="宋体" w:eastAsia="宋体" w:cs="宋体"/>
                <w:color w:val="auto"/>
                <w:sz w:val="22"/>
                <w:szCs w:val="22"/>
                <w:highlight w:val="none"/>
                <w:lang w:val="en-US" w:eastAsia="zh-CN" w:bidi="ar-SA"/>
              </w:rPr>
              <w:t>、</w:t>
            </w:r>
            <w:r>
              <w:rPr>
                <w:rFonts w:hint="eastAsia" w:ascii="宋体" w:hAnsi="宋体" w:cs="宋体"/>
                <w:color w:val="auto"/>
                <w:sz w:val="22"/>
                <w:szCs w:val="22"/>
                <w:highlight w:val="none"/>
              </w:rPr>
              <w:t>显微镜</w:t>
            </w:r>
          </w:p>
          <w:p w14:paraId="46659BE8">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（1）连续变焦标准放大倍数范围不低于7-20倍</w:t>
            </w:r>
          </w:p>
          <w:p w14:paraId="2C8492C4">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（2）工作距离标准配置工作距离：不低于100MM。</w:t>
            </w:r>
          </w:p>
          <w:p w14:paraId="0D4BE3E3">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（3）辅助物镜约0.5×165MM。</w:t>
            </w:r>
          </w:p>
          <w:p w14:paraId="01234151">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（4）底座：立柱式宽大舒适平板铸造铁底座 立柱高约248MM，直径约32M。</w:t>
            </w:r>
          </w:p>
          <w:p w14:paraId="7F3C81E7">
            <w:pPr>
              <w:pStyle w:val="108"/>
              <w:keepNext w:val="0"/>
              <w:keepLines w:val="0"/>
              <w:pageBreakBefore w:val="0"/>
              <w:widowControl/>
              <w:numPr>
                <w:ilvl w:val="0"/>
                <w:numId w:val="0"/>
              </w:numPr>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bidi="ar-SA"/>
              </w:rPr>
              <w:t>4</w:t>
            </w:r>
            <w:r>
              <w:rPr>
                <w:rFonts w:hint="eastAsia" w:ascii="宋体" w:hAnsi="宋体" w:eastAsia="宋体" w:cs="宋体"/>
                <w:color w:val="auto"/>
                <w:sz w:val="22"/>
                <w:szCs w:val="22"/>
                <w:highlight w:val="none"/>
                <w:lang w:val="en-US" w:eastAsia="zh-CN" w:bidi="ar-SA"/>
              </w:rPr>
              <w:t>、</w:t>
            </w:r>
            <w:r>
              <w:rPr>
                <w:rFonts w:hint="eastAsia" w:ascii="宋体" w:hAnsi="宋体" w:cs="宋体"/>
                <w:color w:val="auto"/>
                <w:sz w:val="22"/>
                <w:szCs w:val="22"/>
                <w:highlight w:val="none"/>
              </w:rPr>
              <w:t>冷冻柜</w:t>
            </w:r>
          </w:p>
          <w:p w14:paraId="7773E2B8">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（1）用途：0--40摄氏度</w:t>
            </w:r>
          </w:p>
          <w:p w14:paraId="4609C67B">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（2）容积（L）：40以上</w:t>
            </w:r>
          </w:p>
          <w:p w14:paraId="6DD7345E">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（3）冷冻能力：10（kg/24h)及以上</w:t>
            </w:r>
          </w:p>
          <w:p w14:paraId="0A458D87">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（4）能效等级：2级及以上</w:t>
            </w:r>
          </w:p>
          <w:p w14:paraId="309B4B5F">
            <w:pPr>
              <w:pStyle w:val="108"/>
              <w:keepNext w:val="0"/>
              <w:keepLines w:val="0"/>
              <w:pageBreakBefore w:val="0"/>
              <w:widowControl/>
              <w:kinsoku/>
              <w:wordWrap/>
              <w:overflowPunct/>
              <w:topLinePunct w:val="0"/>
              <w:autoSpaceDE/>
              <w:autoSpaceDN/>
              <w:bidi w:val="0"/>
              <w:spacing w:line="360" w:lineRule="exact"/>
              <w:ind w:firstLine="440" w:firstLineChars="200"/>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5、防静电环：数量不少于 60个</w:t>
            </w:r>
          </w:p>
          <w:p w14:paraId="6694D8C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6、脚套塑封膜：每卷不少于1200只鞋模，数量不少于 5卷（不包含塑封机）</w:t>
            </w:r>
          </w:p>
        </w:tc>
        <w:tc>
          <w:tcPr>
            <w:tcW w:w="466" w:type="pct"/>
            <w:noWrap w:val="0"/>
            <w:vAlign w:val="center"/>
          </w:tcPr>
          <w:p w14:paraId="0F935855">
            <w:pPr>
              <w:spacing w:after="0" w:line="360" w:lineRule="exact"/>
              <w:rPr>
                <w:rFonts w:hint="eastAsia" w:ascii="宋体" w:hAnsi="宋体" w:eastAsia="宋体" w:cs="宋体"/>
                <w:color w:val="auto"/>
                <w:szCs w:val="21"/>
                <w:highlight w:val="none"/>
                <w:lang w:val="en-US" w:eastAsia="zh-CN"/>
              </w:rPr>
            </w:pPr>
            <w:r>
              <w:rPr>
                <w:rFonts w:hint="eastAsia" w:ascii="宋体" w:hAnsi="宋体" w:eastAsia="宋体" w:cs="宋体"/>
                <w:b/>
                <w:bCs/>
                <w:color w:val="auto"/>
                <w:highlight w:val="none"/>
                <w:lang w:val="en-US" w:eastAsia="zh-CN"/>
              </w:rPr>
              <w:t>工业</w:t>
            </w:r>
          </w:p>
        </w:tc>
      </w:tr>
      <w:tr w14:paraId="6C68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267" w:type="pct"/>
            <w:noWrap w:val="0"/>
            <w:vAlign w:val="center"/>
          </w:tcPr>
          <w:p w14:paraId="50F76587">
            <w:pPr>
              <w:pStyle w:val="22"/>
              <w:snapToGrid w:val="0"/>
              <w:spacing w:line="380" w:lineRule="exact"/>
              <w:jc w:val="center"/>
              <w:rPr>
                <w:rFonts w:hint="eastAsia" w:hAnsi="宋体" w:cs="宋体"/>
                <w:color w:val="auto"/>
                <w:sz w:val="24"/>
                <w:szCs w:val="24"/>
                <w:highlight w:val="none"/>
              </w:rPr>
            </w:pPr>
            <w:bookmarkStart w:id="77" w:name="_Toc23627"/>
            <w:r>
              <w:rPr>
                <w:rFonts w:hint="eastAsia" w:hAnsi="宋体" w:cs="宋体"/>
                <w:color w:val="auto"/>
                <w:sz w:val="24"/>
                <w:szCs w:val="24"/>
                <w:highlight w:val="none"/>
              </w:rPr>
              <w:t>5</w:t>
            </w:r>
          </w:p>
        </w:tc>
        <w:tc>
          <w:tcPr>
            <w:tcW w:w="451" w:type="pct"/>
            <w:noWrap w:val="0"/>
            <w:vAlign w:val="center"/>
          </w:tcPr>
          <w:p w14:paraId="410672C8">
            <w:pPr>
              <w:pStyle w:val="22"/>
              <w:snapToGrid w:val="0"/>
              <w:spacing w:line="380" w:lineRule="exact"/>
              <w:jc w:val="center"/>
              <w:rPr>
                <w:rFonts w:hint="eastAsia" w:hAnsi="宋体" w:cs="宋体"/>
                <w:color w:val="auto"/>
                <w:sz w:val="24"/>
                <w:szCs w:val="24"/>
                <w:highlight w:val="none"/>
              </w:rPr>
            </w:pPr>
            <w:r>
              <w:rPr>
                <w:rFonts w:hint="eastAsia" w:hAnsi="宋体" w:cs="宋体"/>
                <w:color w:val="auto"/>
                <w:highlight w:val="none"/>
              </w:rPr>
              <w:t>实验室环境建设</w:t>
            </w:r>
          </w:p>
        </w:tc>
        <w:tc>
          <w:tcPr>
            <w:tcW w:w="366" w:type="pct"/>
            <w:gridSpan w:val="2"/>
            <w:noWrap w:val="0"/>
            <w:vAlign w:val="center"/>
          </w:tcPr>
          <w:p w14:paraId="743CC566">
            <w:pPr>
              <w:pStyle w:val="108"/>
              <w:spacing w:line="400" w:lineRule="exact"/>
              <w:jc w:val="center"/>
              <w:rPr>
                <w:rFonts w:hint="eastAsia" w:ascii="宋体" w:hAnsi="宋体"/>
                <w:color w:val="auto"/>
                <w:szCs w:val="21"/>
                <w:highlight w:val="none"/>
              </w:rPr>
            </w:pPr>
            <w:r>
              <w:rPr>
                <w:rFonts w:hint="eastAsia" w:ascii="宋体" w:hAnsi="宋体" w:cs="宋体"/>
                <w:bCs/>
                <w:color w:val="auto"/>
                <w:szCs w:val="21"/>
                <w:highlight w:val="none"/>
              </w:rPr>
              <w:t>1</w:t>
            </w:r>
          </w:p>
        </w:tc>
        <w:tc>
          <w:tcPr>
            <w:tcW w:w="280" w:type="pct"/>
            <w:noWrap w:val="0"/>
            <w:vAlign w:val="center"/>
          </w:tcPr>
          <w:p w14:paraId="5EC938A7">
            <w:pPr>
              <w:pStyle w:val="108"/>
              <w:spacing w:line="400" w:lineRule="exact"/>
              <w:jc w:val="center"/>
              <w:rPr>
                <w:rFonts w:hint="eastAsia" w:ascii="宋体" w:hAnsi="宋体"/>
                <w:color w:val="auto"/>
                <w:szCs w:val="21"/>
                <w:highlight w:val="none"/>
              </w:rPr>
            </w:pPr>
            <w:r>
              <w:rPr>
                <w:rFonts w:hint="eastAsia" w:ascii="宋体" w:hAnsi="宋体" w:cs="宋体"/>
                <w:bCs/>
                <w:color w:val="auto"/>
                <w:szCs w:val="21"/>
                <w:highlight w:val="none"/>
              </w:rPr>
              <w:t>套</w:t>
            </w:r>
          </w:p>
        </w:tc>
        <w:tc>
          <w:tcPr>
            <w:tcW w:w="3167" w:type="pct"/>
            <w:noWrap w:val="0"/>
            <w:vAlign w:val="center"/>
          </w:tcPr>
          <w:p w14:paraId="65971C8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主要包含半导体生产模拟环境及文化建设。</w:t>
            </w:r>
          </w:p>
          <w:p w14:paraId="6250E785">
            <w:pPr>
              <w:keepNext w:val="0"/>
              <w:keepLines w:val="0"/>
              <w:pageBreakBefore w:val="0"/>
              <w:widowControl/>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一、辅材堆放区装修</w:t>
            </w:r>
          </w:p>
          <w:p w14:paraId="1565FAE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1.墙体面积：176.37㎡</w:t>
            </w:r>
          </w:p>
          <w:p w14:paraId="0A2C91E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采用50mm厚的夹芯彩钢板，具有美观和刚性强的特点。夹芯彩钢板的芯材可以是岩棉、硅岩或玻镁板等，具有防火、保温、隔音等性能，常用的有冷轧钢板（A3板）和不锈钢板（如SUS201、SUS304、SUS316等），厚度一般为0.8 - 1.5mm）</w:t>
            </w:r>
          </w:p>
          <w:p w14:paraId="2553704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2.天花面积：136㎡</w:t>
            </w:r>
          </w:p>
          <w:p w14:paraId="614B1BA3">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材料：采用50mm厚的夹芯彩钢板，具有美观和刚性强的特点。夹芯彩钢板的芯材可以是岩棉、硅岩或玻镁板等，具有防火、保温、隔音等性能，常用的有冷轧钢板（A3板）和不锈钢板（如SUS201、SUS304、SUS316等），厚度一般为0.8 - 1.5mm）</w:t>
            </w:r>
          </w:p>
          <w:p w14:paraId="0D58A83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3.地面面积：136㎡</w:t>
            </w:r>
          </w:p>
          <w:p w14:paraId="561AF6C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面环氧自流平，地面材料：环氧自流坪地坪和高级耐磨塑料地板。环氧自流坪地坪光滑平整，易于清洁；高级耐磨塑料地板则具有更好的耐磨性和防静电性能。工艺流程：地面打磨，清扫干净，0.9mm环氧底漆，0.3mm腻子层，0.7mm砂浆中涂层，0.1mm环氧底漆。</w:t>
            </w:r>
          </w:p>
          <w:p w14:paraId="43B2895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4.洁净门</w:t>
            </w:r>
          </w:p>
          <w:p w14:paraId="176CC06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双门1500*2100mm（宽*高），数量：1樘</w:t>
            </w:r>
          </w:p>
          <w:p w14:paraId="1324D7C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门窗和框架材料：门窗采用净化密闭门窗，框架采用铝合金或专用氧化铝型材。铝合金门窗具有质量轻、强度高、耐腐蚀等特点，而专用氧化铝型材则具有更高的精度和表面质量。</w:t>
            </w:r>
          </w:p>
          <w:p w14:paraId="079D533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5.电源设备</w:t>
            </w:r>
          </w:p>
          <w:p w14:paraId="4A1C2D2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电箱规格25*40mm，约22位漏电开关，含辅材耗材。主线电箱1个，配125A-150A空气开关1个。</w:t>
            </w:r>
          </w:p>
          <w:p w14:paraId="5039137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6.天花照明</w:t>
            </w:r>
          </w:p>
          <w:p w14:paraId="3C4CFBA6">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天花照明：规格600*600mm，48瓦\盏，53盏</w:t>
            </w:r>
          </w:p>
          <w:p w14:paraId="1671096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7.开关面板</w:t>
            </w:r>
          </w:p>
          <w:p w14:paraId="7B53FE5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面板尺寸：100*100mm，10A五孔，16A三孔插座，底盒材质：PVC86型，数量25个。</w:t>
            </w:r>
          </w:p>
          <w:p w14:paraId="1790E79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8.电缆辅材配件</w:t>
            </w:r>
          </w:p>
          <w:p w14:paraId="4E3E838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满足本项装修所需的各类电线电缆、管槽、金属桥架及配套的辅材配件。</w:t>
            </w:r>
          </w:p>
          <w:p w14:paraId="6E7D95AA">
            <w:pPr>
              <w:keepNext w:val="0"/>
              <w:keepLines w:val="0"/>
              <w:pageBreakBefore w:val="0"/>
              <w:widowControl/>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二、环境装修</w:t>
            </w:r>
          </w:p>
          <w:p w14:paraId="4260744C">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1.墙体面积：62㎡</w:t>
            </w:r>
          </w:p>
          <w:p w14:paraId="5183565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50mm厚的夹芯彩钢板，具有美观和刚性强的特点。夹芯彩钢板的芯材可以是岩棉、硅岩或玻镁板等，具有防火、保温、隔音等性能，常用的有冷轧钢板（A3板）和不锈钢板（如SUS201、SUS304、SUS316等），厚度一般为0.8 - 1.5mm）</w:t>
            </w:r>
          </w:p>
          <w:p w14:paraId="5FDC69B3">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2.天花面积：20.14㎡</w:t>
            </w:r>
          </w:p>
          <w:p w14:paraId="0D3AD57E">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用50mm厚的夹芯彩钢板，具有美观和刚性强的特点。夹芯彩钢板的芯材可以是岩棉、硅岩或玻镁板等，具有防火、保温、隔音等性能，常用的有冷轧钢板（A3板）和不锈钢板（如SUS201、SUS304、SUS316等），厚度一般为0.8 - 1.5mm）</w:t>
            </w:r>
          </w:p>
          <w:p w14:paraId="07D360D1">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3.地面面积：20.14㎡</w:t>
            </w:r>
          </w:p>
          <w:p w14:paraId="2A2D04D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面环氧自流平，地面材料：常用的有环氧自流坪地坪和高级耐磨塑料地板。环氧自流坪地坪光滑平整，易于清洁；高级耐磨塑料地板则具有更好的耐磨性和防静电性能。工艺流程：地面打磨，清扫干净，0.9mm环氧底漆，0.3mm腻子层，0.7mm砂浆中涂层，0.1mm环氧底漆。</w:t>
            </w:r>
          </w:p>
          <w:p w14:paraId="17AB1FA2">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4.洁净门</w:t>
            </w:r>
          </w:p>
          <w:p w14:paraId="763D54B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单门900*2100mm（宽*高）：1樘；</w:t>
            </w:r>
          </w:p>
          <w:p w14:paraId="5A897CD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双门1500*2100mm（宽*高）：1樘；</w:t>
            </w:r>
          </w:p>
          <w:p w14:paraId="66C56F9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门窗和框架材料：门窗采用净化密闭门窗，框架采用铝合金或专用氧化铝型材。铝合金门窗具有质量轻、强度高、耐腐蚀等特点，而专用氧化铝型材则具有更高的精度和表面质量。</w:t>
            </w:r>
          </w:p>
          <w:p w14:paraId="0A98E2B0">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5.天花照明</w:t>
            </w:r>
          </w:p>
          <w:p w14:paraId="6F267F4A">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天花照明：规格600*600mm，48瓦\盏，数量：8盏。</w:t>
            </w:r>
          </w:p>
          <w:p w14:paraId="6433D91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6.开关面板</w:t>
            </w:r>
          </w:p>
          <w:p w14:paraId="413949D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面板尺寸：100*100mm，10A五孔16A三孔插座，底盒材质：PVC86型号 ；数量6个。</w:t>
            </w:r>
          </w:p>
          <w:p w14:paraId="18EDE90A">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7.电缆辅材配件</w:t>
            </w:r>
          </w:p>
          <w:p w14:paraId="56A7CD6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满足本项装修所需的各类电线电缆、管槽、金属桥架及配套的辅材配件。</w:t>
            </w:r>
          </w:p>
          <w:p w14:paraId="35E25787">
            <w:pPr>
              <w:keepNext w:val="0"/>
              <w:keepLines w:val="0"/>
              <w:pageBreakBefore w:val="0"/>
              <w:widowControl/>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三、文化墙</w:t>
            </w:r>
          </w:p>
          <w:p w14:paraId="2270CE0F">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成交后提供文化墙建设方案和效果图。文化墙建设方案在实施前需经采购方审批后方可实施。</w:t>
            </w:r>
          </w:p>
          <w:p w14:paraId="50DC85F9">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1.面积38㎡</w:t>
            </w:r>
          </w:p>
          <w:p w14:paraId="1268D6E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2.施工内容：标识牌、洁净间文化内容、生产流程、专业群介绍等。</w:t>
            </w:r>
          </w:p>
          <w:p w14:paraId="2A713297">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3.材料：包含但不限于亚克力板，PU板，透光软膜，金属边条，LED灯，辅材等。</w:t>
            </w:r>
          </w:p>
          <w:p w14:paraId="587DFF48">
            <w:pPr>
              <w:keepNext w:val="0"/>
              <w:keepLines w:val="0"/>
              <w:pageBreakBefore w:val="0"/>
              <w:widowControl/>
              <w:kinsoku/>
              <w:wordWrap/>
              <w:overflowPunct/>
              <w:topLinePunct w:val="0"/>
              <w:autoSpaceDE/>
              <w:autoSpaceDN/>
              <w:bidi w:val="0"/>
              <w:spacing w:after="0" w:line="36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四、过道展示区</w:t>
            </w:r>
          </w:p>
          <w:p w14:paraId="29082724">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1.面积36㎡</w:t>
            </w:r>
          </w:p>
          <w:p w14:paraId="74D00BB3">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2.施工内容：标识牌、洁净间文化内容、生产流程、专业群介绍等。</w:t>
            </w:r>
          </w:p>
          <w:p w14:paraId="22DDB2F5">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3.材料内容： 亚克力板，PU板，透光软膜，金属边条，LED灯，辅材等。</w:t>
            </w:r>
          </w:p>
          <w:p w14:paraId="6215F7A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4.灯饰：规格600mm*600mm，48瓦\盏，15盏</w:t>
            </w:r>
          </w:p>
          <w:p w14:paraId="282C83B5">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5.射灯：规格8瓦\盏，15个</w:t>
            </w:r>
          </w:p>
          <w:p w14:paraId="3832379D">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6.明装轨道：金属轨道，U型，数量18m</w:t>
            </w:r>
          </w:p>
          <w:p w14:paraId="10EC834B">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7.电源器：4个</w:t>
            </w:r>
          </w:p>
          <w:p w14:paraId="32FDFB68">
            <w:pPr>
              <w:keepNext w:val="0"/>
              <w:keepLines w:val="0"/>
              <w:pageBreakBefore w:val="0"/>
              <w:widowControl/>
              <w:kinsoku/>
              <w:wordWrap/>
              <w:overflowPunct/>
              <w:topLinePunct w:val="0"/>
              <w:autoSpaceDE/>
              <w:autoSpaceDN/>
              <w:bidi w:val="0"/>
              <w:spacing w:after="0" w:line="360" w:lineRule="exact"/>
              <w:ind w:firstLine="440" w:firstLineChars="200"/>
              <w:textAlignment w:val="auto"/>
              <w:rPr>
                <w:rFonts w:hint="eastAsia" w:ascii="宋体" w:hAnsi="宋体" w:eastAsia="宋体" w:cs="宋体"/>
                <w:color w:val="auto"/>
                <w:sz w:val="22"/>
                <w:szCs w:val="22"/>
                <w:highlight w:val="none"/>
                <w:lang w:eastAsia="zh-Hans"/>
              </w:rPr>
            </w:pPr>
            <w:r>
              <w:rPr>
                <w:rFonts w:hint="eastAsia" w:ascii="宋体" w:hAnsi="宋体" w:eastAsia="宋体" w:cs="宋体"/>
                <w:color w:val="auto"/>
                <w:sz w:val="22"/>
                <w:szCs w:val="22"/>
                <w:highlight w:val="none"/>
              </w:rPr>
              <w:t>8.开关面板：1个</w:t>
            </w:r>
          </w:p>
        </w:tc>
        <w:tc>
          <w:tcPr>
            <w:tcW w:w="466" w:type="pct"/>
            <w:noWrap w:val="0"/>
            <w:vAlign w:val="center"/>
          </w:tcPr>
          <w:p w14:paraId="657F9CEE">
            <w:pPr>
              <w:spacing w:after="0" w:line="360" w:lineRule="exact"/>
              <w:rPr>
                <w:rFonts w:hint="eastAsia" w:ascii="宋体" w:hAnsi="宋体" w:eastAsia="宋体" w:cs="宋体"/>
                <w:color w:val="auto"/>
                <w:highlight w:val="none"/>
              </w:rPr>
            </w:pPr>
            <w:r>
              <w:rPr>
                <w:rFonts w:hint="eastAsia" w:ascii="宋体" w:hAnsi="宋体" w:eastAsia="宋体" w:cs="宋体"/>
                <w:b/>
                <w:bCs/>
                <w:color w:val="auto"/>
                <w:highlight w:val="none"/>
                <w:lang w:val="en-US" w:eastAsia="zh-CN"/>
              </w:rPr>
              <w:t>工业</w:t>
            </w:r>
          </w:p>
        </w:tc>
      </w:tr>
      <w:bookmarkEnd w:id="70"/>
      <w:bookmarkEnd w:id="77"/>
      <w:tr w14:paraId="15568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7"/>
            <w:tcBorders>
              <w:top w:val="single" w:color="auto" w:sz="4" w:space="0"/>
              <w:left w:val="single" w:color="auto" w:sz="4" w:space="0"/>
              <w:bottom w:val="single" w:color="auto" w:sz="4" w:space="0"/>
              <w:right w:val="single" w:color="auto" w:sz="4" w:space="0"/>
            </w:tcBorders>
            <w:vAlign w:val="center"/>
          </w:tcPr>
          <w:p w14:paraId="7E40B056">
            <w:pPr>
              <w:pStyle w:val="22"/>
              <w:snapToGrid w:val="0"/>
              <w:spacing w:line="380" w:lineRule="exact"/>
              <w:jc w:val="left"/>
              <w:rPr>
                <w:rFonts w:asciiTheme="minorEastAsia" w:hAnsiTheme="minorEastAsia" w:eastAsiaTheme="minorEastAsia"/>
                <w:b/>
                <w:color w:val="auto"/>
                <w:highlight w:val="none"/>
              </w:rPr>
            </w:pPr>
            <w:r>
              <w:rPr>
                <w:rFonts w:hint="eastAsia" w:hAnsi="宋体" w:cs="宋体"/>
                <w:b/>
                <w:color w:val="auto"/>
                <w:sz w:val="24"/>
                <w:szCs w:val="24"/>
                <w:highlight w:val="none"/>
              </w:rPr>
              <w:t>二、涉及项目的其他要求</w:t>
            </w:r>
          </w:p>
        </w:tc>
      </w:tr>
      <w:tr w14:paraId="1CBBB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6" w:type="pct"/>
            <w:gridSpan w:val="5"/>
            <w:tcBorders>
              <w:top w:val="single" w:color="auto" w:sz="4" w:space="0"/>
              <w:left w:val="single" w:color="auto" w:sz="4" w:space="0"/>
              <w:bottom w:val="single" w:color="auto" w:sz="4" w:space="0"/>
              <w:right w:val="single" w:color="auto" w:sz="4" w:space="0"/>
            </w:tcBorders>
            <w:vAlign w:val="center"/>
          </w:tcPr>
          <w:p w14:paraId="42691968">
            <w:pPr>
              <w:spacing w:after="0"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规范标准</w:t>
            </w:r>
          </w:p>
        </w:tc>
        <w:tc>
          <w:tcPr>
            <w:tcW w:w="3633" w:type="pct"/>
            <w:gridSpan w:val="2"/>
            <w:tcBorders>
              <w:top w:val="single" w:color="auto" w:sz="4" w:space="0"/>
              <w:left w:val="single" w:color="auto" w:sz="4" w:space="0"/>
              <w:bottom w:val="single" w:color="auto" w:sz="4" w:space="0"/>
              <w:right w:val="single" w:color="auto" w:sz="4" w:space="0"/>
            </w:tcBorders>
            <w:vAlign w:val="center"/>
          </w:tcPr>
          <w:p w14:paraId="1F2A03BF">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636CB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6" w:type="pct"/>
            <w:gridSpan w:val="5"/>
            <w:tcBorders>
              <w:top w:val="single" w:color="auto" w:sz="4" w:space="0"/>
              <w:left w:val="single" w:color="auto" w:sz="4" w:space="0"/>
              <w:bottom w:val="single" w:color="auto" w:sz="4" w:space="0"/>
              <w:right w:val="single" w:color="auto" w:sz="4" w:space="0"/>
            </w:tcBorders>
            <w:vAlign w:val="center"/>
          </w:tcPr>
          <w:p w14:paraId="6566D1BE">
            <w:pPr>
              <w:spacing w:after="0"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采购标的需满足的质量、安全、技术规格、物理特性等</w:t>
            </w:r>
          </w:p>
        </w:tc>
        <w:tc>
          <w:tcPr>
            <w:tcW w:w="3633" w:type="pct"/>
            <w:gridSpan w:val="2"/>
            <w:tcBorders>
              <w:top w:val="single" w:color="auto" w:sz="4" w:space="0"/>
              <w:left w:val="single" w:color="auto" w:sz="4" w:space="0"/>
              <w:bottom w:val="single" w:color="auto" w:sz="4" w:space="0"/>
              <w:right w:val="single" w:color="auto" w:sz="4" w:space="0"/>
            </w:tcBorders>
            <w:vAlign w:val="center"/>
          </w:tcPr>
          <w:p w14:paraId="1A684E16">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见本表“</w:t>
            </w:r>
            <w:r>
              <w:rPr>
                <w:rFonts w:hint="eastAsia" w:asciiTheme="minorEastAsia" w:hAnsiTheme="minorEastAsia" w:eastAsiaTheme="minorEastAsia"/>
                <w:color w:val="auto"/>
                <w:sz w:val="24"/>
                <w:szCs w:val="24"/>
                <w:highlight w:val="none"/>
                <w:lang w:eastAsia="zh-CN"/>
              </w:rPr>
              <w:t>技术参数及性能指标</w:t>
            </w:r>
            <w:r>
              <w:rPr>
                <w:rFonts w:hint="eastAsia" w:asciiTheme="minorEastAsia" w:hAnsiTheme="minorEastAsia" w:eastAsiaTheme="minorEastAsia"/>
                <w:color w:val="auto"/>
                <w:sz w:val="24"/>
                <w:szCs w:val="24"/>
                <w:highlight w:val="none"/>
              </w:rPr>
              <w:t>”。</w:t>
            </w:r>
          </w:p>
        </w:tc>
      </w:tr>
      <w:tr w14:paraId="4BAED9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6" w:type="pct"/>
            <w:gridSpan w:val="5"/>
            <w:tcBorders>
              <w:top w:val="single" w:color="auto" w:sz="4" w:space="0"/>
              <w:left w:val="single" w:color="auto" w:sz="4" w:space="0"/>
              <w:bottom w:val="single" w:color="auto" w:sz="4" w:space="0"/>
              <w:right w:val="single" w:color="auto" w:sz="4" w:space="0"/>
            </w:tcBorders>
            <w:vAlign w:val="center"/>
          </w:tcPr>
          <w:p w14:paraId="4D0BBD81">
            <w:pPr>
              <w:spacing w:after="0"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采购标的验收标准</w:t>
            </w:r>
          </w:p>
        </w:tc>
        <w:tc>
          <w:tcPr>
            <w:tcW w:w="3633" w:type="pct"/>
            <w:gridSpan w:val="2"/>
            <w:tcBorders>
              <w:top w:val="single" w:color="auto" w:sz="4" w:space="0"/>
              <w:left w:val="single" w:color="auto" w:sz="4" w:space="0"/>
              <w:bottom w:val="single" w:color="auto" w:sz="4" w:space="0"/>
              <w:right w:val="single" w:color="auto" w:sz="4" w:space="0"/>
            </w:tcBorders>
            <w:vAlign w:val="center"/>
          </w:tcPr>
          <w:p w14:paraId="2AC57978">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货物到达现场后，成交人应在采购人单位人员在场情况下当面开箱，共同清点、检查外观，作出开箱记录，双方签字确认。成交人应保证货物到达采购人所在地完好无损，如有缺漏、损坏，由成交人负责调换、补齐或赔偿。验收过程中所产生的一切费用均由成交人承担，报价时应考虑相关费用。</w:t>
            </w:r>
          </w:p>
          <w:p w14:paraId="187355EB">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2、成交人提供的货物需全新、完好、无破损，应提供完备的技术或服务资料、装箱单和合格证等，并派遣专业人员进行现场安装调试。验收合格条件如下：</w:t>
            </w:r>
          </w:p>
          <w:p w14:paraId="2D870832">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）货物或服务技术参数与采购合同一致，性能或指标达到规定的标准。</w:t>
            </w:r>
          </w:p>
          <w:p w14:paraId="48E940CB">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）技术或资料、装箱单、合格证等资料齐全。</w:t>
            </w:r>
          </w:p>
          <w:p w14:paraId="7B8ADB70">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3</w:t>
            </w:r>
            <w:r>
              <w:rPr>
                <w:rFonts w:hint="eastAsia" w:asciiTheme="minorEastAsia" w:hAnsiTheme="minorEastAsia" w:eastAsiaTheme="minorEastAsia"/>
                <w:color w:val="auto"/>
                <w:sz w:val="24"/>
                <w:szCs w:val="24"/>
                <w:highlight w:val="none"/>
              </w:rPr>
              <w:t>）在测试或试运行期间所出现的问题得到解决，并运行或工作正常。</w:t>
            </w:r>
          </w:p>
          <w:p w14:paraId="60D47D9D">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（4）在规定时间内完成交货及验收，并经采购人确认。</w:t>
            </w:r>
          </w:p>
          <w:p w14:paraId="45E9ECB7">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3、项目验收应遵循国家及行业相关验收标准：成交人在安装调试完成后需提交全部图纸、配置资料、交验收报告、测试报告（如有）等。</w:t>
            </w:r>
          </w:p>
          <w:p w14:paraId="1C07697B">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4、在安装调试并试运行符合要求后，才作最终验收。</w:t>
            </w:r>
          </w:p>
          <w:p w14:paraId="246BF6FB">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r>
              <w:rPr>
                <w:rFonts w:asciiTheme="minorEastAsia" w:hAnsiTheme="minorEastAsia" w:eastAsiaTheme="minorEastAsia"/>
                <w:color w:val="auto"/>
                <w:sz w:val="24"/>
                <w:szCs w:val="24"/>
                <w:highlight w:val="none"/>
              </w:rPr>
              <w:t>为保证</w:t>
            </w:r>
            <w:r>
              <w:rPr>
                <w:rFonts w:hint="eastAsia" w:asciiTheme="minorEastAsia" w:hAnsiTheme="minorEastAsia" w:eastAsiaTheme="minorEastAsia"/>
                <w:color w:val="auto"/>
                <w:sz w:val="24"/>
                <w:szCs w:val="24"/>
                <w:highlight w:val="none"/>
              </w:rPr>
              <w:t>《项目采购需求和说明》</w:t>
            </w:r>
            <w:r>
              <w:rPr>
                <w:rFonts w:asciiTheme="minorEastAsia" w:hAnsiTheme="minorEastAsia" w:eastAsiaTheme="minorEastAsia"/>
                <w:color w:val="auto"/>
                <w:sz w:val="24"/>
                <w:szCs w:val="24"/>
                <w:highlight w:val="none"/>
              </w:rPr>
              <w:t>中带有</w:t>
            </w:r>
            <w:r>
              <w:rPr>
                <w:rFonts w:hint="eastAsia" w:asciiTheme="minorEastAsia" w:hAnsiTheme="minorEastAsia" w:eastAsiaTheme="minorEastAsia"/>
                <w:color w:val="auto"/>
                <w:sz w:val="24"/>
                <w:szCs w:val="24"/>
                <w:highlight w:val="none"/>
              </w:rPr>
              <w:t>“▲”号</w:t>
            </w:r>
            <w:r>
              <w:rPr>
                <w:rFonts w:asciiTheme="minorEastAsia" w:hAnsiTheme="minorEastAsia" w:eastAsiaTheme="minorEastAsia"/>
                <w:color w:val="auto"/>
                <w:sz w:val="24"/>
                <w:szCs w:val="24"/>
                <w:highlight w:val="none"/>
              </w:rPr>
              <w:t>的技术指标和性能达到</w:t>
            </w: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文件要求及与合同、</w:t>
            </w:r>
            <w:r>
              <w:rPr>
                <w:rFonts w:hint="eastAsia" w:asciiTheme="minorEastAsia" w:hAnsiTheme="minorEastAsia" w:eastAsiaTheme="minorEastAsia"/>
                <w:color w:val="auto"/>
                <w:sz w:val="24"/>
                <w:szCs w:val="24"/>
                <w:highlight w:val="none"/>
              </w:rPr>
              <w:t>响应</w:t>
            </w:r>
            <w:r>
              <w:rPr>
                <w:rFonts w:asciiTheme="minorEastAsia" w:hAnsiTheme="minorEastAsia" w:eastAsiaTheme="minorEastAsia"/>
                <w:color w:val="auto"/>
                <w:sz w:val="24"/>
                <w:szCs w:val="24"/>
                <w:highlight w:val="none"/>
              </w:rPr>
              <w:t>文件相符，如采购人对成交人所</w:t>
            </w:r>
            <w:r>
              <w:rPr>
                <w:rFonts w:hint="eastAsia" w:asciiTheme="minorEastAsia" w:hAnsiTheme="minorEastAsia" w:eastAsiaTheme="minorEastAsia"/>
                <w:color w:val="auto"/>
                <w:sz w:val="24"/>
                <w:szCs w:val="24"/>
                <w:highlight w:val="none"/>
              </w:rPr>
              <w:t>竞</w:t>
            </w:r>
            <w:r>
              <w:rPr>
                <w:rFonts w:asciiTheme="minorEastAsia" w:hAnsiTheme="minorEastAsia" w:eastAsiaTheme="minorEastAsia"/>
                <w:color w:val="auto"/>
                <w:sz w:val="24"/>
                <w:szCs w:val="24"/>
                <w:highlight w:val="none"/>
              </w:rPr>
              <w:t>标货物的技术指标有质疑，供货时须进行现场演示，以确认是否达到合同、</w:t>
            </w: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文件、</w:t>
            </w:r>
            <w:r>
              <w:rPr>
                <w:rFonts w:hint="eastAsia" w:asciiTheme="minorEastAsia" w:hAnsiTheme="minorEastAsia" w:eastAsiaTheme="minorEastAsia"/>
                <w:color w:val="auto"/>
                <w:sz w:val="24"/>
                <w:szCs w:val="24"/>
                <w:highlight w:val="none"/>
              </w:rPr>
              <w:t>响应</w:t>
            </w:r>
            <w:r>
              <w:rPr>
                <w:rFonts w:asciiTheme="minorEastAsia" w:hAnsiTheme="minorEastAsia" w:eastAsiaTheme="minorEastAsia"/>
                <w:color w:val="auto"/>
                <w:sz w:val="24"/>
                <w:szCs w:val="24"/>
                <w:highlight w:val="none"/>
              </w:rPr>
              <w:t>文件中所规定的技术功能要求；成交人未提供的</w:t>
            </w:r>
            <w:r>
              <w:rPr>
                <w:rFonts w:hint="eastAsia" w:asciiTheme="minorEastAsia" w:hAnsiTheme="minorEastAsia" w:eastAsiaTheme="minorEastAsia"/>
                <w:color w:val="auto"/>
                <w:sz w:val="24"/>
                <w:szCs w:val="24"/>
                <w:highlight w:val="none"/>
              </w:rPr>
              <w:t>或演示效果</w:t>
            </w:r>
            <w:r>
              <w:rPr>
                <w:rFonts w:asciiTheme="minorEastAsia" w:hAnsiTheme="minorEastAsia" w:eastAsiaTheme="minorEastAsia"/>
                <w:color w:val="auto"/>
                <w:sz w:val="24"/>
                <w:szCs w:val="24"/>
                <w:highlight w:val="none"/>
              </w:rPr>
              <w:t>达</w:t>
            </w:r>
            <w:r>
              <w:rPr>
                <w:rFonts w:hint="eastAsia" w:asciiTheme="minorEastAsia" w:hAnsiTheme="minorEastAsia" w:eastAsiaTheme="minorEastAsia"/>
                <w:color w:val="auto"/>
                <w:sz w:val="24"/>
                <w:szCs w:val="24"/>
                <w:highlight w:val="none"/>
              </w:rPr>
              <w:t>不</w:t>
            </w:r>
            <w:r>
              <w:rPr>
                <w:rFonts w:asciiTheme="minorEastAsia" w:hAnsiTheme="minorEastAsia" w:eastAsiaTheme="minorEastAsia"/>
                <w:color w:val="auto"/>
                <w:sz w:val="24"/>
                <w:szCs w:val="24"/>
                <w:highlight w:val="none"/>
              </w:rPr>
              <w:t>到合同、</w:t>
            </w: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文件、</w:t>
            </w:r>
            <w:r>
              <w:rPr>
                <w:rFonts w:hint="eastAsia" w:asciiTheme="minorEastAsia" w:hAnsiTheme="minorEastAsia" w:eastAsiaTheme="minorEastAsia"/>
                <w:color w:val="auto"/>
                <w:sz w:val="24"/>
                <w:szCs w:val="24"/>
                <w:highlight w:val="none"/>
              </w:rPr>
              <w:t>响应</w:t>
            </w:r>
            <w:r>
              <w:rPr>
                <w:rFonts w:asciiTheme="minorEastAsia" w:hAnsiTheme="minorEastAsia" w:eastAsiaTheme="minorEastAsia"/>
                <w:color w:val="auto"/>
                <w:sz w:val="24"/>
                <w:szCs w:val="24"/>
                <w:highlight w:val="none"/>
              </w:rPr>
              <w:t>文件中所规定的技术功能要求</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则视为</w:t>
            </w:r>
            <w:r>
              <w:rPr>
                <w:rFonts w:hint="eastAsia" w:asciiTheme="minorEastAsia" w:hAnsiTheme="minorEastAsia" w:eastAsiaTheme="minorEastAsia"/>
                <w:color w:val="auto"/>
                <w:sz w:val="24"/>
                <w:szCs w:val="24"/>
                <w:highlight w:val="none"/>
              </w:rPr>
              <w:t>合同违约</w:t>
            </w:r>
            <w:r>
              <w:rPr>
                <w:rFonts w:asciiTheme="minorEastAsia" w:hAnsiTheme="minorEastAsia" w:eastAsiaTheme="minorEastAsia"/>
                <w:color w:val="auto"/>
                <w:sz w:val="24"/>
                <w:szCs w:val="24"/>
                <w:highlight w:val="none"/>
              </w:rPr>
              <w:t>，所有损失由成交人承担。</w:t>
            </w:r>
          </w:p>
        </w:tc>
      </w:tr>
      <w:tr w14:paraId="0C249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B7F421">
            <w:pPr>
              <w:spacing w:after="0" w:line="400" w:lineRule="exact"/>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质量要求</w:t>
            </w:r>
          </w:p>
        </w:tc>
        <w:tc>
          <w:tcPr>
            <w:tcW w:w="363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B9E9DE">
            <w:pPr>
              <w:spacing w:after="0" w:line="400" w:lineRule="exact"/>
              <w:ind w:firstLine="480" w:firstLineChars="200"/>
              <w:jc w:val="both"/>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满足现行标准、规程、规范要求，通过技术审查</w:t>
            </w:r>
          </w:p>
        </w:tc>
      </w:tr>
      <w:tr w14:paraId="598AA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366" w:type="pct"/>
            <w:gridSpan w:val="5"/>
            <w:tcBorders>
              <w:top w:val="single" w:color="auto" w:sz="4" w:space="0"/>
              <w:left w:val="single" w:color="auto" w:sz="4" w:space="0"/>
              <w:bottom w:val="single" w:color="auto" w:sz="4" w:space="0"/>
              <w:right w:val="single" w:color="auto" w:sz="4" w:space="0"/>
            </w:tcBorders>
            <w:vAlign w:val="center"/>
          </w:tcPr>
          <w:p w14:paraId="58013405">
            <w:pPr>
              <w:spacing w:after="0"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其他技术及服务要求</w:t>
            </w:r>
          </w:p>
        </w:tc>
        <w:tc>
          <w:tcPr>
            <w:tcW w:w="3633" w:type="pct"/>
            <w:gridSpan w:val="2"/>
            <w:tcBorders>
              <w:top w:val="single" w:color="auto" w:sz="4" w:space="0"/>
              <w:left w:val="single" w:color="auto" w:sz="4" w:space="0"/>
              <w:bottom w:val="single" w:color="auto" w:sz="4" w:space="0"/>
              <w:right w:val="single" w:color="auto" w:sz="4" w:space="0"/>
            </w:tcBorders>
            <w:vAlign w:val="center"/>
          </w:tcPr>
          <w:p w14:paraId="2C1B8AED">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为保证项目涉密数据的安全性，成交供应商必须对技术文件以及由采购人提供的所有内部资料、技术文档、信息和提交的项目数据成果予以保密。未经采购人书面许可，成交供应商不得以任何形式向第三方透露本项目的任何内容。</w:t>
            </w:r>
          </w:p>
        </w:tc>
      </w:tr>
      <w:tr w14:paraId="0017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noWrap w:val="0"/>
            <w:vAlign w:val="center"/>
          </w:tcPr>
          <w:p w14:paraId="589777B4">
            <w:pPr>
              <w:pStyle w:val="22"/>
              <w:snapToGrid w:val="0"/>
              <w:spacing w:line="380" w:lineRule="exact"/>
              <w:jc w:val="left"/>
              <w:rPr>
                <w:rFonts w:hint="eastAsia" w:hAnsi="宋体" w:cs="宋体"/>
                <w:color w:val="auto"/>
                <w:sz w:val="24"/>
                <w:szCs w:val="24"/>
                <w:highlight w:val="none"/>
              </w:rPr>
            </w:pPr>
            <w:bookmarkStart w:id="78" w:name="_Toc17595"/>
            <w:r>
              <w:rPr>
                <w:rFonts w:hint="eastAsia" w:hAnsi="宋体" w:cs="宋体"/>
                <w:color w:val="auto"/>
                <w:sz w:val="24"/>
                <w:szCs w:val="24"/>
                <w:highlight w:val="none"/>
              </w:rPr>
              <w:t>▲</w:t>
            </w:r>
            <w:r>
              <w:rPr>
                <w:rFonts w:hint="eastAsia" w:hAnsi="宋体" w:cs="宋体"/>
                <w:color w:val="auto"/>
                <w:sz w:val="24"/>
                <w:szCs w:val="24"/>
                <w:highlight w:val="none"/>
                <w:lang w:val="en-US" w:eastAsia="zh-CN"/>
              </w:rPr>
              <w:t>三</w:t>
            </w:r>
            <w:r>
              <w:rPr>
                <w:rFonts w:hint="eastAsia" w:hAnsi="宋体" w:cs="宋体"/>
                <w:color w:val="auto"/>
                <w:sz w:val="24"/>
                <w:szCs w:val="24"/>
                <w:highlight w:val="none"/>
              </w:rPr>
              <w:t>、</w:t>
            </w:r>
            <w:r>
              <w:rPr>
                <w:rFonts w:hint="eastAsia" w:hAnsi="宋体" w:cs="宋体"/>
                <w:b/>
                <w:color w:val="auto"/>
                <w:sz w:val="24"/>
                <w:szCs w:val="24"/>
                <w:highlight w:val="none"/>
              </w:rPr>
              <w:t>商务条款要求</w:t>
            </w:r>
            <w:bookmarkEnd w:id="78"/>
            <w:r>
              <w:rPr>
                <w:rFonts w:hint="eastAsia" w:hAnsi="宋体" w:cs="宋体"/>
                <w:b/>
                <w:color w:val="auto"/>
                <w:sz w:val="24"/>
                <w:szCs w:val="24"/>
                <w:highlight w:val="none"/>
              </w:rPr>
              <w:t>（不满足商务条款的</w:t>
            </w:r>
            <w:r>
              <w:rPr>
                <w:rFonts w:hint="eastAsia" w:hAnsi="宋体" w:cs="宋体"/>
                <w:b/>
                <w:color w:val="auto"/>
                <w:sz w:val="24"/>
                <w:szCs w:val="24"/>
                <w:highlight w:val="none"/>
                <w:lang w:val="en-US" w:eastAsia="zh-CN"/>
              </w:rPr>
              <w:t>竞标</w:t>
            </w:r>
            <w:r>
              <w:rPr>
                <w:rFonts w:hint="eastAsia" w:hAnsi="宋体" w:cs="宋体"/>
                <w:b/>
                <w:color w:val="auto"/>
                <w:sz w:val="24"/>
                <w:szCs w:val="24"/>
                <w:highlight w:val="none"/>
              </w:rPr>
              <w:t>无效）</w:t>
            </w:r>
          </w:p>
        </w:tc>
      </w:tr>
      <w:tr w14:paraId="0055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21" w:type="pct"/>
            <w:gridSpan w:val="3"/>
            <w:shd w:val="clear" w:color="auto" w:fill="auto"/>
            <w:noWrap w:val="0"/>
            <w:vAlign w:val="center"/>
          </w:tcPr>
          <w:p w14:paraId="79B6623E">
            <w:pPr>
              <w:pStyle w:val="22"/>
              <w:spacing w:line="440" w:lineRule="exact"/>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rPr>
              <w:t>质保期</w:t>
            </w:r>
          </w:p>
        </w:tc>
        <w:tc>
          <w:tcPr>
            <w:tcW w:w="4078" w:type="pct"/>
            <w:gridSpan w:val="4"/>
            <w:shd w:val="clear" w:color="auto" w:fill="auto"/>
            <w:noWrap w:val="0"/>
            <w:vAlign w:val="center"/>
          </w:tcPr>
          <w:p w14:paraId="5A0A1A0E">
            <w:pPr>
              <w:pStyle w:val="22"/>
              <w:spacing w:line="440" w:lineRule="exact"/>
              <w:ind w:firstLine="480" w:firstLineChars="200"/>
              <w:rPr>
                <w:rFonts w:hint="eastAsia" w:hAnsi="宋体" w:cs="宋体"/>
                <w:color w:val="auto"/>
                <w:sz w:val="24"/>
                <w:szCs w:val="24"/>
                <w:highlight w:val="none"/>
                <w:lang w:val="en-US" w:eastAsia="zh-CN"/>
              </w:rPr>
            </w:pPr>
            <w:r>
              <w:rPr>
                <w:rFonts w:hint="eastAsia" w:hAnsi="宋体" w:cs="宋体"/>
                <w:color w:val="auto"/>
                <w:sz w:val="24"/>
                <w:szCs w:val="24"/>
                <w:highlight w:val="none"/>
              </w:rPr>
              <w:t>按国家有关产品“三包”规定执行“三包”，自货物验收合格之日起计算，产品质保期最短不少于1年。若厂家免费质保期超过此年限的，合同履行过程中按厂家规定执行。</w:t>
            </w:r>
          </w:p>
        </w:tc>
      </w:tr>
      <w:tr w14:paraId="0E74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21" w:type="pct"/>
            <w:gridSpan w:val="3"/>
            <w:noWrap w:val="0"/>
            <w:vAlign w:val="center"/>
          </w:tcPr>
          <w:p w14:paraId="42354BCD">
            <w:pPr>
              <w:pStyle w:val="22"/>
              <w:snapToGrid w:val="0"/>
              <w:spacing w:line="380" w:lineRule="exact"/>
              <w:jc w:val="center"/>
              <w:rPr>
                <w:rFonts w:hint="eastAsia" w:hAnsi="宋体" w:cs="宋体"/>
                <w:color w:val="auto"/>
                <w:sz w:val="24"/>
                <w:szCs w:val="24"/>
                <w:highlight w:val="none"/>
              </w:rPr>
            </w:pPr>
            <w:r>
              <w:rPr>
                <w:rFonts w:hint="eastAsia" w:asciiTheme="minorEastAsia" w:hAnsiTheme="minorEastAsia" w:eastAsiaTheme="minorEastAsia"/>
                <w:color w:val="auto"/>
                <w:sz w:val="24"/>
                <w:szCs w:val="24"/>
                <w:highlight w:val="none"/>
              </w:rPr>
              <w:t>交货时间</w:t>
            </w:r>
          </w:p>
        </w:tc>
        <w:tc>
          <w:tcPr>
            <w:tcW w:w="4078" w:type="pct"/>
            <w:gridSpan w:val="4"/>
            <w:noWrap w:val="0"/>
            <w:vAlign w:val="center"/>
          </w:tcPr>
          <w:p w14:paraId="0890AA72">
            <w:pPr>
              <w:pStyle w:val="22"/>
              <w:snapToGrid w:val="0"/>
              <w:spacing w:line="38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合同签订之日起40天内安装调试完毕并交付使用。</w:t>
            </w:r>
          </w:p>
        </w:tc>
      </w:tr>
      <w:tr w14:paraId="0A2E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21" w:type="pct"/>
            <w:gridSpan w:val="3"/>
            <w:noWrap w:val="0"/>
            <w:vAlign w:val="center"/>
          </w:tcPr>
          <w:p w14:paraId="665BF0C3">
            <w:pPr>
              <w:pStyle w:val="22"/>
              <w:snapToGrid w:val="0"/>
              <w:spacing w:line="380" w:lineRule="exact"/>
              <w:jc w:val="center"/>
              <w:rPr>
                <w:rFonts w:hint="eastAsia" w:hAnsi="宋体" w:cs="宋体"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交货</w:t>
            </w:r>
            <w:r>
              <w:rPr>
                <w:rFonts w:hint="eastAsia" w:asciiTheme="minorEastAsia" w:hAnsiTheme="minorEastAsia" w:eastAsiaTheme="minorEastAsia"/>
                <w:color w:val="auto"/>
                <w:sz w:val="24"/>
                <w:szCs w:val="24"/>
                <w:highlight w:val="none"/>
                <w:lang w:val="en-US" w:eastAsia="zh-CN"/>
              </w:rPr>
              <w:t>地点</w:t>
            </w:r>
          </w:p>
        </w:tc>
        <w:tc>
          <w:tcPr>
            <w:tcW w:w="4078" w:type="pct"/>
            <w:gridSpan w:val="4"/>
            <w:noWrap w:val="0"/>
            <w:vAlign w:val="center"/>
          </w:tcPr>
          <w:p w14:paraId="4DCDD1D0">
            <w:pPr>
              <w:pStyle w:val="22"/>
              <w:snapToGrid w:val="0"/>
              <w:spacing w:line="380" w:lineRule="exact"/>
              <w:ind w:firstLine="480" w:firstLineChars="200"/>
              <w:rPr>
                <w:rFonts w:hint="eastAsia" w:hAnsi="宋体" w:cs="宋体"/>
                <w:color w:val="auto"/>
                <w:sz w:val="24"/>
                <w:szCs w:val="24"/>
                <w:highlight w:val="none"/>
              </w:rPr>
            </w:pPr>
            <w:bookmarkStart w:id="79" w:name="_Toc18266"/>
            <w:r>
              <w:rPr>
                <w:rFonts w:hint="eastAsia" w:hAnsi="宋体" w:cs="宋体"/>
                <w:color w:val="auto"/>
                <w:sz w:val="24"/>
                <w:szCs w:val="24"/>
                <w:highlight w:val="none"/>
              </w:rPr>
              <w:t>广西区内采购人指定地点。</w:t>
            </w:r>
            <w:bookmarkEnd w:id="79"/>
          </w:p>
        </w:tc>
      </w:tr>
      <w:tr w14:paraId="6999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21" w:type="pct"/>
            <w:gridSpan w:val="3"/>
            <w:noWrap w:val="0"/>
            <w:vAlign w:val="center"/>
          </w:tcPr>
          <w:p w14:paraId="5CA79E45">
            <w:pPr>
              <w:pStyle w:val="22"/>
              <w:snapToGrid w:val="0"/>
              <w:spacing w:line="380" w:lineRule="exact"/>
              <w:jc w:val="center"/>
              <w:rPr>
                <w:rFonts w:hint="eastAsia" w:hAnsi="宋体" w:cs="宋体"/>
                <w:color w:val="auto"/>
                <w:kern w:val="2"/>
                <w:sz w:val="24"/>
                <w:szCs w:val="24"/>
                <w:highlight w:val="none"/>
              </w:rPr>
            </w:pPr>
            <w:bookmarkStart w:id="80" w:name="_Toc20663"/>
            <w:r>
              <w:rPr>
                <w:rFonts w:hint="eastAsia" w:asciiTheme="minorEastAsia" w:hAnsiTheme="minorEastAsia" w:eastAsiaTheme="minorEastAsia"/>
                <w:color w:val="auto"/>
                <w:sz w:val="24"/>
                <w:szCs w:val="24"/>
                <w:highlight w:val="none"/>
                <w:lang w:val="en-US" w:eastAsia="zh-CN"/>
              </w:rPr>
              <w:t>售后服务要求</w:t>
            </w:r>
            <w:bookmarkEnd w:id="80"/>
          </w:p>
        </w:tc>
        <w:tc>
          <w:tcPr>
            <w:tcW w:w="4078" w:type="pct"/>
            <w:gridSpan w:val="4"/>
            <w:noWrap w:val="0"/>
            <w:vAlign w:val="center"/>
          </w:tcPr>
          <w:p w14:paraId="376DFAB0">
            <w:pPr>
              <w:pStyle w:val="22"/>
              <w:spacing w:line="440" w:lineRule="exact"/>
              <w:ind w:firstLine="480" w:firstLineChars="200"/>
              <w:rPr>
                <w:rFonts w:hint="eastAsia" w:hAnsi="宋体" w:cs="宋体"/>
                <w:color w:val="auto"/>
                <w:sz w:val="24"/>
                <w:szCs w:val="24"/>
                <w:highlight w:val="none"/>
              </w:rPr>
            </w:pPr>
            <w:bookmarkStart w:id="81" w:name="_Toc25885"/>
            <w:r>
              <w:rPr>
                <w:rFonts w:hint="eastAsia" w:hAnsi="宋体" w:cs="宋体"/>
                <w:color w:val="auto"/>
                <w:sz w:val="24"/>
                <w:szCs w:val="24"/>
                <w:highlight w:val="none"/>
              </w:rPr>
              <w:t>（1）供应商应承诺保证该项目按时正式稳定地运行；</w:t>
            </w:r>
          </w:p>
          <w:p w14:paraId="3E7AC525">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 xml:space="preserve">（2）售后服务从项目服务验收通过之日起计算； </w:t>
            </w:r>
          </w:p>
          <w:p w14:paraId="31142E35">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（3）供应商在项目</w:t>
            </w:r>
            <w:r>
              <w:rPr>
                <w:rFonts w:hint="eastAsia" w:hAnsi="宋体" w:cs="宋体"/>
                <w:color w:val="auto"/>
                <w:sz w:val="24"/>
                <w:szCs w:val="24"/>
                <w:highlight w:val="none"/>
                <w:lang w:val="en-US" w:eastAsia="zh-CN"/>
              </w:rPr>
              <w:t>最终验收</w:t>
            </w:r>
            <w:r>
              <w:rPr>
                <w:rFonts w:hint="eastAsia" w:hAnsi="宋体" w:cs="宋体"/>
                <w:color w:val="auto"/>
                <w:sz w:val="24"/>
                <w:szCs w:val="24"/>
                <w:highlight w:val="none"/>
              </w:rPr>
              <w:t>后，</w:t>
            </w:r>
            <w:r>
              <w:rPr>
                <w:rFonts w:hint="eastAsia" w:hAnsi="宋体" w:cs="宋体"/>
                <w:b/>
                <w:bCs/>
                <w:color w:val="auto"/>
                <w:sz w:val="24"/>
                <w:szCs w:val="24"/>
                <w:highlight w:val="none"/>
              </w:rPr>
              <w:t>必须提供至少一年的维护期（质保期），采购需求中单项</w:t>
            </w:r>
            <w:r>
              <w:rPr>
                <w:rFonts w:hint="eastAsia" w:hAnsi="宋体" w:cs="宋体"/>
                <w:b/>
                <w:bCs/>
                <w:color w:val="auto"/>
                <w:sz w:val="24"/>
                <w:szCs w:val="24"/>
                <w:highlight w:val="none"/>
                <w:lang w:val="en-US" w:eastAsia="zh-CN"/>
              </w:rPr>
              <w:t>服务</w:t>
            </w:r>
            <w:r>
              <w:rPr>
                <w:rFonts w:hint="eastAsia" w:hAnsi="宋体" w:cs="宋体"/>
                <w:b/>
                <w:bCs/>
                <w:color w:val="auto"/>
                <w:sz w:val="24"/>
                <w:szCs w:val="24"/>
                <w:highlight w:val="none"/>
              </w:rPr>
              <w:t>产品有质保期要求的则按采购需求要求提供质保，</w:t>
            </w:r>
            <w:r>
              <w:rPr>
                <w:rFonts w:hint="eastAsia" w:hAnsi="宋体" w:cs="宋体"/>
                <w:color w:val="auto"/>
                <w:sz w:val="24"/>
                <w:szCs w:val="24"/>
                <w:highlight w:val="none"/>
              </w:rPr>
              <w:t>在维护期内，按国家有关产品“三包”规定执行“三包”，提供平台系统版本免费升级及对软件进行维护和完善，费用计入报价总价；</w:t>
            </w:r>
          </w:p>
          <w:p w14:paraId="39C2A63F">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（4）保修服务方式首先为供应商电话、远程进行，如解决不了即上门保修，如由此产生的上门费用均由供应商承担；</w:t>
            </w:r>
          </w:p>
          <w:p w14:paraId="78ED9E17">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（5）全天候24小时服务响应，维护工程师应在接到报障后4个小时内到现场处理应用平台系统等出现的故障；</w:t>
            </w:r>
          </w:p>
          <w:p w14:paraId="64CDE308">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（6）供应商应提供定期的咨询服务，若业主行政组织调整或业务流程变更，则供应商应提供及时的变更服务。</w:t>
            </w:r>
            <w:bookmarkEnd w:id="81"/>
          </w:p>
          <w:p w14:paraId="573F7077">
            <w:pPr>
              <w:pStyle w:val="22"/>
              <w:spacing w:line="440" w:lineRule="exact"/>
              <w:ind w:firstLine="480" w:firstLineChars="200"/>
              <w:rPr>
                <w:rFonts w:hint="eastAsia"/>
                <w:color w:val="auto"/>
                <w:sz w:val="24"/>
                <w:szCs w:val="24"/>
                <w:highlight w:val="none"/>
              </w:rPr>
            </w:pPr>
            <w:r>
              <w:rPr>
                <w:rFonts w:hint="eastAsia" w:hAnsi="宋体" w:cs="宋体"/>
                <w:color w:val="auto"/>
                <w:sz w:val="24"/>
                <w:szCs w:val="24"/>
                <w:highlight w:val="none"/>
              </w:rPr>
              <w:t>（</w:t>
            </w:r>
            <w:r>
              <w:rPr>
                <w:rFonts w:hint="eastAsia" w:hAnsi="宋体" w:cs="宋体"/>
                <w:color w:val="auto"/>
                <w:sz w:val="24"/>
                <w:szCs w:val="24"/>
                <w:highlight w:val="none"/>
                <w:lang w:val="en-US" w:eastAsia="zh-CN"/>
              </w:rPr>
              <w:t>7</w:t>
            </w:r>
            <w:r>
              <w:rPr>
                <w:rFonts w:hint="eastAsia" w:hAnsi="宋体" w:cs="宋体"/>
                <w:color w:val="auto"/>
                <w:sz w:val="24"/>
                <w:szCs w:val="24"/>
                <w:highlight w:val="none"/>
              </w:rPr>
              <w:t>）其余按投标人承诺进行。</w:t>
            </w:r>
          </w:p>
        </w:tc>
      </w:tr>
      <w:tr w14:paraId="7E0C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21" w:type="pct"/>
            <w:gridSpan w:val="3"/>
            <w:noWrap w:val="0"/>
            <w:vAlign w:val="center"/>
          </w:tcPr>
          <w:p w14:paraId="373508E1">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4078" w:type="pct"/>
            <w:gridSpan w:val="4"/>
            <w:noWrap w:val="0"/>
            <w:vAlign w:val="center"/>
          </w:tcPr>
          <w:p w14:paraId="60D1BC25">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（1）签订合同后十个工作日内，甲方支付乙方合同总金额的30%（金额：元）做为预付款。</w:t>
            </w:r>
          </w:p>
          <w:p w14:paraId="4AA4EA0C">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（2）提交服务成果验收合格后，在10个工作日内，支付剩余总金额的70%（金额：元）。</w:t>
            </w:r>
          </w:p>
          <w:p w14:paraId="7D9DC02C">
            <w:pPr>
              <w:pStyle w:val="22"/>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（3）乙方在申请款项时，应按国家相关规定向甲方开具相应金额的正式发票，乙方逾期提供发票的，甲方有权延期付款且不视为违约。</w:t>
            </w:r>
          </w:p>
        </w:tc>
      </w:tr>
      <w:tr w14:paraId="1637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21" w:type="pct"/>
            <w:gridSpan w:val="3"/>
            <w:noWrap w:val="0"/>
            <w:vAlign w:val="center"/>
          </w:tcPr>
          <w:p w14:paraId="0F57F0D5">
            <w:pPr>
              <w:spacing w:line="3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4078" w:type="pct"/>
            <w:gridSpan w:val="4"/>
            <w:noWrap w:val="0"/>
            <w:vAlign w:val="center"/>
          </w:tcPr>
          <w:p w14:paraId="180ED453">
            <w:pPr>
              <w:spacing w:after="0"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投标报价为全包价，以人民币为结算单位。</w:t>
            </w:r>
            <w:r>
              <w:rPr>
                <w:rFonts w:hint="eastAsia" w:ascii="宋体" w:hAnsi="宋体" w:eastAsia="宋体" w:cs="宋体"/>
                <w:color w:val="auto"/>
                <w:sz w:val="24"/>
                <w:highlight w:val="none"/>
              </w:rPr>
              <w:t>本次报价须为人民币报价，</w:t>
            </w:r>
            <w:r>
              <w:rPr>
                <w:rFonts w:hint="eastAsia" w:ascii="宋体" w:hAnsi="宋体" w:eastAsia="宋体" w:cs="宋体"/>
                <w:color w:val="auto"/>
                <w:sz w:val="24"/>
                <w:szCs w:val="24"/>
                <w:highlight w:val="none"/>
              </w:rPr>
              <w:t>包括货物价款，标准附件、备品配件、专用工具、安装耗材、包装、运输、装卸、保险、税金、货物到就位以及安装、调试、检验、技术培训及技术资料、软件费、保修等全部费用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对于本文件中未列明，而供应商认为必需的费用也需列入总报价。在合同实施时，采购人将不予支付成交供应商没有列入的项目费用，并认为此项目的费用已包括在总报价中。</w:t>
            </w:r>
          </w:p>
        </w:tc>
      </w:tr>
      <w:tr w14:paraId="731A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000" w:type="pct"/>
            <w:gridSpan w:val="7"/>
            <w:tcBorders>
              <w:tl2br w:val="nil"/>
              <w:tr2bl w:val="nil"/>
            </w:tcBorders>
            <w:shd w:val="clear" w:color="auto" w:fill="auto"/>
            <w:vAlign w:val="center"/>
          </w:tcPr>
          <w:p w14:paraId="2B852DE7">
            <w:pPr>
              <w:adjustRightInd/>
              <w:snapToGrid/>
              <w:spacing w:after="0" w:line="312"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四、采购人对项目的特殊要求及说明</w:t>
            </w:r>
          </w:p>
        </w:tc>
      </w:tr>
      <w:tr w14:paraId="5255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1" w:type="pct"/>
            <w:gridSpan w:val="3"/>
            <w:tcBorders>
              <w:tl2br w:val="nil"/>
              <w:tr2bl w:val="nil"/>
            </w:tcBorders>
            <w:shd w:val="clear" w:color="auto" w:fill="auto"/>
            <w:vAlign w:val="center"/>
          </w:tcPr>
          <w:p w14:paraId="4FED1F65">
            <w:pPr>
              <w:adjustRightInd/>
              <w:snapToGrid/>
              <w:spacing w:after="0"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w:t>
            </w:r>
          </w:p>
        </w:tc>
        <w:tc>
          <w:tcPr>
            <w:tcW w:w="4078" w:type="pct"/>
            <w:gridSpan w:val="4"/>
            <w:tcBorders>
              <w:tl2br w:val="nil"/>
              <w:tr2bl w:val="nil"/>
            </w:tcBorders>
            <w:shd w:val="clear" w:color="auto" w:fill="auto"/>
            <w:vAlign w:val="center"/>
          </w:tcPr>
          <w:p w14:paraId="12B3CA31">
            <w:pPr>
              <w:adjustRightInd/>
              <w:snapToGrid/>
              <w:spacing w:after="0"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是否接受进口产品：</w:t>
            </w:r>
          </w:p>
          <w:p w14:paraId="1FE028A1">
            <w:pPr>
              <w:adjustRightInd/>
              <w:snapToGrid/>
              <w:spacing w:after="0"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否，本项目所有采购货物均不接受进口产品。</w:t>
            </w:r>
          </w:p>
        </w:tc>
      </w:tr>
      <w:tr w14:paraId="7836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1" w:type="pct"/>
            <w:gridSpan w:val="3"/>
            <w:tcBorders>
              <w:tl2br w:val="nil"/>
              <w:tr2bl w:val="nil"/>
            </w:tcBorders>
            <w:shd w:val="clear" w:color="auto" w:fill="auto"/>
            <w:vAlign w:val="center"/>
          </w:tcPr>
          <w:p w14:paraId="7FDB49AC">
            <w:pPr>
              <w:adjustRightInd/>
              <w:snapToGrid/>
              <w:spacing w:after="0"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样品要求</w:t>
            </w:r>
          </w:p>
        </w:tc>
        <w:tc>
          <w:tcPr>
            <w:tcW w:w="4078" w:type="pct"/>
            <w:gridSpan w:val="4"/>
            <w:tcBorders>
              <w:tl2br w:val="nil"/>
              <w:tr2bl w:val="nil"/>
            </w:tcBorders>
            <w:shd w:val="clear" w:color="auto" w:fill="auto"/>
            <w:vAlign w:val="center"/>
          </w:tcPr>
          <w:p w14:paraId="24B18096">
            <w:pPr>
              <w:adjustRightInd/>
              <w:snapToGrid/>
              <w:spacing w:after="0"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是否要求递交样品：</w:t>
            </w:r>
          </w:p>
          <w:p w14:paraId="03AD5E59">
            <w:pPr>
              <w:adjustRightInd/>
              <w:snapToGrid/>
              <w:spacing w:after="0"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w:t>
            </w:r>
          </w:p>
        </w:tc>
      </w:tr>
      <w:tr w14:paraId="2584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21" w:type="pct"/>
            <w:gridSpan w:val="3"/>
            <w:tcBorders>
              <w:tl2br w:val="nil"/>
              <w:tr2bl w:val="nil"/>
            </w:tcBorders>
            <w:shd w:val="clear" w:color="auto" w:fill="auto"/>
            <w:vAlign w:val="center"/>
          </w:tcPr>
          <w:p w14:paraId="1B3FBCD5">
            <w:pPr>
              <w:adjustRightInd/>
              <w:snapToGrid/>
              <w:spacing w:after="0"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产品演示要求</w:t>
            </w:r>
          </w:p>
        </w:tc>
        <w:tc>
          <w:tcPr>
            <w:tcW w:w="4078" w:type="pct"/>
            <w:gridSpan w:val="4"/>
            <w:tcBorders>
              <w:tl2br w:val="nil"/>
              <w:tr2bl w:val="nil"/>
            </w:tcBorders>
            <w:shd w:val="clear" w:color="auto" w:fill="auto"/>
            <w:vAlign w:val="center"/>
          </w:tcPr>
          <w:p w14:paraId="0B09DEDC">
            <w:pPr>
              <w:adjustRightInd/>
              <w:snapToGrid/>
              <w:spacing w:after="0" w:line="312"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是否进行产品演示：</w:t>
            </w:r>
          </w:p>
          <w:p w14:paraId="28C6B0FC">
            <w:pPr>
              <w:adjustRightInd/>
              <w:snapToGrid/>
              <w:spacing w:after="0" w:line="312"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否，本项目所有采购货物均不进行产品演示。</w:t>
            </w:r>
          </w:p>
        </w:tc>
      </w:tr>
      <w:tr w14:paraId="25E9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921" w:type="pct"/>
            <w:gridSpan w:val="3"/>
            <w:tcBorders>
              <w:tl2br w:val="nil"/>
              <w:tr2bl w:val="nil"/>
            </w:tcBorders>
            <w:shd w:val="clear" w:color="auto" w:fill="auto"/>
            <w:vAlign w:val="center"/>
          </w:tcPr>
          <w:p w14:paraId="1E202494">
            <w:pPr>
              <w:adjustRightInd/>
              <w:snapToGrid/>
              <w:spacing w:after="0" w:line="36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核心产品</w:t>
            </w:r>
          </w:p>
        </w:tc>
        <w:tc>
          <w:tcPr>
            <w:tcW w:w="4078" w:type="pct"/>
            <w:gridSpan w:val="4"/>
            <w:tcBorders>
              <w:tl2br w:val="nil"/>
              <w:tr2bl w:val="nil"/>
            </w:tcBorders>
            <w:shd w:val="clear" w:color="auto" w:fill="auto"/>
            <w:vAlign w:val="center"/>
          </w:tcPr>
          <w:p w14:paraId="7FA446D0">
            <w:pPr>
              <w:adjustRightInd/>
              <w:snapToGrid/>
              <w:spacing w:after="0" w:line="312"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本表第1项“IC制造和封装虚拟仿真一体平台”产品为核心产品。</w:t>
            </w:r>
          </w:p>
          <w:p w14:paraId="53EA5D89">
            <w:pPr>
              <w:adjustRightInd/>
              <w:snapToGrid/>
              <w:spacing w:after="0" w:line="312"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货物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竞标无效。</w:t>
            </w:r>
          </w:p>
        </w:tc>
      </w:tr>
      <w:tr w14:paraId="6AE4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21" w:type="pct"/>
            <w:gridSpan w:val="3"/>
            <w:tcBorders>
              <w:tl2br w:val="nil"/>
              <w:tr2bl w:val="nil"/>
            </w:tcBorders>
            <w:shd w:val="clear" w:color="auto" w:fill="auto"/>
            <w:vAlign w:val="center"/>
          </w:tcPr>
          <w:p w14:paraId="2055D3FE">
            <w:pPr>
              <w:adjustRightInd/>
              <w:snapToGrid/>
              <w:spacing w:after="0" w:line="3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备品备件及易损件</w:t>
            </w:r>
          </w:p>
        </w:tc>
        <w:tc>
          <w:tcPr>
            <w:tcW w:w="4078" w:type="pct"/>
            <w:gridSpan w:val="4"/>
            <w:tcBorders>
              <w:tl2br w:val="nil"/>
              <w:tr2bl w:val="nil"/>
            </w:tcBorders>
            <w:shd w:val="clear" w:color="auto" w:fill="auto"/>
            <w:vAlign w:val="center"/>
          </w:tcPr>
          <w:p w14:paraId="29DAF0BC">
            <w:pPr>
              <w:adjustRightInd/>
              <w:snapToGrid/>
              <w:spacing w:after="0" w:line="312"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tc>
      </w:tr>
      <w:tr w14:paraId="5649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1" w:type="pct"/>
            <w:gridSpan w:val="3"/>
            <w:tcBorders>
              <w:tl2br w:val="nil"/>
              <w:tr2bl w:val="nil"/>
            </w:tcBorders>
            <w:shd w:val="clear" w:color="auto" w:fill="auto"/>
            <w:vAlign w:val="center"/>
          </w:tcPr>
          <w:p w14:paraId="6CD8C551">
            <w:pPr>
              <w:adjustRightInd/>
              <w:snapToGrid/>
              <w:spacing w:after="0" w:line="360" w:lineRule="exact"/>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4078" w:type="pct"/>
            <w:gridSpan w:val="4"/>
            <w:tcBorders>
              <w:tl2br w:val="nil"/>
              <w:tr2bl w:val="nil"/>
            </w:tcBorders>
            <w:shd w:val="clear" w:color="auto" w:fill="auto"/>
            <w:vAlign w:val="center"/>
          </w:tcPr>
          <w:p w14:paraId="34159A65">
            <w:pPr>
              <w:adjustRightInd/>
              <w:snapToGrid/>
              <w:spacing w:after="0" w:line="312"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供应商响应文件中必须提供竞标产品的品牌和型号（注：如为定制、非标产品可请注明或描写清楚），如不填写视为不满足。</w:t>
            </w:r>
          </w:p>
        </w:tc>
      </w:tr>
      <w:tr w14:paraId="242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1" w:type="pct"/>
            <w:gridSpan w:val="3"/>
            <w:tcBorders>
              <w:tl2br w:val="nil"/>
              <w:tr2bl w:val="nil"/>
            </w:tcBorders>
            <w:shd w:val="clear" w:color="auto" w:fill="auto"/>
            <w:vAlign w:val="center"/>
          </w:tcPr>
          <w:p w14:paraId="05CFC70B">
            <w:pPr>
              <w:spacing w:line="38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其它要求</w:t>
            </w:r>
          </w:p>
        </w:tc>
        <w:tc>
          <w:tcPr>
            <w:tcW w:w="4078" w:type="pct"/>
            <w:gridSpan w:val="4"/>
            <w:tcBorders>
              <w:tl2br w:val="nil"/>
              <w:tr2bl w:val="nil"/>
            </w:tcBorders>
            <w:shd w:val="clear" w:color="auto" w:fill="auto"/>
            <w:vAlign w:val="center"/>
          </w:tcPr>
          <w:p w14:paraId="55A8D1F7">
            <w:pPr>
              <w:pStyle w:val="22"/>
              <w:snapToGrid w:val="0"/>
              <w:spacing w:line="390" w:lineRule="exact"/>
              <w:rPr>
                <w:rFonts w:hint="eastAsia" w:hAnsi="宋体" w:cs="宋体"/>
                <w:color w:val="auto"/>
                <w:sz w:val="24"/>
                <w:szCs w:val="24"/>
                <w:highlight w:val="none"/>
              </w:rPr>
            </w:pPr>
            <w:r>
              <w:rPr>
                <w:rFonts w:hint="eastAsia" w:hAnsi="宋体" w:cs="宋体"/>
                <w:color w:val="auto"/>
                <w:sz w:val="24"/>
                <w:szCs w:val="24"/>
                <w:highlight w:val="none"/>
              </w:rPr>
              <w:t>（1）其他未尽事宜由供需双方在采购合同中详细约定。</w:t>
            </w:r>
          </w:p>
          <w:p w14:paraId="4BB4F654">
            <w:pPr>
              <w:pStyle w:val="22"/>
              <w:snapToGrid w:val="0"/>
              <w:spacing w:line="390" w:lineRule="exact"/>
              <w:rPr>
                <w:rFonts w:hint="eastAsia" w:ascii="宋体" w:hAnsi="宋体" w:eastAsia="宋体" w:cs="宋体"/>
                <w:color w:val="auto"/>
                <w:kern w:val="2"/>
                <w:sz w:val="24"/>
                <w:szCs w:val="24"/>
                <w:highlight w:val="none"/>
                <w:lang w:val="en-US" w:eastAsia="zh-CN" w:bidi="ar-SA"/>
              </w:rPr>
            </w:pPr>
            <w:r>
              <w:rPr>
                <w:rFonts w:hint="eastAsia" w:hAnsi="宋体" w:cs="宋体"/>
                <w:color w:val="auto"/>
                <w:sz w:val="24"/>
                <w:szCs w:val="24"/>
                <w:highlight w:val="none"/>
              </w:rPr>
              <w:t>（2）标注“▲”的条款或要求系指实质性条款或实质性要求，必须满足，如存在负偏离将导致响应被否决。</w:t>
            </w:r>
          </w:p>
        </w:tc>
      </w:tr>
    </w:tbl>
    <w:p w14:paraId="4FCB71EB">
      <w:pPr>
        <w:rPr>
          <w:rFonts w:hint="eastAsia"/>
          <w:color w:val="auto"/>
          <w:highlight w:val="none"/>
        </w:rPr>
      </w:pPr>
    </w:p>
    <w:p w14:paraId="4B10E8E2">
      <w:pPr>
        <w:rPr>
          <w:rFonts w:hint="eastAsia"/>
          <w:color w:val="auto"/>
          <w:highlight w:val="none"/>
        </w:rPr>
      </w:pPr>
    </w:p>
    <w:p w14:paraId="2E0A6C6B">
      <w:pPr>
        <w:rPr>
          <w:rFonts w:hint="eastAsia"/>
          <w:color w:val="auto"/>
          <w:highlight w:val="none"/>
        </w:rPr>
      </w:pPr>
    </w:p>
    <w:p w14:paraId="6DBD6628">
      <w:pPr>
        <w:rPr>
          <w:rFonts w:hint="eastAsia"/>
          <w:color w:val="auto"/>
          <w:highlight w:val="none"/>
        </w:rPr>
      </w:pPr>
    </w:p>
    <w:p w14:paraId="021F751B">
      <w:pPr>
        <w:rPr>
          <w:rFonts w:hint="eastAsia"/>
          <w:color w:val="auto"/>
          <w:highlight w:val="none"/>
        </w:rPr>
      </w:pPr>
    </w:p>
    <w:p w14:paraId="68AE46B3">
      <w:pPr>
        <w:rPr>
          <w:rFonts w:hint="eastAsia"/>
          <w:color w:val="auto"/>
          <w:highlight w:val="none"/>
        </w:rPr>
      </w:pPr>
    </w:p>
    <w:p w14:paraId="047A744E">
      <w:pPr>
        <w:rPr>
          <w:rFonts w:hint="eastAsia"/>
          <w:color w:val="auto"/>
          <w:highlight w:val="none"/>
        </w:rPr>
      </w:pPr>
    </w:p>
    <w:p w14:paraId="4B278C6B">
      <w:pPr>
        <w:rPr>
          <w:rFonts w:hint="eastAsia"/>
          <w:color w:val="auto"/>
          <w:highlight w:val="none"/>
        </w:rPr>
      </w:pPr>
    </w:p>
    <w:p w14:paraId="4C2AFB61">
      <w:pPr>
        <w:rPr>
          <w:rFonts w:hint="eastAsia"/>
          <w:color w:val="auto"/>
          <w:highlight w:val="none"/>
        </w:rPr>
      </w:pPr>
    </w:p>
    <w:p w14:paraId="737FC9BE">
      <w:pPr>
        <w:rPr>
          <w:rFonts w:hint="eastAsia"/>
          <w:color w:val="auto"/>
          <w:highlight w:val="none"/>
        </w:rPr>
      </w:pPr>
    </w:p>
    <w:p w14:paraId="422C27A3">
      <w:pPr>
        <w:rPr>
          <w:rFonts w:hint="eastAsia"/>
          <w:color w:val="auto"/>
          <w:highlight w:val="none"/>
        </w:rPr>
      </w:pPr>
    </w:p>
    <w:p w14:paraId="3DA65590">
      <w:pPr>
        <w:rPr>
          <w:rFonts w:hint="eastAsia"/>
          <w:color w:val="auto"/>
          <w:highlight w:val="none"/>
        </w:rPr>
      </w:pPr>
    </w:p>
    <w:p w14:paraId="22497BD2">
      <w:pPr>
        <w:rPr>
          <w:rFonts w:hint="eastAsia"/>
          <w:color w:val="auto"/>
          <w:highlight w:val="none"/>
        </w:rPr>
      </w:pPr>
    </w:p>
    <w:p w14:paraId="61F6A645">
      <w:pPr>
        <w:rPr>
          <w:rFonts w:hint="eastAsia"/>
          <w:color w:val="auto"/>
          <w:highlight w:val="none"/>
        </w:rPr>
      </w:pPr>
    </w:p>
    <w:p w14:paraId="64243F6D">
      <w:pPr>
        <w:rPr>
          <w:rFonts w:hint="eastAsia"/>
          <w:color w:val="auto"/>
          <w:highlight w:val="none"/>
        </w:rPr>
      </w:pPr>
    </w:p>
    <w:p w14:paraId="1D0F3208">
      <w:pPr>
        <w:rPr>
          <w:rFonts w:hint="eastAsia"/>
          <w:color w:val="auto"/>
          <w:highlight w:val="none"/>
        </w:rPr>
      </w:pPr>
    </w:p>
    <w:p w14:paraId="314F534A">
      <w:pPr>
        <w:spacing w:line="428" w:lineRule="exact"/>
        <w:ind w:left="119"/>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附件1：</w:t>
      </w:r>
    </w:p>
    <w:p w14:paraId="64F5BBFC">
      <w:pPr>
        <w:spacing w:before="7"/>
        <w:rPr>
          <w:rFonts w:hint="eastAsia" w:ascii="Arial Unicode MS" w:hAnsi="Arial Unicode MS" w:eastAsia="Arial Unicode MS" w:cs="Arial Unicode MS"/>
          <w:color w:val="auto"/>
          <w:sz w:val="17"/>
          <w:szCs w:val="17"/>
          <w:highlight w:val="none"/>
        </w:rPr>
      </w:pPr>
    </w:p>
    <w:p w14:paraId="41F0B9A3">
      <w:pPr>
        <w:spacing w:line="528" w:lineRule="exact"/>
        <w:ind w:left="1871" w:firstLine="400" w:firstLineChars="100"/>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38"/>
        <w:tblW w:w="0" w:type="auto"/>
        <w:jc w:val="center"/>
        <w:tblLayout w:type="fixed"/>
        <w:tblCellMar>
          <w:top w:w="0" w:type="dxa"/>
          <w:left w:w="0" w:type="dxa"/>
          <w:bottom w:w="0" w:type="dxa"/>
          <w:right w:w="0" w:type="dxa"/>
        </w:tblCellMar>
      </w:tblPr>
      <w:tblGrid>
        <w:gridCol w:w="605"/>
        <w:gridCol w:w="10"/>
        <w:gridCol w:w="1185"/>
        <w:gridCol w:w="34"/>
        <w:gridCol w:w="1897"/>
        <w:gridCol w:w="2021"/>
        <w:gridCol w:w="3633"/>
        <w:gridCol w:w="16"/>
      </w:tblGrid>
      <w:tr w14:paraId="0362D852">
        <w:tblPrEx>
          <w:tblCellMar>
            <w:top w:w="0" w:type="dxa"/>
            <w:left w:w="0" w:type="dxa"/>
            <w:bottom w:w="0" w:type="dxa"/>
            <w:right w:w="0" w:type="dxa"/>
          </w:tblCellMar>
        </w:tblPrEx>
        <w:trPr>
          <w:trHeight w:val="779" w:hRule="exact"/>
          <w:jc w:val="center"/>
        </w:trPr>
        <w:tc>
          <w:tcPr>
            <w:tcW w:w="605" w:type="dxa"/>
            <w:tcBorders>
              <w:top w:val="single" w:color="000000" w:sz="4" w:space="0"/>
              <w:left w:val="single" w:color="000000" w:sz="4" w:space="0"/>
              <w:bottom w:val="single" w:color="000000" w:sz="4" w:space="0"/>
              <w:right w:val="single" w:color="000000" w:sz="4" w:space="0"/>
            </w:tcBorders>
            <w:noWrap w:val="0"/>
            <w:vAlign w:val="top"/>
          </w:tcPr>
          <w:p w14:paraId="45CDB6BD">
            <w:pPr>
              <w:pStyle w:val="106"/>
              <w:spacing w:before="57" w:line="256" w:lineRule="auto"/>
              <w:ind w:left="59" w:right="60"/>
              <w:rPr>
                <w:rFonts w:ascii="宋体" w:hAnsi="宋体" w:cs="宋体"/>
                <w:color w:val="auto"/>
                <w:sz w:val="21"/>
                <w:szCs w:val="21"/>
                <w:highlight w:val="none"/>
              </w:rPr>
            </w:pPr>
            <w:r>
              <w:rPr>
                <w:rFonts w:hint="eastAsia" w:ascii="宋体" w:hAnsi="宋体" w:cs="宋体"/>
                <w:b/>
                <w:bCs/>
                <w:color w:val="auto"/>
                <w:w w:val="99"/>
                <w:sz w:val="21"/>
                <w:szCs w:val="21"/>
                <w:highlight w:val="none"/>
              </w:rPr>
              <w:t>品目序号</w:t>
            </w:r>
          </w:p>
        </w:tc>
        <w:tc>
          <w:tcPr>
            <w:tcW w:w="5147" w:type="dxa"/>
            <w:gridSpan w:val="5"/>
            <w:tcBorders>
              <w:top w:val="single" w:color="000000" w:sz="4" w:space="0"/>
              <w:left w:val="single" w:color="000000" w:sz="4" w:space="0"/>
              <w:bottom w:val="single" w:color="000000" w:sz="4" w:space="0"/>
              <w:right w:val="single" w:color="000000" w:sz="4" w:space="0"/>
            </w:tcBorders>
            <w:noWrap w:val="0"/>
            <w:vAlign w:val="top"/>
          </w:tcPr>
          <w:p w14:paraId="45B9DFAF">
            <w:pPr>
              <w:pStyle w:val="106"/>
              <w:spacing w:before="4"/>
              <w:rPr>
                <w:rFonts w:ascii="宋体" w:hAnsi="宋体" w:cs="宋体"/>
                <w:color w:val="auto"/>
                <w:sz w:val="21"/>
                <w:szCs w:val="21"/>
                <w:highlight w:val="none"/>
              </w:rPr>
            </w:pPr>
          </w:p>
          <w:p w14:paraId="048394C8">
            <w:pPr>
              <w:pStyle w:val="106"/>
              <w:jc w:val="center"/>
              <w:rPr>
                <w:rFonts w:ascii="宋体" w:hAnsi="宋体" w:cs="宋体"/>
                <w:color w:val="auto"/>
                <w:sz w:val="21"/>
                <w:szCs w:val="21"/>
                <w:highlight w:val="none"/>
              </w:rPr>
            </w:pPr>
            <w:r>
              <w:rPr>
                <w:rFonts w:hint="eastAsia" w:ascii="宋体" w:hAnsi="宋体" w:cs="宋体"/>
                <w:b/>
                <w:bCs/>
                <w:color w:val="auto"/>
                <w:w w:val="99"/>
                <w:sz w:val="21"/>
                <w:szCs w:val="21"/>
                <w:highlight w:val="none"/>
              </w:rPr>
              <w:t>名称</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592C2E30">
            <w:pPr>
              <w:pStyle w:val="106"/>
              <w:spacing w:before="4"/>
              <w:rPr>
                <w:rFonts w:ascii="宋体" w:hAnsi="宋体" w:cs="宋体"/>
                <w:color w:val="auto"/>
                <w:sz w:val="21"/>
                <w:szCs w:val="21"/>
                <w:highlight w:val="none"/>
              </w:rPr>
            </w:pPr>
          </w:p>
          <w:p w14:paraId="4560160D">
            <w:pPr>
              <w:pStyle w:val="106"/>
              <w:ind w:left="926"/>
              <w:rPr>
                <w:rFonts w:ascii="宋体" w:hAnsi="宋体" w:cs="宋体"/>
                <w:color w:val="auto"/>
                <w:sz w:val="21"/>
                <w:szCs w:val="21"/>
                <w:highlight w:val="none"/>
              </w:rPr>
            </w:pPr>
            <w:r>
              <w:rPr>
                <w:rFonts w:hint="eastAsia" w:ascii="宋体" w:hAnsi="宋体" w:cs="宋体"/>
                <w:b/>
                <w:bCs/>
                <w:color w:val="auto"/>
                <w:w w:val="99"/>
                <w:sz w:val="21"/>
                <w:szCs w:val="21"/>
                <w:highlight w:val="none"/>
              </w:rPr>
              <w:t>依据的标准</w:t>
            </w:r>
          </w:p>
        </w:tc>
      </w:tr>
      <w:tr w14:paraId="5567726B">
        <w:tblPrEx>
          <w:tblCellMar>
            <w:top w:w="0" w:type="dxa"/>
            <w:left w:w="0" w:type="dxa"/>
            <w:bottom w:w="0" w:type="dxa"/>
            <w:right w:w="0" w:type="dxa"/>
          </w:tblCellMar>
        </w:tblPrEx>
        <w:trPr>
          <w:trHeight w:val="818" w:hRule="exact"/>
          <w:jc w:val="center"/>
        </w:trPr>
        <w:tc>
          <w:tcPr>
            <w:tcW w:w="605" w:type="dxa"/>
            <w:vMerge w:val="restart"/>
            <w:tcBorders>
              <w:top w:val="single" w:color="000000" w:sz="4" w:space="0"/>
              <w:left w:val="single" w:color="000000" w:sz="4" w:space="0"/>
              <w:bottom w:val="single" w:color="000000" w:sz="4" w:space="0"/>
              <w:right w:val="single" w:color="000000" w:sz="4" w:space="0"/>
            </w:tcBorders>
            <w:noWrap w:val="0"/>
            <w:vAlign w:val="top"/>
          </w:tcPr>
          <w:p w14:paraId="0064FC94">
            <w:pPr>
              <w:pStyle w:val="106"/>
              <w:rPr>
                <w:rFonts w:ascii="宋体" w:hAnsi="宋体" w:cs="宋体"/>
                <w:color w:val="auto"/>
                <w:sz w:val="21"/>
                <w:szCs w:val="21"/>
                <w:highlight w:val="none"/>
              </w:rPr>
            </w:pPr>
          </w:p>
          <w:p w14:paraId="36081746">
            <w:pPr>
              <w:pStyle w:val="106"/>
              <w:rPr>
                <w:rFonts w:hint="eastAsia" w:ascii="宋体" w:hAnsi="宋体" w:cs="宋体"/>
                <w:color w:val="auto"/>
                <w:sz w:val="21"/>
                <w:szCs w:val="21"/>
                <w:highlight w:val="none"/>
              </w:rPr>
            </w:pPr>
          </w:p>
          <w:p w14:paraId="4B50C2F4">
            <w:pPr>
              <w:pStyle w:val="106"/>
              <w:rPr>
                <w:rFonts w:hint="eastAsia" w:ascii="宋体" w:hAnsi="宋体" w:cs="宋体"/>
                <w:color w:val="auto"/>
                <w:sz w:val="21"/>
                <w:szCs w:val="21"/>
                <w:highlight w:val="none"/>
              </w:rPr>
            </w:pPr>
          </w:p>
          <w:p w14:paraId="3294DCAC">
            <w:pPr>
              <w:pStyle w:val="106"/>
              <w:spacing w:before="11"/>
              <w:rPr>
                <w:rFonts w:hint="eastAsia" w:ascii="宋体" w:hAnsi="宋体" w:cs="宋体"/>
                <w:color w:val="auto"/>
                <w:sz w:val="21"/>
                <w:szCs w:val="21"/>
                <w:highlight w:val="none"/>
              </w:rPr>
            </w:pPr>
          </w:p>
          <w:p w14:paraId="4EBC4AAD">
            <w:pPr>
              <w:pStyle w:val="106"/>
              <w:ind w:right="1"/>
              <w:jc w:val="center"/>
              <w:rPr>
                <w:rFonts w:ascii="宋体" w:hAnsi="宋体" w:cs="宋体"/>
                <w:color w:val="auto"/>
                <w:sz w:val="21"/>
                <w:szCs w:val="21"/>
                <w:highlight w:val="none"/>
              </w:rPr>
            </w:pPr>
            <w:r>
              <w:rPr>
                <w:rFonts w:hint="eastAsia" w:ascii="宋体"/>
                <w:color w:val="auto"/>
                <w:w w:val="99"/>
                <w:sz w:val="21"/>
                <w:szCs w:val="21"/>
                <w:highlight w:val="none"/>
              </w:rPr>
              <w:t>1</w:t>
            </w:r>
          </w:p>
        </w:tc>
        <w:tc>
          <w:tcPr>
            <w:tcW w:w="119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0F409D27">
            <w:pPr>
              <w:pStyle w:val="106"/>
              <w:rPr>
                <w:rFonts w:ascii="宋体" w:hAnsi="宋体" w:cs="宋体"/>
                <w:color w:val="auto"/>
                <w:sz w:val="21"/>
                <w:szCs w:val="21"/>
                <w:highlight w:val="none"/>
              </w:rPr>
            </w:pPr>
          </w:p>
          <w:p w14:paraId="3C043D61">
            <w:pPr>
              <w:pStyle w:val="106"/>
              <w:rPr>
                <w:rFonts w:hint="eastAsia" w:ascii="宋体" w:hAnsi="宋体" w:cs="宋体"/>
                <w:color w:val="auto"/>
                <w:sz w:val="21"/>
                <w:szCs w:val="21"/>
                <w:highlight w:val="none"/>
              </w:rPr>
            </w:pPr>
          </w:p>
          <w:p w14:paraId="5023F5AF">
            <w:pPr>
              <w:pStyle w:val="106"/>
              <w:spacing w:before="12"/>
              <w:rPr>
                <w:rFonts w:hint="eastAsia" w:ascii="宋体" w:hAnsi="宋体" w:cs="宋体"/>
                <w:color w:val="auto"/>
                <w:sz w:val="21"/>
                <w:szCs w:val="21"/>
                <w:highlight w:val="none"/>
              </w:rPr>
            </w:pPr>
          </w:p>
          <w:p w14:paraId="5E0E177A">
            <w:pPr>
              <w:pStyle w:val="10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1计算机设备</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3155DB21">
            <w:pPr>
              <w:pStyle w:val="106"/>
              <w:spacing w:before="93" w:line="283" w:lineRule="auto"/>
              <w:ind w:left="7" w:right="5"/>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A020</w:t>
            </w:r>
            <w:r>
              <w:rPr>
                <w:rFonts w:hint="eastAsia" w:ascii="宋体" w:hAnsi="宋体" w:cs="宋体"/>
                <w:color w:val="auto"/>
                <w:w w:val="99"/>
                <w:sz w:val="21"/>
                <w:szCs w:val="21"/>
                <w:highlight w:val="none"/>
              </w:rPr>
              <w:t>10</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04台式计算机</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788CD3E6">
            <w:pPr>
              <w:rPr>
                <w:rFonts w:ascii="Calibri" w:hAnsi="Calibri"/>
                <w:color w:val="auto"/>
                <w:szCs w:val="21"/>
                <w:highlight w:val="none"/>
                <w:lang w:eastAsia="en-US"/>
              </w:rPr>
            </w:pP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27F4A4D4">
            <w:pPr>
              <w:pStyle w:val="106"/>
              <w:spacing w:before="93"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《微型计算机能效限定</w:t>
            </w:r>
            <w:r>
              <w:rPr>
                <w:rFonts w:hint="eastAsia" w:ascii="宋体" w:hAnsi="宋体" w:cs="宋体"/>
                <w:color w:val="auto"/>
                <w:spacing w:val="9"/>
                <w:w w:val="99"/>
                <w:sz w:val="21"/>
                <w:szCs w:val="21"/>
                <w:highlight w:val="none"/>
                <w:lang w:eastAsia="zh-CN"/>
              </w:rPr>
              <w:t>值</w:t>
            </w:r>
            <w:r>
              <w:rPr>
                <w:rFonts w:hint="eastAsia" w:ascii="宋体" w:hAnsi="宋体" w:cs="宋体"/>
                <w:color w:val="auto"/>
                <w:spacing w:val="12"/>
                <w:w w:val="99"/>
                <w:sz w:val="21"/>
                <w:szCs w:val="21"/>
                <w:highlight w:val="none"/>
                <w:lang w:eastAsia="zh-CN"/>
              </w:rPr>
              <w:t>及能</w:t>
            </w:r>
            <w:r>
              <w:rPr>
                <w:rFonts w:hint="eastAsia" w:ascii="宋体" w:hAnsi="宋体" w:cs="宋体"/>
                <w:color w:val="auto"/>
                <w:w w:val="99"/>
                <w:sz w:val="21"/>
                <w:szCs w:val="21"/>
                <w:highlight w:val="none"/>
                <w:lang w:eastAsia="zh-CN"/>
              </w:rPr>
              <w:t>效等级》（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28380</w:t>
            </w:r>
            <w:r>
              <w:rPr>
                <w:rFonts w:hint="eastAsia" w:ascii="宋体" w:hAnsi="宋体" w:cs="宋体"/>
                <w:color w:val="auto"/>
                <w:w w:val="99"/>
                <w:sz w:val="21"/>
                <w:szCs w:val="21"/>
                <w:highlight w:val="none"/>
                <w:lang w:eastAsia="zh-CN"/>
              </w:rPr>
              <w:t>）</w:t>
            </w:r>
          </w:p>
        </w:tc>
      </w:tr>
      <w:tr w14:paraId="0FDA1987">
        <w:tblPrEx>
          <w:tblCellMar>
            <w:top w:w="0" w:type="dxa"/>
            <w:left w:w="0" w:type="dxa"/>
            <w:bottom w:w="0" w:type="dxa"/>
            <w:right w:w="0" w:type="dxa"/>
          </w:tblCellMar>
        </w:tblPrEx>
        <w:trPr>
          <w:trHeight w:val="854"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DBF3A0">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6391733">
            <w:pPr>
              <w:rPr>
                <w:rFonts w:ascii="宋体" w:hAnsi="宋体" w:cs="宋体"/>
                <w:color w:val="auto"/>
                <w:szCs w:val="21"/>
                <w:highlight w:val="none"/>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57A6A294">
            <w:pPr>
              <w:pStyle w:val="106"/>
              <w:spacing w:before="44" w:line="283" w:lineRule="auto"/>
              <w:ind w:left="7" w:right="5"/>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A020</w:t>
            </w:r>
            <w:r>
              <w:rPr>
                <w:rFonts w:hint="eastAsia" w:ascii="宋体" w:hAnsi="宋体" w:cs="宋体"/>
                <w:color w:val="auto"/>
                <w:w w:val="99"/>
                <w:sz w:val="21"/>
                <w:szCs w:val="21"/>
                <w:highlight w:val="none"/>
              </w:rPr>
              <w:t>10</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05便携式计算机</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47643C20">
            <w:pPr>
              <w:rPr>
                <w:rFonts w:ascii="Calibri" w:hAnsi="Calibri"/>
                <w:color w:val="auto"/>
                <w:szCs w:val="21"/>
                <w:highlight w:val="none"/>
                <w:lang w:eastAsia="en-US"/>
              </w:rPr>
            </w:pP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7F63339B">
            <w:pPr>
              <w:pStyle w:val="106"/>
              <w:spacing w:before="44"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《微型计算机能效限定</w:t>
            </w:r>
            <w:r>
              <w:rPr>
                <w:rFonts w:hint="eastAsia" w:ascii="宋体" w:hAnsi="宋体" w:cs="宋体"/>
                <w:color w:val="auto"/>
                <w:spacing w:val="9"/>
                <w:w w:val="99"/>
                <w:sz w:val="21"/>
                <w:szCs w:val="21"/>
                <w:highlight w:val="none"/>
                <w:lang w:eastAsia="zh-CN"/>
              </w:rPr>
              <w:t>值</w:t>
            </w:r>
            <w:r>
              <w:rPr>
                <w:rFonts w:hint="eastAsia" w:ascii="宋体" w:hAnsi="宋体" w:cs="宋体"/>
                <w:color w:val="auto"/>
                <w:spacing w:val="12"/>
                <w:w w:val="99"/>
                <w:sz w:val="21"/>
                <w:szCs w:val="21"/>
                <w:highlight w:val="none"/>
                <w:lang w:eastAsia="zh-CN"/>
              </w:rPr>
              <w:t>及能</w:t>
            </w:r>
            <w:r>
              <w:rPr>
                <w:rFonts w:hint="eastAsia" w:ascii="宋体" w:hAnsi="宋体" w:cs="宋体"/>
                <w:color w:val="auto"/>
                <w:w w:val="99"/>
                <w:sz w:val="21"/>
                <w:szCs w:val="21"/>
                <w:highlight w:val="none"/>
                <w:lang w:eastAsia="zh-CN"/>
              </w:rPr>
              <w:t>效等级》（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28380</w:t>
            </w:r>
            <w:r>
              <w:rPr>
                <w:rFonts w:hint="eastAsia" w:ascii="宋体" w:hAnsi="宋体" w:cs="宋体"/>
                <w:color w:val="auto"/>
                <w:w w:val="99"/>
                <w:sz w:val="21"/>
                <w:szCs w:val="21"/>
                <w:highlight w:val="none"/>
                <w:lang w:eastAsia="zh-CN"/>
              </w:rPr>
              <w:t>）</w:t>
            </w:r>
          </w:p>
        </w:tc>
      </w:tr>
      <w:tr w14:paraId="56B1119E">
        <w:tblPrEx>
          <w:tblCellMar>
            <w:top w:w="0" w:type="dxa"/>
            <w:left w:w="0" w:type="dxa"/>
            <w:bottom w:w="0" w:type="dxa"/>
            <w:right w:w="0" w:type="dxa"/>
          </w:tblCellMar>
        </w:tblPrEx>
        <w:trPr>
          <w:trHeight w:val="905"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DFC77">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B7A1F8">
            <w:pPr>
              <w:rPr>
                <w:rFonts w:ascii="宋体" w:hAnsi="宋体" w:cs="宋体"/>
                <w:color w:val="auto"/>
                <w:szCs w:val="21"/>
                <w:highlight w:val="none"/>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55CFD5F9">
            <w:pPr>
              <w:pStyle w:val="106"/>
              <w:spacing w:before="64" w:line="283" w:lineRule="auto"/>
              <w:ind w:left="7" w:right="5"/>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A020</w:t>
            </w:r>
            <w:r>
              <w:rPr>
                <w:rFonts w:hint="eastAsia" w:ascii="宋体" w:hAnsi="宋体" w:cs="宋体"/>
                <w:color w:val="auto"/>
                <w:w w:val="99"/>
                <w:sz w:val="21"/>
                <w:szCs w:val="21"/>
                <w:highlight w:val="none"/>
                <w:lang w:eastAsia="zh-CN"/>
              </w:rPr>
              <w:t>10</w:t>
            </w:r>
            <w:r>
              <w:rPr>
                <w:rFonts w:hint="eastAsia" w:ascii="宋体" w:hAnsi="宋体" w:cs="宋体"/>
                <w:color w:val="auto"/>
                <w:spacing w:val="1"/>
                <w:w w:val="99"/>
                <w:sz w:val="21"/>
                <w:szCs w:val="21"/>
                <w:highlight w:val="none"/>
                <w:lang w:eastAsia="zh-CN"/>
              </w:rPr>
              <w:t>1</w:t>
            </w:r>
            <w:r>
              <w:rPr>
                <w:rFonts w:hint="eastAsia" w:ascii="宋体" w:hAnsi="宋体" w:cs="宋体"/>
                <w:color w:val="auto"/>
                <w:w w:val="99"/>
                <w:sz w:val="21"/>
                <w:szCs w:val="21"/>
                <w:highlight w:val="none"/>
                <w:lang w:eastAsia="zh-CN"/>
              </w:rPr>
              <w:t>07平板式微型计</w:t>
            </w:r>
            <w:r>
              <w:rPr>
                <w:rFonts w:hint="eastAsia" w:ascii="宋体" w:hAnsi="宋体" w:cs="宋体"/>
                <w:color w:val="auto"/>
                <w:spacing w:val="2"/>
                <w:w w:val="99"/>
                <w:sz w:val="21"/>
                <w:szCs w:val="21"/>
                <w:highlight w:val="none"/>
                <w:lang w:eastAsia="zh-CN"/>
              </w:rPr>
              <w:t>算</w:t>
            </w:r>
            <w:r>
              <w:rPr>
                <w:rFonts w:hint="eastAsia" w:ascii="宋体" w:hAnsi="宋体" w:cs="宋体"/>
                <w:color w:val="auto"/>
                <w:w w:val="99"/>
                <w:sz w:val="21"/>
                <w:szCs w:val="21"/>
                <w:highlight w:val="none"/>
                <w:lang w:eastAsia="zh-CN"/>
              </w:rPr>
              <w:t>机</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33C4C246">
            <w:pPr>
              <w:rPr>
                <w:rFonts w:ascii="Calibri" w:hAnsi="Calibri"/>
                <w:color w:val="auto"/>
                <w:szCs w:val="21"/>
                <w:highlight w:val="none"/>
              </w:rPr>
            </w:pP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6A48BDF4">
            <w:pPr>
              <w:pStyle w:val="106"/>
              <w:spacing w:before="64"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《微型计算机能效限定</w:t>
            </w:r>
            <w:r>
              <w:rPr>
                <w:rFonts w:hint="eastAsia" w:ascii="宋体" w:hAnsi="宋体" w:cs="宋体"/>
                <w:color w:val="auto"/>
                <w:spacing w:val="9"/>
                <w:w w:val="99"/>
                <w:sz w:val="21"/>
                <w:szCs w:val="21"/>
                <w:highlight w:val="none"/>
                <w:lang w:eastAsia="zh-CN"/>
              </w:rPr>
              <w:t>值</w:t>
            </w:r>
            <w:r>
              <w:rPr>
                <w:rFonts w:hint="eastAsia" w:ascii="宋体" w:hAnsi="宋体" w:cs="宋体"/>
                <w:color w:val="auto"/>
                <w:spacing w:val="12"/>
                <w:w w:val="99"/>
                <w:sz w:val="21"/>
                <w:szCs w:val="21"/>
                <w:highlight w:val="none"/>
                <w:lang w:eastAsia="zh-CN"/>
              </w:rPr>
              <w:t>及能</w:t>
            </w:r>
            <w:r>
              <w:rPr>
                <w:rFonts w:hint="eastAsia" w:ascii="宋体" w:hAnsi="宋体" w:cs="宋体"/>
                <w:color w:val="auto"/>
                <w:w w:val="99"/>
                <w:sz w:val="21"/>
                <w:szCs w:val="21"/>
                <w:highlight w:val="none"/>
                <w:lang w:eastAsia="zh-CN"/>
              </w:rPr>
              <w:t>效等级》（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28380</w:t>
            </w:r>
            <w:r>
              <w:rPr>
                <w:rFonts w:hint="eastAsia" w:ascii="宋体" w:hAnsi="宋体" w:cs="宋体"/>
                <w:color w:val="auto"/>
                <w:w w:val="99"/>
                <w:sz w:val="21"/>
                <w:szCs w:val="21"/>
                <w:highlight w:val="none"/>
                <w:lang w:eastAsia="zh-CN"/>
              </w:rPr>
              <w:t>）</w:t>
            </w:r>
          </w:p>
        </w:tc>
      </w:tr>
      <w:tr w14:paraId="751AFF22">
        <w:tblPrEx>
          <w:tblCellMar>
            <w:top w:w="0" w:type="dxa"/>
            <w:left w:w="0" w:type="dxa"/>
            <w:bottom w:w="0" w:type="dxa"/>
            <w:right w:w="0" w:type="dxa"/>
          </w:tblCellMar>
        </w:tblPrEx>
        <w:trPr>
          <w:trHeight w:val="739" w:hRule="exact"/>
          <w:jc w:val="center"/>
        </w:trPr>
        <w:tc>
          <w:tcPr>
            <w:tcW w:w="605" w:type="dxa"/>
            <w:vMerge w:val="restart"/>
            <w:tcBorders>
              <w:top w:val="single" w:color="000000" w:sz="4" w:space="0"/>
              <w:left w:val="single" w:color="000000" w:sz="4" w:space="0"/>
              <w:bottom w:val="single" w:color="000000" w:sz="4" w:space="0"/>
              <w:right w:val="single" w:color="000000" w:sz="4" w:space="0"/>
            </w:tcBorders>
            <w:noWrap w:val="0"/>
            <w:vAlign w:val="top"/>
          </w:tcPr>
          <w:p w14:paraId="2BE75E75">
            <w:pPr>
              <w:pStyle w:val="106"/>
              <w:rPr>
                <w:rFonts w:ascii="宋体" w:hAnsi="宋体" w:cs="宋体"/>
                <w:color w:val="auto"/>
                <w:sz w:val="21"/>
                <w:szCs w:val="21"/>
                <w:highlight w:val="none"/>
                <w:lang w:eastAsia="zh-CN"/>
              </w:rPr>
            </w:pPr>
          </w:p>
          <w:p w14:paraId="6163E5DD">
            <w:pPr>
              <w:pStyle w:val="106"/>
              <w:rPr>
                <w:rFonts w:hint="eastAsia" w:ascii="宋体" w:hAnsi="宋体" w:cs="宋体"/>
                <w:color w:val="auto"/>
                <w:sz w:val="21"/>
                <w:szCs w:val="21"/>
                <w:highlight w:val="none"/>
                <w:lang w:eastAsia="zh-CN"/>
              </w:rPr>
            </w:pPr>
          </w:p>
          <w:p w14:paraId="0A7DAAE0">
            <w:pPr>
              <w:pStyle w:val="106"/>
              <w:rPr>
                <w:rFonts w:hint="eastAsia" w:ascii="宋体" w:hAnsi="宋体" w:cs="宋体"/>
                <w:color w:val="auto"/>
                <w:sz w:val="21"/>
                <w:szCs w:val="21"/>
                <w:highlight w:val="none"/>
                <w:lang w:eastAsia="zh-CN"/>
              </w:rPr>
            </w:pPr>
          </w:p>
          <w:p w14:paraId="625E784F">
            <w:pPr>
              <w:pStyle w:val="106"/>
              <w:rPr>
                <w:rFonts w:hint="eastAsia" w:ascii="宋体" w:hAnsi="宋体" w:cs="宋体"/>
                <w:color w:val="auto"/>
                <w:sz w:val="21"/>
                <w:szCs w:val="21"/>
                <w:highlight w:val="none"/>
                <w:lang w:eastAsia="zh-CN"/>
              </w:rPr>
            </w:pPr>
          </w:p>
          <w:p w14:paraId="50963CBB">
            <w:pPr>
              <w:pStyle w:val="106"/>
              <w:rPr>
                <w:rFonts w:hint="eastAsia" w:ascii="宋体" w:hAnsi="宋体" w:cs="宋体"/>
                <w:color w:val="auto"/>
                <w:sz w:val="21"/>
                <w:szCs w:val="21"/>
                <w:highlight w:val="none"/>
                <w:lang w:eastAsia="zh-CN"/>
              </w:rPr>
            </w:pPr>
          </w:p>
          <w:p w14:paraId="546BB01E">
            <w:pPr>
              <w:pStyle w:val="106"/>
              <w:rPr>
                <w:rFonts w:hint="eastAsia" w:ascii="宋体" w:hAnsi="宋体" w:cs="宋体"/>
                <w:color w:val="auto"/>
                <w:sz w:val="21"/>
                <w:szCs w:val="21"/>
                <w:highlight w:val="none"/>
                <w:lang w:eastAsia="zh-CN"/>
              </w:rPr>
            </w:pPr>
          </w:p>
          <w:p w14:paraId="18B20EEA">
            <w:pPr>
              <w:pStyle w:val="106"/>
              <w:rPr>
                <w:rFonts w:hint="eastAsia" w:ascii="宋体" w:hAnsi="宋体" w:cs="宋体"/>
                <w:color w:val="auto"/>
                <w:sz w:val="21"/>
                <w:szCs w:val="21"/>
                <w:highlight w:val="none"/>
                <w:lang w:eastAsia="zh-CN"/>
              </w:rPr>
            </w:pPr>
          </w:p>
          <w:p w14:paraId="5ACDD249">
            <w:pPr>
              <w:pStyle w:val="106"/>
              <w:spacing w:before="2"/>
              <w:rPr>
                <w:rFonts w:hint="eastAsia" w:ascii="宋体" w:hAnsi="宋体" w:cs="宋体"/>
                <w:color w:val="auto"/>
                <w:sz w:val="21"/>
                <w:szCs w:val="21"/>
                <w:highlight w:val="none"/>
                <w:lang w:eastAsia="zh-CN"/>
              </w:rPr>
            </w:pPr>
          </w:p>
          <w:p w14:paraId="190EDA73">
            <w:pPr>
              <w:pStyle w:val="106"/>
              <w:ind w:right="1"/>
              <w:jc w:val="center"/>
              <w:rPr>
                <w:rFonts w:ascii="宋体" w:hAnsi="宋体" w:cs="宋体"/>
                <w:color w:val="auto"/>
                <w:sz w:val="21"/>
                <w:szCs w:val="21"/>
                <w:highlight w:val="none"/>
              </w:rPr>
            </w:pPr>
            <w:r>
              <w:rPr>
                <w:rFonts w:hint="eastAsia" w:ascii="宋体"/>
                <w:color w:val="auto"/>
                <w:w w:val="99"/>
                <w:sz w:val="21"/>
                <w:szCs w:val="21"/>
                <w:highlight w:val="none"/>
              </w:rPr>
              <w:t>2</w:t>
            </w:r>
          </w:p>
        </w:tc>
        <w:tc>
          <w:tcPr>
            <w:tcW w:w="119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425E65BC">
            <w:pPr>
              <w:pStyle w:val="106"/>
              <w:rPr>
                <w:rFonts w:ascii="宋体" w:hAnsi="宋体" w:cs="宋体"/>
                <w:color w:val="auto"/>
                <w:sz w:val="21"/>
                <w:szCs w:val="21"/>
                <w:highlight w:val="none"/>
              </w:rPr>
            </w:pPr>
          </w:p>
          <w:p w14:paraId="08FCE44A">
            <w:pPr>
              <w:pStyle w:val="106"/>
              <w:rPr>
                <w:rFonts w:hint="eastAsia" w:ascii="宋体" w:hAnsi="宋体" w:cs="宋体"/>
                <w:color w:val="auto"/>
                <w:sz w:val="21"/>
                <w:szCs w:val="21"/>
                <w:highlight w:val="none"/>
              </w:rPr>
            </w:pPr>
          </w:p>
          <w:p w14:paraId="5026E6BE">
            <w:pPr>
              <w:pStyle w:val="106"/>
              <w:rPr>
                <w:rFonts w:hint="eastAsia" w:ascii="宋体" w:hAnsi="宋体" w:cs="宋体"/>
                <w:color w:val="auto"/>
                <w:sz w:val="21"/>
                <w:szCs w:val="21"/>
                <w:highlight w:val="none"/>
              </w:rPr>
            </w:pPr>
          </w:p>
          <w:p w14:paraId="7427824A">
            <w:pPr>
              <w:pStyle w:val="106"/>
              <w:rPr>
                <w:rFonts w:hint="eastAsia" w:ascii="宋体" w:hAnsi="宋体" w:cs="宋体"/>
                <w:color w:val="auto"/>
                <w:sz w:val="21"/>
                <w:szCs w:val="21"/>
                <w:highlight w:val="none"/>
              </w:rPr>
            </w:pPr>
          </w:p>
          <w:p w14:paraId="295BBE97">
            <w:pPr>
              <w:pStyle w:val="106"/>
              <w:rPr>
                <w:rFonts w:hint="eastAsia" w:ascii="宋体" w:hAnsi="宋体" w:cs="宋体"/>
                <w:color w:val="auto"/>
                <w:sz w:val="21"/>
                <w:szCs w:val="21"/>
                <w:highlight w:val="none"/>
              </w:rPr>
            </w:pPr>
          </w:p>
          <w:p w14:paraId="6C8B3199">
            <w:pPr>
              <w:pStyle w:val="106"/>
              <w:rPr>
                <w:rFonts w:hint="eastAsia" w:ascii="宋体" w:hAnsi="宋体" w:cs="宋体"/>
                <w:color w:val="auto"/>
                <w:sz w:val="21"/>
                <w:szCs w:val="21"/>
                <w:highlight w:val="none"/>
              </w:rPr>
            </w:pPr>
          </w:p>
          <w:p w14:paraId="7DF37F95">
            <w:pPr>
              <w:pStyle w:val="106"/>
              <w:spacing w:before="3"/>
              <w:rPr>
                <w:rFonts w:hint="eastAsia" w:ascii="宋体" w:hAnsi="宋体" w:cs="宋体"/>
                <w:color w:val="auto"/>
                <w:sz w:val="21"/>
                <w:szCs w:val="21"/>
                <w:highlight w:val="none"/>
              </w:rPr>
            </w:pPr>
          </w:p>
          <w:p w14:paraId="168B4E74">
            <w:pPr>
              <w:pStyle w:val="106"/>
              <w:ind w:left="7"/>
              <w:rPr>
                <w:rFonts w:hint="eastAsia"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6输入</w:t>
            </w:r>
          </w:p>
          <w:p w14:paraId="4EB83007">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输出设备</w:t>
            </w:r>
          </w:p>
        </w:tc>
        <w:tc>
          <w:tcPr>
            <w:tcW w:w="1931"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7026CEC0">
            <w:pPr>
              <w:pStyle w:val="106"/>
              <w:rPr>
                <w:rFonts w:ascii="宋体" w:hAnsi="宋体" w:cs="宋体"/>
                <w:color w:val="auto"/>
                <w:sz w:val="21"/>
                <w:szCs w:val="21"/>
                <w:highlight w:val="none"/>
              </w:rPr>
            </w:pPr>
          </w:p>
          <w:p w14:paraId="224A1CA5">
            <w:pPr>
              <w:pStyle w:val="106"/>
              <w:rPr>
                <w:rFonts w:hint="eastAsia" w:ascii="宋体" w:hAnsi="宋体" w:cs="宋体"/>
                <w:color w:val="auto"/>
                <w:sz w:val="21"/>
                <w:szCs w:val="21"/>
                <w:highlight w:val="none"/>
              </w:rPr>
            </w:pPr>
          </w:p>
          <w:p w14:paraId="2599687B">
            <w:pPr>
              <w:pStyle w:val="106"/>
              <w:rPr>
                <w:rFonts w:hint="eastAsia" w:ascii="宋体" w:hAnsi="宋体" w:cs="宋体"/>
                <w:color w:val="auto"/>
                <w:sz w:val="21"/>
                <w:szCs w:val="21"/>
                <w:highlight w:val="none"/>
              </w:rPr>
            </w:pPr>
          </w:p>
          <w:p w14:paraId="6218B0AB">
            <w:pPr>
              <w:pStyle w:val="106"/>
              <w:spacing w:before="164"/>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601打印设备</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3C2E0F82">
            <w:pPr>
              <w:pStyle w:val="106"/>
              <w:spacing w:before="52"/>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w:t>
            </w:r>
            <w:r>
              <w:rPr>
                <w:rFonts w:hint="eastAsia" w:ascii="宋体" w:hAnsi="宋体" w:cs="宋体"/>
                <w:color w:val="auto"/>
                <w:spacing w:val="1"/>
                <w:w w:val="99"/>
                <w:sz w:val="21"/>
                <w:szCs w:val="21"/>
                <w:highlight w:val="none"/>
              </w:rPr>
              <w:t>10</w:t>
            </w:r>
            <w:r>
              <w:rPr>
                <w:rFonts w:hint="eastAsia" w:ascii="宋体" w:hAnsi="宋体" w:cs="宋体"/>
                <w:color w:val="auto"/>
                <w:w w:val="99"/>
                <w:sz w:val="21"/>
                <w:szCs w:val="21"/>
                <w:highlight w:val="none"/>
              </w:rPr>
              <w:t>1喷墨打</w:t>
            </w:r>
          </w:p>
          <w:p w14:paraId="75F227BA">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印机</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40DBB746">
            <w:pPr>
              <w:pStyle w:val="106"/>
              <w:spacing w:before="52"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《复印</w:t>
            </w:r>
            <w:r>
              <w:rPr>
                <w:rFonts w:hint="eastAsia" w:ascii="宋体" w:hAnsi="宋体" w:cs="宋体"/>
                <w:color w:val="auto"/>
                <w:spacing w:val="2"/>
                <w:w w:val="99"/>
                <w:sz w:val="21"/>
                <w:szCs w:val="21"/>
                <w:highlight w:val="none"/>
                <w:lang w:eastAsia="zh-CN"/>
              </w:rPr>
              <w:t>机</w:t>
            </w:r>
            <w:r>
              <w:rPr>
                <w:rFonts w:hint="eastAsia" w:ascii="宋体" w:hAnsi="宋体" w:cs="宋体"/>
                <w:color w:val="auto"/>
                <w:spacing w:val="-58"/>
                <w:w w:val="99"/>
                <w:sz w:val="21"/>
                <w:szCs w:val="21"/>
                <w:highlight w:val="none"/>
                <w:lang w:eastAsia="zh-CN"/>
              </w:rPr>
              <w:t>、</w:t>
            </w:r>
            <w:r>
              <w:rPr>
                <w:rFonts w:hint="eastAsia" w:ascii="宋体" w:hAnsi="宋体" w:cs="宋体"/>
                <w:color w:val="auto"/>
                <w:spacing w:val="2"/>
                <w:w w:val="99"/>
                <w:sz w:val="21"/>
                <w:szCs w:val="21"/>
                <w:highlight w:val="none"/>
                <w:lang w:eastAsia="zh-CN"/>
              </w:rPr>
              <w:t>打</w:t>
            </w:r>
            <w:r>
              <w:rPr>
                <w:rFonts w:hint="eastAsia" w:ascii="宋体" w:hAnsi="宋体" w:cs="宋体"/>
                <w:color w:val="auto"/>
                <w:w w:val="99"/>
                <w:sz w:val="21"/>
                <w:szCs w:val="21"/>
                <w:highlight w:val="none"/>
                <w:lang w:eastAsia="zh-CN"/>
              </w:rPr>
              <w:t>印机</w:t>
            </w:r>
            <w:r>
              <w:rPr>
                <w:rFonts w:hint="eastAsia" w:ascii="宋体" w:hAnsi="宋体" w:cs="宋体"/>
                <w:color w:val="auto"/>
                <w:spacing w:val="2"/>
                <w:w w:val="99"/>
                <w:sz w:val="21"/>
                <w:szCs w:val="21"/>
                <w:highlight w:val="none"/>
                <w:lang w:eastAsia="zh-CN"/>
              </w:rPr>
              <w:t>和</w:t>
            </w:r>
            <w:r>
              <w:rPr>
                <w:rFonts w:hint="eastAsia" w:ascii="宋体" w:hAnsi="宋体" w:cs="宋体"/>
                <w:color w:val="auto"/>
                <w:w w:val="99"/>
                <w:sz w:val="21"/>
                <w:szCs w:val="21"/>
                <w:highlight w:val="none"/>
                <w:lang w:eastAsia="zh-CN"/>
              </w:rPr>
              <w:t>传真</w:t>
            </w:r>
            <w:r>
              <w:rPr>
                <w:rFonts w:hint="eastAsia" w:ascii="宋体" w:hAnsi="宋体" w:cs="宋体"/>
                <w:color w:val="auto"/>
                <w:spacing w:val="2"/>
                <w:w w:val="99"/>
                <w:sz w:val="21"/>
                <w:szCs w:val="21"/>
                <w:highlight w:val="none"/>
                <w:lang w:eastAsia="zh-CN"/>
              </w:rPr>
              <w:t>机</w:t>
            </w:r>
            <w:r>
              <w:rPr>
                <w:rFonts w:hint="eastAsia" w:ascii="宋体" w:hAnsi="宋体" w:cs="宋体"/>
                <w:color w:val="auto"/>
                <w:w w:val="99"/>
                <w:sz w:val="21"/>
                <w:szCs w:val="21"/>
                <w:highlight w:val="none"/>
                <w:lang w:eastAsia="zh-CN"/>
              </w:rPr>
              <w:t>能效限定值及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w:t>
            </w:r>
            <w:r>
              <w:rPr>
                <w:rFonts w:hint="eastAsia" w:ascii="宋体" w:hAnsi="宋体" w:cs="宋体"/>
                <w:color w:val="auto"/>
                <w:w w:val="99"/>
                <w:sz w:val="21"/>
                <w:szCs w:val="21"/>
                <w:highlight w:val="none"/>
                <w:lang w:eastAsia="zh-CN"/>
              </w:rPr>
              <w:t>52</w:t>
            </w:r>
            <w:r>
              <w:rPr>
                <w:rFonts w:hint="eastAsia" w:ascii="宋体" w:hAnsi="宋体" w:cs="宋体"/>
                <w:color w:val="auto"/>
                <w:spacing w:val="1"/>
                <w:w w:val="99"/>
                <w:sz w:val="21"/>
                <w:szCs w:val="21"/>
                <w:highlight w:val="none"/>
                <w:lang w:eastAsia="zh-CN"/>
              </w:rPr>
              <w:t>1</w:t>
            </w:r>
            <w:r>
              <w:rPr>
                <w:rFonts w:hint="eastAsia" w:ascii="宋体" w:hAnsi="宋体" w:cs="宋体"/>
                <w:color w:val="auto"/>
                <w:w w:val="99"/>
                <w:sz w:val="21"/>
                <w:szCs w:val="21"/>
                <w:highlight w:val="none"/>
                <w:lang w:eastAsia="zh-CN"/>
              </w:rPr>
              <w:t>）</w:t>
            </w:r>
          </w:p>
        </w:tc>
      </w:tr>
      <w:tr w14:paraId="06E76609">
        <w:tblPrEx>
          <w:tblCellMar>
            <w:top w:w="0" w:type="dxa"/>
            <w:left w:w="0" w:type="dxa"/>
            <w:bottom w:w="0" w:type="dxa"/>
            <w:right w:w="0" w:type="dxa"/>
          </w:tblCellMar>
        </w:tblPrEx>
        <w:trPr>
          <w:trHeight w:val="739"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A5898">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77AD8B">
            <w:pPr>
              <w:rPr>
                <w:rFonts w:ascii="宋体" w:hAnsi="宋体" w:cs="宋体"/>
                <w:color w:val="auto"/>
                <w:szCs w:val="21"/>
                <w:highlight w:val="none"/>
              </w:rPr>
            </w:pPr>
          </w:p>
        </w:tc>
        <w:tc>
          <w:tcPr>
            <w:tcW w:w="1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3DE484">
            <w:pPr>
              <w:rPr>
                <w:rFonts w:ascii="宋体" w:hAnsi="宋体" w:cs="宋体"/>
                <w:color w:val="auto"/>
                <w:szCs w:val="21"/>
                <w:highlight w:val="none"/>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3872EF2B">
            <w:pPr>
              <w:pStyle w:val="106"/>
              <w:spacing w:before="52"/>
              <w:ind w:left="7"/>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02激光</w:t>
            </w:r>
          </w:p>
          <w:p w14:paraId="2D608E84">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打印机</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1D8ED838">
            <w:pPr>
              <w:pStyle w:val="106"/>
              <w:spacing w:before="52"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《复印</w:t>
            </w:r>
            <w:r>
              <w:rPr>
                <w:rFonts w:hint="eastAsia" w:ascii="宋体" w:hAnsi="宋体" w:cs="宋体"/>
                <w:color w:val="auto"/>
                <w:spacing w:val="2"/>
                <w:w w:val="99"/>
                <w:sz w:val="21"/>
                <w:szCs w:val="21"/>
                <w:highlight w:val="none"/>
                <w:lang w:eastAsia="zh-CN"/>
              </w:rPr>
              <w:t>机</w:t>
            </w:r>
            <w:r>
              <w:rPr>
                <w:rFonts w:hint="eastAsia" w:ascii="宋体" w:hAnsi="宋体" w:cs="宋体"/>
                <w:color w:val="auto"/>
                <w:spacing w:val="-58"/>
                <w:w w:val="99"/>
                <w:sz w:val="21"/>
                <w:szCs w:val="21"/>
                <w:highlight w:val="none"/>
                <w:lang w:eastAsia="zh-CN"/>
              </w:rPr>
              <w:t>、</w:t>
            </w:r>
            <w:r>
              <w:rPr>
                <w:rFonts w:hint="eastAsia" w:ascii="宋体" w:hAnsi="宋体" w:cs="宋体"/>
                <w:color w:val="auto"/>
                <w:spacing w:val="2"/>
                <w:w w:val="99"/>
                <w:sz w:val="21"/>
                <w:szCs w:val="21"/>
                <w:highlight w:val="none"/>
                <w:lang w:eastAsia="zh-CN"/>
              </w:rPr>
              <w:t>打</w:t>
            </w:r>
            <w:r>
              <w:rPr>
                <w:rFonts w:hint="eastAsia" w:ascii="宋体" w:hAnsi="宋体" w:cs="宋体"/>
                <w:color w:val="auto"/>
                <w:w w:val="99"/>
                <w:sz w:val="21"/>
                <w:szCs w:val="21"/>
                <w:highlight w:val="none"/>
                <w:lang w:eastAsia="zh-CN"/>
              </w:rPr>
              <w:t>印机</w:t>
            </w:r>
            <w:r>
              <w:rPr>
                <w:rFonts w:hint="eastAsia" w:ascii="宋体" w:hAnsi="宋体" w:cs="宋体"/>
                <w:color w:val="auto"/>
                <w:spacing w:val="2"/>
                <w:w w:val="99"/>
                <w:sz w:val="21"/>
                <w:szCs w:val="21"/>
                <w:highlight w:val="none"/>
                <w:lang w:eastAsia="zh-CN"/>
              </w:rPr>
              <w:t>和</w:t>
            </w:r>
            <w:r>
              <w:rPr>
                <w:rFonts w:hint="eastAsia" w:ascii="宋体" w:hAnsi="宋体" w:cs="宋体"/>
                <w:color w:val="auto"/>
                <w:w w:val="99"/>
                <w:sz w:val="21"/>
                <w:szCs w:val="21"/>
                <w:highlight w:val="none"/>
                <w:lang w:eastAsia="zh-CN"/>
              </w:rPr>
              <w:t>传真</w:t>
            </w:r>
            <w:r>
              <w:rPr>
                <w:rFonts w:hint="eastAsia" w:ascii="宋体" w:hAnsi="宋体" w:cs="宋体"/>
                <w:color w:val="auto"/>
                <w:spacing w:val="2"/>
                <w:w w:val="99"/>
                <w:sz w:val="21"/>
                <w:szCs w:val="21"/>
                <w:highlight w:val="none"/>
                <w:lang w:eastAsia="zh-CN"/>
              </w:rPr>
              <w:t>机</w:t>
            </w:r>
            <w:r>
              <w:rPr>
                <w:rFonts w:hint="eastAsia" w:ascii="宋体" w:hAnsi="宋体" w:cs="宋体"/>
                <w:color w:val="auto"/>
                <w:w w:val="99"/>
                <w:sz w:val="21"/>
                <w:szCs w:val="21"/>
                <w:highlight w:val="none"/>
                <w:lang w:eastAsia="zh-CN"/>
              </w:rPr>
              <w:t>能效限定值及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w:t>
            </w:r>
            <w:r>
              <w:rPr>
                <w:rFonts w:hint="eastAsia" w:ascii="宋体" w:hAnsi="宋体" w:cs="宋体"/>
                <w:color w:val="auto"/>
                <w:w w:val="99"/>
                <w:sz w:val="21"/>
                <w:szCs w:val="21"/>
                <w:highlight w:val="none"/>
                <w:lang w:eastAsia="zh-CN"/>
              </w:rPr>
              <w:t>52</w:t>
            </w:r>
            <w:r>
              <w:rPr>
                <w:rFonts w:hint="eastAsia" w:ascii="宋体" w:hAnsi="宋体" w:cs="宋体"/>
                <w:color w:val="auto"/>
                <w:spacing w:val="1"/>
                <w:w w:val="99"/>
                <w:sz w:val="21"/>
                <w:szCs w:val="21"/>
                <w:highlight w:val="none"/>
                <w:lang w:eastAsia="zh-CN"/>
              </w:rPr>
              <w:t>1</w:t>
            </w:r>
            <w:r>
              <w:rPr>
                <w:rFonts w:hint="eastAsia" w:ascii="宋体" w:hAnsi="宋体" w:cs="宋体"/>
                <w:color w:val="auto"/>
                <w:w w:val="99"/>
                <w:sz w:val="21"/>
                <w:szCs w:val="21"/>
                <w:highlight w:val="none"/>
                <w:lang w:eastAsia="zh-CN"/>
              </w:rPr>
              <w:t>）</w:t>
            </w:r>
          </w:p>
        </w:tc>
      </w:tr>
      <w:tr w14:paraId="474E3054">
        <w:tblPrEx>
          <w:tblCellMar>
            <w:top w:w="0" w:type="dxa"/>
            <w:left w:w="0" w:type="dxa"/>
            <w:bottom w:w="0" w:type="dxa"/>
            <w:right w:w="0" w:type="dxa"/>
          </w:tblCellMar>
        </w:tblPrEx>
        <w:trPr>
          <w:trHeight w:val="739"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AA10D">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84F880">
            <w:pPr>
              <w:rPr>
                <w:rFonts w:ascii="宋体" w:hAnsi="宋体" w:cs="宋体"/>
                <w:color w:val="auto"/>
                <w:szCs w:val="21"/>
                <w:highlight w:val="none"/>
              </w:rPr>
            </w:pPr>
          </w:p>
        </w:tc>
        <w:tc>
          <w:tcPr>
            <w:tcW w:w="1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C35173">
            <w:pPr>
              <w:rPr>
                <w:rFonts w:ascii="宋体" w:hAnsi="宋体" w:cs="宋体"/>
                <w:color w:val="auto"/>
                <w:szCs w:val="21"/>
                <w:highlight w:val="none"/>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45C50428">
            <w:pPr>
              <w:pStyle w:val="106"/>
              <w:spacing w:before="52"/>
              <w:ind w:left="7"/>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04针式</w:t>
            </w:r>
          </w:p>
          <w:p w14:paraId="6F23DCEE">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打印机</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2F11B477">
            <w:pPr>
              <w:pStyle w:val="106"/>
              <w:spacing w:before="52"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《复印</w:t>
            </w:r>
            <w:r>
              <w:rPr>
                <w:rFonts w:hint="eastAsia" w:ascii="宋体" w:hAnsi="宋体" w:cs="宋体"/>
                <w:color w:val="auto"/>
                <w:spacing w:val="2"/>
                <w:w w:val="99"/>
                <w:sz w:val="21"/>
                <w:szCs w:val="21"/>
                <w:highlight w:val="none"/>
                <w:lang w:eastAsia="zh-CN"/>
              </w:rPr>
              <w:t>机</w:t>
            </w:r>
            <w:r>
              <w:rPr>
                <w:rFonts w:hint="eastAsia" w:ascii="宋体" w:hAnsi="宋体" w:cs="宋体"/>
                <w:color w:val="auto"/>
                <w:spacing w:val="-58"/>
                <w:w w:val="99"/>
                <w:sz w:val="21"/>
                <w:szCs w:val="21"/>
                <w:highlight w:val="none"/>
                <w:lang w:eastAsia="zh-CN"/>
              </w:rPr>
              <w:t>、</w:t>
            </w:r>
            <w:r>
              <w:rPr>
                <w:rFonts w:hint="eastAsia" w:ascii="宋体" w:hAnsi="宋体" w:cs="宋体"/>
                <w:color w:val="auto"/>
                <w:spacing w:val="2"/>
                <w:w w:val="99"/>
                <w:sz w:val="21"/>
                <w:szCs w:val="21"/>
                <w:highlight w:val="none"/>
                <w:lang w:eastAsia="zh-CN"/>
              </w:rPr>
              <w:t>打</w:t>
            </w:r>
            <w:r>
              <w:rPr>
                <w:rFonts w:hint="eastAsia" w:ascii="宋体" w:hAnsi="宋体" w:cs="宋体"/>
                <w:color w:val="auto"/>
                <w:w w:val="99"/>
                <w:sz w:val="21"/>
                <w:szCs w:val="21"/>
                <w:highlight w:val="none"/>
                <w:lang w:eastAsia="zh-CN"/>
              </w:rPr>
              <w:t>印机</w:t>
            </w:r>
            <w:r>
              <w:rPr>
                <w:rFonts w:hint="eastAsia" w:ascii="宋体" w:hAnsi="宋体" w:cs="宋体"/>
                <w:color w:val="auto"/>
                <w:spacing w:val="2"/>
                <w:w w:val="99"/>
                <w:sz w:val="21"/>
                <w:szCs w:val="21"/>
                <w:highlight w:val="none"/>
                <w:lang w:eastAsia="zh-CN"/>
              </w:rPr>
              <w:t>和</w:t>
            </w:r>
            <w:r>
              <w:rPr>
                <w:rFonts w:hint="eastAsia" w:ascii="宋体" w:hAnsi="宋体" w:cs="宋体"/>
                <w:color w:val="auto"/>
                <w:w w:val="99"/>
                <w:sz w:val="21"/>
                <w:szCs w:val="21"/>
                <w:highlight w:val="none"/>
                <w:lang w:eastAsia="zh-CN"/>
              </w:rPr>
              <w:t>传真</w:t>
            </w:r>
            <w:r>
              <w:rPr>
                <w:rFonts w:hint="eastAsia" w:ascii="宋体" w:hAnsi="宋体" w:cs="宋体"/>
                <w:color w:val="auto"/>
                <w:spacing w:val="2"/>
                <w:w w:val="99"/>
                <w:sz w:val="21"/>
                <w:szCs w:val="21"/>
                <w:highlight w:val="none"/>
                <w:lang w:eastAsia="zh-CN"/>
              </w:rPr>
              <w:t>机</w:t>
            </w:r>
            <w:r>
              <w:rPr>
                <w:rFonts w:hint="eastAsia" w:ascii="宋体" w:hAnsi="宋体" w:cs="宋体"/>
                <w:color w:val="auto"/>
                <w:w w:val="99"/>
                <w:sz w:val="21"/>
                <w:szCs w:val="21"/>
                <w:highlight w:val="none"/>
                <w:lang w:eastAsia="zh-CN"/>
              </w:rPr>
              <w:t>能效限定值及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w:t>
            </w:r>
            <w:r>
              <w:rPr>
                <w:rFonts w:hint="eastAsia" w:ascii="宋体" w:hAnsi="宋体" w:cs="宋体"/>
                <w:color w:val="auto"/>
                <w:w w:val="99"/>
                <w:sz w:val="21"/>
                <w:szCs w:val="21"/>
                <w:highlight w:val="none"/>
                <w:lang w:eastAsia="zh-CN"/>
              </w:rPr>
              <w:t>52</w:t>
            </w:r>
            <w:r>
              <w:rPr>
                <w:rFonts w:hint="eastAsia" w:ascii="宋体" w:hAnsi="宋体" w:cs="宋体"/>
                <w:color w:val="auto"/>
                <w:spacing w:val="1"/>
                <w:w w:val="99"/>
                <w:sz w:val="21"/>
                <w:szCs w:val="21"/>
                <w:highlight w:val="none"/>
                <w:lang w:eastAsia="zh-CN"/>
              </w:rPr>
              <w:t>1</w:t>
            </w:r>
            <w:r>
              <w:rPr>
                <w:rFonts w:hint="eastAsia" w:ascii="宋体" w:hAnsi="宋体" w:cs="宋体"/>
                <w:color w:val="auto"/>
                <w:w w:val="99"/>
                <w:sz w:val="21"/>
                <w:szCs w:val="21"/>
                <w:highlight w:val="none"/>
                <w:lang w:eastAsia="zh-CN"/>
              </w:rPr>
              <w:t>）</w:t>
            </w:r>
          </w:p>
        </w:tc>
      </w:tr>
      <w:tr w14:paraId="7A015C7C">
        <w:tblPrEx>
          <w:tblCellMar>
            <w:top w:w="0" w:type="dxa"/>
            <w:left w:w="0" w:type="dxa"/>
            <w:bottom w:w="0" w:type="dxa"/>
            <w:right w:w="0" w:type="dxa"/>
          </w:tblCellMar>
        </w:tblPrEx>
        <w:trPr>
          <w:trHeight w:val="1090"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56CB2">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5E7E01">
            <w:pPr>
              <w:rPr>
                <w:rFonts w:ascii="宋体" w:hAnsi="宋体" w:cs="宋体"/>
                <w:color w:val="auto"/>
                <w:szCs w:val="21"/>
                <w:highlight w:val="none"/>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6BB92A52">
            <w:pPr>
              <w:pStyle w:val="106"/>
              <w:spacing w:before="2"/>
              <w:rPr>
                <w:rFonts w:ascii="宋体" w:hAnsi="宋体" w:cs="宋体"/>
                <w:color w:val="auto"/>
                <w:sz w:val="21"/>
                <w:szCs w:val="21"/>
                <w:highlight w:val="none"/>
                <w:lang w:eastAsia="zh-CN"/>
              </w:rPr>
            </w:pPr>
          </w:p>
          <w:p w14:paraId="44B39F6D">
            <w:pPr>
              <w:pStyle w:val="10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604显示设备</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6AD72D9E">
            <w:pPr>
              <w:pStyle w:val="106"/>
              <w:spacing w:before="68"/>
              <w:ind w:left="7"/>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w:t>
            </w:r>
            <w:r>
              <w:rPr>
                <w:rFonts w:hint="eastAsia" w:ascii="宋体" w:hAnsi="宋体" w:cs="宋体"/>
                <w:color w:val="auto"/>
                <w:spacing w:val="1"/>
                <w:w w:val="99"/>
                <w:sz w:val="21"/>
                <w:szCs w:val="21"/>
                <w:highlight w:val="none"/>
              </w:rPr>
              <w:t>4</w:t>
            </w:r>
            <w:r>
              <w:rPr>
                <w:rFonts w:hint="eastAsia" w:ascii="宋体" w:hAnsi="宋体" w:cs="宋体"/>
                <w:color w:val="auto"/>
                <w:w w:val="99"/>
                <w:sz w:val="21"/>
                <w:szCs w:val="21"/>
                <w:highlight w:val="none"/>
              </w:rPr>
              <w:t>01液晶</w:t>
            </w:r>
          </w:p>
          <w:p w14:paraId="13C1B727">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显示器</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5251AD8F">
            <w:pPr>
              <w:pStyle w:val="106"/>
              <w:spacing w:before="68"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《计算机显示器能效限</w:t>
            </w:r>
            <w:r>
              <w:rPr>
                <w:rFonts w:hint="eastAsia" w:ascii="宋体" w:hAnsi="宋体" w:cs="宋体"/>
                <w:color w:val="auto"/>
                <w:spacing w:val="9"/>
                <w:w w:val="99"/>
                <w:sz w:val="21"/>
                <w:szCs w:val="21"/>
                <w:highlight w:val="none"/>
                <w:lang w:eastAsia="zh-CN"/>
              </w:rPr>
              <w:t>定</w:t>
            </w:r>
            <w:r>
              <w:rPr>
                <w:rFonts w:hint="eastAsia" w:ascii="宋体" w:hAnsi="宋体" w:cs="宋体"/>
                <w:color w:val="auto"/>
                <w:spacing w:val="12"/>
                <w:w w:val="99"/>
                <w:sz w:val="21"/>
                <w:szCs w:val="21"/>
                <w:highlight w:val="none"/>
                <w:lang w:eastAsia="zh-CN"/>
              </w:rPr>
              <w:t>值及</w:t>
            </w:r>
            <w:r>
              <w:rPr>
                <w:rFonts w:hint="eastAsia" w:ascii="宋体" w:hAnsi="宋体" w:cs="宋体"/>
                <w:color w:val="auto"/>
                <w:w w:val="99"/>
                <w:sz w:val="21"/>
                <w:szCs w:val="21"/>
                <w:highlight w:val="none"/>
                <w:lang w:eastAsia="zh-CN"/>
              </w:rPr>
              <w:t>能效等级</w:t>
            </w:r>
            <w:r>
              <w:rPr>
                <w:rFonts w:hint="eastAsia" w:ascii="宋体" w:hAnsi="宋体" w:cs="宋体"/>
                <w:color w:val="auto"/>
                <w:spacing w:val="2"/>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w:t>
            </w:r>
            <w:r>
              <w:rPr>
                <w:rFonts w:hint="eastAsia" w:ascii="宋体" w:hAnsi="宋体" w:cs="宋体"/>
                <w:color w:val="auto"/>
                <w:w w:val="99"/>
                <w:sz w:val="21"/>
                <w:szCs w:val="21"/>
                <w:highlight w:val="none"/>
                <w:lang w:eastAsia="zh-CN"/>
              </w:rPr>
              <w:t>52</w:t>
            </w:r>
            <w:r>
              <w:rPr>
                <w:rFonts w:hint="eastAsia" w:ascii="宋体" w:hAnsi="宋体" w:cs="宋体"/>
                <w:color w:val="auto"/>
                <w:spacing w:val="1"/>
                <w:w w:val="99"/>
                <w:sz w:val="21"/>
                <w:szCs w:val="21"/>
                <w:highlight w:val="none"/>
                <w:lang w:eastAsia="zh-CN"/>
              </w:rPr>
              <w:t>0</w:t>
            </w:r>
            <w:r>
              <w:rPr>
                <w:rFonts w:hint="eastAsia" w:ascii="宋体" w:hAnsi="宋体" w:cs="宋体"/>
                <w:color w:val="auto"/>
                <w:w w:val="99"/>
                <w:sz w:val="21"/>
                <w:szCs w:val="21"/>
                <w:highlight w:val="none"/>
                <w:lang w:eastAsia="zh-CN"/>
              </w:rPr>
              <w:t>）</w:t>
            </w:r>
          </w:p>
        </w:tc>
      </w:tr>
      <w:tr w14:paraId="7F5700C8">
        <w:tblPrEx>
          <w:tblCellMar>
            <w:top w:w="0" w:type="dxa"/>
            <w:left w:w="0" w:type="dxa"/>
            <w:bottom w:w="0" w:type="dxa"/>
            <w:right w:w="0" w:type="dxa"/>
          </w:tblCellMar>
        </w:tblPrEx>
        <w:trPr>
          <w:trHeight w:val="1659"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CB0CE">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4E035D">
            <w:pPr>
              <w:rPr>
                <w:rFonts w:ascii="宋体" w:hAnsi="宋体" w:cs="宋体"/>
                <w:color w:val="auto"/>
                <w:szCs w:val="21"/>
                <w:highlight w:val="none"/>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677D75C2">
            <w:pPr>
              <w:pStyle w:val="106"/>
              <w:spacing w:before="8"/>
              <w:rPr>
                <w:rFonts w:ascii="宋体" w:hAnsi="宋体" w:cs="宋体"/>
                <w:color w:val="auto"/>
                <w:sz w:val="21"/>
                <w:szCs w:val="21"/>
                <w:highlight w:val="none"/>
                <w:lang w:eastAsia="zh-CN"/>
              </w:rPr>
            </w:pPr>
          </w:p>
          <w:p w14:paraId="0DC6D726">
            <w:pPr>
              <w:pStyle w:val="106"/>
              <w:spacing w:line="283" w:lineRule="auto"/>
              <w:ind w:left="7" w:right="5"/>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609图形图像输入设备</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4F12542A">
            <w:pPr>
              <w:pStyle w:val="106"/>
              <w:rPr>
                <w:rFonts w:ascii="宋体" w:hAnsi="宋体" w:cs="宋体"/>
                <w:color w:val="auto"/>
                <w:sz w:val="21"/>
                <w:szCs w:val="21"/>
                <w:highlight w:val="none"/>
              </w:rPr>
            </w:pPr>
          </w:p>
          <w:p w14:paraId="2B8F2661">
            <w:pPr>
              <w:pStyle w:val="106"/>
              <w:spacing w:before="7"/>
              <w:rPr>
                <w:rFonts w:hint="eastAsia" w:ascii="宋体" w:hAnsi="宋体" w:cs="宋体"/>
                <w:color w:val="auto"/>
                <w:sz w:val="21"/>
                <w:szCs w:val="21"/>
                <w:highlight w:val="none"/>
              </w:rPr>
            </w:pPr>
          </w:p>
          <w:p w14:paraId="7AC99D0A">
            <w:pPr>
              <w:pStyle w:val="10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01</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60</w:t>
            </w:r>
            <w:r>
              <w:rPr>
                <w:rFonts w:hint="eastAsia" w:ascii="宋体" w:hAnsi="宋体" w:cs="宋体"/>
                <w:color w:val="auto"/>
                <w:spacing w:val="1"/>
                <w:w w:val="99"/>
                <w:sz w:val="21"/>
                <w:szCs w:val="21"/>
                <w:highlight w:val="none"/>
              </w:rPr>
              <w:t>9</w:t>
            </w:r>
            <w:r>
              <w:rPr>
                <w:rFonts w:hint="eastAsia" w:ascii="宋体" w:hAnsi="宋体" w:cs="宋体"/>
                <w:color w:val="auto"/>
                <w:w w:val="99"/>
                <w:sz w:val="21"/>
                <w:szCs w:val="21"/>
                <w:highlight w:val="none"/>
              </w:rPr>
              <w:t>01扫描仪</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222EE775">
            <w:pPr>
              <w:pStyle w:val="106"/>
              <w:spacing w:before="49"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参</w:t>
            </w:r>
            <w:r>
              <w:rPr>
                <w:rFonts w:hint="eastAsia" w:ascii="宋体" w:hAnsi="宋体" w:cs="宋体"/>
                <w:color w:val="auto"/>
                <w:spacing w:val="-29"/>
                <w:w w:val="99"/>
                <w:sz w:val="21"/>
                <w:szCs w:val="21"/>
                <w:highlight w:val="none"/>
                <w:lang w:eastAsia="zh-CN"/>
              </w:rPr>
              <w:t>照</w:t>
            </w:r>
            <w:r>
              <w:rPr>
                <w:rFonts w:hint="eastAsia" w:ascii="宋体" w:hAnsi="宋体" w:cs="宋体"/>
                <w:color w:val="auto"/>
                <w:w w:val="99"/>
                <w:sz w:val="21"/>
                <w:szCs w:val="21"/>
                <w:highlight w:val="none"/>
                <w:lang w:eastAsia="zh-CN"/>
              </w:rPr>
              <w:t>《</w:t>
            </w:r>
            <w:r>
              <w:rPr>
                <w:rFonts w:hint="eastAsia" w:ascii="宋体" w:hAnsi="宋体" w:cs="宋体"/>
                <w:color w:val="auto"/>
                <w:spacing w:val="2"/>
                <w:w w:val="99"/>
                <w:sz w:val="21"/>
                <w:szCs w:val="21"/>
                <w:highlight w:val="none"/>
                <w:lang w:eastAsia="zh-CN"/>
              </w:rPr>
              <w:t>复</w:t>
            </w:r>
            <w:r>
              <w:rPr>
                <w:rFonts w:hint="eastAsia" w:ascii="宋体" w:hAnsi="宋体" w:cs="宋体"/>
                <w:color w:val="auto"/>
                <w:w w:val="99"/>
                <w:sz w:val="21"/>
                <w:szCs w:val="21"/>
                <w:highlight w:val="none"/>
                <w:lang w:eastAsia="zh-CN"/>
              </w:rPr>
              <w:t>印</w:t>
            </w:r>
            <w:r>
              <w:rPr>
                <w:rFonts w:hint="eastAsia" w:ascii="宋体" w:hAnsi="宋体" w:cs="宋体"/>
                <w:color w:val="auto"/>
                <w:spacing w:val="2"/>
                <w:w w:val="99"/>
                <w:sz w:val="21"/>
                <w:szCs w:val="21"/>
                <w:highlight w:val="none"/>
                <w:lang w:eastAsia="zh-CN"/>
              </w:rPr>
              <w:t>机</w:t>
            </w:r>
            <w:r>
              <w:rPr>
                <w:rFonts w:hint="eastAsia" w:ascii="宋体" w:hAnsi="宋体" w:cs="宋体"/>
                <w:color w:val="auto"/>
                <w:spacing w:val="-29"/>
                <w:w w:val="99"/>
                <w:sz w:val="21"/>
                <w:szCs w:val="21"/>
                <w:highlight w:val="none"/>
                <w:lang w:eastAsia="zh-CN"/>
              </w:rPr>
              <w:t>、</w:t>
            </w:r>
            <w:r>
              <w:rPr>
                <w:rFonts w:hint="eastAsia" w:ascii="宋体" w:hAnsi="宋体" w:cs="宋体"/>
                <w:color w:val="auto"/>
                <w:w w:val="99"/>
                <w:sz w:val="21"/>
                <w:szCs w:val="21"/>
                <w:highlight w:val="none"/>
                <w:lang w:eastAsia="zh-CN"/>
              </w:rPr>
              <w:t>打</w:t>
            </w:r>
            <w:r>
              <w:rPr>
                <w:rFonts w:hint="eastAsia" w:ascii="宋体" w:hAnsi="宋体" w:cs="宋体"/>
                <w:color w:val="auto"/>
                <w:spacing w:val="2"/>
                <w:w w:val="99"/>
                <w:sz w:val="21"/>
                <w:szCs w:val="21"/>
                <w:highlight w:val="none"/>
                <w:lang w:eastAsia="zh-CN"/>
              </w:rPr>
              <w:t>印</w:t>
            </w:r>
            <w:r>
              <w:rPr>
                <w:rFonts w:hint="eastAsia" w:ascii="宋体" w:hAnsi="宋体" w:cs="宋体"/>
                <w:color w:val="auto"/>
                <w:w w:val="99"/>
                <w:sz w:val="21"/>
                <w:szCs w:val="21"/>
                <w:highlight w:val="none"/>
                <w:lang w:eastAsia="zh-CN"/>
              </w:rPr>
              <w:t>机和</w:t>
            </w:r>
            <w:r>
              <w:rPr>
                <w:rFonts w:hint="eastAsia" w:ascii="宋体" w:hAnsi="宋体" w:cs="宋体"/>
                <w:color w:val="auto"/>
                <w:spacing w:val="2"/>
                <w:w w:val="99"/>
                <w:sz w:val="21"/>
                <w:szCs w:val="21"/>
                <w:highlight w:val="none"/>
                <w:lang w:eastAsia="zh-CN"/>
              </w:rPr>
              <w:t>传</w:t>
            </w:r>
            <w:r>
              <w:rPr>
                <w:rFonts w:hint="eastAsia" w:ascii="宋体" w:hAnsi="宋体" w:cs="宋体"/>
                <w:color w:val="auto"/>
                <w:w w:val="99"/>
                <w:sz w:val="21"/>
                <w:szCs w:val="21"/>
                <w:highlight w:val="none"/>
                <w:lang w:eastAsia="zh-CN"/>
              </w:rPr>
              <w:t>真机能效限定</w:t>
            </w:r>
            <w:r>
              <w:rPr>
                <w:rFonts w:hint="eastAsia" w:ascii="宋体" w:hAnsi="宋体" w:cs="宋体"/>
                <w:color w:val="auto"/>
                <w:spacing w:val="2"/>
                <w:w w:val="99"/>
                <w:sz w:val="21"/>
                <w:szCs w:val="21"/>
                <w:highlight w:val="none"/>
                <w:lang w:eastAsia="zh-CN"/>
              </w:rPr>
              <w:t>值</w:t>
            </w:r>
            <w:r>
              <w:rPr>
                <w:rFonts w:hint="eastAsia" w:ascii="宋体" w:hAnsi="宋体" w:cs="宋体"/>
                <w:color w:val="auto"/>
                <w:w w:val="99"/>
                <w:sz w:val="21"/>
                <w:szCs w:val="21"/>
                <w:highlight w:val="none"/>
                <w:lang w:eastAsia="zh-CN"/>
              </w:rPr>
              <w:t>及能</w:t>
            </w:r>
            <w:r>
              <w:rPr>
                <w:rFonts w:hint="eastAsia" w:ascii="宋体" w:hAnsi="宋体" w:cs="宋体"/>
                <w:color w:val="auto"/>
                <w:spacing w:val="2"/>
                <w:w w:val="99"/>
                <w:sz w:val="21"/>
                <w:szCs w:val="21"/>
                <w:highlight w:val="none"/>
                <w:lang w:eastAsia="zh-CN"/>
              </w:rPr>
              <w:t>效</w:t>
            </w:r>
            <w:r>
              <w:rPr>
                <w:rFonts w:hint="eastAsia" w:ascii="宋体" w:hAnsi="宋体" w:cs="宋体"/>
                <w:color w:val="auto"/>
                <w:w w:val="99"/>
                <w:sz w:val="21"/>
                <w:szCs w:val="21"/>
                <w:highlight w:val="none"/>
                <w:lang w:eastAsia="zh-CN"/>
              </w:rPr>
              <w:t>等级</w:t>
            </w:r>
            <w:r>
              <w:rPr>
                <w:rFonts w:hint="eastAsia" w:ascii="宋体" w:hAnsi="宋体" w:cs="宋体"/>
                <w:color w:val="auto"/>
                <w:spacing w:val="-106"/>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2152</w:t>
            </w:r>
            <w:r>
              <w:rPr>
                <w:rFonts w:hint="eastAsia" w:ascii="宋体" w:hAnsi="宋体" w:cs="宋体"/>
                <w:color w:val="auto"/>
                <w:w w:val="99"/>
                <w:sz w:val="21"/>
                <w:szCs w:val="21"/>
                <w:highlight w:val="none"/>
                <w:lang w:eastAsia="zh-CN"/>
              </w:rPr>
              <w:t>1</w:t>
            </w:r>
          </w:p>
          <w:p w14:paraId="4220B9F5">
            <w:pPr>
              <w:pStyle w:val="106"/>
              <w:spacing w:before="12" w:line="283" w:lineRule="auto"/>
              <w:ind w:left="7" w:right="5"/>
              <w:rPr>
                <w:rFonts w:ascii="宋体" w:hAnsi="宋体" w:cs="宋体"/>
                <w:color w:val="auto"/>
                <w:sz w:val="21"/>
                <w:szCs w:val="21"/>
                <w:highlight w:val="none"/>
                <w:lang w:eastAsia="zh-CN"/>
              </w:rPr>
            </w:pPr>
            <w:r>
              <w:rPr>
                <w:rFonts w:hint="eastAsia" w:ascii="宋体" w:hAnsi="宋体" w:cs="宋体"/>
                <w:color w:val="auto"/>
                <w:spacing w:val="2"/>
                <w:w w:val="99"/>
                <w:sz w:val="21"/>
                <w:szCs w:val="21"/>
                <w:highlight w:val="none"/>
                <w:lang w:eastAsia="zh-CN"/>
              </w:rPr>
              <w:t>中</w:t>
            </w:r>
            <w:r>
              <w:rPr>
                <w:rFonts w:hint="eastAsia" w:ascii="宋体" w:hAnsi="宋体" w:cs="宋体"/>
                <w:color w:val="auto"/>
                <w:spacing w:val="4"/>
                <w:w w:val="99"/>
                <w:sz w:val="21"/>
                <w:szCs w:val="21"/>
                <w:highlight w:val="none"/>
                <w:lang w:eastAsia="zh-CN"/>
              </w:rPr>
              <w:t>打印速</w:t>
            </w:r>
            <w:r>
              <w:rPr>
                <w:rFonts w:hint="eastAsia" w:ascii="宋体" w:hAnsi="宋体" w:cs="宋体"/>
                <w:color w:val="auto"/>
                <w:spacing w:val="2"/>
                <w:w w:val="99"/>
                <w:sz w:val="21"/>
                <w:szCs w:val="21"/>
                <w:highlight w:val="none"/>
                <w:lang w:eastAsia="zh-CN"/>
              </w:rPr>
              <w:t>度</w:t>
            </w:r>
            <w:r>
              <w:rPr>
                <w:rFonts w:hint="eastAsia" w:ascii="宋体" w:hAnsi="宋体" w:cs="宋体"/>
                <w:color w:val="auto"/>
                <w:w w:val="99"/>
                <w:sz w:val="21"/>
                <w:szCs w:val="21"/>
                <w:highlight w:val="none"/>
                <w:lang w:eastAsia="zh-CN"/>
              </w:rPr>
              <w:t>为</w:t>
            </w:r>
            <w:r>
              <w:rPr>
                <w:rFonts w:hint="eastAsia" w:ascii="宋体" w:hAnsi="宋体" w:cs="宋体"/>
                <w:color w:val="auto"/>
                <w:spacing w:val="1"/>
                <w:w w:val="99"/>
                <w:sz w:val="21"/>
                <w:szCs w:val="21"/>
                <w:highlight w:val="none"/>
                <w:lang w:eastAsia="zh-CN"/>
              </w:rPr>
              <w:t>1</w:t>
            </w:r>
            <w:r>
              <w:rPr>
                <w:rFonts w:hint="eastAsia" w:ascii="宋体" w:hAnsi="宋体" w:cs="宋体"/>
                <w:color w:val="auto"/>
                <w:w w:val="99"/>
                <w:sz w:val="21"/>
                <w:szCs w:val="21"/>
                <w:highlight w:val="none"/>
                <w:lang w:eastAsia="zh-CN"/>
              </w:rPr>
              <w:t>5</w:t>
            </w:r>
            <w:r>
              <w:rPr>
                <w:rFonts w:hint="eastAsia" w:ascii="宋体" w:hAnsi="宋体" w:cs="宋体"/>
                <w:color w:val="auto"/>
                <w:spacing w:val="2"/>
                <w:w w:val="99"/>
                <w:sz w:val="21"/>
                <w:szCs w:val="21"/>
                <w:highlight w:val="none"/>
                <w:lang w:eastAsia="zh-CN"/>
              </w:rPr>
              <w:t>页</w:t>
            </w:r>
            <w:r>
              <w:rPr>
                <w:rFonts w:hint="eastAsia" w:ascii="宋体" w:hAnsi="宋体" w:cs="宋体"/>
                <w:color w:val="auto"/>
                <w:spacing w:val="5"/>
                <w:w w:val="99"/>
                <w:sz w:val="21"/>
                <w:szCs w:val="21"/>
                <w:highlight w:val="none"/>
                <w:lang w:eastAsia="zh-CN"/>
              </w:rPr>
              <w:t>/</w:t>
            </w:r>
            <w:r>
              <w:rPr>
                <w:rFonts w:hint="eastAsia" w:ascii="宋体" w:hAnsi="宋体" w:cs="宋体"/>
                <w:color w:val="auto"/>
                <w:spacing w:val="4"/>
                <w:w w:val="99"/>
                <w:sz w:val="21"/>
                <w:szCs w:val="21"/>
                <w:highlight w:val="none"/>
                <w:lang w:eastAsia="zh-CN"/>
              </w:rPr>
              <w:t>分的</w:t>
            </w:r>
            <w:r>
              <w:rPr>
                <w:rFonts w:hint="eastAsia" w:ascii="宋体" w:hAnsi="宋体" w:cs="宋体"/>
                <w:color w:val="auto"/>
                <w:spacing w:val="2"/>
                <w:w w:val="99"/>
                <w:sz w:val="21"/>
                <w:szCs w:val="21"/>
                <w:highlight w:val="none"/>
                <w:lang w:eastAsia="zh-CN"/>
              </w:rPr>
              <w:t>针</w:t>
            </w:r>
            <w:r>
              <w:rPr>
                <w:rFonts w:hint="eastAsia" w:ascii="宋体" w:hAnsi="宋体" w:cs="宋体"/>
                <w:color w:val="auto"/>
                <w:spacing w:val="4"/>
                <w:w w:val="99"/>
                <w:sz w:val="21"/>
                <w:szCs w:val="21"/>
                <w:highlight w:val="none"/>
                <w:lang w:eastAsia="zh-CN"/>
              </w:rPr>
              <w:t>式</w:t>
            </w:r>
            <w:r>
              <w:rPr>
                <w:rFonts w:hint="eastAsia" w:ascii="宋体" w:hAnsi="宋体" w:cs="宋体"/>
                <w:color w:val="auto"/>
                <w:w w:val="99"/>
                <w:sz w:val="21"/>
                <w:szCs w:val="21"/>
                <w:highlight w:val="none"/>
                <w:lang w:eastAsia="zh-CN"/>
              </w:rPr>
              <w:t>打印机相</w:t>
            </w:r>
            <w:r>
              <w:rPr>
                <w:rFonts w:hint="eastAsia" w:ascii="宋体" w:hAnsi="宋体" w:cs="宋体"/>
                <w:color w:val="auto"/>
                <w:spacing w:val="2"/>
                <w:w w:val="99"/>
                <w:sz w:val="21"/>
                <w:szCs w:val="21"/>
                <w:highlight w:val="none"/>
                <w:lang w:eastAsia="zh-CN"/>
              </w:rPr>
              <w:t>关</w:t>
            </w:r>
            <w:r>
              <w:rPr>
                <w:rFonts w:hint="eastAsia" w:ascii="宋体" w:hAnsi="宋体" w:cs="宋体"/>
                <w:color w:val="auto"/>
                <w:w w:val="99"/>
                <w:sz w:val="21"/>
                <w:szCs w:val="21"/>
                <w:highlight w:val="none"/>
                <w:lang w:eastAsia="zh-CN"/>
              </w:rPr>
              <w:t>要求</w:t>
            </w:r>
          </w:p>
        </w:tc>
      </w:tr>
      <w:tr w14:paraId="7F7C70EA">
        <w:tblPrEx>
          <w:tblCellMar>
            <w:top w:w="0" w:type="dxa"/>
            <w:left w:w="0" w:type="dxa"/>
            <w:bottom w:w="0" w:type="dxa"/>
            <w:right w:w="0" w:type="dxa"/>
          </w:tblCellMar>
        </w:tblPrEx>
        <w:trPr>
          <w:trHeight w:val="681" w:hRule="exact"/>
          <w:jc w:val="center"/>
        </w:trPr>
        <w:tc>
          <w:tcPr>
            <w:tcW w:w="605" w:type="dxa"/>
            <w:tcBorders>
              <w:top w:val="single" w:color="000000" w:sz="4" w:space="0"/>
              <w:left w:val="single" w:color="000000" w:sz="4" w:space="0"/>
              <w:bottom w:val="single" w:color="000000" w:sz="4" w:space="0"/>
              <w:right w:val="single" w:color="000000" w:sz="4" w:space="0"/>
            </w:tcBorders>
            <w:noWrap w:val="0"/>
            <w:vAlign w:val="top"/>
          </w:tcPr>
          <w:p w14:paraId="6D1260CC">
            <w:pPr>
              <w:pStyle w:val="106"/>
              <w:spacing w:before="179"/>
              <w:ind w:right="1"/>
              <w:jc w:val="center"/>
              <w:rPr>
                <w:rFonts w:ascii="宋体" w:hAnsi="宋体" w:cs="宋体"/>
                <w:color w:val="auto"/>
                <w:sz w:val="21"/>
                <w:szCs w:val="21"/>
                <w:highlight w:val="none"/>
              </w:rPr>
            </w:pPr>
            <w:r>
              <w:rPr>
                <w:rFonts w:hint="eastAsia" w:ascii="宋体"/>
                <w:color w:val="auto"/>
                <w:w w:val="99"/>
                <w:sz w:val="21"/>
                <w:szCs w:val="21"/>
                <w:highlight w:val="none"/>
              </w:rPr>
              <w:t>3</w:t>
            </w:r>
          </w:p>
        </w:tc>
        <w:tc>
          <w:tcPr>
            <w:tcW w:w="1195" w:type="dxa"/>
            <w:gridSpan w:val="2"/>
            <w:tcBorders>
              <w:top w:val="single" w:color="000000" w:sz="4" w:space="0"/>
              <w:left w:val="single" w:color="000000" w:sz="4" w:space="0"/>
              <w:bottom w:val="single" w:color="000000" w:sz="4" w:space="0"/>
              <w:right w:val="single" w:color="000000" w:sz="4" w:space="0"/>
            </w:tcBorders>
            <w:noWrap w:val="0"/>
            <w:vAlign w:val="top"/>
          </w:tcPr>
          <w:p w14:paraId="58DA1E24">
            <w:pPr>
              <w:pStyle w:val="106"/>
              <w:spacing w:before="23"/>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02</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2投影</w:t>
            </w:r>
          </w:p>
          <w:p w14:paraId="4CCB7F6A">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仪</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23362C2E">
            <w:pPr>
              <w:rPr>
                <w:rFonts w:ascii="Calibri" w:hAnsi="Calibri"/>
                <w:color w:val="auto"/>
                <w:szCs w:val="21"/>
                <w:highlight w:val="none"/>
                <w:lang w:eastAsia="en-US"/>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076338B7">
            <w:pPr>
              <w:rPr>
                <w:rFonts w:ascii="Calibri" w:hAnsi="Calibri"/>
                <w:color w:val="auto"/>
                <w:szCs w:val="21"/>
                <w:highlight w:val="none"/>
                <w:lang w:eastAsia="en-US"/>
              </w:rPr>
            </w:pP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7FADD6D8">
            <w:pPr>
              <w:pStyle w:val="106"/>
              <w:spacing w:before="23"/>
              <w:ind w:lef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《投影</w:t>
            </w:r>
            <w:r>
              <w:rPr>
                <w:rFonts w:hint="eastAsia" w:ascii="宋体" w:hAnsi="宋体" w:cs="宋体"/>
                <w:color w:val="auto"/>
                <w:spacing w:val="2"/>
                <w:w w:val="99"/>
                <w:sz w:val="21"/>
                <w:szCs w:val="21"/>
                <w:highlight w:val="none"/>
                <w:lang w:eastAsia="zh-CN"/>
              </w:rPr>
              <w:t>机</w:t>
            </w:r>
            <w:r>
              <w:rPr>
                <w:rFonts w:hint="eastAsia" w:ascii="宋体" w:hAnsi="宋体" w:cs="宋体"/>
                <w:color w:val="auto"/>
                <w:w w:val="99"/>
                <w:sz w:val="21"/>
                <w:szCs w:val="21"/>
                <w:highlight w:val="none"/>
                <w:lang w:eastAsia="zh-CN"/>
              </w:rPr>
              <w:t>能效</w:t>
            </w:r>
            <w:r>
              <w:rPr>
                <w:rFonts w:hint="eastAsia" w:ascii="宋体" w:hAnsi="宋体" w:cs="宋体"/>
                <w:color w:val="auto"/>
                <w:spacing w:val="2"/>
                <w:w w:val="99"/>
                <w:sz w:val="21"/>
                <w:szCs w:val="21"/>
                <w:highlight w:val="none"/>
                <w:lang w:eastAsia="zh-CN"/>
              </w:rPr>
              <w:t>限</w:t>
            </w:r>
            <w:r>
              <w:rPr>
                <w:rFonts w:hint="eastAsia" w:ascii="宋体" w:hAnsi="宋体" w:cs="宋体"/>
                <w:color w:val="auto"/>
                <w:w w:val="99"/>
                <w:sz w:val="21"/>
                <w:szCs w:val="21"/>
                <w:highlight w:val="none"/>
                <w:lang w:eastAsia="zh-CN"/>
              </w:rPr>
              <w:t>定值</w:t>
            </w:r>
            <w:r>
              <w:rPr>
                <w:rFonts w:hint="eastAsia" w:ascii="宋体" w:hAnsi="宋体" w:cs="宋体"/>
                <w:color w:val="auto"/>
                <w:spacing w:val="2"/>
                <w:w w:val="99"/>
                <w:sz w:val="21"/>
                <w:szCs w:val="21"/>
                <w:highlight w:val="none"/>
                <w:lang w:eastAsia="zh-CN"/>
              </w:rPr>
              <w:t>及</w:t>
            </w:r>
            <w:r>
              <w:rPr>
                <w:rFonts w:hint="eastAsia" w:ascii="宋体" w:hAnsi="宋体" w:cs="宋体"/>
                <w:color w:val="auto"/>
                <w:w w:val="99"/>
                <w:sz w:val="21"/>
                <w:szCs w:val="21"/>
                <w:highlight w:val="none"/>
                <w:lang w:eastAsia="zh-CN"/>
              </w:rPr>
              <w:t>能</w:t>
            </w:r>
            <w:r>
              <w:rPr>
                <w:rFonts w:hint="eastAsia" w:ascii="宋体" w:hAnsi="宋体" w:cs="宋体"/>
                <w:color w:val="auto"/>
                <w:spacing w:val="2"/>
                <w:w w:val="99"/>
                <w:sz w:val="21"/>
                <w:szCs w:val="21"/>
                <w:highlight w:val="none"/>
                <w:lang w:eastAsia="zh-CN"/>
              </w:rPr>
              <w:t>效</w:t>
            </w:r>
            <w:r>
              <w:rPr>
                <w:rFonts w:hint="eastAsia" w:ascii="宋体" w:hAnsi="宋体" w:cs="宋体"/>
                <w:color w:val="auto"/>
                <w:w w:val="99"/>
                <w:sz w:val="21"/>
                <w:szCs w:val="21"/>
                <w:highlight w:val="none"/>
                <w:lang w:eastAsia="zh-CN"/>
              </w:rPr>
              <w:t>等级</w:t>
            </w:r>
          </w:p>
          <w:p w14:paraId="25B98254">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G</w:t>
            </w:r>
            <w:r>
              <w:rPr>
                <w:rFonts w:hint="eastAsia" w:ascii="宋体" w:hAnsi="宋体" w:cs="宋体"/>
                <w:color w:val="auto"/>
                <w:w w:val="99"/>
                <w:sz w:val="21"/>
                <w:szCs w:val="21"/>
                <w:highlight w:val="none"/>
              </w:rPr>
              <w:t>B</w:t>
            </w:r>
            <w:r>
              <w:rPr>
                <w:rFonts w:hint="eastAsia" w:ascii="宋体" w:hAnsi="宋体" w:cs="宋体"/>
                <w:color w:val="auto"/>
                <w:spacing w:val="1"/>
                <w:w w:val="99"/>
                <w:sz w:val="21"/>
                <w:szCs w:val="21"/>
                <w:highlight w:val="none"/>
              </w:rPr>
              <w:t>3</w:t>
            </w:r>
            <w:r>
              <w:rPr>
                <w:rFonts w:hint="eastAsia" w:ascii="宋体" w:hAnsi="宋体" w:cs="宋体"/>
                <w:color w:val="auto"/>
                <w:w w:val="99"/>
                <w:sz w:val="21"/>
                <w:szCs w:val="21"/>
                <w:highlight w:val="none"/>
              </w:rPr>
              <w:t>20</w:t>
            </w:r>
            <w:r>
              <w:rPr>
                <w:rFonts w:hint="eastAsia" w:ascii="宋体" w:hAnsi="宋体" w:cs="宋体"/>
                <w:color w:val="auto"/>
                <w:spacing w:val="1"/>
                <w:w w:val="99"/>
                <w:sz w:val="21"/>
                <w:szCs w:val="21"/>
                <w:highlight w:val="none"/>
              </w:rPr>
              <w:t>28</w:t>
            </w:r>
            <w:r>
              <w:rPr>
                <w:rFonts w:hint="eastAsia" w:ascii="宋体" w:hAnsi="宋体" w:cs="宋体"/>
                <w:color w:val="auto"/>
                <w:w w:val="99"/>
                <w:sz w:val="21"/>
                <w:szCs w:val="21"/>
                <w:highlight w:val="none"/>
              </w:rPr>
              <w:t>）</w:t>
            </w:r>
          </w:p>
        </w:tc>
      </w:tr>
      <w:tr w14:paraId="4268A6B6">
        <w:tblPrEx>
          <w:tblCellMar>
            <w:top w:w="0" w:type="dxa"/>
            <w:left w:w="0" w:type="dxa"/>
            <w:bottom w:w="0" w:type="dxa"/>
            <w:right w:w="0" w:type="dxa"/>
          </w:tblCellMar>
        </w:tblPrEx>
        <w:trPr>
          <w:trHeight w:val="1137" w:hRule="exact"/>
          <w:jc w:val="center"/>
        </w:trPr>
        <w:tc>
          <w:tcPr>
            <w:tcW w:w="605" w:type="dxa"/>
            <w:tcBorders>
              <w:top w:val="single" w:color="000000" w:sz="4" w:space="0"/>
              <w:left w:val="single" w:color="000000" w:sz="4" w:space="0"/>
              <w:bottom w:val="single" w:color="000000" w:sz="4" w:space="0"/>
              <w:right w:val="single" w:color="000000" w:sz="4" w:space="0"/>
            </w:tcBorders>
            <w:noWrap w:val="0"/>
            <w:vAlign w:val="top"/>
          </w:tcPr>
          <w:p w14:paraId="73CD04D9">
            <w:pPr>
              <w:pStyle w:val="106"/>
              <w:spacing w:before="13"/>
              <w:rPr>
                <w:rFonts w:ascii="宋体" w:hAnsi="宋体" w:cs="宋体"/>
                <w:color w:val="auto"/>
                <w:sz w:val="21"/>
                <w:szCs w:val="21"/>
                <w:highlight w:val="none"/>
              </w:rPr>
            </w:pPr>
          </w:p>
          <w:p w14:paraId="39809301">
            <w:pPr>
              <w:pStyle w:val="106"/>
              <w:ind w:right="1"/>
              <w:jc w:val="center"/>
              <w:rPr>
                <w:rFonts w:ascii="宋体" w:hAnsi="宋体" w:cs="宋体"/>
                <w:color w:val="auto"/>
                <w:sz w:val="21"/>
                <w:szCs w:val="21"/>
                <w:highlight w:val="none"/>
              </w:rPr>
            </w:pPr>
            <w:r>
              <w:rPr>
                <w:rFonts w:hint="eastAsia" w:ascii="宋体"/>
                <w:color w:val="auto"/>
                <w:w w:val="99"/>
                <w:sz w:val="21"/>
                <w:szCs w:val="21"/>
                <w:highlight w:val="none"/>
              </w:rPr>
              <w:t>4</w:t>
            </w:r>
          </w:p>
        </w:tc>
        <w:tc>
          <w:tcPr>
            <w:tcW w:w="1195" w:type="dxa"/>
            <w:gridSpan w:val="2"/>
            <w:tcBorders>
              <w:top w:val="single" w:color="000000" w:sz="4" w:space="0"/>
              <w:left w:val="single" w:color="000000" w:sz="4" w:space="0"/>
              <w:bottom w:val="single" w:color="000000" w:sz="4" w:space="0"/>
              <w:right w:val="single" w:color="000000" w:sz="4" w:space="0"/>
            </w:tcBorders>
            <w:noWrap w:val="0"/>
            <w:vAlign w:val="top"/>
          </w:tcPr>
          <w:p w14:paraId="7457F4D4">
            <w:pPr>
              <w:pStyle w:val="106"/>
              <w:spacing w:before="6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02</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4多功</w:t>
            </w:r>
          </w:p>
          <w:p w14:paraId="1673A318">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能一体机</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3FAEA8E1">
            <w:pPr>
              <w:rPr>
                <w:rFonts w:ascii="Calibri" w:hAnsi="Calibri"/>
                <w:color w:val="auto"/>
                <w:szCs w:val="21"/>
                <w:highlight w:val="none"/>
                <w:lang w:eastAsia="en-US"/>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321AB047">
            <w:pPr>
              <w:rPr>
                <w:rFonts w:ascii="Calibri" w:hAnsi="Calibri"/>
                <w:color w:val="auto"/>
                <w:szCs w:val="21"/>
                <w:highlight w:val="none"/>
                <w:lang w:eastAsia="en-US"/>
              </w:rPr>
            </w:pP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3C5AF53C">
            <w:pPr>
              <w:pStyle w:val="106"/>
              <w:spacing w:before="66"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《复印</w:t>
            </w:r>
            <w:r>
              <w:rPr>
                <w:rFonts w:hint="eastAsia" w:ascii="宋体" w:hAnsi="宋体" w:cs="宋体"/>
                <w:color w:val="auto"/>
                <w:spacing w:val="2"/>
                <w:w w:val="99"/>
                <w:sz w:val="21"/>
                <w:szCs w:val="21"/>
                <w:highlight w:val="none"/>
                <w:lang w:eastAsia="zh-CN"/>
              </w:rPr>
              <w:t>机</w:t>
            </w:r>
            <w:r>
              <w:rPr>
                <w:rFonts w:hint="eastAsia" w:ascii="宋体" w:hAnsi="宋体" w:cs="宋体"/>
                <w:color w:val="auto"/>
                <w:spacing w:val="-58"/>
                <w:w w:val="99"/>
                <w:sz w:val="21"/>
                <w:szCs w:val="21"/>
                <w:highlight w:val="none"/>
                <w:lang w:eastAsia="zh-CN"/>
              </w:rPr>
              <w:t>、</w:t>
            </w:r>
            <w:r>
              <w:rPr>
                <w:rFonts w:hint="eastAsia" w:ascii="宋体" w:hAnsi="宋体" w:cs="宋体"/>
                <w:color w:val="auto"/>
                <w:spacing w:val="2"/>
                <w:w w:val="99"/>
                <w:sz w:val="21"/>
                <w:szCs w:val="21"/>
                <w:highlight w:val="none"/>
                <w:lang w:eastAsia="zh-CN"/>
              </w:rPr>
              <w:t>打</w:t>
            </w:r>
            <w:r>
              <w:rPr>
                <w:rFonts w:hint="eastAsia" w:ascii="宋体" w:hAnsi="宋体" w:cs="宋体"/>
                <w:color w:val="auto"/>
                <w:w w:val="99"/>
                <w:sz w:val="21"/>
                <w:szCs w:val="21"/>
                <w:highlight w:val="none"/>
                <w:lang w:eastAsia="zh-CN"/>
              </w:rPr>
              <w:t>印机</w:t>
            </w:r>
            <w:r>
              <w:rPr>
                <w:rFonts w:hint="eastAsia" w:ascii="宋体" w:hAnsi="宋体" w:cs="宋体"/>
                <w:color w:val="auto"/>
                <w:spacing w:val="2"/>
                <w:w w:val="99"/>
                <w:sz w:val="21"/>
                <w:szCs w:val="21"/>
                <w:highlight w:val="none"/>
                <w:lang w:eastAsia="zh-CN"/>
              </w:rPr>
              <w:t>和</w:t>
            </w:r>
            <w:r>
              <w:rPr>
                <w:rFonts w:hint="eastAsia" w:ascii="宋体" w:hAnsi="宋体" w:cs="宋体"/>
                <w:color w:val="auto"/>
                <w:w w:val="99"/>
                <w:sz w:val="21"/>
                <w:szCs w:val="21"/>
                <w:highlight w:val="none"/>
                <w:lang w:eastAsia="zh-CN"/>
              </w:rPr>
              <w:t>传真</w:t>
            </w:r>
            <w:r>
              <w:rPr>
                <w:rFonts w:hint="eastAsia" w:ascii="宋体" w:hAnsi="宋体" w:cs="宋体"/>
                <w:color w:val="auto"/>
                <w:spacing w:val="2"/>
                <w:w w:val="99"/>
                <w:sz w:val="21"/>
                <w:szCs w:val="21"/>
                <w:highlight w:val="none"/>
                <w:lang w:eastAsia="zh-CN"/>
              </w:rPr>
              <w:t>机</w:t>
            </w:r>
            <w:r>
              <w:rPr>
                <w:rFonts w:hint="eastAsia" w:ascii="宋体" w:hAnsi="宋体" w:cs="宋体"/>
                <w:color w:val="auto"/>
                <w:w w:val="99"/>
                <w:sz w:val="21"/>
                <w:szCs w:val="21"/>
                <w:highlight w:val="none"/>
                <w:lang w:eastAsia="zh-CN"/>
              </w:rPr>
              <w:t>能效限定值及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w:t>
            </w:r>
            <w:r>
              <w:rPr>
                <w:rFonts w:hint="eastAsia" w:ascii="宋体" w:hAnsi="宋体" w:cs="宋体"/>
                <w:color w:val="auto"/>
                <w:w w:val="99"/>
                <w:sz w:val="21"/>
                <w:szCs w:val="21"/>
                <w:highlight w:val="none"/>
                <w:lang w:eastAsia="zh-CN"/>
              </w:rPr>
              <w:t>52</w:t>
            </w:r>
            <w:r>
              <w:rPr>
                <w:rFonts w:hint="eastAsia" w:ascii="宋体" w:hAnsi="宋体" w:cs="宋体"/>
                <w:color w:val="auto"/>
                <w:spacing w:val="1"/>
                <w:w w:val="99"/>
                <w:sz w:val="21"/>
                <w:szCs w:val="21"/>
                <w:highlight w:val="none"/>
                <w:lang w:eastAsia="zh-CN"/>
              </w:rPr>
              <w:t>1</w:t>
            </w:r>
            <w:r>
              <w:rPr>
                <w:rFonts w:hint="eastAsia" w:ascii="宋体" w:hAnsi="宋体" w:cs="宋体"/>
                <w:color w:val="auto"/>
                <w:w w:val="99"/>
                <w:sz w:val="21"/>
                <w:szCs w:val="21"/>
                <w:highlight w:val="none"/>
                <w:lang w:eastAsia="zh-CN"/>
              </w:rPr>
              <w:t>）</w:t>
            </w:r>
          </w:p>
        </w:tc>
      </w:tr>
      <w:tr w14:paraId="2EE1718D">
        <w:tblPrEx>
          <w:tblCellMar>
            <w:top w:w="0" w:type="dxa"/>
            <w:left w:w="0" w:type="dxa"/>
            <w:bottom w:w="0" w:type="dxa"/>
            <w:right w:w="0" w:type="dxa"/>
          </w:tblCellMar>
        </w:tblPrEx>
        <w:trPr>
          <w:trHeight w:val="773" w:hRule="exact"/>
          <w:jc w:val="center"/>
        </w:trPr>
        <w:tc>
          <w:tcPr>
            <w:tcW w:w="605" w:type="dxa"/>
            <w:tcBorders>
              <w:top w:val="single" w:color="000000" w:sz="4" w:space="0"/>
              <w:left w:val="single" w:color="000000" w:sz="4" w:space="0"/>
              <w:bottom w:val="single" w:color="000000" w:sz="4" w:space="0"/>
              <w:right w:val="single" w:color="000000" w:sz="4" w:space="0"/>
            </w:tcBorders>
            <w:noWrap w:val="0"/>
            <w:vAlign w:val="top"/>
          </w:tcPr>
          <w:p w14:paraId="7F422C81">
            <w:pPr>
              <w:pStyle w:val="106"/>
              <w:spacing w:before="160"/>
              <w:ind w:right="1"/>
              <w:jc w:val="center"/>
              <w:rPr>
                <w:rFonts w:ascii="宋体" w:hAnsi="宋体" w:cs="宋体"/>
                <w:color w:val="auto"/>
                <w:sz w:val="21"/>
                <w:szCs w:val="21"/>
                <w:highlight w:val="none"/>
              </w:rPr>
            </w:pPr>
            <w:r>
              <w:rPr>
                <w:rFonts w:hint="eastAsia" w:ascii="宋体"/>
                <w:color w:val="auto"/>
                <w:w w:val="99"/>
                <w:sz w:val="21"/>
                <w:szCs w:val="21"/>
                <w:highlight w:val="none"/>
              </w:rPr>
              <w:t>5</w:t>
            </w:r>
          </w:p>
        </w:tc>
        <w:tc>
          <w:tcPr>
            <w:tcW w:w="1195" w:type="dxa"/>
            <w:gridSpan w:val="2"/>
            <w:tcBorders>
              <w:top w:val="single" w:color="000000" w:sz="4" w:space="0"/>
              <w:left w:val="single" w:color="000000" w:sz="4" w:space="0"/>
              <w:bottom w:val="single" w:color="000000" w:sz="4" w:space="0"/>
              <w:right w:val="single" w:color="000000" w:sz="4" w:space="0"/>
            </w:tcBorders>
            <w:noWrap w:val="0"/>
            <w:vAlign w:val="top"/>
          </w:tcPr>
          <w:p w14:paraId="342322AF">
            <w:pPr>
              <w:pStyle w:val="106"/>
              <w:spacing w:before="160"/>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05</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9泵</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0235D8CB">
            <w:pPr>
              <w:pStyle w:val="106"/>
              <w:spacing w:before="160"/>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05</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901离心泵</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590BF59C">
            <w:pPr>
              <w:rPr>
                <w:rFonts w:ascii="Calibri" w:hAnsi="Calibri"/>
                <w:color w:val="auto"/>
                <w:szCs w:val="21"/>
                <w:highlight w:val="none"/>
                <w:lang w:eastAsia="en-US"/>
              </w:rPr>
            </w:pP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653EA6B9">
            <w:pPr>
              <w:pStyle w:val="106"/>
              <w:spacing w:before="4"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《清水离心泵能效限定</w:t>
            </w:r>
            <w:r>
              <w:rPr>
                <w:rFonts w:hint="eastAsia" w:ascii="宋体" w:hAnsi="宋体" w:cs="宋体"/>
                <w:color w:val="auto"/>
                <w:spacing w:val="9"/>
                <w:w w:val="99"/>
                <w:sz w:val="21"/>
                <w:szCs w:val="21"/>
                <w:highlight w:val="none"/>
                <w:lang w:eastAsia="zh-CN"/>
              </w:rPr>
              <w:t>值</w:t>
            </w:r>
            <w:r>
              <w:rPr>
                <w:rFonts w:hint="eastAsia" w:ascii="宋体" w:hAnsi="宋体" w:cs="宋体"/>
                <w:color w:val="auto"/>
                <w:spacing w:val="12"/>
                <w:w w:val="99"/>
                <w:sz w:val="21"/>
                <w:szCs w:val="21"/>
                <w:highlight w:val="none"/>
                <w:lang w:eastAsia="zh-CN"/>
              </w:rPr>
              <w:t>及节</w:t>
            </w:r>
            <w:r>
              <w:rPr>
                <w:rFonts w:hint="eastAsia" w:ascii="宋体" w:hAnsi="宋体" w:cs="宋体"/>
                <w:color w:val="auto"/>
                <w:w w:val="99"/>
                <w:sz w:val="21"/>
                <w:szCs w:val="21"/>
                <w:highlight w:val="none"/>
                <w:lang w:eastAsia="zh-CN"/>
              </w:rPr>
              <w:t>能评价值</w:t>
            </w:r>
            <w:r>
              <w:rPr>
                <w:rFonts w:hint="eastAsia" w:ascii="宋体" w:hAnsi="宋体" w:cs="宋体"/>
                <w:color w:val="auto"/>
                <w:spacing w:val="2"/>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19</w:t>
            </w:r>
            <w:r>
              <w:rPr>
                <w:rFonts w:hint="eastAsia" w:ascii="宋体" w:hAnsi="宋体" w:cs="宋体"/>
                <w:color w:val="auto"/>
                <w:w w:val="99"/>
                <w:sz w:val="21"/>
                <w:szCs w:val="21"/>
                <w:highlight w:val="none"/>
                <w:lang w:eastAsia="zh-CN"/>
              </w:rPr>
              <w:t>76</w:t>
            </w:r>
            <w:r>
              <w:rPr>
                <w:rFonts w:hint="eastAsia" w:ascii="宋体" w:hAnsi="宋体" w:cs="宋体"/>
                <w:color w:val="auto"/>
                <w:spacing w:val="1"/>
                <w:w w:val="99"/>
                <w:sz w:val="21"/>
                <w:szCs w:val="21"/>
                <w:highlight w:val="none"/>
                <w:lang w:eastAsia="zh-CN"/>
              </w:rPr>
              <w:t>2</w:t>
            </w:r>
            <w:r>
              <w:rPr>
                <w:rFonts w:hint="eastAsia" w:ascii="宋体" w:hAnsi="宋体" w:cs="宋体"/>
                <w:color w:val="auto"/>
                <w:w w:val="99"/>
                <w:sz w:val="21"/>
                <w:szCs w:val="21"/>
                <w:highlight w:val="none"/>
                <w:lang w:eastAsia="zh-CN"/>
              </w:rPr>
              <w:t>）</w:t>
            </w:r>
          </w:p>
        </w:tc>
      </w:tr>
      <w:tr w14:paraId="2A765468">
        <w:tblPrEx>
          <w:tblCellMar>
            <w:top w:w="0" w:type="dxa"/>
            <w:left w:w="0" w:type="dxa"/>
            <w:bottom w:w="0" w:type="dxa"/>
            <w:right w:w="0" w:type="dxa"/>
          </w:tblCellMar>
        </w:tblPrEx>
        <w:trPr>
          <w:trHeight w:val="1632" w:hRule="exact"/>
          <w:jc w:val="center"/>
        </w:trPr>
        <w:tc>
          <w:tcPr>
            <w:tcW w:w="605" w:type="dxa"/>
            <w:vMerge w:val="restart"/>
            <w:tcBorders>
              <w:top w:val="single" w:color="000000" w:sz="4" w:space="0"/>
              <w:left w:val="single" w:color="000000" w:sz="4" w:space="0"/>
              <w:bottom w:val="single" w:color="000000" w:sz="4" w:space="0"/>
              <w:right w:val="single" w:color="000000" w:sz="4" w:space="0"/>
            </w:tcBorders>
            <w:noWrap w:val="0"/>
            <w:vAlign w:val="top"/>
          </w:tcPr>
          <w:p w14:paraId="1E6D605B">
            <w:pPr>
              <w:pStyle w:val="106"/>
              <w:rPr>
                <w:rFonts w:ascii="宋体" w:hAnsi="宋体" w:cs="宋体"/>
                <w:color w:val="auto"/>
                <w:sz w:val="21"/>
                <w:szCs w:val="21"/>
                <w:highlight w:val="none"/>
                <w:lang w:eastAsia="zh-CN"/>
              </w:rPr>
            </w:pPr>
          </w:p>
          <w:p w14:paraId="66230C58">
            <w:pPr>
              <w:pStyle w:val="106"/>
              <w:rPr>
                <w:rFonts w:hint="eastAsia" w:ascii="宋体" w:hAnsi="宋体" w:cs="宋体"/>
                <w:color w:val="auto"/>
                <w:sz w:val="21"/>
                <w:szCs w:val="21"/>
                <w:highlight w:val="none"/>
                <w:lang w:eastAsia="zh-CN"/>
              </w:rPr>
            </w:pPr>
          </w:p>
          <w:p w14:paraId="72F8EB04">
            <w:pPr>
              <w:pStyle w:val="106"/>
              <w:spacing w:before="7"/>
              <w:rPr>
                <w:rFonts w:hint="eastAsia" w:ascii="宋体" w:hAnsi="宋体" w:cs="宋体"/>
                <w:color w:val="auto"/>
                <w:sz w:val="21"/>
                <w:szCs w:val="21"/>
                <w:highlight w:val="none"/>
                <w:lang w:eastAsia="zh-CN"/>
              </w:rPr>
            </w:pPr>
          </w:p>
          <w:p w14:paraId="4472CE30">
            <w:pPr>
              <w:pStyle w:val="106"/>
              <w:ind w:right="1"/>
              <w:jc w:val="center"/>
              <w:rPr>
                <w:rFonts w:ascii="宋体" w:hAnsi="宋体" w:cs="宋体"/>
                <w:color w:val="auto"/>
                <w:sz w:val="21"/>
                <w:szCs w:val="21"/>
                <w:highlight w:val="none"/>
              </w:rPr>
            </w:pPr>
            <w:r>
              <w:rPr>
                <w:rFonts w:hint="eastAsia" w:ascii="宋体"/>
                <w:color w:val="auto"/>
                <w:w w:val="99"/>
                <w:sz w:val="21"/>
                <w:szCs w:val="21"/>
                <w:highlight w:val="none"/>
              </w:rPr>
              <w:t>6</w:t>
            </w:r>
          </w:p>
        </w:tc>
        <w:tc>
          <w:tcPr>
            <w:tcW w:w="119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7E3C9ACD">
            <w:pPr>
              <w:pStyle w:val="106"/>
              <w:rPr>
                <w:rFonts w:ascii="宋体" w:hAnsi="宋体" w:cs="宋体"/>
                <w:color w:val="auto"/>
                <w:sz w:val="21"/>
                <w:szCs w:val="21"/>
                <w:highlight w:val="none"/>
              </w:rPr>
            </w:pPr>
          </w:p>
          <w:p w14:paraId="642A1A8B">
            <w:pPr>
              <w:pStyle w:val="106"/>
              <w:rPr>
                <w:rFonts w:hint="eastAsia" w:ascii="宋体" w:hAnsi="宋体" w:cs="宋体"/>
                <w:color w:val="auto"/>
                <w:sz w:val="21"/>
                <w:szCs w:val="21"/>
                <w:highlight w:val="none"/>
              </w:rPr>
            </w:pPr>
          </w:p>
          <w:p w14:paraId="42E5D5C5">
            <w:pPr>
              <w:pStyle w:val="106"/>
              <w:spacing w:before="8"/>
              <w:rPr>
                <w:rFonts w:hint="eastAsia" w:ascii="宋体" w:hAnsi="宋体" w:cs="宋体"/>
                <w:color w:val="auto"/>
                <w:sz w:val="21"/>
                <w:szCs w:val="21"/>
                <w:highlight w:val="none"/>
              </w:rPr>
            </w:pPr>
          </w:p>
          <w:p w14:paraId="52AF11F5">
            <w:pPr>
              <w:pStyle w:val="10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05</w:t>
            </w:r>
            <w:r>
              <w:rPr>
                <w:rFonts w:hint="eastAsia" w:ascii="宋体" w:hAnsi="宋体" w:cs="宋体"/>
                <w:color w:val="auto"/>
                <w:spacing w:val="1"/>
                <w:w w:val="99"/>
                <w:sz w:val="21"/>
                <w:szCs w:val="21"/>
                <w:highlight w:val="none"/>
              </w:rPr>
              <w:t>2</w:t>
            </w:r>
            <w:r>
              <w:rPr>
                <w:rFonts w:hint="eastAsia" w:ascii="宋体" w:hAnsi="宋体" w:cs="宋体"/>
                <w:color w:val="auto"/>
                <w:w w:val="99"/>
                <w:sz w:val="21"/>
                <w:szCs w:val="21"/>
                <w:highlight w:val="none"/>
              </w:rPr>
              <w:t>3制冷空调设备</w:t>
            </w:r>
          </w:p>
        </w:tc>
        <w:tc>
          <w:tcPr>
            <w:tcW w:w="1931"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35D5B18C">
            <w:pPr>
              <w:pStyle w:val="106"/>
              <w:rPr>
                <w:rFonts w:ascii="宋体" w:hAnsi="宋体" w:cs="宋体"/>
                <w:color w:val="auto"/>
                <w:sz w:val="21"/>
                <w:szCs w:val="21"/>
                <w:highlight w:val="none"/>
              </w:rPr>
            </w:pPr>
          </w:p>
          <w:p w14:paraId="5FF73475">
            <w:pPr>
              <w:pStyle w:val="106"/>
              <w:rPr>
                <w:rFonts w:hint="eastAsia" w:ascii="宋体" w:hAnsi="宋体" w:cs="宋体"/>
                <w:color w:val="auto"/>
                <w:sz w:val="21"/>
                <w:szCs w:val="21"/>
                <w:highlight w:val="none"/>
              </w:rPr>
            </w:pPr>
          </w:p>
          <w:p w14:paraId="66FCE8A2">
            <w:pPr>
              <w:pStyle w:val="106"/>
              <w:spacing w:before="8"/>
              <w:rPr>
                <w:rFonts w:hint="eastAsia" w:ascii="宋体" w:hAnsi="宋体" w:cs="宋体"/>
                <w:color w:val="auto"/>
                <w:sz w:val="21"/>
                <w:szCs w:val="21"/>
                <w:highlight w:val="none"/>
              </w:rPr>
            </w:pPr>
          </w:p>
          <w:p w14:paraId="6F48822C">
            <w:pPr>
              <w:pStyle w:val="106"/>
              <w:spacing w:line="283" w:lineRule="auto"/>
              <w:ind w:left="7" w:right="5"/>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A020</w:t>
            </w:r>
            <w:r>
              <w:rPr>
                <w:rFonts w:hint="eastAsia" w:ascii="宋体" w:hAnsi="宋体" w:cs="宋体"/>
                <w:color w:val="auto"/>
                <w:w w:val="99"/>
                <w:sz w:val="21"/>
                <w:szCs w:val="21"/>
                <w:highlight w:val="none"/>
              </w:rPr>
              <w:t>52</w:t>
            </w:r>
            <w:r>
              <w:rPr>
                <w:rFonts w:hint="eastAsia" w:ascii="宋体" w:hAnsi="宋体" w:cs="宋体"/>
                <w:color w:val="auto"/>
                <w:spacing w:val="1"/>
                <w:w w:val="99"/>
                <w:sz w:val="21"/>
                <w:szCs w:val="21"/>
                <w:highlight w:val="none"/>
              </w:rPr>
              <w:t>3</w:t>
            </w:r>
            <w:r>
              <w:rPr>
                <w:rFonts w:hint="eastAsia" w:ascii="宋体" w:hAnsi="宋体" w:cs="宋体"/>
                <w:color w:val="auto"/>
                <w:w w:val="99"/>
                <w:sz w:val="21"/>
                <w:szCs w:val="21"/>
                <w:highlight w:val="none"/>
              </w:rPr>
              <w:t>01制冷压缩机</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447DCC31">
            <w:pPr>
              <w:pStyle w:val="106"/>
              <w:rPr>
                <w:rFonts w:ascii="宋体" w:hAnsi="宋体" w:cs="宋体"/>
                <w:color w:val="auto"/>
                <w:sz w:val="21"/>
                <w:szCs w:val="21"/>
                <w:highlight w:val="none"/>
              </w:rPr>
            </w:pPr>
          </w:p>
          <w:p w14:paraId="2D9A9DED">
            <w:pPr>
              <w:pStyle w:val="106"/>
              <w:spacing w:before="1"/>
              <w:rPr>
                <w:rFonts w:hint="eastAsia" w:ascii="宋体" w:hAnsi="宋体" w:cs="宋体"/>
                <w:color w:val="auto"/>
                <w:sz w:val="21"/>
                <w:szCs w:val="21"/>
                <w:highlight w:val="none"/>
              </w:rPr>
            </w:pPr>
          </w:p>
          <w:p w14:paraId="21DD94E8">
            <w:pPr>
              <w:pStyle w:val="106"/>
              <w:ind w:left="7"/>
              <w:rPr>
                <w:rFonts w:ascii="宋体" w:hAnsi="宋体" w:cs="宋体"/>
                <w:color w:val="auto"/>
                <w:sz w:val="21"/>
                <w:szCs w:val="21"/>
                <w:highlight w:val="none"/>
              </w:rPr>
            </w:pPr>
            <w:r>
              <w:rPr>
                <w:rFonts w:hint="eastAsia" w:ascii="宋体" w:hAnsi="宋体" w:cs="宋体"/>
                <w:color w:val="auto"/>
                <w:w w:val="99"/>
                <w:sz w:val="21"/>
                <w:szCs w:val="21"/>
                <w:highlight w:val="none"/>
              </w:rPr>
              <w:t>冷水机组</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0D84D59D">
            <w:pPr>
              <w:pStyle w:val="106"/>
              <w:spacing w:before="30" w:line="283" w:lineRule="auto"/>
              <w:ind w:left="7" w:right="4"/>
              <w:jc w:val="both"/>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《冷水机组能效限定值</w:t>
            </w:r>
            <w:r>
              <w:rPr>
                <w:rFonts w:hint="eastAsia" w:ascii="宋体" w:hAnsi="宋体" w:cs="宋体"/>
                <w:color w:val="auto"/>
                <w:spacing w:val="9"/>
                <w:w w:val="99"/>
                <w:sz w:val="21"/>
                <w:szCs w:val="21"/>
                <w:highlight w:val="none"/>
                <w:lang w:eastAsia="zh-CN"/>
              </w:rPr>
              <w:t>及</w:t>
            </w:r>
            <w:r>
              <w:rPr>
                <w:rFonts w:hint="eastAsia" w:ascii="宋体" w:hAnsi="宋体" w:cs="宋体"/>
                <w:color w:val="auto"/>
                <w:spacing w:val="12"/>
                <w:w w:val="99"/>
                <w:sz w:val="21"/>
                <w:szCs w:val="21"/>
                <w:highlight w:val="none"/>
                <w:lang w:eastAsia="zh-CN"/>
              </w:rPr>
              <w:t>能效</w:t>
            </w:r>
            <w:r>
              <w:rPr>
                <w:rFonts w:hint="eastAsia" w:ascii="宋体" w:hAnsi="宋体" w:cs="宋体"/>
                <w:color w:val="auto"/>
                <w:w w:val="99"/>
                <w:sz w:val="21"/>
                <w:szCs w:val="21"/>
                <w:highlight w:val="none"/>
                <w:lang w:eastAsia="zh-CN"/>
              </w:rPr>
              <w:t>等级</w:t>
            </w:r>
            <w:r>
              <w:rPr>
                <w:rFonts w:hint="eastAsia" w:ascii="宋体" w:hAnsi="宋体" w:cs="宋体"/>
                <w:color w:val="auto"/>
                <w:spacing w:val="-3"/>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195</w:t>
            </w:r>
            <w:r>
              <w:rPr>
                <w:rFonts w:hint="eastAsia" w:ascii="宋体" w:hAnsi="宋体" w:cs="宋体"/>
                <w:color w:val="auto"/>
                <w:w w:val="99"/>
                <w:sz w:val="21"/>
                <w:szCs w:val="21"/>
                <w:highlight w:val="none"/>
                <w:lang w:eastAsia="zh-CN"/>
              </w:rPr>
              <w:t>77</w:t>
            </w:r>
            <w:r>
              <w:rPr>
                <w:rFonts w:hint="eastAsia" w:ascii="宋体" w:hAnsi="宋体" w:cs="宋体"/>
                <w:color w:val="auto"/>
                <w:spacing w:val="-3"/>
                <w:w w:val="99"/>
                <w:sz w:val="21"/>
                <w:szCs w:val="21"/>
                <w:highlight w:val="none"/>
                <w:lang w:eastAsia="zh-CN"/>
              </w:rPr>
              <w:t>），</w:t>
            </w:r>
            <w:r>
              <w:rPr>
                <w:rFonts w:hint="eastAsia" w:ascii="宋体" w:hAnsi="宋体" w:cs="宋体"/>
                <w:color w:val="auto"/>
                <w:w w:val="99"/>
                <w:sz w:val="21"/>
                <w:szCs w:val="21"/>
                <w:highlight w:val="none"/>
                <w:lang w:eastAsia="zh-CN"/>
              </w:rPr>
              <w:t>《低</w:t>
            </w:r>
            <w:r>
              <w:rPr>
                <w:rFonts w:hint="eastAsia" w:ascii="宋体" w:hAnsi="宋体" w:cs="宋体"/>
                <w:color w:val="auto"/>
                <w:spacing w:val="2"/>
                <w:w w:val="99"/>
                <w:sz w:val="21"/>
                <w:szCs w:val="21"/>
                <w:highlight w:val="none"/>
                <w:lang w:eastAsia="zh-CN"/>
              </w:rPr>
              <w:t>环</w:t>
            </w:r>
            <w:r>
              <w:rPr>
                <w:rFonts w:hint="eastAsia" w:ascii="宋体" w:hAnsi="宋体" w:cs="宋体"/>
                <w:color w:val="auto"/>
                <w:w w:val="99"/>
                <w:sz w:val="21"/>
                <w:szCs w:val="21"/>
                <w:highlight w:val="none"/>
                <w:lang w:eastAsia="zh-CN"/>
              </w:rPr>
              <w:t>境温度空气源</w:t>
            </w:r>
            <w:r>
              <w:rPr>
                <w:rFonts w:hint="eastAsia" w:ascii="宋体" w:hAnsi="宋体" w:cs="宋体"/>
                <w:color w:val="auto"/>
                <w:spacing w:val="2"/>
                <w:w w:val="99"/>
                <w:sz w:val="21"/>
                <w:szCs w:val="21"/>
                <w:highlight w:val="none"/>
                <w:lang w:eastAsia="zh-CN"/>
              </w:rPr>
              <w:t>热</w:t>
            </w:r>
            <w:r>
              <w:rPr>
                <w:rFonts w:hint="eastAsia" w:ascii="宋体" w:hAnsi="宋体" w:cs="宋体"/>
                <w:color w:val="auto"/>
                <w:spacing w:val="-29"/>
                <w:w w:val="99"/>
                <w:sz w:val="21"/>
                <w:szCs w:val="21"/>
                <w:highlight w:val="none"/>
                <w:lang w:eastAsia="zh-CN"/>
              </w:rPr>
              <w:t>泵</w:t>
            </w:r>
            <w:r>
              <w:rPr>
                <w:rFonts w:hint="eastAsia" w:ascii="宋体" w:hAnsi="宋体" w:cs="宋体"/>
                <w:color w:val="auto"/>
                <w:spacing w:val="2"/>
                <w:w w:val="99"/>
                <w:sz w:val="21"/>
                <w:szCs w:val="21"/>
                <w:highlight w:val="none"/>
                <w:lang w:eastAsia="zh-CN"/>
              </w:rPr>
              <w:t>（</w:t>
            </w:r>
            <w:r>
              <w:rPr>
                <w:rFonts w:hint="eastAsia" w:ascii="宋体" w:hAnsi="宋体" w:cs="宋体"/>
                <w:color w:val="auto"/>
                <w:w w:val="99"/>
                <w:sz w:val="21"/>
                <w:szCs w:val="21"/>
                <w:highlight w:val="none"/>
                <w:lang w:eastAsia="zh-CN"/>
              </w:rPr>
              <w:t>冷水</w:t>
            </w:r>
            <w:r>
              <w:rPr>
                <w:rFonts w:hint="eastAsia" w:ascii="宋体" w:hAnsi="宋体" w:cs="宋体"/>
                <w:color w:val="auto"/>
                <w:spacing w:val="-27"/>
                <w:w w:val="99"/>
                <w:sz w:val="21"/>
                <w:szCs w:val="21"/>
                <w:highlight w:val="none"/>
                <w:lang w:eastAsia="zh-CN"/>
              </w:rPr>
              <w:t>）</w:t>
            </w:r>
            <w:r>
              <w:rPr>
                <w:rFonts w:hint="eastAsia" w:ascii="宋体" w:hAnsi="宋体" w:cs="宋体"/>
                <w:color w:val="auto"/>
                <w:w w:val="99"/>
                <w:sz w:val="21"/>
                <w:szCs w:val="21"/>
                <w:highlight w:val="none"/>
                <w:lang w:eastAsia="zh-CN"/>
              </w:rPr>
              <w:t>机组</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效限定值及能</w:t>
            </w:r>
            <w:r>
              <w:rPr>
                <w:rFonts w:hint="eastAsia" w:ascii="宋体" w:hAnsi="宋体" w:cs="宋体"/>
                <w:color w:val="auto"/>
                <w:spacing w:val="2"/>
                <w:w w:val="99"/>
                <w:sz w:val="21"/>
                <w:szCs w:val="21"/>
                <w:highlight w:val="none"/>
                <w:lang w:eastAsia="zh-CN"/>
              </w:rPr>
              <w:t>效</w:t>
            </w:r>
            <w:r>
              <w:rPr>
                <w:rFonts w:hint="eastAsia" w:ascii="宋体" w:hAnsi="宋体" w:cs="宋体"/>
                <w:color w:val="auto"/>
                <w:w w:val="99"/>
                <w:sz w:val="21"/>
                <w:szCs w:val="21"/>
                <w:highlight w:val="none"/>
                <w:lang w:eastAsia="zh-CN"/>
              </w:rPr>
              <w:t>等级</w:t>
            </w:r>
            <w:r>
              <w:rPr>
                <w:rFonts w:hint="eastAsia" w:ascii="宋体" w:hAnsi="宋体" w:cs="宋体"/>
                <w:color w:val="auto"/>
                <w:spacing w:val="2"/>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37</w:t>
            </w:r>
            <w:r>
              <w:rPr>
                <w:rFonts w:hint="eastAsia" w:ascii="宋体" w:hAnsi="宋体" w:cs="宋体"/>
                <w:color w:val="auto"/>
                <w:w w:val="99"/>
                <w:sz w:val="21"/>
                <w:szCs w:val="21"/>
                <w:highlight w:val="none"/>
                <w:lang w:eastAsia="zh-CN"/>
              </w:rPr>
              <w:t>48</w:t>
            </w:r>
            <w:r>
              <w:rPr>
                <w:rFonts w:hint="eastAsia" w:ascii="宋体" w:hAnsi="宋体" w:cs="宋体"/>
                <w:color w:val="auto"/>
                <w:spacing w:val="-2"/>
                <w:w w:val="99"/>
                <w:sz w:val="21"/>
                <w:szCs w:val="21"/>
                <w:highlight w:val="none"/>
                <w:lang w:eastAsia="zh-CN"/>
              </w:rPr>
              <w:t>0</w:t>
            </w:r>
            <w:r>
              <w:rPr>
                <w:rFonts w:hint="eastAsia" w:ascii="宋体" w:hAnsi="宋体" w:cs="宋体"/>
                <w:color w:val="auto"/>
                <w:w w:val="99"/>
                <w:sz w:val="21"/>
                <w:szCs w:val="21"/>
                <w:highlight w:val="none"/>
                <w:lang w:eastAsia="zh-CN"/>
              </w:rPr>
              <w:t>）</w:t>
            </w:r>
          </w:p>
        </w:tc>
      </w:tr>
      <w:tr w14:paraId="0D6E8ABD">
        <w:tblPrEx>
          <w:tblCellMar>
            <w:top w:w="0" w:type="dxa"/>
            <w:left w:w="0" w:type="dxa"/>
            <w:bottom w:w="0" w:type="dxa"/>
            <w:right w:w="0" w:type="dxa"/>
          </w:tblCellMar>
        </w:tblPrEx>
        <w:trPr>
          <w:trHeight w:val="901"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C354C">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BF0CEF">
            <w:pPr>
              <w:rPr>
                <w:rFonts w:ascii="宋体" w:hAnsi="宋体" w:cs="宋体"/>
                <w:color w:val="auto"/>
                <w:szCs w:val="21"/>
                <w:highlight w:val="none"/>
              </w:rPr>
            </w:pPr>
          </w:p>
        </w:tc>
        <w:tc>
          <w:tcPr>
            <w:tcW w:w="1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5D1A74">
            <w:pPr>
              <w:rPr>
                <w:rFonts w:ascii="宋体" w:hAnsi="宋体" w:cs="宋体"/>
                <w:color w:val="auto"/>
                <w:szCs w:val="21"/>
                <w:highlight w:val="none"/>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7F92F1B8">
            <w:pPr>
              <w:pStyle w:val="106"/>
              <w:spacing w:before="12"/>
              <w:rPr>
                <w:rFonts w:ascii="宋体" w:hAnsi="宋体" w:cs="宋体"/>
                <w:color w:val="auto"/>
                <w:sz w:val="21"/>
                <w:szCs w:val="21"/>
                <w:highlight w:val="none"/>
                <w:lang w:eastAsia="zh-CN"/>
              </w:rPr>
            </w:pPr>
          </w:p>
          <w:p w14:paraId="6C0B5F24">
            <w:pPr>
              <w:pStyle w:val="106"/>
              <w:ind w:left="7"/>
              <w:rPr>
                <w:rFonts w:ascii="宋体" w:hAnsi="宋体" w:cs="宋体"/>
                <w:color w:val="auto"/>
                <w:sz w:val="21"/>
                <w:szCs w:val="21"/>
                <w:highlight w:val="none"/>
              </w:rPr>
            </w:pPr>
            <w:r>
              <w:rPr>
                <w:rFonts w:hint="eastAsia" w:ascii="宋体" w:hAnsi="宋体" w:cs="宋体"/>
                <w:color w:val="auto"/>
                <w:w w:val="99"/>
                <w:sz w:val="21"/>
                <w:szCs w:val="21"/>
                <w:highlight w:val="none"/>
              </w:rPr>
              <w:t>水源热</w:t>
            </w:r>
            <w:r>
              <w:rPr>
                <w:rFonts w:hint="eastAsia" w:ascii="宋体" w:hAnsi="宋体" w:cs="宋体"/>
                <w:color w:val="auto"/>
                <w:spacing w:val="2"/>
                <w:w w:val="99"/>
                <w:sz w:val="21"/>
                <w:szCs w:val="21"/>
                <w:highlight w:val="none"/>
              </w:rPr>
              <w:t>泵</w:t>
            </w:r>
            <w:r>
              <w:rPr>
                <w:rFonts w:hint="eastAsia" w:ascii="宋体" w:hAnsi="宋体" w:cs="宋体"/>
                <w:color w:val="auto"/>
                <w:w w:val="99"/>
                <w:sz w:val="21"/>
                <w:szCs w:val="21"/>
                <w:highlight w:val="none"/>
              </w:rPr>
              <w:t>机组</w:t>
            </w:r>
          </w:p>
        </w:tc>
        <w:tc>
          <w:tcPr>
            <w:tcW w:w="3647" w:type="dxa"/>
            <w:gridSpan w:val="2"/>
            <w:tcBorders>
              <w:top w:val="single" w:color="000000" w:sz="4" w:space="0"/>
              <w:left w:val="single" w:color="000000" w:sz="4" w:space="0"/>
              <w:bottom w:val="single" w:color="000000" w:sz="4" w:space="0"/>
              <w:right w:val="single" w:color="000000" w:sz="4" w:space="0"/>
            </w:tcBorders>
            <w:noWrap w:val="0"/>
            <w:vAlign w:val="top"/>
          </w:tcPr>
          <w:p w14:paraId="6265134A">
            <w:pPr>
              <w:pStyle w:val="106"/>
              <w:spacing w:before="52"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w:t>
            </w:r>
            <w:r>
              <w:rPr>
                <w:rFonts w:hint="eastAsia" w:ascii="宋体" w:hAnsi="宋体" w:cs="宋体"/>
                <w:color w:val="auto"/>
                <w:spacing w:val="-29"/>
                <w:w w:val="99"/>
                <w:sz w:val="21"/>
                <w:szCs w:val="21"/>
                <w:highlight w:val="none"/>
                <w:lang w:eastAsia="zh-CN"/>
              </w:rPr>
              <w:t>水</w:t>
            </w:r>
            <w:r>
              <w:rPr>
                <w:rFonts w:hint="eastAsia" w:ascii="宋体" w:hAnsi="宋体" w:cs="宋体"/>
                <w:color w:val="auto"/>
                <w:w w:val="99"/>
                <w:sz w:val="21"/>
                <w:szCs w:val="21"/>
                <w:highlight w:val="none"/>
                <w:lang w:eastAsia="zh-CN"/>
              </w:rPr>
              <w:t>（</w:t>
            </w:r>
            <w:r>
              <w:rPr>
                <w:rFonts w:hint="eastAsia" w:ascii="宋体" w:hAnsi="宋体" w:cs="宋体"/>
                <w:color w:val="auto"/>
                <w:spacing w:val="2"/>
                <w:w w:val="99"/>
                <w:sz w:val="21"/>
                <w:szCs w:val="21"/>
                <w:highlight w:val="none"/>
                <w:lang w:eastAsia="zh-CN"/>
              </w:rPr>
              <w:t>地</w:t>
            </w:r>
            <w:r>
              <w:rPr>
                <w:rFonts w:hint="eastAsia" w:ascii="宋体" w:hAnsi="宋体" w:cs="宋体"/>
                <w:color w:val="auto"/>
                <w:spacing w:val="-29"/>
                <w:w w:val="99"/>
                <w:sz w:val="21"/>
                <w:szCs w:val="21"/>
                <w:highlight w:val="none"/>
                <w:lang w:eastAsia="zh-CN"/>
              </w:rPr>
              <w:t>）</w:t>
            </w:r>
            <w:r>
              <w:rPr>
                <w:rFonts w:hint="eastAsia" w:ascii="宋体" w:hAnsi="宋体" w:cs="宋体"/>
                <w:color w:val="auto"/>
                <w:spacing w:val="2"/>
                <w:w w:val="99"/>
                <w:sz w:val="21"/>
                <w:szCs w:val="21"/>
                <w:highlight w:val="none"/>
                <w:lang w:eastAsia="zh-CN"/>
              </w:rPr>
              <w:t>源</w:t>
            </w:r>
            <w:r>
              <w:rPr>
                <w:rFonts w:hint="eastAsia" w:ascii="宋体" w:hAnsi="宋体" w:cs="宋体"/>
                <w:color w:val="auto"/>
                <w:w w:val="99"/>
                <w:sz w:val="21"/>
                <w:szCs w:val="21"/>
                <w:highlight w:val="none"/>
                <w:lang w:eastAsia="zh-CN"/>
              </w:rPr>
              <w:t>热泵</w:t>
            </w:r>
            <w:r>
              <w:rPr>
                <w:rFonts w:hint="eastAsia" w:ascii="宋体" w:hAnsi="宋体" w:cs="宋体"/>
                <w:color w:val="auto"/>
                <w:spacing w:val="2"/>
                <w:w w:val="99"/>
                <w:sz w:val="21"/>
                <w:szCs w:val="21"/>
                <w:highlight w:val="none"/>
                <w:lang w:eastAsia="zh-CN"/>
              </w:rPr>
              <w:t>机</w:t>
            </w:r>
            <w:r>
              <w:rPr>
                <w:rFonts w:hint="eastAsia" w:ascii="宋体" w:hAnsi="宋体" w:cs="宋体"/>
                <w:color w:val="auto"/>
                <w:w w:val="99"/>
                <w:sz w:val="21"/>
                <w:szCs w:val="21"/>
                <w:highlight w:val="none"/>
                <w:lang w:eastAsia="zh-CN"/>
              </w:rPr>
              <w:t>组能</w:t>
            </w:r>
            <w:r>
              <w:rPr>
                <w:rFonts w:hint="eastAsia" w:ascii="宋体" w:hAnsi="宋体" w:cs="宋体"/>
                <w:color w:val="auto"/>
                <w:spacing w:val="2"/>
                <w:w w:val="99"/>
                <w:sz w:val="21"/>
                <w:szCs w:val="21"/>
                <w:highlight w:val="none"/>
                <w:lang w:eastAsia="zh-CN"/>
              </w:rPr>
              <w:t>效</w:t>
            </w:r>
            <w:r>
              <w:rPr>
                <w:rFonts w:hint="eastAsia" w:ascii="宋体" w:hAnsi="宋体" w:cs="宋体"/>
                <w:color w:val="auto"/>
                <w:w w:val="99"/>
                <w:sz w:val="21"/>
                <w:szCs w:val="21"/>
                <w:highlight w:val="none"/>
                <w:lang w:eastAsia="zh-CN"/>
              </w:rPr>
              <w:t>限定值及能效</w:t>
            </w:r>
            <w:r>
              <w:rPr>
                <w:rFonts w:hint="eastAsia" w:ascii="宋体" w:hAnsi="宋体" w:cs="宋体"/>
                <w:color w:val="auto"/>
                <w:spacing w:val="2"/>
                <w:w w:val="99"/>
                <w:sz w:val="21"/>
                <w:szCs w:val="21"/>
                <w:highlight w:val="none"/>
                <w:lang w:eastAsia="zh-CN"/>
              </w:rPr>
              <w:t>等</w:t>
            </w:r>
            <w:r>
              <w:rPr>
                <w:rFonts w:hint="eastAsia" w:ascii="宋体" w:hAnsi="宋体" w:cs="宋体"/>
                <w:color w:val="auto"/>
                <w:w w:val="99"/>
                <w:sz w:val="21"/>
                <w:szCs w:val="21"/>
                <w:highlight w:val="none"/>
                <w:lang w:eastAsia="zh-CN"/>
              </w:rPr>
              <w:t>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30721</w:t>
            </w:r>
            <w:r>
              <w:rPr>
                <w:rFonts w:hint="eastAsia" w:ascii="宋体" w:hAnsi="宋体" w:cs="宋体"/>
                <w:color w:val="auto"/>
                <w:w w:val="99"/>
                <w:sz w:val="21"/>
                <w:szCs w:val="21"/>
                <w:highlight w:val="none"/>
                <w:lang w:eastAsia="zh-CN"/>
              </w:rPr>
              <w:t>）</w:t>
            </w:r>
          </w:p>
        </w:tc>
      </w:tr>
      <w:tr w14:paraId="648F1D56">
        <w:tblPrEx>
          <w:tblCellMar>
            <w:top w:w="0" w:type="dxa"/>
            <w:left w:w="0" w:type="dxa"/>
            <w:bottom w:w="0" w:type="dxa"/>
            <w:right w:w="0" w:type="dxa"/>
          </w:tblCellMar>
        </w:tblPrEx>
        <w:trPr>
          <w:gridAfter w:val="1"/>
          <w:wAfter w:w="16" w:type="dxa"/>
          <w:trHeight w:val="790" w:hRule="exact"/>
          <w:jc w:val="center"/>
        </w:trPr>
        <w:tc>
          <w:tcPr>
            <w:tcW w:w="605" w:type="dxa"/>
            <w:vMerge w:val="restart"/>
            <w:tcBorders>
              <w:top w:val="single" w:color="000000" w:sz="4" w:space="0"/>
              <w:left w:val="single" w:color="000000" w:sz="4" w:space="0"/>
              <w:bottom w:val="single" w:color="000000" w:sz="4" w:space="0"/>
              <w:right w:val="single" w:color="000000" w:sz="4" w:space="0"/>
            </w:tcBorders>
            <w:noWrap w:val="0"/>
            <w:vAlign w:val="top"/>
          </w:tcPr>
          <w:p w14:paraId="36A31631">
            <w:pPr>
              <w:rPr>
                <w:rFonts w:ascii="Calibri" w:hAnsi="Calibri"/>
                <w:color w:val="auto"/>
                <w:szCs w:val="21"/>
                <w:highlight w:val="none"/>
              </w:rPr>
            </w:pPr>
          </w:p>
        </w:tc>
        <w:tc>
          <w:tcPr>
            <w:tcW w:w="119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0AD9448B">
            <w:pPr>
              <w:rPr>
                <w:rFonts w:ascii="Calibri" w:hAnsi="Calibri"/>
                <w:color w:val="auto"/>
                <w:szCs w:val="21"/>
                <w:highlight w:val="none"/>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66F7848C">
            <w:pPr>
              <w:rPr>
                <w:rFonts w:ascii="Calibri" w:hAnsi="Calibri"/>
                <w:color w:val="auto"/>
                <w:szCs w:val="21"/>
                <w:highlight w:val="none"/>
              </w:rPr>
            </w:pPr>
          </w:p>
        </w:tc>
        <w:tc>
          <w:tcPr>
            <w:tcW w:w="2021" w:type="dxa"/>
            <w:tcBorders>
              <w:top w:val="single" w:color="000000" w:sz="4" w:space="0"/>
              <w:left w:val="single" w:color="000000" w:sz="4" w:space="0"/>
              <w:right w:val="single" w:color="000000" w:sz="4" w:space="0"/>
            </w:tcBorders>
            <w:noWrap w:val="0"/>
            <w:vAlign w:val="top"/>
          </w:tcPr>
          <w:p w14:paraId="53898F45">
            <w:pPr>
              <w:pStyle w:val="106"/>
              <w:spacing w:before="93"/>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溴化锂吸收式冷水</w:t>
            </w:r>
            <w:r>
              <w:rPr>
                <w:rFonts w:hint="eastAsia" w:ascii="宋体" w:hAnsi="宋体" w:cs="宋体"/>
                <w:color w:val="auto"/>
                <w:w w:val="99"/>
                <w:sz w:val="21"/>
                <w:szCs w:val="21"/>
                <w:highlight w:val="none"/>
                <w:lang w:eastAsia="zh-CN"/>
              </w:rPr>
              <w:t>机组</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006198F1">
            <w:pPr>
              <w:pStyle w:val="106"/>
              <w:spacing w:before="93"/>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《溴化锂吸收式冷水机</w:t>
            </w:r>
            <w:r>
              <w:rPr>
                <w:rFonts w:hint="eastAsia" w:ascii="宋体" w:hAnsi="宋体" w:cs="宋体"/>
                <w:color w:val="auto"/>
                <w:spacing w:val="9"/>
                <w:w w:val="99"/>
                <w:sz w:val="21"/>
                <w:szCs w:val="21"/>
                <w:highlight w:val="none"/>
                <w:lang w:eastAsia="zh-CN"/>
              </w:rPr>
              <w:t>组</w:t>
            </w:r>
            <w:r>
              <w:rPr>
                <w:rFonts w:hint="eastAsia" w:ascii="宋体" w:hAnsi="宋体" w:cs="宋体"/>
                <w:color w:val="auto"/>
                <w:spacing w:val="12"/>
                <w:w w:val="99"/>
                <w:sz w:val="21"/>
                <w:szCs w:val="21"/>
                <w:highlight w:val="none"/>
                <w:lang w:eastAsia="zh-CN"/>
              </w:rPr>
              <w:t>能效</w:t>
            </w:r>
            <w:r>
              <w:rPr>
                <w:rFonts w:hint="eastAsia" w:ascii="宋体" w:hAnsi="宋体" w:cs="宋体"/>
                <w:color w:val="auto"/>
                <w:w w:val="99"/>
                <w:sz w:val="21"/>
                <w:szCs w:val="21"/>
                <w:highlight w:val="none"/>
                <w:lang w:eastAsia="zh-CN"/>
              </w:rPr>
              <w:t>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29</w:t>
            </w:r>
            <w:r>
              <w:rPr>
                <w:rFonts w:hint="eastAsia" w:ascii="宋体" w:hAnsi="宋体" w:cs="宋体"/>
                <w:color w:val="auto"/>
                <w:w w:val="99"/>
                <w:sz w:val="21"/>
                <w:szCs w:val="21"/>
                <w:highlight w:val="none"/>
                <w:lang w:eastAsia="zh-CN"/>
              </w:rPr>
              <w:t>54</w:t>
            </w:r>
            <w:r>
              <w:rPr>
                <w:rFonts w:hint="eastAsia" w:ascii="宋体" w:hAnsi="宋体" w:cs="宋体"/>
                <w:color w:val="auto"/>
                <w:spacing w:val="1"/>
                <w:w w:val="99"/>
                <w:sz w:val="21"/>
                <w:szCs w:val="21"/>
                <w:highlight w:val="none"/>
                <w:lang w:eastAsia="zh-CN"/>
              </w:rPr>
              <w:t>0</w:t>
            </w:r>
            <w:r>
              <w:rPr>
                <w:rFonts w:hint="eastAsia" w:ascii="宋体" w:hAnsi="宋体" w:cs="宋体"/>
                <w:color w:val="auto"/>
                <w:w w:val="99"/>
                <w:sz w:val="21"/>
                <w:szCs w:val="21"/>
                <w:highlight w:val="none"/>
                <w:lang w:eastAsia="zh-CN"/>
              </w:rPr>
              <w:t>）</w:t>
            </w:r>
          </w:p>
        </w:tc>
      </w:tr>
      <w:tr w14:paraId="2B0871CB">
        <w:tblPrEx>
          <w:tblCellMar>
            <w:top w:w="0" w:type="dxa"/>
            <w:left w:w="0" w:type="dxa"/>
            <w:bottom w:w="0" w:type="dxa"/>
            <w:right w:w="0" w:type="dxa"/>
          </w:tblCellMar>
        </w:tblPrEx>
        <w:trPr>
          <w:gridAfter w:val="1"/>
          <w:wAfter w:w="16" w:type="dxa"/>
          <w:trHeight w:val="1150"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82CCF">
            <w:pPr>
              <w:rPr>
                <w:rFonts w:ascii="Calibri" w:hAnsi="Calibri"/>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3E6BF1">
            <w:pPr>
              <w:rPr>
                <w:rFonts w:ascii="Calibri" w:hAnsi="Calibri"/>
                <w:color w:val="auto"/>
                <w:szCs w:val="21"/>
                <w:highlight w:val="none"/>
              </w:rPr>
            </w:pPr>
          </w:p>
        </w:tc>
        <w:tc>
          <w:tcPr>
            <w:tcW w:w="1931"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47CF6D83">
            <w:pPr>
              <w:pStyle w:val="106"/>
              <w:rPr>
                <w:rFonts w:ascii="宋体" w:hAnsi="宋体" w:cs="宋体"/>
                <w:color w:val="auto"/>
                <w:sz w:val="21"/>
                <w:szCs w:val="21"/>
                <w:highlight w:val="none"/>
                <w:lang w:eastAsia="zh-CN"/>
              </w:rPr>
            </w:pPr>
          </w:p>
          <w:p w14:paraId="7F3562E7">
            <w:pPr>
              <w:pStyle w:val="106"/>
              <w:rPr>
                <w:rFonts w:hint="eastAsia" w:ascii="宋体" w:hAnsi="宋体" w:cs="宋体"/>
                <w:color w:val="auto"/>
                <w:sz w:val="21"/>
                <w:szCs w:val="21"/>
                <w:highlight w:val="none"/>
                <w:lang w:eastAsia="zh-CN"/>
              </w:rPr>
            </w:pPr>
          </w:p>
          <w:p w14:paraId="05EB1E1E">
            <w:pPr>
              <w:pStyle w:val="106"/>
              <w:spacing w:before="3"/>
              <w:rPr>
                <w:rFonts w:hint="eastAsia" w:ascii="宋体" w:hAnsi="宋体" w:cs="宋体"/>
                <w:color w:val="auto"/>
                <w:sz w:val="21"/>
                <w:szCs w:val="21"/>
                <w:highlight w:val="none"/>
                <w:lang w:eastAsia="zh-CN"/>
              </w:rPr>
            </w:pPr>
          </w:p>
          <w:p w14:paraId="19D3D8E8">
            <w:pPr>
              <w:pStyle w:val="106"/>
              <w:spacing w:line="283" w:lineRule="auto"/>
              <w:ind w:left="7" w:right="5"/>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A020</w:t>
            </w:r>
            <w:r>
              <w:rPr>
                <w:rFonts w:hint="eastAsia" w:ascii="宋体" w:hAnsi="宋体" w:cs="宋体"/>
                <w:color w:val="auto"/>
                <w:w w:val="99"/>
                <w:sz w:val="21"/>
                <w:szCs w:val="21"/>
                <w:highlight w:val="none"/>
              </w:rPr>
              <w:t>52</w:t>
            </w:r>
            <w:r>
              <w:rPr>
                <w:rFonts w:hint="eastAsia" w:ascii="宋体" w:hAnsi="宋体" w:cs="宋体"/>
                <w:color w:val="auto"/>
                <w:spacing w:val="1"/>
                <w:w w:val="99"/>
                <w:sz w:val="21"/>
                <w:szCs w:val="21"/>
                <w:highlight w:val="none"/>
              </w:rPr>
              <w:t>3</w:t>
            </w:r>
            <w:r>
              <w:rPr>
                <w:rFonts w:hint="eastAsia" w:ascii="宋体" w:hAnsi="宋体" w:cs="宋体"/>
                <w:color w:val="auto"/>
                <w:w w:val="99"/>
                <w:sz w:val="21"/>
                <w:szCs w:val="21"/>
                <w:highlight w:val="none"/>
              </w:rPr>
              <w:t>05空调机组</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6317EC14">
            <w:pPr>
              <w:pStyle w:val="106"/>
              <w:spacing w:before="4" w:line="283" w:lineRule="auto"/>
              <w:ind w:left="7" w:right="7"/>
              <w:jc w:val="both"/>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多联式空</w:t>
            </w:r>
            <w:r>
              <w:rPr>
                <w:rFonts w:hint="eastAsia" w:ascii="宋体" w:hAnsi="宋体" w:cs="宋体"/>
                <w:color w:val="auto"/>
                <w:spacing w:val="11"/>
                <w:w w:val="99"/>
                <w:sz w:val="21"/>
                <w:szCs w:val="21"/>
                <w:highlight w:val="none"/>
                <w:lang w:eastAsia="zh-CN"/>
              </w:rPr>
              <w:t>调（</w:t>
            </w:r>
            <w:r>
              <w:rPr>
                <w:rFonts w:hint="eastAsia" w:ascii="宋体" w:hAnsi="宋体" w:cs="宋体"/>
                <w:color w:val="auto"/>
                <w:spacing w:val="12"/>
                <w:w w:val="99"/>
                <w:sz w:val="21"/>
                <w:szCs w:val="21"/>
                <w:highlight w:val="none"/>
                <w:lang w:eastAsia="zh-CN"/>
              </w:rPr>
              <w:t>热泵</w:t>
            </w:r>
            <w:r>
              <w:rPr>
                <w:rFonts w:hint="eastAsia" w:ascii="宋体" w:hAnsi="宋体" w:cs="宋体"/>
                <w:color w:val="auto"/>
                <w:w w:val="99"/>
                <w:sz w:val="21"/>
                <w:szCs w:val="21"/>
                <w:highlight w:val="none"/>
                <w:lang w:eastAsia="zh-CN"/>
              </w:rPr>
              <w:t>）机组(制冷量</w:t>
            </w:r>
            <w:r>
              <w:rPr>
                <w:rFonts w:hint="eastAsia" w:ascii="宋体" w:hAnsi="宋体" w:cs="宋体"/>
                <w:color w:val="auto"/>
                <w:spacing w:val="1"/>
                <w:w w:val="99"/>
                <w:sz w:val="21"/>
                <w:szCs w:val="21"/>
                <w:highlight w:val="none"/>
                <w:lang w:eastAsia="zh-CN"/>
              </w:rPr>
              <w:t>&gt;140</w:t>
            </w:r>
            <w:r>
              <w:rPr>
                <w:rFonts w:hint="eastAsia" w:ascii="宋体" w:hAnsi="宋体" w:cs="宋体"/>
                <w:color w:val="auto"/>
                <w:w w:val="99"/>
                <w:sz w:val="21"/>
                <w:szCs w:val="21"/>
                <w:highlight w:val="none"/>
                <w:lang w:eastAsia="zh-CN"/>
              </w:rPr>
              <w:t>00</w:t>
            </w:r>
            <w:r>
              <w:rPr>
                <w:rFonts w:hint="eastAsia" w:ascii="宋体" w:hAnsi="宋体" w:cs="宋体"/>
                <w:color w:val="auto"/>
                <w:spacing w:val="1"/>
                <w:w w:val="99"/>
                <w:sz w:val="21"/>
                <w:szCs w:val="21"/>
                <w:highlight w:val="none"/>
                <w:lang w:eastAsia="zh-CN"/>
              </w:rPr>
              <w:t>W</w:t>
            </w:r>
            <w:r>
              <w:rPr>
                <w:rFonts w:hint="eastAsia" w:ascii="宋体" w:hAnsi="宋体" w:cs="宋体"/>
                <w:color w:val="auto"/>
                <w:w w:val="99"/>
                <w:sz w:val="21"/>
                <w:szCs w:val="21"/>
                <w:highlight w:val="none"/>
                <w:lang w:eastAsia="zh-CN"/>
              </w:rPr>
              <w:t>)</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6214A8BD">
            <w:pPr>
              <w:pStyle w:val="106"/>
              <w:spacing w:before="160"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《多联</w:t>
            </w:r>
            <w:r>
              <w:rPr>
                <w:rFonts w:hint="eastAsia" w:ascii="宋体" w:hAnsi="宋体" w:cs="宋体"/>
                <w:color w:val="auto"/>
                <w:spacing w:val="2"/>
                <w:w w:val="99"/>
                <w:sz w:val="21"/>
                <w:szCs w:val="21"/>
                <w:highlight w:val="none"/>
                <w:lang w:eastAsia="zh-CN"/>
              </w:rPr>
              <w:t>式</w:t>
            </w:r>
            <w:r>
              <w:rPr>
                <w:rFonts w:hint="eastAsia" w:ascii="宋体" w:hAnsi="宋体" w:cs="宋体"/>
                <w:color w:val="auto"/>
                <w:w w:val="99"/>
                <w:sz w:val="21"/>
                <w:szCs w:val="21"/>
                <w:highlight w:val="none"/>
                <w:lang w:eastAsia="zh-CN"/>
              </w:rPr>
              <w:t>空</w:t>
            </w:r>
            <w:r>
              <w:rPr>
                <w:rFonts w:hint="eastAsia" w:ascii="宋体" w:hAnsi="宋体" w:cs="宋体"/>
                <w:color w:val="auto"/>
                <w:spacing w:val="-27"/>
                <w:w w:val="99"/>
                <w:sz w:val="21"/>
                <w:szCs w:val="21"/>
                <w:highlight w:val="none"/>
                <w:lang w:eastAsia="zh-CN"/>
              </w:rPr>
              <w:t>调</w:t>
            </w:r>
            <w:r>
              <w:rPr>
                <w:rFonts w:hint="eastAsia" w:ascii="宋体" w:hAnsi="宋体" w:cs="宋体"/>
                <w:color w:val="auto"/>
                <w:w w:val="99"/>
                <w:sz w:val="21"/>
                <w:szCs w:val="21"/>
                <w:highlight w:val="none"/>
                <w:lang w:eastAsia="zh-CN"/>
              </w:rPr>
              <w:t>（热</w:t>
            </w:r>
            <w:r>
              <w:rPr>
                <w:rFonts w:hint="eastAsia" w:ascii="宋体" w:hAnsi="宋体" w:cs="宋体"/>
                <w:color w:val="auto"/>
                <w:spacing w:val="2"/>
                <w:w w:val="99"/>
                <w:sz w:val="21"/>
                <w:szCs w:val="21"/>
                <w:highlight w:val="none"/>
                <w:lang w:eastAsia="zh-CN"/>
              </w:rPr>
              <w:t>泵</w:t>
            </w:r>
            <w:r>
              <w:rPr>
                <w:rFonts w:hint="eastAsia" w:ascii="宋体" w:hAnsi="宋体" w:cs="宋体"/>
                <w:color w:val="auto"/>
                <w:spacing w:val="-29"/>
                <w:w w:val="99"/>
                <w:sz w:val="21"/>
                <w:szCs w:val="21"/>
                <w:highlight w:val="none"/>
                <w:lang w:eastAsia="zh-CN"/>
              </w:rPr>
              <w:t>）</w:t>
            </w:r>
            <w:r>
              <w:rPr>
                <w:rFonts w:hint="eastAsia" w:ascii="宋体" w:hAnsi="宋体" w:cs="宋体"/>
                <w:color w:val="auto"/>
                <w:w w:val="99"/>
                <w:sz w:val="21"/>
                <w:szCs w:val="21"/>
                <w:highlight w:val="none"/>
                <w:lang w:eastAsia="zh-CN"/>
              </w:rPr>
              <w:t>机</w:t>
            </w:r>
            <w:r>
              <w:rPr>
                <w:rFonts w:hint="eastAsia" w:ascii="宋体" w:hAnsi="宋体" w:cs="宋体"/>
                <w:color w:val="auto"/>
                <w:spacing w:val="2"/>
                <w:w w:val="99"/>
                <w:sz w:val="21"/>
                <w:szCs w:val="21"/>
                <w:highlight w:val="none"/>
                <w:lang w:eastAsia="zh-CN"/>
              </w:rPr>
              <w:t>组</w:t>
            </w:r>
            <w:r>
              <w:rPr>
                <w:rFonts w:hint="eastAsia" w:ascii="宋体" w:hAnsi="宋体" w:cs="宋体"/>
                <w:color w:val="auto"/>
                <w:w w:val="99"/>
                <w:sz w:val="21"/>
                <w:szCs w:val="21"/>
                <w:highlight w:val="none"/>
                <w:lang w:eastAsia="zh-CN"/>
              </w:rPr>
              <w:t>能效限定值及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源效</w:t>
            </w:r>
            <w:r>
              <w:rPr>
                <w:rFonts w:hint="eastAsia" w:ascii="宋体" w:hAnsi="宋体" w:cs="宋体"/>
                <w:color w:val="auto"/>
                <w:spacing w:val="2"/>
                <w:w w:val="99"/>
                <w:sz w:val="21"/>
                <w:szCs w:val="21"/>
                <w:highlight w:val="none"/>
                <w:lang w:eastAsia="zh-CN"/>
              </w:rPr>
              <w:t>率</w:t>
            </w:r>
            <w:r>
              <w:rPr>
                <w:rFonts w:hint="eastAsia" w:ascii="宋体" w:hAnsi="宋体" w:cs="宋体"/>
                <w:color w:val="auto"/>
                <w:w w:val="99"/>
                <w:sz w:val="21"/>
                <w:szCs w:val="21"/>
                <w:highlight w:val="none"/>
                <w:lang w:eastAsia="zh-CN"/>
              </w:rPr>
              <w:t>等级</w:t>
            </w:r>
            <w:r>
              <w:rPr>
                <w:rFonts w:hint="eastAsia" w:ascii="宋体" w:hAnsi="宋体" w:cs="宋体"/>
                <w:color w:val="auto"/>
                <w:spacing w:val="-106"/>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2145</w:t>
            </w:r>
            <w:r>
              <w:rPr>
                <w:rFonts w:hint="eastAsia" w:ascii="宋体" w:hAnsi="宋体" w:cs="宋体"/>
                <w:color w:val="auto"/>
                <w:w w:val="99"/>
                <w:sz w:val="21"/>
                <w:szCs w:val="21"/>
                <w:highlight w:val="none"/>
                <w:lang w:eastAsia="zh-CN"/>
              </w:rPr>
              <w:t>4</w:t>
            </w:r>
          </w:p>
        </w:tc>
      </w:tr>
      <w:tr w14:paraId="0F97C0F9">
        <w:tblPrEx>
          <w:tblCellMar>
            <w:top w:w="0" w:type="dxa"/>
            <w:left w:w="0" w:type="dxa"/>
            <w:bottom w:w="0" w:type="dxa"/>
            <w:right w:w="0" w:type="dxa"/>
          </w:tblCellMar>
        </w:tblPrEx>
        <w:trPr>
          <w:gridAfter w:val="1"/>
          <w:wAfter w:w="16" w:type="dxa"/>
          <w:trHeight w:val="1422"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E1D40">
            <w:pPr>
              <w:rPr>
                <w:rFonts w:ascii="Calibri" w:hAnsi="Calibri"/>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E3AFB4">
            <w:pPr>
              <w:rPr>
                <w:rFonts w:ascii="Calibri" w:hAnsi="Calibri"/>
                <w:color w:val="auto"/>
                <w:szCs w:val="21"/>
                <w:highlight w:val="none"/>
              </w:rPr>
            </w:pPr>
          </w:p>
        </w:tc>
        <w:tc>
          <w:tcPr>
            <w:tcW w:w="1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608E68D">
            <w:pPr>
              <w:rPr>
                <w:rFonts w:ascii="宋体" w:hAnsi="宋体" w:cs="宋体"/>
                <w:color w:val="auto"/>
                <w:szCs w:val="21"/>
                <w:highlight w:val="none"/>
              </w:rPr>
            </w:pPr>
          </w:p>
        </w:tc>
        <w:tc>
          <w:tcPr>
            <w:tcW w:w="2021" w:type="dxa"/>
            <w:tcBorders>
              <w:top w:val="single" w:color="000000" w:sz="4" w:space="0"/>
              <w:left w:val="single" w:color="000000" w:sz="4" w:space="0"/>
              <w:right w:val="single" w:color="000000" w:sz="4" w:space="0"/>
            </w:tcBorders>
            <w:noWrap w:val="0"/>
            <w:vAlign w:val="top"/>
          </w:tcPr>
          <w:p w14:paraId="72F79966">
            <w:pPr>
              <w:pStyle w:val="106"/>
              <w:spacing w:before="7"/>
              <w:rPr>
                <w:rFonts w:ascii="宋体" w:hAnsi="宋体" w:cs="宋体"/>
                <w:color w:val="auto"/>
                <w:sz w:val="21"/>
                <w:szCs w:val="21"/>
                <w:highlight w:val="none"/>
                <w:lang w:eastAsia="zh-CN"/>
              </w:rPr>
            </w:pPr>
          </w:p>
          <w:p w14:paraId="6F2D1CD1">
            <w:pPr>
              <w:pStyle w:val="106"/>
              <w:ind w:left="7"/>
              <w:rPr>
                <w:rFonts w:hint="eastAsia" w:ascii="宋体" w:hAnsi="宋体" w:cs="宋体"/>
                <w:color w:val="auto"/>
                <w:w w:val="99"/>
                <w:sz w:val="21"/>
                <w:szCs w:val="21"/>
                <w:highlight w:val="none"/>
                <w:lang w:eastAsia="zh-CN"/>
              </w:rPr>
            </w:pPr>
            <w:r>
              <w:rPr>
                <w:rFonts w:hint="eastAsia" w:ascii="宋体" w:hAnsi="宋体" w:cs="宋体"/>
                <w:color w:val="auto"/>
                <w:w w:val="99"/>
                <w:sz w:val="21"/>
                <w:szCs w:val="21"/>
                <w:highlight w:val="none"/>
                <w:lang w:eastAsia="zh-CN"/>
              </w:rPr>
              <w:t>单元式空气调节机</w:t>
            </w:r>
          </w:p>
          <w:p w14:paraId="011BBBF6">
            <w:pPr>
              <w:pStyle w:val="106"/>
              <w:spacing w:line="256" w:lineRule="exact"/>
              <w:ind w:left="7"/>
              <w:rPr>
                <w:rFonts w:ascii="宋体" w:hAnsi="宋体" w:cs="宋体"/>
                <w:color w:val="auto"/>
                <w:sz w:val="21"/>
                <w:szCs w:val="21"/>
                <w:highlight w:val="none"/>
                <w:lang w:eastAsia="zh-CN"/>
              </w:rPr>
            </w:pPr>
            <w:r>
              <w:rPr>
                <w:rFonts w:hint="eastAsia" w:ascii="宋体" w:hAnsi="宋体" w:cs="宋体"/>
                <w:color w:val="auto"/>
                <w:spacing w:val="1"/>
                <w:w w:val="99"/>
                <w:sz w:val="21"/>
                <w:szCs w:val="21"/>
                <w:highlight w:val="none"/>
                <w:lang w:eastAsia="zh-CN"/>
              </w:rPr>
              <w:t>(</w:t>
            </w:r>
            <w:r>
              <w:rPr>
                <w:rFonts w:hint="eastAsia" w:ascii="宋体" w:hAnsi="宋体" w:cs="宋体"/>
                <w:color w:val="auto"/>
                <w:w w:val="99"/>
                <w:sz w:val="21"/>
                <w:szCs w:val="21"/>
                <w:highlight w:val="none"/>
                <w:lang w:eastAsia="zh-CN"/>
              </w:rPr>
              <w:t>制冷量</w:t>
            </w:r>
            <w:r>
              <w:rPr>
                <w:rFonts w:hint="eastAsia" w:ascii="宋体" w:hAnsi="宋体" w:cs="宋体"/>
                <w:color w:val="auto"/>
                <w:spacing w:val="1"/>
                <w:w w:val="99"/>
                <w:sz w:val="21"/>
                <w:szCs w:val="21"/>
                <w:highlight w:val="none"/>
                <w:lang w:eastAsia="zh-CN"/>
              </w:rPr>
              <w:t>&gt;1400</w:t>
            </w:r>
            <w:r>
              <w:rPr>
                <w:rFonts w:hint="eastAsia" w:ascii="宋体" w:hAnsi="宋体" w:cs="宋体"/>
                <w:color w:val="auto"/>
                <w:w w:val="99"/>
                <w:sz w:val="21"/>
                <w:szCs w:val="21"/>
                <w:highlight w:val="none"/>
                <w:lang w:eastAsia="zh-CN"/>
              </w:rPr>
              <w:t>0W)</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33D11906">
            <w:pPr>
              <w:pStyle w:val="106"/>
              <w:spacing w:before="9"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《单元式空气调节机能</w:t>
            </w:r>
            <w:r>
              <w:rPr>
                <w:rFonts w:hint="eastAsia" w:ascii="宋体" w:hAnsi="宋体" w:cs="宋体"/>
                <w:color w:val="auto"/>
                <w:spacing w:val="9"/>
                <w:w w:val="99"/>
                <w:sz w:val="21"/>
                <w:szCs w:val="21"/>
                <w:highlight w:val="none"/>
                <w:lang w:eastAsia="zh-CN"/>
              </w:rPr>
              <w:t>效</w:t>
            </w:r>
            <w:r>
              <w:rPr>
                <w:rFonts w:hint="eastAsia" w:ascii="宋体" w:hAnsi="宋体" w:cs="宋体"/>
                <w:color w:val="auto"/>
                <w:spacing w:val="12"/>
                <w:w w:val="99"/>
                <w:sz w:val="21"/>
                <w:szCs w:val="21"/>
                <w:highlight w:val="none"/>
                <w:lang w:eastAsia="zh-CN"/>
              </w:rPr>
              <w:t>限定</w:t>
            </w:r>
            <w:r>
              <w:rPr>
                <w:rFonts w:hint="eastAsia" w:ascii="宋体" w:hAnsi="宋体" w:cs="宋体"/>
                <w:color w:val="auto"/>
                <w:w w:val="99"/>
                <w:sz w:val="21"/>
                <w:szCs w:val="21"/>
                <w:highlight w:val="none"/>
                <w:lang w:eastAsia="zh-CN"/>
              </w:rPr>
              <w:t>值及能效</w:t>
            </w:r>
            <w:r>
              <w:rPr>
                <w:rFonts w:hint="eastAsia" w:ascii="宋体" w:hAnsi="宋体" w:cs="宋体"/>
                <w:color w:val="auto"/>
                <w:spacing w:val="2"/>
                <w:w w:val="99"/>
                <w:sz w:val="21"/>
                <w:szCs w:val="21"/>
                <w:highlight w:val="none"/>
                <w:lang w:eastAsia="zh-CN"/>
              </w:rPr>
              <w:t>等</w:t>
            </w:r>
            <w:r>
              <w:rPr>
                <w:rFonts w:hint="eastAsia" w:ascii="宋体" w:hAnsi="宋体" w:cs="宋体"/>
                <w:color w:val="auto"/>
                <w:w w:val="99"/>
                <w:sz w:val="21"/>
                <w:szCs w:val="21"/>
                <w:highlight w:val="none"/>
                <w:lang w:eastAsia="zh-CN"/>
              </w:rPr>
              <w:t>级</w:t>
            </w:r>
            <w:r>
              <w:rPr>
                <w:rFonts w:hint="eastAsia" w:ascii="宋体" w:hAnsi="宋体" w:cs="宋体"/>
                <w:color w:val="auto"/>
                <w:spacing w:val="-3"/>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195</w:t>
            </w:r>
            <w:r>
              <w:rPr>
                <w:rFonts w:hint="eastAsia" w:ascii="宋体" w:hAnsi="宋体" w:cs="宋体"/>
                <w:color w:val="auto"/>
                <w:w w:val="99"/>
                <w:sz w:val="21"/>
                <w:szCs w:val="21"/>
                <w:highlight w:val="none"/>
                <w:lang w:eastAsia="zh-CN"/>
              </w:rPr>
              <w:t>7</w:t>
            </w:r>
            <w:r>
              <w:rPr>
                <w:rFonts w:hint="eastAsia" w:ascii="宋体" w:hAnsi="宋体" w:cs="宋体"/>
                <w:color w:val="auto"/>
                <w:spacing w:val="-1"/>
                <w:w w:val="99"/>
                <w:sz w:val="21"/>
                <w:szCs w:val="21"/>
                <w:highlight w:val="none"/>
                <w:lang w:eastAsia="zh-CN"/>
              </w:rPr>
              <w:t>6</w:t>
            </w:r>
            <w:r>
              <w:rPr>
                <w:rFonts w:hint="eastAsia" w:ascii="宋体" w:hAnsi="宋体" w:cs="宋体"/>
                <w:color w:val="auto"/>
                <w:spacing w:val="-5"/>
                <w:w w:val="99"/>
                <w:sz w:val="21"/>
                <w:szCs w:val="21"/>
                <w:highlight w:val="none"/>
                <w:lang w:eastAsia="zh-CN"/>
              </w:rPr>
              <w:t>）</w:t>
            </w:r>
            <w:r>
              <w:rPr>
                <w:rFonts w:hint="eastAsia" w:ascii="宋体" w:hAnsi="宋体" w:cs="宋体"/>
                <w:color w:val="auto"/>
                <w:w w:val="99"/>
                <w:sz w:val="21"/>
                <w:szCs w:val="21"/>
                <w:highlight w:val="none"/>
                <w:lang w:eastAsia="zh-CN"/>
              </w:rPr>
              <w:t>《风管</w:t>
            </w:r>
            <w:r>
              <w:rPr>
                <w:rFonts w:hint="eastAsia" w:ascii="宋体" w:hAnsi="宋体" w:cs="宋体"/>
                <w:color w:val="auto"/>
                <w:spacing w:val="12"/>
                <w:w w:val="99"/>
                <w:sz w:val="21"/>
                <w:szCs w:val="21"/>
                <w:highlight w:val="none"/>
                <w:lang w:eastAsia="zh-CN"/>
              </w:rPr>
              <w:t>送风式空调机组能效限</w:t>
            </w:r>
            <w:r>
              <w:rPr>
                <w:rFonts w:hint="eastAsia" w:ascii="宋体" w:hAnsi="宋体" w:cs="宋体"/>
                <w:color w:val="auto"/>
                <w:spacing w:val="9"/>
                <w:w w:val="99"/>
                <w:sz w:val="21"/>
                <w:szCs w:val="21"/>
                <w:highlight w:val="none"/>
                <w:lang w:eastAsia="zh-CN"/>
              </w:rPr>
              <w:t>定</w:t>
            </w:r>
            <w:r>
              <w:rPr>
                <w:rFonts w:hint="eastAsia" w:ascii="宋体" w:hAnsi="宋体" w:cs="宋体"/>
                <w:color w:val="auto"/>
                <w:spacing w:val="12"/>
                <w:w w:val="99"/>
                <w:sz w:val="21"/>
                <w:szCs w:val="21"/>
                <w:highlight w:val="none"/>
                <w:lang w:eastAsia="zh-CN"/>
              </w:rPr>
              <w:t>值及</w:t>
            </w:r>
            <w:r>
              <w:rPr>
                <w:rFonts w:hint="eastAsia" w:ascii="宋体" w:hAnsi="宋体" w:cs="宋体"/>
                <w:color w:val="auto"/>
                <w:w w:val="99"/>
                <w:sz w:val="21"/>
                <w:szCs w:val="21"/>
                <w:highlight w:val="none"/>
                <w:lang w:eastAsia="zh-CN"/>
              </w:rPr>
              <w:t>能效等级</w:t>
            </w:r>
            <w:r>
              <w:rPr>
                <w:rFonts w:hint="eastAsia" w:ascii="宋体" w:hAnsi="宋体" w:cs="宋体"/>
                <w:color w:val="auto"/>
                <w:spacing w:val="2"/>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37</w:t>
            </w:r>
            <w:r>
              <w:rPr>
                <w:rFonts w:hint="eastAsia" w:ascii="宋体" w:hAnsi="宋体" w:cs="宋体"/>
                <w:color w:val="auto"/>
                <w:w w:val="99"/>
                <w:sz w:val="21"/>
                <w:szCs w:val="21"/>
                <w:highlight w:val="none"/>
                <w:lang w:eastAsia="zh-CN"/>
              </w:rPr>
              <w:t>47</w:t>
            </w:r>
            <w:r>
              <w:rPr>
                <w:rFonts w:hint="eastAsia" w:ascii="宋体" w:hAnsi="宋体" w:cs="宋体"/>
                <w:color w:val="auto"/>
                <w:spacing w:val="1"/>
                <w:w w:val="99"/>
                <w:sz w:val="21"/>
                <w:szCs w:val="21"/>
                <w:highlight w:val="none"/>
                <w:lang w:eastAsia="zh-CN"/>
              </w:rPr>
              <w:t>9</w:t>
            </w:r>
            <w:r>
              <w:rPr>
                <w:rFonts w:hint="eastAsia" w:ascii="宋体" w:hAnsi="宋体" w:cs="宋体"/>
                <w:color w:val="auto"/>
                <w:w w:val="99"/>
                <w:sz w:val="21"/>
                <w:szCs w:val="21"/>
                <w:highlight w:val="none"/>
                <w:lang w:eastAsia="zh-CN"/>
              </w:rPr>
              <w:t>）</w:t>
            </w:r>
          </w:p>
        </w:tc>
      </w:tr>
      <w:tr w14:paraId="063E202C">
        <w:tblPrEx>
          <w:tblCellMar>
            <w:top w:w="0" w:type="dxa"/>
            <w:left w:w="0" w:type="dxa"/>
            <w:bottom w:w="0" w:type="dxa"/>
            <w:right w:w="0" w:type="dxa"/>
          </w:tblCellMar>
        </w:tblPrEx>
        <w:trPr>
          <w:gridAfter w:val="1"/>
          <w:wAfter w:w="16" w:type="dxa"/>
          <w:trHeight w:val="1032"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FE695">
            <w:pPr>
              <w:rPr>
                <w:rFonts w:ascii="Calibri" w:hAnsi="Calibri"/>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BE03C2">
            <w:pPr>
              <w:rPr>
                <w:rFonts w:ascii="Calibri" w:hAnsi="Calibri"/>
                <w:color w:val="auto"/>
                <w:szCs w:val="21"/>
                <w:highlight w:val="none"/>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54232A06">
            <w:pPr>
              <w:pStyle w:val="106"/>
              <w:spacing w:before="83"/>
              <w:ind w:left="7"/>
              <w:rPr>
                <w:rFonts w:hint="eastAsia" w:ascii="宋体" w:hAnsi="宋体" w:cs="宋体"/>
                <w:color w:val="auto"/>
                <w:w w:val="99"/>
                <w:sz w:val="21"/>
                <w:szCs w:val="21"/>
                <w:highlight w:val="none"/>
                <w:lang w:eastAsia="zh-CN"/>
              </w:rPr>
            </w:pP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A020</w:t>
            </w:r>
            <w:r>
              <w:rPr>
                <w:rFonts w:hint="eastAsia" w:ascii="宋体" w:hAnsi="宋体" w:cs="宋体"/>
                <w:color w:val="auto"/>
                <w:w w:val="99"/>
                <w:sz w:val="21"/>
                <w:szCs w:val="21"/>
                <w:highlight w:val="none"/>
                <w:lang w:eastAsia="zh-CN"/>
              </w:rPr>
              <w:t>52</w:t>
            </w:r>
            <w:r>
              <w:rPr>
                <w:rFonts w:hint="eastAsia" w:ascii="宋体" w:hAnsi="宋体" w:cs="宋体"/>
                <w:color w:val="auto"/>
                <w:spacing w:val="1"/>
                <w:w w:val="99"/>
                <w:sz w:val="21"/>
                <w:szCs w:val="21"/>
                <w:highlight w:val="none"/>
                <w:lang w:eastAsia="zh-CN"/>
              </w:rPr>
              <w:t>3</w:t>
            </w:r>
            <w:r>
              <w:rPr>
                <w:rFonts w:hint="eastAsia" w:ascii="宋体" w:hAnsi="宋体" w:cs="宋体"/>
                <w:color w:val="auto"/>
                <w:w w:val="99"/>
                <w:sz w:val="21"/>
                <w:szCs w:val="21"/>
                <w:highlight w:val="none"/>
                <w:lang w:eastAsia="zh-CN"/>
              </w:rPr>
              <w:t>09专用制</w:t>
            </w:r>
          </w:p>
          <w:p w14:paraId="420B807B">
            <w:pPr>
              <w:pStyle w:val="106"/>
              <w:spacing w:line="254" w:lineRule="exact"/>
              <w:ind w:lef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冷、空</w:t>
            </w:r>
            <w:r>
              <w:rPr>
                <w:rFonts w:hint="eastAsia" w:ascii="宋体" w:hAnsi="宋体" w:cs="宋体"/>
                <w:color w:val="auto"/>
                <w:spacing w:val="2"/>
                <w:w w:val="99"/>
                <w:sz w:val="21"/>
                <w:szCs w:val="21"/>
                <w:highlight w:val="none"/>
                <w:lang w:eastAsia="zh-CN"/>
              </w:rPr>
              <w:t>调</w:t>
            </w:r>
            <w:r>
              <w:rPr>
                <w:rFonts w:hint="eastAsia" w:ascii="宋体" w:hAnsi="宋体" w:cs="宋体"/>
                <w:color w:val="auto"/>
                <w:w w:val="99"/>
                <w:sz w:val="21"/>
                <w:szCs w:val="21"/>
                <w:highlight w:val="none"/>
                <w:lang w:eastAsia="zh-CN"/>
              </w:rPr>
              <w:t>设备</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5E66DCDE">
            <w:pPr>
              <w:pStyle w:val="106"/>
              <w:spacing w:before="1"/>
              <w:rPr>
                <w:rFonts w:ascii="宋体" w:hAnsi="宋体" w:cs="宋体"/>
                <w:color w:val="auto"/>
                <w:sz w:val="21"/>
                <w:szCs w:val="21"/>
                <w:highlight w:val="none"/>
                <w:lang w:eastAsia="zh-CN"/>
              </w:rPr>
            </w:pPr>
          </w:p>
          <w:p w14:paraId="33A2238E">
            <w:pPr>
              <w:pStyle w:val="106"/>
              <w:ind w:left="7"/>
              <w:rPr>
                <w:rFonts w:ascii="宋体" w:hAnsi="宋体" w:cs="宋体"/>
                <w:color w:val="auto"/>
                <w:sz w:val="21"/>
                <w:szCs w:val="21"/>
                <w:highlight w:val="none"/>
              </w:rPr>
            </w:pPr>
            <w:r>
              <w:rPr>
                <w:rFonts w:hint="eastAsia" w:ascii="宋体" w:hAnsi="宋体" w:cs="宋体"/>
                <w:color w:val="auto"/>
                <w:w w:val="99"/>
                <w:sz w:val="21"/>
                <w:szCs w:val="21"/>
                <w:highlight w:val="none"/>
              </w:rPr>
              <w:t>机房空调</w:t>
            </w:r>
          </w:p>
        </w:tc>
        <w:tc>
          <w:tcPr>
            <w:tcW w:w="3631" w:type="dxa"/>
            <w:tcBorders>
              <w:top w:val="single" w:color="000000" w:sz="4" w:space="0"/>
              <w:left w:val="single" w:color="000000" w:sz="4" w:space="0"/>
              <w:right w:val="single" w:color="000000" w:sz="4" w:space="0"/>
            </w:tcBorders>
            <w:noWrap w:val="0"/>
            <w:vAlign w:val="top"/>
          </w:tcPr>
          <w:p w14:paraId="3DEE6A7C">
            <w:pPr>
              <w:pStyle w:val="106"/>
              <w:spacing w:before="83"/>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《单元式空气调节机能</w:t>
            </w:r>
            <w:r>
              <w:rPr>
                <w:rFonts w:hint="eastAsia" w:ascii="宋体" w:hAnsi="宋体" w:cs="宋体"/>
                <w:color w:val="auto"/>
                <w:spacing w:val="9"/>
                <w:w w:val="99"/>
                <w:sz w:val="21"/>
                <w:szCs w:val="21"/>
                <w:highlight w:val="none"/>
                <w:lang w:eastAsia="zh-CN"/>
              </w:rPr>
              <w:t>效</w:t>
            </w:r>
            <w:r>
              <w:rPr>
                <w:rFonts w:hint="eastAsia" w:ascii="宋体" w:hAnsi="宋体" w:cs="宋体"/>
                <w:color w:val="auto"/>
                <w:spacing w:val="12"/>
                <w:w w:val="99"/>
                <w:sz w:val="21"/>
                <w:szCs w:val="21"/>
                <w:highlight w:val="none"/>
                <w:lang w:eastAsia="zh-CN"/>
              </w:rPr>
              <w:t>限定</w:t>
            </w:r>
            <w:r>
              <w:rPr>
                <w:rFonts w:hint="eastAsia" w:ascii="宋体" w:hAnsi="宋体" w:cs="宋体"/>
                <w:color w:val="auto"/>
                <w:w w:val="99"/>
                <w:sz w:val="21"/>
                <w:szCs w:val="21"/>
                <w:highlight w:val="none"/>
                <w:lang w:eastAsia="zh-CN"/>
              </w:rPr>
              <w:t>值及能效</w:t>
            </w:r>
            <w:r>
              <w:rPr>
                <w:rFonts w:hint="eastAsia" w:ascii="宋体" w:hAnsi="宋体" w:cs="宋体"/>
                <w:color w:val="auto"/>
                <w:spacing w:val="2"/>
                <w:w w:val="99"/>
                <w:sz w:val="21"/>
                <w:szCs w:val="21"/>
                <w:highlight w:val="none"/>
                <w:lang w:eastAsia="zh-CN"/>
              </w:rPr>
              <w:t>等</w:t>
            </w:r>
            <w:r>
              <w:rPr>
                <w:rFonts w:hint="eastAsia" w:ascii="宋体" w:hAnsi="宋体" w:cs="宋体"/>
                <w:color w:val="auto"/>
                <w:w w:val="99"/>
                <w:sz w:val="21"/>
                <w:szCs w:val="21"/>
                <w:highlight w:val="none"/>
                <w:lang w:eastAsia="zh-CN"/>
              </w:rPr>
              <w:t>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19576</w:t>
            </w:r>
            <w:r>
              <w:rPr>
                <w:rFonts w:hint="eastAsia" w:ascii="宋体" w:hAnsi="宋体" w:cs="宋体"/>
                <w:color w:val="auto"/>
                <w:w w:val="99"/>
                <w:sz w:val="21"/>
                <w:szCs w:val="21"/>
                <w:highlight w:val="none"/>
                <w:lang w:eastAsia="zh-CN"/>
              </w:rPr>
              <w:t>）</w:t>
            </w:r>
          </w:p>
        </w:tc>
      </w:tr>
      <w:tr w14:paraId="5EA961E2">
        <w:tblPrEx>
          <w:tblCellMar>
            <w:top w:w="0" w:type="dxa"/>
            <w:left w:w="0" w:type="dxa"/>
            <w:bottom w:w="0" w:type="dxa"/>
            <w:right w:w="0" w:type="dxa"/>
          </w:tblCellMar>
        </w:tblPrEx>
        <w:trPr>
          <w:gridAfter w:val="1"/>
          <w:wAfter w:w="16" w:type="dxa"/>
          <w:trHeight w:val="1436"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AF6CA">
            <w:pPr>
              <w:rPr>
                <w:rFonts w:ascii="Calibri" w:hAnsi="Calibri"/>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324E77">
            <w:pPr>
              <w:rPr>
                <w:rFonts w:ascii="Calibri" w:hAnsi="Calibri"/>
                <w:color w:val="auto"/>
                <w:szCs w:val="21"/>
                <w:highlight w:val="none"/>
              </w:rPr>
            </w:pPr>
          </w:p>
        </w:tc>
        <w:tc>
          <w:tcPr>
            <w:tcW w:w="1931" w:type="dxa"/>
            <w:gridSpan w:val="2"/>
            <w:tcBorders>
              <w:top w:val="single" w:color="000000" w:sz="4" w:space="0"/>
              <w:left w:val="single" w:color="000000" w:sz="4" w:space="0"/>
              <w:right w:val="single" w:color="000000" w:sz="4" w:space="0"/>
            </w:tcBorders>
            <w:noWrap w:val="0"/>
            <w:vAlign w:val="top"/>
          </w:tcPr>
          <w:p w14:paraId="39CED947">
            <w:pPr>
              <w:pStyle w:val="106"/>
              <w:rPr>
                <w:rFonts w:ascii="宋体" w:hAnsi="宋体" w:cs="宋体"/>
                <w:color w:val="auto"/>
                <w:sz w:val="21"/>
                <w:szCs w:val="21"/>
                <w:highlight w:val="none"/>
                <w:lang w:eastAsia="zh-CN"/>
              </w:rPr>
            </w:pPr>
          </w:p>
          <w:p w14:paraId="57B48E7B">
            <w:pPr>
              <w:pStyle w:val="106"/>
              <w:spacing w:before="9"/>
              <w:rPr>
                <w:rFonts w:hint="eastAsia" w:ascii="宋体" w:hAnsi="宋体" w:cs="宋体"/>
                <w:color w:val="auto"/>
                <w:sz w:val="21"/>
                <w:szCs w:val="21"/>
                <w:highlight w:val="none"/>
                <w:lang w:eastAsia="zh-CN"/>
              </w:rPr>
            </w:pPr>
          </w:p>
          <w:p w14:paraId="428176B7">
            <w:pPr>
              <w:pStyle w:val="106"/>
              <w:ind w:left="7"/>
              <w:rPr>
                <w:rFonts w:hint="eastAsia" w:ascii="宋体" w:hAnsi="宋体" w:cs="宋体"/>
                <w:color w:val="auto"/>
                <w:spacing w:val="1"/>
                <w:w w:val="99"/>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05</w:t>
            </w:r>
            <w:r>
              <w:rPr>
                <w:rFonts w:hint="eastAsia" w:ascii="宋体" w:hAnsi="宋体" w:cs="宋体"/>
                <w:color w:val="auto"/>
                <w:spacing w:val="1"/>
                <w:w w:val="99"/>
                <w:sz w:val="21"/>
                <w:szCs w:val="21"/>
                <w:highlight w:val="none"/>
              </w:rPr>
              <w:t>2</w:t>
            </w:r>
            <w:r>
              <w:rPr>
                <w:rFonts w:hint="eastAsia" w:ascii="宋体" w:hAnsi="宋体" w:cs="宋体"/>
                <w:color w:val="auto"/>
                <w:w w:val="99"/>
                <w:sz w:val="21"/>
                <w:szCs w:val="21"/>
                <w:highlight w:val="none"/>
              </w:rPr>
              <w:t>399其他制冷</w:t>
            </w:r>
          </w:p>
          <w:p w14:paraId="0CA2341B">
            <w:pPr>
              <w:pStyle w:val="106"/>
              <w:spacing w:line="256" w:lineRule="exact"/>
              <w:ind w:left="7"/>
              <w:rPr>
                <w:rFonts w:ascii="宋体" w:hAnsi="宋体" w:cs="宋体"/>
                <w:color w:val="auto"/>
                <w:sz w:val="21"/>
                <w:szCs w:val="21"/>
                <w:highlight w:val="none"/>
              </w:rPr>
            </w:pPr>
            <w:r>
              <w:rPr>
                <w:rFonts w:hint="eastAsia" w:ascii="宋体" w:hAnsi="宋体" w:cs="宋体"/>
                <w:color w:val="auto"/>
                <w:w w:val="99"/>
                <w:sz w:val="21"/>
                <w:szCs w:val="21"/>
                <w:highlight w:val="none"/>
              </w:rPr>
              <w:t>空调设备</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4157F980">
            <w:pPr>
              <w:pStyle w:val="106"/>
              <w:rPr>
                <w:rFonts w:ascii="宋体" w:hAnsi="宋体" w:cs="宋体"/>
                <w:color w:val="auto"/>
                <w:sz w:val="21"/>
                <w:szCs w:val="21"/>
                <w:highlight w:val="none"/>
              </w:rPr>
            </w:pPr>
          </w:p>
          <w:p w14:paraId="65E35AAB">
            <w:pPr>
              <w:pStyle w:val="106"/>
              <w:rPr>
                <w:rFonts w:hint="eastAsia" w:ascii="宋体" w:hAnsi="宋体" w:cs="宋体"/>
                <w:color w:val="auto"/>
                <w:sz w:val="21"/>
                <w:szCs w:val="21"/>
                <w:highlight w:val="none"/>
              </w:rPr>
            </w:pPr>
          </w:p>
          <w:p w14:paraId="31C56D86">
            <w:pPr>
              <w:pStyle w:val="106"/>
              <w:spacing w:before="164"/>
              <w:ind w:left="7"/>
              <w:rPr>
                <w:rFonts w:ascii="宋体" w:hAnsi="宋体" w:cs="宋体"/>
                <w:color w:val="auto"/>
                <w:sz w:val="21"/>
                <w:szCs w:val="21"/>
                <w:highlight w:val="none"/>
              </w:rPr>
            </w:pPr>
            <w:r>
              <w:rPr>
                <w:rFonts w:hint="eastAsia" w:ascii="宋体" w:hAnsi="宋体" w:cs="宋体"/>
                <w:color w:val="auto"/>
                <w:w w:val="99"/>
                <w:sz w:val="21"/>
                <w:szCs w:val="21"/>
                <w:highlight w:val="none"/>
              </w:rPr>
              <w:t>冷却塔</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6B3DD012">
            <w:pPr>
              <w:pStyle w:val="106"/>
              <w:spacing w:before="11"/>
              <w:rPr>
                <w:rFonts w:ascii="宋体" w:hAnsi="宋体" w:cs="宋体"/>
                <w:color w:val="auto"/>
                <w:sz w:val="21"/>
                <w:szCs w:val="21"/>
                <w:highlight w:val="none"/>
                <w:lang w:eastAsia="zh-CN"/>
              </w:rPr>
            </w:pPr>
          </w:p>
          <w:p w14:paraId="2E89DEFB">
            <w:pPr>
              <w:pStyle w:val="106"/>
              <w:ind w:left="7"/>
              <w:rPr>
                <w:rFonts w:hint="eastAsia" w:ascii="宋体" w:hAnsi="宋体" w:cs="宋体"/>
                <w:color w:val="auto"/>
                <w:w w:val="99"/>
                <w:sz w:val="21"/>
                <w:szCs w:val="21"/>
                <w:highlight w:val="none"/>
                <w:lang w:eastAsia="zh-CN"/>
              </w:rPr>
            </w:pPr>
            <w:r>
              <w:rPr>
                <w:rFonts w:hint="eastAsia" w:ascii="宋体" w:hAnsi="宋体" w:cs="宋体"/>
                <w:color w:val="auto"/>
                <w:w w:val="99"/>
                <w:sz w:val="21"/>
                <w:szCs w:val="21"/>
                <w:highlight w:val="none"/>
                <w:lang w:eastAsia="zh-CN"/>
              </w:rPr>
              <w:t>《机械</w:t>
            </w:r>
            <w:r>
              <w:rPr>
                <w:rFonts w:hint="eastAsia" w:ascii="宋体" w:hAnsi="宋体" w:cs="宋体"/>
                <w:color w:val="auto"/>
                <w:spacing w:val="2"/>
                <w:w w:val="99"/>
                <w:sz w:val="21"/>
                <w:szCs w:val="21"/>
                <w:highlight w:val="none"/>
                <w:lang w:eastAsia="zh-CN"/>
              </w:rPr>
              <w:t>通</w:t>
            </w:r>
            <w:r>
              <w:rPr>
                <w:rFonts w:hint="eastAsia" w:ascii="宋体" w:hAnsi="宋体" w:cs="宋体"/>
                <w:color w:val="auto"/>
                <w:w w:val="99"/>
                <w:sz w:val="21"/>
                <w:szCs w:val="21"/>
                <w:highlight w:val="none"/>
                <w:lang w:eastAsia="zh-CN"/>
              </w:rPr>
              <w:t>风冷</w:t>
            </w:r>
            <w:r>
              <w:rPr>
                <w:rFonts w:hint="eastAsia" w:ascii="宋体" w:hAnsi="宋体" w:cs="宋体"/>
                <w:color w:val="auto"/>
                <w:spacing w:val="2"/>
                <w:w w:val="99"/>
                <w:sz w:val="21"/>
                <w:szCs w:val="21"/>
                <w:highlight w:val="none"/>
                <w:lang w:eastAsia="zh-CN"/>
              </w:rPr>
              <w:t>却</w:t>
            </w:r>
            <w:r>
              <w:rPr>
                <w:rFonts w:hint="eastAsia" w:ascii="宋体" w:hAnsi="宋体" w:cs="宋体"/>
                <w:color w:val="auto"/>
                <w:w w:val="99"/>
                <w:sz w:val="21"/>
                <w:szCs w:val="21"/>
                <w:highlight w:val="none"/>
                <w:lang w:eastAsia="zh-CN"/>
              </w:rPr>
              <w:t>塔第1部分：中</w:t>
            </w:r>
          </w:p>
          <w:p w14:paraId="1C612BBD">
            <w:pPr>
              <w:pStyle w:val="106"/>
              <w:spacing w:line="256" w:lineRule="exact"/>
              <w:ind w:lef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小型开</w:t>
            </w:r>
            <w:r>
              <w:rPr>
                <w:rFonts w:hint="eastAsia" w:ascii="宋体" w:hAnsi="宋体" w:cs="宋体"/>
                <w:color w:val="auto"/>
                <w:spacing w:val="2"/>
                <w:w w:val="99"/>
                <w:sz w:val="21"/>
                <w:szCs w:val="21"/>
                <w:highlight w:val="none"/>
                <w:lang w:eastAsia="zh-CN"/>
              </w:rPr>
              <w:t>式</w:t>
            </w:r>
            <w:r>
              <w:rPr>
                <w:rFonts w:hint="eastAsia" w:ascii="宋体" w:hAnsi="宋体" w:cs="宋体"/>
                <w:color w:val="auto"/>
                <w:w w:val="99"/>
                <w:sz w:val="21"/>
                <w:szCs w:val="21"/>
                <w:highlight w:val="none"/>
                <w:lang w:eastAsia="zh-CN"/>
              </w:rPr>
              <w:t>冷却</w:t>
            </w:r>
            <w:r>
              <w:rPr>
                <w:rFonts w:hint="eastAsia" w:ascii="宋体" w:hAnsi="宋体" w:cs="宋体"/>
                <w:color w:val="auto"/>
                <w:spacing w:val="2"/>
                <w:w w:val="99"/>
                <w:sz w:val="21"/>
                <w:szCs w:val="21"/>
                <w:highlight w:val="none"/>
                <w:lang w:eastAsia="zh-CN"/>
              </w:rPr>
              <w:t>塔</w:t>
            </w:r>
            <w:r>
              <w:rPr>
                <w:rFonts w:hint="eastAsia" w:ascii="宋体" w:hAnsi="宋体" w:cs="宋体"/>
                <w:color w:val="auto"/>
                <w:spacing w:val="-171"/>
                <w:w w:val="99"/>
                <w:sz w:val="21"/>
                <w:szCs w:val="21"/>
                <w:highlight w:val="none"/>
                <w:lang w:eastAsia="zh-CN"/>
              </w:rPr>
              <w:t>》</w:t>
            </w:r>
            <w:r>
              <w:rPr>
                <w:rFonts w:hint="eastAsia" w:ascii="宋体" w:hAnsi="宋体" w:cs="宋体"/>
                <w:color w:val="auto"/>
                <w:spacing w:val="-1"/>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w:t>
            </w:r>
            <w:r>
              <w:rPr>
                <w:rFonts w:hint="eastAsia" w:ascii="宋体" w:hAnsi="宋体" w:cs="宋体"/>
                <w:color w:val="auto"/>
                <w:w w:val="99"/>
                <w:sz w:val="21"/>
                <w:szCs w:val="21"/>
                <w:highlight w:val="none"/>
                <w:lang w:eastAsia="zh-CN"/>
              </w:rPr>
              <w:t>T7190</w:t>
            </w:r>
            <w:r>
              <w:rPr>
                <w:rFonts w:hint="eastAsia" w:ascii="宋体" w:hAnsi="宋体" w:cs="宋体"/>
                <w:color w:val="auto"/>
                <w:spacing w:val="1"/>
                <w:w w:val="99"/>
                <w:sz w:val="21"/>
                <w:szCs w:val="21"/>
                <w:highlight w:val="none"/>
                <w:lang w:eastAsia="zh-CN"/>
              </w:rPr>
              <w:t>.1</w:t>
            </w:r>
            <w:r>
              <w:rPr>
                <w:rFonts w:hint="eastAsia" w:ascii="宋体" w:hAnsi="宋体" w:cs="宋体"/>
                <w:color w:val="auto"/>
                <w:spacing w:val="-87"/>
                <w:w w:val="99"/>
                <w:sz w:val="21"/>
                <w:szCs w:val="21"/>
                <w:highlight w:val="none"/>
                <w:lang w:eastAsia="zh-CN"/>
              </w:rPr>
              <w:t>）</w:t>
            </w:r>
          </w:p>
          <w:p w14:paraId="1A8ACB3C">
            <w:pPr>
              <w:pStyle w:val="106"/>
              <w:spacing w:line="256" w:lineRule="exact"/>
              <w:ind w:lef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《机械</w:t>
            </w:r>
            <w:r>
              <w:rPr>
                <w:rFonts w:hint="eastAsia" w:ascii="宋体" w:hAnsi="宋体" w:cs="宋体"/>
                <w:color w:val="auto"/>
                <w:spacing w:val="2"/>
                <w:w w:val="99"/>
                <w:sz w:val="21"/>
                <w:szCs w:val="21"/>
                <w:highlight w:val="none"/>
                <w:lang w:eastAsia="zh-CN"/>
              </w:rPr>
              <w:t>通</w:t>
            </w:r>
            <w:r>
              <w:rPr>
                <w:rFonts w:hint="eastAsia" w:ascii="宋体" w:hAnsi="宋体" w:cs="宋体"/>
                <w:color w:val="auto"/>
                <w:w w:val="99"/>
                <w:sz w:val="21"/>
                <w:szCs w:val="21"/>
                <w:highlight w:val="none"/>
                <w:lang w:eastAsia="zh-CN"/>
              </w:rPr>
              <w:t>风冷</w:t>
            </w:r>
            <w:r>
              <w:rPr>
                <w:rFonts w:hint="eastAsia" w:ascii="宋体" w:hAnsi="宋体" w:cs="宋体"/>
                <w:color w:val="auto"/>
                <w:spacing w:val="2"/>
                <w:w w:val="99"/>
                <w:sz w:val="21"/>
                <w:szCs w:val="21"/>
                <w:highlight w:val="none"/>
                <w:lang w:eastAsia="zh-CN"/>
              </w:rPr>
              <w:t>却</w:t>
            </w:r>
            <w:r>
              <w:rPr>
                <w:rFonts w:hint="eastAsia" w:ascii="宋体" w:hAnsi="宋体" w:cs="宋体"/>
                <w:color w:val="auto"/>
                <w:w w:val="99"/>
                <w:sz w:val="21"/>
                <w:szCs w:val="21"/>
                <w:highlight w:val="none"/>
                <w:lang w:eastAsia="zh-CN"/>
              </w:rPr>
              <w:t>塔第2部分：大</w:t>
            </w:r>
          </w:p>
          <w:p w14:paraId="0A2C533D">
            <w:pPr>
              <w:pStyle w:val="106"/>
              <w:spacing w:line="256" w:lineRule="exact"/>
              <w:ind w:lef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型开式</w:t>
            </w:r>
            <w:r>
              <w:rPr>
                <w:rFonts w:hint="eastAsia" w:ascii="宋体" w:hAnsi="宋体" w:cs="宋体"/>
                <w:color w:val="auto"/>
                <w:spacing w:val="2"/>
                <w:w w:val="99"/>
                <w:sz w:val="21"/>
                <w:szCs w:val="21"/>
                <w:highlight w:val="none"/>
                <w:lang w:eastAsia="zh-CN"/>
              </w:rPr>
              <w:t>冷</w:t>
            </w:r>
            <w:r>
              <w:rPr>
                <w:rFonts w:hint="eastAsia" w:ascii="宋体" w:hAnsi="宋体" w:cs="宋体"/>
                <w:color w:val="auto"/>
                <w:w w:val="99"/>
                <w:sz w:val="21"/>
                <w:szCs w:val="21"/>
                <w:highlight w:val="none"/>
                <w:lang w:eastAsia="zh-CN"/>
              </w:rPr>
              <w:t>却塔</w:t>
            </w:r>
            <w:r>
              <w:rPr>
                <w:rFonts w:hint="eastAsia" w:ascii="宋体" w:hAnsi="宋体" w:cs="宋体"/>
                <w:color w:val="auto"/>
                <w:spacing w:val="2"/>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w:t>
            </w:r>
            <w:r>
              <w:rPr>
                <w:rFonts w:hint="eastAsia" w:ascii="宋体" w:hAnsi="宋体" w:cs="宋体"/>
                <w:color w:val="auto"/>
                <w:w w:val="99"/>
                <w:sz w:val="21"/>
                <w:szCs w:val="21"/>
                <w:highlight w:val="none"/>
                <w:lang w:eastAsia="zh-CN"/>
              </w:rPr>
              <w:t>T719</w:t>
            </w:r>
            <w:r>
              <w:rPr>
                <w:rFonts w:hint="eastAsia" w:ascii="宋体" w:hAnsi="宋体" w:cs="宋体"/>
                <w:color w:val="auto"/>
                <w:spacing w:val="1"/>
                <w:w w:val="99"/>
                <w:sz w:val="21"/>
                <w:szCs w:val="21"/>
                <w:highlight w:val="none"/>
                <w:lang w:eastAsia="zh-CN"/>
              </w:rPr>
              <w:t>0.</w:t>
            </w:r>
            <w:r>
              <w:rPr>
                <w:rFonts w:hint="eastAsia" w:ascii="宋体" w:hAnsi="宋体" w:cs="宋体"/>
                <w:color w:val="auto"/>
                <w:w w:val="99"/>
                <w:sz w:val="21"/>
                <w:szCs w:val="21"/>
                <w:highlight w:val="none"/>
                <w:lang w:eastAsia="zh-CN"/>
              </w:rPr>
              <w:t>2）</w:t>
            </w:r>
          </w:p>
        </w:tc>
      </w:tr>
      <w:tr w14:paraId="38D64362">
        <w:tblPrEx>
          <w:tblCellMar>
            <w:top w:w="0" w:type="dxa"/>
            <w:left w:w="0" w:type="dxa"/>
            <w:bottom w:w="0" w:type="dxa"/>
            <w:right w:w="0" w:type="dxa"/>
          </w:tblCellMar>
        </w:tblPrEx>
        <w:trPr>
          <w:gridAfter w:val="1"/>
          <w:wAfter w:w="16" w:type="dxa"/>
          <w:trHeight w:val="1049" w:hRule="exact"/>
          <w:jc w:val="center"/>
        </w:trPr>
        <w:tc>
          <w:tcPr>
            <w:tcW w:w="605" w:type="dxa"/>
            <w:tcBorders>
              <w:top w:val="single" w:color="000000" w:sz="4" w:space="0"/>
              <w:left w:val="single" w:color="000000" w:sz="4" w:space="0"/>
              <w:bottom w:val="single" w:color="000000" w:sz="4" w:space="0"/>
              <w:right w:val="single" w:color="000000" w:sz="4" w:space="0"/>
            </w:tcBorders>
            <w:noWrap w:val="0"/>
            <w:vAlign w:val="top"/>
          </w:tcPr>
          <w:p w14:paraId="7F72B679">
            <w:pPr>
              <w:pStyle w:val="106"/>
              <w:spacing w:before="12"/>
              <w:rPr>
                <w:rFonts w:ascii="宋体" w:hAnsi="宋体" w:cs="宋体"/>
                <w:color w:val="auto"/>
                <w:sz w:val="21"/>
                <w:szCs w:val="21"/>
                <w:highlight w:val="none"/>
                <w:lang w:eastAsia="zh-CN"/>
              </w:rPr>
            </w:pPr>
          </w:p>
          <w:p w14:paraId="643C0C99">
            <w:pPr>
              <w:pStyle w:val="106"/>
              <w:ind w:right="1"/>
              <w:jc w:val="center"/>
              <w:rPr>
                <w:rFonts w:ascii="宋体" w:hAnsi="宋体" w:cs="宋体"/>
                <w:color w:val="auto"/>
                <w:sz w:val="21"/>
                <w:szCs w:val="21"/>
                <w:highlight w:val="none"/>
              </w:rPr>
            </w:pPr>
            <w:r>
              <w:rPr>
                <w:rFonts w:hint="eastAsia" w:ascii="宋体"/>
                <w:color w:val="auto"/>
                <w:w w:val="99"/>
                <w:sz w:val="21"/>
                <w:szCs w:val="21"/>
                <w:highlight w:val="none"/>
              </w:rPr>
              <w:t>7</w:t>
            </w:r>
          </w:p>
        </w:tc>
        <w:tc>
          <w:tcPr>
            <w:tcW w:w="1195" w:type="dxa"/>
            <w:gridSpan w:val="2"/>
            <w:tcBorders>
              <w:top w:val="single" w:color="000000" w:sz="4" w:space="0"/>
              <w:left w:val="single" w:color="000000" w:sz="4" w:space="0"/>
              <w:bottom w:val="single" w:color="000000" w:sz="4" w:space="0"/>
              <w:right w:val="single" w:color="000000" w:sz="4" w:space="0"/>
            </w:tcBorders>
            <w:noWrap w:val="0"/>
            <w:vAlign w:val="top"/>
          </w:tcPr>
          <w:p w14:paraId="355DCB4B">
            <w:pPr>
              <w:pStyle w:val="106"/>
              <w:spacing w:before="12"/>
              <w:rPr>
                <w:rFonts w:ascii="宋体" w:hAnsi="宋体" w:cs="宋体"/>
                <w:color w:val="auto"/>
                <w:sz w:val="21"/>
                <w:szCs w:val="21"/>
                <w:highlight w:val="none"/>
              </w:rPr>
            </w:pPr>
          </w:p>
          <w:p w14:paraId="70FC0C8D">
            <w:pPr>
              <w:pStyle w:val="10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06</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1电机</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18AC3297">
            <w:pPr>
              <w:rPr>
                <w:rFonts w:ascii="Calibri" w:hAnsi="Calibri"/>
                <w:color w:val="auto"/>
                <w:szCs w:val="21"/>
                <w:highlight w:val="none"/>
                <w:lang w:eastAsia="en-US"/>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0CF8682F">
            <w:pPr>
              <w:rPr>
                <w:rFonts w:ascii="Calibri" w:hAnsi="Calibri"/>
                <w:color w:val="auto"/>
                <w:szCs w:val="21"/>
                <w:highlight w:val="none"/>
                <w:lang w:eastAsia="en-US"/>
              </w:rPr>
            </w:pP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327AA50E">
            <w:pPr>
              <w:pStyle w:val="106"/>
              <w:spacing w:before="52"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《中小型三相异步电动</w:t>
            </w:r>
            <w:r>
              <w:rPr>
                <w:rFonts w:hint="eastAsia" w:ascii="宋体" w:hAnsi="宋体" w:cs="宋体"/>
                <w:color w:val="auto"/>
                <w:spacing w:val="9"/>
                <w:w w:val="99"/>
                <w:sz w:val="21"/>
                <w:szCs w:val="21"/>
                <w:highlight w:val="none"/>
                <w:lang w:eastAsia="zh-CN"/>
              </w:rPr>
              <w:t>机</w:t>
            </w:r>
            <w:r>
              <w:rPr>
                <w:rFonts w:hint="eastAsia" w:ascii="宋体" w:hAnsi="宋体" w:cs="宋体"/>
                <w:color w:val="auto"/>
                <w:spacing w:val="12"/>
                <w:w w:val="99"/>
                <w:sz w:val="21"/>
                <w:szCs w:val="21"/>
                <w:highlight w:val="none"/>
                <w:lang w:eastAsia="zh-CN"/>
              </w:rPr>
              <w:t>能效</w:t>
            </w:r>
            <w:r>
              <w:rPr>
                <w:rFonts w:hint="eastAsia" w:ascii="宋体" w:hAnsi="宋体" w:cs="宋体"/>
                <w:color w:val="auto"/>
                <w:w w:val="99"/>
                <w:sz w:val="21"/>
                <w:szCs w:val="21"/>
                <w:highlight w:val="none"/>
                <w:lang w:eastAsia="zh-CN"/>
              </w:rPr>
              <w:t>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18</w:t>
            </w:r>
            <w:r>
              <w:rPr>
                <w:rFonts w:hint="eastAsia" w:ascii="宋体" w:hAnsi="宋体" w:cs="宋体"/>
                <w:color w:val="auto"/>
                <w:w w:val="99"/>
                <w:sz w:val="21"/>
                <w:szCs w:val="21"/>
                <w:highlight w:val="none"/>
                <w:lang w:eastAsia="zh-CN"/>
              </w:rPr>
              <w:t>61</w:t>
            </w:r>
            <w:r>
              <w:rPr>
                <w:rFonts w:hint="eastAsia" w:ascii="宋体" w:hAnsi="宋体" w:cs="宋体"/>
                <w:color w:val="auto"/>
                <w:spacing w:val="1"/>
                <w:w w:val="99"/>
                <w:sz w:val="21"/>
                <w:szCs w:val="21"/>
                <w:highlight w:val="none"/>
                <w:lang w:eastAsia="zh-CN"/>
              </w:rPr>
              <w:t>3</w:t>
            </w:r>
            <w:r>
              <w:rPr>
                <w:rFonts w:hint="eastAsia" w:ascii="宋体" w:hAnsi="宋体" w:cs="宋体"/>
                <w:color w:val="auto"/>
                <w:w w:val="99"/>
                <w:sz w:val="21"/>
                <w:szCs w:val="21"/>
                <w:highlight w:val="none"/>
                <w:lang w:eastAsia="zh-CN"/>
              </w:rPr>
              <w:t>）</w:t>
            </w:r>
          </w:p>
        </w:tc>
      </w:tr>
      <w:tr w14:paraId="0F9B552E">
        <w:tblPrEx>
          <w:tblCellMar>
            <w:top w:w="0" w:type="dxa"/>
            <w:left w:w="0" w:type="dxa"/>
            <w:bottom w:w="0" w:type="dxa"/>
            <w:right w:w="0" w:type="dxa"/>
          </w:tblCellMar>
        </w:tblPrEx>
        <w:trPr>
          <w:gridAfter w:val="1"/>
          <w:wAfter w:w="16" w:type="dxa"/>
          <w:trHeight w:val="951" w:hRule="exact"/>
          <w:jc w:val="center"/>
        </w:trPr>
        <w:tc>
          <w:tcPr>
            <w:tcW w:w="605" w:type="dxa"/>
            <w:tcBorders>
              <w:top w:val="single" w:color="000000" w:sz="4" w:space="0"/>
              <w:left w:val="single" w:color="000000" w:sz="4" w:space="0"/>
              <w:bottom w:val="single" w:color="000000" w:sz="4" w:space="0"/>
              <w:right w:val="single" w:color="000000" w:sz="4" w:space="0"/>
            </w:tcBorders>
            <w:noWrap w:val="0"/>
            <w:vAlign w:val="top"/>
          </w:tcPr>
          <w:p w14:paraId="18987D2F">
            <w:pPr>
              <w:pStyle w:val="106"/>
              <w:spacing w:before="3"/>
              <w:rPr>
                <w:rFonts w:ascii="宋体" w:hAnsi="宋体" w:cs="宋体"/>
                <w:color w:val="auto"/>
                <w:sz w:val="21"/>
                <w:szCs w:val="21"/>
                <w:highlight w:val="none"/>
                <w:lang w:eastAsia="zh-CN"/>
              </w:rPr>
            </w:pPr>
          </w:p>
          <w:p w14:paraId="6F8B5590">
            <w:pPr>
              <w:pStyle w:val="106"/>
              <w:ind w:right="1"/>
              <w:jc w:val="center"/>
              <w:rPr>
                <w:rFonts w:ascii="宋体" w:hAnsi="宋体" w:cs="宋体"/>
                <w:color w:val="auto"/>
                <w:sz w:val="21"/>
                <w:szCs w:val="21"/>
                <w:highlight w:val="none"/>
              </w:rPr>
            </w:pPr>
            <w:r>
              <w:rPr>
                <w:rFonts w:hint="eastAsia" w:ascii="宋体"/>
                <w:color w:val="auto"/>
                <w:w w:val="99"/>
                <w:sz w:val="21"/>
                <w:szCs w:val="21"/>
                <w:highlight w:val="none"/>
              </w:rPr>
              <w:t>8</w:t>
            </w:r>
          </w:p>
        </w:tc>
        <w:tc>
          <w:tcPr>
            <w:tcW w:w="1195" w:type="dxa"/>
            <w:gridSpan w:val="2"/>
            <w:tcBorders>
              <w:top w:val="single" w:color="000000" w:sz="4" w:space="0"/>
              <w:left w:val="single" w:color="000000" w:sz="4" w:space="0"/>
              <w:bottom w:val="single" w:color="000000" w:sz="4" w:space="0"/>
              <w:right w:val="single" w:color="000000" w:sz="4" w:space="0"/>
            </w:tcBorders>
            <w:noWrap w:val="0"/>
            <w:vAlign w:val="top"/>
          </w:tcPr>
          <w:p w14:paraId="743219C0">
            <w:pPr>
              <w:pStyle w:val="106"/>
              <w:spacing w:before="30"/>
              <w:ind w:left="7"/>
              <w:rPr>
                <w:rFonts w:hint="eastAsia" w:ascii="宋体" w:hAnsi="宋体" w:cs="宋体"/>
                <w:color w:val="auto"/>
                <w:spacing w:val="1"/>
                <w:w w:val="99"/>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06</w:t>
            </w:r>
            <w:r>
              <w:rPr>
                <w:rFonts w:hint="eastAsia" w:ascii="宋体" w:hAnsi="宋体" w:cs="宋体"/>
                <w:color w:val="auto"/>
                <w:spacing w:val="1"/>
                <w:w w:val="99"/>
                <w:sz w:val="21"/>
                <w:szCs w:val="21"/>
                <w:highlight w:val="none"/>
              </w:rPr>
              <w:t>0</w:t>
            </w:r>
            <w:r>
              <w:rPr>
                <w:rFonts w:hint="eastAsia" w:ascii="宋体" w:hAnsi="宋体" w:cs="宋体"/>
                <w:color w:val="auto"/>
                <w:w w:val="99"/>
                <w:sz w:val="21"/>
                <w:szCs w:val="21"/>
                <w:highlight w:val="none"/>
              </w:rPr>
              <w:t>2变压</w:t>
            </w:r>
          </w:p>
          <w:p w14:paraId="5669ECA1">
            <w:pPr>
              <w:pStyle w:val="106"/>
              <w:spacing w:line="256" w:lineRule="exact"/>
              <w:ind w:left="7"/>
              <w:rPr>
                <w:rFonts w:ascii="宋体" w:hAnsi="宋体" w:cs="宋体"/>
                <w:color w:val="auto"/>
                <w:sz w:val="21"/>
                <w:szCs w:val="21"/>
                <w:highlight w:val="none"/>
              </w:rPr>
            </w:pPr>
            <w:r>
              <w:rPr>
                <w:rFonts w:hint="eastAsia" w:ascii="宋体" w:hAnsi="宋体" w:cs="宋体"/>
                <w:color w:val="auto"/>
                <w:w w:val="99"/>
                <w:sz w:val="21"/>
                <w:szCs w:val="21"/>
                <w:highlight w:val="none"/>
              </w:rPr>
              <w:t>器</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64350194">
            <w:pPr>
              <w:pStyle w:val="106"/>
              <w:spacing w:before="3"/>
              <w:rPr>
                <w:rFonts w:ascii="宋体" w:hAnsi="宋体" w:cs="宋体"/>
                <w:color w:val="auto"/>
                <w:sz w:val="21"/>
                <w:szCs w:val="21"/>
                <w:highlight w:val="none"/>
              </w:rPr>
            </w:pPr>
          </w:p>
          <w:p w14:paraId="17DDD918">
            <w:pPr>
              <w:pStyle w:val="106"/>
              <w:ind w:left="7"/>
              <w:rPr>
                <w:rFonts w:ascii="宋体" w:hAnsi="宋体" w:cs="宋体"/>
                <w:color w:val="auto"/>
                <w:sz w:val="21"/>
                <w:szCs w:val="21"/>
                <w:highlight w:val="none"/>
              </w:rPr>
            </w:pPr>
            <w:r>
              <w:rPr>
                <w:rFonts w:hint="eastAsia" w:ascii="宋体" w:hAnsi="宋体" w:cs="宋体"/>
                <w:color w:val="auto"/>
                <w:w w:val="99"/>
                <w:sz w:val="21"/>
                <w:szCs w:val="21"/>
                <w:highlight w:val="none"/>
              </w:rPr>
              <w:t>配电变</w:t>
            </w:r>
            <w:r>
              <w:rPr>
                <w:rFonts w:hint="eastAsia" w:ascii="宋体" w:hAnsi="宋体" w:cs="宋体"/>
                <w:color w:val="auto"/>
                <w:spacing w:val="2"/>
                <w:w w:val="99"/>
                <w:sz w:val="21"/>
                <w:szCs w:val="21"/>
                <w:highlight w:val="none"/>
              </w:rPr>
              <w:t>压</w:t>
            </w:r>
            <w:r>
              <w:rPr>
                <w:rFonts w:hint="eastAsia" w:ascii="宋体" w:hAnsi="宋体" w:cs="宋体"/>
                <w:color w:val="auto"/>
                <w:w w:val="99"/>
                <w:sz w:val="21"/>
                <w:szCs w:val="21"/>
                <w:highlight w:val="none"/>
              </w:rPr>
              <w:t>器</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5E906E5C">
            <w:pPr>
              <w:rPr>
                <w:rFonts w:ascii="Calibri" w:hAnsi="Calibri"/>
                <w:color w:val="auto"/>
                <w:szCs w:val="21"/>
                <w:highlight w:val="none"/>
                <w:lang w:eastAsia="en-US"/>
              </w:rPr>
            </w:pPr>
          </w:p>
        </w:tc>
        <w:tc>
          <w:tcPr>
            <w:tcW w:w="3631" w:type="dxa"/>
            <w:tcBorders>
              <w:top w:val="single" w:color="000000" w:sz="4" w:space="0"/>
              <w:left w:val="single" w:color="000000" w:sz="4" w:space="0"/>
              <w:right w:val="single" w:color="000000" w:sz="4" w:space="0"/>
            </w:tcBorders>
            <w:noWrap w:val="0"/>
            <w:vAlign w:val="top"/>
          </w:tcPr>
          <w:p w14:paraId="3AC2B87F">
            <w:pPr>
              <w:pStyle w:val="106"/>
              <w:spacing w:before="30"/>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《三相配电变压器能效</w:t>
            </w:r>
            <w:r>
              <w:rPr>
                <w:rFonts w:hint="eastAsia" w:ascii="宋体" w:hAnsi="宋体" w:cs="宋体"/>
                <w:color w:val="auto"/>
                <w:spacing w:val="9"/>
                <w:w w:val="99"/>
                <w:sz w:val="21"/>
                <w:szCs w:val="21"/>
                <w:highlight w:val="none"/>
                <w:lang w:eastAsia="zh-CN"/>
              </w:rPr>
              <w:t>限</w:t>
            </w:r>
            <w:r>
              <w:rPr>
                <w:rFonts w:hint="eastAsia" w:ascii="宋体" w:hAnsi="宋体" w:cs="宋体"/>
                <w:color w:val="auto"/>
                <w:spacing w:val="12"/>
                <w:w w:val="99"/>
                <w:sz w:val="21"/>
                <w:szCs w:val="21"/>
                <w:highlight w:val="none"/>
                <w:lang w:eastAsia="zh-CN"/>
              </w:rPr>
              <w:t>定值</w:t>
            </w:r>
            <w:r>
              <w:rPr>
                <w:rFonts w:hint="eastAsia" w:ascii="宋体" w:hAnsi="宋体" w:cs="宋体"/>
                <w:color w:val="auto"/>
                <w:w w:val="99"/>
                <w:sz w:val="21"/>
                <w:szCs w:val="21"/>
                <w:highlight w:val="none"/>
                <w:lang w:eastAsia="zh-CN"/>
              </w:rPr>
              <w:t>及能效等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200</w:t>
            </w:r>
            <w:r>
              <w:rPr>
                <w:rFonts w:hint="eastAsia" w:ascii="宋体" w:hAnsi="宋体" w:cs="宋体"/>
                <w:color w:val="auto"/>
                <w:w w:val="99"/>
                <w:sz w:val="21"/>
                <w:szCs w:val="21"/>
                <w:highlight w:val="none"/>
                <w:lang w:eastAsia="zh-CN"/>
              </w:rPr>
              <w:t>5</w:t>
            </w:r>
            <w:r>
              <w:rPr>
                <w:rFonts w:hint="eastAsia" w:ascii="宋体" w:hAnsi="宋体" w:cs="宋体"/>
                <w:color w:val="auto"/>
                <w:spacing w:val="-1"/>
                <w:w w:val="99"/>
                <w:sz w:val="21"/>
                <w:szCs w:val="21"/>
                <w:highlight w:val="none"/>
                <w:lang w:eastAsia="zh-CN"/>
              </w:rPr>
              <w:t>2</w:t>
            </w:r>
            <w:r>
              <w:rPr>
                <w:rFonts w:hint="eastAsia" w:ascii="宋体" w:hAnsi="宋体" w:cs="宋体"/>
                <w:color w:val="auto"/>
                <w:w w:val="99"/>
                <w:sz w:val="21"/>
                <w:szCs w:val="21"/>
                <w:highlight w:val="none"/>
                <w:lang w:eastAsia="zh-CN"/>
              </w:rPr>
              <w:t>）</w:t>
            </w:r>
          </w:p>
        </w:tc>
      </w:tr>
      <w:tr w14:paraId="491A8342">
        <w:tblPrEx>
          <w:tblCellMar>
            <w:top w:w="0" w:type="dxa"/>
            <w:left w:w="0" w:type="dxa"/>
            <w:bottom w:w="0" w:type="dxa"/>
            <w:right w:w="0" w:type="dxa"/>
          </w:tblCellMar>
        </w:tblPrEx>
        <w:trPr>
          <w:gridAfter w:val="1"/>
          <w:wAfter w:w="16" w:type="dxa"/>
          <w:trHeight w:val="1218" w:hRule="exact"/>
          <w:jc w:val="center"/>
        </w:trPr>
        <w:tc>
          <w:tcPr>
            <w:tcW w:w="605" w:type="dxa"/>
            <w:tcBorders>
              <w:top w:val="single" w:color="000000" w:sz="4" w:space="0"/>
              <w:left w:val="single" w:color="000000" w:sz="4" w:space="0"/>
              <w:bottom w:val="single" w:color="000000" w:sz="4" w:space="0"/>
              <w:right w:val="single" w:color="000000" w:sz="4" w:space="0"/>
            </w:tcBorders>
            <w:noWrap w:val="0"/>
            <w:vAlign w:val="top"/>
          </w:tcPr>
          <w:p w14:paraId="302C32F8">
            <w:pPr>
              <w:pStyle w:val="106"/>
              <w:spacing w:before="8"/>
              <w:rPr>
                <w:rFonts w:ascii="宋体" w:hAnsi="宋体" w:cs="宋体"/>
                <w:color w:val="auto"/>
                <w:sz w:val="21"/>
                <w:szCs w:val="21"/>
                <w:highlight w:val="none"/>
                <w:lang w:eastAsia="zh-CN"/>
              </w:rPr>
            </w:pPr>
          </w:p>
          <w:p w14:paraId="6DCA89CD">
            <w:pPr>
              <w:pStyle w:val="106"/>
              <w:ind w:right="1"/>
              <w:jc w:val="center"/>
              <w:rPr>
                <w:rFonts w:ascii="宋体" w:hAnsi="宋体" w:cs="宋体"/>
                <w:color w:val="auto"/>
                <w:sz w:val="21"/>
                <w:szCs w:val="21"/>
                <w:highlight w:val="none"/>
              </w:rPr>
            </w:pPr>
            <w:r>
              <w:rPr>
                <w:rFonts w:hint="eastAsia" w:ascii="宋体"/>
                <w:color w:val="auto"/>
                <w:w w:val="99"/>
                <w:sz w:val="21"/>
                <w:szCs w:val="21"/>
                <w:highlight w:val="none"/>
              </w:rPr>
              <w:t>9</w:t>
            </w:r>
          </w:p>
        </w:tc>
        <w:tc>
          <w:tcPr>
            <w:tcW w:w="1195" w:type="dxa"/>
            <w:gridSpan w:val="2"/>
            <w:tcBorders>
              <w:top w:val="single" w:color="000000" w:sz="4" w:space="0"/>
              <w:left w:val="single" w:color="000000" w:sz="4" w:space="0"/>
              <w:bottom w:val="single" w:color="000000" w:sz="4" w:space="0"/>
              <w:right w:val="single" w:color="000000" w:sz="4" w:space="0"/>
            </w:tcBorders>
            <w:noWrap w:val="0"/>
            <w:vAlign w:val="top"/>
          </w:tcPr>
          <w:p w14:paraId="62D0C36C">
            <w:pPr>
              <w:pStyle w:val="106"/>
              <w:spacing w:before="126"/>
              <w:ind w:left="7"/>
              <w:rPr>
                <w:rFonts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A020</w:t>
            </w:r>
            <w:r>
              <w:rPr>
                <w:rFonts w:hint="eastAsia" w:ascii="宋体" w:hAnsi="宋体" w:cs="宋体"/>
                <w:color w:val="auto"/>
                <w:w w:val="99"/>
                <w:sz w:val="21"/>
                <w:szCs w:val="21"/>
                <w:highlight w:val="none"/>
              </w:rPr>
              <w:t>609镇流器</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33ACBF46">
            <w:pPr>
              <w:pStyle w:val="106"/>
              <w:spacing w:before="8"/>
              <w:rPr>
                <w:rFonts w:ascii="宋体" w:hAnsi="宋体" w:cs="宋体"/>
                <w:color w:val="auto"/>
                <w:sz w:val="21"/>
                <w:szCs w:val="21"/>
                <w:highlight w:val="none"/>
              </w:rPr>
            </w:pPr>
          </w:p>
          <w:p w14:paraId="48E555FD">
            <w:pPr>
              <w:pStyle w:val="106"/>
              <w:ind w:left="7"/>
              <w:rPr>
                <w:rFonts w:ascii="宋体" w:hAnsi="宋体" w:cs="宋体"/>
                <w:color w:val="auto"/>
                <w:sz w:val="21"/>
                <w:szCs w:val="21"/>
                <w:highlight w:val="none"/>
              </w:rPr>
            </w:pPr>
            <w:r>
              <w:rPr>
                <w:rFonts w:hint="eastAsia" w:ascii="宋体" w:hAnsi="宋体" w:cs="宋体"/>
                <w:color w:val="auto"/>
                <w:w w:val="99"/>
                <w:sz w:val="21"/>
                <w:szCs w:val="21"/>
                <w:highlight w:val="none"/>
              </w:rPr>
              <w:t>管型荧</w:t>
            </w:r>
            <w:r>
              <w:rPr>
                <w:rFonts w:hint="eastAsia" w:ascii="宋体" w:hAnsi="宋体" w:cs="宋体"/>
                <w:color w:val="auto"/>
                <w:spacing w:val="2"/>
                <w:w w:val="99"/>
                <w:sz w:val="21"/>
                <w:szCs w:val="21"/>
                <w:highlight w:val="none"/>
              </w:rPr>
              <w:t>光</w:t>
            </w:r>
            <w:r>
              <w:rPr>
                <w:rFonts w:hint="eastAsia" w:ascii="宋体" w:hAnsi="宋体" w:cs="宋体"/>
                <w:color w:val="auto"/>
                <w:w w:val="99"/>
                <w:sz w:val="21"/>
                <w:szCs w:val="21"/>
                <w:highlight w:val="none"/>
              </w:rPr>
              <w:t>灯镇</w:t>
            </w:r>
            <w:r>
              <w:rPr>
                <w:rFonts w:hint="eastAsia" w:ascii="宋体" w:hAnsi="宋体" w:cs="宋体"/>
                <w:color w:val="auto"/>
                <w:spacing w:val="2"/>
                <w:w w:val="99"/>
                <w:sz w:val="21"/>
                <w:szCs w:val="21"/>
                <w:highlight w:val="none"/>
              </w:rPr>
              <w:t>流</w:t>
            </w:r>
            <w:r>
              <w:rPr>
                <w:rFonts w:hint="eastAsia" w:ascii="宋体" w:hAnsi="宋体" w:cs="宋体"/>
                <w:color w:val="auto"/>
                <w:w w:val="99"/>
                <w:sz w:val="21"/>
                <w:szCs w:val="21"/>
                <w:highlight w:val="none"/>
              </w:rPr>
              <w:t>器</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17C1BA35">
            <w:pPr>
              <w:rPr>
                <w:rFonts w:ascii="Calibri" w:hAnsi="Calibri"/>
                <w:color w:val="auto"/>
                <w:szCs w:val="21"/>
                <w:highlight w:val="none"/>
                <w:lang w:eastAsia="en-US"/>
              </w:rPr>
            </w:pPr>
          </w:p>
        </w:tc>
        <w:tc>
          <w:tcPr>
            <w:tcW w:w="3631" w:type="dxa"/>
            <w:tcBorders>
              <w:top w:val="single" w:color="000000" w:sz="4" w:space="0"/>
              <w:left w:val="single" w:color="000000" w:sz="4" w:space="0"/>
              <w:right w:val="single" w:color="000000" w:sz="4" w:space="0"/>
            </w:tcBorders>
            <w:noWrap w:val="0"/>
            <w:vAlign w:val="top"/>
          </w:tcPr>
          <w:p w14:paraId="43C62957">
            <w:pPr>
              <w:pStyle w:val="106"/>
              <w:spacing w:before="126"/>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《管形荧光灯镇流器能</w:t>
            </w:r>
            <w:r>
              <w:rPr>
                <w:rFonts w:hint="eastAsia" w:ascii="宋体" w:hAnsi="宋体" w:cs="宋体"/>
                <w:color w:val="auto"/>
                <w:spacing w:val="9"/>
                <w:w w:val="99"/>
                <w:sz w:val="21"/>
                <w:szCs w:val="21"/>
                <w:highlight w:val="none"/>
                <w:lang w:eastAsia="zh-CN"/>
              </w:rPr>
              <w:t>效</w:t>
            </w:r>
            <w:r>
              <w:rPr>
                <w:rFonts w:hint="eastAsia" w:ascii="宋体" w:hAnsi="宋体" w:cs="宋体"/>
                <w:color w:val="auto"/>
                <w:spacing w:val="12"/>
                <w:w w:val="99"/>
                <w:sz w:val="21"/>
                <w:szCs w:val="21"/>
                <w:highlight w:val="none"/>
                <w:lang w:eastAsia="zh-CN"/>
              </w:rPr>
              <w:t>限定</w:t>
            </w:r>
            <w:r>
              <w:rPr>
                <w:rFonts w:hint="eastAsia" w:ascii="宋体" w:hAnsi="宋体" w:cs="宋体"/>
                <w:color w:val="auto"/>
                <w:w w:val="99"/>
                <w:sz w:val="21"/>
                <w:szCs w:val="21"/>
                <w:highlight w:val="none"/>
                <w:lang w:eastAsia="zh-CN"/>
              </w:rPr>
              <w:t>值及能效</w:t>
            </w:r>
            <w:r>
              <w:rPr>
                <w:rFonts w:hint="eastAsia" w:ascii="宋体" w:hAnsi="宋体" w:cs="宋体"/>
                <w:color w:val="auto"/>
                <w:spacing w:val="2"/>
                <w:w w:val="99"/>
                <w:sz w:val="21"/>
                <w:szCs w:val="21"/>
                <w:highlight w:val="none"/>
                <w:lang w:eastAsia="zh-CN"/>
              </w:rPr>
              <w:t>等</w:t>
            </w:r>
            <w:r>
              <w:rPr>
                <w:rFonts w:hint="eastAsia" w:ascii="宋体" w:hAnsi="宋体" w:cs="宋体"/>
                <w:color w:val="auto"/>
                <w:w w:val="99"/>
                <w:sz w:val="21"/>
                <w:szCs w:val="21"/>
                <w:highlight w:val="none"/>
                <w:lang w:eastAsia="zh-CN"/>
              </w:rPr>
              <w:t>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17896</w:t>
            </w:r>
            <w:r>
              <w:rPr>
                <w:rFonts w:hint="eastAsia" w:ascii="宋体" w:hAnsi="宋体" w:cs="宋体"/>
                <w:color w:val="auto"/>
                <w:w w:val="99"/>
                <w:sz w:val="21"/>
                <w:szCs w:val="21"/>
                <w:highlight w:val="none"/>
                <w:lang w:eastAsia="zh-CN"/>
              </w:rPr>
              <w:t>）</w:t>
            </w:r>
          </w:p>
        </w:tc>
      </w:tr>
      <w:tr w14:paraId="30523066">
        <w:tblPrEx>
          <w:tblCellMar>
            <w:top w:w="0" w:type="dxa"/>
            <w:left w:w="0" w:type="dxa"/>
            <w:bottom w:w="0" w:type="dxa"/>
            <w:right w:w="0" w:type="dxa"/>
          </w:tblCellMar>
        </w:tblPrEx>
        <w:trPr>
          <w:gridAfter w:val="1"/>
          <w:wAfter w:w="16" w:type="dxa"/>
          <w:trHeight w:val="786" w:hRule="exact"/>
          <w:jc w:val="center"/>
        </w:trPr>
        <w:tc>
          <w:tcPr>
            <w:tcW w:w="605" w:type="dxa"/>
            <w:vMerge w:val="restart"/>
            <w:tcBorders>
              <w:top w:val="single" w:color="000000" w:sz="4" w:space="0"/>
              <w:left w:val="single" w:color="000000" w:sz="4" w:space="0"/>
              <w:bottom w:val="single" w:color="000000" w:sz="4" w:space="0"/>
              <w:right w:val="single" w:color="000000" w:sz="4" w:space="0"/>
            </w:tcBorders>
            <w:noWrap w:val="0"/>
            <w:vAlign w:val="top"/>
          </w:tcPr>
          <w:p w14:paraId="1756800D">
            <w:pPr>
              <w:pStyle w:val="106"/>
              <w:rPr>
                <w:rFonts w:ascii="宋体" w:hAnsi="宋体" w:cs="宋体"/>
                <w:color w:val="auto"/>
                <w:sz w:val="21"/>
                <w:szCs w:val="21"/>
                <w:highlight w:val="none"/>
                <w:lang w:eastAsia="zh-CN"/>
              </w:rPr>
            </w:pPr>
          </w:p>
          <w:p w14:paraId="65B3316F">
            <w:pPr>
              <w:pStyle w:val="106"/>
              <w:rPr>
                <w:rFonts w:hint="eastAsia" w:ascii="宋体" w:hAnsi="宋体" w:cs="宋体"/>
                <w:color w:val="auto"/>
                <w:sz w:val="21"/>
                <w:szCs w:val="21"/>
                <w:highlight w:val="none"/>
                <w:lang w:eastAsia="zh-CN"/>
              </w:rPr>
            </w:pPr>
          </w:p>
          <w:p w14:paraId="61DED9D2">
            <w:pPr>
              <w:pStyle w:val="106"/>
              <w:rPr>
                <w:rFonts w:hint="eastAsia" w:ascii="宋体" w:hAnsi="宋体" w:cs="宋体"/>
                <w:color w:val="auto"/>
                <w:sz w:val="21"/>
                <w:szCs w:val="21"/>
                <w:highlight w:val="none"/>
                <w:lang w:eastAsia="zh-CN"/>
              </w:rPr>
            </w:pPr>
          </w:p>
          <w:p w14:paraId="25717E94">
            <w:pPr>
              <w:pStyle w:val="106"/>
              <w:rPr>
                <w:rFonts w:hint="eastAsia" w:ascii="宋体" w:hAnsi="宋体" w:cs="宋体"/>
                <w:color w:val="auto"/>
                <w:sz w:val="21"/>
                <w:szCs w:val="21"/>
                <w:highlight w:val="none"/>
                <w:lang w:eastAsia="zh-CN"/>
              </w:rPr>
            </w:pPr>
          </w:p>
          <w:p w14:paraId="18D06649">
            <w:pPr>
              <w:pStyle w:val="106"/>
              <w:rPr>
                <w:rFonts w:hint="eastAsia" w:ascii="宋体" w:hAnsi="宋体" w:cs="宋体"/>
                <w:color w:val="auto"/>
                <w:sz w:val="21"/>
                <w:szCs w:val="21"/>
                <w:highlight w:val="none"/>
                <w:lang w:eastAsia="zh-CN"/>
              </w:rPr>
            </w:pPr>
          </w:p>
          <w:p w14:paraId="2E7AE056">
            <w:pPr>
              <w:pStyle w:val="106"/>
              <w:rPr>
                <w:rFonts w:hint="eastAsia" w:ascii="宋体" w:hAnsi="宋体" w:cs="宋体"/>
                <w:color w:val="auto"/>
                <w:sz w:val="21"/>
                <w:szCs w:val="21"/>
                <w:highlight w:val="none"/>
                <w:lang w:eastAsia="zh-CN"/>
              </w:rPr>
            </w:pPr>
          </w:p>
          <w:p w14:paraId="6AD9DD1D">
            <w:pPr>
              <w:pStyle w:val="106"/>
              <w:rPr>
                <w:rFonts w:hint="eastAsia" w:ascii="宋体" w:hAnsi="宋体" w:cs="宋体"/>
                <w:color w:val="auto"/>
                <w:sz w:val="21"/>
                <w:szCs w:val="21"/>
                <w:highlight w:val="none"/>
                <w:lang w:eastAsia="zh-CN"/>
              </w:rPr>
            </w:pPr>
          </w:p>
          <w:p w14:paraId="0864281D">
            <w:pPr>
              <w:pStyle w:val="106"/>
              <w:rPr>
                <w:rFonts w:hint="eastAsia" w:ascii="宋体" w:hAnsi="宋体" w:cs="宋体"/>
                <w:color w:val="auto"/>
                <w:sz w:val="21"/>
                <w:szCs w:val="21"/>
                <w:highlight w:val="none"/>
                <w:lang w:eastAsia="zh-CN"/>
              </w:rPr>
            </w:pPr>
          </w:p>
          <w:p w14:paraId="4191D4B5">
            <w:pPr>
              <w:pStyle w:val="106"/>
              <w:rPr>
                <w:rFonts w:hint="eastAsia" w:ascii="宋体" w:hAnsi="宋体" w:cs="宋体"/>
                <w:color w:val="auto"/>
                <w:sz w:val="21"/>
                <w:szCs w:val="21"/>
                <w:highlight w:val="none"/>
                <w:lang w:eastAsia="zh-CN"/>
              </w:rPr>
            </w:pPr>
          </w:p>
          <w:p w14:paraId="550603DA">
            <w:pPr>
              <w:pStyle w:val="106"/>
              <w:spacing w:before="5"/>
              <w:rPr>
                <w:rFonts w:hint="eastAsia" w:ascii="宋体" w:hAnsi="宋体" w:cs="宋体"/>
                <w:color w:val="auto"/>
                <w:sz w:val="21"/>
                <w:szCs w:val="21"/>
                <w:highlight w:val="none"/>
                <w:lang w:eastAsia="zh-CN"/>
              </w:rPr>
            </w:pPr>
          </w:p>
          <w:p w14:paraId="67A85B05">
            <w:pPr>
              <w:pStyle w:val="106"/>
              <w:ind w:left="182"/>
              <w:rPr>
                <w:rFonts w:ascii="宋体" w:hAnsi="宋体" w:cs="宋体"/>
                <w:color w:val="auto"/>
                <w:sz w:val="21"/>
                <w:szCs w:val="21"/>
                <w:highlight w:val="none"/>
              </w:rPr>
            </w:pPr>
            <w:r>
              <w:rPr>
                <w:rFonts w:hint="eastAsia" w:ascii="宋体"/>
                <w:color w:val="auto"/>
                <w:spacing w:val="1"/>
                <w:w w:val="99"/>
                <w:sz w:val="21"/>
                <w:szCs w:val="21"/>
                <w:highlight w:val="none"/>
              </w:rPr>
              <w:t>1</w:t>
            </w:r>
            <w:r>
              <w:rPr>
                <w:rFonts w:hint="eastAsia" w:ascii="宋体"/>
                <w:color w:val="auto"/>
                <w:w w:val="99"/>
                <w:sz w:val="21"/>
                <w:szCs w:val="21"/>
                <w:highlight w:val="none"/>
              </w:rPr>
              <w:t>0</w:t>
            </w:r>
          </w:p>
        </w:tc>
        <w:tc>
          <w:tcPr>
            <w:tcW w:w="1195"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10D8C7AF">
            <w:pPr>
              <w:pStyle w:val="106"/>
              <w:rPr>
                <w:rFonts w:ascii="宋体" w:hAnsi="宋体" w:cs="宋体"/>
                <w:color w:val="auto"/>
                <w:sz w:val="21"/>
                <w:szCs w:val="21"/>
                <w:highlight w:val="none"/>
              </w:rPr>
            </w:pPr>
          </w:p>
          <w:p w14:paraId="51649448">
            <w:pPr>
              <w:pStyle w:val="106"/>
              <w:rPr>
                <w:rFonts w:hint="eastAsia" w:ascii="宋体" w:hAnsi="宋体" w:cs="宋体"/>
                <w:color w:val="auto"/>
                <w:sz w:val="21"/>
                <w:szCs w:val="21"/>
                <w:highlight w:val="none"/>
              </w:rPr>
            </w:pPr>
          </w:p>
          <w:p w14:paraId="60AD4518">
            <w:pPr>
              <w:pStyle w:val="106"/>
              <w:rPr>
                <w:rFonts w:hint="eastAsia" w:ascii="宋体" w:hAnsi="宋体" w:cs="宋体"/>
                <w:color w:val="auto"/>
                <w:sz w:val="21"/>
                <w:szCs w:val="21"/>
                <w:highlight w:val="none"/>
              </w:rPr>
            </w:pPr>
          </w:p>
          <w:p w14:paraId="48A258A8">
            <w:pPr>
              <w:pStyle w:val="106"/>
              <w:rPr>
                <w:rFonts w:hint="eastAsia" w:ascii="宋体" w:hAnsi="宋体" w:cs="宋体"/>
                <w:color w:val="auto"/>
                <w:sz w:val="21"/>
                <w:szCs w:val="21"/>
                <w:highlight w:val="none"/>
              </w:rPr>
            </w:pPr>
          </w:p>
          <w:p w14:paraId="23DFA937">
            <w:pPr>
              <w:pStyle w:val="106"/>
              <w:rPr>
                <w:rFonts w:hint="eastAsia" w:ascii="宋体" w:hAnsi="宋体" w:cs="宋体"/>
                <w:color w:val="auto"/>
                <w:sz w:val="21"/>
                <w:szCs w:val="21"/>
                <w:highlight w:val="none"/>
              </w:rPr>
            </w:pPr>
          </w:p>
          <w:p w14:paraId="5075DD6F">
            <w:pPr>
              <w:pStyle w:val="106"/>
              <w:rPr>
                <w:rFonts w:hint="eastAsia" w:ascii="宋体" w:hAnsi="宋体" w:cs="宋体"/>
                <w:color w:val="auto"/>
                <w:sz w:val="21"/>
                <w:szCs w:val="21"/>
                <w:highlight w:val="none"/>
              </w:rPr>
            </w:pPr>
          </w:p>
          <w:p w14:paraId="6FAC4290">
            <w:pPr>
              <w:pStyle w:val="106"/>
              <w:rPr>
                <w:rFonts w:hint="eastAsia" w:ascii="宋体" w:hAnsi="宋体" w:cs="宋体"/>
                <w:color w:val="auto"/>
                <w:sz w:val="21"/>
                <w:szCs w:val="21"/>
                <w:highlight w:val="none"/>
              </w:rPr>
            </w:pPr>
          </w:p>
          <w:p w14:paraId="3E0A95AB">
            <w:pPr>
              <w:pStyle w:val="106"/>
              <w:rPr>
                <w:rFonts w:hint="eastAsia" w:ascii="宋体" w:hAnsi="宋体" w:cs="宋体"/>
                <w:color w:val="auto"/>
                <w:sz w:val="21"/>
                <w:szCs w:val="21"/>
                <w:highlight w:val="none"/>
              </w:rPr>
            </w:pPr>
          </w:p>
          <w:p w14:paraId="4C7A24EE">
            <w:pPr>
              <w:pStyle w:val="106"/>
              <w:spacing w:before="6"/>
              <w:rPr>
                <w:rFonts w:hint="eastAsia" w:ascii="宋体" w:hAnsi="宋体" w:cs="宋体"/>
                <w:color w:val="auto"/>
                <w:sz w:val="21"/>
                <w:szCs w:val="21"/>
                <w:highlight w:val="none"/>
              </w:rPr>
            </w:pPr>
          </w:p>
          <w:p w14:paraId="2588C933">
            <w:pPr>
              <w:pStyle w:val="10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06</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8生活用电器</w:t>
            </w: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3778C450">
            <w:pPr>
              <w:pStyle w:val="106"/>
              <w:spacing w:before="1"/>
              <w:rPr>
                <w:rFonts w:ascii="宋体" w:hAnsi="宋体" w:cs="宋体"/>
                <w:color w:val="auto"/>
                <w:sz w:val="21"/>
                <w:szCs w:val="21"/>
                <w:highlight w:val="none"/>
              </w:rPr>
            </w:pPr>
          </w:p>
          <w:p w14:paraId="7BB49848">
            <w:pPr>
              <w:pStyle w:val="106"/>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06</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80</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01电冰箱</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7F82AD85">
            <w:pPr>
              <w:rPr>
                <w:rFonts w:ascii="Calibri" w:hAnsi="Calibri"/>
                <w:color w:val="auto"/>
                <w:szCs w:val="21"/>
                <w:highlight w:val="none"/>
                <w:lang w:eastAsia="en-US"/>
              </w:rPr>
            </w:pP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44971A51">
            <w:pPr>
              <w:pStyle w:val="106"/>
              <w:spacing w:before="54"/>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《家用电冰箱耗电量限</w:t>
            </w:r>
            <w:r>
              <w:rPr>
                <w:rFonts w:hint="eastAsia" w:ascii="宋体" w:hAnsi="宋体" w:cs="宋体"/>
                <w:color w:val="auto"/>
                <w:spacing w:val="9"/>
                <w:w w:val="99"/>
                <w:sz w:val="21"/>
                <w:szCs w:val="21"/>
                <w:highlight w:val="none"/>
                <w:lang w:eastAsia="zh-CN"/>
              </w:rPr>
              <w:t>定</w:t>
            </w:r>
            <w:r>
              <w:rPr>
                <w:rFonts w:hint="eastAsia" w:ascii="宋体" w:hAnsi="宋体" w:cs="宋体"/>
                <w:color w:val="auto"/>
                <w:spacing w:val="12"/>
                <w:w w:val="99"/>
                <w:sz w:val="21"/>
                <w:szCs w:val="21"/>
                <w:highlight w:val="none"/>
                <w:lang w:eastAsia="zh-CN"/>
              </w:rPr>
              <w:t>值及</w:t>
            </w:r>
            <w:r>
              <w:rPr>
                <w:rFonts w:hint="eastAsia" w:ascii="宋体" w:hAnsi="宋体" w:cs="宋体"/>
                <w:color w:val="auto"/>
                <w:w w:val="99"/>
                <w:sz w:val="21"/>
                <w:szCs w:val="21"/>
                <w:highlight w:val="none"/>
                <w:lang w:eastAsia="zh-CN"/>
              </w:rPr>
              <w:t>能效等级</w:t>
            </w:r>
            <w:r>
              <w:rPr>
                <w:rFonts w:hint="eastAsia" w:ascii="宋体" w:hAnsi="宋体" w:cs="宋体"/>
                <w:color w:val="auto"/>
                <w:spacing w:val="2"/>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z w:val="21"/>
                <w:szCs w:val="21"/>
                <w:highlight w:val="none"/>
                <w:lang w:eastAsia="zh-CN"/>
              </w:rPr>
              <w:tab/>
            </w:r>
            <w:r>
              <w:rPr>
                <w:rFonts w:hint="eastAsia" w:ascii="宋体" w:hAnsi="宋体" w:cs="宋体"/>
                <w:color w:val="auto"/>
                <w:spacing w:val="1"/>
                <w:w w:val="99"/>
                <w:sz w:val="21"/>
                <w:szCs w:val="21"/>
                <w:highlight w:val="none"/>
                <w:lang w:eastAsia="zh-CN"/>
              </w:rPr>
              <w:t>1</w:t>
            </w:r>
            <w:r>
              <w:rPr>
                <w:rFonts w:hint="eastAsia" w:ascii="宋体" w:hAnsi="宋体" w:cs="宋体"/>
                <w:color w:val="auto"/>
                <w:w w:val="99"/>
                <w:sz w:val="21"/>
                <w:szCs w:val="21"/>
                <w:highlight w:val="none"/>
                <w:lang w:eastAsia="zh-CN"/>
              </w:rPr>
              <w:t>20</w:t>
            </w:r>
            <w:r>
              <w:rPr>
                <w:rFonts w:hint="eastAsia" w:ascii="宋体" w:hAnsi="宋体" w:cs="宋体"/>
                <w:color w:val="auto"/>
                <w:spacing w:val="1"/>
                <w:w w:val="99"/>
                <w:sz w:val="21"/>
                <w:szCs w:val="21"/>
                <w:highlight w:val="none"/>
                <w:lang w:eastAsia="zh-CN"/>
              </w:rPr>
              <w:t>2</w:t>
            </w:r>
            <w:r>
              <w:rPr>
                <w:rFonts w:hint="eastAsia" w:ascii="宋体" w:hAnsi="宋体" w:cs="宋体"/>
                <w:color w:val="auto"/>
                <w:w w:val="99"/>
                <w:sz w:val="21"/>
                <w:szCs w:val="21"/>
                <w:highlight w:val="none"/>
                <w:lang w:eastAsia="zh-CN"/>
              </w:rPr>
              <w:t>1.</w:t>
            </w:r>
            <w:r>
              <w:rPr>
                <w:rFonts w:hint="eastAsia" w:ascii="宋体" w:hAnsi="宋体" w:cs="宋体"/>
                <w:color w:val="auto"/>
                <w:spacing w:val="1"/>
                <w:w w:val="99"/>
                <w:sz w:val="21"/>
                <w:szCs w:val="21"/>
                <w:highlight w:val="none"/>
                <w:lang w:eastAsia="zh-CN"/>
              </w:rPr>
              <w:t>2</w:t>
            </w:r>
            <w:r>
              <w:rPr>
                <w:rFonts w:hint="eastAsia" w:ascii="宋体" w:hAnsi="宋体" w:cs="宋体"/>
                <w:color w:val="auto"/>
                <w:w w:val="99"/>
                <w:sz w:val="21"/>
                <w:szCs w:val="21"/>
                <w:highlight w:val="none"/>
                <w:lang w:eastAsia="zh-CN"/>
              </w:rPr>
              <w:t>）</w:t>
            </w:r>
          </w:p>
        </w:tc>
      </w:tr>
      <w:tr w14:paraId="67085F75">
        <w:tblPrEx>
          <w:tblCellMar>
            <w:top w:w="0" w:type="dxa"/>
            <w:left w:w="0" w:type="dxa"/>
            <w:bottom w:w="0" w:type="dxa"/>
            <w:right w:w="0" w:type="dxa"/>
          </w:tblCellMar>
        </w:tblPrEx>
        <w:trPr>
          <w:gridAfter w:val="1"/>
          <w:wAfter w:w="16" w:type="dxa"/>
          <w:trHeight w:val="1334"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E0385">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BAB2C6">
            <w:pPr>
              <w:rPr>
                <w:rFonts w:ascii="宋体" w:hAnsi="宋体" w:cs="宋体"/>
                <w:color w:val="auto"/>
                <w:szCs w:val="21"/>
                <w:highlight w:val="none"/>
              </w:rPr>
            </w:pPr>
          </w:p>
        </w:tc>
        <w:tc>
          <w:tcPr>
            <w:tcW w:w="1931"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14:paraId="402F88F3">
            <w:pPr>
              <w:pStyle w:val="106"/>
              <w:rPr>
                <w:rFonts w:ascii="宋体" w:hAnsi="宋体" w:cs="宋体"/>
                <w:color w:val="auto"/>
                <w:sz w:val="21"/>
                <w:szCs w:val="21"/>
                <w:highlight w:val="none"/>
                <w:lang w:eastAsia="zh-CN"/>
              </w:rPr>
            </w:pPr>
          </w:p>
          <w:p w14:paraId="40125ED2">
            <w:pPr>
              <w:pStyle w:val="106"/>
              <w:rPr>
                <w:rFonts w:hint="eastAsia" w:ascii="宋体" w:hAnsi="宋体" w:cs="宋体"/>
                <w:color w:val="auto"/>
                <w:sz w:val="21"/>
                <w:szCs w:val="21"/>
                <w:highlight w:val="none"/>
                <w:lang w:eastAsia="zh-CN"/>
              </w:rPr>
            </w:pPr>
          </w:p>
          <w:p w14:paraId="55127BD2">
            <w:pPr>
              <w:pStyle w:val="106"/>
              <w:rPr>
                <w:rFonts w:hint="eastAsia" w:ascii="宋体" w:hAnsi="宋体" w:cs="宋体"/>
                <w:color w:val="auto"/>
                <w:sz w:val="21"/>
                <w:szCs w:val="21"/>
                <w:highlight w:val="none"/>
                <w:lang w:eastAsia="zh-CN"/>
              </w:rPr>
            </w:pPr>
          </w:p>
          <w:p w14:paraId="0635D452">
            <w:pPr>
              <w:pStyle w:val="106"/>
              <w:rPr>
                <w:rFonts w:hint="eastAsia" w:ascii="宋体" w:hAnsi="宋体" w:cs="宋体"/>
                <w:color w:val="auto"/>
                <w:sz w:val="21"/>
                <w:szCs w:val="21"/>
                <w:highlight w:val="none"/>
                <w:lang w:eastAsia="zh-CN"/>
              </w:rPr>
            </w:pPr>
          </w:p>
          <w:p w14:paraId="476E7476">
            <w:pPr>
              <w:pStyle w:val="106"/>
              <w:rPr>
                <w:rFonts w:hint="eastAsia" w:ascii="宋体" w:hAnsi="宋体" w:cs="宋体"/>
                <w:color w:val="auto"/>
                <w:sz w:val="21"/>
                <w:szCs w:val="21"/>
                <w:highlight w:val="none"/>
                <w:lang w:eastAsia="zh-CN"/>
              </w:rPr>
            </w:pPr>
          </w:p>
          <w:p w14:paraId="59F11BF3">
            <w:pPr>
              <w:pStyle w:val="106"/>
              <w:rPr>
                <w:rFonts w:hint="eastAsia" w:ascii="宋体" w:hAnsi="宋体" w:cs="宋体"/>
                <w:color w:val="auto"/>
                <w:sz w:val="21"/>
                <w:szCs w:val="21"/>
                <w:highlight w:val="none"/>
                <w:lang w:eastAsia="zh-CN"/>
              </w:rPr>
            </w:pPr>
          </w:p>
          <w:p w14:paraId="05CD514C">
            <w:pPr>
              <w:pStyle w:val="106"/>
              <w:spacing w:before="171"/>
              <w:ind w:left="7"/>
              <w:rPr>
                <w:rFonts w:hint="eastAsia" w:ascii="宋体" w:hAnsi="宋体" w:cs="宋体"/>
                <w:color w:val="auto"/>
                <w:sz w:val="21"/>
                <w:szCs w:val="21"/>
                <w:highlight w:val="none"/>
              </w:rPr>
            </w:pPr>
            <w:r>
              <w:rPr>
                <w:rFonts w:hint="eastAsia" w:ascii="宋体" w:hAnsi="宋体" w:cs="宋体"/>
                <w:color w:val="auto"/>
                <w:w w:val="99"/>
                <w:sz w:val="21"/>
                <w:szCs w:val="21"/>
                <w:highlight w:val="none"/>
              </w:rPr>
              <w:t>★</w:t>
            </w:r>
            <w:r>
              <w:rPr>
                <w:rFonts w:hint="eastAsia" w:ascii="宋体" w:hAnsi="宋体" w:cs="宋体"/>
                <w:color w:val="auto"/>
                <w:spacing w:val="1"/>
                <w:w w:val="99"/>
                <w:sz w:val="21"/>
                <w:szCs w:val="21"/>
                <w:highlight w:val="none"/>
              </w:rPr>
              <w:t>A020</w:t>
            </w:r>
            <w:r>
              <w:rPr>
                <w:rFonts w:hint="eastAsia" w:ascii="宋体" w:hAnsi="宋体" w:cs="宋体"/>
                <w:color w:val="auto"/>
                <w:w w:val="99"/>
                <w:sz w:val="21"/>
                <w:szCs w:val="21"/>
                <w:highlight w:val="none"/>
              </w:rPr>
              <w:t>61</w:t>
            </w:r>
            <w:r>
              <w:rPr>
                <w:rFonts w:hint="eastAsia" w:ascii="宋体" w:hAnsi="宋体" w:cs="宋体"/>
                <w:color w:val="auto"/>
                <w:spacing w:val="1"/>
                <w:w w:val="99"/>
                <w:sz w:val="21"/>
                <w:szCs w:val="21"/>
                <w:highlight w:val="none"/>
              </w:rPr>
              <w:t>8</w:t>
            </w:r>
            <w:r>
              <w:rPr>
                <w:rFonts w:hint="eastAsia" w:ascii="宋体" w:hAnsi="宋体" w:cs="宋体"/>
                <w:color w:val="auto"/>
                <w:w w:val="99"/>
                <w:sz w:val="21"/>
                <w:szCs w:val="21"/>
                <w:highlight w:val="none"/>
              </w:rPr>
              <w:t>0203空调</w:t>
            </w:r>
          </w:p>
          <w:p w14:paraId="2A426823">
            <w:pPr>
              <w:pStyle w:val="106"/>
              <w:spacing w:before="50"/>
              <w:ind w:left="7"/>
              <w:rPr>
                <w:rFonts w:ascii="宋体" w:hAnsi="宋体" w:cs="宋体"/>
                <w:color w:val="auto"/>
                <w:sz w:val="21"/>
                <w:szCs w:val="21"/>
                <w:highlight w:val="none"/>
              </w:rPr>
            </w:pPr>
            <w:r>
              <w:rPr>
                <w:rFonts w:hint="eastAsia" w:ascii="宋体" w:hAnsi="宋体" w:cs="宋体"/>
                <w:color w:val="auto"/>
                <w:w w:val="99"/>
                <w:sz w:val="21"/>
                <w:szCs w:val="21"/>
                <w:highlight w:val="none"/>
              </w:rPr>
              <w:t>机</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105CC61F">
            <w:pPr>
              <w:pStyle w:val="106"/>
              <w:rPr>
                <w:rFonts w:ascii="宋体" w:hAnsi="宋体" w:cs="宋体"/>
                <w:color w:val="auto"/>
                <w:sz w:val="21"/>
                <w:szCs w:val="21"/>
                <w:highlight w:val="none"/>
              </w:rPr>
            </w:pPr>
          </w:p>
          <w:p w14:paraId="151053D6">
            <w:pPr>
              <w:pStyle w:val="106"/>
              <w:rPr>
                <w:rFonts w:hint="eastAsia" w:ascii="宋体" w:hAnsi="宋体" w:cs="宋体"/>
                <w:color w:val="auto"/>
                <w:sz w:val="21"/>
                <w:szCs w:val="21"/>
                <w:highlight w:val="none"/>
              </w:rPr>
            </w:pPr>
          </w:p>
          <w:p w14:paraId="0988EDCB">
            <w:pPr>
              <w:pStyle w:val="106"/>
              <w:spacing w:before="12"/>
              <w:rPr>
                <w:rFonts w:hint="eastAsia" w:ascii="宋体" w:hAnsi="宋体" w:cs="宋体"/>
                <w:color w:val="auto"/>
                <w:sz w:val="21"/>
                <w:szCs w:val="21"/>
                <w:highlight w:val="none"/>
              </w:rPr>
            </w:pPr>
          </w:p>
          <w:p w14:paraId="39F0D5DA">
            <w:pPr>
              <w:pStyle w:val="106"/>
              <w:ind w:left="7"/>
              <w:rPr>
                <w:rFonts w:ascii="宋体" w:hAnsi="宋体" w:cs="宋体"/>
                <w:color w:val="auto"/>
                <w:sz w:val="21"/>
                <w:szCs w:val="21"/>
                <w:highlight w:val="none"/>
              </w:rPr>
            </w:pPr>
            <w:r>
              <w:rPr>
                <w:rFonts w:hint="eastAsia" w:ascii="宋体" w:hAnsi="宋体" w:cs="宋体"/>
                <w:color w:val="auto"/>
                <w:w w:val="99"/>
                <w:sz w:val="21"/>
                <w:szCs w:val="21"/>
                <w:highlight w:val="none"/>
              </w:rPr>
              <w:t>房间空</w:t>
            </w:r>
            <w:r>
              <w:rPr>
                <w:rFonts w:hint="eastAsia" w:ascii="宋体" w:hAnsi="宋体" w:cs="宋体"/>
                <w:color w:val="auto"/>
                <w:spacing w:val="2"/>
                <w:w w:val="99"/>
                <w:sz w:val="21"/>
                <w:szCs w:val="21"/>
                <w:highlight w:val="none"/>
              </w:rPr>
              <w:t>气</w:t>
            </w:r>
            <w:r>
              <w:rPr>
                <w:rFonts w:hint="eastAsia" w:ascii="宋体" w:hAnsi="宋体" w:cs="宋体"/>
                <w:color w:val="auto"/>
                <w:w w:val="99"/>
                <w:sz w:val="21"/>
                <w:szCs w:val="21"/>
                <w:highlight w:val="none"/>
              </w:rPr>
              <w:t>调节器</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78D819E3">
            <w:pPr>
              <w:pStyle w:val="106"/>
              <w:wordWrap w:val="0"/>
              <w:spacing w:before="4"/>
              <w:ind w:left="6"/>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《转速可控型房间空气</w:t>
            </w:r>
            <w:r>
              <w:rPr>
                <w:rFonts w:hint="eastAsia" w:ascii="宋体" w:hAnsi="宋体" w:cs="宋体"/>
                <w:color w:val="auto"/>
                <w:spacing w:val="9"/>
                <w:w w:val="99"/>
                <w:sz w:val="21"/>
                <w:szCs w:val="21"/>
                <w:highlight w:val="none"/>
                <w:lang w:eastAsia="zh-CN"/>
              </w:rPr>
              <w:t>调</w:t>
            </w:r>
            <w:r>
              <w:rPr>
                <w:rFonts w:hint="eastAsia" w:ascii="宋体" w:hAnsi="宋体" w:cs="宋体"/>
                <w:color w:val="auto"/>
                <w:spacing w:val="12"/>
                <w:w w:val="99"/>
                <w:sz w:val="21"/>
                <w:szCs w:val="21"/>
                <w:highlight w:val="none"/>
                <w:lang w:eastAsia="zh-CN"/>
              </w:rPr>
              <w:t>节器</w:t>
            </w:r>
            <w:r>
              <w:rPr>
                <w:rFonts w:hint="eastAsia" w:ascii="宋体" w:hAnsi="宋体" w:cs="宋体"/>
                <w:color w:val="auto"/>
                <w:w w:val="99"/>
                <w:sz w:val="21"/>
                <w:szCs w:val="21"/>
                <w:highlight w:val="none"/>
                <w:lang w:eastAsia="zh-CN"/>
              </w:rPr>
              <w:t>能效限定值及能效等级》（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214</w:t>
            </w:r>
            <w:r>
              <w:rPr>
                <w:rFonts w:hint="eastAsia" w:ascii="宋体" w:hAnsi="宋体" w:cs="宋体"/>
                <w:color w:val="auto"/>
                <w:w w:val="99"/>
                <w:sz w:val="21"/>
                <w:szCs w:val="21"/>
                <w:highlight w:val="none"/>
                <w:lang w:eastAsia="zh-CN"/>
              </w:rPr>
              <w:t>55</w:t>
            </w:r>
            <w:r>
              <w:rPr>
                <w:rFonts w:hint="eastAsia" w:ascii="宋体" w:hAnsi="宋体" w:cs="宋体"/>
                <w:color w:val="auto"/>
                <w:spacing w:val="1"/>
                <w:w w:val="99"/>
                <w:sz w:val="21"/>
                <w:szCs w:val="21"/>
                <w:highlight w:val="none"/>
                <w:lang w:eastAsia="zh-CN"/>
              </w:rPr>
              <w:t>-</w:t>
            </w:r>
            <w:r>
              <w:rPr>
                <w:rFonts w:hint="eastAsia" w:ascii="宋体" w:hAnsi="宋体" w:cs="宋体"/>
                <w:color w:val="auto"/>
                <w:w w:val="99"/>
                <w:sz w:val="21"/>
                <w:szCs w:val="21"/>
                <w:highlight w:val="none"/>
                <w:lang w:eastAsia="zh-CN"/>
              </w:rPr>
              <w:t>20</w:t>
            </w:r>
            <w:r>
              <w:rPr>
                <w:rFonts w:hint="eastAsia" w:ascii="宋体" w:hAnsi="宋体" w:cs="宋体"/>
                <w:color w:val="auto"/>
                <w:spacing w:val="1"/>
                <w:w w:val="99"/>
                <w:sz w:val="21"/>
                <w:szCs w:val="21"/>
                <w:highlight w:val="none"/>
                <w:lang w:eastAsia="zh-CN"/>
              </w:rPr>
              <w:t>13</w:t>
            </w:r>
            <w:r>
              <w:rPr>
                <w:rFonts w:hint="eastAsia" w:ascii="宋体" w:hAnsi="宋体" w:cs="宋体"/>
                <w:color w:val="auto"/>
                <w:w w:val="99"/>
                <w:sz w:val="21"/>
                <w:szCs w:val="21"/>
                <w:highlight w:val="none"/>
                <w:lang w:eastAsia="zh-CN"/>
              </w:rPr>
              <w:t>），待</w:t>
            </w:r>
            <w:r>
              <w:rPr>
                <w:rFonts w:hint="eastAsia" w:ascii="宋体" w:hAnsi="宋体" w:cs="宋体"/>
                <w:color w:val="auto"/>
                <w:spacing w:val="1"/>
                <w:w w:val="99"/>
                <w:sz w:val="21"/>
                <w:szCs w:val="21"/>
                <w:highlight w:val="none"/>
                <w:lang w:eastAsia="zh-CN"/>
              </w:rPr>
              <w:t>20</w:t>
            </w:r>
            <w:r>
              <w:rPr>
                <w:rFonts w:hint="eastAsia" w:ascii="宋体" w:hAnsi="宋体" w:cs="宋体"/>
                <w:color w:val="auto"/>
                <w:w w:val="99"/>
                <w:sz w:val="21"/>
                <w:szCs w:val="21"/>
                <w:highlight w:val="none"/>
                <w:lang w:eastAsia="zh-CN"/>
              </w:rPr>
              <w:t>19</w:t>
            </w:r>
            <w:r>
              <w:rPr>
                <w:rFonts w:hint="eastAsia" w:ascii="宋体" w:hAnsi="宋体" w:cs="宋体"/>
                <w:color w:val="auto"/>
                <w:spacing w:val="-3"/>
                <w:w w:val="99"/>
                <w:sz w:val="21"/>
                <w:szCs w:val="21"/>
                <w:highlight w:val="none"/>
                <w:lang w:eastAsia="zh-CN"/>
              </w:rPr>
              <w:t>年</w:t>
            </w:r>
            <w:r>
              <w:rPr>
                <w:rFonts w:hint="eastAsia" w:ascii="宋体" w:hAnsi="宋体" w:cs="宋体"/>
                <w:color w:val="auto"/>
                <w:w w:val="99"/>
                <w:sz w:val="21"/>
                <w:szCs w:val="21"/>
                <w:highlight w:val="none"/>
                <w:lang w:eastAsia="zh-CN"/>
              </w:rPr>
              <w:t>修订发布后</w:t>
            </w:r>
            <w:r>
              <w:rPr>
                <w:rFonts w:hint="eastAsia" w:ascii="宋体" w:hAnsi="宋体" w:cs="宋体"/>
                <w:color w:val="auto"/>
                <w:spacing w:val="-29"/>
                <w:w w:val="99"/>
                <w:sz w:val="21"/>
                <w:szCs w:val="21"/>
                <w:highlight w:val="none"/>
                <w:lang w:eastAsia="zh-CN"/>
              </w:rPr>
              <w:t>，</w:t>
            </w:r>
            <w:r>
              <w:rPr>
                <w:rFonts w:hint="eastAsia" w:ascii="宋体" w:hAnsi="宋体" w:cs="宋体"/>
                <w:color w:val="auto"/>
                <w:spacing w:val="-27"/>
                <w:w w:val="99"/>
                <w:sz w:val="21"/>
                <w:szCs w:val="21"/>
                <w:highlight w:val="none"/>
                <w:lang w:eastAsia="zh-CN"/>
              </w:rPr>
              <w:t>按</w:t>
            </w:r>
            <w:r>
              <w:rPr>
                <w:rFonts w:hint="eastAsia" w:ascii="宋体" w:hAnsi="宋体" w:cs="宋体"/>
                <w:color w:val="auto"/>
                <w:w w:val="99"/>
                <w:sz w:val="21"/>
                <w:szCs w:val="21"/>
                <w:highlight w:val="none"/>
                <w:lang w:eastAsia="zh-CN"/>
              </w:rPr>
              <w:t>《</w:t>
            </w:r>
            <w:r>
              <w:rPr>
                <w:rFonts w:hint="eastAsia" w:ascii="宋体" w:hAnsi="宋体" w:cs="宋体"/>
                <w:color w:val="auto"/>
                <w:spacing w:val="2"/>
                <w:w w:val="99"/>
                <w:sz w:val="21"/>
                <w:szCs w:val="21"/>
                <w:highlight w:val="none"/>
                <w:lang w:eastAsia="zh-CN"/>
              </w:rPr>
              <w:t>房</w:t>
            </w:r>
            <w:r>
              <w:rPr>
                <w:rFonts w:hint="eastAsia" w:ascii="宋体" w:hAnsi="宋体" w:cs="宋体"/>
                <w:color w:val="auto"/>
                <w:w w:val="99"/>
                <w:sz w:val="21"/>
                <w:szCs w:val="21"/>
                <w:highlight w:val="none"/>
                <w:lang w:eastAsia="zh-CN"/>
              </w:rPr>
              <w:t>间空</w:t>
            </w:r>
            <w:r>
              <w:rPr>
                <w:rFonts w:hint="eastAsia" w:ascii="宋体" w:hAnsi="宋体" w:cs="宋体"/>
                <w:color w:val="auto"/>
                <w:spacing w:val="2"/>
                <w:w w:val="99"/>
                <w:sz w:val="21"/>
                <w:szCs w:val="21"/>
                <w:highlight w:val="none"/>
                <w:lang w:eastAsia="zh-CN"/>
              </w:rPr>
              <w:t>气</w:t>
            </w:r>
            <w:r>
              <w:rPr>
                <w:rFonts w:hint="eastAsia" w:ascii="宋体" w:hAnsi="宋体" w:cs="宋体"/>
                <w:color w:val="auto"/>
                <w:w w:val="99"/>
                <w:sz w:val="21"/>
                <w:szCs w:val="21"/>
                <w:highlight w:val="none"/>
                <w:lang w:eastAsia="zh-CN"/>
              </w:rPr>
              <w:t>调节</w:t>
            </w:r>
            <w:r>
              <w:rPr>
                <w:rFonts w:hint="eastAsia" w:ascii="宋体" w:hAnsi="宋体" w:cs="宋体"/>
                <w:color w:val="auto"/>
                <w:spacing w:val="2"/>
                <w:w w:val="99"/>
                <w:sz w:val="21"/>
                <w:szCs w:val="21"/>
                <w:highlight w:val="none"/>
                <w:lang w:eastAsia="zh-CN"/>
              </w:rPr>
              <w:t>器</w:t>
            </w:r>
            <w:r>
              <w:rPr>
                <w:rFonts w:hint="eastAsia" w:ascii="宋体" w:hAnsi="宋体" w:cs="宋体"/>
                <w:color w:val="auto"/>
                <w:w w:val="99"/>
                <w:sz w:val="21"/>
                <w:szCs w:val="21"/>
                <w:highlight w:val="none"/>
                <w:lang w:eastAsia="zh-CN"/>
              </w:rPr>
              <w:t>能效限定值及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spacing w:val="-156"/>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GB214</w:t>
            </w:r>
            <w:r>
              <w:rPr>
                <w:rFonts w:hint="eastAsia" w:ascii="宋体" w:hAnsi="宋体" w:cs="宋体"/>
                <w:color w:val="auto"/>
                <w:w w:val="99"/>
                <w:sz w:val="21"/>
                <w:szCs w:val="21"/>
                <w:highlight w:val="none"/>
                <w:lang w:eastAsia="zh-CN"/>
              </w:rPr>
              <w:t>5</w:t>
            </w:r>
            <w:r>
              <w:rPr>
                <w:rFonts w:hint="eastAsia" w:ascii="宋体" w:hAnsi="宋体" w:cs="宋体"/>
                <w:color w:val="auto"/>
                <w:spacing w:val="-1"/>
                <w:w w:val="99"/>
                <w:sz w:val="21"/>
                <w:szCs w:val="21"/>
                <w:highlight w:val="none"/>
                <w:lang w:eastAsia="zh-CN"/>
              </w:rPr>
              <w:t>5</w:t>
            </w:r>
            <w:r>
              <w:rPr>
                <w:rFonts w:hint="eastAsia" w:ascii="宋体" w:hAnsi="宋体" w:cs="宋体"/>
                <w:color w:val="auto"/>
                <w:spacing w:val="-2"/>
                <w:w w:val="99"/>
                <w:sz w:val="21"/>
                <w:szCs w:val="21"/>
                <w:highlight w:val="none"/>
                <w:lang w:eastAsia="zh-CN"/>
              </w:rPr>
              <w:t>-</w:t>
            </w:r>
            <w:r>
              <w:rPr>
                <w:rFonts w:hint="eastAsia" w:ascii="宋体" w:hAnsi="宋体" w:cs="宋体"/>
                <w:color w:val="auto"/>
                <w:spacing w:val="1"/>
                <w:w w:val="99"/>
                <w:sz w:val="21"/>
                <w:szCs w:val="21"/>
                <w:highlight w:val="none"/>
                <w:lang w:eastAsia="zh-CN"/>
              </w:rPr>
              <w:t>201</w:t>
            </w:r>
            <w:r>
              <w:rPr>
                <w:rFonts w:hint="eastAsia" w:ascii="宋体" w:hAnsi="宋体" w:cs="宋体"/>
                <w:color w:val="auto"/>
                <w:w w:val="99"/>
                <w:sz w:val="21"/>
                <w:szCs w:val="21"/>
                <w:highlight w:val="none"/>
                <w:lang w:eastAsia="zh-CN"/>
              </w:rPr>
              <w:t>9实施。</w:t>
            </w:r>
          </w:p>
        </w:tc>
      </w:tr>
      <w:tr w14:paraId="734FAF30">
        <w:tblPrEx>
          <w:tblCellMar>
            <w:top w:w="0" w:type="dxa"/>
            <w:left w:w="0" w:type="dxa"/>
            <w:bottom w:w="0" w:type="dxa"/>
            <w:right w:w="0" w:type="dxa"/>
          </w:tblCellMar>
        </w:tblPrEx>
        <w:trPr>
          <w:gridAfter w:val="1"/>
          <w:wAfter w:w="16" w:type="dxa"/>
          <w:trHeight w:val="1243"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EF44C">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713F53">
            <w:pPr>
              <w:rPr>
                <w:rFonts w:ascii="宋体" w:hAnsi="宋体" w:cs="宋体"/>
                <w:color w:val="auto"/>
                <w:szCs w:val="21"/>
                <w:highlight w:val="none"/>
              </w:rPr>
            </w:pPr>
          </w:p>
        </w:tc>
        <w:tc>
          <w:tcPr>
            <w:tcW w:w="1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F36888">
            <w:pPr>
              <w:rPr>
                <w:rFonts w:ascii="宋体" w:hAnsi="宋体" w:cs="宋体"/>
                <w:color w:val="auto"/>
                <w:szCs w:val="21"/>
                <w:highlight w:val="none"/>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78AD130A">
            <w:pPr>
              <w:pStyle w:val="106"/>
              <w:wordWrap w:val="0"/>
              <w:spacing w:before="4" w:line="284" w:lineRule="auto"/>
              <w:ind w:left="6" w:right="6"/>
              <w:jc w:val="both"/>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多联式空</w:t>
            </w:r>
            <w:r>
              <w:rPr>
                <w:rFonts w:hint="eastAsia" w:ascii="宋体" w:hAnsi="宋体" w:cs="宋体"/>
                <w:color w:val="auto"/>
                <w:spacing w:val="11"/>
                <w:w w:val="99"/>
                <w:sz w:val="21"/>
                <w:szCs w:val="21"/>
                <w:highlight w:val="none"/>
                <w:lang w:eastAsia="zh-CN"/>
              </w:rPr>
              <w:t>调（</w:t>
            </w:r>
            <w:r>
              <w:rPr>
                <w:rFonts w:hint="eastAsia" w:ascii="宋体" w:hAnsi="宋体" w:cs="宋体"/>
                <w:color w:val="auto"/>
                <w:spacing w:val="12"/>
                <w:w w:val="99"/>
                <w:sz w:val="21"/>
                <w:szCs w:val="21"/>
                <w:highlight w:val="none"/>
                <w:lang w:eastAsia="zh-CN"/>
              </w:rPr>
              <w:t>热泵</w:t>
            </w:r>
            <w:r>
              <w:rPr>
                <w:rFonts w:hint="eastAsia" w:ascii="宋体" w:hAnsi="宋体" w:cs="宋体"/>
                <w:color w:val="auto"/>
                <w:w w:val="99"/>
                <w:sz w:val="21"/>
                <w:szCs w:val="21"/>
                <w:highlight w:val="none"/>
                <w:lang w:eastAsia="zh-CN"/>
              </w:rPr>
              <w:t xml:space="preserve">）机组（制冷量≤ </w:t>
            </w:r>
            <w:r>
              <w:rPr>
                <w:rFonts w:hint="eastAsia" w:ascii="宋体" w:hAnsi="宋体" w:cs="宋体"/>
                <w:color w:val="auto"/>
                <w:spacing w:val="1"/>
                <w:w w:val="99"/>
                <w:sz w:val="21"/>
                <w:szCs w:val="21"/>
                <w:highlight w:val="none"/>
                <w:lang w:eastAsia="zh-CN"/>
              </w:rPr>
              <w:t>140</w:t>
            </w:r>
            <w:r>
              <w:rPr>
                <w:rFonts w:hint="eastAsia" w:ascii="宋体" w:hAnsi="宋体" w:cs="宋体"/>
                <w:color w:val="auto"/>
                <w:w w:val="99"/>
                <w:sz w:val="21"/>
                <w:szCs w:val="21"/>
                <w:highlight w:val="none"/>
                <w:lang w:eastAsia="zh-CN"/>
              </w:rPr>
              <w:t>00</w:t>
            </w:r>
            <w:r>
              <w:rPr>
                <w:rFonts w:hint="eastAsia" w:ascii="宋体" w:hAnsi="宋体" w:cs="宋体"/>
                <w:color w:val="auto"/>
                <w:spacing w:val="1"/>
                <w:w w:val="99"/>
                <w:sz w:val="21"/>
                <w:szCs w:val="21"/>
                <w:highlight w:val="none"/>
                <w:lang w:eastAsia="zh-CN"/>
              </w:rPr>
              <w:t>W</w:t>
            </w:r>
            <w:r>
              <w:rPr>
                <w:rFonts w:hint="eastAsia" w:ascii="宋体" w:hAnsi="宋体" w:cs="宋体"/>
                <w:color w:val="auto"/>
                <w:w w:val="99"/>
                <w:sz w:val="21"/>
                <w:szCs w:val="21"/>
                <w:highlight w:val="none"/>
                <w:lang w:eastAsia="zh-CN"/>
              </w:rPr>
              <w:t>）</w:t>
            </w: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7CEC1CBC">
            <w:pPr>
              <w:pStyle w:val="106"/>
              <w:spacing w:before="160" w:line="283" w:lineRule="auto"/>
              <w:ind w:left="7" w:right="7"/>
              <w:rPr>
                <w:rFonts w:ascii="宋体" w:hAnsi="宋体" w:cs="宋体"/>
                <w:color w:val="auto"/>
                <w:sz w:val="21"/>
                <w:szCs w:val="21"/>
                <w:highlight w:val="none"/>
                <w:lang w:eastAsia="zh-CN"/>
              </w:rPr>
            </w:pPr>
            <w:r>
              <w:rPr>
                <w:rFonts w:hint="eastAsia" w:ascii="宋体" w:hAnsi="宋体" w:cs="宋体"/>
                <w:color w:val="auto"/>
                <w:w w:val="99"/>
                <w:sz w:val="21"/>
                <w:szCs w:val="21"/>
                <w:highlight w:val="none"/>
                <w:lang w:eastAsia="zh-CN"/>
              </w:rPr>
              <w:t>《多联</w:t>
            </w:r>
            <w:r>
              <w:rPr>
                <w:rFonts w:hint="eastAsia" w:ascii="宋体" w:hAnsi="宋体" w:cs="宋体"/>
                <w:color w:val="auto"/>
                <w:spacing w:val="2"/>
                <w:w w:val="99"/>
                <w:sz w:val="21"/>
                <w:szCs w:val="21"/>
                <w:highlight w:val="none"/>
                <w:lang w:eastAsia="zh-CN"/>
              </w:rPr>
              <w:t>式</w:t>
            </w:r>
            <w:r>
              <w:rPr>
                <w:rFonts w:hint="eastAsia" w:ascii="宋体" w:hAnsi="宋体" w:cs="宋体"/>
                <w:color w:val="auto"/>
                <w:w w:val="99"/>
                <w:sz w:val="21"/>
                <w:szCs w:val="21"/>
                <w:highlight w:val="none"/>
                <w:lang w:eastAsia="zh-CN"/>
              </w:rPr>
              <w:t>空</w:t>
            </w:r>
            <w:r>
              <w:rPr>
                <w:rFonts w:hint="eastAsia" w:ascii="宋体" w:hAnsi="宋体" w:cs="宋体"/>
                <w:color w:val="auto"/>
                <w:spacing w:val="-27"/>
                <w:w w:val="99"/>
                <w:sz w:val="21"/>
                <w:szCs w:val="21"/>
                <w:highlight w:val="none"/>
                <w:lang w:eastAsia="zh-CN"/>
              </w:rPr>
              <w:t>调</w:t>
            </w:r>
            <w:r>
              <w:rPr>
                <w:rFonts w:hint="eastAsia" w:ascii="宋体" w:hAnsi="宋体" w:cs="宋体"/>
                <w:color w:val="auto"/>
                <w:w w:val="99"/>
                <w:sz w:val="21"/>
                <w:szCs w:val="21"/>
                <w:highlight w:val="none"/>
                <w:lang w:eastAsia="zh-CN"/>
              </w:rPr>
              <w:t>（热</w:t>
            </w:r>
            <w:r>
              <w:rPr>
                <w:rFonts w:hint="eastAsia" w:ascii="宋体" w:hAnsi="宋体" w:cs="宋体"/>
                <w:color w:val="auto"/>
                <w:spacing w:val="2"/>
                <w:w w:val="99"/>
                <w:sz w:val="21"/>
                <w:szCs w:val="21"/>
                <w:highlight w:val="none"/>
                <w:lang w:eastAsia="zh-CN"/>
              </w:rPr>
              <w:t>泵</w:t>
            </w:r>
            <w:r>
              <w:rPr>
                <w:rFonts w:hint="eastAsia" w:ascii="宋体" w:hAnsi="宋体" w:cs="宋体"/>
                <w:color w:val="auto"/>
                <w:spacing w:val="-29"/>
                <w:w w:val="99"/>
                <w:sz w:val="21"/>
                <w:szCs w:val="21"/>
                <w:highlight w:val="none"/>
                <w:lang w:eastAsia="zh-CN"/>
              </w:rPr>
              <w:t>）</w:t>
            </w:r>
            <w:r>
              <w:rPr>
                <w:rFonts w:hint="eastAsia" w:ascii="宋体" w:hAnsi="宋体" w:cs="宋体"/>
                <w:color w:val="auto"/>
                <w:w w:val="99"/>
                <w:sz w:val="21"/>
                <w:szCs w:val="21"/>
                <w:highlight w:val="none"/>
                <w:lang w:eastAsia="zh-CN"/>
              </w:rPr>
              <w:t>机</w:t>
            </w:r>
            <w:r>
              <w:rPr>
                <w:rFonts w:hint="eastAsia" w:ascii="宋体" w:hAnsi="宋体" w:cs="宋体"/>
                <w:color w:val="auto"/>
                <w:spacing w:val="2"/>
                <w:w w:val="99"/>
                <w:sz w:val="21"/>
                <w:szCs w:val="21"/>
                <w:highlight w:val="none"/>
                <w:lang w:eastAsia="zh-CN"/>
              </w:rPr>
              <w:t>组</w:t>
            </w:r>
            <w:r>
              <w:rPr>
                <w:rFonts w:hint="eastAsia" w:ascii="宋体" w:hAnsi="宋体" w:cs="宋体"/>
                <w:color w:val="auto"/>
                <w:w w:val="99"/>
                <w:sz w:val="21"/>
                <w:szCs w:val="21"/>
                <w:highlight w:val="none"/>
                <w:lang w:eastAsia="zh-CN"/>
              </w:rPr>
              <w:t>能效限定值及</w:t>
            </w:r>
            <w:r>
              <w:rPr>
                <w:rFonts w:hint="eastAsia" w:ascii="宋体" w:hAnsi="宋体" w:cs="宋体"/>
                <w:color w:val="auto"/>
                <w:spacing w:val="2"/>
                <w:w w:val="99"/>
                <w:sz w:val="21"/>
                <w:szCs w:val="21"/>
                <w:highlight w:val="none"/>
                <w:lang w:eastAsia="zh-CN"/>
              </w:rPr>
              <w:t>能</w:t>
            </w:r>
            <w:r>
              <w:rPr>
                <w:rFonts w:hint="eastAsia" w:ascii="宋体" w:hAnsi="宋体" w:cs="宋体"/>
                <w:color w:val="auto"/>
                <w:w w:val="99"/>
                <w:sz w:val="21"/>
                <w:szCs w:val="21"/>
                <w:highlight w:val="none"/>
                <w:lang w:eastAsia="zh-CN"/>
              </w:rPr>
              <w:t>源效</w:t>
            </w:r>
            <w:r>
              <w:rPr>
                <w:rFonts w:hint="eastAsia" w:ascii="宋体" w:hAnsi="宋体" w:cs="宋体"/>
                <w:color w:val="auto"/>
                <w:spacing w:val="2"/>
                <w:w w:val="99"/>
                <w:sz w:val="21"/>
                <w:szCs w:val="21"/>
                <w:highlight w:val="none"/>
                <w:lang w:eastAsia="zh-CN"/>
              </w:rPr>
              <w:t>率</w:t>
            </w:r>
            <w:r>
              <w:rPr>
                <w:rFonts w:hint="eastAsia" w:ascii="宋体" w:hAnsi="宋体" w:cs="宋体"/>
                <w:color w:val="auto"/>
                <w:w w:val="99"/>
                <w:sz w:val="21"/>
                <w:szCs w:val="21"/>
                <w:highlight w:val="none"/>
                <w:lang w:eastAsia="zh-CN"/>
              </w:rPr>
              <w:t>等级</w:t>
            </w:r>
            <w:r>
              <w:rPr>
                <w:rFonts w:hint="eastAsia" w:ascii="宋体" w:hAnsi="宋体" w:cs="宋体"/>
                <w:color w:val="auto"/>
                <w:spacing w:val="-106"/>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2145</w:t>
            </w:r>
            <w:r>
              <w:rPr>
                <w:rFonts w:hint="eastAsia" w:ascii="宋体" w:hAnsi="宋体" w:cs="宋体"/>
                <w:color w:val="auto"/>
                <w:w w:val="99"/>
                <w:sz w:val="21"/>
                <w:szCs w:val="21"/>
                <w:highlight w:val="none"/>
                <w:lang w:eastAsia="zh-CN"/>
              </w:rPr>
              <w:t>4）</w:t>
            </w:r>
          </w:p>
        </w:tc>
      </w:tr>
      <w:tr w14:paraId="7CC26FCD">
        <w:tblPrEx>
          <w:tblCellMar>
            <w:top w:w="0" w:type="dxa"/>
            <w:left w:w="0" w:type="dxa"/>
            <w:bottom w:w="0" w:type="dxa"/>
            <w:right w:w="0" w:type="dxa"/>
          </w:tblCellMar>
        </w:tblPrEx>
        <w:trPr>
          <w:gridAfter w:val="1"/>
          <w:wAfter w:w="16" w:type="dxa"/>
          <w:trHeight w:val="1385"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B1426">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E89432">
            <w:pPr>
              <w:rPr>
                <w:rFonts w:ascii="宋体" w:hAnsi="宋体" w:cs="宋体"/>
                <w:color w:val="auto"/>
                <w:szCs w:val="21"/>
                <w:highlight w:val="none"/>
              </w:rPr>
            </w:pPr>
          </w:p>
        </w:tc>
        <w:tc>
          <w:tcPr>
            <w:tcW w:w="193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4D1CA4">
            <w:pPr>
              <w:rPr>
                <w:rFonts w:ascii="宋体" w:hAnsi="宋体" w:cs="宋体"/>
                <w:color w:val="auto"/>
                <w:szCs w:val="21"/>
                <w:highlight w:val="none"/>
              </w:rPr>
            </w:pP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0085DB60">
            <w:pPr>
              <w:pStyle w:val="106"/>
              <w:rPr>
                <w:rFonts w:hint="eastAsia" w:ascii="宋体" w:hAnsi="宋体" w:cs="宋体"/>
                <w:color w:val="auto"/>
                <w:w w:val="99"/>
                <w:sz w:val="21"/>
                <w:szCs w:val="21"/>
                <w:highlight w:val="none"/>
                <w:lang w:eastAsia="zh-CN"/>
              </w:rPr>
            </w:pPr>
            <w:r>
              <w:rPr>
                <w:rFonts w:hint="eastAsia" w:ascii="宋体" w:hAnsi="宋体" w:cs="宋体"/>
                <w:color w:val="auto"/>
                <w:w w:val="99"/>
                <w:sz w:val="21"/>
                <w:szCs w:val="21"/>
                <w:highlight w:val="none"/>
                <w:lang w:eastAsia="zh-CN"/>
              </w:rPr>
              <w:t>单元式空气调节机</w:t>
            </w:r>
          </w:p>
          <w:p w14:paraId="4FD85DEE">
            <w:pPr>
              <w:pStyle w:val="106"/>
              <w:spacing w:line="256" w:lineRule="exact"/>
              <w:ind w:left="7"/>
              <w:rPr>
                <w:rFonts w:ascii="宋体" w:hAnsi="宋体" w:cs="宋体"/>
                <w:color w:val="auto"/>
                <w:sz w:val="21"/>
                <w:szCs w:val="21"/>
                <w:highlight w:val="none"/>
                <w:lang w:eastAsia="zh-CN"/>
              </w:rPr>
            </w:pPr>
            <w:r>
              <w:rPr>
                <w:rFonts w:hint="eastAsia" w:ascii="宋体" w:hAnsi="宋体" w:cs="宋体"/>
                <w:color w:val="auto"/>
                <w:spacing w:val="1"/>
                <w:w w:val="99"/>
                <w:sz w:val="21"/>
                <w:szCs w:val="21"/>
                <w:highlight w:val="none"/>
                <w:lang w:eastAsia="zh-CN"/>
              </w:rPr>
              <w:t>(</w:t>
            </w:r>
            <w:r>
              <w:rPr>
                <w:rFonts w:hint="eastAsia" w:ascii="宋体" w:hAnsi="宋体" w:cs="宋体"/>
                <w:color w:val="auto"/>
                <w:w w:val="99"/>
                <w:sz w:val="21"/>
                <w:szCs w:val="21"/>
                <w:highlight w:val="none"/>
                <w:lang w:eastAsia="zh-CN"/>
              </w:rPr>
              <w:t>制冷量≤</w:t>
            </w:r>
            <w:r>
              <w:rPr>
                <w:rFonts w:hint="eastAsia" w:ascii="宋体" w:hAnsi="宋体" w:cs="宋体"/>
                <w:color w:val="auto"/>
                <w:spacing w:val="1"/>
                <w:w w:val="99"/>
                <w:sz w:val="21"/>
                <w:szCs w:val="21"/>
                <w:highlight w:val="none"/>
                <w:lang w:eastAsia="zh-CN"/>
              </w:rPr>
              <w:t>14000W</w:t>
            </w:r>
            <w:r>
              <w:rPr>
                <w:rFonts w:hint="eastAsia" w:ascii="宋体" w:hAnsi="宋体" w:cs="宋体"/>
                <w:color w:val="auto"/>
                <w:w w:val="99"/>
                <w:sz w:val="21"/>
                <w:szCs w:val="21"/>
                <w:highlight w:val="none"/>
                <w:lang w:eastAsia="zh-CN"/>
              </w:rPr>
              <w:t>)</w:t>
            </w:r>
          </w:p>
        </w:tc>
        <w:tc>
          <w:tcPr>
            <w:tcW w:w="3631" w:type="dxa"/>
            <w:tcBorders>
              <w:top w:val="single" w:color="000000" w:sz="4" w:space="0"/>
              <w:left w:val="single" w:color="000000" w:sz="4" w:space="0"/>
              <w:right w:val="single" w:color="000000" w:sz="4" w:space="0"/>
            </w:tcBorders>
            <w:noWrap w:val="0"/>
            <w:vAlign w:val="top"/>
          </w:tcPr>
          <w:p w14:paraId="5120F7F0">
            <w:pPr>
              <w:pStyle w:val="106"/>
              <w:spacing w:before="4"/>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《单元式空气调节机能</w:t>
            </w:r>
            <w:r>
              <w:rPr>
                <w:rFonts w:hint="eastAsia" w:ascii="宋体" w:hAnsi="宋体" w:cs="宋体"/>
                <w:color w:val="auto"/>
                <w:spacing w:val="9"/>
                <w:w w:val="99"/>
                <w:sz w:val="21"/>
                <w:szCs w:val="21"/>
                <w:highlight w:val="none"/>
                <w:lang w:eastAsia="zh-CN"/>
              </w:rPr>
              <w:t>效</w:t>
            </w:r>
            <w:r>
              <w:rPr>
                <w:rFonts w:hint="eastAsia" w:ascii="宋体" w:hAnsi="宋体" w:cs="宋体"/>
                <w:color w:val="auto"/>
                <w:spacing w:val="12"/>
                <w:w w:val="99"/>
                <w:sz w:val="21"/>
                <w:szCs w:val="21"/>
                <w:highlight w:val="none"/>
                <w:lang w:eastAsia="zh-CN"/>
              </w:rPr>
              <w:t>限定</w:t>
            </w:r>
            <w:r>
              <w:rPr>
                <w:rFonts w:hint="eastAsia" w:ascii="宋体" w:hAnsi="宋体" w:cs="宋体"/>
                <w:color w:val="auto"/>
                <w:w w:val="99"/>
                <w:sz w:val="21"/>
                <w:szCs w:val="21"/>
                <w:highlight w:val="none"/>
                <w:lang w:eastAsia="zh-CN"/>
              </w:rPr>
              <w:t>值及能源</w:t>
            </w:r>
            <w:r>
              <w:rPr>
                <w:rFonts w:hint="eastAsia" w:ascii="宋体" w:hAnsi="宋体" w:cs="宋体"/>
                <w:color w:val="auto"/>
                <w:spacing w:val="2"/>
                <w:w w:val="99"/>
                <w:sz w:val="21"/>
                <w:szCs w:val="21"/>
                <w:highlight w:val="none"/>
                <w:lang w:eastAsia="zh-CN"/>
              </w:rPr>
              <w:t>效</w:t>
            </w:r>
            <w:r>
              <w:rPr>
                <w:rFonts w:hint="eastAsia" w:ascii="宋体" w:hAnsi="宋体" w:cs="宋体"/>
                <w:color w:val="auto"/>
                <w:w w:val="99"/>
                <w:sz w:val="21"/>
                <w:szCs w:val="21"/>
                <w:highlight w:val="none"/>
                <w:lang w:eastAsia="zh-CN"/>
              </w:rPr>
              <w:t>率等</w:t>
            </w:r>
            <w:r>
              <w:rPr>
                <w:rFonts w:hint="eastAsia" w:ascii="宋体" w:hAnsi="宋体" w:cs="宋体"/>
                <w:color w:val="auto"/>
                <w:spacing w:val="2"/>
                <w:w w:val="99"/>
                <w:sz w:val="21"/>
                <w:szCs w:val="21"/>
                <w:highlight w:val="none"/>
                <w:lang w:eastAsia="zh-CN"/>
              </w:rPr>
              <w:t>级</w:t>
            </w:r>
            <w:r>
              <w:rPr>
                <w:rFonts w:hint="eastAsia" w:ascii="宋体" w:hAnsi="宋体" w:cs="宋体"/>
                <w:color w:val="auto"/>
                <w:spacing w:val="-104"/>
                <w:w w:val="99"/>
                <w:sz w:val="21"/>
                <w:szCs w:val="21"/>
                <w:highlight w:val="none"/>
                <w:lang w:eastAsia="zh-CN"/>
              </w:rPr>
              <w:t>》</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195</w:t>
            </w:r>
            <w:r>
              <w:rPr>
                <w:rFonts w:hint="eastAsia" w:ascii="宋体" w:hAnsi="宋体" w:cs="宋体"/>
                <w:color w:val="auto"/>
                <w:w w:val="99"/>
                <w:sz w:val="21"/>
                <w:szCs w:val="21"/>
                <w:highlight w:val="none"/>
                <w:lang w:eastAsia="zh-CN"/>
              </w:rPr>
              <w:t>7</w:t>
            </w:r>
            <w:r>
              <w:rPr>
                <w:rFonts w:hint="eastAsia" w:ascii="宋体" w:hAnsi="宋体" w:cs="宋体"/>
                <w:color w:val="auto"/>
                <w:spacing w:val="-3"/>
                <w:w w:val="99"/>
                <w:sz w:val="21"/>
                <w:szCs w:val="21"/>
                <w:highlight w:val="none"/>
                <w:lang w:eastAsia="zh-CN"/>
              </w:rPr>
              <w:t>6</w:t>
            </w:r>
            <w:r>
              <w:rPr>
                <w:rFonts w:hint="eastAsia" w:ascii="宋体" w:hAnsi="宋体" w:cs="宋体"/>
                <w:color w:val="auto"/>
                <w:spacing w:val="-104"/>
                <w:w w:val="99"/>
                <w:sz w:val="21"/>
                <w:szCs w:val="21"/>
                <w:highlight w:val="none"/>
                <w:lang w:eastAsia="zh-CN"/>
              </w:rPr>
              <w:t>）</w:t>
            </w:r>
            <w:r>
              <w:rPr>
                <w:rFonts w:hint="eastAsia" w:ascii="宋体" w:hAnsi="宋体" w:cs="宋体"/>
                <w:color w:val="auto"/>
                <w:w w:val="99"/>
                <w:sz w:val="21"/>
                <w:szCs w:val="21"/>
                <w:highlight w:val="none"/>
                <w:lang w:eastAsia="zh-CN"/>
              </w:rPr>
              <w:t>《风</w:t>
            </w:r>
          </w:p>
          <w:p w14:paraId="3A7E5D7D">
            <w:pPr>
              <w:pStyle w:val="106"/>
              <w:spacing w:line="256" w:lineRule="exact"/>
              <w:ind w:left="7"/>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管送风式空调机组能效</w:t>
            </w:r>
            <w:r>
              <w:rPr>
                <w:rFonts w:hint="eastAsia" w:ascii="宋体" w:hAnsi="宋体" w:cs="宋体"/>
                <w:color w:val="auto"/>
                <w:spacing w:val="9"/>
                <w:w w:val="99"/>
                <w:sz w:val="21"/>
                <w:szCs w:val="21"/>
                <w:highlight w:val="none"/>
                <w:lang w:eastAsia="zh-CN"/>
              </w:rPr>
              <w:t>限</w:t>
            </w:r>
            <w:r>
              <w:rPr>
                <w:rFonts w:hint="eastAsia" w:ascii="宋体" w:hAnsi="宋体" w:cs="宋体"/>
                <w:color w:val="auto"/>
                <w:spacing w:val="12"/>
                <w:w w:val="99"/>
                <w:sz w:val="21"/>
                <w:szCs w:val="21"/>
                <w:highlight w:val="none"/>
                <w:lang w:eastAsia="zh-CN"/>
              </w:rPr>
              <w:t>定值</w:t>
            </w:r>
            <w:r>
              <w:rPr>
                <w:rFonts w:hint="eastAsia" w:ascii="宋体" w:hAnsi="宋体" w:cs="宋体"/>
                <w:color w:val="auto"/>
                <w:w w:val="99"/>
                <w:sz w:val="21"/>
                <w:szCs w:val="21"/>
                <w:highlight w:val="none"/>
                <w:lang w:eastAsia="zh-CN"/>
              </w:rPr>
              <w:t>及能效等</w:t>
            </w:r>
            <w:r>
              <w:rPr>
                <w:rFonts w:hint="eastAsia" w:ascii="宋体" w:hAnsi="宋体" w:cs="宋体"/>
                <w:color w:val="auto"/>
                <w:spacing w:val="2"/>
                <w:w w:val="99"/>
                <w:sz w:val="21"/>
                <w:szCs w:val="21"/>
                <w:highlight w:val="none"/>
                <w:lang w:eastAsia="zh-CN"/>
              </w:rPr>
              <w:t>级</w:t>
            </w:r>
            <w:r>
              <w:rPr>
                <w:rFonts w:hint="eastAsia" w:ascii="宋体" w:hAnsi="宋体" w:cs="宋体"/>
                <w:color w:val="auto"/>
                <w:w w:val="99"/>
                <w:sz w:val="21"/>
                <w:szCs w:val="21"/>
                <w:highlight w:val="none"/>
                <w:lang w:eastAsia="zh-CN"/>
              </w:rPr>
              <w:t>》（</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374</w:t>
            </w:r>
            <w:r>
              <w:rPr>
                <w:rFonts w:hint="eastAsia" w:ascii="宋体" w:hAnsi="宋体" w:cs="宋体"/>
                <w:color w:val="auto"/>
                <w:w w:val="99"/>
                <w:sz w:val="21"/>
                <w:szCs w:val="21"/>
                <w:highlight w:val="none"/>
                <w:lang w:eastAsia="zh-CN"/>
              </w:rPr>
              <w:t>7</w:t>
            </w:r>
            <w:r>
              <w:rPr>
                <w:rFonts w:hint="eastAsia" w:ascii="宋体" w:hAnsi="宋体" w:cs="宋体"/>
                <w:color w:val="auto"/>
                <w:spacing w:val="-1"/>
                <w:w w:val="99"/>
                <w:sz w:val="21"/>
                <w:szCs w:val="21"/>
                <w:highlight w:val="none"/>
                <w:lang w:eastAsia="zh-CN"/>
              </w:rPr>
              <w:t>9</w:t>
            </w:r>
            <w:r>
              <w:rPr>
                <w:rFonts w:hint="eastAsia" w:ascii="宋体" w:hAnsi="宋体" w:cs="宋体"/>
                <w:color w:val="auto"/>
                <w:w w:val="99"/>
                <w:sz w:val="21"/>
                <w:szCs w:val="21"/>
                <w:highlight w:val="none"/>
                <w:lang w:eastAsia="zh-CN"/>
              </w:rPr>
              <w:t>）</w:t>
            </w:r>
          </w:p>
        </w:tc>
      </w:tr>
      <w:tr w14:paraId="3BC2B65B">
        <w:tblPrEx>
          <w:tblCellMar>
            <w:top w:w="0" w:type="dxa"/>
            <w:left w:w="0" w:type="dxa"/>
            <w:bottom w:w="0" w:type="dxa"/>
            <w:right w:w="0" w:type="dxa"/>
          </w:tblCellMar>
        </w:tblPrEx>
        <w:trPr>
          <w:gridAfter w:val="1"/>
          <w:wAfter w:w="16" w:type="dxa"/>
          <w:trHeight w:val="984" w:hRule="exact"/>
          <w:jc w:val="center"/>
        </w:trPr>
        <w:tc>
          <w:tcPr>
            <w:tcW w:w="6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C438C">
            <w:pPr>
              <w:rPr>
                <w:rFonts w:ascii="宋体" w:hAnsi="宋体" w:cs="宋体"/>
                <w:color w:val="auto"/>
                <w:szCs w:val="21"/>
                <w:highlight w:val="none"/>
              </w:rPr>
            </w:pPr>
          </w:p>
        </w:tc>
        <w:tc>
          <w:tcPr>
            <w:tcW w:w="11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A666D4">
            <w:pPr>
              <w:rPr>
                <w:rFonts w:ascii="宋体" w:hAnsi="宋体" w:cs="宋体"/>
                <w:color w:val="auto"/>
                <w:szCs w:val="21"/>
                <w:highlight w:val="none"/>
              </w:rPr>
            </w:pPr>
          </w:p>
        </w:tc>
        <w:tc>
          <w:tcPr>
            <w:tcW w:w="1931" w:type="dxa"/>
            <w:gridSpan w:val="2"/>
            <w:tcBorders>
              <w:top w:val="single" w:color="000000" w:sz="4" w:space="0"/>
              <w:left w:val="single" w:color="000000" w:sz="4" w:space="0"/>
              <w:bottom w:val="single" w:color="000000" w:sz="4" w:space="0"/>
              <w:right w:val="single" w:color="000000" w:sz="4" w:space="0"/>
            </w:tcBorders>
            <w:noWrap w:val="0"/>
            <w:vAlign w:val="top"/>
          </w:tcPr>
          <w:p w14:paraId="79028BCB">
            <w:pPr>
              <w:pStyle w:val="106"/>
              <w:spacing w:before="162"/>
              <w:ind w:left="7"/>
              <w:rPr>
                <w:rFonts w:ascii="宋体" w:hAnsi="宋体" w:cs="宋体"/>
                <w:color w:val="auto"/>
                <w:sz w:val="21"/>
                <w:szCs w:val="21"/>
                <w:highlight w:val="none"/>
              </w:rPr>
            </w:pPr>
            <w:r>
              <w:rPr>
                <w:rFonts w:hint="eastAsia" w:ascii="宋体" w:hAnsi="宋体" w:cs="宋体"/>
                <w:color w:val="auto"/>
                <w:spacing w:val="1"/>
                <w:w w:val="99"/>
                <w:sz w:val="21"/>
                <w:szCs w:val="21"/>
                <w:highlight w:val="none"/>
              </w:rPr>
              <w:t>A02</w:t>
            </w:r>
            <w:r>
              <w:rPr>
                <w:rFonts w:hint="eastAsia" w:ascii="宋体" w:hAnsi="宋体" w:cs="宋体"/>
                <w:color w:val="auto"/>
                <w:w w:val="99"/>
                <w:sz w:val="21"/>
                <w:szCs w:val="21"/>
                <w:highlight w:val="none"/>
              </w:rPr>
              <w:t>06</w:t>
            </w:r>
            <w:r>
              <w:rPr>
                <w:rFonts w:hint="eastAsia" w:ascii="宋体" w:hAnsi="宋体" w:cs="宋体"/>
                <w:color w:val="auto"/>
                <w:spacing w:val="1"/>
                <w:w w:val="99"/>
                <w:sz w:val="21"/>
                <w:szCs w:val="21"/>
                <w:highlight w:val="none"/>
              </w:rPr>
              <w:t>1</w:t>
            </w:r>
            <w:r>
              <w:rPr>
                <w:rFonts w:hint="eastAsia" w:ascii="宋体" w:hAnsi="宋体" w:cs="宋体"/>
                <w:color w:val="auto"/>
                <w:w w:val="99"/>
                <w:sz w:val="21"/>
                <w:szCs w:val="21"/>
                <w:highlight w:val="none"/>
              </w:rPr>
              <w:t>80</w:t>
            </w:r>
            <w:r>
              <w:rPr>
                <w:rFonts w:hint="eastAsia" w:ascii="宋体" w:hAnsi="宋体" w:cs="宋体"/>
                <w:color w:val="auto"/>
                <w:spacing w:val="1"/>
                <w:w w:val="99"/>
                <w:sz w:val="21"/>
                <w:szCs w:val="21"/>
                <w:highlight w:val="none"/>
              </w:rPr>
              <w:t>3</w:t>
            </w:r>
            <w:r>
              <w:rPr>
                <w:rFonts w:hint="eastAsia" w:ascii="宋体" w:hAnsi="宋体" w:cs="宋体"/>
                <w:color w:val="auto"/>
                <w:w w:val="99"/>
                <w:sz w:val="21"/>
                <w:szCs w:val="21"/>
                <w:highlight w:val="none"/>
              </w:rPr>
              <w:t>01洗衣机</w:t>
            </w:r>
          </w:p>
        </w:tc>
        <w:tc>
          <w:tcPr>
            <w:tcW w:w="2021" w:type="dxa"/>
            <w:tcBorders>
              <w:top w:val="single" w:color="000000" w:sz="4" w:space="0"/>
              <w:left w:val="single" w:color="000000" w:sz="4" w:space="0"/>
              <w:bottom w:val="single" w:color="000000" w:sz="4" w:space="0"/>
              <w:right w:val="single" w:color="000000" w:sz="4" w:space="0"/>
            </w:tcBorders>
            <w:noWrap w:val="0"/>
            <w:vAlign w:val="top"/>
          </w:tcPr>
          <w:p w14:paraId="4EDA9766">
            <w:pPr>
              <w:rPr>
                <w:rFonts w:ascii="Calibri" w:hAnsi="Calibri"/>
                <w:color w:val="auto"/>
                <w:szCs w:val="21"/>
                <w:highlight w:val="none"/>
                <w:lang w:eastAsia="en-US"/>
              </w:rPr>
            </w:pPr>
          </w:p>
        </w:tc>
        <w:tc>
          <w:tcPr>
            <w:tcW w:w="3631" w:type="dxa"/>
            <w:tcBorders>
              <w:top w:val="single" w:color="000000" w:sz="4" w:space="0"/>
              <w:left w:val="single" w:color="000000" w:sz="4" w:space="0"/>
              <w:bottom w:val="single" w:color="000000" w:sz="4" w:space="0"/>
              <w:right w:val="single" w:color="000000" w:sz="4" w:space="0"/>
            </w:tcBorders>
            <w:noWrap w:val="0"/>
            <w:vAlign w:val="top"/>
          </w:tcPr>
          <w:p w14:paraId="50DDB910">
            <w:pPr>
              <w:pStyle w:val="106"/>
              <w:spacing w:before="6" w:line="283" w:lineRule="auto"/>
              <w:ind w:left="7" w:right="4"/>
              <w:rPr>
                <w:rFonts w:ascii="宋体" w:hAnsi="宋体" w:cs="宋体"/>
                <w:color w:val="auto"/>
                <w:sz w:val="21"/>
                <w:szCs w:val="21"/>
                <w:highlight w:val="none"/>
                <w:lang w:eastAsia="zh-CN"/>
              </w:rPr>
            </w:pPr>
            <w:r>
              <w:rPr>
                <w:rFonts w:hint="eastAsia" w:ascii="宋体" w:hAnsi="宋体" w:cs="宋体"/>
                <w:color w:val="auto"/>
                <w:spacing w:val="12"/>
                <w:w w:val="99"/>
                <w:sz w:val="21"/>
                <w:szCs w:val="21"/>
                <w:highlight w:val="none"/>
                <w:lang w:eastAsia="zh-CN"/>
              </w:rPr>
              <w:t>《电动洗衣机能效水效</w:t>
            </w:r>
            <w:r>
              <w:rPr>
                <w:rFonts w:hint="eastAsia" w:ascii="宋体" w:hAnsi="宋体" w:cs="宋体"/>
                <w:color w:val="auto"/>
                <w:spacing w:val="9"/>
                <w:w w:val="99"/>
                <w:sz w:val="21"/>
                <w:szCs w:val="21"/>
                <w:highlight w:val="none"/>
                <w:lang w:eastAsia="zh-CN"/>
              </w:rPr>
              <w:t>限</w:t>
            </w:r>
            <w:r>
              <w:rPr>
                <w:rFonts w:hint="eastAsia" w:ascii="宋体" w:hAnsi="宋体" w:cs="宋体"/>
                <w:color w:val="auto"/>
                <w:spacing w:val="12"/>
                <w:w w:val="99"/>
                <w:sz w:val="21"/>
                <w:szCs w:val="21"/>
                <w:highlight w:val="none"/>
                <w:lang w:eastAsia="zh-CN"/>
              </w:rPr>
              <w:t>定值</w:t>
            </w:r>
            <w:r>
              <w:rPr>
                <w:rFonts w:hint="eastAsia" w:ascii="宋体" w:hAnsi="宋体" w:cs="宋体"/>
                <w:color w:val="auto"/>
                <w:w w:val="99"/>
                <w:sz w:val="21"/>
                <w:szCs w:val="21"/>
                <w:highlight w:val="none"/>
                <w:lang w:eastAsia="zh-CN"/>
              </w:rPr>
              <w:t>及等级》（</w:t>
            </w:r>
            <w:r>
              <w:rPr>
                <w:rFonts w:hint="eastAsia" w:ascii="宋体" w:hAnsi="宋体" w:cs="宋体"/>
                <w:color w:val="auto"/>
                <w:spacing w:val="1"/>
                <w:w w:val="99"/>
                <w:sz w:val="21"/>
                <w:szCs w:val="21"/>
                <w:highlight w:val="none"/>
                <w:lang w:eastAsia="zh-CN"/>
              </w:rPr>
              <w:t>G</w:t>
            </w:r>
            <w:r>
              <w:rPr>
                <w:rFonts w:hint="eastAsia" w:ascii="宋体" w:hAnsi="宋体" w:cs="宋体"/>
                <w:color w:val="auto"/>
                <w:w w:val="99"/>
                <w:sz w:val="21"/>
                <w:szCs w:val="21"/>
                <w:highlight w:val="none"/>
                <w:lang w:eastAsia="zh-CN"/>
              </w:rPr>
              <w:t>B</w:t>
            </w:r>
            <w:r>
              <w:rPr>
                <w:rFonts w:hint="eastAsia" w:ascii="宋体" w:hAnsi="宋体" w:cs="宋体"/>
                <w:color w:val="auto"/>
                <w:spacing w:val="1"/>
                <w:w w:val="99"/>
                <w:sz w:val="21"/>
                <w:szCs w:val="21"/>
                <w:highlight w:val="none"/>
                <w:lang w:eastAsia="zh-CN"/>
              </w:rPr>
              <w:t>1202</w:t>
            </w:r>
            <w:r>
              <w:rPr>
                <w:rFonts w:hint="eastAsia" w:ascii="宋体" w:hAnsi="宋体" w:cs="宋体"/>
                <w:color w:val="auto"/>
                <w:w w:val="99"/>
                <w:sz w:val="21"/>
                <w:szCs w:val="21"/>
                <w:highlight w:val="none"/>
                <w:lang w:eastAsia="zh-CN"/>
              </w:rPr>
              <w:t>1.</w:t>
            </w:r>
            <w:r>
              <w:rPr>
                <w:rFonts w:hint="eastAsia" w:ascii="宋体" w:hAnsi="宋体" w:cs="宋体"/>
                <w:color w:val="auto"/>
                <w:spacing w:val="1"/>
                <w:w w:val="99"/>
                <w:sz w:val="21"/>
                <w:szCs w:val="21"/>
                <w:highlight w:val="none"/>
                <w:lang w:eastAsia="zh-CN"/>
              </w:rPr>
              <w:t>4</w:t>
            </w:r>
            <w:r>
              <w:rPr>
                <w:rFonts w:hint="eastAsia" w:ascii="宋体" w:hAnsi="宋体" w:cs="宋体"/>
                <w:color w:val="auto"/>
                <w:w w:val="99"/>
                <w:sz w:val="21"/>
                <w:szCs w:val="21"/>
                <w:highlight w:val="none"/>
                <w:lang w:eastAsia="zh-CN"/>
              </w:rPr>
              <w:t>）</w:t>
            </w:r>
          </w:p>
        </w:tc>
      </w:tr>
      <w:tr w14:paraId="4559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739" w:hRule="exac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top"/>
          </w:tcPr>
          <w:p w14:paraId="6828C957">
            <w:pPr>
              <w:rPr>
                <w:rFonts w:ascii="Calibri" w:hAnsi="Calibri"/>
                <w:color w:val="auto"/>
                <w:highlight w:val="none"/>
              </w:rPr>
            </w:pPr>
          </w:p>
        </w:tc>
        <w:tc>
          <w:tcPr>
            <w:tcW w:w="122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4812CCB5">
            <w:pPr>
              <w:rPr>
                <w:rFonts w:ascii="Calibri" w:hAnsi="Calibri"/>
                <w:color w:val="auto"/>
                <w:highlight w:val="none"/>
              </w:rPr>
            </w:pPr>
          </w:p>
        </w:tc>
        <w:tc>
          <w:tcPr>
            <w:tcW w:w="1897" w:type="dxa"/>
            <w:vMerge w:val="restart"/>
            <w:tcBorders>
              <w:top w:val="single" w:color="auto" w:sz="4" w:space="0"/>
              <w:left w:val="single" w:color="auto" w:sz="4" w:space="0"/>
              <w:bottom w:val="single" w:color="auto" w:sz="4" w:space="0"/>
              <w:right w:val="single" w:color="auto" w:sz="4" w:space="0"/>
            </w:tcBorders>
            <w:noWrap w:val="0"/>
            <w:vAlign w:val="top"/>
          </w:tcPr>
          <w:p w14:paraId="484DD030">
            <w:pPr>
              <w:pStyle w:val="106"/>
              <w:rPr>
                <w:rFonts w:ascii="宋体" w:hAnsi="宋体" w:cs="宋体"/>
                <w:color w:val="auto"/>
                <w:sz w:val="20"/>
                <w:szCs w:val="20"/>
                <w:highlight w:val="none"/>
                <w:lang w:eastAsia="zh-CN"/>
              </w:rPr>
            </w:pPr>
          </w:p>
          <w:p w14:paraId="6A087D3F">
            <w:pPr>
              <w:pStyle w:val="106"/>
              <w:rPr>
                <w:rFonts w:hint="eastAsia" w:ascii="宋体" w:hAnsi="宋体" w:cs="宋体"/>
                <w:color w:val="auto"/>
                <w:sz w:val="20"/>
                <w:szCs w:val="20"/>
                <w:highlight w:val="none"/>
                <w:lang w:eastAsia="zh-CN"/>
              </w:rPr>
            </w:pPr>
          </w:p>
          <w:p w14:paraId="51204332">
            <w:pPr>
              <w:pStyle w:val="106"/>
              <w:rPr>
                <w:rFonts w:hint="eastAsia" w:ascii="宋体" w:hAnsi="宋体" w:cs="宋体"/>
                <w:color w:val="auto"/>
                <w:sz w:val="20"/>
                <w:szCs w:val="20"/>
                <w:highlight w:val="none"/>
                <w:lang w:eastAsia="zh-CN"/>
              </w:rPr>
            </w:pPr>
          </w:p>
          <w:p w14:paraId="2FBE3CA2">
            <w:pPr>
              <w:pStyle w:val="106"/>
              <w:rPr>
                <w:rFonts w:hint="eastAsia" w:ascii="宋体" w:hAnsi="宋体" w:cs="宋体"/>
                <w:color w:val="auto"/>
                <w:sz w:val="20"/>
                <w:szCs w:val="20"/>
                <w:highlight w:val="none"/>
                <w:lang w:eastAsia="zh-CN"/>
              </w:rPr>
            </w:pPr>
          </w:p>
          <w:p w14:paraId="4A8B917D">
            <w:pPr>
              <w:pStyle w:val="106"/>
              <w:rPr>
                <w:rFonts w:hint="eastAsia" w:ascii="宋体" w:hAnsi="宋体" w:cs="宋体"/>
                <w:color w:val="auto"/>
                <w:sz w:val="20"/>
                <w:szCs w:val="20"/>
                <w:highlight w:val="none"/>
                <w:lang w:eastAsia="zh-CN"/>
              </w:rPr>
            </w:pPr>
          </w:p>
          <w:p w14:paraId="3AA3569D">
            <w:pPr>
              <w:pStyle w:val="106"/>
              <w:spacing w:before="161"/>
              <w:ind w:left="7"/>
              <w:rPr>
                <w:rFonts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808热水器</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5F66394C">
            <w:pPr>
              <w:pStyle w:val="106"/>
              <w:spacing w:before="12"/>
              <w:rPr>
                <w:rFonts w:ascii="宋体" w:hAnsi="宋体" w:cs="宋体"/>
                <w:color w:val="auto"/>
                <w:sz w:val="15"/>
                <w:szCs w:val="15"/>
                <w:highlight w:val="none"/>
              </w:rPr>
            </w:pPr>
          </w:p>
          <w:p w14:paraId="0A53D156">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3633" w:type="dxa"/>
            <w:tcBorders>
              <w:top w:val="single" w:color="auto" w:sz="4" w:space="0"/>
              <w:left w:val="single" w:color="auto" w:sz="4" w:space="0"/>
              <w:bottom w:val="single" w:color="auto" w:sz="4" w:space="0"/>
              <w:right w:val="single" w:color="auto" w:sz="4" w:space="0"/>
            </w:tcBorders>
            <w:noWrap w:val="0"/>
            <w:vAlign w:val="top"/>
          </w:tcPr>
          <w:p w14:paraId="22CF34F3">
            <w:pPr>
              <w:pStyle w:val="106"/>
              <w:tabs>
                <w:tab w:val="left" w:pos="1608"/>
              </w:tabs>
              <w:spacing w:before="52"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《储水式电热水器能效</w:t>
            </w:r>
            <w:r>
              <w:rPr>
                <w:rFonts w:hint="eastAsia" w:ascii="宋体" w:hAnsi="宋体" w:cs="宋体"/>
                <w:color w:val="auto"/>
                <w:spacing w:val="9"/>
                <w:w w:val="99"/>
                <w:sz w:val="20"/>
                <w:szCs w:val="20"/>
                <w:highlight w:val="none"/>
                <w:lang w:eastAsia="zh-CN"/>
              </w:rPr>
              <w:t>限</w:t>
            </w:r>
            <w:r>
              <w:rPr>
                <w:rFonts w:hint="eastAsia" w:ascii="宋体" w:hAnsi="宋体" w:cs="宋体"/>
                <w:color w:val="auto"/>
                <w:spacing w:val="12"/>
                <w:w w:val="99"/>
                <w:sz w:val="20"/>
                <w:szCs w:val="20"/>
                <w:highlight w:val="none"/>
                <w:lang w:eastAsia="zh-CN"/>
              </w:rPr>
              <w:t>定值</w:t>
            </w:r>
            <w:r>
              <w:rPr>
                <w:rFonts w:hint="eastAsia" w:ascii="宋体" w:hAnsi="宋体" w:cs="宋体"/>
                <w:color w:val="auto"/>
                <w:w w:val="99"/>
                <w:sz w:val="20"/>
                <w:szCs w:val="20"/>
                <w:highlight w:val="none"/>
                <w:lang w:eastAsia="zh-CN"/>
              </w:rPr>
              <w:t>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z w:val="20"/>
                <w:szCs w:val="20"/>
                <w:highlight w:val="none"/>
                <w:lang w:eastAsia="zh-CN"/>
              </w:rPr>
              <w:tab/>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51</w:t>
            </w:r>
            <w:r>
              <w:rPr>
                <w:rFonts w:hint="eastAsia" w:ascii="宋体" w:hAnsi="宋体" w:cs="宋体"/>
                <w:color w:val="auto"/>
                <w:spacing w:val="1"/>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4C55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1107"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130BABF">
            <w:pPr>
              <w:rPr>
                <w:rFonts w:ascii="Calibri" w:hAnsi="Calibri"/>
                <w:color w:val="auto"/>
                <w:highlight w:val="none"/>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8B89307">
            <w:pPr>
              <w:rPr>
                <w:rFonts w:ascii="Calibri" w:hAnsi="Calibri"/>
                <w:color w:val="auto"/>
                <w:highlight w:val="none"/>
              </w:rPr>
            </w:pPr>
          </w:p>
        </w:tc>
        <w:tc>
          <w:tcPr>
            <w:tcW w:w="1897" w:type="dxa"/>
            <w:vMerge w:val="continue"/>
            <w:tcBorders>
              <w:top w:val="single" w:color="auto" w:sz="4" w:space="0"/>
              <w:left w:val="single" w:color="auto" w:sz="4" w:space="0"/>
              <w:bottom w:val="single" w:color="auto" w:sz="4" w:space="0"/>
              <w:right w:val="single" w:color="auto" w:sz="4" w:space="0"/>
            </w:tcBorders>
            <w:noWrap w:val="0"/>
            <w:vAlign w:val="center"/>
          </w:tcPr>
          <w:p w14:paraId="255AAB4A">
            <w:pPr>
              <w:rPr>
                <w:rFonts w:ascii="宋体" w:hAnsi="宋体" w:cs="宋体"/>
                <w:color w:val="auto"/>
                <w:sz w:val="20"/>
                <w:szCs w:val="20"/>
                <w:highlight w:val="none"/>
              </w:rPr>
            </w:pPr>
          </w:p>
        </w:tc>
        <w:tc>
          <w:tcPr>
            <w:tcW w:w="2019" w:type="dxa"/>
            <w:tcBorders>
              <w:top w:val="single" w:color="auto" w:sz="4" w:space="0"/>
              <w:left w:val="single" w:color="auto" w:sz="4" w:space="0"/>
              <w:bottom w:val="single" w:color="auto" w:sz="4" w:space="0"/>
              <w:right w:val="single" w:color="auto" w:sz="4" w:space="0"/>
            </w:tcBorders>
            <w:noWrap w:val="0"/>
            <w:vAlign w:val="top"/>
          </w:tcPr>
          <w:p w14:paraId="0AF029E2">
            <w:pPr>
              <w:pStyle w:val="106"/>
              <w:spacing w:before="2"/>
              <w:rPr>
                <w:rFonts w:ascii="宋体" w:hAnsi="宋体" w:cs="宋体"/>
                <w:color w:val="auto"/>
                <w:sz w:val="24"/>
                <w:szCs w:val="24"/>
                <w:highlight w:val="none"/>
                <w:lang w:eastAsia="zh-CN"/>
              </w:rPr>
            </w:pPr>
          </w:p>
          <w:p w14:paraId="66A9FC8A">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燃气热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3633" w:type="dxa"/>
            <w:tcBorders>
              <w:top w:val="single" w:color="auto" w:sz="4" w:space="0"/>
              <w:left w:val="single" w:color="auto" w:sz="4" w:space="0"/>
              <w:bottom w:val="single" w:color="auto" w:sz="4" w:space="0"/>
              <w:right w:val="single" w:color="auto" w:sz="4" w:space="0"/>
            </w:tcBorders>
            <w:noWrap w:val="0"/>
            <w:vAlign w:val="top"/>
          </w:tcPr>
          <w:p w14:paraId="7EF26DC7">
            <w:pPr>
              <w:pStyle w:val="106"/>
              <w:spacing w:before="4"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《家用燃气快速热水器</w:t>
            </w:r>
            <w:r>
              <w:rPr>
                <w:rFonts w:hint="eastAsia" w:ascii="宋体" w:hAnsi="宋体" w:cs="宋体"/>
                <w:color w:val="auto"/>
                <w:spacing w:val="9"/>
                <w:w w:val="99"/>
                <w:sz w:val="20"/>
                <w:szCs w:val="20"/>
                <w:highlight w:val="none"/>
                <w:lang w:eastAsia="zh-CN"/>
              </w:rPr>
              <w:t>和</w:t>
            </w:r>
            <w:r>
              <w:rPr>
                <w:rFonts w:hint="eastAsia" w:ascii="宋体" w:hAnsi="宋体" w:cs="宋体"/>
                <w:color w:val="auto"/>
                <w:spacing w:val="12"/>
                <w:w w:val="99"/>
                <w:sz w:val="20"/>
                <w:szCs w:val="20"/>
                <w:highlight w:val="none"/>
                <w:lang w:eastAsia="zh-CN"/>
              </w:rPr>
              <w:t>燃气</w:t>
            </w:r>
            <w:r>
              <w:rPr>
                <w:rFonts w:hint="eastAsia" w:ascii="宋体" w:hAnsi="宋体" w:cs="宋体"/>
                <w:color w:val="auto"/>
                <w:w w:val="99"/>
                <w:sz w:val="20"/>
                <w:szCs w:val="20"/>
                <w:highlight w:val="none"/>
                <w:lang w:eastAsia="zh-CN"/>
              </w:rPr>
              <w:t>采暖热水</w:t>
            </w:r>
            <w:r>
              <w:rPr>
                <w:rFonts w:hint="eastAsia" w:ascii="宋体" w:hAnsi="宋体" w:cs="宋体"/>
                <w:color w:val="auto"/>
                <w:spacing w:val="2"/>
                <w:w w:val="99"/>
                <w:sz w:val="20"/>
                <w:szCs w:val="20"/>
                <w:highlight w:val="none"/>
                <w:lang w:eastAsia="zh-CN"/>
              </w:rPr>
              <w:t>炉</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2D9D3507">
            <w:pPr>
              <w:pStyle w:val="106"/>
              <w:spacing w:before="12"/>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65</w:t>
            </w:r>
            <w:r>
              <w:rPr>
                <w:rFonts w:hint="eastAsia" w:ascii="宋体" w:hAnsi="宋体" w:cs="宋体"/>
                <w:color w:val="auto"/>
                <w:w w:val="99"/>
                <w:sz w:val="20"/>
                <w:szCs w:val="20"/>
                <w:highlight w:val="none"/>
              </w:rPr>
              <w:t>）</w:t>
            </w:r>
          </w:p>
        </w:tc>
      </w:tr>
      <w:tr w14:paraId="470D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20"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CF19FDE">
            <w:pPr>
              <w:rPr>
                <w:rFonts w:ascii="Calibri" w:hAnsi="Calibri"/>
                <w:color w:val="auto"/>
                <w:highlight w:val="none"/>
                <w:lang w:eastAsia="en-US"/>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2250E81">
            <w:pPr>
              <w:rPr>
                <w:rFonts w:ascii="Calibri" w:hAnsi="Calibri"/>
                <w:color w:val="auto"/>
                <w:highlight w:val="none"/>
                <w:lang w:eastAsia="en-US"/>
              </w:rPr>
            </w:pPr>
          </w:p>
        </w:tc>
        <w:tc>
          <w:tcPr>
            <w:tcW w:w="1897" w:type="dxa"/>
            <w:vMerge w:val="continue"/>
            <w:tcBorders>
              <w:top w:val="single" w:color="auto" w:sz="4" w:space="0"/>
              <w:left w:val="single" w:color="auto" w:sz="4" w:space="0"/>
              <w:bottom w:val="single" w:color="auto" w:sz="4" w:space="0"/>
              <w:right w:val="single" w:color="auto" w:sz="4" w:space="0"/>
            </w:tcBorders>
            <w:noWrap w:val="0"/>
            <w:vAlign w:val="center"/>
          </w:tcPr>
          <w:p w14:paraId="26F9924C">
            <w:pPr>
              <w:rPr>
                <w:rFonts w:ascii="宋体" w:hAnsi="宋体" w:cs="宋体"/>
                <w:color w:val="auto"/>
                <w:sz w:val="20"/>
                <w:szCs w:val="20"/>
                <w:highlight w:val="none"/>
                <w:lang w:eastAsia="en-US"/>
              </w:rPr>
            </w:pPr>
          </w:p>
        </w:tc>
        <w:tc>
          <w:tcPr>
            <w:tcW w:w="2019" w:type="dxa"/>
            <w:tcBorders>
              <w:top w:val="single" w:color="auto" w:sz="4" w:space="0"/>
              <w:left w:val="single" w:color="auto" w:sz="4" w:space="0"/>
              <w:bottom w:val="single" w:color="auto" w:sz="4" w:space="0"/>
              <w:right w:val="single" w:color="auto" w:sz="4" w:space="0"/>
            </w:tcBorders>
            <w:noWrap w:val="0"/>
            <w:vAlign w:val="top"/>
          </w:tcPr>
          <w:p w14:paraId="5D9B2FEE">
            <w:pPr>
              <w:pStyle w:val="106"/>
              <w:rPr>
                <w:rFonts w:ascii="宋体" w:hAnsi="宋体" w:cs="宋体"/>
                <w:color w:val="auto"/>
                <w:sz w:val="19"/>
                <w:szCs w:val="19"/>
                <w:highlight w:val="none"/>
              </w:rPr>
            </w:pPr>
          </w:p>
          <w:p w14:paraId="13B1EC25">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热泵热</w:t>
            </w:r>
            <w:r>
              <w:rPr>
                <w:rFonts w:hint="eastAsia" w:ascii="宋体" w:hAnsi="宋体" w:cs="宋体"/>
                <w:color w:val="auto"/>
                <w:spacing w:val="2"/>
                <w:w w:val="99"/>
                <w:sz w:val="20"/>
                <w:szCs w:val="20"/>
                <w:highlight w:val="none"/>
              </w:rPr>
              <w:t>水</w:t>
            </w:r>
            <w:r>
              <w:rPr>
                <w:rFonts w:hint="eastAsia" w:ascii="宋体" w:hAnsi="宋体" w:cs="宋体"/>
                <w:color w:val="auto"/>
                <w:w w:val="99"/>
                <w:sz w:val="20"/>
                <w:szCs w:val="20"/>
                <w:highlight w:val="none"/>
              </w:rPr>
              <w:t>器</w:t>
            </w:r>
          </w:p>
        </w:tc>
        <w:tc>
          <w:tcPr>
            <w:tcW w:w="3633" w:type="dxa"/>
            <w:tcBorders>
              <w:top w:val="single" w:color="auto" w:sz="4" w:space="0"/>
              <w:left w:val="single" w:color="auto" w:sz="4" w:space="0"/>
              <w:bottom w:val="single" w:color="auto" w:sz="4" w:space="0"/>
              <w:right w:val="single" w:color="auto" w:sz="4" w:space="0"/>
            </w:tcBorders>
            <w:noWrap w:val="0"/>
            <w:vAlign w:val="top"/>
          </w:tcPr>
          <w:p w14:paraId="0286896D">
            <w:pPr>
              <w:pStyle w:val="106"/>
              <w:spacing w:before="93" w:line="283" w:lineRule="auto"/>
              <w:ind w:left="7" w:righ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《热泵</w:t>
            </w:r>
            <w:r>
              <w:rPr>
                <w:rFonts w:hint="eastAsia" w:ascii="宋体" w:hAnsi="宋体" w:cs="宋体"/>
                <w:color w:val="auto"/>
                <w:spacing w:val="2"/>
                <w:w w:val="99"/>
                <w:sz w:val="20"/>
                <w:szCs w:val="20"/>
                <w:highlight w:val="none"/>
                <w:lang w:eastAsia="zh-CN"/>
              </w:rPr>
              <w:t>热</w:t>
            </w:r>
            <w:r>
              <w:rPr>
                <w:rFonts w:hint="eastAsia" w:ascii="宋体" w:hAnsi="宋体" w:cs="宋体"/>
                <w:color w:val="auto"/>
                <w:w w:val="99"/>
                <w:sz w:val="20"/>
                <w:szCs w:val="20"/>
                <w:highlight w:val="none"/>
                <w:lang w:eastAsia="zh-CN"/>
              </w:rPr>
              <w:t>水</w:t>
            </w:r>
            <w:r>
              <w:rPr>
                <w:rFonts w:hint="eastAsia" w:ascii="宋体" w:hAnsi="宋体" w:cs="宋体"/>
                <w:color w:val="auto"/>
                <w:spacing w:val="-27"/>
                <w:w w:val="99"/>
                <w:sz w:val="20"/>
                <w:szCs w:val="20"/>
                <w:highlight w:val="none"/>
                <w:lang w:eastAsia="zh-CN"/>
              </w:rPr>
              <w:t>机</w:t>
            </w:r>
            <w:r>
              <w:rPr>
                <w:rFonts w:hint="eastAsia" w:ascii="宋体" w:hAnsi="宋体" w:cs="宋体"/>
                <w:color w:val="auto"/>
                <w:w w:val="99"/>
                <w:sz w:val="20"/>
                <w:szCs w:val="20"/>
                <w:highlight w:val="none"/>
                <w:lang w:eastAsia="zh-CN"/>
              </w:rPr>
              <w:t>（器</w:t>
            </w:r>
            <w:r>
              <w:rPr>
                <w:rFonts w:hint="eastAsia" w:ascii="宋体" w:hAnsi="宋体" w:cs="宋体"/>
                <w:color w:val="auto"/>
                <w:spacing w:val="-27"/>
                <w:w w:val="99"/>
                <w:sz w:val="20"/>
                <w:szCs w:val="20"/>
                <w:highlight w:val="none"/>
                <w:lang w:eastAsia="zh-CN"/>
              </w:rPr>
              <w:t>）</w:t>
            </w:r>
            <w:r>
              <w:rPr>
                <w:rFonts w:hint="eastAsia" w:ascii="宋体" w:hAnsi="宋体" w:cs="宋体"/>
                <w:color w:val="auto"/>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295</w:t>
            </w:r>
            <w:r>
              <w:rPr>
                <w:rFonts w:hint="eastAsia" w:ascii="宋体" w:hAnsi="宋体" w:cs="宋体"/>
                <w:color w:val="auto"/>
                <w:w w:val="99"/>
                <w:sz w:val="20"/>
                <w:szCs w:val="20"/>
                <w:highlight w:val="none"/>
                <w:lang w:eastAsia="zh-CN"/>
              </w:rPr>
              <w:t>4</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25D1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739"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35D7088">
            <w:pPr>
              <w:rPr>
                <w:rFonts w:ascii="Calibri" w:hAnsi="Calibri"/>
                <w:color w:val="auto"/>
                <w:highlight w:val="none"/>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D938925">
            <w:pPr>
              <w:rPr>
                <w:rFonts w:ascii="Calibri" w:hAnsi="Calibri"/>
                <w:color w:val="auto"/>
                <w:highlight w:val="none"/>
              </w:rPr>
            </w:pPr>
          </w:p>
        </w:tc>
        <w:tc>
          <w:tcPr>
            <w:tcW w:w="1897" w:type="dxa"/>
            <w:vMerge w:val="continue"/>
            <w:tcBorders>
              <w:top w:val="single" w:color="auto" w:sz="4" w:space="0"/>
              <w:left w:val="single" w:color="auto" w:sz="4" w:space="0"/>
              <w:bottom w:val="single" w:color="auto" w:sz="4" w:space="0"/>
              <w:right w:val="single" w:color="auto" w:sz="4" w:space="0"/>
            </w:tcBorders>
            <w:noWrap w:val="0"/>
            <w:vAlign w:val="center"/>
          </w:tcPr>
          <w:p w14:paraId="1B75B4CC">
            <w:pPr>
              <w:rPr>
                <w:rFonts w:ascii="宋体" w:hAnsi="宋体" w:cs="宋体"/>
                <w:color w:val="auto"/>
                <w:sz w:val="20"/>
                <w:szCs w:val="20"/>
                <w:highlight w:val="none"/>
              </w:rPr>
            </w:pPr>
          </w:p>
        </w:tc>
        <w:tc>
          <w:tcPr>
            <w:tcW w:w="2019" w:type="dxa"/>
            <w:tcBorders>
              <w:top w:val="single" w:color="auto" w:sz="4" w:space="0"/>
              <w:left w:val="single" w:color="auto" w:sz="4" w:space="0"/>
              <w:bottom w:val="single" w:color="auto" w:sz="4" w:space="0"/>
              <w:right w:val="single" w:color="auto" w:sz="4" w:space="0"/>
            </w:tcBorders>
            <w:noWrap w:val="0"/>
            <w:vAlign w:val="top"/>
          </w:tcPr>
          <w:p w14:paraId="2601BE96">
            <w:pPr>
              <w:pStyle w:val="106"/>
              <w:spacing w:before="12"/>
              <w:rPr>
                <w:rFonts w:ascii="宋体" w:hAnsi="宋体" w:cs="宋体"/>
                <w:color w:val="auto"/>
                <w:sz w:val="15"/>
                <w:szCs w:val="15"/>
                <w:highlight w:val="none"/>
                <w:lang w:eastAsia="zh-CN"/>
              </w:rPr>
            </w:pPr>
          </w:p>
          <w:p w14:paraId="69B4DEC2">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太阳能</w:t>
            </w:r>
            <w:r>
              <w:rPr>
                <w:rFonts w:hint="eastAsia" w:ascii="宋体" w:hAnsi="宋体" w:cs="宋体"/>
                <w:color w:val="auto"/>
                <w:spacing w:val="2"/>
                <w:w w:val="99"/>
                <w:sz w:val="20"/>
                <w:szCs w:val="20"/>
                <w:highlight w:val="none"/>
              </w:rPr>
              <w:t>热</w:t>
            </w:r>
            <w:r>
              <w:rPr>
                <w:rFonts w:hint="eastAsia" w:ascii="宋体" w:hAnsi="宋体" w:cs="宋体"/>
                <w:color w:val="auto"/>
                <w:w w:val="99"/>
                <w:sz w:val="20"/>
                <w:szCs w:val="20"/>
                <w:highlight w:val="none"/>
              </w:rPr>
              <w:t>水系统</w:t>
            </w:r>
          </w:p>
        </w:tc>
        <w:tc>
          <w:tcPr>
            <w:tcW w:w="3633" w:type="dxa"/>
            <w:tcBorders>
              <w:top w:val="single" w:color="auto" w:sz="4" w:space="0"/>
              <w:left w:val="single" w:color="auto" w:sz="4" w:space="0"/>
              <w:bottom w:val="single" w:color="auto" w:sz="4" w:space="0"/>
              <w:right w:val="single" w:color="auto" w:sz="4" w:space="0"/>
            </w:tcBorders>
            <w:noWrap w:val="0"/>
            <w:vAlign w:val="top"/>
          </w:tcPr>
          <w:p w14:paraId="4700DCF8">
            <w:pPr>
              <w:pStyle w:val="106"/>
              <w:spacing w:before="52"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《家用太阳能热水系统</w:t>
            </w:r>
            <w:r>
              <w:rPr>
                <w:rFonts w:hint="eastAsia" w:ascii="宋体" w:hAnsi="宋体" w:cs="宋体"/>
                <w:color w:val="auto"/>
                <w:spacing w:val="9"/>
                <w:w w:val="99"/>
                <w:sz w:val="20"/>
                <w:szCs w:val="20"/>
                <w:highlight w:val="none"/>
                <w:lang w:eastAsia="zh-CN"/>
              </w:rPr>
              <w:t>能</w:t>
            </w:r>
            <w:r>
              <w:rPr>
                <w:rFonts w:hint="eastAsia" w:ascii="宋体" w:hAnsi="宋体" w:cs="宋体"/>
                <w:color w:val="auto"/>
                <w:spacing w:val="12"/>
                <w:w w:val="99"/>
                <w:sz w:val="20"/>
                <w:szCs w:val="20"/>
                <w:highlight w:val="none"/>
                <w:lang w:eastAsia="zh-CN"/>
              </w:rPr>
              <w:t>效限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26</w:t>
            </w:r>
            <w:r>
              <w:rPr>
                <w:rFonts w:hint="eastAsia" w:ascii="宋体" w:hAnsi="宋体" w:cs="宋体"/>
                <w:color w:val="auto"/>
                <w:w w:val="99"/>
                <w:sz w:val="20"/>
                <w:szCs w:val="20"/>
                <w:highlight w:val="none"/>
                <w:lang w:eastAsia="zh-CN"/>
              </w:rPr>
              <w:t>96</w:t>
            </w:r>
            <w:r>
              <w:rPr>
                <w:rFonts w:hint="eastAsia" w:ascii="宋体" w:hAnsi="宋体" w:cs="宋体"/>
                <w:color w:val="auto"/>
                <w:spacing w:val="-2"/>
                <w:w w:val="99"/>
                <w:sz w:val="20"/>
                <w:szCs w:val="20"/>
                <w:highlight w:val="none"/>
                <w:lang w:eastAsia="zh-CN"/>
              </w:rPr>
              <w:t>9</w:t>
            </w:r>
            <w:r>
              <w:rPr>
                <w:rFonts w:hint="eastAsia" w:ascii="宋体" w:hAnsi="宋体" w:cs="宋体"/>
                <w:color w:val="auto"/>
                <w:w w:val="99"/>
                <w:sz w:val="20"/>
                <w:szCs w:val="20"/>
                <w:highlight w:val="none"/>
                <w:lang w:eastAsia="zh-CN"/>
              </w:rPr>
              <w:t>）</w:t>
            </w:r>
          </w:p>
        </w:tc>
      </w:tr>
      <w:tr w14:paraId="3E44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98" w:hRule="exac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top"/>
          </w:tcPr>
          <w:p w14:paraId="5A4A6617">
            <w:pPr>
              <w:pStyle w:val="106"/>
              <w:rPr>
                <w:rFonts w:ascii="宋体" w:hAnsi="宋体" w:cs="宋体"/>
                <w:color w:val="auto"/>
                <w:sz w:val="20"/>
                <w:szCs w:val="20"/>
                <w:highlight w:val="none"/>
                <w:lang w:eastAsia="zh-CN"/>
              </w:rPr>
            </w:pPr>
          </w:p>
          <w:p w14:paraId="425D295F">
            <w:pPr>
              <w:pStyle w:val="106"/>
              <w:rPr>
                <w:rFonts w:hint="eastAsia" w:ascii="宋体" w:hAnsi="宋体" w:cs="宋体"/>
                <w:color w:val="auto"/>
                <w:sz w:val="20"/>
                <w:szCs w:val="20"/>
                <w:highlight w:val="none"/>
                <w:lang w:eastAsia="zh-CN"/>
              </w:rPr>
            </w:pPr>
          </w:p>
          <w:p w14:paraId="2A8C4E08">
            <w:pPr>
              <w:pStyle w:val="106"/>
              <w:rPr>
                <w:rFonts w:hint="eastAsia" w:ascii="宋体" w:hAnsi="宋体" w:cs="宋体"/>
                <w:color w:val="auto"/>
                <w:sz w:val="20"/>
                <w:szCs w:val="20"/>
                <w:highlight w:val="none"/>
                <w:lang w:eastAsia="zh-CN"/>
              </w:rPr>
            </w:pPr>
          </w:p>
          <w:p w14:paraId="6D52CF66">
            <w:pPr>
              <w:pStyle w:val="106"/>
              <w:rPr>
                <w:rFonts w:hint="eastAsia" w:ascii="宋体" w:hAnsi="宋体" w:cs="宋体"/>
                <w:color w:val="auto"/>
                <w:sz w:val="20"/>
                <w:szCs w:val="20"/>
                <w:highlight w:val="none"/>
                <w:lang w:eastAsia="zh-CN"/>
              </w:rPr>
            </w:pPr>
          </w:p>
          <w:p w14:paraId="17FD10A0">
            <w:pPr>
              <w:pStyle w:val="106"/>
              <w:rPr>
                <w:rFonts w:hint="eastAsia" w:ascii="宋体" w:hAnsi="宋体" w:cs="宋体"/>
                <w:color w:val="auto"/>
                <w:sz w:val="20"/>
                <w:szCs w:val="20"/>
                <w:highlight w:val="none"/>
                <w:lang w:eastAsia="zh-CN"/>
              </w:rPr>
            </w:pPr>
          </w:p>
          <w:p w14:paraId="17C9F510">
            <w:pPr>
              <w:pStyle w:val="106"/>
              <w:spacing w:before="12"/>
              <w:rPr>
                <w:rFonts w:hint="eastAsia" w:ascii="宋体" w:hAnsi="宋体" w:cs="宋体"/>
                <w:color w:val="auto"/>
                <w:sz w:val="23"/>
                <w:szCs w:val="23"/>
                <w:highlight w:val="none"/>
                <w:lang w:eastAsia="zh-CN"/>
              </w:rPr>
            </w:pPr>
          </w:p>
          <w:p w14:paraId="5DE99E06">
            <w:pPr>
              <w:pStyle w:val="106"/>
              <w:ind w:left="182"/>
              <w:rPr>
                <w:rFonts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1</w:t>
            </w:r>
          </w:p>
        </w:tc>
        <w:tc>
          <w:tcPr>
            <w:tcW w:w="122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4821F209">
            <w:pPr>
              <w:pStyle w:val="106"/>
              <w:rPr>
                <w:rFonts w:ascii="宋体" w:hAnsi="宋体" w:cs="宋体"/>
                <w:color w:val="auto"/>
                <w:sz w:val="20"/>
                <w:szCs w:val="20"/>
                <w:highlight w:val="none"/>
              </w:rPr>
            </w:pPr>
          </w:p>
          <w:p w14:paraId="15DF0B93">
            <w:pPr>
              <w:pStyle w:val="106"/>
              <w:rPr>
                <w:rFonts w:hint="eastAsia" w:ascii="宋体" w:hAnsi="宋体" w:cs="宋体"/>
                <w:color w:val="auto"/>
                <w:sz w:val="20"/>
                <w:szCs w:val="20"/>
                <w:highlight w:val="none"/>
              </w:rPr>
            </w:pPr>
          </w:p>
          <w:p w14:paraId="3ADAEE16">
            <w:pPr>
              <w:pStyle w:val="106"/>
              <w:rPr>
                <w:rFonts w:hint="eastAsia" w:ascii="宋体" w:hAnsi="宋体" w:cs="宋体"/>
                <w:color w:val="auto"/>
                <w:sz w:val="20"/>
                <w:szCs w:val="20"/>
                <w:highlight w:val="none"/>
              </w:rPr>
            </w:pPr>
          </w:p>
          <w:p w14:paraId="7B74295F">
            <w:pPr>
              <w:pStyle w:val="106"/>
              <w:rPr>
                <w:rFonts w:hint="eastAsia" w:ascii="宋体" w:hAnsi="宋体" w:cs="宋体"/>
                <w:color w:val="auto"/>
                <w:sz w:val="20"/>
                <w:szCs w:val="20"/>
                <w:highlight w:val="none"/>
              </w:rPr>
            </w:pPr>
          </w:p>
          <w:p w14:paraId="059168A3">
            <w:pPr>
              <w:pStyle w:val="106"/>
              <w:rPr>
                <w:rFonts w:hint="eastAsia" w:ascii="宋体" w:hAnsi="宋体" w:cs="宋体"/>
                <w:color w:val="auto"/>
                <w:sz w:val="20"/>
                <w:szCs w:val="20"/>
                <w:highlight w:val="none"/>
              </w:rPr>
            </w:pPr>
          </w:p>
          <w:p w14:paraId="18BFD2D4">
            <w:pPr>
              <w:pStyle w:val="106"/>
              <w:spacing w:before="157"/>
              <w:ind w:left="7"/>
              <w:rPr>
                <w:rFonts w:hint="eastAsia"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06</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9照明</w:t>
            </w:r>
          </w:p>
          <w:p w14:paraId="087BCE87">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设备</w:t>
            </w:r>
          </w:p>
        </w:tc>
        <w:tc>
          <w:tcPr>
            <w:tcW w:w="1897" w:type="dxa"/>
            <w:tcBorders>
              <w:top w:val="single" w:color="auto" w:sz="4" w:space="0"/>
              <w:left w:val="single" w:color="auto" w:sz="4" w:space="0"/>
              <w:bottom w:val="single" w:color="auto" w:sz="4" w:space="0"/>
              <w:right w:val="single" w:color="auto" w:sz="4" w:space="0"/>
            </w:tcBorders>
            <w:noWrap w:val="0"/>
            <w:vAlign w:val="top"/>
          </w:tcPr>
          <w:p w14:paraId="602ED24B">
            <w:pPr>
              <w:pStyle w:val="106"/>
              <w:spacing w:before="133" w:line="283" w:lineRule="auto"/>
              <w:ind w:left="7" w:righ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w:t>
            </w:r>
            <w:r>
              <w:rPr>
                <w:rFonts w:hint="eastAsia" w:ascii="宋体" w:hAnsi="宋体" w:cs="宋体"/>
                <w:color w:val="auto"/>
                <w:spacing w:val="24"/>
                <w:w w:val="99"/>
                <w:sz w:val="20"/>
                <w:szCs w:val="20"/>
                <w:highlight w:val="none"/>
                <w:lang w:eastAsia="zh-CN"/>
              </w:rPr>
              <w:t>普</w:t>
            </w:r>
            <w:r>
              <w:rPr>
                <w:rFonts w:hint="eastAsia" w:ascii="宋体" w:hAnsi="宋体" w:cs="宋体"/>
                <w:color w:val="auto"/>
                <w:w w:val="99"/>
                <w:sz w:val="20"/>
                <w:szCs w:val="20"/>
                <w:highlight w:val="none"/>
                <w:lang w:eastAsia="zh-CN"/>
              </w:rPr>
              <w:t>通照明用</w:t>
            </w:r>
            <w:r>
              <w:rPr>
                <w:rFonts w:hint="eastAsia" w:ascii="宋体" w:hAnsi="宋体" w:cs="宋体"/>
                <w:color w:val="auto"/>
                <w:spacing w:val="24"/>
                <w:w w:val="99"/>
                <w:sz w:val="20"/>
                <w:szCs w:val="20"/>
                <w:highlight w:val="none"/>
                <w:lang w:eastAsia="zh-CN"/>
              </w:rPr>
              <w:t>双</w:t>
            </w:r>
            <w:r>
              <w:rPr>
                <w:rFonts w:hint="eastAsia" w:ascii="宋体" w:hAnsi="宋体" w:cs="宋体"/>
                <w:color w:val="auto"/>
                <w:w w:val="99"/>
                <w:sz w:val="20"/>
                <w:szCs w:val="20"/>
                <w:highlight w:val="none"/>
                <w:lang w:eastAsia="zh-CN"/>
              </w:rPr>
              <w:t>端荧光灯</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19D40BCB">
            <w:pPr>
              <w:rPr>
                <w:rFonts w:ascii="Calibri" w:hAnsi="Calibri"/>
                <w:color w:val="auto"/>
                <w:highlight w:val="none"/>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788C0B96">
            <w:pPr>
              <w:pStyle w:val="106"/>
              <w:spacing w:before="133"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《普通照明用双端荧光</w:t>
            </w:r>
            <w:r>
              <w:rPr>
                <w:rFonts w:hint="eastAsia" w:ascii="宋体" w:hAnsi="宋体" w:cs="宋体"/>
                <w:color w:val="auto"/>
                <w:spacing w:val="9"/>
                <w:w w:val="99"/>
                <w:sz w:val="20"/>
                <w:szCs w:val="20"/>
                <w:highlight w:val="none"/>
                <w:lang w:eastAsia="zh-CN"/>
              </w:rPr>
              <w:t>灯</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19</w:t>
            </w:r>
            <w:r>
              <w:rPr>
                <w:rFonts w:hint="eastAsia" w:ascii="宋体" w:hAnsi="宋体" w:cs="宋体"/>
                <w:color w:val="auto"/>
                <w:w w:val="99"/>
                <w:sz w:val="20"/>
                <w:szCs w:val="20"/>
                <w:highlight w:val="none"/>
                <w:lang w:eastAsia="zh-CN"/>
              </w:rPr>
              <w:t>04</w:t>
            </w:r>
            <w:r>
              <w:rPr>
                <w:rFonts w:hint="eastAsia" w:ascii="宋体" w:hAnsi="宋体" w:cs="宋体"/>
                <w:color w:val="auto"/>
                <w:spacing w:val="1"/>
                <w:w w:val="99"/>
                <w:sz w:val="20"/>
                <w:szCs w:val="20"/>
                <w:highlight w:val="none"/>
                <w:lang w:eastAsia="zh-CN"/>
              </w:rPr>
              <w:t>3</w:t>
            </w:r>
            <w:r>
              <w:rPr>
                <w:rFonts w:hint="eastAsia" w:ascii="宋体" w:hAnsi="宋体" w:cs="宋体"/>
                <w:color w:val="auto"/>
                <w:w w:val="99"/>
                <w:sz w:val="20"/>
                <w:szCs w:val="20"/>
                <w:highlight w:val="none"/>
                <w:lang w:eastAsia="zh-CN"/>
              </w:rPr>
              <w:t>）</w:t>
            </w:r>
          </w:p>
        </w:tc>
      </w:tr>
      <w:tr w14:paraId="679E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18"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1789ADF">
            <w:pPr>
              <w:rPr>
                <w:rFonts w:ascii="宋体" w:hAnsi="宋体" w:cs="宋体"/>
                <w:color w:val="auto"/>
                <w:sz w:val="20"/>
                <w:szCs w:val="20"/>
                <w:highlight w:val="none"/>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E5E8E20">
            <w:pPr>
              <w:rPr>
                <w:rFonts w:ascii="宋体" w:hAnsi="宋体" w:cs="宋体"/>
                <w:color w:val="auto"/>
                <w:sz w:val="20"/>
                <w:szCs w:val="20"/>
                <w:highlight w:val="none"/>
              </w:rPr>
            </w:pPr>
          </w:p>
        </w:tc>
        <w:tc>
          <w:tcPr>
            <w:tcW w:w="1897" w:type="dxa"/>
            <w:tcBorders>
              <w:top w:val="single" w:color="auto" w:sz="4" w:space="0"/>
              <w:left w:val="single" w:color="auto" w:sz="4" w:space="0"/>
              <w:bottom w:val="single" w:color="auto" w:sz="4" w:space="0"/>
              <w:right w:val="single" w:color="auto" w:sz="4" w:space="0"/>
            </w:tcBorders>
            <w:noWrap w:val="0"/>
            <w:vAlign w:val="top"/>
          </w:tcPr>
          <w:p w14:paraId="761D3134">
            <w:pPr>
              <w:pStyle w:val="106"/>
              <w:spacing w:before="92" w:line="283" w:lineRule="auto"/>
              <w:ind w:left="7" w:right="2"/>
              <w:rPr>
                <w:rFonts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w:t>
            </w:r>
            <w:r>
              <w:rPr>
                <w:rFonts w:hint="eastAsia" w:ascii="宋体" w:hAnsi="宋体" w:cs="宋体"/>
                <w:color w:val="auto"/>
                <w:spacing w:val="12"/>
                <w:w w:val="99"/>
                <w:sz w:val="20"/>
                <w:szCs w:val="20"/>
                <w:highlight w:val="none"/>
              </w:rPr>
              <w:t>道</w:t>
            </w:r>
            <w:r>
              <w:rPr>
                <w:rFonts w:hint="eastAsia" w:ascii="宋体" w:hAnsi="宋体" w:cs="宋体"/>
                <w:color w:val="auto"/>
                <w:spacing w:val="9"/>
                <w:w w:val="99"/>
                <w:sz w:val="20"/>
                <w:szCs w:val="20"/>
                <w:highlight w:val="none"/>
              </w:rPr>
              <w:t>路</w:t>
            </w:r>
            <w:r>
              <w:rPr>
                <w:rFonts w:hint="eastAsia" w:ascii="宋体" w:hAnsi="宋体" w:cs="宋体"/>
                <w:color w:val="auto"/>
                <w:spacing w:val="13"/>
                <w:w w:val="99"/>
                <w:sz w:val="20"/>
                <w:szCs w:val="20"/>
                <w:highlight w:val="none"/>
              </w:rPr>
              <w:t>/</w:t>
            </w:r>
            <w:r>
              <w:rPr>
                <w:rFonts w:hint="eastAsia" w:ascii="宋体" w:hAnsi="宋体" w:cs="宋体"/>
                <w:color w:val="auto"/>
                <w:spacing w:val="12"/>
                <w:w w:val="99"/>
                <w:sz w:val="20"/>
                <w:szCs w:val="20"/>
                <w:highlight w:val="none"/>
              </w:rPr>
              <w:t>隧道照</w:t>
            </w:r>
            <w:r>
              <w:rPr>
                <w:rFonts w:hint="eastAsia" w:ascii="宋体" w:hAnsi="宋体" w:cs="宋体"/>
                <w:color w:val="auto"/>
                <w:w w:val="99"/>
                <w:sz w:val="20"/>
                <w:szCs w:val="20"/>
                <w:highlight w:val="none"/>
              </w:rPr>
              <w:t>明产品</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4AD29A87">
            <w:pPr>
              <w:rPr>
                <w:rFonts w:ascii="Calibri" w:hAnsi="Calibri"/>
                <w:color w:val="auto"/>
                <w:highlight w:val="none"/>
                <w:lang w:eastAsia="en-US"/>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3AF70BA1">
            <w:pPr>
              <w:pStyle w:val="106"/>
              <w:spacing w:before="92" w:line="283" w:lineRule="auto"/>
              <w:ind w:left="7" w:right="7"/>
              <w:rPr>
                <w:rFonts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道</w:t>
            </w:r>
            <w:r>
              <w:rPr>
                <w:rFonts w:hint="eastAsia" w:ascii="宋体" w:hAnsi="宋体" w:cs="宋体"/>
                <w:color w:val="auto"/>
                <w:spacing w:val="4"/>
                <w:w w:val="99"/>
                <w:sz w:val="20"/>
                <w:szCs w:val="20"/>
                <w:highlight w:val="none"/>
                <w:lang w:eastAsia="zh-CN"/>
              </w:rPr>
              <w:t>路和隧道照</w:t>
            </w:r>
            <w:r>
              <w:rPr>
                <w:rFonts w:hint="eastAsia" w:ascii="宋体" w:hAnsi="宋体" w:cs="宋体"/>
                <w:color w:val="auto"/>
                <w:spacing w:val="2"/>
                <w:w w:val="99"/>
                <w:sz w:val="20"/>
                <w:szCs w:val="20"/>
                <w:highlight w:val="none"/>
                <w:lang w:eastAsia="zh-CN"/>
              </w:rPr>
              <w:t>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灯</w:t>
            </w:r>
            <w:r>
              <w:rPr>
                <w:rFonts w:hint="eastAsia" w:ascii="宋体" w:hAnsi="宋体" w:cs="宋体"/>
                <w:color w:val="auto"/>
                <w:spacing w:val="2"/>
                <w:w w:val="99"/>
                <w:sz w:val="20"/>
                <w:szCs w:val="20"/>
                <w:highlight w:val="none"/>
                <w:lang w:eastAsia="zh-CN"/>
              </w:rPr>
              <w:t>具</w:t>
            </w:r>
            <w:r>
              <w:rPr>
                <w:rFonts w:hint="eastAsia" w:ascii="宋体" w:hAnsi="宋体" w:cs="宋体"/>
                <w:color w:val="auto"/>
                <w:w w:val="99"/>
                <w:sz w:val="20"/>
                <w:szCs w:val="20"/>
                <w:highlight w:val="none"/>
                <w:lang w:eastAsia="zh-CN"/>
              </w:rPr>
              <w:t>能效限定</w:t>
            </w:r>
            <w:r>
              <w:rPr>
                <w:rFonts w:hint="eastAsia" w:ascii="宋体" w:hAnsi="宋体" w:cs="宋体"/>
                <w:color w:val="auto"/>
                <w:spacing w:val="2"/>
                <w:w w:val="99"/>
                <w:sz w:val="20"/>
                <w:szCs w:val="20"/>
                <w:highlight w:val="none"/>
                <w:lang w:eastAsia="zh-CN"/>
              </w:rPr>
              <w:t>值</w:t>
            </w:r>
            <w:r>
              <w:rPr>
                <w:rFonts w:hint="eastAsia" w:ascii="宋体" w:hAnsi="宋体" w:cs="宋体"/>
                <w:color w:val="auto"/>
                <w:w w:val="99"/>
                <w:sz w:val="20"/>
                <w:szCs w:val="20"/>
                <w:highlight w:val="none"/>
                <w:lang w:eastAsia="zh-CN"/>
              </w:rPr>
              <w:t>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06"/>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3747</w:t>
            </w:r>
            <w:r>
              <w:rPr>
                <w:rFonts w:hint="eastAsia" w:ascii="宋体" w:hAnsi="宋体" w:cs="宋体"/>
                <w:color w:val="auto"/>
                <w:w w:val="99"/>
                <w:sz w:val="20"/>
                <w:szCs w:val="20"/>
                <w:highlight w:val="none"/>
                <w:lang w:eastAsia="zh-CN"/>
              </w:rPr>
              <w:t>8</w:t>
            </w:r>
          </w:p>
        </w:tc>
      </w:tr>
      <w:tr w14:paraId="06AE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01"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D427273">
            <w:pPr>
              <w:rPr>
                <w:rFonts w:ascii="宋体" w:hAnsi="宋体" w:cs="宋体"/>
                <w:color w:val="auto"/>
                <w:sz w:val="20"/>
                <w:szCs w:val="20"/>
                <w:highlight w:val="none"/>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921D2E9">
            <w:pPr>
              <w:rPr>
                <w:rFonts w:ascii="宋体" w:hAnsi="宋体" w:cs="宋体"/>
                <w:color w:val="auto"/>
                <w:sz w:val="20"/>
                <w:szCs w:val="20"/>
                <w:highlight w:val="none"/>
              </w:rPr>
            </w:pPr>
          </w:p>
        </w:tc>
        <w:tc>
          <w:tcPr>
            <w:tcW w:w="1897" w:type="dxa"/>
            <w:tcBorders>
              <w:top w:val="single" w:color="auto" w:sz="4" w:space="0"/>
              <w:left w:val="single" w:color="auto" w:sz="4" w:space="0"/>
              <w:bottom w:val="single" w:color="auto" w:sz="4" w:space="0"/>
              <w:right w:val="single" w:color="auto" w:sz="4" w:space="0"/>
            </w:tcBorders>
            <w:noWrap w:val="0"/>
            <w:vAlign w:val="top"/>
          </w:tcPr>
          <w:p w14:paraId="54DDE496">
            <w:pPr>
              <w:pStyle w:val="106"/>
              <w:spacing w:before="4"/>
              <w:rPr>
                <w:rFonts w:ascii="宋体" w:hAnsi="宋体" w:cs="宋体"/>
                <w:color w:val="auto"/>
                <w:sz w:val="18"/>
                <w:szCs w:val="18"/>
                <w:highlight w:val="none"/>
                <w:lang w:eastAsia="zh-CN"/>
              </w:rPr>
            </w:pPr>
          </w:p>
          <w:p w14:paraId="10ED78E8">
            <w:pPr>
              <w:pStyle w:val="106"/>
              <w:ind w:left="7"/>
              <w:rPr>
                <w:rFonts w:ascii="宋体" w:hAnsi="宋体" w:cs="宋体"/>
                <w:color w:val="auto"/>
                <w:sz w:val="20"/>
                <w:szCs w:val="20"/>
                <w:highlight w:val="none"/>
              </w:rPr>
            </w:pPr>
            <w:r>
              <w:rPr>
                <w:rFonts w:hint="eastAsia" w:ascii="宋体" w:hAnsi="宋体" w:cs="宋体"/>
                <w:color w:val="auto"/>
                <w:spacing w:val="1"/>
                <w:w w:val="99"/>
                <w:sz w:val="20"/>
                <w:szCs w:val="20"/>
                <w:highlight w:val="none"/>
              </w:rPr>
              <w:t>LE</w:t>
            </w:r>
            <w:r>
              <w:rPr>
                <w:rFonts w:hint="eastAsia" w:ascii="宋体" w:hAnsi="宋体" w:cs="宋体"/>
                <w:color w:val="auto"/>
                <w:w w:val="99"/>
                <w:sz w:val="20"/>
                <w:szCs w:val="20"/>
                <w:highlight w:val="none"/>
              </w:rPr>
              <w:t>D筒灯</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57D8B942">
            <w:pPr>
              <w:rPr>
                <w:rFonts w:ascii="Calibri" w:hAnsi="Calibri"/>
                <w:color w:val="auto"/>
                <w:highlight w:val="none"/>
                <w:lang w:eastAsia="en-US"/>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23728AF9">
            <w:pPr>
              <w:pStyle w:val="106"/>
              <w:spacing w:before="83" w:line="283" w:lineRule="auto"/>
              <w:ind w:left="7" w:right="7"/>
              <w:rPr>
                <w:rFonts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1A6B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00"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463322B">
            <w:pPr>
              <w:rPr>
                <w:rFonts w:ascii="宋体" w:hAnsi="宋体" w:cs="宋体"/>
                <w:color w:val="auto"/>
                <w:sz w:val="20"/>
                <w:szCs w:val="20"/>
                <w:highlight w:val="none"/>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6AB94EE">
            <w:pPr>
              <w:rPr>
                <w:rFonts w:ascii="宋体" w:hAnsi="宋体" w:cs="宋体"/>
                <w:color w:val="auto"/>
                <w:sz w:val="20"/>
                <w:szCs w:val="20"/>
                <w:highlight w:val="none"/>
              </w:rPr>
            </w:pPr>
          </w:p>
        </w:tc>
        <w:tc>
          <w:tcPr>
            <w:tcW w:w="1897" w:type="dxa"/>
            <w:tcBorders>
              <w:top w:val="single" w:color="auto" w:sz="4" w:space="0"/>
              <w:left w:val="single" w:color="auto" w:sz="4" w:space="0"/>
              <w:bottom w:val="single" w:color="auto" w:sz="4" w:space="0"/>
              <w:right w:val="single" w:color="auto" w:sz="4" w:space="0"/>
            </w:tcBorders>
            <w:noWrap w:val="0"/>
            <w:vAlign w:val="top"/>
          </w:tcPr>
          <w:p w14:paraId="578FADFF">
            <w:pPr>
              <w:pStyle w:val="106"/>
              <w:spacing w:line="283" w:lineRule="auto"/>
              <w:ind w:righ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普</w:t>
            </w:r>
            <w:r>
              <w:rPr>
                <w:rFonts w:hint="eastAsia" w:ascii="宋体" w:hAnsi="宋体" w:cs="宋体"/>
                <w:color w:val="auto"/>
                <w:spacing w:val="24"/>
                <w:w w:val="99"/>
                <w:sz w:val="20"/>
                <w:szCs w:val="20"/>
                <w:highlight w:val="none"/>
                <w:lang w:eastAsia="zh-CN"/>
              </w:rPr>
              <w:t>通</w:t>
            </w:r>
            <w:r>
              <w:rPr>
                <w:rFonts w:hint="eastAsia" w:ascii="宋体" w:hAnsi="宋体" w:cs="宋体"/>
                <w:color w:val="auto"/>
                <w:w w:val="99"/>
                <w:sz w:val="20"/>
                <w:szCs w:val="20"/>
                <w:highlight w:val="none"/>
                <w:lang w:eastAsia="zh-CN"/>
              </w:rPr>
              <w:t>照明用非</w:t>
            </w:r>
            <w:r>
              <w:rPr>
                <w:rFonts w:hint="eastAsia" w:ascii="宋体" w:hAnsi="宋体" w:cs="宋体"/>
                <w:color w:val="auto"/>
                <w:spacing w:val="24"/>
                <w:w w:val="99"/>
                <w:sz w:val="20"/>
                <w:szCs w:val="20"/>
                <w:highlight w:val="none"/>
                <w:lang w:eastAsia="zh-CN"/>
              </w:rPr>
              <w:t>定</w:t>
            </w:r>
            <w:r>
              <w:rPr>
                <w:rFonts w:hint="eastAsia" w:ascii="宋体" w:hAnsi="宋体" w:cs="宋体"/>
                <w:color w:val="auto"/>
                <w:w w:val="99"/>
                <w:sz w:val="20"/>
                <w:szCs w:val="20"/>
                <w:highlight w:val="none"/>
                <w:lang w:eastAsia="zh-CN"/>
              </w:rPr>
              <w:t>向自镇流</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D灯</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79032EBC">
            <w:pPr>
              <w:rPr>
                <w:rFonts w:ascii="Calibri" w:hAnsi="Calibri"/>
                <w:color w:val="auto"/>
                <w:highlight w:val="none"/>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1AA09C79">
            <w:pPr>
              <w:pStyle w:val="106"/>
              <w:spacing w:line="283" w:lineRule="auto"/>
              <w:ind w:right="7"/>
              <w:rPr>
                <w:rFonts w:ascii="宋体" w:hAnsi="宋体" w:cs="宋体"/>
                <w:color w:val="auto"/>
                <w:sz w:val="20"/>
                <w:szCs w:val="20"/>
                <w:highlight w:val="none"/>
                <w:lang w:eastAsia="zh-CN"/>
              </w:rPr>
            </w:pPr>
            <w:r>
              <w:rPr>
                <w:rFonts w:hint="eastAsia" w:ascii="宋体" w:hAnsi="宋体" w:cs="宋体"/>
                <w:color w:val="auto"/>
                <w:spacing w:val="4"/>
                <w:w w:val="99"/>
                <w:sz w:val="20"/>
                <w:szCs w:val="20"/>
                <w:highlight w:val="none"/>
                <w:lang w:eastAsia="zh-CN"/>
              </w:rPr>
              <w:t>《</w:t>
            </w:r>
            <w:r>
              <w:rPr>
                <w:rFonts w:hint="eastAsia" w:ascii="宋体" w:hAnsi="宋体" w:cs="宋体"/>
                <w:color w:val="auto"/>
                <w:spacing w:val="2"/>
                <w:w w:val="99"/>
                <w:sz w:val="20"/>
                <w:szCs w:val="20"/>
                <w:highlight w:val="none"/>
                <w:lang w:eastAsia="zh-CN"/>
              </w:rPr>
              <w:t>室</w:t>
            </w:r>
            <w:r>
              <w:rPr>
                <w:rFonts w:hint="eastAsia" w:ascii="宋体" w:hAnsi="宋体" w:cs="宋体"/>
                <w:color w:val="auto"/>
                <w:spacing w:val="4"/>
                <w:w w:val="99"/>
                <w:sz w:val="20"/>
                <w:szCs w:val="20"/>
                <w:highlight w:val="none"/>
                <w:lang w:eastAsia="zh-CN"/>
              </w:rPr>
              <w:t>内照明</w:t>
            </w:r>
            <w:r>
              <w:rPr>
                <w:rFonts w:hint="eastAsia" w:ascii="宋体" w:hAnsi="宋体" w:cs="宋体"/>
                <w:color w:val="auto"/>
                <w:w w:val="99"/>
                <w:sz w:val="20"/>
                <w:szCs w:val="20"/>
                <w:highlight w:val="none"/>
                <w:lang w:eastAsia="zh-CN"/>
              </w:rPr>
              <w:t>用</w:t>
            </w:r>
            <w:r>
              <w:rPr>
                <w:rFonts w:hint="eastAsia" w:ascii="宋体" w:hAnsi="宋体" w:cs="宋体"/>
                <w:color w:val="auto"/>
                <w:spacing w:val="1"/>
                <w:w w:val="99"/>
                <w:sz w:val="20"/>
                <w:szCs w:val="20"/>
                <w:highlight w:val="none"/>
                <w:lang w:eastAsia="zh-CN"/>
              </w:rPr>
              <w:t>LE</w:t>
            </w:r>
            <w:r>
              <w:rPr>
                <w:rFonts w:hint="eastAsia" w:ascii="宋体" w:hAnsi="宋体" w:cs="宋体"/>
                <w:color w:val="auto"/>
                <w:w w:val="99"/>
                <w:sz w:val="20"/>
                <w:szCs w:val="20"/>
                <w:highlight w:val="none"/>
                <w:lang w:eastAsia="zh-CN"/>
              </w:rPr>
              <w:t>D</w:t>
            </w:r>
            <w:r>
              <w:rPr>
                <w:rFonts w:hint="eastAsia" w:ascii="宋体" w:hAnsi="宋体" w:cs="宋体"/>
                <w:color w:val="auto"/>
                <w:spacing w:val="4"/>
                <w:w w:val="99"/>
                <w:sz w:val="20"/>
                <w:szCs w:val="20"/>
                <w:highlight w:val="none"/>
                <w:lang w:eastAsia="zh-CN"/>
              </w:rPr>
              <w:t>产</w:t>
            </w:r>
            <w:r>
              <w:rPr>
                <w:rFonts w:hint="eastAsia" w:ascii="宋体" w:hAnsi="宋体" w:cs="宋体"/>
                <w:color w:val="auto"/>
                <w:spacing w:val="2"/>
                <w:w w:val="99"/>
                <w:sz w:val="20"/>
                <w:szCs w:val="20"/>
                <w:highlight w:val="none"/>
                <w:lang w:eastAsia="zh-CN"/>
              </w:rPr>
              <w:t>品</w:t>
            </w:r>
            <w:r>
              <w:rPr>
                <w:rFonts w:hint="eastAsia" w:ascii="宋体" w:hAnsi="宋体" w:cs="宋体"/>
                <w:color w:val="auto"/>
                <w:spacing w:val="4"/>
                <w:w w:val="99"/>
                <w:sz w:val="20"/>
                <w:szCs w:val="20"/>
                <w:highlight w:val="none"/>
                <w:lang w:eastAsia="zh-CN"/>
              </w:rPr>
              <w:t>能效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定值及能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25</w:t>
            </w:r>
            <w:r>
              <w:rPr>
                <w:rFonts w:hint="eastAsia" w:ascii="宋体" w:hAnsi="宋体" w:cs="宋体"/>
                <w:color w:val="auto"/>
                <w:spacing w:val="-2"/>
                <w:w w:val="99"/>
                <w:sz w:val="20"/>
                <w:szCs w:val="20"/>
                <w:highlight w:val="none"/>
                <w:lang w:eastAsia="zh-CN"/>
              </w:rPr>
              <w:t>5</w:t>
            </w:r>
            <w:r>
              <w:rPr>
                <w:rFonts w:hint="eastAsia" w:ascii="宋体" w:hAnsi="宋体" w:cs="宋体"/>
                <w:color w:val="auto"/>
                <w:w w:val="99"/>
                <w:sz w:val="20"/>
                <w:szCs w:val="20"/>
                <w:highlight w:val="none"/>
                <w:lang w:eastAsia="zh-CN"/>
              </w:rPr>
              <w:t>）</w:t>
            </w:r>
          </w:p>
        </w:tc>
      </w:tr>
      <w:tr w14:paraId="624F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1184" w:hRule="exact"/>
          <w:jc w:val="center"/>
        </w:trPr>
        <w:tc>
          <w:tcPr>
            <w:tcW w:w="605" w:type="dxa"/>
            <w:tcBorders>
              <w:top w:val="single" w:color="auto" w:sz="4" w:space="0"/>
              <w:left w:val="single" w:color="auto" w:sz="4" w:space="0"/>
              <w:bottom w:val="single" w:color="auto" w:sz="4" w:space="0"/>
              <w:right w:val="single" w:color="auto" w:sz="4" w:space="0"/>
            </w:tcBorders>
            <w:noWrap w:val="0"/>
            <w:vAlign w:val="top"/>
          </w:tcPr>
          <w:p w14:paraId="1B653A2F">
            <w:pPr>
              <w:pStyle w:val="106"/>
              <w:spacing w:before="1"/>
              <w:rPr>
                <w:rFonts w:ascii="宋体" w:hAnsi="宋体" w:cs="宋体"/>
                <w:color w:val="auto"/>
                <w:sz w:val="18"/>
                <w:szCs w:val="18"/>
                <w:highlight w:val="none"/>
                <w:lang w:eastAsia="zh-CN"/>
              </w:rPr>
            </w:pPr>
          </w:p>
          <w:p w14:paraId="5FEFB9D2">
            <w:pPr>
              <w:pStyle w:val="106"/>
              <w:ind w:left="182"/>
              <w:rPr>
                <w:rFonts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2</w:t>
            </w:r>
          </w:p>
        </w:tc>
        <w:tc>
          <w:tcPr>
            <w:tcW w:w="1229" w:type="dxa"/>
            <w:gridSpan w:val="3"/>
            <w:tcBorders>
              <w:top w:val="single" w:color="auto" w:sz="4" w:space="0"/>
              <w:left w:val="single" w:color="auto" w:sz="4" w:space="0"/>
              <w:bottom w:val="single" w:color="auto" w:sz="4" w:space="0"/>
              <w:right w:val="single" w:color="auto" w:sz="4" w:space="0"/>
            </w:tcBorders>
            <w:noWrap w:val="0"/>
            <w:vAlign w:val="top"/>
          </w:tcPr>
          <w:p w14:paraId="6852AFEC">
            <w:pPr>
              <w:pStyle w:val="106"/>
              <w:spacing w:before="81"/>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910电</w:t>
            </w:r>
          </w:p>
          <w:p w14:paraId="647710DD">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视设备</w:t>
            </w:r>
          </w:p>
        </w:tc>
        <w:tc>
          <w:tcPr>
            <w:tcW w:w="1897" w:type="dxa"/>
            <w:tcBorders>
              <w:top w:val="single" w:color="auto" w:sz="4" w:space="0"/>
              <w:left w:val="single" w:color="auto" w:sz="4" w:space="0"/>
              <w:bottom w:val="single" w:color="auto" w:sz="4" w:space="0"/>
              <w:right w:val="single" w:color="auto" w:sz="4" w:space="0"/>
            </w:tcBorders>
            <w:noWrap w:val="0"/>
            <w:vAlign w:val="top"/>
          </w:tcPr>
          <w:p w14:paraId="2C33AF71">
            <w:pPr>
              <w:pStyle w:val="106"/>
              <w:spacing w:before="81" w:line="283" w:lineRule="auto"/>
              <w:ind w:left="7" w:right="5"/>
              <w:rPr>
                <w:rFonts w:ascii="宋体" w:hAnsi="宋体" w:cs="宋体"/>
                <w:color w:val="auto"/>
                <w:sz w:val="20"/>
                <w:szCs w:val="20"/>
                <w:highlight w:val="none"/>
                <w:lang w:eastAsia="zh-CN"/>
              </w:rPr>
            </w:pPr>
            <w:r>
              <w:rPr>
                <w:rFonts w:hint="eastAsia" w:ascii="宋体" w:hAnsi="宋体" w:cs="宋体"/>
                <w:color w:val="auto"/>
                <w:spacing w:val="1"/>
                <w:w w:val="99"/>
                <w:sz w:val="20"/>
                <w:szCs w:val="20"/>
                <w:highlight w:val="none"/>
                <w:lang w:eastAsia="zh-CN"/>
              </w:rPr>
              <w:t>A02</w:t>
            </w:r>
            <w:r>
              <w:rPr>
                <w:rFonts w:hint="eastAsia" w:ascii="宋体" w:hAnsi="宋体" w:cs="宋体"/>
                <w:color w:val="auto"/>
                <w:w w:val="99"/>
                <w:sz w:val="20"/>
                <w:szCs w:val="20"/>
                <w:highlight w:val="none"/>
                <w:lang w:eastAsia="zh-CN"/>
              </w:rPr>
              <w:t>09</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001普通电视设备（</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视机）</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2EDFEAAD">
            <w:pPr>
              <w:rPr>
                <w:rFonts w:ascii="Calibri" w:hAnsi="Calibri"/>
                <w:color w:val="auto"/>
                <w:highlight w:val="none"/>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41617D3B">
            <w:pPr>
              <w:pStyle w:val="106"/>
              <w:spacing w:before="81"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《平板电视能效限定值</w:t>
            </w:r>
            <w:r>
              <w:rPr>
                <w:rFonts w:hint="eastAsia" w:ascii="宋体" w:hAnsi="宋体" w:cs="宋体"/>
                <w:color w:val="auto"/>
                <w:spacing w:val="9"/>
                <w:w w:val="99"/>
                <w:sz w:val="20"/>
                <w:szCs w:val="20"/>
                <w:highlight w:val="none"/>
                <w:lang w:eastAsia="zh-CN"/>
              </w:rPr>
              <w:t>及</w:t>
            </w:r>
            <w:r>
              <w:rPr>
                <w:rFonts w:hint="eastAsia" w:ascii="宋体" w:hAnsi="宋体" w:cs="宋体"/>
                <w:color w:val="auto"/>
                <w:spacing w:val="12"/>
                <w:w w:val="99"/>
                <w:sz w:val="20"/>
                <w:szCs w:val="20"/>
                <w:highlight w:val="none"/>
                <w:lang w:eastAsia="zh-CN"/>
              </w:rPr>
              <w:t>能效</w:t>
            </w:r>
            <w:r>
              <w:rPr>
                <w:rFonts w:hint="eastAsia" w:ascii="宋体" w:hAnsi="宋体" w:cs="宋体"/>
                <w:color w:val="auto"/>
                <w:w w:val="99"/>
                <w:sz w:val="20"/>
                <w:szCs w:val="20"/>
                <w:highlight w:val="none"/>
                <w:lang w:eastAsia="zh-CN"/>
              </w:rPr>
              <w:t>等级》（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w:t>
            </w:r>
            <w:r>
              <w:rPr>
                <w:rFonts w:hint="eastAsia" w:ascii="宋体" w:hAnsi="宋体" w:cs="宋体"/>
                <w:color w:val="auto"/>
                <w:w w:val="99"/>
                <w:sz w:val="20"/>
                <w:szCs w:val="20"/>
                <w:highlight w:val="none"/>
                <w:lang w:eastAsia="zh-CN"/>
              </w:rPr>
              <w:t>50）</w:t>
            </w:r>
          </w:p>
        </w:tc>
      </w:tr>
      <w:tr w14:paraId="3BDA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1933" w:hRule="exact"/>
          <w:jc w:val="center"/>
        </w:trPr>
        <w:tc>
          <w:tcPr>
            <w:tcW w:w="605" w:type="dxa"/>
            <w:tcBorders>
              <w:top w:val="single" w:color="auto" w:sz="4" w:space="0"/>
              <w:left w:val="single" w:color="auto" w:sz="4" w:space="0"/>
              <w:bottom w:val="single" w:color="auto" w:sz="4" w:space="0"/>
              <w:right w:val="single" w:color="auto" w:sz="4" w:space="0"/>
            </w:tcBorders>
            <w:noWrap w:val="0"/>
            <w:vAlign w:val="top"/>
          </w:tcPr>
          <w:p w14:paraId="39DA3865">
            <w:pPr>
              <w:pStyle w:val="106"/>
              <w:rPr>
                <w:rFonts w:ascii="宋体" w:hAnsi="宋体" w:cs="宋体"/>
                <w:color w:val="auto"/>
                <w:sz w:val="20"/>
                <w:szCs w:val="20"/>
                <w:highlight w:val="none"/>
                <w:lang w:eastAsia="zh-CN"/>
              </w:rPr>
            </w:pPr>
          </w:p>
          <w:p w14:paraId="4E699233">
            <w:pPr>
              <w:pStyle w:val="106"/>
              <w:rPr>
                <w:rFonts w:hint="eastAsia" w:ascii="宋体" w:hAnsi="宋体" w:cs="宋体"/>
                <w:color w:val="auto"/>
                <w:sz w:val="20"/>
                <w:szCs w:val="20"/>
                <w:highlight w:val="none"/>
                <w:lang w:eastAsia="zh-CN"/>
              </w:rPr>
            </w:pPr>
          </w:p>
          <w:p w14:paraId="6D966168">
            <w:pPr>
              <w:pStyle w:val="106"/>
              <w:spacing w:before="10"/>
              <w:rPr>
                <w:rFonts w:hint="eastAsia" w:ascii="宋体" w:hAnsi="宋体" w:cs="宋体"/>
                <w:color w:val="auto"/>
                <w:sz w:val="21"/>
                <w:szCs w:val="21"/>
                <w:highlight w:val="none"/>
                <w:lang w:eastAsia="zh-CN"/>
              </w:rPr>
            </w:pPr>
          </w:p>
          <w:p w14:paraId="59210AD7">
            <w:pPr>
              <w:pStyle w:val="106"/>
              <w:ind w:left="182"/>
              <w:rPr>
                <w:rFonts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3</w:t>
            </w:r>
          </w:p>
        </w:tc>
        <w:tc>
          <w:tcPr>
            <w:tcW w:w="1229" w:type="dxa"/>
            <w:gridSpan w:val="3"/>
            <w:tcBorders>
              <w:top w:val="single" w:color="auto" w:sz="4" w:space="0"/>
              <w:left w:val="single" w:color="auto" w:sz="4" w:space="0"/>
              <w:bottom w:val="single" w:color="auto" w:sz="4" w:space="0"/>
              <w:right w:val="single" w:color="auto" w:sz="4" w:space="0"/>
            </w:tcBorders>
            <w:noWrap w:val="0"/>
            <w:vAlign w:val="top"/>
          </w:tcPr>
          <w:p w14:paraId="12AAE9CB">
            <w:pPr>
              <w:pStyle w:val="106"/>
              <w:rPr>
                <w:rFonts w:ascii="宋体" w:hAnsi="宋体" w:cs="宋体"/>
                <w:color w:val="auto"/>
                <w:sz w:val="20"/>
                <w:szCs w:val="20"/>
                <w:highlight w:val="none"/>
              </w:rPr>
            </w:pPr>
          </w:p>
          <w:p w14:paraId="46301774">
            <w:pPr>
              <w:pStyle w:val="106"/>
              <w:spacing w:before="11"/>
              <w:rPr>
                <w:rFonts w:hint="eastAsia" w:ascii="宋体" w:hAnsi="宋体" w:cs="宋体"/>
                <w:color w:val="auto"/>
                <w:sz w:val="29"/>
                <w:szCs w:val="29"/>
                <w:highlight w:val="none"/>
              </w:rPr>
            </w:pPr>
          </w:p>
          <w:p w14:paraId="5D7C0AC3">
            <w:pPr>
              <w:pStyle w:val="106"/>
              <w:ind w:left="7"/>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A020</w:t>
            </w:r>
            <w:r>
              <w:rPr>
                <w:rFonts w:hint="eastAsia" w:ascii="宋体" w:hAnsi="宋体" w:cs="宋体"/>
                <w:color w:val="auto"/>
                <w:w w:val="99"/>
                <w:sz w:val="20"/>
                <w:szCs w:val="20"/>
                <w:highlight w:val="none"/>
              </w:rPr>
              <w:t>911视</w:t>
            </w:r>
          </w:p>
          <w:p w14:paraId="1A936A87">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频设备</w:t>
            </w:r>
          </w:p>
        </w:tc>
        <w:tc>
          <w:tcPr>
            <w:tcW w:w="1897" w:type="dxa"/>
            <w:tcBorders>
              <w:top w:val="single" w:color="auto" w:sz="4" w:space="0"/>
              <w:left w:val="single" w:color="auto" w:sz="4" w:space="0"/>
              <w:bottom w:val="single" w:color="auto" w:sz="4" w:space="0"/>
              <w:right w:val="single" w:color="auto" w:sz="4" w:space="0"/>
            </w:tcBorders>
            <w:noWrap w:val="0"/>
            <w:vAlign w:val="top"/>
          </w:tcPr>
          <w:p w14:paraId="382062FD">
            <w:pPr>
              <w:pStyle w:val="106"/>
              <w:rPr>
                <w:rFonts w:ascii="宋体" w:hAnsi="宋体" w:cs="宋体"/>
                <w:color w:val="auto"/>
                <w:sz w:val="20"/>
                <w:szCs w:val="20"/>
                <w:highlight w:val="none"/>
              </w:rPr>
            </w:pPr>
          </w:p>
          <w:p w14:paraId="109356FE">
            <w:pPr>
              <w:pStyle w:val="106"/>
              <w:spacing w:before="11"/>
              <w:rPr>
                <w:rFonts w:hint="eastAsia" w:ascii="宋体" w:hAnsi="宋体" w:cs="宋体"/>
                <w:color w:val="auto"/>
                <w:sz w:val="29"/>
                <w:szCs w:val="29"/>
                <w:highlight w:val="none"/>
              </w:rPr>
            </w:pPr>
          </w:p>
          <w:p w14:paraId="3B699CF8">
            <w:pPr>
              <w:pStyle w:val="106"/>
              <w:spacing w:line="283" w:lineRule="auto"/>
              <w:ind w:left="7" w:right="5"/>
              <w:rPr>
                <w:rFonts w:ascii="宋体" w:hAnsi="宋体" w:cs="宋体"/>
                <w:color w:val="auto"/>
                <w:sz w:val="20"/>
                <w:szCs w:val="20"/>
                <w:highlight w:val="none"/>
              </w:rPr>
            </w:pPr>
            <w:r>
              <w:rPr>
                <w:rFonts w:hint="eastAsia" w:ascii="宋体" w:hAnsi="宋体" w:cs="宋体"/>
                <w:color w:val="auto"/>
                <w:spacing w:val="1"/>
                <w:w w:val="99"/>
                <w:sz w:val="20"/>
                <w:szCs w:val="20"/>
                <w:highlight w:val="none"/>
              </w:rPr>
              <w:t>A02</w:t>
            </w:r>
            <w:r>
              <w:rPr>
                <w:rFonts w:hint="eastAsia" w:ascii="宋体" w:hAnsi="宋体" w:cs="宋体"/>
                <w:color w:val="auto"/>
                <w:w w:val="99"/>
                <w:sz w:val="20"/>
                <w:szCs w:val="20"/>
                <w:highlight w:val="none"/>
              </w:rPr>
              <w:t>09</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107视频监控设备</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09D740CF">
            <w:pPr>
              <w:pStyle w:val="106"/>
              <w:rPr>
                <w:rFonts w:ascii="宋体" w:hAnsi="宋体" w:cs="宋体"/>
                <w:color w:val="auto"/>
                <w:sz w:val="20"/>
                <w:szCs w:val="20"/>
                <w:highlight w:val="none"/>
              </w:rPr>
            </w:pPr>
          </w:p>
          <w:p w14:paraId="67DB60AD">
            <w:pPr>
              <w:pStyle w:val="106"/>
              <w:rPr>
                <w:rFonts w:hint="eastAsia" w:ascii="宋体" w:hAnsi="宋体" w:cs="宋体"/>
                <w:color w:val="auto"/>
                <w:sz w:val="20"/>
                <w:szCs w:val="20"/>
                <w:highlight w:val="none"/>
              </w:rPr>
            </w:pPr>
          </w:p>
          <w:p w14:paraId="6FAEE373">
            <w:pPr>
              <w:pStyle w:val="106"/>
              <w:spacing w:before="10"/>
              <w:rPr>
                <w:rFonts w:hint="eastAsia" w:ascii="宋体" w:hAnsi="宋体" w:cs="宋体"/>
                <w:color w:val="auto"/>
                <w:sz w:val="21"/>
                <w:szCs w:val="21"/>
                <w:highlight w:val="none"/>
              </w:rPr>
            </w:pPr>
          </w:p>
          <w:p w14:paraId="58590BB3">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监视器</w:t>
            </w:r>
          </w:p>
        </w:tc>
        <w:tc>
          <w:tcPr>
            <w:tcW w:w="3633" w:type="dxa"/>
            <w:tcBorders>
              <w:top w:val="single" w:color="auto" w:sz="4" w:space="0"/>
              <w:left w:val="single" w:color="auto" w:sz="4" w:space="0"/>
              <w:bottom w:val="single" w:color="auto" w:sz="4" w:space="0"/>
              <w:right w:val="single" w:color="auto" w:sz="4" w:space="0"/>
            </w:tcBorders>
            <w:noWrap w:val="0"/>
            <w:vAlign w:val="top"/>
          </w:tcPr>
          <w:p w14:paraId="68EB4B1B">
            <w:pPr>
              <w:pStyle w:val="106"/>
              <w:spacing w:before="28" w:line="283" w:lineRule="auto"/>
              <w:ind w:left="7" w:right="5"/>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以射频信号为主要信号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平板</w:t>
            </w:r>
            <w:r>
              <w:rPr>
                <w:rFonts w:hint="eastAsia" w:ascii="宋体" w:hAnsi="宋体" w:cs="宋体"/>
                <w:color w:val="auto"/>
                <w:spacing w:val="2"/>
                <w:w w:val="99"/>
                <w:sz w:val="20"/>
                <w:szCs w:val="20"/>
                <w:highlight w:val="none"/>
                <w:lang w:eastAsia="zh-CN"/>
              </w:rPr>
              <w:t>电</w:t>
            </w:r>
            <w:r>
              <w:rPr>
                <w:rFonts w:hint="eastAsia" w:ascii="宋体" w:hAnsi="宋体" w:cs="宋体"/>
                <w:color w:val="auto"/>
                <w:w w:val="99"/>
                <w:sz w:val="20"/>
                <w:szCs w:val="20"/>
                <w:highlight w:val="none"/>
                <w:lang w:eastAsia="zh-CN"/>
              </w:rPr>
              <w:t>视能</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限定值及能效</w:t>
            </w:r>
            <w:r>
              <w:rPr>
                <w:rFonts w:hint="eastAsia" w:ascii="宋体" w:hAnsi="宋体" w:cs="宋体"/>
                <w:color w:val="auto"/>
                <w:spacing w:val="2"/>
                <w:w w:val="99"/>
                <w:sz w:val="20"/>
                <w:szCs w:val="20"/>
                <w:highlight w:val="none"/>
                <w:lang w:eastAsia="zh-CN"/>
              </w:rPr>
              <w:t>等</w:t>
            </w:r>
            <w:r>
              <w:rPr>
                <w:rFonts w:hint="eastAsia" w:ascii="宋体" w:hAnsi="宋体" w:cs="宋体"/>
                <w:color w:val="auto"/>
                <w:w w:val="99"/>
                <w:sz w:val="20"/>
                <w:szCs w:val="20"/>
                <w:highlight w:val="none"/>
                <w:lang w:eastAsia="zh-CN"/>
              </w:rPr>
              <w:t>级》（</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24850</w:t>
            </w:r>
            <w:r>
              <w:rPr>
                <w:rFonts w:hint="eastAsia" w:ascii="宋体" w:hAnsi="宋体" w:cs="宋体"/>
                <w:color w:val="auto"/>
                <w:spacing w:val="-3"/>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2"/>
                <w:w w:val="99"/>
                <w:sz w:val="20"/>
                <w:szCs w:val="20"/>
                <w:highlight w:val="none"/>
                <w:lang w:eastAsia="zh-CN"/>
              </w:rPr>
              <w:t>以数字信号为主要信号</w:t>
            </w:r>
            <w:r>
              <w:rPr>
                <w:rFonts w:hint="eastAsia" w:ascii="宋体" w:hAnsi="宋体" w:cs="宋体"/>
                <w:color w:val="auto"/>
                <w:spacing w:val="9"/>
                <w:w w:val="99"/>
                <w:sz w:val="20"/>
                <w:szCs w:val="20"/>
                <w:highlight w:val="none"/>
                <w:lang w:eastAsia="zh-CN"/>
              </w:rPr>
              <w:t>输</w:t>
            </w:r>
            <w:r>
              <w:rPr>
                <w:rFonts w:hint="eastAsia" w:ascii="宋体" w:hAnsi="宋体" w:cs="宋体"/>
                <w:color w:val="auto"/>
                <w:spacing w:val="12"/>
                <w:w w:val="99"/>
                <w:sz w:val="20"/>
                <w:szCs w:val="20"/>
                <w:highlight w:val="none"/>
                <w:lang w:eastAsia="zh-CN"/>
              </w:rPr>
              <w:t>入的</w:t>
            </w:r>
            <w:r>
              <w:rPr>
                <w:rFonts w:hint="eastAsia" w:ascii="宋体" w:hAnsi="宋体" w:cs="宋体"/>
                <w:color w:val="auto"/>
                <w:w w:val="99"/>
                <w:sz w:val="20"/>
                <w:szCs w:val="20"/>
                <w:highlight w:val="none"/>
                <w:lang w:eastAsia="zh-CN"/>
              </w:rPr>
              <w:t>监视器应</w:t>
            </w:r>
            <w:r>
              <w:rPr>
                <w:rFonts w:hint="eastAsia" w:ascii="宋体" w:hAnsi="宋体" w:cs="宋体"/>
                <w:color w:val="auto"/>
                <w:spacing w:val="2"/>
                <w:w w:val="99"/>
                <w:sz w:val="20"/>
                <w:szCs w:val="20"/>
                <w:highlight w:val="none"/>
                <w:lang w:eastAsia="zh-CN"/>
              </w:rPr>
              <w:t>符</w:t>
            </w:r>
            <w:r>
              <w:rPr>
                <w:rFonts w:hint="eastAsia" w:ascii="宋体" w:hAnsi="宋体" w:cs="宋体"/>
                <w:color w:val="auto"/>
                <w:spacing w:val="-58"/>
                <w:w w:val="99"/>
                <w:sz w:val="20"/>
                <w:szCs w:val="20"/>
                <w:highlight w:val="none"/>
                <w:lang w:eastAsia="zh-CN"/>
              </w:rPr>
              <w:t>合</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计算</w:t>
            </w:r>
            <w:r>
              <w:rPr>
                <w:rFonts w:hint="eastAsia" w:ascii="宋体" w:hAnsi="宋体" w:cs="宋体"/>
                <w:color w:val="auto"/>
                <w:spacing w:val="2"/>
                <w:w w:val="99"/>
                <w:sz w:val="20"/>
                <w:szCs w:val="20"/>
                <w:highlight w:val="none"/>
                <w:lang w:eastAsia="zh-CN"/>
              </w:rPr>
              <w:t>机</w:t>
            </w:r>
            <w:r>
              <w:rPr>
                <w:rFonts w:hint="eastAsia" w:ascii="宋体" w:hAnsi="宋体" w:cs="宋体"/>
                <w:color w:val="auto"/>
                <w:w w:val="99"/>
                <w:sz w:val="20"/>
                <w:szCs w:val="20"/>
                <w:highlight w:val="none"/>
                <w:lang w:eastAsia="zh-CN"/>
              </w:rPr>
              <w:t>显示</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能效限定值及</w:t>
            </w:r>
            <w:r>
              <w:rPr>
                <w:rFonts w:hint="eastAsia" w:ascii="宋体" w:hAnsi="宋体" w:cs="宋体"/>
                <w:color w:val="auto"/>
                <w:spacing w:val="2"/>
                <w:w w:val="99"/>
                <w:sz w:val="20"/>
                <w:szCs w:val="20"/>
                <w:highlight w:val="none"/>
                <w:lang w:eastAsia="zh-CN"/>
              </w:rPr>
              <w:t>能</w:t>
            </w:r>
            <w:r>
              <w:rPr>
                <w:rFonts w:hint="eastAsia" w:ascii="宋体" w:hAnsi="宋体" w:cs="宋体"/>
                <w:color w:val="auto"/>
                <w:w w:val="99"/>
                <w:sz w:val="20"/>
                <w:szCs w:val="20"/>
                <w:highlight w:val="none"/>
                <w:lang w:eastAsia="zh-CN"/>
              </w:rPr>
              <w:t>效等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21</w:t>
            </w:r>
            <w:r>
              <w:rPr>
                <w:rFonts w:hint="eastAsia" w:ascii="宋体" w:hAnsi="宋体" w:cs="宋体"/>
                <w:color w:val="auto"/>
                <w:w w:val="99"/>
                <w:sz w:val="20"/>
                <w:szCs w:val="20"/>
                <w:highlight w:val="none"/>
                <w:lang w:eastAsia="zh-CN"/>
              </w:rPr>
              <w:t>52</w:t>
            </w:r>
            <w:r>
              <w:rPr>
                <w:rFonts w:hint="eastAsia" w:ascii="宋体" w:hAnsi="宋体" w:cs="宋体"/>
                <w:color w:val="auto"/>
                <w:spacing w:val="1"/>
                <w:w w:val="99"/>
                <w:sz w:val="20"/>
                <w:szCs w:val="20"/>
                <w:highlight w:val="none"/>
                <w:lang w:eastAsia="zh-CN"/>
              </w:rPr>
              <w:t>0</w:t>
            </w:r>
            <w:r>
              <w:rPr>
                <w:rFonts w:hint="eastAsia" w:ascii="宋体" w:hAnsi="宋体" w:cs="宋体"/>
                <w:color w:val="auto"/>
                <w:w w:val="99"/>
                <w:sz w:val="20"/>
                <w:szCs w:val="20"/>
                <w:highlight w:val="none"/>
                <w:lang w:eastAsia="zh-CN"/>
              </w:rPr>
              <w:t>）</w:t>
            </w:r>
          </w:p>
        </w:tc>
      </w:tr>
      <w:tr w14:paraId="5A92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1034" w:hRule="exact"/>
          <w:jc w:val="center"/>
        </w:trPr>
        <w:tc>
          <w:tcPr>
            <w:tcW w:w="605" w:type="dxa"/>
            <w:tcBorders>
              <w:top w:val="single" w:color="auto" w:sz="4" w:space="0"/>
              <w:left w:val="single" w:color="auto" w:sz="4" w:space="0"/>
              <w:bottom w:val="single" w:color="auto" w:sz="4" w:space="0"/>
              <w:right w:val="single" w:color="auto" w:sz="4" w:space="0"/>
            </w:tcBorders>
            <w:noWrap w:val="0"/>
            <w:vAlign w:val="top"/>
          </w:tcPr>
          <w:p w14:paraId="6EDEB30D">
            <w:pPr>
              <w:pStyle w:val="106"/>
              <w:spacing w:before="10"/>
              <w:rPr>
                <w:rFonts w:ascii="宋体" w:hAnsi="宋体" w:cs="宋体"/>
                <w:color w:val="auto"/>
                <w:sz w:val="17"/>
                <w:szCs w:val="17"/>
                <w:highlight w:val="none"/>
                <w:lang w:eastAsia="zh-CN"/>
              </w:rPr>
            </w:pPr>
          </w:p>
          <w:p w14:paraId="3CAE65D7">
            <w:pPr>
              <w:pStyle w:val="106"/>
              <w:ind w:left="182"/>
              <w:rPr>
                <w:rFonts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4</w:t>
            </w:r>
          </w:p>
        </w:tc>
        <w:tc>
          <w:tcPr>
            <w:tcW w:w="1229" w:type="dxa"/>
            <w:gridSpan w:val="3"/>
            <w:tcBorders>
              <w:top w:val="single" w:color="auto" w:sz="4" w:space="0"/>
              <w:left w:val="single" w:color="auto" w:sz="4" w:space="0"/>
              <w:bottom w:val="single" w:color="auto" w:sz="4" w:space="0"/>
              <w:right w:val="single" w:color="auto" w:sz="4" w:space="0"/>
            </w:tcBorders>
            <w:noWrap w:val="0"/>
            <w:vAlign w:val="top"/>
          </w:tcPr>
          <w:p w14:paraId="607AF9A7">
            <w:pPr>
              <w:pStyle w:val="106"/>
              <w:spacing w:before="76"/>
              <w:ind w:left="7"/>
              <w:rPr>
                <w:rFonts w:ascii="宋体" w:hAnsi="宋体" w:cs="宋体"/>
                <w:color w:val="auto"/>
                <w:sz w:val="20"/>
                <w:szCs w:val="20"/>
                <w:highlight w:val="none"/>
              </w:rPr>
            </w:pPr>
            <w:r>
              <w:rPr>
                <w:rFonts w:hint="eastAsia" w:ascii="宋体" w:hAnsi="宋体" w:cs="宋体"/>
                <w:color w:val="auto"/>
                <w:spacing w:val="1"/>
                <w:w w:val="99"/>
                <w:sz w:val="20"/>
                <w:szCs w:val="20"/>
                <w:highlight w:val="none"/>
              </w:rPr>
              <w:t>A03</w:t>
            </w:r>
            <w:r>
              <w:rPr>
                <w:rFonts w:hint="eastAsia" w:ascii="宋体" w:hAnsi="宋体" w:cs="宋体"/>
                <w:color w:val="auto"/>
                <w:w w:val="99"/>
                <w:sz w:val="20"/>
                <w:szCs w:val="20"/>
                <w:highlight w:val="none"/>
              </w:rPr>
              <w:t>12</w:t>
            </w:r>
            <w:r>
              <w:rPr>
                <w:rFonts w:hint="eastAsia" w:ascii="宋体" w:hAnsi="宋体" w:cs="宋体"/>
                <w:color w:val="auto"/>
                <w:spacing w:val="1"/>
                <w:w w:val="99"/>
                <w:sz w:val="20"/>
                <w:szCs w:val="20"/>
                <w:highlight w:val="none"/>
              </w:rPr>
              <w:t>1</w:t>
            </w:r>
            <w:r>
              <w:rPr>
                <w:rFonts w:hint="eastAsia" w:ascii="宋体" w:hAnsi="宋体" w:cs="宋体"/>
                <w:color w:val="auto"/>
                <w:w w:val="99"/>
                <w:sz w:val="20"/>
                <w:szCs w:val="20"/>
                <w:highlight w:val="none"/>
              </w:rPr>
              <w:t>0饮食</w:t>
            </w:r>
          </w:p>
          <w:p w14:paraId="4018A85B">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炊事机械</w:t>
            </w:r>
          </w:p>
        </w:tc>
        <w:tc>
          <w:tcPr>
            <w:tcW w:w="1897" w:type="dxa"/>
            <w:tcBorders>
              <w:top w:val="single" w:color="auto" w:sz="4" w:space="0"/>
              <w:left w:val="single" w:color="auto" w:sz="4" w:space="0"/>
              <w:bottom w:val="single" w:color="auto" w:sz="4" w:space="0"/>
              <w:right w:val="single" w:color="auto" w:sz="4" w:space="0"/>
            </w:tcBorders>
            <w:noWrap w:val="0"/>
            <w:vAlign w:val="top"/>
          </w:tcPr>
          <w:p w14:paraId="6569CDF0">
            <w:pPr>
              <w:pStyle w:val="106"/>
              <w:spacing w:before="10"/>
              <w:rPr>
                <w:rFonts w:ascii="宋体" w:hAnsi="宋体" w:cs="宋体"/>
                <w:color w:val="auto"/>
                <w:sz w:val="17"/>
                <w:szCs w:val="17"/>
                <w:highlight w:val="none"/>
              </w:rPr>
            </w:pPr>
          </w:p>
          <w:p w14:paraId="0661E791">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商用燃</w:t>
            </w:r>
            <w:r>
              <w:rPr>
                <w:rFonts w:hint="eastAsia" w:ascii="宋体" w:hAnsi="宋体" w:cs="宋体"/>
                <w:color w:val="auto"/>
                <w:spacing w:val="2"/>
                <w:w w:val="99"/>
                <w:sz w:val="20"/>
                <w:szCs w:val="20"/>
                <w:highlight w:val="none"/>
              </w:rPr>
              <w:t>气</w:t>
            </w:r>
            <w:r>
              <w:rPr>
                <w:rFonts w:hint="eastAsia" w:ascii="宋体" w:hAnsi="宋体" w:cs="宋体"/>
                <w:color w:val="auto"/>
                <w:w w:val="99"/>
                <w:sz w:val="20"/>
                <w:szCs w:val="20"/>
                <w:highlight w:val="none"/>
              </w:rPr>
              <w:t>灶具</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4163E92F">
            <w:pPr>
              <w:rPr>
                <w:rFonts w:ascii="Calibri" w:hAnsi="Calibri"/>
                <w:color w:val="auto"/>
                <w:highlight w:val="none"/>
                <w:lang w:eastAsia="en-US"/>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331F9645">
            <w:pPr>
              <w:pStyle w:val="106"/>
              <w:spacing w:before="76"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《商用燃气灶具能效限</w:t>
            </w:r>
            <w:r>
              <w:rPr>
                <w:rFonts w:hint="eastAsia" w:ascii="宋体" w:hAnsi="宋体" w:cs="宋体"/>
                <w:color w:val="auto"/>
                <w:spacing w:val="9"/>
                <w:w w:val="99"/>
                <w:sz w:val="20"/>
                <w:szCs w:val="20"/>
                <w:highlight w:val="none"/>
                <w:lang w:eastAsia="zh-CN"/>
              </w:rPr>
              <w:t>定</w:t>
            </w:r>
            <w:r>
              <w:rPr>
                <w:rFonts w:hint="eastAsia" w:ascii="宋体" w:hAnsi="宋体" w:cs="宋体"/>
                <w:color w:val="auto"/>
                <w:spacing w:val="12"/>
                <w:w w:val="99"/>
                <w:sz w:val="20"/>
                <w:szCs w:val="20"/>
                <w:highlight w:val="none"/>
                <w:lang w:eastAsia="zh-CN"/>
              </w:rPr>
              <w:t>值及</w:t>
            </w:r>
            <w:r>
              <w:rPr>
                <w:rFonts w:hint="eastAsia" w:ascii="宋体" w:hAnsi="宋体" w:cs="宋体"/>
                <w:color w:val="auto"/>
                <w:w w:val="99"/>
                <w:sz w:val="20"/>
                <w:szCs w:val="20"/>
                <w:highlight w:val="none"/>
                <w:lang w:eastAsia="zh-CN"/>
              </w:rPr>
              <w:t>能效等级</w:t>
            </w:r>
            <w:r>
              <w:rPr>
                <w:rFonts w:hint="eastAsia" w:ascii="宋体" w:hAnsi="宋体" w:cs="宋体"/>
                <w:color w:val="auto"/>
                <w:spacing w:val="2"/>
                <w:w w:val="99"/>
                <w:sz w:val="20"/>
                <w:szCs w:val="20"/>
                <w:highlight w:val="none"/>
                <w:lang w:eastAsia="zh-CN"/>
              </w:rPr>
              <w:t>》</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w:t>
            </w:r>
            <w:r>
              <w:rPr>
                <w:rFonts w:hint="eastAsia" w:ascii="宋体" w:hAnsi="宋体" w:cs="宋体"/>
                <w:color w:val="auto"/>
                <w:w w:val="99"/>
                <w:sz w:val="20"/>
                <w:szCs w:val="20"/>
                <w:highlight w:val="none"/>
                <w:lang w:eastAsia="zh-CN"/>
              </w:rPr>
              <w:t>53</w:t>
            </w:r>
            <w:r>
              <w:rPr>
                <w:rFonts w:hint="eastAsia" w:ascii="宋体" w:hAnsi="宋体" w:cs="宋体"/>
                <w:color w:val="auto"/>
                <w:spacing w:val="1"/>
                <w:w w:val="99"/>
                <w:sz w:val="20"/>
                <w:szCs w:val="20"/>
                <w:highlight w:val="none"/>
                <w:lang w:eastAsia="zh-CN"/>
              </w:rPr>
              <w:t>1</w:t>
            </w:r>
            <w:r>
              <w:rPr>
                <w:rFonts w:hint="eastAsia" w:ascii="宋体" w:hAnsi="宋体" w:cs="宋体"/>
                <w:color w:val="auto"/>
                <w:w w:val="99"/>
                <w:sz w:val="20"/>
                <w:szCs w:val="20"/>
                <w:highlight w:val="none"/>
                <w:lang w:eastAsia="zh-CN"/>
              </w:rPr>
              <w:t>）</w:t>
            </w:r>
          </w:p>
        </w:tc>
      </w:tr>
      <w:tr w14:paraId="405E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82" w:hRule="exac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top"/>
          </w:tcPr>
          <w:p w14:paraId="702A48CD">
            <w:pPr>
              <w:pStyle w:val="106"/>
              <w:rPr>
                <w:rFonts w:ascii="宋体" w:hAnsi="宋体" w:cs="宋体"/>
                <w:color w:val="auto"/>
                <w:sz w:val="20"/>
                <w:szCs w:val="20"/>
                <w:highlight w:val="none"/>
                <w:lang w:eastAsia="zh-CN"/>
              </w:rPr>
            </w:pPr>
          </w:p>
          <w:p w14:paraId="0F200896">
            <w:pPr>
              <w:pStyle w:val="106"/>
              <w:rPr>
                <w:rFonts w:hint="eastAsia" w:ascii="宋体" w:hAnsi="宋体" w:cs="宋体"/>
                <w:color w:val="auto"/>
                <w:sz w:val="20"/>
                <w:szCs w:val="20"/>
                <w:highlight w:val="none"/>
                <w:lang w:eastAsia="zh-CN"/>
              </w:rPr>
            </w:pPr>
          </w:p>
          <w:p w14:paraId="540AFD92">
            <w:pPr>
              <w:pStyle w:val="106"/>
              <w:rPr>
                <w:rFonts w:hint="eastAsia" w:ascii="宋体" w:hAnsi="宋体" w:cs="宋体"/>
                <w:color w:val="auto"/>
                <w:sz w:val="20"/>
                <w:szCs w:val="20"/>
                <w:highlight w:val="none"/>
                <w:lang w:eastAsia="zh-CN"/>
              </w:rPr>
            </w:pPr>
          </w:p>
          <w:p w14:paraId="777CA53B">
            <w:pPr>
              <w:pStyle w:val="106"/>
              <w:spacing w:before="1"/>
              <w:rPr>
                <w:rFonts w:hint="eastAsia" w:ascii="宋体" w:hAnsi="宋体" w:cs="宋体"/>
                <w:color w:val="auto"/>
                <w:sz w:val="29"/>
                <w:szCs w:val="29"/>
                <w:highlight w:val="none"/>
                <w:lang w:eastAsia="zh-CN"/>
              </w:rPr>
            </w:pPr>
          </w:p>
          <w:p w14:paraId="533F5072">
            <w:pPr>
              <w:pStyle w:val="106"/>
              <w:ind w:left="182"/>
              <w:rPr>
                <w:rFonts w:ascii="宋体" w:hAnsi="宋体" w:cs="宋体"/>
                <w:color w:val="auto"/>
                <w:sz w:val="20"/>
                <w:szCs w:val="20"/>
                <w:highlight w:val="none"/>
              </w:rPr>
            </w:pPr>
            <w:r>
              <w:rPr>
                <w:rFonts w:hint="eastAsia" w:ascii="宋体"/>
                <w:color w:val="auto"/>
                <w:spacing w:val="1"/>
                <w:w w:val="99"/>
                <w:sz w:val="20"/>
                <w:highlight w:val="none"/>
              </w:rPr>
              <w:t>1</w:t>
            </w:r>
            <w:r>
              <w:rPr>
                <w:rFonts w:hint="eastAsia" w:ascii="宋体"/>
                <w:color w:val="auto"/>
                <w:w w:val="99"/>
                <w:sz w:val="20"/>
                <w:highlight w:val="none"/>
              </w:rPr>
              <w:t>5</w:t>
            </w:r>
          </w:p>
        </w:tc>
        <w:tc>
          <w:tcPr>
            <w:tcW w:w="1229"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1326C91D">
            <w:pPr>
              <w:pStyle w:val="106"/>
              <w:rPr>
                <w:rFonts w:ascii="宋体" w:hAnsi="宋体" w:cs="宋体"/>
                <w:color w:val="auto"/>
                <w:sz w:val="20"/>
                <w:szCs w:val="20"/>
                <w:highlight w:val="none"/>
              </w:rPr>
            </w:pPr>
          </w:p>
          <w:p w14:paraId="76D8CAC5">
            <w:pPr>
              <w:pStyle w:val="106"/>
              <w:rPr>
                <w:rFonts w:hint="eastAsia" w:ascii="宋体" w:hAnsi="宋体" w:cs="宋体"/>
                <w:color w:val="auto"/>
                <w:sz w:val="20"/>
                <w:szCs w:val="20"/>
                <w:highlight w:val="none"/>
              </w:rPr>
            </w:pPr>
          </w:p>
          <w:p w14:paraId="4FCE9884">
            <w:pPr>
              <w:pStyle w:val="106"/>
              <w:spacing w:before="9"/>
              <w:rPr>
                <w:rFonts w:hint="eastAsia" w:ascii="宋体" w:hAnsi="宋体" w:cs="宋体"/>
                <w:color w:val="auto"/>
                <w:sz w:val="17"/>
                <w:szCs w:val="17"/>
                <w:highlight w:val="none"/>
              </w:rPr>
            </w:pPr>
          </w:p>
          <w:p w14:paraId="418E35F4">
            <w:pPr>
              <w:pStyle w:val="106"/>
              <w:ind w:left="7"/>
              <w:rPr>
                <w:rFonts w:hint="eastAsia"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A060</w:t>
            </w:r>
            <w:r>
              <w:rPr>
                <w:rFonts w:hint="eastAsia" w:ascii="宋体" w:hAnsi="宋体" w:cs="宋体"/>
                <w:color w:val="auto"/>
                <w:w w:val="99"/>
                <w:sz w:val="20"/>
                <w:szCs w:val="20"/>
                <w:highlight w:val="none"/>
              </w:rPr>
              <w:t>805便</w:t>
            </w:r>
          </w:p>
          <w:p w14:paraId="17076BD9">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97" w:type="dxa"/>
            <w:tcBorders>
              <w:top w:val="single" w:color="auto" w:sz="4" w:space="0"/>
              <w:left w:val="single" w:color="auto" w:sz="4" w:space="0"/>
              <w:bottom w:val="single" w:color="auto" w:sz="4" w:space="0"/>
              <w:right w:val="single" w:color="auto" w:sz="4" w:space="0"/>
            </w:tcBorders>
            <w:noWrap w:val="0"/>
            <w:vAlign w:val="top"/>
          </w:tcPr>
          <w:p w14:paraId="76316B6F">
            <w:pPr>
              <w:pStyle w:val="106"/>
              <w:spacing w:before="5"/>
              <w:rPr>
                <w:rFonts w:ascii="宋体" w:hAnsi="宋体" w:cs="宋体"/>
                <w:color w:val="auto"/>
                <w:sz w:val="21"/>
                <w:szCs w:val="21"/>
                <w:highlight w:val="none"/>
              </w:rPr>
            </w:pPr>
          </w:p>
          <w:p w14:paraId="4C101DE9">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坐便器</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551668A0">
            <w:pPr>
              <w:rPr>
                <w:rFonts w:ascii="Calibri" w:hAnsi="Calibri"/>
                <w:color w:val="auto"/>
                <w:highlight w:val="none"/>
                <w:lang w:eastAsia="en-US"/>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7FFDF01A">
            <w:pPr>
              <w:pStyle w:val="106"/>
              <w:spacing w:before="124"/>
              <w:ind w:left="7"/>
              <w:rPr>
                <w:rFonts w:ascii="宋体" w:hAnsi="宋体" w:cs="宋体"/>
                <w:color w:val="auto"/>
                <w:sz w:val="20"/>
                <w:szCs w:val="20"/>
                <w:highlight w:val="none"/>
                <w:lang w:eastAsia="zh-CN"/>
              </w:rPr>
            </w:pPr>
            <w:r>
              <w:rPr>
                <w:rFonts w:hint="eastAsia" w:ascii="宋体" w:hAnsi="宋体" w:cs="宋体"/>
                <w:color w:val="auto"/>
                <w:w w:val="99"/>
                <w:sz w:val="20"/>
                <w:szCs w:val="20"/>
                <w:highlight w:val="none"/>
                <w:lang w:eastAsia="zh-CN"/>
              </w:rPr>
              <w:t>《坐便</w:t>
            </w:r>
            <w:r>
              <w:rPr>
                <w:rFonts w:hint="eastAsia" w:ascii="宋体" w:hAnsi="宋体" w:cs="宋体"/>
                <w:color w:val="auto"/>
                <w:spacing w:val="2"/>
                <w:w w:val="99"/>
                <w:sz w:val="20"/>
                <w:szCs w:val="20"/>
                <w:highlight w:val="none"/>
                <w:lang w:eastAsia="zh-CN"/>
              </w:rPr>
              <w:t>器</w:t>
            </w:r>
            <w:r>
              <w:rPr>
                <w:rFonts w:hint="eastAsia" w:ascii="宋体" w:hAnsi="宋体" w:cs="宋体"/>
                <w:color w:val="auto"/>
                <w:w w:val="99"/>
                <w:sz w:val="20"/>
                <w:szCs w:val="20"/>
                <w:highlight w:val="none"/>
                <w:lang w:eastAsia="zh-CN"/>
              </w:rPr>
              <w:t>水效</w:t>
            </w:r>
            <w:r>
              <w:rPr>
                <w:rFonts w:hint="eastAsia" w:ascii="宋体" w:hAnsi="宋体" w:cs="宋体"/>
                <w:color w:val="auto"/>
                <w:spacing w:val="2"/>
                <w:w w:val="99"/>
                <w:sz w:val="20"/>
                <w:szCs w:val="20"/>
                <w:highlight w:val="none"/>
                <w:lang w:eastAsia="zh-CN"/>
              </w:rPr>
              <w:t>限</w:t>
            </w:r>
            <w:r>
              <w:rPr>
                <w:rFonts w:hint="eastAsia" w:ascii="宋体" w:hAnsi="宋体" w:cs="宋体"/>
                <w:color w:val="auto"/>
                <w:w w:val="99"/>
                <w:sz w:val="20"/>
                <w:szCs w:val="20"/>
                <w:highlight w:val="none"/>
                <w:lang w:eastAsia="zh-CN"/>
              </w:rPr>
              <w:t>定值</w:t>
            </w:r>
            <w:r>
              <w:rPr>
                <w:rFonts w:hint="eastAsia" w:ascii="宋体" w:hAnsi="宋体" w:cs="宋体"/>
                <w:color w:val="auto"/>
                <w:spacing w:val="2"/>
                <w:w w:val="99"/>
                <w:sz w:val="20"/>
                <w:szCs w:val="20"/>
                <w:highlight w:val="none"/>
                <w:lang w:eastAsia="zh-CN"/>
              </w:rPr>
              <w:t>及</w:t>
            </w:r>
            <w:r>
              <w:rPr>
                <w:rFonts w:hint="eastAsia" w:ascii="宋体" w:hAnsi="宋体" w:cs="宋体"/>
                <w:color w:val="auto"/>
                <w:w w:val="99"/>
                <w:sz w:val="20"/>
                <w:szCs w:val="20"/>
                <w:highlight w:val="none"/>
                <w:lang w:eastAsia="zh-CN"/>
              </w:rPr>
              <w:t>水</w:t>
            </w:r>
            <w:r>
              <w:rPr>
                <w:rFonts w:hint="eastAsia" w:ascii="宋体" w:hAnsi="宋体" w:cs="宋体"/>
                <w:color w:val="auto"/>
                <w:spacing w:val="2"/>
                <w:w w:val="99"/>
                <w:sz w:val="20"/>
                <w:szCs w:val="20"/>
                <w:highlight w:val="none"/>
                <w:lang w:eastAsia="zh-CN"/>
              </w:rPr>
              <w:t>效</w:t>
            </w:r>
            <w:r>
              <w:rPr>
                <w:rFonts w:hint="eastAsia" w:ascii="宋体" w:hAnsi="宋体" w:cs="宋体"/>
                <w:color w:val="auto"/>
                <w:w w:val="99"/>
                <w:sz w:val="20"/>
                <w:szCs w:val="20"/>
                <w:highlight w:val="none"/>
                <w:lang w:eastAsia="zh-CN"/>
              </w:rPr>
              <w:t>等级》</w:t>
            </w:r>
          </w:p>
          <w:p w14:paraId="6F2BA326">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w:t>
            </w:r>
            <w:r>
              <w:rPr>
                <w:rFonts w:hint="eastAsia" w:ascii="宋体" w:hAnsi="宋体" w:cs="宋体"/>
                <w:color w:val="auto"/>
                <w:spacing w:val="1"/>
                <w:w w:val="99"/>
                <w:sz w:val="20"/>
                <w:szCs w:val="20"/>
                <w:highlight w:val="none"/>
              </w:rPr>
              <w:t>G</w:t>
            </w:r>
            <w:r>
              <w:rPr>
                <w:rFonts w:hint="eastAsia" w:ascii="宋体" w:hAnsi="宋体" w:cs="宋体"/>
                <w:color w:val="auto"/>
                <w:w w:val="99"/>
                <w:sz w:val="20"/>
                <w:szCs w:val="20"/>
                <w:highlight w:val="none"/>
              </w:rPr>
              <w:t>B</w:t>
            </w:r>
            <w:r>
              <w:rPr>
                <w:rFonts w:hint="eastAsia" w:ascii="宋体" w:hAnsi="宋体" w:cs="宋体"/>
                <w:color w:val="auto"/>
                <w:spacing w:val="1"/>
                <w:w w:val="99"/>
                <w:sz w:val="20"/>
                <w:szCs w:val="20"/>
                <w:highlight w:val="none"/>
              </w:rPr>
              <w:t>2</w:t>
            </w:r>
            <w:r>
              <w:rPr>
                <w:rFonts w:hint="eastAsia" w:ascii="宋体" w:hAnsi="宋体" w:cs="宋体"/>
                <w:color w:val="auto"/>
                <w:w w:val="99"/>
                <w:sz w:val="20"/>
                <w:szCs w:val="20"/>
                <w:highlight w:val="none"/>
              </w:rPr>
              <w:t>55</w:t>
            </w:r>
            <w:r>
              <w:rPr>
                <w:rFonts w:hint="eastAsia" w:ascii="宋体" w:hAnsi="宋体" w:cs="宋体"/>
                <w:color w:val="auto"/>
                <w:spacing w:val="1"/>
                <w:w w:val="99"/>
                <w:sz w:val="20"/>
                <w:szCs w:val="20"/>
                <w:highlight w:val="none"/>
              </w:rPr>
              <w:t>02</w:t>
            </w:r>
            <w:r>
              <w:rPr>
                <w:rFonts w:hint="eastAsia" w:ascii="宋体" w:hAnsi="宋体" w:cs="宋体"/>
                <w:color w:val="auto"/>
                <w:w w:val="99"/>
                <w:sz w:val="20"/>
                <w:szCs w:val="20"/>
                <w:highlight w:val="none"/>
              </w:rPr>
              <w:t>）</w:t>
            </w:r>
          </w:p>
        </w:tc>
      </w:tr>
      <w:tr w14:paraId="1DB6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82"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42786D3">
            <w:pPr>
              <w:rPr>
                <w:rFonts w:ascii="宋体" w:hAnsi="宋体" w:cs="宋体"/>
                <w:color w:val="auto"/>
                <w:sz w:val="20"/>
                <w:szCs w:val="20"/>
                <w:highlight w:val="none"/>
                <w:lang w:eastAsia="en-US"/>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991ED01">
            <w:pPr>
              <w:rPr>
                <w:rFonts w:ascii="宋体" w:hAnsi="宋体" w:cs="宋体"/>
                <w:color w:val="auto"/>
                <w:sz w:val="20"/>
                <w:szCs w:val="20"/>
                <w:highlight w:val="none"/>
                <w:lang w:eastAsia="en-US"/>
              </w:rPr>
            </w:pPr>
          </w:p>
        </w:tc>
        <w:tc>
          <w:tcPr>
            <w:tcW w:w="1897" w:type="dxa"/>
            <w:tcBorders>
              <w:top w:val="single" w:color="auto" w:sz="4" w:space="0"/>
              <w:left w:val="single" w:color="auto" w:sz="4" w:space="0"/>
              <w:bottom w:val="single" w:color="auto" w:sz="4" w:space="0"/>
              <w:right w:val="single" w:color="auto" w:sz="4" w:space="0"/>
            </w:tcBorders>
            <w:noWrap w:val="0"/>
            <w:vAlign w:val="top"/>
          </w:tcPr>
          <w:p w14:paraId="0C0AAAB1">
            <w:pPr>
              <w:pStyle w:val="106"/>
              <w:spacing w:before="5"/>
              <w:rPr>
                <w:rFonts w:ascii="宋体" w:hAnsi="宋体" w:cs="宋体"/>
                <w:color w:val="auto"/>
                <w:sz w:val="21"/>
                <w:szCs w:val="21"/>
                <w:highlight w:val="none"/>
              </w:rPr>
            </w:pPr>
          </w:p>
          <w:p w14:paraId="4C621BB6">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蹲便器</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5742BD67">
            <w:pPr>
              <w:rPr>
                <w:rFonts w:ascii="Calibri" w:hAnsi="Calibri"/>
                <w:color w:val="auto"/>
                <w:highlight w:val="none"/>
                <w:lang w:eastAsia="en-US"/>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72E519B7">
            <w:pPr>
              <w:pStyle w:val="106"/>
              <w:spacing w:before="124"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《蹲便器用水效率限定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307</w:t>
            </w:r>
            <w:r>
              <w:rPr>
                <w:rFonts w:hint="eastAsia" w:ascii="宋体" w:hAnsi="宋体" w:cs="宋体"/>
                <w:color w:val="auto"/>
                <w:w w:val="99"/>
                <w:sz w:val="20"/>
                <w:szCs w:val="20"/>
                <w:highlight w:val="none"/>
                <w:lang w:eastAsia="zh-CN"/>
              </w:rPr>
              <w:t>1</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r w14:paraId="4339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6" w:type="dxa"/>
          <w:trHeight w:val="884" w:hRule="exac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A817C9E">
            <w:pPr>
              <w:rPr>
                <w:rFonts w:ascii="宋体" w:hAnsi="宋体" w:cs="宋体"/>
                <w:color w:val="auto"/>
                <w:sz w:val="20"/>
                <w:szCs w:val="20"/>
                <w:highlight w:val="none"/>
              </w:rPr>
            </w:pPr>
          </w:p>
        </w:tc>
        <w:tc>
          <w:tcPr>
            <w:tcW w:w="12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C104527">
            <w:pPr>
              <w:rPr>
                <w:rFonts w:ascii="宋体" w:hAnsi="宋体" w:cs="宋体"/>
                <w:color w:val="auto"/>
                <w:sz w:val="20"/>
                <w:szCs w:val="20"/>
                <w:highlight w:val="none"/>
              </w:rPr>
            </w:pPr>
          </w:p>
        </w:tc>
        <w:tc>
          <w:tcPr>
            <w:tcW w:w="1897" w:type="dxa"/>
            <w:tcBorders>
              <w:top w:val="single" w:color="auto" w:sz="4" w:space="0"/>
              <w:left w:val="single" w:color="auto" w:sz="4" w:space="0"/>
              <w:bottom w:val="single" w:color="auto" w:sz="4" w:space="0"/>
              <w:right w:val="single" w:color="auto" w:sz="4" w:space="0"/>
            </w:tcBorders>
            <w:noWrap w:val="0"/>
            <w:vAlign w:val="top"/>
          </w:tcPr>
          <w:p w14:paraId="0EF89FA2">
            <w:pPr>
              <w:pStyle w:val="106"/>
              <w:spacing w:before="5"/>
              <w:rPr>
                <w:rFonts w:ascii="宋体" w:hAnsi="宋体" w:cs="宋体"/>
                <w:color w:val="auto"/>
                <w:sz w:val="21"/>
                <w:szCs w:val="21"/>
                <w:highlight w:val="none"/>
                <w:lang w:eastAsia="zh-CN"/>
              </w:rPr>
            </w:pPr>
          </w:p>
          <w:p w14:paraId="089CD98E">
            <w:pPr>
              <w:pStyle w:val="106"/>
              <w:ind w:left="7"/>
              <w:rPr>
                <w:rFonts w:ascii="宋体" w:hAnsi="宋体" w:cs="宋体"/>
                <w:color w:val="auto"/>
                <w:sz w:val="20"/>
                <w:szCs w:val="20"/>
                <w:highlight w:val="none"/>
              </w:rPr>
            </w:pPr>
            <w:r>
              <w:rPr>
                <w:rFonts w:hint="eastAsia" w:ascii="宋体" w:hAnsi="宋体" w:cs="宋体"/>
                <w:color w:val="auto"/>
                <w:w w:val="99"/>
                <w:sz w:val="20"/>
                <w:szCs w:val="20"/>
                <w:highlight w:val="none"/>
              </w:rPr>
              <w:t>小便器</w:t>
            </w:r>
          </w:p>
        </w:tc>
        <w:tc>
          <w:tcPr>
            <w:tcW w:w="2019" w:type="dxa"/>
            <w:tcBorders>
              <w:top w:val="single" w:color="auto" w:sz="4" w:space="0"/>
              <w:left w:val="single" w:color="auto" w:sz="4" w:space="0"/>
              <w:bottom w:val="single" w:color="auto" w:sz="4" w:space="0"/>
              <w:right w:val="single" w:color="auto" w:sz="4" w:space="0"/>
            </w:tcBorders>
            <w:noWrap w:val="0"/>
            <w:vAlign w:val="top"/>
          </w:tcPr>
          <w:p w14:paraId="3022B22F">
            <w:pPr>
              <w:rPr>
                <w:rFonts w:ascii="Calibri" w:hAnsi="Calibri"/>
                <w:color w:val="auto"/>
                <w:highlight w:val="none"/>
                <w:lang w:eastAsia="en-US"/>
              </w:rPr>
            </w:pPr>
          </w:p>
        </w:tc>
        <w:tc>
          <w:tcPr>
            <w:tcW w:w="3633" w:type="dxa"/>
            <w:tcBorders>
              <w:top w:val="single" w:color="auto" w:sz="4" w:space="0"/>
              <w:left w:val="single" w:color="auto" w:sz="4" w:space="0"/>
              <w:bottom w:val="single" w:color="auto" w:sz="4" w:space="0"/>
              <w:right w:val="single" w:color="auto" w:sz="4" w:space="0"/>
            </w:tcBorders>
            <w:noWrap w:val="0"/>
            <w:vAlign w:val="top"/>
          </w:tcPr>
          <w:p w14:paraId="4F919B4F">
            <w:pPr>
              <w:pStyle w:val="106"/>
              <w:spacing w:before="124" w:line="283" w:lineRule="auto"/>
              <w:ind w:left="7" w:right="4"/>
              <w:rPr>
                <w:rFonts w:ascii="宋体" w:hAnsi="宋体" w:cs="宋体"/>
                <w:color w:val="auto"/>
                <w:sz w:val="20"/>
                <w:szCs w:val="20"/>
                <w:highlight w:val="none"/>
                <w:lang w:eastAsia="zh-CN"/>
              </w:rPr>
            </w:pPr>
            <w:r>
              <w:rPr>
                <w:rFonts w:hint="eastAsia" w:ascii="宋体" w:hAnsi="宋体" w:cs="宋体"/>
                <w:color w:val="auto"/>
                <w:spacing w:val="12"/>
                <w:w w:val="99"/>
                <w:sz w:val="20"/>
                <w:szCs w:val="20"/>
                <w:highlight w:val="none"/>
                <w:lang w:eastAsia="zh-CN"/>
              </w:rPr>
              <w:t>《小便器用水效率限定</w:t>
            </w:r>
            <w:r>
              <w:rPr>
                <w:rFonts w:hint="eastAsia" w:ascii="宋体" w:hAnsi="宋体" w:cs="宋体"/>
                <w:color w:val="auto"/>
                <w:spacing w:val="9"/>
                <w:w w:val="99"/>
                <w:sz w:val="20"/>
                <w:szCs w:val="20"/>
                <w:highlight w:val="none"/>
                <w:lang w:eastAsia="zh-CN"/>
              </w:rPr>
              <w:t>值</w:t>
            </w:r>
            <w:r>
              <w:rPr>
                <w:rFonts w:hint="eastAsia" w:ascii="宋体" w:hAnsi="宋体" w:cs="宋体"/>
                <w:color w:val="auto"/>
                <w:spacing w:val="12"/>
                <w:w w:val="99"/>
                <w:sz w:val="20"/>
                <w:szCs w:val="20"/>
                <w:highlight w:val="none"/>
                <w:lang w:eastAsia="zh-CN"/>
              </w:rPr>
              <w:t>及用</w:t>
            </w:r>
            <w:r>
              <w:rPr>
                <w:rFonts w:hint="eastAsia" w:ascii="宋体" w:hAnsi="宋体" w:cs="宋体"/>
                <w:color w:val="auto"/>
                <w:w w:val="99"/>
                <w:sz w:val="20"/>
                <w:szCs w:val="20"/>
                <w:highlight w:val="none"/>
                <w:lang w:eastAsia="zh-CN"/>
              </w:rPr>
              <w:t>水效率等</w:t>
            </w:r>
            <w:r>
              <w:rPr>
                <w:rFonts w:hint="eastAsia" w:ascii="宋体" w:hAnsi="宋体" w:cs="宋体"/>
                <w:color w:val="auto"/>
                <w:spacing w:val="2"/>
                <w:w w:val="99"/>
                <w:sz w:val="20"/>
                <w:szCs w:val="20"/>
                <w:highlight w:val="none"/>
                <w:lang w:eastAsia="zh-CN"/>
              </w:rPr>
              <w:t>级</w:t>
            </w:r>
            <w:r>
              <w:rPr>
                <w:rFonts w:hint="eastAsia" w:ascii="宋体" w:hAnsi="宋体" w:cs="宋体"/>
                <w:color w:val="auto"/>
                <w:w w:val="99"/>
                <w:sz w:val="20"/>
                <w:szCs w:val="20"/>
                <w:highlight w:val="none"/>
                <w:lang w:eastAsia="zh-CN"/>
              </w:rPr>
              <w:t>》（</w:t>
            </w:r>
            <w:r>
              <w:rPr>
                <w:rFonts w:hint="eastAsia" w:ascii="宋体" w:hAnsi="宋体" w:cs="宋体"/>
                <w:color w:val="auto"/>
                <w:spacing w:val="1"/>
                <w:w w:val="99"/>
                <w:sz w:val="20"/>
                <w:szCs w:val="20"/>
                <w:highlight w:val="none"/>
                <w:lang w:eastAsia="zh-CN"/>
              </w:rPr>
              <w:t>G</w:t>
            </w:r>
            <w:r>
              <w:rPr>
                <w:rFonts w:hint="eastAsia" w:ascii="宋体" w:hAnsi="宋体" w:cs="宋体"/>
                <w:color w:val="auto"/>
                <w:w w:val="99"/>
                <w:sz w:val="20"/>
                <w:szCs w:val="20"/>
                <w:highlight w:val="none"/>
                <w:lang w:eastAsia="zh-CN"/>
              </w:rPr>
              <w:t>B</w:t>
            </w:r>
            <w:r>
              <w:rPr>
                <w:rFonts w:hint="eastAsia" w:ascii="宋体" w:hAnsi="宋体" w:cs="宋体"/>
                <w:color w:val="auto"/>
                <w:spacing w:val="1"/>
                <w:w w:val="99"/>
                <w:sz w:val="20"/>
                <w:szCs w:val="20"/>
                <w:highlight w:val="none"/>
                <w:lang w:eastAsia="zh-CN"/>
              </w:rPr>
              <w:t>283</w:t>
            </w:r>
            <w:r>
              <w:rPr>
                <w:rFonts w:hint="eastAsia" w:ascii="宋体" w:hAnsi="宋体" w:cs="宋体"/>
                <w:color w:val="auto"/>
                <w:w w:val="99"/>
                <w:sz w:val="20"/>
                <w:szCs w:val="20"/>
                <w:highlight w:val="none"/>
                <w:lang w:eastAsia="zh-CN"/>
              </w:rPr>
              <w:t>7</w:t>
            </w:r>
            <w:r>
              <w:rPr>
                <w:rFonts w:hint="eastAsia" w:ascii="宋体" w:hAnsi="宋体" w:cs="宋体"/>
                <w:color w:val="auto"/>
                <w:spacing w:val="-1"/>
                <w:w w:val="99"/>
                <w:sz w:val="20"/>
                <w:szCs w:val="20"/>
                <w:highlight w:val="none"/>
                <w:lang w:eastAsia="zh-CN"/>
              </w:rPr>
              <w:t>7</w:t>
            </w:r>
            <w:r>
              <w:rPr>
                <w:rFonts w:hint="eastAsia" w:ascii="宋体" w:hAnsi="宋体" w:cs="宋体"/>
                <w:color w:val="auto"/>
                <w:w w:val="99"/>
                <w:sz w:val="20"/>
                <w:szCs w:val="20"/>
                <w:highlight w:val="none"/>
                <w:lang w:eastAsia="zh-CN"/>
              </w:rPr>
              <w:t>）</w:t>
            </w:r>
          </w:p>
        </w:tc>
      </w:tr>
      <w:tr w14:paraId="72833A23">
        <w:tblPrEx>
          <w:tblCellMar>
            <w:top w:w="0" w:type="dxa"/>
            <w:left w:w="0" w:type="dxa"/>
            <w:bottom w:w="0" w:type="dxa"/>
            <w:right w:w="0" w:type="dxa"/>
          </w:tblCellMar>
        </w:tblPrEx>
        <w:trPr>
          <w:gridAfter w:val="1"/>
          <w:wAfter w:w="16" w:type="dxa"/>
          <w:trHeight w:val="997" w:hRule="exact"/>
          <w:jc w:val="center"/>
        </w:trPr>
        <w:tc>
          <w:tcPr>
            <w:tcW w:w="615" w:type="dxa"/>
            <w:gridSpan w:val="2"/>
            <w:tcBorders>
              <w:top w:val="single" w:color="000000" w:sz="4" w:space="0"/>
              <w:left w:val="single" w:color="000000" w:sz="4" w:space="0"/>
              <w:bottom w:val="single" w:color="000000" w:sz="4" w:space="0"/>
              <w:right w:val="single" w:color="000000" w:sz="4" w:space="0"/>
            </w:tcBorders>
            <w:noWrap w:val="0"/>
            <w:vAlign w:val="top"/>
          </w:tcPr>
          <w:p w14:paraId="4C57E1B6">
            <w:pPr>
              <w:pStyle w:val="106"/>
              <w:spacing w:before="8"/>
              <w:rPr>
                <w:rFonts w:ascii="宋体" w:hAnsi="宋体" w:cs="宋体"/>
                <w:color w:val="auto"/>
                <w:sz w:val="23"/>
                <w:szCs w:val="23"/>
                <w:highlight w:val="none"/>
                <w:lang w:eastAsia="zh-CN"/>
              </w:rPr>
            </w:pPr>
          </w:p>
          <w:p w14:paraId="44B7B671">
            <w:pPr>
              <w:pStyle w:val="106"/>
              <w:ind w:left="182"/>
              <w:rPr>
                <w:rFonts w:ascii="宋体" w:hAnsi="宋体" w:cs="宋体"/>
                <w:color w:val="auto"/>
                <w:sz w:val="20"/>
                <w:szCs w:val="20"/>
                <w:highlight w:val="none"/>
              </w:rPr>
            </w:pPr>
            <w:r>
              <w:rPr>
                <w:rFonts w:hint="eastAsia" w:ascii="宋体"/>
                <w:color w:val="auto"/>
                <w:sz w:val="20"/>
                <w:highlight w:val="none"/>
              </w:rPr>
              <w:t>16</w:t>
            </w:r>
          </w:p>
        </w:tc>
        <w:tc>
          <w:tcPr>
            <w:tcW w:w="1219" w:type="dxa"/>
            <w:gridSpan w:val="2"/>
            <w:tcBorders>
              <w:top w:val="single" w:color="000000" w:sz="4" w:space="0"/>
              <w:left w:val="single" w:color="000000" w:sz="4" w:space="0"/>
              <w:bottom w:val="single" w:color="000000" w:sz="4" w:space="0"/>
              <w:right w:val="single" w:color="000000" w:sz="4" w:space="0"/>
            </w:tcBorders>
            <w:noWrap w:val="0"/>
            <w:vAlign w:val="top"/>
          </w:tcPr>
          <w:p w14:paraId="60A2541A">
            <w:pPr>
              <w:pStyle w:val="106"/>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20FFD49B">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1532C31">
            <w:pPr>
              <w:rPr>
                <w:rFonts w:ascii="Calibri" w:hAnsi="Calibri"/>
                <w:color w:val="auto"/>
                <w:highlight w:val="none"/>
                <w:lang w:eastAsia="en-US"/>
              </w:rPr>
            </w:pPr>
          </w:p>
        </w:tc>
        <w:tc>
          <w:tcPr>
            <w:tcW w:w="2019" w:type="dxa"/>
            <w:tcBorders>
              <w:top w:val="single" w:color="000000" w:sz="4" w:space="0"/>
              <w:left w:val="single" w:color="000000" w:sz="4" w:space="0"/>
              <w:bottom w:val="single" w:color="000000" w:sz="4" w:space="0"/>
              <w:right w:val="single" w:color="000000" w:sz="4" w:space="0"/>
            </w:tcBorders>
            <w:noWrap w:val="0"/>
            <w:vAlign w:val="top"/>
          </w:tcPr>
          <w:p w14:paraId="2532DE36">
            <w:pPr>
              <w:rPr>
                <w:rFonts w:ascii="Calibri" w:hAnsi="Calibri"/>
                <w:color w:val="auto"/>
                <w:highlight w:val="none"/>
                <w:lang w:eastAsia="en-US"/>
              </w:rPr>
            </w:pPr>
          </w:p>
        </w:tc>
        <w:tc>
          <w:tcPr>
            <w:tcW w:w="3633" w:type="dxa"/>
            <w:tcBorders>
              <w:top w:val="single" w:color="000000" w:sz="4" w:space="0"/>
              <w:left w:val="single" w:color="000000" w:sz="4" w:space="0"/>
              <w:bottom w:val="single" w:color="000000" w:sz="4" w:space="0"/>
              <w:right w:val="single" w:color="000000" w:sz="4" w:space="0"/>
            </w:tcBorders>
            <w:noWrap w:val="0"/>
            <w:vAlign w:val="top"/>
          </w:tcPr>
          <w:p w14:paraId="37B41ED9">
            <w:pPr>
              <w:pStyle w:val="106"/>
              <w:spacing w:before="153"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7EB0D7E6">
        <w:tblPrEx>
          <w:tblCellMar>
            <w:top w:w="0" w:type="dxa"/>
            <w:left w:w="0" w:type="dxa"/>
            <w:bottom w:w="0" w:type="dxa"/>
            <w:right w:w="0" w:type="dxa"/>
          </w:tblCellMar>
        </w:tblPrEx>
        <w:trPr>
          <w:gridAfter w:val="1"/>
          <w:wAfter w:w="16" w:type="dxa"/>
          <w:trHeight w:val="1146" w:hRule="exact"/>
          <w:jc w:val="center"/>
        </w:trPr>
        <w:tc>
          <w:tcPr>
            <w:tcW w:w="615" w:type="dxa"/>
            <w:gridSpan w:val="2"/>
            <w:tcBorders>
              <w:top w:val="single" w:color="000000" w:sz="4" w:space="0"/>
              <w:left w:val="single" w:color="000000" w:sz="4" w:space="0"/>
              <w:bottom w:val="single" w:color="000000" w:sz="4" w:space="0"/>
              <w:right w:val="single" w:color="000000" w:sz="4" w:space="0"/>
            </w:tcBorders>
            <w:noWrap w:val="0"/>
            <w:vAlign w:val="top"/>
          </w:tcPr>
          <w:p w14:paraId="72D95DB4">
            <w:pPr>
              <w:pStyle w:val="106"/>
              <w:spacing w:before="6"/>
              <w:rPr>
                <w:rFonts w:ascii="宋体" w:hAnsi="宋体" w:cs="宋体"/>
                <w:color w:val="auto"/>
                <w:sz w:val="20"/>
                <w:szCs w:val="20"/>
                <w:highlight w:val="none"/>
                <w:lang w:eastAsia="zh-CN"/>
              </w:rPr>
            </w:pPr>
          </w:p>
          <w:p w14:paraId="39EDC67A">
            <w:pPr>
              <w:pStyle w:val="106"/>
              <w:ind w:left="182"/>
              <w:rPr>
                <w:rFonts w:ascii="宋体" w:hAnsi="宋体" w:cs="宋体"/>
                <w:color w:val="auto"/>
                <w:sz w:val="20"/>
                <w:szCs w:val="20"/>
                <w:highlight w:val="none"/>
              </w:rPr>
            </w:pPr>
            <w:r>
              <w:rPr>
                <w:rFonts w:hint="eastAsia" w:ascii="宋体"/>
                <w:color w:val="auto"/>
                <w:sz w:val="20"/>
                <w:highlight w:val="none"/>
              </w:rPr>
              <w:t>17</w:t>
            </w:r>
          </w:p>
        </w:tc>
        <w:tc>
          <w:tcPr>
            <w:tcW w:w="1219" w:type="dxa"/>
            <w:gridSpan w:val="2"/>
            <w:tcBorders>
              <w:top w:val="single" w:color="000000" w:sz="4" w:space="0"/>
              <w:left w:val="single" w:color="000000" w:sz="4" w:space="0"/>
              <w:bottom w:val="single" w:color="000000" w:sz="4" w:space="0"/>
              <w:right w:val="single" w:color="000000" w:sz="4" w:space="0"/>
            </w:tcBorders>
            <w:noWrap w:val="0"/>
            <w:vAlign w:val="top"/>
          </w:tcPr>
          <w:p w14:paraId="5988AF68">
            <w:pPr>
              <w:pStyle w:val="106"/>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6DE74C06">
            <w:pPr>
              <w:pStyle w:val="106"/>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3209D59C">
            <w:pPr>
              <w:rPr>
                <w:rFonts w:ascii="Calibri" w:hAnsi="Calibri"/>
                <w:color w:val="auto"/>
                <w:highlight w:val="none"/>
                <w:lang w:eastAsia="en-US"/>
              </w:rPr>
            </w:pPr>
          </w:p>
        </w:tc>
        <w:tc>
          <w:tcPr>
            <w:tcW w:w="2019" w:type="dxa"/>
            <w:tcBorders>
              <w:top w:val="single" w:color="000000" w:sz="4" w:space="0"/>
              <w:left w:val="single" w:color="000000" w:sz="4" w:space="0"/>
              <w:bottom w:val="single" w:color="000000" w:sz="4" w:space="0"/>
              <w:right w:val="single" w:color="000000" w:sz="4" w:space="0"/>
            </w:tcBorders>
            <w:noWrap w:val="0"/>
            <w:vAlign w:val="top"/>
          </w:tcPr>
          <w:p w14:paraId="2EC1F555">
            <w:pPr>
              <w:rPr>
                <w:rFonts w:ascii="Calibri" w:hAnsi="Calibri"/>
                <w:color w:val="auto"/>
                <w:highlight w:val="none"/>
                <w:lang w:eastAsia="en-US"/>
              </w:rPr>
            </w:pPr>
          </w:p>
        </w:tc>
        <w:tc>
          <w:tcPr>
            <w:tcW w:w="3633" w:type="dxa"/>
            <w:tcBorders>
              <w:top w:val="single" w:color="000000" w:sz="4" w:space="0"/>
              <w:left w:val="single" w:color="000000" w:sz="4" w:space="0"/>
              <w:bottom w:val="single" w:color="000000" w:sz="4" w:space="0"/>
              <w:right w:val="single" w:color="000000" w:sz="4" w:space="0"/>
            </w:tcBorders>
            <w:noWrap w:val="0"/>
            <w:vAlign w:val="top"/>
          </w:tcPr>
          <w:p w14:paraId="061D2F06">
            <w:pPr>
              <w:pStyle w:val="106"/>
              <w:spacing w:before="112"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52ABF4FE">
        <w:tblPrEx>
          <w:tblCellMar>
            <w:top w:w="0" w:type="dxa"/>
            <w:left w:w="0" w:type="dxa"/>
            <w:bottom w:w="0" w:type="dxa"/>
            <w:right w:w="0" w:type="dxa"/>
          </w:tblCellMar>
        </w:tblPrEx>
        <w:trPr>
          <w:gridAfter w:val="1"/>
          <w:wAfter w:w="16" w:type="dxa"/>
          <w:trHeight w:val="974" w:hRule="exact"/>
          <w:jc w:val="center"/>
        </w:trPr>
        <w:tc>
          <w:tcPr>
            <w:tcW w:w="615" w:type="dxa"/>
            <w:gridSpan w:val="2"/>
            <w:tcBorders>
              <w:top w:val="single" w:color="000000" w:sz="4" w:space="0"/>
              <w:left w:val="single" w:color="000000" w:sz="4" w:space="0"/>
              <w:bottom w:val="single" w:color="000000" w:sz="4" w:space="0"/>
              <w:right w:val="single" w:color="000000" w:sz="4" w:space="0"/>
            </w:tcBorders>
            <w:noWrap w:val="0"/>
            <w:vAlign w:val="top"/>
          </w:tcPr>
          <w:p w14:paraId="7928A85B">
            <w:pPr>
              <w:pStyle w:val="106"/>
              <w:spacing w:before="12"/>
              <w:rPr>
                <w:rFonts w:ascii="宋体" w:hAnsi="宋体" w:cs="宋体"/>
                <w:color w:val="auto"/>
                <w:sz w:val="21"/>
                <w:szCs w:val="21"/>
                <w:highlight w:val="none"/>
                <w:lang w:eastAsia="zh-CN"/>
              </w:rPr>
            </w:pPr>
          </w:p>
          <w:p w14:paraId="2470D2EF">
            <w:pPr>
              <w:pStyle w:val="106"/>
              <w:ind w:left="182"/>
              <w:rPr>
                <w:rFonts w:ascii="宋体" w:hAnsi="宋体" w:cs="宋体"/>
                <w:color w:val="auto"/>
                <w:sz w:val="20"/>
                <w:szCs w:val="20"/>
                <w:highlight w:val="none"/>
              </w:rPr>
            </w:pPr>
            <w:r>
              <w:rPr>
                <w:rFonts w:hint="eastAsia" w:ascii="宋体"/>
                <w:color w:val="auto"/>
                <w:sz w:val="20"/>
                <w:highlight w:val="none"/>
              </w:rPr>
              <w:t>18</w:t>
            </w:r>
          </w:p>
        </w:tc>
        <w:tc>
          <w:tcPr>
            <w:tcW w:w="1219" w:type="dxa"/>
            <w:gridSpan w:val="2"/>
            <w:tcBorders>
              <w:top w:val="single" w:color="000000" w:sz="4" w:space="0"/>
              <w:left w:val="single" w:color="000000" w:sz="4" w:space="0"/>
              <w:bottom w:val="single" w:color="000000" w:sz="4" w:space="0"/>
              <w:right w:val="single" w:color="000000" w:sz="4" w:space="0"/>
            </w:tcBorders>
            <w:noWrap w:val="0"/>
            <w:vAlign w:val="top"/>
          </w:tcPr>
          <w:p w14:paraId="0D8767FE">
            <w:pPr>
              <w:pStyle w:val="106"/>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40A4ED9C">
            <w:pPr>
              <w:pStyle w:val="106"/>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1897" w:type="dxa"/>
            <w:tcBorders>
              <w:top w:val="single" w:color="000000" w:sz="4" w:space="0"/>
              <w:left w:val="single" w:color="000000" w:sz="4" w:space="0"/>
              <w:bottom w:val="single" w:color="000000" w:sz="4" w:space="0"/>
              <w:right w:val="single" w:color="000000" w:sz="4" w:space="0"/>
            </w:tcBorders>
            <w:noWrap w:val="0"/>
            <w:vAlign w:val="top"/>
          </w:tcPr>
          <w:p w14:paraId="6449BA26">
            <w:pPr>
              <w:rPr>
                <w:rFonts w:ascii="Calibri" w:hAnsi="Calibri"/>
                <w:color w:val="auto"/>
                <w:highlight w:val="none"/>
                <w:lang w:eastAsia="en-US"/>
              </w:rPr>
            </w:pPr>
          </w:p>
        </w:tc>
        <w:tc>
          <w:tcPr>
            <w:tcW w:w="2019" w:type="dxa"/>
            <w:tcBorders>
              <w:top w:val="single" w:color="000000" w:sz="4" w:space="0"/>
              <w:left w:val="single" w:color="000000" w:sz="4" w:space="0"/>
              <w:bottom w:val="single" w:color="000000" w:sz="4" w:space="0"/>
              <w:right w:val="single" w:color="000000" w:sz="4" w:space="0"/>
            </w:tcBorders>
            <w:noWrap w:val="0"/>
            <w:vAlign w:val="top"/>
          </w:tcPr>
          <w:p w14:paraId="2C281714">
            <w:pPr>
              <w:rPr>
                <w:rFonts w:ascii="Calibri" w:hAnsi="Calibri"/>
                <w:color w:val="auto"/>
                <w:highlight w:val="none"/>
                <w:lang w:eastAsia="en-US"/>
              </w:rPr>
            </w:pPr>
          </w:p>
        </w:tc>
        <w:tc>
          <w:tcPr>
            <w:tcW w:w="3633" w:type="dxa"/>
            <w:tcBorders>
              <w:top w:val="single" w:color="000000" w:sz="4" w:space="0"/>
              <w:left w:val="single" w:color="000000" w:sz="4" w:space="0"/>
              <w:bottom w:val="single" w:color="000000" w:sz="4" w:space="0"/>
              <w:right w:val="single" w:color="000000" w:sz="4" w:space="0"/>
            </w:tcBorders>
            <w:noWrap w:val="0"/>
            <w:vAlign w:val="top"/>
          </w:tcPr>
          <w:p w14:paraId="7E9F21F7">
            <w:pPr>
              <w:pStyle w:val="106"/>
              <w:spacing w:before="131" w:line="283"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2E9E7B99">
      <w:pPr>
        <w:pStyle w:val="16"/>
        <w:spacing w:line="360" w:lineRule="auto"/>
        <w:rPr>
          <w:rFonts w:hint="eastAsia" w:ascii="宋体" w:hAnsi="宋体" w:cs="宋体"/>
          <w:color w:val="auto"/>
          <w:spacing w:val="-3"/>
          <w:sz w:val="21"/>
          <w:szCs w:val="21"/>
          <w:highlight w:val="none"/>
        </w:rPr>
      </w:pPr>
    </w:p>
    <w:p w14:paraId="6AEBA002">
      <w:pPr>
        <w:pStyle w:val="16"/>
        <w:spacing w:line="360" w:lineRule="auto"/>
        <w:rPr>
          <w:rFonts w:hint="eastAsia" w:ascii="宋体" w:hAnsi="宋体" w:cs="宋体"/>
          <w:color w:val="auto"/>
          <w:sz w:val="21"/>
          <w:szCs w:val="21"/>
          <w:highlight w:val="none"/>
        </w:rPr>
      </w:pPr>
      <w:r>
        <w:rPr>
          <w:rFonts w:hint="eastAsia" w:ascii="宋体" w:hAnsi="宋体" w:cs="宋体"/>
          <w:color w:val="auto"/>
          <w:spacing w:val="-3"/>
          <w:sz w:val="21"/>
          <w:szCs w:val="21"/>
          <w:highlight w:val="none"/>
        </w:rPr>
        <w:t>注：1.节能产品认证应依据相关国家标准的最新版本，依据国家标准中二级能效（水效）</w:t>
      </w:r>
      <w:r>
        <w:rPr>
          <w:rFonts w:hint="eastAsia" w:ascii="宋体" w:hAnsi="宋体" w:cs="宋体"/>
          <w:color w:val="auto"/>
          <w:sz w:val="21"/>
          <w:szCs w:val="21"/>
          <w:highlight w:val="none"/>
        </w:rPr>
        <w:t>指标。</w:t>
      </w:r>
    </w:p>
    <w:p w14:paraId="1A8A9FBD">
      <w:pPr>
        <w:pStyle w:val="16"/>
        <w:spacing w:line="360" w:lineRule="auto"/>
        <w:ind w:firstLine="630" w:firstLineChars="300"/>
        <w:jc w:val="both"/>
        <w:rPr>
          <w:rFonts w:hint="eastAsia"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rPr>
        <w:t>.以“★”标注的为政府强制采购产品。</w:t>
      </w:r>
    </w:p>
    <w:p w14:paraId="158D7199">
      <w:pPr>
        <w:pStyle w:val="22"/>
        <w:jc w:val="left"/>
        <w:rPr>
          <w:rFonts w:hint="eastAsia" w:hAnsi="宋体" w:cs="宋体"/>
          <w:color w:val="auto"/>
          <w:sz w:val="32"/>
          <w:szCs w:val="32"/>
          <w:highlight w:val="none"/>
        </w:rPr>
      </w:pPr>
      <w:r>
        <w:rPr>
          <w:rFonts w:hAnsi="宋体"/>
          <w:color w:val="auto"/>
          <w:highlight w:val="none"/>
        </w:rPr>
        <w:br w:type="page"/>
      </w:r>
    </w:p>
    <w:p w14:paraId="4E52BABB">
      <w:pPr>
        <w:pStyle w:val="22"/>
        <w:jc w:val="left"/>
        <w:rPr>
          <w:rFonts w:hint="eastAsia" w:hAnsi="宋体" w:cs="宋体"/>
          <w:color w:val="auto"/>
          <w:sz w:val="32"/>
          <w:szCs w:val="32"/>
          <w:highlight w:val="none"/>
        </w:rPr>
      </w:pPr>
      <w:r>
        <w:rPr>
          <w:rFonts w:hint="eastAsia" w:hAnsi="宋体" w:cs="宋体"/>
          <w:color w:val="auto"/>
          <w:sz w:val="32"/>
          <w:szCs w:val="32"/>
          <w:highlight w:val="none"/>
        </w:rPr>
        <w:t>附件2：</w:t>
      </w:r>
    </w:p>
    <w:p w14:paraId="2C9EAE44">
      <w:pPr>
        <w:spacing w:line="330" w:lineRule="atLeast"/>
        <w:jc w:val="center"/>
        <w:rPr>
          <w:rFonts w:hint="eastAsia" w:ascii="方正小标宋_GBK" w:hAnsi="宋体" w:eastAsia="方正小标宋_GBK" w:cs="宋体"/>
          <w:color w:val="auto"/>
          <w:sz w:val="24"/>
          <w:highlight w:val="none"/>
        </w:rPr>
      </w:pPr>
      <w:r>
        <w:rPr>
          <w:rFonts w:hint="eastAsia" w:ascii="方正小标宋_GBK" w:hAnsi="宋体" w:eastAsia="方正小标宋_GBK" w:cs="宋体"/>
          <w:color w:val="auto"/>
          <w:sz w:val="24"/>
          <w:highlight w:val="none"/>
        </w:rPr>
        <w:t>统计上大中小微型企业划分标准</w:t>
      </w:r>
    </w:p>
    <w:tbl>
      <w:tblPr>
        <w:tblStyle w:val="38"/>
        <w:tblW w:w="9429" w:type="dxa"/>
        <w:jc w:val="center"/>
        <w:tblLayout w:type="fixed"/>
        <w:tblCellMar>
          <w:top w:w="0" w:type="dxa"/>
          <w:left w:w="108" w:type="dxa"/>
          <w:bottom w:w="0" w:type="dxa"/>
          <w:right w:w="108" w:type="dxa"/>
        </w:tblCellMar>
      </w:tblPr>
      <w:tblGrid>
        <w:gridCol w:w="1579"/>
        <w:gridCol w:w="1363"/>
        <w:gridCol w:w="1000"/>
        <w:gridCol w:w="1187"/>
        <w:gridCol w:w="1663"/>
        <w:gridCol w:w="1500"/>
        <w:gridCol w:w="1137"/>
      </w:tblGrid>
      <w:tr w14:paraId="2BB5DFDD">
        <w:tblPrEx>
          <w:tblCellMar>
            <w:top w:w="0" w:type="dxa"/>
            <w:left w:w="108" w:type="dxa"/>
            <w:bottom w:w="0" w:type="dxa"/>
            <w:right w:w="108" w:type="dxa"/>
          </w:tblCellMar>
        </w:tblPrEx>
        <w:trPr>
          <w:trHeight w:val="622" w:hRule="exact"/>
          <w:jc w:val="center"/>
        </w:trPr>
        <w:tc>
          <w:tcPr>
            <w:tcW w:w="1579" w:type="dxa"/>
            <w:tcBorders>
              <w:top w:val="single" w:color="auto" w:sz="4" w:space="0"/>
              <w:left w:val="single" w:color="auto" w:sz="4" w:space="0"/>
              <w:bottom w:val="single" w:color="auto" w:sz="4" w:space="0"/>
              <w:right w:val="single" w:color="auto" w:sz="4" w:space="0"/>
            </w:tcBorders>
            <w:noWrap w:val="0"/>
            <w:vAlign w:val="center"/>
          </w:tcPr>
          <w:p w14:paraId="05CB8FD7">
            <w:pPr>
              <w:spacing w:line="240" w:lineRule="exact"/>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行业名称</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8D2B42E">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指标名称</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16219BD">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计量</w:t>
            </w:r>
            <w:r>
              <w:rPr>
                <w:rFonts w:hint="eastAsia" w:ascii="宋体" w:hAnsi="宋体" w:cs="宋体"/>
                <w:b/>
                <w:bCs/>
                <w:color w:val="auto"/>
                <w:sz w:val="18"/>
                <w:szCs w:val="18"/>
                <w:highlight w:val="none"/>
              </w:rPr>
              <w:br w:type="textWrapping"/>
            </w:r>
            <w:r>
              <w:rPr>
                <w:rFonts w:hint="eastAsia" w:ascii="宋体" w:hAnsi="宋体" w:cs="宋体"/>
                <w:b/>
                <w:bCs/>
                <w:color w:val="auto"/>
                <w:sz w:val="18"/>
                <w:szCs w:val="18"/>
                <w:highlight w:val="none"/>
              </w:rPr>
              <w:t>单位</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1886E33">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大型</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7C99E39">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中型</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8E65FEC">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小型</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735BD77">
            <w:pPr>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微型</w:t>
            </w:r>
          </w:p>
        </w:tc>
      </w:tr>
      <w:tr w14:paraId="4C67DA3D">
        <w:tblPrEx>
          <w:tblCellMar>
            <w:top w:w="0" w:type="dxa"/>
            <w:left w:w="108" w:type="dxa"/>
            <w:bottom w:w="0" w:type="dxa"/>
            <w:right w:w="108" w:type="dxa"/>
          </w:tblCellMar>
        </w:tblPrEx>
        <w:trPr>
          <w:trHeight w:val="540" w:hRule="exact"/>
          <w:jc w:val="center"/>
        </w:trPr>
        <w:tc>
          <w:tcPr>
            <w:tcW w:w="1579" w:type="dxa"/>
            <w:tcBorders>
              <w:top w:val="single" w:color="auto" w:sz="4" w:space="0"/>
              <w:left w:val="single" w:color="auto" w:sz="4" w:space="0"/>
              <w:bottom w:val="single" w:color="auto" w:sz="4" w:space="0"/>
              <w:right w:val="single" w:color="auto" w:sz="4" w:space="0"/>
            </w:tcBorders>
            <w:noWrap w:val="0"/>
            <w:vAlign w:val="center"/>
          </w:tcPr>
          <w:p w14:paraId="546ED139">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79E068C4">
            <w:pPr>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589D7D3">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108A197">
            <w:pPr>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98C97FE">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AB525F1">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50≤Y＜500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3EA1DCB">
            <w:pPr>
              <w:jc w:val="cente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6A0DD6F8">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2711934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工业 *</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EBC4A5A">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DC69C71">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2DA7CDC">
            <w:pPr>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5ECB7BC">
            <w:pPr>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EC47BBD">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63898D8">
            <w:pPr>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48A6A4FB">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6BA10A7C">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75777827">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43A1F7B">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5A3A065">
            <w:pPr>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0033F54">
            <w:pPr>
              <w:jc w:val="cente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263B1F5">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300≤Y＜2000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7EA50A2">
            <w:pPr>
              <w:jc w:val="cente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12EA79A4">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1C6AE1B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8392231">
            <w:pPr>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151AF67">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3B20294">
            <w:pPr>
              <w:jc w:val="center"/>
              <w:rPr>
                <w:rFonts w:ascii="宋体" w:hAnsi="宋体" w:cs="宋体"/>
                <w:color w:val="auto"/>
                <w:sz w:val="18"/>
                <w:szCs w:val="18"/>
                <w:highlight w:val="none"/>
              </w:rPr>
            </w:pPr>
            <w:r>
              <w:rPr>
                <w:rFonts w:hint="eastAsia" w:ascii="宋体" w:hAnsi="宋体" w:cs="宋体"/>
                <w:color w:val="auto"/>
                <w:sz w:val="18"/>
                <w:szCs w:val="18"/>
                <w:highlight w:val="none"/>
              </w:rPr>
              <w:t>Y≥80000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8EF524D">
            <w:pPr>
              <w:jc w:val="cente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9B5E57">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300≤Y＜6000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1E48A6D">
            <w:pPr>
              <w:jc w:val="cente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0CA0FFBD">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2296B090">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7B8117D">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9B213CF">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9BE2BC5">
            <w:pPr>
              <w:jc w:val="center"/>
              <w:rPr>
                <w:rFonts w:ascii="宋体" w:hAnsi="宋体" w:cs="宋体"/>
                <w:color w:val="auto"/>
                <w:sz w:val="18"/>
                <w:szCs w:val="18"/>
                <w:highlight w:val="none"/>
              </w:rPr>
            </w:pPr>
            <w:r>
              <w:rPr>
                <w:rFonts w:hint="eastAsia" w:ascii="宋体" w:hAnsi="宋体" w:cs="宋体"/>
                <w:color w:val="auto"/>
                <w:sz w:val="18"/>
                <w:szCs w:val="18"/>
                <w:highlight w:val="none"/>
              </w:rPr>
              <w:t>Z≥80000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86C2B56">
            <w:pPr>
              <w:jc w:val="cente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8F8B4CC">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300≤Z＜5000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5618360">
            <w:pPr>
              <w:jc w:val="cente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360DB4BC">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3B460EA9">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BBB5689">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9FA851B">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E246246">
            <w:pPr>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95CCB6F">
            <w:pPr>
              <w:jc w:val="cente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9E24EB">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5≤X＜20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E40DF4F">
            <w:pPr>
              <w:jc w:val="cente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4B4AC8F6">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41DC7378">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AD3A226">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9E28891">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391E2FB">
            <w:pPr>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3663532">
            <w:pPr>
              <w:jc w:val="cente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43B1402">
            <w:pPr>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0C35126">
            <w:pPr>
              <w:jc w:val="cente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37C3982E">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7B1949D6">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2678C2A">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F995D68">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1D3846B">
            <w:pPr>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BCE6CAF">
            <w:pPr>
              <w:jc w:val="cente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9B94CC4">
            <w:pPr>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10≤X＜50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7926A2E">
            <w:pPr>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49B1FB2">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172AD66B">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60FE964">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25B2A755">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F4D96F9">
            <w:pPr>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8063454">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B77E95">
            <w:pPr>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100≤Y＜500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FBCB001">
            <w:pPr>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167B066">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07787FA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交通运输业 *</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01C00AA">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D49C037">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830DEDD">
            <w:pPr>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5650710">
            <w:pPr>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20ED7CC">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D7E7DD7">
            <w:pPr>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02744E3">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2A036D23">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E13F140">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60FCC94">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CFEEEFE">
            <w:pPr>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A60C9F8">
            <w:pPr>
              <w:jc w:val="cente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C2D09C">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200≤Y＜3000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DEBB508">
            <w:pPr>
              <w:jc w:val="cente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4BC0007A">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0AFD3E12">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7D36F203">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41C84BE">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BEB3EFA">
            <w:pPr>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6DAD0AA">
            <w:pPr>
              <w:ind w:left="-4"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880B760">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20≤X＜100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D1F7FDA">
            <w:pPr>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7DEDB675">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67A9D6F3">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A6EBB2C">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82001BC">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AF63975">
            <w:pPr>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A825FE4">
            <w:pPr>
              <w:jc w:val="cente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C109531">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B3D4DCC">
            <w:pPr>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CCA912B">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53A4757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1DDACD24">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BF031AA">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D01D69D">
            <w:pPr>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0A5D61D">
            <w:pPr>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815BF5D">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38AD4E6">
            <w:pPr>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5593A3B6">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3231D033">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E53D5BE">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56F7A09">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CCCAEE5">
            <w:pPr>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F443640">
            <w:pPr>
              <w:jc w:val="cente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A65A264">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77A09CB">
            <w:pPr>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3A924D8">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253FC110">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27D89D1">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19E3E6A">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46982B6">
            <w:pPr>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B0D1B5C">
            <w:pPr>
              <w:ind w:left="-4"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622A914">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1306C7C">
            <w:pPr>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FFBFFB0">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5704037A">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4AB7591F">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A27532B">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71F2B62">
            <w:pPr>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E033BB6">
            <w:pPr>
              <w:jc w:val="cente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834756">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B62EAD1">
            <w:pPr>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010D8408">
        <w:tblPrEx>
          <w:tblCellMar>
            <w:top w:w="0" w:type="dxa"/>
            <w:left w:w="108" w:type="dxa"/>
            <w:bottom w:w="0" w:type="dxa"/>
            <w:right w:w="108" w:type="dxa"/>
          </w:tblCellMar>
        </w:tblPrEx>
        <w:trPr>
          <w:trHeight w:val="90"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19591C9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2AAB3C9">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6BD6DEC5">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CFF15E6">
            <w:pPr>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40716B9">
            <w:pPr>
              <w:ind w:left="-4"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34033DE">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33B616E">
            <w:pPr>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5A3D5F70">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73CE34EF">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795F6A73">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7CB8D0A">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2DAD381">
            <w:pPr>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A4E95E1">
            <w:pPr>
              <w:jc w:val="cente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134E093">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EF29C6F">
            <w:pPr>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F79A463">
        <w:tblPrEx>
          <w:tblCellMar>
            <w:top w:w="0" w:type="dxa"/>
            <w:left w:w="108" w:type="dxa"/>
            <w:bottom w:w="0" w:type="dxa"/>
            <w:right w:w="108" w:type="dxa"/>
          </w:tblCellMar>
        </w:tblPrEx>
        <w:trPr>
          <w:trHeight w:val="397"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208F52BD">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信息传输业 *</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CC2BB7E">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FE40AB3">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7F5EE03">
            <w:pPr>
              <w:jc w:val="center"/>
              <w:rPr>
                <w:rFonts w:ascii="宋体" w:hAnsi="宋体" w:cs="宋体"/>
                <w:color w:val="auto"/>
                <w:sz w:val="18"/>
                <w:szCs w:val="18"/>
                <w:highlight w:val="none"/>
              </w:rPr>
            </w:pPr>
            <w:r>
              <w:rPr>
                <w:rFonts w:hint="eastAsia" w:ascii="宋体" w:hAnsi="宋体" w:cs="宋体"/>
                <w:color w:val="auto"/>
                <w:sz w:val="18"/>
                <w:szCs w:val="18"/>
                <w:highlight w:val="none"/>
              </w:rPr>
              <w:t>X≥2000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7DB63587">
            <w:pPr>
              <w:jc w:val="cente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8AF03C">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5E00D5A">
            <w:pPr>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CBB2A8C">
        <w:tblPrEx>
          <w:tblCellMar>
            <w:top w:w="0" w:type="dxa"/>
            <w:left w:w="108" w:type="dxa"/>
            <w:bottom w:w="0" w:type="dxa"/>
            <w:right w:w="108" w:type="dxa"/>
          </w:tblCellMar>
        </w:tblPrEx>
        <w:trPr>
          <w:trHeight w:val="397"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18EB8480">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A9F389D">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D31A084">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5E2D89D">
            <w:pPr>
              <w:jc w:val="center"/>
              <w:rPr>
                <w:rFonts w:ascii="宋体" w:hAnsi="宋体" w:cs="宋体"/>
                <w:color w:val="auto"/>
                <w:sz w:val="18"/>
                <w:szCs w:val="18"/>
                <w:highlight w:val="none"/>
              </w:rPr>
            </w:pPr>
            <w:r>
              <w:rPr>
                <w:rFonts w:hint="eastAsia" w:ascii="宋体" w:hAnsi="宋体" w:cs="宋体"/>
                <w:color w:val="auto"/>
                <w:sz w:val="18"/>
                <w:szCs w:val="18"/>
                <w:highlight w:val="none"/>
              </w:rPr>
              <w:t>Y≥100000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915B838">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1000≤Y＜100000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DF54E74">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E15614E">
            <w:pPr>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11D7FFB6">
        <w:tblPrEx>
          <w:tblCellMar>
            <w:top w:w="0" w:type="dxa"/>
            <w:left w:w="108" w:type="dxa"/>
            <w:bottom w:w="0" w:type="dxa"/>
            <w:right w:w="108" w:type="dxa"/>
          </w:tblCellMar>
        </w:tblPrEx>
        <w:trPr>
          <w:trHeight w:val="340"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6CF9684B">
            <w:pPr>
              <w:spacing w:line="240" w:lineRule="exact"/>
              <w:rPr>
                <w:rFonts w:ascii="宋体" w:hAnsi="宋体" w:cs="宋体"/>
                <w:color w:val="auto"/>
                <w:spacing w:val="-12"/>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90E60E4">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51E2D16">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AACCB07">
            <w:pPr>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B29EB6D">
            <w:pPr>
              <w:ind w:left="-4"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4F1979B">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CB768AE">
            <w:pPr>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301B5EA7">
        <w:tblPrEx>
          <w:tblCellMar>
            <w:top w:w="0" w:type="dxa"/>
            <w:left w:w="108" w:type="dxa"/>
            <w:bottom w:w="0" w:type="dxa"/>
            <w:right w:w="108" w:type="dxa"/>
          </w:tblCellMar>
        </w:tblPrEx>
        <w:trPr>
          <w:trHeight w:val="340"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6EE4EB6D">
            <w:pPr>
              <w:rPr>
                <w:rFonts w:ascii="宋体" w:hAnsi="宋体" w:cs="宋体"/>
                <w:color w:val="auto"/>
                <w:spacing w:val="-12"/>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6043EDCC">
            <w:pPr>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76F6523">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E738BF1">
            <w:pPr>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8873A12">
            <w:pPr>
              <w:jc w:val="cente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7AAD460">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50≤Y＜1000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5DB0D3C">
            <w:pPr>
              <w:jc w:val="cente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505FBD1D">
        <w:tblPrEx>
          <w:tblCellMar>
            <w:top w:w="0" w:type="dxa"/>
            <w:left w:w="108" w:type="dxa"/>
            <w:bottom w:w="0" w:type="dxa"/>
            <w:right w:w="108" w:type="dxa"/>
          </w:tblCellMar>
        </w:tblPrEx>
        <w:trPr>
          <w:trHeight w:val="340"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1FDA66F7">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7F081949">
            <w:pPr>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8179730">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436B72E">
            <w:pPr>
              <w:jc w:val="center"/>
              <w:rPr>
                <w:rFonts w:ascii="宋体" w:hAnsi="宋体" w:cs="宋体"/>
                <w:color w:val="auto"/>
                <w:sz w:val="18"/>
                <w:szCs w:val="18"/>
                <w:highlight w:val="none"/>
              </w:rPr>
            </w:pPr>
            <w:r>
              <w:rPr>
                <w:rFonts w:hint="eastAsia" w:ascii="宋体" w:hAnsi="宋体" w:cs="宋体"/>
                <w:color w:val="auto"/>
                <w:sz w:val="18"/>
                <w:szCs w:val="18"/>
                <w:highlight w:val="none"/>
              </w:rPr>
              <w:t>Y≥200000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0A4D049">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1000≤Y＜200000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FA48605">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060E226">
            <w:pPr>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281397DF">
        <w:tblPrEx>
          <w:tblCellMar>
            <w:top w:w="0" w:type="dxa"/>
            <w:left w:w="108" w:type="dxa"/>
            <w:bottom w:w="0" w:type="dxa"/>
            <w:right w:w="108" w:type="dxa"/>
          </w:tblCellMar>
        </w:tblPrEx>
        <w:trPr>
          <w:trHeight w:val="340"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33CEF53B">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E59D5A3">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B419509">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F0EA3CE">
            <w:pPr>
              <w:jc w:val="center"/>
              <w:rPr>
                <w:rFonts w:ascii="宋体" w:hAnsi="宋体" w:cs="宋体"/>
                <w:color w:val="auto"/>
                <w:sz w:val="18"/>
                <w:szCs w:val="18"/>
                <w:highlight w:val="none"/>
              </w:rPr>
            </w:pPr>
            <w:r>
              <w:rPr>
                <w:rFonts w:hint="eastAsia" w:ascii="宋体" w:hAnsi="宋体" w:cs="宋体"/>
                <w:color w:val="auto"/>
                <w:sz w:val="18"/>
                <w:szCs w:val="18"/>
                <w:highlight w:val="none"/>
              </w:rPr>
              <w:t>Z≥10000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2C175CC">
            <w:pPr>
              <w:jc w:val="cente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E927773">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2000≤Z＜5000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C2FA65D">
            <w:pPr>
              <w:jc w:val="center"/>
              <w:rPr>
                <w:rFonts w:ascii="宋体" w:hAnsi="宋体" w:cs="宋体"/>
                <w:color w:val="auto"/>
                <w:sz w:val="18"/>
                <w:szCs w:val="18"/>
                <w:highlight w:val="none"/>
              </w:rPr>
            </w:pPr>
            <w:r>
              <w:rPr>
                <w:rFonts w:hint="eastAsia" w:ascii="宋体" w:hAnsi="宋体" w:cs="宋体"/>
                <w:color w:val="auto"/>
                <w:sz w:val="18"/>
                <w:szCs w:val="18"/>
                <w:highlight w:val="none"/>
              </w:rPr>
              <w:t>Z＜2000</w:t>
            </w:r>
          </w:p>
        </w:tc>
      </w:tr>
      <w:tr w14:paraId="2DE748EC">
        <w:tblPrEx>
          <w:tblCellMar>
            <w:top w:w="0" w:type="dxa"/>
            <w:left w:w="108" w:type="dxa"/>
            <w:bottom w:w="0" w:type="dxa"/>
            <w:right w:w="108" w:type="dxa"/>
          </w:tblCellMar>
        </w:tblPrEx>
        <w:trPr>
          <w:trHeight w:val="340"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712153A6">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75705E20">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FCB5CD0">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A757C79">
            <w:pPr>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4E15FE8C">
            <w:pPr>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A44BA33">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BDCD54D">
            <w:pPr>
              <w:jc w:val="cente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563F70DE">
        <w:tblPrEx>
          <w:tblCellMar>
            <w:top w:w="0" w:type="dxa"/>
            <w:left w:w="108" w:type="dxa"/>
            <w:bottom w:w="0" w:type="dxa"/>
            <w:right w:w="108" w:type="dxa"/>
          </w:tblCellMar>
        </w:tblPrEx>
        <w:trPr>
          <w:trHeight w:val="340"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70B4FF3A">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01AF2767">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5259BEF">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2223F97">
            <w:pPr>
              <w:jc w:val="center"/>
              <w:rPr>
                <w:rFonts w:ascii="宋体" w:hAnsi="宋体" w:cs="宋体"/>
                <w:color w:val="auto"/>
                <w:sz w:val="18"/>
                <w:szCs w:val="18"/>
                <w:highlight w:val="none"/>
              </w:rPr>
            </w:pPr>
            <w:r>
              <w:rPr>
                <w:rFonts w:hint="eastAsia" w:ascii="宋体" w:hAnsi="宋体" w:cs="宋体"/>
                <w:color w:val="auto"/>
                <w:sz w:val="18"/>
                <w:szCs w:val="18"/>
                <w:highlight w:val="none"/>
              </w:rPr>
              <w:t>Y≥5000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99C0936">
            <w:pPr>
              <w:ind w:left="-4"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1000≤Y＜5000 </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FA3E5A8">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500≤Y＜1000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81B8D8B">
            <w:pPr>
              <w:jc w:val="center"/>
              <w:rPr>
                <w:rFonts w:ascii="宋体" w:hAnsi="宋体" w:cs="宋体"/>
                <w:color w:val="auto"/>
                <w:sz w:val="18"/>
                <w:szCs w:val="18"/>
                <w:highlight w:val="none"/>
              </w:rPr>
            </w:pPr>
            <w:r>
              <w:rPr>
                <w:rFonts w:hint="eastAsia" w:ascii="宋体" w:hAnsi="宋体" w:cs="宋体"/>
                <w:color w:val="auto"/>
                <w:sz w:val="18"/>
                <w:szCs w:val="18"/>
                <w:highlight w:val="none"/>
              </w:rPr>
              <w:t>Y＜500</w:t>
            </w:r>
          </w:p>
        </w:tc>
      </w:tr>
      <w:tr w14:paraId="7869442E">
        <w:tblPrEx>
          <w:tblCellMar>
            <w:top w:w="0" w:type="dxa"/>
            <w:left w:w="108" w:type="dxa"/>
            <w:bottom w:w="0" w:type="dxa"/>
            <w:right w:w="108" w:type="dxa"/>
          </w:tblCellMar>
        </w:tblPrEx>
        <w:trPr>
          <w:trHeight w:val="340" w:hRule="exact"/>
          <w:jc w:val="center"/>
        </w:trPr>
        <w:tc>
          <w:tcPr>
            <w:tcW w:w="1579" w:type="dxa"/>
            <w:vMerge w:val="restart"/>
            <w:tcBorders>
              <w:top w:val="single" w:color="auto" w:sz="4" w:space="0"/>
              <w:left w:val="single" w:color="auto" w:sz="4" w:space="0"/>
              <w:bottom w:val="single" w:color="auto" w:sz="4" w:space="0"/>
              <w:right w:val="single" w:color="auto" w:sz="4" w:space="0"/>
            </w:tcBorders>
            <w:noWrap w:val="0"/>
            <w:vAlign w:val="center"/>
          </w:tcPr>
          <w:p w14:paraId="61494747">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5770F1A6">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33BD56B5">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7C5FD69">
            <w:pPr>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AE4C51A">
            <w:pPr>
              <w:ind w:left="-4"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DD564E">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4DFB2A7">
            <w:pPr>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2421A015">
        <w:tblPrEx>
          <w:tblCellMar>
            <w:top w:w="0" w:type="dxa"/>
            <w:left w:w="108" w:type="dxa"/>
            <w:bottom w:w="0" w:type="dxa"/>
            <w:right w:w="108" w:type="dxa"/>
          </w:tblCellMar>
        </w:tblPrEx>
        <w:trPr>
          <w:trHeight w:val="340" w:hRule="exact"/>
          <w:jc w:val="center"/>
        </w:trPr>
        <w:tc>
          <w:tcPr>
            <w:tcW w:w="1579" w:type="dxa"/>
            <w:vMerge w:val="continue"/>
            <w:tcBorders>
              <w:top w:val="single" w:color="auto" w:sz="4" w:space="0"/>
              <w:left w:val="single" w:color="auto" w:sz="4" w:space="0"/>
              <w:bottom w:val="single" w:color="auto" w:sz="4" w:space="0"/>
              <w:right w:val="single" w:color="auto" w:sz="4" w:space="0"/>
            </w:tcBorders>
            <w:noWrap w:val="0"/>
            <w:vAlign w:val="center"/>
          </w:tcPr>
          <w:p w14:paraId="30062B69">
            <w:pPr>
              <w:rPr>
                <w:rFonts w:ascii="宋体" w:hAnsi="宋体" w:cs="宋体"/>
                <w:color w:val="auto"/>
                <w:sz w:val="18"/>
                <w:szCs w:val="18"/>
                <w:highlight w:val="none"/>
              </w:rPr>
            </w:pPr>
          </w:p>
        </w:tc>
        <w:tc>
          <w:tcPr>
            <w:tcW w:w="1363" w:type="dxa"/>
            <w:tcBorders>
              <w:top w:val="single" w:color="auto" w:sz="4" w:space="0"/>
              <w:left w:val="single" w:color="auto" w:sz="4" w:space="0"/>
              <w:bottom w:val="single" w:color="auto" w:sz="4" w:space="0"/>
              <w:right w:val="single" w:color="auto" w:sz="4" w:space="0"/>
            </w:tcBorders>
            <w:noWrap w:val="0"/>
            <w:vAlign w:val="center"/>
          </w:tcPr>
          <w:p w14:paraId="3A1A4AB6">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8943A6A">
            <w:pPr>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DDE0AE8">
            <w:pPr>
              <w:jc w:val="center"/>
              <w:rPr>
                <w:rFonts w:ascii="宋体" w:hAnsi="宋体" w:cs="宋体"/>
                <w:color w:val="auto"/>
                <w:sz w:val="18"/>
                <w:szCs w:val="18"/>
                <w:highlight w:val="none"/>
              </w:rPr>
            </w:pPr>
            <w:r>
              <w:rPr>
                <w:rFonts w:hint="eastAsia" w:ascii="宋体" w:hAnsi="宋体" w:cs="宋体"/>
                <w:color w:val="auto"/>
                <w:sz w:val="18"/>
                <w:szCs w:val="18"/>
                <w:highlight w:val="none"/>
              </w:rPr>
              <w:t>Z≥120000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2DD6AD5C">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8000≤Z＜120000</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2B4F96C">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100≤Z＜8000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FC2202C">
            <w:pPr>
              <w:jc w:val="center"/>
              <w:rPr>
                <w:rFonts w:ascii="宋体" w:hAnsi="宋体" w:cs="宋体"/>
                <w:color w:val="auto"/>
                <w:sz w:val="18"/>
                <w:szCs w:val="18"/>
                <w:highlight w:val="none"/>
              </w:rPr>
            </w:pPr>
            <w:r>
              <w:rPr>
                <w:rFonts w:hint="eastAsia" w:ascii="宋体" w:hAnsi="宋体" w:cs="宋体"/>
                <w:color w:val="auto"/>
                <w:sz w:val="18"/>
                <w:szCs w:val="18"/>
                <w:highlight w:val="none"/>
              </w:rPr>
              <w:t>Z＜100</w:t>
            </w:r>
          </w:p>
        </w:tc>
      </w:tr>
      <w:tr w14:paraId="2AC9FE41">
        <w:tblPrEx>
          <w:tblCellMar>
            <w:top w:w="0" w:type="dxa"/>
            <w:left w:w="108" w:type="dxa"/>
            <w:bottom w:w="0" w:type="dxa"/>
            <w:right w:w="108" w:type="dxa"/>
          </w:tblCellMar>
        </w:tblPrEx>
        <w:trPr>
          <w:trHeight w:val="551" w:hRule="exact"/>
          <w:jc w:val="center"/>
        </w:trPr>
        <w:tc>
          <w:tcPr>
            <w:tcW w:w="1579" w:type="dxa"/>
            <w:tcBorders>
              <w:top w:val="single" w:color="auto" w:sz="4" w:space="0"/>
              <w:left w:val="single" w:color="auto" w:sz="4" w:space="0"/>
              <w:bottom w:val="single" w:color="auto" w:sz="4" w:space="0"/>
              <w:right w:val="single" w:color="auto" w:sz="4" w:space="0"/>
            </w:tcBorders>
            <w:noWrap w:val="0"/>
            <w:vAlign w:val="center"/>
          </w:tcPr>
          <w:p w14:paraId="4ACDC095">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其他未列明行业 *</w:t>
            </w:r>
          </w:p>
        </w:tc>
        <w:tc>
          <w:tcPr>
            <w:tcW w:w="1363" w:type="dxa"/>
            <w:tcBorders>
              <w:top w:val="single" w:color="auto" w:sz="4" w:space="0"/>
              <w:left w:val="single" w:color="auto" w:sz="4" w:space="0"/>
              <w:bottom w:val="single" w:color="auto" w:sz="4" w:space="0"/>
              <w:right w:val="single" w:color="auto" w:sz="4" w:space="0"/>
            </w:tcBorders>
            <w:noWrap w:val="0"/>
            <w:vAlign w:val="center"/>
          </w:tcPr>
          <w:p w14:paraId="280EF2DD">
            <w:pPr>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2515D30">
            <w:pPr>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42EDD54">
            <w:pPr>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360D1D87">
            <w:pPr>
              <w:ind w:left="-4"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FEB7B0C">
            <w:pPr>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8476C86">
            <w:pPr>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744B5B18">
      <w:pPr>
        <w:pStyle w:val="36"/>
        <w:spacing w:before="0" w:beforeAutospacing="0" w:after="0" w:afterAutospacing="0" w:line="440" w:lineRule="exact"/>
        <w:ind w:right="180" w:rightChars="82"/>
        <w:rPr>
          <w:rFonts w:hint="eastAsia"/>
          <w:color w:val="auto"/>
          <w:sz w:val="18"/>
          <w:szCs w:val="18"/>
          <w:highlight w:val="none"/>
        </w:rPr>
      </w:pPr>
      <w:r>
        <w:rPr>
          <w:rFonts w:hint="eastAsia"/>
          <w:color w:val="auto"/>
          <w:sz w:val="18"/>
          <w:szCs w:val="18"/>
          <w:highlight w:val="none"/>
        </w:rPr>
        <w:t>说明：</w:t>
      </w:r>
    </w:p>
    <w:p w14:paraId="00FAB26A">
      <w:pPr>
        <w:pStyle w:val="36"/>
        <w:spacing w:before="0" w:beforeAutospacing="0" w:after="0" w:afterAutospacing="0" w:line="440" w:lineRule="exact"/>
        <w:ind w:right="180" w:rightChars="82"/>
        <w:rPr>
          <w:rFonts w:hint="eastAsia"/>
          <w:color w:val="auto"/>
          <w:sz w:val="18"/>
          <w:szCs w:val="18"/>
          <w:highlight w:val="none"/>
        </w:rPr>
      </w:pPr>
      <w:r>
        <w:rPr>
          <w:rFonts w:hint="eastAsia"/>
          <w:color w:val="auto"/>
          <w:sz w:val="18"/>
          <w:szCs w:val="18"/>
          <w:highlight w:val="none"/>
        </w:rPr>
        <w:t>　　1.大型、中型和小型企业须同时满足所列指标的下限，否则下划一档；微型企业只须满足所列指标中的一项即可。</w:t>
      </w:r>
    </w:p>
    <w:p w14:paraId="0E5DDC7C">
      <w:pPr>
        <w:pStyle w:val="36"/>
        <w:spacing w:before="0" w:beforeAutospacing="0" w:after="0" w:afterAutospacing="0" w:line="440" w:lineRule="exact"/>
        <w:ind w:right="180" w:rightChars="82"/>
        <w:rPr>
          <w:rFonts w:hint="eastAsia"/>
          <w:color w:val="auto"/>
          <w:sz w:val="18"/>
          <w:szCs w:val="18"/>
          <w:highlight w:val="none"/>
        </w:rPr>
      </w:pPr>
      <w:r>
        <w:rPr>
          <w:rFonts w:hint="eastAsia"/>
          <w:color w:val="auto"/>
          <w:sz w:val="18"/>
          <w:szCs w:val="18"/>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8D7C896">
      <w:pPr>
        <w:pStyle w:val="36"/>
        <w:spacing w:before="0" w:beforeAutospacing="0" w:after="0" w:afterAutospacing="0" w:line="440" w:lineRule="exact"/>
        <w:ind w:right="180" w:rightChars="82"/>
        <w:rPr>
          <w:rFonts w:hint="eastAsia"/>
          <w:color w:val="auto"/>
          <w:sz w:val="18"/>
          <w:szCs w:val="18"/>
          <w:highlight w:val="none"/>
        </w:rPr>
      </w:pPr>
      <w:r>
        <w:rPr>
          <w:rFonts w:hint="eastAsia"/>
          <w:color w:val="auto"/>
          <w:sz w:val="18"/>
          <w:szCs w:val="18"/>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FEA95F7">
      <w:pPr>
        <w:spacing w:line="360" w:lineRule="auto"/>
        <w:ind w:firstLine="550" w:firstLineChars="250"/>
        <w:rPr>
          <w:rFonts w:ascii="仿宋_GB2312" w:hAnsi="仿宋" w:eastAsia="仿宋_GB2312"/>
          <w:color w:val="auto"/>
          <w:szCs w:val="21"/>
          <w:highlight w:val="none"/>
        </w:rPr>
      </w:pPr>
    </w:p>
    <w:p w14:paraId="6379D64D">
      <w:pPr>
        <w:pStyle w:val="22"/>
        <w:jc w:val="center"/>
        <w:outlineLvl w:val="0"/>
        <w:rPr>
          <w:rFonts w:hAnsi="宋体"/>
          <w:color w:val="auto"/>
          <w:highlight w:val="none"/>
        </w:rPr>
      </w:pPr>
    </w:p>
    <w:p w14:paraId="7A9EC7A9">
      <w:pPr>
        <w:pStyle w:val="22"/>
        <w:jc w:val="left"/>
        <w:rPr>
          <w:rFonts w:hint="eastAsia" w:ascii="Arial Unicode MS" w:hAnsi="Arial Unicode MS" w:eastAsia="Arial Unicode MS" w:cs="Arial Unicode MS"/>
          <w:color w:val="auto"/>
          <w:sz w:val="32"/>
          <w:szCs w:val="32"/>
          <w:highlight w:val="none"/>
        </w:rPr>
      </w:pPr>
    </w:p>
    <w:p w14:paraId="58DDBC6D">
      <w:pPr>
        <w:pStyle w:val="22"/>
        <w:jc w:val="left"/>
        <w:rPr>
          <w:rFonts w:hint="eastAsia" w:ascii="Arial Unicode MS" w:hAnsi="Arial Unicode MS" w:eastAsia="Arial Unicode MS" w:cs="Arial Unicode MS"/>
          <w:color w:val="auto"/>
          <w:sz w:val="32"/>
          <w:szCs w:val="32"/>
          <w:highlight w:val="none"/>
        </w:rPr>
      </w:pPr>
    </w:p>
    <w:p w14:paraId="7FF4C1CC">
      <w:pPr>
        <w:pStyle w:val="22"/>
        <w:jc w:val="left"/>
        <w:rPr>
          <w:rFonts w:hint="eastAsia" w:ascii="Arial Unicode MS" w:hAnsi="Arial Unicode MS" w:eastAsia="Arial Unicode MS" w:cs="Arial Unicode MS"/>
          <w:color w:val="auto"/>
          <w:sz w:val="32"/>
          <w:szCs w:val="32"/>
          <w:highlight w:val="none"/>
        </w:rPr>
      </w:pPr>
    </w:p>
    <w:p w14:paraId="57FF485C">
      <w:pPr>
        <w:pStyle w:val="22"/>
        <w:jc w:val="left"/>
        <w:rPr>
          <w:rFonts w:hint="eastAsia" w:ascii="Arial Unicode MS" w:hAnsi="Arial Unicode MS" w:eastAsia="Arial Unicode MS" w:cs="Arial Unicode MS"/>
          <w:color w:val="auto"/>
          <w:sz w:val="32"/>
          <w:szCs w:val="32"/>
          <w:highlight w:val="none"/>
        </w:rPr>
      </w:pPr>
    </w:p>
    <w:p w14:paraId="6726DAB0">
      <w:pPr>
        <w:pStyle w:val="5"/>
        <w:rPr>
          <w:rFonts w:hint="eastAsia" w:ascii="Arial Unicode MS" w:hAnsi="Arial Unicode MS" w:eastAsia="Arial Unicode MS" w:cs="Arial Unicode MS"/>
          <w:color w:val="auto"/>
          <w:sz w:val="32"/>
          <w:szCs w:val="32"/>
          <w:highlight w:val="none"/>
        </w:rPr>
      </w:pPr>
    </w:p>
    <w:p w14:paraId="00BE1733">
      <w:pPr>
        <w:rPr>
          <w:rFonts w:hint="eastAsia" w:ascii="Arial Unicode MS" w:hAnsi="Arial Unicode MS" w:eastAsia="Arial Unicode MS" w:cs="Arial Unicode MS"/>
          <w:color w:val="auto"/>
          <w:sz w:val="32"/>
          <w:szCs w:val="32"/>
          <w:highlight w:val="none"/>
        </w:rPr>
      </w:pPr>
    </w:p>
    <w:p w14:paraId="2D11A211">
      <w:pPr>
        <w:rPr>
          <w:rFonts w:hint="eastAsia" w:ascii="Arial Unicode MS" w:hAnsi="Arial Unicode MS" w:eastAsia="Arial Unicode MS" w:cs="Arial Unicode MS"/>
          <w:color w:val="auto"/>
          <w:sz w:val="32"/>
          <w:szCs w:val="32"/>
          <w:highlight w:val="none"/>
        </w:rPr>
      </w:pPr>
    </w:p>
    <w:p w14:paraId="523298BF">
      <w:pPr>
        <w:rPr>
          <w:rFonts w:hint="eastAsia" w:ascii="Arial Unicode MS" w:hAnsi="Arial Unicode MS" w:eastAsia="Arial Unicode MS" w:cs="Arial Unicode MS"/>
          <w:color w:val="auto"/>
          <w:sz w:val="32"/>
          <w:szCs w:val="32"/>
          <w:highlight w:val="none"/>
        </w:rPr>
      </w:pPr>
    </w:p>
    <w:p w14:paraId="4BA4AB89">
      <w:pPr>
        <w:spacing w:after="0" w:line="336" w:lineRule="auto"/>
        <w:ind w:firstLine="482" w:firstLineChars="200"/>
        <w:rPr>
          <w:rFonts w:hint="eastAsia" w:asciiTheme="minorEastAsia" w:hAnsiTheme="minorEastAsia" w:eastAsiaTheme="minorEastAsia"/>
          <w:b/>
          <w:color w:val="auto"/>
          <w:sz w:val="24"/>
          <w:highlight w:val="none"/>
        </w:rPr>
      </w:pPr>
    </w:p>
    <w:p w14:paraId="476E3DA4">
      <w:pPr>
        <w:spacing w:after="0" w:line="336" w:lineRule="auto"/>
        <w:ind w:firstLine="482" w:firstLineChars="200"/>
        <w:rPr>
          <w:rFonts w:hint="eastAsia" w:asciiTheme="minorEastAsia" w:hAnsiTheme="minorEastAsia" w:eastAsiaTheme="minorEastAsia"/>
          <w:b/>
          <w:color w:val="auto"/>
          <w:sz w:val="24"/>
          <w:highlight w:val="none"/>
        </w:rPr>
      </w:pPr>
    </w:p>
    <w:p w14:paraId="5A909358">
      <w:pPr>
        <w:spacing w:after="0" w:line="400" w:lineRule="exact"/>
        <w:ind w:firstLine="440" w:firstLineChars="200"/>
        <w:rPr>
          <w:rFonts w:asciiTheme="minorEastAsia" w:hAnsiTheme="minorEastAsia" w:eastAsiaTheme="minorEastAsia"/>
          <w:color w:val="auto"/>
          <w:highlight w:val="none"/>
        </w:rPr>
      </w:pPr>
    </w:p>
    <w:p w14:paraId="34DFBE3B">
      <w:pPr>
        <w:pStyle w:val="2"/>
        <w:spacing w:line="38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14:paraId="0DFC004E">
      <w:pPr>
        <w:pStyle w:val="70"/>
        <w:rPr>
          <w:color w:val="auto"/>
          <w:highlight w:val="none"/>
        </w:rPr>
      </w:pPr>
    </w:p>
    <w:p w14:paraId="29D536FA">
      <w:pPr>
        <w:pStyle w:val="2"/>
        <w:spacing w:line="380" w:lineRule="exact"/>
        <w:rPr>
          <w:rFonts w:asciiTheme="minorEastAsia" w:hAnsiTheme="minorEastAsia" w:eastAsiaTheme="minorEastAsia"/>
          <w:color w:val="auto"/>
          <w:highlight w:val="none"/>
        </w:rPr>
      </w:pPr>
      <w:bookmarkStart w:id="82" w:name="_Toc7192552"/>
      <w:r>
        <w:rPr>
          <w:rFonts w:hint="eastAsia" w:asciiTheme="minorEastAsia" w:hAnsiTheme="minorEastAsia" w:eastAsiaTheme="minorEastAsia"/>
          <w:color w:val="auto"/>
          <w:highlight w:val="none"/>
        </w:rPr>
        <w:t xml:space="preserve">第四章  </w:t>
      </w:r>
      <w:bookmarkEnd w:id="66"/>
      <w:bookmarkEnd w:id="67"/>
      <w:bookmarkEnd w:id="68"/>
      <w:r>
        <w:rPr>
          <w:rFonts w:hint="eastAsia" w:asciiTheme="minorEastAsia" w:hAnsiTheme="minorEastAsia" w:eastAsiaTheme="minorEastAsia"/>
          <w:color w:val="auto"/>
          <w:highlight w:val="none"/>
        </w:rPr>
        <w:t>评审方法及评审标准</w:t>
      </w:r>
      <w:bookmarkEnd w:id="82"/>
    </w:p>
    <w:p w14:paraId="348C4B60">
      <w:pPr>
        <w:spacing w:after="0" w:line="400" w:lineRule="exact"/>
        <w:ind w:firstLine="482" w:firstLineChars="200"/>
        <w:outlineLvl w:val="1"/>
        <w:rPr>
          <w:rFonts w:cs="Arial" w:asciiTheme="minorEastAsia" w:hAnsiTheme="minorEastAsia" w:eastAsiaTheme="minorEastAsia"/>
          <w:b/>
          <w:bCs/>
          <w:color w:val="auto"/>
          <w:sz w:val="24"/>
          <w:highlight w:val="none"/>
        </w:rPr>
      </w:pPr>
      <w:bookmarkStart w:id="83" w:name="_Toc7192553"/>
      <w:r>
        <w:rPr>
          <w:rFonts w:hint="eastAsia" w:cs="Arial" w:asciiTheme="minorEastAsia" w:hAnsiTheme="minorEastAsia" w:eastAsiaTheme="minorEastAsia"/>
          <w:b/>
          <w:bCs/>
          <w:color w:val="auto"/>
          <w:sz w:val="24"/>
          <w:highlight w:val="none"/>
        </w:rPr>
        <w:t>一、评审原则</w:t>
      </w:r>
      <w:bookmarkEnd w:id="83"/>
    </w:p>
    <w:p w14:paraId="123EAC66">
      <w:pPr>
        <w:spacing w:after="0" w:line="400" w:lineRule="exact"/>
        <w:ind w:firstLine="480" w:firstLineChars="200"/>
        <w:rPr>
          <w:rFonts w:cs="Arial" w:asciiTheme="minorEastAsia" w:hAnsiTheme="minorEastAsia" w:eastAsiaTheme="minorEastAsia"/>
          <w:bCs/>
          <w:color w:val="auto"/>
          <w:sz w:val="24"/>
          <w:highlight w:val="none"/>
        </w:rPr>
      </w:pPr>
      <w:r>
        <w:rPr>
          <w:rFonts w:hint="eastAsia" w:cs="Arial" w:asciiTheme="minorEastAsia" w:hAnsiTheme="minorEastAsia" w:eastAsiaTheme="minorEastAsia"/>
          <w:color w:val="auto"/>
          <w:sz w:val="24"/>
          <w:highlight w:val="none"/>
        </w:rPr>
        <w:t>1．</w:t>
      </w:r>
      <w:r>
        <w:rPr>
          <w:rFonts w:hint="eastAsia" w:cs="Arial" w:asciiTheme="minorEastAsia" w:hAnsiTheme="minorEastAsia" w:eastAsiaTheme="minorEastAsia"/>
          <w:bCs/>
          <w:color w:val="auto"/>
          <w:sz w:val="24"/>
          <w:highlight w:val="none"/>
        </w:rPr>
        <w:t>谈判小组成员构成：本采购项目的谈判小组成员分别由依法抽取的政府采购评审专家、采购人代表共三人及以上单数构成，其中政府采购评审专家人数不少于谈判小组成员总数的三分之二。</w:t>
      </w:r>
    </w:p>
    <w:p w14:paraId="4A02B16D">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w:t>
      </w:r>
      <w:r>
        <w:rPr>
          <w:rFonts w:hint="eastAsia" w:cs="Arial" w:asciiTheme="minorEastAsia" w:hAnsiTheme="minorEastAsia" w:eastAsiaTheme="minorEastAsia"/>
          <w:bCs/>
          <w:color w:val="auto"/>
          <w:sz w:val="24"/>
          <w:highlight w:val="none"/>
        </w:rPr>
        <w:t>评审依据：谈判小组将以竞争性谈判文件为评标依据，对供应商的响应文件进行资格性及符合性审查，以确定其是否符合资格条件及满足采购文件的实质性要求。</w:t>
      </w:r>
    </w:p>
    <w:p w14:paraId="679C3265">
      <w:pPr>
        <w:spacing w:after="0" w:line="400" w:lineRule="exact"/>
        <w:ind w:firstLine="480" w:firstLineChars="200"/>
        <w:rPr>
          <w:rFonts w:cs="Arial" w:asciiTheme="minorEastAsia" w:hAnsiTheme="minorEastAsia" w:eastAsiaTheme="minorEastAsia"/>
          <w:bCs/>
          <w:color w:val="auto"/>
          <w:sz w:val="24"/>
          <w:highlight w:val="none"/>
        </w:rPr>
      </w:pPr>
      <w:r>
        <w:rPr>
          <w:rFonts w:hint="eastAsia" w:cs="Arial" w:asciiTheme="minorEastAsia" w:hAnsiTheme="minorEastAsia" w:eastAsiaTheme="minorEastAsia"/>
          <w:color w:val="auto"/>
          <w:sz w:val="24"/>
          <w:highlight w:val="none"/>
        </w:rPr>
        <w:t>3．</w:t>
      </w:r>
      <w:r>
        <w:rPr>
          <w:rFonts w:hint="eastAsia" w:cs="Arial" w:asciiTheme="minorEastAsia" w:hAnsiTheme="minorEastAsia" w:eastAsiaTheme="minorEastAsia"/>
          <w:bCs/>
          <w:color w:val="auto"/>
          <w:sz w:val="24"/>
          <w:highlight w:val="none"/>
        </w:rPr>
        <w:t>评审方法：最低评标价法。</w:t>
      </w:r>
    </w:p>
    <w:p w14:paraId="787615F0">
      <w:pPr>
        <w:spacing w:after="0" w:line="400" w:lineRule="exact"/>
        <w:ind w:firstLine="480" w:firstLineChars="200"/>
        <w:rPr>
          <w:rFonts w:cs="Arial" w:asciiTheme="minorEastAsia" w:hAnsiTheme="minorEastAsia" w:eastAsiaTheme="minorEastAsia"/>
          <w:bCs/>
          <w:color w:val="auto"/>
          <w:sz w:val="24"/>
          <w:highlight w:val="none"/>
        </w:rPr>
      </w:pPr>
      <w:r>
        <w:rPr>
          <w:rFonts w:hint="eastAsia" w:cs="Arial" w:asciiTheme="minorEastAsia" w:hAnsiTheme="minorEastAsia" w:eastAsiaTheme="minorEastAsia"/>
          <w:bCs/>
          <w:color w:val="auto"/>
          <w:sz w:val="24"/>
          <w:highlight w:val="none"/>
        </w:rPr>
        <w:t>4．评审程序</w:t>
      </w:r>
    </w:p>
    <w:p w14:paraId="01D617D2">
      <w:pPr>
        <w:widowControl w:val="0"/>
        <w:numPr>
          <w:ilvl w:val="0"/>
          <w:numId w:val="7"/>
        </w:numPr>
        <w:adjustRightInd/>
        <w:snapToGrid/>
        <w:spacing w:after="0" w:line="400" w:lineRule="exact"/>
        <w:ind w:left="0"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资格性检查；</w:t>
      </w:r>
    </w:p>
    <w:p w14:paraId="6665843B">
      <w:pPr>
        <w:widowControl w:val="0"/>
        <w:numPr>
          <w:ilvl w:val="0"/>
          <w:numId w:val="7"/>
        </w:numPr>
        <w:adjustRightInd/>
        <w:snapToGrid/>
        <w:spacing w:after="0" w:line="400" w:lineRule="exact"/>
        <w:ind w:left="0"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符合性检查；</w:t>
      </w:r>
    </w:p>
    <w:p w14:paraId="62836E82">
      <w:pPr>
        <w:widowControl w:val="0"/>
        <w:numPr>
          <w:ilvl w:val="0"/>
          <w:numId w:val="7"/>
        </w:numPr>
        <w:adjustRightInd/>
        <w:snapToGrid/>
        <w:spacing w:after="0" w:line="400" w:lineRule="exact"/>
        <w:ind w:left="0"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bCs/>
          <w:color w:val="auto"/>
          <w:sz w:val="24"/>
          <w:highlight w:val="none"/>
        </w:rPr>
        <w:t>谈判；</w:t>
      </w:r>
    </w:p>
    <w:p w14:paraId="3169DEA2">
      <w:pPr>
        <w:widowControl w:val="0"/>
        <w:numPr>
          <w:ilvl w:val="0"/>
          <w:numId w:val="7"/>
        </w:numPr>
        <w:adjustRightInd/>
        <w:snapToGrid/>
        <w:spacing w:after="0" w:line="400" w:lineRule="exact"/>
        <w:ind w:left="0"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bCs/>
          <w:color w:val="auto"/>
          <w:sz w:val="24"/>
          <w:highlight w:val="none"/>
        </w:rPr>
        <w:t>重新提交响应文件（如谈判文件有实质性变动或谈判后确定最终设计解决方案）；</w:t>
      </w:r>
    </w:p>
    <w:p w14:paraId="627C71C9">
      <w:pPr>
        <w:widowControl w:val="0"/>
        <w:numPr>
          <w:ilvl w:val="0"/>
          <w:numId w:val="7"/>
        </w:numPr>
        <w:adjustRightInd/>
        <w:snapToGrid/>
        <w:spacing w:after="0" w:line="400" w:lineRule="exact"/>
        <w:ind w:left="0"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bCs/>
          <w:color w:val="auto"/>
          <w:sz w:val="24"/>
          <w:highlight w:val="none"/>
        </w:rPr>
        <w:t>最后报价；</w:t>
      </w:r>
    </w:p>
    <w:p w14:paraId="1E83610F">
      <w:pPr>
        <w:widowControl w:val="0"/>
        <w:numPr>
          <w:ilvl w:val="0"/>
          <w:numId w:val="7"/>
        </w:numPr>
        <w:adjustRightInd/>
        <w:snapToGrid/>
        <w:spacing w:after="0" w:line="400" w:lineRule="exact"/>
        <w:ind w:left="0"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bCs/>
          <w:color w:val="auto"/>
          <w:sz w:val="24"/>
          <w:highlight w:val="none"/>
        </w:rPr>
        <w:t>推荐成交候选供应商名单。</w:t>
      </w:r>
    </w:p>
    <w:p w14:paraId="1115512B">
      <w:pPr>
        <w:spacing w:after="0" w:line="400" w:lineRule="exact"/>
        <w:ind w:firstLine="482" w:firstLineChars="200"/>
        <w:outlineLvl w:val="1"/>
        <w:rPr>
          <w:rFonts w:cs="Arial" w:asciiTheme="minorEastAsia" w:hAnsiTheme="minorEastAsia" w:eastAsiaTheme="minorEastAsia"/>
          <w:b/>
          <w:bCs/>
          <w:color w:val="auto"/>
          <w:sz w:val="24"/>
          <w:highlight w:val="none"/>
        </w:rPr>
      </w:pPr>
      <w:bookmarkStart w:id="84" w:name="_Toc7192554"/>
      <w:r>
        <w:rPr>
          <w:rFonts w:hint="eastAsia" w:cs="Arial" w:asciiTheme="minorEastAsia" w:hAnsiTheme="minorEastAsia" w:eastAsiaTheme="minorEastAsia"/>
          <w:b/>
          <w:bCs/>
          <w:color w:val="auto"/>
          <w:sz w:val="24"/>
          <w:highlight w:val="none"/>
        </w:rPr>
        <w:t>二、评审标准</w:t>
      </w:r>
      <w:bookmarkEnd w:id="84"/>
    </w:p>
    <w:p w14:paraId="14CD45E5">
      <w:pPr>
        <w:spacing w:after="0" w:line="400" w:lineRule="exact"/>
        <w:ind w:firstLine="482" w:firstLineChars="200"/>
        <w:rPr>
          <w:rFonts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1、资格性检查</w:t>
      </w:r>
    </w:p>
    <w:p w14:paraId="3CA9D17F">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由谈判小组对所有供应商的响应文件进行资格审查。以确定供应商是否具备竞标资格。资格性检查表如下，缺少任何一项或有任何一项不合格者，其资格性审查视为不合格。</w:t>
      </w:r>
    </w:p>
    <w:tbl>
      <w:tblPr>
        <w:tblStyle w:val="38"/>
        <w:tblW w:w="9721" w:type="dxa"/>
        <w:jc w:val="center"/>
        <w:tblLayout w:type="fixed"/>
        <w:tblCellMar>
          <w:top w:w="0" w:type="dxa"/>
          <w:left w:w="108" w:type="dxa"/>
          <w:bottom w:w="0" w:type="dxa"/>
          <w:right w:w="108" w:type="dxa"/>
        </w:tblCellMar>
      </w:tblPr>
      <w:tblGrid>
        <w:gridCol w:w="742"/>
        <w:gridCol w:w="1101"/>
        <w:gridCol w:w="1691"/>
        <w:gridCol w:w="6187"/>
      </w:tblGrid>
      <w:tr w14:paraId="5C54D6A9">
        <w:tblPrEx>
          <w:tblCellMar>
            <w:top w:w="0" w:type="dxa"/>
            <w:left w:w="108" w:type="dxa"/>
            <w:bottom w:w="0" w:type="dxa"/>
            <w:right w:w="108" w:type="dxa"/>
          </w:tblCellMar>
        </w:tblPrEx>
        <w:trPr>
          <w:trHeight w:val="510" w:hRule="atLeast"/>
          <w:tblHeader/>
          <w:jc w:val="center"/>
        </w:trPr>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14:paraId="7732F449">
            <w:pPr>
              <w:adjustRightInd/>
              <w:snapToGrid/>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2792" w:type="dxa"/>
            <w:gridSpan w:val="2"/>
            <w:tcBorders>
              <w:top w:val="single" w:color="auto" w:sz="4" w:space="0"/>
              <w:left w:val="nil"/>
              <w:bottom w:val="single" w:color="auto" w:sz="4" w:space="0"/>
              <w:right w:val="single" w:color="auto" w:sz="4" w:space="0"/>
            </w:tcBorders>
            <w:shd w:val="clear" w:color="auto" w:fill="auto"/>
            <w:vAlign w:val="center"/>
          </w:tcPr>
          <w:p w14:paraId="2AD8B455">
            <w:pPr>
              <w:adjustRightInd/>
              <w:snapToGrid/>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评审因素</w:t>
            </w:r>
          </w:p>
        </w:tc>
        <w:tc>
          <w:tcPr>
            <w:tcW w:w="6187" w:type="dxa"/>
            <w:tcBorders>
              <w:top w:val="single" w:color="auto" w:sz="4" w:space="0"/>
              <w:left w:val="nil"/>
              <w:bottom w:val="single" w:color="auto" w:sz="4" w:space="0"/>
              <w:right w:val="single" w:color="auto" w:sz="4" w:space="0"/>
            </w:tcBorders>
            <w:shd w:val="clear" w:color="auto" w:fill="auto"/>
            <w:vAlign w:val="center"/>
          </w:tcPr>
          <w:p w14:paraId="6700A227">
            <w:pPr>
              <w:adjustRightInd/>
              <w:snapToGrid/>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评审内容及评审标准</w:t>
            </w:r>
          </w:p>
        </w:tc>
      </w:tr>
      <w:tr w14:paraId="6AA1BD6A">
        <w:tblPrEx>
          <w:tblCellMar>
            <w:top w:w="0" w:type="dxa"/>
            <w:left w:w="108" w:type="dxa"/>
            <w:bottom w:w="0" w:type="dxa"/>
            <w:right w:w="108" w:type="dxa"/>
          </w:tblCellMar>
        </w:tblPrEx>
        <w:trPr>
          <w:trHeight w:val="2241" w:hRule="atLeast"/>
          <w:jc w:val="center"/>
        </w:trPr>
        <w:tc>
          <w:tcPr>
            <w:tcW w:w="742" w:type="dxa"/>
            <w:vMerge w:val="restart"/>
            <w:tcBorders>
              <w:top w:val="nil"/>
              <w:left w:val="single" w:color="auto" w:sz="4" w:space="0"/>
              <w:bottom w:val="single" w:color="auto" w:sz="4" w:space="0"/>
              <w:right w:val="single" w:color="auto" w:sz="4" w:space="0"/>
            </w:tcBorders>
            <w:shd w:val="clear" w:color="auto" w:fill="auto"/>
            <w:vAlign w:val="center"/>
          </w:tcPr>
          <w:p w14:paraId="2365CB07">
            <w:pPr>
              <w:adjustRightInd/>
              <w:snapToGrid/>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1101" w:type="dxa"/>
            <w:vMerge w:val="restart"/>
            <w:tcBorders>
              <w:top w:val="nil"/>
              <w:left w:val="single" w:color="auto" w:sz="4" w:space="0"/>
              <w:bottom w:val="single" w:color="auto" w:sz="4" w:space="0"/>
              <w:right w:val="single" w:color="auto" w:sz="4" w:space="0"/>
            </w:tcBorders>
            <w:shd w:val="clear" w:color="auto" w:fill="auto"/>
            <w:vAlign w:val="center"/>
          </w:tcPr>
          <w:p w14:paraId="1775E085">
            <w:pPr>
              <w:adjustRightInd/>
              <w:snapToGrid/>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供应商应符合的基本资格条件</w:t>
            </w:r>
          </w:p>
        </w:tc>
        <w:tc>
          <w:tcPr>
            <w:tcW w:w="1691" w:type="dxa"/>
            <w:tcBorders>
              <w:top w:val="nil"/>
              <w:left w:val="nil"/>
              <w:bottom w:val="single" w:color="auto" w:sz="4" w:space="0"/>
              <w:right w:val="single" w:color="auto" w:sz="4" w:space="0"/>
            </w:tcBorders>
            <w:shd w:val="clear" w:color="auto" w:fill="auto"/>
            <w:vAlign w:val="center"/>
          </w:tcPr>
          <w:p w14:paraId="2041A887">
            <w:pPr>
              <w:adjustRightInd/>
              <w:snapToGrid/>
              <w:spacing w:after="0" w:line="4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（1）具有独立承担民事责任的能力</w:t>
            </w:r>
          </w:p>
        </w:tc>
        <w:tc>
          <w:tcPr>
            <w:tcW w:w="6187" w:type="dxa"/>
            <w:tcBorders>
              <w:top w:val="nil"/>
              <w:left w:val="nil"/>
              <w:bottom w:val="single" w:color="auto" w:sz="4" w:space="0"/>
              <w:right w:val="single" w:color="auto" w:sz="4" w:space="0"/>
            </w:tcBorders>
            <w:shd w:val="clear" w:color="auto" w:fill="auto"/>
            <w:vAlign w:val="center"/>
          </w:tcPr>
          <w:p w14:paraId="66C819E8">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审查法人或者其他组织的营业执照等证明文件、自然人的身份证明。须按以下要求提供，材料须有效。</w:t>
            </w:r>
          </w:p>
          <w:p w14:paraId="5F96B517">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供应商是企业则审查营业执照 （副本） 复印件；供应商是事业单位，则审查事业单位法人证书（副本）复印件；供应商是非企业专业服务机构的，则审查执业许可证等证明文件复印件；供应商是个体工商户，则审查个体工商户营业执照复印件；供应商是自然人，则审查自然人身份证明复印件；如供应商不是以上所列的法人、组织、自然人的，则提供国家规定的相关证明材料。</w:t>
            </w:r>
          </w:p>
        </w:tc>
      </w:tr>
      <w:tr w14:paraId="00B6D699">
        <w:tblPrEx>
          <w:tblCellMar>
            <w:top w:w="0" w:type="dxa"/>
            <w:left w:w="108" w:type="dxa"/>
            <w:bottom w:w="0" w:type="dxa"/>
            <w:right w:w="108" w:type="dxa"/>
          </w:tblCellMar>
        </w:tblPrEx>
        <w:trPr>
          <w:jc w:val="center"/>
        </w:trPr>
        <w:tc>
          <w:tcPr>
            <w:tcW w:w="742" w:type="dxa"/>
            <w:vMerge w:val="continue"/>
            <w:tcBorders>
              <w:top w:val="nil"/>
              <w:left w:val="single" w:color="auto" w:sz="4" w:space="0"/>
              <w:bottom w:val="single" w:color="auto" w:sz="4" w:space="0"/>
              <w:right w:val="single" w:color="auto" w:sz="4" w:space="0"/>
            </w:tcBorders>
            <w:vAlign w:val="center"/>
          </w:tcPr>
          <w:p w14:paraId="6C1E47E9">
            <w:pPr>
              <w:adjustRightInd/>
              <w:snapToGrid/>
              <w:spacing w:after="0" w:line="400" w:lineRule="exact"/>
              <w:rPr>
                <w:rFonts w:cs="宋体" w:asciiTheme="minorEastAsia" w:hAnsiTheme="minorEastAsia" w:eastAsiaTheme="minorEastAsia"/>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33D46643">
            <w:pPr>
              <w:adjustRightInd/>
              <w:snapToGrid/>
              <w:spacing w:after="0" w:line="400" w:lineRule="exact"/>
              <w:rPr>
                <w:rFonts w:cs="宋体" w:asciiTheme="minorEastAsia" w:hAnsiTheme="minorEastAsia" w:eastAsiaTheme="minorEastAsia"/>
                <w:color w:val="auto"/>
                <w:sz w:val="24"/>
                <w:szCs w:val="24"/>
                <w:highlight w:val="none"/>
              </w:rPr>
            </w:pPr>
          </w:p>
        </w:tc>
        <w:tc>
          <w:tcPr>
            <w:tcW w:w="1691" w:type="dxa"/>
            <w:tcBorders>
              <w:top w:val="nil"/>
              <w:left w:val="nil"/>
              <w:bottom w:val="single" w:color="auto" w:sz="4" w:space="0"/>
              <w:right w:val="single" w:color="auto" w:sz="4" w:space="0"/>
            </w:tcBorders>
            <w:shd w:val="clear" w:color="auto" w:fill="auto"/>
            <w:vAlign w:val="center"/>
          </w:tcPr>
          <w:p w14:paraId="053D7BF0">
            <w:pPr>
              <w:adjustRightInd/>
              <w:snapToGrid/>
              <w:spacing w:after="0" w:line="4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（2）具有良好的商业信誉和健全的财务会计制度</w:t>
            </w:r>
          </w:p>
        </w:tc>
        <w:tc>
          <w:tcPr>
            <w:tcW w:w="6187" w:type="dxa"/>
            <w:tcBorders>
              <w:top w:val="nil"/>
              <w:left w:val="nil"/>
              <w:bottom w:val="single" w:color="auto" w:sz="4" w:space="0"/>
              <w:right w:val="single" w:color="auto" w:sz="4" w:space="0"/>
            </w:tcBorders>
            <w:shd w:val="clear" w:color="auto" w:fill="auto"/>
            <w:vAlign w:val="center"/>
          </w:tcPr>
          <w:p w14:paraId="10936BE7">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审查供应商</w:t>
            </w:r>
            <w:r>
              <w:rPr>
                <w:rFonts w:hint="eastAsia" w:cs="宋体" w:asciiTheme="minorEastAsia" w:hAnsiTheme="minorEastAsia" w:eastAsiaTheme="minorEastAsia"/>
                <w:color w:val="auto"/>
                <w:sz w:val="24"/>
                <w:highlight w:val="none"/>
              </w:rPr>
              <w:t>202</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szCs w:val="24"/>
                <w:highlight w:val="none"/>
              </w:rPr>
              <w:t>度经第三方审计的财务报表（账务报表至少包含资产负债表、利润表、现金流量表）复印件</w:t>
            </w:r>
            <w:r>
              <w:rPr>
                <w:rFonts w:hint="eastAsia" w:cs="宋体" w:asciiTheme="minorEastAsia" w:hAnsiTheme="minorEastAsia" w:eastAsiaTheme="minorEastAsia"/>
                <w:color w:val="auto"/>
                <w:sz w:val="24"/>
                <w:highlight w:val="none"/>
              </w:rPr>
              <w:t>（新成立的公司提供公司成立日之后次月起到响应文件递交截止前一个月的财务报表复印件）</w:t>
            </w:r>
            <w:r>
              <w:rPr>
                <w:rFonts w:hint="eastAsia" w:cs="宋体" w:asciiTheme="minorEastAsia" w:hAnsiTheme="minorEastAsia" w:eastAsiaTheme="minorEastAsia"/>
                <w:color w:val="auto"/>
                <w:sz w:val="24"/>
                <w:szCs w:val="24"/>
                <w:highlight w:val="none"/>
              </w:rPr>
              <w:t>或供应商提交响应文件截止之日前三个月内其基本开户银行出具的银行资信证明</w:t>
            </w:r>
            <w:r>
              <w:rPr>
                <w:rFonts w:hint="eastAsia" w:cs="宋体" w:asciiTheme="minorEastAsia" w:hAnsiTheme="minorEastAsia" w:eastAsiaTheme="minorEastAsia"/>
                <w:color w:val="auto"/>
                <w:sz w:val="24"/>
                <w:highlight w:val="none"/>
              </w:rPr>
              <w:t>（仅提供银行出具的存款证明不能作为其银行资信证明）</w:t>
            </w:r>
            <w:r>
              <w:rPr>
                <w:rFonts w:hint="eastAsia" w:cs="宋体" w:asciiTheme="minorEastAsia" w:hAnsiTheme="minorEastAsia" w:eastAsiaTheme="minorEastAsia"/>
                <w:color w:val="auto"/>
                <w:sz w:val="24"/>
                <w:szCs w:val="24"/>
                <w:highlight w:val="none"/>
              </w:rPr>
              <w:t xml:space="preserve">复印件。 </w:t>
            </w:r>
          </w:p>
        </w:tc>
      </w:tr>
      <w:tr w14:paraId="4D2748CF">
        <w:tblPrEx>
          <w:tblCellMar>
            <w:top w:w="0" w:type="dxa"/>
            <w:left w:w="108" w:type="dxa"/>
            <w:bottom w:w="0" w:type="dxa"/>
            <w:right w:w="108" w:type="dxa"/>
          </w:tblCellMar>
        </w:tblPrEx>
        <w:trPr>
          <w:trHeight w:val="81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12FD38AE">
            <w:pPr>
              <w:adjustRightInd/>
              <w:snapToGrid/>
              <w:spacing w:after="0" w:line="400" w:lineRule="exact"/>
              <w:rPr>
                <w:rFonts w:cs="宋体" w:asciiTheme="minorEastAsia" w:hAnsiTheme="minorEastAsia" w:eastAsiaTheme="minorEastAsia"/>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536C654A">
            <w:pPr>
              <w:adjustRightInd/>
              <w:snapToGrid/>
              <w:spacing w:after="0" w:line="400" w:lineRule="exact"/>
              <w:rPr>
                <w:rFonts w:cs="宋体" w:asciiTheme="minorEastAsia" w:hAnsiTheme="minorEastAsia" w:eastAsiaTheme="minorEastAsia"/>
                <w:color w:val="auto"/>
                <w:sz w:val="24"/>
                <w:szCs w:val="24"/>
                <w:highlight w:val="none"/>
              </w:rPr>
            </w:pPr>
          </w:p>
        </w:tc>
        <w:tc>
          <w:tcPr>
            <w:tcW w:w="1691" w:type="dxa"/>
            <w:tcBorders>
              <w:top w:val="nil"/>
              <w:left w:val="nil"/>
              <w:bottom w:val="single" w:color="auto" w:sz="4" w:space="0"/>
              <w:right w:val="single" w:color="auto" w:sz="4" w:space="0"/>
            </w:tcBorders>
            <w:shd w:val="clear" w:color="auto" w:fill="auto"/>
            <w:vAlign w:val="center"/>
          </w:tcPr>
          <w:p w14:paraId="0E9DBFF7">
            <w:pPr>
              <w:adjustRightInd/>
              <w:snapToGrid/>
              <w:spacing w:after="0" w:line="4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（3）具有履行合同所必需的设备和专业技术能力</w:t>
            </w:r>
          </w:p>
        </w:tc>
        <w:tc>
          <w:tcPr>
            <w:tcW w:w="6187" w:type="dxa"/>
            <w:tcBorders>
              <w:top w:val="nil"/>
              <w:left w:val="nil"/>
              <w:bottom w:val="single" w:color="auto" w:sz="4" w:space="0"/>
              <w:right w:val="single" w:color="auto" w:sz="4" w:space="0"/>
            </w:tcBorders>
            <w:shd w:val="clear" w:color="auto" w:fill="auto"/>
            <w:vAlign w:val="center"/>
          </w:tcPr>
          <w:p w14:paraId="56AC1251">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审查“具备履行合同所必需的设备和专业技术服务能力的承诺书”。</w:t>
            </w:r>
          </w:p>
        </w:tc>
      </w:tr>
      <w:tr w14:paraId="5300EB82">
        <w:tblPrEx>
          <w:tblCellMar>
            <w:top w:w="0" w:type="dxa"/>
            <w:left w:w="108" w:type="dxa"/>
            <w:bottom w:w="0" w:type="dxa"/>
            <w:right w:w="108" w:type="dxa"/>
          </w:tblCellMar>
        </w:tblPrEx>
        <w:trPr>
          <w:trHeight w:val="220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1565C71D">
            <w:pPr>
              <w:adjustRightInd/>
              <w:snapToGrid/>
              <w:spacing w:after="0" w:line="400" w:lineRule="exact"/>
              <w:rPr>
                <w:rFonts w:cs="宋体" w:asciiTheme="minorEastAsia" w:hAnsiTheme="minorEastAsia" w:eastAsiaTheme="minorEastAsia"/>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5D212A0B">
            <w:pPr>
              <w:adjustRightInd/>
              <w:snapToGrid/>
              <w:spacing w:after="0" w:line="400" w:lineRule="exact"/>
              <w:rPr>
                <w:rFonts w:cs="宋体" w:asciiTheme="minorEastAsia" w:hAnsiTheme="minorEastAsia" w:eastAsiaTheme="minorEastAsia"/>
                <w:color w:val="auto"/>
                <w:sz w:val="24"/>
                <w:szCs w:val="24"/>
                <w:highlight w:val="none"/>
              </w:rPr>
            </w:pPr>
          </w:p>
        </w:tc>
        <w:tc>
          <w:tcPr>
            <w:tcW w:w="1691" w:type="dxa"/>
            <w:tcBorders>
              <w:top w:val="nil"/>
              <w:left w:val="nil"/>
              <w:bottom w:val="single" w:color="auto" w:sz="4" w:space="0"/>
              <w:right w:val="single" w:color="auto" w:sz="4" w:space="0"/>
            </w:tcBorders>
            <w:shd w:val="clear" w:color="auto" w:fill="auto"/>
            <w:vAlign w:val="center"/>
          </w:tcPr>
          <w:p w14:paraId="5A86D59A">
            <w:pPr>
              <w:adjustRightInd/>
              <w:snapToGrid/>
              <w:spacing w:after="0" w:line="4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（4）有依法缴纳税收和社会保障资金的良好记录</w:t>
            </w:r>
          </w:p>
        </w:tc>
        <w:tc>
          <w:tcPr>
            <w:tcW w:w="6187" w:type="dxa"/>
            <w:tcBorders>
              <w:top w:val="nil"/>
              <w:left w:val="nil"/>
              <w:bottom w:val="single" w:color="auto" w:sz="4" w:space="0"/>
              <w:right w:val="single" w:color="auto" w:sz="4" w:space="0"/>
            </w:tcBorders>
            <w:shd w:val="clear" w:color="auto" w:fill="auto"/>
            <w:vAlign w:val="center"/>
          </w:tcPr>
          <w:p w14:paraId="6776B5B6">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①审查提交响应文件截止之日前近半年内任意连续三个月的依法缴纳税费证明复印件</w:t>
            </w:r>
            <w:r>
              <w:rPr>
                <w:rFonts w:hint="eastAsia" w:cs="宋体" w:asciiTheme="minorEastAsia" w:hAnsiTheme="minorEastAsia" w:eastAsiaTheme="minorEastAsia"/>
                <w:color w:val="auto"/>
                <w:sz w:val="24"/>
                <w:highlight w:val="none"/>
              </w:rPr>
              <w:t>（新成立的且不足三个月的企业按实际提供）</w:t>
            </w:r>
            <w:r>
              <w:rPr>
                <w:rFonts w:hint="eastAsia" w:cs="宋体" w:asciiTheme="minorEastAsia" w:hAnsiTheme="minorEastAsia" w:eastAsiaTheme="minorEastAsia"/>
                <w:color w:val="auto"/>
                <w:sz w:val="24"/>
                <w:szCs w:val="24"/>
                <w:highlight w:val="none"/>
              </w:rPr>
              <w:t>。</w:t>
            </w:r>
          </w:p>
          <w:p w14:paraId="7A650081">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②审查提交响应文件截止之日前近半年内任意连续三个月的依法缴纳社会保险费证明记录复印件</w:t>
            </w:r>
            <w:r>
              <w:rPr>
                <w:rFonts w:hint="eastAsia" w:cs="宋体" w:asciiTheme="minorEastAsia" w:hAnsiTheme="minorEastAsia" w:eastAsiaTheme="minorEastAsia"/>
                <w:color w:val="auto"/>
                <w:sz w:val="24"/>
                <w:highlight w:val="none"/>
              </w:rPr>
              <w:t>（新成立的且不足三个月的企业按实际提供）</w:t>
            </w:r>
            <w:r>
              <w:rPr>
                <w:rFonts w:hint="eastAsia" w:cs="宋体" w:asciiTheme="minorEastAsia" w:hAnsiTheme="minorEastAsia" w:eastAsiaTheme="minorEastAsia"/>
                <w:color w:val="auto"/>
                <w:sz w:val="24"/>
                <w:szCs w:val="24"/>
                <w:highlight w:val="none"/>
              </w:rPr>
              <w:t>。</w:t>
            </w:r>
          </w:p>
          <w:p w14:paraId="07647992">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依法免税或不需要缴纳社会保障资金的供应商，须提供相应文件证明其依法免税或不需要缴纳社会保障资金。</w:t>
            </w:r>
          </w:p>
        </w:tc>
      </w:tr>
      <w:tr w14:paraId="15859DFE">
        <w:tblPrEx>
          <w:tblCellMar>
            <w:top w:w="0" w:type="dxa"/>
            <w:left w:w="108" w:type="dxa"/>
            <w:bottom w:w="0" w:type="dxa"/>
            <w:right w:w="108" w:type="dxa"/>
          </w:tblCellMar>
        </w:tblPrEx>
        <w:trPr>
          <w:trHeight w:val="810" w:hRule="atLeast"/>
          <w:jc w:val="center"/>
        </w:trPr>
        <w:tc>
          <w:tcPr>
            <w:tcW w:w="742" w:type="dxa"/>
            <w:vMerge w:val="continue"/>
            <w:tcBorders>
              <w:top w:val="nil"/>
              <w:left w:val="single" w:color="auto" w:sz="4" w:space="0"/>
              <w:bottom w:val="single" w:color="auto" w:sz="4" w:space="0"/>
              <w:right w:val="single" w:color="auto" w:sz="4" w:space="0"/>
            </w:tcBorders>
            <w:vAlign w:val="center"/>
          </w:tcPr>
          <w:p w14:paraId="770E46FB">
            <w:pPr>
              <w:adjustRightInd/>
              <w:snapToGrid/>
              <w:spacing w:after="0" w:line="400" w:lineRule="exact"/>
              <w:rPr>
                <w:rFonts w:cs="宋体" w:asciiTheme="minorEastAsia" w:hAnsiTheme="minorEastAsia" w:eastAsiaTheme="minorEastAsia"/>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5465FF4F">
            <w:pPr>
              <w:adjustRightInd/>
              <w:snapToGrid/>
              <w:spacing w:after="0" w:line="400" w:lineRule="exact"/>
              <w:rPr>
                <w:rFonts w:cs="宋体" w:asciiTheme="minorEastAsia" w:hAnsiTheme="minorEastAsia" w:eastAsiaTheme="minorEastAsia"/>
                <w:color w:val="auto"/>
                <w:sz w:val="24"/>
                <w:szCs w:val="24"/>
                <w:highlight w:val="none"/>
              </w:rPr>
            </w:pPr>
          </w:p>
        </w:tc>
        <w:tc>
          <w:tcPr>
            <w:tcW w:w="1691" w:type="dxa"/>
            <w:tcBorders>
              <w:top w:val="nil"/>
              <w:left w:val="nil"/>
              <w:bottom w:val="single" w:color="auto" w:sz="4" w:space="0"/>
              <w:right w:val="single" w:color="auto" w:sz="4" w:space="0"/>
            </w:tcBorders>
            <w:shd w:val="clear" w:color="auto" w:fill="auto"/>
            <w:vAlign w:val="center"/>
          </w:tcPr>
          <w:p w14:paraId="4183FBED">
            <w:pPr>
              <w:adjustRightInd/>
              <w:snapToGrid/>
              <w:spacing w:after="0" w:line="4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（5）参加政府采购活动前三年内，在经营活动中没有重大违法记录</w:t>
            </w:r>
          </w:p>
        </w:tc>
        <w:tc>
          <w:tcPr>
            <w:tcW w:w="6187" w:type="dxa"/>
            <w:tcBorders>
              <w:top w:val="nil"/>
              <w:left w:val="nil"/>
              <w:bottom w:val="single" w:color="auto" w:sz="4" w:space="0"/>
              <w:right w:val="single" w:color="auto" w:sz="4" w:space="0"/>
            </w:tcBorders>
            <w:shd w:val="clear" w:color="auto" w:fill="auto"/>
            <w:vAlign w:val="center"/>
          </w:tcPr>
          <w:p w14:paraId="6CEBAE66">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审查无重大违法记录声明，格式见第六章响应文件格式“参加政府采购活动前三年内在经营活动中没有重大违法记录的书面声明”。</w:t>
            </w:r>
          </w:p>
        </w:tc>
      </w:tr>
      <w:tr w14:paraId="7580508F">
        <w:tblPrEx>
          <w:tblCellMar>
            <w:top w:w="0" w:type="dxa"/>
            <w:left w:w="108" w:type="dxa"/>
            <w:bottom w:w="0" w:type="dxa"/>
            <w:right w:w="108" w:type="dxa"/>
          </w:tblCellMar>
        </w:tblPrEx>
        <w:trPr>
          <w:jc w:val="center"/>
        </w:trPr>
        <w:tc>
          <w:tcPr>
            <w:tcW w:w="742" w:type="dxa"/>
            <w:vMerge w:val="continue"/>
            <w:tcBorders>
              <w:top w:val="nil"/>
              <w:left w:val="single" w:color="auto" w:sz="4" w:space="0"/>
              <w:bottom w:val="single" w:color="auto" w:sz="4" w:space="0"/>
              <w:right w:val="single" w:color="auto" w:sz="4" w:space="0"/>
            </w:tcBorders>
            <w:vAlign w:val="center"/>
          </w:tcPr>
          <w:p w14:paraId="26E2DCD9">
            <w:pPr>
              <w:adjustRightInd/>
              <w:snapToGrid/>
              <w:spacing w:after="0" w:line="400" w:lineRule="exact"/>
              <w:rPr>
                <w:rFonts w:cs="宋体" w:asciiTheme="minorEastAsia" w:hAnsiTheme="minorEastAsia" w:eastAsiaTheme="minorEastAsia"/>
                <w:color w:val="auto"/>
                <w:sz w:val="24"/>
                <w:szCs w:val="24"/>
                <w:highlight w:val="none"/>
              </w:rPr>
            </w:pPr>
          </w:p>
        </w:tc>
        <w:tc>
          <w:tcPr>
            <w:tcW w:w="1101" w:type="dxa"/>
            <w:vMerge w:val="continue"/>
            <w:tcBorders>
              <w:top w:val="nil"/>
              <w:left w:val="single" w:color="auto" w:sz="4" w:space="0"/>
              <w:bottom w:val="single" w:color="auto" w:sz="4" w:space="0"/>
              <w:right w:val="single" w:color="auto" w:sz="4" w:space="0"/>
            </w:tcBorders>
            <w:vAlign w:val="center"/>
          </w:tcPr>
          <w:p w14:paraId="247C9915">
            <w:pPr>
              <w:adjustRightInd/>
              <w:snapToGrid/>
              <w:spacing w:after="0" w:line="400" w:lineRule="exact"/>
              <w:rPr>
                <w:rFonts w:cs="宋体" w:asciiTheme="minorEastAsia" w:hAnsiTheme="minorEastAsia" w:eastAsiaTheme="minorEastAsia"/>
                <w:color w:val="auto"/>
                <w:sz w:val="24"/>
                <w:szCs w:val="24"/>
                <w:highlight w:val="none"/>
              </w:rPr>
            </w:pPr>
          </w:p>
        </w:tc>
        <w:tc>
          <w:tcPr>
            <w:tcW w:w="1691" w:type="dxa"/>
            <w:tcBorders>
              <w:top w:val="nil"/>
              <w:left w:val="nil"/>
              <w:bottom w:val="single" w:color="auto" w:sz="4" w:space="0"/>
              <w:right w:val="single" w:color="auto" w:sz="4" w:space="0"/>
            </w:tcBorders>
            <w:shd w:val="clear" w:color="auto" w:fill="auto"/>
            <w:vAlign w:val="center"/>
          </w:tcPr>
          <w:p w14:paraId="49AFB7A0">
            <w:pPr>
              <w:adjustRightInd/>
              <w:snapToGrid/>
              <w:spacing w:after="0" w:line="4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（6）诚信要求</w:t>
            </w:r>
          </w:p>
        </w:tc>
        <w:tc>
          <w:tcPr>
            <w:tcW w:w="6187" w:type="dxa"/>
            <w:tcBorders>
              <w:top w:val="nil"/>
              <w:left w:val="nil"/>
              <w:bottom w:val="single" w:color="auto" w:sz="4" w:space="0"/>
              <w:right w:val="single" w:color="auto" w:sz="4" w:space="0"/>
            </w:tcBorders>
            <w:shd w:val="clear" w:color="auto" w:fill="auto"/>
            <w:vAlign w:val="center"/>
          </w:tcPr>
          <w:p w14:paraId="03CF1F4A">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A</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审核要求：供应商未被列入失信被执行人、重大税收违法案件当事人名单、政府采购严重违法失信行为记录名单。</w:t>
            </w:r>
          </w:p>
          <w:p w14:paraId="71DF487B">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B、审核内容：供应商在“信用中国”网站（www.creditchina.gov.cn）、中国政府采购网（www.ccgp.gov.cn）的主体信用记录</w:t>
            </w:r>
            <w:r>
              <w:rPr>
                <w:rFonts w:cs="宋体" w:asciiTheme="minorEastAsia" w:hAnsiTheme="minorEastAsia" w:eastAsiaTheme="minorEastAsia"/>
                <w:color w:val="auto"/>
                <w:sz w:val="24"/>
                <w:szCs w:val="24"/>
                <w:highlight w:val="none"/>
              </w:rPr>
              <w:t>查询结果或界面截图（</w:t>
            </w:r>
            <w:r>
              <w:rPr>
                <w:rFonts w:hint="eastAsia" w:cs="仿宋" w:asciiTheme="minorEastAsia" w:hAnsiTheme="minorEastAsia" w:eastAsiaTheme="minorEastAsia"/>
                <w:color w:val="auto"/>
                <w:sz w:val="24"/>
                <w:highlight w:val="none"/>
              </w:rPr>
              <w:t>由采购人或采购代理机构对供应商进行信用信息查询，并将查询结果提供给谈判小组</w:t>
            </w:r>
            <w:r>
              <w:rPr>
                <w:rFonts w:cs="宋体" w:asciiTheme="minorEastAsia" w:hAnsiTheme="minorEastAsia" w:eastAsiaTheme="minorEastAsia"/>
                <w:color w:val="auto"/>
                <w:sz w:val="24"/>
                <w:szCs w:val="24"/>
                <w:highlight w:val="none"/>
              </w:rPr>
              <w:t>）</w:t>
            </w:r>
            <w:r>
              <w:rPr>
                <w:rFonts w:hint="eastAsia" w:cs="宋体" w:asciiTheme="minorEastAsia" w:hAnsiTheme="minorEastAsia" w:eastAsiaTheme="minorEastAsia"/>
                <w:color w:val="auto"/>
                <w:sz w:val="24"/>
                <w:szCs w:val="24"/>
                <w:highlight w:val="none"/>
              </w:rPr>
              <w:t>。</w:t>
            </w:r>
          </w:p>
          <w:p w14:paraId="4037FF1F">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①“信用中国”查询内容：失信被执行人、重大税收违法案件当事人名单、政府采购严重违法失信行为记录名单</w:t>
            </w:r>
            <w:r>
              <w:rPr>
                <w:rFonts w:cs="宋体" w:asciiTheme="minorEastAsia" w:hAnsiTheme="minorEastAsia" w:eastAsiaTheme="minorEastAsia"/>
                <w:color w:val="auto"/>
                <w:sz w:val="24"/>
                <w:szCs w:val="24"/>
                <w:highlight w:val="none"/>
              </w:rPr>
              <w:t>查询结果或界面截图</w:t>
            </w:r>
            <w:r>
              <w:rPr>
                <w:rFonts w:hint="eastAsia" w:cs="宋体" w:asciiTheme="minorEastAsia" w:hAnsiTheme="minorEastAsia" w:eastAsiaTheme="minorEastAsia"/>
                <w:color w:val="auto"/>
                <w:sz w:val="24"/>
                <w:szCs w:val="24"/>
                <w:highlight w:val="none"/>
              </w:rPr>
              <w:t>；查询或打印截止时点：</w:t>
            </w:r>
            <w:r>
              <w:rPr>
                <w:rFonts w:hint="eastAsia" w:cs="仿宋" w:asciiTheme="minorEastAsia" w:hAnsiTheme="minorEastAsia" w:eastAsiaTheme="minorEastAsia"/>
                <w:color w:val="auto"/>
                <w:sz w:val="24"/>
                <w:highlight w:val="none"/>
              </w:rPr>
              <w:t>递交响应文件截止时间</w:t>
            </w:r>
            <w:r>
              <w:rPr>
                <w:rFonts w:hint="eastAsia" w:cs="宋体" w:asciiTheme="minorEastAsia" w:hAnsiTheme="minorEastAsia" w:eastAsiaTheme="minorEastAsia"/>
                <w:color w:val="auto"/>
                <w:sz w:val="24"/>
                <w:szCs w:val="24"/>
                <w:highlight w:val="none"/>
              </w:rPr>
              <w:t>。</w:t>
            </w:r>
          </w:p>
          <w:p w14:paraId="45224E7F">
            <w:pPr>
              <w:pStyle w:val="15"/>
              <w:widowControl/>
              <w:spacing w:line="400" w:lineRule="exact"/>
              <w:ind w:firstLine="480" w:firstLineChars="200"/>
              <w:rPr>
                <w:color w:val="auto"/>
                <w:highlight w:val="none"/>
              </w:rPr>
            </w:pPr>
            <w:r>
              <w:rPr>
                <w:rFonts w:hint="eastAsia" w:cs="宋体" w:asciiTheme="minorEastAsia" w:hAnsiTheme="minorEastAsia" w:eastAsiaTheme="minorEastAsia"/>
                <w:color w:val="auto"/>
                <w:sz w:val="24"/>
                <w:highlight w:val="none"/>
              </w:rPr>
              <w:t>②“中国政府采购网”的查询内容：政府采购严重违法失信行为信息记录</w:t>
            </w:r>
            <w:r>
              <w:rPr>
                <w:rFonts w:cs="宋体" w:asciiTheme="minorEastAsia" w:hAnsiTheme="minorEastAsia" w:eastAsiaTheme="minorEastAsia"/>
                <w:color w:val="auto"/>
                <w:sz w:val="24"/>
                <w:highlight w:val="none"/>
              </w:rPr>
              <w:t>（查询界面截图须显示</w:t>
            </w:r>
            <w:r>
              <w:rPr>
                <w:rFonts w:hint="eastAsia" w:cs="宋体" w:asciiTheme="minorEastAsia" w:hAnsiTheme="minorEastAsia" w:eastAsiaTheme="minorEastAsia"/>
                <w:color w:val="auto"/>
                <w:sz w:val="24"/>
                <w:highlight w:val="none"/>
              </w:rPr>
              <w:t>供应商</w:t>
            </w:r>
            <w:r>
              <w:rPr>
                <w:rFonts w:cs="宋体" w:asciiTheme="minorEastAsia" w:hAnsiTheme="minorEastAsia" w:eastAsiaTheme="minorEastAsia"/>
                <w:color w:val="auto"/>
                <w:sz w:val="24"/>
                <w:highlight w:val="none"/>
              </w:rPr>
              <w:t>名称以及查询结果）；查询时间：</w:t>
            </w:r>
            <w:r>
              <w:rPr>
                <w:rFonts w:hint="eastAsia"/>
                <w:color w:val="auto"/>
                <w:highlight w:val="none"/>
              </w:rPr>
              <w:t>公告之日起至递交响应文件截止时间</w:t>
            </w:r>
            <w:r>
              <w:rPr>
                <w:rStyle w:val="45"/>
                <w:rFonts w:hint="eastAsia"/>
                <w:color w:val="auto"/>
                <w:highlight w:val="none"/>
              </w:rPr>
              <w:t>前</w:t>
            </w:r>
          </w:p>
        </w:tc>
      </w:tr>
      <w:tr w14:paraId="457480D8">
        <w:tblPrEx>
          <w:tblCellMar>
            <w:top w:w="0" w:type="dxa"/>
            <w:left w:w="108" w:type="dxa"/>
            <w:bottom w:w="0" w:type="dxa"/>
            <w:right w:w="108" w:type="dxa"/>
          </w:tblCellMar>
        </w:tblPrEx>
        <w:trPr>
          <w:trHeight w:val="1129" w:hRule="atLeast"/>
          <w:jc w:val="center"/>
        </w:trPr>
        <w:tc>
          <w:tcPr>
            <w:tcW w:w="742" w:type="dxa"/>
            <w:tcBorders>
              <w:top w:val="nil"/>
              <w:left w:val="single" w:color="auto" w:sz="4" w:space="0"/>
              <w:bottom w:val="single" w:color="auto" w:sz="4" w:space="0"/>
              <w:right w:val="single" w:color="auto" w:sz="4" w:space="0"/>
            </w:tcBorders>
            <w:shd w:val="clear" w:color="auto" w:fill="auto"/>
            <w:vAlign w:val="center"/>
          </w:tcPr>
          <w:p w14:paraId="68B85EB6">
            <w:pPr>
              <w:adjustRightInd/>
              <w:snapToGrid/>
              <w:spacing w:after="0"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7A8002">
            <w:pPr>
              <w:adjustRightInd/>
              <w:snapToGrid/>
              <w:spacing w:after="0" w:line="400" w:lineRule="exac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供应商不得参加资格性审查的情形</w:t>
            </w:r>
          </w:p>
        </w:tc>
        <w:tc>
          <w:tcPr>
            <w:tcW w:w="6187" w:type="dxa"/>
            <w:tcBorders>
              <w:top w:val="nil"/>
              <w:left w:val="nil"/>
              <w:bottom w:val="single" w:color="auto" w:sz="4" w:space="0"/>
              <w:right w:val="single" w:color="auto" w:sz="4" w:space="0"/>
            </w:tcBorders>
            <w:shd w:val="clear" w:color="auto" w:fill="auto"/>
            <w:vAlign w:val="center"/>
          </w:tcPr>
          <w:p w14:paraId="297BA446">
            <w:pPr>
              <w:adjustRightInd/>
              <w:snapToGrid/>
              <w:spacing w:after="0" w:line="40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见第六章响应文件格式“供应商控股及管理关系情况申报表”</w:t>
            </w:r>
          </w:p>
        </w:tc>
      </w:tr>
    </w:tbl>
    <w:p w14:paraId="4DFE4C33">
      <w:pPr>
        <w:spacing w:after="0" w:line="400" w:lineRule="exact"/>
        <w:ind w:firstLine="480" w:firstLineChars="200"/>
        <w:rPr>
          <w:rFonts w:cs="Arial" w:asciiTheme="minorEastAsia" w:hAnsiTheme="minorEastAsia" w:eastAsiaTheme="minorEastAsia"/>
          <w:color w:val="auto"/>
          <w:sz w:val="24"/>
          <w:highlight w:val="none"/>
        </w:rPr>
      </w:pPr>
    </w:p>
    <w:p w14:paraId="4FBB3BC5">
      <w:pPr>
        <w:spacing w:after="0" w:line="400" w:lineRule="exact"/>
        <w:ind w:firstLine="482" w:firstLineChars="200"/>
        <w:rPr>
          <w:rFonts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 xml:space="preserve">2、符合性检查 </w:t>
      </w:r>
    </w:p>
    <w:p w14:paraId="456B8514">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资格性审查结束后，由谈判小组对通过资格性审查的供应商的响应文件进行符合性审查，以确定供应商是否满足采购文件的实质性要求。符合性检查资料表如下，缺少任何一项或有任何一项不合格者，其符合性审查视为不合格。</w:t>
      </w:r>
    </w:p>
    <w:tbl>
      <w:tblPr>
        <w:tblStyle w:val="38"/>
        <w:tblW w:w="9813" w:type="dxa"/>
        <w:jc w:val="center"/>
        <w:tblLayout w:type="fixed"/>
        <w:tblCellMar>
          <w:top w:w="0" w:type="dxa"/>
          <w:left w:w="108" w:type="dxa"/>
          <w:bottom w:w="0" w:type="dxa"/>
          <w:right w:w="108" w:type="dxa"/>
        </w:tblCellMar>
      </w:tblPr>
      <w:tblGrid>
        <w:gridCol w:w="697"/>
        <w:gridCol w:w="832"/>
        <w:gridCol w:w="2010"/>
        <w:gridCol w:w="6274"/>
      </w:tblGrid>
      <w:tr w14:paraId="4AC7A28A">
        <w:tblPrEx>
          <w:tblCellMar>
            <w:top w:w="0" w:type="dxa"/>
            <w:left w:w="108" w:type="dxa"/>
            <w:bottom w:w="0" w:type="dxa"/>
            <w:right w:w="108" w:type="dxa"/>
          </w:tblCellMar>
        </w:tblPrEx>
        <w:trPr>
          <w:trHeight w:val="632" w:hRule="atLeast"/>
          <w:tblHeader/>
          <w:jc w:val="center"/>
        </w:trPr>
        <w:tc>
          <w:tcPr>
            <w:tcW w:w="697" w:type="dxa"/>
            <w:tcBorders>
              <w:top w:val="single" w:color="auto" w:sz="4" w:space="0"/>
              <w:left w:val="single" w:color="auto" w:sz="4" w:space="0"/>
              <w:bottom w:val="single" w:color="auto" w:sz="4" w:space="0"/>
              <w:right w:val="single" w:color="auto" w:sz="4" w:space="0"/>
            </w:tcBorders>
            <w:shd w:val="clear" w:color="auto" w:fill="auto"/>
            <w:vAlign w:val="center"/>
          </w:tcPr>
          <w:p w14:paraId="10C82D5B">
            <w:pPr>
              <w:adjustRightInd/>
              <w:snapToGrid/>
              <w:spacing w:after="0"/>
              <w:jc w:val="center"/>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序号</w:t>
            </w:r>
          </w:p>
        </w:tc>
        <w:tc>
          <w:tcPr>
            <w:tcW w:w="2842" w:type="dxa"/>
            <w:gridSpan w:val="2"/>
            <w:tcBorders>
              <w:top w:val="single" w:color="auto" w:sz="4" w:space="0"/>
              <w:left w:val="nil"/>
              <w:bottom w:val="single" w:color="auto" w:sz="4" w:space="0"/>
              <w:right w:val="single" w:color="auto" w:sz="4" w:space="0"/>
            </w:tcBorders>
            <w:shd w:val="clear" w:color="auto" w:fill="auto"/>
            <w:vAlign w:val="center"/>
          </w:tcPr>
          <w:p w14:paraId="79982001">
            <w:pPr>
              <w:adjustRightInd/>
              <w:snapToGrid/>
              <w:spacing w:after="0"/>
              <w:jc w:val="center"/>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评审因素</w:t>
            </w:r>
          </w:p>
        </w:tc>
        <w:tc>
          <w:tcPr>
            <w:tcW w:w="6274" w:type="dxa"/>
            <w:tcBorders>
              <w:top w:val="single" w:color="auto" w:sz="4" w:space="0"/>
              <w:left w:val="nil"/>
              <w:bottom w:val="single" w:color="auto" w:sz="4" w:space="0"/>
              <w:right w:val="single" w:color="auto" w:sz="4" w:space="0"/>
            </w:tcBorders>
            <w:shd w:val="clear" w:color="auto" w:fill="auto"/>
            <w:vAlign w:val="center"/>
          </w:tcPr>
          <w:p w14:paraId="2CAB9B09">
            <w:pPr>
              <w:adjustRightInd/>
              <w:snapToGrid/>
              <w:spacing w:after="0"/>
              <w:jc w:val="center"/>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评审内容及评审标准</w:t>
            </w:r>
          </w:p>
        </w:tc>
      </w:tr>
      <w:tr w14:paraId="74C5E891">
        <w:tblPrEx>
          <w:tblCellMar>
            <w:top w:w="0" w:type="dxa"/>
            <w:left w:w="108" w:type="dxa"/>
            <w:bottom w:w="0" w:type="dxa"/>
            <w:right w:w="108" w:type="dxa"/>
          </w:tblCellMar>
        </w:tblPrEx>
        <w:trPr>
          <w:trHeight w:val="735" w:hRule="atLeast"/>
          <w:jc w:val="center"/>
        </w:trPr>
        <w:tc>
          <w:tcPr>
            <w:tcW w:w="697" w:type="dxa"/>
            <w:vMerge w:val="restart"/>
            <w:tcBorders>
              <w:top w:val="nil"/>
              <w:left w:val="single" w:color="auto" w:sz="4" w:space="0"/>
              <w:bottom w:val="single" w:color="auto" w:sz="4" w:space="0"/>
              <w:right w:val="single" w:color="auto" w:sz="4" w:space="0"/>
            </w:tcBorders>
            <w:shd w:val="clear" w:color="auto" w:fill="auto"/>
            <w:vAlign w:val="center"/>
          </w:tcPr>
          <w:p w14:paraId="72087CC4">
            <w:pPr>
              <w:adjustRightInd/>
              <w:snapToGrid/>
              <w:spacing w:after="0"/>
              <w:jc w:val="center"/>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1</w:t>
            </w:r>
          </w:p>
        </w:tc>
        <w:tc>
          <w:tcPr>
            <w:tcW w:w="832" w:type="dxa"/>
            <w:vMerge w:val="restart"/>
            <w:tcBorders>
              <w:top w:val="nil"/>
              <w:left w:val="single" w:color="auto" w:sz="4" w:space="0"/>
              <w:bottom w:val="single" w:color="000000" w:sz="4" w:space="0"/>
              <w:right w:val="single" w:color="auto" w:sz="4" w:space="0"/>
            </w:tcBorders>
            <w:shd w:val="clear" w:color="auto" w:fill="auto"/>
            <w:vAlign w:val="center"/>
          </w:tcPr>
          <w:p w14:paraId="68CAB541">
            <w:pPr>
              <w:adjustRightInd/>
              <w:snapToGrid/>
              <w:spacing w:after="0"/>
              <w:jc w:val="center"/>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有效性审查</w:t>
            </w:r>
          </w:p>
        </w:tc>
        <w:tc>
          <w:tcPr>
            <w:tcW w:w="2010" w:type="dxa"/>
            <w:tcBorders>
              <w:top w:val="nil"/>
              <w:left w:val="nil"/>
              <w:bottom w:val="single" w:color="auto" w:sz="4" w:space="0"/>
              <w:right w:val="single" w:color="auto" w:sz="4" w:space="0"/>
            </w:tcBorders>
            <w:shd w:val="clear" w:color="auto" w:fill="auto"/>
            <w:vAlign w:val="center"/>
          </w:tcPr>
          <w:p w14:paraId="43EE95F2">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响应文件签署</w:t>
            </w:r>
          </w:p>
        </w:tc>
        <w:tc>
          <w:tcPr>
            <w:tcW w:w="6274" w:type="dxa"/>
            <w:tcBorders>
              <w:top w:val="nil"/>
              <w:left w:val="nil"/>
              <w:bottom w:val="single" w:color="auto" w:sz="4" w:space="0"/>
              <w:right w:val="single" w:color="auto" w:sz="4" w:space="0"/>
            </w:tcBorders>
            <w:shd w:val="clear" w:color="auto" w:fill="auto"/>
            <w:vAlign w:val="center"/>
          </w:tcPr>
          <w:p w14:paraId="64942A8F">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 xml:space="preserve">法定代表人或其授权代表人已按要求签字盖章。 </w:t>
            </w:r>
          </w:p>
        </w:tc>
      </w:tr>
      <w:tr w14:paraId="0CEE2C45">
        <w:tblPrEx>
          <w:tblCellMar>
            <w:top w:w="0" w:type="dxa"/>
            <w:left w:w="108" w:type="dxa"/>
            <w:bottom w:w="0" w:type="dxa"/>
            <w:right w:w="108" w:type="dxa"/>
          </w:tblCellMar>
        </w:tblPrEx>
        <w:trPr>
          <w:trHeight w:val="1072" w:hRule="atLeast"/>
          <w:jc w:val="center"/>
        </w:trPr>
        <w:tc>
          <w:tcPr>
            <w:tcW w:w="697" w:type="dxa"/>
            <w:vMerge w:val="continue"/>
            <w:tcBorders>
              <w:top w:val="nil"/>
              <w:left w:val="single" w:color="auto" w:sz="4" w:space="0"/>
              <w:bottom w:val="single" w:color="auto" w:sz="4" w:space="0"/>
              <w:right w:val="single" w:color="auto" w:sz="4" w:space="0"/>
            </w:tcBorders>
            <w:vAlign w:val="center"/>
          </w:tcPr>
          <w:p w14:paraId="1A696509">
            <w:pPr>
              <w:adjustRightInd/>
              <w:snapToGrid/>
              <w:spacing w:after="0"/>
              <w:rPr>
                <w:rFonts w:cs="Arial" w:asciiTheme="minorEastAsia" w:hAnsiTheme="minorEastAsia" w:eastAsiaTheme="minorEastAsia"/>
                <w:color w:val="auto"/>
                <w:sz w:val="24"/>
                <w:highlight w:val="none"/>
              </w:rPr>
            </w:pPr>
          </w:p>
        </w:tc>
        <w:tc>
          <w:tcPr>
            <w:tcW w:w="832" w:type="dxa"/>
            <w:vMerge w:val="continue"/>
            <w:tcBorders>
              <w:top w:val="nil"/>
              <w:left w:val="single" w:color="auto" w:sz="4" w:space="0"/>
              <w:bottom w:val="single" w:color="000000" w:sz="4" w:space="0"/>
              <w:right w:val="single" w:color="auto" w:sz="4" w:space="0"/>
            </w:tcBorders>
            <w:vAlign w:val="center"/>
          </w:tcPr>
          <w:p w14:paraId="614507D5">
            <w:pPr>
              <w:adjustRightInd/>
              <w:snapToGrid/>
              <w:spacing w:after="0"/>
              <w:rPr>
                <w:rFonts w:cs="Arial" w:asciiTheme="minorEastAsia" w:hAnsiTheme="minorEastAsia" w:eastAsiaTheme="minorEastAsia"/>
                <w:color w:val="auto"/>
                <w:sz w:val="24"/>
                <w:highlight w:val="none"/>
              </w:rPr>
            </w:pPr>
          </w:p>
        </w:tc>
        <w:tc>
          <w:tcPr>
            <w:tcW w:w="2010" w:type="dxa"/>
            <w:tcBorders>
              <w:top w:val="nil"/>
              <w:left w:val="nil"/>
              <w:bottom w:val="single" w:color="auto" w:sz="4" w:space="0"/>
              <w:right w:val="single" w:color="auto" w:sz="4" w:space="0"/>
            </w:tcBorders>
            <w:shd w:val="clear" w:color="auto" w:fill="auto"/>
            <w:vAlign w:val="center"/>
          </w:tcPr>
          <w:p w14:paraId="4B00995B">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法定代表人身份证明及授权委托书</w:t>
            </w:r>
          </w:p>
        </w:tc>
        <w:tc>
          <w:tcPr>
            <w:tcW w:w="6274" w:type="dxa"/>
            <w:tcBorders>
              <w:top w:val="nil"/>
              <w:left w:val="nil"/>
              <w:bottom w:val="single" w:color="auto" w:sz="4" w:space="0"/>
              <w:right w:val="single" w:color="auto" w:sz="4" w:space="0"/>
            </w:tcBorders>
            <w:shd w:val="clear" w:color="auto" w:fill="auto"/>
            <w:vAlign w:val="center"/>
          </w:tcPr>
          <w:p w14:paraId="0F9DBB12">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法定代表人身份证明及授权委托书须有效，符合采购文件规定的格式，签字或盖章齐全。</w:t>
            </w:r>
          </w:p>
        </w:tc>
      </w:tr>
      <w:tr w14:paraId="50B015C9">
        <w:tblPrEx>
          <w:tblCellMar>
            <w:top w:w="0" w:type="dxa"/>
            <w:left w:w="108" w:type="dxa"/>
            <w:bottom w:w="0" w:type="dxa"/>
            <w:right w:w="108" w:type="dxa"/>
          </w:tblCellMar>
        </w:tblPrEx>
        <w:trPr>
          <w:trHeight w:val="772" w:hRule="atLeast"/>
          <w:jc w:val="center"/>
        </w:trPr>
        <w:tc>
          <w:tcPr>
            <w:tcW w:w="697" w:type="dxa"/>
            <w:vMerge w:val="continue"/>
            <w:tcBorders>
              <w:top w:val="nil"/>
              <w:left w:val="single" w:color="auto" w:sz="4" w:space="0"/>
              <w:bottom w:val="single" w:color="auto" w:sz="4" w:space="0"/>
              <w:right w:val="single" w:color="auto" w:sz="4" w:space="0"/>
            </w:tcBorders>
            <w:vAlign w:val="center"/>
          </w:tcPr>
          <w:p w14:paraId="5586FA5C">
            <w:pPr>
              <w:adjustRightInd/>
              <w:snapToGrid/>
              <w:spacing w:after="0"/>
              <w:rPr>
                <w:rFonts w:cs="Arial" w:asciiTheme="minorEastAsia" w:hAnsiTheme="minorEastAsia" w:eastAsiaTheme="minorEastAsia"/>
                <w:color w:val="auto"/>
                <w:sz w:val="24"/>
                <w:highlight w:val="none"/>
              </w:rPr>
            </w:pPr>
          </w:p>
        </w:tc>
        <w:tc>
          <w:tcPr>
            <w:tcW w:w="832" w:type="dxa"/>
            <w:vMerge w:val="continue"/>
            <w:tcBorders>
              <w:top w:val="nil"/>
              <w:left w:val="single" w:color="auto" w:sz="4" w:space="0"/>
              <w:bottom w:val="single" w:color="000000" w:sz="4" w:space="0"/>
              <w:right w:val="single" w:color="auto" w:sz="4" w:space="0"/>
            </w:tcBorders>
            <w:vAlign w:val="center"/>
          </w:tcPr>
          <w:p w14:paraId="44DEC3FF">
            <w:pPr>
              <w:adjustRightInd/>
              <w:snapToGrid/>
              <w:spacing w:after="0"/>
              <w:rPr>
                <w:rFonts w:cs="Arial" w:asciiTheme="minorEastAsia" w:hAnsiTheme="minorEastAsia" w:eastAsiaTheme="minorEastAsia"/>
                <w:color w:val="auto"/>
                <w:sz w:val="24"/>
                <w:highlight w:val="none"/>
              </w:rPr>
            </w:pPr>
          </w:p>
        </w:tc>
        <w:tc>
          <w:tcPr>
            <w:tcW w:w="2010" w:type="dxa"/>
            <w:tcBorders>
              <w:top w:val="nil"/>
              <w:left w:val="nil"/>
              <w:bottom w:val="single" w:color="auto" w:sz="4" w:space="0"/>
              <w:right w:val="single" w:color="auto" w:sz="4" w:space="0"/>
            </w:tcBorders>
            <w:shd w:val="clear" w:color="auto" w:fill="auto"/>
            <w:vAlign w:val="center"/>
          </w:tcPr>
          <w:p w14:paraId="2895D214">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响应文件或竞标报价唯一性</w:t>
            </w:r>
          </w:p>
        </w:tc>
        <w:tc>
          <w:tcPr>
            <w:tcW w:w="6274" w:type="dxa"/>
            <w:tcBorders>
              <w:top w:val="nil"/>
              <w:left w:val="nil"/>
              <w:bottom w:val="single" w:color="auto" w:sz="4" w:space="0"/>
              <w:right w:val="single" w:color="auto" w:sz="4" w:space="0"/>
            </w:tcBorders>
            <w:shd w:val="clear" w:color="auto" w:fill="auto"/>
            <w:vAlign w:val="center"/>
          </w:tcPr>
          <w:p w14:paraId="52D3E354">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同一供应商不得提交两个以上不同的响应文件或者竞标报价，但采购文件要求提交备选竞标的除外。</w:t>
            </w:r>
          </w:p>
        </w:tc>
      </w:tr>
      <w:tr w14:paraId="13DED2EE">
        <w:tblPrEx>
          <w:tblCellMar>
            <w:top w:w="0" w:type="dxa"/>
            <w:left w:w="108" w:type="dxa"/>
            <w:bottom w:w="0" w:type="dxa"/>
            <w:right w:w="108" w:type="dxa"/>
          </w:tblCellMar>
        </w:tblPrEx>
        <w:trPr>
          <w:trHeight w:val="900" w:hRule="atLeast"/>
          <w:jc w:val="center"/>
        </w:trPr>
        <w:tc>
          <w:tcPr>
            <w:tcW w:w="697" w:type="dxa"/>
            <w:vMerge w:val="continue"/>
            <w:tcBorders>
              <w:top w:val="nil"/>
              <w:left w:val="single" w:color="auto" w:sz="4" w:space="0"/>
              <w:bottom w:val="single" w:color="auto" w:sz="4" w:space="0"/>
              <w:right w:val="single" w:color="auto" w:sz="4" w:space="0"/>
            </w:tcBorders>
            <w:vAlign w:val="center"/>
          </w:tcPr>
          <w:p w14:paraId="35F0FFAB">
            <w:pPr>
              <w:adjustRightInd/>
              <w:snapToGrid/>
              <w:spacing w:after="0"/>
              <w:rPr>
                <w:rFonts w:cs="Arial" w:asciiTheme="minorEastAsia" w:hAnsiTheme="minorEastAsia" w:eastAsiaTheme="minorEastAsia"/>
                <w:color w:val="auto"/>
                <w:sz w:val="24"/>
                <w:highlight w:val="none"/>
              </w:rPr>
            </w:pPr>
          </w:p>
        </w:tc>
        <w:tc>
          <w:tcPr>
            <w:tcW w:w="832" w:type="dxa"/>
            <w:vMerge w:val="continue"/>
            <w:tcBorders>
              <w:top w:val="nil"/>
              <w:left w:val="single" w:color="auto" w:sz="4" w:space="0"/>
              <w:bottom w:val="single" w:color="000000" w:sz="4" w:space="0"/>
              <w:right w:val="single" w:color="auto" w:sz="4" w:space="0"/>
            </w:tcBorders>
            <w:vAlign w:val="center"/>
          </w:tcPr>
          <w:p w14:paraId="68FA5B03">
            <w:pPr>
              <w:adjustRightInd/>
              <w:snapToGrid/>
              <w:spacing w:after="0"/>
              <w:rPr>
                <w:rFonts w:cs="Arial" w:asciiTheme="minorEastAsia" w:hAnsiTheme="minorEastAsia" w:eastAsiaTheme="minorEastAsia"/>
                <w:color w:val="auto"/>
                <w:sz w:val="24"/>
                <w:highlight w:val="none"/>
              </w:rPr>
            </w:pPr>
          </w:p>
        </w:tc>
        <w:tc>
          <w:tcPr>
            <w:tcW w:w="2010" w:type="dxa"/>
            <w:tcBorders>
              <w:top w:val="nil"/>
              <w:left w:val="nil"/>
              <w:bottom w:val="single" w:color="auto" w:sz="4" w:space="0"/>
              <w:right w:val="single" w:color="auto" w:sz="4" w:space="0"/>
            </w:tcBorders>
            <w:shd w:val="clear" w:color="auto" w:fill="auto"/>
            <w:vAlign w:val="center"/>
          </w:tcPr>
          <w:p w14:paraId="53F3B534">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竞标报价</w:t>
            </w:r>
          </w:p>
        </w:tc>
        <w:tc>
          <w:tcPr>
            <w:tcW w:w="6274" w:type="dxa"/>
            <w:tcBorders>
              <w:top w:val="nil"/>
              <w:left w:val="nil"/>
              <w:bottom w:val="single" w:color="auto" w:sz="4" w:space="0"/>
              <w:right w:val="single" w:color="auto" w:sz="4" w:space="0"/>
            </w:tcBorders>
            <w:shd w:val="clear" w:color="auto" w:fill="auto"/>
            <w:vAlign w:val="center"/>
          </w:tcPr>
          <w:p w14:paraId="662A16E8">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报价超出采购预算金额或最高限价（如有）的，竞标无效。提交选择性报价的，竞标无效。</w:t>
            </w:r>
          </w:p>
        </w:tc>
      </w:tr>
      <w:tr w14:paraId="68062029">
        <w:tblPrEx>
          <w:tblCellMar>
            <w:top w:w="0" w:type="dxa"/>
            <w:left w:w="108" w:type="dxa"/>
            <w:bottom w:w="0" w:type="dxa"/>
            <w:right w:w="108" w:type="dxa"/>
          </w:tblCellMar>
        </w:tblPrEx>
        <w:trPr>
          <w:trHeight w:val="626" w:hRule="atLeast"/>
          <w:jc w:val="center"/>
        </w:trPr>
        <w:tc>
          <w:tcPr>
            <w:tcW w:w="697" w:type="dxa"/>
            <w:vMerge w:val="continue"/>
            <w:tcBorders>
              <w:top w:val="nil"/>
              <w:left w:val="single" w:color="auto" w:sz="4" w:space="0"/>
              <w:bottom w:val="single" w:color="auto" w:sz="4" w:space="0"/>
              <w:right w:val="single" w:color="auto" w:sz="4" w:space="0"/>
            </w:tcBorders>
            <w:vAlign w:val="center"/>
          </w:tcPr>
          <w:p w14:paraId="3156FB18">
            <w:pPr>
              <w:adjustRightInd/>
              <w:snapToGrid/>
              <w:spacing w:after="0"/>
              <w:rPr>
                <w:rFonts w:cs="Arial" w:asciiTheme="minorEastAsia" w:hAnsiTheme="minorEastAsia" w:eastAsiaTheme="minorEastAsia"/>
                <w:color w:val="auto"/>
                <w:sz w:val="24"/>
                <w:highlight w:val="none"/>
              </w:rPr>
            </w:pPr>
          </w:p>
        </w:tc>
        <w:tc>
          <w:tcPr>
            <w:tcW w:w="832" w:type="dxa"/>
            <w:vMerge w:val="continue"/>
            <w:tcBorders>
              <w:top w:val="nil"/>
              <w:left w:val="single" w:color="auto" w:sz="4" w:space="0"/>
              <w:bottom w:val="single" w:color="auto" w:sz="4" w:space="0"/>
              <w:right w:val="single" w:color="auto" w:sz="4" w:space="0"/>
            </w:tcBorders>
            <w:vAlign w:val="center"/>
          </w:tcPr>
          <w:p w14:paraId="66EDA2EB">
            <w:pPr>
              <w:adjustRightInd/>
              <w:snapToGrid/>
              <w:spacing w:after="0"/>
              <w:rPr>
                <w:rFonts w:cs="Arial" w:asciiTheme="minorEastAsia" w:hAnsiTheme="minorEastAsia" w:eastAsiaTheme="minorEastAsia"/>
                <w:color w:val="auto"/>
                <w:sz w:val="24"/>
                <w:highlight w:val="none"/>
              </w:rPr>
            </w:pPr>
          </w:p>
        </w:tc>
        <w:tc>
          <w:tcPr>
            <w:tcW w:w="2010" w:type="dxa"/>
            <w:tcBorders>
              <w:top w:val="nil"/>
              <w:left w:val="nil"/>
              <w:bottom w:val="single" w:color="auto" w:sz="4" w:space="0"/>
              <w:right w:val="single" w:color="auto" w:sz="4" w:space="0"/>
            </w:tcBorders>
            <w:shd w:val="clear" w:color="auto" w:fill="auto"/>
            <w:vAlign w:val="center"/>
          </w:tcPr>
          <w:p w14:paraId="78DFD23B">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响应文件内容</w:t>
            </w:r>
          </w:p>
        </w:tc>
        <w:tc>
          <w:tcPr>
            <w:tcW w:w="6274" w:type="dxa"/>
            <w:tcBorders>
              <w:top w:val="nil"/>
              <w:left w:val="nil"/>
              <w:bottom w:val="single" w:color="auto" w:sz="4" w:space="0"/>
              <w:right w:val="single" w:color="auto" w:sz="4" w:space="0"/>
            </w:tcBorders>
            <w:shd w:val="clear" w:color="auto" w:fill="auto"/>
            <w:vAlign w:val="center"/>
          </w:tcPr>
          <w:p w14:paraId="1DDD9D11">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响应文件内容齐全、无遗漏。</w:t>
            </w:r>
          </w:p>
        </w:tc>
      </w:tr>
      <w:tr w14:paraId="3FB7B576">
        <w:tblPrEx>
          <w:tblCellMar>
            <w:top w:w="0" w:type="dxa"/>
            <w:left w:w="108" w:type="dxa"/>
            <w:bottom w:w="0" w:type="dxa"/>
            <w:right w:w="108" w:type="dxa"/>
          </w:tblCellMar>
        </w:tblPrEx>
        <w:trPr>
          <w:trHeight w:val="957" w:hRule="atLeast"/>
          <w:jc w:val="center"/>
        </w:trPr>
        <w:tc>
          <w:tcPr>
            <w:tcW w:w="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A7FCB3">
            <w:pPr>
              <w:adjustRightInd/>
              <w:snapToGrid/>
              <w:spacing w:after="0"/>
              <w:jc w:val="center"/>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w:t>
            </w:r>
          </w:p>
        </w:tc>
        <w:tc>
          <w:tcPr>
            <w:tcW w:w="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D0F9A6">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 xml:space="preserve">对采购文件的响应程度审查 </w:t>
            </w:r>
          </w:p>
        </w:tc>
        <w:tc>
          <w:tcPr>
            <w:tcW w:w="2010" w:type="dxa"/>
            <w:tcBorders>
              <w:top w:val="single" w:color="auto" w:sz="4" w:space="0"/>
              <w:left w:val="nil"/>
              <w:bottom w:val="single" w:color="auto" w:sz="4" w:space="0"/>
              <w:right w:val="single" w:color="auto" w:sz="4" w:space="0"/>
            </w:tcBorders>
            <w:shd w:val="clear" w:color="auto" w:fill="auto"/>
            <w:vAlign w:val="center"/>
          </w:tcPr>
          <w:p w14:paraId="36521295">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实质性条款响应</w:t>
            </w:r>
          </w:p>
        </w:tc>
        <w:tc>
          <w:tcPr>
            <w:tcW w:w="6274" w:type="dxa"/>
            <w:tcBorders>
              <w:top w:val="single" w:color="auto" w:sz="4" w:space="0"/>
              <w:left w:val="nil"/>
              <w:bottom w:val="single" w:color="auto" w:sz="4" w:space="0"/>
              <w:right w:val="single" w:color="auto" w:sz="4" w:space="0"/>
            </w:tcBorders>
            <w:shd w:val="clear" w:color="auto" w:fill="auto"/>
            <w:vAlign w:val="center"/>
          </w:tcPr>
          <w:p w14:paraId="21A7D5FA">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对采购文件中所有标注“▲”号的实质性条款要求响应均无负偏离。</w:t>
            </w:r>
          </w:p>
        </w:tc>
      </w:tr>
      <w:tr w14:paraId="419A5F52">
        <w:tblPrEx>
          <w:tblCellMar>
            <w:top w:w="0" w:type="dxa"/>
            <w:left w:w="108" w:type="dxa"/>
            <w:bottom w:w="0" w:type="dxa"/>
            <w:right w:w="108" w:type="dxa"/>
          </w:tblCellMar>
        </w:tblPrEx>
        <w:trPr>
          <w:trHeight w:val="1193" w:hRule="atLeast"/>
          <w:jc w:val="center"/>
        </w:trPr>
        <w:tc>
          <w:tcPr>
            <w:tcW w:w="697" w:type="dxa"/>
            <w:vMerge w:val="continue"/>
            <w:tcBorders>
              <w:top w:val="single" w:color="auto" w:sz="4" w:space="0"/>
              <w:left w:val="single" w:color="auto" w:sz="4" w:space="0"/>
              <w:bottom w:val="single" w:color="auto" w:sz="4" w:space="0"/>
              <w:right w:val="single" w:color="auto" w:sz="4" w:space="0"/>
            </w:tcBorders>
            <w:vAlign w:val="center"/>
          </w:tcPr>
          <w:p w14:paraId="3A112E1B">
            <w:pPr>
              <w:adjustRightInd/>
              <w:snapToGrid/>
              <w:spacing w:after="0"/>
              <w:rPr>
                <w:rFonts w:cs="Arial" w:asciiTheme="minorEastAsia" w:hAnsiTheme="minorEastAsia" w:eastAsiaTheme="minorEastAsia"/>
                <w:color w:val="auto"/>
                <w:sz w:val="24"/>
                <w:highlight w:val="none"/>
              </w:rPr>
            </w:pPr>
          </w:p>
        </w:tc>
        <w:tc>
          <w:tcPr>
            <w:tcW w:w="832" w:type="dxa"/>
            <w:vMerge w:val="continue"/>
            <w:tcBorders>
              <w:top w:val="single" w:color="auto" w:sz="4" w:space="0"/>
              <w:left w:val="single" w:color="auto" w:sz="4" w:space="0"/>
              <w:bottom w:val="single" w:color="auto" w:sz="4" w:space="0"/>
              <w:right w:val="single" w:color="auto" w:sz="4" w:space="0"/>
            </w:tcBorders>
            <w:vAlign w:val="center"/>
          </w:tcPr>
          <w:p w14:paraId="7699AF92">
            <w:pPr>
              <w:adjustRightInd/>
              <w:snapToGrid/>
              <w:spacing w:after="0"/>
              <w:rPr>
                <w:rFonts w:cs="Arial" w:asciiTheme="minorEastAsia" w:hAnsiTheme="minorEastAsia" w:eastAsiaTheme="minorEastAsia"/>
                <w:color w:val="auto"/>
                <w:sz w:val="24"/>
                <w:highlight w:val="none"/>
              </w:rPr>
            </w:pPr>
          </w:p>
        </w:tc>
        <w:tc>
          <w:tcPr>
            <w:tcW w:w="2010" w:type="dxa"/>
            <w:tcBorders>
              <w:top w:val="single" w:color="auto" w:sz="4" w:space="0"/>
              <w:left w:val="nil"/>
              <w:bottom w:val="single" w:color="auto" w:sz="4" w:space="0"/>
              <w:right w:val="single" w:color="auto" w:sz="4" w:space="0"/>
            </w:tcBorders>
            <w:shd w:val="clear" w:color="auto" w:fill="auto"/>
            <w:vAlign w:val="center"/>
          </w:tcPr>
          <w:p w14:paraId="7F4235E1">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第三章《项目采购需求和说明》允许负偏离项数</w:t>
            </w:r>
          </w:p>
        </w:tc>
        <w:tc>
          <w:tcPr>
            <w:tcW w:w="6274" w:type="dxa"/>
            <w:tcBorders>
              <w:top w:val="single" w:color="auto" w:sz="4" w:space="0"/>
              <w:left w:val="nil"/>
              <w:bottom w:val="single" w:color="auto" w:sz="4" w:space="0"/>
              <w:right w:val="single" w:color="auto" w:sz="4" w:space="0"/>
            </w:tcBorders>
            <w:shd w:val="clear" w:color="auto" w:fill="auto"/>
            <w:vAlign w:val="center"/>
          </w:tcPr>
          <w:p w14:paraId="2194295E">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非“▲”号要求或技术指标发生负偏离或不响应达到“项目采购需求和说明”规定的项数的，竞标无效。</w:t>
            </w:r>
          </w:p>
        </w:tc>
      </w:tr>
      <w:tr w14:paraId="67C3EFAB">
        <w:tblPrEx>
          <w:tblCellMar>
            <w:top w:w="0" w:type="dxa"/>
            <w:left w:w="108" w:type="dxa"/>
            <w:bottom w:w="0" w:type="dxa"/>
            <w:right w:w="108" w:type="dxa"/>
          </w:tblCellMar>
        </w:tblPrEx>
        <w:trPr>
          <w:trHeight w:val="917" w:hRule="atLeast"/>
          <w:jc w:val="center"/>
        </w:trPr>
        <w:tc>
          <w:tcPr>
            <w:tcW w:w="697" w:type="dxa"/>
            <w:vMerge w:val="continue"/>
            <w:tcBorders>
              <w:top w:val="single" w:color="auto" w:sz="4" w:space="0"/>
              <w:left w:val="single" w:color="auto" w:sz="4" w:space="0"/>
              <w:bottom w:val="single" w:color="auto" w:sz="4" w:space="0"/>
              <w:right w:val="single" w:color="auto" w:sz="4" w:space="0"/>
            </w:tcBorders>
            <w:vAlign w:val="center"/>
          </w:tcPr>
          <w:p w14:paraId="7A926518">
            <w:pPr>
              <w:adjustRightInd/>
              <w:snapToGrid/>
              <w:spacing w:after="0"/>
              <w:rPr>
                <w:rFonts w:cs="Arial" w:asciiTheme="minorEastAsia" w:hAnsiTheme="minorEastAsia" w:eastAsiaTheme="minorEastAsia"/>
                <w:color w:val="auto"/>
                <w:sz w:val="24"/>
                <w:highlight w:val="none"/>
              </w:rPr>
            </w:pPr>
          </w:p>
        </w:tc>
        <w:tc>
          <w:tcPr>
            <w:tcW w:w="832" w:type="dxa"/>
            <w:vMerge w:val="continue"/>
            <w:tcBorders>
              <w:top w:val="single" w:color="auto" w:sz="4" w:space="0"/>
              <w:left w:val="single" w:color="auto" w:sz="4" w:space="0"/>
              <w:bottom w:val="single" w:color="auto" w:sz="4" w:space="0"/>
              <w:right w:val="single" w:color="auto" w:sz="4" w:space="0"/>
            </w:tcBorders>
            <w:vAlign w:val="center"/>
          </w:tcPr>
          <w:p w14:paraId="4090CF28">
            <w:pPr>
              <w:adjustRightInd/>
              <w:snapToGrid/>
              <w:spacing w:after="0"/>
              <w:rPr>
                <w:rFonts w:cs="Arial" w:asciiTheme="minorEastAsia" w:hAnsiTheme="minorEastAsia" w:eastAsiaTheme="minorEastAsia"/>
                <w:color w:val="auto"/>
                <w:sz w:val="24"/>
                <w:highlight w:val="none"/>
              </w:rPr>
            </w:pPr>
          </w:p>
        </w:tc>
        <w:tc>
          <w:tcPr>
            <w:tcW w:w="2010" w:type="dxa"/>
            <w:tcBorders>
              <w:top w:val="single" w:color="auto" w:sz="4" w:space="0"/>
              <w:left w:val="nil"/>
              <w:bottom w:val="single" w:color="auto" w:sz="4" w:space="0"/>
              <w:right w:val="single" w:color="auto" w:sz="4" w:space="0"/>
            </w:tcBorders>
            <w:shd w:val="clear" w:color="auto" w:fill="auto"/>
            <w:vAlign w:val="center"/>
          </w:tcPr>
          <w:p w14:paraId="567D3730">
            <w:pPr>
              <w:adjustRightInd/>
              <w:snapToGrid/>
              <w:spacing w:after="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响应文件格式</w:t>
            </w:r>
          </w:p>
        </w:tc>
        <w:tc>
          <w:tcPr>
            <w:tcW w:w="6274" w:type="dxa"/>
            <w:tcBorders>
              <w:top w:val="single" w:color="auto" w:sz="4" w:space="0"/>
              <w:left w:val="nil"/>
              <w:bottom w:val="single" w:color="auto" w:sz="4" w:space="0"/>
              <w:right w:val="single" w:color="auto" w:sz="4" w:space="0"/>
            </w:tcBorders>
            <w:shd w:val="clear" w:color="auto" w:fill="auto"/>
            <w:vAlign w:val="center"/>
          </w:tcPr>
          <w:p w14:paraId="1A6E2514">
            <w:pPr>
              <w:adjustRightInd/>
              <w:snapToGrid/>
              <w:spacing w:after="0"/>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响应文件未按第二章第10.1项和第六章“响应文件格式”的规定编写和提供。</w:t>
            </w:r>
          </w:p>
        </w:tc>
      </w:tr>
      <w:tr w14:paraId="0A41900F">
        <w:tblPrEx>
          <w:tblCellMar>
            <w:top w:w="0" w:type="dxa"/>
            <w:left w:w="108" w:type="dxa"/>
            <w:bottom w:w="0" w:type="dxa"/>
            <w:right w:w="108" w:type="dxa"/>
          </w:tblCellMar>
        </w:tblPrEx>
        <w:trPr>
          <w:trHeight w:val="870" w:hRule="atLeast"/>
          <w:jc w:val="center"/>
        </w:trPr>
        <w:tc>
          <w:tcPr>
            <w:tcW w:w="697" w:type="dxa"/>
            <w:vMerge w:val="continue"/>
            <w:tcBorders>
              <w:top w:val="single" w:color="auto" w:sz="4" w:space="0"/>
              <w:left w:val="single" w:color="auto" w:sz="4" w:space="0"/>
              <w:bottom w:val="single" w:color="auto" w:sz="4" w:space="0"/>
              <w:right w:val="single" w:color="auto" w:sz="4" w:space="0"/>
            </w:tcBorders>
            <w:vAlign w:val="center"/>
          </w:tcPr>
          <w:p w14:paraId="6F71B701">
            <w:pPr>
              <w:adjustRightInd/>
              <w:snapToGrid/>
              <w:spacing w:after="0"/>
              <w:rPr>
                <w:rFonts w:cs="Arial" w:asciiTheme="minorEastAsia" w:hAnsiTheme="minorEastAsia" w:eastAsiaTheme="minorEastAsia"/>
                <w:color w:val="auto"/>
                <w:sz w:val="24"/>
                <w:highlight w:val="none"/>
              </w:rPr>
            </w:pPr>
          </w:p>
        </w:tc>
        <w:tc>
          <w:tcPr>
            <w:tcW w:w="832" w:type="dxa"/>
            <w:vMerge w:val="continue"/>
            <w:tcBorders>
              <w:top w:val="single" w:color="auto" w:sz="4" w:space="0"/>
              <w:left w:val="single" w:color="auto" w:sz="4" w:space="0"/>
              <w:bottom w:val="single" w:color="auto" w:sz="4" w:space="0"/>
              <w:right w:val="single" w:color="auto" w:sz="4" w:space="0"/>
            </w:tcBorders>
            <w:vAlign w:val="center"/>
          </w:tcPr>
          <w:p w14:paraId="7441CA91">
            <w:pPr>
              <w:adjustRightInd/>
              <w:snapToGrid/>
              <w:spacing w:after="0"/>
              <w:rPr>
                <w:rFonts w:cs="Arial" w:asciiTheme="minorEastAsia" w:hAnsiTheme="minorEastAsia" w:eastAsiaTheme="minorEastAsia"/>
                <w:color w:val="auto"/>
                <w:sz w:val="24"/>
                <w:highlight w:val="none"/>
              </w:rPr>
            </w:pPr>
          </w:p>
        </w:tc>
        <w:tc>
          <w:tcPr>
            <w:tcW w:w="2010" w:type="dxa"/>
            <w:tcBorders>
              <w:top w:val="single" w:color="auto" w:sz="4" w:space="0"/>
              <w:left w:val="nil"/>
              <w:bottom w:val="single" w:color="auto" w:sz="4" w:space="0"/>
              <w:right w:val="single" w:color="auto" w:sz="4" w:space="0"/>
            </w:tcBorders>
            <w:shd w:val="clear" w:color="auto" w:fill="auto"/>
            <w:vAlign w:val="center"/>
          </w:tcPr>
          <w:p w14:paraId="4673CF06">
            <w:pPr>
              <w:adjustRightInd/>
              <w:snapToGrid/>
              <w:spacing w:after="0" w:line="360" w:lineRule="exact"/>
              <w:jc w:val="both"/>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 xml:space="preserve">竞标有效期 </w:t>
            </w:r>
          </w:p>
        </w:tc>
        <w:tc>
          <w:tcPr>
            <w:tcW w:w="6274" w:type="dxa"/>
            <w:tcBorders>
              <w:top w:val="single" w:color="auto" w:sz="4" w:space="0"/>
              <w:left w:val="nil"/>
              <w:bottom w:val="single" w:color="auto" w:sz="4" w:space="0"/>
              <w:right w:val="single" w:color="auto" w:sz="4" w:space="0"/>
            </w:tcBorders>
            <w:shd w:val="clear" w:color="auto" w:fill="auto"/>
            <w:vAlign w:val="center"/>
          </w:tcPr>
          <w:p w14:paraId="6BFA53E7">
            <w:pPr>
              <w:adjustRightInd/>
              <w:snapToGrid/>
              <w:spacing w:after="0" w:line="360" w:lineRule="exact"/>
              <w:ind w:firstLine="480" w:firstLineChars="200"/>
              <w:jc w:val="both"/>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满足采购文件规定并在第六章“响应文件格式”谈判书做出响应的。</w:t>
            </w:r>
          </w:p>
        </w:tc>
      </w:tr>
    </w:tbl>
    <w:p w14:paraId="5A654AC4">
      <w:pPr>
        <w:spacing w:after="0" w:line="400" w:lineRule="exact"/>
        <w:ind w:firstLine="482" w:firstLineChars="200"/>
        <w:rPr>
          <w:rFonts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3、详细评审</w:t>
      </w:r>
    </w:p>
    <w:p w14:paraId="5A94C6D4">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谈判小组按谈判文件规定的程序与供应商进行谈判。对实质性响应谈判文件的供应商最后报价进行评审。</w:t>
      </w:r>
    </w:p>
    <w:p w14:paraId="663E4D3F">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（1）谈判小组将依照本谈判文件相关规定对质量和服务均能满足竞争性谈判实质性要求的供应商所提交的最后报价进行政策性扣除，即</w:t>
      </w:r>
      <w:r>
        <w:rPr>
          <w:rFonts w:hint="eastAsia" w:cs="Arial" w:asciiTheme="minorEastAsia" w:hAnsiTheme="minorEastAsia" w:eastAsiaTheme="minorEastAsia"/>
          <w:color w:val="auto"/>
          <w:sz w:val="24"/>
          <w:highlight w:val="none"/>
          <w:u w:val="single"/>
        </w:rPr>
        <w:t>评标价=最后报价×（1—小型和微型企业政策性扣除）</w:t>
      </w:r>
      <w:r>
        <w:rPr>
          <w:rFonts w:hint="eastAsia" w:cs="Arial" w:asciiTheme="minorEastAsia" w:hAnsiTheme="minorEastAsia" w:eastAsiaTheme="minorEastAsia"/>
          <w:color w:val="auto"/>
          <w:sz w:val="24"/>
          <w:highlight w:val="none"/>
        </w:rPr>
        <w:t>。依据</w:t>
      </w:r>
      <w:r>
        <w:rPr>
          <w:rFonts w:hint="eastAsia" w:cs="Arial" w:asciiTheme="minorEastAsia" w:hAnsiTheme="minorEastAsia" w:eastAsiaTheme="minorEastAsia"/>
          <w:color w:val="auto"/>
          <w:sz w:val="24"/>
          <w:highlight w:val="none"/>
          <w:u w:val="single"/>
        </w:rPr>
        <w:t>评标价</w:t>
      </w:r>
      <w:r>
        <w:rPr>
          <w:rFonts w:hint="eastAsia" w:cs="Arial" w:asciiTheme="minorEastAsia" w:hAnsiTheme="minorEastAsia" w:eastAsiaTheme="minorEastAsia"/>
          <w:color w:val="auto"/>
          <w:sz w:val="24"/>
          <w:highlight w:val="none"/>
        </w:rPr>
        <w:t>按照由低到高的顺序提出3名以上成交候选人，并编写评审报告。</w:t>
      </w:r>
    </w:p>
    <w:p w14:paraId="16A999D8">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（2）小型和微型企业最终报价扣除计算</w:t>
      </w:r>
    </w:p>
    <w:p w14:paraId="66A19231">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①按《政府采购促进中小企业发展管理办法》财库〔2020〕46号及《财政部关于进一步加大政府采购支持中小企业力度的通知》财库〔2022〕19号规定,</w:t>
      </w:r>
      <w:r>
        <w:rPr>
          <w:rFonts w:hint="eastAsia" w:cs="Arial" w:asciiTheme="minorEastAsia" w:hAnsiTheme="minorEastAsia" w:eastAsiaTheme="minorEastAsia"/>
          <w:color w:val="auto"/>
          <w:sz w:val="24"/>
          <w:highlight w:val="none"/>
          <w:lang w:val="en-US" w:eastAsia="zh-CN"/>
        </w:rPr>
        <w:t>对全部</w:t>
      </w:r>
      <w:r>
        <w:rPr>
          <w:rFonts w:hint="eastAsia" w:cs="Arial" w:asciiTheme="minorEastAsia" w:hAnsiTheme="minorEastAsia" w:eastAsiaTheme="minorEastAsia"/>
          <w:color w:val="auto"/>
          <w:sz w:val="24"/>
          <w:highlight w:val="none"/>
          <w:lang w:val="en-US" w:eastAsia="zh-CN"/>
        </w:rPr>
        <w:t>属于</w:t>
      </w:r>
      <w:r>
        <w:rPr>
          <w:rFonts w:hint="eastAsia" w:cs="Arial" w:asciiTheme="minorEastAsia" w:hAnsiTheme="minorEastAsia" w:eastAsiaTheme="minorEastAsia"/>
          <w:color w:val="auto"/>
          <w:sz w:val="24"/>
          <w:highlight w:val="none"/>
        </w:rPr>
        <w:t>小型和微型企业产品的最后报价给予</w:t>
      </w:r>
      <w:r>
        <w:rPr>
          <w:rFonts w:hint="eastAsia" w:cs="Arial" w:asciiTheme="minorEastAsia" w:hAnsiTheme="minorEastAsia" w:eastAsiaTheme="minorEastAsia"/>
          <w:color w:val="auto"/>
          <w:sz w:val="24"/>
          <w:highlight w:val="none"/>
          <w:lang w:val="en-US" w:eastAsia="zh-CN"/>
        </w:rPr>
        <w:t>10</w:t>
      </w:r>
      <w:r>
        <w:rPr>
          <w:rFonts w:hint="eastAsia" w:cs="Arial" w:asciiTheme="minorEastAsia" w:hAnsiTheme="minorEastAsia" w:eastAsiaTheme="minorEastAsia"/>
          <w:color w:val="auto"/>
          <w:sz w:val="24"/>
          <w:highlight w:val="none"/>
        </w:rPr>
        <w:t>%的扣除</w:t>
      </w:r>
      <w:r>
        <w:rPr>
          <w:rFonts w:hint="eastAsia" w:cs="Arial" w:asciiTheme="minorEastAsia" w:hAnsiTheme="minorEastAsia" w:eastAsiaTheme="minorEastAsia"/>
          <w:color w:val="auto"/>
          <w:sz w:val="24"/>
          <w:highlight w:val="none"/>
          <w:lang w:eastAsia="zh-CN"/>
        </w:rPr>
        <w:t>，</w:t>
      </w:r>
      <w:r>
        <w:rPr>
          <w:rFonts w:hint="eastAsia" w:cs="Arial" w:asciiTheme="minorEastAsia" w:hAnsiTheme="minorEastAsia" w:eastAsiaTheme="minorEastAsia"/>
          <w:color w:val="auto"/>
          <w:sz w:val="24"/>
          <w:highlight w:val="none"/>
        </w:rPr>
        <w:t>扣除后的价格为评标报价，即评标报价=最终报价×（1-</w:t>
      </w:r>
      <w:r>
        <w:rPr>
          <w:rFonts w:hint="eastAsia" w:cs="Arial" w:asciiTheme="minorEastAsia" w:hAnsiTheme="minorEastAsia" w:eastAsiaTheme="minorEastAsia"/>
          <w:color w:val="auto"/>
          <w:sz w:val="24"/>
          <w:highlight w:val="none"/>
          <w:lang w:val="en-US" w:eastAsia="zh-CN"/>
        </w:rPr>
        <w:t>1</w:t>
      </w:r>
      <w:r>
        <w:rPr>
          <w:rFonts w:hint="eastAsia" w:cs="Arial" w:asciiTheme="minorEastAsia" w:hAnsiTheme="minorEastAsia" w:eastAsiaTheme="minorEastAsia"/>
          <w:color w:val="auto"/>
          <w:sz w:val="24"/>
          <w:highlight w:val="none"/>
        </w:rPr>
        <w:t>0%）；大中型企业与小型、微型企业组成联合体竞标，其中小型、微型企业的协议合同金额占到联合体协议合同总金额30%以上的，联合体最终报价给予</w:t>
      </w:r>
      <w:r>
        <w:rPr>
          <w:rFonts w:cs="Arial" w:asciiTheme="minorEastAsia" w:hAnsiTheme="minorEastAsia" w:eastAsiaTheme="minorEastAsia"/>
          <w:color w:val="auto"/>
          <w:sz w:val="24"/>
          <w:highlight w:val="none"/>
        </w:rPr>
        <w:t>6%</w:t>
      </w:r>
      <w:r>
        <w:rPr>
          <w:rFonts w:hint="eastAsia" w:cs="Arial" w:asciiTheme="minorEastAsia" w:hAnsiTheme="minorEastAsia" w:eastAsiaTheme="minorEastAsia"/>
          <w:color w:val="auto"/>
          <w:sz w:val="24"/>
          <w:highlight w:val="none"/>
        </w:rPr>
        <w:t>的扣除，扣除后的价格为评标报价，即评标报价=最终报价×（1-</w:t>
      </w:r>
      <w:r>
        <w:rPr>
          <w:rFonts w:hint="eastAsia" w:cs="Arial" w:asciiTheme="minorEastAsia" w:hAnsiTheme="minorEastAsia" w:eastAsiaTheme="minorEastAsia"/>
          <w:color w:val="auto"/>
          <w:sz w:val="24"/>
          <w:highlight w:val="none"/>
          <w:lang w:val="en-US" w:eastAsia="zh-CN"/>
        </w:rPr>
        <w:t>4</w:t>
      </w:r>
      <w:r>
        <w:rPr>
          <w:rFonts w:hint="eastAsia" w:cs="Arial" w:asciiTheme="minorEastAsia" w:hAnsiTheme="minorEastAsia" w:eastAsiaTheme="minorEastAsia"/>
          <w:color w:val="auto"/>
          <w:sz w:val="24"/>
          <w:highlight w:val="none"/>
        </w:rPr>
        <w:t>%）。</w:t>
      </w:r>
    </w:p>
    <w:p w14:paraId="411B0507">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②按照《财政部、司法部关于政府采购支持监狱企业发展有</w:t>
      </w:r>
      <w:r>
        <w:rPr>
          <w:rFonts w:hint="eastAsia" w:cs="Arial" w:asciiTheme="minorEastAsia" w:hAnsiTheme="minorEastAsia" w:eastAsiaTheme="minorEastAsia"/>
          <w:color w:val="auto"/>
          <w:sz w:val="24"/>
          <w:highlight w:val="none"/>
        </w:rPr>
        <w:t>关问题的通知》（财库〔2014〕68号）之规定，监狱企业视同小型、微型企业，享受预留份额、评审中价格扣除等政府采购政策。</w:t>
      </w:r>
    </w:p>
    <w:p w14:paraId="6E7BD233">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③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0B19DE26">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除上述情况外，评标价=最后报价</w:t>
      </w:r>
    </w:p>
    <w:p w14:paraId="074BBF1E">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w:t>
      </w:r>
      <w:r>
        <w:rPr>
          <w:rFonts w:cs="Arial" w:asciiTheme="minorEastAsia" w:hAnsiTheme="minorEastAsia" w:eastAsiaTheme="minorEastAsia"/>
          <w:color w:val="auto"/>
          <w:sz w:val="24"/>
          <w:highlight w:val="none"/>
        </w:rPr>
        <w:t>3</w:t>
      </w:r>
      <w:r>
        <w:rPr>
          <w:rFonts w:hint="eastAsia" w:cs="Arial" w:asciiTheme="minorEastAsia" w:hAnsiTheme="minorEastAsia" w:eastAsiaTheme="minorEastAsia"/>
          <w:color w:val="auto"/>
          <w:sz w:val="24"/>
          <w:highlight w:val="none"/>
        </w:rPr>
        <w:t>）</w:t>
      </w:r>
      <w:r>
        <w:rPr>
          <w:rFonts w:cs="Arial" w:asciiTheme="minorEastAsia" w:hAnsiTheme="minorEastAsia" w:eastAsiaTheme="minorEastAsia"/>
          <w:color w:val="auto"/>
          <w:sz w:val="24"/>
          <w:highlight w:val="none"/>
        </w:rPr>
        <w:t>谈判小组从质量和服务均能满足</w:t>
      </w:r>
      <w:r>
        <w:rPr>
          <w:rFonts w:hint="eastAsia" w:cs="Arial" w:asciiTheme="minorEastAsia" w:hAnsiTheme="minorEastAsia" w:eastAsiaTheme="minorEastAsia"/>
          <w:color w:val="auto"/>
          <w:sz w:val="24"/>
          <w:highlight w:val="none"/>
        </w:rPr>
        <w:t>谈判</w:t>
      </w:r>
      <w:r>
        <w:rPr>
          <w:rFonts w:cs="Arial" w:asciiTheme="minorEastAsia" w:hAnsiTheme="minorEastAsia" w:eastAsiaTheme="minorEastAsia"/>
          <w:color w:val="auto"/>
          <w:sz w:val="24"/>
          <w:highlight w:val="none"/>
        </w:rPr>
        <w:t>文件实质性响应要求的</w:t>
      </w:r>
      <w:r>
        <w:rPr>
          <w:rFonts w:hint="eastAsia" w:cs="Arial" w:asciiTheme="minorEastAsia" w:hAnsiTheme="minorEastAsia" w:eastAsiaTheme="minorEastAsia"/>
          <w:color w:val="auto"/>
          <w:sz w:val="24"/>
          <w:highlight w:val="none"/>
        </w:rPr>
        <w:t>供应商</w:t>
      </w:r>
      <w:r>
        <w:rPr>
          <w:rFonts w:cs="Arial" w:asciiTheme="minorEastAsia" w:hAnsiTheme="minorEastAsia" w:eastAsiaTheme="minorEastAsia"/>
          <w:color w:val="auto"/>
          <w:sz w:val="24"/>
          <w:highlight w:val="none"/>
        </w:rPr>
        <w:t>中，按照</w:t>
      </w:r>
      <w:r>
        <w:rPr>
          <w:rFonts w:hint="eastAsia" w:cs="Arial" w:asciiTheme="minorEastAsia" w:hAnsiTheme="minorEastAsia" w:eastAsiaTheme="minorEastAsia"/>
          <w:color w:val="auto"/>
          <w:sz w:val="24"/>
          <w:highlight w:val="none"/>
        </w:rPr>
        <w:t>最后评标价</w:t>
      </w:r>
      <w:r>
        <w:rPr>
          <w:rFonts w:cs="Arial" w:asciiTheme="minorEastAsia" w:hAnsiTheme="minorEastAsia" w:eastAsiaTheme="minorEastAsia"/>
          <w:color w:val="auto"/>
          <w:sz w:val="24"/>
          <w:highlight w:val="none"/>
        </w:rPr>
        <w:t>由低到高的顺序提出3名以上成交候选人</w:t>
      </w:r>
      <w:r>
        <w:rPr>
          <w:rFonts w:hint="eastAsia" w:cs="Arial" w:asciiTheme="minorEastAsia" w:hAnsiTheme="minorEastAsia" w:eastAsiaTheme="minorEastAsia"/>
          <w:color w:val="auto"/>
          <w:sz w:val="24"/>
          <w:highlight w:val="none"/>
        </w:rPr>
        <w:t>（评标价相同时，依次按最后报价由低到高、节能环保产品优先、技术指标高优先、质量保证期长优先、交货期短优先的顺序排列；报价相同且前述指标均相同时，由谈判小组各成员对相关供应商当场投票表决，得票多者优先；按前述程序仍无法确定供应商排名顺序的，由谈判小组抽签决定）。</w:t>
      </w:r>
    </w:p>
    <w:p w14:paraId="2A73E7A7">
      <w:pPr>
        <w:spacing w:after="0" w:line="40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w:t>
      </w:r>
      <w:r>
        <w:rPr>
          <w:rFonts w:cs="Arial" w:asciiTheme="minorEastAsia" w:hAnsiTheme="minorEastAsia" w:eastAsiaTheme="minorEastAsia"/>
          <w:color w:val="auto"/>
          <w:sz w:val="24"/>
          <w:highlight w:val="none"/>
        </w:rPr>
        <w:t>4</w:t>
      </w:r>
      <w:r>
        <w:rPr>
          <w:rFonts w:hint="eastAsia" w:cs="Arial" w:asciiTheme="minorEastAsia" w:hAnsiTheme="minorEastAsia" w:eastAsiaTheme="minorEastAsia"/>
          <w:color w:val="auto"/>
          <w:sz w:val="24"/>
          <w:highlight w:val="none"/>
        </w:rPr>
        <w:t>）成交价格=成交供应商的最后报价。</w:t>
      </w:r>
    </w:p>
    <w:p w14:paraId="28AC0971">
      <w:pPr>
        <w:spacing w:after="0"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）谈判小组完成评标后，向采购人提交书面评审报告。</w:t>
      </w:r>
    </w:p>
    <w:p w14:paraId="5E90FC95">
      <w:pPr>
        <w:spacing w:after="0" w:line="400" w:lineRule="exact"/>
        <w:ind w:firstLine="482" w:firstLineChars="200"/>
        <w:outlineLvl w:val="1"/>
        <w:rPr>
          <w:rFonts w:cs="Arial" w:asciiTheme="minorEastAsia" w:hAnsiTheme="minorEastAsia" w:eastAsiaTheme="minorEastAsia"/>
          <w:b/>
          <w:bCs/>
          <w:color w:val="auto"/>
          <w:sz w:val="24"/>
          <w:highlight w:val="none"/>
        </w:rPr>
      </w:pPr>
      <w:bookmarkStart w:id="85" w:name="_Toc7192555"/>
      <w:r>
        <w:rPr>
          <w:rFonts w:hint="eastAsia" w:cs="Arial" w:asciiTheme="minorEastAsia" w:hAnsiTheme="minorEastAsia" w:eastAsiaTheme="minorEastAsia"/>
          <w:b/>
          <w:bCs/>
          <w:color w:val="auto"/>
          <w:sz w:val="24"/>
          <w:highlight w:val="none"/>
        </w:rPr>
        <w:t>三、确定成交供应商</w:t>
      </w:r>
      <w:bookmarkEnd w:id="85"/>
    </w:p>
    <w:p w14:paraId="066920A4">
      <w:pPr>
        <w:pStyle w:val="22"/>
        <w:tabs>
          <w:tab w:val="left" w:pos="4214"/>
        </w:tabs>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1、采购人应当确定谈判小组推荐排名第一的供应商为成交供应商。</w:t>
      </w:r>
    </w:p>
    <w:p w14:paraId="2444E5AA">
      <w:pPr>
        <w:pStyle w:val="22"/>
        <w:spacing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bookmarkStart w:id="86" w:name="_Toc430011367"/>
      <w:r>
        <w:rPr>
          <w:rFonts w:hint="eastAsia" w:asciiTheme="minorEastAsia" w:hAnsiTheme="minorEastAsia" w:eastAsiaTheme="minorEastAsia"/>
          <w:color w:val="auto"/>
          <w:sz w:val="24"/>
          <w:szCs w:val="24"/>
          <w:highlight w:val="none"/>
        </w:rPr>
        <w:t>如排名第一的成交候选人拒绝与采购人签订合同的，采购人按“供应商须知”第31.3款处理。</w:t>
      </w:r>
    </w:p>
    <w:bookmarkEnd w:id="86"/>
    <w:p w14:paraId="4F97D040">
      <w:pPr>
        <w:spacing w:after="0" w:line="400" w:lineRule="exact"/>
        <w:ind w:firstLine="440" w:firstLineChars="200"/>
        <w:rPr>
          <w:rFonts w:asciiTheme="minorEastAsia" w:hAnsiTheme="minorEastAsia" w:eastAsiaTheme="minorEastAsia"/>
          <w:color w:val="auto"/>
          <w:highlight w:val="none"/>
        </w:rPr>
      </w:pPr>
    </w:p>
    <w:p w14:paraId="5E863C5D">
      <w:pPr>
        <w:rPr>
          <w:rFonts w:asciiTheme="minorEastAsia" w:hAnsiTheme="minorEastAsia" w:eastAsiaTheme="minorEastAsia"/>
          <w:color w:val="auto"/>
          <w:highlight w:val="none"/>
        </w:rPr>
        <w:sectPr>
          <w:pgSz w:w="11907" w:h="16840"/>
          <w:pgMar w:top="1077" w:right="1275" w:bottom="1418" w:left="1077" w:header="624" w:footer="737" w:gutter="0"/>
          <w:cols w:space="720" w:num="1"/>
          <w:docGrid w:linePitch="312" w:charSpace="0"/>
        </w:sectPr>
      </w:pPr>
      <w:bookmarkStart w:id="87" w:name="_Toc246095463"/>
      <w:bookmarkStart w:id="88" w:name="_Toc246094919"/>
      <w:bookmarkStart w:id="89" w:name="_Toc246095525"/>
    </w:p>
    <w:p w14:paraId="1048ABFF">
      <w:pPr>
        <w:pStyle w:val="2"/>
        <w:rPr>
          <w:rFonts w:asciiTheme="minorEastAsia" w:hAnsiTheme="minorEastAsia" w:eastAsiaTheme="minorEastAsia" w:cstheme="minorEastAsia"/>
          <w:b/>
          <w:bCs/>
          <w:color w:val="auto"/>
          <w:sz w:val="32"/>
          <w:szCs w:val="32"/>
          <w:highlight w:val="none"/>
        </w:rPr>
      </w:pPr>
      <w:bookmarkStart w:id="90" w:name="_Toc7192556"/>
      <w:r>
        <w:rPr>
          <w:rFonts w:hint="eastAsia" w:asciiTheme="minorEastAsia" w:hAnsiTheme="minorEastAsia" w:eastAsiaTheme="minorEastAsia"/>
          <w:color w:val="auto"/>
          <w:highlight w:val="none"/>
        </w:rPr>
        <w:t>第五章  合同条款</w:t>
      </w:r>
      <w:bookmarkEnd w:id="87"/>
      <w:bookmarkEnd w:id="88"/>
      <w:bookmarkEnd w:id="89"/>
      <w:bookmarkEnd w:id="90"/>
    </w:p>
    <w:p w14:paraId="4A0D063E">
      <w:pPr>
        <w:spacing w:line="500" w:lineRule="exact"/>
        <w:jc w:val="center"/>
        <w:rPr>
          <w:rFonts w:asciiTheme="minorEastAsia" w:hAnsiTheme="minorEastAsia" w:eastAsiaTheme="minorEastAsia"/>
          <w:b/>
          <w:bCs/>
          <w:color w:val="auto"/>
          <w:sz w:val="32"/>
          <w:szCs w:val="32"/>
          <w:highlight w:val="none"/>
        </w:rPr>
      </w:pPr>
      <w:bookmarkStart w:id="91" w:name="_Toc246094931"/>
      <w:bookmarkStart w:id="92" w:name="_Toc246095475"/>
      <w:bookmarkStart w:id="93" w:name="_Toc246095537"/>
    </w:p>
    <w:p w14:paraId="1C81113A">
      <w:pPr>
        <w:spacing w:line="500" w:lineRule="exact"/>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《广西壮族自治区政府采购合同》</w:t>
      </w:r>
    </w:p>
    <w:p w14:paraId="691D3C92">
      <w:pPr>
        <w:keepNext w:val="0"/>
        <w:keepLines w:val="0"/>
        <w:pageBreakBefore w:val="0"/>
        <w:kinsoku/>
        <w:wordWrap/>
        <w:overflowPunct/>
        <w:topLinePunct w:val="0"/>
        <w:autoSpaceDE/>
        <w:autoSpaceDN/>
        <w:bidi w:val="0"/>
        <w:spacing w:after="0" w:line="360" w:lineRule="auto"/>
        <w:ind w:firstLine="480" w:firstLineChars="200"/>
        <w:jc w:val="both"/>
        <w:textAlignment w:val="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合同编号：</w:t>
      </w:r>
    </w:p>
    <w:p w14:paraId="2DF3E193">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采购人（甲方）： </w:t>
      </w:r>
    </w:p>
    <w:p w14:paraId="27F1EE37">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供应商（乙方）：</w:t>
      </w:r>
    </w:p>
    <w:p w14:paraId="43380884">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采购计划号：</w:t>
      </w:r>
    </w:p>
    <w:p w14:paraId="493AF537">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p>
    <w:p w14:paraId="3EB6E545">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p>
    <w:p w14:paraId="36D02283">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14:paraId="79FB94F0">
      <w:pPr>
        <w:keepNext w:val="0"/>
        <w:keepLines w:val="0"/>
        <w:pageBreakBefore w:val="0"/>
        <w:kinsoku/>
        <w:wordWrap/>
        <w:overflowPunct/>
        <w:topLinePunct w:val="0"/>
        <w:autoSpaceDE/>
        <w:autoSpaceDN/>
        <w:bidi w:val="0"/>
        <w:spacing w:after="0"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p w14:paraId="1BAA5DA5">
      <w:pPr>
        <w:pStyle w:val="22"/>
        <w:keepNext w:val="0"/>
        <w:keepLines w:val="0"/>
        <w:pageBreakBefore w:val="0"/>
        <w:kinsoku/>
        <w:wordWrap/>
        <w:overflowPunct/>
        <w:topLinePunct w:val="0"/>
        <w:autoSpaceDE/>
        <w:autoSpaceDN/>
        <w:bidi w:val="0"/>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根据《中华人民共和国政府采购法》、《中华人民共和国民法典》等法律、法规规定，按照竞争性谈判文件规定条款和成交供应商响应文件及其承诺，甲乙双方签订本合同。</w:t>
      </w:r>
    </w:p>
    <w:p w14:paraId="2EE6A65D">
      <w:pPr>
        <w:keepNext w:val="0"/>
        <w:keepLines w:val="0"/>
        <w:pageBreakBefore w:val="0"/>
        <w:kinsoku/>
        <w:wordWrap/>
        <w:overflowPunct/>
        <w:topLinePunct w:val="0"/>
        <w:autoSpaceDE/>
        <w:autoSpaceDN/>
        <w:bidi w:val="0"/>
        <w:spacing w:after="0" w:line="360" w:lineRule="auto"/>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第一条　合同标的</w:t>
      </w:r>
    </w:p>
    <w:p w14:paraId="4870B76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1、供货一览表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17"/>
        <w:gridCol w:w="1081"/>
        <w:gridCol w:w="1194"/>
        <w:gridCol w:w="1193"/>
        <w:gridCol w:w="672"/>
        <w:gridCol w:w="1080"/>
        <w:gridCol w:w="1080"/>
        <w:gridCol w:w="1440"/>
      </w:tblGrid>
      <w:tr w14:paraId="4821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0029A7B1">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17" w:type="dxa"/>
            <w:tcBorders>
              <w:top w:val="single" w:color="auto" w:sz="4" w:space="0"/>
              <w:left w:val="single" w:color="auto" w:sz="4" w:space="0"/>
              <w:bottom w:val="single" w:color="auto" w:sz="4" w:space="0"/>
              <w:right w:val="single" w:color="auto" w:sz="4" w:space="0"/>
            </w:tcBorders>
            <w:vAlign w:val="center"/>
          </w:tcPr>
          <w:p w14:paraId="0E27A79D">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6DF37365">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081" w:type="dxa"/>
            <w:tcBorders>
              <w:top w:val="single" w:color="auto" w:sz="4" w:space="0"/>
              <w:left w:val="single" w:color="auto" w:sz="4" w:space="0"/>
              <w:bottom w:val="single" w:color="auto" w:sz="4" w:space="0"/>
              <w:right w:val="single" w:color="auto" w:sz="4" w:space="0"/>
            </w:tcBorders>
            <w:vAlign w:val="center"/>
          </w:tcPr>
          <w:p w14:paraId="22DAC981">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商标</w:t>
            </w:r>
          </w:p>
          <w:p w14:paraId="4DA98BDA">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194" w:type="dxa"/>
            <w:tcBorders>
              <w:top w:val="single" w:color="auto" w:sz="4" w:space="0"/>
              <w:left w:val="single" w:color="auto" w:sz="4" w:space="0"/>
              <w:bottom w:val="single" w:color="auto" w:sz="4" w:space="0"/>
              <w:right w:val="single" w:color="auto" w:sz="4" w:space="0"/>
            </w:tcBorders>
            <w:vAlign w:val="center"/>
          </w:tcPr>
          <w:p w14:paraId="056D5793">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14:paraId="45717113">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tc>
        <w:tc>
          <w:tcPr>
            <w:tcW w:w="1193" w:type="dxa"/>
            <w:tcBorders>
              <w:top w:val="single" w:color="auto" w:sz="4" w:space="0"/>
              <w:left w:val="single" w:color="auto" w:sz="4" w:space="0"/>
              <w:bottom w:val="single" w:color="auto" w:sz="4" w:space="0"/>
              <w:right w:val="single" w:color="auto" w:sz="4" w:space="0"/>
            </w:tcBorders>
            <w:vAlign w:val="center"/>
          </w:tcPr>
          <w:p w14:paraId="768DC93D">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14:paraId="2325B5DC">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厂家</w:t>
            </w:r>
          </w:p>
        </w:tc>
        <w:tc>
          <w:tcPr>
            <w:tcW w:w="672" w:type="dxa"/>
            <w:tcBorders>
              <w:top w:val="single" w:color="auto" w:sz="4" w:space="0"/>
              <w:left w:val="single" w:color="auto" w:sz="4" w:space="0"/>
              <w:bottom w:val="single" w:color="auto" w:sz="4" w:space="0"/>
              <w:right w:val="single" w:color="auto" w:sz="4" w:space="0"/>
            </w:tcBorders>
            <w:vAlign w:val="center"/>
          </w:tcPr>
          <w:p w14:paraId="32BD35E6">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080" w:type="dxa"/>
            <w:tcBorders>
              <w:top w:val="single" w:color="auto" w:sz="4" w:space="0"/>
              <w:left w:val="single" w:color="auto" w:sz="4" w:space="0"/>
              <w:bottom w:val="single" w:color="auto" w:sz="4" w:space="0"/>
              <w:right w:val="single" w:color="auto" w:sz="4" w:space="0"/>
            </w:tcBorders>
            <w:vAlign w:val="center"/>
          </w:tcPr>
          <w:p w14:paraId="518A9CE3">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080" w:type="dxa"/>
            <w:tcBorders>
              <w:top w:val="single" w:color="auto" w:sz="4" w:space="0"/>
              <w:left w:val="single" w:color="auto" w:sz="4" w:space="0"/>
              <w:bottom w:val="single" w:color="auto" w:sz="4" w:space="0"/>
              <w:right w:val="single" w:color="auto" w:sz="4" w:space="0"/>
            </w:tcBorders>
            <w:vAlign w:val="center"/>
          </w:tcPr>
          <w:p w14:paraId="1474661D">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p w14:paraId="155D4A3D">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40" w:type="dxa"/>
            <w:tcBorders>
              <w:top w:val="single" w:color="auto" w:sz="4" w:space="0"/>
              <w:left w:val="single" w:color="auto" w:sz="4" w:space="0"/>
              <w:bottom w:val="single" w:color="auto" w:sz="4" w:space="0"/>
              <w:right w:val="single" w:color="auto" w:sz="4" w:space="0"/>
            </w:tcBorders>
            <w:vAlign w:val="center"/>
          </w:tcPr>
          <w:p w14:paraId="0603E1A0">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金  额</w:t>
            </w:r>
          </w:p>
          <w:p w14:paraId="2A46F822">
            <w:pPr>
              <w:spacing w:after="0"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15BA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5474EC6E">
            <w:pPr>
              <w:spacing w:after="0" w:line="360" w:lineRule="auto"/>
              <w:jc w:val="center"/>
              <w:rPr>
                <w:rFonts w:hint="eastAsia" w:ascii="宋体" w:hAnsi="宋体" w:eastAsia="宋体" w:cs="宋体"/>
                <w:color w:val="auto"/>
                <w:sz w:val="24"/>
                <w:szCs w:val="24"/>
                <w:highlight w:val="none"/>
              </w:rPr>
            </w:pPr>
          </w:p>
        </w:tc>
        <w:tc>
          <w:tcPr>
            <w:tcW w:w="917" w:type="dxa"/>
            <w:tcBorders>
              <w:top w:val="single" w:color="auto" w:sz="4" w:space="0"/>
              <w:left w:val="single" w:color="auto" w:sz="4" w:space="0"/>
              <w:bottom w:val="single" w:color="auto" w:sz="4" w:space="0"/>
              <w:right w:val="single" w:color="auto" w:sz="4" w:space="0"/>
            </w:tcBorders>
            <w:vAlign w:val="center"/>
          </w:tcPr>
          <w:p w14:paraId="67968E59">
            <w:pPr>
              <w:spacing w:after="0" w:line="360" w:lineRule="auto"/>
              <w:jc w:val="center"/>
              <w:rPr>
                <w:rFonts w:hint="eastAsia" w:ascii="宋体" w:hAnsi="宋体" w:eastAsia="宋体" w:cs="宋体"/>
                <w:color w:val="auto"/>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vAlign w:val="center"/>
          </w:tcPr>
          <w:p w14:paraId="15D96E96">
            <w:pPr>
              <w:spacing w:after="0" w:line="360" w:lineRule="auto"/>
              <w:jc w:val="center"/>
              <w:rPr>
                <w:rFonts w:hint="eastAsia" w:ascii="宋体" w:hAnsi="宋体" w:eastAsia="宋体" w:cs="宋体"/>
                <w:color w:val="auto"/>
                <w:sz w:val="24"/>
                <w:szCs w:val="24"/>
                <w:highlight w:val="none"/>
              </w:rPr>
            </w:pPr>
          </w:p>
        </w:tc>
        <w:tc>
          <w:tcPr>
            <w:tcW w:w="1194" w:type="dxa"/>
            <w:tcBorders>
              <w:top w:val="single" w:color="auto" w:sz="4" w:space="0"/>
              <w:left w:val="single" w:color="auto" w:sz="4" w:space="0"/>
              <w:bottom w:val="single" w:color="auto" w:sz="4" w:space="0"/>
              <w:right w:val="single" w:color="auto" w:sz="4" w:space="0"/>
            </w:tcBorders>
            <w:vAlign w:val="center"/>
          </w:tcPr>
          <w:p w14:paraId="1A8174EA">
            <w:pPr>
              <w:spacing w:after="0" w:line="360" w:lineRule="auto"/>
              <w:jc w:val="center"/>
              <w:rPr>
                <w:rFonts w:hint="eastAsia" w:ascii="宋体" w:hAnsi="宋体" w:eastAsia="宋体" w:cs="宋体"/>
                <w:color w:val="auto"/>
                <w:sz w:val="24"/>
                <w:szCs w:val="24"/>
                <w:highlight w:val="none"/>
              </w:rPr>
            </w:pPr>
          </w:p>
        </w:tc>
        <w:tc>
          <w:tcPr>
            <w:tcW w:w="1193" w:type="dxa"/>
            <w:tcBorders>
              <w:top w:val="single" w:color="auto" w:sz="4" w:space="0"/>
              <w:left w:val="single" w:color="auto" w:sz="4" w:space="0"/>
              <w:bottom w:val="single" w:color="auto" w:sz="4" w:space="0"/>
              <w:right w:val="single" w:color="auto" w:sz="4" w:space="0"/>
            </w:tcBorders>
            <w:vAlign w:val="center"/>
          </w:tcPr>
          <w:p w14:paraId="0418FD5B">
            <w:pPr>
              <w:spacing w:after="0" w:line="360" w:lineRule="auto"/>
              <w:jc w:val="center"/>
              <w:rPr>
                <w:rFonts w:hint="eastAsia" w:ascii="宋体" w:hAnsi="宋体" w:eastAsia="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vAlign w:val="center"/>
          </w:tcPr>
          <w:p w14:paraId="337039FE">
            <w:pPr>
              <w:spacing w:after="0" w:line="360" w:lineRule="auto"/>
              <w:jc w:val="center"/>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9637C8A">
            <w:pPr>
              <w:spacing w:after="0" w:line="360" w:lineRule="auto"/>
              <w:jc w:val="center"/>
              <w:rPr>
                <w:rFonts w:hint="eastAsia" w:ascii="宋体" w:hAnsi="宋体" w:eastAsia="宋体" w:cs="宋体"/>
                <w:color w:val="auto"/>
                <w:sz w:val="24"/>
                <w:szCs w:val="24"/>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3562AB8">
            <w:pPr>
              <w:spacing w:after="0" w:line="360" w:lineRule="auto"/>
              <w:jc w:val="center"/>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AB46241">
            <w:pPr>
              <w:spacing w:after="0" w:line="360" w:lineRule="auto"/>
              <w:jc w:val="center"/>
              <w:rPr>
                <w:rFonts w:hint="eastAsia" w:ascii="宋体" w:hAnsi="宋体" w:eastAsia="宋体" w:cs="宋体"/>
                <w:color w:val="auto"/>
                <w:sz w:val="24"/>
                <w:szCs w:val="24"/>
                <w:highlight w:val="none"/>
              </w:rPr>
            </w:pPr>
          </w:p>
        </w:tc>
      </w:tr>
      <w:tr w14:paraId="1659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14:paraId="6017CF52">
            <w:pPr>
              <w:spacing w:after="0" w:line="360" w:lineRule="auto"/>
              <w:ind w:firstLine="480" w:firstLineChars="200"/>
              <w:jc w:val="center"/>
              <w:rPr>
                <w:rFonts w:ascii="宋体" w:hAnsi="宋体" w:eastAsia="宋体" w:cs="宋体"/>
                <w:color w:val="auto"/>
                <w:sz w:val="24"/>
                <w:szCs w:val="24"/>
                <w:highlight w:val="none"/>
              </w:rPr>
            </w:pPr>
          </w:p>
        </w:tc>
        <w:tc>
          <w:tcPr>
            <w:tcW w:w="8657" w:type="dxa"/>
            <w:gridSpan w:val="8"/>
            <w:tcBorders>
              <w:top w:val="single" w:color="auto" w:sz="4" w:space="0"/>
              <w:left w:val="single" w:color="auto" w:sz="4" w:space="0"/>
              <w:bottom w:val="single" w:color="auto" w:sz="4" w:space="0"/>
              <w:right w:val="single" w:color="auto" w:sz="4" w:space="0"/>
            </w:tcBorders>
            <w:vAlign w:val="center"/>
          </w:tcPr>
          <w:p w14:paraId="21E36227">
            <w:pPr>
              <w:spacing w:after="0" w:line="360" w:lineRule="auto"/>
              <w:ind w:firstLine="480" w:firstLineChars="20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制作合同时须补充完整</w:t>
            </w:r>
          </w:p>
        </w:tc>
      </w:tr>
      <w:tr w14:paraId="6F58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2" w:type="dxa"/>
            <w:gridSpan w:val="9"/>
            <w:tcBorders>
              <w:top w:val="single" w:color="auto" w:sz="4" w:space="0"/>
              <w:left w:val="single" w:color="auto" w:sz="4" w:space="0"/>
              <w:bottom w:val="single" w:color="auto" w:sz="4" w:space="0"/>
              <w:right w:val="single" w:color="auto" w:sz="4" w:space="0"/>
            </w:tcBorders>
            <w:vAlign w:val="center"/>
          </w:tcPr>
          <w:p w14:paraId="001BE0DC">
            <w:pPr>
              <w:spacing w:after="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人民币合计金额（大写）                          （小写）                 </w:t>
            </w:r>
          </w:p>
        </w:tc>
      </w:tr>
    </w:tbl>
    <w:p w14:paraId="20B5369A">
      <w:pPr>
        <w:keepNext w:val="0"/>
        <w:keepLines w:val="0"/>
        <w:pageBreakBefore w:val="0"/>
        <w:numPr>
          <w:ilvl w:val="0"/>
          <w:numId w:val="8"/>
        </w:numPr>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合同合计金额包括货物价款，标准附件、备品配件、专用工具、安装耗材、包装、运输、装卸、保险、税金、货物到就位以及安装、调试、检验、技术培训及技术资料、软件费、保修等全部费用。</w:t>
      </w:r>
    </w:p>
    <w:p w14:paraId="7AA64961">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　质量保证</w:t>
      </w:r>
    </w:p>
    <w:p w14:paraId="404E6712">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1、乙方所提供的货物型号、技术规格、技术参数等质量必须与竞争性谈判文件和承诺相一致。乙方提供的节能和环保产品必须是列入政府采购清单的产品。</w:t>
      </w:r>
    </w:p>
    <w:p w14:paraId="570E5BDA">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2、乙方应按竞争性谈判文件规定的货物性能、技术要求、质量标准提供全新、未经使用的原装产品，且在正常安装、使用和保养条件下，其使用寿命期内各项指标均达到质量要求。</w:t>
      </w:r>
    </w:p>
    <w:p w14:paraId="4F817EFF">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　权利保证</w:t>
      </w:r>
    </w:p>
    <w:p w14:paraId="2D4F1B31">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1、乙方应保证所提供货物在使用时不会侵犯任何第三方的专利权、商标权、工业设计权或其他权利。</w:t>
      </w:r>
    </w:p>
    <w:p w14:paraId="32E876E2">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2、乙方应按竞争性谈判文件规定的时间向甲方提供使用货物的有关技术资料。</w:t>
      </w:r>
    </w:p>
    <w:p w14:paraId="24A32145">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E21CB8E">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4、乙方保证所交付的货物的所有权完全属于乙方且无任何抵押、质押、查封等产权瑕疵。</w:t>
      </w:r>
    </w:p>
    <w:p w14:paraId="4832CD59">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包装和运输</w:t>
      </w:r>
    </w:p>
    <w:p w14:paraId="25463573">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1、乙方提供的货物均应按竞争性谈判文件要求的包装材料、包装标准、包装方式进行包装，每一包装单元内应附详细的装箱单和质量合格证。</w:t>
      </w:r>
    </w:p>
    <w:p w14:paraId="03FE7504">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2、货物的运输方式：</w:t>
      </w:r>
      <w:r>
        <w:rPr>
          <w:rFonts w:hint="eastAsia" w:ascii="宋体" w:hAnsi="宋体" w:eastAsia="宋体" w:cs="宋体"/>
          <w:color w:val="auto"/>
          <w:sz w:val="24"/>
          <w:szCs w:val="24"/>
          <w:highlight w:val="none"/>
          <w:u w:val="single"/>
        </w:rPr>
        <w:t xml:space="preserve">  乙方自定  </w:t>
      </w:r>
      <w:r>
        <w:rPr>
          <w:rFonts w:hint="eastAsia" w:ascii="宋体" w:hAnsi="宋体" w:eastAsia="宋体" w:cs="宋体"/>
          <w:color w:val="auto"/>
          <w:sz w:val="24"/>
          <w:szCs w:val="24"/>
          <w:highlight w:val="none"/>
        </w:rPr>
        <w:t>。</w:t>
      </w:r>
    </w:p>
    <w:p w14:paraId="4A83917A">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3、乙方负责货物运输，货物运输合理损耗及计算方法：</w:t>
      </w:r>
      <w:r>
        <w:rPr>
          <w:rFonts w:hint="eastAsia" w:ascii="宋体" w:hAnsi="宋体" w:eastAsia="宋体" w:cs="宋体"/>
          <w:color w:val="auto"/>
          <w:sz w:val="24"/>
          <w:szCs w:val="24"/>
          <w:highlight w:val="none"/>
          <w:u w:val="single"/>
        </w:rPr>
        <w:t xml:space="preserve">  甲方不接受损耗   </w:t>
      </w:r>
      <w:r>
        <w:rPr>
          <w:rFonts w:hint="eastAsia" w:ascii="宋体" w:hAnsi="宋体" w:eastAsia="宋体" w:cs="宋体"/>
          <w:color w:val="auto"/>
          <w:sz w:val="24"/>
          <w:szCs w:val="24"/>
          <w:highlight w:val="none"/>
        </w:rPr>
        <w:t>。</w:t>
      </w:r>
    </w:p>
    <w:p w14:paraId="6B07C5CD">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w:t>
      </w:r>
      <w:r>
        <w:rPr>
          <w:rFonts w:hint="eastAsia" w:ascii="宋体" w:hAnsi="宋体" w:eastAsia="宋体" w:cs="宋体"/>
          <w:b/>
          <w:color w:val="auto"/>
          <w:sz w:val="24"/>
          <w:szCs w:val="24"/>
          <w:highlight w:val="none"/>
          <w:lang w:val="en-US" w:eastAsia="zh-CN"/>
        </w:rPr>
        <w:t xml:space="preserve"> 货物的</w:t>
      </w:r>
      <w:r>
        <w:rPr>
          <w:rFonts w:hint="eastAsia" w:ascii="宋体" w:hAnsi="宋体" w:eastAsia="宋体" w:cs="宋体"/>
          <w:b/>
          <w:color w:val="auto"/>
          <w:sz w:val="24"/>
          <w:szCs w:val="24"/>
          <w:highlight w:val="none"/>
        </w:rPr>
        <w:t>交付</w:t>
      </w:r>
    </w:p>
    <w:p w14:paraId="62F795A8">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1、交付使用时间、地点</w:t>
      </w:r>
    </w:p>
    <w:p w14:paraId="77E7241F">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交付使用时间：</w:t>
      </w:r>
      <w:r>
        <w:rPr>
          <w:rFonts w:hint="eastAsia" w:ascii="宋体" w:hAnsi="宋体" w:eastAsia="宋体" w:cs="宋体"/>
          <w:b/>
          <w:color w:val="auto"/>
          <w:sz w:val="24"/>
          <w:szCs w:val="24"/>
          <w:highlight w:val="none"/>
          <w:u w:val="single"/>
        </w:rPr>
        <w:t>按乙方</w:t>
      </w:r>
      <w:r>
        <w:rPr>
          <w:rFonts w:hint="eastAsia" w:ascii="宋体" w:hAnsi="宋体" w:eastAsia="宋体" w:cs="宋体"/>
          <w:b/>
          <w:color w:val="auto"/>
          <w:sz w:val="24"/>
          <w:szCs w:val="24"/>
          <w:highlight w:val="none"/>
          <w:u w:val="single"/>
          <w:lang w:val="en-US" w:eastAsia="zh-CN"/>
        </w:rPr>
        <w:t>响应</w:t>
      </w:r>
      <w:r>
        <w:rPr>
          <w:rFonts w:hint="eastAsia" w:ascii="宋体" w:hAnsi="宋体" w:eastAsia="宋体" w:cs="宋体"/>
          <w:b/>
          <w:color w:val="auto"/>
          <w:sz w:val="24"/>
          <w:szCs w:val="24"/>
          <w:highlight w:val="none"/>
          <w:u w:val="single"/>
        </w:rPr>
        <w:t>文件中所承诺的时间</w:t>
      </w:r>
      <w:r>
        <w:rPr>
          <w:rFonts w:hint="eastAsia" w:ascii="宋体" w:hAnsi="宋体" w:eastAsia="宋体" w:cs="宋体"/>
          <w:b/>
          <w:color w:val="auto"/>
          <w:sz w:val="24"/>
          <w:szCs w:val="24"/>
          <w:highlight w:val="none"/>
        </w:rPr>
        <w:t>；交付使用地点：</w:t>
      </w:r>
      <w:r>
        <w:rPr>
          <w:rFonts w:hint="eastAsia" w:ascii="宋体" w:hAnsi="宋体" w:eastAsia="宋体" w:cs="宋体"/>
          <w:b/>
          <w:color w:val="auto"/>
          <w:sz w:val="24"/>
          <w:szCs w:val="24"/>
          <w:highlight w:val="none"/>
          <w:u w:val="single"/>
        </w:rPr>
        <w:t>采购人指定地点</w:t>
      </w:r>
      <w:r>
        <w:rPr>
          <w:rFonts w:hint="eastAsia" w:ascii="宋体" w:hAnsi="宋体" w:eastAsia="宋体" w:cs="宋体"/>
          <w:b/>
          <w:color w:val="auto"/>
          <w:sz w:val="24"/>
          <w:szCs w:val="24"/>
          <w:highlight w:val="none"/>
        </w:rPr>
        <w:t>。</w:t>
      </w:r>
    </w:p>
    <w:p w14:paraId="47991859">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2、乙方提供不符合竞争性谈判文件和本合同规定的货物，甲方有权拒绝接受。</w:t>
      </w:r>
    </w:p>
    <w:p w14:paraId="4A7D88DF">
      <w:pPr>
        <w:pStyle w:val="22"/>
        <w:keepNext w:val="0"/>
        <w:keepLines w:val="0"/>
        <w:pageBreakBefore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3、乙方应将所提供货物的装箱清单、用户手册、原厂保修卡、随机资料、工具和备品、备件等交付给甲方，如有缺失应及时补齐，否则视为逾期交货</w:t>
      </w:r>
      <w:r>
        <w:rPr>
          <w:rFonts w:hint="eastAsia" w:hAnsi="宋体" w:cs="宋体"/>
          <w:color w:val="auto"/>
          <w:sz w:val="24"/>
          <w:szCs w:val="24"/>
          <w:highlight w:val="none"/>
          <w:lang w:eastAsia="zh-CN"/>
        </w:rPr>
        <w:t>。</w:t>
      </w:r>
    </w:p>
    <w:p w14:paraId="34DA89F1">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安装和培训</w:t>
      </w:r>
    </w:p>
    <w:p w14:paraId="11443909">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1、甲方应提供必要安装条件（如场地、电源、水源等）。</w:t>
      </w:r>
    </w:p>
    <w:p w14:paraId="7D969CEF">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2、乙方负责甲方有关人员的培训。培训时间、地点：</w:t>
      </w:r>
      <w:r>
        <w:rPr>
          <w:rFonts w:hint="eastAsia" w:ascii="宋体" w:hAnsi="宋体" w:eastAsia="宋体" w:cs="宋体"/>
          <w:b/>
          <w:color w:val="auto"/>
          <w:sz w:val="24"/>
          <w:szCs w:val="24"/>
          <w:highlight w:val="none"/>
          <w:u w:val="single"/>
        </w:rPr>
        <w:t>按交付使用时间、地点培训</w:t>
      </w:r>
      <w:r>
        <w:rPr>
          <w:rFonts w:hint="eastAsia" w:ascii="宋体" w:hAnsi="宋体" w:eastAsia="宋体" w:cs="宋体"/>
          <w:color w:val="auto"/>
          <w:sz w:val="24"/>
          <w:szCs w:val="24"/>
          <w:highlight w:val="none"/>
        </w:rPr>
        <w:t>。</w:t>
      </w:r>
    </w:p>
    <w:p w14:paraId="35FD18B0">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售后服务、保修期</w:t>
      </w:r>
    </w:p>
    <w:p w14:paraId="0C5D8E65">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1、乙方应按照国家有关法律法规和“三包”规定以及竞争性谈判文件和本合同所附的《服务承诺》，为甲方提供售后服务。</w:t>
      </w:r>
    </w:p>
    <w:p w14:paraId="193854EC">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2、货物保修期：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val="en-US" w:eastAsia="zh-CN"/>
        </w:rPr>
        <w:t>投标</w:t>
      </w:r>
      <w:r>
        <w:rPr>
          <w:rFonts w:hint="eastAsia" w:ascii="宋体" w:hAnsi="宋体" w:eastAsia="宋体" w:cs="宋体"/>
          <w:b/>
          <w:color w:val="auto"/>
          <w:sz w:val="24"/>
          <w:szCs w:val="24"/>
          <w:highlight w:val="none"/>
          <w:u w:val="single"/>
        </w:rPr>
        <w:t>响应</w:t>
      </w:r>
      <w:r>
        <w:rPr>
          <w:rFonts w:hint="eastAsia" w:ascii="宋体" w:hAnsi="宋体" w:eastAsia="宋体" w:cs="宋体"/>
          <w:color w:val="auto"/>
          <w:sz w:val="24"/>
          <w:szCs w:val="24"/>
          <w:highlight w:val="none"/>
        </w:rPr>
        <w:t>。</w:t>
      </w:r>
    </w:p>
    <w:p w14:paraId="286872A3">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3、乙方提供的服务承诺和售后服务及保修期责任等其它具体约定事项。（见合同附件）</w:t>
      </w:r>
    </w:p>
    <w:p w14:paraId="0B1D9E2A">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第八条　付款方式</w:t>
      </w:r>
    </w:p>
    <w:p w14:paraId="5B4A11B8">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（1）签订合同后十个工作日内，甲方支付乙方合同总金额的30%（金额：元）做为预付款。</w:t>
      </w:r>
    </w:p>
    <w:p w14:paraId="4FFA6907">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（2）提交服务成果验收合格后，在10个工作日内，支付剩余总金额的70%（金额：元）。</w:t>
      </w:r>
    </w:p>
    <w:p w14:paraId="2C1BCA85">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（3）乙方在申请款项时，应按国家相关规定向甲方开具相应金额的正式发票，乙方逾期提供发票的，甲方有权延期付款且不视为违约。</w:t>
      </w:r>
    </w:p>
    <w:p w14:paraId="69F0A35E">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履约保证金</w:t>
      </w:r>
    </w:p>
    <w:p w14:paraId="7CC42D7C">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履约保证金金额：按合同金额的</w:t>
      </w:r>
      <w:r>
        <w:rPr>
          <w:rFonts w:hint="eastAsia" w:ascii="宋体" w:hAnsi="宋体" w:eastAsia="宋体" w:cs="宋体"/>
          <w:bCs/>
          <w:color w:val="auto"/>
          <w:sz w:val="24"/>
          <w:szCs w:val="24"/>
          <w:highlight w:val="none"/>
          <w:u w:val="single"/>
        </w:rPr>
        <w:t>5%（金额：   元）</w:t>
      </w:r>
      <w:r>
        <w:rPr>
          <w:rFonts w:hint="eastAsia" w:ascii="宋体" w:hAnsi="宋体" w:eastAsia="宋体" w:cs="宋体"/>
          <w:bCs/>
          <w:color w:val="auto"/>
          <w:sz w:val="24"/>
          <w:szCs w:val="24"/>
          <w:highlight w:val="none"/>
        </w:rPr>
        <w:t>（如成交供应商为中小企业，则按合同金额的2%收取）。</w:t>
      </w:r>
    </w:p>
    <w:p w14:paraId="2CC38D58">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u w:val="single"/>
        </w:rPr>
        <w:t>成交通知书发出</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个工作日内，乙方须向甲方缴纳履约保证金。乙方不按时交纳履约保证金，视为成交乙方自行放弃成交资格。</w:t>
      </w:r>
    </w:p>
    <w:p w14:paraId="3E1E533D">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履约保证金递交方式：</w:t>
      </w:r>
      <w:r>
        <w:rPr>
          <w:rFonts w:hint="eastAsia" w:ascii="宋体" w:hAnsi="宋体" w:eastAsia="宋体"/>
          <w:bCs/>
          <w:color w:val="auto"/>
          <w:sz w:val="24"/>
          <w:szCs w:val="24"/>
          <w:highlight w:val="none"/>
        </w:rPr>
        <w:t>以银行转账、支票、汇票、本票或者金融机构、担保机构出具的保函等非现金形式提交</w:t>
      </w:r>
      <w:r>
        <w:rPr>
          <w:rFonts w:hint="eastAsia" w:ascii="宋体" w:hAnsi="宋体" w:eastAsia="宋体" w:cs="宋体"/>
          <w:bCs/>
          <w:color w:val="auto"/>
          <w:sz w:val="24"/>
          <w:szCs w:val="24"/>
          <w:highlight w:val="none"/>
        </w:rPr>
        <w:t>。</w:t>
      </w:r>
    </w:p>
    <w:p w14:paraId="336B8137">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开户名：广西信息职业技术学院</w:t>
      </w:r>
    </w:p>
    <w:p w14:paraId="7B32EA75">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开户行：20023301040009198</w:t>
      </w:r>
    </w:p>
    <w:p w14:paraId="19F8E103">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号：农业银行南宁青年国际支行</w:t>
      </w:r>
    </w:p>
    <w:p w14:paraId="4B23184A">
      <w:pPr>
        <w:keepNext w:val="0"/>
        <w:keepLines w:val="0"/>
        <w:pageBreakBefore w:val="0"/>
        <w:kinsoku/>
        <w:wordWrap/>
        <w:overflowPunct/>
        <w:topLinePunct w:val="0"/>
        <w:autoSpaceDE/>
        <w:autoSpaceDN/>
        <w:bidi w:val="0"/>
        <w:spacing w:after="0" w:line="360" w:lineRule="auto"/>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转帐时注明：</w:t>
      </w:r>
      <w:r>
        <w:rPr>
          <w:rFonts w:hint="eastAsia" w:ascii="宋体" w:hAnsi="宋体" w:eastAsia="宋体" w:cs="宋体"/>
          <w:color w:val="auto"/>
          <w:sz w:val="24"/>
          <w:szCs w:val="24"/>
          <w:highlight w:val="none"/>
          <w:u w:val="single"/>
        </w:rPr>
        <w:t>集成电路器件工艺基础实训室项目履约保证金</w:t>
      </w:r>
      <w:r>
        <w:rPr>
          <w:rFonts w:hint="eastAsia" w:ascii="宋体" w:hAnsi="宋体" w:eastAsia="宋体" w:cs="宋体"/>
          <w:bCs/>
          <w:color w:val="auto"/>
          <w:sz w:val="24"/>
          <w:szCs w:val="24"/>
          <w:highlight w:val="none"/>
        </w:rPr>
        <w:t>。</w:t>
      </w:r>
    </w:p>
    <w:p w14:paraId="0920B21E">
      <w:pPr>
        <w:pStyle w:val="22"/>
        <w:keepNext w:val="0"/>
        <w:keepLines w:val="0"/>
        <w:pageBreakBefore w:val="0"/>
        <w:kinsoku/>
        <w:wordWrap/>
        <w:overflowPunct/>
        <w:topLinePunct w:val="0"/>
        <w:autoSpaceDE/>
        <w:autoSpaceDN/>
        <w:bidi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bCs/>
          <w:color w:val="auto"/>
          <w:sz w:val="24"/>
          <w:szCs w:val="24"/>
          <w:highlight w:val="none"/>
        </w:rPr>
        <w:t>履约保证金退回时间及方式：履约保证金在项目</w:t>
      </w:r>
      <w:r>
        <w:rPr>
          <w:rFonts w:hint="eastAsia" w:hAnsi="宋体" w:cs="宋体"/>
          <w:color w:val="auto"/>
          <w:sz w:val="24"/>
          <w:szCs w:val="24"/>
          <w:highlight w:val="none"/>
        </w:rPr>
        <w:t>质量保证期</w:t>
      </w:r>
      <w:r>
        <w:rPr>
          <w:rFonts w:hint="eastAsia" w:hAnsi="宋体" w:cs="宋体"/>
          <w:bCs/>
          <w:color w:val="auto"/>
          <w:sz w:val="24"/>
          <w:szCs w:val="24"/>
          <w:highlight w:val="none"/>
        </w:rPr>
        <w:t>期满及履行合同全部义务后，由承包人提出申请，发包人审核合格无误后十五个工作日内在扣除应扣款项后原路退还剩余质量保证金（不计利息）。涉及违约的违约金和项目质量问题损失赔偿从履约保证金中扣减，履约保证金不足以支付违约金、赔偿损失的，承包人仍应承担相应的违约赔偿责任。</w:t>
      </w:r>
    </w:p>
    <w:p w14:paraId="2312E8E9">
      <w:pPr>
        <w:keepNext w:val="0"/>
        <w:keepLines w:val="0"/>
        <w:pageBreakBefore w:val="0"/>
        <w:kinsoku/>
        <w:wordWrap/>
        <w:overflowPunct/>
        <w:topLinePunct w:val="0"/>
        <w:autoSpaceDE/>
        <w:autoSpaceDN/>
        <w:bidi w:val="0"/>
        <w:spacing w:after="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税费本合同执行中相关的一切税费均由乙方负担。</w:t>
      </w:r>
    </w:p>
    <w:p w14:paraId="0C4A2719">
      <w:pPr>
        <w:keepNext w:val="0"/>
        <w:keepLines w:val="0"/>
        <w:pageBreakBefore w:val="0"/>
        <w:kinsoku/>
        <w:wordWrap/>
        <w:overflowPunct/>
        <w:topLinePunct w:val="0"/>
        <w:autoSpaceDE/>
        <w:autoSpaceDN/>
        <w:bidi w:val="0"/>
        <w:spacing w:after="0"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质量保证及售后服务</w:t>
      </w:r>
    </w:p>
    <w:p w14:paraId="2E4FF38F">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提供货物的质量保证期按交货验收合格之日起计（期限见《项目采购需求》）。在保证期内因货物本身的质量问题发生故障，乙方应负责免费修理和更换零部件。对达不到技术要求者，根据实际情况，经双方协商，按</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处理：</w:t>
      </w:r>
    </w:p>
    <w:p w14:paraId="00B74E4F">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（1）更换：由乙方承担所发生的全部费用。</w:t>
      </w:r>
    </w:p>
    <w:p w14:paraId="4C7992EA">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（2）贬值处理：由甲乙双方合议定价。</w:t>
      </w:r>
    </w:p>
    <w:p w14:paraId="7917E1F3">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（3）退货处理：乙方应退还甲方支付的合同款，同时应承担该货物的直接费用（运输、保险、检验、货款利息及银行手续费等）。</w:t>
      </w:r>
    </w:p>
    <w:p w14:paraId="41532514">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2、如在使用过程中发生质量问题，乙方在接到甲方通知后在</w:t>
      </w:r>
      <w:r>
        <w:rPr>
          <w:rFonts w:hint="eastAsia" w:hAnsi="宋体" w:cs="宋体"/>
          <w:color w:val="auto"/>
          <w:sz w:val="24"/>
          <w:szCs w:val="24"/>
          <w:highlight w:val="none"/>
          <w:u w:val="single"/>
        </w:rPr>
        <w:t xml:space="preserve"> 2 </w:t>
      </w:r>
      <w:r>
        <w:rPr>
          <w:rFonts w:hint="eastAsia" w:hAnsi="宋体" w:cs="宋体"/>
          <w:color w:val="auto"/>
          <w:sz w:val="24"/>
          <w:szCs w:val="24"/>
          <w:highlight w:val="none"/>
        </w:rPr>
        <w:t>小时内到达甲方现场。</w:t>
      </w:r>
    </w:p>
    <w:p w14:paraId="0B4B2FC5">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3、在质保期内，乙方应对货物出现的质量及安全问题负责处理解决并承担一切费用。</w:t>
      </w:r>
    </w:p>
    <w:p w14:paraId="2DEE1291">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4、上述的货物免费保修期为</w:t>
      </w:r>
      <w:r>
        <w:rPr>
          <w:rFonts w:hint="eastAsia" w:hAnsi="宋体" w:cs="宋体"/>
          <w:color w:val="auto"/>
          <w:sz w:val="24"/>
          <w:szCs w:val="24"/>
          <w:highlight w:val="none"/>
          <w:u w:val="single"/>
        </w:rPr>
        <w:t xml:space="preserve">  1  </w:t>
      </w:r>
      <w:r>
        <w:rPr>
          <w:rFonts w:hint="eastAsia" w:hAnsi="宋体" w:cs="宋体"/>
          <w:color w:val="auto"/>
          <w:sz w:val="24"/>
          <w:szCs w:val="24"/>
          <w:highlight w:val="none"/>
        </w:rPr>
        <w:t>年（服务承诺或</w:t>
      </w:r>
      <w:r>
        <w:rPr>
          <w:rFonts w:hint="eastAsia" w:hAnsi="宋体" w:cs="宋体"/>
          <w:color w:val="auto"/>
          <w:sz w:val="24"/>
          <w:szCs w:val="24"/>
          <w:highlight w:val="none"/>
          <w:lang w:val="en-US" w:eastAsia="zh-CN"/>
        </w:rPr>
        <w:t>竞标</w:t>
      </w:r>
      <w:r>
        <w:rPr>
          <w:rFonts w:hint="eastAsia" w:hAnsi="宋体" w:cs="宋体"/>
          <w:color w:val="auto"/>
          <w:sz w:val="24"/>
          <w:szCs w:val="24"/>
          <w:highlight w:val="none"/>
        </w:rPr>
        <w:t>响应的保修期超出此期限的，按更长保修期约定执行），因人为因素出现的故障不在免费保修范围内。超过保修期的机器设备，终生维修，维修时只收部件成本费。</w:t>
      </w:r>
    </w:p>
    <w:p w14:paraId="47F53427">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第十二条  调试和验收</w:t>
      </w:r>
    </w:p>
    <w:p w14:paraId="216BA99F">
      <w:pPr>
        <w:pStyle w:val="22"/>
        <w:keepNext w:val="0"/>
        <w:keepLines w:val="0"/>
        <w:pageBreakBefore w:val="0"/>
        <w:kinsoku/>
        <w:wordWrap/>
        <w:overflowPunct/>
        <w:topLinePunct w:val="0"/>
        <w:autoSpaceDE/>
        <w:autoSpaceDN/>
        <w:bidi w:val="0"/>
        <w:snapToGrid w:val="0"/>
        <w:spacing w:line="360" w:lineRule="auto"/>
        <w:ind w:left="0"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1、甲方对乙方提交的货物依据竞争性谈判文件上的技术规格要求和国家有关质量标准进行现场初步验收，外观、说明书符合竞争性谈判文件技术要求的，给予签收，初步验收不合格的不予签收。</w:t>
      </w:r>
      <w:r>
        <w:rPr>
          <w:rFonts w:hint="eastAsia" w:hAnsi="宋体" w:cs="宋体"/>
          <w:bCs/>
          <w:color w:val="auto"/>
          <w:sz w:val="24"/>
          <w:szCs w:val="24"/>
          <w:highlight w:val="none"/>
        </w:rPr>
        <w:t>安装、调试完毕</w:t>
      </w:r>
      <w:r>
        <w:rPr>
          <w:rFonts w:hint="eastAsia" w:hAnsi="宋体" w:cs="宋体"/>
          <w:color w:val="auto"/>
          <w:sz w:val="24"/>
          <w:szCs w:val="24"/>
          <w:highlight w:val="none"/>
        </w:rPr>
        <w:t>后，</w:t>
      </w:r>
      <w:r>
        <w:rPr>
          <w:rFonts w:hint="eastAsia" w:hAnsi="宋体" w:cs="宋体"/>
          <w:bCs/>
          <w:color w:val="auto"/>
          <w:sz w:val="24"/>
          <w:szCs w:val="24"/>
          <w:highlight w:val="none"/>
        </w:rPr>
        <w:t>甲方应当在十个工作日内进行验收</w:t>
      </w:r>
      <w:r>
        <w:rPr>
          <w:rFonts w:hint="eastAsia" w:hAnsi="宋体" w:cs="宋体"/>
          <w:color w:val="auto"/>
          <w:sz w:val="24"/>
          <w:szCs w:val="24"/>
          <w:highlight w:val="none"/>
        </w:rPr>
        <w:t>。</w:t>
      </w:r>
    </w:p>
    <w:p w14:paraId="4341374B">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2、乙方交货前应对产品作出全面检查和对验收文件进行整理，并列出清单，作为甲方收货验收和使用的技术条件依据，检验的结果应随货物交甲方。</w:t>
      </w:r>
    </w:p>
    <w:p w14:paraId="4D35DC98">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3、甲方对乙方提供的货物在使用前进行调试时，乙方需负责安装并培训甲方的使用操作人员，并协助甲方一起调试，直到符合技术要求，甲方才做最终验收。</w:t>
      </w:r>
    </w:p>
    <w:p w14:paraId="53AA6EAC">
      <w:pPr>
        <w:pStyle w:val="22"/>
        <w:keepNext w:val="0"/>
        <w:keepLines w:val="0"/>
        <w:pageBreakBefore w:val="0"/>
        <w:kinsoku/>
        <w:wordWrap/>
        <w:overflowPunct/>
        <w:topLinePunct w:val="0"/>
        <w:autoSpaceDE/>
        <w:autoSpaceDN/>
        <w:bidi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甲方对验收有异议的，在验收后五个工作日内以书面形式向乙方提出，乙方应自收到甲方书面异议后七日内及时予以解决，逾期不解决的视为违约，乙方应当承担由此产生的违约责任。</w:t>
      </w:r>
    </w:p>
    <w:p w14:paraId="56B931B4">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u w:val="single"/>
        </w:rPr>
      </w:pPr>
      <w:r>
        <w:rPr>
          <w:rFonts w:hint="eastAsia" w:hAnsi="宋体" w:cs="宋体"/>
          <w:color w:val="auto"/>
          <w:sz w:val="24"/>
          <w:szCs w:val="24"/>
          <w:highlight w:val="none"/>
          <w:lang w:val="en-US" w:eastAsia="zh-CN"/>
        </w:rPr>
        <w:t>5</w:t>
      </w:r>
      <w:r>
        <w:rPr>
          <w:rFonts w:hint="eastAsia" w:hAnsi="宋体" w:cs="宋体"/>
          <w:color w:val="auto"/>
          <w:sz w:val="24"/>
          <w:szCs w:val="24"/>
          <w:highlight w:val="none"/>
        </w:rPr>
        <w:t>、对技术复杂的货物，甲方应请国家认可的专业检测机构参与初步验收及最终验收，并由其出具质量检测报告，检测相关费用由</w:t>
      </w:r>
      <w:r>
        <w:rPr>
          <w:rFonts w:hint="eastAsia" w:hAnsi="宋体" w:cs="宋体"/>
          <w:color w:val="auto"/>
          <w:sz w:val="24"/>
          <w:szCs w:val="24"/>
          <w:highlight w:val="none"/>
          <w:u w:val="single"/>
        </w:rPr>
        <w:t xml:space="preserve"> 乙 </w:t>
      </w:r>
      <w:r>
        <w:rPr>
          <w:rFonts w:hint="eastAsia" w:hAnsi="宋体" w:cs="宋体"/>
          <w:color w:val="auto"/>
          <w:sz w:val="24"/>
          <w:szCs w:val="24"/>
          <w:highlight w:val="none"/>
        </w:rPr>
        <w:t>方承担。</w:t>
      </w:r>
    </w:p>
    <w:p w14:paraId="00583200">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、验收时乙方必须在现场，验收完毕后作出验收结果报告。验收合格后由甲乙双方签署合同履约验收单并加盖采购人公章，甲乙双方各执一份。</w:t>
      </w:r>
    </w:p>
    <w:p w14:paraId="6DEF2D9E">
      <w:pPr>
        <w:pStyle w:val="22"/>
        <w:keepNext w:val="0"/>
        <w:keepLines w:val="0"/>
        <w:pageBreakBefore w:val="0"/>
        <w:kinsoku/>
        <w:wordWrap/>
        <w:overflowPunct/>
        <w:topLinePunct w:val="0"/>
        <w:autoSpaceDE/>
        <w:autoSpaceDN/>
        <w:bidi w:val="0"/>
        <w:spacing w:line="360" w:lineRule="auto"/>
        <w:ind w:left="0" w:firstLine="480" w:firstLineChars="200"/>
        <w:textAlignment w:val="auto"/>
        <w:rPr>
          <w:color w:val="auto"/>
          <w:highlight w:val="none"/>
        </w:rPr>
      </w:pPr>
      <w:r>
        <w:rPr>
          <w:rFonts w:hint="eastAsia" w:hAnsi="宋体" w:cs="宋体"/>
          <w:color w:val="auto"/>
          <w:sz w:val="24"/>
          <w:szCs w:val="24"/>
          <w:highlight w:val="none"/>
          <w:lang w:val="en-US" w:eastAsia="zh-CN"/>
        </w:rPr>
        <w:t>7、</w:t>
      </w:r>
      <w:r>
        <w:rPr>
          <w:rFonts w:hint="eastAsia" w:hAnsi="宋体" w:cs="宋体"/>
          <w:color w:val="auto"/>
          <w:sz w:val="24"/>
          <w:szCs w:val="24"/>
          <w:highlight w:val="none"/>
        </w:rPr>
        <w:t>双方共同签署</w:t>
      </w:r>
      <w:r>
        <w:rPr>
          <w:rFonts w:hint="eastAsia" w:hAnsi="宋体" w:cs="宋体"/>
          <w:bCs/>
          <w:color w:val="auto"/>
          <w:sz w:val="24"/>
          <w:szCs w:val="24"/>
          <w:highlight w:val="none"/>
        </w:rPr>
        <w:t>货物</w:t>
      </w:r>
      <w:r>
        <w:rPr>
          <w:rFonts w:hint="eastAsia" w:hAnsi="宋体" w:cs="宋体"/>
          <w:bCs/>
          <w:color w:val="auto"/>
          <w:sz w:val="24"/>
          <w:szCs w:val="24"/>
          <w:highlight w:val="none"/>
          <w:lang w:val="en-US" w:eastAsia="zh-CN"/>
        </w:rPr>
        <w:t>最终</w:t>
      </w:r>
      <w:r>
        <w:rPr>
          <w:rFonts w:hint="eastAsia" w:hAnsi="宋体" w:cs="宋体"/>
          <w:color w:val="auto"/>
          <w:sz w:val="24"/>
          <w:szCs w:val="24"/>
          <w:highlight w:val="none"/>
        </w:rPr>
        <w:t>验收单后视为货物交付，所有权及风险随之转移至甲方。</w:t>
      </w:r>
    </w:p>
    <w:p w14:paraId="595DB7A2">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第十三条  货物包装、发运及运输</w:t>
      </w:r>
    </w:p>
    <w:p w14:paraId="086554CA">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1、乙方应在货物发运前对其进行满足运输距离、防潮、防震、防锈和防破损装卸等要求包装，以保证货物安全运达甲方指定地点。</w:t>
      </w:r>
    </w:p>
    <w:p w14:paraId="0474FE50">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2、使用说明书、质量检验证明书、随配附件和工具以及清单一并附于货物内。</w:t>
      </w:r>
    </w:p>
    <w:p w14:paraId="64A23055">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3、乙方在货物发运手续办理完毕后二十四小时内或货到甲方四十八小时前通知甲方，以准备接货。</w:t>
      </w:r>
    </w:p>
    <w:p w14:paraId="79176E2A">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4、货物在交付甲方前发生的风险均由乙方负责。</w:t>
      </w:r>
    </w:p>
    <w:p w14:paraId="5DBDCC9A">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5、货物在规定的交付期限内由乙方送达甲方指定的地点视为交付，乙方同时需通知甲方货物已送达。</w:t>
      </w:r>
    </w:p>
    <w:p w14:paraId="71E2270E">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第十四条　违约责任</w:t>
      </w:r>
    </w:p>
    <w:p w14:paraId="356FBF28">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                                       </w:t>
      </w:r>
    </w:p>
    <w:p w14:paraId="5CACFB31">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货物如侵犯了第三方合法权益而引发的任何纠纷或诉讼，均由乙方负责交涉并承担全部责任。如因此造成甲方遭受损失，乙方应赔偿甲方的全部损失，包括但不限于侵权损害赔偿费用、诉讼费、受理费、财产保全责任保险费用、律师服务费、司法鉴定费等。</w:t>
      </w:r>
    </w:p>
    <w:p w14:paraId="149E5874">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3、因包装、运输引起的货物损坏，按质量不合格处罚。</w:t>
      </w:r>
    </w:p>
    <w:p w14:paraId="46230A41">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4、乙方逾期交货的，每天向甲方偿付合同总额3‰违约金，</w:t>
      </w:r>
      <w:r>
        <w:rPr>
          <w:rFonts w:hint="eastAsia" w:asciiTheme="minorEastAsia" w:hAnsiTheme="minorEastAsia" w:eastAsiaTheme="minorEastAsia"/>
          <w:color w:val="auto"/>
          <w:sz w:val="24"/>
          <w:szCs w:val="24"/>
          <w:highlight w:val="none"/>
        </w:rPr>
        <w:t>违约金不设上限，直至扣完合同价款为止，</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天甲方有权解除合同，乙方向甲方支付合同总额10%的违约金并承担因此给甲方造成经济损失；甲方延期付货款的，每天向乙方偿付延期货款额</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违约金，但违约金累计不得超过延期货款额</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w:t>
      </w:r>
    </w:p>
    <w:p w14:paraId="4831CA72">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5、乙方未按本合同和投标文件中规定的服务承诺提供售后服务的，乙方应按本合同总额</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向甲方支付违约金。</w:t>
      </w:r>
    </w:p>
    <w:p w14:paraId="6AA7AE9A">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6、乙方提供的货物在质量保修期内，因设计、工艺或材料的缺陷和其它质量原因造成的问题，由乙方负责，费用从履约保证金中扣除，履约保证金不足以弥补甲方损失的，由乙方另行承担赔偿责任。</w:t>
      </w:r>
    </w:p>
    <w:p w14:paraId="4BF0338D">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7、其它违约行为按合同总额5%收取违约金并赔偿经济损失。</w:t>
      </w:r>
    </w:p>
    <w:p w14:paraId="3F131431">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第十五条  不可抗力事件处理</w:t>
      </w:r>
    </w:p>
    <w:p w14:paraId="117E554D">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7860B97F">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077F7845">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3、不可抗力事件延续一百二十天以上，双方应通过友好协商，确定是否继续履行合同。</w:t>
      </w:r>
    </w:p>
    <w:p w14:paraId="2B95F869">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第十六条  合同争议解决</w:t>
      </w:r>
    </w:p>
    <w:p w14:paraId="6E37C3BF">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1、因货物质量问题发生争议的，可邀请国家认可的质量检测机构对货物质量进行鉴定。货物符合标准的，鉴定费由甲方承担；货物不符合标准的，鉴定费由乙方承担。</w:t>
      </w:r>
    </w:p>
    <w:p w14:paraId="56F01F7D">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2、因履行本合同引起的或与本合同有关的争议，甲乙双方应首先通过友好协商解决，如果协商不能解决，应向甲方所在地人民法院提起诉讼。</w:t>
      </w:r>
    </w:p>
    <w:p w14:paraId="4A4EABA9">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3、诉讼期间，本合同继续履行。</w:t>
      </w:r>
    </w:p>
    <w:p w14:paraId="75826FD8">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第十七条  诉讼</w:t>
      </w:r>
    </w:p>
    <w:p w14:paraId="50445849">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双方在执行合同中所发生的一切争议，应通过协商解决。如果协商不能解决，应向甲方所在地人民法院提起诉讼。包括但不限于案件受理费、保全费、调查取证、鉴定费、差旅费、律师费等由违约方承担。</w:t>
      </w:r>
    </w:p>
    <w:p w14:paraId="528AA23D">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第十八条  合同生效及其它</w:t>
      </w:r>
    </w:p>
    <w:p w14:paraId="0AFBECAD">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1、合同经双方法定代表人或授权代表签字并加盖单位公章后生效。</w:t>
      </w:r>
    </w:p>
    <w:p w14:paraId="21523BDD">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2、合同执行中涉及采购资金和采购内容修改或补充的，须经财政部门审批，并签书面补充协议报财政部门备案，方可作为主合同不可分割的一部分。</w:t>
      </w:r>
    </w:p>
    <w:p w14:paraId="3E7A8A6B">
      <w:pPr>
        <w:pStyle w:val="22"/>
        <w:keepNext w:val="0"/>
        <w:keepLines w:val="0"/>
        <w:pageBreakBefore w:val="0"/>
        <w:kinsoku/>
        <w:wordWrap/>
        <w:overflowPunct/>
        <w:topLinePunct w:val="0"/>
        <w:autoSpaceDE/>
        <w:autoSpaceDN/>
        <w:bidi w:val="0"/>
        <w:snapToGrid w:val="0"/>
        <w:spacing w:line="360" w:lineRule="auto"/>
        <w:ind w:left="0"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3、本合同未尽事宜，遵照《中华人民共和国民法典》有关条文执行。</w:t>
      </w:r>
    </w:p>
    <w:p w14:paraId="42BEFF8B">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0591DFEB">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第十九条　合同的变更、终止与转让</w:t>
      </w:r>
    </w:p>
    <w:p w14:paraId="608720E9">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1、除《中华人民共和国政府采购法》第五十条规定的情形外，本合同一经签订，甲乙双方不得擅自变更、中止或终止。</w:t>
      </w:r>
    </w:p>
    <w:p w14:paraId="0820255C">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2、乙方不得擅自转让（无进口资格的供应商委托进口货物除外）其应履行的合同义务。</w:t>
      </w:r>
    </w:p>
    <w:p w14:paraId="734B9842">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第二十条　签订本合同依据</w:t>
      </w:r>
    </w:p>
    <w:p w14:paraId="668890E5">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（1）成交通知书</w:t>
      </w:r>
    </w:p>
    <w:p w14:paraId="1E3C3DB2">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（2）竞争性</w:t>
      </w:r>
      <w:r>
        <w:rPr>
          <w:rFonts w:hint="eastAsia" w:hAnsi="宋体" w:cs="宋体"/>
          <w:color w:val="auto"/>
          <w:sz w:val="24"/>
          <w:szCs w:val="24"/>
          <w:highlight w:val="none"/>
          <w:lang w:val="en-US" w:eastAsia="zh-CN"/>
        </w:rPr>
        <w:t>谈判</w:t>
      </w:r>
      <w:r>
        <w:rPr>
          <w:rFonts w:hint="eastAsia" w:hAnsi="宋体" w:cs="宋体"/>
          <w:color w:val="auto"/>
          <w:sz w:val="24"/>
          <w:szCs w:val="24"/>
          <w:highlight w:val="none"/>
        </w:rPr>
        <w:t>文件采购需求一览表</w:t>
      </w:r>
    </w:p>
    <w:p w14:paraId="1B2B439A">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（3）竞争性</w:t>
      </w:r>
      <w:r>
        <w:rPr>
          <w:rFonts w:hint="eastAsia" w:hAnsi="宋体" w:cs="宋体"/>
          <w:color w:val="auto"/>
          <w:sz w:val="24"/>
          <w:szCs w:val="24"/>
          <w:highlight w:val="none"/>
          <w:lang w:val="en-US" w:eastAsia="zh-CN"/>
        </w:rPr>
        <w:t>谈判</w:t>
      </w:r>
      <w:r>
        <w:rPr>
          <w:rFonts w:hint="eastAsia" w:hAnsi="宋体" w:cs="宋体"/>
          <w:color w:val="auto"/>
          <w:sz w:val="24"/>
          <w:szCs w:val="24"/>
          <w:highlight w:val="none"/>
        </w:rPr>
        <w:t>文件的澄清和修改（如有请提供）</w:t>
      </w:r>
    </w:p>
    <w:p w14:paraId="51433113">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（4）</w:t>
      </w:r>
      <w:r>
        <w:rPr>
          <w:rFonts w:hint="eastAsia" w:hAnsi="宋体" w:cs="宋体"/>
          <w:color w:val="auto"/>
          <w:sz w:val="24"/>
          <w:szCs w:val="24"/>
          <w:highlight w:val="none"/>
          <w:lang w:val="en-US" w:eastAsia="zh-CN"/>
        </w:rPr>
        <w:t>谈判</w:t>
      </w:r>
      <w:r>
        <w:rPr>
          <w:rFonts w:hint="eastAsia" w:hAnsi="宋体" w:cs="宋体"/>
          <w:color w:val="auto"/>
          <w:sz w:val="24"/>
          <w:szCs w:val="24"/>
          <w:highlight w:val="none"/>
        </w:rPr>
        <w:t>书</w:t>
      </w:r>
    </w:p>
    <w:p w14:paraId="32DC85E4">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（5）</w:t>
      </w:r>
      <w:r>
        <w:rPr>
          <w:rFonts w:hint="eastAsia" w:hAnsi="宋体" w:cs="宋体"/>
          <w:color w:val="auto"/>
          <w:sz w:val="24"/>
          <w:szCs w:val="24"/>
          <w:highlight w:val="none"/>
          <w:lang w:val="en-US" w:eastAsia="zh-CN"/>
        </w:rPr>
        <w:t>谈判</w:t>
      </w:r>
      <w:r>
        <w:rPr>
          <w:rFonts w:hint="eastAsia" w:hAnsi="宋体" w:cs="宋体"/>
          <w:color w:val="auto"/>
          <w:sz w:val="24"/>
          <w:szCs w:val="24"/>
          <w:highlight w:val="none"/>
        </w:rPr>
        <w:t>报价表</w:t>
      </w:r>
    </w:p>
    <w:p w14:paraId="71A74650">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（6）成交供应商澄清函（如有请提供）</w:t>
      </w:r>
    </w:p>
    <w:p w14:paraId="2A4894E2">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（7）最终报价</w:t>
      </w:r>
    </w:p>
    <w:p w14:paraId="4FC0D6F8">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（8）履约保证金交纳证明（如有）</w:t>
      </w:r>
    </w:p>
    <w:p w14:paraId="195056DA">
      <w:pPr>
        <w:pStyle w:val="22"/>
        <w:keepNext w:val="0"/>
        <w:keepLines w:val="0"/>
        <w:pageBreakBefore w:val="0"/>
        <w:kinsoku/>
        <w:wordWrap/>
        <w:overflowPunct/>
        <w:topLinePunct w:val="0"/>
        <w:autoSpaceDE/>
        <w:autoSpaceDN/>
        <w:bidi w:val="0"/>
        <w:snapToGrid w:val="0"/>
        <w:spacing w:line="360" w:lineRule="auto"/>
        <w:ind w:left="0" w:firstLine="480" w:firstLineChars="200"/>
        <w:textAlignment w:val="auto"/>
        <w:rPr>
          <w:rFonts w:hint="eastAsia" w:hAnsi="宋体" w:cs="宋体"/>
          <w:color w:val="auto"/>
          <w:sz w:val="24"/>
          <w:szCs w:val="24"/>
          <w:highlight w:val="none"/>
        </w:rPr>
      </w:pPr>
      <w:r>
        <w:rPr>
          <w:rFonts w:hint="eastAsia" w:hAnsi="宋体" w:cs="宋体"/>
          <w:color w:val="auto"/>
          <w:sz w:val="24"/>
          <w:szCs w:val="24"/>
          <w:highlight w:val="none"/>
        </w:rPr>
        <w:t>（9）其他与本合同相关的资料（如经双方确认的需求规格说明书等）</w:t>
      </w:r>
    </w:p>
    <w:p w14:paraId="75E6F90C">
      <w:pPr>
        <w:keepNext w:val="0"/>
        <w:keepLines w:val="0"/>
        <w:pageBreakBefore w:val="0"/>
        <w:kinsoku/>
        <w:wordWrap/>
        <w:overflowPunct/>
        <w:topLinePunct w:val="0"/>
        <w:autoSpaceDE/>
        <w:autoSpaceDN/>
        <w:bidi w:val="0"/>
        <w:spacing w:after="0" w:line="360" w:lineRule="auto"/>
        <w:ind w:left="0"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第二十一条　 </w:t>
      </w:r>
      <w:r>
        <w:rPr>
          <w:rFonts w:hint="eastAsia" w:ascii="宋体" w:hAnsi="宋体" w:eastAsia="宋体" w:cs="宋体"/>
          <w:color w:val="auto"/>
          <w:sz w:val="24"/>
          <w:szCs w:val="24"/>
          <w:highlight w:val="none"/>
        </w:rPr>
        <w:t>本合同一式陆份，均具有同等法律效力。</w:t>
      </w:r>
      <w:r>
        <w:rPr>
          <w:rFonts w:hint="eastAsia" w:ascii="宋体" w:hAnsi="宋体" w:eastAsia="宋体" w:cs="宋体"/>
          <w:color w:val="auto"/>
          <w:spacing w:val="4"/>
          <w:sz w:val="24"/>
          <w:szCs w:val="24"/>
          <w:highlight w:val="none"/>
        </w:rPr>
        <w:t>广西壮族自治区财政厅政府采购监督管理处、采购代理机构各壹份</w:t>
      </w:r>
      <w:r>
        <w:rPr>
          <w:rFonts w:hint="eastAsia" w:ascii="宋体" w:hAnsi="宋体" w:eastAsia="宋体" w:cs="宋体"/>
          <w:color w:val="auto"/>
          <w:sz w:val="24"/>
          <w:szCs w:val="24"/>
          <w:highlight w:val="none"/>
        </w:rPr>
        <w:t>，甲方贰份，乙方贰份。</w:t>
      </w:r>
    </w:p>
    <w:p w14:paraId="7F9CDFAC">
      <w:pPr>
        <w:keepNext w:val="0"/>
        <w:keepLines w:val="0"/>
        <w:pageBreakBefore w:val="0"/>
        <w:kinsoku/>
        <w:wordWrap/>
        <w:overflowPunct/>
        <w:topLinePunct w:val="0"/>
        <w:autoSpaceDE/>
        <w:autoSpaceDN/>
        <w:bidi w:val="0"/>
        <w:spacing w:after="0" w:line="360" w:lineRule="auto"/>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本合同甲乙双方签字盖章后生效，自签订之日起七个工作日内，采购人或采购代理机构应当将合同副本报</w:t>
      </w:r>
      <w:r>
        <w:rPr>
          <w:rFonts w:hint="eastAsia" w:ascii="宋体" w:hAnsi="宋体" w:eastAsia="宋体" w:cs="宋体"/>
          <w:color w:val="auto"/>
          <w:spacing w:val="4"/>
          <w:sz w:val="24"/>
          <w:szCs w:val="24"/>
          <w:highlight w:val="none"/>
        </w:rPr>
        <w:t>广西壮族自治区财政厅政府采购监督管理处</w:t>
      </w:r>
      <w:r>
        <w:rPr>
          <w:rFonts w:hint="eastAsia" w:ascii="宋体" w:hAnsi="宋体" w:eastAsia="宋体" w:cs="宋体"/>
          <w:color w:val="auto"/>
          <w:sz w:val="24"/>
          <w:szCs w:val="24"/>
          <w:highlight w:val="none"/>
        </w:rPr>
        <w:t>备案。</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40E1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6BD85375">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p>
          <w:p w14:paraId="03F4DBA4">
            <w:pPr>
              <w:spacing w:line="360" w:lineRule="exact"/>
              <w:ind w:firstLine="1080" w:firstLineChars="45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14:paraId="7DBC866C">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46AF5FAE">
            <w:pPr>
              <w:spacing w:line="36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51A6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BF452DB">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通讯地址： </w:t>
            </w:r>
          </w:p>
        </w:tc>
        <w:tc>
          <w:tcPr>
            <w:tcW w:w="4772" w:type="dxa"/>
            <w:tcBorders>
              <w:top w:val="single" w:color="auto" w:sz="4" w:space="0"/>
              <w:left w:val="single" w:color="auto" w:sz="4" w:space="0"/>
              <w:bottom w:val="single" w:color="auto" w:sz="4" w:space="0"/>
              <w:right w:val="single" w:color="auto" w:sz="4" w:space="0"/>
            </w:tcBorders>
            <w:vAlign w:val="center"/>
          </w:tcPr>
          <w:p w14:paraId="408B26F8">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r>
      <w:tr w14:paraId="110D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76F2CD9">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14:paraId="034EC04A">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r>
      <w:tr w14:paraId="0C95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A0EB7E8">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14:paraId="0223F8B8">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r>
      <w:tr w14:paraId="66BF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E451DD8">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tc>
        <w:tc>
          <w:tcPr>
            <w:tcW w:w="4772" w:type="dxa"/>
            <w:tcBorders>
              <w:top w:val="single" w:color="auto" w:sz="4" w:space="0"/>
              <w:left w:val="single" w:color="auto" w:sz="4" w:space="0"/>
              <w:bottom w:val="single" w:color="auto" w:sz="4" w:space="0"/>
              <w:right w:val="single" w:color="auto" w:sz="4" w:space="0"/>
            </w:tcBorders>
            <w:vAlign w:val="center"/>
          </w:tcPr>
          <w:p w14:paraId="0B7F258C">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1700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4B0A426">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14:paraId="2ABB1A75">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5442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79F4607">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c>
          <w:tcPr>
            <w:tcW w:w="4772" w:type="dxa"/>
            <w:tcBorders>
              <w:top w:val="single" w:color="auto" w:sz="4" w:space="0"/>
              <w:left w:val="single" w:color="auto" w:sz="4" w:space="0"/>
              <w:bottom w:val="single" w:color="auto" w:sz="4" w:space="0"/>
              <w:right w:val="single" w:color="auto" w:sz="4" w:space="0"/>
            </w:tcBorders>
            <w:vAlign w:val="center"/>
          </w:tcPr>
          <w:p w14:paraId="74C82439">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64A8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59F21D8">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账号： </w:t>
            </w:r>
          </w:p>
        </w:tc>
        <w:tc>
          <w:tcPr>
            <w:tcW w:w="4772" w:type="dxa"/>
            <w:tcBorders>
              <w:top w:val="single" w:color="auto" w:sz="4" w:space="0"/>
              <w:left w:val="single" w:color="auto" w:sz="4" w:space="0"/>
              <w:bottom w:val="single" w:color="auto" w:sz="4" w:space="0"/>
              <w:right w:val="single" w:color="auto" w:sz="4" w:space="0"/>
            </w:tcBorders>
            <w:vAlign w:val="center"/>
          </w:tcPr>
          <w:p w14:paraId="2C6C993A">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6570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5EC4872">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邮政编码： </w:t>
            </w:r>
          </w:p>
        </w:tc>
        <w:tc>
          <w:tcPr>
            <w:tcW w:w="4772" w:type="dxa"/>
            <w:tcBorders>
              <w:top w:val="single" w:color="auto" w:sz="4" w:space="0"/>
              <w:left w:val="single" w:color="auto" w:sz="4" w:space="0"/>
              <w:bottom w:val="single" w:color="auto" w:sz="4" w:space="0"/>
              <w:right w:val="single" w:color="auto" w:sz="4" w:space="0"/>
            </w:tcBorders>
            <w:vAlign w:val="center"/>
          </w:tcPr>
          <w:p w14:paraId="707639F4">
            <w:pPr>
              <w:spacing w:line="3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436D61FA">
      <w:pPr>
        <w:spacing w:line="360" w:lineRule="exact"/>
        <w:jc w:val="center"/>
        <w:rPr>
          <w:rFonts w:ascii="宋体"/>
          <w:b/>
          <w:color w:val="auto"/>
          <w:sz w:val="28"/>
          <w:szCs w:val="28"/>
          <w:highlight w:val="none"/>
        </w:rPr>
      </w:pPr>
    </w:p>
    <w:p w14:paraId="191378CF">
      <w:pPr>
        <w:spacing w:line="360" w:lineRule="exact"/>
        <w:jc w:val="center"/>
        <w:rPr>
          <w:rFonts w:ascii="宋体"/>
          <w:b/>
          <w:color w:val="auto"/>
          <w:sz w:val="28"/>
          <w:szCs w:val="28"/>
          <w:highlight w:val="none"/>
        </w:rPr>
      </w:pPr>
    </w:p>
    <w:p w14:paraId="09E84897">
      <w:pPr>
        <w:pStyle w:val="103"/>
        <w:rPr>
          <w:rFonts w:cs="Times New Roman" w:asciiTheme="minorEastAsia" w:hAnsiTheme="minorEastAsia" w:eastAsiaTheme="minorEastAsia"/>
          <w:color w:val="auto"/>
          <w:kern w:val="2"/>
          <w:highlight w:val="none"/>
        </w:rPr>
      </w:pPr>
      <w:r>
        <w:rPr>
          <w:rFonts w:hint="eastAsia"/>
          <w:b/>
          <w:color w:val="auto"/>
          <w:sz w:val="28"/>
          <w:szCs w:val="28"/>
          <w:highlight w:val="none"/>
        </w:rPr>
        <w:br w:type="page"/>
      </w:r>
      <w:r>
        <w:rPr>
          <w:rFonts w:hint="eastAsia" w:cs="Times New Roman" w:asciiTheme="minorEastAsia" w:hAnsiTheme="minorEastAsia" w:eastAsiaTheme="minorEastAsia"/>
          <w:color w:val="auto"/>
          <w:kern w:val="2"/>
          <w:highlight w:val="none"/>
        </w:rPr>
        <w:t>合同附件</w:t>
      </w:r>
      <w:r>
        <w:rPr>
          <w:rFonts w:cs="Times New Roman" w:asciiTheme="minorEastAsia" w:hAnsiTheme="minorEastAsia" w:eastAsiaTheme="minorEastAsia"/>
          <w:color w:val="auto"/>
          <w:kern w:val="2"/>
          <w:highlight w:val="none"/>
        </w:rPr>
        <w:t xml:space="preserve">1 </w:t>
      </w:r>
    </w:p>
    <w:p w14:paraId="5D5CCDB4">
      <w:pPr>
        <w:pStyle w:val="103"/>
        <w:jc w:val="center"/>
        <w:rPr>
          <w:rFonts w:cs="Times New Roman" w:asciiTheme="minorEastAsia" w:hAnsiTheme="minorEastAsia" w:eastAsiaTheme="minorEastAsia"/>
          <w:b/>
          <w:color w:val="auto"/>
          <w:kern w:val="2"/>
          <w:sz w:val="28"/>
          <w:szCs w:val="28"/>
          <w:highlight w:val="none"/>
        </w:rPr>
      </w:pPr>
    </w:p>
    <w:p w14:paraId="2613F542">
      <w:pPr>
        <w:pStyle w:val="103"/>
        <w:jc w:val="center"/>
        <w:rPr>
          <w:rFonts w:cs="Times New Roman" w:asciiTheme="minorEastAsia" w:hAnsiTheme="minorEastAsia" w:eastAsiaTheme="minorEastAsia"/>
          <w:b/>
          <w:color w:val="auto"/>
          <w:kern w:val="2"/>
          <w:sz w:val="28"/>
          <w:szCs w:val="28"/>
          <w:highlight w:val="none"/>
        </w:rPr>
      </w:pPr>
      <w:r>
        <w:rPr>
          <w:rFonts w:hint="eastAsia" w:cs="Times New Roman" w:asciiTheme="minorEastAsia" w:hAnsiTheme="minorEastAsia" w:eastAsiaTheme="minorEastAsia"/>
          <w:b/>
          <w:color w:val="auto"/>
          <w:kern w:val="2"/>
          <w:sz w:val="28"/>
          <w:szCs w:val="28"/>
          <w:highlight w:val="none"/>
        </w:rPr>
        <w:t>响应承诺书</w:t>
      </w:r>
    </w:p>
    <w:p w14:paraId="50728458">
      <w:pPr>
        <w:pStyle w:val="103"/>
        <w:ind w:firstLine="240" w:firstLineChars="100"/>
        <w:rPr>
          <w:rFonts w:cs="Times New Roman" w:asciiTheme="minorEastAsia" w:hAnsiTheme="minorEastAsia" w:eastAsiaTheme="minorEastAsia"/>
          <w:b/>
          <w:color w:val="auto"/>
          <w:kern w:val="2"/>
          <w:sz w:val="28"/>
          <w:szCs w:val="28"/>
          <w:highlight w:val="none"/>
        </w:rPr>
      </w:pPr>
      <w:r>
        <w:rPr>
          <w:rFonts w:hint="eastAsia" w:cs="Times New Roman" w:asciiTheme="minorEastAsia" w:hAnsiTheme="minorEastAsia" w:eastAsiaTheme="minorEastAsia"/>
          <w:color w:val="auto"/>
          <w:kern w:val="2"/>
          <w:highlight w:val="none"/>
        </w:rPr>
        <w:t>一般货物类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536"/>
      </w:tblGrid>
      <w:tr w14:paraId="32308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8897" w:type="dxa"/>
            <w:gridSpan w:val="2"/>
          </w:tcPr>
          <w:p w14:paraId="6E546471">
            <w:pPr>
              <w:pStyle w:val="103"/>
              <w:rPr>
                <w:rFonts w:cs="Times New Roman" w:asciiTheme="minorEastAsia" w:hAnsiTheme="minorEastAsia" w:eastAsiaTheme="minorEastAsia"/>
                <w:color w:val="auto"/>
                <w:kern w:val="2"/>
                <w:highlight w:val="none"/>
              </w:rPr>
            </w:pPr>
            <w:r>
              <w:rPr>
                <w:rFonts w:cs="Times New Roman" w:asciiTheme="minorEastAsia" w:hAnsiTheme="minorEastAsia" w:eastAsiaTheme="minorEastAsia"/>
                <w:color w:val="auto"/>
                <w:kern w:val="2"/>
                <w:highlight w:val="none"/>
              </w:rPr>
              <w:t>1</w:t>
            </w:r>
            <w:r>
              <w:rPr>
                <w:rFonts w:hint="eastAsia" w:cs="Times New Roman" w:asciiTheme="minorEastAsia" w:hAnsiTheme="minorEastAsia" w:eastAsiaTheme="minorEastAsia"/>
                <w:color w:val="auto"/>
                <w:kern w:val="2"/>
                <w:highlight w:val="none"/>
              </w:rPr>
              <w:t>．乙方承诺具体事项：</w:t>
            </w:r>
          </w:p>
        </w:tc>
      </w:tr>
      <w:tr w14:paraId="486A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8897" w:type="dxa"/>
            <w:gridSpan w:val="2"/>
          </w:tcPr>
          <w:p w14:paraId="6115D5B9">
            <w:pPr>
              <w:pStyle w:val="103"/>
              <w:rPr>
                <w:rFonts w:cs="Times New Roman" w:asciiTheme="minorEastAsia" w:hAnsiTheme="minorEastAsia" w:eastAsiaTheme="minorEastAsia"/>
                <w:color w:val="auto"/>
                <w:kern w:val="2"/>
                <w:highlight w:val="none"/>
              </w:rPr>
            </w:pPr>
            <w:r>
              <w:rPr>
                <w:rFonts w:cs="Times New Roman" w:asciiTheme="minorEastAsia" w:hAnsiTheme="minorEastAsia" w:eastAsiaTheme="minorEastAsia"/>
                <w:color w:val="auto"/>
                <w:kern w:val="2"/>
                <w:highlight w:val="none"/>
              </w:rPr>
              <w:t>2</w:t>
            </w:r>
            <w:r>
              <w:rPr>
                <w:rFonts w:hint="eastAsia" w:cs="Times New Roman" w:asciiTheme="minorEastAsia" w:hAnsiTheme="minorEastAsia" w:eastAsiaTheme="minorEastAsia"/>
                <w:color w:val="auto"/>
                <w:kern w:val="2"/>
                <w:highlight w:val="none"/>
              </w:rPr>
              <w:t>．售后服务具体事项：</w:t>
            </w:r>
          </w:p>
        </w:tc>
      </w:tr>
      <w:tr w14:paraId="1BF0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8897" w:type="dxa"/>
            <w:gridSpan w:val="2"/>
          </w:tcPr>
          <w:p w14:paraId="26052595">
            <w:pPr>
              <w:pStyle w:val="103"/>
              <w:rPr>
                <w:rFonts w:cs="Times New Roman" w:asciiTheme="minorEastAsia" w:hAnsiTheme="minorEastAsia" w:eastAsiaTheme="minorEastAsia"/>
                <w:color w:val="auto"/>
                <w:kern w:val="2"/>
                <w:highlight w:val="none"/>
              </w:rPr>
            </w:pPr>
            <w:r>
              <w:rPr>
                <w:rFonts w:cs="Times New Roman" w:asciiTheme="minorEastAsia" w:hAnsiTheme="minorEastAsia" w:eastAsiaTheme="minorEastAsia"/>
                <w:color w:val="auto"/>
                <w:kern w:val="2"/>
                <w:highlight w:val="none"/>
              </w:rPr>
              <w:t>3</w:t>
            </w:r>
            <w:r>
              <w:rPr>
                <w:rFonts w:hint="eastAsia" w:cs="Times New Roman" w:asciiTheme="minorEastAsia" w:hAnsiTheme="minorEastAsia" w:eastAsiaTheme="minorEastAsia"/>
                <w:color w:val="auto"/>
                <w:kern w:val="2"/>
                <w:highlight w:val="none"/>
              </w:rPr>
              <w:t>．质保期责任：</w:t>
            </w:r>
          </w:p>
        </w:tc>
      </w:tr>
      <w:tr w14:paraId="4FBE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8897" w:type="dxa"/>
            <w:gridSpan w:val="2"/>
          </w:tcPr>
          <w:p w14:paraId="31A91D60">
            <w:pPr>
              <w:pStyle w:val="103"/>
              <w:rPr>
                <w:rFonts w:cs="Times New Roman" w:asciiTheme="minorEastAsia" w:hAnsiTheme="minorEastAsia" w:eastAsiaTheme="minorEastAsia"/>
                <w:color w:val="auto"/>
                <w:kern w:val="2"/>
                <w:highlight w:val="none"/>
              </w:rPr>
            </w:pPr>
            <w:r>
              <w:rPr>
                <w:rFonts w:cs="Times New Roman" w:asciiTheme="minorEastAsia" w:hAnsiTheme="minorEastAsia" w:eastAsiaTheme="minorEastAsia"/>
                <w:color w:val="auto"/>
                <w:kern w:val="2"/>
                <w:highlight w:val="none"/>
              </w:rPr>
              <w:t>4</w:t>
            </w:r>
            <w:r>
              <w:rPr>
                <w:rFonts w:hint="eastAsia" w:cs="Times New Roman" w:asciiTheme="minorEastAsia" w:hAnsiTheme="minorEastAsia" w:eastAsiaTheme="minorEastAsia"/>
                <w:color w:val="auto"/>
                <w:kern w:val="2"/>
                <w:highlight w:val="none"/>
              </w:rPr>
              <w:t>．其他具体事项：</w:t>
            </w:r>
          </w:p>
        </w:tc>
      </w:tr>
      <w:tr w14:paraId="1A31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4361" w:type="dxa"/>
          </w:tcPr>
          <w:p w14:paraId="18D53261">
            <w:pPr>
              <w:pStyle w:val="10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甲方</w:t>
            </w:r>
            <w:r>
              <w:rPr>
                <w:rFonts w:cs="Times New Roman" w:asciiTheme="minorEastAsia" w:hAnsiTheme="minorEastAsia" w:eastAsiaTheme="minorEastAsia"/>
                <w:color w:val="auto"/>
                <w:kern w:val="2"/>
                <w:highlight w:val="none"/>
              </w:rPr>
              <w:t>(</w:t>
            </w:r>
            <w:r>
              <w:rPr>
                <w:rFonts w:hint="eastAsia" w:cs="Times New Roman" w:asciiTheme="minorEastAsia" w:hAnsiTheme="minorEastAsia" w:eastAsiaTheme="minorEastAsia"/>
                <w:color w:val="auto"/>
                <w:kern w:val="2"/>
                <w:highlight w:val="none"/>
              </w:rPr>
              <w:t>章</w:t>
            </w:r>
            <w:r>
              <w:rPr>
                <w:rFonts w:cs="Times New Roman" w:asciiTheme="minorEastAsia" w:hAnsiTheme="minorEastAsia" w:eastAsiaTheme="minorEastAsia"/>
                <w:color w:val="auto"/>
                <w:kern w:val="2"/>
                <w:highlight w:val="none"/>
              </w:rPr>
              <w:t>)</w:t>
            </w:r>
          </w:p>
          <w:p w14:paraId="75BDE96F">
            <w:pPr>
              <w:pStyle w:val="103"/>
              <w:rPr>
                <w:rFonts w:cs="Times New Roman" w:asciiTheme="minorEastAsia" w:hAnsiTheme="minorEastAsia" w:eastAsiaTheme="minorEastAsia"/>
                <w:color w:val="auto"/>
                <w:kern w:val="2"/>
                <w:highlight w:val="none"/>
              </w:rPr>
            </w:pPr>
          </w:p>
          <w:p w14:paraId="7EC0FB41">
            <w:pPr>
              <w:pStyle w:val="103"/>
              <w:rPr>
                <w:rFonts w:cs="Times New Roman" w:asciiTheme="minorEastAsia" w:hAnsiTheme="minorEastAsia" w:eastAsiaTheme="minorEastAsia"/>
                <w:color w:val="auto"/>
                <w:kern w:val="2"/>
                <w:highlight w:val="none"/>
              </w:rPr>
            </w:pPr>
          </w:p>
          <w:p w14:paraId="0B5912C4">
            <w:pPr>
              <w:pStyle w:val="103"/>
              <w:ind w:firstLine="2640" w:firstLineChars="1100"/>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年 月 日</w:t>
            </w:r>
          </w:p>
        </w:tc>
        <w:tc>
          <w:tcPr>
            <w:tcW w:w="4536" w:type="dxa"/>
          </w:tcPr>
          <w:p w14:paraId="5F14F46E">
            <w:pPr>
              <w:pStyle w:val="103"/>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乙方</w:t>
            </w:r>
            <w:r>
              <w:rPr>
                <w:rFonts w:cs="Times New Roman" w:asciiTheme="minorEastAsia" w:hAnsiTheme="minorEastAsia" w:eastAsiaTheme="minorEastAsia"/>
                <w:color w:val="auto"/>
                <w:kern w:val="2"/>
                <w:highlight w:val="none"/>
              </w:rPr>
              <w:t>(</w:t>
            </w:r>
            <w:r>
              <w:rPr>
                <w:rFonts w:hint="eastAsia" w:cs="Times New Roman" w:asciiTheme="minorEastAsia" w:hAnsiTheme="minorEastAsia" w:eastAsiaTheme="minorEastAsia"/>
                <w:color w:val="auto"/>
                <w:kern w:val="2"/>
                <w:highlight w:val="none"/>
              </w:rPr>
              <w:t>章</w:t>
            </w:r>
            <w:r>
              <w:rPr>
                <w:rFonts w:cs="Times New Roman" w:asciiTheme="minorEastAsia" w:hAnsiTheme="minorEastAsia" w:eastAsiaTheme="minorEastAsia"/>
                <w:color w:val="auto"/>
                <w:kern w:val="2"/>
                <w:highlight w:val="none"/>
              </w:rPr>
              <w:t>)</w:t>
            </w:r>
          </w:p>
          <w:p w14:paraId="321AAD6E">
            <w:pPr>
              <w:pStyle w:val="103"/>
              <w:rPr>
                <w:rFonts w:cs="Times New Roman" w:asciiTheme="minorEastAsia" w:hAnsiTheme="minorEastAsia" w:eastAsiaTheme="minorEastAsia"/>
                <w:color w:val="auto"/>
                <w:kern w:val="2"/>
                <w:highlight w:val="none"/>
              </w:rPr>
            </w:pPr>
          </w:p>
          <w:p w14:paraId="31057C62">
            <w:pPr>
              <w:pStyle w:val="103"/>
              <w:rPr>
                <w:rFonts w:cs="Times New Roman" w:asciiTheme="minorEastAsia" w:hAnsiTheme="minorEastAsia" w:eastAsiaTheme="minorEastAsia"/>
                <w:color w:val="auto"/>
                <w:kern w:val="2"/>
                <w:highlight w:val="none"/>
              </w:rPr>
            </w:pPr>
          </w:p>
          <w:p w14:paraId="6655E4F9">
            <w:pPr>
              <w:pStyle w:val="103"/>
              <w:ind w:firstLine="2880" w:firstLineChars="1200"/>
              <w:rPr>
                <w:rFonts w:cs="Times New Roman" w:asciiTheme="minorEastAsia" w:hAnsiTheme="minorEastAsia" w:eastAsiaTheme="minorEastAsia"/>
                <w:color w:val="auto"/>
                <w:kern w:val="2"/>
                <w:highlight w:val="none"/>
              </w:rPr>
            </w:pPr>
            <w:r>
              <w:rPr>
                <w:rFonts w:hint="eastAsia" w:cs="Times New Roman" w:asciiTheme="minorEastAsia" w:hAnsiTheme="minorEastAsia" w:eastAsiaTheme="minorEastAsia"/>
                <w:color w:val="auto"/>
                <w:kern w:val="2"/>
                <w:highlight w:val="none"/>
              </w:rPr>
              <w:t>年 月 日</w:t>
            </w:r>
          </w:p>
        </w:tc>
      </w:tr>
    </w:tbl>
    <w:p w14:paraId="4AC4B852">
      <w:pPr>
        <w:spacing w:after="0"/>
        <w:ind w:firstLine="44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Cs w:val="21"/>
          <w:highlight w:val="none"/>
        </w:rPr>
        <w:t>注：售后服务事项填不下时可另加附页</w:t>
      </w:r>
    </w:p>
    <w:p w14:paraId="28A98ADA">
      <w:pPr>
        <w:ind w:left="440" w:hanging="440" w:hangingChars="200"/>
        <w:rPr>
          <w:rFonts w:asciiTheme="minorEastAsia" w:hAnsiTheme="minorEastAsia" w:eastAsiaTheme="minorEastAsia"/>
          <w:color w:val="auto"/>
          <w:szCs w:val="21"/>
          <w:highlight w:val="none"/>
        </w:rPr>
      </w:pPr>
    </w:p>
    <w:p w14:paraId="6118B8E4">
      <w:pPr>
        <w:adjustRightInd/>
        <w:snapToGrid/>
        <w:spacing w:line="220" w:lineRule="atLeast"/>
        <w:rPr>
          <w:rFonts w:asciiTheme="minorEastAsia" w:hAnsiTheme="minorEastAsia" w:eastAsiaTheme="minorEastAsia"/>
          <w:color w:val="auto"/>
          <w:sz w:val="24"/>
          <w:highlight w:val="none"/>
        </w:rPr>
      </w:pPr>
    </w:p>
    <w:p w14:paraId="2B6026E9">
      <w:pPr>
        <w:adjustRightInd/>
        <w:snapToGrid/>
        <w:spacing w:line="220" w:lineRule="atLeas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35F27BA">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附件</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p>
    <w:p w14:paraId="4031085F">
      <w:pPr>
        <w:pStyle w:val="103"/>
        <w:jc w:val="center"/>
        <w:rPr>
          <w:rFonts w:cs="Times New Roman" w:asciiTheme="minorEastAsia" w:hAnsiTheme="minorEastAsia" w:eastAsiaTheme="minorEastAsia"/>
          <w:b/>
          <w:color w:val="auto"/>
          <w:kern w:val="2"/>
          <w:sz w:val="28"/>
          <w:szCs w:val="28"/>
          <w:highlight w:val="none"/>
        </w:rPr>
      </w:pPr>
      <w:r>
        <w:rPr>
          <w:rFonts w:hint="eastAsia" w:cs="Times New Roman" w:asciiTheme="minorEastAsia" w:hAnsiTheme="minorEastAsia" w:eastAsiaTheme="minorEastAsia"/>
          <w:b/>
          <w:color w:val="auto"/>
          <w:kern w:val="2"/>
          <w:sz w:val="28"/>
          <w:szCs w:val="28"/>
          <w:highlight w:val="none"/>
        </w:rPr>
        <w:t>广西壮族自治区政府采购项目合同验收书（格式）</w:t>
      </w:r>
    </w:p>
    <w:p w14:paraId="201E4FE9">
      <w:pPr>
        <w:shd w:val="clear" w:color="auto" w:fill="FFFFFF"/>
        <w:spacing w:line="440" w:lineRule="exact"/>
        <w:ind w:firstLine="482"/>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根据政府采购项目（</w:t>
      </w:r>
      <w:r>
        <w:rPr>
          <w:rFonts w:hint="eastAsia" w:cs="宋体" w:asciiTheme="minorEastAsia" w:hAnsiTheme="minorEastAsia" w:eastAsiaTheme="minorEastAsia"/>
          <w:color w:val="auto"/>
          <w:sz w:val="24"/>
          <w:highlight w:val="none"/>
          <w:u w:val="single"/>
        </w:rPr>
        <w:t>采购合同编号：</w:t>
      </w:r>
      <w:r>
        <w:rPr>
          <w:rFonts w:hint="eastAsia" w:cs="宋体" w:asciiTheme="minorEastAsia" w:hAnsiTheme="minorEastAsia" w:eastAsiaTheme="minorEastAsia"/>
          <w:color w:val="auto"/>
          <w:sz w:val="24"/>
          <w:highlight w:val="none"/>
          <w:u w:val="single"/>
        </w:rPr>
        <w:softHyphen/>
      </w:r>
      <w:r>
        <w:rPr>
          <w:rFonts w:hint="eastAsia" w:cs="宋体" w:asciiTheme="minorEastAsia" w:hAnsiTheme="minorEastAsia" w:eastAsiaTheme="minorEastAsia"/>
          <w:color w:val="auto"/>
          <w:sz w:val="24"/>
          <w:highlight w:val="none"/>
        </w:rPr>
        <w:t>）的约定，我单位对（</w:t>
      </w:r>
      <w:r>
        <w:rPr>
          <w:rFonts w:hint="eastAsia" w:cs="宋体" w:asciiTheme="minorEastAsia" w:hAnsiTheme="minorEastAsia" w:eastAsiaTheme="minorEastAsia"/>
          <w:color w:val="auto"/>
          <w:sz w:val="24"/>
          <w:highlight w:val="none"/>
          <w:u w:val="single"/>
        </w:rPr>
        <w:t xml:space="preserve"> 项目名称 </w:t>
      </w:r>
      <w:r>
        <w:rPr>
          <w:rFonts w:hint="eastAsia" w:cs="宋体" w:asciiTheme="minorEastAsia" w:hAnsiTheme="minorEastAsia" w:eastAsiaTheme="minorEastAsia"/>
          <w:color w:val="auto"/>
          <w:sz w:val="24"/>
          <w:highlight w:val="none"/>
        </w:rPr>
        <w:t>） 政府采购项目成交供应商（</w:t>
      </w:r>
      <w:r>
        <w:rPr>
          <w:rFonts w:hint="eastAsia" w:cs="宋体" w:asciiTheme="minorEastAsia" w:hAnsiTheme="minorEastAsia" w:eastAsiaTheme="minorEastAsia"/>
          <w:color w:val="auto"/>
          <w:sz w:val="24"/>
          <w:highlight w:val="none"/>
          <w:u w:val="single"/>
        </w:rPr>
        <w:t xml:space="preserve"> 公司名称 </w:t>
      </w:r>
      <w:r>
        <w:rPr>
          <w:rFonts w:hint="eastAsia" w:cs="宋体" w:asciiTheme="minorEastAsia" w:hAnsiTheme="minorEastAsia" w:eastAsiaTheme="minorEastAsia"/>
          <w:color w:val="auto"/>
          <w:sz w:val="24"/>
          <w:highlight w:val="none"/>
        </w:rPr>
        <w:t>） 提供的货物（或工程、服务）进行了验收，验收情况如下：</w:t>
      </w:r>
    </w:p>
    <w:tbl>
      <w:tblPr>
        <w:tblStyle w:val="38"/>
        <w:tblW w:w="0" w:type="auto"/>
        <w:jc w:val="center"/>
        <w:tblLayout w:type="fixed"/>
        <w:tblCellMar>
          <w:top w:w="0" w:type="dxa"/>
          <w:left w:w="0" w:type="dxa"/>
          <w:bottom w:w="0" w:type="dxa"/>
          <w:right w:w="0" w:type="dxa"/>
        </w:tblCellMar>
      </w:tblPr>
      <w:tblGrid>
        <w:gridCol w:w="1159"/>
        <w:gridCol w:w="2093"/>
        <w:gridCol w:w="798"/>
        <w:gridCol w:w="102"/>
        <w:gridCol w:w="2002"/>
        <w:gridCol w:w="178"/>
        <w:gridCol w:w="685"/>
        <w:gridCol w:w="2160"/>
      </w:tblGrid>
      <w:tr w14:paraId="648F4590">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2B90CEE3">
            <w:pPr>
              <w:spacing w:before="100" w:beforeAutospacing="1" w:after="100" w:afterAutospacing="1" w:line="320" w:lineRule="atLeast"/>
              <w:ind w:firstLine="5"/>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验收方式：</w:t>
            </w:r>
          </w:p>
        </w:tc>
        <w:tc>
          <w:tcPr>
            <w:tcW w:w="5925" w:type="dxa"/>
            <w:gridSpan w:val="6"/>
            <w:tcBorders>
              <w:top w:val="single" w:color="auto" w:sz="8" w:space="0"/>
              <w:left w:val="nil"/>
              <w:bottom w:val="single" w:color="auto" w:sz="8" w:space="0"/>
              <w:right w:val="single" w:color="auto" w:sz="8" w:space="0"/>
            </w:tcBorders>
            <w:vAlign w:val="center"/>
          </w:tcPr>
          <w:p w14:paraId="7062D00A">
            <w:pPr>
              <w:spacing w:before="100" w:beforeAutospacing="1" w:after="100" w:afterAutospacing="1" w:line="320" w:lineRule="atLeast"/>
              <w:ind w:firstLine="48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□自行验收 □委托验收</w:t>
            </w:r>
          </w:p>
        </w:tc>
      </w:tr>
      <w:tr w14:paraId="0D3406C6">
        <w:tblPrEx>
          <w:tblCellMar>
            <w:top w:w="0" w:type="dxa"/>
            <w:left w:w="0" w:type="dxa"/>
            <w:bottom w:w="0" w:type="dxa"/>
            <w:right w:w="0" w:type="dxa"/>
          </w:tblCellMar>
        </w:tblPrEx>
        <w:trPr>
          <w:trHeight w:val="622" w:hRule="atLeast"/>
          <w:jc w:val="center"/>
        </w:trPr>
        <w:tc>
          <w:tcPr>
            <w:tcW w:w="1159" w:type="dxa"/>
            <w:tcBorders>
              <w:top w:val="nil"/>
              <w:left w:val="single" w:color="auto" w:sz="8" w:space="0"/>
              <w:bottom w:val="single" w:color="auto" w:sz="8" w:space="0"/>
              <w:right w:val="single" w:color="auto" w:sz="8" w:space="0"/>
            </w:tcBorders>
            <w:vAlign w:val="center"/>
          </w:tcPr>
          <w:p w14:paraId="722340A4">
            <w:pPr>
              <w:spacing w:before="100" w:beforeAutospacing="1" w:after="100" w:afterAutospacing="1" w:line="320" w:lineRule="atLeast"/>
              <w:ind w:firstLine="2"/>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2093" w:type="dxa"/>
            <w:tcBorders>
              <w:top w:val="nil"/>
              <w:left w:val="nil"/>
              <w:bottom w:val="single" w:color="auto" w:sz="8" w:space="0"/>
              <w:right w:val="single" w:color="auto" w:sz="8" w:space="0"/>
            </w:tcBorders>
            <w:vAlign w:val="center"/>
          </w:tcPr>
          <w:p w14:paraId="4BEDB9D4">
            <w:pPr>
              <w:spacing w:before="100" w:beforeAutospacing="1" w:after="100" w:afterAutospacing="1" w:line="320" w:lineRule="atLeast"/>
              <w:ind w:firstLine="2"/>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名 称</w:t>
            </w:r>
          </w:p>
        </w:tc>
        <w:tc>
          <w:tcPr>
            <w:tcW w:w="2902" w:type="dxa"/>
            <w:gridSpan w:val="3"/>
            <w:tcBorders>
              <w:top w:val="nil"/>
              <w:left w:val="nil"/>
              <w:bottom w:val="single" w:color="auto" w:sz="8" w:space="0"/>
              <w:right w:val="single" w:color="auto" w:sz="8" w:space="0"/>
            </w:tcBorders>
            <w:vAlign w:val="center"/>
          </w:tcPr>
          <w:p w14:paraId="2E60BD8D">
            <w:pPr>
              <w:spacing w:before="100" w:beforeAutospacing="1" w:after="100" w:afterAutospacing="1" w:line="320" w:lineRule="atLeast"/>
              <w:ind w:firstLine="2"/>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1E18983B">
            <w:pPr>
              <w:spacing w:before="100" w:beforeAutospacing="1" w:after="100" w:afterAutospacing="1" w:line="320" w:lineRule="atLeas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数量</w:t>
            </w:r>
          </w:p>
        </w:tc>
        <w:tc>
          <w:tcPr>
            <w:tcW w:w="2160" w:type="dxa"/>
            <w:tcBorders>
              <w:top w:val="nil"/>
              <w:left w:val="nil"/>
              <w:bottom w:val="single" w:color="auto" w:sz="8" w:space="0"/>
              <w:right w:val="single" w:color="auto" w:sz="8" w:space="0"/>
            </w:tcBorders>
            <w:vAlign w:val="center"/>
          </w:tcPr>
          <w:p w14:paraId="6A85698F">
            <w:pPr>
              <w:spacing w:before="100" w:beforeAutospacing="1" w:after="100" w:afterAutospacing="1" w:line="320" w:lineRule="atLeast"/>
              <w:ind w:firstLine="2"/>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金 额</w:t>
            </w:r>
          </w:p>
        </w:tc>
      </w:tr>
      <w:tr w14:paraId="2D62DA89">
        <w:tblPrEx>
          <w:tblCellMar>
            <w:top w:w="0" w:type="dxa"/>
            <w:left w:w="0" w:type="dxa"/>
            <w:bottom w:w="0" w:type="dxa"/>
            <w:right w:w="0" w:type="dxa"/>
          </w:tblCellMar>
        </w:tblPrEx>
        <w:trPr>
          <w:trHeight w:val="487" w:hRule="atLeast"/>
          <w:jc w:val="center"/>
        </w:trPr>
        <w:tc>
          <w:tcPr>
            <w:tcW w:w="1159" w:type="dxa"/>
            <w:tcBorders>
              <w:top w:val="nil"/>
              <w:left w:val="single" w:color="auto" w:sz="8" w:space="0"/>
              <w:bottom w:val="single" w:color="auto" w:sz="8" w:space="0"/>
              <w:right w:val="single" w:color="auto" w:sz="8" w:space="0"/>
            </w:tcBorders>
            <w:vAlign w:val="center"/>
          </w:tcPr>
          <w:p w14:paraId="46F14EA2">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093" w:type="dxa"/>
            <w:tcBorders>
              <w:top w:val="nil"/>
              <w:left w:val="nil"/>
              <w:bottom w:val="single" w:color="auto" w:sz="8" w:space="0"/>
              <w:right w:val="single" w:color="auto" w:sz="8" w:space="0"/>
            </w:tcBorders>
            <w:vAlign w:val="center"/>
          </w:tcPr>
          <w:p w14:paraId="00FA5149">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047DAA6A">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863" w:type="dxa"/>
            <w:gridSpan w:val="2"/>
            <w:tcBorders>
              <w:top w:val="nil"/>
              <w:left w:val="nil"/>
              <w:bottom w:val="single" w:color="auto" w:sz="8" w:space="0"/>
              <w:right w:val="single" w:color="auto" w:sz="8" w:space="0"/>
            </w:tcBorders>
            <w:vAlign w:val="center"/>
          </w:tcPr>
          <w:p w14:paraId="39AD2F8C">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160" w:type="dxa"/>
            <w:tcBorders>
              <w:top w:val="nil"/>
              <w:left w:val="nil"/>
              <w:bottom w:val="single" w:color="auto" w:sz="8" w:space="0"/>
              <w:right w:val="single" w:color="auto" w:sz="8" w:space="0"/>
            </w:tcBorders>
            <w:vAlign w:val="center"/>
          </w:tcPr>
          <w:p w14:paraId="76031902">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r>
      <w:tr w14:paraId="5F697D70">
        <w:tblPrEx>
          <w:tblCellMar>
            <w:top w:w="0" w:type="dxa"/>
            <w:left w:w="0" w:type="dxa"/>
            <w:bottom w:w="0" w:type="dxa"/>
            <w:right w:w="0" w:type="dxa"/>
          </w:tblCellMar>
        </w:tblPrEx>
        <w:trPr>
          <w:trHeight w:val="487" w:hRule="atLeast"/>
          <w:jc w:val="center"/>
        </w:trPr>
        <w:tc>
          <w:tcPr>
            <w:tcW w:w="1159" w:type="dxa"/>
            <w:tcBorders>
              <w:top w:val="nil"/>
              <w:left w:val="single" w:color="auto" w:sz="8" w:space="0"/>
              <w:bottom w:val="single" w:color="auto" w:sz="8" w:space="0"/>
              <w:right w:val="single" w:color="auto" w:sz="8" w:space="0"/>
            </w:tcBorders>
            <w:vAlign w:val="center"/>
          </w:tcPr>
          <w:p w14:paraId="0BE8D04C">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093" w:type="dxa"/>
            <w:tcBorders>
              <w:top w:val="nil"/>
              <w:left w:val="nil"/>
              <w:bottom w:val="single" w:color="auto" w:sz="8" w:space="0"/>
              <w:right w:val="single" w:color="auto" w:sz="8" w:space="0"/>
            </w:tcBorders>
            <w:vAlign w:val="center"/>
          </w:tcPr>
          <w:p w14:paraId="293237EB">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01823C73">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863" w:type="dxa"/>
            <w:gridSpan w:val="2"/>
            <w:tcBorders>
              <w:top w:val="nil"/>
              <w:left w:val="nil"/>
              <w:bottom w:val="single" w:color="auto" w:sz="8" w:space="0"/>
              <w:right w:val="single" w:color="auto" w:sz="8" w:space="0"/>
            </w:tcBorders>
            <w:vAlign w:val="center"/>
          </w:tcPr>
          <w:p w14:paraId="72F3CED3">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160" w:type="dxa"/>
            <w:tcBorders>
              <w:top w:val="nil"/>
              <w:left w:val="nil"/>
              <w:bottom w:val="single" w:color="auto" w:sz="8" w:space="0"/>
              <w:right w:val="single" w:color="auto" w:sz="8" w:space="0"/>
            </w:tcBorders>
            <w:vAlign w:val="center"/>
          </w:tcPr>
          <w:p w14:paraId="3CF2F0AB">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r>
      <w:tr w14:paraId="2271FB6A">
        <w:tblPrEx>
          <w:tblCellMar>
            <w:top w:w="0" w:type="dxa"/>
            <w:left w:w="0" w:type="dxa"/>
            <w:bottom w:w="0" w:type="dxa"/>
            <w:right w:w="0" w:type="dxa"/>
          </w:tblCellMar>
        </w:tblPrEx>
        <w:trPr>
          <w:trHeight w:val="487" w:hRule="atLeast"/>
          <w:jc w:val="center"/>
        </w:trPr>
        <w:tc>
          <w:tcPr>
            <w:tcW w:w="1159" w:type="dxa"/>
            <w:tcBorders>
              <w:top w:val="nil"/>
              <w:left w:val="single" w:color="auto" w:sz="8" w:space="0"/>
              <w:bottom w:val="single" w:color="auto" w:sz="8" w:space="0"/>
              <w:right w:val="single" w:color="auto" w:sz="8" w:space="0"/>
            </w:tcBorders>
            <w:vAlign w:val="center"/>
          </w:tcPr>
          <w:p w14:paraId="21444031">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093" w:type="dxa"/>
            <w:tcBorders>
              <w:top w:val="nil"/>
              <w:left w:val="nil"/>
              <w:bottom w:val="single" w:color="auto" w:sz="8" w:space="0"/>
              <w:right w:val="single" w:color="auto" w:sz="8" w:space="0"/>
            </w:tcBorders>
            <w:vAlign w:val="center"/>
          </w:tcPr>
          <w:p w14:paraId="4A9247AC">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902" w:type="dxa"/>
            <w:gridSpan w:val="3"/>
            <w:tcBorders>
              <w:top w:val="nil"/>
              <w:left w:val="nil"/>
              <w:bottom w:val="single" w:color="auto" w:sz="8" w:space="0"/>
              <w:right w:val="single" w:color="auto" w:sz="8" w:space="0"/>
            </w:tcBorders>
            <w:vAlign w:val="center"/>
          </w:tcPr>
          <w:p w14:paraId="35FEED76">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863" w:type="dxa"/>
            <w:gridSpan w:val="2"/>
            <w:tcBorders>
              <w:top w:val="nil"/>
              <w:left w:val="nil"/>
              <w:bottom w:val="single" w:color="auto" w:sz="8" w:space="0"/>
              <w:right w:val="single" w:color="auto" w:sz="8" w:space="0"/>
            </w:tcBorders>
            <w:vAlign w:val="center"/>
          </w:tcPr>
          <w:p w14:paraId="3EE0E1CD">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160" w:type="dxa"/>
            <w:tcBorders>
              <w:top w:val="nil"/>
              <w:left w:val="nil"/>
              <w:bottom w:val="single" w:color="auto" w:sz="8" w:space="0"/>
              <w:right w:val="single" w:color="auto" w:sz="8" w:space="0"/>
            </w:tcBorders>
            <w:vAlign w:val="center"/>
          </w:tcPr>
          <w:p w14:paraId="1A63BF5B">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r>
      <w:tr w14:paraId="3F203CB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3CC736B2">
            <w:pPr>
              <w:spacing w:before="100" w:beforeAutospacing="1" w:after="100" w:afterAutospacing="1" w:line="320" w:lineRule="atLeast"/>
              <w:ind w:firstLine="5"/>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 计</w:t>
            </w:r>
          </w:p>
        </w:tc>
        <w:tc>
          <w:tcPr>
            <w:tcW w:w="863" w:type="dxa"/>
            <w:gridSpan w:val="2"/>
            <w:tcBorders>
              <w:top w:val="nil"/>
              <w:left w:val="nil"/>
              <w:bottom w:val="single" w:color="auto" w:sz="8" w:space="0"/>
              <w:right w:val="single" w:color="auto" w:sz="8" w:space="0"/>
            </w:tcBorders>
            <w:vAlign w:val="center"/>
          </w:tcPr>
          <w:p w14:paraId="13E47AA2">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160" w:type="dxa"/>
            <w:tcBorders>
              <w:top w:val="nil"/>
              <w:left w:val="nil"/>
              <w:bottom w:val="single" w:color="auto" w:sz="8" w:space="0"/>
              <w:right w:val="single" w:color="auto" w:sz="8" w:space="0"/>
            </w:tcBorders>
            <w:vAlign w:val="center"/>
          </w:tcPr>
          <w:p w14:paraId="2F64E3E4">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r>
      <w:tr w14:paraId="57EC3C73">
        <w:tblPrEx>
          <w:tblCellMar>
            <w:top w:w="0" w:type="dxa"/>
            <w:left w:w="0" w:type="dxa"/>
            <w:bottom w:w="0" w:type="dxa"/>
            <w:right w:w="0" w:type="dxa"/>
          </w:tblCellMar>
        </w:tblPrEx>
        <w:trPr>
          <w:trHeight w:val="641" w:hRule="atLeast"/>
          <w:jc w:val="center"/>
        </w:trPr>
        <w:tc>
          <w:tcPr>
            <w:tcW w:w="9177" w:type="dxa"/>
            <w:gridSpan w:val="8"/>
            <w:tcBorders>
              <w:top w:val="nil"/>
              <w:left w:val="single" w:color="auto" w:sz="8" w:space="0"/>
              <w:bottom w:val="single" w:color="auto" w:sz="8" w:space="0"/>
              <w:right w:val="single" w:color="auto" w:sz="8" w:space="0"/>
            </w:tcBorders>
            <w:vAlign w:val="center"/>
          </w:tcPr>
          <w:p w14:paraId="7EAE0674">
            <w:pPr>
              <w:spacing w:before="100" w:beforeAutospacing="1" w:after="100" w:afterAutospacing="1" w:line="320" w:lineRule="atLeast"/>
              <w:ind w:firstLine="2"/>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合计大写金额： 仟 佰 拾 万 仟 佰 拾 元</w:t>
            </w:r>
          </w:p>
        </w:tc>
      </w:tr>
      <w:tr w14:paraId="215716BE">
        <w:tblPrEx>
          <w:tblCellMar>
            <w:top w:w="0" w:type="dxa"/>
            <w:left w:w="0" w:type="dxa"/>
            <w:bottom w:w="0" w:type="dxa"/>
            <w:right w:w="0" w:type="dxa"/>
          </w:tblCellMar>
        </w:tblPrEx>
        <w:trPr>
          <w:trHeight w:val="641" w:hRule="atLeast"/>
          <w:jc w:val="center"/>
        </w:trPr>
        <w:tc>
          <w:tcPr>
            <w:tcW w:w="1159" w:type="dxa"/>
            <w:tcBorders>
              <w:top w:val="nil"/>
              <w:left w:val="single" w:color="auto" w:sz="8" w:space="0"/>
              <w:bottom w:val="single" w:color="auto" w:sz="8" w:space="0"/>
              <w:right w:val="single" w:color="auto" w:sz="8" w:space="0"/>
            </w:tcBorders>
            <w:vAlign w:val="center"/>
          </w:tcPr>
          <w:p w14:paraId="15540D2E">
            <w:pPr>
              <w:spacing w:before="100" w:beforeAutospacing="1" w:after="100" w:afterAutospacing="1" w:line="320" w:lineRule="atLeast"/>
              <w:ind w:firstLine="2"/>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实际供货日期</w:t>
            </w:r>
          </w:p>
        </w:tc>
        <w:tc>
          <w:tcPr>
            <w:tcW w:w="2891" w:type="dxa"/>
            <w:gridSpan w:val="2"/>
            <w:tcBorders>
              <w:top w:val="nil"/>
              <w:left w:val="nil"/>
              <w:bottom w:val="single" w:color="auto" w:sz="8" w:space="0"/>
              <w:right w:val="single" w:color="auto" w:sz="8" w:space="0"/>
            </w:tcBorders>
            <w:vAlign w:val="center"/>
          </w:tcPr>
          <w:p w14:paraId="563362F3">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282" w:type="dxa"/>
            <w:gridSpan w:val="3"/>
            <w:tcBorders>
              <w:top w:val="nil"/>
              <w:left w:val="nil"/>
              <w:bottom w:val="single" w:color="auto" w:sz="8" w:space="0"/>
              <w:right w:val="single" w:color="auto" w:sz="8" w:space="0"/>
            </w:tcBorders>
            <w:vAlign w:val="center"/>
          </w:tcPr>
          <w:p w14:paraId="043ACEC7">
            <w:pPr>
              <w:spacing w:before="100" w:beforeAutospacing="1" w:after="100" w:afterAutospacing="1" w:line="320" w:lineRule="atLeast"/>
              <w:ind w:firstLine="46"/>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合同交货验收日期</w:t>
            </w:r>
          </w:p>
        </w:tc>
        <w:tc>
          <w:tcPr>
            <w:tcW w:w="2845" w:type="dxa"/>
            <w:gridSpan w:val="2"/>
            <w:tcBorders>
              <w:top w:val="nil"/>
              <w:left w:val="nil"/>
              <w:bottom w:val="single" w:color="auto" w:sz="8" w:space="0"/>
              <w:right w:val="single" w:color="auto" w:sz="8" w:space="0"/>
            </w:tcBorders>
            <w:vAlign w:val="center"/>
          </w:tcPr>
          <w:p w14:paraId="0CC88D7A">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r>
      <w:tr w14:paraId="652E6D89">
        <w:tblPrEx>
          <w:tblCellMar>
            <w:top w:w="0" w:type="dxa"/>
            <w:left w:w="0" w:type="dxa"/>
            <w:bottom w:w="0" w:type="dxa"/>
            <w:right w:w="0" w:type="dxa"/>
          </w:tblCellMar>
        </w:tblPrEx>
        <w:trPr>
          <w:trHeight w:val="394" w:hRule="atLeast"/>
          <w:jc w:val="center"/>
        </w:trPr>
        <w:tc>
          <w:tcPr>
            <w:tcW w:w="1159" w:type="dxa"/>
            <w:tcBorders>
              <w:top w:val="nil"/>
              <w:left w:val="single" w:color="auto" w:sz="8" w:space="0"/>
              <w:bottom w:val="single" w:color="auto" w:sz="8" w:space="0"/>
              <w:right w:val="single" w:color="auto" w:sz="8" w:space="0"/>
            </w:tcBorders>
            <w:vAlign w:val="center"/>
          </w:tcPr>
          <w:p w14:paraId="5BCA212A">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891" w:type="dxa"/>
            <w:gridSpan w:val="2"/>
            <w:tcBorders>
              <w:top w:val="nil"/>
              <w:left w:val="nil"/>
              <w:bottom w:val="single" w:color="auto" w:sz="8" w:space="0"/>
              <w:right w:val="single" w:color="auto" w:sz="8" w:space="0"/>
            </w:tcBorders>
            <w:vAlign w:val="center"/>
          </w:tcPr>
          <w:p w14:paraId="37B9497A">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282" w:type="dxa"/>
            <w:gridSpan w:val="3"/>
            <w:tcBorders>
              <w:top w:val="nil"/>
              <w:left w:val="nil"/>
              <w:bottom w:val="single" w:color="auto" w:sz="8" w:space="0"/>
              <w:right w:val="single" w:color="auto" w:sz="8" w:space="0"/>
            </w:tcBorders>
            <w:vAlign w:val="center"/>
          </w:tcPr>
          <w:p w14:paraId="06C88D61">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c>
          <w:tcPr>
            <w:tcW w:w="2845" w:type="dxa"/>
            <w:gridSpan w:val="2"/>
            <w:tcBorders>
              <w:top w:val="nil"/>
              <w:left w:val="nil"/>
              <w:bottom w:val="single" w:color="auto" w:sz="8" w:space="0"/>
              <w:right w:val="single" w:color="auto" w:sz="8" w:space="0"/>
            </w:tcBorders>
            <w:vAlign w:val="center"/>
          </w:tcPr>
          <w:p w14:paraId="7B557DFF">
            <w:pPr>
              <w:spacing w:before="100" w:beforeAutospacing="1" w:after="100" w:afterAutospacing="1" w:line="240" w:lineRule="atLeast"/>
              <w:jc w:val="center"/>
              <w:rPr>
                <w:rFonts w:cs="宋体" w:asciiTheme="minorEastAsia" w:hAnsiTheme="minorEastAsia" w:eastAsiaTheme="minorEastAsia"/>
                <w:color w:val="auto"/>
                <w:sz w:val="24"/>
                <w:szCs w:val="24"/>
                <w:highlight w:val="none"/>
              </w:rPr>
            </w:pPr>
          </w:p>
        </w:tc>
      </w:tr>
      <w:tr w14:paraId="33E51969">
        <w:tblPrEx>
          <w:tblCellMar>
            <w:top w:w="0" w:type="dxa"/>
            <w:left w:w="0" w:type="dxa"/>
            <w:bottom w:w="0" w:type="dxa"/>
            <w:right w:w="0" w:type="dxa"/>
          </w:tblCellMar>
        </w:tblPrEx>
        <w:trPr>
          <w:trHeight w:val="693" w:hRule="atLeast"/>
          <w:jc w:val="center"/>
        </w:trPr>
        <w:tc>
          <w:tcPr>
            <w:tcW w:w="115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F3E0B6B">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验收具体内容</w:t>
            </w:r>
          </w:p>
        </w:tc>
        <w:tc>
          <w:tcPr>
            <w:tcW w:w="8018"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1D2278E">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应按采购合同、采购文件、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262A8CF">
        <w:tblPrEx>
          <w:tblCellMar>
            <w:top w:w="0" w:type="dxa"/>
            <w:left w:w="0" w:type="dxa"/>
            <w:bottom w:w="0" w:type="dxa"/>
            <w:right w:w="0" w:type="dxa"/>
          </w:tblCellMar>
        </w:tblPrEx>
        <w:trPr>
          <w:trHeight w:val="850" w:hRule="atLeast"/>
          <w:jc w:val="center"/>
        </w:trPr>
        <w:tc>
          <w:tcPr>
            <w:tcW w:w="115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8D0E20">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验收小组意见</w:t>
            </w:r>
          </w:p>
        </w:tc>
        <w:tc>
          <w:tcPr>
            <w:tcW w:w="8018" w:type="dxa"/>
            <w:gridSpan w:val="7"/>
            <w:tcBorders>
              <w:top w:val="nil"/>
              <w:left w:val="nil"/>
              <w:bottom w:val="single" w:color="auto" w:sz="8" w:space="0"/>
              <w:right w:val="single" w:color="auto" w:sz="8" w:space="0"/>
            </w:tcBorders>
            <w:vAlign w:val="center"/>
          </w:tcPr>
          <w:p w14:paraId="559D5641">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验收结论性意见：</w:t>
            </w:r>
          </w:p>
        </w:tc>
      </w:tr>
      <w:tr w14:paraId="165D543A">
        <w:tblPrEx>
          <w:tblCellMar>
            <w:top w:w="0" w:type="dxa"/>
            <w:left w:w="0" w:type="dxa"/>
            <w:bottom w:w="0" w:type="dxa"/>
            <w:right w:w="0" w:type="dxa"/>
          </w:tblCellMar>
        </w:tblPrEx>
        <w:trPr>
          <w:trHeight w:val="607" w:hRule="atLeast"/>
          <w:jc w:val="center"/>
        </w:trPr>
        <w:tc>
          <w:tcPr>
            <w:tcW w:w="1159" w:type="dxa"/>
            <w:vMerge w:val="continue"/>
            <w:tcBorders>
              <w:top w:val="nil"/>
              <w:left w:val="single" w:color="auto" w:sz="8" w:space="0"/>
              <w:bottom w:val="single" w:color="auto" w:sz="8" w:space="0"/>
              <w:right w:val="single" w:color="auto" w:sz="8" w:space="0"/>
            </w:tcBorders>
            <w:vAlign w:val="center"/>
          </w:tcPr>
          <w:p w14:paraId="76627D1C">
            <w:pPr>
              <w:rPr>
                <w:rFonts w:cs="宋体" w:asciiTheme="minorEastAsia" w:hAnsiTheme="minorEastAsia" w:eastAsiaTheme="minorEastAsia"/>
                <w:color w:val="auto"/>
                <w:sz w:val="24"/>
                <w:szCs w:val="24"/>
                <w:highlight w:val="none"/>
              </w:rPr>
            </w:pPr>
          </w:p>
        </w:tc>
        <w:tc>
          <w:tcPr>
            <w:tcW w:w="8018" w:type="dxa"/>
            <w:gridSpan w:val="7"/>
            <w:tcBorders>
              <w:top w:val="nil"/>
              <w:left w:val="nil"/>
              <w:bottom w:val="single" w:color="auto" w:sz="8" w:space="0"/>
              <w:right w:val="single" w:color="auto" w:sz="8" w:space="0"/>
            </w:tcBorders>
            <w:vAlign w:val="center"/>
          </w:tcPr>
          <w:p w14:paraId="72B5489C">
            <w:pPr>
              <w:spacing w:before="100" w:beforeAutospacing="1" w:after="100" w:afterAutospacing="1" w:line="320" w:lineRule="atLeast"/>
              <w:ind w:firstLine="96"/>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有异议的意见和说明理由：</w:t>
            </w:r>
          </w:p>
          <w:p w14:paraId="337A8447">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签字：</w:t>
            </w:r>
          </w:p>
        </w:tc>
      </w:tr>
      <w:tr w14:paraId="10991452">
        <w:tblPrEx>
          <w:tblCellMar>
            <w:top w:w="0" w:type="dxa"/>
            <w:left w:w="0" w:type="dxa"/>
            <w:bottom w:w="0" w:type="dxa"/>
            <w:right w:w="0" w:type="dxa"/>
          </w:tblCellMar>
        </w:tblPrEx>
        <w:trPr>
          <w:trHeight w:val="507" w:hRule="atLeast"/>
          <w:jc w:val="center"/>
        </w:trPr>
        <w:tc>
          <w:tcPr>
            <w:tcW w:w="9177"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96473D">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验收小组成员签字：</w:t>
            </w:r>
          </w:p>
        </w:tc>
      </w:tr>
      <w:tr w14:paraId="10026A94">
        <w:tblPrEx>
          <w:tblCellMar>
            <w:top w:w="0" w:type="dxa"/>
            <w:left w:w="0" w:type="dxa"/>
            <w:bottom w:w="0" w:type="dxa"/>
            <w:right w:w="0" w:type="dxa"/>
          </w:tblCellMar>
        </w:tblPrEx>
        <w:trPr>
          <w:trHeight w:val="736" w:hRule="atLeast"/>
          <w:jc w:val="center"/>
        </w:trPr>
        <w:tc>
          <w:tcPr>
            <w:tcW w:w="9177"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4C873F4">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监督人员或其他相关人员签字：</w:t>
            </w:r>
          </w:p>
          <w:p w14:paraId="367902CA">
            <w:pPr>
              <w:spacing w:before="100" w:beforeAutospacing="1" w:after="100" w:afterAutospacing="1" w:line="320" w:lineRule="atLeast"/>
              <w:ind w:firstLine="74"/>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或受邀机构的意见（盖章）：</w:t>
            </w:r>
          </w:p>
        </w:tc>
      </w:tr>
      <w:tr w14:paraId="688CF90A">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06B9883F">
            <w:pPr>
              <w:spacing w:before="100" w:beforeAutospacing="1" w:after="100" w:afterAutospacing="1" w:line="320" w:lineRule="atLeast"/>
              <w:ind w:firstLine="74"/>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中标或者成交供应商负责人签字或盖章：</w:t>
            </w:r>
          </w:p>
          <w:p w14:paraId="189265C6">
            <w:pPr>
              <w:spacing w:before="100" w:beforeAutospacing="1" w:after="100" w:afterAutospacing="1" w:line="320" w:lineRule="atLeast"/>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联系电话： 年 月 日</w:t>
            </w:r>
          </w:p>
        </w:tc>
        <w:tc>
          <w:tcPr>
            <w:tcW w:w="5025" w:type="dxa"/>
            <w:gridSpan w:val="4"/>
            <w:tcBorders>
              <w:top w:val="nil"/>
              <w:left w:val="nil"/>
              <w:bottom w:val="single" w:color="auto" w:sz="8" w:space="0"/>
              <w:right w:val="single" w:color="auto" w:sz="8" w:space="0"/>
            </w:tcBorders>
            <w:vAlign w:val="center"/>
          </w:tcPr>
          <w:p w14:paraId="1C8AB305">
            <w:pPr>
              <w:spacing w:before="100" w:beforeAutospacing="1" w:after="100" w:afterAutospacing="1" w:line="320" w:lineRule="atLeas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采购人或受托机构的意见（盖章）：</w:t>
            </w:r>
          </w:p>
          <w:p w14:paraId="411E0D69">
            <w:pPr>
              <w:spacing w:before="100" w:beforeAutospacing="1" w:after="100" w:afterAutospacing="1" w:line="320" w:lineRule="atLeast"/>
              <w:ind w:firstLine="480" w:firstLineChars="200"/>
              <w:rPr>
                <w:rFonts w:cs="宋体" w:asciiTheme="minorEastAsia" w:hAnsiTheme="minorEastAsia" w:eastAsiaTheme="minorEastAsia"/>
                <w:color w:val="auto"/>
                <w:sz w:val="24"/>
                <w:szCs w:val="24"/>
                <w:highlight w:val="none"/>
              </w:rPr>
            </w:pPr>
          </w:p>
          <w:p w14:paraId="616441BA">
            <w:pPr>
              <w:spacing w:before="100" w:beforeAutospacing="1" w:after="100" w:afterAutospacing="1" w:line="320" w:lineRule="atLeas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联系电话： 年 月 日</w:t>
            </w:r>
          </w:p>
        </w:tc>
      </w:tr>
    </w:tbl>
    <w:p w14:paraId="4617BAFB">
      <w:pPr>
        <w:adjustRightInd/>
        <w:snapToGrid/>
        <w:spacing w:line="220" w:lineRule="atLeast"/>
        <w:rPr>
          <w:color w:val="auto"/>
          <w:highlight w:val="none"/>
        </w:rPr>
      </w:pPr>
      <w:r>
        <w:rPr>
          <w:rFonts w:hint="eastAsia" w:asciiTheme="minorEastAsia" w:hAnsiTheme="minorEastAsia" w:eastAsiaTheme="minorEastAsia"/>
          <w:color w:val="auto"/>
          <w:highlight w:val="none"/>
        </w:rPr>
        <w:br w:type="page"/>
      </w:r>
    </w:p>
    <w:p w14:paraId="45B2E799">
      <w:pPr>
        <w:rPr>
          <w:rFonts w:asciiTheme="minorEastAsia" w:hAnsiTheme="minorEastAsia" w:eastAsiaTheme="minorEastAsia"/>
          <w:color w:val="auto"/>
          <w:sz w:val="24"/>
          <w:highlight w:val="none"/>
        </w:rPr>
      </w:pPr>
      <w:bookmarkStart w:id="94" w:name="_Toc7192557"/>
      <w:r>
        <w:rPr>
          <w:rFonts w:hint="eastAsia" w:asciiTheme="minorEastAsia" w:hAnsiTheme="minorEastAsia" w:eastAsiaTheme="minorEastAsia"/>
          <w:color w:val="auto"/>
          <w:sz w:val="24"/>
          <w:highlight w:val="none"/>
        </w:rPr>
        <w:t>附件3：</w:t>
      </w:r>
    </w:p>
    <w:p w14:paraId="0BB6F3D6">
      <w:pPr>
        <w:pStyle w:val="103"/>
        <w:jc w:val="center"/>
        <w:rPr>
          <w:rFonts w:cs="Times New Roman" w:asciiTheme="minorEastAsia" w:hAnsiTheme="minorEastAsia" w:eastAsiaTheme="minorEastAsia"/>
          <w:b/>
          <w:color w:val="auto"/>
          <w:kern w:val="2"/>
          <w:sz w:val="28"/>
          <w:szCs w:val="28"/>
          <w:highlight w:val="none"/>
        </w:rPr>
      </w:pPr>
      <w:r>
        <w:rPr>
          <w:rFonts w:hint="eastAsia" w:cs="Times New Roman" w:asciiTheme="minorEastAsia" w:hAnsiTheme="minorEastAsia" w:eastAsiaTheme="minorEastAsia"/>
          <w:b/>
          <w:color w:val="auto"/>
          <w:kern w:val="2"/>
          <w:sz w:val="28"/>
          <w:szCs w:val="28"/>
          <w:highlight w:val="none"/>
        </w:rPr>
        <w:t>政府采购项目履约保证金退付意见书</w:t>
      </w:r>
    </w:p>
    <w:tbl>
      <w:tblPr>
        <w:tblStyle w:val="3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55"/>
      </w:tblGrid>
      <w:tr w14:paraId="39E7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tcBorders>
              <w:top w:val="single" w:color="auto" w:sz="4" w:space="0"/>
              <w:left w:val="single" w:color="auto" w:sz="4" w:space="0"/>
              <w:bottom w:val="single" w:color="auto" w:sz="4" w:space="0"/>
              <w:right w:val="single" w:color="auto" w:sz="4" w:space="0"/>
            </w:tcBorders>
            <w:vAlign w:val="center"/>
          </w:tcPr>
          <w:p w14:paraId="7A6A8B22">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w:t>
            </w:r>
          </w:p>
          <w:p w14:paraId="25516508">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应</w:t>
            </w:r>
          </w:p>
          <w:p w14:paraId="24C5D1A4">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商</w:t>
            </w:r>
          </w:p>
          <w:p w14:paraId="6C86ACD3">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申</w:t>
            </w:r>
          </w:p>
          <w:p w14:paraId="7733AA0A">
            <w:pPr>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请</w:t>
            </w:r>
          </w:p>
        </w:tc>
        <w:tc>
          <w:tcPr>
            <w:tcW w:w="8655" w:type="dxa"/>
            <w:tcBorders>
              <w:top w:val="single" w:color="auto" w:sz="4" w:space="0"/>
              <w:left w:val="single" w:color="auto" w:sz="4" w:space="0"/>
              <w:bottom w:val="single" w:color="auto" w:sz="4" w:space="0"/>
              <w:right w:val="single" w:color="auto" w:sz="4" w:space="0"/>
            </w:tcBorders>
            <w:vAlign w:val="center"/>
          </w:tcPr>
          <w:p w14:paraId="14758851">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项目编号：</w:t>
            </w:r>
          </w:p>
        </w:tc>
      </w:tr>
      <w:tr w14:paraId="537E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605F227A">
            <w:pPr>
              <w:rPr>
                <w:rFonts w:asciiTheme="minorEastAsia" w:hAnsiTheme="minorEastAsia" w:eastAsiaTheme="minorEastAsia"/>
                <w:color w:val="auto"/>
                <w:sz w:val="24"/>
                <w:szCs w:val="24"/>
                <w:highlight w:val="none"/>
              </w:rPr>
            </w:pPr>
          </w:p>
        </w:tc>
        <w:tc>
          <w:tcPr>
            <w:tcW w:w="8655" w:type="dxa"/>
            <w:tcBorders>
              <w:top w:val="single" w:color="auto" w:sz="4" w:space="0"/>
              <w:left w:val="single" w:color="auto" w:sz="4" w:space="0"/>
              <w:bottom w:val="single" w:color="auto" w:sz="4" w:space="0"/>
              <w:right w:val="single" w:color="auto" w:sz="4" w:space="0"/>
            </w:tcBorders>
            <w:vAlign w:val="center"/>
          </w:tcPr>
          <w:p w14:paraId="376D3925">
            <w:pP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项目名称：</w:t>
            </w:r>
          </w:p>
        </w:tc>
      </w:tr>
      <w:tr w14:paraId="69B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0" w:hRule="atLeast"/>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46564FD1">
            <w:pPr>
              <w:rPr>
                <w:rFonts w:asciiTheme="minorEastAsia" w:hAnsiTheme="minorEastAsia" w:eastAsiaTheme="minorEastAsia"/>
                <w:color w:val="auto"/>
                <w:sz w:val="24"/>
                <w:szCs w:val="24"/>
                <w:highlight w:val="none"/>
              </w:rPr>
            </w:pPr>
          </w:p>
        </w:tc>
        <w:tc>
          <w:tcPr>
            <w:tcW w:w="8655" w:type="dxa"/>
            <w:tcBorders>
              <w:top w:val="single" w:color="auto" w:sz="4" w:space="0"/>
              <w:left w:val="single" w:color="auto" w:sz="4" w:space="0"/>
              <w:bottom w:val="single" w:color="auto" w:sz="4" w:space="0"/>
              <w:right w:val="single" w:color="auto" w:sz="4" w:space="0"/>
            </w:tcBorders>
          </w:tcPr>
          <w:p w14:paraId="19B60CD3">
            <w:pPr>
              <w:spacing w:after="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该项目已于年月日验收并交付使用。根据合同规定，该项目的履约保证金期限于年月日已满，请将履约保证金（大写）￥（小写）退付到达以下帐户。</w:t>
            </w:r>
          </w:p>
          <w:p w14:paraId="46AC9EE5">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单位名称：</w:t>
            </w:r>
          </w:p>
          <w:p w14:paraId="1AAF9C94">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开户银行：</w:t>
            </w:r>
          </w:p>
          <w:p w14:paraId="42B6ADAB">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帐   号：</w:t>
            </w:r>
          </w:p>
          <w:p w14:paraId="3290AE3A">
            <w:pPr>
              <w:spacing w:after="0" w:line="4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联系人及电话：</w:t>
            </w:r>
          </w:p>
          <w:p w14:paraId="645D0994">
            <w:pPr>
              <w:spacing w:after="0" w:line="52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供应商签章：</w:t>
            </w:r>
          </w:p>
          <w:p w14:paraId="539AF65E">
            <w:pPr>
              <w:spacing w:after="0" w:line="52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年    月     日</w:t>
            </w:r>
          </w:p>
        </w:tc>
      </w:tr>
      <w:tr w14:paraId="52E6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7" w:hRule="atLeast"/>
        </w:trPr>
        <w:tc>
          <w:tcPr>
            <w:tcW w:w="1008" w:type="dxa"/>
            <w:tcBorders>
              <w:top w:val="single" w:color="auto" w:sz="4" w:space="0"/>
              <w:left w:val="single" w:color="auto" w:sz="4" w:space="0"/>
              <w:bottom w:val="single" w:color="auto" w:sz="4" w:space="0"/>
              <w:right w:val="single" w:color="auto" w:sz="4" w:space="0"/>
            </w:tcBorders>
            <w:vAlign w:val="center"/>
          </w:tcPr>
          <w:p w14:paraId="7189D0D3">
            <w:pPr>
              <w:spacing w:after="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w:t>
            </w:r>
          </w:p>
          <w:p w14:paraId="02BC6E36">
            <w:pPr>
              <w:spacing w:after="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购</w:t>
            </w:r>
          </w:p>
          <w:p w14:paraId="6C0C0836">
            <w:pPr>
              <w:spacing w:after="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人</w:t>
            </w:r>
          </w:p>
          <w:p w14:paraId="314B7E6D">
            <w:pPr>
              <w:spacing w:after="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意</w:t>
            </w:r>
          </w:p>
          <w:p w14:paraId="06D83424">
            <w:pPr>
              <w:spacing w:after="120"/>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见</w:t>
            </w:r>
          </w:p>
        </w:tc>
        <w:tc>
          <w:tcPr>
            <w:tcW w:w="8655" w:type="dxa"/>
            <w:tcBorders>
              <w:top w:val="single" w:color="auto" w:sz="4" w:space="0"/>
              <w:left w:val="single" w:color="auto" w:sz="4" w:space="0"/>
              <w:bottom w:val="single" w:color="auto" w:sz="4" w:space="0"/>
              <w:right w:val="single" w:color="auto" w:sz="4" w:space="0"/>
            </w:tcBorders>
          </w:tcPr>
          <w:p w14:paraId="6ED02463">
            <w:pPr>
              <w:spacing w:after="12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退付意见：是否同意退付履约保证金及退付金额：</w:t>
            </w:r>
          </w:p>
          <w:p w14:paraId="1121F818">
            <w:pPr>
              <w:spacing w:after="120"/>
              <w:rPr>
                <w:rFonts w:asciiTheme="minorEastAsia" w:hAnsiTheme="minorEastAsia" w:eastAsiaTheme="minorEastAsia"/>
                <w:color w:val="auto"/>
                <w:sz w:val="24"/>
                <w:szCs w:val="24"/>
                <w:highlight w:val="none"/>
              </w:rPr>
            </w:pPr>
          </w:p>
          <w:p w14:paraId="0596FC7F">
            <w:pPr>
              <w:spacing w:after="120" w:line="52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联系人及电话：                                 </w:t>
            </w:r>
          </w:p>
          <w:p w14:paraId="5000BB0D">
            <w:pPr>
              <w:spacing w:after="120" w:line="520" w:lineRule="exact"/>
              <w:rPr>
                <w:rFonts w:asciiTheme="minorEastAsia" w:hAnsiTheme="minorEastAsia" w:eastAsiaTheme="minorEastAsia"/>
                <w:color w:val="auto"/>
                <w:sz w:val="24"/>
                <w:szCs w:val="24"/>
                <w:highlight w:val="none"/>
              </w:rPr>
            </w:pPr>
          </w:p>
          <w:p w14:paraId="28B9BB56">
            <w:pPr>
              <w:spacing w:after="120" w:line="520" w:lineRule="exact"/>
              <w:ind w:firstLine="6000" w:firstLineChars="25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采购人签章</w:t>
            </w:r>
          </w:p>
          <w:p w14:paraId="005E4840">
            <w:pPr>
              <w:spacing w:after="120" w:line="52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                                        年    月     日</w:t>
            </w:r>
          </w:p>
        </w:tc>
      </w:tr>
    </w:tbl>
    <w:p w14:paraId="72486DD9">
      <w:pPr>
        <w:spacing w:line="500" w:lineRule="exact"/>
        <w:rPr>
          <w:rFonts w:asciiTheme="minorEastAsia" w:hAnsiTheme="minorEastAsia" w:eastAsiaTheme="minorEastAsia"/>
          <w:color w:val="auto"/>
          <w:highlight w:val="none"/>
        </w:rPr>
      </w:pPr>
      <w:r>
        <w:rPr>
          <w:rFonts w:hint="eastAsia" w:asciiTheme="minorEastAsia" w:hAnsiTheme="minorEastAsia" w:eastAsiaTheme="minorEastAsia"/>
          <w:b/>
          <w:bCs/>
          <w:color w:val="auto"/>
          <w:szCs w:val="21"/>
          <w:highlight w:val="none"/>
        </w:rPr>
        <w:t>注：供应商凭经采购人审批的退付意见书到保证金收取单位办理履约保证金退付事宜。</w:t>
      </w:r>
    </w:p>
    <w:p w14:paraId="31A691FC">
      <w:pPr>
        <w:adjustRightInd/>
        <w:snapToGrid/>
        <w:spacing w:line="220" w:lineRule="atLeast"/>
        <w:rPr>
          <w:rFonts w:cs="Times New Roman" w:asciiTheme="minorEastAsia" w:hAnsiTheme="minorEastAsia" w:eastAsiaTheme="minorEastAsia"/>
          <w:color w:val="auto"/>
          <w:sz w:val="36"/>
          <w:szCs w:val="20"/>
          <w:highlight w:val="none"/>
        </w:rPr>
      </w:pPr>
      <w:r>
        <w:rPr>
          <w:rFonts w:asciiTheme="minorEastAsia" w:hAnsiTheme="minorEastAsia" w:eastAsiaTheme="minorEastAsia"/>
          <w:color w:val="auto"/>
          <w:highlight w:val="none"/>
        </w:rPr>
        <w:br w:type="page"/>
      </w:r>
    </w:p>
    <w:p w14:paraId="078B7B59">
      <w:pPr>
        <w:pStyle w:val="2"/>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第六章  响应文件格式</w:t>
      </w:r>
      <w:bookmarkEnd w:id="91"/>
      <w:bookmarkEnd w:id="92"/>
      <w:bookmarkEnd w:id="93"/>
      <w:bookmarkEnd w:id="94"/>
    </w:p>
    <w:p w14:paraId="33F9208F">
      <w:pPr>
        <w:rPr>
          <w:rFonts w:asciiTheme="minorEastAsia" w:hAnsiTheme="minorEastAsia" w:eastAsiaTheme="minorEastAsia"/>
          <w:color w:val="auto"/>
          <w:highlight w:val="none"/>
        </w:rPr>
      </w:pPr>
    </w:p>
    <w:p w14:paraId="5FBBE40A">
      <w:pPr>
        <w:rPr>
          <w:rFonts w:asciiTheme="minorEastAsia" w:hAnsiTheme="minorEastAsia" w:eastAsiaTheme="minorEastAsia"/>
          <w:color w:val="auto"/>
          <w:highlight w:val="none"/>
        </w:rPr>
      </w:pPr>
    </w:p>
    <w:p w14:paraId="7266BC3B">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（用于响应文件封面）</w:t>
      </w:r>
    </w:p>
    <w:p w14:paraId="0598FA43">
      <w:pPr>
        <w:rPr>
          <w:rFonts w:asciiTheme="minorEastAsia" w:hAnsiTheme="minorEastAsia" w:eastAsiaTheme="minorEastAsia"/>
          <w:color w:val="auto"/>
          <w:highlight w:val="none"/>
        </w:rPr>
      </w:pPr>
    </w:p>
    <w:p w14:paraId="30972D5E">
      <w:pPr>
        <w:jc w:val="center"/>
        <w:rPr>
          <w:rFonts w:asciiTheme="minorEastAsia" w:hAnsiTheme="minorEastAsia" w:eastAsiaTheme="minorEastAsia"/>
          <w:color w:val="auto"/>
          <w:sz w:val="84"/>
          <w:szCs w:val="84"/>
          <w:highlight w:val="none"/>
        </w:rPr>
      </w:pPr>
      <w:r>
        <w:rPr>
          <w:rFonts w:hint="eastAsia" w:asciiTheme="minorEastAsia" w:hAnsiTheme="minorEastAsia" w:eastAsiaTheme="minorEastAsia"/>
          <w:color w:val="auto"/>
          <w:sz w:val="84"/>
          <w:szCs w:val="84"/>
          <w:highlight w:val="none"/>
        </w:rPr>
        <w:t>响应文件</w:t>
      </w:r>
    </w:p>
    <w:p w14:paraId="49881343">
      <w:pPr>
        <w:rPr>
          <w:rFonts w:asciiTheme="minorEastAsia" w:hAnsiTheme="minorEastAsia" w:eastAsiaTheme="minorEastAsia"/>
          <w:color w:val="auto"/>
          <w:highlight w:val="none"/>
        </w:rPr>
      </w:pPr>
    </w:p>
    <w:p w14:paraId="5E3BADEB">
      <w:pPr>
        <w:jc w:val="center"/>
        <w:rPr>
          <w:rFonts w:asciiTheme="minorEastAsia" w:hAnsiTheme="minorEastAsia" w:eastAsiaTheme="minorEastAsia"/>
          <w:color w:val="auto"/>
          <w:sz w:val="30"/>
          <w:szCs w:val="30"/>
          <w:highlight w:val="none"/>
        </w:rPr>
      </w:pPr>
      <w:r>
        <w:rPr>
          <w:rFonts w:hint="eastAsia" w:asciiTheme="minorEastAsia" w:hAnsiTheme="minorEastAsia" w:eastAsiaTheme="minorEastAsia"/>
          <w:color w:val="auto"/>
          <w:sz w:val="30"/>
          <w:szCs w:val="30"/>
          <w:highlight w:val="none"/>
        </w:rPr>
        <w:t>（正/副本）</w:t>
      </w:r>
    </w:p>
    <w:p w14:paraId="209E84C9">
      <w:pPr>
        <w:rPr>
          <w:rFonts w:asciiTheme="minorEastAsia" w:hAnsiTheme="minorEastAsia" w:eastAsiaTheme="minorEastAsia"/>
          <w:color w:val="auto"/>
          <w:highlight w:val="none"/>
        </w:rPr>
      </w:pPr>
    </w:p>
    <w:p w14:paraId="116EF163">
      <w:pPr>
        <w:rPr>
          <w:rFonts w:asciiTheme="minorEastAsia" w:hAnsiTheme="minorEastAsia" w:eastAsiaTheme="minorEastAsia"/>
          <w:color w:val="auto"/>
          <w:sz w:val="28"/>
          <w:szCs w:val="28"/>
          <w:highlight w:val="none"/>
        </w:rPr>
      </w:pPr>
    </w:p>
    <w:p w14:paraId="600AEC3A">
      <w:pPr>
        <w:spacing w:line="600" w:lineRule="exact"/>
        <w:ind w:firstLine="1400" w:firstLineChars="500"/>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项目名称：</w:t>
      </w:r>
      <w:r>
        <w:rPr>
          <w:rFonts w:hint="eastAsia" w:asciiTheme="minorEastAsia" w:hAnsiTheme="minorEastAsia" w:eastAsiaTheme="minorEastAsia"/>
          <w:color w:val="auto"/>
          <w:sz w:val="28"/>
          <w:szCs w:val="28"/>
          <w:highlight w:val="none"/>
          <w:u w:val="single"/>
        </w:rPr>
        <w:t xml:space="preserve">     （项目名称）                 </w:t>
      </w:r>
    </w:p>
    <w:p w14:paraId="42AFFE79">
      <w:pPr>
        <w:spacing w:line="600" w:lineRule="exact"/>
        <w:ind w:firstLine="1400" w:firstLineChars="500"/>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rPr>
        <w:t>项目编号：</w:t>
      </w:r>
      <w:r>
        <w:rPr>
          <w:rFonts w:hint="eastAsia" w:asciiTheme="minorEastAsia" w:hAnsiTheme="minorEastAsia" w:eastAsiaTheme="minorEastAsia"/>
          <w:color w:val="auto"/>
          <w:sz w:val="28"/>
          <w:szCs w:val="28"/>
          <w:highlight w:val="none"/>
          <w:u w:val="single"/>
        </w:rPr>
        <w:t xml:space="preserve">                                   </w:t>
      </w:r>
    </w:p>
    <w:p w14:paraId="4D8FBB29">
      <w:pPr>
        <w:spacing w:line="600" w:lineRule="exact"/>
        <w:ind w:firstLine="1400" w:firstLineChars="5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响应文件内容：</w:t>
      </w:r>
      <w:r>
        <w:rPr>
          <w:rFonts w:hint="eastAsia" w:asciiTheme="minorEastAsia" w:hAnsiTheme="minorEastAsia" w:eastAsiaTheme="minorEastAsia"/>
          <w:color w:val="auto"/>
          <w:sz w:val="28"/>
          <w:szCs w:val="28"/>
          <w:highlight w:val="none"/>
          <w:u w:val="single"/>
        </w:rPr>
        <w:t xml:space="preserve">      价格文件/商务技术文件    </w:t>
      </w:r>
    </w:p>
    <w:p w14:paraId="3BEBDD84">
      <w:pPr>
        <w:spacing w:line="600" w:lineRule="exact"/>
        <w:ind w:firstLine="1400" w:firstLineChars="5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供应商名称：</w:t>
      </w:r>
      <w:r>
        <w:rPr>
          <w:rFonts w:hint="eastAsia" w:asciiTheme="minorEastAsia" w:hAnsiTheme="minorEastAsia" w:eastAsiaTheme="minorEastAsia"/>
          <w:color w:val="auto"/>
          <w:sz w:val="28"/>
          <w:szCs w:val="28"/>
          <w:highlight w:val="none"/>
          <w:u w:val="single"/>
        </w:rPr>
        <w:t xml:space="preserve">        （盖单位公章）           </w:t>
      </w:r>
    </w:p>
    <w:p w14:paraId="38D1BFB3">
      <w:pPr>
        <w:spacing w:line="600" w:lineRule="exact"/>
        <w:ind w:firstLine="1400" w:firstLineChars="5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法定代表人或其委托代理人：</w:t>
      </w:r>
      <w:r>
        <w:rPr>
          <w:rFonts w:hint="eastAsia" w:asciiTheme="minorEastAsia" w:hAnsiTheme="minorEastAsia" w:eastAsiaTheme="minorEastAsia"/>
          <w:color w:val="auto"/>
          <w:sz w:val="28"/>
          <w:szCs w:val="28"/>
          <w:highlight w:val="none"/>
          <w:u w:val="single"/>
        </w:rPr>
        <w:t xml:space="preserve">      （签字）     </w:t>
      </w:r>
    </w:p>
    <w:p w14:paraId="1ED58A26">
      <w:pPr>
        <w:spacing w:line="600" w:lineRule="exact"/>
        <w:ind w:firstLine="1400" w:firstLineChars="5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日    期：  年 月  日</w:t>
      </w:r>
    </w:p>
    <w:p w14:paraId="02741AF0">
      <w:pPr>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14:paraId="788FDD5E">
      <w:pPr>
        <w:spacing w:line="300" w:lineRule="auto"/>
        <w:jc w:val="center"/>
        <w:rPr>
          <w:rFonts w:asciiTheme="minorEastAsia" w:hAnsiTheme="minorEastAsia" w:eastAsiaTheme="minorEastAsia"/>
          <w:b/>
          <w:color w:val="auto"/>
          <w:sz w:val="24"/>
          <w:szCs w:val="24"/>
          <w:highlight w:val="none"/>
        </w:rPr>
      </w:pPr>
    </w:p>
    <w:p w14:paraId="7F681E7D">
      <w:pPr>
        <w:spacing w:line="30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目  录</w:t>
      </w:r>
    </w:p>
    <w:p w14:paraId="1AAA0768">
      <w:pPr>
        <w:spacing w:line="300" w:lineRule="auto"/>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（请按供应商须知前附表10.1.1、</w:t>
      </w:r>
      <w:r>
        <w:rPr>
          <w:rFonts w:hint="eastAsia" w:asciiTheme="minorEastAsia" w:hAnsiTheme="minorEastAsia" w:eastAsiaTheme="minorEastAsia"/>
          <w:b/>
          <w:bCs/>
          <w:color w:val="auto"/>
          <w:sz w:val="24"/>
          <w:highlight w:val="none"/>
        </w:rPr>
        <w:t>10.1.2</w:t>
      </w:r>
      <w:r>
        <w:rPr>
          <w:rFonts w:hint="eastAsia" w:asciiTheme="minorEastAsia" w:hAnsiTheme="minorEastAsia" w:eastAsiaTheme="minorEastAsia"/>
          <w:b/>
          <w:color w:val="auto"/>
          <w:sz w:val="24"/>
          <w:szCs w:val="24"/>
          <w:highlight w:val="none"/>
        </w:rPr>
        <w:t>项内容编列，应有页码）</w:t>
      </w:r>
    </w:p>
    <w:p w14:paraId="27BB3F28">
      <w:pPr>
        <w:spacing w:line="300" w:lineRule="auto"/>
        <w:rPr>
          <w:rFonts w:asciiTheme="minorEastAsia" w:hAnsiTheme="minorEastAsia" w:eastAsiaTheme="minorEastAsia"/>
          <w:b/>
          <w:color w:val="auto"/>
          <w:sz w:val="24"/>
          <w:szCs w:val="24"/>
          <w:highlight w:val="none"/>
        </w:rPr>
      </w:pPr>
    </w:p>
    <w:p w14:paraId="2DCC8CAB">
      <w:pPr>
        <w:rPr>
          <w:rFonts w:asciiTheme="minorEastAsia" w:hAnsiTheme="minorEastAsia" w:eastAsiaTheme="minorEastAsia"/>
          <w:b/>
          <w:color w:val="auto"/>
          <w:sz w:val="24"/>
          <w:szCs w:val="24"/>
          <w:highlight w:val="none"/>
        </w:rPr>
      </w:pPr>
    </w:p>
    <w:p w14:paraId="50369314">
      <w:pPr>
        <w:rPr>
          <w:color w:val="auto"/>
          <w:highlight w:val="none"/>
        </w:rPr>
      </w:pPr>
    </w:p>
    <w:p w14:paraId="09F7820C">
      <w:pPr>
        <w:spacing w:line="30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br w:type="page"/>
      </w:r>
    </w:p>
    <w:p w14:paraId="79F708F5">
      <w:pPr>
        <w:spacing w:line="300" w:lineRule="auto"/>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24"/>
          <w:highlight w:val="none"/>
        </w:rPr>
        <w:t>附件一：</w:t>
      </w:r>
    </w:p>
    <w:p w14:paraId="148CDBBD">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谈判报价表</w:t>
      </w:r>
    </w:p>
    <w:p w14:paraId="3F293C51">
      <w:pPr>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采购项目编号:</w:t>
      </w:r>
    </w:p>
    <w:p w14:paraId="4384F943">
      <w:pPr>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采购项目名称:</w:t>
      </w:r>
    </w:p>
    <w:tbl>
      <w:tblPr>
        <w:tblStyle w:val="38"/>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36"/>
        <w:gridCol w:w="1153"/>
        <w:gridCol w:w="1712"/>
        <w:gridCol w:w="1065"/>
        <w:gridCol w:w="1020"/>
        <w:gridCol w:w="1260"/>
        <w:gridCol w:w="1500"/>
      </w:tblGrid>
      <w:tr w14:paraId="6958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9" w:type="dxa"/>
            <w:vAlign w:val="center"/>
          </w:tcPr>
          <w:p w14:paraId="626310A2">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236" w:type="dxa"/>
            <w:vAlign w:val="center"/>
          </w:tcPr>
          <w:p w14:paraId="6E3A59E8">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货物名称</w:t>
            </w:r>
          </w:p>
        </w:tc>
        <w:tc>
          <w:tcPr>
            <w:tcW w:w="1153" w:type="dxa"/>
            <w:vAlign w:val="center"/>
          </w:tcPr>
          <w:p w14:paraId="7F27F260">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技术参数及性能配置</w:t>
            </w:r>
          </w:p>
        </w:tc>
        <w:tc>
          <w:tcPr>
            <w:tcW w:w="1712" w:type="dxa"/>
            <w:vAlign w:val="center"/>
          </w:tcPr>
          <w:p w14:paraId="7AAE4D81">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品牌及规格型号、生产厂家及国别</w:t>
            </w:r>
          </w:p>
        </w:tc>
        <w:tc>
          <w:tcPr>
            <w:tcW w:w="1065" w:type="dxa"/>
            <w:vAlign w:val="center"/>
          </w:tcPr>
          <w:p w14:paraId="502B6D65">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数量①</w:t>
            </w:r>
          </w:p>
        </w:tc>
        <w:tc>
          <w:tcPr>
            <w:tcW w:w="1020" w:type="dxa"/>
            <w:vAlign w:val="center"/>
          </w:tcPr>
          <w:p w14:paraId="522C3EFA">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w:t>
            </w:r>
          </w:p>
        </w:tc>
        <w:tc>
          <w:tcPr>
            <w:tcW w:w="1260" w:type="dxa"/>
            <w:vAlign w:val="center"/>
          </w:tcPr>
          <w:p w14:paraId="41FCAB6E">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单价（元）</w:t>
            </w:r>
          </w:p>
          <w:p w14:paraId="46641A33">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②</w:t>
            </w:r>
          </w:p>
        </w:tc>
        <w:tc>
          <w:tcPr>
            <w:tcW w:w="1500" w:type="dxa"/>
            <w:vAlign w:val="center"/>
          </w:tcPr>
          <w:p w14:paraId="40F92A18">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单项合价（元）</w:t>
            </w:r>
          </w:p>
          <w:p w14:paraId="67F15793">
            <w:pPr>
              <w:spacing w:after="0" w:line="32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③=①×②</w:t>
            </w:r>
          </w:p>
        </w:tc>
      </w:tr>
      <w:tr w14:paraId="7617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79" w:type="dxa"/>
            <w:vAlign w:val="center"/>
          </w:tcPr>
          <w:p w14:paraId="61699D3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6" w:type="dxa"/>
            <w:vAlign w:val="center"/>
          </w:tcPr>
          <w:p w14:paraId="0092E2F4">
            <w:pPr>
              <w:rPr>
                <w:rFonts w:asciiTheme="minorEastAsia" w:hAnsiTheme="minorEastAsia" w:eastAsiaTheme="minorEastAsia"/>
                <w:color w:val="auto"/>
                <w:sz w:val="24"/>
                <w:highlight w:val="none"/>
              </w:rPr>
            </w:pPr>
          </w:p>
        </w:tc>
        <w:tc>
          <w:tcPr>
            <w:tcW w:w="1153" w:type="dxa"/>
            <w:vAlign w:val="center"/>
          </w:tcPr>
          <w:p w14:paraId="4CC8017F">
            <w:pPr>
              <w:rPr>
                <w:rFonts w:asciiTheme="minorEastAsia" w:hAnsiTheme="minorEastAsia" w:eastAsiaTheme="minorEastAsia"/>
                <w:color w:val="auto"/>
                <w:sz w:val="24"/>
                <w:highlight w:val="none"/>
              </w:rPr>
            </w:pPr>
          </w:p>
        </w:tc>
        <w:tc>
          <w:tcPr>
            <w:tcW w:w="1712" w:type="dxa"/>
            <w:vAlign w:val="center"/>
          </w:tcPr>
          <w:p w14:paraId="0009C02F">
            <w:pPr>
              <w:rPr>
                <w:rFonts w:asciiTheme="minorEastAsia" w:hAnsiTheme="minorEastAsia" w:eastAsiaTheme="minorEastAsia"/>
                <w:color w:val="auto"/>
                <w:sz w:val="24"/>
                <w:highlight w:val="none"/>
              </w:rPr>
            </w:pPr>
          </w:p>
        </w:tc>
        <w:tc>
          <w:tcPr>
            <w:tcW w:w="1065" w:type="dxa"/>
            <w:vAlign w:val="center"/>
          </w:tcPr>
          <w:p w14:paraId="10438EEE">
            <w:pPr>
              <w:rPr>
                <w:rFonts w:asciiTheme="minorEastAsia" w:hAnsiTheme="minorEastAsia" w:eastAsiaTheme="minorEastAsia"/>
                <w:color w:val="auto"/>
                <w:sz w:val="24"/>
                <w:highlight w:val="none"/>
              </w:rPr>
            </w:pPr>
          </w:p>
        </w:tc>
        <w:tc>
          <w:tcPr>
            <w:tcW w:w="1020" w:type="dxa"/>
            <w:vAlign w:val="center"/>
          </w:tcPr>
          <w:p w14:paraId="46CE0038">
            <w:pPr>
              <w:rPr>
                <w:rFonts w:asciiTheme="minorEastAsia" w:hAnsiTheme="minorEastAsia" w:eastAsiaTheme="minorEastAsia"/>
                <w:color w:val="auto"/>
                <w:sz w:val="24"/>
                <w:highlight w:val="none"/>
              </w:rPr>
            </w:pPr>
          </w:p>
        </w:tc>
        <w:tc>
          <w:tcPr>
            <w:tcW w:w="1260" w:type="dxa"/>
            <w:vAlign w:val="center"/>
          </w:tcPr>
          <w:p w14:paraId="401D1E04">
            <w:pPr>
              <w:rPr>
                <w:rFonts w:asciiTheme="minorEastAsia" w:hAnsiTheme="minorEastAsia" w:eastAsiaTheme="minorEastAsia"/>
                <w:color w:val="auto"/>
                <w:sz w:val="24"/>
                <w:highlight w:val="none"/>
              </w:rPr>
            </w:pPr>
          </w:p>
        </w:tc>
        <w:tc>
          <w:tcPr>
            <w:tcW w:w="1500" w:type="dxa"/>
            <w:vAlign w:val="center"/>
          </w:tcPr>
          <w:p w14:paraId="5275E35C">
            <w:pPr>
              <w:rPr>
                <w:rFonts w:asciiTheme="minorEastAsia" w:hAnsiTheme="minorEastAsia" w:eastAsiaTheme="minorEastAsia"/>
                <w:color w:val="auto"/>
                <w:sz w:val="24"/>
                <w:highlight w:val="none"/>
              </w:rPr>
            </w:pPr>
          </w:p>
        </w:tc>
      </w:tr>
      <w:tr w14:paraId="1041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79" w:type="dxa"/>
            <w:vAlign w:val="center"/>
          </w:tcPr>
          <w:p w14:paraId="08835B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6" w:type="dxa"/>
            <w:vAlign w:val="center"/>
          </w:tcPr>
          <w:p w14:paraId="7B58AD0F">
            <w:pPr>
              <w:rPr>
                <w:rFonts w:asciiTheme="minorEastAsia" w:hAnsiTheme="minorEastAsia" w:eastAsiaTheme="minorEastAsia"/>
                <w:color w:val="auto"/>
                <w:sz w:val="24"/>
                <w:highlight w:val="none"/>
              </w:rPr>
            </w:pPr>
          </w:p>
        </w:tc>
        <w:tc>
          <w:tcPr>
            <w:tcW w:w="1153" w:type="dxa"/>
            <w:vAlign w:val="center"/>
          </w:tcPr>
          <w:p w14:paraId="1026C9CF">
            <w:pPr>
              <w:rPr>
                <w:rFonts w:asciiTheme="minorEastAsia" w:hAnsiTheme="minorEastAsia" w:eastAsiaTheme="minorEastAsia"/>
                <w:color w:val="auto"/>
                <w:sz w:val="24"/>
                <w:highlight w:val="none"/>
              </w:rPr>
            </w:pPr>
          </w:p>
        </w:tc>
        <w:tc>
          <w:tcPr>
            <w:tcW w:w="1712" w:type="dxa"/>
            <w:vAlign w:val="center"/>
          </w:tcPr>
          <w:p w14:paraId="2CF1574C">
            <w:pPr>
              <w:rPr>
                <w:rFonts w:asciiTheme="minorEastAsia" w:hAnsiTheme="minorEastAsia" w:eastAsiaTheme="minorEastAsia"/>
                <w:color w:val="auto"/>
                <w:sz w:val="24"/>
                <w:highlight w:val="none"/>
              </w:rPr>
            </w:pPr>
          </w:p>
        </w:tc>
        <w:tc>
          <w:tcPr>
            <w:tcW w:w="1065" w:type="dxa"/>
            <w:vAlign w:val="center"/>
          </w:tcPr>
          <w:p w14:paraId="790E23F6">
            <w:pPr>
              <w:rPr>
                <w:rFonts w:asciiTheme="minorEastAsia" w:hAnsiTheme="minorEastAsia" w:eastAsiaTheme="minorEastAsia"/>
                <w:color w:val="auto"/>
                <w:sz w:val="24"/>
                <w:highlight w:val="none"/>
              </w:rPr>
            </w:pPr>
          </w:p>
        </w:tc>
        <w:tc>
          <w:tcPr>
            <w:tcW w:w="1020" w:type="dxa"/>
            <w:vAlign w:val="center"/>
          </w:tcPr>
          <w:p w14:paraId="14EC7E55">
            <w:pPr>
              <w:rPr>
                <w:rFonts w:asciiTheme="minorEastAsia" w:hAnsiTheme="minorEastAsia" w:eastAsiaTheme="minorEastAsia"/>
                <w:color w:val="auto"/>
                <w:sz w:val="24"/>
                <w:highlight w:val="none"/>
              </w:rPr>
            </w:pPr>
          </w:p>
        </w:tc>
        <w:tc>
          <w:tcPr>
            <w:tcW w:w="1260" w:type="dxa"/>
            <w:vAlign w:val="center"/>
          </w:tcPr>
          <w:p w14:paraId="54D6ABED">
            <w:pPr>
              <w:rPr>
                <w:rFonts w:asciiTheme="minorEastAsia" w:hAnsiTheme="minorEastAsia" w:eastAsiaTheme="minorEastAsia"/>
                <w:color w:val="auto"/>
                <w:sz w:val="24"/>
                <w:highlight w:val="none"/>
              </w:rPr>
            </w:pPr>
          </w:p>
        </w:tc>
        <w:tc>
          <w:tcPr>
            <w:tcW w:w="1500" w:type="dxa"/>
            <w:vAlign w:val="center"/>
          </w:tcPr>
          <w:p w14:paraId="3DD16721">
            <w:pPr>
              <w:rPr>
                <w:rFonts w:asciiTheme="minorEastAsia" w:hAnsiTheme="minorEastAsia" w:eastAsiaTheme="minorEastAsia"/>
                <w:color w:val="auto"/>
                <w:sz w:val="24"/>
                <w:highlight w:val="none"/>
              </w:rPr>
            </w:pPr>
          </w:p>
        </w:tc>
      </w:tr>
      <w:tr w14:paraId="576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79" w:type="dxa"/>
            <w:vAlign w:val="center"/>
          </w:tcPr>
          <w:p w14:paraId="27B4680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236" w:type="dxa"/>
            <w:vAlign w:val="center"/>
          </w:tcPr>
          <w:p w14:paraId="4104F58E">
            <w:pPr>
              <w:rPr>
                <w:rFonts w:asciiTheme="minorEastAsia" w:hAnsiTheme="minorEastAsia" w:eastAsiaTheme="minorEastAsia"/>
                <w:color w:val="auto"/>
                <w:sz w:val="24"/>
                <w:highlight w:val="none"/>
              </w:rPr>
            </w:pPr>
          </w:p>
        </w:tc>
        <w:tc>
          <w:tcPr>
            <w:tcW w:w="1153" w:type="dxa"/>
            <w:vAlign w:val="center"/>
          </w:tcPr>
          <w:p w14:paraId="3E02F607">
            <w:pPr>
              <w:rPr>
                <w:rFonts w:asciiTheme="minorEastAsia" w:hAnsiTheme="minorEastAsia" w:eastAsiaTheme="minorEastAsia"/>
                <w:color w:val="auto"/>
                <w:sz w:val="24"/>
                <w:highlight w:val="none"/>
              </w:rPr>
            </w:pPr>
          </w:p>
        </w:tc>
        <w:tc>
          <w:tcPr>
            <w:tcW w:w="1712" w:type="dxa"/>
            <w:vAlign w:val="center"/>
          </w:tcPr>
          <w:p w14:paraId="579F2EAA">
            <w:pPr>
              <w:rPr>
                <w:rFonts w:asciiTheme="minorEastAsia" w:hAnsiTheme="minorEastAsia" w:eastAsiaTheme="minorEastAsia"/>
                <w:color w:val="auto"/>
                <w:sz w:val="24"/>
                <w:highlight w:val="none"/>
              </w:rPr>
            </w:pPr>
          </w:p>
        </w:tc>
        <w:tc>
          <w:tcPr>
            <w:tcW w:w="1065" w:type="dxa"/>
            <w:vAlign w:val="center"/>
          </w:tcPr>
          <w:p w14:paraId="3CE8B48F">
            <w:pPr>
              <w:rPr>
                <w:rFonts w:asciiTheme="minorEastAsia" w:hAnsiTheme="minorEastAsia" w:eastAsiaTheme="minorEastAsia"/>
                <w:color w:val="auto"/>
                <w:sz w:val="24"/>
                <w:highlight w:val="none"/>
              </w:rPr>
            </w:pPr>
          </w:p>
        </w:tc>
        <w:tc>
          <w:tcPr>
            <w:tcW w:w="1020" w:type="dxa"/>
            <w:vAlign w:val="center"/>
          </w:tcPr>
          <w:p w14:paraId="2417EC68">
            <w:pPr>
              <w:rPr>
                <w:rFonts w:asciiTheme="minorEastAsia" w:hAnsiTheme="minorEastAsia" w:eastAsiaTheme="minorEastAsia"/>
                <w:color w:val="auto"/>
                <w:sz w:val="24"/>
                <w:highlight w:val="none"/>
              </w:rPr>
            </w:pPr>
          </w:p>
        </w:tc>
        <w:tc>
          <w:tcPr>
            <w:tcW w:w="1260" w:type="dxa"/>
            <w:vAlign w:val="center"/>
          </w:tcPr>
          <w:p w14:paraId="7B822413">
            <w:pPr>
              <w:rPr>
                <w:rFonts w:asciiTheme="minorEastAsia" w:hAnsiTheme="minorEastAsia" w:eastAsiaTheme="minorEastAsia"/>
                <w:color w:val="auto"/>
                <w:sz w:val="24"/>
                <w:highlight w:val="none"/>
              </w:rPr>
            </w:pPr>
          </w:p>
        </w:tc>
        <w:tc>
          <w:tcPr>
            <w:tcW w:w="1500" w:type="dxa"/>
            <w:vAlign w:val="center"/>
          </w:tcPr>
          <w:p w14:paraId="30EF896F">
            <w:pPr>
              <w:rPr>
                <w:rFonts w:asciiTheme="minorEastAsia" w:hAnsiTheme="minorEastAsia" w:eastAsiaTheme="minorEastAsia"/>
                <w:color w:val="auto"/>
                <w:sz w:val="24"/>
                <w:highlight w:val="none"/>
              </w:rPr>
            </w:pPr>
          </w:p>
        </w:tc>
      </w:tr>
      <w:tr w14:paraId="34EC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79" w:type="dxa"/>
            <w:vAlign w:val="center"/>
          </w:tcPr>
          <w:p w14:paraId="3332E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N</w:t>
            </w:r>
          </w:p>
        </w:tc>
        <w:tc>
          <w:tcPr>
            <w:tcW w:w="1236" w:type="dxa"/>
            <w:vAlign w:val="center"/>
          </w:tcPr>
          <w:p w14:paraId="68EEC3BE">
            <w:pPr>
              <w:rPr>
                <w:rFonts w:asciiTheme="minorEastAsia" w:hAnsiTheme="minorEastAsia" w:eastAsiaTheme="minorEastAsia"/>
                <w:color w:val="auto"/>
                <w:sz w:val="24"/>
                <w:highlight w:val="none"/>
              </w:rPr>
            </w:pPr>
          </w:p>
        </w:tc>
        <w:tc>
          <w:tcPr>
            <w:tcW w:w="1153" w:type="dxa"/>
            <w:vAlign w:val="center"/>
          </w:tcPr>
          <w:p w14:paraId="7A3BBFA6">
            <w:pPr>
              <w:rPr>
                <w:rFonts w:asciiTheme="minorEastAsia" w:hAnsiTheme="minorEastAsia" w:eastAsiaTheme="minorEastAsia"/>
                <w:color w:val="auto"/>
                <w:sz w:val="24"/>
                <w:highlight w:val="none"/>
              </w:rPr>
            </w:pPr>
          </w:p>
        </w:tc>
        <w:tc>
          <w:tcPr>
            <w:tcW w:w="1712" w:type="dxa"/>
            <w:vAlign w:val="center"/>
          </w:tcPr>
          <w:p w14:paraId="572CE81E">
            <w:pPr>
              <w:rPr>
                <w:rFonts w:asciiTheme="minorEastAsia" w:hAnsiTheme="minorEastAsia" w:eastAsiaTheme="minorEastAsia"/>
                <w:color w:val="auto"/>
                <w:sz w:val="24"/>
                <w:highlight w:val="none"/>
              </w:rPr>
            </w:pPr>
          </w:p>
        </w:tc>
        <w:tc>
          <w:tcPr>
            <w:tcW w:w="1065" w:type="dxa"/>
            <w:vAlign w:val="center"/>
          </w:tcPr>
          <w:p w14:paraId="094BD0E0">
            <w:pPr>
              <w:rPr>
                <w:rFonts w:asciiTheme="minorEastAsia" w:hAnsiTheme="minorEastAsia" w:eastAsiaTheme="minorEastAsia"/>
                <w:color w:val="auto"/>
                <w:sz w:val="24"/>
                <w:highlight w:val="none"/>
              </w:rPr>
            </w:pPr>
          </w:p>
        </w:tc>
        <w:tc>
          <w:tcPr>
            <w:tcW w:w="1020" w:type="dxa"/>
            <w:vAlign w:val="center"/>
          </w:tcPr>
          <w:p w14:paraId="1DBCC5B5">
            <w:pPr>
              <w:rPr>
                <w:rFonts w:asciiTheme="minorEastAsia" w:hAnsiTheme="minorEastAsia" w:eastAsiaTheme="minorEastAsia"/>
                <w:color w:val="auto"/>
                <w:sz w:val="24"/>
                <w:highlight w:val="none"/>
              </w:rPr>
            </w:pPr>
          </w:p>
        </w:tc>
        <w:tc>
          <w:tcPr>
            <w:tcW w:w="1260" w:type="dxa"/>
            <w:vAlign w:val="center"/>
          </w:tcPr>
          <w:p w14:paraId="4A37BABC">
            <w:pPr>
              <w:rPr>
                <w:rFonts w:asciiTheme="minorEastAsia" w:hAnsiTheme="minorEastAsia" w:eastAsiaTheme="minorEastAsia"/>
                <w:color w:val="auto"/>
                <w:sz w:val="24"/>
                <w:highlight w:val="none"/>
              </w:rPr>
            </w:pPr>
          </w:p>
        </w:tc>
        <w:tc>
          <w:tcPr>
            <w:tcW w:w="1500" w:type="dxa"/>
            <w:vAlign w:val="center"/>
          </w:tcPr>
          <w:p w14:paraId="77E7E08C">
            <w:pPr>
              <w:rPr>
                <w:rFonts w:asciiTheme="minorEastAsia" w:hAnsiTheme="minorEastAsia" w:eastAsiaTheme="minorEastAsia"/>
                <w:color w:val="auto"/>
                <w:sz w:val="24"/>
                <w:highlight w:val="none"/>
              </w:rPr>
            </w:pPr>
          </w:p>
        </w:tc>
      </w:tr>
      <w:tr w14:paraId="2D78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725" w:type="dxa"/>
            <w:gridSpan w:val="8"/>
            <w:vAlign w:val="center"/>
          </w:tcPr>
          <w:p w14:paraId="1DB69C43">
            <w:pPr>
              <w:spacing w:after="0" w:line="3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总报价：人民币</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p>
        </w:tc>
      </w:tr>
      <w:tr w14:paraId="6503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725" w:type="dxa"/>
            <w:gridSpan w:val="8"/>
            <w:vAlign w:val="center"/>
          </w:tcPr>
          <w:p w14:paraId="7A732270">
            <w:pPr>
              <w:spacing w:after="0" w:line="3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交货期：</w:t>
            </w:r>
          </w:p>
        </w:tc>
      </w:tr>
      <w:tr w14:paraId="620C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25" w:type="dxa"/>
            <w:gridSpan w:val="8"/>
            <w:vAlign w:val="center"/>
          </w:tcPr>
          <w:p w14:paraId="64C7FC03">
            <w:pPr>
              <w:spacing w:after="0" w:line="3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交货地点：</w:t>
            </w:r>
          </w:p>
        </w:tc>
      </w:tr>
    </w:tbl>
    <w:p w14:paraId="2943BCFD">
      <w:pPr>
        <w:spacing w:after="0" w:line="360" w:lineRule="exact"/>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注：1.所有价格均用人民币表示，单位为元，精确到小数点后两位数。</w:t>
      </w:r>
    </w:p>
    <w:p w14:paraId="1555F59A">
      <w:pPr>
        <w:spacing w:after="0" w:line="360" w:lineRule="exact"/>
        <w:ind w:firstLine="44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Cs/>
          <w:color w:val="auto"/>
          <w:highlight w:val="none"/>
        </w:rPr>
        <w:t>2.各供应商</w:t>
      </w:r>
      <w:r>
        <w:rPr>
          <w:rFonts w:hint="eastAsia" w:asciiTheme="minorEastAsia" w:hAnsiTheme="minorEastAsia" w:eastAsiaTheme="minorEastAsia"/>
          <w:color w:val="auto"/>
          <w:highlight w:val="none"/>
        </w:rPr>
        <w:t>必须就“项目采购需求和说明”中所有内容作完整唯一报价，否则，其响应文件无效。</w:t>
      </w:r>
    </w:p>
    <w:p w14:paraId="1A850144">
      <w:pPr>
        <w:spacing w:after="0" w:line="360" w:lineRule="exact"/>
        <w:ind w:firstLine="440" w:firstLineChars="200"/>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若此表由多页构成的，需逐页签字并加盖供应商公章。</w:t>
      </w:r>
    </w:p>
    <w:p w14:paraId="0CBF7D30">
      <w:pPr>
        <w:spacing w:after="0" w:line="360" w:lineRule="exact"/>
        <w:ind w:firstLine="440" w:firstLineChars="200"/>
        <w:jc w:val="both"/>
        <w:rPr>
          <w:rFonts w:asciiTheme="minorEastAsia" w:hAnsiTheme="minorEastAsia" w:eastAsiaTheme="minorEastAsia"/>
          <w:color w:val="auto"/>
          <w:highlight w:val="none"/>
        </w:rPr>
      </w:pPr>
      <w:r>
        <w:rPr>
          <w:rFonts w:asciiTheme="minorEastAsia" w:hAnsiTheme="minorEastAsia" w:eastAsiaTheme="minorEastAsia"/>
          <w:color w:val="auto"/>
          <w:highlight w:val="none"/>
        </w:rPr>
        <w:t>4.</w:t>
      </w:r>
      <w:r>
        <w:rPr>
          <w:rFonts w:hint="eastAsia" w:asciiTheme="minorEastAsia" w:hAnsiTheme="minorEastAsia" w:eastAsiaTheme="minorEastAsia"/>
          <w:color w:val="auto"/>
          <w:highlight w:val="none"/>
        </w:rPr>
        <w:t>此表的总报价是所有需采购方支付的本次采购标的金额总数，即竞标总价。竞标总价须包含完成用户需求要求所有内容的全部费用。</w:t>
      </w:r>
      <w:r>
        <w:rPr>
          <w:rFonts w:asciiTheme="minorEastAsia" w:hAnsiTheme="minorEastAsia" w:eastAsiaTheme="minorEastAsia"/>
          <w:color w:val="auto"/>
          <w:highlight w:val="none"/>
        </w:rPr>
        <w:tab/>
      </w:r>
    </w:p>
    <w:p w14:paraId="19D243DE">
      <w:pPr>
        <w:spacing w:after="0" w:line="360" w:lineRule="exact"/>
        <w:ind w:firstLine="440" w:firstLineChars="200"/>
        <w:jc w:val="both"/>
        <w:rPr>
          <w:rFonts w:asciiTheme="minorEastAsia" w:hAnsiTheme="minorEastAsia" w:eastAsiaTheme="minorEastAsia"/>
          <w:color w:val="auto"/>
          <w:highlight w:val="none"/>
        </w:rPr>
      </w:pPr>
    </w:p>
    <w:p w14:paraId="63242B5E">
      <w:pPr>
        <w:spacing w:after="120"/>
        <w:rPr>
          <w:rFonts w:asciiTheme="minorEastAsia" w:hAnsiTheme="minorEastAsia" w:eastAsiaTheme="minorEastAsia"/>
          <w:color w:val="auto"/>
          <w:highlight w:val="none"/>
        </w:rPr>
      </w:pPr>
    </w:p>
    <w:p w14:paraId="7A43CF46">
      <w:pPr>
        <w:spacing w:after="120"/>
        <w:rPr>
          <w:rFonts w:asciiTheme="minorEastAsia" w:hAnsiTheme="minorEastAsia" w:eastAsiaTheme="minorEastAsia"/>
          <w:color w:val="auto"/>
          <w:highlight w:val="none"/>
        </w:rPr>
      </w:pPr>
    </w:p>
    <w:p w14:paraId="6E007CF7">
      <w:pPr>
        <w:spacing w:after="120" w:line="360" w:lineRule="auto"/>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353735A2">
      <w:pPr>
        <w:spacing w:after="120" w:line="360" w:lineRule="auto"/>
        <w:ind w:left="1320" w:leftChars="600"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邮编</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76EB4BE3">
      <w:pPr>
        <w:spacing w:after="120" w:line="360" w:lineRule="auto"/>
        <w:ind w:left="1320" w:leftChars="600" w:firstLine="480" w:firstLineChars="200"/>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电话</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传</w:t>
      </w:r>
      <w:r>
        <w:rPr>
          <w:rFonts w:hint="eastAsia" w:asciiTheme="minorEastAsia" w:hAnsiTheme="minorEastAsia" w:eastAsiaTheme="minorEastAsia"/>
          <w:color w:val="auto"/>
          <w:sz w:val="24"/>
          <w:highlight w:val="none"/>
        </w:rPr>
        <w:t>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70716922">
      <w:pPr>
        <w:spacing w:after="120" w:line="360" w:lineRule="auto"/>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hint="eastAsia" w:asciiTheme="minorEastAsia" w:hAnsiTheme="minorEastAsia" w:eastAsiaTheme="minorEastAsia"/>
          <w:color w:val="auto"/>
          <w:sz w:val="24"/>
          <w:highlight w:val="none"/>
          <w:u w:val="single"/>
        </w:rPr>
        <w:t xml:space="preserve">              （签字）        </w:t>
      </w:r>
    </w:p>
    <w:p w14:paraId="2C231E6D">
      <w:pPr>
        <w:spacing w:after="120" w:line="360" w:lineRule="auto"/>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0E949864">
      <w:pPr>
        <w:spacing w:after="0" w:line="420" w:lineRule="exact"/>
        <w:rPr>
          <w:rFonts w:asciiTheme="minorEastAsia" w:hAnsiTheme="minorEastAsia" w:eastAsiaTheme="minorEastAsia"/>
          <w:b/>
          <w:color w:val="auto"/>
          <w:sz w:val="24"/>
          <w:highlight w:val="none"/>
        </w:rPr>
      </w:pPr>
    </w:p>
    <w:p w14:paraId="5B89960F">
      <w:pPr>
        <w:spacing w:after="0" w:line="420" w:lineRule="exact"/>
        <w:rPr>
          <w:rFonts w:asciiTheme="minorEastAsia" w:hAnsiTheme="minorEastAsia" w:eastAsiaTheme="minorEastAsia"/>
          <w:b/>
          <w:color w:val="auto"/>
          <w:sz w:val="24"/>
          <w:highlight w:val="none"/>
        </w:rPr>
      </w:pPr>
    </w:p>
    <w:p w14:paraId="48BC5796">
      <w:pPr>
        <w:spacing w:after="0" w:line="42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附件二：</w:t>
      </w:r>
    </w:p>
    <w:p w14:paraId="25E47961">
      <w:pPr>
        <w:spacing w:line="300" w:lineRule="auto"/>
        <w:jc w:val="center"/>
        <w:rPr>
          <w:rFonts w:asciiTheme="minorEastAsia" w:hAnsiTheme="minorEastAsia" w:eastAsiaTheme="minorEastAsia"/>
          <w:b/>
          <w:color w:val="auto"/>
          <w:sz w:val="32"/>
          <w:szCs w:val="32"/>
          <w:highlight w:val="none"/>
        </w:rPr>
      </w:pPr>
      <w:bookmarkStart w:id="95" w:name="_Toc246095538"/>
      <w:bookmarkStart w:id="96" w:name="_Toc246095476"/>
      <w:bookmarkStart w:id="97" w:name="_Toc246094932"/>
      <w:r>
        <w:rPr>
          <w:rFonts w:hint="eastAsia" w:asciiTheme="minorEastAsia" w:hAnsiTheme="minorEastAsia" w:eastAsiaTheme="minorEastAsia"/>
          <w:b/>
          <w:color w:val="auto"/>
          <w:sz w:val="32"/>
          <w:szCs w:val="32"/>
          <w:highlight w:val="none"/>
        </w:rPr>
        <w:t>谈判书</w:t>
      </w:r>
      <w:bookmarkEnd w:id="95"/>
      <w:bookmarkEnd w:id="96"/>
      <w:bookmarkEnd w:id="97"/>
    </w:p>
    <w:p w14:paraId="493DC4A0">
      <w:pPr>
        <w:spacing w:after="0" w:line="420" w:lineRule="exact"/>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致：(采购代理机构)</w:t>
      </w:r>
    </w:p>
    <w:p w14:paraId="56CDC5BF">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根据贵方的</w:t>
      </w:r>
      <w:r>
        <w:rPr>
          <w:rFonts w:hint="eastAsia" w:cs="Arial" w:asciiTheme="minorEastAsia" w:hAnsiTheme="minorEastAsia" w:eastAsiaTheme="minorEastAsia"/>
          <w:color w:val="auto"/>
          <w:sz w:val="24"/>
          <w:highlight w:val="none"/>
          <w:u w:val="single"/>
        </w:rPr>
        <w:t xml:space="preserve">           （项目名称） （项目编号：     ）  </w:t>
      </w:r>
      <w:r>
        <w:rPr>
          <w:rFonts w:hint="eastAsia" w:cs="Arial" w:asciiTheme="minorEastAsia" w:hAnsiTheme="minorEastAsia" w:eastAsiaTheme="minorEastAsia"/>
          <w:color w:val="auto"/>
          <w:sz w:val="24"/>
          <w:highlight w:val="none"/>
        </w:rPr>
        <w:t>项目政府采购的谈判邀请，我方授权代表</w:t>
      </w:r>
      <w:r>
        <w:rPr>
          <w:rFonts w:hint="eastAsia" w:cs="Arial" w:asciiTheme="minorEastAsia" w:hAnsiTheme="minorEastAsia" w:eastAsiaTheme="minorEastAsia"/>
          <w:color w:val="auto"/>
          <w:sz w:val="24"/>
          <w:highlight w:val="none"/>
          <w:u w:val="single"/>
        </w:rPr>
        <w:t xml:space="preserve">         （姓名和职务）</w:t>
      </w:r>
      <w:r>
        <w:rPr>
          <w:rFonts w:hint="eastAsia" w:cs="Arial" w:asciiTheme="minorEastAsia" w:hAnsiTheme="minorEastAsia" w:eastAsiaTheme="minorEastAsia"/>
          <w:color w:val="auto"/>
          <w:sz w:val="24"/>
          <w:highlight w:val="none"/>
        </w:rPr>
        <w:t>经正式授权并代表供应商</w:t>
      </w:r>
      <w:r>
        <w:rPr>
          <w:rFonts w:hint="eastAsia" w:cs="Arial" w:asciiTheme="minorEastAsia" w:hAnsiTheme="minorEastAsia" w:eastAsiaTheme="minorEastAsia"/>
          <w:color w:val="auto"/>
          <w:sz w:val="24"/>
          <w:highlight w:val="none"/>
          <w:u w:val="single"/>
        </w:rPr>
        <w:t xml:space="preserve">    （供应商名称）   </w:t>
      </w:r>
      <w:r>
        <w:rPr>
          <w:rFonts w:hint="eastAsia" w:cs="Arial" w:asciiTheme="minorEastAsia" w:hAnsiTheme="minorEastAsia" w:eastAsiaTheme="minorEastAsia"/>
          <w:color w:val="auto"/>
          <w:sz w:val="24"/>
          <w:highlight w:val="none"/>
        </w:rPr>
        <w:t>提交响应文件。</w:t>
      </w:r>
    </w:p>
    <w:p w14:paraId="0E35E553">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在此，授权代表宣布同意如下：</w:t>
      </w:r>
    </w:p>
    <w:p w14:paraId="6CFFA49F">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1．供应商已详细审查全部“竞争性谈判文件”，包括修改文件（如有的话）以及全部参考资料和有关附件，已经了解我方对于谈判文件、采购过程、采购结果有依法进行询问、质疑、投诉的权利及相关渠道和要求。</w:t>
      </w:r>
    </w:p>
    <w:p w14:paraId="5C322A28">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2．供应商在谈判之前已经与贵方进行了充分的沟通，完全理解并接受谈判文件的各项规定和要求，对谈判文件的合理性、合法性不再有异议。</w:t>
      </w:r>
    </w:p>
    <w:p w14:paraId="2D234CC0">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3．本次响应文件有效期</w:t>
      </w:r>
      <w:r>
        <w:rPr>
          <w:rFonts w:hint="eastAsia" w:cs="宋体" w:asciiTheme="minorEastAsia" w:hAnsiTheme="minorEastAsia" w:eastAsiaTheme="minorEastAsia"/>
          <w:color w:val="auto"/>
          <w:sz w:val="24"/>
          <w:highlight w:val="none"/>
        </w:rPr>
        <w:t>自响应文件提交截止之日起天</w:t>
      </w:r>
      <w:r>
        <w:rPr>
          <w:rFonts w:hint="eastAsia" w:cs="宋体" w:asciiTheme="minorEastAsia" w:hAnsiTheme="minorEastAsia" w:eastAsiaTheme="minorEastAsia"/>
          <w:color w:val="auto"/>
          <w:sz w:val="24"/>
          <w:highlight w:val="none"/>
          <w:u w:val="single"/>
        </w:rPr>
        <w:t xml:space="preserve">     （日历天）</w:t>
      </w:r>
      <w:r>
        <w:rPr>
          <w:rFonts w:hint="eastAsia" w:cs="Arial" w:asciiTheme="minorEastAsia" w:hAnsiTheme="minorEastAsia" w:eastAsiaTheme="minorEastAsia"/>
          <w:color w:val="auto"/>
          <w:sz w:val="24"/>
          <w:highlight w:val="none"/>
        </w:rPr>
        <w:t>内。</w:t>
      </w:r>
    </w:p>
    <w:p w14:paraId="5BF0C9F4">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4．如成交，供应商将按“竞争性谈判文件”及政府采购法律、法规的规定履行合同责任和义务。</w:t>
      </w:r>
    </w:p>
    <w:p w14:paraId="12EBE431">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5．供应商同意按照贵方要求提供与谈判有关的一切数据或资料。</w:t>
      </w:r>
    </w:p>
    <w:p w14:paraId="20CEFCA9">
      <w:pPr>
        <w:spacing w:after="0" w:line="42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6．与本次谈判有关的一切正式往来信函请寄：</w:t>
      </w:r>
    </w:p>
    <w:p w14:paraId="5832D935">
      <w:pPr>
        <w:spacing w:after="0" w:line="420" w:lineRule="exact"/>
        <w:ind w:left="1320" w:leftChars="600" w:firstLine="480" w:firstLineChars="200"/>
        <w:rPr>
          <w:rFonts w:asciiTheme="minorEastAsia" w:hAnsiTheme="minorEastAsia" w:eastAsiaTheme="minorEastAsia"/>
          <w:color w:val="auto"/>
          <w:sz w:val="24"/>
          <w:highlight w:val="none"/>
        </w:rPr>
      </w:pPr>
    </w:p>
    <w:p w14:paraId="56356E8F">
      <w:pPr>
        <w:spacing w:after="0" w:line="420" w:lineRule="exact"/>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2CFFF18F">
      <w:pPr>
        <w:spacing w:after="0" w:line="420" w:lineRule="exact"/>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邮编：</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0A46301C">
      <w:pPr>
        <w:spacing w:after="0" w:line="420" w:lineRule="exact"/>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电话：</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传真：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 xml:space="preserve"> </w:t>
      </w:r>
    </w:p>
    <w:p w14:paraId="1821523D">
      <w:pPr>
        <w:spacing w:after="0" w:line="420" w:lineRule="exact"/>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hint="eastAsia" w:asciiTheme="minorEastAsia" w:hAnsiTheme="minorEastAsia" w:eastAsiaTheme="minorEastAsia"/>
          <w:color w:val="auto"/>
          <w:sz w:val="24"/>
          <w:highlight w:val="none"/>
          <w:u w:val="single"/>
        </w:rPr>
        <w:t xml:space="preserve">          （签字）        </w:t>
      </w:r>
    </w:p>
    <w:p w14:paraId="435B0D6E">
      <w:pPr>
        <w:spacing w:after="0" w:line="420" w:lineRule="exact"/>
        <w:ind w:left="1320" w:leftChars="600"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1F734D93">
      <w:pPr>
        <w:spacing w:after="0" w:line="420" w:lineRule="exact"/>
        <w:ind w:left="1320" w:leftChars="600" w:firstLine="480" w:firstLineChars="200"/>
        <w:rPr>
          <w:rFonts w:asciiTheme="minorEastAsia" w:hAnsiTheme="minorEastAsia" w:eastAsiaTheme="minorEastAsia"/>
          <w:color w:val="auto"/>
          <w:sz w:val="24"/>
          <w:highlight w:val="none"/>
        </w:rPr>
      </w:pPr>
    </w:p>
    <w:p w14:paraId="1EC55435">
      <w:pPr>
        <w:spacing w:after="0" w:line="420" w:lineRule="exact"/>
        <w:rPr>
          <w:rFonts w:asciiTheme="minorEastAsia" w:hAnsiTheme="minorEastAsia" w:eastAsiaTheme="minorEastAsia"/>
          <w:b/>
          <w:color w:val="auto"/>
          <w:sz w:val="24"/>
          <w:highlight w:val="none"/>
        </w:rPr>
      </w:pPr>
      <w:bookmarkStart w:id="98" w:name="_Toc405196519"/>
      <w:r>
        <w:rPr>
          <w:rFonts w:hint="eastAsia" w:asciiTheme="minorEastAsia" w:hAnsiTheme="minorEastAsia" w:eastAsiaTheme="minorEastAsia"/>
          <w:color w:val="auto"/>
          <w:highlight w:val="none"/>
        </w:rPr>
        <w:br w:type="page"/>
      </w:r>
      <w:r>
        <w:rPr>
          <w:rFonts w:hint="eastAsia" w:asciiTheme="minorEastAsia" w:hAnsiTheme="minorEastAsia" w:eastAsiaTheme="minorEastAsia"/>
          <w:b/>
          <w:color w:val="auto"/>
          <w:sz w:val="24"/>
          <w:highlight w:val="none"/>
        </w:rPr>
        <w:t>附件三：</w:t>
      </w:r>
    </w:p>
    <w:bookmarkEnd w:id="98"/>
    <w:p w14:paraId="720E66CD">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竞标声明书</w:t>
      </w:r>
    </w:p>
    <w:p w14:paraId="697DD9F0">
      <w:pPr>
        <w:spacing w:after="0" w:line="400" w:lineRule="exact"/>
        <w:rPr>
          <w:rFonts w:asciiTheme="minorEastAsia" w:hAnsiTheme="minorEastAsia" w:eastAsiaTheme="minorEastAsia"/>
          <w:color w:val="auto"/>
          <w:sz w:val="24"/>
          <w:highlight w:val="none"/>
        </w:rPr>
      </w:pPr>
    </w:p>
    <w:p w14:paraId="04855A70">
      <w:pPr>
        <w:spacing w:after="0" w:line="400" w:lineRule="exact"/>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highlight w:val="none"/>
        </w:rPr>
        <w:t>致：(采购代理机构)</w:t>
      </w:r>
    </w:p>
    <w:p w14:paraId="6CB0456A">
      <w:pPr>
        <w:spacing w:after="0" w:line="400" w:lineRule="exact"/>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highlight w:val="none"/>
          <w:u w:val="single"/>
        </w:rPr>
        <w:t xml:space="preserve">（供应商名称）     </w:t>
      </w:r>
      <w:r>
        <w:rPr>
          <w:rFonts w:hint="eastAsia" w:asciiTheme="minorEastAsia" w:hAnsiTheme="minorEastAsia" w:eastAsiaTheme="minorEastAsia"/>
          <w:color w:val="auto"/>
          <w:sz w:val="24"/>
          <w:highlight w:val="none"/>
        </w:rPr>
        <w:t>系中华人民共和国合法企业，经营地址：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106C093">
      <w:pPr>
        <w:spacing w:after="0" w:line="400" w:lineRule="exact"/>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highlight w:val="none"/>
        </w:rPr>
        <w:t>我</w:t>
      </w:r>
      <w:r>
        <w:rPr>
          <w:rFonts w:hint="eastAsia" w:asciiTheme="minorEastAsia" w:hAnsiTheme="minorEastAsia" w:eastAsiaTheme="minorEastAsia"/>
          <w:color w:val="auto"/>
          <w:sz w:val="24"/>
          <w:highlight w:val="none"/>
          <w:u w:val="single"/>
        </w:rPr>
        <w:t>（姓名）</w:t>
      </w:r>
      <w:r>
        <w:rPr>
          <w:rFonts w:hint="eastAsia" w:asciiTheme="minorEastAsia" w:hAnsiTheme="minorEastAsia" w:eastAsiaTheme="minorEastAsia"/>
          <w:color w:val="auto"/>
          <w:sz w:val="24"/>
          <w:highlight w:val="none"/>
        </w:rPr>
        <w:t>系</w:t>
      </w:r>
      <w:r>
        <w:rPr>
          <w:rFonts w:hint="eastAsia" w:asciiTheme="minorEastAsia" w:hAnsiTheme="minorEastAsia" w:eastAsiaTheme="minorEastAsia"/>
          <w:color w:val="auto"/>
          <w:sz w:val="24"/>
          <w:highlight w:val="none"/>
          <w:u w:val="single"/>
        </w:rPr>
        <w:t>（供应商名称）</w:t>
      </w:r>
      <w:r>
        <w:rPr>
          <w:rFonts w:hint="eastAsia" w:asciiTheme="minorEastAsia" w:hAnsiTheme="minorEastAsia" w:eastAsiaTheme="minorEastAsia"/>
          <w:color w:val="auto"/>
          <w:sz w:val="24"/>
          <w:highlight w:val="none"/>
        </w:rPr>
        <w:t>的法定代表人，我方愿意参加贵方组织的</w:t>
      </w:r>
      <w:r>
        <w:rPr>
          <w:rFonts w:hint="eastAsia" w:asciiTheme="minorEastAsia" w:hAnsiTheme="minorEastAsia" w:eastAsiaTheme="minorEastAsia"/>
          <w:color w:val="auto"/>
          <w:sz w:val="24"/>
          <w:highlight w:val="none"/>
          <w:u w:val="single"/>
        </w:rPr>
        <w:t xml:space="preserve">（项目名称）（项目编号：      </w:t>
      </w:r>
      <w:r>
        <w:rPr>
          <w:rFonts w:hint="eastAsia" w:asciiTheme="minorEastAsia" w:hAnsiTheme="minorEastAsia" w:eastAsiaTheme="minorEastAsia"/>
          <w:color w:val="auto"/>
          <w:sz w:val="24"/>
          <w:highlight w:val="none"/>
        </w:rPr>
        <w:t>）的竞标，为便于贵方公正、择优地确定成交人及其服务，我方就本次竞标有关事项郑重声明如下：</w:t>
      </w:r>
    </w:p>
    <w:p w14:paraId="2C559D9A">
      <w:pPr>
        <w:spacing w:after="0" w:line="400" w:lineRule="exact"/>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highlight w:val="none"/>
        </w:rPr>
        <w:t>1.我方向贵方提交的所有响应文件、资料都是准确的和真实的。</w:t>
      </w:r>
    </w:p>
    <w:p w14:paraId="7946CE7D">
      <w:pPr>
        <w:spacing w:after="0" w:line="400" w:lineRule="exact"/>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FABE4FB">
      <w:pPr>
        <w:spacing w:after="0" w:line="400" w:lineRule="exact"/>
        <w:ind w:firstLine="480" w:firstLineChars="200"/>
        <w:rPr>
          <w:rFonts w:asciiTheme="minorEastAsia" w:hAnsiTheme="minorEastAsia" w:eastAsiaTheme="minorEastAsia"/>
          <w:color w:val="auto"/>
          <w:sz w:val="24"/>
          <w:szCs w:val="20"/>
          <w:highlight w:val="none"/>
        </w:rPr>
      </w:pPr>
      <w:r>
        <w:rPr>
          <w:rFonts w:asciiTheme="minorEastAsia" w:hAnsiTheme="minorEastAsia" w:eastAsiaTheme="minorEastAsia"/>
          <w:color w:val="auto"/>
          <w:sz w:val="24"/>
          <w:szCs w:val="20"/>
          <w:highlight w:val="none"/>
        </w:rPr>
        <w:t>3</w:t>
      </w:r>
      <w:r>
        <w:rPr>
          <w:rFonts w:hint="eastAsia" w:asciiTheme="minorEastAsia" w:hAnsiTheme="minorEastAsia" w:eastAsiaTheme="minorEastAsia"/>
          <w:color w:val="auto"/>
          <w:sz w:val="24"/>
          <w:szCs w:val="20"/>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2EC97D88">
      <w:pPr>
        <w:spacing w:after="0" w:line="400" w:lineRule="exact"/>
        <w:ind w:firstLine="480" w:firstLineChars="200"/>
        <w:rPr>
          <w:rFonts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□我方本次响应文件</w:t>
      </w:r>
      <w:r>
        <w:rPr>
          <w:rFonts w:hint="eastAsia" w:cs="宋体" w:asciiTheme="minorEastAsia" w:hAnsiTheme="minorEastAsia" w:eastAsiaTheme="minorEastAsia"/>
          <w:color w:val="auto"/>
          <w:sz w:val="24"/>
          <w:highlight w:val="none"/>
        </w:rPr>
        <w:t>内容中</w:t>
      </w:r>
      <w:r>
        <w:rPr>
          <w:rFonts w:hint="eastAsia" w:asciiTheme="minorEastAsia" w:hAnsiTheme="minorEastAsia" w:eastAsiaTheme="minorEastAsia"/>
          <w:color w:val="auto"/>
          <w:sz w:val="24"/>
          <w:szCs w:val="20"/>
          <w:highlight w:val="none"/>
        </w:rPr>
        <w:t>未</w:t>
      </w:r>
      <w:r>
        <w:rPr>
          <w:rFonts w:hint="eastAsia" w:cs="宋体" w:asciiTheme="minorEastAsia" w:hAnsiTheme="minorEastAsia" w:eastAsiaTheme="minorEastAsia"/>
          <w:color w:val="auto"/>
          <w:sz w:val="24"/>
          <w:highlight w:val="none"/>
        </w:rPr>
        <w:t>涉及商业秘密；</w:t>
      </w:r>
    </w:p>
    <w:p w14:paraId="5613EA96">
      <w:pPr>
        <w:spacing w:after="0" w:line="400" w:lineRule="exact"/>
        <w:ind w:firstLine="480" w:firstLineChars="200"/>
        <w:rPr>
          <w:rFonts w:asciiTheme="minorEastAsia" w:hAnsiTheme="minorEastAsia" w:eastAsiaTheme="minorEastAsia"/>
          <w:color w:val="auto"/>
          <w:sz w:val="24"/>
          <w:szCs w:val="20"/>
          <w:highlight w:val="none"/>
          <w:u w:val="single"/>
        </w:rPr>
      </w:pPr>
      <w:r>
        <w:rPr>
          <w:rFonts w:hint="eastAsia" w:asciiTheme="minorEastAsia" w:hAnsiTheme="minorEastAsia" w:eastAsiaTheme="minorEastAsia"/>
          <w:color w:val="auto"/>
          <w:sz w:val="24"/>
          <w:szCs w:val="20"/>
          <w:highlight w:val="none"/>
        </w:rPr>
        <w:t>□我方本次响应文件</w:t>
      </w:r>
      <w:r>
        <w:rPr>
          <w:rFonts w:hint="eastAsia" w:cs="宋体" w:asciiTheme="minorEastAsia" w:hAnsiTheme="minorEastAsia" w:eastAsiaTheme="minorEastAsia"/>
          <w:color w:val="auto"/>
          <w:sz w:val="24"/>
          <w:highlight w:val="none"/>
        </w:rPr>
        <w:t>涉及商业秘密的内容有：</w:t>
      </w:r>
      <w:r>
        <w:rPr>
          <w:rFonts w:hint="eastAsia" w:asciiTheme="minorEastAsia" w:hAnsiTheme="minorEastAsia" w:eastAsiaTheme="minorEastAsia"/>
          <w:color w:val="auto"/>
          <w:sz w:val="28"/>
          <w:szCs w:val="28"/>
          <w:highlight w:val="none"/>
          <w:u w:val="single"/>
        </w:rPr>
        <w:t xml:space="preserve">                </w:t>
      </w:r>
      <w:r>
        <w:rPr>
          <w:rFonts w:hint="eastAsia" w:cs="宋体" w:asciiTheme="minorEastAsia" w:hAnsiTheme="minorEastAsia" w:eastAsiaTheme="minorEastAsia"/>
          <w:color w:val="auto"/>
          <w:sz w:val="24"/>
          <w:highlight w:val="none"/>
        </w:rPr>
        <w:t>；</w:t>
      </w:r>
    </w:p>
    <w:p w14:paraId="352EA3F4">
      <w:pPr>
        <w:spacing w:after="0" w:line="400" w:lineRule="exact"/>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.我方在此声明，完全符合《中华人民共和国政府采购法》第二十二条规定的供应商资格条件，我方对此声明负全部法律责任。</w:t>
      </w:r>
    </w:p>
    <w:p w14:paraId="59D88D34">
      <w:pPr>
        <w:spacing w:after="0" w:line="400" w:lineRule="exact"/>
        <w:ind w:firstLine="480" w:firstLineChars="200"/>
        <w:rPr>
          <w:rFonts w:asciiTheme="minorEastAsia" w:hAnsiTheme="minorEastAsia" w:eastAsiaTheme="minorEastAsia"/>
          <w:color w:val="auto"/>
          <w:sz w:val="24"/>
          <w:szCs w:val="20"/>
          <w:highlight w:val="none"/>
          <w:u w:val="single"/>
        </w:rPr>
      </w:pPr>
      <w:r>
        <w:rPr>
          <w:rFonts w:hint="eastAsia" w:asciiTheme="minorEastAsia" w:hAnsiTheme="minorEastAsia" w:eastAsiaTheme="minorEastAsia"/>
          <w:color w:val="auto"/>
          <w:sz w:val="24"/>
          <w:highlight w:val="none"/>
          <w:lang w:val="zh-CN"/>
        </w:rPr>
        <w:t>5.以上事项如有虚假或隐瞒，我方愿意承担一切后果，并不再寻求任何旨在减轻或免除法律责任的辩解。</w:t>
      </w:r>
    </w:p>
    <w:p w14:paraId="15091859">
      <w:pPr>
        <w:spacing w:after="0" w:line="400" w:lineRule="exact"/>
        <w:ind w:firstLine="480" w:firstLineChars="200"/>
        <w:rPr>
          <w:rFonts w:asciiTheme="minorEastAsia" w:hAnsiTheme="minorEastAsia" w:eastAsiaTheme="minorEastAsia"/>
          <w:color w:val="auto"/>
          <w:sz w:val="24"/>
          <w:szCs w:val="20"/>
          <w:highlight w:val="none"/>
          <w:u w:val="single"/>
        </w:rPr>
      </w:pPr>
    </w:p>
    <w:p w14:paraId="02036648">
      <w:pPr>
        <w:spacing w:line="400" w:lineRule="exact"/>
        <w:ind w:firstLine="5476" w:firstLineChars="2282"/>
        <w:rPr>
          <w:rFonts w:asciiTheme="minorEastAsia" w:hAnsiTheme="minorEastAsia" w:eastAsiaTheme="minorEastAsia"/>
          <w:color w:val="auto"/>
          <w:sz w:val="24"/>
          <w:highlight w:val="none"/>
        </w:rPr>
      </w:pPr>
    </w:p>
    <w:p w14:paraId="787FA948">
      <w:pPr>
        <w:spacing w:line="4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75C308A5">
      <w:pPr>
        <w:spacing w:line="400" w:lineRule="exact"/>
        <w:ind w:firstLine="3720" w:firstLineChars="155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法定代表人签字：</w:t>
      </w:r>
      <w:r>
        <w:rPr>
          <w:rFonts w:hint="eastAsia" w:asciiTheme="minorEastAsia" w:hAnsiTheme="minorEastAsia" w:eastAsiaTheme="minorEastAsia"/>
          <w:color w:val="auto"/>
          <w:sz w:val="24"/>
          <w:highlight w:val="none"/>
          <w:u w:val="single"/>
        </w:rPr>
        <w:t xml:space="preserve">    （签字）            </w:t>
      </w:r>
    </w:p>
    <w:p w14:paraId="5B224280">
      <w:pPr>
        <w:spacing w:line="4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7BD7F5A8">
      <w:pPr>
        <w:adjustRightInd/>
        <w:snapToGrid/>
        <w:spacing w:line="220" w:lineRule="atLeas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C697000">
      <w:pPr>
        <w:spacing w:line="300" w:lineRule="auto"/>
        <w:ind w:left="-92" w:leftChars="-4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附件四：</w:t>
      </w:r>
    </w:p>
    <w:p w14:paraId="5FA88715">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技术响应、偏离情况说明表</w:t>
      </w:r>
    </w:p>
    <w:p w14:paraId="130CE819">
      <w:pPr>
        <w:spacing w:after="0" w:line="360" w:lineRule="exact"/>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采购项目编号:</w:t>
      </w:r>
    </w:p>
    <w:p w14:paraId="26B939C8">
      <w:pPr>
        <w:spacing w:after="0" w:line="360" w:lineRule="exact"/>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采购项目名称:</w:t>
      </w:r>
    </w:p>
    <w:tbl>
      <w:tblPr>
        <w:tblStyle w:val="38"/>
        <w:tblW w:w="94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4"/>
        <w:gridCol w:w="1825"/>
        <w:gridCol w:w="1825"/>
        <w:gridCol w:w="2700"/>
        <w:gridCol w:w="1246"/>
        <w:gridCol w:w="989"/>
      </w:tblGrid>
      <w:tr w14:paraId="58129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4" w:type="dxa"/>
            <w:vAlign w:val="center"/>
          </w:tcPr>
          <w:p w14:paraId="0157AA9B">
            <w:pPr>
              <w:spacing w:after="0" w:line="3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1825" w:type="dxa"/>
            <w:tcBorders>
              <w:right w:val="single" w:color="auto" w:sz="4" w:space="0"/>
            </w:tcBorders>
            <w:vAlign w:val="center"/>
          </w:tcPr>
          <w:p w14:paraId="5FD95ED5">
            <w:pPr>
              <w:spacing w:after="0" w:line="36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货物名称</w:t>
            </w:r>
          </w:p>
        </w:tc>
        <w:tc>
          <w:tcPr>
            <w:tcW w:w="1825" w:type="dxa"/>
            <w:tcBorders>
              <w:left w:val="single" w:color="auto" w:sz="4" w:space="0"/>
            </w:tcBorders>
            <w:vAlign w:val="center"/>
          </w:tcPr>
          <w:p w14:paraId="06542888">
            <w:pPr>
              <w:spacing w:after="0" w:line="360" w:lineRule="exact"/>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竞争性谈判文件要求</w:t>
            </w:r>
            <w:r>
              <w:rPr>
                <w:rFonts w:hint="eastAsia" w:asciiTheme="minorEastAsia" w:hAnsiTheme="minorEastAsia" w:eastAsiaTheme="minorEastAsia"/>
                <w:color w:val="auto"/>
                <w:sz w:val="24"/>
                <w:highlight w:val="none"/>
                <w:lang w:eastAsia="zh-CN"/>
              </w:rPr>
              <w:t>的“技术参数及性能指标”</w:t>
            </w:r>
          </w:p>
        </w:tc>
        <w:tc>
          <w:tcPr>
            <w:tcW w:w="2700" w:type="dxa"/>
            <w:vAlign w:val="center"/>
          </w:tcPr>
          <w:p w14:paraId="34F38779">
            <w:pPr>
              <w:spacing w:after="0" w:line="36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响应文件响应内容（</w:t>
            </w:r>
            <w:r>
              <w:rPr>
                <w:rFonts w:hint="eastAsia" w:asciiTheme="minorEastAsia" w:hAnsiTheme="minorEastAsia" w:eastAsiaTheme="minorEastAsia"/>
                <w:b/>
                <w:bCs/>
                <w:color w:val="auto"/>
                <w:sz w:val="24"/>
                <w:highlight w:val="none"/>
              </w:rPr>
              <w:t>品牌及规格型号、生产厂家及国别</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Cs/>
                <w:color w:val="auto"/>
                <w:sz w:val="24"/>
                <w:highlight w:val="none"/>
              </w:rPr>
              <w:t>货物的</w:t>
            </w:r>
            <w:r>
              <w:rPr>
                <w:rFonts w:hint="eastAsia" w:asciiTheme="minorEastAsia" w:hAnsiTheme="minorEastAsia" w:eastAsiaTheme="minorEastAsia"/>
                <w:bCs/>
                <w:color w:val="auto"/>
                <w:sz w:val="24"/>
                <w:highlight w:val="none"/>
                <w:lang w:eastAsia="zh-CN"/>
              </w:rPr>
              <w:t>技术参数及性能指标</w:t>
            </w:r>
            <w:r>
              <w:rPr>
                <w:rFonts w:hint="eastAsia" w:asciiTheme="minorEastAsia" w:hAnsiTheme="minorEastAsia" w:eastAsiaTheme="minorEastAsia"/>
                <w:bCs/>
                <w:color w:val="auto"/>
                <w:sz w:val="24"/>
                <w:highlight w:val="none"/>
              </w:rPr>
              <w:t>等）</w:t>
            </w:r>
          </w:p>
        </w:tc>
        <w:tc>
          <w:tcPr>
            <w:tcW w:w="1246" w:type="dxa"/>
            <w:vAlign w:val="center"/>
          </w:tcPr>
          <w:p w14:paraId="37EE8B3C">
            <w:pPr>
              <w:spacing w:after="0" w:line="36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偏离说明</w:t>
            </w:r>
          </w:p>
        </w:tc>
        <w:tc>
          <w:tcPr>
            <w:tcW w:w="989" w:type="dxa"/>
            <w:vAlign w:val="center"/>
          </w:tcPr>
          <w:p w14:paraId="61495A32">
            <w:pPr>
              <w:spacing w:after="0" w:line="36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备注</w:t>
            </w:r>
          </w:p>
        </w:tc>
      </w:tr>
      <w:tr w14:paraId="7C83A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4" w:type="dxa"/>
            <w:vAlign w:val="center"/>
          </w:tcPr>
          <w:p w14:paraId="16B8DC4E">
            <w:pPr>
              <w:spacing w:line="30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5" w:type="dxa"/>
            <w:tcBorders>
              <w:right w:val="single" w:color="auto" w:sz="4" w:space="0"/>
            </w:tcBorders>
            <w:vAlign w:val="center"/>
          </w:tcPr>
          <w:p w14:paraId="1D8677B6">
            <w:pPr>
              <w:spacing w:line="300" w:lineRule="auto"/>
              <w:rPr>
                <w:rFonts w:asciiTheme="minorEastAsia" w:hAnsiTheme="minorEastAsia" w:eastAsiaTheme="minorEastAsia"/>
                <w:color w:val="auto"/>
                <w:sz w:val="24"/>
                <w:highlight w:val="none"/>
              </w:rPr>
            </w:pPr>
          </w:p>
        </w:tc>
        <w:tc>
          <w:tcPr>
            <w:tcW w:w="1825" w:type="dxa"/>
            <w:tcBorders>
              <w:left w:val="single" w:color="auto" w:sz="4" w:space="0"/>
            </w:tcBorders>
            <w:vAlign w:val="center"/>
          </w:tcPr>
          <w:p w14:paraId="217BEF68">
            <w:pPr>
              <w:spacing w:line="300" w:lineRule="auto"/>
              <w:rPr>
                <w:rFonts w:asciiTheme="minorEastAsia" w:hAnsiTheme="minorEastAsia" w:eastAsiaTheme="minorEastAsia"/>
                <w:color w:val="auto"/>
                <w:sz w:val="24"/>
                <w:highlight w:val="none"/>
              </w:rPr>
            </w:pPr>
          </w:p>
        </w:tc>
        <w:tc>
          <w:tcPr>
            <w:tcW w:w="2700" w:type="dxa"/>
            <w:vAlign w:val="center"/>
          </w:tcPr>
          <w:p w14:paraId="52C36EE6">
            <w:pPr>
              <w:spacing w:line="300" w:lineRule="auto"/>
              <w:rPr>
                <w:rFonts w:asciiTheme="minorEastAsia" w:hAnsiTheme="minorEastAsia" w:eastAsiaTheme="minorEastAsia"/>
                <w:color w:val="auto"/>
                <w:sz w:val="24"/>
                <w:highlight w:val="none"/>
              </w:rPr>
            </w:pPr>
          </w:p>
        </w:tc>
        <w:tc>
          <w:tcPr>
            <w:tcW w:w="1246" w:type="dxa"/>
            <w:vAlign w:val="center"/>
          </w:tcPr>
          <w:p w14:paraId="08C84688">
            <w:pPr>
              <w:spacing w:line="300" w:lineRule="auto"/>
              <w:rPr>
                <w:rFonts w:asciiTheme="minorEastAsia" w:hAnsiTheme="minorEastAsia" w:eastAsiaTheme="minorEastAsia"/>
                <w:color w:val="auto"/>
                <w:sz w:val="24"/>
                <w:highlight w:val="none"/>
              </w:rPr>
            </w:pPr>
          </w:p>
        </w:tc>
        <w:tc>
          <w:tcPr>
            <w:tcW w:w="989" w:type="dxa"/>
            <w:vAlign w:val="center"/>
          </w:tcPr>
          <w:p w14:paraId="1FEEEC67">
            <w:pPr>
              <w:spacing w:line="300" w:lineRule="auto"/>
              <w:rPr>
                <w:rFonts w:asciiTheme="minorEastAsia" w:hAnsiTheme="minorEastAsia" w:eastAsiaTheme="minorEastAsia"/>
                <w:color w:val="auto"/>
                <w:sz w:val="24"/>
                <w:highlight w:val="none"/>
              </w:rPr>
            </w:pPr>
          </w:p>
        </w:tc>
      </w:tr>
      <w:tr w14:paraId="22822B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4" w:type="dxa"/>
            <w:vAlign w:val="center"/>
          </w:tcPr>
          <w:p w14:paraId="28F2AE39">
            <w:pPr>
              <w:spacing w:line="30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5" w:type="dxa"/>
            <w:tcBorders>
              <w:right w:val="single" w:color="auto" w:sz="4" w:space="0"/>
            </w:tcBorders>
            <w:vAlign w:val="center"/>
          </w:tcPr>
          <w:p w14:paraId="0CF707F2">
            <w:pPr>
              <w:spacing w:line="300" w:lineRule="auto"/>
              <w:rPr>
                <w:rFonts w:asciiTheme="minorEastAsia" w:hAnsiTheme="minorEastAsia" w:eastAsiaTheme="minorEastAsia"/>
                <w:color w:val="auto"/>
                <w:sz w:val="24"/>
                <w:highlight w:val="none"/>
              </w:rPr>
            </w:pPr>
          </w:p>
        </w:tc>
        <w:tc>
          <w:tcPr>
            <w:tcW w:w="1825" w:type="dxa"/>
            <w:tcBorders>
              <w:left w:val="single" w:color="auto" w:sz="4" w:space="0"/>
            </w:tcBorders>
            <w:vAlign w:val="center"/>
          </w:tcPr>
          <w:p w14:paraId="45F5783B">
            <w:pPr>
              <w:spacing w:line="300" w:lineRule="auto"/>
              <w:rPr>
                <w:rFonts w:asciiTheme="minorEastAsia" w:hAnsiTheme="minorEastAsia" w:eastAsiaTheme="minorEastAsia"/>
                <w:color w:val="auto"/>
                <w:sz w:val="24"/>
                <w:highlight w:val="none"/>
              </w:rPr>
            </w:pPr>
          </w:p>
        </w:tc>
        <w:tc>
          <w:tcPr>
            <w:tcW w:w="2700" w:type="dxa"/>
            <w:vAlign w:val="center"/>
          </w:tcPr>
          <w:p w14:paraId="296A87A0">
            <w:pPr>
              <w:spacing w:line="300" w:lineRule="auto"/>
              <w:rPr>
                <w:rFonts w:asciiTheme="minorEastAsia" w:hAnsiTheme="minorEastAsia" w:eastAsiaTheme="minorEastAsia"/>
                <w:color w:val="auto"/>
                <w:sz w:val="24"/>
                <w:highlight w:val="none"/>
              </w:rPr>
            </w:pPr>
          </w:p>
        </w:tc>
        <w:tc>
          <w:tcPr>
            <w:tcW w:w="1246" w:type="dxa"/>
            <w:vAlign w:val="center"/>
          </w:tcPr>
          <w:p w14:paraId="50591B9A">
            <w:pPr>
              <w:spacing w:line="300" w:lineRule="auto"/>
              <w:rPr>
                <w:rFonts w:asciiTheme="minorEastAsia" w:hAnsiTheme="minorEastAsia" w:eastAsiaTheme="minorEastAsia"/>
                <w:color w:val="auto"/>
                <w:sz w:val="24"/>
                <w:highlight w:val="none"/>
              </w:rPr>
            </w:pPr>
          </w:p>
        </w:tc>
        <w:tc>
          <w:tcPr>
            <w:tcW w:w="989" w:type="dxa"/>
            <w:vAlign w:val="center"/>
          </w:tcPr>
          <w:p w14:paraId="05842020">
            <w:pPr>
              <w:spacing w:line="300" w:lineRule="auto"/>
              <w:rPr>
                <w:rFonts w:asciiTheme="minorEastAsia" w:hAnsiTheme="minorEastAsia" w:eastAsiaTheme="minorEastAsia"/>
                <w:color w:val="auto"/>
                <w:sz w:val="24"/>
                <w:highlight w:val="none"/>
              </w:rPr>
            </w:pPr>
          </w:p>
        </w:tc>
      </w:tr>
      <w:tr w14:paraId="11A6B8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4" w:type="dxa"/>
            <w:vAlign w:val="center"/>
          </w:tcPr>
          <w:p w14:paraId="1B8A4739">
            <w:pPr>
              <w:spacing w:line="30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5" w:type="dxa"/>
            <w:tcBorders>
              <w:right w:val="single" w:color="auto" w:sz="4" w:space="0"/>
            </w:tcBorders>
            <w:vAlign w:val="center"/>
          </w:tcPr>
          <w:p w14:paraId="095A5245">
            <w:pPr>
              <w:spacing w:line="300" w:lineRule="auto"/>
              <w:rPr>
                <w:rFonts w:asciiTheme="minorEastAsia" w:hAnsiTheme="minorEastAsia" w:eastAsiaTheme="minorEastAsia"/>
                <w:color w:val="auto"/>
                <w:sz w:val="24"/>
                <w:highlight w:val="none"/>
              </w:rPr>
            </w:pPr>
          </w:p>
        </w:tc>
        <w:tc>
          <w:tcPr>
            <w:tcW w:w="1825" w:type="dxa"/>
            <w:tcBorders>
              <w:left w:val="single" w:color="auto" w:sz="4" w:space="0"/>
            </w:tcBorders>
            <w:vAlign w:val="center"/>
          </w:tcPr>
          <w:p w14:paraId="3DF87D01">
            <w:pPr>
              <w:spacing w:line="300" w:lineRule="auto"/>
              <w:rPr>
                <w:rFonts w:asciiTheme="minorEastAsia" w:hAnsiTheme="minorEastAsia" w:eastAsiaTheme="minorEastAsia"/>
                <w:color w:val="auto"/>
                <w:sz w:val="24"/>
                <w:highlight w:val="none"/>
              </w:rPr>
            </w:pPr>
          </w:p>
        </w:tc>
        <w:tc>
          <w:tcPr>
            <w:tcW w:w="2700" w:type="dxa"/>
            <w:vAlign w:val="center"/>
          </w:tcPr>
          <w:p w14:paraId="6B434F65">
            <w:pPr>
              <w:spacing w:line="300" w:lineRule="auto"/>
              <w:rPr>
                <w:rFonts w:asciiTheme="minorEastAsia" w:hAnsiTheme="minorEastAsia" w:eastAsiaTheme="minorEastAsia"/>
                <w:color w:val="auto"/>
                <w:sz w:val="24"/>
                <w:highlight w:val="none"/>
              </w:rPr>
            </w:pPr>
          </w:p>
        </w:tc>
        <w:tc>
          <w:tcPr>
            <w:tcW w:w="1246" w:type="dxa"/>
            <w:vAlign w:val="center"/>
          </w:tcPr>
          <w:p w14:paraId="6E46DF50">
            <w:pPr>
              <w:spacing w:line="300" w:lineRule="auto"/>
              <w:rPr>
                <w:rFonts w:asciiTheme="minorEastAsia" w:hAnsiTheme="minorEastAsia" w:eastAsiaTheme="minorEastAsia"/>
                <w:color w:val="auto"/>
                <w:sz w:val="24"/>
                <w:highlight w:val="none"/>
              </w:rPr>
            </w:pPr>
          </w:p>
        </w:tc>
        <w:tc>
          <w:tcPr>
            <w:tcW w:w="989" w:type="dxa"/>
            <w:vAlign w:val="center"/>
          </w:tcPr>
          <w:p w14:paraId="21BB51CF">
            <w:pPr>
              <w:spacing w:line="300" w:lineRule="auto"/>
              <w:rPr>
                <w:rFonts w:asciiTheme="minorEastAsia" w:hAnsiTheme="minorEastAsia" w:eastAsiaTheme="minorEastAsia"/>
                <w:color w:val="auto"/>
                <w:sz w:val="24"/>
                <w:highlight w:val="none"/>
              </w:rPr>
            </w:pPr>
          </w:p>
        </w:tc>
      </w:tr>
      <w:tr w14:paraId="2A4415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4" w:type="dxa"/>
            <w:vAlign w:val="center"/>
          </w:tcPr>
          <w:p w14:paraId="68D174EF">
            <w:pPr>
              <w:spacing w:line="30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825" w:type="dxa"/>
            <w:tcBorders>
              <w:right w:val="single" w:color="auto" w:sz="4" w:space="0"/>
            </w:tcBorders>
            <w:vAlign w:val="center"/>
          </w:tcPr>
          <w:p w14:paraId="775FEDD6">
            <w:pPr>
              <w:spacing w:line="300" w:lineRule="auto"/>
              <w:rPr>
                <w:rFonts w:asciiTheme="minorEastAsia" w:hAnsiTheme="minorEastAsia" w:eastAsiaTheme="minorEastAsia"/>
                <w:color w:val="auto"/>
                <w:sz w:val="24"/>
                <w:highlight w:val="none"/>
              </w:rPr>
            </w:pPr>
          </w:p>
        </w:tc>
        <w:tc>
          <w:tcPr>
            <w:tcW w:w="1825" w:type="dxa"/>
            <w:tcBorders>
              <w:left w:val="single" w:color="auto" w:sz="4" w:space="0"/>
            </w:tcBorders>
            <w:vAlign w:val="center"/>
          </w:tcPr>
          <w:p w14:paraId="23BA02DE">
            <w:pPr>
              <w:spacing w:line="300" w:lineRule="auto"/>
              <w:rPr>
                <w:rFonts w:asciiTheme="minorEastAsia" w:hAnsiTheme="minorEastAsia" w:eastAsiaTheme="minorEastAsia"/>
                <w:color w:val="auto"/>
                <w:sz w:val="24"/>
                <w:highlight w:val="none"/>
              </w:rPr>
            </w:pPr>
          </w:p>
        </w:tc>
        <w:tc>
          <w:tcPr>
            <w:tcW w:w="2700" w:type="dxa"/>
            <w:vAlign w:val="center"/>
          </w:tcPr>
          <w:p w14:paraId="68A8E8D6">
            <w:pPr>
              <w:spacing w:line="300" w:lineRule="auto"/>
              <w:rPr>
                <w:rFonts w:asciiTheme="minorEastAsia" w:hAnsiTheme="minorEastAsia" w:eastAsiaTheme="minorEastAsia"/>
                <w:color w:val="auto"/>
                <w:sz w:val="24"/>
                <w:highlight w:val="none"/>
              </w:rPr>
            </w:pPr>
          </w:p>
        </w:tc>
        <w:tc>
          <w:tcPr>
            <w:tcW w:w="1246" w:type="dxa"/>
            <w:vAlign w:val="center"/>
          </w:tcPr>
          <w:p w14:paraId="51B1A1F6">
            <w:pPr>
              <w:spacing w:line="300" w:lineRule="auto"/>
              <w:rPr>
                <w:rFonts w:asciiTheme="minorEastAsia" w:hAnsiTheme="minorEastAsia" w:eastAsiaTheme="minorEastAsia"/>
                <w:color w:val="auto"/>
                <w:sz w:val="24"/>
                <w:highlight w:val="none"/>
              </w:rPr>
            </w:pPr>
          </w:p>
        </w:tc>
        <w:tc>
          <w:tcPr>
            <w:tcW w:w="989" w:type="dxa"/>
            <w:vAlign w:val="center"/>
          </w:tcPr>
          <w:p w14:paraId="0746D31E">
            <w:pPr>
              <w:spacing w:line="300" w:lineRule="auto"/>
              <w:rPr>
                <w:rFonts w:asciiTheme="minorEastAsia" w:hAnsiTheme="minorEastAsia" w:eastAsiaTheme="minorEastAsia"/>
                <w:color w:val="auto"/>
                <w:sz w:val="24"/>
                <w:highlight w:val="none"/>
              </w:rPr>
            </w:pPr>
          </w:p>
        </w:tc>
      </w:tr>
      <w:tr w14:paraId="2980E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24" w:type="dxa"/>
            <w:vAlign w:val="center"/>
          </w:tcPr>
          <w:p w14:paraId="2D481BE1">
            <w:pPr>
              <w:spacing w:line="30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825" w:type="dxa"/>
            <w:tcBorders>
              <w:right w:val="single" w:color="auto" w:sz="4" w:space="0"/>
            </w:tcBorders>
            <w:vAlign w:val="center"/>
          </w:tcPr>
          <w:p w14:paraId="5B0B62E8">
            <w:pPr>
              <w:spacing w:line="300" w:lineRule="auto"/>
              <w:rPr>
                <w:rFonts w:asciiTheme="minorEastAsia" w:hAnsiTheme="minorEastAsia" w:eastAsiaTheme="minorEastAsia"/>
                <w:color w:val="auto"/>
                <w:sz w:val="24"/>
                <w:highlight w:val="none"/>
              </w:rPr>
            </w:pPr>
          </w:p>
        </w:tc>
        <w:tc>
          <w:tcPr>
            <w:tcW w:w="1825" w:type="dxa"/>
            <w:tcBorders>
              <w:left w:val="single" w:color="auto" w:sz="4" w:space="0"/>
            </w:tcBorders>
            <w:vAlign w:val="center"/>
          </w:tcPr>
          <w:p w14:paraId="32743BD1">
            <w:pPr>
              <w:spacing w:line="300" w:lineRule="auto"/>
              <w:rPr>
                <w:rFonts w:asciiTheme="minorEastAsia" w:hAnsiTheme="minorEastAsia" w:eastAsiaTheme="minorEastAsia"/>
                <w:color w:val="auto"/>
                <w:sz w:val="24"/>
                <w:highlight w:val="none"/>
              </w:rPr>
            </w:pPr>
          </w:p>
        </w:tc>
        <w:tc>
          <w:tcPr>
            <w:tcW w:w="2700" w:type="dxa"/>
            <w:vAlign w:val="center"/>
          </w:tcPr>
          <w:p w14:paraId="273E1141">
            <w:pPr>
              <w:spacing w:line="300" w:lineRule="auto"/>
              <w:rPr>
                <w:rFonts w:asciiTheme="minorEastAsia" w:hAnsiTheme="minorEastAsia" w:eastAsiaTheme="minorEastAsia"/>
                <w:color w:val="auto"/>
                <w:sz w:val="24"/>
                <w:highlight w:val="none"/>
              </w:rPr>
            </w:pPr>
          </w:p>
        </w:tc>
        <w:tc>
          <w:tcPr>
            <w:tcW w:w="1246" w:type="dxa"/>
            <w:vAlign w:val="center"/>
          </w:tcPr>
          <w:p w14:paraId="10F6FFC4">
            <w:pPr>
              <w:spacing w:line="300" w:lineRule="auto"/>
              <w:rPr>
                <w:rFonts w:asciiTheme="minorEastAsia" w:hAnsiTheme="minorEastAsia" w:eastAsiaTheme="minorEastAsia"/>
                <w:color w:val="auto"/>
                <w:sz w:val="24"/>
                <w:highlight w:val="none"/>
              </w:rPr>
            </w:pPr>
          </w:p>
        </w:tc>
        <w:tc>
          <w:tcPr>
            <w:tcW w:w="989" w:type="dxa"/>
            <w:vAlign w:val="center"/>
          </w:tcPr>
          <w:p w14:paraId="1A147C6D">
            <w:pPr>
              <w:spacing w:line="300" w:lineRule="auto"/>
              <w:rPr>
                <w:rFonts w:asciiTheme="minorEastAsia" w:hAnsiTheme="minorEastAsia" w:eastAsiaTheme="minorEastAsia"/>
                <w:color w:val="auto"/>
                <w:sz w:val="24"/>
                <w:highlight w:val="none"/>
              </w:rPr>
            </w:pPr>
          </w:p>
        </w:tc>
      </w:tr>
      <w:tr w14:paraId="22D583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24" w:type="dxa"/>
            <w:vAlign w:val="center"/>
          </w:tcPr>
          <w:p w14:paraId="3E67C653">
            <w:pPr>
              <w:spacing w:line="30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825" w:type="dxa"/>
            <w:tcBorders>
              <w:right w:val="single" w:color="auto" w:sz="4" w:space="0"/>
            </w:tcBorders>
            <w:vAlign w:val="center"/>
          </w:tcPr>
          <w:p w14:paraId="41486020">
            <w:pPr>
              <w:spacing w:line="300" w:lineRule="auto"/>
              <w:rPr>
                <w:rFonts w:asciiTheme="minorEastAsia" w:hAnsiTheme="minorEastAsia" w:eastAsiaTheme="minorEastAsia"/>
                <w:color w:val="auto"/>
                <w:sz w:val="24"/>
                <w:highlight w:val="none"/>
              </w:rPr>
            </w:pPr>
          </w:p>
        </w:tc>
        <w:tc>
          <w:tcPr>
            <w:tcW w:w="1825" w:type="dxa"/>
            <w:tcBorders>
              <w:left w:val="single" w:color="auto" w:sz="4" w:space="0"/>
            </w:tcBorders>
            <w:vAlign w:val="center"/>
          </w:tcPr>
          <w:p w14:paraId="6C8AFFD5">
            <w:pPr>
              <w:spacing w:line="300" w:lineRule="auto"/>
              <w:rPr>
                <w:rFonts w:asciiTheme="minorEastAsia" w:hAnsiTheme="minorEastAsia" w:eastAsiaTheme="minorEastAsia"/>
                <w:color w:val="auto"/>
                <w:sz w:val="24"/>
                <w:highlight w:val="none"/>
              </w:rPr>
            </w:pPr>
          </w:p>
        </w:tc>
        <w:tc>
          <w:tcPr>
            <w:tcW w:w="2700" w:type="dxa"/>
            <w:vAlign w:val="center"/>
          </w:tcPr>
          <w:p w14:paraId="5A7DF941">
            <w:pPr>
              <w:spacing w:line="300" w:lineRule="auto"/>
              <w:rPr>
                <w:rFonts w:asciiTheme="minorEastAsia" w:hAnsiTheme="minorEastAsia" w:eastAsiaTheme="minorEastAsia"/>
                <w:color w:val="auto"/>
                <w:sz w:val="24"/>
                <w:highlight w:val="none"/>
              </w:rPr>
            </w:pPr>
          </w:p>
        </w:tc>
        <w:tc>
          <w:tcPr>
            <w:tcW w:w="1246" w:type="dxa"/>
            <w:tcBorders>
              <w:right w:val="single" w:color="auto" w:sz="4" w:space="0"/>
            </w:tcBorders>
            <w:vAlign w:val="center"/>
          </w:tcPr>
          <w:p w14:paraId="3BC78F3D">
            <w:pPr>
              <w:spacing w:line="300" w:lineRule="auto"/>
              <w:rPr>
                <w:rFonts w:asciiTheme="minorEastAsia" w:hAnsiTheme="minorEastAsia" w:eastAsiaTheme="minorEastAsia"/>
                <w:color w:val="auto"/>
                <w:sz w:val="24"/>
                <w:highlight w:val="none"/>
              </w:rPr>
            </w:pPr>
          </w:p>
        </w:tc>
        <w:tc>
          <w:tcPr>
            <w:tcW w:w="989" w:type="dxa"/>
            <w:tcBorders>
              <w:left w:val="single" w:color="auto" w:sz="4" w:space="0"/>
            </w:tcBorders>
            <w:vAlign w:val="center"/>
          </w:tcPr>
          <w:p w14:paraId="45EFFDCB">
            <w:pPr>
              <w:spacing w:line="300" w:lineRule="auto"/>
              <w:rPr>
                <w:rFonts w:asciiTheme="minorEastAsia" w:hAnsiTheme="minorEastAsia" w:eastAsiaTheme="minorEastAsia"/>
                <w:color w:val="auto"/>
                <w:sz w:val="24"/>
                <w:highlight w:val="none"/>
              </w:rPr>
            </w:pPr>
          </w:p>
        </w:tc>
      </w:tr>
    </w:tbl>
    <w:p w14:paraId="327A8D5C">
      <w:pPr>
        <w:pStyle w:val="18"/>
        <w:spacing w:line="300" w:lineRule="auto"/>
        <w:ind w:firstLine="428"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p w14:paraId="3D130699">
      <w:pPr>
        <w:pStyle w:val="18"/>
        <w:spacing w:line="300" w:lineRule="auto"/>
        <w:ind w:firstLine="428"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w:t>
      </w:r>
      <w:r>
        <w:rPr>
          <w:rFonts w:asciiTheme="minorEastAsia" w:hAnsiTheme="minorEastAsia" w:eastAsiaTheme="minorEastAsia"/>
          <w:bCs/>
          <w:color w:val="auto"/>
          <w:szCs w:val="21"/>
          <w:highlight w:val="none"/>
        </w:rPr>
        <w:t>1</w:t>
      </w:r>
      <w:r>
        <w:rPr>
          <w:rFonts w:hint="eastAsia" w:asciiTheme="minorEastAsia" w:hAnsiTheme="minorEastAsia" w:eastAsiaTheme="minorEastAsia"/>
          <w:bCs/>
          <w:color w:val="auto"/>
          <w:szCs w:val="21"/>
          <w:highlight w:val="none"/>
        </w:rPr>
        <w:t>）供应商应对照第三章《</w:t>
      </w:r>
      <w:r>
        <w:rPr>
          <w:rFonts w:hint="eastAsia" w:asciiTheme="minorEastAsia" w:hAnsiTheme="minorEastAsia" w:eastAsiaTheme="minorEastAsia"/>
          <w:color w:val="auto"/>
          <w:szCs w:val="21"/>
          <w:highlight w:val="none"/>
        </w:rPr>
        <w:t>项目采购需求和说明</w:t>
      </w:r>
      <w:r>
        <w:rPr>
          <w:rFonts w:hint="eastAsia" w:asciiTheme="minorEastAsia" w:hAnsiTheme="minorEastAsia" w:eastAsiaTheme="minorEastAsia"/>
          <w:bCs/>
          <w:color w:val="auto"/>
          <w:szCs w:val="21"/>
          <w:highlight w:val="none"/>
        </w:rPr>
        <w:t>》中所列</w:t>
      </w:r>
      <w:r>
        <w:rPr>
          <w:rFonts w:hint="eastAsia" w:asciiTheme="minorEastAsia" w:hAnsiTheme="minorEastAsia" w:eastAsiaTheme="minorEastAsia"/>
          <w:bCs/>
          <w:color w:val="auto"/>
          <w:szCs w:val="21"/>
          <w:highlight w:val="none"/>
          <w:lang w:eastAsia="zh-CN"/>
        </w:rPr>
        <w:t>技术参数及性能指标</w:t>
      </w:r>
      <w:r>
        <w:rPr>
          <w:rFonts w:hint="eastAsia" w:asciiTheme="minorEastAsia" w:hAnsiTheme="minorEastAsia" w:eastAsiaTheme="minorEastAsia"/>
          <w:b w:val="0"/>
          <w:bCs/>
          <w:color w:val="auto"/>
          <w:szCs w:val="21"/>
          <w:highlight w:val="none"/>
        </w:rPr>
        <w:t>要求</w:t>
      </w:r>
      <w:r>
        <w:rPr>
          <w:rFonts w:hint="eastAsia" w:asciiTheme="minorEastAsia" w:hAnsiTheme="minorEastAsia" w:eastAsiaTheme="minorEastAsia"/>
          <w:b/>
          <w:bCs w:val="0"/>
          <w:color w:val="auto"/>
          <w:szCs w:val="21"/>
          <w:highlight w:val="none"/>
        </w:rPr>
        <w:t>逐条对应</w:t>
      </w:r>
      <w:r>
        <w:rPr>
          <w:rFonts w:hint="eastAsia" w:asciiTheme="minorEastAsia" w:hAnsiTheme="minorEastAsia" w:eastAsiaTheme="minorEastAsia"/>
          <w:bCs/>
          <w:color w:val="auto"/>
          <w:szCs w:val="21"/>
          <w:highlight w:val="none"/>
        </w:rPr>
        <w:t>填报竞标货物的</w:t>
      </w:r>
      <w:r>
        <w:rPr>
          <w:rFonts w:hint="eastAsia" w:asciiTheme="minorEastAsia" w:hAnsiTheme="minorEastAsia" w:eastAsiaTheme="minorEastAsia"/>
          <w:bCs/>
          <w:color w:val="auto"/>
          <w:szCs w:val="21"/>
          <w:highlight w:val="none"/>
          <w:lang w:eastAsia="zh-CN"/>
        </w:rPr>
        <w:t>技术参数及性能指标</w:t>
      </w:r>
      <w:r>
        <w:rPr>
          <w:rFonts w:hint="eastAsia" w:asciiTheme="minorEastAsia" w:hAnsiTheme="minorEastAsia" w:eastAsiaTheme="minorEastAsia"/>
          <w:bCs/>
          <w:color w:val="auto"/>
          <w:szCs w:val="21"/>
          <w:highlight w:val="none"/>
          <w:lang w:val="en-US" w:eastAsia="zh-CN"/>
        </w:rPr>
        <w:t>等并</w:t>
      </w:r>
      <w:r>
        <w:rPr>
          <w:rFonts w:hint="eastAsia" w:cs="宋体"/>
          <w:color w:val="auto"/>
          <w:szCs w:val="21"/>
          <w:highlight w:val="none"/>
        </w:rPr>
        <w:t>逐项</w:t>
      </w:r>
      <w:r>
        <w:rPr>
          <w:rFonts w:hint="eastAsia" w:asciiTheme="minorEastAsia" w:hAnsiTheme="minorEastAsia" w:eastAsiaTheme="minorEastAsia"/>
          <w:bCs/>
          <w:color w:val="auto"/>
          <w:szCs w:val="21"/>
          <w:highlight w:val="none"/>
          <w:lang w:val="en-US" w:eastAsia="zh-CN"/>
        </w:rPr>
        <w:t>承诺响应</w:t>
      </w:r>
      <w:r>
        <w:rPr>
          <w:rFonts w:hint="eastAsia" w:asciiTheme="minorEastAsia" w:hAnsiTheme="minorEastAsia" w:eastAsiaTheme="minorEastAsia"/>
          <w:bCs/>
          <w:color w:val="auto"/>
          <w:szCs w:val="21"/>
          <w:highlight w:val="none"/>
        </w:rPr>
        <w:t>，并在</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偏离说明</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栏注明</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正偏离</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负偏离</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或</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无偏离</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，当出现</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正偏离</w:t>
      </w:r>
      <w:r>
        <w:rPr>
          <w:rFonts w:asciiTheme="minorEastAsia" w:hAnsiTheme="minorEastAsia" w:eastAsiaTheme="minorEastAsia"/>
          <w:bCs/>
          <w:color w:val="auto"/>
          <w:szCs w:val="21"/>
          <w:highlight w:val="none"/>
        </w:rPr>
        <w:t>”</w:t>
      </w:r>
      <w:r>
        <w:rPr>
          <w:rFonts w:hint="eastAsia" w:asciiTheme="minorEastAsia" w:hAnsiTheme="minorEastAsia" w:eastAsiaTheme="minorEastAsia"/>
          <w:bCs/>
          <w:color w:val="auto"/>
          <w:szCs w:val="21"/>
          <w:highlight w:val="none"/>
        </w:rPr>
        <w:t>情况时应详细填写偏离情况说明及提供相应有效证明材料。</w:t>
      </w:r>
    </w:p>
    <w:p w14:paraId="10D4ADBB">
      <w:pPr>
        <w:pStyle w:val="18"/>
        <w:spacing w:line="300" w:lineRule="auto"/>
        <w:ind w:firstLine="428" w:firstLineChars="200"/>
        <w:rPr>
          <w:rFonts w:asciiTheme="minorEastAsia" w:hAnsiTheme="minorEastAsia" w:eastAsiaTheme="minorEastAsia"/>
          <w:bCs/>
          <w:color w:val="auto"/>
          <w:szCs w:val="21"/>
          <w:highlight w:val="none"/>
        </w:rPr>
      </w:pPr>
      <w:r>
        <w:rPr>
          <w:rFonts w:hint="eastAsia" w:asciiTheme="minorEastAsia" w:hAnsiTheme="minorEastAsia" w:eastAsiaTheme="minorEastAsia"/>
          <w:bCs/>
          <w:color w:val="auto"/>
          <w:szCs w:val="21"/>
          <w:highlight w:val="none"/>
        </w:rPr>
        <w:t>（</w:t>
      </w:r>
      <w:r>
        <w:rPr>
          <w:rFonts w:asciiTheme="minorEastAsia" w:hAnsiTheme="minorEastAsia" w:eastAsiaTheme="minorEastAsia"/>
          <w:bCs/>
          <w:color w:val="auto"/>
          <w:szCs w:val="21"/>
          <w:highlight w:val="none"/>
        </w:rPr>
        <w:t>2</w:t>
      </w:r>
      <w:r>
        <w:rPr>
          <w:rFonts w:hint="eastAsia" w:asciiTheme="minorEastAsia" w:hAnsiTheme="minorEastAsia" w:eastAsiaTheme="minorEastAsia"/>
          <w:bCs/>
          <w:color w:val="auto"/>
          <w:szCs w:val="21"/>
          <w:highlight w:val="none"/>
        </w:rPr>
        <w:t>）技术规格与采购要求相同的为无偏离，技术规格高于采购要求的为正偏离，低于采购要求的为负偏离。</w:t>
      </w:r>
    </w:p>
    <w:p w14:paraId="2A1DB3B2">
      <w:pPr>
        <w:pStyle w:val="18"/>
        <w:spacing w:line="300" w:lineRule="auto"/>
        <w:ind w:firstLine="428" w:firstLineChars="200"/>
        <w:rPr>
          <w:rFonts w:asciiTheme="minorEastAsia" w:hAnsiTheme="minorEastAsia" w:eastAsiaTheme="minorEastAsia"/>
          <w:color w:val="auto"/>
          <w:szCs w:val="21"/>
          <w:highlight w:val="none"/>
        </w:rPr>
      </w:pPr>
      <w:r>
        <w:rPr>
          <w:rFonts w:hint="eastAsia" w:asciiTheme="minorEastAsia" w:hAnsiTheme="minorEastAsia" w:eastAsiaTheme="minorEastAsia"/>
          <w:bCs/>
          <w:color w:val="auto"/>
          <w:szCs w:val="21"/>
          <w:highlight w:val="none"/>
        </w:rPr>
        <w:t>（</w:t>
      </w:r>
      <w:r>
        <w:rPr>
          <w:rFonts w:asciiTheme="minorEastAsia" w:hAnsiTheme="minorEastAsia" w:eastAsiaTheme="minorEastAsia"/>
          <w:bCs/>
          <w:color w:val="auto"/>
          <w:szCs w:val="21"/>
          <w:highlight w:val="none"/>
        </w:rPr>
        <w:t>3</w:t>
      </w:r>
      <w:r>
        <w:rPr>
          <w:rFonts w:hint="eastAsia" w:asciiTheme="minorEastAsia" w:hAnsiTheme="minorEastAsia" w:eastAsiaTheme="minorEastAsia"/>
          <w:bCs/>
          <w:color w:val="auto"/>
          <w:szCs w:val="21"/>
          <w:highlight w:val="none"/>
        </w:rPr>
        <w:t>）本表可扩展。</w:t>
      </w:r>
    </w:p>
    <w:p w14:paraId="2E2EC332">
      <w:pPr>
        <w:pStyle w:val="22"/>
        <w:spacing w:line="300" w:lineRule="auto"/>
        <w:rPr>
          <w:rFonts w:asciiTheme="minorEastAsia" w:hAnsiTheme="minorEastAsia" w:eastAsiaTheme="minorEastAsia"/>
          <w:color w:val="auto"/>
          <w:sz w:val="24"/>
          <w:szCs w:val="24"/>
          <w:highlight w:val="none"/>
        </w:rPr>
      </w:pPr>
    </w:p>
    <w:p w14:paraId="0A2FCC56">
      <w:pPr>
        <w:pStyle w:val="22"/>
        <w:spacing w:line="300" w:lineRule="auto"/>
        <w:ind w:firstLine="1680" w:firstLineChars="700"/>
        <w:rPr>
          <w:rFonts w:asciiTheme="minorEastAsia" w:hAnsiTheme="minorEastAsia" w:eastAsiaTheme="minorEastAsia"/>
          <w:color w:val="auto"/>
          <w:sz w:val="24"/>
          <w:szCs w:val="24"/>
          <w:highlight w:val="none"/>
        </w:rPr>
      </w:pPr>
    </w:p>
    <w:p w14:paraId="073296D8">
      <w:pPr>
        <w:pStyle w:val="22"/>
        <w:spacing w:line="300" w:lineRule="auto"/>
        <w:ind w:firstLine="1680" w:firstLineChars="700"/>
        <w:rPr>
          <w:rFonts w:asciiTheme="minorEastAsia" w:hAnsiTheme="minorEastAsia" w:eastAsiaTheme="minorEastAsia"/>
          <w:color w:val="auto"/>
          <w:sz w:val="24"/>
          <w:szCs w:val="24"/>
          <w:highlight w:val="none"/>
        </w:rPr>
      </w:pPr>
    </w:p>
    <w:p w14:paraId="24B88D8D">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6904D798">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hint="eastAsia" w:asciiTheme="minorEastAsia" w:hAnsiTheme="minorEastAsia" w:eastAsiaTheme="minorEastAsia"/>
          <w:color w:val="auto"/>
          <w:sz w:val="24"/>
          <w:highlight w:val="none"/>
          <w:u w:val="single"/>
        </w:rPr>
        <w:t xml:space="preserve">     （签字）   </w:t>
      </w:r>
    </w:p>
    <w:p w14:paraId="4338E033">
      <w:pPr>
        <w:pStyle w:val="22"/>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3B2AC8A7">
      <w:pPr>
        <w:adjustRightInd/>
        <w:snapToGrid/>
        <w:spacing w:line="220" w:lineRule="atLeast"/>
        <w:rPr>
          <w:rFonts w:asciiTheme="minorEastAsia" w:hAnsiTheme="minorEastAsia" w:eastAsiaTheme="minorEastAsia"/>
          <w:color w:val="auto"/>
          <w:kern w:val="2"/>
          <w:sz w:val="24"/>
          <w:highlight w:val="none"/>
        </w:rPr>
      </w:pPr>
      <w:r>
        <w:rPr>
          <w:rFonts w:asciiTheme="minorEastAsia" w:hAnsiTheme="minorEastAsia" w:eastAsiaTheme="minorEastAsia"/>
          <w:color w:val="auto"/>
          <w:sz w:val="24"/>
          <w:highlight w:val="none"/>
        </w:rPr>
        <w:br w:type="page"/>
      </w:r>
    </w:p>
    <w:p w14:paraId="31A98676">
      <w:pPr>
        <w:pStyle w:val="22"/>
        <w:spacing w:line="440" w:lineRule="exact"/>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szCs w:val="24"/>
          <w:highlight w:val="none"/>
        </w:rPr>
        <w:t>附件五：</w:t>
      </w:r>
    </w:p>
    <w:p w14:paraId="5618C73B">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商务响应表</w:t>
      </w:r>
    </w:p>
    <w:p w14:paraId="69B3008C">
      <w:pPr>
        <w:pStyle w:val="22"/>
        <w:spacing w:line="400" w:lineRule="exact"/>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采购项目编号:</w:t>
      </w:r>
    </w:p>
    <w:p w14:paraId="17BE18BA">
      <w:pPr>
        <w:pStyle w:val="22"/>
        <w:spacing w:line="400" w:lineRule="exact"/>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采购项目名称:</w:t>
      </w:r>
    </w:p>
    <w:p w14:paraId="7F704F2C">
      <w:pPr>
        <w:pStyle w:val="22"/>
        <w:spacing w:line="400" w:lineRule="exact"/>
        <w:rPr>
          <w:rFonts w:asciiTheme="minorEastAsia" w:hAnsiTheme="minorEastAsia" w:eastAsiaTheme="minorEastAsia"/>
          <w:color w:val="auto"/>
          <w:sz w:val="24"/>
          <w:szCs w:val="24"/>
          <w:highlight w:val="none"/>
        </w:rPr>
      </w:pPr>
    </w:p>
    <w:tbl>
      <w:tblPr>
        <w:tblStyle w:val="38"/>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766"/>
        <w:gridCol w:w="2392"/>
        <w:gridCol w:w="1944"/>
        <w:gridCol w:w="1560"/>
      </w:tblGrid>
      <w:tr w14:paraId="5F11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307" w:type="dxa"/>
            <w:vAlign w:val="center"/>
          </w:tcPr>
          <w:p w14:paraId="2B370483">
            <w:pPr>
              <w:pStyle w:val="22"/>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1766" w:type="dxa"/>
            <w:vAlign w:val="center"/>
          </w:tcPr>
          <w:p w14:paraId="1EAECB3A">
            <w:pPr>
              <w:pStyle w:val="22"/>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商务条款名称</w:t>
            </w:r>
          </w:p>
        </w:tc>
        <w:tc>
          <w:tcPr>
            <w:tcW w:w="2392" w:type="dxa"/>
            <w:vAlign w:val="center"/>
          </w:tcPr>
          <w:p w14:paraId="6E21B00F">
            <w:pPr>
              <w:pStyle w:val="22"/>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竞争性谈判文件要求</w:t>
            </w:r>
          </w:p>
        </w:tc>
        <w:tc>
          <w:tcPr>
            <w:tcW w:w="1944" w:type="dxa"/>
            <w:vAlign w:val="center"/>
          </w:tcPr>
          <w:p w14:paraId="1B6E33D0">
            <w:pPr>
              <w:pStyle w:val="22"/>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响应文件响应内容</w:t>
            </w:r>
          </w:p>
        </w:tc>
        <w:tc>
          <w:tcPr>
            <w:tcW w:w="1560" w:type="dxa"/>
            <w:vAlign w:val="center"/>
          </w:tcPr>
          <w:p w14:paraId="58ABF833">
            <w:pPr>
              <w:pStyle w:val="22"/>
              <w:spacing w:line="400" w:lineRule="exact"/>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偏离说明</w:t>
            </w:r>
          </w:p>
        </w:tc>
      </w:tr>
      <w:tr w14:paraId="6226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6E07A264">
            <w:pPr>
              <w:pStyle w:val="22"/>
              <w:spacing w:line="400" w:lineRule="exact"/>
              <w:rPr>
                <w:rFonts w:hint="eastAsia" w:asciiTheme="minorEastAsia" w:hAnsiTheme="minorEastAsia" w:eastAsiaTheme="minorEastAsia"/>
                <w:color w:val="auto"/>
                <w:highlight w:val="none"/>
                <w:lang w:val="en-US" w:eastAsia="zh-CN"/>
              </w:rPr>
            </w:pPr>
            <w:r>
              <w:rPr>
                <w:rFonts w:hint="eastAsia" w:asciiTheme="minorEastAsia" w:hAnsiTheme="minorEastAsia" w:eastAsiaTheme="minorEastAsia"/>
                <w:color w:val="auto"/>
                <w:highlight w:val="none"/>
                <w:lang w:val="en-US" w:eastAsia="zh-CN"/>
              </w:rPr>
              <w:t>1</w:t>
            </w:r>
          </w:p>
        </w:tc>
        <w:tc>
          <w:tcPr>
            <w:tcW w:w="1766" w:type="dxa"/>
            <w:vAlign w:val="center"/>
          </w:tcPr>
          <w:p w14:paraId="35A42D45">
            <w:pPr>
              <w:pStyle w:val="22"/>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highlight w:val="none"/>
              </w:rPr>
              <w:t>质保期</w:t>
            </w:r>
          </w:p>
        </w:tc>
        <w:tc>
          <w:tcPr>
            <w:tcW w:w="2392" w:type="dxa"/>
            <w:vAlign w:val="center"/>
          </w:tcPr>
          <w:p w14:paraId="4AE1022A">
            <w:pPr>
              <w:pStyle w:val="22"/>
              <w:spacing w:line="400" w:lineRule="exact"/>
              <w:rPr>
                <w:rFonts w:asciiTheme="minorEastAsia" w:hAnsiTheme="minorEastAsia" w:eastAsiaTheme="minorEastAsia"/>
                <w:color w:val="auto"/>
                <w:sz w:val="24"/>
                <w:szCs w:val="24"/>
                <w:highlight w:val="none"/>
              </w:rPr>
            </w:pPr>
          </w:p>
        </w:tc>
        <w:tc>
          <w:tcPr>
            <w:tcW w:w="1944" w:type="dxa"/>
            <w:vAlign w:val="center"/>
          </w:tcPr>
          <w:p w14:paraId="12D37E3D">
            <w:pPr>
              <w:pStyle w:val="22"/>
              <w:spacing w:line="400" w:lineRule="exact"/>
              <w:rPr>
                <w:rFonts w:asciiTheme="minorEastAsia" w:hAnsiTheme="minorEastAsia" w:eastAsiaTheme="minorEastAsia"/>
                <w:color w:val="auto"/>
                <w:sz w:val="24"/>
                <w:szCs w:val="24"/>
                <w:highlight w:val="none"/>
              </w:rPr>
            </w:pPr>
          </w:p>
        </w:tc>
        <w:tc>
          <w:tcPr>
            <w:tcW w:w="1560" w:type="dxa"/>
            <w:vAlign w:val="center"/>
          </w:tcPr>
          <w:p w14:paraId="2611677B">
            <w:pPr>
              <w:pStyle w:val="22"/>
              <w:spacing w:line="400" w:lineRule="exact"/>
              <w:rPr>
                <w:rFonts w:asciiTheme="minorEastAsia" w:hAnsiTheme="minorEastAsia" w:eastAsiaTheme="minorEastAsia"/>
                <w:color w:val="auto"/>
                <w:sz w:val="24"/>
                <w:szCs w:val="24"/>
                <w:highlight w:val="none"/>
              </w:rPr>
            </w:pPr>
          </w:p>
        </w:tc>
      </w:tr>
      <w:tr w14:paraId="7780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73AA46EC">
            <w:pPr>
              <w:pStyle w:val="22"/>
              <w:spacing w:line="400" w:lineRule="exact"/>
              <w:rPr>
                <w:rFonts w:asciiTheme="minorEastAsia" w:hAnsiTheme="minorEastAsia" w:eastAsiaTheme="minorEastAsia"/>
                <w:color w:val="auto"/>
                <w:sz w:val="24"/>
                <w:szCs w:val="24"/>
                <w:highlight w:val="none"/>
              </w:rPr>
            </w:pPr>
          </w:p>
        </w:tc>
        <w:tc>
          <w:tcPr>
            <w:tcW w:w="1766" w:type="dxa"/>
            <w:vAlign w:val="center"/>
          </w:tcPr>
          <w:p w14:paraId="28D064DC">
            <w:pPr>
              <w:pStyle w:val="22"/>
              <w:spacing w:line="400" w:lineRule="exact"/>
              <w:rPr>
                <w:rFonts w:asciiTheme="minorEastAsia" w:hAnsiTheme="minorEastAsia" w:eastAsiaTheme="minorEastAsia"/>
                <w:color w:val="auto"/>
                <w:sz w:val="24"/>
                <w:szCs w:val="24"/>
                <w:highlight w:val="none"/>
              </w:rPr>
            </w:pPr>
          </w:p>
        </w:tc>
        <w:tc>
          <w:tcPr>
            <w:tcW w:w="2392" w:type="dxa"/>
          </w:tcPr>
          <w:p w14:paraId="3C71A3F7">
            <w:pPr>
              <w:pStyle w:val="22"/>
              <w:spacing w:line="400" w:lineRule="exact"/>
              <w:rPr>
                <w:rFonts w:asciiTheme="minorEastAsia" w:hAnsiTheme="minorEastAsia" w:eastAsiaTheme="minorEastAsia"/>
                <w:color w:val="auto"/>
                <w:sz w:val="24"/>
                <w:szCs w:val="24"/>
                <w:highlight w:val="none"/>
              </w:rPr>
            </w:pPr>
          </w:p>
        </w:tc>
        <w:tc>
          <w:tcPr>
            <w:tcW w:w="1944" w:type="dxa"/>
          </w:tcPr>
          <w:p w14:paraId="44D7119D">
            <w:pPr>
              <w:pStyle w:val="22"/>
              <w:spacing w:line="400" w:lineRule="exact"/>
              <w:rPr>
                <w:rFonts w:asciiTheme="minorEastAsia" w:hAnsiTheme="minorEastAsia" w:eastAsiaTheme="minorEastAsia"/>
                <w:color w:val="auto"/>
                <w:sz w:val="24"/>
                <w:szCs w:val="24"/>
                <w:highlight w:val="none"/>
              </w:rPr>
            </w:pPr>
          </w:p>
        </w:tc>
        <w:tc>
          <w:tcPr>
            <w:tcW w:w="1560" w:type="dxa"/>
          </w:tcPr>
          <w:p w14:paraId="4B870B32">
            <w:pPr>
              <w:pStyle w:val="22"/>
              <w:spacing w:line="400" w:lineRule="exact"/>
              <w:rPr>
                <w:rFonts w:asciiTheme="minorEastAsia" w:hAnsiTheme="minorEastAsia" w:eastAsiaTheme="minorEastAsia"/>
                <w:color w:val="auto"/>
                <w:sz w:val="24"/>
                <w:szCs w:val="24"/>
                <w:highlight w:val="none"/>
              </w:rPr>
            </w:pPr>
          </w:p>
        </w:tc>
      </w:tr>
      <w:tr w14:paraId="077D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0FAFA9D6">
            <w:pPr>
              <w:pStyle w:val="22"/>
              <w:spacing w:line="400" w:lineRule="exact"/>
              <w:rPr>
                <w:rFonts w:asciiTheme="minorEastAsia" w:hAnsiTheme="minorEastAsia" w:eastAsiaTheme="minorEastAsia"/>
                <w:color w:val="auto"/>
                <w:sz w:val="24"/>
                <w:szCs w:val="24"/>
                <w:highlight w:val="none"/>
              </w:rPr>
            </w:pPr>
          </w:p>
        </w:tc>
        <w:tc>
          <w:tcPr>
            <w:tcW w:w="1766" w:type="dxa"/>
            <w:vAlign w:val="center"/>
          </w:tcPr>
          <w:p w14:paraId="7DF5235E">
            <w:pPr>
              <w:pStyle w:val="22"/>
              <w:spacing w:line="400" w:lineRule="exact"/>
              <w:rPr>
                <w:rFonts w:asciiTheme="minorEastAsia" w:hAnsiTheme="minorEastAsia" w:eastAsiaTheme="minorEastAsia"/>
                <w:color w:val="auto"/>
                <w:sz w:val="24"/>
                <w:szCs w:val="24"/>
                <w:highlight w:val="none"/>
              </w:rPr>
            </w:pPr>
          </w:p>
        </w:tc>
        <w:tc>
          <w:tcPr>
            <w:tcW w:w="2392" w:type="dxa"/>
          </w:tcPr>
          <w:p w14:paraId="5B884963">
            <w:pPr>
              <w:pStyle w:val="22"/>
              <w:spacing w:line="400" w:lineRule="exact"/>
              <w:rPr>
                <w:rFonts w:asciiTheme="minorEastAsia" w:hAnsiTheme="minorEastAsia" w:eastAsiaTheme="minorEastAsia"/>
                <w:color w:val="auto"/>
                <w:sz w:val="24"/>
                <w:szCs w:val="24"/>
                <w:highlight w:val="none"/>
              </w:rPr>
            </w:pPr>
          </w:p>
        </w:tc>
        <w:tc>
          <w:tcPr>
            <w:tcW w:w="1944" w:type="dxa"/>
          </w:tcPr>
          <w:p w14:paraId="7F321E80">
            <w:pPr>
              <w:pStyle w:val="22"/>
              <w:spacing w:line="400" w:lineRule="exact"/>
              <w:rPr>
                <w:rFonts w:asciiTheme="minorEastAsia" w:hAnsiTheme="minorEastAsia" w:eastAsiaTheme="minorEastAsia"/>
                <w:color w:val="auto"/>
                <w:sz w:val="24"/>
                <w:szCs w:val="24"/>
                <w:highlight w:val="none"/>
              </w:rPr>
            </w:pPr>
          </w:p>
        </w:tc>
        <w:tc>
          <w:tcPr>
            <w:tcW w:w="1560" w:type="dxa"/>
          </w:tcPr>
          <w:p w14:paraId="68A54349">
            <w:pPr>
              <w:pStyle w:val="22"/>
              <w:spacing w:line="400" w:lineRule="exact"/>
              <w:rPr>
                <w:rFonts w:asciiTheme="minorEastAsia" w:hAnsiTheme="minorEastAsia" w:eastAsiaTheme="minorEastAsia"/>
                <w:color w:val="auto"/>
                <w:sz w:val="24"/>
                <w:szCs w:val="24"/>
                <w:highlight w:val="none"/>
              </w:rPr>
            </w:pPr>
          </w:p>
        </w:tc>
      </w:tr>
      <w:tr w14:paraId="335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6A4631B4">
            <w:pPr>
              <w:pStyle w:val="22"/>
              <w:spacing w:line="400" w:lineRule="exact"/>
              <w:rPr>
                <w:rFonts w:asciiTheme="minorEastAsia" w:hAnsiTheme="minorEastAsia" w:eastAsiaTheme="minorEastAsia"/>
                <w:color w:val="auto"/>
                <w:sz w:val="24"/>
                <w:szCs w:val="24"/>
                <w:highlight w:val="none"/>
              </w:rPr>
            </w:pPr>
          </w:p>
        </w:tc>
        <w:tc>
          <w:tcPr>
            <w:tcW w:w="1766" w:type="dxa"/>
            <w:vAlign w:val="center"/>
          </w:tcPr>
          <w:p w14:paraId="04475A89">
            <w:pPr>
              <w:pStyle w:val="22"/>
              <w:spacing w:line="400" w:lineRule="exact"/>
              <w:rPr>
                <w:rFonts w:asciiTheme="minorEastAsia" w:hAnsiTheme="minorEastAsia" w:eastAsiaTheme="minorEastAsia"/>
                <w:color w:val="auto"/>
                <w:sz w:val="24"/>
                <w:szCs w:val="24"/>
                <w:highlight w:val="none"/>
              </w:rPr>
            </w:pPr>
          </w:p>
        </w:tc>
        <w:tc>
          <w:tcPr>
            <w:tcW w:w="2392" w:type="dxa"/>
          </w:tcPr>
          <w:p w14:paraId="7A140CB0">
            <w:pPr>
              <w:pStyle w:val="22"/>
              <w:spacing w:line="400" w:lineRule="exact"/>
              <w:rPr>
                <w:rFonts w:asciiTheme="minorEastAsia" w:hAnsiTheme="minorEastAsia" w:eastAsiaTheme="minorEastAsia"/>
                <w:color w:val="auto"/>
                <w:sz w:val="24"/>
                <w:szCs w:val="24"/>
                <w:highlight w:val="none"/>
              </w:rPr>
            </w:pPr>
          </w:p>
        </w:tc>
        <w:tc>
          <w:tcPr>
            <w:tcW w:w="1944" w:type="dxa"/>
          </w:tcPr>
          <w:p w14:paraId="7AD20EB4">
            <w:pPr>
              <w:pStyle w:val="22"/>
              <w:spacing w:line="400" w:lineRule="exact"/>
              <w:rPr>
                <w:rFonts w:asciiTheme="minorEastAsia" w:hAnsiTheme="minorEastAsia" w:eastAsiaTheme="minorEastAsia"/>
                <w:color w:val="auto"/>
                <w:sz w:val="24"/>
                <w:szCs w:val="24"/>
                <w:highlight w:val="none"/>
              </w:rPr>
            </w:pPr>
          </w:p>
        </w:tc>
        <w:tc>
          <w:tcPr>
            <w:tcW w:w="1560" w:type="dxa"/>
          </w:tcPr>
          <w:p w14:paraId="2E2111C5">
            <w:pPr>
              <w:pStyle w:val="22"/>
              <w:spacing w:line="400" w:lineRule="exact"/>
              <w:rPr>
                <w:rFonts w:asciiTheme="minorEastAsia" w:hAnsiTheme="minorEastAsia" w:eastAsiaTheme="minorEastAsia"/>
                <w:color w:val="auto"/>
                <w:sz w:val="24"/>
                <w:szCs w:val="24"/>
                <w:highlight w:val="none"/>
              </w:rPr>
            </w:pPr>
          </w:p>
        </w:tc>
      </w:tr>
      <w:tr w14:paraId="7E0E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68CB0EF9">
            <w:pPr>
              <w:pStyle w:val="22"/>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1766" w:type="dxa"/>
            <w:vAlign w:val="center"/>
          </w:tcPr>
          <w:p w14:paraId="45B67104">
            <w:pPr>
              <w:pStyle w:val="22"/>
              <w:spacing w:line="4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2392" w:type="dxa"/>
          </w:tcPr>
          <w:p w14:paraId="012A1AE5">
            <w:pPr>
              <w:pStyle w:val="22"/>
              <w:spacing w:line="400" w:lineRule="exact"/>
              <w:rPr>
                <w:rFonts w:asciiTheme="minorEastAsia" w:hAnsiTheme="minorEastAsia" w:eastAsiaTheme="minorEastAsia"/>
                <w:color w:val="auto"/>
                <w:sz w:val="24"/>
                <w:szCs w:val="24"/>
                <w:highlight w:val="none"/>
              </w:rPr>
            </w:pPr>
          </w:p>
        </w:tc>
        <w:tc>
          <w:tcPr>
            <w:tcW w:w="1944" w:type="dxa"/>
          </w:tcPr>
          <w:p w14:paraId="242F642F">
            <w:pPr>
              <w:pStyle w:val="22"/>
              <w:spacing w:line="400" w:lineRule="exact"/>
              <w:rPr>
                <w:rFonts w:asciiTheme="minorEastAsia" w:hAnsiTheme="minorEastAsia" w:eastAsiaTheme="minorEastAsia"/>
                <w:color w:val="auto"/>
                <w:sz w:val="24"/>
                <w:szCs w:val="24"/>
                <w:highlight w:val="none"/>
              </w:rPr>
            </w:pPr>
          </w:p>
        </w:tc>
        <w:tc>
          <w:tcPr>
            <w:tcW w:w="1560" w:type="dxa"/>
          </w:tcPr>
          <w:p w14:paraId="2EE456A2">
            <w:pPr>
              <w:pStyle w:val="22"/>
              <w:spacing w:line="400" w:lineRule="exact"/>
              <w:rPr>
                <w:rFonts w:asciiTheme="minorEastAsia" w:hAnsiTheme="minorEastAsia" w:eastAsiaTheme="minorEastAsia"/>
                <w:color w:val="auto"/>
                <w:sz w:val="24"/>
                <w:szCs w:val="24"/>
                <w:highlight w:val="none"/>
              </w:rPr>
            </w:pPr>
          </w:p>
        </w:tc>
      </w:tr>
    </w:tbl>
    <w:p w14:paraId="55A10272">
      <w:pPr>
        <w:pStyle w:val="22"/>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说明：</w:t>
      </w:r>
    </w:p>
    <w:p w14:paraId="74C3DF62">
      <w:pPr>
        <w:pStyle w:val="18"/>
        <w:spacing w:line="380" w:lineRule="exact"/>
        <w:ind w:firstLine="0" w:firstLineChars="0"/>
        <w:rPr>
          <w:rFonts w:hint="eastAsia" w:cs="宋体"/>
          <w:color w:val="auto"/>
          <w:szCs w:val="21"/>
          <w:highlight w:val="none"/>
        </w:rPr>
      </w:pPr>
      <w:r>
        <w:rPr>
          <w:rFonts w:hint="eastAsia" w:asciiTheme="minorEastAsia" w:hAnsiTheme="minorEastAsia" w:eastAsiaTheme="minorEastAsia"/>
          <w:color w:val="auto"/>
          <w:szCs w:val="21"/>
          <w:highlight w:val="none"/>
        </w:rPr>
        <w:t>（1）应对照竞争性谈判文件“第三章  项目采购需求和说明”，</w:t>
      </w:r>
      <w:r>
        <w:rPr>
          <w:rFonts w:hint="eastAsia" w:asciiTheme="minorEastAsia" w:hAnsiTheme="minorEastAsia" w:eastAsiaTheme="minorEastAsia"/>
          <w:b/>
          <w:color w:val="auto"/>
          <w:szCs w:val="21"/>
          <w:highlight w:val="none"/>
          <w:u w:val="single"/>
        </w:rPr>
        <w:t>逐条对应</w:t>
      </w:r>
      <w:r>
        <w:rPr>
          <w:rFonts w:hint="eastAsia" w:asciiTheme="minorEastAsia" w:hAnsiTheme="minorEastAsia" w:eastAsiaTheme="minorEastAsia"/>
          <w:color w:val="auto"/>
          <w:szCs w:val="21"/>
          <w:highlight w:val="none"/>
        </w:rPr>
        <w:t>商务</w:t>
      </w:r>
      <w:r>
        <w:rPr>
          <w:rFonts w:hint="eastAsia" w:asciiTheme="minorEastAsia" w:hAnsiTheme="minorEastAsia" w:eastAsiaTheme="minorEastAsia"/>
          <w:color w:val="auto"/>
          <w:szCs w:val="21"/>
          <w:highlight w:val="none"/>
          <w:lang w:val="en-US" w:eastAsia="zh-CN"/>
        </w:rPr>
        <w:t>条款</w:t>
      </w:r>
      <w:r>
        <w:rPr>
          <w:rFonts w:hint="eastAsia" w:asciiTheme="minorEastAsia" w:hAnsiTheme="minorEastAsia" w:eastAsiaTheme="minorEastAsia"/>
          <w:color w:val="auto"/>
          <w:szCs w:val="21"/>
          <w:highlight w:val="none"/>
        </w:rPr>
        <w:t>要求进行</w:t>
      </w:r>
      <w:r>
        <w:rPr>
          <w:rFonts w:hint="eastAsia" w:cs="宋体"/>
          <w:color w:val="auto"/>
          <w:szCs w:val="21"/>
          <w:highlight w:val="none"/>
        </w:rPr>
        <w:t>填写并逐项</w:t>
      </w:r>
      <w:r>
        <w:rPr>
          <w:rFonts w:hint="eastAsia" w:cs="宋体"/>
          <w:color w:val="auto"/>
          <w:szCs w:val="21"/>
          <w:highlight w:val="none"/>
          <w:lang w:val="en-US" w:eastAsia="zh-CN"/>
        </w:rPr>
        <w:t>承诺</w:t>
      </w:r>
      <w:r>
        <w:rPr>
          <w:rFonts w:hint="eastAsia" w:cs="宋体"/>
          <w:color w:val="auto"/>
          <w:szCs w:val="21"/>
          <w:highlight w:val="none"/>
        </w:rPr>
        <w:t>响应。</w:t>
      </w:r>
    </w:p>
    <w:p w14:paraId="4EDA77D6">
      <w:pPr>
        <w:pStyle w:val="22"/>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（2）本表内容必须如实填写，并根据响应情况在</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偏离说明</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栏填写正偏离或负偏离及原因，完全符合的填写</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无偏离</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p>
    <w:p w14:paraId="0AD1D35B">
      <w:pPr>
        <w:pStyle w:val="22"/>
        <w:spacing w:line="400" w:lineRule="exact"/>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）本表可扩展。</w:t>
      </w:r>
    </w:p>
    <w:p w14:paraId="61D1367D">
      <w:pPr>
        <w:pStyle w:val="22"/>
        <w:spacing w:line="400" w:lineRule="exact"/>
        <w:rPr>
          <w:rFonts w:asciiTheme="minorEastAsia" w:hAnsiTheme="minorEastAsia" w:eastAsiaTheme="minorEastAsia"/>
          <w:color w:val="auto"/>
          <w:szCs w:val="21"/>
          <w:highlight w:val="none"/>
        </w:rPr>
      </w:pPr>
    </w:p>
    <w:p w14:paraId="43F7AC26">
      <w:pPr>
        <w:pStyle w:val="22"/>
        <w:spacing w:line="300" w:lineRule="auto"/>
        <w:ind w:firstLine="1680" w:firstLineChars="700"/>
        <w:rPr>
          <w:rFonts w:asciiTheme="minorEastAsia" w:hAnsiTheme="minorEastAsia" w:eastAsiaTheme="minorEastAsia"/>
          <w:color w:val="auto"/>
          <w:sz w:val="24"/>
          <w:szCs w:val="24"/>
          <w:highlight w:val="none"/>
        </w:rPr>
      </w:pPr>
    </w:p>
    <w:p w14:paraId="2D4FE29F">
      <w:pPr>
        <w:pStyle w:val="22"/>
        <w:spacing w:line="300" w:lineRule="auto"/>
        <w:ind w:firstLine="1680" w:firstLineChars="700"/>
        <w:rPr>
          <w:rFonts w:asciiTheme="minorEastAsia" w:hAnsiTheme="minorEastAsia" w:eastAsiaTheme="minorEastAsia"/>
          <w:color w:val="auto"/>
          <w:sz w:val="24"/>
          <w:szCs w:val="24"/>
          <w:highlight w:val="none"/>
        </w:rPr>
      </w:pPr>
    </w:p>
    <w:p w14:paraId="076E8D2B">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46604EE7">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hint="eastAsia" w:asciiTheme="minorEastAsia" w:hAnsiTheme="minorEastAsia" w:eastAsiaTheme="minorEastAsia"/>
          <w:color w:val="auto"/>
          <w:sz w:val="24"/>
          <w:highlight w:val="none"/>
          <w:u w:val="single"/>
        </w:rPr>
        <w:t xml:space="preserve">     （签字）   </w:t>
      </w:r>
    </w:p>
    <w:p w14:paraId="177C22DA">
      <w:pPr>
        <w:pStyle w:val="22"/>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7630BE81">
      <w:pPr>
        <w:pStyle w:val="22"/>
        <w:spacing w:line="400" w:lineRule="exact"/>
        <w:rPr>
          <w:rFonts w:asciiTheme="minorEastAsia" w:hAnsiTheme="minorEastAsia" w:eastAsiaTheme="minorEastAsia"/>
          <w:color w:val="auto"/>
          <w:szCs w:val="21"/>
          <w:highlight w:val="none"/>
        </w:rPr>
      </w:pPr>
    </w:p>
    <w:p w14:paraId="48101007">
      <w:pPr>
        <w:spacing w:before="120" w:beforeLines="50" w:after="50"/>
        <w:rPr>
          <w:rFonts w:ascii="宋体" w:hAnsi="宋体" w:cs="宋体" w:eastAsiaTheme="minorEastAsia"/>
          <w:color w:val="auto"/>
          <w:szCs w:val="21"/>
          <w:highlight w:val="none"/>
        </w:rPr>
      </w:pPr>
      <w:r>
        <w:rPr>
          <w:rFonts w:asciiTheme="minorEastAsia" w:hAnsiTheme="minorEastAsia" w:eastAsiaTheme="minorEastAsia"/>
          <w:color w:val="auto"/>
          <w:szCs w:val="21"/>
          <w:highlight w:val="none"/>
        </w:rPr>
        <w:br w:type="page"/>
      </w:r>
      <w:r>
        <w:rPr>
          <w:rFonts w:hint="eastAsia" w:asciiTheme="minorEastAsia" w:hAnsiTheme="minorEastAsia" w:eastAsiaTheme="minorEastAsia"/>
          <w:b/>
          <w:color w:val="auto"/>
          <w:kern w:val="2"/>
          <w:sz w:val="24"/>
          <w:szCs w:val="24"/>
          <w:highlight w:val="none"/>
        </w:rPr>
        <w:t>附件六:</w:t>
      </w:r>
    </w:p>
    <w:p w14:paraId="6176B5BA">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具备履行合同所必需的设备和专业技术服务能力的承诺书</w:t>
      </w:r>
    </w:p>
    <w:p w14:paraId="0E937632">
      <w:pPr>
        <w:spacing w:after="0" w:line="400" w:lineRule="exact"/>
        <w:rPr>
          <w:rFonts w:ascii="宋体" w:hAnsi="宋体" w:eastAsia="宋体" w:cs="宋体"/>
          <w:b/>
          <w:bCs/>
          <w:color w:val="auto"/>
          <w:sz w:val="24"/>
          <w:szCs w:val="24"/>
          <w:highlight w:val="none"/>
        </w:rPr>
      </w:pPr>
    </w:p>
    <w:p w14:paraId="360A758B">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（采购人或代理机构）     </w:t>
      </w:r>
    </w:p>
    <w:p w14:paraId="293B6C2D">
      <w:pPr>
        <w:spacing w:after="0"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我单位参加贵公司组织的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项目编号：）政府采购活动。我单位在此郑重承诺:我单位具有履行合同所必需的设备和专业技术服务能力，完全符合《中华人民共和国政府采购法》第二十二条规定的供应商资格条件，按照采购文件的要求提交投标文件（响应文件），并对所提供的全部资料的真实性承担法律责任。</w:t>
      </w:r>
    </w:p>
    <w:p w14:paraId="6FFAF89D">
      <w:pPr>
        <w:spacing w:after="0"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0C7C62E1">
      <w:pPr>
        <w:spacing w:after="0" w:line="400" w:lineRule="exact"/>
        <w:ind w:firstLine="480" w:firstLineChars="200"/>
        <w:rPr>
          <w:rFonts w:ascii="宋体" w:hAnsi="宋体" w:eastAsia="宋体" w:cs="宋体"/>
          <w:color w:val="auto"/>
          <w:sz w:val="24"/>
          <w:szCs w:val="24"/>
          <w:highlight w:val="none"/>
        </w:rPr>
      </w:pPr>
    </w:p>
    <w:p w14:paraId="17FE938F">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60ACE9C1">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hint="eastAsia" w:asciiTheme="minorEastAsia" w:hAnsiTheme="minorEastAsia" w:eastAsiaTheme="minorEastAsia"/>
          <w:color w:val="auto"/>
          <w:sz w:val="24"/>
          <w:highlight w:val="none"/>
          <w:u w:val="single"/>
        </w:rPr>
        <w:t xml:space="preserve">     （签字）   </w:t>
      </w:r>
    </w:p>
    <w:p w14:paraId="3980E438">
      <w:pPr>
        <w:pStyle w:val="22"/>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467B12A0">
      <w:pPr>
        <w:spacing w:before="120" w:beforeLines="50" w:after="50" w:line="360" w:lineRule="auto"/>
        <w:rPr>
          <w:rFonts w:ascii="宋体" w:hAnsi="宋体" w:eastAsia="宋体" w:cs="宋体"/>
          <w:color w:val="auto"/>
          <w:szCs w:val="21"/>
          <w:highlight w:val="none"/>
        </w:rPr>
      </w:pPr>
    </w:p>
    <w:p w14:paraId="220F8683">
      <w:pPr>
        <w:spacing w:before="120" w:beforeLines="50" w:after="50"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附：我单位具备履行合同所必需的设备、项目实施人员专业技术服务能力证明材料（如有可以提供）</w:t>
      </w:r>
    </w:p>
    <w:p w14:paraId="55025B67">
      <w:pPr>
        <w:spacing w:before="120" w:beforeLines="50" w:after="5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（参考格式）：</w:t>
      </w:r>
    </w:p>
    <w:p w14:paraId="134A0F85">
      <w:pPr>
        <w:spacing w:before="120" w:beforeLines="50" w:after="5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我单位具备的履行合同所必需的设备</w:t>
      </w:r>
    </w:p>
    <w:tbl>
      <w:tblPr>
        <w:tblStyle w:val="38"/>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71"/>
        <w:gridCol w:w="5102"/>
      </w:tblGrid>
      <w:tr w14:paraId="3A91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tcPr>
          <w:p w14:paraId="09CA9970">
            <w:pPr>
              <w:spacing w:before="120" w:beforeLines="50" w:after="5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671" w:type="dxa"/>
          </w:tcPr>
          <w:p w14:paraId="3CF6C426">
            <w:pPr>
              <w:spacing w:before="120" w:beforeLines="50" w:after="5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设备名称</w:t>
            </w:r>
          </w:p>
        </w:tc>
        <w:tc>
          <w:tcPr>
            <w:tcW w:w="5102" w:type="dxa"/>
          </w:tcPr>
          <w:p w14:paraId="6558DE0D">
            <w:pPr>
              <w:spacing w:before="120" w:beforeLines="50" w:after="5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r>
      <w:tr w14:paraId="6C31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tcPr>
          <w:p w14:paraId="1A335FB9">
            <w:pPr>
              <w:spacing w:before="120" w:beforeLines="50" w:after="50"/>
              <w:jc w:val="center"/>
              <w:rPr>
                <w:rFonts w:ascii="宋体" w:hAnsi="宋体" w:eastAsia="宋体" w:cs="宋体"/>
                <w:b/>
                <w:bCs/>
                <w:color w:val="auto"/>
                <w:szCs w:val="21"/>
                <w:highlight w:val="none"/>
              </w:rPr>
            </w:pPr>
          </w:p>
        </w:tc>
        <w:tc>
          <w:tcPr>
            <w:tcW w:w="3671" w:type="dxa"/>
          </w:tcPr>
          <w:p w14:paraId="21302022">
            <w:pPr>
              <w:spacing w:before="120" w:beforeLines="50" w:after="50"/>
              <w:jc w:val="center"/>
              <w:rPr>
                <w:rFonts w:ascii="宋体" w:hAnsi="宋体" w:eastAsia="宋体" w:cs="宋体"/>
                <w:b/>
                <w:bCs/>
                <w:color w:val="auto"/>
                <w:szCs w:val="21"/>
                <w:highlight w:val="none"/>
              </w:rPr>
            </w:pPr>
          </w:p>
        </w:tc>
        <w:tc>
          <w:tcPr>
            <w:tcW w:w="5102" w:type="dxa"/>
          </w:tcPr>
          <w:p w14:paraId="1912934D">
            <w:pPr>
              <w:spacing w:before="120" w:beforeLines="50" w:after="50"/>
              <w:jc w:val="center"/>
              <w:rPr>
                <w:rFonts w:ascii="宋体" w:hAnsi="宋体" w:eastAsia="宋体" w:cs="宋体"/>
                <w:b/>
                <w:bCs/>
                <w:color w:val="auto"/>
                <w:szCs w:val="21"/>
                <w:highlight w:val="none"/>
              </w:rPr>
            </w:pPr>
          </w:p>
        </w:tc>
      </w:tr>
      <w:tr w14:paraId="08E7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46" w:type="dxa"/>
          </w:tcPr>
          <w:p w14:paraId="0CCB617D">
            <w:pPr>
              <w:spacing w:before="120" w:beforeLines="50" w:after="50"/>
              <w:jc w:val="center"/>
              <w:rPr>
                <w:rFonts w:ascii="宋体" w:hAnsi="宋体" w:eastAsia="宋体" w:cs="宋体"/>
                <w:b/>
                <w:bCs/>
                <w:color w:val="auto"/>
                <w:szCs w:val="21"/>
                <w:highlight w:val="none"/>
              </w:rPr>
            </w:pPr>
          </w:p>
        </w:tc>
        <w:tc>
          <w:tcPr>
            <w:tcW w:w="3671" w:type="dxa"/>
          </w:tcPr>
          <w:p w14:paraId="7BE43AAC">
            <w:pPr>
              <w:spacing w:before="120" w:beforeLines="50" w:after="50"/>
              <w:jc w:val="center"/>
              <w:rPr>
                <w:rFonts w:ascii="宋体" w:hAnsi="宋体" w:eastAsia="宋体" w:cs="宋体"/>
                <w:b/>
                <w:bCs/>
                <w:color w:val="auto"/>
                <w:szCs w:val="21"/>
                <w:highlight w:val="none"/>
              </w:rPr>
            </w:pPr>
          </w:p>
        </w:tc>
        <w:tc>
          <w:tcPr>
            <w:tcW w:w="5102" w:type="dxa"/>
          </w:tcPr>
          <w:p w14:paraId="422A108B">
            <w:pPr>
              <w:spacing w:before="120" w:beforeLines="50" w:after="50"/>
              <w:jc w:val="center"/>
              <w:rPr>
                <w:rFonts w:ascii="宋体" w:hAnsi="宋体" w:eastAsia="宋体" w:cs="宋体"/>
                <w:b/>
                <w:bCs/>
                <w:color w:val="auto"/>
                <w:szCs w:val="21"/>
                <w:highlight w:val="none"/>
              </w:rPr>
            </w:pPr>
          </w:p>
        </w:tc>
      </w:tr>
      <w:tr w14:paraId="1C35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46" w:type="dxa"/>
          </w:tcPr>
          <w:p w14:paraId="47DCA3F5">
            <w:pPr>
              <w:spacing w:before="120" w:beforeLines="50" w:after="50"/>
              <w:rPr>
                <w:rFonts w:ascii="宋体" w:hAnsi="宋体" w:eastAsia="宋体" w:cs="宋体"/>
                <w:b/>
                <w:bCs/>
                <w:color w:val="auto"/>
                <w:szCs w:val="21"/>
                <w:highlight w:val="none"/>
              </w:rPr>
            </w:pPr>
          </w:p>
        </w:tc>
        <w:tc>
          <w:tcPr>
            <w:tcW w:w="3671" w:type="dxa"/>
          </w:tcPr>
          <w:p w14:paraId="193ECC10">
            <w:pPr>
              <w:spacing w:before="120" w:beforeLines="50" w:after="5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w:t>
            </w:r>
          </w:p>
        </w:tc>
        <w:tc>
          <w:tcPr>
            <w:tcW w:w="5102" w:type="dxa"/>
          </w:tcPr>
          <w:p w14:paraId="24D6FF39">
            <w:pPr>
              <w:spacing w:before="120" w:beforeLines="50" w:after="50"/>
              <w:rPr>
                <w:rFonts w:ascii="宋体" w:hAnsi="宋体" w:eastAsia="宋体" w:cs="宋体"/>
                <w:b/>
                <w:bCs/>
                <w:color w:val="auto"/>
                <w:szCs w:val="21"/>
                <w:highlight w:val="none"/>
              </w:rPr>
            </w:pPr>
          </w:p>
        </w:tc>
      </w:tr>
    </w:tbl>
    <w:p w14:paraId="08A3A95D">
      <w:pPr>
        <w:spacing w:before="120" w:beforeLines="50" w:after="50"/>
        <w:rPr>
          <w:rFonts w:ascii="宋体" w:hAnsi="宋体" w:eastAsia="宋体" w:cs="宋体"/>
          <w:b/>
          <w:bCs/>
          <w:color w:val="auto"/>
          <w:szCs w:val="21"/>
          <w:highlight w:val="none"/>
        </w:rPr>
      </w:pPr>
    </w:p>
    <w:p w14:paraId="6B360B27">
      <w:pPr>
        <w:spacing w:before="120" w:beforeLines="50" w:after="5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项目实施人员专业技术服务能力</w:t>
      </w:r>
    </w:p>
    <w:tbl>
      <w:tblPr>
        <w:tblStyle w:val="38"/>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3244"/>
        <w:gridCol w:w="5123"/>
      </w:tblGrid>
      <w:tr w14:paraId="4206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92" w:type="dxa"/>
          </w:tcPr>
          <w:p w14:paraId="1045357C">
            <w:pPr>
              <w:spacing w:before="120" w:beforeLines="50" w:after="5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3244" w:type="dxa"/>
          </w:tcPr>
          <w:p w14:paraId="4BF968E6">
            <w:pPr>
              <w:spacing w:before="120" w:beforeLines="50" w:after="5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职务</w:t>
            </w:r>
          </w:p>
        </w:tc>
        <w:tc>
          <w:tcPr>
            <w:tcW w:w="5123" w:type="dxa"/>
          </w:tcPr>
          <w:p w14:paraId="32AE58B5">
            <w:pPr>
              <w:spacing w:before="120" w:beforeLines="50" w:after="5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专业技术资格</w:t>
            </w:r>
          </w:p>
        </w:tc>
      </w:tr>
      <w:tr w14:paraId="1ED5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92" w:type="dxa"/>
          </w:tcPr>
          <w:p w14:paraId="4D0B3D85">
            <w:pPr>
              <w:spacing w:before="120" w:beforeLines="50" w:after="50"/>
              <w:jc w:val="center"/>
              <w:rPr>
                <w:rFonts w:ascii="宋体" w:hAnsi="宋体" w:eastAsia="宋体" w:cs="宋体"/>
                <w:b/>
                <w:bCs/>
                <w:color w:val="auto"/>
                <w:szCs w:val="21"/>
                <w:highlight w:val="none"/>
              </w:rPr>
            </w:pPr>
          </w:p>
        </w:tc>
        <w:tc>
          <w:tcPr>
            <w:tcW w:w="3244" w:type="dxa"/>
          </w:tcPr>
          <w:p w14:paraId="109FFF8B">
            <w:pPr>
              <w:spacing w:before="120" w:beforeLines="50" w:after="50"/>
              <w:jc w:val="center"/>
              <w:rPr>
                <w:rFonts w:ascii="宋体" w:hAnsi="宋体" w:eastAsia="宋体" w:cs="宋体"/>
                <w:b/>
                <w:bCs/>
                <w:color w:val="auto"/>
                <w:szCs w:val="21"/>
                <w:highlight w:val="none"/>
              </w:rPr>
            </w:pPr>
          </w:p>
        </w:tc>
        <w:tc>
          <w:tcPr>
            <w:tcW w:w="5123" w:type="dxa"/>
          </w:tcPr>
          <w:p w14:paraId="37F44B9D">
            <w:pPr>
              <w:spacing w:before="120" w:beforeLines="50" w:after="50"/>
              <w:jc w:val="center"/>
              <w:rPr>
                <w:rFonts w:ascii="宋体" w:hAnsi="宋体" w:eastAsia="宋体" w:cs="宋体"/>
                <w:b/>
                <w:bCs/>
                <w:color w:val="auto"/>
                <w:szCs w:val="21"/>
                <w:highlight w:val="none"/>
              </w:rPr>
            </w:pPr>
          </w:p>
        </w:tc>
      </w:tr>
      <w:tr w14:paraId="2826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92" w:type="dxa"/>
          </w:tcPr>
          <w:p w14:paraId="5CBF0995">
            <w:pPr>
              <w:spacing w:before="120" w:beforeLines="50" w:after="50"/>
              <w:rPr>
                <w:rFonts w:ascii="宋体" w:hAnsi="宋体" w:eastAsia="宋体" w:cs="宋体"/>
                <w:b/>
                <w:bCs/>
                <w:color w:val="auto"/>
                <w:szCs w:val="21"/>
                <w:highlight w:val="none"/>
              </w:rPr>
            </w:pPr>
          </w:p>
        </w:tc>
        <w:tc>
          <w:tcPr>
            <w:tcW w:w="3244" w:type="dxa"/>
          </w:tcPr>
          <w:p w14:paraId="0F2A09DD">
            <w:pPr>
              <w:spacing w:before="120" w:beforeLines="50" w:after="50"/>
              <w:rPr>
                <w:rFonts w:ascii="宋体" w:hAnsi="宋体" w:eastAsia="宋体" w:cs="宋体"/>
                <w:b/>
                <w:bCs/>
                <w:color w:val="auto"/>
                <w:szCs w:val="21"/>
                <w:highlight w:val="none"/>
              </w:rPr>
            </w:pPr>
          </w:p>
        </w:tc>
        <w:tc>
          <w:tcPr>
            <w:tcW w:w="5123" w:type="dxa"/>
          </w:tcPr>
          <w:p w14:paraId="7E5E1E8B">
            <w:pPr>
              <w:spacing w:before="120" w:beforeLines="50" w:after="50"/>
              <w:rPr>
                <w:rFonts w:ascii="宋体" w:hAnsi="宋体" w:eastAsia="宋体" w:cs="宋体"/>
                <w:b/>
                <w:bCs/>
                <w:color w:val="auto"/>
                <w:szCs w:val="21"/>
                <w:highlight w:val="none"/>
              </w:rPr>
            </w:pPr>
          </w:p>
        </w:tc>
      </w:tr>
      <w:tr w14:paraId="64FC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292" w:type="dxa"/>
          </w:tcPr>
          <w:p w14:paraId="62C7B91D">
            <w:pPr>
              <w:spacing w:before="120" w:beforeLines="50" w:after="50"/>
              <w:rPr>
                <w:rFonts w:ascii="宋体" w:hAnsi="宋体" w:eastAsia="宋体" w:cs="宋体"/>
                <w:b/>
                <w:bCs/>
                <w:color w:val="auto"/>
                <w:szCs w:val="21"/>
                <w:highlight w:val="none"/>
              </w:rPr>
            </w:pPr>
          </w:p>
        </w:tc>
        <w:tc>
          <w:tcPr>
            <w:tcW w:w="3244" w:type="dxa"/>
          </w:tcPr>
          <w:p w14:paraId="7FF052FE">
            <w:pPr>
              <w:spacing w:before="120" w:beforeLines="50" w:after="5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w:t>
            </w:r>
          </w:p>
        </w:tc>
        <w:tc>
          <w:tcPr>
            <w:tcW w:w="5123" w:type="dxa"/>
          </w:tcPr>
          <w:p w14:paraId="5CCA658A">
            <w:pPr>
              <w:spacing w:before="120" w:beforeLines="50" w:after="50"/>
              <w:rPr>
                <w:rFonts w:ascii="宋体" w:hAnsi="宋体" w:eastAsia="宋体" w:cs="宋体"/>
                <w:b/>
                <w:bCs/>
                <w:color w:val="auto"/>
                <w:szCs w:val="21"/>
                <w:highlight w:val="none"/>
              </w:rPr>
            </w:pPr>
          </w:p>
        </w:tc>
      </w:tr>
    </w:tbl>
    <w:p w14:paraId="25E15DB6">
      <w:pPr>
        <w:pStyle w:val="22"/>
        <w:spacing w:line="44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 w:val="22"/>
          <w:szCs w:val="21"/>
          <w:highlight w:val="none"/>
        </w:rPr>
        <w:t>（可以附上相关证明材料）</w:t>
      </w:r>
    </w:p>
    <w:p w14:paraId="6C42CB4F">
      <w:pPr>
        <w:adjustRightInd/>
        <w:snapToGrid/>
        <w:spacing w:line="220" w:lineRule="atLeast"/>
        <w:rPr>
          <w:rFonts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br w:type="page"/>
      </w:r>
    </w:p>
    <w:p w14:paraId="0E1665F7">
      <w:pPr>
        <w:adjustRightInd/>
        <w:snapToGrid/>
        <w:spacing w:line="220" w:lineRule="atLeas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附件七：</w:t>
      </w:r>
    </w:p>
    <w:p w14:paraId="66836353">
      <w:pPr>
        <w:pStyle w:val="22"/>
        <w:spacing w:line="400" w:lineRule="exact"/>
        <w:rPr>
          <w:rFonts w:asciiTheme="minorEastAsia" w:hAnsiTheme="minorEastAsia" w:eastAsiaTheme="minorEastAsia"/>
          <w:b/>
          <w:color w:val="auto"/>
          <w:szCs w:val="21"/>
          <w:highlight w:val="none"/>
        </w:rPr>
      </w:pPr>
    </w:p>
    <w:p w14:paraId="567013F4">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参加政府采购活动前三年内在经营活动中没有重大违法记录的书面声明</w:t>
      </w:r>
    </w:p>
    <w:p w14:paraId="13927A29">
      <w:pPr>
        <w:pStyle w:val="22"/>
        <w:spacing w:line="400" w:lineRule="exact"/>
        <w:rPr>
          <w:rFonts w:asciiTheme="minorEastAsia" w:hAnsiTheme="minorEastAsia" w:eastAsiaTheme="minorEastAsia"/>
          <w:color w:val="auto"/>
          <w:szCs w:val="21"/>
          <w:highlight w:val="none"/>
        </w:rPr>
      </w:pPr>
    </w:p>
    <w:p w14:paraId="0A5C9585">
      <w:pPr>
        <w:pStyle w:val="22"/>
        <w:spacing w:line="400" w:lineRule="exact"/>
        <w:rPr>
          <w:rFonts w:asciiTheme="minorEastAsia" w:hAnsiTheme="minorEastAsia" w:eastAsiaTheme="minorEastAsia"/>
          <w:color w:val="auto"/>
          <w:szCs w:val="21"/>
          <w:highlight w:val="none"/>
        </w:rPr>
      </w:pPr>
    </w:p>
    <w:p w14:paraId="7FEB3B07">
      <w:pPr>
        <w:pStyle w:val="22"/>
        <w:spacing w:line="500" w:lineRule="exac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致：________(采购代理机构)</w:t>
      </w:r>
    </w:p>
    <w:p w14:paraId="05DD7767">
      <w:pPr>
        <w:pStyle w:val="22"/>
        <w:spacing w:line="5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我单位参加贵公司组织的</w:t>
      </w:r>
      <w:r>
        <w:rPr>
          <w:rFonts w:hint="eastAsia" w:asciiTheme="minorEastAsia" w:hAnsiTheme="minorEastAsia" w:eastAsiaTheme="minorEastAsia"/>
          <w:color w:val="auto"/>
          <w:sz w:val="24"/>
          <w:szCs w:val="24"/>
          <w:highlight w:val="none"/>
          <w:u w:val="single"/>
        </w:rPr>
        <w:t>（项目名称）</w:t>
      </w:r>
      <w:r>
        <w:rPr>
          <w:rFonts w:hint="eastAsia" w:asciiTheme="minorEastAsia" w:hAnsiTheme="minorEastAsia" w:eastAsiaTheme="minorEastAsia"/>
          <w:color w:val="auto"/>
          <w:sz w:val="24"/>
          <w:szCs w:val="24"/>
          <w:highlight w:val="none"/>
        </w:rPr>
        <w:t>（项目编号：）政府采购活动。我单位在此郑重声明，我单位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23BAB71">
      <w:pPr>
        <w:pStyle w:val="22"/>
        <w:spacing w:line="500" w:lineRule="exact"/>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特此承诺。</w:t>
      </w:r>
    </w:p>
    <w:p w14:paraId="00EB2A24">
      <w:pPr>
        <w:pStyle w:val="22"/>
        <w:spacing w:line="400" w:lineRule="exact"/>
        <w:rPr>
          <w:rFonts w:asciiTheme="minorEastAsia" w:hAnsiTheme="minorEastAsia" w:eastAsiaTheme="minorEastAsia"/>
          <w:color w:val="auto"/>
          <w:szCs w:val="21"/>
          <w:highlight w:val="none"/>
        </w:rPr>
      </w:pPr>
    </w:p>
    <w:p w14:paraId="2DAFDA48">
      <w:pPr>
        <w:pStyle w:val="22"/>
        <w:spacing w:line="300" w:lineRule="auto"/>
        <w:ind w:firstLine="1680" w:firstLineChars="700"/>
        <w:rPr>
          <w:rFonts w:asciiTheme="minorEastAsia" w:hAnsiTheme="minorEastAsia" w:eastAsiaTheme="minorEastAsia"/>
          <w:color w:val="auto"/>
          <w:sz w:val="24"/>
          <w:szCs w:val="24"/>
          <w:highlight w:val="none"/>
        </w:rPr>
      </w:pPr>
    </w:p>
    <w:p w14:paraId="253DB541">
      <w:pPr>
        <w:pStyle w:val="22"/>
        <w:spacing w:line="300" w:lineRule="auto"/>
        <w:ind w:firstLine="1680" w:firstLineChars="700"/>
        <w:rPr>
          <w:rFonts w:asciiTheme="minorEastAsia" w:hAnsiTheme="minorEastAsia" w:eastAsiaTheme="minorEastAsia"/>
          <w:color w:val="auto"/>
          <w:sz w:val="24"/>
          <w:szCs w:val="24"/>
          <w:highlight w:val="none"/>
        </w:rPr>
      </w:pPr>
    </w:p>
    <w:p w14:paraId="1B8D883B">
      <w:pPr>
        <w:pStyle w:val="22"/>
        <w:spacing w:line="300" w:lineRule="auto"/>
        <w:ind w:firstLine="1680" w:firstLineChars="700"/>
        <w:rPr>
          <w:rFonts w:asciiTheme="minorEastAsia" w:hAnsiTheme="minorEastAsia" w:eastAsiaTheme="minorEastAsia"/>
          <w:color w:val="auto"/>
          <w:sz w:val="24"/>
          <w:szCs w:val="24"/>
          <w:highlight w:val="none"/>
        </w:rPr>
      </w:pPr>
    </w:p>
    <w:p w14:paraId="6186B2B8">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3463DC30">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hint="eastAsia" w:asciiTheme="minorEastAsia" w:hAnsiTheme="minorEastAsia" w:eastAsiaTheme="minorEastAsia"/>
          <w:color w:val="auto"/>
          <w:sz w:val="24"/>
          <w:highlight w:val="none"/>
          <w:u w:val="single"/>
        </w:rPr>
        <w:t xml:space="preserve">     （签字）   </w:t>
      </w:r>
    </w:p>
    <w:p w14:paraId="4C57E416">
      <w:pPr>
        <w:pStyle w:val="22"/>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74DDC312">
      <w:pPr>
        <w:pStyle w:val="22"/>
        <w:spacing w:line="400" w:lineRule="exact"/>
        <w:rPr>
          <w:rFonts w:asciiTheme="minorEastAsia" w:hAnsiTheme="minorEastAsia" w:eastAsiaTheme="minorEastAsia"/>
          <w:color w:val="auto"/>
          <w:szCs w:val="21"/>
          <w:highlight w:val="none"/>
        </w:rPr>
      </w:pPr>
    </w:p>
    <w:p w14:paraId="44F63E44">
      <w:pPr>
        <w:spacing w:before="120" w:beforeLines="50" w:after="5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br w:type="page"/>
      </w:r>
    </w:p>
    <w:p w14:paraId="1FDE0F19">
      <w:pPr>
        <w:pStyle w:val="22"/>
        <w:spacing w:line="440" w:lineRule="exac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附件八：</w:t>
      </w:r>
    </w:p>
    <w:p w14:paraId="71471EA2">
      <w:pPr>
        <w:pStyle w:val="22"/>
        <w:spacing w:line="400" w:lineRule="exact"/>
        <w:rPr>
          <w:rFonts w:asciiTheme="minorEastAsia" w:hAnsiTheme="minorEastAsia" w:eastAsiaTheme="minorEastAsia"/>
          <w:color w:val="auto"/>
          <w:szCs w:val="21"/>
          <w:highlight w:val="none"/>
        </w:rPr>
      </w:pPr>
    </w:p>
    <w:p w14:paraId="299E825F">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供应商控股及管理关系情况申报表</w:t>
      </w:r>
    </w:p>
    <w:p w14:paraId="28C8DB3E">
      <w:pPr>
        <w:spacing w:line="440" w:lineRule="exact"/>
        <w:rPr>
          <w:rFonts w:asciiTheme="minorEastAsia" w:hAnsiTheme="minorEastAsia" w:eastAsiaTheme="minorEastAsia"/>
          <w:color w:val="auto"/>
          <w:sz w:val="24"/>
          <w:szCs w:val="24"/>
          <w:highlight w:val="none"/>
        </w:rPr>
      </w:pPr>
    </w:p>
    <w:p w14:paraId="4E667C67">
      <w:pPr>
        <w:spacing w:line="44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sz w:val="24"/>
          <w:szCs w:val="24"/>
          <w:highlight w:val="none"/>
        </w:rPr>
        <w:t>致：________(采购代理机构)</w:t>
      </w:r>
    </w:p>
    <w:p w14:paraId="2402200F">
      <w:pPr>
        <w:spacing w:line="440" w:lineRule="exact"/>
        <w:ind w:firstLine="480" w:firstLineChars="200"/>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我单位参加</w:t>
      </w:r>
      <w:r>
        <w:rPr>
          <w:rFonts w:hint="eastAsia" w:asciiTheme="minorEastAsia" w:hAnsiTheme="minorEastAsia" w:eastAsiaTheme="minorEastAsia"/>
          <w:color w:val="auto"/>
          <w:kern w:val="2"/>
          <w:sz w:val="24"/>
          <w:szCs w:val="24"/>
          <w:highlight w:val="none"/>
          <w:u w:val="single"/>
        </w:rPr>
        <w:t xml:space="preserve">   （项目名称）      </w:t>
      </w:r>
      <w:r>
        <w:rPr>
          <w:rFonts w:hint="eastAsia" w:asciiTheme="minorEastAsia" w:hAnsiTheme="minorEastAsia" w:eastAsiaTheme="minorEastAsia"/>
          <w:color w:val="auto"/>
          <w:kern w:val="2"/>
          <w:sz w:val="24"/>
          <w:szCs w:val="24"/>
          <w:highlight w:val="none"/>
        </w:rPr>
        <w:t>的竞标，根据《中华人民共和国政府采购法》及相关规定，特就本单位控股及管理关系情况申报如下，并承担申报不实的责任。</w:t>
      </w:r>
    </w:p>
    <w:tbl>
      <w:tblPr>
        <w:tblStyle w:val="38"/>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2627"/>
        <w:gridCol w:w="3828"/>
      </w:tblGrid>
      <w:tr w14:paraId="5F93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9" w:type="dxa"/>
            <w:vAlign w:val="center"/>
          </w:tcPr>
          <w:p w14:paraId="2EB19EAC">
            <w:pPr>
              <w:spacing w:line="44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供应商名称</w:t>
            </w:r>
          </w:p>
        </w:tc>
        <w:tc>
          <w:tcPr>
            <w:tcW w:w="6455" w:type="dxa"/>
            <w:gridSpan w:val="2"/>
            <w:vAlign w:val="center"/>
          </w:tcPr>
          <w:p w14:paraId="433F826D">
            <w:pPr>
              <w:spacing w:line="440" w:lineRule="exact"/>
              <w:rPr>
                <w:rFonts w:asciiTheme="minorEastAsia" w:hAnsiTheme="minorEastAsia" w:eastAsiaTheme="minorEastAsia"/>
                <w:color w:val="auto"/>
                <w:kern w:val="2"/>
                <w:sz w:val="24"/>
                <w:szCs w:val="24"/>
                <w:highlight w:val="none"/>
              </w:rPr>
            </w:pPr>
          </w:p>
        </w:tc>
      </w:tr>
      <w:tr w14:paraId="6FE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9" w:type="dxa"/>
            <w:vMerge w:val="restart"/>
            <w:vAlign w:val="center"/>
          </w:tcPr>
          <w:p w14:paraId="44AF0938">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法定代表人</w:t>
            </w:r>
            <w:r>
              <w:rPr>
                <w:rFonts w:asciiTheme="minorEastAsia" w:hAnsiTheme="minorEastAsia" w:eastAsiaTheme="minorEastAsia"/>
                <w:color w:val="auto"/>
                <w:kern w:val="2"/>
                <w:sz w:val="24"/>
                <w:szCs w:val="24"/>
                <w:highlight w:val="none"/>
              </w:rPr>
              <w:t>/</w:t>
            </w:r>
            <w:r>
              <w:rPr>
                <w:rFonts w:hint="eastAsia" w:asciiTheme="minorEastAsia" w:hAnsiTheme="minorEastAsia" w:eastAsiaTheme="minorEastAsia"/>
                <w:color w:val="auto"/>
                <w:kern w:val="2"/>
                <w:sz w:val="24"/>
                <w:szCs w:val="24"/>
                <w:highlight w:val="none"/>
              </w:rPr>
              <w:t>单位负责人</w:t>
            </w:r>
          </w:p>
        </w:tc>
        <w:tc>
          <w:tcPr>
            <w:tcW w:w="2627" w:type="dxa"/>
            <w:vAlign w:val="center"/>
          </w:tcPr>
          <w:p w14:paraId="648A4252">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姓名</w:t>
            </w:r>
          </w:p>
        </w:tc>
        <w:tc>
          <w:tcPr>
            <w:tcW w:w="3828" w:type="dxa"/>
            <w:vAlign w:val="center"/>
          </w:tcPr>
          <w:p w14:paraId="33206159">
            <w:pPr>
              <w:spacing w:line="440" w:lineRule="exact"/>
              <w:rPr>
                <w:rFonts w:asciiTheme="minorEastAsia" w:hAnsiTheme="minorEastAsia" w:eastAsiaTheme="minorEastAsia"/>
                <w:color w:val="auto"/>
                <w:kern w:val="2"/>
                <w:sz w:val="24"/>
                <w:szCs w:val="24"/>
                <w:highlight w:val="none"/>
              </w:rPr>
            </w:pPr>
          </w:p>
        </w:tc>
      </w:tr>
      <w:tr w14:paraId="5772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449" w:type="dxa"/>
            <w:vMerge w:val="continue"/>
            <w:vAlign w:val="center"/>
          </w:tcPr>
          <w:p w14:paraId="63C4C114">
            <w:pPr>
              <w:spacing w:after="0" w:line="360" w:lineRule="exact"/>
              <w:rPr>
                <w:rFonts w:asciiTheme="minorEastAsia" w:hAnsiTheme="minorEastAsia" w:eastAsiaTheme="minorEastAsia"/>
                <w:color w:val="auto"/>
                <w:kern w:val="2"/>
                <w:sz w:val="24"/>
                <w:szCs w:val="24"/>
                <w:highlight w:val="none"/>
              </w:rPr>
            </w:pPr>
          </w:p>
        </w:tc>
        <w:tc>
          <w:tcPr>
            <w:tcW w:w="2627" w:type="dxa"/>
            <w:vAlign w:val="center"/>
          </w:tcPr>
          <w:p w14:paraId="1E7A56FE">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身份证号</w:t>
            </w:r>
          </w:p>
        </w:tc>
        <w:tc>
          <w:tcPr>
            <w:tcW w:w="3828" w:type="dxa"/>
            <w:vAlign w:val="center"/>
          </w:tcPr>
          <w:p w14:paraId="6463D382">
            <w:pPr>
              <w:spacing w:line="440" w:lineRule="exact"/>
              <w:rPr>
                <w:rFonts w:asciiTheme="minorEastAsia" w:hAnsiTheme="minorEastAsia" w:eastAsiaTheme="minorEastAsia"/>
                <w:color w:val="auto"/>
                <w:kern w:val="2"/>
                <w:sz w:val="24"/>
                <w:szCs w:val="24"/>
                <w:highlight w:val="none"/>
              </w:rPr>
            </w:pPr>
          </w:p>
        </w:tc>
      </w:tr>
      <w:tr w14:paraId="7288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449" w:type="dxa"/>
            <w:vAlign w:val="center"/>
          </w:tcPr>
          <w:p w14:paraId="41FF24B0">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控股股东</w:t>
            </w:r>
            <w:r>
              <w:rPr>
                <w:rFonts w:asciiTheme="minorEastAsia" w:hAnsiTheme="minorEastAsia" w:eastAsiaTheme="minorEastAsia"/>
                <w:color w:val="auto"/>
                <w:kern w:val="2"/>
                <w:sz w:val="24"/>
                <w:szCs w:val="24"/>
                <w:highlight w:val="none"/>
              </w:rPr>
              <w:t>/</w:t>
            </w:r>
            <w:r>
              <w:rPr>
                <w:rFonts w:hint="eastAsia" w:asciiTheme="minorEastAsia" w:hAnsiTheme="minorEastAsia" w:eastAsiaTheme="minorEastAsia"/>
                <w:color w:val="auto"/>
                <w:kern w:val="2"/>
                <w:sz w:val="24"/>
                <w:szCs w:val="24"/>
                <w:highlight w:val="none"/>
              </w:rPr>
              <w:t>投资人名称及出资比例</w:t>
            </w:r>
          </w:p>
        </w:tc>
        <w:tc>
          <w:tcPr>
            <w:tcW w:w="6455" w:type="dxa"/>
            <w:gridSpan w:val="2"/>
            <w:vAlign w:val="center"/>
          </w:tcPr>
          <w:p w14:paraId="3573E857">
            <w:pPr>
              <w:spacing w:after="0" w:line="360" w:lineRule="exact"/>
              <w:rPr>
                <w:rFonts w:asciiTheme="minorEastAsia" w:hAnsiTheme="minorEastAsia" w:eastAsiaTheme="minorEastAsia"/>
                <w:color w:val="auto"/>
                <w:kern w:val="2"/>
                <w:sz w:val="24"/>
                <w:szCs w:val="24"/>
                <w:highlight w:val="none"/>
              </w:rPr>
            </w:pPr>
          </w:p>
        </w:tc>
      </w:tr>
      <w:tr w14:paraId="2845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449" w:type="dxa"/>
            <w:vAlign w:val="center"/>
          </w:tcPr>
          <w:p w14:paraId="0B40DF82">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非控股股东</w:t>
            </w:r>
            <w:r>
              <w:rPr>
                <w:rFonts w:asciiTheme="minorEastAsia" w:hAnsiTheme="minorEastAsia" w:eastAsiaTheme="minorEastAsia"/>
                <w:color w:val="auto"/>
                <w:kern w:val="2"/>
                <w:sz w:val="24"/>
                <w:szCs w:val="24"/>
                <w:highlight w:val="none"/>
              </w:rPr>
              <w:t>/</w:t>
            </w:r>
            <w:r>
              <w:rPr>
                <w:rFonts w:hint="eastAsia" w:asciiTheme="minorEastAsia" w:hAnsiTheme="minorEastAsia" w:eastAsiaTheme="minorEastAsia"/>
                <w:color w:val="auto"/>
                <w:kern w:val="2"/>
                <w:sz w:val="24"/>
                <w:szCs w:val="24"/>
                <w:highlight w:val="none"/>
              </w:rPr>
              <w:t>投资人名称及出资比例</w:t>
            </w:r>
          </w:p>
        </w:tc>
        <w:tc>
          <w:tcPr>
            <w:tcW w:w="6455" w:type="dxa"/>
            <w:gridSpan w:val="2"/>
            <w:vAlign w:val="center"/>
          </w:tcPr>
          <w:p w14:paraId="1039763F">
            <w:pPr>
              <w:spacing w:after="0" w:line="360" w:lineRule="exact"/>
              <w:rPr>
                <w:rFonts w:asciiTheme="minorEastAsia" w:hAnsiTheme="minorEastAsia" w:eastAsiaTheme="minorEastAsia"/>
                <w:color w:val="auto"/>
                <w:kern w:val="2"/>
                <w:sz w:val="24"/>
                <w:szCs w:val="24"/>
                <w:highlight w:val="none"/>
              </w:rPr>
            </w:pPr>
          </w:p>
        </w:tc>
      </w:tr>
      <w:tr w14:paraId="3917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9" w:type="dxa"/>
            <w:vMerge w:val="restart"/>
            <w:vAlign w:val="center"/>
          </w:tcPr>
          <w:p w14:paraId="3C006CB3">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管理关系单位名称</w:t>
            </w:r>
          </w:p>
        </w:tc>
        <w:tc>
          <w:tcPr>
            <w:tcW w:w="2627" w:type="dxa"/>
            <w:vAlign w:val="center"/>
          </w:tcPr>
          <w:p w14:paraId="1A2BE43A">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管理关系单位名称</w:t>
            </w:r>
          </w:p>
        </w:tc>
        <w:tc>
          <w:tcPr>
            <w:tcW w:w="3828" w:type="dxa"/>
            <w:vAlign w:val="center"/>
          </w:tcPr>
          <w:p w14:paraId="34C0D988">
            <w:pPr>
              <w:spacing w:line="440" w:lineRule="exact"/>
              <w:rPr>
                <w:rFonts w:asciiTheme="minorEastAsia" w:hAnsiTheme="minorEastAsia" w:eastAsiaTheme="minorEastAsia"/>
                <w:color w:val="auto"/>
                <w:kern w:val="2"/>
                <w:sz w:val="24"/>
                <w:szCs w:val="24"/>
                <w:highlight w:val="none"/>
              </w:rPr>
            </w:pPr>
          </w:p>
        </w:tc>
      </w:tr>
      <w:tr w14:paraId="6B51E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49" w:type="dxa"/>
            <w:vMerge w:val="continue"/>
            <w:vAlign w:val="center"/>
          </w:tcPr>
          <w:p w14:paraId="7C15A54E">
            <w:pPr>
              <w:spacing w:after="0" w:line="360" w:lineRule="exact"/>
              <w:rPr>
                <w:rFonts w:asciiTheme="minorEastAsia" w:hAnsiTheme="minorEastAsia" w:eastAsiaTheme="minorEastAsia"/>
                <w:color w:val="auto"/>
                <w:kern w:val="2"/>
                <w:sz w:val="24"/>
                <w:szCs w:val="24"/>
                <w:highlight w:val="none"/>
              </w:rPr>
            </w:pPr>
          </w:p>
        </w:tc>
        <w:tc>
          <w:tcPr>
            <w:tcW w:w="2627" w:type="dxa"/>
            <w:vAlign w:val="center"/>
          </w:tcPr>
          <w:p w14:paraId="4F049F9A">
            <w:pPr>
              <w:spacing w:after="0" w:line="36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被管理关系单位名称</w:t>
            </w:r>
          </w:p>
        </w:tc>
        <w:tc>
          <w:tcPr>
            <w:tcW w:w="3828" w:type="dxa"/>
            <w:vAlign w:val="center"/>
          </w:tcPr>
          <w:p w14:paraId="61F76B15">
            <w:pPr>
              <w:spacing w:line="440" w:lineRule="exact"/>
              <w:rPr>
                <w:rFonts w:asciiTheme="minorEastAsia" w:hAnsiTheme="minorEastAsia" w:eastAsiaTheme="minorEastAsia"/>
                <w:color w:val="auto"/>
                <w:kern w:val="2"/>
                <w:sz w:val="24"/>
                <w:szCs w:val="24"/>
                <w:highlight w:val="none"/>
              </w:rPr>
            </w:pPr>
          </w:p>
        </w:tc>
      </w:tr>
      <w:tr w14:paraId="066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904" w:type="dxa"/>
            <w:gridSpan w:val="3"/>
            <w:vAlign w:val="center"/>
          </w:tcPr>
          <w:p w14:paraId="1893C219">
            <w:pPr>
              <w:spacing w:line="440" w:lineRule="exact"/>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备注：</w:t>
            </w:r>
          </w:p>
        </w:tc>
      </w:tr>
    </w:tbl>
    <w:p w14:paraId="0AD61236">
      <w:pPr>
        <w:spacing w:after="0" w:line="340" w:lineRule="exact"/>
        <w:ind w:firstLine="480" w:firstLineChars="200"/>
        <w:rPr>
          <w:rFonts w:asciiTheme="minorEastAsia" w:hAnsiTheme="minorEastAsia" w:eastAsiaTheme="minorEastAsia"/>
          <w:color w:val="auto"/>
          <w:kern w:val="2"/>
          <w:sz w:val="24"/>
          <w:szCs w:val="24"/>
          <w:highlight w:val="none"/>
        </w:rPr>
      </w:pPr>
      <w:r>
        <w:rPr>
          <w:rFonts w:hint="eastAsia" w:asciiTheme="minorEastAsia" w:hAnsiTheme="minorEastAsia" w:eastAsiaTheme="minorEastAsia"/>
          <w:color w:val="auto"/>
          <w:kern w:val="2"/>
          <w:sz w:val="24"/>
          <w:szCs w:val="24"/>
          <w:highlight w:val="none"/>
        </w:rPr>
        <w:t>注：</w:t>
      </w:r>
    </w:p>
    <w:p w14:paraId="1314DA95">
      <w:pPr>
        <w:pStyle w:val="102"/>
        <w:numPr>
          <w:ilvl w:val="3"/>
          <w:numId w:val="9"/>
        </w:numPr>
        <w:adjustRightInd w:val="0"/>
        <w:snapToGrid w:val="0"/>
        <w:spacing w:line="340" w:lineRule="exact"/>
        <w:ind w:left="0" w:firstLine="480"/>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控股股东</w:t>
      </w:r>
      <w:r>
        <w:rPr>
          <w:rFonts w:asciiTheme="minorEastAsia" w:hAnsiTheme="minorEastAsia" w:eastAsiaTheme="minorEastAsia" w:cstheme="minorBidi"/>
          <w:color w:val="auto"/>
          <w:sz w:val="24"/>
          <w:highlight w:val="none"/>
        </w:rPr>
        <w:t>/</w:t>
      </w:r>
      <w:r>
        <w:rPr>
          <w:rFonts w:hint="eastAsia" w:asciiTheme="minorEastAsia" w:hAnsiTheme="minorEastAsia" w:eastAsiaTheme="minorEastAsia" w:cstheme="minorBidi"/>
          <w:color w:val="auto"/>
          <w:sz w:val="24"/>
          <w:highlight w:val="none"/>
        </w:rPr>
        <w:t>投资人是指出资比例在</w:t>
      </w:r>
      <w:r>
        <w:rPr>
          <w:rFonts w:asciiTheme="minorEastAsia" w:hAnsiTheme="minorEastAsia" w:eastAsiaTheme="minorEastAsia" w:cstheme="minorBidi"/>
          <w:color w:val="auto"/>
          <w:sz w:val="24"/>
          <w:highlight w:val="none"/>
        </w:rPr>
        <w:t>50%</w:t>
      </w:r>
      <w:r>
        <w:rPr>
          <w:rFonts w:hint="eastAsia" w:asciiTheme="minorEastAsia" w:hAnsiTheme="minorEastAsia" w:eastAsiaTheme="minorEastAsia" w:cstheme="minorBidi"/>
          <w:color w:val="auto"/>
          <w:sz w:val="24"/>
          <w:highlight w:val="none"/>
        </w:rPr>
        <w:t>以上，或者出资比例不足</w:t>
      </w:r>
      <w:r>
        <w:rPr>
          <w:rFonts w:asciiTheme="minorEastAsia" w:hAnsiTheme="minorEastAsia" w:eastAsiaTheme="minorEastAsia" w:cstheme="minorBidi"/>
          <w:color w:val="auto"/>
          <w:sz w:val="24"/>
          <w:highlight w:val="none"/>
        </w:rPr>
        <w:t>50%</w:t>
      </w:r>
      <w:r>
        <w:rPr>
          <w:rFonts w:hint="eastAsia" w:asciiTheme="minorEastAsia" w:hAnsiTheme="minorEastAsia" w:eastAsiaTheme="minorEastAsia" w:cstheme="minorBidi"/>
          <w:color w:val="auto"/>
          <w:sz w:val="24"/>
          <w:highlight w:val="none"/>
        </w:rPr>
        <w:t>，但享有公司股东会</w:t>
      </w:r>
      <w:r>
        <w:rPr>
          <w:rFonts w:asciiTheme="minorEastAsia" w:hAnsiTheme="minorEastAsia" w:eastAsiaTheme="minorEastAsia" w:cstheme="minorBidi"/>
          <w:color w:val="auto"/>
          <w:sz w:val="24"/>
          <w:highlight w:val="none"/>
        </w:rPr>
        <w:t>/</w:t>
      </w:r>
      <w:r>
        <w:rPr>
          <w:rFonts w:hint="eastAsia" w:asciiTheme="minorEastAsia" w:hAnsiTheme="minorEastAsia" w:eastAsiaTheme="minorEastAsia" w:cstheme="minorBidi"/>
          <w:color w:val="auto"/>
          <w:sz w:val="24"/>
          <w:highlight w:val="none"/>
        </w:rPr>
        <w:t>董事会控制权的投资方（含单位或者个人）；</w:t>
      </w:r>
    </w:p>
    <w:p w14:paraId="5708E447">
      <w:pPr>
        <w:pStyle w:val="102"/>
        <w:numPr>
          <w:ilvl w:val="3"/>
          <w:numId w:val="9"/>
        </w:numPr>
        <w:adjustRightInd w:val="0"/>
        <w:snapToGrid w:val="0"/>
        <w:spacing w:line="340" w:lineRule="exact"/>
        <w:ind w:left="0" w:firstLine="480"/>
        <w:rPr>
          <w:rFonts w:asciiTheme="minorEastAsia" w:hAnsiTheme="minorEastAsia" w:eastAsiaTheme="minorEastAsia" w:cstheme="minorBidi"/>
          <w:color w:val="auto"/>
          <w:sz w:val="24"/>
          <w:highlight w:val="none"/>
        </w:rPr>
      </w:pPr>
      <w:r>
        <w:rPr>
          <w:rFonts w:hint="eastAsia" w:asciiTheme="minorEastAsia" w:hAnsiTheme="minorEastAsia" w:eastAsiaTheme="minorEastAsia" w:cstheme="minorBidi"/>
          <w:color w:val="auto"/>
          <w:sz w:val="24"/>
          <w:highlight w:val="none"/>
        </w:rPr>
        <w:t>管理关系单位是指与不具有出资持股关系的其他单位之间存在管理与被管理关系的单位；</w:t>
      </w:r>
    </w:p>
    <w:p w14:paraId="661BEFDA">
      <w:pPr>
        <w:pStyle w:val="102"/>
        <w:numPr>
          <w:ilvl w:val="3"/>
          <w:numId w:val="9"/>
        </w:numPr>
        <w:adjustRightInd w:val="0"/>
        <w:snapToGrid w:val="0"/>
        <w:spacing w:line="340" w:lineRule="exact"/>
        <w:ind w:left="0" w:firstLine="480"/>
        <w:rPr>
          <w:rFonts w:asciiTheme="minorEastAsia" w:hAnsiTheme="minorEastAsia" w:eastAsiaTheme="minorEastAsia"/>
          <w:color w:val="auto"/>
          <w:sz w:val="24"/>
          <w:highlight w:val="none"/>
        </w:rPr>
      </w:pPr>
      <w:r>
        <w:rPr>
          <w:rFonts w:hint="eastAsia" w:asciiTheme="minorEastAsia" w:hAnsiTheme="minorEastAsia" w:eastAsiaTheme="minorEastAsia" w:cstheme="minorBidi"/>
          <w:color w:val="auto"/>
          <w:sz w:val="24"/>
          <w:highlight w:val="none"/>
        </w:rPr>
        <w:t>如未有相关情况，请在相应栏填写“无”。</w:t>
      </w:r>
    </w:p>
    <w:p w14:paraId="2D05C44B">
      <w:pPr>
        <w:pStyle w:val="22"/>
        <w:spacing w:line="300" w:lineRule="auto"/>
        <w:ind w:firstLine="1680" w:firstLineChars="700"/>
        <w:rPr>
          <w:rFonts w:asciiTheme="minorEastAsia" w:hAnsiTheme="minorEastAsia" w:eastAsiaTheme="minorEastAsia"/>
          <w:color w:val="auto"/>
          <w:sz w:val="24"/>
          <w:szCs w:val="24"/>
          <w:highlight w:val="none"/>
        </w:rPr>
      </w:pPr>
    </w:p>
    <w:p w14:paraId="316A5688">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51F21AE8">
      <w:pPr>
        <w:spacing w:line="500" w:lineRule="exact"/>
        <w:ind w:firstLine="3720" w:firstLineChars="15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法定代表人或委托代理人：</w:t>
      </w:r>
      <w:r>
        <w:rPr>
          <w:rFonts w:hint="eastAsia" w:asciiTheme="minorEastAsia" w:hAnsiTheme="minorEastAsia" w:eastAsiaTheme="minorEastAsia"/>
          <w:color w:val="auto"/>
          <w:sz w:val="24"/>
          <w:highlight w:val="none"/>
          <w:u w:val="single"/>
        </w:rPr>
        <w:t xml:space="preserve">     （签字）   </w:t>
      </w:r>
    </w:p>
    <w:p w14:paraId="5E74EDCA">
      <w:pPr>
        <w:pStyle w:val="22"/>
        <w:spacing w:line="500" w:lineRule="exact"/>
        <w:ind w:firstLine="3720" w:firstLineChars="15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 w:val="24"/>
          <w:highlight w:val="none"/>
        </w:rPr>
        <w:t>日期：  年  月  日</w:t>
      </w:r>
    </w:p>
    <w:p w14:paraId="040AB851">
      <w:pPr>
        <w:pStyle w:val="22"/>
        <w:spacing w:line="440" w:lineRule="exac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color w:val="auto"/>
          <w:sz w:val="24"/>
          <w:szCs w:val="24"/>
          <w:highlight w:val="none"/>
        </w:rPr>
        <w:t>附件九：</w:t>
      </w:r>
    </w:p>
    <w:p w14:paraId="00048C69">
      <w:pPr>
        <w:pStyle w:val="22"/>
        <w:spacing w:line="440" w:lineRule="exact"/>
        <w:jc w:val="center"/>
        <w:rPr>
          <w:rFonts w:asciiTheme="minorEastAsia" w:hAnsiTheme="minorEastAsia" w:eastAsiaTheme="minorEastAsia"/>
          <w:b/>
          <w:color w:val="auto"/>
          <w:sz w:val="32"/>
          <w:szCs w:val="32"/>
          <w:highlight w:val="none"/>
        </w:rPr>
      </w:pPr>
    </w:p>
    <w:p w14:paraId="5A412FA1">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法定代表人身份证明</w:t>
      </w:r>
    </w:p>
    <w:p w14:paraId="1B77516F">
      <w:pPr>
        <w:pStyle w:val="22"/>
        <w:spacing w:line="460" w:lineRule="exact"/>
        <w:ind w:firstLine="616" w:firstLineChars="257"/>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供应商：</w:t>
      </w:r>
    </w:p>
    <w:p w14:paraId="78B39612">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单位性质：</w:t>
      </w:r>
    </w:p>
    <w:p w14:paraId="0A696BD1">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    址：</w:t>
      </w:r>
    </w:p>
    <w:p w14:paraId="071797C3">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成立时间：年月日</w:t>
      </w:r>
    </w:p>
    <w:p w14:paraId="7429BD65">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经营期限：</w:t>
      </w:r>
    </w:p>
    <w:p w14:paraId="2BF77E49">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姓    名：                性      别：</w:t>
      </w:r>
    </w:p>
    <w:p w14:paraId="20BEA265">
      <w:pPr>
        <w:pStyle w:val="22"/>
        <w:spacing w:line="460" w:lineRule="exact"/>
        <w:ind w:firstLine="616" w:firstLineChars="257"/>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年    龄：                职      务：</w:t>
      </w:r>
    </w:p>
    <w:p w14:paraId="12958097">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身份证号码：</w:t>
      </w:r>
    </w:p>
    <w:p w14:paraId="7AEBB894">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系</w:t>
      </w:r>
      <w:r>
        <w:rPr>
          <w:rFonts w:hint="eastAsia" w:asciiTheme="minorEastAsia" w:hAnsiTheme="minorEastAsia" w:eastAsiaTheme="minorEastAsia"/>
          <w:color w:val="auto"/>
          <w:sz w:val="24"/>
          <w:highlight w:val="none"/>
          <w:u w:val="single"/>
        </w:rPr>
        <w:t xml:space="preserve">（供应商名称）               </w:t>
      </w:r>
      <w:r>
        <w:rPr>
          <w:rFonts w:hint="eastAsia" w:asciiTheme="minorEastAsia" w:hAnsiTheme="minorEastAsia" w:eastAsiaTheme="minorEastAsia"/>
          <w:color w:val="auto"/>
          <w:sz w:val="24"/>
          <w:highlight w:val="none"/>
        </w:rPr>
        <w:t>的法定代表人。</w:t>
      </w:r>
    </w:p>
    <w:p w14:paraId="7F847B91">
      <w:pPr>
        <w:pStyle w:val="22"/>
        <w:spacing w:line="460" w:lineRule="exact"/>
        <w:ind w:firstLine="616" w:firstLineChars="25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特此证明。</w:t>
      </w:r>
    </w:p>
    <w:p w14:paraId="07AFB464">
      <w:pPr>
        <w:pStyle w:val="22"/>
        <w:spacing w:line="460" w:lineRule="exact"/>
        <w:ind w:firstLine="616" w:firstLineChars="257"/>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kern w:val="0"/>
          <w:sz w:val="24"/>
          <w:highlight w:val="none"/>
        </w:rPr>
        <w:t>附：法定代表人有效的身份证正反面复印件，并加盖公章。</w:t>
      </w:r>
    </w:p>
    <w:p w14:paraId="211B5353">
      <w:pPr>
        <w:pStyle w:val="22"/>
        <w:spacing w:line="460" w:lineRule="exact"/>
        <w:ind w:firstLine="616" w:firstLineChars="257"/>
        <w:rPr>
          <w:rFonts w:asciiTheme="minorEastAsia" w:hAnsiTheme="minorEastAsia" w:eastAsiaTheme="minorEastAsia"/>
          <w:color w:val="auto"/>
          <w:sz w:val="24"/>
          <w:szCs w:val="24"/>
          <w:highlight w:val="none"/>
        </w:rPr>
      </w:pPr>
    </w:p>
    <w:p w14:paraId="0ADAA616">
      <w:pPr>
        <w:pStyle w:val="22"/>
        <w:spacing w:line="460" w:lineRule="exact"/>
        <w:ind w:firstLine="616" w:firstLineChars="257"/>
        <w:rPr>
          <w:rFonts w:asciiTheme="minorEastAsia" w:hAnsiTheme="minorEastAsia" w:eastAsiaTheme="minorEastAsia"/>
          <w:color w:val="auto"/>
          <w:sz w:val="24"/>
          <w:szCs w:val="24"/>
          <w:highlight w:val="none"/>
        </w:rPr>
      </w:pPr>
    </w:p>
    <w:p w14:paraId="7B054DA6">
      <w:pPr>
        <w:pStyle w:val="22"/>
        <w:spacing w:line="460" w:lineRule="exact"/>
        <w:ind w:firstLine="616" w:firstLineChars="257"/>
        <w:rPr>
          <w:rFonts w:asciiTheme="minorEastAsia" w:hAnsiTheme="minorEastAsia" w:eastAsiaTheme="minorEastAsia"/>
          <w:color w:val="auto"/>
          <w:sz w:val="24"/>
          <w:szCs w:val="24"/>
          <w:highlight w:val="none"/>
        </w:rPr>
      </w:pPr>
    </w:p>
    <w:p w14:paraId="5A673FDB">
      <w:pPr>
        <w:pStyle w:val="22"/>
        <w:spacing w:line="460" w:lineRule="exact"/>
        <w:ind w:firstLine="616" w:firstLineChars="257"/>
        <w:rPr>
          <w:rFonts w:asciiTheme="minorEastAsia" w:hAnsiTheme="minorEastAsia" w:eastAsiaTheme="minorEastAsia"/>
          <w:color w:val="auto"/>
          <w:sz w:val="24"/>
          <w:szCs w:val="24"/>
          <w:highlight w:val="none"/>
        </w:rPr>
      </w:pPr>
    </w:p>
    <w:p w14:paraId="1DB93DE4">
      <w:pPr>
        <w:spacing w:after="0" w:line="500" w:lineRule="exact"/>
        <w:ind w:firstLine="3840" w:firstLineChars="16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 </w:t>
      </w:r>
    </w:p>
    <w:p w14:paraId="4CE88731">
      <w:pPr>
        <w:pStyle w:val="22"/>
        <w:spacing w:line="460" w:lineRule="exact"/>
        <w:ind w:firstLine="3840" w:firstLineChars="16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日期：  年  月  日</w:t>
      </w:r>
    </w:p>
    <w:p w14:paraId="123C2109">
      <w:pPr>
        <w:adjustRightInd/>
        <w:snapToGrid/>
        <w:spacing w:line="220" w:lineRule="atLeas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89AE07C">
      <w:pPr>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附件十：</w:t>
      </w:r>
    </w:p>
    <w:p w14:paraId="4A1EE42F">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法定代表人授权委托书</w:t>
      </w:r>
    </w:p>
    <w:p w14:paraId="1ACEA855">
      <w:pPr>
        <w:autoSpaceDE w:val="0"/>
        <w:rPr>
          <w:rFonts w:cs="Arial" w:asciiTheme="minorEastAsia" w:hAnsiTheme="minorEastAsia" w:eastAsiaTheme="minorEastAsia"/>
          <w:b/>
          <w:color w:val="auto"/>
          <w:szCs w:val="21"/>
          <w:highlight w:val="none"/>
        </w:rPr>
      </w:pPr>
    </w:p>
    <w:p w14:paraId="2C589ABD">
      <w:pPr>
        <w:spacing w:after="0" w:line="440" w:lineRule="exact"/>
        <w:rPr>
          <w:rFonts w:cs="Arial" w:asciiTheme="minorEastAsia" w:hAnsiTheme="minorEastAsia" w:eastAsiaTheme="minorEastAsia"/>
          <w:b/>
          <w:bCs/>
          <w:color w:val="auto"/>
          <w:sz w:val="24"/>
          <w:highlight w:val="none"/>
        </w:rPr>
      </w:pPr>
      <w:r>
        <w:rPr>
          <w:rFonts w:hint="eastAsia" w:cs="Arial" w:asciiTheme="minorEastAsia" w:hAnsiTheme="minorEastAsia" w:eastAsiaTheme="minorEastAsia"/>
          <w:bCs/>
          <w:color w:val="auto"/>
          <w:sz w:val="24"/>
          <w:highlight w:val="none"/>
        </w:rPr>
        <w:t>致</w:t>
      </w:r>
      <w:r>
        <w:rPr>
          <w:rFonts w:hint="eastAsia" w:cs="Arial" w:asciiTheme="minorEastAsia" w:hAnsiTheme="minorEastAsia" w:eastAsiaTheme="minorEastAsia"/>
          <w:color w:val="auto"/>
          <w:sz w:val="24"/>
          <w:highlight w:val="none"/>
        </w:rPr>
        <w:t>：（采购代理机构）</w:t>
      </w:r>
    </w:p>
    <w:p w14:paraId="2CBE9A8C">
      <w:pPr>
        <w:spacing w:after="0" w:line="44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我</w:t>
      </w:r>
      <w:r>
        <w:rPr>
          <w:rFonts w:hint="eastAsia" w:cs="Arial" w:asciiTheme="minorEastAsia" w:hAnsiTheme="minorEastAsia" w:eastAsiaTheme="minorEastAsia"/>
          <w:color w:val="auto"/>
          <w:sz w:val="24"/>
          <w:highlight w:val="none"/>
          <w:u w:val="single"/>
        </w:rPr>
        <w:t>（姓名）</w:t>
      </w:r>
      <w:r>
        <w:rPr>
          <w:rFonts w:hint="eastAsia" w:cs="Arial" w:asciiTheme="minorEastAsia" w:hAnsiTheme="minorEastAsia" w:eastAsiaTheme="minorEastAsia"/>
          <w:color w:val="auto"/>
          <w:sz w:val="24"/>
          <w:highlight w:val="none"/>
        </w:rPr>
        <w:t>系</w:t>
      </w:r>
      <w:r>
        <w:rPr>
          <w:rFonts w:hint="eastAsia" w:cs="Arial" w:asciiTheme="minorEastAsia" w:hAnsiTheme="minorEastAsia" w:eastAsiaTheme="minorEastAsia"/>
          <w:color w:val="auto"/>
          <w:sz w:val="24"/>
          <w:highlight w:val="none"/>
          <w:u w:val="single"/>
        </w:rPr>
        <w:t>（供应商名称）</w:t>
      </w:r>
      <w:r>
        <w:rPr>
          <w:rFonts w:hint="eastAsia" w:cs="Arial" w:asciiTheme="minorEastAsia" w:hAnsiTheme="minorEastAsia" w:eastAsiaTheme="minorEastAsia"/>
          <w:color w:val="auto"/>
          <w:sz w:val="24"/>
          <w:highlight w:val="none"/>
        </w:rPr>
        <w:t>的法定代表人，现授权委托本单位在职职工</w:t>
      </w:r>
      <w:r>
        <w:rPr>
          <w:rFonts w:hint="eastAsia" w:cs="Arial" w:asciiTheme="minorEastAsia" w:hAnsiTheme="minorEastAsia" w:eastAsiaTheme="minorEastAsia"/>
          <w:color w:val="auto"/>
          <w:sz w:val="24"/>
          <w:highlight w:val="none"/>
          <w:u w:val="single"/>
        </w:rPr>
        <w:t xml:space="preserve"> （姓名）</w:t>
      </w:r>
      <w:r>
        <w:rPr>
          <w:rFonts w:hint="eastAsia" w:cs="Arial" w:asciiTheme="minorEastAsia" w:hAnsiTheme="minorEastAsia" w:eastAsiaTheme="minorEastAsia"/>
          <w:color w:val="auto"/>
          <w:sz w:val="24"/>
          <w:highlight w:val="none"/>
        </w:rPr>
        <w:t>以我方的名义参加</w:t>
      </w:r>
      <w:r>
        <w:rPr>
          <w:rFonts w:hint="eastAsia" w:asciiTheme="minorEastAsia" w:hAnsiTheme="minorEastAsia" w:eastAsiaTheme="minorEastAsia"/>
          <w:color w:val="auto"/>
          <w:sz w:val="24"/>
          <w:highlight w:val="none"/>
          <w:u w:val="single"/>
        </w:rPr>
        <w:t xml:space="preserve">（项目名称）（项目编号：      </w:t>
      </w:r>
      <w:r>
        <w:rPr>
          <w:rFonts w:hint="eastAsia" w:asciiTheme="minorEastAsia" w:hAnsiTheme="minorEastAsia" w:eastAsiaTheme="minorEastAsia"/>
          <w:color w:val="auto"/>
          <w:sz w:val="24"/>
          <w:highlight w:val="none"/>
        </w:rPr>
        <w:t>）</w:t>
      </w:r>
      <w:r>
        <w:rPr>
          <w:rFonts w:hint="eastAsia" w:cs="Arial" w:asciiTheme="minorEastAsia" w:hAnsiTheme="minorEastAsia" w:eastAsiaTheme="minorEastAsia"/>
          <w:color w:val="auto"/>
          <w:sz w:val="24"/>
          <w:highlight w:val="none"/>
        </w:rPr>
        <w:t>项目的竞标活动，并代表我方全权办理针对上述项目的响应文件签署、响应文件提交、谈判、签订合同和处理一切有关事宜等。</w:t>
      </w:r>
    </w:p>
    <w:p w14:paraId="7D9BBE38">
      <w:pPr>
        <w:spacing w:after="0" w:line="44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我方对被授权人的签名事项负全部责任。</w:t>
      </w:r>
    </w:p>
    <w:p w14:paraId="23ABBA43">
      <w:pPr>
        <w:spacing w:after="0" w:line="44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授权委托期限：年月日至年月日。被授权人在授权书有效期内签署的所有文件均有效。</w:t>
      </w:r>
    </w:p>
    <w:p w14:paraId="22ADAE12">
      <w:pPr>
        <w:spacing w:after="0" w:line="44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被授权人无转委托权，特此委托。</w:t>
      </w:r>
    </w:p>
    <w:p w14:paraId="0AD5E6E5">
      <w:pPr>
        <w:spacing w:after="0" w:line="440" w:lineRule="exact"/>
        <w:ind w:firstLine="480" w:firstLineChars="200"/>
        <w:rPr>
          <w:rFonts w:cs="Arial" w:asciiTheme="minorEastAsia" w:hAnsiTheme="minorEastAsia" w:eastAsiaTheme="minorEastAsia"/>
          <w:color w:val="auto"/>
          <w:sz w:val="24"/>
          <w:highlight w:val="none"/>
        </w:rPr>
      </w:pPr>
    </w:p>
    <w:p w14:paraId="4B7C4046">
      <w:pPr>
        <w:spacing w:after="0" w:line="440" w:lineRule="exact"/>
        <w:ind w:firstLine="480" w:firstLineChars="200"/>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附：被授权人有效的身份证正反面复印件，并加盖公章。</w:t>
      </w:r>
    </w:p>
    <w:p w14:paraId="4BC18ABC">
      <w:pPr>
        <w:spacing w:line="440" w:lineRule="exact"/>
        <w:ind w:firstLine="480" w:firstLineChars="200"/>
        <w:rPr>
          <w:rFonts w:cs="Arial" w:asciiTheme="minorEastAsia" w:hAnsiTheme="minorEastAsia" w:eastAsiaTheme="minorEastAsia"/>
          <w:color w:val="auto"/>
          <w:sz w:val="24"/>
          <w:highlight w:val="none"/>
        </w:rPr>
      </w:pPr>
    </w:p>
    <w:p w14:paraId="616C94D0">
      <w:pPr>
        <w:spacing w:line="440" w:lineRule="exact"/>
        <w:ind w:firstLine="2760" w:firstLineChars="1150"/>
        <w:rPr>
          <w:rFonts w:cs="Arial"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u w:val="single"/>
        </w:rPr>
        <w:t xml:space="preserve">  （单位名称并盖公章）</w:t>
      </w:r>
    </w:p>
    <w:p w14:paraId="1CE5EA37">
      <w:pPr>
        <w:spacing w:line="440" w:lineRule="exact"/>
        <w:ind w:firstLine="2760" w:firstLineChars="1150"/>
        <w:rPr>
          <w:rFonts w:cs="Arial" w:asciiTheme="minorEastAsia" w:hAnsiTheme="minorEastAsia" w:eastAsiaTheme="minorEastAsia"/>
          <w:color w:val="auto"/>
          <w:sz w:val="24"/>
          <w:highlight w:val="none"/>
          <w:u w:val="single"/>
        </w:rPr>
      </w:pPr>
      <w:r>
        <w:rPr>
          <w:rFonts w:hint="eastAsia" w:cs="Arial" w:asciiTheme="minorEastAsia" w:hAnsiTheme="minorEastAsia" w:eastAsiaTheme="minorEastAsia"/>
          <w:color w:val="auto"/>
          <w:sz w:val="24"/>
          <w:highlight w:val="none"/>
        </w:rPr>
        <w:t>法定代表人（签字）：</w:t>
      </w:r>
      <w:r>
        <w:rPr>
          <w:rFonts w:hint="eastAsia" w:asciiTheme="minorEastAsia" w:hAnsiTheme="minorEastAsia" w:eastAsiaTheme="minorEastAsia"/>
          <w:color w:val="auto"/>
          <w:sz w:val="24"/>
          <w:highlight w:val="none"/>
          <w:u w:val="single"/>
        </w:rPr>
        <w:t xml:space="preserve">           </w:t>
      </w:r>
    </w:p>
    <w:p w14:paraId="77CC6C23">
      <w:pPr>
        <w:spacing w:line="440" w:lineRule="exact"/>
        <w:ind w:firstLine="2760" w:firstLineChars="1150"/>
        <w:rPr>
          <w:rFonts w:cs="Arial" w:asciiTheme="minorEastAsia" w:hAnsiTheme="minorEastAsia" w:eastAsiaTheme="minorEastAsia"/>
          <w:color w:val="auto"/>
          <w:sz w:val="24"/>
          <w:highlight w:val="none"/>
          <w:u w:val="single"/>
        </w:rPr>
      </w:pPr>
      <w:r>
        <w:rPr>
          <w:rFonts w:hint="eastAsia" w:cs="Arial" w:asciiTheme="minorEastAsia" w:hAnsiTheme="minorEastAsia" w:eastAsiaTheme="minorEastAsia"/>
          <w:color w:val="auto"/>
          <w:sz w:val="24"/>
          <w:highlight w:val="none"/>
        </w:rPr>
        <w:t>法定代表人身份证号码：</w:t>
      </w:r>
      <w:r>
        <w:rPr>
          <w:rFonts w:hint="eastAsia" w:asciiTheme="minorEastAsia" w:hAnsiTheme="minorEastAsia" w:eastAsiaTheme="minorEastAsia"/>
          <w:color w:val="auto"/>
          <w:sz w:val="24"/>
          <w:highlight w:val="none"/>
          <w:u w:val="single"/>
        </w:rPr>
        <w:t xml:space="preserve">         </w:t>
      </w:r>
    </w:p>
    <w:p w14:paraId="0EC3C7A6">
      <w:pPr>
        <w:spacing w:line="440" w:lineRule="exact"/>
        <w:ind w:firstLine="2760" w:firstLineChars="1150"/>
        <w:rPr>
          <w:rFonts w:cs="Arial" w:asciiTheme="minorEastAsia" w:hAnsiTheme="minorEastAsia" w:eastAsiaTheme="minorEastAsia"/>
          <w:color w:val="auto"/>
          <w:sz w:val="24"/>
          <w:highlight w:val="none"/>
          <w:u w:val="single"/>
        </w:rPr>
      </w:pPr>
      <w:r>
        <w:rPr>
          <w:rFonts w:hint="eastAsia" w:cs="Arial" w:asciiTheme="minorEastAsia" w:hAnsiTheme="minorEastAsia" w:eastAsiaTheme="minorEastAsia"/>
          <w:color w:val="auto"/>
          <w:sz w:val="24"/>
          <w:highlight w:val="none"/>
        </w:rPr>
        <w:t>委托代理人（签字）：</w:t>
      </w:r>
      <w:r>
        <w:rPr>
          <w:rFonts w:hint="eastAsia" w:asciiTheme="minorEastAsia" w:hAnsiTheme="minorEastAsia" w:eastAsiaTheme="minorEastAsia"/>
          <w:color w:val="auto"/>
          <w:sz w:val="24"/>
          <w:highlight w:val="none"/>
          <w:u w:val="single"/>
        </w:rPr>
        <w:t xml:space="preserve">           </w:t>
      </w:r>
    </w:p>
    <w:p w14:paraId="06316519">
      <w:pPr>
        <w:spacing w:line="440" w:lineRule="exact"/>
        <w:ind w:firstLine="2760" w:firstLineChars="1150"/>
        <w:rPr>
          <w:rFonts w:cs="Arial" w:asciiTheme="minorEastAsia" w:hAnsiTheme="minorEastAsia" w:eastAsiaTheme="minorEastAsia"/>
          <w:color w:val="auto"/>
          <w:sz w:val="24"/>
          <w:highlight w:val="none"/>
          <w:u w:val="single"/>
        </w:rPr>
      </w:pPr>
      <w:r>
        <w:rPr>
          <w:rFonts w:hint="eastAsia" w:cs="Arial" w:asciiTheme="minorEastAsia" w:hAnsiTheme="minorEastAsia" w:eastAsiaTheme="minorEastAsia"/>
          <w:color w:val="auto"/>
          <w:sz w:val="24"/>
          <w:highlight w:val="none"/>
        </w:rPr>
        <w:t>委托代理人身份证号码：</w:t>
      </w:r>
      <w:r>
        <w:rPr>
          <w:rFonts w:hint="eastAsia" w:asciiTheme="minorEastAsia" w:hAnsiTheme="minorEastAsia" w:eastAsiaTheme="minorEastAsia"/>
          <w:color w:val="auto"/>
          <w:sz w:val="24"/>
          <w:highlight w:val="none"/>
          <w:u w:val="single"/>
        </w:rPr>
        <w:t xml:space="preserve">         </w:t>
      </w:r>
    </w:p>
    <w:p w14:paraId="46F395D1">
      <w:pPr>
        <w:spacing w:line="440" w:lineRule="exact"/>
        <w:ind w:firstLine="2880" w:firstLineChars="1200"/>
        <w:rPr>
          <w:rFonts w:cs="Arial"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35DC670E">
      <w:pPr>
        <w:spacing w:line="440" w:lineRule="exact"/>
        <w:ind w:firstLine="480" w:firstLineChars="200"/>
        <w:rPr>
          <w:rFonts w:cs="Arial" w:asciiTheme="minorEastAsia" w:hAnsiTheme="minorEastAsia" w:eastAsiaTheme="minorEastAsia"/>
          <w:color w:val="auto"/>
          <w:sz w:val="24"/>
          <w:highlight w:val="none"/>
        </w:rPr>
      </w:pPr>
    </w:p>
    <w:p w14:paraId="392AEEB9">
      <w:pPr>
        <w:adjustRightInd/>
        <w:snapToGrid/>
        <w:spacing w:line="220" w:lineRule="atLeast"/>
        <w:rPr>
          <w:rFonts w:cs="Arial" w:asciiTheme="minorEastAsia" w:hAnsiTheme="minorEastAsia" w:eastAsiaTheme="minorEastAsia"/>
          <w:color w:val="auto"/>
          <w:kern w:val="2"/>
          <w:sz w:val="24"/>
          <w:szCs w:val="24"/>
          <w:highlight w:val="none"/>
        </w:rPr>
      </w:pPr>
      <w:r>
        <w:rPr>
          <w:rFonts w:cs="Arial" w:asciiTheme="minorEastAsia" w:hAnsiTheme="minorEastAsia" w:eastAsiaTheme="minorEastAsia"/>
          <w:color w:val="auto"/>
          <w:sz w:val="24"/>
          <w:szCs w:val="24"/>
          <w:highlight w:val="none"/>
        </w:rPr>
        <w:br w:type="page"/>
      </w:r>
    </w:p>
    <w:p w14:paraId="13929576">
      <w:pPr>
        <w:spacing w:line="300" w:lineRule="auto"/>
        <w:rPr>
          <w:rFonts w:cs="Arial" w:asciiTheme="minorEastAsia" w:hAnsiTheme="minorEastAsia" w:eastAsiaTheme="minorEastAsia"/>
          <w:b/>
          <w:color w:val="auto"/>
          <w:sz w:val="24"/>
          <w:highlight w:val="none"/>
        </w:rPr>
      </w:pPr>
      <w:r>
        <w:rPr>
          <w:rFonts w:hint="eastAsia" w:cs="Arial" w:asciiTheme="minorEastAsia" w:hAnsiTheme="minorEastAsia" w:eastAsiaTheme="minorEastAsia"/>
          <w:b/>
          <w:color w:val="auto"/>
          <w:sz w:val="24"/>
          <w:highlight w:val="none"/>
        </w:rPr>
        <w:t>附件十一：</w:t>
      </w:r>
    </w:p>
    <w:p w14:paraId="3C10CED6">
      <w:pPr>
        <w:spacing w:line="30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中小企业声明函（货物）</w:t>
      </w:r>
    </w:p>
    <w:p w14:paraId="3F1EA1A1">
      <w:pPr>
        <w:pStyle w:val="22"/>
        <w:spacing w:line="500" w:lineRule="exact"/>
        <w:ind w:firstLine="480" w:firstLineChars="200"/>
        <w:rPr>
          <w:rFonts w:hAnsi="宋体"/>
          <w:color w:val="auto"/>
          <w:sz w:val="24"/>
          <w:szCs w:val="24"/>
          <w:highlight w:val="none"/>
        </w:rPr>
      </w:pPr>
      <w:r>
        <w:rPr>
          <w:rFonts w:hint="eastAsia" w:hAnsi="宋体"/>
          <w:color w:val="auto"/>
          <w:sz w:val="24"/>
          <w:szCs w:val="24"/>
          <w:highlight w:val="none"/>
        </w:rPr>
        <w:t>本公司（联合体）郑重声明，根据《政府采购促进中小企业发展管理办法》（财库﹝2020﹞46 号）的规定，本公司（联合体）参加</w:t>
      </w:r>
      <w:r>
        <w:rPr>
          <w:rFonts w:hint="eastAsia" w:hAnsi="宋体"/>
          <w:color w:val="auto"/>
          <w:sz w:val="24"/>
          <w:szCs w:val="24"/>
          <w:highlight w:val="none"/>
          <w:u w:val="single"/>
        </w:rPr>
        <w:t xml:space="preserve">  （单位名称）   </w:t>
      </w:r>
      <w:r>
        <w:rPr>
          <w:rFonts w:hint="eastAsia" w:hAnsi="宋体"/>
          <w:color w:val="auto"/>
          <w:sz w:val="24"/>
          <w:szCs w:val="24"/>
          <w:highlight w:val="none"/>
        </w:rPr>
        <w:t xml:space="preserve">的 </w:t>
      </w:r>
      <w:r>
        <w:rPr>
          <w:rFonts w:hint="eastAsia" w:hAnsi="宋体"/>
          <w:color w:val="auto"/>
          <w:sz w:val="24"/>
          <w:szCs w:val="24"/>
          <w:highlight w:val="none"/>
          <w:u w:val="single"/>
        </w:rPr>
        <w:t xml:space="preserve"> （项目名称）</w:t>
      </w:r>
      <w:r>
        <w:rPr>
          <w:rFonts w:hint="eastAsia" w:hAnsi="宋体"/>
          <w:color w:val="auto"/>
          <w:sz w:val="24"/>
          <w:szCs w:val="24"/>
          <w:highlight w:val="none"/>
        </w:rPr>
        <w:t>采购活动，提供的货物全部由符合政策要求的中小企业制造。相关企业（含联合体中的中小企业、签订分包意向协议的中小企业）的具体情况如下：</w:t>
      </w:r>
    </w:p>
    <w:p w14:paraId="36E0B193">
      <w:pPr>
        <w:pStyle w:val="22"/>
        <w:spacing w:line="500" w:lineRule="exact"/>
        <w:ind w:firstLine="480" w:firstLineChars="200"/>
        <w:rPr>
          <w:rFonts w:hAnsi="宋体"/>
          <w:color w:val="auto"/>
          <w:sz w:val="24"/>
          <w:szCs w:val="24"/>
          <w:highlight w:val="none"/>
        </w:rPr>
      </w:pPr>
      <w:r>
        <w:rPr>
          <w:rFonts w:hint="eastAsia" w:hAnsi="宋体"/>
          <w:color w:val="auto"/>
          <w:sz w:val="24"/>
          <w:szCs w:val="24"/>
          <w:highlight w:val="none"/>
        </w:rPr>
        <w:t>1、</w:t>
      </w:r>
      <w:r>
        <w:rPr>
          <w:rFonts w:hint="eastAsia" w:hAnsi="宋体"/>
          <w:color w:val="auto"/>
          <w:sz w:val="24"/>
          <w:szCs w:val="24"/>
          <w:highlight w:val="none"/>
          <w:u w:val="single"/>
        </w:rPr>
        <w:t>（标的名称）</w:t>
      </w:r>
      <w:r>
        <w:rPr>
          <w:rFonts w:hint="eastAsia" w:hAnsi="宋体"/>
          <w:color w:val="auto"/>
          <w:sz w:val="24"/>
          <w:szCs w:val="24"/>
          <w:highlight w:val="none"/>
        </w:rPr>
        <w:t>，属于</w:t>
      </w:r>
      <w:r>
        <w:rPr>
          <w:rFonts w:hint="eastAsia" w:hAnsi="宋体"/>
          <w:color w:val="auto"/>
          <w:sz w:val="24"/>
          <w:szCs w:val="24"/>
          <w:highlight w:val="none"/>
          <w:u w:val="single"/>
        </w:rPr>
        <w:t>（采购文件中明确的所属行业行业）</w:t>
      </w:r>
      <w:r>
        <w:rPr>
          <w:rFonts w:hint="eastAsia" w:hAnsi="宋体"/>
          <w:color w:val="auto"/>
          <w:sz w:val="24"/>
          <w:szCs w:val="24"/>
          <w:highlight w:val="none"/>
        </w:rPr>
        <w:t>；制造商为</w:t>
      </w:r>
      <w:r>
        <w:rPr>
          <w:rFonts w:hint="eastAsia" w:hAnsi="宋体"/>
          <w:color w:val="auto"/>
          <w:sz w:val="24"/>
          <w:szCs w:val="24"/>
          <w:highlight w:val="none"/>
          <w:u w:val="single"/>
        </w:rPr>
        <w:t xml:space="preserve">  （企业名称）</w:t>
      </w:r>
      <w:r>
        <w:rPr>
          <w:rFonts w:hint="eastAsia" w:hAnsi="宋体"/>
          <w:color w:val="auto"/>
          <w:sz w:val="24"/>
          <w:szCs w:val="24"/>
          <w:highlight w:val="none"/>
        </w:rPr>
        <w:t>，从业人员</w:t>
      </w:r>
      <w:r>
        <w:rPr>
          <w:rFonts w:hint="eastAsia" w:hAnsi="宋体"/>
          <w:color w:val="auto"/>
          <w:sz w:val="24"/>
          <w:szCs w:val="24"/>
          <w:highlight w:val="none"/>
          <w:u w:val="single"/>
        </w:rPr>
        <w:t xml:space="preserve">     </w:t>
      </w:r>
      <w:r>
        <w:rPr>
          <w:rFonts w:hint="eastAsia" w:hAnsi="宋体"/>
          <w:color w:val="auto"/>
          <w:sz w:val="24"/>
          <w:szCs w:val="24"/>
          <w:highlight w:val="none"/>
          <w:u w:val="single"/>
        </w:rPr>
        <w:tab/>
      </w:r>
      <w:r>
        <w:rPr>
          <w:rFonts w:hint="eastAsia" w:hAnsi="宋体"/>
          <w:color w:val="auto"/>
          <w:sz w:val="24"/>
          <w:szCs w:val="24"/>
          <w:highlight w:val="none"/>
        </w:rPr>
        <w:t>人，营业收入为</w:t>
      </w:r>
      <w:r>
        <w:rPr>
          <w:rFonts w:hint="eastAsia" w:hAnsi="宋体"/>
          <w:color w:val="auto"/>
          <w:sz w:val="24"/>
          <w:szCs w:val="24"/>
          <w:highlight w:val="none"/>
          <w:u w:val="single"/>
        </w:rPr>
        <w:t xml:space="preserve">     </w:t>
      </w:r>
      <w:r>
        <w:rPr>
          <w:rFonts w:hint="eastAsia" w:hAnsi="宋体"/>
          <w:color w:val="auto"/>
          <w:sz w:val="24"/>
          <w:szCs w:val="24"/>
          <w:highlight w:val="none"/>
          <w:u w:val="single"/>
        </w:rPr>
        <w:tab/>
      </w:r>
      <w:r>
        <w:rPr>
          <w:rFonts w:hint="eastAsia" w:hAnsi="宋体"/>
          <w:color w:val="auto"/>
          <w:sz w:val="24"/>
          <w:szCs w:val="24"/>
          <w:highlight w:val="none"/>
          <w:u w:val="single"/>
        </w:rPr>
        <w:tab/>
      </w:r>
      <w:r>
        <w:rPr>
          <w:rFonts w:hint="eastAsia" w:hAnsi="宋体"/>
          <w:color w:val="auto"/>
          <w:sz w:val="24"/>
          <w:szCs w:val="24"/>
          <w:highlight w:val="none"/>
        </w:rPr>
        <w:t>万元，资产总额为</w:t>
      </w:r>
      <w:r>
        <w:rPr>
          <w:rFonts w:hint="eastAsia" w:hAnsi="宋体"/>
          <w:color w:val="auto"/>
          <w:sz w:val="24"/>
          <w:szCs w:val="24"/>
          <w:highlight w:val="none"/>
          <w:u w:val="single"/>
        </w:rPr>
        <w:tab/>
      </w:r>
      <w:r>
        <w:rPr>
          <w:rFonts w:hint="eastAsia" w:hAnsi="宋体"/>
          <w:color w:val="auto"/>
          <w:sz w:val="24"/>
          <w:szCs w:val="24"/>
          <w:highlight w:val="none"/>
          <w:u w:val="single"/>
        </w:rPr>
        <w:t xml:space="preserve">     </w:t>
      </w:r>
      <w:r>
        <w:rPr>
          <w:rFonts w:hint="eastAsia" w:hAnsi="宋体"/>
          <w:color w:val="auto"/>
          <w:sz w:val="24"/>
          <w:szCs w:val="24"/>
          <w:highlight w:val="none"/>
        </w:rPr>
        <w:t>万元</w:t>
      </w:r>
      <w:r>
        <w:rPr>
          <w:rFonts w:hint="eastAsia" w:hAnsi="宋体" w:cs="宋体"/>
          <w:color w:val="auto"/>
          <w:sz w:val="24"/>
          <w:szCs w:val="24"/>
          <w:highlight w:val="none"/>
        </w:rPr>
        <w:t>¹</w:t>
      </w:r>
      <w:r>
        <w:rPr>
          <w:rFonts w:hint="eastAsia" w:hAnsi="宋体"/>
          <w:color w:val="auto"/>
          <w:sz w:val="24"/>
          <w:szCs w:val="24"/>
          <w:highlight w:val="none"/>
        </w:rPr>
        <w:t>，属于</w:t>
      </w:r>
      <w:r>
        <w:rPr>
          <w:rFonts w:hint="eastAsia" w:hAnsi="宋体"/>
          <w:color w:val="auto"/>
          <w:sz w:val="24"/>
          <w:szCs w:val="24"/>
          <w:highlight w:val="none"/>
          <w:u w:val="single"/>
        </w:rPr>
        <w:t>（中型企业、小型企业、微型企业）</w:t>
      </w:r>
      <w:r>
        <w:rPr>
          <w:rFonts w:hint="eastAsia" w:hAnsi="宋体"/>
          <w:color w:val="auto"/>
          <w:sz w:val="24"/>
          <w:szCs w:val="24"/>
          <w:highlight w:val="none"/>
        </w:rPr>
        <w:t>；</w:t>
      </w:r>
    </w:p>
    <w:p w14:paraId="442B16BF">
      <w:pPr>
        <w:pStyle w:val="22"/>
        <w:spacing w:line="500" w:lineRule="exact"/>
        <w:ind w:firstLine="480" w:firstLineChars="200"/>
        <w:rPr>
          <w:rFonts w:hAnsi="宋体"/>
          <w:color w:val="auto"/>
          <w:sz w:val="24"/>
          <w:szCs w:val="24"/>
          <w:highlight w:val="none"/>
        </w:rPr>
      </w:pPr>
      <w:r>
        <w:rPr>
          <w:rFonts w:hint="eastAsia" w:hAnsi="宋体"/>
          <w:color w:val="auto"/>
          <w:sz w:val="24"/>
          <w:szCs w:val="24"/>
          <w:highlight w:val="none"/>
        </w:rPr>
        <w:t>2、</w:t>
      </w:r>
      <w:r>
        <w:rPr>
          <w:rFonts w:hint="eastAsia" w:hAnsi="宋体"/>
          <w:color w:val="auto"/>
          <w:sz w:val="24"/>
          <w:szCs w:val="24"/>
          <w:highlight w:val="none"/>
          <w:u w:val="single"/>
        </w:rPr>
        <w:t>（标的名称</w:t>
      </w:r>
      <w:r>
        <w:rPr>
          <w:rFonts w:hint="eastAsia" w:hAnsi="宋体"/>
          <w:color w:val="auto"/>
          <w:sz w:val="24"/>
          <w:szCs w:val="24"/>
          <w:highlight w:val="none"/>
        </w:rPr>
        <w:t>），属于</w:t>
      </w:r>
      <w:r>
        <w:rPr>
          <w:rFonts w:hint="eastAsia" w:hAnsi="宋体"/>
          <w:color w:val="auto"/>
          <w:sz w:val="24"/>
          <w:szCs w:val="24"/>
          <w:highlight w:val="none"/>
          <w:u w:val="single"/>
        </w:rPr>
        <w:t>（采购文件中明确的所属行业）行业</w:t>
      </w:r>
      <w:r>
        <w:rPr>
          <w:rFonts w:hint="eastAsia" w:hAnsi="宋体"/>
          <w:color w:val="auto"/>
          <w:sz w:val="24"/>
          <w:szCs w:val="24"/>
          <w:highlight w:val="none"/>
        </w:rPr>
        <w:t>；制造商为</w:t>
      </w:r>
      <w:r>
        <w:rPr>
          <w:rFonts w:hint="eastAsia" w:hAnsi="宋体"/>
          <w:color w:val="auto"/>
          <w:sz w:val="24"/>
          <w:szCs w:val="24"/>
          <w:highlight w:val="none"/>
          <w:u w:val="single"/>
        </w:rPr>
        <w:t>（企业名称）</w:t>
      </w:r>
      <w:r>
        <w:rPr>
          <w:rFonts w:hint="eastAsia" w:hAnsi="宋体"/>
          <w:color w:val="auto"/>
          <w:sz w:val="24"/>
          <w:szCs w:val="24"/>
          <w:highlight w:val="none"/>
        </w:rPr>
        <w:t>，从业人员</w:t>
      </w:r>
      <w:r>
        <w:rPr>
          <w:rFonts w:hint="eastAsia" w:hAnsi="宋体"/>
          <w:color w:val="auto"/>
          <w:sz w:val="24"/>
          <w:szCs w:val="24"/>
          <w:highlight w:val="none"/>
          <w:u w:val="single"/>
        </w:rPr>
        <w:tab/>
      </w:r>
      <w:r>
        <w:rPr>
          <w:rFonts w:hint="eastAsia" w:hAnsi="宋体"/>
          <w:color w:val="auto"/>
          <w:sz w:val="24"/>
          <w:szCs w:val="24"/>
          <w:highlight w:val="none"/>
          <w:u w:val="single"/>
        </w:rPr>
        <w:t xml:space="preserve">     </w:t>
      </w:r>
      <w:r>
        <w:rPr>
          <w:rFonts w:hint="eastAsia" w:hAnsi="宋体"/>
          <w:color w:val="auto"/>
          <w:sz w:val="24"/>
          <w:szCs w:val="24"/>
          <w:highlight w:val="none"/>
        </w:rPr>
        <w:t>人，营业收入为</w:t>
      </w:r>
      <w:r>
        <w:rPr>
          <w:rFonts w:hint="eastAsia" w:hAnsi="宋体"/>
          <w:color w:val="auto"/>
          <w:sz w:val="24"/>
          <w:szCs w:val="24"/>
          <w:highlight w:val="none"/>
          <w:u w:val="single"/>
        </w:rPr>
        <w:tab/>
      </w:r>
      <w:r>
        <w:rPr>
          <w:rFonts w:hint="eastAsia" w:hAnsi="宋体"/>
          <w:color w:val="auto"/>
          <w:sz w:val="24"/>
          <w:szCs w:val="24"/>
          <w:highlight w:val="none"/>
          <w:u w:val="single"/>
        </w:rPr>
        <w:t xml:space="preserve">     </w:t>
      </w:r>
      <w:r>
        <w:rPr>
          <w:rFonts w:hint="eastAsia" w:hAnsi="宋体"/>
          <w:color w:val="auto"/>
          <w:sz w:val="24"/>
          <w:szCs w:val="24"/>
          <w:highlight w:val="none"/>
        </w:rPr>
        <w:t>万元，资产总额为</w:t>
      </w:r>
      <w:r>
        <w:rPr>
          <w:rFonts w:hint="eastAsia" w:hAnsi="宋体"/>
          <w:color w:val="auto"/>
          <w:sz w:val="24"/>
          <w:szCs w:val="24"/>
          <w:highlight w:val="none"/>
          <w:u w:val="single"/>
        </w:rPr>
        <w:t xml:space="preserve">     </w:t>
      </w:r>
      <w:r>
        <w:rPr>
          <w:rFonts w:hint="eastAsia" w:hAnsi="宋体"/>
          <w:color w:val="auto"/>
          <w:sz w:val="24"/>
          <w:szCs w:val="24"/>
          <w:highlight w:val="none"/>
        </w:rPr>
        <w:t>万元，属于（中型企业、小型企业、微型企业）；</w:t>
      </w:r>
    </w:p>
    <w:p w14:paraId="5961F6D0">
      <w:pPr>
        <w:pStyle w:val="22"/>
        <w:spacing w:line="500" w:lineRule="exact"/>
        <w:ind w:firstLine="480" w:firstLineChars="200"/>
        <w:rPr>
          <w:rFonts w:hAnsi="宋体"/>
          <w:color w:val="auto"/>
          <w:sz w:val="24"/>
          <w:szCs w:val="24"/>
          <w:highlight w:val="none"/>
        </w:rPr>
      </w:pPr>
      <w:r>
        <w:rPr>
          <w:rFonts w:hint="eastAsia" w:hAnsi="宋体"/>
          <w:color w:val="auto"/>
          <w:sz w:val="24"/>
          <w:szCs w:val="24"/>
          <w:highlight w:val="none"/>
        </w:rPr>
        <w:t>……</w:t>
      </w:r>
    </w:p>
    <w:p w14:paraId="1CF4979D">
      <w:pPr>
        <w:pStyle w:val="22"/>
        <w:spacing w:line="500" w:lineRule="exact"/>
        <w:ind w:firstLine="480" w:firstLineChars="200"/>
        <w:rPr>
          <w:rFonts w:hAnsi="宋体"/>
          <w:color w:val="auto"/>
          <w:sz w:val="24"/>
          <w:szCs w:val="24"/>
          <w:highlight w:val="none"/>
        </w:rPr>
      </w:pPr>
      <w:r>
        <w:rPr>
          <w:rFonts w:hint="eastAsia" w:hAnsi="宋体"/>
          <w:color w:val="auto"/>
          <w:sz w:val="24"/>
          <w:szCs w:val="24"/>
          <w:highlight w:val="none"/>
        </w:rPr>
        <w:t>以上企业，不属于大企业的分支机构，不存在控股股东为大企业的情形，也不存在与大企业的负责人为同一人的情形。</w:t>
      </w:r>
    </w:p>
    <w:p w14:paraId="2B00BB6D">
      <w:pPr>
        <w:pStyle w:val="22"/>
        <w:spacing w:line="500" w:lineRule="exact"/>
        <w:ind w:firstLine="480" w:firstLineChars="200"/>
        <w:rPr>
          <w:rFonts w:hAnsi="宋体"/>
          <w:color w:val="auto"/>
          <w:sz w:val="24"/>
          <w:szCs w:val="24"/>
          <w:highlight w:val="none"/>
        </w:rPr>
      </w:pPr>
      <w:r>
        <w:rPr>
          <w:rFonts w:hint="eastAsia" w:hAnsi="宋体"/>
          <w:color w:val="auto"/>
          <w:sz w:val="24"/>
          <w:szCs w:val="24"/>
          <w:highlight w:val="none"/>
        </w:rPr>
        <w:t>本企业对上述声明内容的真实性负责。如有虚假，将依法承担相应责任。</w:t>
      </w:r>
    </w:p>
    <w:p w14:paraId="782FBA99">
      <w:pPr>
        <w:pStyle w:val="22"/>
        <w:spacing w:line="500" w:lineRule="exact"/>
        <w:rPr>
          <w:rFonts w:hAnsi="宋体"/>
          <w:color w:val="auto"/>
          <w:sz w:val="24"/>
          <w:szCs w:val="24"/>
          <w:highlight w:val="none"/>
        </w:rPr>
      </w:pPr>
    </w:p>
    <w:p w14:paraId="24348FD0">
      <w:pPr>
        <w:pStyle w:val="22"/>
        <w:spacing w:line="500" w:lineRule="exact"/>
        <w:ind w:firstLine="5520" w:firstLineChars="2300"/>
        <w:rPr>
          <w:rFonts w:hAnsi="宋体"/>
          <w:color w:val="auto"/>
          <w:sz w:val="24"/>
          <w:szCs w:val="24"/>
          <w:highlight w:val="none"/>
        </w:rPr>
      </w:pPr>
      <w:r>
        <w:rPr>
          <w:rFonts w:hint="eastAsia" w:hAnsi="宋体"/>
          <w:color w:val="auto"/>
          <w:sz w:val="24"/>
          <w:szCs w:val="24"/>
          <w:highlight w:val="none"/>
        </w:rPr>
        <w:t>企业名称（盖章）：</w:t>
      </w:r>
      <w:r>
        <w:rPr>
          <w:rFonts w:hint="eastAsia" w:asciiTheme="minorEastAsia" w:hAnsiTheme="minorEastAsia" w:eastAsiaTheme="minorEastAsia"/>
          <w:color w:val="auto"/>
          <w:sz w:val="24"/>
          <w:highlight w:val="none"/>
          <w:u w:val="single"/>
        </w:rPr>
        <w:t xml:space="preserve">         </w:t>
      </w:r>
    </w:p>
    <w:p w14:paraId="75B4964F">
      <w:pPr>
        <w:pStyle w:val="22"/>
        <w:spacing w:line="500" w:lineRule="exact"/>
        <w:ind w:firstLine="5640" w:firstLineChars="2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525E774A">
      <w:pPr>
        <w:pStyle w:val="16"/>
        <w:jc w:val="both"/>
        <w:rPr>
          <w:color w:val="auto"/>
          <w:highlight w:val="none"/>
        </w:rPr>
      </w:pPr>
    </w:p>
    <w:p w14:paraId="2377C406">
      <w:pPr>
        <w:pStyle w:val="16"/>
        <w:jc w:val="both"/>
        <w:rPr>
          <w:rFonts w:ascii="宋体" w:hAnsi="宋体" w:cs="宋体"/>
          <w:bCs/>
          <w:color w:val="auto"/>
          <w:highlight w:val="none"/>
        </w:rPr>
      </w:pPr>
      <w:r>
        <w:rPr>
          <w:rFonts w:hint="eastAsia" w:hAnsi="宋体" w:cs="宋体"/>
          <w:color w:val="auto"/>
          <w:sz w:val="24"/>
          <w:highlight w:val="none"/>
        </w:rPr>
        <w:t>¹</w:t>
      </w:r>
      <w:r>
        <w:rPr>
          <w:rFonts w:hint="eastAsia" w:ascii="宋体"/>
          <w:bCs/>
          <w:color w:val="auto"/>
          <w:sz w:val="18"/>
          <w:highlight w:val="none"/>
        </w:rPr>
        <w:t>从业人员、营业收入、资产总额填报上一年度数据，无上一年度数据的新成立企业可不填报。</w:t>
      </w:r>
    </w:p>
    <w:p w14:paraId="43113E04">
      <w:pPr>
        <w:pStyle w:val="22"/>
        <w:spacing w:line="440" w:lineRule="exact"/>
        <w:rPr>
          <w:rFonts w:asciiTheme="minorEastAsia" w:hAnsiTheme="minorEastAsia" w:eastAsiaTheme="minorEastAsia"/>
          <w:b/>
          <w:color w:val="auto"/>
          <w:szCs w:val="21"/>
          <w:highlight w:val="none"/>
        </w:rPr>
      </w:pPr>
    </w:p>
    <w:p w14:paraId="36A8DFED">
      <w:pPr>
        <w:pStyle w:val="22"/>
        <w:spacing w:line="500" w:lineRule="exact"/>
        <w:ind w:firstLine="422" w:firstLineChars="200"/>
        <w:rPr>
          <w:rFonts w:hAnsi="宋体"/>
          <w:b/>
          <w:bCs/>
          <w:color w:val="auto"/>
          <w:szCs w:val="21"/>
          <w:highlight w:val="none"/>
        </w:rPr>
      </w:pPr>
      <w:r>
        <w:rPr>
          <w:rFonts w:hint="eastAsia" w:hAnsi="宋体"/>
          <w:b/>
          <w:bCs/>
          <w:color w:val="auto"/>
          <w:szCs w:val="21"/>
          <w:highlight w:val="none"/>
        </w:rPr>
        <w:t>注：1、享受《政府采购促进中小企业发展管理办法》（财库〔2020〕46号）规定的中小企业扶持政策的，采购人、采购代理机构应当随成交结果公开成交供应商的《中小企业声明函》。</w:t>
      </w:r>
    </w:p>
    <w:p w14:paraId="73FE4FAB">
      <w:pPr>
        <w:pStyle w:val="22"/>
        <w:spacing w:line="500" w:lineRule="exact"/>
        <w:ind w:firstLine="422" w:firstLineChars="200"/>
        <w:rPr>
          <w:rFonts w:hAnsi="宋体"/>
          <w:b/>
          <w:bCs/>
          <w:color w:val="auto"/>
          <w:szCs w:val="21"/>
          <w:highlight w:val="none"/>
        </w:rPr>
      </w:pPr>
      <w:r>
        <w:rPr>
          <w:rFonts w:hint="eastAsia" w:hAnsi="宋体"/>
          <w:b/>
          <w:bCs/>
          <w:color w:val="auto"/>
          <w:szCs w:val="21"/>
          <w:highlight w:val="none"/>
        </w:rPr>
        <w:t>2、供应商针对本次采购货物内容，根据以上《中小企业声明函（货物）》填写完整相关信息。</w:t>
      </w:r>
    </w:p>
    <w:p w14:paraId="5587B5A8">
      <w:pPr>
        <w:adjustRightInd/>
        <w:snapToGrid/>
        <w:spacing w:line="220" w:lineRule="atLeast"/>
        <w:rPr>
          <w:rFonts w:asciiTheme="minorEastAsia" w:hAnsiTheme="minorEastAsia" w:eastAsiaTheme="minorEastAsia"/>
          <w:b/>
          <w:color w:val="auto"/>
          <w:kern w:val="2"/>
          <w:sz w:val="21"/>
          <w:szCs w:val="21"/>
          <w:highlight w:val="none"/>
        </w:rPr>
      </w:pPr>
      <w:r>
        <w:rPr>
          <w:rFonts w:asciiTheme="minorEastAsia" w:hAnsiTheme="minorEastAsia" w:eastAsiaTheme="minorEastAsia"/>
          <w:b/>
          <w:color w:val="auto"/>
          <w:szCs w:val="21"/>
          <w:highlight w:val="none"/>
        </w:rPr>
        <w:br w:type="page"/>
      </w:r>
    </w:p>
    <w:p w14:paraId="19CFD6F7">
      <w:pPr>
        <w:rPr>
          <w:rFonts w:cs="仿宋"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24"/>
          <w:szCs w:val="24"/>
          <w:highlight w:val="none"/>
        </w:rPr>
        <w:t>附件十二：</w:t>
      </w:r>
    </w:p>
    <w:p w14:paraId="646CEB48">
      <w:pPr>
        <w:jc w:val="center"/>
        <w:rPr>
          <w:rFonts w:cs="仿宋" w:asciiTheme="minorEastAsia" w:hAnsiTheme="minorEastAsia" w:eastAsiaTheme="minorEastAsia"/>
          <w:b/>
          <w:color w:val="auto"/>
          <w:sz w:val="32"/>
          <w:szCs w:val="32"/>
          <w:highlight w:val="none"/>
        </w:rPr>
      </w:pPr>
    </w:p>
    <w:p w14:paraId="53FADD66">
      <w:pPr>
        <w:spacing w:line="300" w:lineRule="auto"/>
        <w:jc w:val="center"/>
        <w:rPr>
          <w:rFonts w:asciiTheme="minorEastAsia" w:hAnsiTheme="minorEastAsia" w:eastAsiaTheme="minorEastAsia"/>
          <w:b/>
          <w:color w:val="auto"/>
          <w:sz w:val="32"/>
          <w:szCs w:val="32"/>
          <w:highlight w:val="none"/>
        </w:rPr>
      </w:pPr>
      <w:bookmarkStart w:id="99" w:name="OLE_LINK14"/>
      <w:bookmarkStart w:id="100" w:name="OLE_LINK13"/>
      <w:r>
        <w:rPr>
          <w:rFonts w:hint="eastAsia" w:asciiTheme="minorEastAsia" w:hAnsiTheme="minorEastAsia" w:eastAsiaTheme="minorEastAsia"/>
          <w:b/>
          <w:color w:val="auto"/>
          <w:sz w:val="32"/>
          <w:szCs w:val="32"/>
          <w:highlight w:val="none"/>
        </w:rPr>
        <w:t>残疾人福利性单位声明函</w:t>
      </w:r>
    </w:p>
    <w:bookmarkEnd w:id="99"/>
    <w:bookmarkEnd w:id="100"/>
    <w:p w14:paraId="324AE9D7">
      <w:pPr>
        <w:spacing w:line="588" w:lineRule="exact"/>
        <w:ind w:firstLine="504" w:firstLineChars="200"/>
        <w:rPr>
          <w:rFonts w:cs="仿宋" w:asciiTheme="minorEastAsia" w:hAnsiTheme="minorEastAsia" w:eastAsiaTheme="minorEastAsia"/>
          <w:color w:val="auto"/>
          <w:spacing w:val="6"/>
          <w:sz w:val="24"/>
          <w:szCs w:val="24"/>
          <w:highlight w:val="none"/>
        </w:rPr>
      </w:pPr>
      <w:r>
        <w:rPr>
          <w:rFonts w:hint="eastAsia" w:cs="仿宋" w:asciiTheme="minorEastAsia" w:hAnsiTheme="minorEastAsia" w:eastAsiaTheme="minorEastAsia"/>
          <w:color w:val="auto"/>
          <w:spacing w:val="6"/>
          <w:sz w:val="24"/>
          <w:szCs w:val="24"/>
          <w:highlight w:val="none"/>
        </w:rPr>
        <w:t>本单位郑重声明，根据《财政部、民政部、中国残疾人联合会关于促进残疾人就业政府采购政策的通知》（财库</w:t>
      </w:r>
      <w:r>
        <w:rPr>
          <w:rFonts w:hint="eastAsia" w:cs="仿宋" w:asciiTheme="minorEastAsia" w:hAnsiTheme="minorEastAsia" w:eastAsiaTheme="minorEastAsia"/>
          <w:color w:val="auto"/>
          <w:sz w:val="24"/>
          <w:szCs w:val="24"/>
          <w:highlight w:val="none"/>
        </w:rPr>
        <w:t>〔2017〕 141</w:t>
      </w:r>
      <w:r>
        <w:rPr>
          <w:rFonts w:hint="eastAsia" w:cs="仿宋" w:asciiTheme="minorEastAsia" w:hAnsiTheme="minorEastAsia" w:eastAsiaTheme="minorEastAsia"/>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51BBD9E">
      <w:pPr>
        <w:spacing w:line="588" w:lineRule="exact"/>
        <w:ind w:firstLine="504" w:firstLineChars="200"/>
        <w:rPr>
          <w:rFonts w:cs="仿宋" w:asciiTheme="minorEastAsia" w:hAnsiTheme="minorEastAsia" w:eastAsiaTheme="minorEastAsia"/>
          <w:color w:val="auto"/>
          <w:spacing w:val="6"/>
          <w:sz w:val="24"/>
          <w:szCs w:val="24"/>
          <w:highlight w:val="none"/>
        </w:rPr>
      </w:pPr>
      <w:r>
        <w:rPr>
          <w:rFonts w:hint="eastAsia" w:cs="仿宋" w:asciiTheme="minorEastAsia" w:hAnsiTheme="minorEastAsia" w:eastAsiaTheme="minorEastAsia"/>
          <w:color w:val="auto"/>
          <w:spacing w:val="6"/>
          <w:sz w:val="24"/>
          <w:szCs w:val="24"/>
          <w:highlight w:val="none"/>
        </w:rPr>
        <w:t>本单位对上述声明的真实性负责。如有虚假，将依法承担相应责任。</w:t>
      </w:r>
    </w:p>
    <w:p w14:paraId="30A6406A">
      <w:pPr>
        <w:spacing w:line="588" w:lineRule="exact"/>
        <w:ind w:firstLine="504" w:firstLineChars="200"/>
        <w:rPr>
          <w:rFonts w:cs="仿宋" w:asciiTheme="minorEastAsia" w:hAnsiTheme="minorEastAsia" w:eastAsiaTheme="minorEastAsia"/>
          <w:color w:val="auto"/>
          <w:spacing w:val="6"/>
          <w:sz w:val="24"/>
          <w:szCs w:val="24"/>
          <w:highlight w:val="none"/>
        </w:rPr>
      </w:pPr>
    </w:p>
    <w:p w14:paraId="2837348F">
      <w:pPr>
        <w:spacing w:line="588" w:lineRule="exact"/>
        <w:ind w:firstLine="504" w:firstLineChars="200"/>
        <w:rPr>
          <w:rFonts w:cs="仿宋" w:asciiTheme="minorEastAsia" w:hAnsiTheme="minorEastAsia" w:eastAsiaTheme="minorEastAsia"/>
          <w:color w:val="auto"/>
          <w:spacing w:val="6"/>
          <w:sz w:val="24"/>
          <w:szCs w:val="24"/>
          <w:highlight w:val="none"/>
        </w:rPr>
      </w:pPr>
    </w:p>
    <w:p w14:paraId="3517E9B3">
      <w:pPr>
        <w:tabs>
          <w:tab w:val="left" w:pos="4860"/>
        </w:tabs>
        <w:spacing w:line="588" w:lineRule="exact"/>
        <w:ind w:right="1560" w:firstLine="504" w:firstLineChars="200"/>
        <w:jc w:val="center"/>
        <w:rPr>
          <w:rFonts w:cs="仿宋" w:asciiTheme="minorEastAsia" w:hAnsiTheme="minorEastAsia" w:eastAsiaTheme="minorEastAsia"/>
          <w:color w:val="auto"/>
          <w:spacing w:val="6"/>
          <w:sz w:val="24"/>
          <w:szCs w:val="24"/>
          <w:highlight w:val="none"/>
        </w:rPr>
      </w:pPr>
      <w:r>
        <w:rPr>
          <w:rFonts w:hint="eastAsia" w:cs="仿宋" w:asciiTheme="minorEastAsia" w:hAnsiTheme="minorEastAsia" w:eastAsiaTheme="minorEastAsia"/>
          <w:color w:val="auto"/>
          <w:spacing w:val="6"/>
          <w:sz w:val="24"/>
          <w:szCs w:val="24"/>
          <w:highlight w:val="none"/>
        </w:rPr>
        <w:t xml:space="preserve">                        单位名称（盖章）：</w:t>
      </w:r>
      <w:r>
        <w:rPr>
          <w:rFonts w:hint="eastAsia" w:asciiTheme="minorEastAsia" w:hAnsiTheme="minorEastAsia" w:eastAsiaTheme="minorEastAsia"/>
          <w:color w:val="auto"/>
          <w:sz w:val="24"/>
          <w:highlight w:val="none"/>
          <w:u w:val="single"/>
        </w:rPr>
        <w:t xml:space="preserve">         </w:t>
      </w:r>
    </w:p>
    <w:p w14:paraId="09193B03">
      <w:pPr>
        <w:pStyle w:val="22"/>
        <w:spacing w:line="500" w:lineRule="exact"/>
        <w:ind w:firstLine="4800" w:firstLineChars="20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  年  月  日</w:t>
      </w:r>
    </w:p>
    <w:p w14:paraId="2A658C39">
      <w:pPr>
        <w:tabs>
          <w:tab w:val="left" w:pos="4860"/>
        </w:tabs>
        <w:spacing w:line="588" w:lineRule="exact"/>
        <w:ind w:right="1560" w:firstLine="504" w:firstLineChars="200"/>
        <w:jc w:val="center"/>
        <w:rPr>
          <w:rFonts w:cs="仿宋" w:asciiTheme="minorEastAsia" w:hAnsiTheme="minorEastAsia" w:eastAsiaTheme="minorEastAsia"/>
          <w:color w:val="auto"/>
          <w:spacing w:val="6"/>
          <w:sz w:val="24"/>
          <w:szCs w:val="24"/>
          <w:highlight w:val="none"/>
        </w:rPr>
      </w:pPr>
    </w:p>
    <w:p w14:paraId="4928C7BE">
      <w:pPr>
        <w:spacing w:after="0" w:line="360" w:lineRule="exact"/>
        <w:ind w:firstLine="446" w:firstLineChars="200"/>
        <w:rPr>
          <w:rFonts w:asciiTheme="minorEastAsia" w:hAnsiTheme="minorEastAsia" w:eastAsiaTheme="minorEastAsia"/>
          <w:b/>
          <w:color w:val="auto"/>
          <w:spacing w:val="6"/>
          <w:sz w:val="21"/>
          <w:szCs w:val="21"/>
          <w:highlight w:val="none"/>
        </w:rPr>
      </w:pPr>
      <w:r>
        <w:rPr>
          <w:rFonts w:hint="eastAsia" w:asciiTheme="minorEastAsia" w:hAnsiTheme="minorEastAsia" w:eastAsiaTheme="minorEastAsia"/>
          <w:b/>
          <w:color w:val="auto"/>
          <w:spacing w:val="6"/>
          <w:sz w:val="21"/>
          <w:szCs w:val="21"/>
          <w:highlight w:val="none"/>
        </w:rPr>
        <w:t>注：1、</w:t>
      </w:r>
      <w:r>
        <w:rPr>
          <w:rFonts w:hint="eastAsia" w:asciiTheme="minorEastAsia" w:hAnsiTheme="minorEastAsia" w:eastAsiaTheme="minorEastAsia"/>
          <w:b/>
          <w:color w:val="auto"/>
          <w:spacing w:val="6"/>
          <w:sz w:val="21"/>
          <w:szCs w:val="21"/>
          <w:highlight w:val="none"/>
          <w:u w:val="single"/>
        </w:rPr>
        <w:t>成交供应商为残疾人福利性单位的，成交结果将同时公告其《残疾人福利性单位声明函》，接受社会监督</w:t>
      </w:r>
      <w:r>
        <w:rPr>
          <w:rFonts w:hint="eastAsia" w:asciiTheme="minorEastAsia" w:hAnsiTheme="minorEastAsia" w:eastAsiaTheme="minorEastAsia"/>
          <w:b/>
          <w:color w:val="auto"/>
          <w:spacing w:val="6"/>
          <w:sz w:val="21"/>
          <w:szCs w:val="21"/>
          <w:highlight w:val="none"/>
        </w:rPr>
        <w:t>。</w:t>
      </w:r>
    </w:p>
    <w:p w14:paraId="64D1C5A3">
      <w:pPr>
        <w:spacing w:after="0" w:line="360" w:lineRule="exact"/>
        <w:ind w:firstLine="446" w:firstLineChars="200"/>
        <w:rPr>
          <w:rFonts w:asciiTheme="minorEastAsia" w:hAnsiTheme="minorEastAsia" w:eastAsiaTheme="minorEastAsia"/>
          <w:b/>
          <w:color w:val="auto"/>
          <w:spacing w:val="6"/>
          <w:sz w:val="21"/>
          <w:szCs w:val="21"/>
          <w:highlight w:val="none"/>
        </w:rPr>
      </w:pPr>
      <w:r>
        <w:rPr>
          <w:rFonts w:hint="eastAsia" w:asciiTheme="minorEastAsia" w:hAnsiTheme="minorEastAsia" w:eastAsiaTheme="minorEastAsia"/>
          <w:b/>
          <w:color w:val="auto"/>
          <w:spacing w:val="6"/>
          <w:sz w:val="21"/>
          <w:szCs w:val="21"/>
          <w:highlight w:val="none"/>
        </w:rPr>
        <w:t>2、</w:t>
      </w:r>
      <w:r>
        <w:rPr>
          <w:rFonts w:hint="eastAsia" w:asciiTheme="minorEastAsia" w:hAnsiTheme="minorEastAsia" w:eastAsiaTheme="minorEastAsia"/>
          <w:b/>
          <w:color w:val="auto"/>
          <w:spacing w:val="6"/>
          <w:sz w:val="21"/>
          <w:szCs w:val="21"/>
          <w:highlight w:val="none"/>
          <w:u w:val="single"/>
        </w:rPr>
        <w:t>供应商提供的《残疾人福利性单位声明函》与事实不符的，依照《政府采购法》第七十七条第一款的规定追究法律责任</w:t>
      </w:r>
      <w:r>
        <w:rPr>
          <w:rFonts w:hint="eastAsia" w:asciiTheme="minorEastAsia" w:hAnsiTheme="minorEastAsia" w:eastAsiaTheme="minorEastAsia"/>
          <w:b/>
          <w:color w:val="auto"/>
          <w:spacing w:val="6"/>
          <w:sz w:val="21"/>
          <w:szCs w:val="21"/>
          <w:highlight w:val="none"/>
        </w:rPr>
        <w:t>。</w:t>
      </w:r>
    </w:p>
    <w:sectPr>
      <w:pgSz w:w="11907" w:h="16840"/>
      <w:pgMar w:top="1077" w:right="1275" w:bottom="1418" w:left="1077" w:header="62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60D25">
    <w:pPr>
      <w:pStyle w:val="27"/>
      <w:ind w:right="45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E088">
    <w:pPr>
      <w:pStyle w:val="27"/>
      <w:framePr w:wrap="around" w:vAnchor="text" w:hAnchor="margin" w:xAlign="center" w:y="1"/>
      <w:rPr>
        <w:rStyle w:val="42"/>
      </w:rPr>
    </w:pPr>
    <w:r>
      <w:fldChar w:fldCharType="begin"/>
    </w:r>
    <w:r>
      <w:rPr>
        <w:rStyle w:val="42"/>
      </w:rPr>
      <w:instrText xml:space="preserve">PAGE  </w:instrText>
    </w:r>
    <w:r>
      <w:fldChar w:fldCharType="separate"/>
    </w:r>
    <w:r>
      <w:rPr>
        <w:rStyle w:val="42"/>
      </w:rPr>
      <w:t>50</w:t>
    </w:r>
    <w:r>
      <w:fldChar w:fldCharType="end"/>
    </w:r>
  </w:p>
  <w:p w14:paraId="12EFAFAA">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AD6D4">
    <w:pPr>
      <w:pStyle w:val="27"/>
      <w:jc w:val="right"/>
    </w:pPr>
    <w:r>
      <w:rPr>
        <w:rFonts w:hint="eastAsia"/>
      </w:rPr>
      <w:t>广西</w:t>
    </w:r>
    <w:r>
      <w:rPr>
        <w:rFonts w:hint="eastAsia"/>
        <w:lang w:eastAsia="zh-CN"/>
      </w:rPr>
      <w:t>桂水</w:t>
    </w:r>
    <w:r>
      <w:rPr>
        <w:rFonts w:hint="eastAsia"/>
      </w:rPr>
      <w:t>工程咨询有限公司编制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650E">
    <w:pPr>
      <w:pStyle w:val="27"/>
      <w:framePr w:wrap="around" w:vAnchor="text" w:hAnchor="margin" w:xAlign="center" w:y="1"/>
      <w:rPr>
        <w:rStyle w:val="42"/>
      </w:rPr>
    </w:pPr>
    <w:r>
      <w:fldChar w:fldCharType="begin"/>
    </w:r>
    <w:r>
      <w:rPr>
        <w:rStyle w:val="42"/>
      </w:rPr>
      <w:instrText xml:space="preserve">PAGE  </w:instrText>
    </w:r>
    <w:r>
      <w:fldChar w:fldCharType="separate"/>
    </w:r>
    <w:r>
      <w:rPr>
        <w:rStyle w:val="42"/>
      </w:rPr>
      <w:t>36</w:t>
    </w:r>
    <w:r>
      <w:fldChar w:fldCharType="end"/>
    </w:r>
  </w:p>
  <w:p w14:paraId="0D1D8F3F">
    <w:pPr>
      <w:pStyle w:val="27"/>
      <w:rPr>
        <w:u w:val="singl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B0557">
    <w:pPr>
      <w:pStyle w:val="27"/>
      <w:framePr w:wrap="around" w:vAnchor="text" w:hAnchor="margin" w:xAlign="center" w:y="1"/>
      <w:rPr>
        <w:rStyle w:val="42"/>
      </w:rPr>
    </w:pPr>
    <w:r>
      <w:fldChar w:fldCharType="begin"/>
    </w:r>
    <w:r>
      <w:rPr>
        <w:rStyle w:val="42"/>
      </w:rPr>
      <w:instrText xml:space="preserve">PAGE  </w:instrText>
    </w:r>
    <w:r>
      <w:fldChar w:fldCharType="separate"/>
    </w:r>
    <w:r>
      <w:rPr>
        <w:rStyle w:val="42"/>
      </w:rPr>
      <w:t>50</w:t>
    </w:r>
    <w:r>
      <w:fldChar w:fldCharType="end"/>
    </w:r>
  </w:p>
  <w:p w14:paraId="4206BFEF">
    <w:pPr>
      <w:pStyle w:val="2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759B">
    <w:pPr>
      <w:pStyle w:val="28"/>
      <w:pBdr>
        <w:bottom w:val="double" w:color="auto" w:sz="4" w:space="1"/>
      </w:pBdr>
      <w:rPr>
        <w:rFonts w:hint="eastAsia" w:ascii="宋体" w:hAnsi="宋体" w:eastAsia="宋体" w:cs="宋体"/>
        <w:color w:val="FF0000"/>
        <w:lang w:eastAsia="zh-CN"/>
      </w:rPr>
    </w:pPr>
    <w:r>
      <w:rPr>
        <w:rFonts w:hint="eastAsia" w:ascii="宋体" w:hAnsi="宋体" w:eastAsia="宋体" w:cs="宋体"/>
        <w:color w:val="000000" w:themeColor="text1"/>
        <w14:textFill>
          <w14:solidFill>
            <w14:schemeClr w14:val="tx1"/>
          </w14:solidFill>
        </w14:textFill>
      </w:rPr>
      <w:t>项目名称：</w:t>
    </w:r>
    <w:r>
      <w:rPr>
        <w:rFonts w:hint="eastAsia" w:ascii="宋体" w:hAnsi="宋体" w:eastAsia="宋体" w:cs="宋体"/>
        <w:color w:val="000000" w:themeColor="text1"/>
        <w:lang w:eastAsia="zh-CN"/>
        <w14:textFill>
          <w14:solidFill>
            <w14:schemeClr w14:val="tx1"/>
          </w14:solidFill>
        </w14:textFill>
      </w:rPr>
      <w:t>集成电路器件工艺基础实训室项目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AF1D6">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D0EEE">
    <w:pPr>
      <w:pStyle w:val="28"/>
    </w:pPr>
    <w:r>
      <w:rPr>
        <w:rFonts w:hint="eastAsia" w:ascii="宋体" w:hAnsi="宋体"/>
        <w:color w:val="000000"/>
        <w:szCs w:val="21"/>
      </w:rPr>
      <w:t>田东县平马镇东区小学项目地质勘察服务</w:t>
    </w:r>
    <w:r>
      <w:rPr>
        <w:rFonts w:hint="eastAsia" w:ascii="宋体" w:hAnsi="宋体"/>
      </w:rPr>
      <w:t>BSZC2020-J3-230481-GXGS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6F5D8">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2A462"/>
    <w:multiLevelType w:val="singleLevel"/>
    <w:tmpl w:val="AE22A462"/>
    <w:lvl w:ilvl="0" w:tentative="0">
      <w:start w:val="1"/>
      <w:numFmt w:val="decimal"/>
      <w:suff w:val="nothing"/>
      <w:lvlText w:val="（%1）"/>
      <w:lvlJc w:val="left"/>
    </w:lvl>
  </w:abstractNum>
  <w:abstractNum w:abstractNumId="1">
    <w:nsid w:val="AE5EBCC7"/>
    <w:multiLevelType w:val="singleLevel"/>
    <w:tmpl w:val="AE5EBCC7"/>
    <w:lvl w:ilvl="0" w:tentative="0">
      <w:start w:val="1"/>
      <w:numFmt w:val="decimal"/>
      <w:suff w:val="nothing"/>
      <w:lvlText w:val="（%1）"/>
      <w:lvlJc w:val="left"/>
    </w:lvl>
  </w:abstractNum>
  <w:abstractNum w:abstractNumId="2">
    <w:nsid w:val="CC0F8CD8"/>
    <w:multiLevelType w:val="singleLevel"/>
    <w:tmpl w:val="CC0F8CD8"/>
    <w:lvl w:ilvl="0" w:tentative="0">
      <w:start w:val="2"/>
      <w:numFmt w:val="decimal"/>
      <w:suff w:val="nothing"/>
      <w:lvlText w:val="%1、"/>
      <w:lvlJc w:val="left"/>
    </w:lvl>
  </w:abstractNum>
  <w:abstractNum w:abstractNumId="3">
    <w:nsid w:val="D02776BD"/>
    <w:multiLevelType w:val="singleLevel"/>
    <w:tmpl w:val="D02776BD"/>
    <w:lvl w:ilvl="0" w:tentative="0">
      <w:start w:val="1"/>
      <w:numFmt w:val="decimal"/>
      <w:suff w:val="nothing"/>
      <w:lvlText w:val="（%1）"/>
      <w:lvlJc w:val="left"/>
    </w:lvl>
  </w:abstractNum>
  <w:abstractNum w:abstractNumId="4">
    <w:nsid w:val="E6C06D5E"/>
    <w:multiLevelType w:val="singleLevel"/>
    <w:tmpl w:val="E6C06D5E"/>
    <w:lvl w:ilvl="0" w:tentative="0">
      <w:start w:val="1"/>
      <w:numFmt w:val="decimal"/>
      <w:suff w:val="nothing"/>
      <w:lvlText w:val="（%1）"/>
      <w:lvlJc w:val="left"/>
    </w:lvl>
  </w:abstractNum>
  <w:abstractNum w:abstractNumId="5">
    <w:nsid w:val="039EDE54"/>
    <w:multiLevelType w:val="singleLevel"/>
    <w:tmpl w:val="039EDE54"/>
    <w:lvl w:ilvl="0" w:tentative="0">
      <w:start w:val="1"/>
      <w:numFmt w:val="decimal"/>
      <w:suff w:val="nothing"/>
      <w:lvlText w:val="（%1）"/>
      <w:lvlJc w:val="left"/>
    </w:lvl>
  </w:abstractNum>
  <w:abstractNum w:abstractNumId="6">
    <w:nsid w:val="276D7464"/>
    <w:multiLevelType w:val="singleLevel"/>
    <w:tmpl w:val="276D7464"/>
    <w:lvl w:ilvl="0" w:tentative="0">
      <w:start w:val="1"/>
      <w:numFmt w:val="decimal"/>
      <w:suff w:val="nothing"/>
      <w:lvlText w:val="（%1）"/>
      <w:lvlJc w:val="left"/>
    </w:lvl>
  </w:abstractNum>
  <w:abstractNum w:abstractNumId="7">
    <w:nsid w:val="2E2616CC"/>
    <w:multiLevelType w:val="multilevel"/>
    <w:tmpl w:val="2E2616CC"/>
    <w:lvl w:ilvl="0" w:tentative="0">
      <w:start w:val="1"/>
      <w:numFmt w:val="decimal"/>
      <w:lvlText w:val="（%1）"/>
      <w:lvlJc w:val="left"/>
      <w:pPr>
        <w:tabs>
          <w:tab w:val="left" w:pos="1140"/>
        </w:tabs>
        <w:ind w:left="1140" w:hanging="720"/>
      </w:pPr>
      <w:rPr>
        <w:rFonts w:hint="default"/>
        <w:color w:val="auto"/>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4CBF751F"/>
    <w:multiLevelType w:val="multilevel"/>
    <w:tmpl w:val="4CBF751F"/>
    <w:lvl w:ilvl="0" w:tentative="0">
      <w:start w:val="1"/>
      <w:numFmt w:val="decimal"/>
      <w:lvlText w:val="%1."/>
      <w:lvlJc w:val="left"/>
      <w:pPr>
        <w:ind w:left="420" w:hanging="420"/>
      </w:pPr>
      <w:rPr>
        <w:rFonts w:hint="eastAsia" w:eastAsia="仿宋_GB2312" w:cs="Times New Roman"/>
        <w:color w:val="auto"/>
        <w:sz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0"/>
  <w:noPunctuationKerning w:val="1"/>
  <w:characterSpacingControl w:val="compressPunctuation"/>
  <w:footnotePr>
    <w:footnote w:id="0"/>
    <w:footnote w:id="1"/>
  </w:footnotePr>
  <w:compat>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OTRiYThmM2NjNDJjZmIwNmJkODlhOGNlNGE4ZGYifQ=="/>
  </w:docVars>
  <w:rsids>
    <w:rsidRoot w:val="00D31D50"/>
    <w:rsid w:val="0000442D"/>
    <w:rsid w:val="00006497"/>
    <w:rsid w:val="00011BD1"/>
    <w:rsid w:val="00012F29"/>
    <w:rsid w:val="00014CFD"/>
    <w:rsid w:val="00016DB0"/>
    <w:rsid w:val="00025E43"/>
    <w:rsid w:val="00027B3D"/>
    <w:rsid w:val="0003115D"/>
    <w:rsid w:val="00047131"/>
    <w:rsid w:val="000476A1"/>
    <w:rsid w:val="00052612"/>
    <w:rsid w:val="0006381C"/>
    <w:rsid w:val="00063996"/>
    <w:rsid w:val="000661B9"/>
    <w:rsid w:val="00072B09"/>
    <w:rsid w:val="00072E71"/>
    <w:rsid w:val="0008266B"/>
    <w:rsid w:val="00084BC7"/>
    <w:rsid w:val="0009116B"/>
    <w:rsid w:val="000A695C"/>
    <w:rsid w:val="000C7966"/>
    <w:rsid w:val="000D6913"/>
    <w:rsid w:val="000D6DB4"/>
    <w:rsid w:val="000E5870"/>
    <w:rsid w:val="000E6841"/>
    <w:rsid w:val="000E743C"/>
    <w:rsid w:val="000F5F5B"/>
    <w:rsid w:val="001025F2"/>
    <w:rsid w:val="0010330F"/>
    <w:rsid w:val="00116902"/>
    <w:rsid w:val="00120BD6"/>
    <w:rsid w:val="00126F6E"/>
    <w:rsid w:val="00127D2F"/>
    <w:rsid w:val="001374B9"/>
    <w:rsid w:val="001400BE"/>
    <w:rsid w:val="001437AA"/>
    <w:rsid w:val="00146E0F"/>
    <w:rsid w:val="001553CE"/>
    <w:rsid w:val="00157D15"/>
    <w:rsid w:val="00161DA4"/>
    <w:rsid w:val="001621C3"/>
    <w:rsid w:val="001629DF"/>
    <w:rsid w:val="00163CFE"/>
    <w:rsid w:val="001666AB"/>
    <w:rsid w:val="00180C61"/>
    <w:rsid w:val="00184126"/>
    <w:rsid w:val="0018473E"/>
    <w:rsid w:val="00187171"/>
    <w:rsid w:val="00187741"/>
    <w:rsid w:val="00191ABE"/>
    <w:rsid w:val="001B3834"/>
    <w:rsid w:val="001B4468"/>
    <w:rsid w:val="001B7744"/>
    <w:rsid w:val="001D01E1"/>
    <w:rsid w:val="001D5599"/>
    <w:rsid w:val="001D73C6"/>
    <w:rsid w:val="001E2141"/>
    <w:rsid w:val="001E6B61"/>
    <w:rsid w:val="001F2213"/>
    <w:rsid w:val="001F3F2E"/>
    <w:rsid w:val="001F7C0B"/>
    <w:rsid w:val="0020543F"/>
    <w:rsid w:val="00206998"/>
    <w:rsid w:val="0021349E"/>
    <w:rsid w:val="002136A2"/>
    <w:rsid w:val="002144A7"/>
    <w:rsid w:val="00227DFE"/>
    <w:rsid w:val="00231D59"/>
    <w:rsid w:val="002320C7"/>
    <w:rsid w:val="0023297A"/>
    <w:rsid w:val="00240D4E"/>
    <w:rsid w:val="002474BE"/>
    <w:rsid w:val="00251D3F"/>
    <w:rsid w:val="002532D5"/>
    <w:rsid w:val="00263902"/>
    <w:rsid w:val="002646FC"/>
    <w:rsid w:val="00266240"/>
    <w:rsid w:val="002711FB"/>
    <w:rsid w:val="00273578"/>
    <w:rsid w:val="002770A6"/>
    <w:rsid w:val="002772CF"/>
    <w:rsid w:val="0028604F"/>
    <w:rsid w:val="002965D3"/>
    <w:rsid w:val="002A2B79"/>
    <w:rsid w:val="002D59E1"/>
    <w:rsid w:val="002D6B72"/>
    <w:rsid w:val="002E4844"/>
    <w:rsid w:val="002E5EFB"/>
    <w:rsid w:val="002F4F85"/>
    <w:rsid w:val="00300386"/>
    <w:rsid w:val="003050DF"/>
    <w:rsid w:val="0030689F"/>
    <w:rsid w:val="003072BA"/>
    <w:rsid w:val="00312326"/>
    <w:rsid w:val="0031468E"/>
    <w:rsid w:val="00317F98"/>
    <w:rsid w:val="00321947"/>
    <w:rsid w:val="00323B43"/>
    <w:rsid w:val="003401E1"/>
    <w:rsid w:val="00346D8D"/>
    <w:rsid w:val="00346E52"/>
    <w:rsid w:val="00356975"/>
    <w:rsid w:val="00364913"/>
    <w:rsid w:val="00365BCA"/>
    <w:rsid w:val="00373BEB"/>
    <w:rsid w:val="00380E67"/>
    <w:rsid w:val="003A3794"/>
    <w:rsid w:val="003C548A"/>
    <w:rsid w:val="003C74DD"/>
    <w:rsid w:val="003D1FAF"/>
    <w:rsid w:val="003D37D8"/>
    <w:rsid w:val="003E1940"/>
    <w:rsid w:val="003E39A3"/>
    <w:rsid w:val="003E56B7"/>
    <w:rsid w:val="003E660B"/>
    <w:rsid w:val="003E6750"/>
    <w:rsid w:val="003F7A8C"/>
    <w:rsid w:val="004029B5"/>
    <w:rsid w:val="00402CFE"/>
    <w:rsid w:val="00404E91"/>
    <w:rsid w:val="00407742"/>
    <w:rsid w:val="0041041C"/>
    <w:rsid w:val="004104E3"/>
    <w:rsid w:val="0041692A"/>
    <w:rsid w:val="00424DED"/>
    <w:rsid w:val="00425A02"/>
    <w:rsid w:val="00426133"/>
    <w:rsid w:val="00430375"/>
    <w:rsid w:val="00432317"/>
    <w:rsid w:val="004358AB"/>
    <w:rsid w:val="004430DB"/>
    <w:rsid w:val="004477C5"/>
    <w:rsid w:val="0045095F"/>
    <w:rsid w:val="00453CA5"/>
    <w:rsid w:val="00465AFC"/>
    <w:rsid w:val="00470522"/>
    <w:rsid w:val="004A1AAF"/>
    <w:rsid w:val="004A3DE7"/>
    <w:rsid w:val="004B7674"/>
    <w:rsid w:val="004D0110"/>
    <w:rsid w:val="004D2CFC"/>
    <w:rsid w:val="004D31CA"/>
    <w:rsid w:val="004E02F7"/>
    <w:rsid w:val="004E5913"/>
    <w:rsid w:val="004E7B57"/>
    <w:rsid w:val="004F004B"/>
    <w:rsid w:val="004F14CF"/>
    <w:rsid w:val="004F7961"/>
    <w:rsid w:val="00511335"/>
    <w:rsid w:val="00514CED"/>
    <w:rsid w:val="00515724"/>
    <w:rsid w:val="0051714C"/>
    <w:rsid w:val="00517A92"/>
    <w:rsid w:val="005200CC"/>
    <w:rsid w:val="00523BE9"/>
    <w:rsid w:val="005278F2"/>
    <w:rsid w:val="005318C5"/>
    <w:rsid w:val="0054143E"/>
    <w:rsid w:val="00541BC8"/>
    <w:rsid w:val="00544657"/>
    <w:rsid w:val="00544BB9"/>
    <w:rsid w:val="00547052"/>
    <w:rsid w:val="00556798"/>
    <w:rsid w:val="0056288F"/>
    <w:rsid w:val="00570D3C"/>
    <w:rsid w:val="005721D0"/>
    <w:rsid w:val="00575179"/>
    <w:rsid w:val="00586769"/>
    <w:rsid w:val="00590E2E"/>
    <w:rsid w:val="00591382"/>
    <w:rsid w:val="00597390"/>
    <w:rsid w:val="005A64F3"/>
    <w:rsid w:val="005A6C96"/>
    <w:rsid w:val="005B0581"/>
    <w:rsid w:val="005B0B1B"/>
    <w:rsid w:val="005B0C14"/>
    <w:rsid w:val="005B2EA3"/>
    <w:rsid w:val="005C56F2"/>
    <w:rsid w:val="005C72F3"/>
    <w:rsid w:val="005E5119"/>
    <w:rsid w:val="005F001B"/>
    <w:rsid w:val="005F25BA"/>
    <w:rsid w:val="00600EEB"/>
    <w:rsid w:val="006013A4"/>
    <w:rsid w:val="0060404C"/>
    <w:rsid w:val="00610990"/>
    <w:rsid w:val="00614096"/>
    <w:rsid w:val="00617327"/>
    <w:rsid w:val="00620A23"/>
    <w:rsid w:val="00634868"/>
    <w:rsid w:val="00636985"/>
    <w:rsid w:val="00637A8A"/>
    <w:rsid w:val="006415BD"/>
    <w:rsid w:val="00643D21"/>
    <w:rsid w:val="00644EE8"/>
    <w:rsid w:val="00645D9B"/>
    <w:rsid w:val="00647694"/>
    <w:rsid w:val="00651EFC"/>
    <w:rsid w:val="00653197"/>
    <w:rsid w:val="00656AD0"/>
    <w:rsid w:val="00663F0E"/>
    <w:rsid w:val="00664F84"/>
    <w:rsid w:val="00673589"/>
    <w:rsid w:val="00683AAC"/>
    <w:rsid w:val="00686122"/>
    <w:rsid w:val="00697BF1"/>
    <w:rsid w:val="006A4319"/>
    <w:rsid w:val="006A696D"/>
    <w:rsid w:val="006B1AF6"/>
    <w:rsid w:val="006C1AEA"/>
    <w:rsid w:val="006C1F85"/>
    <w:rsid w:val="006C665A"/>
    <w:rsid w:val="006D4EC7"/>
    <w:rsid w:val="006D4FA3"/>
    <w:rsid w:val="006E0736"/>
    <w:rsid w:val="006E11BE"/>
    <w:rsid w:val="006E4679"/>
    <w:rsid w:val="006F1C37"/>
    <w:rsid w:val="006F2607"/>
    <w:rsid w:val="006F6263"/>
    <w:rsid w:val="0070306B"/>
    <w:rsid w:val="0071222A"/>
    <w:rsid w:val="00714477"/>
    <w:rsid w:val="007159E2"/>
    <w:rsid w:val="007407ED"/>
    <w:rsid w:val="0074108A"/>
    <w:rsid w:val="00743365"/>
    <w:rsid w:val="00744F95"/>
    <w:rsid w:val="00747D6F"/>
    <w:rsid w:val="007501A9"/>
    <w:rsid w:val="00754BAC"/>
    <w:rsid w:val="00761FAD"/>
    <w:rsid w:val="00764728"/>
    <w:rsid w:val="007654A4"/>
    <w:rsid w:val="007735C7"/>
    <w:rsid w:val="00777DDA"/>
    <w:rsid w:val="00790DEF"/>
    <w:rsid w:val="00791C7E"/>
    <w:rsid w:val="00795F52"/>
    <w:rsid w:val="007B2C90"/>
    <w:rsid w:val="007B33D0"/>
    <w:rsid w:val="007B691C"/>
    <w:rsid w:val="007B7D96"/>
    <w:rsid w:val="007F3EE4"/>
    <w:rsid w:val="007F696D"/>
    <w:rsid w:val="007F7FCB"/>
    <w:rsid w:val="0080127B"/>
    <w:rsid w:val="00802B9A"/>
    <w:rsid w:val="00803360"/>
    <w:rsid w:val="008042EE"/>
    <w:rsid w:val="0081272D"/>
    <w:rsid w:val="00812CFB"/>
    <w:rsid w:val="008227AF"/>
    <w:rsid w:val="008233FF"/>
    <w:rsid w:val="0082344F"/>
    <w:rsid w:val="00833C8B"/>
    <w:rsid w:val="00842401"/>
    <w:rsid w:val="00844F3A"/>
    <w:rsid w:val="00846E83"/>
    <w:rsid w:val="00847328"/>
    <w:rsid w:val="00851067"/>
    <w:rsid w:val="008609A7"/>
    <w:rsid w:val="00871A16"/>
    <w:rsid w:val="00872578"/>
    <w:rsid w:val="00875111"/>
    <w:rsid w:val="00891DF6"/>
    <w:rsid w:val="00896825"/>
    <w:rsid w:val="008969C5"/>
    <w:rsid w:val="008A338C"/>
    <w:rsid w:val="008A5053"/>
    <w:rsid w:val="008A7344"/>
    <w:rsid w:val="008A7FF3"/>
    <w:rsid w:val="008B7726"/>
    <w:rsid w:val="008C4FD8"/>
    <w:rsid w:val="008C5AB5"/>
    <w:rsid w:val="008C6005"/>
    <w:rsid w:val="008C7B90"/>
    <w:rsid w:val="008D4A71"/>
    <w:rsid w:val="008D6522"/>
    <w:rsid w:val="008E05CC"/>
    <w:rsid w:val="008E56A2"/>
    <w:rsid w:val="008E5E66"/>
    <w:rsid w:val="009071F4"/>
    <w:rsid w:val="009100AD"/>
    <w:rsid w:val="00910BAD"/>
    <w:rsid w:val="009111BB"/>
    <w:rsid w:val="00912DBC"/>
    <w:rsid w:val="00912EEF"/>
    <w:rsid w:val="00914C06"/>
    <w:rsid w:val="00916B70"/>
    <w:rsid w:val="00921430"/>
    <w:rsid w:val="00936118"/>
    <w:rsid w:val="00937A6D"/>
    <w:rsid w:val="0094392D"/>
    <w:rsid w:val="00957F62"/>
    <w:rsid w:val="009617FC"/>
    <w:rsid w:val="00961D5F"/>
    <w:rsid w:val="00964E44"/>
    <w:rsid w:val="00973C11"/>
    <w:rsid w:val="009750E8"/>
    <w:rsid w:val="00985035"/>
    <w:rsid w:val="00990110"/>
    <w:rsid w:val="009901F5"/>
    <w:rsid w:val="009903D9"/>
    <w:rsid w:val="009920BA"/>
    <w:rsid w:val="009958C6"/>
    <w:rsid w:val="0099639E"/>
    <w:rsid w:val="009A0891"/>
    <w:rsid w:val="009A3706"/>
    <w:rsid w:val="009A3A5E"/>
    <w:rsid w:val="009A4747"/>
    <w:rsid w:val="009B5AFE"/>
    <w:rsid w:val="009B5F13"/>
    <w:rsid w:val="009B6493"/>
    <w:rsid w:val="009C0949"/>
    <w:rsid w:val="009D19FD"/>
    <w:rsid w:val="009D2B7D"/>
    <w:rsid w:val="009D46C5"/>
    <w:rsid w:val="009D779F"/>
    <w:rsid w:val="009E4BAD"/>
    <w:rsid w:val="009E4EEB"/>
    <w:rsid w:val="009F067F"/>
    <w:rsid w:val="009F1863"/>
    <w:rsid w:val="009F7F5F"/>
    <w:rsid w:val="00A00DC6"/>
    <w:rsid w:val="00A10F1C"/>
    <w:rsid w:val="00A17AAB"/>
    <w:rsid w:val="00A30543"/>
    <w:rsid w:val="00A34005"/>
    <w:rsid w:val="00A3684E"/>
    <w:rsid w:val="00A4059B"/>
    <w:rsid w:val="00A43840"/>
    <w:rsid w:val="00A44999"/>
    <w:rsid w:val="00A550BA"/>
    <w:rsid w:val="00A737DC"/>
    <w:rsid w:val="00A74EEE"/>
    <w:rsid w:val="00A764E7"/>
    <w:rsid w:val="00A7685F"/>
    <w:rsid w:val="00A843E9"/>
    <w:rsid w:val="00A87EAD"/>
    <w:rsid w:val="00A87EB2"/>
    <w:rsid w:val="00A93C09"/>
    <w:rsid w:val="00A9417D"/>
    <w:rsid w:val="00A949C2"/>
    <w:rsid w:val="00A95307"/>
    <w:rsid w:val="00AA07BC"/>
    <w:rsid w:val="00AB2034"/>
    <w:rsid w:val="00AB59C9"/>
    <w:rsid w:val="00AC42E3"/>
    <w:rsid w:val="00AC758B"/>
    <w:rsid w:val="00AD4F15"/>
    <w:rsid w:val="00AE0A6E"/>
    <w:rsid w:val="00AF37E6"/>
    <w:rsid w:val="00B01CA8"/>
    <w:rsid w:val="00B03356"/>
    <w:rsid w:val="00B03DFC"/>
    <w:rsid w:val="00B0452E"/>
    <w:rsid w:val="00B0760A"/>
    <w:rsid w:val="00B078DB"/>
    <w:rsid w:val="00B141D5"/>
    <w:rsid w:val="00B17B59"/>
    <w:rsid w:val="00B20C57"/>
    <w:rsid w:val="00B217A8"/>
    <w:rsid w:val="00B23E19"/>
    <w:rsid w:val="00B244B5"/>
    <w:rsid w:val="00B378AA"/>
    <w:rsid w:val="00B40E79"/>
    <w:rsid w:val="00B41008"/>
    <w:rsid w:val="00B4198E"/>
    <w:rsid w:val="00B44C9C"/>
    <w:rsid w:val="00B51CAE"/>
    <w:rsid w:val="00B57A81"/>
    <w:rsid w:val="00B6039E"/>
    <w:rsid w:val="00B64C7F"/>
    <w:rsid w:val="00B65E61"/>
    <w:rsid w:val="00B7219A"/>
    <w:rsid w:val="00B7257B"/>
    <w:rsid w:val="00B75025"/>
    <w:rsid w:val="00B812C5"/>
    <w:rsid w:val="00B81932"/>
    <w:rsid w:val="00B93178"/>
    <w:rsid w:val="00B979AF"/>
    <w:rsid w:val="00BA3E69"/>
    <w:rsid w:val="00BA6E86"/>
    <w:rsid w:val="00BB4C08"/>
    <w:rsid w:val="00BB7092"/>
    <w:rsid w:val="00BD50EC"/>
    <w:rsid w:val="00BE3423"/>
    <w:rsid w:val="00BE4232"/>
    <w:rsid w:val="00BE5CB7"/>
    <w:rsid w:val="00BF6D7F"/>
    <w:rsid w:val="00C04DC1"/>
    <w:rsid w:val="00C05221"/>
    <w:rsid w:val="00C052F8"/>
    <w:rsid w:val="00C21DE7"/>
    <w:rsid w:val="00C22AB5"/>
    <w:rsid w:val="00C308C7"/>
    <w:rsid w:val="00C32396"/>
    <w:rsid w:val="00C343DE"/>
    <w:rsid w:val="00C43870"/>
    <w:rsid w:val="00C439EE"/>
    <w:rsid w:val="00C53AF2"/>
    <w:rsid w:val="00C55031"/>
    <w:rsid w:val="00C57964"/>
    <w:rsid w:val="00C6358A"/>
    <w:rsid w:val="00C7158A"/>
    <w:rsid w:val="00C74193"/>
    <w:rsid w:val="00C903B4"/>
    <w:rsid w:val="00C93A97"/>
    <w:rsid w:val="00CA0471"/>
    <w:rsid w:val="00CA0D37"/>
    <w:rsid w:val="00CA72C6"/>
    <w:rsid w:val="00CB1135"/>
    <w:rsid w:val="00CB2A90"/>
    <w:rsid w:val="00CB34E6"/>
    <w:rsid w:val="00CC37BD"/>
    <w:rsid w:val="00CC5F65"/>
    <w:rsid w:val="00CC74C3"/>
    <w:rsid w:val="00CE08E0"/>
    <w:rsid w:val="00CE0959"/>
    <w:rsid w:val="00D005C7"/>
    <w:rsid w:val="00D02441"/>
    <w:rsid w:val="00D063A0"/>
    <w:rsid w:val="00D10CEE"/>
    <w:rsid w:val="00D20FD3"/>
    <w:rsid w:val="00D220A6"/>
    <w:rsid w:val="00D23ACC"/>
    <w:rsid w:val="00D26D4D"/>
    <w:rsid w:val="00D31D50"/>
    <w:rsid w:val="00D32522"/>
    <w:rsid w:val="00D55E0D"/>
    <w:rsid w:val="00D56B0D"/>
    <w:rsid w:val="00D609AD"/>
    <w:rsid w:val="00D635E9"/>
    <w:rsid w:val="00D63737"/>
    <w:rsid w:val="00D63D9E"/>
    <w:rsid w:val="00D76A20"/>
    <w:rsid w:val="00D800F1"/>
    <w:rsid w:val="00D905AF"/>
    <w:rsid w:val="00D943AE"/>
    <w:rsid w:val="00D952EB"/>
    <w:rsid w:val="00D97F1B"/>
    <w:rsid w:val="00DB08A0"/>
    <w:rsid w:val="00DB0A0C"/>
    <w:rsid w:val="00DC3409"/>
    <w:rsid w:val="00DC4E36"/>
    <w:rsid w:val="00DC5DEB"/>
    <w:rsid w:val="00DD3BD9"/>
    <w:rsid w:val="00DD5776"/>
    <w:rsid w:val="00DE1F54"/>
    <w:rsid w:val="00DE2A89"/>
    <w:rsid w:val="00E00207"/>
    <w:rsid w:val="00E041CA"/>
    <w:rsid w:val="00E12FEC"/>
    <w:rsid w:val="00E16BEE"/>
    <w:rsid w:val="00E22940"/>
    <w:rsid w:val="00E26CD6"/>
    <w:rsid w:val="00E30355"/>
    <w:rsid w:val="00E30B7E"/>
    <w:rsid w:val="00E335A7"/>
    <w:rsid w:val="00E443B0"/>
    <w:rsid w:val="00E44911"/>
    <w:rsid w:val="00E47518"/>
    <w:rsid w:val="00E47E16"/>
    <w:rsid w:val="00E54ED4"/>
    <w:rsid w:val="00E6613B"/>
    <w:rsid w:val="00E73FB2"/>
    <w:rsid w:val="00E81436"/>
    <w:rsid w:val="00E8421D"/>
    <w:rsid w:val="00E93D95"/>
    <w:rsid w:val="00E94A42"/>
    <w:rsid w:val="00E95A95"/>
    <w:rsid w:val="00E97DC9"/>
    <w:rsid w:val="00EA6A66"/>
    <w:rsid w:val="00EA7A3F"/>
    <w:rsid w:val="00EA7D96"/>
    <w:rsid w:val="00EB029A"/>
    <w:rsid w:val="00EB30FD"/>
    <w:rsid w:val="00EB3D1F"/>
    <w:rsid w:val="00EB77CF"/>
    <w:rsid w:val="00EC1B07"/>
    <w:rsid w:val="00EC2D4D"/>
    <w:rsid w:val="00EC3B4B"/>
    <w:rsid w:val="00EC4C02"/>
    <w:rsid w:val="00ED3B65"/>
    <w:rsid w:val="00ED4171"/>
    <w:rsid w:val="00ED6E89"/>
    <w:rsid w:val="00ED761F"/>
    <w:rsid w:val="00EE4031"/>
    <w:rsid w:val="00EE5366"/>
    <w:rsid w:val="00EF1593"/>
    <w:rsid w:val="00EF1A5F"/>
    <w:rsid w:val="00EF4BDE"/>
    <w:rsid w:val="00EF5471"/>
    <w:rsid w:val="00EF731B"/>
    <w:rsid w:val="00EF792F"/>
    <w:rsid w:val="00F00689"/>
    <w:rsid w:val="00F03791"/>
    <w:rsid w:val="00F044E3"/>
    <w:rsid w:val="00F07C5A"/>
    <w:rsid w:val="00F12897"/>
    <w:rsid w:val="00F12ECC"/>
    <w:rsid w:val="00F13538"/>
    <w:rsid w:val="00F1499B"/>
    <w:rsid w:val="00F32DB4"/>
    <w:rsid w:val="00F3663D"/>
    <w:rsid w:val="00F42B01"/>
    <w:rsid w:val="00F53E19"/>
    <w:rsid w:val="00F60605"/>
    <w:rsid w:val="00F63395"/>
    <w:rsid w:val="00F67A39"/>
    <w:rsid w:val="00F70D82"/>
    <w:rsid w:val="00F70D94"/>
    <w:rsid w:val="00F81692"/>
    <w:rsid w:val="00F86BE9"/>
    <w:rsid w:val="00F872A5"/>
    <w:rsid w:val="00F9160E"/>
    <w:rsid w:val="00F941EA"/>
    <w:rsid w:val="00F96866"/>
    <w:rsid w:val="00F9740E"/>
    <w:rsid w:val="00F977E6"/>
    <w:rsid w:val="00FB362C"/>
    <w:rsid w:val="00FB429A"/>
    <w:rsid w:val="00FC0085"/>
    <w:rsid w:val="00FC0265"/>
    <w:rsid w:val="00FC0821"/>
    <w:rsid w:val="00FC2CB8"/>
    <w:rsid w:val="00FC70D5"/>
    <w:rsid w:val="00FE4D30"/>
    <w:rsid w:val="00FE6C0D"/>
    <w:rsid w:val="00FF4AB1"/>
    <w:rsid w:val="02312977"/>
    <w:rsid w:val="03064FDF"/>
    <w:rsid w:val="05B354D6"/>
    <w:rsid w:val="05C00B2A"/>
    <w:rsid w:val="06142A47"/>
    <w:rsid w:val="06954C26"/>
    <w:rsid w:val="08FC077D"/>
    <w:rsid w:val="0A551FAA"/>
    <w:rsid w:val="0D066181"/>
    <w:rsid w:val="0E286250"/>
    <w:rsid w:val="0E746999"/>
    <w:rsid w:val="14D11C92"/>
    <w:rsid w:val="15D20EE8"/>
    <w:rsid w:val="16125AB3"/>
    <w:rsid w:val="166D61D3"/>
    <w:rsid w:val="16734ACD"/>
    <w:rsid w:val="16AB593C"/>
    <w:rsid w:val="16BA2964"/>
    <w:rsid w:val="19E15560"/>
    <w:rsid w:val="1C744E54"/>
    <w:rsid w:val="1D2019F1"/>
    <w:rsid w:val="1ED30A9A"/>
    <w:rsid w:val="1F2C46AB"/>
    <w:rsid w:val="1F3F7C8D"/>
    <w:rsid w:val="20BB7EDE"/>
    <w:rsid w:val="21625747"/>
    <w:rsid w:val="21AD61D1"/>
    <w:rsid w:val="22F81D11"/>
    <w:rsid w:val="23192982"/>
    <w:rsid w:val="25076D18"/>
    <w:rsid w:val="25AB2902"/>
    <w:rsid w:val="28157A7A"/>
    <w:rsid w:val="287526FB"/>
    <w:rsid w:val="2CCB39E8"/>
    <w:rsid w:val="2D5269EE"/>
    <w:rsid w:val="2D5358B3"/>
    <w:rsid w:val="2D63328F"/>
    <w:rsid w:val="2DC515D9"/>
    <w:rsid w:val="2E3462A4"/>
    <w:rsid w:val="2F113C1B"/>
    <w:rsid w:val="2FAC5DD4"/>
    <w:rsid w:val="2FD25A18"/>
    <w:rsid w:val="320A11C1"/>
    <w:rsid w:val="333029DA"/>
    <w:rsid w:val="33497ABD"/>
    <w:rsid w:val="33BF7A24"/>
    <w:rsid w:val="350A4FAE"/>
    <w:rsid w:val="35634FD3"/>
    <w:rsid w:val="35635BD2"/>
    <w:rsid w:val="3A8F6908"/>
    <w:rsid w:val="3AFD0867"/>
    <w:rsid w:val="3B547CEB"/>
    <w:rsid w:val="3D37130F"/>
    <w:rsid w:val="3F6F63B1"/>
    <w:rsid w:val="3FA9711D"/>
    <w:rsid w:val="40E37C31"/>
    <w:rsid w:val="41137B39"/>
    <w:rsid w:val="42577849"/>
    <w:rsid w:val="42A10091"/>
    <w:rsid w:val="432D5AA9"/>
    <w:rsid w:val="435E5C95"/>
    <w:rsid w:val="464E5011"/>
    <w:rsid w:val="4689449E"/>
    <w:rsid w:val="491C2B71"/>
    <w:rsid w:val="49E410C5"/>
    <w:rsid w:val="4A380DDB"/>
    <w:rsid w:val="4ACD5A42"/>
    <w:rsid w:val="4B8568EA"/>
    <w:rsid w:val="4E5510BA"/>
    <w:rsid w:val="4E76713D"/>
    <w:rsid w:val="522E1612"/>
    <w:rsid w:val="549C03CB"/>
    <w:rsid w:val="56205B87"/>
    <w:rsid w:val="58E7636A"/>
    <w:rsid w:val="592D2F3F"/>
    <w:rsid w:val="5A181454"/>
    <w:rsid w:val="5A19746F"/>
    <w:rsid w:val="5A5C2BA9"/>
    <w:rsid w:val="5AAF0E47"/>
    <w:rsid w:val="5B3F0282"/>
    <w:rsid w:val="5C0E5528"/>
    <w:rsid w:val="5F953EA1"/>
    <w:rsid w:val="5FD53A4A"/>
    <w:rsid w:val="60137B1D"/>
    <w:rsid w:val="656662CF"/>
    <w:rsid w:val="663F26F8"/>
    <w:rsid w:val="66924229"/>
    <w:rsid w:val="68130A6E"/>
    <w:rsid w:val="686A6296"/>
    <w:rsid w:val="6E53029D"/>
    <w:rsid w:val="6E705DA9"/>
    <w:rsid w:val="6E8B54E2"/>
    <w:rsid w:val="705B3440"/>
    <w:rsid w:val="71602DAF"/>
    <w:rsid w:val="75DA07DE"/>
    <w:rsid w:val="762C6CB4"/>
    <w:rsid w:val="77327AB9"/>
    <w:rsid w:val="7A0B6BCD"/>
    <w:rsid w:val="7C1566D5"/>
    <w:rsid w:val="7C70628F"/>
    <w:rsid w:val="7E2033A4"/>
    <w:rsid w:val="7F5C353C"/>
    <w:rsid w:val="7F854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04"/>
    <w:qFormat/>
    <w:uiPriority w:val="0"/>
    <w:pPr>
      <w:keepNext/>
      <w:adjustRightInd/>
      <w:snapToGrid/>
      <w:spacing w:after="0" w:line="400" w:lineRule="exact"/>
      <w:jc w:val="center"/>
      <w:outlineLvl w:val="0"/>
    </w:pPr>
    <w:rPr>
      <w:rFonts w:ascii="黑体" w:hAnsi="Times New Roman" w:eastAsia="黑体" w:cs="Times New Roman"/>
      <w:sz w:val="36"/>
      <w:szCs w:val="20"/>
    </w:rPr>
  </w:style>
  <w:style w:type="paragraph" w:styleId="3">
    <w:name w:val="heading 2"/>
    <w:basedOn w:val="1"/>
    <w:next w:val="1"/>
    <w:link w:val="47"/>
    <w:qFormat/>
    <w:uiPriority w:val="0"/>
    <w:pPr>
      <w:keepNext/>
      <w:keepLines/>
      <w:widowControl w:val="0"/>
      <w:adjustRightInd/>
      <w:snapToGrid/>
      <w:spacing w:after="0" w:line="380" w:lineRule="atLeast"/>
      <w:jc w:val="center"/>
      <w:outlineLvl w:val="1"/>
    </w:pPr>
    <w:rPr>
      <w:rFonts w:ascii="Arial" w:hAnsi="Arial" w:eastAsia="黑体" w:cs="Times New Roman"/>
      <w:bCs/>
      <w:sz w:val="32"/>
      <w:szCs w:val="32"/>
    </w:rPr>
  </w:style>
  <w:style w:type="paragraph" w:styleId="4">
    <w:name w:val="heading 3"/>
    <w:basedOn w:val="1"/>
    <w:next w:val="1"/>
    <w:link w:val="52"/>
    <w:qFormat/>
    <w:uiPriority w:val="0"/>
    <w:pPr>
      <w:keepNext/>
      <w:keepLines/>
      <w:widowControl w:val="0"/>
      <w:adjustRightInd/>
      <w:snapToGrid/>
      <w:spacing w:after="0" w:line="380" w:lineRule="exact"/>
      <w:jc w:val="center"/>
      <w:outlineLvl w:val="2"/>
    </w:pPr>
    <w:rPr>
      <w:rFonts w:hint="eastAsia" w:ascii="宋体" w:hAnsi="宋体" w:eastAsia="宋体" w:cs="Times New Roman"/>
      <w:bCs/>
      <w:sz w:val="30"/>
      <w:szCs w:val="32"/>
    </w:rPr>
  </w:style>
  <w:style w:type="paragraph" w:styleId="5">
    <w:name w:val="heading 4"/>
    <w:basedOn w:val="1"/>
    <w:next w:val="1"/>
    <w:link w:val="53"/>
    <w:qFormat/>
    <w:uiPriority w:val="0"/>
    <w:pPr>
      <w:keepNext/>
      <w:keepLines/>
      <w:widowControl w:val="0"/>
      <w:adjustRightInd/>
      <w:snapToGrid/>
      <w:spacing w:before="280" w:after="290" w:line="376" w:lineRule="auto"/>
      <w:jc w:val="both"/>
      <w:outlineLvl w:val="3"/>
    </w:pPr>
    <w:rPr>
      <w:rFonts w:ascii="Cambria" w:hAnsi="Cambria" w:eastAsia="宋体" w:cs="Times New Roman"/>
      <w:b/>
      <w:bCs/>
      <w:kern w:val="2"/>
      <w:sz w:val="28"/>
      <w:szCs w:val="28"/>
    </w:rPr>
  </w:style>
  <w:style w:type="paragraph" w:styleId="6">
    <w:name w:val="heading 5"/>
    <w:basedOn w:val="1"/>
    <w:next w:val="1"/>
    <w:link w:val="54"/>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55"/>
    <w:qFormat/>
    <w:uiPriority w:val="0"/>
    <w:pPr>
      <w:keepNext/>
      <w:keepLines/>
      <w:adjustRightInd/>
      <w:snapToGrid/>
      <w:spacing w:before="240" w:after="64" w:line="319" w:lineRule="auto"/>
      <w:outlineLvl w:val="5"/>
    </w:pPr>
    <w:rPr>
      <w:rFonts w:ascii="Arial" w:hAnsi="Arial" w:eastAsia="黑体" w:cs="Times New Roman"/>
      <w:b/>
      <w:bCs/>
      <w:sz w:val="24"/>
      <w:szCs w:val="24"/>
    </w:rPr>
  </w:style>
  <w:style w:type="paragraph" w:styleId="8">
    <w:name w:val="heading 7"/>
    <w:basedOn w:val="1"/>
    <w:next w:val="1"/>
    <w:link w:val="56"/>
    <w:qFormat/>
    <w:uiPriority w:val="0"/>
    <w:pPr>
      <w:keepNext/>
      <w:keepLines/>
      <w:adjustRightInd/>
      <w:snapToGrid/>
      <w:spacing w:before="240" w:after="64" w:line="319" w:lineRule="auto"/>
      <w:outlineLvl w:val="6"/>
    </w:pPr>
    <w:rPr>
      <w:rFonts w:ascii="Times New Roman" w:hAnsi="Times New Roman" w:eastAsia="宋体" w:cs="Times New Roman"/>
      <w:b/>
      <w:bCs/>
      <w:sz w:val="24"/>
      <w:szCs w:val="24"/>
    </w:rPr>
  </w:style>
  <w:style w:type="paragraph" w:styleId="9">
    <w:name w:val="heading 8"/>
    <w:basedOn w:val="1"/>
    <w:next w:val="1"/>
    <w:link w:val="57"/>
    <w:qFormat/>
    <w:uiPriority w:val="0"/>
    <w:pPr>
      <w:keepNext/>
      <w:keepLines/>
      <w:adjustRightInd/>
      <w:snapToGrid/>
      <w:spacing w:before="240" w:after="64" w:line="319" w:lineRule="auto"/>
      <w:outlineLvl w:val="7"/>
    </w:pPr>
    <w:rPr>
      <w:rFonts w:ascii="Arial" w:hAnsi="Arial" w:eastAsia="黑体" w:cs="Times New Roman"/>
      <w:sz w:val="24"/>
      <w:szCs w:val="24"/>
    </w:rPr>
  </w:style>
  <w:style w:type="paragraph" w:styleId="10">
    <w:name w:val="heading 9"/>
    <w:basedOn w:val="1"/>
    <w:next w:val="1"/>
    <w:link w:val="58"/>
    <w:qFormat/>
    <w:uiPriority w:val="0"/>
    <w:pPr>
      <w:keepNext/>
      <w:keepLines/>
      <w:adjustRightInd/>
      <w:snapToGrid/>
      <w:spacing w:before="240" w:after="64" w:line="319" w:lineRule="auto"/>
      <w:outlineLvl w:val="8"/>
    </w:pPr>
    <w:rPr>
      <w:rFonts w:ascii="Arial" w:hAnsi="Arial" w:eastAsia="黑体" w:cs="Times New Roman"/>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widowControl w:val="0"/>
      <w:adjustRightInd/>
      <w:snapToGrid/>
      <w:spacing w:after="0"/>
      <w:ind w:left="1260"/>
    </w:pPr>
    <w:rPr>
      <w:rFonts w:ascii="Times New Roman" w:hAnsi="Times New Roman" w:eastAsia="宋体" w:cs="Times New Roman"/>
      <w:kern w:val="2"/>
      <w:sz w:val="18"/>
      <w:szCs w:val="18"/>
    </w:rPr>
  </w:style>
  <w:style w:type="paragraph" w:styleId="12">
    <w:name w:val="index 8"/>
    <w:basedOn w:val="1"/>
    <w:next w:val="1"/>
    <w:qFormat/>
    <w:uiPriority w:val="0"/>
    <w:pPr>
      <w:ind w:left="2940"/>
    </w:pPr>
  </w:style>
  <w:style w:type="paragraph" w:styleId="13">
    <w:name w:val="Normal Indent"/>
    <w:basedOn w:val="1"/>
    <w:link w:val="99"/>
    <w:autoRedefine/>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14">
    <w:name w:val="Document Map"/>
    <w:basedOn w:val="1"/>
    <w:link w:val="76"/>
    <w:autoRedefine/>
    <w:semiHidden/>
    <w:qFormat/>
    <w:uiPriority w:val="0"/>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15">
    <w:name w:val="annotation text"/>
    <w:basedOn w:val="1"/>
    <w:link w:val="66"/>
    <w:autoRedefine/>
    <w:qFormat/>
    <w:uiPriority w:val="0"/>
    <w:pPr>
      <w:widowControl w:val="0"/>
      <w:adjustRightInd/>
      <w:snapToGrid/>
      <w:spacing w:after="0"/>
    </w:pPr>
    <w:rPr>
      <w:rFonts w:ascii="Times New Roman" w:hAnsi="Times New Roman" w:eastAsia="宋体" w:cs="Times New Roman"/>
      <w:kern w:val="2"/>
      <w:sz w:val="21"/>
      <w:szCs w:val="24"/>
    </w:rPr>
  </w:style>
  <w:style w:type="paragraph" w:styleId="16">
    <w:name w:val="Body Text"/>
    <w:basedOn w:val="1"/>
    <w:next w:val="17"/>
    <w:link w:val="75"/>
    <w:autoRedefine/>
    <w:qFormat/>
    <w:uiPriority w:val="0"/>
    <w:pPr>
      <w:widowControl w:val="0"/>
      <w:adjustRightInd/>
      <w:snapToGrid/>
      <w:spacing w:after="0"/>
      <w:jc w:val="center"/>
    </w:pPr>
    <w:rPr>
      <w:rFonts w:ascii="Times New Roman" w:hAnsi="Times New Roman" w:eastAsia="宋体" w:cs="Times New Roman"/>
      <w:kern w:val="2"/>
      <w:sz w:val="52"/>
      <w:szCs w:val="24"/>
    </w:rPr>
  </w:style>
  <w:style w:type="paragraph" w:styleId="17">
    <w:name w:val="toc 2"/>
    <w:basedOn w:val="1"/>
    <w:next w:val="1"/>
    <w:autoRedefine/>
    <w:qFormat/>
    <w:uiPriority w:val="39"/>
    <w:pPr>
      <w:widowControl w:val="0"/>
      <w:adjustRightInd/>
      <w:snapToGrid/>
      <w:spacing w:after="0"/>
      <w:ind w:left="210"/>
    </w:pPr>
    <w:rPr>
      <w:rFonts w:ascii="Times New Roman" w:hAnsi="Times New Roman" w:eastAsia="宋体" w:cs="Times New Roman"/>
      <w:smallCaps/>
      <w:kern w:val="2"/>
      <w:sz w:val="20"/>
      <w:szCs w:val="20"/>
    </w:rPr>
  </w:style>
  <w:style w:type="paragraph" w:styleId="18">
    <w:name w:val="Body Text Indent"/>
    <w:basedOn w:val="1"/>
    <w:link w:val="67"/>
    <w:autoRedefine/>
    <w:qFormat/>
    <w:uiPriority w:val="0"/>
    <w:pPr>
      <w:widowControl w:val="0"/>
      <w:adjustRightInd/>
      <w:snapToGrid/>
      <w:spacing w:after="0" w:line="440" w:lineRule="exact"/>
      <w:ind w:firstLine="419" w:firstLineChars="196"/>
      <w:jc w:val="both"/>
    </w:pPr>
    <w:rPr>
      <w:rFonts w:ascii="宋体" w:hAnsi="宋体" w:eastAsia="宋体" w:cs="Courier New"/>
      <w:spacing w:val="2"/>
      <w:kern w:val="2"/>
      <w:sz w:val="21"/>
      <w:szCs w:val="24"/>
    </w:rPr>
  </w:style>
  <w:style w:type="paragraph" w:styleId="19">
    <w:name w:val="List 2"/>
    <w:basedOn w:val="1"/>
    <w:autoRedefine/>
    <w:unhideWhenUsed/>
    <w:qFormat/>
    <w:uiPriority w:val="99"/>
    <w:pPr>
      <w:ind w:left="100" w:leftChars="200" w:hanging="200" w:hangingChars="200"/>
      <w:contextualSpacing/>
    </w:pPr>
  </w:style>
  <w:style w:type="paragraph" w:styleId="20">
    <w:name w:val="toc 5"/>
    <w:basedOn w:val="1"/>
    <w:next w:val="1"/>
    <w:autoRedefine/>
    <w:qFormat/>
    <w:uiPriority w:val="0"/>
    <w:pPr>
      <w:widowControl w:val="0"/>
      <w:adjustRightInd/>
      <w:snapToGrid/>
      <w:spacing w:after="0"/>
      <w:ind w:left="840"/>
    </w:pPr>
    <w:rPr>
      <w:rFonts w:ascii="Times New Roman" w:hAnsi="Times New Roman" w:eastAsia="宋体" w:cs="Times New Roman"/>
      <w:kern w:val="2"/>
      <w:sz w:val="18"/>
      <w:szCs w:val="18"/>
    </w:rPr>
  </w:style>
  <w:style w:type="paragraph" w:styleId="21">
    <w:name w:val="toc 3"/>
    <w:basedOn w:val="1"/>
    <w:next w:val="1"/>
    <w:autoRedefine/>
    <w:qFormat/>
    <w:uiPriority w:val="39"/>
    <w:pPr>
      <w:widowControl w:val="0"/>
      <w:adjustRightInd/>
      <w:snapToGrid/>
      <w:spacing w:after="0"/>
      <w:ind w:left="420"/>
    </w:pPr>
    <w:rPr>
      <w:rFonts w:ascii="Times New Roman" w:hAnsi="Times New Roman" w:eastAsia="宋体" w:cs="Times New Roman"/>
      <w:i/>
      <w:iCs/>
      <w:kern w:val="2"/>
      <w:sz w:val="20"/>
      <w:szCs w:val="20"/>
    </w:rPr>
  </w:style>
  <w:style w:type="paragraph" w:styleId="22">
    <w:name w:val="Plain Text"/>
    <w:basedOn w:val="1"/>
    <w:next w:val="12"/>
    <w:link w:val="62"/>
    <w:autoRedefine/>
    <w:qFormat/>
    <w:uiPriority w:val="0"/>
    <w:pPr>
      <w:widowControl w:val="0"/>
      <w:adjustRightInd/>
      <w:snapToGrid/>
      <w:spacing w:after="0"/>
      <w:jc w:val="both"/>
    </w:pPr>
    <w:rPr>
      <w:rFonts w:ascii="宋体" w:hAnsi="Courier New" w:eastAsia="宋体"/>
      <w:kern w:val="2"/>
      <w:sz w:val="21"/>
    </w:rPr>
  </w:style>
  <w:style w:type="paragraph" w:styleId="23">
    <w:name w:val="toc 8"/>
    <w:basedOn w:val="1"/>
    <w:next w:val="1"/>
    <w:autoRedefine/>
    <w:qFormat/>
    <w:uiPriority w:val="0"/>
    <w:pPr>
      <w:widowControl w:val="0"/>
      <w:adjustRightInd/>
      <w:snapToGrid/>
      <w:spacing w:after="0"/>
      <w:ind w:left="1470"/>
    </w:pPr>
    <w:rPr>
      <w:rFonts w:ascii="Times New Roman" w:hAnsi="Times New Roman" w:eastAsia="宋体" w:cs="Times New Roman"/>
      <w:kern w:val="2"/>
      <w:sz w:val="18"/>
      <w:szCs w:val="18"/>
    </w:rPr>
  </w:style>
  <w:style w:type="paragraph" w:styleId="24">
    <w:name w:val="Date"/>
    <w:basedOn w:val="1"/>
    <w:next w:val="1"/>
    <w:link w:val="77"/>
    <w:autoRedefine/>
    <w:qFormat/>
    <w:uiPriority w:val="0"/>
    <w:pPr>
      <w:widowControl w:val="0"/>
      <w:adjustRightInd/>
      <w:snapToGrid/>
      <w:spacing w:after="0"/>
      <w:ind w:left="100" w:leftChars="2500"/>
      <w:jc w:val="both"/>
    </w:pPr>
    <w:rPr>
      <w:rFonts w:ascii="Times New Roman" w:hAnsi="Times New Roman" w:eastAsia="宋体" w:cs="Times New Roman"/>
      <w:kern w:val="2"/>
      <w:sz w:val="21"/>
      <w:szCs w:val="24"/>
    </w:rPr>
  </w:style>
  <w:style w:type="paragraph" w:styleId="25">
    <w:name w:val="Body Text Indent 2"/>
    <w:basedOn w:val="1"/>
    <w:link w:val="71"/>
    <w:autoRedefine/>
    <w:qFormat/>
    <w:uiPriority w:val="0"/>
    <w:pPr>
      <w:widowControl w:val="0"/>
      <w:adjustRightInd/>
      <w:snapToGrid/>
      <w:spacing w:after="0" w:line="420" w:lineRule="exact"/>
      <w:ind w:firstLine="409" w:firstLineChars="195"/>
      <w:jc w:val="both"/>
    </w:pPr>
    <w:rPr>
      <w:rFonts w:ascii="Times New Roman" w:hAnsi="Times New Roman" w:eastAsia="宋体" w:cs="Times New Roman"/>
      <w:kern w:val="2"/>
      <w:sz w:val="21"/>
      <w:szCs w:val="24"/>
    </w:rPr>
  </w:style>
  <w:style w:type="paragraph" w:styleId="26">
    <w:name w:val="Balloon Text"/>
    <w:basedOn w:val="1"/>
    <w:link w:val="72"/>
    <w:autoRedefine/>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27">
    <w:name w:val="footer"/>
    <w:basedOn w:val="1"/>
    <w:next w:val="1"/>
    <w:link w:val="50"/>
    <w:autoRedefine/>
    <w:unhideWhenUsed/>
    <w:qFormat/>
    <w:uiPriority w:val="0"/>
    <w:pPr>
      <w:tabs>
        <w:tab w:val="center" w:pos="4153"/>
        <w:tab w:val="right" w:pos="8306"/>
      </w:tabs>
    </w:pPr>
    <w:rPr>
      <w:sz w:val="18"/>
      <w:szCs w:val="18"/>
    </w:rPr>
  </w:style>
  <w:style w:type="paragraph" w:styleId="28">
    <w:name w:val="header"/>
    <w:basedOn w:val="1"/>
    <w:link w:val="49"/>
    <w:autoRedefine/>
    <w:unhideWhenUsed/>
    <w:qFormat/>
    <w:uiPriority w:val="0"/>
    <w:pPr>
      <w:pBdr>
        <w:bottom w:val="single" w:color="auto" w:sz="6" w:space="1"/>
      </w:pBdr>
      <w:tabs>
        <w:tab w:val="center" w:pos="4153"/>
        <w:tab w:val="right" w:pos="8306"/>
      </w:tabs>
      <w:jc w:val="center"/>
    </w:pPr>
    <w:rPr>
      <w:sz w:val="18"/>
      <w:szCs w:val="18"/>
    </w:rPr>
  </w:style>
  <w:style w:type="paragraph" w:styleId="29">
    <w:name w:val="toc 1"/>
    <w:basedOn w:val="1"/>
    <w:next w:val="1"/>
    <w:autoRedefine/>
    <w:qFormat/>
    <w:uiPriority w:val="39"/>
    <w:pPr>
      <w:widowControl w:val="0"/>
      <w:tabs>
        <w:tab w:val="right" w:leader="dot" w:pos="9402"/>
      </w:tabs>
      <w:adjustRightInd/>
      <w:snapToGrid/>
      <w:spacing w:after="0" w:line="500" w:lineRule="exact"/>
      <w:ind w:firstLine="600" w:firstLineChars="300"/>
    </w:pPr>
    <w:rPr>
      <w:rFonts w:cs="Times New Roman" w:asciiTheme="minorEastAsia" w:hAnsiTheme="minorEastAsia" w:eastAsiaTheme="minorEastAsia"/>
      <w:caps/>
      <w:kern w:val="2"/>
      <w:sz w:val="28"/>
      <w:szCs w:val="28"/>
    </w:rPr>
  </w:style>
  <w:style w:type="paragraph" w:styleId="30">
    <w:name w:val="toc 4"/>
    <w:basedOn w:val="1"/>
    <w:next w:val="1"/>
    <w:autoRedefine/>
    <w:qFormat/>
    <w:uiPriority w:val="0"/>
    <w:pPr>
      <w:widowControl w:val="0"/>
      <w:adjustRightInd/>
      <w:snapToGrid/>
      <w:spacing w:after="0"/>
      <w:ind w:left="630"/>
    </w:pPr>
    <w:rPr>
      <w:rFonts w:ascii="Times New Roman" w:hAnsi="Times New Roman" w:eastAsia="宋体" w:cs="Times New Roman"/>
      <w:kern w:val="2"/>
      <w:sz w:val="18"/>
      <w:szCs w:val="18"/>
    </w:rPr>
  </w:style>
  <w:style w:type="paragraph" w:styleId="31">
    <w:name w:val="List"/>
    <w:basedOn w:val="1"/>
    <w:autoRedefine/>
    <w:qFormat/>
    <w:uiPriority w:val="0"/>
    <w:pPr>
      <w:widowControl w:val="0"/>
      <w:adjustRightInd/>
      <w:snapToGrid/>
      <w:spacing w:after="0" w:line="340" w:lineRule="exact"/>
      <w:jc w:val="both"/>
    </w:pPr>
    <w:rPr>
      <w:rFonts w:ascii="Times New Roman" w:hAnsi="Times New Roman" w:eastAsia="楷体_GB2312" w:cs="Times New Roman"/>
      <w:kern w:val="2"/>
      <w:sz w:val="24"/>
      <w:szCs w:val="20"/>
    </w:rPr>
  </w:style>
  <w:style w:type="paragraph" w:styleId="32">
    <w:name w:val="toc 6"/>
    <w:basedOn w:val="1"/>
    <w:next w:val="1"/>
    <w:autoRedefine/>
    <w:qFormat/>
    <w:uiPriority w:val="0"/>
    <w:pPr>
      <w:widowControl w:val="0"/>
      <w:adjustRightInd/>
      <w:snapToGrid/>
      <w:spacing w:after="0"/>
      <w:ind w:left="1050"/>
    </w:pPr>
    <w:rPr>
      <w:rFonts w:ascii="Times New Roman" w:hAnsi="Times New Roman" w:eastAsia="宋体" w:cs="Times New Roman"/>
      <w:kern w:val="2"/>
      <w:sz w:val="18"/>
      <w:szCs w:val="18"/>
    </w:rPr>
  </w:style>
  <w:style w:type="paragraph" w:styleId="33">
    <w:name w:val="Body Text Indent 3"/>
    <w:basedOn w:val="1"/>
    <w:link w:val="74"/>
    <w:autoRedefine/>
    <w:qFormat/>
    <w:uiPriority w:val="0"/>
    <w:pPr>
      <w:widowControl w:val="0"/>
      <w:adjustRightInd/>
      <w:snapToGrid/>
      <w:spacing w:after="0" w:line="480" w:lineRule="exact"/>
      <w:ind w:firstLine="420" w:firstLineChars="200"/>
      <w:jc w:val="both"/>
    </w:pPr>
    <w:rPr>
      <w:rFonts w:ascii="宋体" w:hAnsi="Courier New" w:eastAsia="宋体" w:cs="Courier New"/>
      <w:kern w:val="2"/>
      <w:sz w:val="21"/>
      <w:szCs w:val="24"/>
    </w:rPr>
  </w:style>
  <w:style w:type="paragraph" w:styleId="34">
    <w:name w:val="toc 9"/>
    <w:basedOn w:val="1"/>
    <w:next w:val="1"/>
    <w:autoRedefine/>
    <w:qFormat/>
    <w:uiPriority w:val="0"/>
    <w:pPr>
      <w:widowControl w:val="0"/>
      <w:adjustRightInd/>
      <w:snapToGrid/>
      <w:spacing w:after="0"/>
      <w:ind w:left="1680"/>
    </w:pPr>
    <w:rPr>
      <w:rFonts w:ascii="Times New Roman" w:hAnsi="Times New Roman" w:eastAsia="宋体" w:cs="Times New Roman"/>
      <w:kern w:val="2"/>
      <w:sz w:val="18"/>
      <w:szCs w:val="18"/>
    </w:rPr>
  </w:style>
  <w:style w:type="paragraph" w:styleId="35">
    <w:name w:val="Body Text 2"/>
    <w:basedOn w:val="1"/>
    <w:link w:val="65"/>
    <w:autoRedefine/>
    <w:qFormat/>
    <w:uiPriority w:val="0"/>
    <w:pPr>
      <w:widowControl w:val="0"/>
      <w:adjustRightInd/>
      <w:snapToGrid/>
      <w:spacing w:after="0" w:line="280" w:lineRule="exact"/>
      <w:jc w:val="center"/>
    </w:pPr>
    <w:rPr>
      <w:rFonts w:ascii="Times New Roman" w:hAnsi="Times New Roman" w:eastAsia="宋体" w:cs="Times New Roman"/>
      <w:kern w:val="2"/>
      <w:sz w:val="21"/>
      <w:szCs w:val="24"/>
    </w:rPr>
  </w:style>
  <w:style w:type="paragraph" w:styleId="36">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paragraph" w:styleId="37">
    <w:name w:val="annotation subject"/>
    <w:basedOn w:val="15"/>
    <w:next w:val="15"/>
    <w:link w:val="73"/>
    <w:autoRedefine/>
    <w:semiHidden/>
    <w:qFormat/>
    <w:uiPriority w:val="0"/>
    <w:rPr>
      <w:b/>
      <w:bCs/>
    </w:rPr>
  </w:style>
  <w:style w:type="table" w:styleId="39">
    <w:name w:val="Table Grid"/>
    <w:basedOn w:val="3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page number"/>
    <w:basedOn w:val="40"/>
    <w:autoRedefine/>
    <w:qFormat/>
    <w:uiPriority w:val="0"/>
  </w:style>
  <w:style w:type="character" w:styleId="43">
    <w:name w:val="FollowedHyperlink"/>
    <w:autoRedefine/>
    <w:qFormat/>
    <w:uiPriority w:val="0"/>
    <w:rPr>
      <w:color w:val="800080"/>
      <w:u w:val="single"/>
    </w:rPr>
  </w:style>
  <w:style w:type="character" w:styleId="44">
    <w:name w:val="Hyperlink"/>
    <w:qFormat/>
    <w:uiPriority w:val="99"/>
    <w:rPr>
      <w:color w:val="0000FF"/>
      <w:u w:val="single"/>
    </w:rPr>
  </w:style>
  <w:style w:type="character" w:styleId="45">
    <w:name w:val="annotation reference"/>
    <w:autoRedefine/>
    <w:qFormat/>
    <w:uiPriority w:val="0"/>
    <w:rPr>
      <w:sz w:val="21"/>
      <w:szCs w:val="21"/>
    </w:rPr>
  </w:style>
  <w:style w:type="character" w:customStyle="1" w:styleId="46">
    <w:name w:val="标题 1 字符"/>
    <w:basedOn w:val="40"/>
    <w:qFormat/>
    <w:uiPriority w:val="0"/>
    <w:rPr>
      <w:rFonts w:ascii="黑体" w:hAnsi="Times New Roman" w:eastAsia="黑体" w:cs="Times New Roman"/>
      <w:sz w:val="36"/>
      <w:szCs w:val="20"/>
    </w:rPr>
  </w:style>
  <w:style w:type="character" w:customStyle="1" w:styleId="47">
    <w:name w:val="标题 2 字符"/>
    <w:link w:val="3"/>
    <w:qFormat/>
    <w:uiPriority w:val="0"/>
    <w:rPr>
      <w:rFonts w:ascii="Arial" w:hAnsi="Arial" w:eastAsia="黑体" w:cs="Times New Roman"/>
      <w:bCs/>
      <w:sz w:val="32"/>
      <w:szCs w:val="32"/>
    </w:rPr>
  </w:style>
  <w:style w:type="paragraph" w:customStyle="1" w:styleId="48">
    <w:name w:val="NormalIndent"/>
    <w:basedOn w:val="1"/>
    <w:autoRedefine/>
    <w:qFormat/>
    <w:uiPriority w:val="0"/>
    <w:pPr>
      <w:ind w:firstLine="420"/>
    </w:pPr>
    <w:rPr>
      <w:szCs w:val="21"/>
    </w:rPr>
  </w:style>
  <w:style w:type="character" w:customStyle="1" w:styleId="49">
    <w:name w:val="页眉 字符"/>
    <w:basedOn w:val="40"/>
    <w:link w:val="28"/>
    <w:semiHidden/>
    <w:qFormat/>
    <w:uiPriority w:val="99"/>
    <w:rPr>
      <w:rFonts w:ascii="Tahoma" w:hAnsi="Tahoma"/>
      <w:sz w:val="18"/>
      <w:szCs w:val="18"/>
    </w:rPr>
  </w:style>
  <w:style w:type="character" w:customStyle="1" w:styleId="50">
    <w:name w:val="页脚 字符"/>
    <w:basedOn w:val="40"/>
    <w:link w:val="27"/>
    <w:semiHidden/>
    <w:qFormat/>
    <w:uiPriority w:val="99"/>
    <w:rPr>
      <w:rFonts w:ascii="Tahoma" w:hAnsi="Tahoma"/>
      <w:sz w:val="18"/>
      <w:szCs w:val="18"/>
    </w:rPr>
  </w:style>
  <w:style w:type="character" w:customStyle="1" w:styleId="51">
    <w:name w:val="标题 2 Char"/>
    <w:basedOn w:val="40"/>
    <w:autoRedefine/>
    <w:qFormat/>
    <w:uiPriority w:val="0"/>
    <w:rPr>
      <w:rFonts w:asciiTheme="majorHAnsi" w:hAnsiTheme="majorHAnsi" w:eastAsiaTheme="majorEastAsia" w:cstheme="majorBidi"/>
      <w:b/>
      <w:bCs/>
      <w:sz w:val="32"/>
      <w:szCs w:val="32"/>
    </w:rPr>
  </w:style>
  <w:style w:type="character" w:customStyle="1" w:styleId="52">
    <w:name w:val="标题 3 字符"/>
    <w:basedOn w:val="40"/>
    <w:link w:val="4"/>
    <w:autoRedefine/>
    <w:qFormat/>
    <w:uiPriority w:val="0"/>
    <w:rPr>
      <w:rFonts w:ascii="宋体" w:hAnsi="宋体" w:eastAsia="宋体" w:cs="Times New Roman"/>
      <w:bCs/>
      <w:sz w:val="30"/>
      <w:szCs w:val="32"/>
    </w:rPr>
  </w:style>
  <w:style w:type="character" w:customStyle="1" w:styleId="53">
    <w:name w:val="标题 4 字符"/>
    <w:basedOn w:val="40"/>
    <w:link w:val="5"/>
    <w:autoRedefine/>
    <w:qFormat/>
    <w:uiPriority w:val="0"/>
    <w:rPr>
      <w:rFonts w:ascii="Cambria" w:hAnsi="Cambria" w:eastAsia="宋体" w:cs="Times New Roman"/>
      <w:b/>
      <w:bCs/>
      <w:kern w:val="2"/>
      <w:sz w:val="28"/>
      <w:szCs w:val="28"/>
    </w:rPr>
  </w:style>
  <w:style w:type="character" w:customStyle="1" w:styleId="54">
    <w:name w:val="标题 5 字符"/>
    <w:basedOn w:val="40"/>
    <w:link w:val="6"/>
    <w:autoRedefine/>
    <w:qFormat/>
    <w:uiPriority w:val="0"/>
    <w:rPr>
      <w:rFonts w:ascii="Times New Roman" w:hAnsi="Times New Roman" w:eastAsia="宋体" w:cs="Times New Roman"/>
      <w:b/>
      <w:bCs/>
      <w:kern w:val="2"/>
      <w:sz w:val="28"/>
      <w:szCs w:val="28"/>
    </w:rPr>
  </w:style>
  <w:style w:type="character" w:customStyle="1" w:styleId="55">
    <w:name w:val="标题 6 字符"/>
    <w:basedOn w:val="40"/>
    <w:link w:val="7"/>
    <w:autoRedefine/>
    <w:qFormat/>
    <w:uiPriority w:val="0"/>
    <w:rPr>
      <w:rFonts w:ascii="Arial" w:hAnsi="Arial" w:eastAsia="黑体" w:cs="Times New Roman"/>
      <w:b/>
      <w:bCs/>
      <w:sz w:val="24"/>
      <w:szCs w:val="24"/>
    </w:rPr>
  </w:style>
  <w:style w:type="character" w:customStyle="1" w:styleId="56">
    <w:name w:val="标题 7 字符"/>
    <w:basedOn w:val="40"/>
    <w:link w:val="8"/>
    <w:autoRedefine/>
    <w:qFormat/>
    <w:uiPriority w:val="0"/>
    <w:rPr>
      <w:rFonts w:ascii="Times New Roman" w:hAnsi="Times New Roman" w:eastAsia="宋体" w:cs="Times New Roman"/>
      <w:b/>
      <w:bCs/>
      <w:sz w:val="24"/>
      <w:szCs w:val="24"/>
    </w:rPr>
  </w:style>
  <w:style w:type="character" w:customStyle="1" w:styleId="57">
    <w:name w:val="标题 8 字符"/>
    <w:basedOn w:val="40"/>
    <w:link w:val="9"/>
    <w:autoRedefine/>
    <w:qFormat/>
    <w:uiPriority w:val="0"/>
    <w:rPr>
      <w:rFonts w:ascii="Arial" w:hAnsi="Arial" w:eastAsia="黑体" w:cs="Times New Roman"/>
      <w:sz w:val="24"/>
      <w:szCs w:val="24"/>
    </w:rPr>
  </w:style>
  <w:style w:type="character" w:customStyle="1" w:styleId="58">
    <w:name w:val="标题 9 字符"/>
    <w:basedOn w:val="40"/>
    <w:link w:val="10"/>
    <w:autoRedefine/>
    <w:qFormat/>
    <w:uiPriority w:val="0"/>
    <w:rPr>
      <w:rFonts w:ascii="Arial" w:hAnsi="Arial" w:eastAsia="黑体" w:cs="Times New Roman"/>
      <w:sz w:val="21"/>
      <w:szCs w:val="21"/>
    </w:rPr>
  </w:style>
  <w:style w:type="character" w:customStyle="1" w:styleId="59">
    <w:name w:val="样式 标题 3 + 五号 黑色 Char"/>
    <w:link w:val="60"/>
    <w:qFormat/>
    <w:uiPriority w:val="0"/>
    <w:rPr>
      <w:rFonts w:ascii="宋体" w:hAnsi="宋体"/>
      <w:bCs/>
      <w:color w:val="000000"/>
      <w:sz w:val="28"/>
      <w:szCs w:val="32"/>
    </w:rPr>
  </w:style>
  <w:style w:type="paragraph" w:customStyle="1" w:styleId="60">
    <w:name w:val="样式 标题 3 + 五号 黑色"/>
    <w:basedOn w:val="4"/>
    <w:link w:val="59"/>
    <w:qFormat/>
    <w:uiPriority w:val="0"/>
    <w:rPr>
      <w:rFonts w:hint="default" w:eastAsia="微软雅黑" w:cstheme="minorBidi"/>
      <w:color w:val="000000"/>
      <w:sz w:val="28"/>
    </w:rPr>
  </w:style>
  <w:style w:type="character" w:customStyle="1" w:styleId="61">
    <w:name w:val="标题 2 Char Char"/>
    <w:qFormat/>
    <w:uiPriority w:val="0"/>
    <w:rPr>
      <w:rFonts w:ascii="Arial" w:hAnsi="Arial" w:eastAsia="黑体"/>
      <w:bCs/>
      <w:sz w:val="32"/>
      <w:szCs w:val="32"/>
      <w:lang w:val="en-US" w:eastAsia="zh-CN" w:bidi="ar-SA"/>
    </w:rPr>
  </w:style>
  <w:style w:type="character" w:customStyle="1" w:styleId="62">
    <w:name w:val="纯文本 字符"/>
    <w:link w:val="22"/>
    <w:qFormat/>
    <w:uiPriority w:val="99"/>
    <w:rPr>
      <w:rFonts w:ascii="宋体" w:hAnsi="Courier New" w:eastAsia="宋体"/>
      <w:kern w:val="2"/>
      <w:sz w:val="21"/>
    </w:rPr>
  </w:style>
  <w:style w:type="character" w:customStyle="1" w:styleId="63">
    <w:name w:val="样式 标题 2 Char"/>
    <w:basedOn w:val="47"/>
    <w:link w:val="64"/>
    <w:qFormat/>
    <w:uiPriority w:val="0"/>
    <w:rPr>
      <w:rFonts w:ascii="Arial" w:hAnsi="Arial" w:eastAsia="黑体" w:cs="Times New Roman"/>
      <w:sz w:val="32"/>
      <w:szCs w:val="32"/>
    </w:rPr>
  </w:style>
  <w:style w:type="paragraph" w:customStyle="1" w:styleId="64">
    <w:name w:val="样式 标题 2"/>
    <w:basedOn w:val="3"/>
    <w:link w:val="63"/>
    <w:qFormat/>
    <w:uiPriority w:val="0"/>
  </w:style>
  <w:style w:type="character" w:customStyle="1" w:styleId="65">
    <w:name w:val="正文文本 2 字符"/>
    <w:basedOn w:val="40"/>
    <w:link w:val="35"/>
    <w:qFormat/>
    <w:uiPriority w:val="0"/>
    <w:rPr>
      <w:rFonts w:ascii="Times New Roman" w:hAnsi="Times New Roman" w:eastAsia="宋体" w:cs="Times New Roman"/>
      <w:kern w:val="2"/>
      <w:sz w:val="21"/>
      <w:szCs w:val="24"/>
    </w:rPr>
  </w:style>
  <w:style w:type="character" w:customStyle="1" w:styleId="66">
    <w:name w:val="批注文字 字符"/>
    <w:basedOn w:val="40"/>
    <w:link w:val="15"/>
    <w:qFormat/>
    <w:uiPriority w:val="0"/>
    <w:rPr>
      <w:rFonts w:ascii="Times New Roman" w:hAnsi="Times New Roman" w:eastAsia="宋体" w:cs="Times New Roman"/>
      <w:kern w:val="2"/>
      <w:sz w:val="21"/>
      <w:szCs w:val="24"/>
    </w:rPr>
  </w:style>
  <w:style w:type="character" w:customStyle="1" w:styleId="67">
    <w:name w:val="正文文本缩进 字符"/>
    <w:basedOn w:val="40"/>
    <w:link w:val="18"/>
    <w:qFormat/>
    <w:uiPriority w:val="0"/>
    <w:rPr>
      <w:rFonts w:ascii="宋体" w:hAnsi="宋体" w:eastAsia="宋体" w:cs="Courier New"/>
      <w:spacing w:val="2"/>
      <w:kern w:val="2"/>
      <w:sz w:val="21"/>
      <w:szCs w:val="24"/>
    </w:rPr>
  </w:style>
  <w:style w:type="paragraph" w:customStyle="1" w:styleId="68">
    <w:name w:val="样式 样式16 + 首行缩进:  2 字符"/>
    <w:basedOn w:val="1"/>
    <w:qFormat/>
    <w:uiPriority w:val="0"/>
    <w:pPr>
      <w:widowControl w:val="0"/>
      <w:adjustRightInd/>
      <w:snapToGrid/>
      <w:spacing w:after="0" w:line="400" w:lineRule="exact"/>
      <w:ind w:firstLine="200" w:firstLineChars="200"/>
      <w:jc w:val="both"/>
    </w:pPr>
    <w:rPr>
      <w:rFonts w:ascii="汉仪中宋简" w:hAnsi="宋体" w:eastAsia="汉仪字典宋简" w:cs="Times New Roman"/>
      <w:b/>
      <w:bCs/>
      <w:spacing w:val="2"/>
      <w:kern w:val="2"/>
      <w:sz w:val="24"/>
      <w:szCs w:val="20"/>
    </w:rPr>
  </w:style>
  <w:style w:type="paragraph" w:customStyle="1" w:styleId="69">
    <w:name w:val="图"/>
    <w:basedOn w:val="1"/>
    <w:qFormat/>
    <w:uiPriority w:val="0"/>
    <w:pPr>
      <w:keepNext/>
      <w:widowControl w:val="0"/>
      <w:spacing w:before="60" w:after="60" w:line="300" w:lineRule="auto"/>
      <w:jc w:val="center"/>
    </w:pPr>
    <w:rPr>
      <w:rFonts w:ascii="Times New Roman" w:hAnsi="Times New Roman" w:eastAsia="宋体" w:cs="Times New Roman"/>
      <w:spacing w:val="20"/>
      <w:sz w:val="24"/>
      <w:szCs w:val="20"/>
    </w:rPr>
  </w:style>
  <w:style w:type="paragraph" w:customStyle="1" w:styleId="70">
    <w:name w:val="_Style 32"/>
    <w:basedOn w:val="1"/>
    <w:qFormat/>
    <w:uiPriority w:val="0"/>
    <w:pPr>
      <w:widowControl w:val="0"/>
      <w:adjustRightInd/>
      <w:snapToGrid/>
      <w:spacing w:after="0"/>
      <w:jc w:val="both"/>
    </w:pPr>
    <w:rPr>
      <w:rFonts w:ascii="Times New Roman" w:hAnsi="Times New Roman" w:eastAsia="宋体" w:cs="Times New Roman"/>
      <w:sz w:val="24"/>
      <w:szCs w:val="20"/>
    </w:rPr>
  </w:style>
  <w:style w:type="character" w:customStyle="1" w:styleId="71">
    <w:name w:val="正文文本缩进 2 字符"/>
    <w:basedOn w:val="40"/>
    <w:link w:val="25"/>
    <w:qFormat/>
    <w:uiPriority w:val="0"/>
    <w:rPr>
      <w:rFonts w:ascii="Times New Roman" w:hAnsi="Times New Roman" w:eastAsia="宋体" w:cs="Times New Roman"/>
      <w:kern w:val="2"/>
      <w:sz w:val="21"/>
      <w:szCs w:val="24"/>
    </w:rPr>
  </w:style>
  <w:style w:type="character" w:customStyle="1" w:styleId="72">
    <w:name w:val="批注框文本 字符"/>
    <w:basedOn w:val="40"/>
    <w:link w:val="26"/>
    <w:qFormat/>
    <w:uiPriority w:val="0"/>
    <w:rPr>
      <w:rFonts w:ascii="Times New Roman" w:hAnsi="Times New Roman" w:eastAsia="宋体" w:cs="Times New Roman"/>
      <w:kern w:val="2"/>
      <w:sz w:val="18"/>
      <w:szCs w:val="18"/>
    </w:rPr>
  </w:style>
  <w:style w:type="character" w:customStyle="1" w:styleId="73">
    <w:name w:val="批注主题 字符"/>
    <w:basedOn w:val="66"/>
    <w:link w:val="37"/>
    <w:semiHidden/>
    <w:qFormat/>
    <w:uiPriority w:val="0"/>
    <w:rPr>
      <w:rFonts w:ascii="Times New Roman" w:hAnsi="Times New Roman" w:eastAsia="宋体" w:cs="Times New Roman"/>
      <w:b/>
      <w:bCs/>
      <w:kern w:val="2"/>
      <w:sz w:val="21"/>
      <w:szCs w:val="24"/>
    </w:rPr>
  </w:style>
  <w:style w:type="character" w:customStyle="1" w:styleId="74">
    <w:name w:val="正文文本缩进 3 字符"/>
    <w:basedOn w:val="40"/>
    <w:link w:val="33"/>
    <w:qFormat/>
    <w:uiPriority w:val="0"/>
    <w:rPr>
      <w:rFonts w:ascii="宋体" w:hAnsi="Courier New" w:eastAsia="宋体" w:cs="Courier New"/>
      <w:kern w:val="2"/>
      <w:sz w:val="21"/>
      <w:szCs w:val="24"/>
    </w:rPr>
  </w:style>
  <w:style w:type="character" w:customStyle="1" w:styleId="75">
    <w:name w:val="正文文本 字符"/>
    <w:basedOn w:val="40"/>
    <w:link w:val="16"/>
    <w:qFormat/>
    <w:uiPriority w:val="0"/>
    <w:rPr>
      <w:rFonts w:ascii="Times New Roman" w:hAnsi="Times New Roman" w:eastAsia="宋体" w:cs="Times New Roman"/>
      <w:kern w:val="2"/>
      <w:sz w:val="52"/>
      <w:szCs w:val="24"/>
    </w:rPr>
  </w:style>
  <w:style w:type="character" w:customStyle="1" w:styleId="76">
    <w:name w:val="文档结构图 字符"/>
    <w:basedOn w:val="40"/>
    <w:link w:val="14"/>
    <w:semiHidden/>
    <w:qFormat/>
    <w:uiPriority w:val="0"/>
    <w:rPr>
      <w:rFonts w:ascii="Times New Roman" w:hAnsi="Times New Roman" w:eastAsia="宋体" w:cs="Times New Roman"/>
      <w:kern w:val="2"/>
      <w:sz w:val="21"/>
      <w:szCs w:val="24"/>
      <w:shd w:val="clear" w:color="auto" w:fill="000080"/>
    </w:rPr>
  </w:style>
  <w:style w:type="character" w:customStyle="1" w:styleId="77">
    <w:name w:val="日期 字符"/>
    <w:basedOn w:val="40"/>
    <w:link w:val="24"/>
    <w:qFormat/>
    <w:uiPriority w:val="0"/>
    <w:rPr>
      <w:rFonts w:ascii="Times New Roman" w:hAnsi="Times New Roman" w:eastAsia="宋体" w:cs="Times New Roman"/>
      <w:kern w:val="2"/>
      <w:sz w:val="21"/>
      <w:szCs w:val="24"/>
    </w:rPr>
  </w:style>
  <w:style w:type="character" w:customStyle="1" w:styleId="78">
    <w:name w:val="纯文本 Char"/>
    <w:basedOn w:val="40"/>
    <w:qFormat/>
    <w:uiPriority w:val="0"/>
    <w:rPr>
      <w:rFonts w:ascii="宋体" w:hAnsi="Courier New" w:eastAsia="宋体" w:cs="Courier New"/>
      <w:sz w:val="21"/>
      <w:szCs w:val="21"/>
    </w:rPr>
  </w:style>
  <w:style w:type="paragraph" w:customStyle="1" w:styleId="79">
    <w:name w:val="Char"/>
    <w:basedOn w:val="1"/>
    <w:qFormat/>
    <w:uiPriority w:val="0"/>
    <w:pPr>
      <w:adjustRightInd/>
      <w:snapToGrid/>
      <w:spacing w:after="0" w:line="500" w:lineRule="exact"/>
      <w:jc w:val="both"/>
      <w:outlineLvl w:val="2"/>
    </w:pPr>
    <w:rPr>
      <w:rFonts w:ascii="黑体" w:hAnsi="Verdana" w:eastAsia="黑体" w:cs="黑体"/>
      <w:sz w:val="28"/>
      <w:szCs w:val="28"/>
      <w:lang w:eastAsia="en-US"/>
    </w:rPr>
  </w:style>
  <w:style w:type="paragraph" w:customStyle="1" w:styleId="80">
    <w:name w:val="Char Char Char Char Char Char2 Char"/>
    <w:basedOn w:val="1"/>
    <w:qFormat/>
    <w:uiPriority w:val="0"/>
    <w:pPr>
      <w:widowControl w:val="0"/>
      <w:adjustRightInd/>
      <w:snapToGrid/>
      <w:spacing w:after="0" w:line="360" w:lineRule="auto"/>
      <w:ind w:firstLine="200" w:firstLineChars="200"/>
      <w:jc w:val="both"/>
    </w:pPr>
    <w:rPr>
      <w:rFonts w:ascii="宋体" w:hAnsi="宋体" w:eastAsia="宋体" w:cs="宋体"/>
      <w:kern w:val="2"/>
      <w:sz w:val="24"/>
      <w:szCs w:val="24"/>
    </w:rPr>
  </w:style>
  <w:style w:type="paragraph" w:customStyle="1" w:styleId="81">
    <w:name w:val="Char Char Char Char Char Char Char Char Char Char Char Char Char Char Char Char"/>
    <w:basedOn w:val="1"/>
    <w:qFormat/>
    <w:uiPriority w:val="0"/>
    <w:pPr>
      <w:widowControl w:val="0"/>
      <w:tabs>
        <w:tab w:val="left" w:pos="360"/>
      </w:tabs>
      <w:adjustRightInd/>
      <w:snapToGrid/>
      <w:spacing w:after="0"/>
      <w:jc w:val="both"/>
    </w:pPr>
    <w:rPr>
      <w:rFonts w:ascii="Times New Roman" w:hAnsi="Times New Roman" w:eastAsia="宋体" w:cs="Times New Roman"/>
      <w:kern w:val="2"/>
      <w:sz w:val="24"/>
      <w:szCs w:val="24"/>
    </w:rPr>
  </w:style>
  <w:style w:type="paragraph" w:customStyle="1" w:styleId="82">
    <w:name w:val="样式17"/>
    <w:basedOn w:val="1"/>
    <w:qFormat/>
    <w:uiPriority w:val="0"/>
    <w:pPr>
      <w:widowControl w:val="0"/>
      <w:adjustRightInd/>
      <w:snapToGrid/>
      <w:spacing w:after="0" w:line="500" w:lineRule="exact"/>
      <w:ind w:firstLine="200" w:firstLineChars="200"/>
      <w:jc w:val="both"/>
    </w:pPr>
    <w:rPr>
      <w:rFonts w:ascii="汉仪中宋简" w:hAnsi="宋体" w:eastAsia="汉仪字典宋简" w:cs="Times New Roman"/>
      <w:b/>
      <w:spacing w:val="2"/>
      <w:kern w:val="2"/>
      <w:sz w:val="24"/>
      <w:szCs w:val="20"/>
    </w:rPr>
  </w:style>
  <w:style w:type="paragraph" w:customStyle="1" w:styleId="83">
    <w:name w:val="1"/>
    <w:basedOn w:val="1"/>
    <w:next w:val="22"/>
    <w:qFormat/>
    <w:uiPriority w:val="0"/>
    <w:pPr>
      <w:widowControl w:val="0"/>
      <w:adjustRightInd/>
      <w:snapToGrid/>
      <w:spacing w:after="0"/>
      <w:jc w:val="both"/>
    </w:pPr>
    <w:rPr>
      <w:rFonts w:ascii="宋体" w:hAnsi="Courier New" w:eastAsia="宋体" w:cs="Times New Roman"/>
      <w:kern w:val="2"/>
      <w:sz w:val="21"/>
      <w:szCs w:val="20"/>
    </w:rPr>
  </w:style>
  <w:style w:type="paragraph" w:customStyle="1" w:styleId="84">
    <w:name w:val="Char1 Char Char Char"/>
    <w:basedOn w:val="1"/>
    <w:qFormat/>
    <w:uiPriority w:val="0"/>
    <w:pPr>
      <w:widowControl w:val="0"/>
      <w:adjustRightInd/>
      <w:snapToGrid/>
      <w:spacing w:after="0"/>
      <w:ind w:left="420" w:hanging="420"/>
      <w:jc w:val="both"/>
    </w:pPr>
    <w:rPr>
      <w:rFonts w:ascii="Times New Roman" w:hAnsi="Times New Roman" w:eastAsia="宋体" w:cs="Times New Roman"/>
      <w:kern w:val="2"/>
      <w:sz w:val="24"/>
      <w:szCs w:val="24"/>
    </w:rPr>
  </w:style>
  <w:style w:type="paragraph" w:customStyle="1" w:styleId="85">
    <w:name w:val="样式5"/>
    <w:basedOn w:val="1"/>
    <w:qFormat/>
    <w:uiPriority w:val="0"/>
    <w:pPr>
      <w:widowControl w:val="0"/>
      <w:adjustRightInd/>
      <w:snapToGrid/>
      <w:spacing w:after="0" w:line="440" w:lineRule="exact"/>
      <w:jc w:val="both"/>
    </w:pPr>
    <w:rPr>
      <w:rFonts w:ascii="汉仪中宋简" w:hAnsi="宋体" w:eastAsia="黑体" w:cs="Times New Roman"/>
      <w:kern w:val="2"/>
      <w:sz w:val="28"/>
      <w:szCs w:val="21"/>
    </w:rPr>
  </w:style>
  <w:style w:type="paragraph" w:customStyle="1" w:styleId="86">
    <w:name w:val="样式 样式 样式 样式 汉仪中宋简 (符号) 宋体 首行缩进:  2 字符 + 首行缩进:  2 字符 + 首行缩进:  2 字..."/>
    <w:basedOn w:val="1"/>
    <w:qFormat/>
    <w:uiPriority w:val="0"/>
    <w:pPr>
      <w:widowControl w:val="0"/>
      <w:adjustRightInd/>
      <w:snapToGrid/>
      <w:spacing w:after="0" w:line="440" w:lineRule="exact"/>
      <w:ind w:firstLine="488" w:firstLineChars="200"/>
      <w:jc w:val="both"/>
    </w:pPr>
    <w:rPr>
      <w:rFonts w:ascii="汉仪中宋简" w:hAnsi="宋体" w:eastAsia="汉仪字典宋简" w:cs="Times New Roman"/>
      <w:b/>
      <w:spacing w:val="2"/>
      <w:kern w:val="2"/>
      <w:sz w:val="24"/>
      <w:szCs w:val="20"/>
    </w:rPr>
  </w:style>
  <w:style w:type="paragraph" w:customStyle="1" w:styleId="87">
    <w:name w:val="Char Char Char Char"/>
    <w:basedOn w:val="14"/>
    <w:qFormat/>
    <w:uiPriority w:val="0"/>
    <w:rPr>
      <w:rFonts w:ascii="宋体" w:hAnsi="Courier New"/>
      <w:szCs w:val="20"/>
    </w:rPr>
  </w:style>
  <w:style w:type="paragraph" w:customStyle="1" w:styleId="88">
    <w:name w:val="样式3"/>
    <w:basedOn w:val="22"/>
    <w:qFormat/>
    <w:uiPriority w:val="0"/>
    <w:pPr>
      <w:adjustRightInd w:val="0"/>
      <w:spacing w:line="0" w:lineRule="atLeast"/>
      <w:textAlignment w:val="baseline"/>
      <w:outlineLvl w:val="0"/>
    </w:pPr>
    <w:rPr>
      <w:sz w:val="28"/>
    </w:rPr>
  </w:style>
  <w:style w:type="paragraph" w:customStyle="1" w:styleId="8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90">
    <w:name w:val="Char1"/>
    <w:basedOn w:val="1"/>
    <w:qFormat/>
    <w:uiPriority w:val="0"/>
    <w:pPr>
      <w:adjustRightInd/>
      <w:snapToGrid/>
      <w:spacing w:after="160" w:line="240" w:lineRule="exact"/>
    </w:pPr>
    <w:rPr>
      <w:rFonts w:ascii="Verdana" w:hAnsi="Verdana" w:eastAsia="宋体" w:cs="Times New Roman"/>
      <w:sz w:val="21"/>
      <w:szCs w:val="20"/>
      <w:lang w:eastAsia="en-US"/>
    </w:rPr>
  </w:style>
  <w:style w:type="paragraph" w:customStyle="1" w:styleId="91">
    <w:name w:val="Char Char2 Char Char Char Char Char Char Char Char Char Char Char Char"/>
    <w:basedOn w:val="1"/>
    <w:qFormat/>
    <w:uiPriority w:val="0"/>
    <w:pPr>
      <w:widowControl w:val="0"/>
      <w:adjustRightInd/>
      <w:snapToGrid/>
      <w:spacing w:after="0"/>
      <w:jc w:val="both"/>
    </w:pPr>
    <w:rPr>
      <w:rFonts w:eastAsia="宋体" w:cs="Times New Roman"/>
      <w:kern w:val="2"/>
      <w:sz w:val="24"/>
      <w:szCs w:val="20"/>
    </w:rPr>
  </w:style>
  <w:style w:type="paragraph" w:customStyle="1" w:styleId="92">
    <w:name w:val="Char Char Char2 Char"/>
    <w:basedOn w:val="1"/>
    <w:qFormat/>
    <w:uiPriority w:val="0"/>
    <w:pPr>
      <w:widowControl w:val="0"/>
      <w:tabs>
        <w:tab w:val="left" w:pos="815"/>
      </w:tabs>
      <w:adjustRightInd/>
      <w:snapToGrid/>
      <w:spacing w:after="0"/>
      <w:ind w:left="815" w:hanging="360"/>
      <w:jc w:val="both"/>
    </w:pPr>
    <w:rPr>
      <w:rFonts w:ascii="Times New Roman" w:hAnsi="Times New Roman" w:eastAsia="宋体" w:cs="Times New Roman"/>
      <w:kern w:val="2"/>
      <w:sz w:val="21"/>
      <w:szCs w:val="24"/>
    </w:rPr>
  </w:style>
  <w:style w:type="paragraph" w:customStyle="1" w:styleId="93">
    <w:name w:val="默认段落字体 Para Char Char Char Char Char Char Char Char Char1 Char"/>
    <w:basedOn w:val="14"/>
    <w:qFormat/>
    <w:uiPriority w:val="0"/>
    <w:pPr>
      <w:adjustRightInd w:val="0"/>
      <w:spacing w:line="436" w:lineRule="exact"/>
      <w:ind w:left="357"/>
      <w:jc w:val="left"/>
      <w:outlineLvl w:val="3"/>
    </w:pPr>
    <w:rPr>
      <w:shd w:val="clear" w:color="auto" w:fill="000080"/>
    </w:rPr>
  </w:style>
  <w:style w:type="character" w:customStyle="1" w:styleId="94">
    <w:name w:val="Char Char2"/>
    <w:qFormat/>
    <w:uiPriority w:val="0"/>
    <w:rPr>
      <w:rFonts w:ascii="宋体" w:hAnsi="Courier New" w:eastAsia="宋体" w:cs="Courier New"/>
      <w:szCs w:val="21"/>
    </w:rPr>
  </w:style>
  <w:style w:type="character" w:customStyle="1" w:styleId="95">
    <w:name w:val="普通文字 Char Char2"/>
    <w:qFormat/>
    <w:uiPriority w:val="0"/>
    <w:rPr>
      <w:rFonts w:ascii="宋体" w:hAnsi="宋体"/>
      <w:kern w:val="1"/>
      <w:sz w:val="21"/>
      <w:lang w:eastAsia="ar-SA"/>
    </w:rPr>
  </w:style>
  <w:style w:type="paragraph" w:styleId="96">
    <w:name w:val="List Paragraph"/>
    <w:basedOn w:val="1"/>
    <w:qFormat/>
    <w:uiPriority w:val="34"/>
    <w:pPr>
      <w:ind w:firstLine="420" w:firstLineChars="200"/>
    </w:pPr>
  </w:style>
  <w:style w:type="paragraph" w:customStyle="1" w:styleId="97">
    <w:name w:val="reader-word-layer"/>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98">
    <w:name w:val="纯文本 Char1"/>
    <w:qFormat/>
    <w:uiPriority w:val="0"/>
    <w:rPr>
      <w:rFonts w:ascii="宋体" w:hAnsi="Courier New" w:eastAsia="宋体" w:cs="Courier New"/>
      <w:szCs w:val="21"/>
    </w:rPr>
  </w:style>
  <w:style w:type="character" w:customStyle="1" w:styleId="99">
    <w:name w:val="正文缩进 字符"/>
    <w:link w:val="13"/>
    <w:qFormat/>
    <w:uiPriority w:val="0"/>
    <w:rPr>
      <w:rFonts w:ascii="Times New Roman" w:hAnsi="Times New Roman" w:eastAsia="宋体" w:cs="Times New Roman"/>
      <w:kern w:val="2"/>
      <w:sz w:val="21"/>
      <w:szCs w:val="20"/>
    </w:rPr>
  </w:style>
  <w:style w:type="character" w:customStyle="1" w:styleId="100">
    <w:name w:val="Char Char10"/>
    <w:qFormat/>
    <w:uiPriority w:val="0"/>
    <w:rPr>
      <w:rFonts w:ascii="宋体" w:hAnsi="Courier New" w:eastAsia="宋体" w:cs="Courier New"/>
      <w:kern w:val="2"/>
      <w:sz w:val="21"/>
      <w:szCs w:val="21"/>
      <w:lang w:val="en-US" w:eastAsia="zh-CN" w:bidi="ar-SA"/>
    </w:rPr>
  </w:style>
  <w:style w:type="character" w:customStyle="1" w:styleId="101">
    <w:name w:val="日期 Char1"/>
    <w:qFormat/>
    <w:uiPriority w:val="0"/>
    <w:rPr>
      <w:kern w:val="2"/>
      <w:sz w:val="21"/>
      <w:szCs w:val="24"/>
    </w:rPr>
  </w:style>
  <w:style w:type="paragraph" w:customStyle="1" w:styleId="102">
    <w:name w:val="列出段落2"/>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4">
    <w:name w:val="标题 1 字符1"/>
    <w:link w:val="2"/>
    <w:qFormat/>
    <w:uiPriority w:val="0"/>
    <w:rPr>
      <w:b/>
      <w:bCs/>
      <w:kern w:val="44"/>
      <w:sz w:val="44"/>
      <w:szCs w:val="44"/>
    </w:rPr>
  </w:style>
  <w:style w:type="paragraph" w:customStyle="1" w:styleId="105">
    <w:name w:val="修订1"/>
    <w:hidden/>
    <w:unhideWhenUsed/>
    <w:qFormat/>
    <w:uiPriority w:val="99"/>
    <w:rPr>
      <w:rFonts w:ascii="Tahoma" w:hAnsi="Tahoma" w:eastAsia="微软雅黑" w:cstheme="minorBidi"/>
      <w:sz w:val="22"/>
      <w:szCs w:val="22"/>
      <w:lang w:val="en-US" w:eastAsia="zh-CN" w:bidi="ar-SA"/>
    </w:rPr>
  </w:style>
  <w:style w:type="paragraph" w:customStyle="1" w:styleId="106">
    <w:name w:val="Table Paragraph"/>
    <w:basedOn w:val="1"/>
    <w:autoRedefine/>
    <w:qFormat/>
    <w:uiPriority w:val="1"/>
    <w:rPr>
      <w:rFonts w:ascii="Calibri" w:hAnsi="Calibri"/>
      <w:lang w:eastAsia="en-US"/>
    </w:rPr>
  </w:style>
  <w:style w:type="paragraph" w:customStyle="1" w:styleId="107">
    <w:name w:val="修订2"/>
    <w:hidden/>
    <w:semiHidden/>
    <w:qFormat/>
    <w:uiPriority w:val="99"/>
    <w:rPr>
      <w:rFonts w:ascii="Tahoma" w:hAnsi="Tahoma" w:eastAsia="微软雅黑" w:cstheme="minorBidi"/>
      <w:sz w:val="22"/>
      <w:szCs w:val="22"/>
      <w:lang w:val="en-US" w:eastAsia="zh-CN" w:bidi="ar-SA"/>
    </w:rPr>
  </w:style>
  <w:style w:type="paragraph" w:customStyle="1" w:styleId="108">
    <w:name w:val="无列表1"/>
    <w:semiHidden/>
    <w:qFormat/>
    <w:uiPriority w:val="0"/>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26C11-E4C6-4755-AEF3-FE7769893826}">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79</Pages>
  <Words>6826</Words>
  <Characters>7606</Characters>
  <Lines>416</Lines>
  <Paragraphs>117</Paragraphs>
  <TotalTime>40</TotalTime>
  <ScaleCrop>false</ScaleCrop>
  <LinksUpToDate>false</LinksUpToDate>
  <CharactersWithSpaces>7678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2024-05-20T07:01:00Z</dcterms:created>
  <dc:creator>Administrator</dc:creator>
  <cp:lastModifiedBy>啊榕</cp:lastModifiedBy>
  <cp:lastPrinted>2021-03-05T10:43:00Z</cp:lastPrinted>
  <dcterms:modified xsi:type="dcterms:W3CDTF">2025-11-20T11:24:48Z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CA1FCE56038F42939D347F1E4229CCF1_13</vt:lpwstr>
  </property>
  <property fmtid="{D5CDD505-2E9C-101B-9397-08002B2CF9AE}" pid="4" name="KSOTemplateDocerSaveRecord">
    <vt:lpwstr>eyJoZGlkIjoiYTA5ZmU1YzVlYWNlM2I2N2IxZTRmYWQwNzYzZTNiMTQiLCJ1c2VySWQiOiI3MjM0ODgxNjQifQ==</vt:lpwstr>
  </property>
</Properties>
</file>