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BAE71">
      <w:pPr>
        <w:rPr>
          <w:color w:val="auto"/>
          <w:highlight w:val="none"/>
        </w:rPr>
      </w:pPr>
    </w:p>
    <w:p w14:paraId="5607A7CF">
      <w:pPr>
        <w:jc w:val="center"/>
        <w:rPr>
          <w:rFonts w:hint="eastAsia" w:ascii="Courier New"/>
          <w:color w:val="auto"/>
          <w:sz w:val="52"/>
          <w:highlight w:val="none"/>
        </w:rPr>
      </w:pPr>
    </w:p>
    <w:p w14:paraId="5B46352A">
      <w:pPr>
        <w:jc w:val="center"/>
        <w:rPr>
          <w:color w:val="auto"/>
          <w:highlight w:val="none"/>
        </w:rPr>
      </w:pPr>
    </w:p>
    <w:p w14:paraId="18A4D5C6">
      <w:pPr>
        <w:pStyle w:val="25"/>
        <w:rPr>
          <w:rFonts w:hint="eastAsia"/>
          <w:color w:val="auto"/>
          <w:highlight w:val="none"/>
        </w:rPr>
      </w:pPr>
    </w:p>
    <w:p w14:paraId="525FE2A5">
      <w:pPr>
        <w:jc w:val="center"/>
        <w:outlineLvl w:val="0"/>
        <w:rPr>
          <w:rFonts w:ascii="宋体" w:hAnsi="宋体"/>
          <w:b/>
          <w:bCs/>
          <w:color w:val="auto"/>
          <w:sz w:val="72"/>
          <w:szCs w:val="72"/>
          <w:highlight w:val="none"/>
        </w:rPr>
      </w:pPr>
      <w:bookmarkStart w:id="0" w:name="_Toc29750"/>
      <w:r>
        <w:rPr>
          <w:rFonts w:hint="eastAsia" w:ascii="方正小标宋简体" w:hAnsi="宋体" w:eastAsia="方正小标宋简体"/>
          <w:color w:val="auto"/>
          <w:sz w:val="72"/>
          <w:szCs w:val="72"/>
          <w:highlight w:val="none"/>
        </w:rPr>
        <w:t>云之龙咨询集团有限公司</w:t>
      </w:r>
      <w:bookmarkEnd w:id="0"/>
    </w:p>
    <w:p w14:paraId="2439A8F8">
      <w:pPr>
        <w:jc w:val="center"/>
        <w:rPr>
          <w:rFonts w:ascii="宋体" w:hAnsi="宋体"/>
          <w:b/>
          <w:bCs/>
          <w:color w:val="auto"/>
          <w:sz w:val="72"/>
          <w:szCs w:val="72"/>
          <w:highlight w:val="none"/>
        </w:rPr>
      </w:pPr>
    </w:p>
    <w:p w14:paraId="166FA218">
      <w:pPr>
        <w:spacing w:beforeLines="50" w:line="360" w:lineRule="auto"/>
        <w:jc w:val="center"/>
        <w:rPr>
          <w:rFonts w:ascii="华文新魏" w:hAnsi="宋体" w:eastAsia="华文新魏" w:cs="Times New Roman"/>
          <w:color w:val="auto"/>
          <w:sz w:val="72"/>
          <w:szCs w:val="72"/>
          <w:highlight w:val="none"/>
        </w:rPr>
      </w:pPr>
      <w:r>
        <w:rPr>
          <w:rFonts w:hint="eastAsia" w:ascii="华文新魏" w:hAnsi="宋体" w:eastAsia="华文新魏" w:cs="Times New Roman"/>
          <w:color w:val="auto"/>
          <w:sz w:val="72"/>
          <w:szCs w:val="72"/>
          <w:highlight w:val="none"/>
        </w:rPr>
        <w:t>单一来源采购文件</w:t>
      </w:r>
    </w:p>
    <w:p w14:paraId="34147CFF">
      <w:pPr>
        <w:spacing w:beforeLines="50" w:line="360" w:lineRule="auto"/>
        <w:jc w:val="center"/>
        <w:outlineLvl w:val="0"/>
        <w:rPr>
          <w:rFonts w:ascii="仿宋_GB2312" w:hAnsi="宋体" w:eastAsia="仿宋_GB2312" w:cs="Times New Roman"/>
          <w:b/>
          <w:color w:val="auto"/>
          <w:sz w:val="48"/>
          <w:szCs w:val="48"/>
          <w:highlight w:val="none"/>
        </w:rPr>
      </w:pPr>
      <w:bookmarkStart w:id="1" w:name="_Toc10396"/>
      <w:r>
        <w:rPr>
          <w:rFonts w:hint="eastAsia" w:ascii="仿宋_GB2312" w:hAnsi="宋体" w:eastAsia="仿宋_GB2312" w:cs="Times New Roman"/>
          <w:b/>
          <w:color w:val="auto"/>
          <w:sz w:val="48"/>
          <w:szCs w:val="48"/>
          <w:highlight w:val="none"/>
        </w:rPr>
        <w:t>（全流程电子化采购）</w:t>
      </w:r>
      <w:bookmarkEnd w:id="1"/>
    </w:p>
    <w:p w14:paraId="36ED7FBE">
      <w:pPr>
        <w:ind w:firstLine="2412" w:firstLineChars="754"/>
        <w:rPr>
          <w:rFonts w:ascii="宋体" w:hAnsi="宋体"/>
          <w:color w:val="auto"/>
          <w:sz w:val="32"/>
          <w:highlight w:val="none"/>
        </w:rPr>
      </w:pPr>
    </w:p>
    <w:p w14:paraId="73388414">
      <w:pPr>
        <w:spacing w:line="360" w:lineRule="auto"/>
        <w:ind w:firstLine="753" w:firstLineChars="250"/>
        <w:rPr>
          <w:rFonts w:hint="eastAsia" w:ascii="仿宋" w:hAnsi="仿宋" w:eastAsia="仿宋" w:cs="仿宋"/>
          <w:b/>
          <w:bCs/>
          <w:color w:val="auto"/>
          <w:sz w:val="30"/>
          <w:szCs w:val="30"/>
          <w:highlight w:val="none"/>
        </w:rPr>
      </w:pPr>
    </w:p>
    <w:p w14:paraId="411C30EA">
      <w:pPr>
        <w:spacing w:line="360" w:lineRule="auto"/>
        <w:ind w:firstLine="753" w:firstLineChars="250"/>
        <w:rPr>
          <w:rFonts w:hint="eastAsia" w:ascii="仿宋" w:hAnsi="仿宋" w:eastAsia="仿宋" w:cs="仿宋"/>
          <w:b/>
          <w:bCs/>
          <w:color w:val="auto"/>
          <w:sz w:val="30"/>
          <w:szCs w:val="30"/>
          <w:highlight w:val="none"/>
          <w:u w:val="single"/>
          <w:lang w:eastAsia="zh-CN"/>
        </w:rPr>
      </w:pPr>
      <w:r>
        <w:rPr>
          <w:rFonts w:hint="eastAsia" w:ascii="仿宋" w:hAnsi="仿宋" w:eastAsia="仿宋" w:cs="仿宋"/>
          <w:b/>
          <w:bCs/>
          <w:color w:val="auto"/>
          <w:sz w:val="30"/>
          <w:szCs w:val="30"/>
          <w:highlight w:val="none"/>
        </w:rPr>
        <w:t>项目名称：</w:t>
      </w:r>
      <w:r>
        <w:rPr>
          <w:rFonts w:hint="eastAsia" w:ascii="仿宋" w:hAnsi="仿宋" w:eastAsia="仿宋" w:cs="仿宋"/>
          <w:b/>
          <w:bCs/>
          <w:color w:val="auto"/>
          <w:sz w:val="30"/>
          <w:szCs w:val="30"/>
          <w:highlight w:val="none"/>
          <w:lang w:eastAsia="zh-CN"/>
        </w:rPr>
        <w:t>贵港市港北区人民医院信息系统升级建设项目</w:t>
      </w:r>
    </w:p>
    <w:p w14:paraId="238C9967">
      <w:pPr>
        <w:spacing w:line="360" w:lineRule="auto"/>
        <w:ind w:left="-2" w:leftChars="-1" w:firstLine="753" w:firstLineChars="250"/>
        <w:outlineLvl w:val="0"/>
        <w:rPr>
          <w:color w:val="auto"/>
          <w:highlight w:val="none"/>
          <w:lang w:eastAsia="zh-CN"/>
        </w:rPr>
      </w:pPr>
      <w:bookmarkStart w:id="2" w:name="_Toc2011"/>
      <w:r>
        <w:rPr>
          <w:rFonts w:hint="eastAsia" w:ascii="仿宋" w:hAnsi="仿宋" w:eastAsia="仿宋" w:cs="仿宋"/>
          <w:b/>
          <w:bCs/>
          <w:color w:val="auto"/>
          <w:sz w:val="30"/>
          <w:szCs w:val="30"/>
          <w:highlight w:val="none"/>
        </w:rPr>
        <w:t>项目编号：</w:t>
      </w:r>
      <w:bookmarkEnd w:id="2"/>
      <w:r>
        <w:rPr>
          <w:rFonts w:hint="eastAsia" w:ascii="仿宋" w:hAnsi="仿宋" w:eastAsia="仿宋" w:cs="仿宋"/>
          <w:b/>
          <w:bCs/>
          <w:color w:val="auto"/>
          <w:sz w:val="30"/>
          <w:szCs w:val="30"/>
          <w:highlight w:val="none"/>
          <w:lang w:eastAsia="zh-CN"/>
        </w:rPr>
        <w:t>GGZC2025-D3-020098-YZLZ</w:t>
      </w:r>
    </w:p>
    <w:p w14:paraId="02C2B0B3">
      <w:pPr>
        <w:spacing w:line="360" w:lineRule="auto"/>
        <w:ind w:left="-2" w:leftChars="-1" w:firstLine="753" w:firstLineChars="250"/>
        <w:outlineLvl w:val="0"/>
        <w:rPr>
          <w:rFonts w:hint="eastAsia" w:ascii="仿宋" w:hAnsi="仿宋" w:eastAsia="仿宋" w:cs="仿宋"/>
          <w:b/>
          <w:bCs/>
          <w:color w:val="auto"/>
          <w:sz w:val="30"/>
          <w:szCs w:val="30"/>
          <w:highlight w:val="none"/>
          <w:lang w:eastAsia="zh-CN"/>
        </w:rPr>
      </w:pPr>
      <w:bookmarkStart w:id="3" w:name="_Toc5500"/>
      <w:r>
        <w:rPr>
          <w:rFonts w:hint="eastAsia" w:ascii="仿宋" w:hAnsi="仿宋" w:eastAsia="仿宋" w:cs="仿宋"/>
          <w:b/>
          <w:bCs/>
          <w:color w:val="auto"/>
          <w:sz w:val="30"/>
          <w:szCs w:val="30"/>
          <w:highlight w:val="none"/>
        </w:rPr>
        <w:t>采购单位：</w:t>
      </w:r>
      <w:bookmarkEnd w:id="3"/>
      <w:bookmarkStart w:id="4" w:name="_Toc18542"/>
      <w:r>
        <w:rPr>
          <w:rFonts w:hint="eastAsia" w:ascii="仿宋" w:hAnsi="仿宋" w:eastAsia="仿宋" w:cs="仿宋"/>
          <w:b/>
          <w:bCs/>
          <w:color w:val="auto"/>
          <w:sz w:val="30"/>
          <w:szCs w:val="30"/>
          <w:highlight w:val="none"/>
          <w:lang w:eastAsia="zh-CN"/>
        </w:rPr>
        <w:t>贵港市港北区人民医院</w:t>
      </w:r>
    </w:p>
    <w:p w14:paraId="18DE35A5">
      <w:pPr>
        <w:spacing w:line="360" w:lineRule="auto"/>
        <w:ind w:left="-2" w:leftChars="-1" w:firstLine="753" w:firstLineChars="250"/>
        <w:outlineLvl w:val="0"/>
        <w:rPr>
          <w:rFonts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rPr>
        <w:t>采购代理机构：</w:t>
      </w:r>
      <w:r>
        <w:rPr>
          <w:rFonts w:hint="eastAsia" w:ascii="仿宋" w:hAnsi="仿宋" w:eastAsia="仿宋" w:cs="仿宋"/>
          <w:b/>
          <w:bCs/>
          <w:color w:val="auto"/>
          <w:sz w:val="30"/>
          <w:szCs w:val="30"/>
          <w:highlight w:val="none"/>
          <w:lang w:eastAsia="zh-CN"/>
        </w:rPr>
        <w:t>云之龙咨询集团有限公司</w:t>
      </w:r>
      <w:bookmarkEnd w:id="4"/>
    </w:p>
    <w:p w14:paraId="3BC62465">
      <w:pPr>
        <w:pStyle w:val="7"/>
        <w:rPr>
          <w:color w:val="auto"/>
          <w:highlight w:val="none"/>
          <w:lang w:eastAsia="zh-CN"/>
        </w:rPr>
      </w:pPr>
    </w:p>
    <w:p w14:paraId="67907223">
      <w:pPr>
        <w:rPr>
          <w:color w:val="auto"/>
          <w:highlight w:val="none"/>
          <w:lang w:eastAsia="zh-CN"/>
        </w:rPr>
      </w:pPr>
    </w:p>
    <w:p w14:paraId="5DAF8F22">
      <w:pPr>
        <w:rPr>
          <w:color w:val="auto"/>
          <w:highlight w:val="none"/>
          <w:lang w:eastAsia="zh-CN"/>
        </w:rPr>
      </w:pPr>
    </w:p>
    <w:p w14:paraId="4C18EDDB">
      <w:pPr>
        <w:spacing w:line="440" w:lineRule="exact"/>
        <w:jc w:val="cente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pacing w:val="-8"/>
          <w:sz w:val="30"/>
          <w:szCs w:val="30"/>
          <w:highlight w:val="none"/>
        </w:rPr>
        <w:t>20</w:t>
      </w:r>
      <w:r>
        <w:rPr>
          <w:rFonts w:hint="eastAsia" w:ascii="仿宋" w:hAnsi="仿宋" w:eastAsia="仿宋" w:cs="仿宋"/>
          <w:b/>
          <w:bCs/>
          <w:color w:val="auto"/>
          <w:spacing w:val="-8"/>
          <w:sz w:val="30"/>
          <w:szCs w:val="30"/>
          <w:highlight w:val="none"/>
          <w:lang w:eastAsia="zh-CN"/>
        </w:rPr>
        <w:t>2</w:t>
      </w:r>
      <w:r>
        <w:rPr>
          <w:rFonts w:hint="eastAsia" w:ascii="仿宋" w:hAnsi="仿宋" w:eastAsia="仿宋" w:cs="仿宋"/>
          <w:b/>
          <w:bCs/>
          <w:color w:val="auto"/>
          <w:spacing w:val="-8"/>
          <w:sz w:val="30"/>
          <w:szCs w:val="30"/>
          <w:highlight w:val="none"/>
          <w:lang w:val="en-US" w:eastAsia="zh-CN"/>
        </w:rPr>
        <w:t>5</w:t>
      </w:r>
      <w:r>
        <w:rPr>
          <w:rFonts w:hint="eastAsia" w:ascii="仿宋" w:hAnsi="仿宋" w:eastAsia="仿宋" w:cs="仿宋"/>
          <w:b/>
          <w:bCs/>
          <w:color w:val="auto"/>
          <w:spacing w:val="-8"/>
          <w:sz w:val="30"/>
          <w:szCs w:val="30"/>
          <w:highlight w:val="none"/>
        </w:rPr>
        <w:t>年</w:t>
      </w:r>
      <w:r>
        <w:rPr>
          <w:rFonts w:hint="eastAsia" w:ascii="仿宋" w:hAnsi="仿宋" w:eastAsia="仿宋" w:cs="仿宋"/>
          <w:b/>
          <w:bCs/>
          <w:color w:val="auto"/>
          <w:spacing w:val="-8"/>
          <w:sz w:val="30"/>
          <w:szCs w:val="30"/>
          <w:highlight w:val="none"/>
          <w:lang w:val="en-US" w:eastAsia="zh-CN"/>
        </w:rPr>
        <w:t>11</w:t>
      </w:r>
      <w:r>
        <w:rPr>
          <w:rFonts w:hint="eastAsia" w:ascii="仿宋" w:hAnsi="仿宋" w:eastAsia="仿宋" w:cs="仿宋"/>
          <w:b/>
          <w:bCs/>
          <w:color w:val="auto"/>
          <w:sz w:val="30"/>
          <w:szCs w:val="30"/>
          <w:highlight w:val="none"/>
        </w:rPr>
        <w:t>月</w:t>
      </w:r>
    </w:p>
    <w:p w14:paraId="2F713BEE">
      <w:pPr>
        <w:pStyle w:val="17"/>
        <w:rPr>
          <w:color w:val="auto"/>
          <w:highlight w:val="none"/>
        </w:rPr>
      </w:pPr>
      <w:r>
        <w:rPr>
          <w:color w:val="auto"/>
          <w:highlight w:val="none"/>
        </w:rPr>
        <w:br w:type="page"/>
      </w:r>
    </w:p>
    <w:p w14:paraId="4A972F69">
      <w:pPr>
        <w:pStyle w:val="17"/>
        <w:rPr>
          <w:color w:val="auto"/>
          <w:highlight w:val="none"/>
        </w:rPr>
      </w:pPr>
    </w:p>
    <w:p w14:paraId="03940E8E">
      <w:pPr>
        <w:pStyle w:val="17"/>
        <w:rPr>
          <w:color w:val="auto"/>
          <w:highlight w:val="none"/>
        </w:rPr>
      </w:pPr>
    </w:p>
    <w:p w14:paraId="76B67C1A">
      <w:pPr>
        <w:pStyle w:val="17"/>
        <w:rPr>
          <w:color w:val="auto"/>
          <w:highlight w:val="none"/>
        </w:rPr>
      </w:pPr>
    </w:p>
    <w:p w14:paraId="423954DC">
      <w:pPr>
        <w:pStyle w:val="17"/>
        <w:rPr>
          <w:rFonts w:ascii="宋体" w:hAnsi="宋体"/>
          <w:b/>
          <w:bCs/>
          <w:color w:val="auto"/>
          <w:sz w:val="44"/>
          <w:szCs w:val="44"/>
          <w:highlight w:val="none"/>
        </w:rPr>
      </w:pPr>
      <w:r>
        <w:rPr>
          <w:rFonts w:hint="eastAsia" w:ascii="宋体" w:hAnsi="宋体"/>
          <w:b/>
          <w:bCs/>
          <w:color w:val="auto"/>
          <w:sz w:val="44"/>
          <w:szCs w:val="44"/>
          <w:highlight w:val="none"/>
        </w:rPr>
        <w:t>目   录</w:t>
      </w:r>
    </w:p>
    <w:p w14:paraId="6E896967">
      <w:pPr>
        <w:pStyle w:val="10"/>
        <w:spacing w:line="500" w:lineRule="exact"/>
        <w:ind w:right="126" w:rightChars="60"/>
        <w:rPr>
          <w:rFonts w:hint="eastAsia" w:hAnsi="宋体"/>
          <w:color w:val="auto"/>
          <w:sz w:val="32"/>
          <w:highlight w:val="none"/>
        </w:rPr>
      </w:pPr>
    </w:p>
    <w:p w14:paraId="4BB6B535">
      <w:pPr>
        <w:pStyle w:val="13"/>
        <w:tabs>
          <w:tab w:val="right" w:leader="dot" w:pos="9775"/>
        </w:tabs>
        <w:rPr>
          <w:rFonts w:ascii="Calibri" w:hAnsi="Calibri"/>
          <w:b w:val="0"/>
          <w:color w:val="auto"/>
          <w:sz w:val="21"/>
          <w:szCs w:val="22"/>
          <w:highlight w:val="none"/>
        </w:rPr>
      </w:pPr>
      <w:bookmarkStart w:id="5" w:name="_Toc467138612"/>
      <w:r>
        <w:rPr>
          <w:rFonts w:ascii="宋体" w:hAnsi="宋体"/>
          <w:color w:val="auto"/>
          <w:highlight w:val="none"/>
        </w:rPr>
        <w:fldChar w:fldCharType="begin"/>
      </w:r>
      <w:r>
        <w:rPr>
          <w:rFonts w:ascii="宋体" w:hAnsi="宋体"/>
          <w:color w:val="auto"/>
          <w:highlight w:val="none"/>
        </w:rPr>
        <w:instrText xml:space="preserve"> TOC \o "1-1" \h \z \u </w:instrText>
      </w:r>
      <w:r>
        <w:rPr>
          <w:rFonts w:ascii="宋体" w:hAnsi="宋体"/>
          <w:color w:val="auto"/>
          <w:highlight w:val="none"/>
        </w:rPr>
        <w:fldChar w:fldCharType="separate"/>
      </w:r>
      <w:r>
        <w:rPr>
          <w:rStyle w:val="23"/>
          <w:color w:val="auto"/>
          <w:highlight w:val="none"/>
        </w:rPr>
        <w:fldChar w:fldCharType="begin"/>
      </w:r>
      <w:r>
        <w:rPr>
          <w:rStyle w:val="23"/>
          <w:color w:val="auto"/>
          <w:highlight w:val="none"/>
        </w:rPr>
        <w:instrText xml:space="preserve"> </w:instrText>
      </w:r>
      <w:r>
        <w:rPr>
          <w:color w:val="auto"/>
          <w:highlight w:val="none"/>
        </w:rPr>
        <w:instrText xml:space="preserve">HYPERLINK \l "_Toc45031222"</w:instrText>
      </w:r>
      <w:r>
        <w:rPr>
          <w:rStyle w:val="23"/>
          <w:color w:val="auto"/>
          <w:highlight w:val="none"/>
        </w:rPr>
        <w:instrText xml:space="preserve"> </w:instrText>
      </w:r>
      <w:r>
        <w:rPr>
          <w:rStyle w:val="23"/>
          <w:color w:val="auto"/>
          <w:highlight w:val="none"/>
        </w:rPr>
        <w:fldChar w:fldCharType="separate"/>
      </w:r>
      <w:r>
        <w:rPr>
          <w:rStyle w:val="23"/>
          <w:rFonts w:hint="eastAsia"/>
          <w:color w:val="auto"/>
          <w:highlight w:val="none"/>
        </w:rPr>
        <w:t>第一章</w:t>
      </w:r>
      <w:r>
        <w:rPr>
          <w:rStyle w:val="23"/>
          <w:color w:val="auto"/>
          <w:highlight w:val="none"/>
        </w:rPr>
        <w:t xml:space="preserve">  </w:t>
      </w:r>
      <w:r>
        <w:rPr>
          <w:rStyle w:val="23"/>
          <w:rFonts w:hint="eastAsia"/>
          <w:color w:val="auto"/>
          <w:highlight w:val="none"/>
        </w:rPr>
        <w:t>单一来源采购邀请函</w:t>
      </w:r>
      <w:r>
        <w:rPr>
          <w:color w:val="auto"/>
          <w:highlight w:val="none"/>
        </w:rPr>
        <w:tab/>
      </w:r>
      <w:r>
        <w:rPr>
          <w:color w:val="auto"/>
          <w:highlight w:val="none"/>
        </w:rPr>
        <w:fldChar w:fldCharType="begin"/>
      </w:r>
      <w:r>
        <w:rPr>
          <w:color w:val="auto"/>
          <w:highlight w:val="none"/>
        </w:rPr>
        <w:instrText xml:space="preserve"> PAGEREF _Toc45031222 \h </w:instrText>
      </w:r>
      <w:r>
        <w:rPr>
          <w:color w:val="auto"/>
          <w:highlight w:val="none"/>
        </w:rPr>
        <w:fldChar w:fldCharType="separate"/>
      </w:r>
      <w:r>
        <w:rPr>
          <w:color w:val="auto"/>
          <w:highlight w:val="none"/>
        </w:rPr>
        <w:t>1</w:t>
      </w:r>
      <w:r>
        <w:rPr>
          <w:color w:val="auto"/>
          <w:highlight w:val="none"/>
        </w:rPr>
        <w:fldChar w:fldCharType="end"/>
      </w:r>
      <w:r>
        <w:rPr>
          <w:rStyle w:val="23"/>
          <w:color w:val="auto"/>
          <w:highlight w:val="none"/>
        </w:rPr>
        <w:fldChar w:fldCharType="end"/>
      </w:r>
    </w:p>
    <w:p w14:paraId="51F21ADA">
      <w:pPr>
        <w:pStyle w:val="13"/>
        <w:tabs>
          <w:tab w:val="right" w:leader="dot" w:pos="9775"/>
        </w:tabs>
        <w:rPr>
          <w:rFonts w:ascii="Calibri" w:hAnsi="Calibri"/>
          <w:b w:val="0"/>
          <w:color w:val="auto"/>
          <w:sz w:val="21"/>
          <w:szCs w:val="22"/>
          <w:highlight w:val="none"/>
        </w:rPr>
      </w:pPr>
      <w:r>
        <w:rPr>
          <w:rStyle w:val="23"/>
          <w:color w:val="auto"/>
          <w:highlight w:val="none"/>
        </w:rPr>
        <w:fldChar w:fldCharType="begin"/>
      </w:r>
      <w:r>
        <w:rPr>
          <w:rStyle w:val="23"/>
          <w:color w:val="auto"/>
          <w:highlight w:val="none"/>
        </w:rPr>
        <w:instrText xml:space="preserve"> </w:instrText>
      </w:r>
      <w:r>
        <w:rPr>
          <w:color w:val="auto"/>
          <w:highlight w:val="none"/>
        </w:rPr>
        <w:instrText xml:space="preserve">HYPERLINK \l "_Toc45031223"</w:instrText>
      </w:r>
      <w:r>
        <w:rPr>
          <w:rStyle w:val="23"/>
          <w:color w:val="auto"/>
          <w:highlight w:val="none"/>
        </w:rPr>
        <w:instrText xml:space="preserve"> </w:instrText>
      </w:r>
      <w:r>
        <w:rPr>
          <w:rStyle w:val="23"/>
          <w:color w:val="auto"/>
          <w:highlight w:val="none"/>
        </w:rPr>
        <w:fldChar w:fldCharType="separate"/>
      </w:r>
      <w:r>
        <w:rPr>
          <w:rStyle w:val="23"/>
          <w:rFonts w:hint="eastAsia"/>
          <w:color w:val="auto"/>
          <w:highlight w:val="none"/>
        </w:rPr>
        <w:t>第二章</w:t>
      </w:r>
      <w:r>
        <w:rPr>
          <w:rStyle w:val="23"/>
          <w:color w:val="auto"/>
          <w:highlight w:val="none"/>
        </w:rPr>
        <w:t xml:space="preserve">  </w:t>
      </w:r>
      <w:r>
        <w:rPr>
          <w:rStyle w:val="23"/>
          <w:rFonts w:hint="eastAsia"/>
          <w:color w:val="auto"/>
          <w:highlight w:val="none"/>
        </w:rPr>
        <w:t>供应商须知及前附表</w:t>
      </w:r>
      <w:r>
        <w:rPr>
          <w:color w:val="auto"/>
          <w:highlight w:val="none"/>
        </w:rPr>
        <w:tab/>
      </w:r>
      <w:r>
        <w:rPr>
          <w:color w:val="auto"/>
          <w:highlight w:val="none"/>
        </w:rPr>
        <w:fldChar w:fldCharType="begin"/>
      </w:r>
      <w:r>
        <w:rPr>
          <w:color w:val="auto"/>
          <w:highlight w:val="none"/>
        </w:rPr>
        <w:instrText xml:space="preserve"> PAGEREF _Toc45031223 \h </w:instrText>
      </w:r>
      <w:r>
        <w:rPr>
          <w:color w:val="auto"/>
          <w:highlight w:val="none"/>
        </w:rPr>
        <w:fldChar w:fldCharType="separate"/>
      </w:r>
      <w:r>
        <w:rPr>
          <w:color w:val="auto"/>
          <w:highlight w:val="none"/>
        </w:rPr>
        <w:t>4</w:t>
      </w:r>
      <w:r>
        <w:rPr>
          <w:color w:val="auto"/>
          <w:highlight w:val="none"/>
        </w:rPr>
        <w:fldChar w:fldCharType="end"/>
      </w:r>
      <w:r>
        <w:rPr>
          <w:rStyle w:val="23"/>
          <w:color w:val="auto"/>
          <w:highlight w:val="none"/>
        </w:rPr>
        <w:fldChar w:fldCharType="end"/>
      </w:r>
    </w:p>
    <w:p w14:paraId="5BD3D598">
      <w:pPr>
        <w:pStyle w:val="13"/>
        <w:tabs>
          <w:tab w:val="right" w:leader="dot" w:pos="9775"/>
        </w:tabs>
        <w:rPr>
          <w:rFonts w:ascii="Calibri" w:hAnsi="Calibri"/>
          <w:b w:val="0"/>
          <w:color w:val="auto"/>
          <w:sz w:val="21"/>
          <w:szCs w:val="22"/>
          <w:highlight w:val="none"/>
        </w:rPr>
      </w:pPr>
      <w:r>
        <w:rPr>
          <w:rStyle w:val="23"/>
          <w:color w:val="auto"/>
          <w:highlight w:val="none"/>
        </w:rPr>
        <w:fldChar w:fldCharType="begin"/>
      </w:r>
      <w:r>
        <w:rPr>
          <w:rStyle w:val="23"/>
          <w:color w:val="auto"/>
          <w:highlight w:val="none"/>
        </w:rPr>
        <w:instrText xml:space="preserve"> </w:instrText>
      </w:r>
      <w:r>
        <w:rPr>
          <w:color w:val="auto"/>
          <w:highlight w:val="none"/>
        </w:rPr>
        <w:instrText xml:space="preserve">HYPERLINK \l "_Toc45031224"</w:instrText>
      </w:r>
      <w:r>
        <w:rPr>
          <w:rStyle w:val="23"/>
          <w:color w:val="auto"/>
          <w:highlight w:val="none"/>
        </w:rPr>
        <w:instrText xml:space="preserve"> </w:instrText>
      </w:r>
      <w:r>
        <w:rPr>
          <w:rStyle w:val="23"/>
          <w:color w:val="auto"/>
          <w:highlight w:val="none"/>
        </w:rPr>
        <w:fldChar w:fldCharType="separate"/>
      </w:r>
      <w:r>
        <w:rPr>
          <w:rStyle w:val="23"/>
          <w:rFonts w:hint="eastAsia"/>
          <w:color w:val="auto"/>
          <w:highlight w:val="none"/>
        </w:rPr>
        <w:t>第三章</w:t>
      </w:r>
      <w:r>
        <w:rPr>
          <w:rStyle w:val="23"/>
          <w:color w:val="auto"/>
          <w:highlight w:val="none"/>
        </w:rPr>
        <w:t xml:space="preserve"> </w:t>
      </w:r>
      <w:r>
        <w:rPr>
          <w:rStyle w:val="23"/>
          <w:rFonts w:hint="eastAsia"/>
          <w:color w:val="auto"/>
          <w:highlight w:val="none"/>
          <w:lang w:val="en-US" w:eastAsia="zh-CN"/>
        </w:rPr>
        <w:t xml:space="preserve"> </w:t>
      </w:r>
      <w:r>
        <w:rPr>
          <w:rStyle w:val="23"/>
          <w:rFonts w:hint="eastAsia"/>
          <w:color w:val="auto"/>
          <w:highlight w:val="none"/>
        </w:rPr>
        <w:t>服务项目需求</w:t>
      </w:r>
      <w:bookmarkStart w:id="6" w:name="_Hlt114760816"/>
      <w:r>
        <w:rPr>
          <w:color w:val="auto"/>
          <w:highlight w:val="none"/>
        </w:rPr>
        <w:tab/>
      </w:r>
      <w:bookmarkEnd w:id="6"/>
      <w:r>
        <w:rPr>
          <w:color w:val="auto"/>
          <w:highlight w:val="none"/>
        </w:rPr>
        <w:fldChar w:fldCharType="begin"/>
      </w:r>
      <w:r>
        <w:rPr>
          <w:color w:val="auto"/>
          <w:highlight w:val="none"/>
        </w:rPr>
        <w:instrText xml:space="preserve"> PAGEREF _Toc45031224 \h </w:instrText>
      </w:r>
      <w:r>
        <w:rPr>
          <w:color w:val="auto"/>
          <w:highlight w:val="none"/>
        </w:rPr>
        <w:fldChar w:fldCharType="separate"/>
      </w:r>
      <w:r>
        <w:rPr>
          <w:color w:val="auto"/>
          <w:highlight w:val="none"/>
        </w:rPr>
        <w:t>17</w:t>
      </w:r>
      <w:r>
        <w:rPr>
          <w:color w:val="auto"/>
          <w:highlight w:val="none"/>
        </w:rPr>
        <w:fldChar w:fldCharType="end"/>
      </w:r>
      <w:r>
        <w:rPr>
          <w:rStyle w:val="23"/>
          <w:color w:val="auto"/>
          <w:highlight w:val="none"/>
        </w:rPr>
        <w:fldChar w:fldCharType="end"/>
      </w:r>
    </w:p>
    <w:p w14:paraId="6158E981">
      <w:pPr>
        <w:pStyle w:val="13"/>
        <w:tabs>
          <w:tab w:val="right" w:leader="dot" w:pos="9775"/>
        </w:tabs>
        <w:rPr>
          <w:rFonts w:ascii="Calibri" w:hAnsi="Calibri"/>
          <w:b w:val="0"/>
          <w:color w:val="auto"/>
          <w:sz w:val="21"/>
          <w:szCs w:val="22"/>
          <w:highlight w:val="none"/>
        </w:rPr>
      </w:pPr>
      <w:r>
        <w:rPr>
          <w:rStyle w:val="23"/>
          <w:color w:val="auto"/>
          <w:highlight w:val="none"/>
        </w:rPr>
        <w:fldChar w:fldCharType="begin"/>
      </w:r>
      <w:r>
        <w:rPr>
          <w:rStyle w:val="23"/>
          <w:color w:val="auto"/>
          <w:highlight w:val="none"/>
        </w:rPr>
        <w:instrText xml:space="preserve"> </w:instrText>
      </w:r>
      <w:r>
        <w:rPr>
          <w:color w:val="auto"/>
          <w:highlight w:val="none"/>
        </w:rPr>
        <w:instrText xml:space="preserve">HYPERLINK \l "_Toc45031225"</w:instrText>
      </w:r>
      <w:r>
        <w:rPr>
          <w:rStyle w:val="23"/>
          <w:color w:val="auto"/>
          <w:highlight w:val="none"/>
        </w:rPr>
        <w:instrText xml:space="preserve"> </w:instrText>
      </w:r>
      <w:r>
        <w:rPr>
          <w:rStyle w:val="23"/>
          <w:color w:val="auto"/>
          <w:highlight w:val="none"/>
        </w:rPr>
        <w:fldChar w:fldCharType="separate"/>
      </w:r>
      <w:r>
        <w:rPr>
          <w:rStyle w:val="23"/>
          <w:rFonts w:hint="eastAsia"/>
          <w:color w:val="auto"/>
          <w:highlight w:val="none"/>
        </w:rPr>
        <w:t>第四章</w:t>
      </w:r>
      <w:r>
        <w:rPr>
          <w:rStyle w:val="23"/>
          <w:color w:val="auto"/>
          <w:highlight w:val="none"/>
        </w:rPr>
        <w:t xml:space="preserve"> </w:t>
      </w:r>
      <w:r>
        <w:rPr>
          <w:rStyle w:val="23"/>
          <w:rFonts w:hint="eastAsia"/>
          <w:color w:val="auto"/>
          <w:highlight w:val="none"/>
          <w:lang w:val="en-US" w:eastAsia="zh-CN"/>
        </w:rPr>
        <w:t xml:space="preserve"> </w:t>
      </w:r>
      <w:r>
        <w:rPr>
          <w:rStyle w:val="23"/>
          <w:rFonts w:hint="eastAsia"/>
          <w:color w:val="auto"/>
          <w:highlight w:val="none"/>
        </w:rPr>
        <w:t>合同主要条款及格式</w:t>
      </w:r>
      <w:r>
        <w:rPr>
          <w:color w:val="auto"/>
          <w:highlight w:val="none"/>
        </w:rPr>
        <w:tab/>
      </w:r>
      <w:r>
        <w:rPr>
          <w:color w:val="auto"/>
          <w:highlight w:val="none"/>
        </w:rPr>
        <w:fldChar w:fldCharType="begin"/>
      </w:r>
      <w:r>
        <w:rPr>
          <w:color w:val="auto"/>
          <w:highlight w:val="none"/>
        </w:rPr>
        <w:instrText xml:space="preserve"> PAGEREF _Toc45031225 \h </w:instrText>
      </w:r>
      <w:r>
        <w:rPr>
          <w:color w:val="auto"/>
          <w:highlight w:val="none"/>
        </w:rPr>
        <w:fldChar w:fldCharType="separate"/>
      </w:r>
      <w:r>
        <w:rPr>
          <w:color w:val="auto"/>
          <w:highlight w:val="none"/>
        </w:rPr>
        <w:t>33</w:t>
      </w:r>
      <w:r>
        <w:rPr>
          <w:color w:val="auto"/>
          <w:highlight w:val="none"/>
        </w:rPr>
        <w:fldChar w:fldCharType="end"/>
      </w:r>
      <w:r>
        <w:rPr>
          <w:rStyle w:val="23"/>
          <w:color w:val="auto"/>
          <w:highlight w:val="none"/>
        </w:rPr>
        <w:fldChar w:fldCharType="end"/>
      </w:r>
    </w:p>
    <w:p w14:paraId="0DC12D69">
      <w:pPr>
        <w:pStyle w:val="13"/>
        <w:tabs>
          <w:tab w:val="right" w:leader="dot" w:pos="9775"/>
        </w:tabs>
        <w:rPr>
          <w:rFonts w:ascii="Calibri" w:hAnsi="Calibri"/>
          <w:b w:val="0"/>
          <w:color w:val="auto"/>
          <w:sz w:val="21"/>
          <w:szCs w:val="22"/>
          <w:highlight w:val="none"/>
        </w:rPr>
      </w:pPr>
      <w:r>
        <w:rPr>
          <w:rStyle w:val="23"/>
          <w:color w:val="auto"/>
          <w:highlight w:val="none"/>
        </w:rPr>
        <w:fldChar w:fldCharType="begin"/>
      </w:r>
      <w:r>
        <w:rPr>
          <w:rStyle w:val="23"/>
          <w:color w:val="auto"/>
          <w:highlight w:val="none"/>
        </w:rPr>
        <w:instrText xml:space="preserve"> </w:instrText>
      </w:r>
      <w:r>
        <w:rPr>
          <w:color w:val="auto"/>
          <w:highlight w:val="none"/>
        </w:rPr>
        <w:instrText xml:space="preserve">HYPERLINK \l "_Toc45031226"</w:instrText>
      </w:r>
      <w:r>
        <w:rPr>
          <w:rStyle w:val="23"/>
          <w:color w:val="auto"/>
          <w:highlight w:val="none"/>
        </w:rPr>
        <w:instrText xml:space="preserve"> </w:instrText>
      </w:r>
      <w:r>
        <w:rPr>
          <w:rStyle w:val="23"/>
          <w:color w:val="auto"/>
          <w:highlight w:val="none"/>
        </w:rPr>
        <w:fldChar w:fldCharType="separate"/>
      </w:r>
      <w:r>
        <w:rPr>
          <w:rStyle w:val="23"/>
          <w:rFonts w:hint="eastAsia"/>
          <w:color w:val="auto"/>
          <w:highlight w:val="none"/>
        </w:rPr>
        <w:t>第五章</w:t>
      </w:r>
      <w:r>
        <w:rPr>
          <w:rStyle w:val="23"/>
          <w:color w:val="auto"/>
          <w:highlight w:val="none"/>
        </w:rPr>
        <w:t xml:space="preserve">  </w:t>
      </w:r>
      <w:r>
        <w:rPr>
          <w:rStyle w:val="23"/>
          <w:rFonts w:hint="eastAsia"/>
          <w:color w:val="auto"/>
          <w:highlight w:val="none"/>
        </w:rPr>
        <w:t>报价文件（格式）</w:t>
      </w:r>
      <w:r>
        <w:rPr>
          <w:color w:val="auto"/>
          <w:highlight w:val="none"/>
        </w:rPr>
        <w:tab/>
      </w:r>
      <w:r>
        <w:rPr>
          <w:color w:val="auto"/>
          <w:highlight w:val="none"/>
        </w:rPr>
        <w:fldChar w:fldCharType="begin"/>
      </w:r>
      <w:r>
        <w:rPr>
          <w:color w:val="auto"/>
          <w:highlight w:val="none"/>
        </w:rPr>
        <w:instrText xml:space="preserve"> PAGEREF _Toc45031226 \h </w:instrText>
      </w:r>
      <w:r>
        <w:rPr>
          <w:color w:val="auto"/>
          <w:highlight w:val="none"/>
        </w:rPr>
        <w:fldChar w:fldCharType="separate"/>
      </w:r>
      <w:r>
        <w:rPr>
          <w:color w:val="auto"/>
          <w:highlight w:val="none"/>
        </w:rPr>
        <w:t>37</w:t>
      </w:r>
      <w:r>
        <w:rPr>
          <w:color w:val="auto"/>
          <w:highlight w:val="none"/>
        </w:rPr>
        <w:fldChar w:fldCharType="end"/>
      </w:r>
      <w:r>
        <w:rPr>
          <w:rStyle w:val="23"/>
          <w:color w:val="auto"/>
          <w:highlight w:val="none"/>
        </w:rPr>
        <w:fldChar w:fldCharType="end"/>
      </w:r>
    </w:p>
    <w:p w14:paraId="76EE096B">
      <w:pPr>
        <w:jc w:val="center"/>
        <w:rPr>
          <w:rFonts w:ascii="宋体" w:hAnsi="宋体"/>
          <w:color w:val="auto"/>
          <w:sz w:val="30"/>
          <w:highlight w:val="none"/>
        </w:rPr>
        <w:sectPr>
          <w:headerReference r:id="rId4" w:type="first"/>
          <w:headerReference r:id="rId3" w:type="default"/>
          <w:footerReference r:id="rId5" w:type="even"/>
          <w:pgSz w:w="11906" w:h="16838"/>
          <w:pgMar w:top="1191" w:right="1191" w:bottom="1191" w:left="1191" w:header="794" w:footer="794" w:gutter="0"/>
          <w:pgNumType w:start="0"/>
          <w:cols w:space="720" w:num="1"/>
          <w:titlePg/>
          <w:docGrid w:linePitch="331" w:charSpace="0"/>
        </w:sectPr>
      </w:pPr>
      <w:r>
        <w:rPr>
          <w:rFonts w:ascii="宋体" w:hAnsi="宋体"/>
          <w:color w:val="auto"/>
          <w:sz w:val="30"/>
          <w:highlight w:val="none"/>
        </w:rPr>
        <w:fldChar w:fldCharType="end"/>
      </w:r>
      <w:bookmarkStart w:id="7" w:name="_Toc45031222"/>
    </w:p>
    <w:p w14:paraId="2A0DAECA">
      <w:pPr>
        <w:jc w:val="center"/>
        <w:rPr>
          <w:rFonts w:hint="eastAsia"/>
          <w:b/>
          <w:bCs/>
          <w:color w:val="auto"/>
          <w:sz w:val="36"/>
          <w:szCs w:val="36"/>
          <w:highlight w:val="none"/>
        </w:rPr>
      </w:pPr>
      <w:r>
        <w:rPr>
          <w:rFonts w:hint="eastAsia"/>
          <w:b/>
          <w:bCs/>
          <w:color w:val="auto"/>
          <w:sz w:val="36"/>
          <w:szCs w:val="36"/>
          <w:highlight w:val="none"/>
        </w:rPr>
        <w:t>第一章  邀请函</w:t>
      </w:r>
      <w:bookmarkEnd w:id="5"/>
      <w:bookmarkEnd w:id="7"/>
    </w:p>
    <w:p w14:paraId="5CDA136A">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b/>
          <w:bCs/>
          <w:color w:val="auto"/>
          <w:sz w:val="21"/>
          <w:szCs w:val="21"/>
          <w:highlight w:val="none"/>
        </w:rPr>
      </w:pPr>
    </w:p>
    <w:p w14:paraId="276D1F0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众阳健康科技集团有限公司：</w:t>
      </w:r>
    </w:p>
    <w:p w14:paraId="302FFA41">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云之龙咨询集团有限公司</w:t>
      </w:r>
      <w:r>
        <w:rPr>
          <w:rFonts w:hint="eastAsia" w:ascii="宋体" w:hAnsi="宋体" w:eastAsia="宋体" w:cs="宋体"/>
          <w:b w:val="0"/>
          <w:bCs w:val="0"/>
          <w:color w:val="auto"/>
          <w:sz w:val="21"/>
          <w:szCs w:val="21"/>
          <w:highlight w:val="none"/>
        </w:rPr>
        <w:t>受贵港市港北区人民医院的委托，拟对贵港市港北区人民医院信息系统升级建设项目进行单一来源采购，特邀请贵单位参加报价协商，现将有关事项通知如下：</w:t>
      </w:r>
    </w:p>
    <w:p w14:paraId="3CA3751D">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项目概况</w:t>
      </w:r>
    </w:p>
    <w:p w14:paraId="1063B38A">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u w:val="single"/>
        </w:rPr>
        <w:t>贵港市港北区人民医院信息系统升级建设项目</w:t>
      </w:r>
      <w:r>
        <w:rPr>
          <w:rFonts w:hint="eastAsia" w:ascii="宋体" w:hAnsi="宋体" w:eastAsia="宋体" w:cs="宋体"/>
          <w:color w:val="auto"/>
          <w:sz w:val="21"/>
          <w:szCs w:val="21"/>
          <w:highlight w:val="none"/>
          <w:u w:val="none"/>
        </w:rPr>
        <w:t>的单一来源供应商</w:t>
      </w:r>
      <w:r>
        <w:rPr>
          <w:rFonts w:hint="eastAsia" w:ascii="宋体" w:hAnsi="宋体" w:eastAsia="宋体" w:cs="宋体"/>
          <w:color w:val="auto"/>
          <w:highlight w:val="none"/>
          <w:u w:val="none"/>
        </w:rPr>
        <w:t>应在</w:t>
      </w:r>
      <w:r>
        <w:rPr>
          <w:rFonts w:hint="eastAsia" w:ascii="宋体" w:hAnsi="宋体" w:eastAsia="宋体" w:cs="宋体"/>
          <w:color w:val="auto"/>
          <w:highlight w:val="none"/>
          <w:lang w:eastAsia="zh-CN"/>
        </w:rPr>
        <w:t>广西政府采购云平台</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https://www.gcy.zfcg.gxzf.gov.cn/</w:t>
      </w:r>
      <w:r>
        <w:rPr>
          <w:rFonts w:hint="eastAsia" w:ascii="宋体" w:hAnsi="宋体" w:eastAsia="宋体" w:cs="宋体"/>
          <w:color w:val="auto"/>
          <w:highlight w:val="none"/>
        </w:rPr>
        <w:t>）获取（下载）</w:t>
      </w:r>
      <w:r>
        <w:rPr>
          <w:rFonts w:hint="eastAsia" w:ascii="宋体" w:hAnsi="宋体" w:eastAsia="宋体" w:cs="宋体"/>
          <w:color w:val="auto"/>
          <w:highlight w:val="none"/>
          <w:lang w:eastAsia="zh-CN"/>
        </w:rPr>
        <w:t>单一来源采购</w:t>
      </w:r>
      <w:r>
        <w:rPr>
          <w:rFonts w:hint="eastAsia" w:ascii="宋体" w:hAnsi="宋体" w:eastAsia="宋体" w:cs="宋体"/>
          <w:color w:val="auto"/>
          <w:highlight w:val="none"/>
        </w:rPr>
        <w:t>文件，并于</w:t>
      </w:r>
      <w:r>
        <w:rPr>
          <w:rFonts w:hint="eastAsia" w:ascii="宋体" w:hAnsi="宋体" w:eastAsia="宋体" w:cs="宋体"/>
          <w:color w:val="auto"/>
          <w:highlight w:val="none"/>
          <w:u w:val="single"/>
        </w:rPr>
        <w:t>202</w:t>
      </w:r>
      <w:r>
        <w:rPr>
          <w:rFonts w:hint="eastAsia" w:ascii="宋体" w:hAnsi="宋体" w:eastAsia="宋体" w:cs="宋体"/>
          <w:color w:val="auto"/>
          <w:highlight w:val="none"/>
          <w:u w:val="single"/>
          <w:lang w:val="en-US" w:eastAsia="zh-CN"/>
        </w:rPr>
        <w:t>5</w:t>
      </w:r>
      <w:r>
        <w:rPr>
          <w:rFonts w:hint="eastAsia" w:ascii="宋体" w:hAnsi="宋体" w:eastAsia="宋体" w:cs="宋体"/>
          <w:bCs/>
          <w:color w:val="auto"/>
          <w:highlight w:val="none"/>
          <w:u w:val="single"/>
        </w:rPr>
        <w:t>年</w:t>
      </w:r>
      <w:r>
        <w:rPr>
          <w:rFonts w:hint="eastAsia" w:ascii="宋体" w:hAnsi="宋体" w:cs="宋体"/>
          <w:bCs/>
          <w:color w:val="auto"/>
          <w:highlight w:val="none"/>
          <w:u w:val="single"/>
          <w:lang w:val="en-US" w:eastAsia="zh-CN"/>
        </w:rPr>
        <w:t>12</w:t>
      </w:r>
      <w:r>
        <w:rPr>
          <w:rFonts w:hint="eastAsia" w:ascii="宋体" w:hAnsi="宋体" w:eastAsia="宋体" w:cs="宋体"/>
          <w:bCs/>
          <w:color w:val="auto"/>
          <w:highlight w:val="none"/>
          <w:u w:val="single"/>
          <w:lang w:val="en-US" w:eastAsia="zh-CN"/>
        </w:rPr>
        <w:t>月</w:t>
      </w:r>
      <w:r>
        <w:rPr>
          <w:rFonts w:hint="eastAsia" w:ascii="宋体" w:hAnsi="宋体" w:cs="宋体"/>
          <w:bCs/>
          <w:color w:val="auto"/>
          <w:highlight w:val="none"/>
          <w:u w:val="single"/>
          <w:lang w:val="en-US" w:eastAsia="zh-CN"/>
        </w:rPr>
        <w:t>5</w:t>
      </w:r>
      <w:r>
        <w:rPr>
          <w:rFonts w:hint="eastAsia" w:ascii="宋体" w:hAnsi="宋体" w:eastAsia="宋体" w:cs="宋体"/>
          <w:bCs/>
          <w:color w:val="auto"/>
          <w:highlight w:val="none"/>
          <w:u w:val="single"/>
        </w:rPr>
        <w:t>日</w:t>
      </w:r>
      <w:r>
        <w:rPr>
          <w:rFonts w:hint="eastAsia" w:ascii="宋体" w:hAnsi="宋体" w:eastAsia="宋体" w:cs="宋体"/>
          <w:bCs/>
          <w:color w:val="auto"/>
          <w:highlight w:val="none"/>
          <w:u w:val="single"/>
          <w:lang w:eastAsia="zh-CN"/>
        </w:rPr>
        <w:t>9</w:t>
      </w:r>
      <w:r>
        <w:rPr>
          <w:rFonts w:hint="eastAsia" w:ascii="宋体" w:hAnsi="宋体" w:eastAsia="宋体" w:cs="宋体"/>
          <w:bCs/>
          <w:color w:val="auto"/>
          <w:highlight w:val="none"/>
          <w:u w:val="single"/>
        </w:rPr>
        <w:t>时</w:t>
      </w:r>
      <w:r>
        <w:rPr>
          <w:rFonts w:hint="eastAsia" w:ascii="宋体" w:hAnsi="宋体" w:eastAsia="宋体" w:cs="宋体"/>
          <w:bCs/>
          <w:color w:val="auto"/>
          <w:highlight w:val="none"/>
          <w:u w:val="single"/>
          <w:lang w:eastAsia="zh-CN"/>
        </w:rPr>
        <w:t>00</w:t>
      </w:r>
      <w:r>
        <w:rPr>
          <w:rFonts w:hint="eastAsia" w:ascii="宋体" w:hAnsi="宋体" w:eastAsia="宋体" w:cs="宋体"/>
          <w:bCs/>
          <w:color w:val="auto"/>
          <w:highlight w:val="none"/>
          <w:u w:val="single"/>
        </w:rPr>
        <w:t>分（</w:t>
      </w:r>
      <w:r>
        <w:rPr>
          <w:rFonts w:hint="eastAsia" w:ascii="宋体" w:hAnsi="宋体" w:eastAsia="宋体" w:cs="宋体"/>
          <w:bCs/>
          <w:color w:val="auto"/>
          <w:highlight w:val="none"/>
        </w:rPr>
        <w:t>北京时间）前按要求递交（上传）</w:t>
      </w:r>
      <w:r>
        <w:rPr>
          <w:rFonts w:hint="eastAsia" w:ascii="宋体" w:hAnsi="宋体" w:eastAsia="宋体" w:cs="宋体"/>
          <w:bCs/>
          <w:color w:val="auto"/>
          <w:highlight w:val="none"/>
          <w:lang w:eastAsia="zh-CN"/>
        </w:rPr>
        <w:t>响应</w:t>
      </w:r>
      <w:r>
        <w:rPr>
          <w:rFonts w:hint="eastAsia" w:ascii="宋体" w:hAnsi="宋体" w:eastAsia="宋体" w:cs="宋体"/>
          <w:bCs/>
          <w:color w:val="auto"/>
          <w:highlight w:val="none"/>
        </w:rPr>
        <w:t>文件</w:t>
      </w:r>
      <w:r>
        <w:rPr>
          <w:rFonts w:hint="eastAsia" w:ascii="宋体" w:hAnsi="宋体" w:eastAsia="宋体" w:cs="宋体"/>
          <w:bCs/>
          <w:color w:val="auto"/>
          <w:highlight w:val="none"/>
          <w:lang w:eastAsia="zh-CN"/>
        </w:rPr>
        <w:t>。</w:t>
      </w:r>
    </w:p>
    <w:p w14:paraId="4E16B66D">
      <w:pPr>
        <w:spacing w:line="360" w:lineRule="auto"/>
        <w:ind w:firstLine="354" w:firstLineChars="147"/>
        <w:outlineLvl w:val="1"/>
        <w:rPr>
          <w:rFonts w:hint="eastAsia" w:ascii="宋体" w:hAnsi="宋体" w:eastAsia="宋体" w:cs="宋体"/>
          <w:b/>
          <w:color w:val="auto"/>
          <w:sz w:val="24"/>
          <w:highlight w:val="none"/>
        </w:rPr>
      </w:pPr>
      <w:bookmarkStart w:id="8" w:name="_Toc71365905"/>
      <w:bookmarkStart w:id="9" w:name="_Toc44229878"/>
      <w:bookmarkStart w:id="10" w:name="_Toc28359089"/>
      <w:bookmarkStart w:id="11" w:name="_Toc35393629"/>
      <w:bookmarkStart w:id="12" w:name="_Toc28359012"/>
      <w:bookmarkStart w:id="13" w:name="_Toc27142"/>
      <w:bookmarkStart w:id="14" w:name="_Toc35393798"/>
      <w:r>
        <w:rPr>
          <w:rFonts w:hint="eastAsia" w:ascii="宋体" w:hAnsi="宋体" w:eastAsia="宋体" w:cs="宋体"/>
          <w:b/>
          <w:color w:val="auto"/>
          <w:sz w:val="24"/>
          <w:highlight w:val="none"/>
        </w:rPr>
        <w:t>一、项目基本情况</w:t>
      </w:r>
      <w:bookmarkEnd w:id="8"/>
      <w:bookmarkEnd w:id="9"/>
      <w:bookmarkEnd w:id="10"/>
      <w:bookmarkEnd w:id="11"/>
      <w:bookmarkEnd w:id="12"/>
      <w:bookmarkEnd w:id="13"/>
      <w:bookmarkEnd w:id="14"/>
    </w:p>
    <w:p w14:paraId="7EE3EB3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项目编号：</w:t>
      </w:r>
      <w:r>
        <w:rPr>
          <w:rFonts w:hint="eastAsia" w:ascii="宋体" w:hAnsi="宋体" w:cs="宋体"/>
          <w:color w:val="auto"/>
          <w:highlight w:val="none"/>
          <w:lang w:eastAsia="zh-CN"/>
        </w:rPr>
        <w:t>GGZC2025-D3-020098-YZLZ</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 xml:space="preserve">    </w:t>
      </w:r>
    </w:p>
    <w:p w14:paraId="2A4AB6D2">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项目名称：</w:t>
      </w:r>
      <w:r>
        <w:rPr>
          <w:rFonts w:hint="eastAsia" w:ascii="宋体" w:hAnsi="宋体" w:eastAsia="宋体" w:cs="宋体"/>
          <w:color w:val="auto"/>
          <w:highlight w:val="none"/>
          <w:lang w:eastAsia="zh-CN"/>
        </w:rPr>
        <w:t>贵港市港北区人民医院信息系统升级建设项目</w:t>
      </w:r>
    </w:p>
    <w:p w14:paraId="2D7B7227">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采购方式：</w:t>
      </w:r>
      <w:r>
        <w:rPr>
          <w:rFonts w:hint="eastAsia" w:ascii="宋体" w:hAnsi="宋体" w:eastAsia="宋体" w:cs="宋体"/>
          <w:color w:val="auto"/>
          <w:highlight w:val="none"/>
          <w:lang w:eastAsia="zh-CN"/>
        </w:rPr>
        <w:t>单一来源</w:t>
      </w:r>
    </w:p>
    <w:p w14:paraId="2261A6D7">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预算</w:t>
      </w:r>
      <w:r>
        <w:rPr>
          <w:rFonts w:hint="eastAsia" w:ascii="宋体" w:hAnsi="宋体" w:eastAsia="宋体" w:cs="宋体"/>
          <w:color w:val="auto"/>
          <w:highlight w:val="none"/>
          <w:lang w:eastAsia="zh-CN"/>
        </w:rPr>
        <w:t>总</w:t>
      </w:r>
      <w:r>
        <w:rPr>
          <w:rFonts w:hint="eastAsia" w:ascii="宋体" w:hAnsi="宋体" w:eastAsia="宋体" w:cs="宋体"/>
          <w:color w:val="auto"/>
          <w:highlight w:val="none"/>
        </w:rPr>
        <w:t>金额</w:t>
      </w:r>
      <w:r>
        <w:rPr>
          <w:rFonts w:hint="eastAsia" w:ascii="宋体" w:hAnsi="宋体" w:eastAsia="宋体" w:cs="宋体"/>
          <w:color w:val="auto"/>
          <w:highlight w:val="none"/>
          <w:lang w:eastAsia="zh-CN"/>
        </w:rPr>
        <w:t>（元）</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1750000</w:t>
      </w:r>
    </w:p>
    <w:p w14:paraId="6E00BA9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采购需求：</w:t>
      </w:r>
    </w:p>
    <w:p w14:paraId="56D0C42C">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标的名称：贵港市港北区人民医院信息系统升级建设项目</w:t>
      </w:r>
    </w:p>
    <w:p w14:paraId="7BDF1514">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数量:</w:t>
      </w:r>
      <w:r>
        <w:rPr>
          <w:rFonts w:hint="eastAsia" w:ascii="宋体" w:hAnsi="宋体" w:eastAsia="宋体" w:cs="宋体"/>
          <w:color w:val="auto"/>
          <w:highlight w:val="none"/>
          <w:lang w:val="en-US" w:eastAsia="zh-CN"/>
        </w:rPr>
        <w:t xml:space="preserve"> 1项</w:t>
      </w:r>
    </w:p>
    <w:p w14:paraId="624B59C4">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预算金额（元）：</w:t>
      </w:r>
      <w:r>
        <w:rPr>
          <w:rFonts w:hint="eastAsia" w:ascii="宋体" w:hAnsi="宋体" w:eastAsia="宋体" w:cs="宋体"/>
          <w:color w:val="auto"/>
          <w:highlight w:val="none"/>
          <w:lang w:val="en-US" w:eastAsia="zh-CN"/>
        </w:rPr>
        <w:t>1750000</w:t>
      </w:r>
    </w:p>
    <w:p w14:paraId="16964E03">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highlight w:val="none"/>
          <w:lang w:val="en-US" w:eastAsia="zh-CN"/>
        </w:rPr>
        <w:t>简要技术需求或服务要求</w:t>
      </w:r>
      <w:r>
        <w:rPr>
          <w:rFonts w:hint="eastAsia" w:ascii="宋体" w:hAnsi="宋体" w:eastAsia="宋体" w:cs="宋体"/>
          <w:color w:val="auto"/>
          <w:highlight w:val="none"/>
          <w:lang w:eastAsia="zh-CN"/>
        </w:rPr>
        <w:t>：贵港市港北区人民医院信息系统升级建设</w:t>
      </w:r>
      <w:r>
        <w:rPr>
          <w:rFonts w:hint="eastAsia" w:ascii="宋体" w:hAnsi="宋体" w:eastAsia="宋体" w:cs="宋体"/>
          <w:color w:val="auto"/>
          <w:highlight w:val="none"/>
          <w:lang w:val="en-US" w:eastAsia="zh-CN"/>
        </w:rPr>
        <w:t>1项，</w:t>
      </w:r>
      <w:r>
        <w:rPr>
          <w:rFonts w:hint="eastAsia" w:ascii="宋体" w:hAnsi="宋体" w:eastAsia="宋体" w:cs="宋体"/>
          <w:color w:val="auto"/>
          <w:szCs w:val="21"/>
          <w:highlight w:val="none"/>
          <w:lang w:eastAsia="zh-CN"/>
        </w:rPr>
        <w:t>如需进一步了解详细内容，详见采购文件。</w:t>
      </w:r>
    </w:p>
    <w:p w14:paraId="048AC706">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最高限价（元）：</w:t>
      </w:r>
      <w:r>
        <w:rPr>
          <w:rFonts w:hint="eastAsia" w:ascii="宋体" w:hAnsi="宋体" w:eastAsia="宋体" w:cs="宋体"/>
          <w:color w:val="auto"/>
          <w:highlight w:val="none"/>
          <w:lang w:val="en-US" w:eastAsia="zh-CN"/>
        </w:rPr>
        <w:t>1750000</w:t>
      </w:r>
    </w:p>
    <w:p w14:paraId="5EA4439D">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合同履约期限：</w:t>
      </w:r>
      <w:r>
        <w:rPr>
          <w:rFonts w:hint="eastAsia" w:ascii="宋体" w:hAnsi="宋体" w:cs="宋体"/>
          <w:color w:val="auto"/>
          <w:szCs w:val="21"/>
          <w:highlight w:val="none"/>
          <w:lang w:val="en-US" w:eastAsia="zh-CN"/>
        </w:rPr>
        <w:t>自合同签订生效之日起30日内完成。</w:t>
      </w:r>
    </w:p>
    <w:p w14:paraId="2A50B812">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本标项（否）接受联合体投标</w:t>
      </w:r>
    </w:p>
    <w:p w14:paraId="286C276D">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w:t>
      </w:r>
    </w:p>
    <w:p w14:paraId="20A611B0">
      <w:pPr>
        <w:spacing w:line="360" w:lineRule="auto"/>
        <w:ind w:firstLine="354" w:firstLineChars="147"/>
        <w:outlineLvl w:val="1"/>
        <w:rPr>
          <w:rFonts w:hint="eastAsia" w:ascii="宋体" w:hAnsi="宋体" w:eastAsia="宋体" w:cs="宋体"/>
          <w:b/>
          <w:color w:val="auto"/>
          <w:sz w:val="24"/>
          <w:highlight w:val="none"/>
        </w:rPr>
      </w:pPr>
      <w:bookmarkStart w:id="15" w:name="_Toc35393799"/>
      <w:bookmarkStart w:id="16" w:name="_Toc28359013"/>
      <w:bookmarkStart w:id="17" w:name="_Toc2702"/>
      <w:bookmarkStart w:id="18" w:name="_Toc44229879"/>
      <w:bookmarkStart w:id="19" w:name="_Toc28359090"/>
      <w:bookmarkStart w:id="20" w:name="_Toc35393630"/>
      <w:bookmarkStart w:id="21" w:name="_Toc71365906"/>
      <w:r>
        <w:rPr>
          <w:rFonts w:hint="eastAsia" w:ascii="宋体" w:hAnsi="宋体" w:eastAsia="宋体" w:cs="宋体"/>
          <w:b/>
          <w:color w:val="auto"/>
          <w:sz w:val="24"/>
          <w:highlight w:val="none"/>
        </w:rPr>
        <w:t>二、申请人的资格条件：</w:t>
      </w:r>
      <w:bookmarkEnd w:id="15"/>
      <w:bookmarkEnd w:id="16"/>
      <w:bookmarkEnd w:id="17"/>
      <w:bookmarkEnd w:id="18"/>
      <w:bookmarkEnd w:id="19"/>
      <w:bookmarkEnd w:id="20"/>
      <w:bookmarkEnd w:id="21"/>
    </w:p>
    <w:p w14:paraId="7090811F">
      <w:pPr>
        <w:spacing w:line="360" w:lineRule="auto"/>
        <w:ind w:firstLine="420" w:firstLineChars="200"/>
        <w:rPr>
          <w:rFonts w:hint="eastAsia" w:ascii="宋体" w:hAnsi="宋体" w:eastAsia="宋体" w:cs="宋体"/>
          <w:color w:val="auto"/>
          <w:highlight w:val="none"/>
          <w:lang w:eastAsia="zh-CN"/>
        </w:rPr>
      </w:pPr>
      <w:bookmarkStart w:id="22" w:name="_Toc71365907"/>
      <w:bookmarkStart w:id="23" w:name="_Toc44229880"/>
      <w:bookmarkStart w:id="24" w:name="_Toc28359091"/>
      <w:bookmarkStart w:id="25" w:name="_Toc28359014"/>
      <w:bookmarkStart w:id="26" w:name="_Toc35393631"/>
      <w:bookmarkStart w:id="27" w:name="_Toc35393800"/>
      <w:bookmarkStart w:id="28" w:name="_Toc6843"/>
      <w:r>
        <w:rPr>
          <w:rFonts w:hint="eastAsia" w:ascii="宋体" w:hAnsi="宋体" w:eastAsia="宋体" w:cs="宋体"/>
          <w:color w:val="auto"/>
          <w:highlight w:val="none"/>
          <w:lang w:eastAsia="zh-CN"/>
        </w:rPr>
        <w:t>1.符合《中华人民共和国政府采购法》第二十二条的规定；</w:t>
      </w:r>
    </w:p>
    <w:p w14:paraId="6810590F">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2.落实政府采购政策需满足的资格要求：无。</w:t>
      </w:r>
    </w:p>
    <w:p w14:paraId="574E1EDC">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3.本项目的特定资格要求：无</w:t>
      </w:r>
    </w:p>
    <w:p w14:paraId="77873044">
      <w:pPr>
        <w:spacing w:line="360" w:lineRule="auto"/>
        <w:ind w:firstLine="354" w:firstLineChars="147"/>
        <w:outlineLvl w:val="1"/>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三、获取</w:t>
      </w:r>
      <w:bookmarkEnd w:id="22"/>
      <w:bookmarkEnd w:id="23"/>
      <w:bookmarkEnd w:id="24"/>
      <w:bookmarkEnd w:id="25"/>
      <w:bookmarkEnd w:id="26"/>
      <w:bookmarkEnd w:id="27"/>
      <w:r>
        <w:rPr>
          <w:rFonts w:hint="eastAsia" w:ascii="宋体" w:hAnsi="宋体" w:eastAsia="宋体" w:cs="宋体"/>
          <w:b/>
          <w:color w:val="auto"/>
          <w:sz w:val="24"/>
          <w:highlight w:val="none"/>
          <w:lang w:eastAsia="zh-CN"/>
        </w:rPr>
        <w:t>采购文件</w:t>
      </w:r>
      <w:bookmarkEnd w:id="28"/>
    </w:p>
    <w:p w14:paraId="47E524E9">
      <w:pPr>
        <w:spacing w:line="360" w:lineRule="auto"/>
        <w:ind w:firstLine="420" w:firstLineChars="200"/>
        <w:rPr>
          <w:rFonts w:hint="eastAsia" w:ascii="宋体" w:hAnsi="宋体" w:eastAsia="宋体" w:cs="宋体"/>
          <w:color w:val="auto"/>
          <w:highlight w:val="none"/>
        </w:rPr>
      </w:pPr>
      <w:bookmarkStart w:id="29" w:name="_Toc28359092"/>
      <w:bookmarkStart w:id="30" w:name="_Toc35393801"/>
      <w:bookmarkStart w:id="31" w:name="_Toc44229881"/>
      <w:bookmarkStart w:id="32" w:name="_Toc28359015"/>
      <w:bookmarkStart w:id="33" w:name="_Toc35393632"/>
      <w:r>
        <w:rPr>
          <w:rFonts w:hint="eastAsia" w:ascii="宋体" w:hAnsi="宋体" w:eastAsia="宋体" w:cs="宋体"/>
          <w:color w:val="auto"/>
          <w:highlight w:val="none"/>
        </w:rPr>
        <w:t>时间：202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w:t>
      </w:r>
      <w:r>
        <w:rPr>
          <w:rFonts w:hint="eastAsia" w:ascii="宋体" w:hAnsi="宋体" w:cs="宋体"/>
          <w:color w:val="auto"/>
          <w:highlight w:val="none"/>
          <w:lang w:val="en-US" w:eastAsia="zh-CN"/>
        </w:rPr>
        <w:t>11</w:t>
      </w:r>
      <w:r>
        <w:rPr>
          <w:rFonts w:hint="eastAsia" w:ascii="宋体" w:hAnsi="宋体" w:eastAsia="宋体" w:cs="宋体"/>
          <w:color w:val="auto"/>
          <w:highlight w:val="none"/>
        </w:rPr>
        <w:t>月</w:t>
      </w:r>
      <w:r>
        <w:rPr>
          <w:rFonts w:hint="eastAsia" w:ascii="宋体" w:hAnsi="宋体" w:cs="宋体"/>
          <w:color w:val="auto"/>
          <w:highlight w:val="none"/>
          <w:lang w:val="en-US" w:eastAsia="zh-CN"/>
        </w:rPr>
        <w:t>27</w:t>
      </w:r>
      <w:r>
        <w:rPr>
          <w:rFonts w:hint="eastAsia" w:ascii="宋体" w:hAnsi="宋体" w:eastAsia="宋体" w:cs="宋体"/>
          <w:color w:val="auto"/>
          <w:highlight w:val="none"/>
        </w:rPr>
        <w:t>日至202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w:t>
      </w:r>
      <w:r>
        <w:rPr>
          <w:rFonts w:hint="eastAsia" w:ascii="宋体" w:hAnsi="宋体" w:cs="宋体"/>
          <w:color w:val="auto"/>
          <w:highlight w:val="none"/>
          <w:lang w:val="en-US" w:eastAsia="zh-CN"/>
        </w:rPr>
        <w:t>12</w:t>
      </w:r>
      <w:r>
        <w:rPr>
          <w:rFonts w:hint="eastAsia" w:ascii="宋体" w:hAnsi="宋体" w:eastAsia="宋体" w:cs="宋体"/>
          <w:color w:val="auto"/>
          <w:highlight w:val="none"/>
        </w:rPr>
        <w:t>月</w:t>
      </w:r>
      <w:r>
        <w:rPr>
          <w:rFonts w:hint="eastAsia" w:ascii="宋体" w:hAnsi="宋体" w:cs="宋体"/>
          <w:color w:val="auto"/>
          <w:highlight w:val="none"/>
          <w:lang w:val="en-US" w:eastAsia="zh-CN"/>
        </w:rPr>
        <w:t>4</w:t>
      </w:r>
      <w:r>
        <w:rPr>
          <w:rFonts w:hint="eastAsia" w:ascii="宋体" w:hAnsi="宋体" w:eastAsia="宋体" w:cs="宋体"/>
          <w:color w:val="auto"/>
          <w:highlight w:val="none"/>
        </w:rPr>
        <w:t>日，每天上午0</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:00至12:00，下午12:00至23:59（北京时间，法定节假日除外）</w:t>
      </w:r>
    </w:p>
    <w:p w14:paraId="742107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地点：</w:t>
      </w:r>
      <w:r>
        <w:rPr>
          <w:rFonts w:hint="eastAsia" w:ascii="宋体" w:hAnsi="宋体" w:eastAsia="宋体" w:cs="宋体"/>
          <w:color w:val="auto"/>
          <w:highlight w:val="none"/>
          <w:lang w:eastAsia="zh-CN"/>
        </w:rPr>
        <w:t>广西政府采购云平台</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https://www.gcy.zfcg.gxzf.gov.cn/</w:t>
      </w:r>
      <w:r>
        <w:rPr>
          <w:rFonts w:hint="eastAsia" w:ascii="宋体" w:hAnsi="宋体" w:eastAsia="宋体" w:cs="宋体"/>
          <w:color w:val="auto"/>
          <w:highlight w:val="none"/>
        </w:rPr>
        <w:t>）</w:t>
      </w:r>
    </w:p>
    <w:p w14:paraId="7BAE03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方式：网上下载。本项目不提供纸质文件，潜在供应商需使用账号登录或者使用CA登录</w:t>
      </w:r>
      <w:r>
        <w:rPr>
          <w:rFonts w:hint="eastAsia" w:ascii="宋体" w:hAnsi="宋体" w:eastAsia="宋体" w:cs="宋体"/>
          <w:color w:val="auto"/>
          <w:highlight w:val="none"/>
          <w:lang w:eastAsia="zh-CN"/>
        </w:rPr>
        <w:t>广西政府采购云平台</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https://www.gcy.zfcg.gxzf.gov.cn/</w:t>
      </w:r>
      <w:r>
        <w:rPr>
          <w:rFonts w:hint="eastAsia" w:ascii="宋体" w:hAnsi="宋体" w:eastAsia="宋体" w:cs="宋体"/>
          <w:color w:val="auto"/>
          <w:highlight w:val="none"/>
        </w:rPr>
        <w:t>）-进入“项目采购”应用，在获取采购文件菜单中选择项目</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获取</w:t>
      </w:r>
      <w:r>
        <w:rPr>
          <w:rFonts w:hint="eastAsia" w:ascii="宋体" w:hAnsi="宋体" w:eastAsia="宋体" w:cs="宋体"/>
          <w:color w:val="auto"/>
          <w:highlight w:val="none"/>
          <w:lang w:eastAsia="zh-CN"/>
        </w:rPr>
        <w:t>单一来源采购文件</w:t>
      </w:r>
      <w:r>
        <w:rPr>
          <w:rFonts w:hint="eastAsia" w:ascii="宋体" w:hAnsi="宋体" w:eastAsia="宋体" w:cs="宋体"/>
          <w:color w:val="auto"/>
          <w:highlight w:val="none"/>
        </w:rPr>
        <w:t>。电子响应文件制作需要基于</w:t>
      </w:r>
      <w:r>
        <w:rPr>
          <w:rFonts w:hint="eastAsia" w:ascii="宋体" w:hAnsi="宋体" w:eastAsia="宋体" w:cs="宋体"/>
          <w:color w:val="auto"/>
          <w:highlight w:val="none"/>
          <w:lang w:eastAsia="zh-CN"/>
        </w:rPr>
        <w:t>广西政府采购云平台</w:t>
      </w:r>
      <w:r>
        <w:rPr>
          <w:rFonts w:hint="eastAsia" w:ascii="宋体" w:hAnsi="宋体" w:eastAsia="宋体" w:cs="宋体"/>
          <w:color w:val="auto"/>
          <w:highlight w:val="none"/>
        </w:rPr>
        <w:t>获取的</w:t>
      </w:r>
      <w:r>
        <w:rPr>
          <w:rFonts w:hint="eastAsia" w:ascii="宋体" w:hAnsi="宋体" w:eastAsia="宋体" w:cs="宋体"/>
          <w:color w:val="auto"/>
          <w:highlight w:val="none"/>
          <w:lang w:eastAsia="zh-CN"/>
        </w:rPr>
        <w:t>单一来源采购文件</w:t>
      </w:r>
      <w:r>
        <w:rPr>
          <w:rFonts w:hint="eastAsia" w:ascii="宋体" w:hAnsi="宋体" w:eastAsia="宋体" w:cs="宋体"/>
          <w:color w:val="auto"/>
          <w:highlight w:val="none"/>
        </w:rPr>
        <w:t>编制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通过其他方式获取</w:t>
      </w:r>
      <w:r>
        <w:rPr>
          <w:rFonts w:hint="eastAsia" w:ascii="宋体" w:hAnsi="宋体" w:eastAsia="宋体" w:cs="宋体"/>
          <w:color w:val="auto"/>
          <w:highlight w:val="none"/>
          <w:lang w:eastAsia="zh-CN"/>
        </w:rPr>
        <w:t>单一来源采购文件</w:t>
      </w:r>
      <w:r>
        <w:rPr>
          <w:rFonts w:hint="eastAsia" w:ascii="宋体" w:hAnsi="宋体" w:eastAsia="宋体" w:cs="宋体"/>
          <w:color w:val="auto"/>
          <w:highlight w:val="none"/>
        </w:rPr>
        <w:t>的，将有可能导致供应商无法在</w:t>
      </w:r>
      <w:r>
        <w:rPr>
          <w:rFonts w:hint="eastAsia" w:ascii="宋体" w:hAnsi="宋体" w:eastAsia="宋体" w:cs="宋体"/>
          <w:color w:val="auto"/>
          <w:highlight w:val="none"/>
          <w:lang w:eastAsia="zh-CN"/>
        </w:rPr>
        <w:t>广西政府采购云平台</w:t>
      </w:r>
      <w:r>
        <w:rPr>
          <w:rFonts w:hint="eastAsia" w:ascii="宋体" w:hAnsi="宋体" w:eastAsia="宋体" w:cs="宋体"/>
          <w:color w:val="auto"/>
          <w:highlight w:val="none"/>
        </w:rPr>
        <w:t>编制及上传响</w:t>
      </w:r>
      <w:r>
        <w:rPr>
          <w:rFonts w:hint="eastAsia" w:ascii="宋体" w:hAnsi="宋体" w:eastAsia="宋体" w:cs="宋体"/>
          <w:color w:val="auto"/>
          <w:highlight w:val="none"/>
          <w:lang w:eastAsia="zh-CN"/>
        </w:rPr>
        <w:t>应文件。</w:t>
      </w:r>
    </w:p>
    <w:p w14:paraId="7CBB5D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highlight w:val="none"/>
        </w:rPr>
        <w:t>售价：</w:t>
      </w:r>
      <w:r>
        <w:rPr>
          <w:rFonts w:hint="eastAsia" w:ascii="宋体" w:hAnsi="宋体" w:eastAsia="宋体" w:cs="宋体"/>
          <w:iCs/>
          <w:color w:val="auto"/>
          <w:highlight w:val="none"/>
          <w:u w:val="single"/>
        </w:rPr>
        <w:t>0</w:t>
      </w:r>
      <w:r>
        <w:rPr>
          <w:rFonts w:hint="eastAsia" w:ascii="宋体" w:hAnsi="宋体" w:eastAsia="宋体" w:cs="宋体"/>
          <w:color w:val="auto"/>
          <w:highlight w:val="none"/>
        </w:rPr>
        <w:t>元</w:t>
      </w:r>
    </w:p>
    <w:p w14:paraId="39CC873B">
      <w:pPr>
        <w:spacing w:line="360" w:lineRule="auto"/>
        <w:ind w:firstLine="354" w:firstLineChars="147"/>
        <w:outlineLvl w:val="1"/>
        <w:rPr>
          <w:rFonts w:hint="eastAsia" w:ascii="宋体" w:hAnsi="宋体" w:eastAsia="宋体" w:cs="宋体"/>
          <w:b/>
          <w:color w:val="auto"/>
          <w:sz w:val="24"/>
          <w:highlight w:val="none"/>
        </w:rPr>
      </w:pPr>
      <w:bookmarkStart w:id="34" w:name="_Toc10778"/>
      <w:bookmarkStart w:id="35" w:name="_Toc71365908"/>
      <w:r>
        <w:rPr>
          <w:rFonts w:hint="eastAsia" w:ascii="宋体" w:hAnsi="宋体" w:eastAsia="宋体" w:cs="宋体"/>
          <w:b/>
          <w:color w:val="auto"/>
          <w:sz w:val="24"/>
          <w:highlight w:val="none"/>
        </w:rPr>
        <w:t>四、响应文件提交</w:t>
      </w:r>
      <w:bookmarkEnd w:id="29"/>
      <w:bookmarkEnd w:id="30"/>
      <w:bookmarkEnd w:id="31"/>
      <w:bookmarkEnd w:id="32"/>
      <w:bookmarkEnd w:id="33"/>
      <w:bookmarkEnd w:id="34"/>
      <w:bookmarkEnd w:id="35"/>
    </w:p>
    <w:p w14:paraId="18A98260">
      <w:pPr>
        <w:spacing w:line="360" w:lineRule="auto"/>
        <w:ind w:firstLine="420" w:firstLineChars="200"/>
        <w:rPr>
          <w:rFonts w:hint="eastAsia" w:ascii="宋体" w:hAnsi="宋体" w:eastAsia="宋体" w:cs="宋体"/>
          <w:color w:val="auto"/>
          <w:highlight w:val="none"/>
          <w:u w:val="single"/>
        </w:rPr>
      </w:pPr>
      <w:bookmarkStart w:id="36" w:name="_Toc35393633"/>
      <w:bookmarkStart w:id="37" w:name="_Toc44229882"/>
      <w:bookmarkStart w:id="38" w:name="_Toc35393802"/>
      <w:bookmarkStart w:id="39" w:name="_Toc28359016"/>
      <w:bookmarkStart w:id="40" w:name="_Toc28359093"/>
      <w:r>
        <w:rPr>
          <w:rFonts w:hint="eastAsia" w:ascii="宋体" w:hAnsi="宋体" w:eastAsia="宋体" w:cs="宋体"/>
          <w:color w:val="auto"/>
          <w:highlight w:val="none"/>
        </w:rPr>
        <w:t>截止时间：</w:t>
      </w:r>
      <w:r>
        <w:rPr>
          <w:rFonts w:hint="eastAsia" w:ascii="宋体" w:hAnsi="宋体" w:eastAsia="宋体" w:cs="宋体"/>
          <w:bCs/>
          <w:color w:val="auto"/>
          <w:highlight w:val="none"/>
        </w:rPr>
        <w:t>202</w:t>
      </w: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rPr>
        <w:t>年</w:t>
      </w:r>
      <w:r>
        <w:rPr>
          <w:rFonts w:hint="eastAsia" w:ascii="宋体" w:hAnsi="宋体" w:cs="宋体"/>
          <w:bCs/>
          <w:color w:val="auto"/>
          <w:highlight w:val="none"/>
          <w:lang w:val="en-US" w:eastAsia="zh-CN"/>
        </w:rPr>
        <w:t>12</w:t>
      </w:r>
      <w:r>
        <w:rPr>
          <w:rFonts w:hint="eastAsia" w:ascii="宋体" w:hAnsi="宋体" w:eastAsia="宋体" w:cs="宋体"/>
          <w:bCs/>
          <w:color w:val="auto"/>
          <w:highlight w:val="none"/>
        </w:rPr>
        <w:t>月</w:t>
      </w:r>
      <w:r>
        <w:rPr>
          <w:rFonts w:hint="eastAsia" w:ascii="宋体" w:hAnsi="宋体" w:cs="宋体"/>
          <w:bCs/>
          <w:color w:val="auto"/>
          <w:highlight w:val="none"/>
          <w:lang w:val="en-US" w:eastAsia="zh-CN"/>
        </w:rPr>
        <w:t>5</w:t>
      </w:r>
      <w:r>
        <w:rPr>
          <w:rFonts w:hint="eastAsia" w:ascii="宋体" w:hAnsi="宋体" w:eastAsia="宋体" w:cs="宋体"/>
          <w:bCs/>
          <w:color w:val="auto"/>
          <w:highlight w:val="none"/>
        </w:rPr>
        <w:t>日</w:t>
      </w:r>
      <w:r>
        <w:rPr>
          <w:rFonts w:hint="eastAsia" w:ascii="宋体" w:hAnsi="宋体" w:eastAsia="宋体" w:cs="宋体"/>
          <w:color w:val="auto"/>
          <w:sz w:val="21"/>
          <w:szCs w:val="21"/>
          <w:highlight w:val="none"/>
          <w:lang w:eastAsia="zh-CN"/>
        </w:rPr>
        <w:t>9时00分</w:t>
      </w:r>
      <w:r>
        <w:rPr>
          <w:rFonts w:hint="eastAsia" w:ascii="宋体" w:hAnsi="宋体" w:eastAsia="宋体" w:cs="宋体"/>
          <w:bCs/>
          <w:color w:val="auto"/>
          <w:highlight w:val="none"/>
        </w:rPr>
        <w:t>（北京时间）</w:t>
      </w:r>
    </w:p>
    <w:p w14:paraId="035927C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地点：</w:t>
      </w:r>
      <w:r>
        <w:rPr>
          <w:rFonts w:hint="eastAsia" w:ascii="宋体" w:hAnsi="宋体" w:eastAsia="宋体" w:cs="宋体"/>
          <w:color w:val="auto"/>
          <w:highlight w:val="none"/>
          <w:lang w:eastAsia="zh-CN"/>
        </w:rPr>
        <w:t>广西政府采购云平台</w:t>
      </w:r>
      <w:r>
        <w:rPr>
          <w:rFonts w:hint="eastAsia" w:ascii="宋体" w:hAnsi="宋体" w:eastAsia="宋体" w:cs="宋体"/>
          <w:bCs/>
          <w:color w:val="auto"/>
          <w:highlight w:val="none"/>
        </w:rPr>
        <w:t>（</w:t>
      </w:r>
      <w:r>
        <w:rPr>
          <w:rFonts w:hint="eastAsia" w:ascii="宋体" w:hAnsi="宋体" w:eastAsia="宋体" w:cs="宋体"/>
          <w:bCs/>
          <w:color w:val="auto"/>
          <w:highlight w:val="none"/>
          <w:lang w:eastAsia="zh-CN"/>
        </w:rPr>
        <w:t>https://www.gcy.zfcg.gxzf.gov.cn/</w:t>
      </w:r>
      <w:r>
        <w:rPr>
          <w:rFonts w:hint="eastAsia" w:ascii="宋体" w:hAnsi="宋体" w:eastAsia="宋体" w:cs="宋体"/>
          <w:bCs/>
          <w:color w:val="auto"/>
          <w:highlight w:val="none"/>
        </w:rPr>
        <w:t>）</w:t>
      </w:r>
    </w:p>
    <w:p w14:paraId="5429CBC2">
      <w:pPr>
        <w:spacing w:line="360" w:lineRule="auto"/>
        <w:ind w:firstLine="354" w:firstLineChars="147"/>
        <w:outlineLvl w:val="1"/>
        <w:rPr>
          <w:rFonts w:hint="eastAsia" w:ascii="宋体" w:hAnsi="宋体" w:eastAsia="宋体" w:cs="宋体"/>
          <w:b/>
          <w:color w:val="auto"/>
          <w:sz w:val="24"/>
          <w:highlight w:val="none"/>
        </w:rPr>
      </w:pPr>
      <w:bookmarkStart w:id="41" w:name="_Toc15548"/>
      <w:bookmarkStart w:id="42" w:name="_Toc71365909"/>
      <w:r>
        <w:rPr>
          <w:rFonts w:hint="eastAsia" w:ascii="宋体" w:hAnsi="宋体" w:eastAsia="宋体" w:cs="宋体"/>
          <w:b/>
          <w:color w:val="auto"/>
          <w:sz w:val="24"/>
          <w:highlight w:val="none"/>
        </w:rPr>
        <w:t>五、开启</w:t>
      </w:r>
      <w:bookmarkEnd w:id="36"/>
      <w:bookmarkEnd w:id="37"/>
      <w:bookmarkEnd w:id="38"/>
      <w:bookmarkEnd w:id="39"/>
      <w:bookmarkEnd w:id="40"/>
      <w:bookmarkEnd w:id="41"/>
      <w:bookmarkEnd w:id="42"/>
    </w:p>
    <w:p w14:paraId="17A9C32B">
      <w:pPr>
        <w:spacing w:line="360" w:lineRule="auto"/>
        <w:ind w:firstLine="420" w:firstLineChars="200"/>
        <w:rPr>
          <w:rFonts w:hint="eastAsia" w:ascii="宋体" w:hAnsi="宋体" w:eastAsia="宋体" w:cs="宋体"/>
          <w:bCs/>
          <w:color w:val="auto"/>
          <w:highlight w:val="none"/>
          <w:u w:val="single"/>
        </w:rPr>
      </w:pPr>
      <w:bookmarkStart w:id="43" w:name="_Toc327"/>
      <w:r>
        <w:rPr>
          <w:rFonts w:hint="eastAsia" w:ascii="宋体" w:hAnsi="宋体" w:eastAsia="宋体" w:cs="宋体"/>
          <w:color w:val="auto"/>
          <w:highlight w:val="none"/>
        </w:rPr>
        <w:t>时间：</w:t>
      </w:r>
      <w:bookmarkEnd w:id="43"/>
      <w:r>
        <w:rPr>
          <w:rFonts w:hint="eastAsia" w:ascii="宋体" w:hAnsi="宋体" w:eastAsia="宋体" w:cs="宋体"/>
          <w:bCs/>
          <w:color w:val="auto"/>
          <w:highlight w:val="none"/>
        </w:rPr>
        <w:t>202</w:t>
      </w: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rPr>
        <w:t>年</w:t>
      </w:r>
      <w:r>
        <w:rPr>
          <w:rFonts w:hint="eastAsia" w:ascii="宋体" w:hAnsi="宋体" w:cs="宋体"/>
          <w:bCs/>
          <w:color w:val="auto"/>
          <w:highlight w:val="none"/>
          <w:lang w:val="en-US" w:eastAsia="zh-CN"/>
        </w:rPr>
        <w:t>12</w:t>
      </w:r>
      <w:r>
        <w:rPr>
          <w:rFonts w:hint="eastAsia" w:ascii="宋体" w:hAnsi="宋体" w:eastAsia="宋体" w:cs="宋体"/>
          <w:bCs/>
          <w:color w:val="auto"/>
          <w:highlight w:val="none"/>
        </w:rPr>
        <w:t>月</w:t>
      </w:r>
      <w:r>
        <w:rPr>
          <w:rFonts w:hint="eastAsia" w:ascii="宋体" w:hAnsi="宋体" w:cs="宋体"/>
          <w:bCs/>
          <w:color w:val="auto"/>
          <w:highlight w:val="none"/>
          <w:lang w:val="en-US" w:eastAsia="zh-CN"/>
        </w:rPr>
        <w:t>5</w:t>
      </w:r>
      <w:r>
        <w:rPr>
          <w:rFonts w:hint="eastAsia" w:ascii="宋体" w:hAnsi="宋体" w:eastAsia="宋体" w:cs="宋体"/>
          <w:bCs/>
          <w:color w:val="auto"/>
          <w:highlight w:val="none"/>
        </w:rPr>
        <w:t>日</w:t>
      </w:r>
      <w:r>
        <w:rPr>
          <w:rFonts w:hint="eastAsia" w:ascii="宋体" w:hAnsi="宋体" w:eastAsia="宋体" w:cs="宋体"/>
          <w:color w:val="auto"/>
          <w:sz w:val="21"/>
          <w:szCs w:val="21"/>
          <w:highlight w:val="none"/>
          <w:lang w:eastAsia="zh-CN"/>
        </w:rPr>
        <w:t>9时00分</w:t>
      </w:r>
      <w:r>
        <w:rPr>
          <w:rFonts w:hint="eastAsia" w:ascii="宋体" w:hAnsi="宋体" w:eastAsia="宋体" w:cs="宋体"/>
          <w:bCs/>
          <w:color w:val="auto"/>
          <w:highlight w:val="none"/>
        </w:rPr>
        <w:t>（北京时间）</w:t>
      </w:r>
    </w:p>
    <w:p w14:paraId="08E2500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地点：</w:t>
      </w:r>
      <w:r>
        <w:rPr>
          <w:rFonts w:hint="eastAsia" w:ascii="宋体" w:hAnsi="宋体" w:eastAsia="宋体" w:cs="宋体"/>
          <w:color w:val="auto"/>
          <w:highlight w:val="none"/>
          <w:lang w:eastAsia="zh-CN"/>
        </w:rPr>
        <w:t>广西政府采购云平台</w:t>
      </w:r>
      <w:r>
        <w:rPr>
          <w:rFonts w:hint="eastAsia" w:ascii="宋体" w:hAnsi="宋体" w:eastAsia="宋体" w:cs="宋体"/>
          <w:bCs/>
          <w:color w:val="auto"/>
          <w:highlight w:val="none"/>
        </w:rPr>
        <w:t>（</w:t>
      </w:r>
      <w:r>
        <w:rPr>
          <w:rFonts w:hint="eastAsia" w:ascii="宋体" w:hAnsi="宋体" w:eastAsia="宋体" w:cs="宋体"/>
          <w:bCs/>
          <w:color w:val="auto"/>
          <w:highlight w:val="none"/>
          <w:lang w:eastAsia="zh-CN"/>
        </w:rPr>
        <w:t>https://www.gcy.zfcg.gxzf.gov.cn/</w:t>
      </w:r>
      <w:r>
        <w:rPr>
          <w:rFonts w:hint="eastAsia" w:ascii="宋体" w:hAnsi="宋体" w:eastAsia="宋体" w:cs="宋体"/>
          <w:bCs/>
          <w:color w:val="auto"/>
          <w:highlight w:val="none"/>
        </w:rPr>
        <w:t>）</w:t>
      </w:r>
    </w:p>
    <w:p w14:paraId="76FCF3EF">
      <w:pPr>
        <w:spacing w:line="360" w:lineRule="auto"/>
        <w:ind w:firstLine="308" w:firstLineChars="147"/>
        <w:outlineLvl w:val="1"/>
        <w:rPr>
          <w:rFonts w:hint="eastAsia" w:ascii="宋体" w:hAnsi="宋体" w:eastAsia="宋体" w:cs="宋体"/>
          <w:color w:val="auto"/>
          <w:highlight w:val="none"/>
          <w:lang w:eastAsia="zh-CN"/>
        </w:rPr>
      </w:pPr>
      <w:r>
        <w:rPr>
          <w:rFonts w:hint="eastAsia" w:ascii="宋体" w:hAnsi="宋体" w:eastAsia="宋体" w:cs="宋体"/>
          <w:bCs/>
          <w:color w:val="auto"/>
          <w:highlight w:val="none"/>
          <w:lang w:eastAsia="zh-CN"/>
        </w:rPr>
        <w:t xml:space="preserve"> </w:t>
      </w:r>
      <w:r>
        <w:rPr>
          <w:rFonts w:hint="eastAsia" w:ascii="宋体" w:hAnsi="宋体" w:eastAsia="宋体" w:cs="宋体"/>
          <w:b/>
          <w:color w:val="auto"/>
          <w:sz w:val="24"/>
          <w:highlight w:val="none"/>
          <w:lang w:eastAsia="zh-CN"/>
        </w:rPr>
        <w:t>六</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协商地点</w:t>
      </w:r>
    </w:p>
    <w:p w14:paraId="2A829CE4">
      <w:pPr>
        <w:spacing w:line="360" w:lineRule="auto"/>
        <w:ind w:firstLine="420" w:firstLineChars="200"/>
        <w:outlineLvl w:val="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协商地点：广西政府采购云平台</w:t>
      </w:r>
      <w:r>
        <w:rPr>
          <w:rFonts w:hint="eastAsia" w:ascii="宋体" w:hAnsi="宋体" w:eastAsia="宋体" w:cs="宋体"/>
          <w:bCs/>
          <w:color w:val="auto"/>
          <w:highlight w:val="none"/>
        </w:rPr>
        <w:t>（</w:t>
      </w:r>
      <w:r>
        <w:rPr>
          <w:rFonts w:hint="eastAsia" w:ascii="宋体" w:hAnsi="宋体" w:eastAsia="宋体" w:cs="宋体"/>
          <w:bCs/>
          <w:color w:val="auto"/>
          <w:highlight w:val="none"/>
          <w:lang w:eastAsia="zh-CN"/>
        </w:rPr>
        <w:t>https://www.gcy.zfcg.gxzf.gov.cn/</w:t>
      </w:r>
      <w:r>
        <w:rPr>
          <w:rFonts w:hint="eastAsia" w:ascii="宋体" w:hAnsi="宋体" w:eastAsia="宋体" w:cs="宋体"/>
          <w:bCs/>
          <w:color w:val="auto"/>
          <w:highlight w:val="none"/>
        </w:rPr>
        <w:t>）</w:t>
      </w:r>
    </w:p>
    <w:p w14:paraId="7B9D9477">
      <w:pPr>
        <w:spacing w:line="360" w:lineRule="auto"/>
        <w:ind w:firstLine="354" w:firstLineChars="147"/>
        <w:outlineLvl w:val="1"/>
        <w:rPr>
          <w:rFonts w:hint="eastAsia" w:ascii="宋体" w:hAnsi="宋体" w:eastAsia="宋体" w:cs="宋体"/>
          <w:b/>
          <w:color w:val="auto"/>
          <w:sz w:val="24"/>
          <w:highlight w:val="none"/>
        </w:rPr>
      </w:pPr>
      <w:bookmarkStart w:id="44" w:name="_Toc44229884"/>
      <w:bookmarkStart w:id="45" w:name="_Toc71365911"/>
      <w:bookmarkStart w:id="46" w:name="_Toc16964"/>
      <w:r>
        <w:rPr>
          <w:rFonts w:hint="eastAsia" w:ascii="宋体" w:hAnsi="宋体" w:eastAsia="宋体" w:cs="宋体"/>
          <w:b/>
          <w:color w:val="auto"/>
          <w:sz w:val="24"/>
          <w:highlight w:val="none"/>
          <w:lang w:eastAsia="zh-CN"/>
        </w:rPr>
        <w:t>七</w:t>
      </w:r>
      <w:r>
        <w:rPr>
          <w:rFonts w:hint="eastAsia" w:ascii="宋体" w:hAnsi="宋体" w:eastAsia="宋体" w:cs="宋体"/>
          <w:b/>
          <w:color w:val="auto"/>
          <w:sz w:val="24"/>
          <w:highlight w:val="none"/>
        </w:rPr>
        <w:t>、其他补充事宜</w:t>
      </w:r>
      <w:bookmarkEnd w:id="44"/>
      <w:bookmarkEnd w:id="45"/>
      <w:bookmarkEnd w:id="46"/>
    </w:p>
    <w:p w14:paraId="07F856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rPr>
      </w:pPr>
      <w:bookmarkStart w:id="47" w:name="_Toc28359095"/>
      <w:bookmarkStart w:id="48" w:name="_Toc35393636"/>
      <w:bookmarkStart w:id="49" w:name="_Toc44229885"/>
      <w:bookmarkStart w:id="50" w:name="_Toc35393805"/>
      <w:bookmarkStart w:id="51" w:name="_Toc28359018"/>
      <w:r>
        <w:rPr>
          <w:rFonts w:hint="eastAsia" w:ascii="宋体" w:hAnsi="宋体" w:eastAsia="宋体" w:cs="宋体"/>
          <w:color w:val="auto"/>
          <w:kern w:val="0"/>
          <w:szCs w:val="21"/>
          <w:highlight w:val="none"/>
        </w:rPr>
        <w:t>1.保证金：无</w:t>
      </w:r>
    </w:p>
    <w:p w14:paraId="1FAA4D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highlight w:val="none"/>
        </w:rPr>
        <w:t>本项目需要落实的政府采购政策：</w:t>
      </w:r>
    </w:p>
    <w:p w14:paraId="0B2478B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5FE4EABB">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（2）政府采购促进残疾人就业政策。</w:t>
      </w:r>
    </w:p>
    <w:p w14:paraId="0C6FAF4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）政府采购支持监狱企业发展。</w:t>
      </w:r>
    </w:p>
    <w:p w14:paraId="529A17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3.网上查询地址</w:t>
      </w:r>
    </w:p>
    <w:p w14:paraId="11D880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http://www.ccgp.gov.cn（中国政府采购网）、http://zfcg.gxzf.gov.cn/（广西壮族自治区政府采购网）、http://zfcg.czj.gxgg.gov.cn/（贵港市政府采购网）、http://ggzy.jgswj.gxzf.gov.cn/ggggzy/全国公共资源交易平台（广西·贵港）</w:t>
      </w:r>
    </w:p>
    <w:p w14:paraId="35E11F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4.监督部门</w:t>
      </w:r>
    </w:p>
    <w:p w14:paraId="72A9D33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名  称：贵港市港北区财政局政府采购监督管理股 </w:t>
      </w:r>
    </w:p>
    <w:p w14:paraId="32AE0831">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电  话：0775-4258699、4258673  </w:t>
      </w:r>
      <w:r>
        <w:rPr>
          <w:rFonts w:hint="eastAsia" w:ascii="宋体" w:hAnsi="宋体" w:eastAsia="宋体" w:cs="宋体"/>
          <w:color w:val="auto"/>
          <w:kern w:val="0"/>
          <w:szCs w:val="21"/>
          <w:highlight w:val="none"/>
          <w:lang w:val="en-US" w:eastAsia="zh-CN"/>
        </w:rPr>
        <w:t xml:space="preserve">  </w:t>
      </w:r>
    </w:p>
    <w:p w14:paraId="20EB5A3E">
      <w:pPr>
        <w:keepNext w:val="0"/>
        <w:keepLines w:val="0"/>
        <w:pageBreakBefore w:val="0"/>
        <w:widowControl w:val="0"/>
        <w:kinsoku/>
        <w:wordWrap/>
        <w:overflowPunct/>
        <w:topLinePunct w:val="0"/>
        <w:autoSpaceDE/>
        <w:autoSpaceDN/>
        <w:bidi w:val="0"/>
        <w:adjustRightInd/>
        <w:snapToGrid/>
        <w:spacing w:line="360" w:lineRule="auto"/>
        <w:ind w:left="210" w:leftChars="100" w:firstLine="210" w:firstLineChars="1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04F52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.未被“信用中国”（www.creditchina.gov.cn）、中国政府采购网（www.ccgp.gov.cn）列入失信被执行人、</w:t>
      </w:r>
      <w:r>
        <w:rPr>
          <w:rFonts w:hint="eastAsia" w:ascii="宋体" w:hAnsi="宋体" w:eastAsia="宋体" w:cs="宋体"/>
          <w:color w:val="auto"/>
          <w:kern w:val="0"/>
          <w:szCs w:val="21"/>
          <w:highlight w:val="none"/>
          <w:lang w:eastAsia="zh-CN"/>
        </w:rPr>
        <w:t>重大税收违法失信主体</w:t>
      </w:r>
      <w:r>
        <w:rPr>
          <w:rFonts w:hint="eastAsia" w:ascii="宋体" w:hAnsi="宋体" w:eastAsia="宋体" w:cs="宋体"/>
          <w:color w:val="auto"/>
          <w:kern w:val="0"/>
          <w:szCs w:val="21"/>
          <w:highlight w:val="none"/>
        </w:rPr>
        <w:t>、政府采购严重违法失信行为记录名单。</w:t>
      </w:r>
    </w:p>
    <w:p w14:paraId="4FD8A3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.在线</w:t>
      </w: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rPr>
        <w:t>响应（电子</w:t>
      </w:r>
      <w:r>
        <w:rPr>
          <w:rFonts w:hint="eastAsia" w:ascii="宋体" w:hAnsi="宋体" w:eastAsia="宋体" w:cs="宋体"/>
          <w:color w:val="auto"/>
          <w:kern w:val="0"/>
          <w:szCs w:val="21"/>
          <w:highlight w:val="none"/>
          <w:lang w:eastAsia="zh-CN"/>
        </w:rPr>
        <w:t>竞</w:t>
      </w:r>
      <w:r>
        <w:rPr>
          <w:rFonts w:hint="eastAsia" w:ascii="宋体" w:hAnsi="宋体" w:eastAsia="宋体" w:cs="宋体"/>
          <w:color w:val="auto"/>
          <w:kern w:val="0"/>
          <w:szCs w:val="21"/>
          <w:highlight w:val="none"/>
        </w:rPr>
        <w:t>标）说明</w:t>
      </w:r>
    </w:p>
    <w:p w14:paraId="6ED2B0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（1）本项目为全流程电子化采购项目，通过广西政府采购云平台（https://www.gcy.zfcg.gxzf.gov.cn/）实行在线电子</w:t>
      </w: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应按照本项目</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文件和广西政府采购云平台的要求编制、加密后在</w:t>
      </w:r>
      <w:r>
        <w:rPr>
          <w:rFonts w:hint="eastAsia" w:ascii="宋体" w:hAnsi="宋体" w:eastAsia="宋体" w:cs="宋体"/>
          <w:color w:val="auto"/>
          <w:kern w:val="0"/>
          <w:szCs w:val="21"/>
          <w:highlight w:val="none"/>
          <w:lang w:eastAsia="zh-CN"/>
        </w:rPr>
        <w:t>竞</w:t>
      </w:r>
      <w:r>
        <w:rPr>
          <w:rFonts w:hint="eastAsia" w:ascii="宋体" w:hAnsi="宋体" w:eastAsia="宋体" w:cs="宋体"/>
          <w:color w:val="auto"/>
          <w:kern w:val="0"/>
          <w:szCs w:val="21"/>
          <w:highlight w:val="none"/>
        </w:rPr>
        <w:t>标截止时间前通过网络上传至广西政府采购云平台（加密的电子</w:t>
      </w:r>
      <w:r>
        <w:rPr>
          <w:rFonts w:hint="eastAsia" w:ascii="宋体" w:hAnsi="宋体" w:eastAsia="宋体" w:cs="宋体"/>
          <w:color w:val="auto"/>
          <w:kern w:val="0"/>
          <w:szCs w:val="21"/>
          <w:highlight w:val="none"/>
          <w:lang w:eastAsia="zh-CN"/>
        </w:rPr>
        <w:t>响应</w:t>
      </w:r>
      <w:r>
        <w:rPr>
          <w:rFonts w:hint="eastAsia" w:ascii="宋体" w:hAnsi="宋体" w:eastAsia="宋体" w:cs="宋体"/>
          <w:color w:val="auto"/>
          <w:kern w:val="0"/>
          <w:szCs w:val="21"/>
          <w:highlight w:val="none"/>
        </w:rPr>
        <w:t>文件是指后缀名为“jmbs”的文件），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在广西政府采购云平台提交电子</w:t>
      </w:r>
      <w:r>
        <w:rPr>
          <w:rFonts w:hint="eastAsia" w:ascii="宋体" w:hAnsi="宋体" w:eastAsia="宋体" w:cs="宋体"/>
          <w:color w:val="auto"/>
          <w:kern w:val="0"/>
          <w:szCs w:val="21"/>
          <w:highlight w:val="none"/>
          <w:lang w:eastAsia="zh-CN"/>
        </w:rPr>
        <w:t>响应</w:t>
      </w:r>
      <w:r>
        <w:rPr>
          <w:rFonts w:hint="eastAsia" w:ascii="宋体" w:hAnsi="宋体" w:eastAsia="宋体" w:cs="宋体"/>
          <w:color w:val="auto"/>
          <w:kern w:val="0"/>
          <w:szCs w:val="21"/>
          <w:highlight w:val="none"/>
        </w:rPr>
        <w:t>文件时，请填写参加远程开标活动经办人联系方式。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登录广西政府采购云平台，依次进入“服务中心-项目采购-操作流程-电子招投标-政府采购项目电子交易管理操作指南-供应商”查看电子</w:t>
      </w:r>
      <w:r>
        <w:rPr>
          <w:rFonts w:hint="eastAsia" w:ascii="宋体" w:hAnsi="宋体" w:eastAsia="宋体" w:cs="宋体"/>
          <w:color w:val="auto"/>
          <w:kern w:val="0"/>
          <w:szCs w:val="21"/>
          <w:highlight w:val="none"/>
          <w:lang w:eastAsia="zh-CN"/>
        </w:rPr>
        <w:t>竞</w:t>
      </w:r>
      <w:r>
        <w:rPr>
          <w:rFonts w:hint="eastAsia" w:ascii="宋体" w:hAnsi="宋体" w:eastAsia="宋体" w:cs="宋体"/>
          <w:color w:val="auto"/>
          <w:kern w:val="0"/>
          <w:szCs w:val="21"/>
          <w:highlight w:val="none"/>
        </w:rPr>
        <w:t>标具体操作流程。</w:t>
      </w:r>
    </w:p>
    <w:p w14:paraId="304095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（2）未进行网上注册并办理数字证书（CA认证）的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将无法参与本项目政府采购活动，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eastAsia="zh-CN"/>
        </w:rPr>
        <w:t>竞</w:t>
      </w:r>
      <w:r>
        <w:rPr>
          <w:rFonts w:hint="eastAsia" w:ascii="宋体" w:hAnsi="宋体" w:eastAsia="宋体" w:cs="宋体"/>
          <w:color w:val="auto"/>
          <w:kern w:val="0"/>
          <w:szCs w:val="21"/>
          <w:highlight w:val="none"/>
        </w:rPr>
        <w:t>标截止时间前，完成电子交易平台上的CA数字证书办理及</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的提交（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登录“广西政府采购网”，依次进入“办事服务-下载专区”或者登录广西政府采购云平台，依次进入“服务中心-入驻与配置”中查看CA数字证书办理操作流程。如在操作过程中遇到问题或者需要技术支持，请致电客服热线：95763或者0771-3381253）。</w:t>
      </w:r>
    </w:p>
    <w:p w14:paraId="69EC27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（3）CA证书在线解密：</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lang w:val="en-US" w:eastAsia="zh-CN"/>
        </w:rPr>
        <w:t>协商</w:t>
      </w:r>
      <w:r>
        <w:rPr>
          <w:rFonts w:hint="eastAsia" w:ascii="宋体" w:hAnsi="宋体" w:eastAsia="宋体" w:cs="宋体"/>
          <w:color w:val="auto"/>
          <w:kern w:val="0"/>
          <w:szCs w:val="21"/>
          <w:highlight w:val="none"/>
        </w:rPr>
        <w:t>时，需凭制作</w:t>
      </w:r>
      <w:r>
        <w:rPr>
          <w:rFonts w:hint="eastAsia" w:ascii="宋体" w:hAnsi="宋体" w:eastAsia="宋体" w:cs="宋体"/>
          <w:color w:val="auto"/>
          <w:kern w:val="0"/>
          <w:szCs w:val="21"/>
          <w:highlight w:val="none"/>
          <w:lang w:eastAsia="zh-CN"/>
        </w:rPr>
        <w:t>响应</w:t>
      </w:r>
      <w:r>
        <w:rPr>
          <w:rFonts w:hint="eastAsia" w:ascii="宋体" w:hAnsi="宋体" w:eastAsia="宋体" w:cs="宋体"/>
          <w:color w:val="auto"/>
          <w:kern w:val="0"/>
          <w:szCs w:val="21"/>
          <w:highlight w:val="none"/>
        </w:rPr>
        <w:t>文件时用来加密的有效数字证书（CA认证）登录广西政府采购云平台电子开标大厅现场按规定时间对加密的</w:t>
      </w:r>
      <w:r>
        <w:rPr>
          <w:rFonts w:hint="eastAsia" w:ascii="宋体" w:hAnsi="宋体" w:eastAsia="宋体" w:cs="宋体"/>
          <w:color w:val="auto"/>
          <w:kern w:val="0"/>
          <w:szCs w:val="21"/>
          <w:highlight w:val="none"/>
          <w:lang w:eastAsia="zh-CN"/>
        </w:rPr>
        <w:t>响应</w:t>
      </w:r>
      <w:r>
        <w:rPr>
          <w:rFonts w:hint="eastAsia" w:ascii="宋体" w:hAnsi="宋体" w:eastAsia="宋体" w:cs="宋体"/>
          <w:color w:val="auto"/>
          <w:kern w:val="0"/>
          <w:szCs w:val="21"/>
          <w:highlight w:val="none"/>
        </w:rPr>
        <w:t>文件进行解密，否则后果自负。</w:t>
      </w:r>
    </w:p>
    <w:p w14:paraId="64A9D1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注：1）为确保网上操作合法、有效和安全，请</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确保在电子</w:t>
      </w:r>
      <w:r>
        <w:rPr>
          <w:rFonts w:hint="eastAsia" w:ascii="宋体" w:hAnsi="宋体" w:eastAsia="宋体" w:cs="宋体"/>
          <w:color w:val="auto"/>
          <w:kern w:val="0"/>
          <w:szCs w:val="21"/>
          <w:highlight w:val="none"/>
          <w:lang w:eastAsia="zh-CN"/>
        </w:rPr>
        <w:t>竞</w:t>
      </w:r>
      <w:r>
        <w:rPr>
          <w:rFonts w:hint="eastAsia" w:ascii="宋体" w:hAnsi="宋体" w:eastAsia="宋体" w:cs="宋体"/>
          <w:color w:val="auto"/>
          <w:kern w:val="0"/>
          <w:szCs w:val="21"/>
          <w:highlight w:val="none"/>
        </w:rPr>
        <w:t>标过程中能够对相关数据电文进行加密和使用电子签章，妥善保管CA数字证书并使用有效的CA数字证书参与整个</w:t>
      </w:r>
      <w:r>
        <w:rPr>
          <w:rFonts w:hint="eastAsia" w:ascii="宋体" w:hAnsi="宋体" w:eastAsia="宋体" w:cs="宋体"/>
          <w:color w:val="auto"/>
          <w:kern w:val="0"/>
          <w:szCs w:val="21"/>
          <w:highlight w:val="none"/>
          <w:lang w:eastAsia="zh-CN"/>
        </w:rPr>
        <w:t>竞</w:t>
      </w:r>
      <w:r>
        <w:rPr>
          <w:rFonts w:hint="eastAsia" w:ascii="宋体" w:hAnsi="宋体" w:eastAsia="宋体" w:cs="宋体"/>
          <w:color w:val="auto"/>
          <w:kern w:val="0"/>
          <w:szCs w:val="21"/>
          <w:highlight w:val="none"/>
        </w:rPr>
        <w:t>标活动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eastAsia="zh-CN"/>
        </w:rPr>
        <w:t>竞</w:t>
      </w:r>
      <w:r>
        <w:rPr>
          <w:rFonts w:hint="eastAsia" w:ascii="宋体" w:hAnsi="宋体" w:eastAsia="宋体" w:cs="宋体"/>
          <w:color w:val="auto"/>
          <w:kern w:val="0"/>
          <w:szCs w:val="21"/>
          <w:highlight w:val="none"/>
        </w:rPr>
        <w:t>标截止时间前完成电子</w:t>
      </w:r>
      <w:r>
        <w:rPr>
          <w:rFonts w:hint="eastAsia" w:ascii="宋体" w:hAnsi="宋体" w:eastAsia="宋体" w:cs="宋体"/>
          <w:color w:val="auto"/>
          <w:kern w:val="0"/>
          <w:szCs w:val="21"/>
          <w:highlight w:val="none"/>
          <w:lang w:eastAsia="zh-CN"/>
        </w:rPr>
        <w:t>响应</w:t>
      </w:r>
      <w:r>
        <w:rPr>
          <w:rFonts w:hint="eastAsia" w:ascii="宋体" w:hAnsi="宋体" w:eastAsia="宋体" w:cs="宋体"/>
          <w:color w:val="auto"/>
          <w:kern w:val="0"/>
          <w:szCs w:val="21"/>
          <w:highlight w:val="none"/>
        </w:rPr>
        <w:t>文件的上传、提交，</w:t>
      </w:r>
      <w:r>
        <w:rPr>
          <w:rFonts w:hint="eastAsia" w:ascii="宋体" w:hAnsi="宋体" w:eastAsia="宋体" w:cs="宋体"/>
          <w:color w:val="auto"/>
          <w:kern w:val="0"/>
          <w:szCs w:val="21"/>
          <w:highlight w:val="none"/>
          <w:lang w:eastAsia="zh-CN"/>
        </w:rPr>
        <w:t>竞</w:t>
      </w:r>
      <w:r>
        <w:rPr>
          <w:rFonts w:hint="eastAsia" w:ascii="宋体" w:hAnsi="宋体" w:eastAsia="宋体" w:cs="宋体"/>
          <w:color w:val="auto"/>
          <w:kern w:val="0"/>
          <w:szCs w:val="21"/>
          <w:highlight w:val="none"/>
        </w:rPr>
        <w:t>标截止时间前可以补充、修改或者撤回</w:t>
      </w:r>
      <w:r>
        <w:rPr>
          <w:rFonts w:hint="eastAsia" w:ascii="宋体" w:hAnsi="宋体" w:eastAsia="宋体" w:cs="宋体"/>
          <w:color w:val="auto"/>
          <w:kern w:val="0"/>
          <w:szCs w:val="21"/>
          <w:highlight w:val="none"/>
          <w:lang w:eastAsia="zh-CN"/>
        </w:rPr>
        <w:t>响应</w:t>
      </w:r>
      <w:r>
        <w:rPr>
          <w:rFonts w:hint="eastAsia" w:ascii="宋体" w:hAnsi="宋体" w:eastAsia="宋体" w:cs="宋体"/>
          <w:color w:val="auto"/>
          <w:kern w:val="0"/>
          <w:szCs w:val="21"/>
          <w:highlight w:val="none"/>
        </w:rPr>
        <w:t>文件。补充或者修改</w:t>
      </w:r>
      <w:r>
        <w:rPr>
          <w:rFonts w:hint="eastAsia" w:ascii="宋体" w:hAnsi="宋体" w:eastAsia="宋体" w:cs="宋体"/>
          <w:color w:val="auto"/>
          <w:kern w:val="0"/>
          <w:szCs w:val="21"/>
          <w:highlight w:val="none"/>
          <w:lang w:eastAsia="zh-CN"/>
        </w:rPr>
        <w:t>响应</w:t>
      </w:r>
      <w:r>
        <w:rPr>
          <w:rFonts w:hint="eastAsia" w:ascii="宋体" w:hAnsi="宋体" w:eastAsia="宋体" w:cs="宋体"/>
          <w:color w:val="auto"/>
          <w:kern w:val="0"/>
          <w:szCs w:val="21"/>
          <w:highlight w:val="none"/>
        </w:rPr>
        <w:t>文件的，应当先行撤回原</w:t>
      </w:r>
      <w:r>
        <w:rPr>
          <w:rFonts w:hint="eastAsia" w:ascii="宋体" w:hAnsi="宋体" w:eastAsia="宋体" w:cs="宋体"/>
          <w:color w:val="auto"/>
          <w:kern w:val="0"/>
          <w:szCs w:val="21"/>
          <w:highlight w:val="none"/>
          <w:lang w:eastAsia="zh-CN"/>
        </w:rPr>
        <w:t>响应</w:t>
      </w:r>
      <w:r>
        <w:rPr>
          <w:rFonts w:hint="eastAsia" w:ascii="宋体" w:hAnsi="宋体" w:eastAsia="宋体" w:cs="宋体"/>
          <w:color w:val="auto"/>
          <w:kern w:val="0"/>
          <w:szCs w:val="21"/>
          <w:highlight w:val="none"/>
        </w:rPr>
        <w:t>文件，补充、修改后重新上传、提交，</w:t>
      </w:r>
      <w:r>
        <w:rPr>
          <w:rFonts w:hint="eastAsia" w:ascii="宋体" w:hAnsi="宋体" w:eastAsia="宋体" w:cs="宋体"/>
          <w:color w:val="auto"/>
          <w:kern w:val="0"/>
          <w:szCs w:val="21"/>
          <w:highlight w:val="none"/>
          <w:lang w:val="en-US" w:eastAsia="zh-CN"/>
        </w:rPr>
        <w:t>协商</w:t>
      </w:r>
      <w:r>
        <w:rPr>
          <w:rFonts w:hint="eastAsia" w:ascii="宋体" w:hAnsi="宋体" w:eastAsia="宋体" w:cs="宋体"/>
          <w:color w:val="auto"/>
          <w:kern w:val="0"/>
          <w:szCs w:val="21"/>
          <w:highlight w:val="none"/>
        </w:rPr>
        <w:t>截止时间前未完成上传、提交的，视为撤回</w:t>
      </w:r>
      <w:r>
        <w:rPr>
          <w:rFonts w:hint="eastAsia" w:ascii="宋体" w:hAnsi="宋体" w:eastAsia="宋体" w:cs="宋体"/>
          <w:color w:val="auto"/>
          <w:kern w:val="0"/>
          <w:szCs w:val="21"/>
          <w:highlight w:val="none"/>
          <w:lang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协商</w:t>
      </w:r>
      <w:r>
        <w:rPr>
          <w:rFonts w:hint="eastAsia" w:ascii="宋体" w:hAnsi="宋体" w:eastAsia="宋体" w:cs="宋体"/>
          <w:color w:val="auto"/>
          <w:kern w:val="0"/>
          <w:szCs w:val="21"/>
          <w:highlight w:val="none"/>
        </w:rPr>
        <w:t>截止时间以后上传递交的</w:t>
      </w:r>
      <w:r>
        <w:rPr>
          <w:rFonts w:hint="eastAsia" w:ascii="宋体" w:hAnsi="宋体" w:eastAsia="宋体" w:cs="宋体"/>
          <w:color w:val="auto"/>
          <w:kern w:val="0"/>
          <w:szCs w:val="21"/>
          <w:highlight w:val="none"/>
          <w:lang w:eastAsia="zh-CN"/>
        </w:rPr>
        <w:t>响应</w:t>
      </w:r>
      <w:r>
        <w:rPr>
          <w:rFonts w:hint="eastAsia" w:ascii="宋体" w:hAnsi="宋体" w:eastAsia="宋体" w:cs="宋体"/>
          <w:color w:val="auto"/>
          <w:kern w:val="0"/>
          <w:szCs w:val="21"/>
          <w:highlight w:val="none"/>
        </w:rPr>
        <w:t>文件，广西政府采购云平台将予以拒收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）供应商需要在具备有摄像头及语音功能且互联网网络状况良好的电脑登录广西政府采购云平台远程开标大厅参与本次</w:t>
      </w:r>
      <w:r>
        <w:rPr>
          <w:rFonts w:hint="eastAsia" w:ascii="宋体" w:hAnsi="宋体" w:eastAsia="宋体" w:cs="宋体"/>
          <w:color w:val="auto"/>
          <w:kern w:val="0"/>
          <w:szCs w:val="21"/>
          <w:highlight w:val="none"/>
          <w:lang w:val="en-US" w:eastAsia="zh-CN"/>
        </w:rPr>
        <w:t>协商</w:t>
      </w:r>
      <w:r>
        <w:rPr>
          <w:rFonts w:hint="eastAsia" w:ascii="宋体" w:hAnsi="宋体" w:eastAsia="宋体" w:cs="宋体"/>
          <w:color w:val="auto"/>
          <w:kern w:val="0"/>
          <w:szCs w:val="21"/>
          <w:highlight w:val="none"/>
          <w:lang w:eastAsia="zh-CN"/>
        </w:rPr>
        <w:t>，否则后果自负。</w:t>
      </w:r>
    </w:p>
    <w:bookmarkEnd w:id="47"/>
    <w:bookmarkEnd w:id="48"/>
    <w:bookmarkEnd w:id="49"/>
    <w:bookmarkEnd w:id="50"/>
    <w:bookmarkEnd w:id="51"/>
    <w:p w14:paraId="0284BB9C">
      <w:pPr>
        <w:keepNext w:val="0"/>
        <w:keepLines w:val="0"/>
        <w:pageBreakBefore w:val="0"/>
        <w:widowControl w:val="0"/>
        <w:kinsoku/>
        <w:wordWrap/>
        <w:overflowPunct/>
        <w:topLinePunct w:val="0"/>
        <w:autoSpaceDE/>
        <w:autoSpaceDN/>
        <w:bidi w:val="0"/>
        <w:adjustRightInd/>
        <w:snapToGrid/>
        <w:spacing w:line="360" w:lineRule="auto"/>
        <w:ind w:firstLine="361" w:firstLineChars="15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八、凡对本次采购提出询问，请按以下方式联系</w:t>
      </w:r>
      <w:r>
        <w:rPr>
          <w:rFonts w:hint="eastAsia" w:ascii="宋体" w:hAnsi="宋体" w:eastAsia="宋体" w:cs="宋体"/>
          <w:color w:val="auto"/>
          <w:sz w:val="24"/>
          <w:highlight w:val="none"/>
        </w:rPr>
        <w:t>。</w:t>
      </w:r>
    </w:p>
    <w:p w14:paraId="7DAFD0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1.采购人信息</w:t>
      </w:r>
    </w:p>
    <w:p w14:paraId="76BE7E3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r>
        <w:rPr>
          <w:rFonts w:hint="eastAsia" w:ascii="宋体" w:hAnsi="宋体" w:eastAsia="宋体" w:cs="宋体"/>
          <w:bCs/>
          <w:color w:val="auto"/>
          <w:szCs w:val="21"/>
          <w:highlight w:val="none"/>
          <w:lang w:eastAsia="zh-CN"/>
        </w:rPr>
        <w:t>贵港市港北区人民医院</w:t>
      </w:r>
      <w:r>
        <w:rPr>
          <w:rFonts w:hint="eastAsia" w:ascii="宋体" w:hAnsi="宋体" w:eastAsia="宋体" w:cs="宋体"/>
          <w:color w:val="auto"/>
          <w:szCs w:val="21"/>
          <w:highlight w:val="none"/>
        </w:rPr>
        <w:t>　</w:t>
      </w:r>
    </w:p>
    <w:p w14:paraId="310198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地    址：贵港市港北区荷城路1138号</w:t>
      </w:r>
    </w:p>
    <w:p w14:paraId="5B1C82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项目联系人：</w:t>
      </w:r>
      <w:r>
        <w:rPr>
          <w:rFonts w:hint="eastAsia" w:ascii="宋体" w:hAnsi="宋体" w:eastAsia="宋体" w:cs="宋体"/>
          <w:color w:val="auto"/>
          <w:szCs w:val="21"/>
          <w:highlight w:val="none"/>
          <w:lang w:eastAsia="zh-CN"/>
        </w:rPr>
        <w:t>陈神通</w:t>
      </w:r>
    </w:p>
    <w:p w14:paraId="2B83D8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rPr>
        <w:t>项目联系方式：</w:t>
      </w:r>
      <w:r>
        <w:rPr>
          <w:rFonts w:hint="eastAsia" w:ascii="宋体" w:hAnsi="宋体" w:eastAsia="宋体" w:cs="宋体"/>
          <w:color w:val="auto"/>
          <w:szCs w:val="21"/>
          <w:highlight w:val="none"/>
          <w:lang w:eastAsia="zh-CN"/>
        </w:rPr>
        <w:t>0775-4231268</w:t>
      </w:r>
    </w:p>
    <w:p w14:paraId="40CBE5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2.采购代理机构信息</w:t>
      </w:r>
    </w:p>
    <w:p w14:paraId="585CC7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名    称：　云之龙咨询集团有限公司　</w:t>
      </w:r>
    </w:p>
    <w:p w14:paraId="1D9EE2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地　　址：广西贵港市港北区荷城路 1132 号华泰官邸1栋6楼</w:t>
      </w:r>
    </w:p>
    <w:p w14:paraId="549D2B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项目联系人：徐律、廖喜平</w:t>
      </w:r>
    </w:p>
    <w:p w14:paraId="4F7497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项目联系方式： 0775-4565100、4569690</w:t>
      </w:r>
    </w:p>
    <w:p w14:paraId="542606CB">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cs="宋体"/>
          <w:color w:val="auto"/>
          <w:kern w:val="0"/>
          <w:szCs w:val="21"/>
          <w:highlight w:val="none"/>
        </w:rPr>
      </w:pPr>
    </w:p>
    <w:p w14:paraId="42A5BC24">
      <w:pPr>
        <w:pStyle w:val="10"/>
        <w:spacing w:line="400" w:lineRule="exact"/>
        <w:ind w:firstLine="630" w:firstLineChars="300"/>
        <w:rPr>
          <w:rFonts w:hint="eastAsia" w:hAnsi="宋体"/>
          <w:bCs/>
          <w:color w:val="auto"/>
          <w:szCs w:val="21"/>
          <w:highlight w:val="none"/>
        </w:rPr>
      </w:pPr>
    </w:p>
    <w:p w14:paraId="6B270966">
      <w:pPr>
        <w:pStyle w:val="10"/>
        <w:spacing w:line="400" w:lineRule="exact"/>
        <w:ind w:firstLine="630" w:firstLineChars="300"/>
        <w:rPr>
          <w:rFonts w:hint="eastAsia" w:hAnsi="宋体"/>
          <w:color w:val="auto"/>
          <w:szCs w:val="21"/>
          <w:highlight w:val="none"/>
        </w:rPr>
      </w:pPr>
      <w:r>
        <w:rPr>
          <w:rFonts w:hint="eastAsia" w:hAnsi="宋体"/>
          <w:bCs/>
          <w:color w:val="auto"/>
          <w:szCs w:val="21"/>
          <w:highlight w:val="none"/>
        </w:rPr>
        <w:t xml:space="preserve">  </w:t>
      </w:r>
    </w:p>
    <w:p w14:paraId="11BDB77A">
      <w:pPr>
        <w:pStyle w:val="2"/>
        <w:rPr>
          <w:rFonts w:hint="eastAsia"/>
          <w:color w:val="auto"/>
          <w:highlight w:val="none"/>
        </w:rPr>
      </w:pPr>
      <w:bookmarkStart w:id="52" w:name="_Toc45031223"/>
      <w:bookmarkStart w:id="53" w:name="_Toc467138614"/>
    </w:p>
    <w:p w14:paraId="722ED2F2">
      <w:pPr>
        <w:rPr>
          <w:rFonts w:hint="eastAsia"/>
          <w:color w:val="auto"/>
          <w:highlight w:val="none"/>
        </w:rPr>
      </w:pPr>
    </w:p>
    <w:p w14:paraId="2099F1B1">
      <w:pPr>
        <w:rPr>
          <w:rFonts w:hint="eastAsia"/>
          <w:color w:val="auto"/>
          <w:highlight w:val="none"/>
        </w:rPr>
      </w:pPr>
    </w:p>
    <w:p w14:paraId="2A88A01A">
      <w:pPr>
        <w:rPr>
          <w:rFonts w:hint="eastAsia"/>
          <w:color w:val="auto"/>
          <w:highlight w:val="none"/>
        </w:rPr>
      </w:pPr>
    </w:p>
    <w:p w14:paraId="18613267">
      <w:pPr>
        <w:rPr>
          <w:rFonts w:hint="eastAsia"/>
          <w:color w:val="auto"/>
          <w:highlight w:val="none"/>
        </w:rPr>
      </w:pPr>
    </w:p>
    <w:p w14:paraId="6B32AE18">
      <w:pPr>
        <w:rPr>
          <w:rFonts w:hint="eastAsia"/>
          <w:color w:val="auto"/>
          <w:highlight w:val="none"/>
        </w:rPr>
      </w:pPr>
    </w:p>
    <w:p w14:paraId="4242AD13">
      <w:pPr>
        <w:rPr>
          <w:rFonts w:hint="eastAsia"/>
          <w:color w:val="auto"/>
          <w:highlight w:val="none"/>
        </w:rPr>
      </w:pPr>
    </w:p>
    <w:p w14:paraId="30A57492">
      <w:pPr>
        <w:rPr>
          <w:rFonts w:hint="eastAsia"/>
          <w:color w:val="auto"/>
          <w:highlight w:val="none"/>
        </w:rPr>
      </w:pPr>
    </w:p>
    <w:p w14:paraId="0F2C47E1">
      <w:pPr>
        <w:pStyle w:val="2"/>
        <w:rPr>
          <w:rFonts w:hint="eastAsia"/>
          <w:color w:val="auto"/>
          <w:highlight w:val="none"/>
        </w:rPr>
      </w:pPr>
      <w:r>
        <w:rPr>
          <w:rFonts w:hint="eastAsia"/>
          <w:color w:val="auto"/>
          <w:highlight w:val="none"/>
        </w:rPr>
        <w:t>第二章  供应商须知及前附表</w:t>
      </w:r>
      <w:bookmarkEnd w:id="52"/>
      <w:bookmarkStart w:id="54" w:name="_Toc467138615"/>
    </w:p>
    <w:p w14:paraId="53CBCD6A">
      <w:pPr>
        <w:jc w:val="center"/>
        <w:rPr>
          <w:rFonts w:hint="eastAsia"/>
          <w:b/>
          <w:color w:val="auto"/>
          <w:sz w:val="31"/>
          <w:highlight w:val="none"/>
        </w:rPr>
      </w:pPr>
    </w:p>
    <w:p w14:paraId="674807C5">
      <w:pPr>
        <w:jc w:val="center"/>
        <w:rPr>
          <w:rFonts w:hint="eastAsia"/>
          <w:b/>
          <w:color w:val="auto"/>
          <w:sz w:val="31"/>
          <w:highlight w:val="none"/>
        </w:rPr>
      </w:pPr>
      <w:r>
        <w:rPr>
          <w:rFonts w:hint="eastAsia"/>
          <w:b/>
          <w:color w:val="auto"/>
          <w:sz w:val="31"/>
          <w:highlight w:val="none"/>
        </w:rPr>
        <w:t>供应商须知前附表</w:t>
      </w:r>
      <w:bookmarkEnd w:id="53"/>
      <w:bookmarkEnd w:id="54"/>
    </w:p>
    <w:tbl>
      <w:tblPr>
        <w:tblStyle w:val="19"/>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938"/>
      </w:tblGrid>
      <w:tr w14:paraId="663D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26" w:type="dxa"/>
            <w:noWrap w:val="0"/>
            <w:vAlign w:val="top"/>
          </w:tcPr>
          <w:p w14:paraId="74D179D1">
            <w:pPr>
              <w:pStyle w:val="10"/>
              <w:spacing w:line="420" w:lineRule="exact"/>
              <w:jc w:val="center"/>
              <w:rPr>
                <w:rFonts w:hint="eastAsia" w:hAnsi="宋体"/>
                <w:color w:val="auto"/>
                <w:szCs w:val="21"/>
                <w:highlight w:val="none"/>
              </w:rPr>
            </w:pPr>
            <w:r>
              <w:rPr>
                <w:rFonts w:hint="eastAsia" w:hAnsi="宋体"/>
                <w:color w:val="auto"/>
                <w:szCs w:val="21"/>
                <w:highlight w:val="none"/>
              </w:rPr>
              <w:t>序号</w:t>
            </w:r>
          </w:p>
        </w:tc>
        <w:tc>
          <w:tcPr>
            <w:tcW w:w="8938" w:type="dxa"/>
            <w:noWrap w:val="0"/>
            <w:vAlign w:val="top"/>
          </w:tcPr>
          <w:p w14:paraId="10761B4E">
            <w:pPr>
              <w:pStyle w:val="10"/>
              <w:spacing w:line="420" w:lineRule="exact"/>
              <w:jc w:val="center"/>
              <w:rPr>
                <w:rFonts w:hint="eastAsia" w:hAnsi="宋体"/>
                <w:color w:val="auto"/>
                <w:szCs w:val="21"/>
                <w:highlight w:val="none"/>
              </w:rPr>
            </w:pPr>
            <w:r>
              <w:rPr>
                <w:rFonts w:hint="eastAsia" w:hAnsi="宋体"/>
                <w:color w:val="auto"/>
                <w:szCs w:val="21"/>
                <w:highlight w:val="none"/>
              </w:rPr>
              <w:t>内    容</w:t>
            </w:r>
          </w:p>
        </w:tc>
      </w:tr>
      <w:tr w14:paraId="743F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26" w:type="dxa"/>
            <w:noWrap w:val="0"/>
            <w:vAlign w:val="center"/>
          </w:tcPr>
          <w:p w14:paraId="7D37D32B">
            <w:pPr>
              <w:pStyle w:val="10"/>
              <w:spacing w:line="420" w:lineRule="exact"/>
              <w:jc w:val="center"/>
              <w:rPr>
                <w:rFonts w:hint="eastAsia" w:hAnsi="宋体"/>
                <w:color w:val="auto"/>
                <w:szCs w:val="21"/>
                <w:highlight w:val="none"/>
              </w:rPr>
            </w:pPr>
            <w:r>
              <w:rPr>
                <w:rFonts w:hint="eastAsia" w:hAnsi="宋体"/>
                <w:color w:val="auto"/>
                <w:szCs w:val="21"/>
                <w:highlight w:val="none"/>
              </w:rPr>
              <w:t>1</w:t>
            </w:r>
          </w:p>
        </w:tc>
        <w:tc>
          <w:tcPr>
            <w:tcW w:w="8938" w:type="dxa"/>
            <w:noWrap w:val="0"/>
            <w:vAlign w:val="center"/>
          </w:tcPr>
          <w:p w14:paraId="16DEC2C0">
            <w:pPr>
              <w:pStyle w:val="10"/>
              <w:spacing w:line="420" w:lineRule="exact"/>
              <w:rPr>
                <w:rFonts w:hint="eastAsia" w:hAnsi="宋体" w:eastAsia="宋体"/>
                <w:bCs/>
                <w:color w:val="auto"/>
                <w:szCs w:val="21"/>
                <w:highlight w:val="none"/>
                <w:lang w:eastAsia="zh-CN"/>
              </w:rPr>
            </w:pPr>
            <w:r>
              <w:rPr>
                <w:rFonts w:hint="eastAsia" w:hAnsi="宋体"/>
                <w:color w:val="auto"/>
                <w:szCs w:val="21"/>
                <w:highlight w:val="none"/>
              </w:rPr>
              <w:t>项目名称：</w:t>
            </w:r>
            <w:r>
              <w:rPr>
                <w:rFonts w:hint="eastAsia" w:hAnsi="宋体"/>
                <w:color w:val="auto"/>
                <w:szCs w:val="21"/>
                <w:highlight w:val="none"/>
                <w:lang w:eastAsia="zh-CN"/>
              </w:rPr>
              <w:t>贵港市港北区人民医院信息系统升级建设项目</w:t>
            </w:r>
          </w:p>
          <w:p w14:paraId="7908B02D">
            <w:pPr>
              <w:pStyle w:val="10"/>
              <w:spacing w:line="420" w:lineRule="exact"/>
              <w:rPr>
                <w:rFonts w:hint="eastAsia" w:hAnsi="宋体" w:eastAsia="宋体"/>
                <w:color w:val="auto"/>
                <w:szCs w:val="21"/>
                <w:highlight w:val="none"/>
                <w:lang w:eastAsia="zh-CN"/>
              </w:rPr>
            </w:pPr>
            <w:r>
              <w:rPr>
                <w:rFonts w:hint="eastAsia" w:hAnsi="宋体"/>
                <w:color w:val="auto"/>
                <w:szCs w:val="21"/>
                <w:highlight w:val="none"/>
              </w:rPr>
              <w:t>项目编号：</w:t>
            </w:r>
            <w:r>
              <w:rPr>
                <w:rFonts w:hint="eastAsia" w:hAnsi="宋体"/>
                <w:color w:val="auto"/>
                <w:szCs w:val="21"/>
                <w:highlight w:val="none"/>
                <w:lang w:eastAsia="zh-CN"/>
              </w:rPr>
              <w:t>GGZC2025-D3-020098-YZLZ</w:t>
            </w:r>
          </w:p>
        </w:tc>
      </w:tr>
      <w:tr w14:paraId="52B8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26" w:type="dxa"/>
            <w:noWrap w:val="0"/>
            <w:vAlign w:val="center"/>
          </w:tcPr>
          <w:p w14:paraId="3E65F44F">
            <w:pPr>
              <w:pStyle w:val="10"/>
              <w:spacing w:line="420" w:lineRule="exact"/>
              <w:jc w:val="center"/>
              <w:rPr>
                <w:rFonts w:hint="eastAsia" w:hAnsi="宋体"/>
                <w:color w:val="auto"/>
                <w:szCs w:val="21"/>
                <w:highlight w:val="none"/>
              </w:rPr>
            </w:pPr>
            <w:r>
              <w:rPr>
                <w:rFonts w:hint="eastAsia" w:hAnsi="宋体"/>
                <w:color w:val="auto"/>
                <w:szCs w:val="21"/>
                <w:highlight w:val="none"/>
              </w:rPr>
              <w:t>2</w:t>
            </w:r>
          </w:p>
        </w:tc>
        <w:tc>
          <w:tcPr>
            <w:tcW w:w="8938" w:type="dxa"/>
            <w:noWrap w:val="0"/>
            <w:vAlign w:val="center"/>
          </w:tcPr>
          <w:p w14:paraId="5ACDD73E">
            <w:pPr>
              <w:pStyle w:val="10"/>
              <w:adjustRightInd w:val="0"/>
              <w:snapToGrid w:val="0"/>
              <w:spacing w:line="420" w:lineRule="exact"/>
              <w:rPr>
                <w:rFonts w:hint="eastAsia" w:hAnsi="宋体" w:cs="宋体"/>
                <w:color w:val="auto"/>
                <w:szCs w:val="21"/>
                <w:highlight w:val="none"/>
              </w:rPr>
            </w:pPr>
            <w:r>
              <w:rPr>
                <w:rFonts w:hint="eastAsia" w:hAnsi="宋体" w:cs="宋体"/>
                <w:b w:val="0"/>
                <w:bCs w:val="0"/>
                <w:color w:val="auto"/>
                <w:szCs w:val="21"/>
                <w:highlight w:val="none"/>
              </w:rPr>
              <w:t>供应商资格：</w:t>
            </w:r>
            <w:r>
              <w:rPr>
                <w:rFonts w:hint="eastAsia" w:ascii="宋体" w:hAnsi="宋体" w:cs="宋体"/>
                <w:b w:val="0"/>
                <w:bCs w:val="0"/>
                <w:color w:val="auto"/>
                <w:szCs w:val="21"/>
                <w:highlight w:val="none"/>
              </w:rPr>
              <w:t>详见</w:t>
            </w:r>
            <w:r>
              <w:rPr>
                <w:rFonts w:hint="eastAsia" w:hAnsi="宋体" w:cs="宋体"/>
                <w:b w:val="0"/>
                <w:bCs w:val="0"/>
                <w:color w:val="auto"/>
                <w:szCs w:val="21"/>
                <w:highlight w:val="none"/>
                <w:lang w:eastAsia="zh-CN"/>
              </w:rPr>
              <w:t>采购</w:t>
            </w:r>
            <w:r>
              <w:rPr>
                <w:rFonts w:hint="eastAsia" w:ascii="宋体" w:hAnsi="宋体" w:cs="宋体"/>
                <w:b w:val="0"/>
                <w:bCs w:val="0"/>
                <w:color w:val="auto"/>
                <w:szCs w:val="21"/>
                <w:highlight w:val="none"/>
              </w:rPr>
              <w:t>公</w:t>
            </w:r>
            <w:r>
              <w:rPr>
                <w:rFonts w:hint="eastAsia" w:ascii="宋体" w:hAnsi="宋体" w:cs="宋体"/>
                <w:color w:val="auto"/>
                <w:szCs w:val="21"/>
                <w:highlight w:val="none"/>
              </w:rPr>
              <w:t>告</w:t>
            </w:r>
          </w:p>
        </w:tc>
      </w:tr>
      <w:tr w14:paraId="7F4F0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726" w:type="dxa"/>
            <w:noWrap w:val="0"/>
            <w:vAlign w:val="center"/>
          </w:tcPr>
          <w:p w14:paraId="4060DC85">
            <w:pPr>
              <w:pStyle w:val="10"/>
              <w:spacing w:line="420" w:lineRule="exact"/>
              <w:jc w:val="center"/>
              <w:rPr>
                <w:rFonts w:hint="eastAsia" w:hAnsi="宋体"/>
                <w:color w:val="auto"/>
                <w:szCs w:val="21"/>
                <w:highlight w:val="none"/>
              </w:rPr>
            </w:pPr>
            <w:r>
              <w:rPr>
                <w:rFonts w:hint="eastAsia" w:hAnsi="宋体"/>
                <w:color w:val="auto"/>
                <w:szCs w:val="21"/>
                <w:highlight w:val="none"/>
              </w:rPr>
              <w:t>3</w:t>
            </w:r>
          </w:p>
        </w:tc>
        <w:tc>
          <w:tcPr>
            <w:tcW w:w="8938" w:type="dxa"/>
            <w:noWrap w:val="0"/>
            <w:vAlign w:val="center"/>
          </w:tcPr>
          <w:p w14:paraId="602C6B83">
            <w:pPr>
              <w:pStyle w:val="10"/>
              <w:adjustRightInd w:val="0"/>
              <w:snapToGrid w:val="0"/>
              <w:spacing w:line="420" w:lineRule="exact"/>
              <w:rPr>
                <w:rFonts w:hint="eastAsia" w:hAnsi="宋体" w:cs="宋体"/>
                <w:color w:val="auto"/>
                <w:szCs w:val="21"/>
                <w:highlight w:val="none"/>
              </w:rPr>
            </w:pPr>
            <w:r>
              <w:rPr>
                <w:rFonts w:hint="eastAsia" w:ascii="宋体" w:hAnsi="宋体" w:cs="宋体"/>
                <w:color w:val="auto"/>
                <w:szCs w:val="21"/>
                <w:highlight w:val="none"/>
              </w:rPr>
              <w:t>报价是履行合同的最终价格，报价包含实施和完成本项目全部工作所需的服务期内所需的一切费用，</w:t>
            </w:r>
            <w:r>
              <w:rPr>
                <w:rFonts w:hint="eastAsia" w:hAnsi="宋体" w:cs="宋体"/>
                <w:color w:val="auto"/>
                <w:szCs w:val="21"/>
                <w:highlight w:val="none"/>
                <w:lang w:eastAsia="zh-CN"/>
              </w:rPr>
              <w:t>包括但不限于：软件升级服务、</w:t>
            </w:r>
            <w:r>
              <w:rPr>
                <w:rFonts w:hint="eastAsia" w:ascii="宋体" w:hAnsi="宋体"/>
                <w:color w:val="auto"/>
                <w:szCs w:val="21"/>
                <w:highlight w:val="none"/>
              </w:rPr>
              <w:t>备品备件替换费用、</w:t>
            </w:r>
            <w:r>
              <w:rPr>
                <w:rFonts w:hint="eastAsia"/>
                <w:color w:val="auto"/>
                <w:szCs w:val="21"/>
                <w:highlight w:val="none"/>
              </w:rPr>
              <w:t>保险费、安装调试费、税费、培训费、产品检测费、产品质保期内</w:t>
            </w:r>
            <w:r>
              <w:rPr>
                <w:rFonts w:hint="eastAsia"/>
                <w:color w:val="auto"/>
                <w:szCs w:val="21"/>
                <w:highlight w:val="none"/>
                <w:lang w:eastAsia="zh-CN"/>
              </w:rPr>
              <w:t>升级</w:t>
            </w:r>
            <w:r>
              <w:rPr>
                <w:rFonts w:hint="eastAsia"/>
                <w:color w:val="auto"/>
                <w:szCs w:val="21"/>
                <w:highlight w:val="none"/>
              </w:rPr>
              <w:t>维护费等费用。在合同实施时，</w:t>
            </w:r>
            <w:r>
              <w:rPr>
                <w:rFonts w:hint="eastAsia" w:hAnsi="宋体" w:cs="宋体"/>
                <w:color w:val="auto"/>
                <w:szCs w:val="21"/>
                <w:highlight w:val="none"/>
              </w:rPr>
              <w:t>供应商应就《服务项目需求》中</w:t>
            </w:r>
            <w:r>
              <w:rPr>
                <w:rFonts w:hint="eastAsia" w:hAnsi="宋体"/>
                <w:bCs/>
                <w:color w:val="auto"/>
                <w:highlight w:val="none"/>
              </w:rPr>
              <w:t>的</w:t>
            </w:r>
            <w:r>
              <w:rPr>
                <w:color w:val="auto"/>
                <w:highlight w:val="none"/>
              </w:rPr>
              <w:t>所有内容作完整唯一报价</w:t>
            </w:r>
            <w:r>
              <w:rPr>
                <w:rFonts w:hint="eastAsia"/>
                <w:color w:val="auto"/>
                <w:highlight w:val="none"/>
                <w:lang w:eastAsia="zh-CN"/>
              </w:rPr>
              <w:t>，</w:t>
            </w:r>
            <w:r>
              <w:rPr>
                <w:rFonts w:hint="eastAsia"/>
                <w:color w:val="auto"/>
                <w:szCs w:val="21"/>
                <w:highlight w:val="none"/>
              </w:rPr>
              <w:t>采购人将不予支付成交供应商没有列入的项目费用，并认为此项目的费用已包括在响应总报价中。</w:t>
            </w:r>
          </w:p>
        </w:tc>
      </w:tr>
      <w:tr w14:paraId="4597E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noWrap w:val="0"/>
            <w:vAlign w:val="center"/>
          </w:tcPr>
          <w:p w14:paraId="6C5FCA8E">
            <w:pPr>
              <w:pStyle w:val="10"/>
              <w:spacing w:line="420" w:lineRule="exact"/>
              <w:jc w:val="center"/>
              <w:rPr>
                <w:rFonts w:hint="eastAsia" w:hAnsi="宋体"/>
                <w:color w:val="auto"/>
                <w:szCs w:val="21"/>
                <w:highlight w:val="none"/>
              </w:rPr>
            </w:pPr>
            <w:r>
              <w:rPr>
                <w:rFonts w:hint="eastAsia" w:hAnsi="宋体"/>
                <w:color w:val="auto"/>
                <w:szCs w:val="21"/>
                <w:highlight w:val="none"/>
              </w:rPr>
              <w:t>4</w:t>
            </w:r>
          </w:p>
        </w:tc>
        <w:tc>
          <w:tcPr>
            <w:tcW w:w="8938" w:type="dxa"/>
            <w:noWrap w:val="0"/>
            <w:vAlign w:val="center"/>
          </w:tcPr>
          <w:p w14:paraId="3D0D0871">
            <w:pPr>
              <w:pStyle w:val="10"/>
              <w:spacing w:line="420" w:lineRule="exact"/>
              <w:rPr>
                <w:rFonts w:hint="eastAsia" w:hAnsi="宋体"/>
                <w:color w:val="auto"/>
                <w:szCs w:val="21"/>
                <w:highlight w:val="none"/>
              </w:rPr>
            </w:pPr>
            <w:r>
              <w:rPr>
                <w:rFonts w:hint="eastAsia" w:hAnsi="宋体"/>
                <w:color w:val="auto"/>
                <w:szCs w:val="21"/>
                <w:highlight w:val="none"/>
              </w:rPr>
              <w:t>报价有效期：报价截止日期之日起60天内。</w:t>
            </w:r>
          </w:p>
        </w:tc>
      </w:tr>
      <w:tr w14:paraId="5607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726" w:type="dxa"/>
            <w:noWrap w:val="0"/>
            <w:vAlign w:val="center"/>
          </w:tcPr>
          <w:p w14:paraId="76555B7F">
            <w:pPr>
              <w:pStyle w:val="10"/>
              <w:spacing w:line="420" w:lineRule="exact"/>
              <w:jc w:val="center"/>
              <w:rPr>
                <w:rFonts w:hint="eastAsia" w:hAnsi="宋体"/>
                <w:color w:val="auto"/>
                <w:szCs w:val="21"/>
                <w:highlight w:val="none"/>
              </w:rPr>
            </w:pPr>
            <w:r>
              <w:rPr>
                <w:rFonts w:hint="eastAsia" w:hAnsi="宋体"/>
                <w:color w:val="auto"/>
                <w:szCs w:val="21"/>
                <w:highlight w:val="none"/>
              </w:rPr>
              <w:t>5</w:t>
            </w:r>
          </w:p>
        </w:tc>
        <w:tc>
          <w:tcPr>
            <w:tcW w:w="8938" w:type="dxa"/>
            <w:noWrap w:val="0"/>
            <w:vAlign w:val="center"/>
          </w:tcPr>
          <w:p w14:paraId="77F2996F">
            <w:pPr>
              <w:spacing w:line="420" w:lineRule="exact"/>
              <w:rPr>
                <w:rFonts w:hint="eastAsia" w:ascii="宋体" w:hAnsi="宋体"/>
                <w:color w:val="auto"/>
                <w:szCs w:val="21"/>
                <w:highlight w:val="none"/>
              </w:rPr>
            </w:pPr>
            <w:r>
              <w:rPr>
                <w:rFonts w:hint="eastAsia" w:ascii="宋体" w:hAnsi="宋体"/>
                <w:color w:val="auto"/>
                <w:szCs w:val="21"/>
                <w:highlight w:val="none"/>
              </w:rPr>
              <w:t>报价文件：</w:t>
            </w:r>
            <w:r>
              <w:rPr>
                <w:rFonts w:hint="eastAsia" w:ascii="宋体" w:hAnsi="宋体" w:cs="宋体"/>
                <w:color w:val="auto"/>
                <w:szCs w:val="21"/>
                <w:highlight w:val="none"/>
              </w:rPr>
              <w:t>电子报价</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文件由</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在报价文件提交截止时间前自行在</w:t>
            </w:r>
            <w:r>
              <w:rPr>
                <w:rFonts w:hint="eastAsia"/>
                <w:color w:val="auto"/>
                <w:sz w:val="21"/>
                <w:szCs w:val="21"/>
                <w:highlight w:val="none"/>
              </w:rPr>
              <w:t>广西政府采购云平台</w:t>
            </w:r>
            <w:r>
              <w:rPr>
                <w:rFonts w:hint="eastAsia" w:ascii="宋体" w:hAnsi="宋体" w:cs="宋体"/>
                <w:color w:val="auto"/>
                <w:szCs w:val="21"/>
                <w:highlight w:val="none"/>
              </w:rPr>
              <w:t>交易系统上传。</w:t>
            </w:r>
          </w:p>
        </w:tc>
      </w:tr>
      <w:tr w14:paraId="4430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26" w:type="dxa"/>
            <w:noWrap w:val="0"/>
            <w:vAlign w:val="center"/>
          </w:tcPr>
          <w:p w14:paraId="622640F7">
            <w:pPr>
              <w:pStyle w:val="10"/>
              <w:spacing w:line="420" w:lineRule="exact"/>
              <w:jc w:val="center"/>
              <w:rPr>
                <w:rFonts w:hint="eastAsia" w:hAnsi="宋体"/>
                <w:color w:val="auto"/>
                <w:szCs w:val="21"/>
                <w:highlight w:val="none"/>
              </w:rPr>
            </w:pPr>
            <w:r>
              <w:rPr>
                <w:rFonts w:hint="eastAsia" w:hAnsi="宋体"/>
                <w:color w:val="auto"/>
                <w:szCs w:val="21"/>
                <w:highlight w:val="none"/>
              </w:rPr>
              <w:t>6</w:t>
            </w:r>
          </w:p>
        </w:tc>
        <w:tc>
          <w:tcPr>
            <w:tcW w:w="8938" w:type="dxa"/>
            <w:noWrap w:val="0"/>
            <w:vAlign w:val="center"/>
          </w:tcPr>
          <w:p w14:paraId="240D94DE">
            <w:pPr>
              <w:pStyle w:val="26"/>
              <w:spacing w:line="420" w:lineRule="exact"/>
              <w:ind w:left="106" w:firstLine="336" w:firstLineChars="160"/>
              <w:rPr>
                <w:color w:val="auto"/>
                <w:sz w:val="21"/>
                <w:szCs w:val="21"/>
                <w:highlight w:val="none"/>
              </w:rPr>
            </w:pPr>
            <w:r>
              <w:rPr>
                <w:color w:val="auto"/>
                <w:sz w:val="21"/>
                <w:szCs w:val="21"/>
                <w:highlight w:val="none"/>
              </w:rPr>
              <w:t>报价</w:t>
            </w:r>
            <w:r>
              <w:rPr>
                <w:rFonts w:hint="eastAsia"/>
                <w:color w:val="auto"/>
                <w:sz w:val="21"/>
                <w:szCs w:val="21"/>
                <w:highlight w:val="none"/>
                <w:lang w:eastAsia="zh-CN"/>
              </w:rPr>
              <w:t>响应</w:t>
            </w:r>
            <w:r>
              <w:rPr>
                <w:color w:val="auto"/>
                <w:sz w:val="21"/>
                <w:szCs w:val="21"/>
                <w:highlight w:val="none"/>
              </w:rPr>
              <w:t>文件提交地点：通过</w:t>
            </w:r>
            <w:r>
              <w:rPr>
                <w:rFonts w:hint="eastAsia"/>
                <w:color w:val="auto"/>
                <w:sz w:val="21"/>
                <w:szCs w:val="21"/>
                <w:highlight w:val="none"/>
              </w:rPr>
              <w:t>广西政府采购云平台</w:t>
            </w:r>
            <w:r>
              <w:rPr>
                <w:color w:val="auto"/>
                <w:sz w:val="21"/>
                <w:szCs w:val="21"/>
                <w:highlight w:val="none"/>
              </w:rPr>
              <w:t>实行在线</w:t>
            </w:r>
            <w:r>
              <w:rPr>
                <w:rFonts w:hint="eastAsia"/>
                <w:color w:val="auto"/>
                <w:sz w:val="21"/>
                <w:szCs w:val="21"/>
                <w:highlight w:val="none"/>
                <w:lang w:eastAsia="zh-CN"/>
              </w:rPr>
              <w:t>报价</w:t>
            </w:r>
            <w:r>
              <w:rPr>
                <w:color w:val="auto"/>
                <w:sz w:val="21"/>
                <w:szCs w:val="21"/>
                <w:highlight w:val="none"/>
              </w:rPr>
              <w:t>响应。</w:t>
            </w:r>
          </w:p>
          <w:p w14:paraId="14960F85">
            <w:pPr>
              <w:spacing w:line="420" w:lineRule="exact"/>
              <w:ind w:firstLine="420" w:firstLineChars="200"/>
              <w:rPr>
                <w:rFonts w:hint="eastAsia" w:ascii="宋体" w:hAnsi="宋体"/>
                <w:color w:val="auto"/>
                <w:szCs w:val="21"/>
                <w:highlight w:val="none"/>
              </w:rPr>
            </w:pPr>
            <w:r>
              <w:rPr>
                <w:rFonts w:ascii="宋体" w:hAnsi="宋体"/>
                <w:color w:val="auto"/>
                <w:szCs w:val="21"/>
                <w:highlight w:val="none"/>
              </w:rPr>
              <w:t>报价</w:t>
            </w:r>
            <w:r>
              <w:rPr>
                <w:rFonts w:hint="eastAsia"/>
                <w:color w:val="auto"/>
                <w:sz w:val="21"/>
                <w:szCs w:val="21"/>
                <w:highlight w:val="none"/>
                <w:lang w:eastAsia="zh-CN"/>
              </w:rPr>
              <w:t>响应</w:t>
            </w:r>
            <w:r>
              <w:rPr>
                <w:rFonts w:ascii="宋体" w:hAnsi="宋体"/>
                <w:color w:val="auto"/>
                <w:szCs w:val="21"/>
                <w:highlight w:val="none"/>
              </w:rPr>
              <w:t>文件提交截止时间与截标时间：</w:t>
            </w:r>
            <w:r>
              <w:rPr>
                <w:rFonts w:hint="eastAsia" w:ascii="宋体" w:hAnsi="宋体" w:cs="宋体"/>
                <w:color w:val="auto"/>
                <w:szCs w:val="21"/>
                <w:highlight w:val="none"/>
              </w:rPr>
              <w:t>详见</w:t>
            </w:r>
            <w:r>
              <w:rPr>
                <w:rFonts w:hint="eastAsia" w:hAnsi="宋体" w:cs="宋体"/>
                <w:color w:val="auto"/>
                <w:szCs w:val="21"/>
                <w:highlight w:val="none"/>
                <w:lang w:eastAsia="zh-CN"/>
              </w:rPr>
              <w:t>采购</w:t>
            </w:r>
            <w:r>
              <w:rPr>
                <w:rFonts w:hint="eastAsia" w:ascii="宋体" w:hAnsi="宋体" w:cs="宋体"/>
                <w:color w:val="auto"/>
                <w:szCs w:val="21"/>
                <w:highlight w:val="none"/>
              </w:rPr>
              <w:t>公告</w:t>
            </w:r>
            <w:r>
              <w:rPr>
                <w:rFonts w:ascii="宋体" w:hAnsi="宋体"/>
                <w:color w:val="auto"/>
                <w:szCs w:val="21"/>
                <w:highlight w:val="none"/>
                <w:u w:val="none"/>
              </w:rPr>
              <w:t>。</w:t>
            </w:r>
          </w:p>
          <w:p w14:paraId="614DAAAF">
            <w:pPr>
              <w:pStyle w:val="25"/>
              <w:spacing w:line="42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截标时</w:t>
            </w:r>
            <w:r>
              <w:rPr>
                <w:rFonts w:hint="eastAsia" w:hAnsi="宋体" w:cs="宋体"/>
                <w:b w:val="0"/>
                <w:bCs w:val="0"/>
                <w:color w:val="auto"/>
                <w:sz w:val="21"/>
                <w:szCs w:val="21"/>
                <w:highlight w:val="none"/>
              </w:rPr>
              <w:t>间后30分钟内供应商</w:t>
            </w:r>
            <w:r>
              <w:rPr>
                <w:rFonts w:hint="eastAsia" w:hAnsi="宋体" w:cs="宋体"/>
                <w:color w:val="auto"/>
                <w:sz w:val="21"/>
                <w:szCs w:val="21"/>
                <w:highlight w:val="none"/>
              </w:rPr>
              <w:t>可以登录</w:t>
            </w:r>
            <w:r>
              <w:rPr>
                <w:rFonts w:hint="eastAsia"/>
                <w:color w:val="auto"/>
                <w:sz w:val="21"/>
                <w:szCs w:val="21"/>
                <w:highlight w:val="none"/>
              </w:rPr>
              <w:t>广西政府采购云平台</w:t>
            </w:r>
            <w:r>
              <w:rPr>
                <w:rFonts w:hint="eastAsia" w:hAnsi="宋体" w:cs="宋体"/>
                <w:color w:val="auto"/>
                <w:sz w:val="21"/>
                <w:szCs w:val="21"/>
                <w:highlight w:val="none"/>
              </w:rPr>
              <w:t>，用“项目采购-开标评标”功能进行解密报价文件。若供应商在规定时间内无法解密或解密失败，可以以电子备份报价文件作为依据，若电子备份报价文件与</w:t>
            </w:r>
            <w:r>
              <w:rPr>
                <w:rFonts w:hint="eastAsia"/>
                <w:color w:val="auto"/>
                <w:sz w:val="21"/>
                <w:szCs w:val="21"/>
                <w:highlight w:val="none"/>
              </w:rPr>
              <w:t>广西政府采购云平台</w:t>
            </w:r>
            <w:r>
              <w:rPr>
                <w:rFonts w:hint="eastAsia" w:hAnsi="宋体" w:cs="宋体"/>
                <w:color w:val="auto"/>
                <w:sz w:val="21"/>
                <w:szCs w:val="21"/>
                <w:highlight w:val="none"/>
              </w:rPr>
              <w:t>上传的电子报价文件被识别为不一致的，以电子备份报价文件作为评审依据；供应商按时在线解密报价文件的，以在线解密的报价文件作为评审依据。若供应商在规定时间内无法解密或解密失败且未提供电子备份报价文件的，视为报价文件撤回。</w:t>
            </w:r>
          </w:p>
          <w:p w14:paraId="55FCC180">
            <w:pPr>
              <w:autoSpaceDE w:val="0"/>
              <w:autoSpaceDN w:val="0"/>
              <w:adjustRightInd w:val="0"/>
              <w:spacing w:line="360" w:lineRule="auto"/>
              <w:ind w:firstLine="420" w:firstLineChars="200"/>
              <w:textAlignment w:val="bottom"/>
              <w:rPr>
                <w:rFonts w:hint="eastAsia" w:ascii="宋体" w:hAnsi="宋体" w:cs="宋体"/>
                <w:color w:val="auto"/>
                <w:highlight w:val="none"/>
              </w:rPr>
            </w:pPr>
            <w:r>
              <w:rPr>
                <w:rFonts w:hint="eastAsia" w:ascii="宋体" w:hAnsi="宋体" w:cs="宋体"/>
                <w:color w:val="auto"/>
                <w:highlight w:val="none"/>
              </w:rPr>
              <w:t>本项目接受电子备份</w:t>
            </w:r>
            <w:r>
              <w:rPr>
                <w:rFonts w:hint="eastAsia" w:ascii="宋体" w:hAnsi="宋体" w:cs="宋体"/>
                <w:color w:val="auto"/>
                <w:highlight w:val="none"/>
                <w:lang w:eastAsia="zh-CN"/>
              </w:rPr>
              <w:t>报价</w:t>
            </w:r>
            <w:r>
              <w:rPr>
                <w:rFonts w:hint="eastAsia" w:ascii="宋体" w:hAnsi="宋体" w:cs="宋体"/>
                <w:color w:val="auto"/>
                <w:highlight w:val="none"/>
              </w:rPr>
              <w:t>文件。</w:t>
            </w:r>
          </w:p>
          <w:p w14:paraId="43E2E5D7">
            <w:pPr>
              <w:autoSpaceDE w:val="0"/>
              <w:autoSpaceDN w:val="0"/>
              <w:adjustRightInd w:val="0"/>
              <w:spacing w:line="360" w:lineRule="auto"/>
              <w:ind w:firstLine="420" w:firstLineChars="200"/>
              <w:textAlignment w:val="bottom"/>
              <w:rPr>
                <w:rFonts w:hint="eastAsia" w:ascii="宋体" w:hAnsi="宋体" w:cs="宋体"/>
                <w:color w:val="auto"/>
                <w:highlight w:val="none"/>
              </w:rPr>
            </w:pPr>
            <w:r>
              <w:rPr>
                <w:rFonts w:hint="eastAsia" w:ascii="宋体" w:hAnsi="宋体" w:cs="宋体"/>
                <w:color w:val="auto"/>
                <w:highlight w:val="none"/>
              </w:rPr>
              <w:t>电子</w:t>
            </w:r>
            <w:r>
              <w:rPr>
                <w:rFonts w:hint="eastAsia" w:ascii="宋体" w:hAnsi="宋体" w:cs="宋体"/>
                <w:color w:val="auto"/>
                <w:szCs w:val="21"/>
                <w:highlight w:val="none"/>
              </w:rPr>
              <w:t>备份</w:t>
            </w:r>
            <w:r>
              <w:rPr>
                <w:rFonts w:hint="eastAsia" w:ascii="宋体" w:hAnsi="宋体" w:cs="宋体"/>
                <w:color w:val="auto"/>
                <w:highlight w:val="none"/>
                <w:lang w:eastAsia="zh-CN"/>
              </w:rPr>
              <w:t>报价</w:t>
            </w:r>
            <w:r>
              <w:rPr>
                <w:rFonts w:hint="eastAsia" w:ascii="宋体" w:hAnsi="宋体" w:cs="宋体"/>
                <w:color w:val="auto"/>
                <w:szCs w:val="21"/>
                <w:highlight w:val="none"/>
              </w:rPr>
              <w:t>文件</w:t>
            </w:r>
            <w:r>
              <w:rPr>
                <w:rFonts w:hint="eastAsia" w:ascii="宋体" w:hAnsi="宋体" w:cs="宋体"/>
                <w:color w:val="auto"/>
                <w:highlight w:val="none"/>
              </w:rPr>
              <w:t>提交方式：</w:t>
            </w:r>
            <w:r>
              <w:rPr>
                <w:rFonts w:hint="eastAsia" w:ascii="宋体" w:hAnsi="宋体" w:cs="宋体"/>
                <w:color w:val="auto"/>
                <w:highlight w:val="none"/>
                <w:lang w:eastAsia="zh-CN"/>
              </w:rPr>
              <w:t>供应商</w:t>
            </w:r>
            <w:r>
              <w:rPr>
                <w:rFonts w:hint="eastAsia" w:ascii="宋体" w:hAnsi="宋体" w:cs="宋体"/>
                <w:color w:val="auto"/>
                <w:highlight w:val="none"/>
              </w:rPr>
              <w:t>可以在截止时间前采用以下</w:t>
            </w:r>
            <w:r>
              <w:rPr>
                <w:rFonts w:hint="eastAsia" w:ascii="宋体" w:hAnsi="宋体" w:cs="宋体"/>
                <w:color w:val="auto"/>
                <w:highlight w:val="none"/>
                <w:u w:val="single"/>
              </w:rPr>
              <w:t xml:space="preserve"> （1）或（2）</w:t>
            </w:r>
            <w:r>
              <w:rPr>
                <w:rFonts w:hint="eastAsia" w:ascii="宋体" w:hAnsi="宋体" w:cs="宋体"/>
                <w:color w:val="auto"/>
                <w:highlight w:val="none"/>
              </w:rPr>
              <w:t>种方式向采购代理机构提交电子备份</w:t>
            </w:r>
            <w:r>
              <w:rPr>
                <w:rFonts w:hint="eastAsia" w:ascii="宋体" w:hAnsi="宋体" w:cs="宋体"/>
                <w:color w:val="auto"/>
                <w:highlight w:val="none"/>
                <w:lang w:eastAsia="zh-CN"/>
              </w:rPr>
              <w:t>报价</w:t>
            </w:r>
            <w:r>
              <w:rPr>
                <w:rFonts w:hint="eastAsia" w:ascii="宋体" w:hAnsi="宋体" w:cs="宋体"/>
                <w:color w:val="auto"/>
                <w:highlight w:val="none"/>
              </w:rPr>
              <w:t>文件：</w:t>
            </w:r>
          </w:p>
          <w:p w14:paraId="77F6538A">
            <w:pPr>
              <w:autoSpaceDE w:val="0"/>
              <w:autoSpaceDN w:val="0"/>
              <w:adjustRightInd w:val="0"/>
              <w:spacing w:line="360" w:lineRule="auto"/>
              <w:textAlignment w:val="bottom"/>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1</w:t>
            </w:r>
            <w:r>
              <w:rPr>
                <w:rFonts w:hint="eastAsia" w:ascii="宋体" w:hAnsi="宋体" w:cs="宋体"/>
                <w:color w:val="auto"/>
                <w:highlight w:val="none"/>
              </w:rPr>
              <w:t>）电子邮件方式，接收电子备份</w:t>
            </w:r>
            <w:r>
              <w:rPr>
                <w:rFonts w:hint="eastAsia" w:ascii="宋体" w:hAnsi="宋体" w:cs="宋体"/>
                <w:color w:val="auto"/>
                <w:highlight w:val="none"/>
                <w:lang w:eastAsia="zh-CN"/>
              </w:rPr>
              <w:t>报价</w:t>
            </w:r>
            <w:r>
              <w:rPr>
                <w:rFonts w:hint="eastAsia" w:ascii="宋体" w:hAnsi="宋体" w:cs="宋体"/>
                <w:color w:val="auto"/>
                <w:highlight w:val="none"/>
              </w:rPr>
              <w:t>文件的电子邮箱为：</w:t>
            </w:r>
            <w:r>
              <w:rPr>
                <w:rFonts w:hint="eastAsia" w:ascii="宋体" w:hAnsi="宋体" w:cs="宋体"/>
                <w:color w:val="auto"/>
                <w:highlight w:val="none"/>
                <w:u w:val="single"/>
              </w:rPr>
              <w:t xml:space="preserve"> gxggyunlong@163.com </w:t>
            </w:r>
          </w:p>
          <w:p w14:paraId="309868DD">
            <w:pPr>
              <w:pStyle w:val="6"/>
              <w:spacing w:line="360" w:lineRule="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（2）现场递交或邮寄方式，应采用U盘进行存储，地址：</w:t>
            </w:r>
            <w:r>
              <w:rPr>
                <w:rFonts w:hint="eastAsia" w:ascii="宋体" w:hAnsi="宋体" w:cs="宋体"/>
                <w:color w:val="auto"/>
                <w:highlight w:val="none"/>
                <w:u w:val="single"/>
                <w:lang w:val="en-US" w:eastAsia="zh-CN"/>
              </w:rPr>
              <w:t xml:space="preserve"> 广西贵港市港北区荷城路1132号华泰官邸1栋6楼 </w:t>
            </w:r>
            <w:r>
              <w:rPr>
                <w:rFonts w:hint="eastAsia" w:ascii="宋体" w:hAnsi="宋体" w:cs="宋体"/>
                <w:color w:val="auto"/>
                <w:highlight w:val="none"/>
                <w:lang w:val="en-US" w:eastAsia="zh-CN"/>
              </w:rPr>
              <w:t>，截止接收时间：</w:t>
            </w:r>
            <w:r>
              <w:rPr>
                <w:rFonts w:hint="eastAsia" w:ascii="宋体" w:hAnsi="宋体" w:cs="宋体"/>
                <w:color w:val="auto"/>
                <w:highlight w:val="none"/>
                <w:u w:val="single"/>
                <w:lang w:val="en-US" w:eastAsia="zh-CN"/>
              </w:rPr>
              <w:t xml:space="preserve"> </w:t>
            </w:r>
            <w:r>
              <w:rPr>
                <w:rFonts w:hint="eastAsia" w:ascii="宋体" w:hAnsi="宋体" w:cs="宋体"/>
                <w:b/>
                <w:bCs/>
                <w:color w:val="auto"/>
                <w:szCs w:val="21"/>
                <w:highlight w:val="none"/>
                <w:u w:val="single"/>
                <w:lang w:val="en-US" w:eastAsia="zh-CN"/>
              </w:rPr>
              <w:t>2025年12月4日18：00</w:t>
            </w:r>
            <w:r>
              <w:rPr>
                <w:rFonts w:hint="eastAsia" w:ascii="宋体" w:hAnsi="宋体" w:cs="宋体"/>
                <w:b/>
                <w:bCs/>
                <w:color w:val="auto"/>
                <w:highlight w:val="none"/>
                <w:u w:val="single"/>
                <w:lang w:val="en-US" w:eastAsia="zh-CN"/>
              </w:rPr>
              <w:t xml:space="preserve"> 前</w:t>
            </w:r>
            <w:r>
              <w:rPr>
                <w:rFonts w:hint="eastAsia" w:ascii="宋体" w:hAnsi="宋体" w:cs="宋体"/>
                <w:color w:val="auto"/>
                <w:highlight w:val="none"/>
                <w:lang w:val="en-US" w:eastAsia="zh-CN"/>
              </w:rPr>
              <w:t>，收件人：</w:t>
            </w:r>
            <w:r>
              <w:rPr>
                <w:rFonts w:hint="eastAsia" w:ascii="宋体" w:hAnsi="宋体" w:cs="宋体"/>
                <w:color w:val="auto"/>
                <w:highlight w:val="none"/>
                <w:u w:val="single"/>
                <w:lang w:val="en-US" w:eastAsia="zh-CN"/>
              </w:rPr>
              <w:t xml:space="preserve"> 徐律  </w:t>
            </w:r>
            <w:r>
              <w:rPr>
                <w:rFonts w:hint="eastAsia" w:ascii="宋体" w:hAnsi="宋体" w:cs="宋体"/>
                <w:color w:val="auto"/>
                <w:highlight w:val="none"/>
                <w:lang w:val="en-US" w:eastAsia="zh-CN"/>
              </w:rPr>
              <w:t>，联系方式：</w:t>
            </w:r>
            <w:r>
              <w:rPr>
                <w:rFonts w:hint="eastAsia" w:ascii="宋体" w:hAnsi="宋体" w:cs="宋体"/>
                <w:color w:val="auto"/>
                <w:highlight w:val="none"/>
                <w:u w:val="single"/>
                <w:lang w:val="en-US" w:eastAsia="zh-CN"/>
              </w:rPr>
              <w:t xml:space="preserve"> 0775-4565100、4569690  </w:t>
            </w:r>
            <w:r>
              <w:rPr>
                <w:rFonts w:hint="eastAsia" w:ascii="宋体" w:hAnsi="宋体" w:cs="宋体"/>
                <w:color w:val="auto"/>
                <w:highlight w:val="none"/>
                <w:lang w:val="en-US" w:eastAsia="zh-CN"/>
              </w:rPr>
              <w:t xml:space="preserve">；外包装上注明供应商名称、项目名称及项目编号（外包装不作密封要求）。 </w:t>
            </w:r>
          </w:p>
          <w:p w14:paraId="582352AC">
            <w:pPr>
              <w:pStyle w:val="25"/>
              <w:spacing w:line="420" w:lineRule="exact"/>
              <w:rPr>
                <w:rFonts w:hint="eastAsia" w:hAnsi="宋体" w:eastAsia="宋体" w:cs="宋体"/>
                <w:color w:val="auto"/>
                <w:sz w:val="21"/>
                <w:szCs w:val="21"/>
                <w:highlight w:val="none"/>
                <w:lang w:eastAsia="zh-CN"/>
              </w:rPr>
            </w:pPr>
            <w:r>
              <w:rPr>
                <w:rFonts w:hint="eastAsia" w:ascii="宋体" w:hAnsi="宋体" w:cs="宋体"/>
                <w:b/>
                <w:bCs/>
                <w:color w:val="auto"/>
                <w:highlight w:val="none"/>
                <w:lang w:eastAsia="zh-CN"/>
              </w:rPr>
              <w:t>注：供应商</w:t>
            </w:r>
            <w:r>
              <w:rPr>
                <w:rFonts w:hint="eastAsia" w:ascii="宋体" w:hAnsi="宋体" w:cs="宋体"/>
                <w:b/>
                <w:bCs/>
                <w:color w:val="auto"/>
                <w:highlight w:val="none"/>
              </w:rPr>
              <w:t>未按上述规定提交的电子备份</w:t>
            </w:r>
            <w:r>
              <w:rPr>
                <w:rFonts w:hint="eastAsia" w:ascii="宋体" w:hAnsi="宋体" w:cs="宋体"/>
                <w:b/>
                <w:bCs/>
                <w:color w:val="auto"/>
                <w:highlight w:val="none"/>
                <w:lang w:eastAsia="zh-CN"/>
              </w:rPr>
              <w:t>报价</w:t>
            </w:r>
            <w:r>
              <w:rPr>
                <w:rFonts w:hint="eastAsia" w:ascii="宋体" w:hAnsi="宋体" w:cs="宋体"/>
                <w:b/>
                <w:bCs/>
                <w:color w:val="auto"/>
                <w:highlight w:val="none"/>
              </w:rPr>
              <w:t>文件，采购代理机构不予接收或承认。若电子加密</w:t>
            </w:r>
            <w:r>
              <w:rPr>
                <w:rFonts w:hint="eastAsia" w:ascii="宋体" w:hAnsi="宋体" w:cs="宋体"/>
                <w:b/>
                <w:bCs/>
                <w:color w:val="auto"/>
                <w:highlight w:val="none"/>
                <w:lang w:eastAsia="zh-CN"/>
              </w:rPr>
              <w:t>报价</w:t>
            </w:r>
            <w:r>
              <w:rPr>
                <w:rFonts w:hint="eastAsia" w:ascii="宋体" w:hAnsi="宋体" w:cs="宋体"/>
                <w:b/>
                <w:bCs/>
                <w:color w:val="auto"/>
                <w:highlight w:val="none"/>
              </w:rPr>
              <w:t>文件解密成功，电子备份</w:t>
            </w:r>
            <w:r>
              <w:rPr>
                <w:rFonts w:hint="eastAsia" w:ascii="宋体" w:hAnsi="宋体" w:cs="宋体"/>
                <w:b/>
                <w:bCs/>
                <w:color w:val="auto"/>
                <w:highlight w:val="none"/>
                <w:lang w:eastAsia="zh-CN"/>
              </w:rPr>
              <w:t>报价</w:t>
            </w:r>
            <w:r>
              <w:rPr>
                <w:rFonts w:hint="eastAsia" w:ascii="宋体" w:hAnsi="宋体" w:cs="宋体"/>
                <w:b/>
                <w:bCs/>
                <w:color w:val="auto"/>
                <w:highlight w:val="none"/>
              </w:rPr>
              <w:t>文件自动失效。若</w:t>
            </w:r>
            <w:r>
              <w:rPr>
                <w:rFonts w:hint="eastAsia" w:ascii="宋体" w:hAnsi="宋体" w:cs="宋体"/>
                <w:b/>
                <w:bCs/>
                <w:color w:val="auto"/>
                <w:highlight w:val="none"/>
                <w:lang w:eastAsia="zh-CN"/>
              </w:rPr>
              <w:t>供应商</w:t>
            </w:r>
            <w:r>
              <w:rPr>
                <w:rFonts w:hint="eastAsia" w:ascii="宋体" w:hAnsi="宋体" w:cs="宋体"/>
                <w:b/>
                <w:bCs/>
                <w:color w:val="auto"/>
                <w:highlight w:val="none"/>
              </w:rPr>
              <w:t>无法在规定的时间内解密</w:t>
            </w:r>
            <w:r>
              <w:rPr>
                <w:rFonts w:hint="eastAsia" w:ascii="宋体" w:hAnsi="宋体" w:cs="宋体"/>
                <w:b/>
                <w:bCs/>
                <w:color w:val="auto"/>
                <w:highlight w:val="none"/>
                <w:lang w:eastAsia="zh-CN"/>
              </w:rPr>
              <w:t>报价</w:t>
            </w:r>
            <w:r>
              <w:rPr>
                <w:rFonts w:hint="eastAsia" w:ascii="宋体" w:hAnsi="宋体" w:cs="宋体"/>
                <w:b/>
                <w:bCs/>
                <w:color w:val="auto"/>
                <w:highlight w:val="none"/>
              </w:rPr>
              <w:t>文件或者解密失败的，采购代理机构将电子备份</w:t>
            </w:r>
            <w:r>
              <w:rPr>
                <w:rFonts w:hint="eastAsia" w:ascii="宋体" w:hAnsi="宋体" w:cs="宋体"/>
                <w:b/>
                <w:bCs/>
                <w:color w:val="auto"/>
                <w:highlight w:val="none"/>
                <w:lang w:eastAsia="zh-CN"/>
              </w:rPr>
              <w:t>报价</w:t>
            </w:r>
            <w:r>
              <w:rPr>
                <w:rFonts w:hint="eastAsia" w:ascii="宋体" w:hAnsi="宋体" w:cs="宋体"/>
                <w:b/>
                <w:bCs/>
                <w:color w:val="auto"/>
                <w:highlight w:val="none"/>
              </w:rPr>
              <w:t>文件按</w:t>
            </w:r>
            <w:r>
              <w:rPr>
                <w:rFonts w:hint="eastAsia" w:ascii="宋体" w:hAnsi="宋体" w:cs="宋体"/>
                <w:b/>
                <w:bCs/>
                <w:color w:val="auto"/>
                <w:highlight w:val="none"/>
                <w:lang w:eastAsia="zh-CN"/>
              </w:rPr>
              <w:t>广西政府采购云平台</w:t>
            </w:r>
            <w:r>
              <w:rPr>
                <w:rFonts w:hint="eastAsia" w:ascii="宋体" w:hAnsi="宋体" w:cs="宋体"/>
                <w:b/>
                <w:bCs/>
                <w:color w:val="auto"/>
                <w:highlight w:val="none"/>
              </w:rPr>
              <w:t>操作规范上传至</w:t>
            </w:r>
            <w:r>
              <w:rPr>
                <w:rFonts w:hint="eastAsia" w:ascii="宋体" w:hAnsi="宋体" w:cs="宋体"/>
                <w:b/>
                <w:bCs/>
                <w:color w:val="auto"/>
                <w:highlight w:val="none"/>
                <w:lang w:eastAsia="zh-CN"/>
              </w:rPr>
              <w:t>“广西政府采购云平台”</w:t>
            </w:r>
            <w:r>
              <w:rPr>
                <w:rFonts w:hint="eastAsia" w:ascii="宋体" w:hAnsi="宋体" w:cs="宋体"/>
                <w:b/>
                <w:bCs/>
                <w:color w:val="auto"/>
                <w:highlight w:val="none"/>
              </w:rPr>
              <w:t>，电子备份</w:t>
            </w:r>
            <w:r>
              <w:rPr>
                <w:rFonts w:hint="eastAsia" w:ascii="宋体" w:hAnsi="宋体" w:cs="宋体"/>
                <w:b/>
                <w:bCs/>
                <w:color w:val="auto"/>
                <w:highlight w:val="none"/>
                <w:lang w:eastAsia="zh-CN"/>
              </w:rPr>
              <w:t>报价</w:t>
            </w:r>
            <w:r>
              <w:rPr>
                <w:rFonts w:hint="eastAsia" w:ascii="宋体" w:hAnsi="宋体" w:cs="宋体"/>
                <w:b/>
                <w:bCs/>
                <w:color w:val="auto"/>
                <w:highlight w:val="none"/>
              </w:rPr>
              <w:t>文件上传成功后，</w:t>
            </w:r>
            <w:r>
              <w:rPr>
                <w:rFonts w:hint="eastAsia" w:ascii="宋体" w:hAnsi="宋体" w:cs="宋体"/>
                <w:b/>
                <w:bCs/>
                <w:color w:val="auto"/>
                <w:highlight w:val="none"/>
                <w:lang w:eastAsia="zh-CN"/>
              </w:rPr>
              <w:t>供应商</w:t>
            </w:r>
            <w:r>
              <w:rPr>
                <w:rFonts w:hint="eastAsia" w:ascii="宋体" w:hAnsi="宋体" w:cs="宋体"/>
                <w:b/>
                <w:bCs/>
                <w:color w:val="auto"/>
                <w:highlight w:val="none"/>
              </w:rPr>
              <w:t>原上传的电子加密</w:t>
            </w:r>
            <w:r>
              <w:rPr>
                <w:rFonts w:hint="eastAsia" w:ascii="宋体" w:hAnsi="宋体" w:cs="宋体"/>
                <w:b/>
                <w:bCs/>
                <w:color w:val="auto"/>
                <w:highlight w:val="none"/>
                <w:lang w:eastAsia="zh-CN"/>
              </w:rPr>
              <w:t>报价</w:t>
            </w:r>
            <w:r>
              <w:rPr>
                <w:rFonts w:hint="eastAsia" w:ascii="宋体" w:hAnsi="宋体" w:cs="宋体"/>
                <w:b/>
                <w:bCs/>
                <w:color w:val="auto"/>
                <w:highlight w:val="none"/>
              </w:rPr>
              <w:t>文件自动失效。若</w:t>
            </w:r>
            <w:r>
              <w:rPr>
                <w:rFonts w:hint="eastAsia" w:ascii="宋体" w:hAnsi="宋体" w:cs="宋体"/>
                <w:b/>
                <w:bCs/>
                <w:color w:val="auto"/>
                <w:highlight w:val="none"/>
                <w:lang w:eastAsia="zh-CN"/>
              </w:rPr>
              <w:t>供应商</w:t>
            </w:r>
            <w:r>
              <w:rPr>
                <w:rFonts w:hint="eastAsia" w:ascii="宋体" w:hAnsi="宋体" w:cs="宋体"/>
                <w:b/>
                <w:bCs/>
                <w:color w:val="auto"/>
                <w:highlight w:val="none"/>
              </w:rPr>
              <w:t>在规定时间内无法解密或解密失败且未提供电子备份</w:t>
            </w:r>
            <w:r>
              <w:rPr>
                <w:rFonts w:hint="eastAsia" w:ascii="宋体" w:hAnsi="宋体" w:cs="宋体"/>
                <w:b/>
                <w:bCs/>
                <w:color w:val="auto"/>
                <w:highlight w:val="none"/>
                <w:lang w:eastAsia="zh-CN"/>
              </w:rPr>
              <w:t>报价</w:t>
            </w:r>
            <w:r>
              <w:rPr>
                <w:rFonts w:hint="eastAsia" w:ascii="宋体" w:hAnsi="宋体" w:cs="宋体"/>
                <w:b/>
                <w:bCs/>
                <w:color w:val="auto"/>
                <w:highlight w:val="none"/>
              </w:rPr>
              <w:t>文件的（包含提供的电子备份</w:t>
            </w:r>
            <w:r>
              <w:rPr>
                <w:rFonts w:hint="eastAsia" w:ascii="宋体" w:hAnsi="宋体" w:cs="宋体"/>
                <w:b/>
                <w:bCs/>
                <w:color w:val="auto"/>
                <w:highlight w:val="none"/>
                <w:lang w:eastAsia="zh-CN"/>
              </w:rPr>
              <w:t>报价</w:t>
            </w:r>
            <w:r>
              <w:rPr>
                <w:rFonts w:hint="eastAsia" w:ascii="宋体" w:hAnsi="宋体" w:cs="宋体"/>
                <w:b/>
                <w:bCs/>
                <w:color w:val="auto"/>
                <w:highlight w:val="none"/>
              </w:rPr>
              <w:t>文件无效或无法解读的情况），</w:t>
            </w:r>
            <w:r>
              <w:rPr>
                <w:rFonts w:hint="eastAsia" w:ascii="宋体" w:hAnsi="宋体" w:cs="宋体"/>
                <w:b/>
                <w:bCs/>
                <w:color w:val="auto"/>
                <w:highlight w:val="none"/>
                <w:lang w:eastAsia="zh-CN"/>
              </w:rPr>
              <w:t>供应商</w:t>
            </w:r>
            <w:r>
              <w:rPr>
                <w:rFonts w:hint="eastAsia" w:ascii="宋体" w:hAnsi="宋体" w:cs="宋体"/>
                <w:b/>
                <w:bCs/>
                <w:color w:val="auto"/>
                <w:highlight w:val="none"/>
              </w:rPr>
              <w:t>的报价文件作无效处理。</w:t>
            </w:r>
          </w:p>
        </w:tc>
      </w:tr>
      <w:tr w14:paraId="5A5B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26" w:type="dxa"/>
            <w:noWrap w:val="0"/>
            <w:vAlign w:val="center"/>
          </w:tcPr>
          <w:p w14:paraId="734858DB">
            <w:pPr>
              <w:pStyle w:val="10"/>
              <w:spacing w:line="420" w:lineRule="exact"/>
              <w:jc w:val="center"/>
              <w:rPr>
                <w:rFonts w:hint="eastAsia" w:hAnsi="宋体"/>
                <w:color w:val="auto"/>
                <w:szCs w:val="21"/>
                <w:highlight w:val="none"/>
              </w:rPr>
            </w:pPr>
            <w:r>
              <w:rPr>
                <w:rFonts w:hint="eastAsia" w:hAnsi="宋体"/>
                <w:color w:val="auto"/>
                <w:szCs w:val="21"/>
                <w:highlight w:val="none"/>
              </w:rPr>
              <w:t>7</w:t>
            </w:r>
          </w:p>
        </w:tc>
        <w:tc>
          <w:tcPr>
            <w:tcW w:w="8938" w:type="dxa"/>
            <w:noWrap w:val="0"/>
            <w:vAlign w:val="center"/>
          </w:tcPr>
          <w:p w14:paraId="51B81046">
            <w:pPr>
              <w:pStyle w:val="25"/>
              <w:spacing w:line="420" w:lineRule="exact"/>
              <w:rPr>
                <w:rFonts w:hint="eastAsia" w:hAnsi="宋体" w:eastAsia="宋体" w:cs="宋体"/>
                <w:color w:val="auto"/>
                <w:sz w:val="21"/>
                <w:szCs w:val="21"/>
                <w:highlight w:val="none"/>
                <w:lang w:eastAsia="zh-CN"/>
              </w:rPr>
            </w:pPr>
            <w:r>
              <w:rPr>
                <w:rFonts w:hAnsi="宋体" w:cs="宋体"/>
                <w:color w:val="auto"/>
                <w:sz w:val="21"/>
                <w:szCs w:val="21"/>
                <w:highlight w:val="none"/>
              </w:rPr>
              <w:t>协商时间：</w:t>
            </w:r>
            <w:r>
              <w:rPr>
                <w:rFonts w:ascii="宋体" w:hAnsi="宋体" w:cs="宋体"/>
                <w:b/>
                <w:bCs/>
                <w:color w:val="auto"/>
                <w:sz w:val="21"/>
                <w:szCs w:val="21"/>
                <w:highlight w:val="none"/>
              </w:rPr>
              <w:t>202</w:t>
            </w:r>
            <w:r>
              <w:rPr>
                <w:rFonts w:hint="eastAsia" w:hAnsi="宋体" w:cs="宋体"/>
                <w:b/>
                <w:bCs/>
                <w:color w:val="auto"/>
                <w:sz w:val="21"/>
                <w:szCs w:val="21"/>
                <w:highlight w:val="none"/>
                <w:lang w:val="en-US" w:eastAsia="zh-CN"/>
              </w:rPr>
              <w:t>5</w:t>
            </w:r>
            <w:r>
              <w:rPr>
                <w:rFonts w:ascii="宋体" w:hAnsi="宋体" w:cs="宋体"/>
                <w:b/>
                <w:bCs/>
                <w:color w:val="auto"/>
                <w:sz w:val="21"/>
                <w:szCs w:val="21"/>
                <w:highlight w:val="none"/>
              </w:rPr>
              <w:t>年</w:t>
            </w:r>
            <w:r>
              <w:rPr>
                <w:rFonts w:hint="eastAsia" w:hAnsi="宋体" w:cs="宋体"/>
                <w:b/>
                <w:bCs/>
                <w:color w:val="auto"/>
                <w:sz w:val="21"/>
                <w:szCs w:val="21"/>
                <w:highlight w:val="none"/>
                <w:lang w:val="en-US" w:eastAsia="zh-CN"/>
              </w:rPr>
              <w:t>12</w:t>
            </w:r>
            <w:r>
              <w:rPr>
                <w:rFonts w:ascii="宋体" w:hAnsi="宋体" w:cs="宋体"/>
                <w:b/>
                <w:bCs/>
                <w:color w:val="auto"/>
                <w:sz w:val="21"/>
                <w:szCs w:val="21"/>
                <w:highlight w:val="none"/>
              </w:rPr>
              <w:t>月</w:t>
            </w:r>
            <w:r>
              <w:rPr>
                <w:rFonts w:hint="eastAsia" w:hAnsi="宋体" w:cs="宋体"/>
                <w:b/>
                <w:bCs/>
                <w:color w:val="auto"/>
                <w:sz w:val="21"/>
                <w:szCs w:val="21"/>
                <w:highlight w:val="none"/>
                <w:lang w:val="en-US" w:eastAsia="zh-CN"/>
              </w:rPr>
              <w:t>5</w:t>
            </w:r>
            <w:r>
              <w:rPr>
                <w:rFonts w:ascii="宋体" w:hAnsi="宋体" w:cs="宋体"/>
                <w:b/>
                <w:bCs/>
                <w:color w:val="auto"/>
                <w:sz w:val="21"/>
                <w:szCs w:val="21"/>
                <w:highlight w:val="none"/>
              </w:rPr>
              <w:t>日上午</w:t>
            </w:r>
            <w:r>
              <w:rPr>
                <w:rFonts w:hint="eastAsia" w:hAnsi="宋体" w:cs="宋体"/>
                <w:b/>
                <w:bCs/>
                <w:color w:val="auto"/>
                <w:sz w:val="21"/>
                <w:szCs w:val="21"/>
                <w:highlight w:val="none"/>
                <w:lang w:val="en-US" w:eastAsia="zh-CN"/>
              </w:rPr>
              <w:t>9</w:t>
            </w:r>
            <w:r>
              <w:rPr>
                <w:rFonts w:ascii="宋体" w:hAnsi="宋体" w:cs="宋体"/>
                <w:b/>
                <w:bCs/>
                <w:color w:val="auto"/>
                <w:sz w:val="21"/>
                <w:szCs w:val="21"/>
                <w:highlight w:val="none"/>
              </w:rPr>
              <w:t>时</w:t>
            </w:r>
            <w:r>
              <w:rPr>
                <w:rFonts w:hint="eastAsia" w:ascii="宋体" w:hAnsi="宋体" w:cs="宋体"/>
                <w:b/>
                <w:bCs/>
                <w:color w:val="auto"/>
                <w:sz w:val="21"/>
                <w:szCs w:val="21"/>
                <w:highlight w:val="none"/>
                <w:lang w:val="en-US" w:eastAsia="zh-CN"/>
              </w:rPr>
              <w:t>00</w:t>
            </w:r>
            <w:r>
              <w:rPr>
                <w:rFonts w:ascii="宋体" w:hAnsi="宋体" w:cs="宋体"/>
                <w:b/>
                <w:bCs/>
                <w:color w:val="auto"/>
                <w:sz w:val="21"/>
                <w:szCs w:val="21"/>
                <w:highlight w:val="none"/>
              </w:rPr>
              <w:t>分</w:t>
            </w:r>
            <w:r>
              <w:rPr>
                <w:rFonts w:hAnsi="宋体" w:cs="宋体"/>
                <w:color w:val="auto"/>
                <w:sz w:val="21"/>
                <w:szCs w:val="21"/>
                <w:highlight w:val="none"/>
              </w:rPr>
              <w:t>截止后为采购人与供应商协商时间</w:t>
            </w:r>
            <w:r>
              <w:rPr>
                <w:rFonts w:hint="eastAsia" w:hAnsi="宋体" w:cs="宋体"/>
                <w:color w:val="auto"/>
                <w:sz w:val="21"/>
                <w:szCs w:val="21"/>
                <w:highlight w:val="none"/>
                <w:lang w:eastAsia="zh-CN"/>
              </w:rPr>
              <w:t>；</w:t>
            </w:r>
          </w:p>
          <w:p w14:paraId="462BF8B3">
            <w:pPr>
              <w:pStyle w:val="25"/>
              <w:spacing w:line="420" w:lineRule="exact"/>
              <w:rPr>
                <w:rFonts w:hint="eastAsia" w:hAnsi="宋体"/>
                <w:color w:val="auto"/>
                <w:sz w:val="21"/>
                <w:szCs w:val="21"/>
                <w:highlight w:val="none"/>
                <w:u w:val="single"/>
              </w:rPr>
            </w:pPr>
            <w:r>
              <w:rPr>
                <w:rFonts w:hAnsi="宋体" w:cs="宋体"/>
                <w:color w:val="auto"/>
                <w:sz w:val="21"/>
                <w:szCs w:val="21"/>
                <w:highlight w:val="none"/>
              </w:rPr>
              <w:t>地点：通过</w:t>
            </w:r>
            <w:r>
              <w:rPr>
                <w:rFonts w:hint="eastAsia" w:hAnsi="宋体" w:cs="宋体"/>
                <w:color w:val="auto"/>
                <w:sz w:val="21"/>
                <w:szCs w:val="21"/>
                <w:highlight w:val="none"/>
              </w:rPr>
              <w:t>广西政府采购云平台</w:t>
            </w:r>
            <w:r>
              <w:rPr>
                <w:rFonts w:hAnsi="宋体" w:cs="宋体"/>
                <w:color w:val="auto"/>
                <w:sz w:val="21"/>
                <w:szCs w:val="21"/>
                <w:highlight w:val="none"/>
              </w:rPr>
              <w:t>实行在线响应。</w:t>
            </w:r>
          </w:p>
        </w:tc>
      </w:tr>
      <w:tr w14:paraId="0311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26" w:type="dxa"/>
            <w:noWrap w:val="0"/>
            <w:vAlign w:val="center"/>
          </w:tcPr>
          <w:p w14:paraId="21050240">
            <w:pPr>
              <w:pStyle w:val="10"/>
              <w:spacing w:line="420" w:lineRule="exact"/>
              <w:jc w:val="center"/>
              <w:rPr>
                <w:rFonts w:hint="eastAsia" w:hAnsi="宋体"/>
                <w:color w:val="auto"/>
                <w:szCs w:val="21"/>
                <w:highlight w:val="none"/>
              </w:rPr>
            </w:pPr>
            <w:r>
              <w:rPr>
                <w:rFonts w:hint="eastAsia" w:hAnsi="宋体"/>
                <w:color w:val="auto"/>
                <w:szCs w:val="21"/>
                <w:highlight w:val="none"/>
              </w:rPr>
              <w:t>8</w:t>
            </w:r>
          </w:p>
        </w:tc>
        <w:tc>
          <w:tcPr>
            <w:tcW w:w="8938" w:type="dxa"/>
            <w:noWrap w:val="0"/>
            <w:vAlign w:val="center"/>
          </w:tcPr>
          <w:p w14:paraId="33CE944B">
            <w:pPr>
              <w:pStyle w:val="10"/>
              <w:spacing w:line="420" w:lineRule="exact"/>
              <w:rPr>
                <w:rFonts w:hint="eastAsia" w:hAnsi="宋体"/>
                <w:color w:val="auto"/>
                <w:szCs w:val="21"/>
                <w:highlight w:val="none"/>
                <w:u w:val="single"/>
              </w:rPr>
            </w:pPr>
            <w:r>
              <w:rPr>
                <w:rFonts w:hint="eastAsia" w:hAnsi="宋体"/>
                <w:color w:val="auto"/>
                <w:szCs w:val="21"/>
                <w:highlight w:val="none"/>
              </w:rPr>
              <w:t>履约保证金:无</w:t>
            </w:r>
          </w:p>
        </w:tc>
      </w:tr>
      <w:tr w14:paraId="5387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26" w:type="dxa"/>
            <w:noWrap w:val="0"/>
            <w:vAlign w:val="center"/>
          </w:tcPr>
          <w:p w14:paraId="774DAE30">
            <w:pPr>
              <w:pStyle w:val="10"/>
              <w:spacing w:line="420" w:lineRule="exact"/>
              <w:jc w:val="center"/>
              <w:rPr>
                <w:rFonts w:hint="eastAsia" w:hAnsi="宋体"/>
                <w:color w:val="auto"/>
                <w:szCs w:val="21"/>
                <w:highlight w:val="none"/>
              </w:rPr>
            </w:pPr>
            <w:r>
              <w:rPr>
                <w:rFonts w:hint="eastAsia" w:hAnsi="宋体"/>
                <w:color w:val="auto"/>
                <w:szCs w:val="21"/>
                <w:highlight w:val="none"/>
              </w:rPr>
              <w:t>9</w:t>
            </w:r>
          </w:p>
        </w:tc>
        <w:tc>
          <w:tcPr>
            <w:tcW w:w="8938" w:type="dxa"/>
            <w:noWrap w:val="0"/>
            <w:vAlign w:val="center"/>
          </w:tcPr>
          <w:p w14:paraId="3B3C0422">
            <w:pPr>
              <w:pStyle w:val="10"/>
              <w:spacing w:line="420" w:lineRule="exact"/>
              <w:rPr>
                <w:rFonts w:hint="eastAsia"/>
                <w:color w:val="auto"/>
                <w:highlight w:val="none"/>
              </w:rPr>
            </w:pPr>
            <w:r>
              <w:rPr>
                <w:rFonts w:hint="eastAsia"/>
                <w:color w:val="auto"/>
                <w:highlight w:val="none"/>
              </w:rPr>
              <w:t>1.采购代理费收取方式：</w:t>
            </w:r>
          </w:p>
          <w:p w14:paraId="248E4B17">
            <w:pPr>
              <w:pStyle w:val="10"/>
              <w:spacing w:line="420" w:lineRule="exact"/>
              <w:rPr>
                <w:rFonts w:hint="eastAsia"/>
                <w:color w:val="auto"/>
                <w:highlight w:val="none"/>
              </w:rPr>
            </w:pPr>
            <w:r>
              <w:rPr>
                <w:rFonts w:hint="eastAsia"/>
                <w:color w:val="auto"/>
                <w:highlight w:val="none"/>
              </w:rPr>
              <w:t>☑本项目代理服务费由成交供应商向采购代理机构支付。</w:t>
            </w:r>
          </w:p>
          <w:p w14:paraId="60B4E6F5">
            <w:pPr>
              <w:pStyle w:val="10"/>
              <w:spacing w:line="420" w:lineRule="exact"/>
              <w:rPr>
                <w:rFonts w:hint="eastAsia"/>
                <w:color w:val="auto"/>
                <w:highlight w:val="none"/>
              </w:rPr>
            </w:pPr>
            <w:r>
              <w:rPr>
                <w:rFonts w:hint="eastAsia"/>
                <w:color w:val="auto"/>
                <w:highlight w:val="none"/>
              </w:rPr>
              <w:t>□采购人支付。</w:t>
            </w:r>
          </w:p>
          <w:p w14:paraId="406DC3C0">
            <w:pPr>
              <w:pStyle w:val="10"/>
              <w:spacing w:line="420" w:lineRule="exact"/>
              <w:rPr>
                <w:rFonts w:hint="eastAsia"/>
                <w:color w:val="auto"/>
                <w:highlight w:val="none"/>
              </w:rPr>
            </w:pPr>
            <w:r>
              <w:rPr>
                <w:rFonts w:hint="eastAsia"/>
                <w:color w:val="auto"/>
                <w:highlight w:val="none"/>
              </w:rPr>
              <w:t>2.采购代理费收取标准：</w:t>
            </w:r>
          </w:p>
          <w:p w14:paraId="59EA557D">
            <w:pPr>
              <w:pStyle w:val="10"/>
              <w:spacing w:line="420" w:lineRule="exact"/>
              <w:rPr>
                <w:rFonts w:hint="eastAsia"/>
                <w:color w:val="auto"/>
                <w:highlight w:val="none"/>
              </w:rPr>
            </w:pPr>
            <w:r>
              <w:rPr>
                <w:rFonts w:hint="eastAsia"/>
                <w:color w:val="auto"/>
                <w:highlight w:val="none"/>
              </w:rPr>
              <w:t>☑根据发改价格〔2015〕299号文，按固定金额收费标准，</w:t>
            </w:r>
            <w:r>
              <w:rPr>
                <w:rFonts w:hint="eastAsia"/>
                <w:color w:val="auto"/>
                <w:highlight w:val="none"/>
                <w:lang w:eastAsia="zh-CN"/>
              </w:rPr>
              <w:t>本项目代理服务费为</w:t>
            </w:r>
            <w:r>
              <w:rPr>
                <w:rFonts w:hint="eastAsia"/>
                <w:color w:val="auto"/>
                <w:highlight w:val="none"/>
              </w:rPr>
              <w:t>人民币</w:t>
            </w:r>
            <w:r>
              <w:rPr>
                <w:rFonts w:hint="eastAsia"/>
                <w:color w:val="auto"/>
                <w:highlight w:val="none"/>
                <w:lang w:eastAsia="zh-CN"/>
              </w:rPr>
              <w:t>贰万零柒佰玖拾</w:t>
            </w:r>
            <w:r>
              <w:rPr>
                <w:rFonts w:hint="eastAsia"/>
                <w:color w:val="auto"/>
                <w:highlight w:val="none"/>
              </w:rPr>
              <w:t>元整（</w:t>
            </w:r>
            <w:r>
              <w:rPr>
                <w:rFonts w:hint="eastAsia" w:asciiTheme="majorEastAsia" w:hAnsiTheme="majorEastAsia" w:eastAsiaTheme="majorEastAsia" w:cstheme="majorEastAsia"/>
                <w:color w:val="auto"/>
                <w:highlight w:val="none"/>
              </w:rPr>
              <w:t>¥</w:t>
            </w:r>
            <w:r>
              <w:rPr>
                <w:rFonts w:hint="eastAsia"/>
                <w:color w:val="auto"/>
                <w:highlight w:val="none"/>
                <w:lang w:val="en-US" w:eastAsia="zh-CN"/>
              </w:rPr>
              <w:t>20790</w:t>
            </w:r>
            <w:r>
              <w:rPr>
                <w:rFonts w:hint="eastAsia"/>
                <w:color w:val="auto"/>
                <w:highlight w:val="none"/>
              </w:rPr>
              <w:t>.00）。</w:t>
            </w:r>
          </w:p>
          <w:p w14:paraId="0D6C5785">
            <w:pPr>
              <w:pStyle w:val="10"/>
              <w:spacing w:line="420" w:lineRule="exact"/>
              <w:rPr>
                <w:rFonts w:hint="eastAsia"/>
                <w:color w:val="auto"/>
                <w:highlight w:val="none"/>
              </w:rPr>
            </w:pPr>
            <w:r>
              <w:rPr>
                <w:rFonts w:hint="eastAsia"/>
                <w:color w:val="auto"/>
                <w:highlight w:val="none"/>
              </w:rPr>
              <w:t>3. 采购代理费收取银行账户</w:t>
            </w:r>
          </w:p>
          <w:p w14:paraId="21F1A9C2">
            <w:pPr>
              <w:pStyle w:val="10"/>
              <w:spacing w:line="420" w:lineRule="exact"/>
              <w:rPr>
                <w:rFonts w:hint="eastAsia"/>
                <w:color w:val="auto"/>
                <w:highlight w:val="none"/>
              </w:rPr>
            </w:pPr>
            <w:r>
              <w:rPr>
                <w:rFonts w:hint="eastAsia"/>
                <w:color w:val="auto"/>
                <w:highlight w:val="none"/>
              </w:rPr>
              <w:t>单位名称：云之龙咨询集团有限公司贵港分公司  </w:t>
            </w:r>
          </w:p>
          <w:p w14:paraId="2043CE9E">
            <w:pPr>
              <w:pStyle w:val="10"/>
              <w:spacing w:line="420" w:lineRule="exact"/>
              <w:rPr>
                <w:rFonts w:hint="eastAsia"/>
                <w:color w:val="auto"/>
                <w:highlight w:val="none"/>
              </w:rPr>
            </w:pPr>
            <w:r>
              <w:rPr>
                <w:rFonts w:hint="eastAsia"/>
                <w:color w:val="auto"/>
                <w:highlight w:val="none"/>
              </w:rPr>
              <w:t>开户银行：中信银行南宁东葛支行</w:t>
            </w:r>
          </w:p>
          <w:p w14:paraId="42006AAA">
            <w:pPr>
              <w:pStyle w:val="10"/>
              <w:spacing w:line="420" w:lineRule="exact"/>
              <w:rPr>
                <w:rFonts w:hint="eastAsia"/>
                <w:color w:val="auto"/>
                <w:highlight w:val="none"/>
              </w:rPr>
            </w:pPr>
            <w:r>
              <w:rPr>
                <w:rFonts w:hint="eastAsia"/>
                <w:color w:val="auto"/>
                <w:highlight w:val="none"/>
              </w:rPr>
              <w:t>银行账号：8113001015100158012</w:t>
            </w:r>
          </w:p>
          <w:p w14:paraId="285A31E9">
            <w:pPr>
              <w:pStyle w:val="10"/>
              <w:spacing w:line="420" w:lineRule="exact"/>
              <w:rPr>
                <w:rFonts w:hint="eastAsia"/>
                <w:color w:val="auto"/>
                <w:highlight w:val="none"/>
              </w:rPr>
            </w:pPr>
            <w:r>
              <w:rPr>
                <w:rFonts w:hint="eastAsia"/>
                <w:color w:val="auto"/>
                <w:highlight w:val="none"/>
              </w:rPr>
              <w:t>行号：302611029137</w:t>
            </w:r>
          </w:p>
        </w:tc>
      </w:tr>
      <w:tr w14:paraId="4FE6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726" w:type="dxa"/>
            <w:noWrap w:val="0"/>
            <w:vAlign w:val="center"/>
          </w:tcPr>
          <w:p w14:paraId="521D714B">
            <w:pPr>
              <w:pStyle w:val="10"/>
              <w:spacing w:line="420" w:lineRule="exact"/>
              <w:jc w:val="center"/>
              <w:rPr>
                <w:rFonts w:hint="default" w:hAnsi="宋体" w:eastAsia="宋体"/>
                <w:color w:val="auto"/>
                <w:szCs w:val="21"/>
                <w:highlight w:val="none"/>
                <w:lang w:val="en-US" w:eastAsia="zh-CN"/>
              </w:rPr>
            </w:pPr>
            <w:r>
              <w:rPr>
                <w:rFonts w:hint="eastAsia" w:hAnsi="宋体"/>
                <w:color w:val="auto"/>
                <w:szCs w:val="21"/>
                <w:highlight w:val="none"/>
                <w:lang w:val="en-US" w:eastAsia="zh-CN"/>
              </w:rPr>
              <w:t>10</w:t>
            </w:r>
          </w:p>
        </w:tc>
        <w:tc>
          <w:tcPr>
            <w:tcW w:w="8938" w:type="dxa"/>
            <w:noWrap w:val="0"/>
            <w:vAlign w:val="center"/>
          </w:tcPr>
          <w:p w14:paraId="124E62BB">
            <w:pPr>
              <w:autoSpaceDE w:val="0"/>
              <w:autoSpaceDN w:val="0"/>
              <w:snapToGrid w:val="0"/>
              <w:spacing w:line="360" w:lineRule="auto"/>
              <w:textAlignment w:val="bottom"/>
              <w:rPr>
                <w:rFonts w:hint="eastAsia"/>
                <w:color w:val="auto"/>
                <w:highlight w:val="none"/>
              </w:rPr>
            </w:pPr>
            <w:r>
              <w:rPr>
                <w:rFonts w:hint="eastAsia"/>
                <w:color w:val="auto"/>
                <w:highlight w:val="none"/>
              </w:rPr>
              <w:t>接收质疑函方式：以书面形式</w:t>
            </w:r>
          </w:p>
          <w:p w14:paraId="7FF9C0EE">
            <w:pPr>
              <w:autoSpaceDE w:val="0"/>
              <w:autoSpaceDN w:val="0"/>
              <w:snapToGrid w:val="0"/>
              <w:spacing w:line="360" w:lineRule="auto"/>
              <w:textAlignment w:val="bottom"/>
              <w:rPr>
                <w:rFonts w:hint="eastAsia"/>
                <w:color w:val="auto"/>
                <w:highlight w:val="none"/>
              </w:rPr>
            </w:pPr>
            <w:r>
              <w:rPr>
                <w:rFonts w:hint="eastAsia"/>
                <w:color w:val="auto"/>
                <w:highlight w:val="none"/>
              </w:rPr>
              <w:t>质疑联系部门：云之龙咨询集团有限公司招标部</w:t>
            </w:r>
          </w:p>
          <w:p w14:paraId="729E611D">
            <w:pPr>
              <w:autoSpaceDE w:val="0"/>
              <w:autoSpaceDN w:val="0"/>
              <w:snapToGrid w:val="0"/>
              <w:spacing w:line="360" w:lineRule="auto"/>
              <w:textAlignment w:val="bottom"/>
              <w:rPr>
                <w:rFonts w:hint="eastAsia"/>
                <w:color w:val="auto"/>
                <w:highlight w:val="none"/>
              </w:rPr>
            </w:pPr>
            <w:r>
              <w:rPr>
                <w:rFonts w:hint="eastAsia"/>
                <w:color w:val="auto"/>
                <w:highlight w:val="none"/>
              </w:rPr>
              <w:t>联系电话：0775-4565100</w:t>
            </w:r>
          </w:p>
          <w:p w14:paraId="1CB11CFB">
            <w:pPr>
              <w:autoSpaceDE w:val="0"/>
              <w:autoSpaceDN w:val="0"/>
              <w:snapToGrid w:val="0"/>
              <w:spacing w:line="360" w:lineRule="auto"/>
              <w:textAlignment w:val="bottom"/>
              <w:rPr>
                <w:rFonts w:hint="eastAsia"/>
                <w:color w:val="auto"/>
                <w:highlight w:val="none"/>
              </w:rPr>
            </w:pPr>
            <w:r>
              <w:rPr>
                <w:rFonts w:hint="eastAsia"/>
                <w:color w:val="auto"/>
                <w:highlight w:val="none"/>
              </w:rPr>
              <w:t>通讯地址：广西贵港市港北区荷城路1132号华泰官邸1栋6楼</w:t>
            </w:r>
          </w:p>
          <w:p w14:paraId="377473B4">
            <w:pPr>
              <w:autoSpaceDE w:val="0"/>
              <w:autoSpaceDN w:val="0"/>
              <w:snapToGrid w:val="0"/>
              <w:spacing w:line="360" w:lineRule="auto"/>
              <w:textAlignment w:val="bottom"/>
              <w:rPr>
                <w:rFonts w:hint="eastAsia"/>
                <w:color w:val="auto"/>
                <w:highlight w:val="none"/>
              </w:rPr>
            </w:pPr>
            <w:r>
              <w:rPr>
                <w:rFonts w:hint="eastAsia"/>
                <w:color w:val="auto"/>
                <w:highlight w:val="none"/>
              </w:rPr>
              <w:t>业务时间：工作日每天上午8时00分到12时00分，下午3时00分到6时00分。</w:t>
            </w:r>
          </w:p>
        </w:tc>
      </w:tr>
      <w:tr w14:paraId="7188A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726" w:type="dxa"/>
            <w:noWrap w:val="0"/>
            <w:vAlign w:val="center"/>
          </w:tcPr>
          <w:p w14:paraId="6D8F2462">
            <w:pPr>
              <w:pStyle w:val="10"/>
              <w:spacing w:line="420" w:lineRule="exact"/>
              <w:jc w:val="center"/>
              <w:rPr>
                <w:rFonts w:hint="eastAsia" w:hAnsi="宋体" w:eastAsia="宋体"/>
                <w:color w:val="auto"/>
                <w:szCs w:val="21"/>
                <w:highlight w:val="none"/>
                <w:lang w:val="en-US" w:eastAsia="zh-CN"/>
              </w:rPr>
            </w:pPr>
            <w:r>
              <w:rPr>
                <w:rFonts w:hint="eastAsia" w:hAnsi="宋体"/>
                <w:color w:val="auto"/>
                <w:szCs w:val="21"/>
                <w:highlight w:val="none"/>
              </w:rPr>
              <w:t>1</w:t>
            </w:r>
            <w:r>
              <w:rPr>
                <w:rFonts w:hint="eastAsia" w:hAnsi="宋体"/>
                <w:color w:val="auto"/>
                <w:szCs w:val="21"/>
                <w:highlight w:val="none"/>
                <w:lang w:val="en-US" w:eastAsia="zh-CN"/>
              </w:rPr>
              <w:t>1</w:t>
            </w:r>
          </w:p>
        </w:tc>
        <w:tc>
          <w:tcPr>
            <w:tcW w:w="8938" w:type="dxa"/>
            <w:noWrap w:val="0"/>
            <w:vAlign w:val="center"/>
          </w:tcPr>
          <w:p w14:paraId="2EC82AC2">
            <w:pPr>
              <w:pStyle w:val="10"/>
              <w:snapToGrid w:val="0"/>
              <w:spacing w:line="440" w:lineRule="exact"/>
              <w:rPr>
                <w:rFonts w:hAnsi="宋体" w:cs="宋体"/>
                <w:color w:val="auto"/>
                <w:highlight w:val="none"/>
              </w:rPr>
            </w:pPr>
            <w:r>
              <w:rPr>
                <w:rFonts w:hint="eastAsia" w:hAnsi="宋体" w:cs="宋体"/>
                <w:color w:val="auto"/>
                <w:highlight w:val="none"/>
              </w:rPr>
              <w:t>1.本采购文件中描述供应商的“公章”是指根据我国对公章的管理规定，用供应商法定主体行为名称制作的印章，除本磋商文件有特殊规定外，供应商的财务章、部门章、分公司章、工会章、合同章、竞标/竞标专用章、业务专用章及银行的转账章、现金收讫章、现金付讫章等其他形式印章均不能代替公章。</w:t>
            </w:r>
          </w:p>
          <w:p w14:paraId="611A0724">
            <w:pPr>
              <w:pStyle w:val="10"/>
              <w:snapToGrid w:val="0"/>
              <w:spacing w:line="440" w:lineRule="exact"/>
              <w:rPr>
                <w:rFonts w:hint="eastAsia" w:hAnsi="宋体" w:cs="宋体"/>
                <w:color w:val="auto"/>
                <w:highlight w:val="none"/>
              </w:rPr>
            </w:pPr>
            <w:r>
              <w:rPr>
                <w:rFonts w:hint="eastAsia" w:hAnsi="宋体" w:cs="宋体"/>
                <w:bCs/>
                <w:color w:val="auto"/>
                <w:highlight w:val="none"/>
              </w:rPr>
              <w:t>2.本</w:t>
            </w:r>
            <w:r>
              <w:rPr>
                <w:rFonts w:hint="eastAsia" w:hAnsi="宋体" w:cs="宋体"/>
                <w:color w:val="auto"/>
                <w:highlight w:val="none"/>
              </w:rPr>
              <w:t>采购</w:t>
            </w:r>
            <w:r>
              <w:rPr>
                <w:rFonts w:hint="eastAsia" w:hAnsi="宋体" w:cs="宋体"/>
                <w:bCs/>
                <w:color w:val="auto"/>
                <w:highlight w:val="none"/>
              </w:rPr>
              <w:t>文件所称的“</w:t>
            </w:r>
            <w:r>
              <w:rPr>
                <w:rFonts w:hint="eastAsia" w:hAnsi="宋体"/>
                <w:color w:val="auto"/>
                <w:highlight w:val="none"/>
              </w:rPr>
              <w:t>电子签章</w:t>
            </w:r>
            <w:r>
              <w:rPr>
                <w:rFonts w:hint="eastAsia" w:hAnsi="宋体" w:cs="宋体"/>
                <w:bCs/>
                <w:color w:val="auto"/>
                <w:highlight w:val="none"/>
              </w:rPr>
              <w:t>”、“电子签名”</w:t>
            </w:r>
            <w:r>
              <w:rPr>
                <w:rFonts w:hint="eastAsia" w:hAnsi="宋体"/>
                <w:color w:val="auto"/>
                <w:highlight w:val="none"/>
              </w:rPr>
              <w:t>，是指经</w:t>
            </w:r>
            <w:r>
              <w:rPr>
                <w:rFonts w:hint="eastAsia"/>
                <w:color w:val="auto"/>
                <w:sz w:val="21"/>
                <w:szCs w:val="21"/>
                <w:highlight w:val="none"/>
              </w:rPr>
              <w:t>广西政府采购云平台</w:t>
            </w:r>
            <w:r>
              <w:rPr>
                <w:rFonts w:hint="eastAsia" w:hAnsi="宋体"/>
                <w:color w:val="auto"/>
                <w:highlight w:val="none"/>
              </w:rPr>
              <w:t>认可的CA认证的电子签名数据为表现形式的印章，可用于签署电子报价文件，电子印章与实物印章具有同等法律效力，不因其采用电子化表现形式而否定其法律效力。</w:t>
            </w:r>
          </w:p>
          <w:p w14:paraId="1E6055C8">
            <w:pPr>
              <w:pStyle w:val="10"/>
              <w:snapToGrid w:val="0"/>
              <w:spacing w:line="440" w:lineRule="exact"/>
              <w:rPr>
                <w:rFonts w:hint="eastAsia" w:hAnsi="宋体" w:cs="宋体"/>
                <w:bCs/>
                <w:color w:val="auto"/>
                <w:highlight w:val="none"/>
              </w:rPr>
            </w:pPr>
            <w:r>
              <w:rPr>
                <w:rFonts w:hAnsi="宋体" w:cs="宋体"/>
                <w:color w:val="auto"/>
                <w:highlight w:val="none"/>
              </w:rPr>
              <w:t>3</w:t>
            </w:r>
            <w:r>
              <w:rPr>
                <w:rFonts w:hint="eastAsia" w:hAnsi="宋体" w:cs="宋体"/>
                <w:color w:val="auto"/>
                <w:highlight w:val="none"/>
              </w:rPr>
              <w:t>.供应商为其他组织或者自然人时，本采购文件规定的法定代表人指负责人或者自然人。本采购文件所称负责人是指参加报价的其他组织营业执照上的负责人，本采购文件所称自然人指参与报</w:t>
            </w:r>
            <w:r>
              <w:rPr>
                <w:rFonts w:hint="eastAsia" w:hAnsi="宋体" w:cs="宋体"/>
                <w:color w:val="auto"/>
                <w:highlight w:val="none"/>
                <w:lang w:eastAsia="zh-CN"/>
              </w:rPr>
              <w:t>价</w:t>
            </w:r>
            <w:r>
              <w:rPr>
                <w:rFonts w:hint="eastAsia" w:hAnsi="宋体" w:cs="宋体"/>
                <w:color w:val="auto"/>
                <w:highlight w:val="none"/>
              </w:rPr>
              <w:t>的自然人本人。</w:t>
            </w:r>
          </w:p>
          <w:p w14:paraId="7D485E75">
            <w:pPr>
              <w:pStyle w:val="10"/>
              <w:snapToGrid w:val="0"/>
              <w:spacing w:line="440" w:lineRule="exact"/>
              <w:rPr>
                <w:rFonts w:hAnsi="宋体" w:cs="宋体"/>
                <w:color w:val="auto"/>
                <w:highlight w:val="none"/>
              </w:rPr>
            </w:pPr>
            <w:r>
              <w:rPr>
                <w:rFonts w:hAnsi="宋体" w:cs="宋体"/>
                <w:color w:val="auto"/>
                <w:highlight w:val="none"/>
              </w:rPr>
              <w:t>4.</w:t>
            </w:r>
            <w:r>
              <w:rPr>
                <w:rFonts w:hint="eastAsia" w:hAnsi="宋体" w:cs="宋体"/>
                <w:color w:val="auto"/>
                <w:highlight w:val="none"/>
              </w:rPr>
              <w:t>本采购文件中描述供应商的“签字”是指供应商的法定代表人（负责人）或者委托代理人亲自在文件规定签署处亲笔写上个人的名字的行为，私章、签字章、印鉴、影印等其他形式均不能代替亲笔签字。</w:t>
            </w:r>
          </w:p>
          <w:p w14:paraId="2408067D">
            <w:pPr>
              <w:pStyle w:val="10"/>
              <w:snapToGrid w:val="0"/>
              <w:spacing w:line="440" w:lineRule="exact"/>
              <w:rPr>
                <w:rFonts w:hint="eastAsia" w:hAnsi="宋体" w:cs="宋体"/>
                <w:color w:val="auto"/>
                <w:highlight w:val="none"/>
              </w:rPr>
            </w:pPr>
            <w:r>
              <w:rPr>
                <w:rFonts w:hint="eastAsia" w:hAnsi="宋体" w:cs="宋体"/>
                <w:color w:val="auto"/>
                <w:highlight w:val="none"/>
              </w:rPr>
              <w:t>5</w:t>
            </w:r>
            <w:r>
              <w:rPr>
                <w:rFonts w:hAnsi="宋体" w:cs="宋体"/>
                <w:color w:val="auto"/>
                <w:highlight w:val="none"/>
              </w:rPr>
              <w:t>.</w:t>
            </w:r>
            <w:r>
              <w:rPr>
                <w:rFonts w:hint="eastAsia" w:hAnsi="宋体" w:cs="宋体"/>
                <w:color w:val="auto"/>
                <w:highlight w:val="none"/>
              </w:rPr>
              <w:t>本磋商文件所称的“以上”“以下”“以内”“届满”，包括本数；所称的“不满”“超过”“以外”，不包括本数。</w:t>
            </w:r>
          </w:p>
        </w:tc>
      </w:tr>
      <w:tr w14:paraId="77BF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726" w:type="dxa"/>
            <w:noWrap w:val="0"/>
            <w:vAlign w:val="center"/>
          </w:tcPr>
          <w:p w14:paraId="36E479C2">
            <w:pPr>
              <w:pStyle w:val="10"/>
              <w:spacing w:line="420" w:lineRule="exact"/>
              <w:jc w:val="center"/>
              <w:rPr>
                <w:rFonts w:hint="eastAsia" w:hAnsi="宋体" w:eastAsia="宋体"/>
                <w:color w:val="auto"/>
                <w:szCs w:val="21"/>
                <w:highlight w:val="none"/>
                <w:lang w:val="en-US" w:eastAsia="zh-CN"/>
              </w:rPr>
            </w:pPr>
            <w:r>
              <w:rPr>
                <w:rFonts w:hint="eastAsia" w:hAnsi="宋体"/>
                <w:color w:val="auto"/>
                <w:szCs w:val="21"/>
                <w:highlight w:val="none"/>
              </w:rPr>
              <w:t>1</w:t>
            </w:r>
            <w:r>
              <w:rPr>
                <w:rFonts w:hint="eastAsia" w:hAnsi="宋体"/>
                <w:color w:val="auto"/>
                <w:szCs w:val="21"/>
                <w:highlight w:val="none"/>
                <w:lang w:val="en-US" w:eastAsia="zh-CN"/>
              </w:rPr>
              <w:t>2</w:t>
            </w:r>
          </w:p>
        </w:tc>
        <w:tc>
          <w:tcPr>
            <w:tcW w:w="8938" w:type="dxa"/>
            <w:noWrap w:val="0"/>
            <w:vAlign w:val="center"/>
          </w:tcPr>
          <w:p w14:paraId="24F09EC3">
            <w:pPr>
              <w:pStyle w:val="8"/>
              <w:spacing w:line="420" w:lineRule="exact"/>
              <w:ind w:left="0" w:leftChars="0" w:firstLine="0" w:firstLineChars="0"/>
              <w:rPr>
                <w:rFonts w:hint="eastAsia" w:hAnsi="宋体"/>
                <w:color w:val="auto"/>
                <w:sz w:val="21"/>
                <w:szCs w:val="21"/>
                <w:highlight w:val="none"/>
              </w:rPr>
            </w:pPr>
            <w:r>
              <w:rPr>
                <w:rFonts w:hint="eastAsia" w:hAnsi="宋体" w:cs="Courier New"/>
                <w:color w:val="auto"/>
                <w:spacing w:val="2"/>
                <w:sz w:val="21"/>
                <w:szCs w:val="21"/>
                <w:highlight w:val="none"/>
              </w:rPr>
              <w:t>本项目的政府采购预</w:t>
            </w:r>
            <w:r>
              <w:rPr>
                <w:rFonts w:hint="eastAsia" w:ascii="宋体" w:hAnsi="宋体" w:eastAsia="宋体" w:cs="Courier New"/>
                <w:color w:val="auto"/>
                <w:spacing w:val="2"/>
                <w:sz w:val="21"/>
                <w:szCs w:val="21"/>
                <w:highlight w:val="none"/>
              </w:rPr>
              <w:t>算价为：</w:t>
            </w:r>
            <w:r>
              <w:rPr>
                <w:rFonts w:hint="eastAsia" w:ascii="宋体" w:hAnsi="宋体" w:eastAsia="宋体" w:cs="Courier New"/>
                <w:color w:val="auto"/>
                <w:spacing w:val="2"/>
                <w:sz w:val="21"/>
                <w:szCs w:val="21"/>
                <w:highlight w:val="none"/>
                <w:lang w:eastAsia="zh-CN"/>
              </w:rPr>
              <w:t>人民币</w:t>
            </w:r>
            <w:r>
              <w:rPr>
                <w:rFonts w:hint="eastAsia" w:hAnsi="宋体" w:cs="Courier New"/>
                <w:color w:val="auto"/>
                <w:spacing w:val="2"/>
                <w:sz w:val="21"/>
                <w:szCs w:val="21"/>
                <w:highlight w:val="none"/>
                <w:lang w:eastAsia="zh-CN"/>
              </w:rPr>
              <w:t>壹佰柒拾伍万</w:t>
            </w:r>
            <w:r>
              <w:rPr>
                <w:rFonts w:hint="eastAsia" w:ascii="宋体" w:hAnsi="宋体" w:eastAsia="宋体" w:cs="Courier New"/>
                <w:color w:val="auto"/>
                <w:spacing w:val="2"/>
                <w:sz w:val="21"/>
                <w:szCs w:val="21"/>
                <w:highlight w:val="none"/>
                <w:lang w:eastAsia="zh-CN"/>
              </w:rPr>
              <w:t>元整</w:t>
            </w:r>
            <w:r>
              <w:rPr>
                <w:rFonts w:hint="eastAsia" w:hAnsi="宋体"/>
                <w:b w:val="0"/>
                <w:bCs w:val="0"/>
                <w:color w:val="auto"/>
                <w:sz w:val="21"/>
                <w:szCs w:val="21"/>
                <w:highlight w:val="none"/>
              </w:rPr>
              <w:t>（</w:t>
            </w:r>
            <w:r>
              <w:rPr>
                <w:rFonts w:hint="eastAsia" w:asciiTheme="majorEastAsia" w:hAnsiTheme="majorEastAsia" w:eastAsiaTheme="majorEastAsia" w:cstheme="majorEastAsia"/>
                <w:color w:val="auto"/>
                <w:highlight w:val="none"/>
              </w:rPr>
              <w:t>¥</w:t>
            </w:r>
            <w:r>
              <w:rPr>
                <w:rFonts w:hint="eastAsia" w:hAnsi="宋体"/>
                <w:b w:val="0"/>
                <w:bCs w:val="0"/>
                <w:color w:val="auto"/>
                <w:sz w:val="21"/>
                <w:szCs w:val="21"/>
                <w:highlight w:val="none"/>
                <w:lang w:val="en-US" w:eastAsia="zh-CN"/>
              </w:rPr>
              <w:t>1750000</w:t>
            </w:r>
            <w:r>
              <w:rPr>
                <w:rFonts w:hint="eastAsia" w:hAnsi="宋体"/>
                <w:b w:val="0"/>
                <w:bCs w:val="0"/>
                <w:color w:val="auto"/>
                <w:sz w:val="21"/>
                <w:szCs w:val="21"/>
                <w:highlight w:val="none"/>
                <w:lang w:eastAsia="zh-CN"/>
              </w:rPr>
              <w:t>.00</w:t>
            </w:r>
            <w:r>
              <w:rPr>
                <w:rFonts w:hint="eastAsia" w:hAnsi="宋体"/>
                <w:b w:val="0"/>
                <w:bCs w:val="0"/>
                <w:color w:val="auto"/>
                <w:sz w:val="21"/>
                <w:szCs w:val="21"/>
                <w:highlight w:val="none"/>
              </w:rPr>
              <w:t>）</w:t>
            </w:r>
            <w:r>
              <w:rPr>
                <w:rFonts w:hint="eastAsia" w:hAnsi="宋体" w:cs="Courier New"/>
                <w:color w:val="auto"/>
                <w:spacing w:val="2"/>
                <w:sz w:val="21"/>
                <w:szCs w:val="21"/>
                <w:highlight w:val="none"/>
              </w:rPr>
              <w:t>，超出政府采购预算价的报价文件将被拒绝，作无效报价处理。</w:t>
            </w:r>
          </w:p>
        </w:tc>
      </w:tr>
      <w:tr w14:paraId="5DBE1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26" w:type="dxa"/>
            <w:noWrap w:val="0"/>
            <w:vAlign w:val="center"/>
          </w:tcPr>
          <w:p w14:paraId="19EB8BE6">
            <w:pPr>
              <w:pStyle w:val="10"/>
              <w:spacing w:line="420" w:lineRule="exact"/>
              <w:jc w:val="center"/>
              <w:rPr>
                <w:rFonts w:hint="default" w:hAnsi="宋体" w:eastAsia="宋体"/>
                <w:color w:val="auto"/>
                <w:szCs w:val="21"/>
                <w:highlight w:val="none"/>
                <w:lang w:val="en-US" w:eastAsia="zh-CN"/>
              </w:rPr>
            </w:pPr>
            <w:bookmarkStart w:id="55" w:name="_Toc467138616"/>
            <w:r>
              <w:rPr>
                <w:rFonts w:hint="eastAsia" w:hAnsi="宋体"/>
                <w:color w:val="auto"/>
                <w:szCs w:val="21"/>
                <w:highlight w:val="none"/>
                <w:lang w:val="en-US" w:eastAsia="zh-CN"/>
              </w:rPr>
              <w:t>13</w:t>
            </w:r>
          </w:p>
        </w:tc>
        <w:tc>
          <w:tcPr>
            <w:tcW w:w="8938" w:type="dxa"/>
            <w:noWrap w:val="0"/>
            <w:vAlign w:val="center"/>
          </w:tcPr>
          <w:p w14:paraId="211CE363">
            <w:pPr>
              <w:snapToGrid w:val="0"/>
              <w:spacing w:line="320" w:lineRule="exact"/>
              <w:rPr>
                <w:rFonts w:hint="eastAsia" w:ascii="宋体" w:hAnsi="宋体" w:cs="宋体"/>
                <w:b/>
                <w:bCs/>
                <w:color w:val="auto"/>
                <w:szCs w:val="21"/>
                <w:highlight w:val="none"/>
              </w:rPr>
            </w:pPr>
            <w:r>
              <w:rPr>
                <w:rFonts w:hint="eastAsia" w:ascii="宋体" w:hAnsi="宋体" w:cs="宋体"/>
                <w:b/>
                <w:bCs/>
                <w:color w:val="auto"/>
                <w:szCs w:val="21"/>
                <w:highlight w:val="none"/>
              </w:rPr>
              <w:t>商务条款评审中允许负偏离的条款数为</w:t>
            </w:r>
            <w:r>
              <w:rPr>
                <w:rFonts w:hint="eastAsia" w:ascii="宋体" w:hAnsi="宋体" w:cs="宋体"/>
                <w:b/>
                <w:bCs/>
                <w:color w:val="auto"/>
                <w:szCs w:val="21"/>
                <w:highlight w:val="none"/>
                <w:u w:val="single"/>
              </w:rPr>
              <w:t xml:space="preserve"> 0 </w:t>
            </w:r>
            <w:r>
              <w:rPr>
                <w:rFonts w:hint="eastAsia" w:ascii="宋体" w:hAnsi="宋体" w:cs="宋体"/>
                <w:b/>
                <w:bCs/>
                <w:color w:val="auto"/>
                <w:szCs w:val="21"/>
                <w:highlight w:val="none"/>
              </w:rPr>
              <w:t>项。</w:t>
            </w:r>
          </w:p>
          <w:p w14:paraId="20174558">
            <w:pPr>
              <w:snapToGrid w:val="0"/>
              <w:spacing w:line="320" w:lineRule="exact"/>
              <w:rPr>
                <w:rFonts w:hint="eastAsia" w:hAnsi="宋体" w:cs="Courier New"/>
                <w:color w:val="auto"/>
                <w:spacing w:val="2"/>
                <w:sz w:val="21"/>
                <w:szCs w:val="21"/>
                <w:highlight w:val="none"/>
              </w:rPr>
            </w:pPr>
            <w:r>
              <w:rPr>
                <w:rFonts w:hint="eastAsia" w:ascii="宋体" w:hAnsi="宋体" w:eastAsia="宋体" w:cs="宋体"/>
                <w:b/>
                <w:bCs/>
                <w:color w:val="auto"/>
                <w:szCs w:val="21"/>
                <w:highlight w:val="none"/>
              </w:rPr>
              <w:t>技术需求评审中允许负偏离的条款数为</w:t>
            </w:r>
            <w:r>
              <w:rPr>
                <w:rFonts w:hint="eastAsia" w:ascii="宋体" w:hAnsi="宋体" w:eastAsia="宋体" w:cs="宋体"/>
                <w:b/>
                <w:bCs/>
                <w:color w:val="auto"/>
                <w:szCs w:val="21"/>
                <w:highlight w:val="none"/>
                <w:u w:val="single"/>
              </w:rPr>
              <w:t xml:space="preserve"> 0 </w:t>
            </w:r>
            <w:r>
              <w:rPr>
                <w:rFonts w:hint="eastAsia" w:ascii="宋体" w:hAnsi="宋体" w:eastAsia="宋体" w:cs="宋体"/>
                <w:b/>
                <w:bCs/>
                <w:color w:val="auto"/>
                <w:szCs w:val="21"/>
                <w:highlight w:val="none"/>
              </w:rPr>
              <w:t>项。</w:t>
            </w:r>
          </w:p>
        </w:tc>
      </w:tr>
    </w:tbl>
    <w:p w14:paraId="5A1B9DBE">
      <w:pPr>
        <w:rPr>
          <w:color w:val="auto"/>
          <w:highlight w:val="none"/>
        </w:rPr>
      </w:pPr>
    </w:p>
    <w:p w14:paraId="2F91FF78">
      <w:pPr>
        <w:pStyle w:val="3"/>
        <w:rPr>
          <w:rFonts w:hint="eastAsia"/>
          <w:color w:val="auto"/>
          <w:highlight w:val="none"/>
        </w:rPr>
      </w:pPr>
      <w:r>
        <w:rPr>
          <w:color w:val="auto"/>
          <w:highlight w:val="none"/>
        </w:rPr>
        <w:br w:type="page"/>
      </w:r>
      <w:bookmarkEnd w:id="55"/>
      <w:bookmarkStart w:id="56" w:name="_Toc467138617"/>
      <w:r>
        <w:rPr>
          <w:rFonts w:hint="eastAsia"/>
          <w:color w:val="auto"/>
          <w:highlight w:val="none"/>
        </w:rPr>
        <w:t>一、总  则</w:t>
      </w:r>
      <w:bookmarkEnd w:id="56"/>
    </w:p>
    <w:p w14:paraId="1D95AEEF">
      <w:pPr>
        <w:pStyle w:val="10"/>
        <w:spacing w:line="500" w:lineRule="exact"/>
        <w:rPr>
          <w:rFonts w:hint="eastAsia" w:hAnsi="宋体"/>
          <w:b/>
          <w:color w:val="auto"/>
          <w:highlight w:val="none"/>
          <w:u w:val="single"/>
        </w:rPr>
      </w:pPr>
      <w:r>
        <w:rPr>
          <w:rFonts w:hint="eastAsia" w:hAnsi="宋体"/>
          <w:b/>
          <w:color w:val="auto"/>
          <w:highlight w:val="none"/>
        </w:rPr>
        <w:t xml:space="preserve">1.项目名称及项目编号   </w:t>
      </w:r>
    </w:p>
    <w:p w14:paraId="003D88D7">
      <w:pPr>
        <w:pStyle w:val="10"/>
        <w:spacing w:line="500" w:lineRule="exact"/>
        <w:ind w:firstLine="420"/>
        <w:rPr>
          <w:rFonts w:hAnsi="宋体"/>
          <w:color w:val="auto"/>
          <w:highlight w:val="none"/>
        </w:rPr>
      </w:pPr>
      <w:r>
        <w:rPr>
          <w:rFonts w:hint="eastAsia" w:hAnsi="宋体"/>
          <w:color w:val="auto"/>
          <w:highlight w:val="none"/>
        </w:rPr>
        <w:t>1.1项目名称及项目编号详见本须知前附表第1项。</w:t>
      </w:r>
    </w:p>
    <w:p w14:paraId="7433BB62">
      <w:pPr>
        <w:pStyle w:val="10"/>
        <w:spacing w:line="500" w:lineRule="exact"/>
        <w:rPr>
          <w:rFonts w:hint="eastAsia" w:hAnsi="宋体"/>
          <w:b/>
          <w:color w:val="auto"/>
          <w:highlight w:val="none"/>
        </w:rPr>
      </w:pPr>
      <w:r>
        <w:rPr>
          <w:rFonts w:hint="eastAsia" w:hAnsi="宋体"/>
          <w:b/>
          <w:color w:val="auto"/>
          <w:highlight w:val="none"/>
        </w:rPr>
        <w:t>2.供应商资格</w:t>
      </w:r>
    </w:p>
    <w:p w14:paraId="696BD767">
      <w:pPr>
        <w:pStyle w:val="10"/>
        <w:spacing w:line="500" w:lineRule="exact"/>
        <w:ind w:firstLine="420"/>
        <w:rPr>
          <w:rFonts w:hint="eastAsia" w:hAnsi="宋体"/>
          <w:color w:val="auto"/>
          <w:highlight w:val="none"/>
        </w:rPr>
      </w:pPr>
      <w:r>
        <w:rPr>
          <w:rFonts w:hint="eastAsia" w:hAnsi="宋体"/>
          <w:color w:val="auto"/>
          <w:highlight w:val="none"/>
        </w:rPr>
        <w:t>2.1参加本项目的供应商必须满足本须知前附表第2项要求的资格；</w:t>
      </w:r>
    </w:p>
    <w:p w14:paraId="60D02B2D">
      <w:pPr>
        <w:pStyle w:val="10"/>
        <w:spacing w:line="500" w:lineRule="exact"/>
        <w:ind w:firstLine="420"/>
        <w:rPr>
          <w:rFonts w:hint="eastAsia" w:hAnsi="宋体"/>
          <w:color w:val="auto"/>
          <w:highlight w:val="none"/>
        </w:rPr>
      </w:pPr>
      <w:r>
        <w:rPr>
          <w:rFonts w:hint="eastAsia" w:hAnsi="宋体"/>
          <w:color w:val="auto"/>
          <w:highlight w:val="none"/>
        </w:rPr>
        <w:t>2.2符合供应商资格的供应商应承担报价及履约中应承担的全部责任与义务。</w:t>
      </w:r>
    </w:p>
    <w:p w14:paraId="25EF441B">
      <w:pPr>
        <w:pStyle w:val="10"/>
        <w:spacing w:line="500" w:lineRule="exact"/>
        <w:rPr>
          <w:rFonts w:hint="eastAsia" w:hAnsi="宋体"/>
          <w:b/>
          <w:color w:val="auto"/>
          <w:highlight w:val="none"/>
        </w:rPr>
      </w:pPr>
      <w:r>
        <w:rPr>
          <w:rFonts w:hint="eastAsia" w:hAnsi="宋体"/>
          <w:b/>
          <w:color w:val="auto"/>
          <w:highlight w:val="none"/>
        </w:rPr>
        <w:t>3.报价费用</w:t>
      </w:r>
    </w:p>
    <w:p w14:paraId="6C93C0D7">
      <w:pPr>
        <w:pStyle w:val="10"/>
        <w:spacing w:line="500" w:lineRule="exact"/>
        <w:ind w:firstLine="420"/>
        <w:rPr>
          <w:rFonts w:hint="eastAsia" w:hAnsi="宋体"/>
          <w:color w:val="auto"/>
          <w:highlight w:val="none"/>
        </w:rPr>
      </w:pPr>
      <w:r>
        <w:rPr>
          <w:rFonts w:hint="eastAsia" w:hAnsi="宋体"/>
          <w:color w:val="auto"/>
          <w:highlight w:val="none"/>
        </w:rPr>
        <w:t>3.1供应商应自行承担所有与本次报价有关的全部费用。</w:t>
      </w:r>
    </w:p>
    <w:p w14:paraId="5261E4C0">
      <w:pPr>
        <w:pStyle w:val="3"/>
        <w:rPr>
          <w:rFonts w:hint="eastAsia"/>
          <w:color w:val="auto"/>
          <w:highlight w:val="none"/>
        </w:rPr>
      </w:pPr>
      <w:bookmarkStart w:id="57" w:name="_Toc467138618"/>
      <w:r>
        <w:rPr>
          <w:rFonts w:hint="eastAsia"/>
          <w:color w:val="auto"/>
          <w:highlight w:val="none"/>
        </w:rPr>
        <w:t>二、单一来源采购文件（以下简称“采购文件”）</w:t>
      </w:r>
      <w:bookmarkEnd w:id="57"/>
    </w:p>
    <w:p w14:paraId="59677882">
      <w:pPr>
        <w:pStyle w:val="10"/>
        <w:spacing w:line="500" w:lineRule="exact"/>
        <w:rPr>
          <w:rFonts w:hint="eastAsia" w:hAnsi="宋体"/>
          <w:b/>
          <w:color w:val="auto"/>
          <w:highlight w:val="none"/>
        </w:rPr>
      </w:pPr>
      <w:r>
        <w:rPr>
          <w:rFonts w:hint="eastAsia" w:hAnsi="宋体"/>
          <w:b/>
          <w:color w:val="auto"/>
          <w:highlight w:val="none"/>
        </w:rPr>
        <w:t>4.</w:t>
      </w:r>
      <w:r>
        <w:rPr>
          <w:rFonts w:hint="eastAsia" w:hAnsi="宋体"/>
          <w:color w:val="auto"/>
          <w:highlight w:val="none"/>
        </w:rPr>
        <w:t xml:space="preserve"> </w:t>
      </w:r>
      <w:r>
        <w:rPr>
          <w:rFonts w:hint="eastAsia" w:hAnsi="宋体"/>
          <w:b/>
          <w:bCs/>
          <w:color w:val="auto"/>
          <w:highlight w:val="none"/>
        </w:rPr>
        <w:t>单一来源采购文件的构成</w:t>
      </w:r>
    </w:p>
    <w:p w14:paraId="420774B6">
      <w:pPr>
        <w:pStyle w:val="10"/>
        <w:spacing w:line="500" w:lineRule="exact"/>
        <w:ind w:firstLine="420"/>
        <w:rPr>
          <w:rFonts w:hint="eastAsia" w:hAnsi="宋体"/>
          <w:color w:val="auto"/>
          <w:highlight w:val="none"/>
        </w:rPr>
      </w:pPr>
      <w:r>
        <w:rPr>
          <w:rFonts w:hint="eastAsia" w:hAnsi="宋体"/>
          <w:color w:val="auto"/>
          <w:highlight w:val="none"/>
        </w:rPr>
        <w:t>4.1单一来源采购文件包括：</w:t>
      </w:r>
    </w:p>
    <w:p w14:paraId="40F405D4">
      <w:pPr>
        <w:pStyle w:val="10"/>
        <w:spacing w:line="500" w:lineRule="exact"/>
        <w:ind w:firstLine="426"/>
        <w:rPr>
          <w:rFonts w:hint="eastAsia" w:hAnsi="宋体"/>
          <w:color w:val="auto"/>
          <w:highlight w:val="none"/>
        </w:rPr>
      </w:pPr>
      <w:r>
        <w:rPr>
          <w:rFonts w:hint="eastAsia" w:hAnsi="宋体"/>
          <w:color w:val="auto"/>
          <w:highlight w:val="none"/>
        </w:rPr>
        <w:t>⑴单一来源采购邀请函；</w:t>
      </w:r>
    </w:p>
    <w:p w14:paraId="2ACA1B45">
      <w:pPr>
        <w:pStyle w:val="10"/>
        <w:spacing w:line="500" w:lineRule="exact"/>
        <w:ind w:firstLine="420"/>
        <w:rPr>
          <w:rFonts w:hint="eastAsia" w:hAnsi="宋体"/>
          <w:color w:val="auto"/>
          <w:highlight w:val="none"/>
        </w:rPr>
      </w:pPr>
      <w:r>
        <w:rPr>
          <w:rFonts w:hint="eastAsia" w:hAnsi="宋体"/>
          <w:color w:val="auto"/>
          <w:highlight w:val="none"/>
        </w:rPr>
        <w:t>⑵供应商须知及前附表；</w:t>
      </w:r>
    </w:p>
    <w:p w14:paraId="67F32220">
      <w:pPr>
        <w:pStyle w:val="10"/>
        <w:spacing w:line="500" w:lineRule="exact"/>
        <w:ind w:firstLine="420"/>
        <w:rPr>
          <w:rFonts w:hint="eastAsia" w:hAnsi="宋体"/>
          <w:color w:val="auto"/>
          <w:highlight w:val="none"/>
        </w:rPr>
      </w:pPr>
      <w:r>
        <w:rPr>
          <w:rFonts w:hint="eastAsia" w:hAnsi="宋体"/>
          <w:color w:val="auto"/>
          <w:highlight w:val="none"/>
        </w:rPr>
        <w:t>⑶服务项目需求；</w:t>
      </w:r>
    </w:p>
    <w:p w14:paraId="692404C7">
      <w:pPr>
        <w:pStyle w:val="10"/>
        <w:spacing w:line="500" w:lineRule="exact"/>
        <w:ind w:firstLine="420"/>
        <w:rPr>
          <w:rFonts w:hint="eastAsia" w:hAnsi="宋体"/>
          <w:color w:val="auto"/>
          <w:highlight w:val="none"/>
        </w:rPr>
      </w:pPr>
      <w:r>
        <w:rPr>
          <w:rFonts w:hint="eastAsia" w:hAnsi="宋体"/>
          <w:color w:val="auto"/>
          <w:highlight w:val="none"/>
        </w:rPr>
        <w:t>⑷合同基本条款及合同（格式）；</w:t>
      </w:r>
    </w:p>
    <w:p w14:paraId="17DC749A">
      <w:pPr>
        <w:pStyle w:val="10"/>
        <w:spacing w:line="500" w:lineRule="exact"/>
        <w:ind w:firstLine="420"/>
        <w:rPr>
          <w:rFonts w:hint="eastAsia" w:hAnsi="宋体"/>
          <w:color w:val="auto"/>
          <w:highlight w:val="none"/>
        </w:rPr>
      </w:pPr>
      <w:r>
        <w:rPr>
          <w:rFonts w:hint="eastAsia" w:hAnsi="宋体"/>
          <w:color w:val="auto"/>
          <w:highlight w:val="none"/>
        </w:rPr>
        <w:t>⑸报价文件（格式）；</w:t>
      </w:r>
    </w:p>
    <w:p w14:paraId="2A010012">
      <w:pPr>
        <w:pStyle w:val="10"/>
        <w:spacing w:line="500" w:lineRule="exact"/>
        <w:rPr>
          <w:rFonts w:hint="eastAsia" w:hAnsi="宋体"/>
          <w:color w:val="auto"/>
          <w:highlight w:val="none"/>
        </w:rPr>
      </w:pPr>
      <w:r>
        <w:rPr>
          <w:rFonts w:hint="eastAsia" w:hAnsi="宋体"/>
          <w:b/>
          <w:color w:val="auto"/>
          <w:highlight w:val="none"/>
        </w:rPr>
        <w:t>5.</w:t>
      </w:r>
      <w:r>
        <w:rPr>
          <w:rFonts w:hint="eastAsia" w:hAnsi="宋体"/>
          <w:b/>
          <w:bCs/>
          <w:color w:val="auto"/>
          <w:highlight w:val="none"/>
        </w:rPr>
        <w:t xml:space="preserve"> 采购文件</w:t>
      </w:r>
      <w:r>
        <w:rPr>
          <w:rFonts w:hint="eastAsia" w:hAnsi="宋体"/>
          <w:b/>
          <w:color w:val="auto"/>
          <w:highlight w:val="none"/>
        </w:rPr>
        <w:t>的澄清和修改</w:t>
      </w:r>
    </w:p>
    <w:p w14:paraId="63DE8F45">
      <w:pPr>
        <w:pStyle w:val="10"/>
        <w:snapToGrid w:val="0"/>
        <w:spacing w:line="500" w:lineRule="exact"/>
        <w:ind w:firstLine="420" w:firstLineChars="200"/>
        <w:rPr>
          <w:rFonts w:hint="eastAsia" w:hAnsi="宋体"/>
          <w:bCs/>
          <w:color w:val="auto"/>
          <w:highlight w:val="none"/>
        </w:rPr>
      </w:pPr>
      <w:r>
        <w:rPr>
          <w:rFonts w:hint="eastAsia" w:hAnsi="宋体"/>
          <w:bCs/>
          <w:color w:val="auto"/>
          <w:highlight w:val="none"/>
        </w:rPr>
        <w:t>5.1供应商要认真审核采购文件中的所有内容，如发现其中有错误或要求不合理的，供应商必须在规定的时间前要求澄清。如供应商未在规定时间内提出质疑或疑问的，视同供应商理解并接受采购文件所有内容，并自己承担由此引起的报价损失。</w:t>
      </w:r>
    </w:p>
    <w:p w14:paraId="46EC3B58">
      <w:pPr>
        <w:pStyle w:val="10"/>
        <w:spacing w:line="500" w:lineRule="exact"/>
        <w:ind w:firstLine="422"/>
        <w:rPr>
          <w:rFonts w:hAnsi="宋体"/>
          <w:bCs/>
          <w:color w:val="auto"/>
          <w:highlight w:val="none"/>
        </w:rPr>
      </w:pPr>
      <w:r>
        <w:rPr>
          <w:rFonts w:hint="eastAsia" w:hAnsi="宋体"/>
          <w:bCs/>
          <w:color w:val="auto"/>
          <w:highlight w:val="none"/>
        </w:rPr>
        <w:t>5.2任何要求澄清采购文件的供应商，均应在报价截止日期的</w:t>
      </w:r>
      <w:r>
        <w:rPr>
          <w:rFonts w:hint="eastAsia" w:hAnsi="宋体"/>
          <w:bCs/>
          <w:color w:val="auto"/>
          <w:highlight w:val="none"/>
          <w:u w:val="single"/>
        </w:rPr>
        <w:t>3</w:t>
      </w:r>
      <w:r>
        <w:rPr>
          <w:rFonts w:hint="eastAsia" w:hAnsi="宋体"/>
          <w:bCs/>
          <w:color w:val="auto"/>
          <w:highlight w:val="none"/>
        </w:rPr>
        <w:t>天前以传真、电报等书面形式通知采购代理机构，同时认定其他澄清方式为无效。采购代理机构将以书面形式予以答复，并以书面形式通知所有获取了采购文件的供应商。</w:t>
      </w:r>
    </w:p>
    <w:p w14:paraId="61032738">
      <w:pPr>
        <w:pStyle w:val="10"/>
        <w:spacing w:line="500" w:lineRule="exact"/>
        <w:ind w:firstLine="420"/>
        <w:rPr>
          <w:rFonts w:hint="eastAsia" w:hAnsi="宋体"/>
          <w:bCs/>
          <w:color w:val="auto"/>
          <w:highlight w:val="none"/>
        </w:rPr>
      </w:pPr>
      <w:r>
        <w:rPr>
          <w:rFonts w:hint="eastAsia" w:hAnsi="宋体"/>
          <w:bCs/>
          <w:color w:val="auto"/>
          <w:highlight w:val="none"/>
        </w:rPr>
        <w:t>5.3提交报价文件截止之日前，采购人、采购代理机构可以对已发出的采购文件进行必要的澄清或者修改，澄清或者修改的内容作为</w:t>
      </w:r>
      <w:r>
        <w:rPr>
          <w:rFonts w:hint="eastAsia" w:hAnsi="宋体"/>
          <w:color w:val="auto"/>
          <w:highlight w:val="none"/>
        </w:rPr>
        <w:t>采购</w:t>
      </w:r>
      <w:r>
        <w:rPr>
          <w:rFonts w:hint="eastAsia" w:hAnsi="宋体"/>
          <w:bCs/>
          <w:color w:val="auto"/>
          <w:highlight w:val="none"/>
        </w:rPr>
        <w:t>文件的组成部分。澄清或者修改的内容可能影响报价文件编制的，采购人、采购代理机构应当在提交报价文件截止之日3个工作日前，以书面形式通知所有接收采购文件的供应商，应当顺延提交报价文件截止之日。</w:t>
      </w:r>
    </w:p>
    <w:p w14:paraId="0E489320">
      <w:pPr>
        <w:pStyle w:val="10"/>
        <w:spacing w:line="500" w:lineRule="exact"/>
        <w:ind w:firstLine="420"/>
        <w:rPr>
          <w:rFonts w:hint="eastAsia" w:hAnsi="宋体"/>
          <w:b/>
          <w:bCs/>
          <w:color w:val="auto"/>
          <w:highlight w:val="none"/>
        </w:rPr>
      </w:pPr>
      <w:r>
        <w:rPr>
          <w:rFonts w:hint="eastAsia" w:hAnsi="宋体"/>
          <w:bCs/>
          <w:color w:val="auto"/>
          <w:highlight w:val="none"/>
        </w:rPr>
        <w:t>5.4请供应商在接到采购代理机构的电话通知后到</w:t>
      </w:r>
      <w:r>
        <w:rPr>
          <w:rFonts w:hint="eastAsia" w:hAnsi="宋体"/>
          <w:color w:val="auto"/>
          <w:highlight w:val="none"/>
        </w:rPr>
        <w:t>采购代理机构处</w:t>
      </w:r>
      <w:r>
        <w:rPr>
          <w:rFonts w:hint="eastAsia" w:hAnsi="宋体"/>
          <w:bCs/>
          <w:color w:val="auto"/>
          <w:highlight w:val="none"/>
        </w:rPr>
        <w:t>领取以上澄清答复（或补充通知），或者在网上查询。该澄清或修改的内容为</w:t>
      </w:r>
      <w:r>
        <w:rPr>
          <w:rFonts w:hint="eastAsia" w:hAnsi="宋体"/>
          <w:color w:val="auto"/>
          <w:highlight w:val="none"/>
        </w:rPr>
        <w:t>采购文件</w:t>
      </w:r>
      <w:r>
        <w:rPr>
          <w:rFonts w:hint="eastAsia" w:hAnsi="宋体"/>
          <w:bCs/>
          <w:color w:val="auto"/>
          <w:highlight w:val="none"/>
        </w:rPr>
        <w:t>的组成部分，供应商在每一次收到澄清答复或补充通知后应立即以书面形式通知采购代理机构，确认已收到该澄清答复或补充通知。否则，由此造成的一切后果由供应商承担。</w:t>
      </w:r>
    </w:p>
    <w:p w14:paraId="5F1B3DC4">
      <w:pPr>
        <w:pStyle w:val="3"/>
        <w:rPr>
          <w:rFonts w:hint="eastAsia"/>
          <w:color w:val="auto"/>
          <w:highlight w:val="none"/>
        </w:rPr>
      </w:pPr>
      <w:bookmarkStart w:id="58" w:name="_Toc467138619"/>
      <w:r>
        <w:rPr>
          <w:rFonts w:hint="eastAsia"/>
          <w:color w:val="auto"/>
          <w:highlight w:val="none"/>
        </w:rPr>
        <w:t>三、报价文件的编制</w:t>
      </w:r>
      <w:bookmarkEnd w:id="58"/>
    </w:p>
    <w:p w14:paraId="187CF928">
      <w:pPr>
        <w:pStyle w:val="10"/>
        <w:spacing w:line="500" w:lineRule="exact"/>
        <w:rPr>
          <w:rFonts w:hint="eastAsia" w:hAnsi="宋体"/>
          <w:color w:val="auto"/>
          <w:highlight w:val="none"/>
        </w:rPr>
      </w:pPr>
      <w:r>
        <w:rPr>
          <w:rFonts w:hint="eastAsia" w:hAnsi="宋体"/>
          <w:b/>
          <w:color w:val="auto"/>
          <w:highlight w:val="none"/>
        </w:rPr>
        <w:t>6.报价文件编写的注意事项</w:t>
      </w:r>
    </w:p>
    <w:p w14:paraId="156F3984">
      <w:pPr>
        <w:pStyle w:val="10"/>
        <w:spacing w:line="500" w:lineRule="exact"/>
        <w:ind w:firstLine="420"/>
        <w:rPr>
          <w:rFonts w:hint="eastAsia" w:hAnsi="宋体"/>
          <w:b/>
          <w:bCs/>
          <w:color w:val="auto"/>
          <w:highlight w:val="none"/>
        </w:rPr>
      </w:pPr>
      <w:r>
        <w:rPr>
          <w:rFonts w:hint="eastAsia" w:hAnsi="宋体"/>
          <w:b/>
          <w:bCs/>
          <w:color w:val="auto"/>
          <w:highlight w:val="none"/>
        </w:rPr>
        <w:t>6.1供应商应认真阅读采购文件，按照采购文件的要求编制报价文件。如果没有按照采购文件要求提交报价文件，没有对采购文件提出的实质性要求和条件作出响应，该报价将被拒绝。</w:t>
      </w:r>
    </w:p>
    <w:p w14:paraId="341E5221">
      <w:pPr>
        <w:pStyle w:val="10"/>
        <w:spacing w:line="500" w:lineRule="exact"/>
        <w:ind w:firstLine="420"/>
        <w:rPr>
          <w:rFonts w:hint="eastAsia" w:hAnsi="宋体"/>
          <w:color w:val="auto"/>
          <w:highlight w:val="none"/>
        </w:rPr>
      </w:pPr>
      <w:r>
        <w:rPr>
          <w:rFonts w:hint="eastAsia" w:hAnsi="宋体"/>
          <w:b/>
          <w:bCs/>
          <w:color w:val="auto"/>
          <w:highlight w:val="none"/>
        </w:rPr>
        <w:t>6.2采购文件提出的实质性要求和条件是指本报价项目所涉及的价格、数量、服务及其它要求、合同主要条款等内容作出响应。</w:t>
      </w:r>
    </w:p>
    <w:p w14:paraId="1344EF71">
      <w:pPr>
        <w:pStyle w:val="10"/>
        <w:spacing w:line="500" w:lineRule="exact"/>
        <w:rPr>
          <w:rFonts w:hint="eastAsia" w:hAnsi="宋体"/>
          <w:b/>
          <w:color w:val="auto"/>
          <w:highlight w:val="none"/>
        </w:rPr>
      </w:pPr>
      <w:r>
        <w:rPr>
          <w:rFonts w:hint="eastAsia" w:hAnsi="宋体"/>
          <w:b/>
          <w:color w:val="auto"/>
          <w:highlight w:val="none"/>
        </w:rPr>
        <w:t>7.报价文件的构成</w:t>
      </w:r>
    </w:p>
    <w:p w14:paraId="5EEFA7A8">
      <w:pPr>
        <w:pStyle w:val="10"/>
        <w:spacing w:line="500" w:lineRule="exact"/>
        <w:ind w:firstLine="420"/>
        <w:rPr>
          <w:rFonts w:hint="eastAsia" w:hAnsi="宋体"/>
          <w:color w:val="auto"/>
          <w:highlight w:val="none"/>
        </w:rPr>
      </w:pPr>
      <w:r>
        <w:rPr>
          <w:rFonts w:hint="eastAsia" w:hAnsi="宋体"/>
          <w:color w:val="auto"/>
          <w:highlight w:val="none"/>
        </w:rPr>
        <w:t>7.1供应商编写的报价文件应包括下列内容（供应商应按下列顺序自编目录及页码）：</w:t>
      </w:r>
    </w:p>
    <w:p w14:paraId="678F1540">
      <w:pPr>
        <w:pStyle w:val="10"/>
        <w:spacing w:line="500" w:lineRule="exact"/>
        <w:ind w:firstLine="420"/>
        <w:rPr>
          <w:rFonts w:hAnsi="宋体"/>
          <w:color w:val="auto"/>
          <w:highlight w:val="none"/>
        </w:rPr>
      </w:pPr>
      <w:r>
        <w:rPr>
          <w:rFonts w:hint="eastAsia" w:hAnsi="宋体"/>
          <w:color w:val="auto"/>
          <w:highlight w:val="none"/>
        </w:rPr>
        <w:t>7.1.1报价文件：</w:t>
      </w:r>
    </w:p>
    <w:p w14:paraId="40FF0352">
      <w:pPr>
        <w:pStyle w:val="10"/>
        <w:spacing w:line="500" w:lineRule="exact"/>
        <w:ind w:firstLine="420" w:firstLineChars="200"/>
        <w:rPr>
          <w:rFonts w:hint="eastAsia" w:hAnsi="宋体"/>
          <w:b/>
          <w:bCs/>
          <w:color w:val="auto"/>
          <w:highlight w:val="none"/>
        </w:rPr>
      </w:pPr>
      <w:r>
        <w:rPr>
          <w:rFonts w:hint="eastAsia" w:hAnsi="宋体"/>
          <w:b w:val="0"/>
          <w:bCs w:val="0"/>
          <w:color w:val="auto"/>
          <w:highlight w:val="none"/>
        </w:rPr>
        <w:t>（1）报价函；</w:t>
      </w:r>
      <w:r>
        <w:rPr>
          <w:rFonts w:hint="eastAsia" w:hAnsi="宋体"/>
          <w:b/>
          <w:bCs/>
          <w:color w:val="auto"/>
          <w:highlight w:val="none"/>
        </w:rPr>
        <w:t>（必须提供，否则报价无效）</w:t>
      </w:r>
    </w:p>
    <w:p w14:paraId="404CA5CA">
      <w:pPr>
        <w:pStyle w:val="10"/>
        <w:spacing w:line="500" w:lineRule="exact"/>
        <w:ind w:firstLine="420" w:firstLineChars="200"/>
        <w:rPr>
          <w:rFonts w:hint="eastAsia" w:hAnsi="宋体"/>
          <w:b/>
          <w:bCs/>
          <w:color w:val="auto"/>
          <w:highlight w:val="none"/>
        </w:rPr>
      </w:pPr>
      <w:r>
        <w:rPr>
          <w:rFonts w:hint="eastAsia" w:hAnsi="宋体"/>
          <w:b w:val="0"/>
          <w:bCs w:val="0"/>
          <w:color w:val="auto"/>
          <w:highlight w:val="none"/>
        </w:rPr>
        <w:t>（2）报价表；</w:t>
      </w:r>
      <w:r>
        <w:rPr>
          <w:rFonts w:hint="eastAsia" w:hAnsi="宋体"/>
          <w:b/>
          <w:bCs/>
          <w:color w:val="auto"/>
          <w:highlight w:val="none"/>
        </w:rPr>
        <w:t>（必须提供，否则报价无效）</w:t>
      </w:r>
    </w:p>
    <w:p w14:paraId="7E8C7EAC">
      <w:pPr>
        <w:pStyle w:val="10"/>
        <w:spacing w:line="500" w:lineRule="exact"/>
        <w:ind w:firstLine="420"/>
        <w:rPr>
          <w:rFonts w:hint="eastAsia" w:hAnsi="宋体"/>
          <w:color w:val="auto"/>
          <w:highlight w:val="none"/>
        </w:rPr>
      </w:pPr>
      <w:r>
        <w:rPr>
          <w:rFonts w:hint="eastAsia" w:hAnsi="宋体"/>
          <w:color w:val="auto"/>
          <w:highlight w:val="none"/>
        </w:rPr>
        <w:t>（3）供应商资格证明文件；</w:t>
      </w:r>
    </w:p>
    <w:p w14:paraId="317B49B4">
      <w:pPr>
        <w:pStyle w:val="10"/>
        <w:spacing w:line="500" w:lineRule="exact"/>
        <w:ind w:firstLine="420"/>
        <w:rPr>
          <w:rFonts w:hint="eastAsia" w:hAnsi="宋体"/>
          <w:b/>
          <w:bCs/>
          <w:color w:val="auto"/>
          <w:highlight w:val="none"/>
        </w:rPr>
      </w:pPr>
      <w:r>
        <w:rPr>
          <w:rFonts w:hint="eastAsia" w:hAnsi="宋体"/>
          <w:color w:val="auto"/>
          <w:highlight w:val="none"/>
        </w:rPr>
        <w:t>①供应商为法人或者其他组织的提供其营业执照复印件等证明文件（如营业执照或者事业单位法人证书或者执业许可证复印件等），供应商为自然人的提供其有效身份证正反面复印件；</w:t>
      </w:r>
      <w:r>
        <w:rPr>
          <w:rFonts w:hint="eastAsia" w:hAnsi="宋体"/>
          <w:b/>
          <w:bCs/>
          <w:color w:val="auto"/>
          <w:highlight w:val="none"/>
        </w:rPr>
        <w:t>（必须提供，否则报价无效）；</w:t>
      </w:r>
    </w:p>
    <w:p w14:paraId="36233CDC">
      <w:pPr>
        <w:pStyle w:val="10"/>
        <w:spacing w:line="500" w:lineRule="exact"/>
        <w:ind w:firstLine="420"/>
        <w:rPr>
          <w:rFonts w:hint="eastAsia" w:hAnsi="宋体"/>
          <w:b/>
          <w:bCs/>
          <w:color w:val="auto"/>
          <w:highlight w:val="none"/>
        </w:rPr>
      </w:pPr>
      <w:r>
        <w:rPr>
          <w:rFonts w:hint="eastAsia" w:hAnsi="宋体"/>
          <w:color w:val="auto"/>
          <w:highlight w:val="none"/>
        </w:rPr>
        <w:t>②</w:t>
      </w:r>
      <w:r>
        <w:rPr>
          <w:rFonts w:hint="eastAsia" w:ascii="宋体" w:hAnsi="宋体" w:cs="宋体"/>
          <w:color w:val="auto"/>
          <w:szCs w:val="21"/>
          <w:highlight w:val="none"/>
        </w:rPr>
        <w:t>贵港市政府采购项目</w:t>
      </w:r>
      <w:r>
        <w:rPr>
          <w:rFonts w:hint="eastAsia" w:hAnsi="宋体" w:cs="宋体"/>
          <w:color w:val="auto"/>
          <w:szCs w:val="21"/>
          <w:highlight w:val="none"/>
          <w:lang w:eastAsia="zh-CN"/>
        </w:rPr>
        <w:t>投标</w:t>
      </w:r>
      <w:r>
        <w:rPr>
          <w:rFonts w:hint="eastAsia" w:ascii="宋体" w:hAnsi="宋体" w:cs="宋体"/>
          <w:color w:val="auto"/>
          <w:szCs w:val="21"/>
          <w:highlight w:val="none"/>
        </w:rPr>
        <w:t>资格承诺函</w:t>
      </w:r>
      <w:r>
        <w:rPr>
          <w:rFonts w:hint="eastAsia" w:hAnsi="宋体"/>
          <w:color w:val="auto"/>
          <w:highlight w:val="none"/>
        </w:rPr>
        <w:t>(格式详见第五章)</w:t>
      </w:r>
      <w:r>
        <w:rPr>
          <w:rFonts w:hint="eastAsia" w:hAnsi="宋体"/>
          <w:b/>
          <w:bCs/>
          <w:color w:val="auto"/>
          <w:highlight w:val="none"/>
        </w:rPr>
        <w:t>（必须提供，否则报价无效）；</w:t>
      </w:r>
    </w:p>
    <w:p w14:paraId="01048FEA">
      <w:pPr>
        <w:pStyle w:val="10"/>
        <w:spacing w:line="500" w:lineRule="exact"/>
        <w:ind w:firstLine="420"/>
        <w:rPr>
          <w:rFonts w:hint="eastAsia" w:hAnsi="宋体"/>
          <w:b/>
          <w:bCs/>
          <w:color w:val="auto"/>
          <w:highlight w:val="none"/>
        </w:rPr>
      </w:pPr>
      <w:r>
        <w:rPr>
          <w:rFonts w:hint="eastAsia" w:hAnsi="宋体"/>
          <w:color w:val="auto"/>
          <w:highlight w:val="none"/>
        </w:rPr>
        <w:t>③供应商</w:t>
      </w:r>
      <w:r>
        <w:rPr>
          <w:rFonts w:hAnsi="宋体"/>
          <w:color w:val="auto"/>
          <w:highlight w:val="none"/>
        </w:rPr>
        <w:t>参加政府采购活动前 3 年内在经营活动中没有重大违法记录的书面声明</w:t>
      </w:r>
      <w:r>
        <w:rPr>
          <w:rFonts w:hint="eastAsia" w:hAnsi="宋体"/>
          <w:b/>
          <w:bCs/>
          <w:color w:val="auto"/>
          <w:highlight w:val="none"/>
        </w:rPr>
        <w:t>（必须提供，否则报价无效）；</w:t>
      </w:r>
    </w:p>
    <w:p w14:paraId="54E16A1D">
      <w:pPr>
        <w:pStyle w:val="10"/>
        <w:spacing w:line="500" w:lineRule="exact"/>
        <w:ind w:firstLine="420"/>
        <w:rPr>
          <w:rFonts w:hint="eastAsia" w:hAnsi="宋体" w:eastAsia="宋体"/>
          <w:color w:val="auto"/>
          <w:highlight w:val="none"/>
          <w:lang w:eastAsia="zh-CN"/>
        </w:rPr>
      </w:pPr>
      <w:r>
        <w:rPr>
          <w:rFonts w:hint="eastAsia" w:hAnsi="宋体" w:cs="宋体"/>
          <w:color w:val="auto"/>
          <w:szCs w:val="21"/>
          <w:highlight w:val="none"/>
          <w:lang w:val="en-US" w:eastAsia="zh-CN"/>
        </w:rPr>
        <w:t>④</w:t>
      </w:r>
      <w:r>
        <w:rPr>
          <w:rFonts w:hint="eastAsia" w:hAnsi="宋体" w:cs="宋体"/>
          <w:color w:val="auto"/>
          <w:szCs w:val="21"/>
          <w:highlight w:val="none"/>
        </w:rPr>
        <w:t>中小企业声明函或者残疾人福利性单位声明函或者供应商属于监狱企业的证明材料</w:t>
      </w:r>
      <w:r>
        <w:rPr>
          <w:rFonts w:hint="eastAsia" w:hAnsi="宋体"/>
          <w:color w:val="auto"/>
          <w:highlight w:val="none"/>
        </w:rPr>
        <w:t>；</w:t>
      </w:r>
      <w:r>
        <w:rPr>
          <w:rFonts w:hint="eastAsia" w:hAnsi="宋体"/>
          <w:b/>
          <w:bCs/>
          <w:color w:val="auto"/>
          <w:highlight w:val="none"/>
          <w:lang w:eastAsia="zh-CN"/>
        </w:rPr>
        <w:t>（</w:t>
      </w:r>
      <w:r>
        <w:rPr>
          <w:rFonts w:hint="eastAsia" w:hAnsi="宋体"/>
          <w:b/>
          <w:bCs/>
          <w:color w:val="auto"/>
          <w:highlight w:val="none"/>
          <w:lang w:val="en-US" w:eastAsia="zh-CN"/>
        </w:rPr>
        <w:t>如有请提供</w:t>
      </w:r>
      <w:r>
        <w:rPr>
          <w:rFonts w:hint="eastAsia" w:hAnsi="宋体"/>
          <w:b/>
          <w:bCs/>
          <w:color w:val="auto"/>
          <w:highlight w:val="none"/>
          <w:lang w:eastAsia="zh-CN"/>
        </w:rPr>
        <w:t>）</w:t>
      </w:r>
    </w:p>
    <w:p w14:paraId="20F6A3B0">
      <w:pPr>
        <w:pStyle w:val="10"/>
        <w:spacing w:line="500" w:lineRule="exact"/>
        <w:ind w:firstLine="420"/>
        <w:rPr>
          <w:rFonts w:hint="eastAsia" w:hAnsi="宋体"/>
          <w:color w:val="auto"/>
          <w:highlight w:val="none"/>
        </w:rPr>
      </w:pPr>
      <w:r>
        <w:rPr>
          <w:rFonts w:hint="eastAsia" w:hAnsi="宋体"/>
          <w:color w:val="auto"/>
          <w:highlight w:val="none"/>
          <w:lang w:val="en-US" w:eastAsia="zh-CN"/>
        </w:rPr>
        <w:t>⑤</w:t>
      </w:r>
      <w:r>
        <w:rPr>
          <w:rFonts w:hint="eastAsia" w:hAnsi="宋体"/>
          <w:color w:val="auto"/>
          <w:highlight w:val="none"/>
        </w:rPr>
        <w:t>供应商认为必要提供的声明及文件资料。</w:t>
      </w:r>
      <w:r>
        <w:rPr>
          <w:rFonts w:hint="eastAsia" w:hAnsi="宋体"/>
          <w:b/>
          <w:bCs/>
          <w:color w:val="auto"/>
          <w:highlight w:val="none"/>
          <w:lang w:eastAsia="zh-CN"/>
        </w:rPr>
        <w:t>（</w:t>
      </w:r>
      <w:r>
        <w:rPr>
          <w:rFonts w:hint="eastAsia" w:hAnsi="宋体"/>
          <w:b/>
          <w:bCs/>
          <w:color w:val="auto"/>
          <w:highlight w:val="none"/>
          <w:lang w:val="en-US" w:eastAsia="zh-CN"/>
        </w:rPr>
        <w:t>如有请提供</w:t>
      </w:r>
      <w:r>
        <w:rPr>
          <w:rFonts w:hint="eastAsia" w:hAnsi="宋体"/>
          <w:b/>
          <w:bCs/>
          <w:color w:val="auto"/>
          <w:highlight w:val="none"/>
          <w:lang w:eastAsia="zh-CN"/>
        </w:rPr>
        <w:t>）</w:t>
      </w:r>
    </w:p>
    <w:p w14:paraId="40D15CAF">
      <w:pPr>
        <w:pStyle w:val="10"/>
        <w:spacing w:line="500" w:lineRule="exact"/>
        <w:ind w:firstLine="420"/>
        <w:rPr>
          <w:rFonts w:hint="eastAsia" w:hAnsi="宋体"/>
          <w:color w:val="auto"/>
          <w:highlight w:val="none"/>
        </w:rPr>
      </w:pPr>
      <w:r>
        <w:rPr>
          <w:rFonts w:hint="eastAsia" w:hAnsi="宋体"/>
          <w:color w:val="auto"/>
          <w:highlight w:val="none"/>
        </w:rPr>
        <w:t>（4）法定代表人（负责人）</w:t>
      </w:r>
      <w:r>
        <w:rPr>
          <w:rFonts w:hint="eastAsia" w:ascii="宋体" w:hAnsi="宋体" w:eastAsia="宋体" w:cs="宋体"/>
          <w:b w:val="0"/>
          <w:bCs w:val="0"/>
          <w:color w:val="auto"/>
          <w:szCs w:val="21"/>
          <w:highlight w:val="none"/>
        </w:rPr>
        <w:t>身份证明书及法定代表人（负责人）有效身份证正反面复印件</w:t>
      </w:r>
      <w:r>
        <w:rPr>
          <w:rFonts w:hint="eastAsia" w:hAnsi="宋体"/>
          <w:b/>
          <w:bCs/>
          <w:color w:val="auto"/>
          <w:highlight w:val="none"/>
        </w:rPr>
        <w:t>（必须提供，否则报价无效）</w:t>
      </w:r>
      <w:r>
        <w:rPr>
          <w:rFonts w:hint="eastAsia" w:hAnsi="宋体"/>
          <w:color w:val="auto"/>
          <w:highlight w:val="none"/>
        </w:rPr>
        <w:t>；</w:t>
      </w:r>
    </w:p>
    <w:p w14:paraId="7C12B01F">
      <w:pPr>
        <w:pStyle w:val="10"/>
        <w:spacing w:line="500" w:lineRule="exact"/>
        <w:ind w:firstLine="420"/>
        <w:rPr>
          <w:rFonts w:hint="eastAsia" w:hAnsi="宋体"/>
          <w:color w:val="auto"/>
          <w:highlight w:val="none"/>
        </w:rPr>
      </w:pPr>
      <w:r>
        <w:rPr>
          <w:rFonts w:hint="eastAsia" w:hAnsi="宋体"/>
          <w:color w:val="auto"/>
          <w:highlight w:val="none"/>
        </w:rPr>
        <w:t>（5）法定代表人（负责人）授权委托书原件和委托代理人完整有效的正反面身份证复印件（格式详见第五章，</w:t>
      </w:r>
      <w:r>
        <w:rPr>
          <w:rFonts w:hint="eastAsia" w:hAnsi="宋体"/>
          <w:b/>
          <w:bCs/>
          <w:color w:val="auto"/>
          <w:highlight w:val="none"/>
        </w:rPr>
        <w:t>委托代理时必须提供，否则报价无效）</w:t>
      </w:r>
    </w:p>
    <w:p w14:paraId="67C23336">
      <w:pPr>
        <w:pStyle w:val="10"/>
        <w:spacing w:line="500" w:lineRule="exact"/>
        <w:ind w:firstLine="420"/>
        <w:rPr>
          <w:rFonts w:hint="eastAsia" w:hAnsi="宋体"/>
          <w:b/>
          <w:bCs/>
          <w:color w:val="auto"/>
          <w:highlight w:val="none"/>
        </w:rPr>
      </w:pPr>
      <w:r>
        <w:rPr>
          <w:rFonts w:hint="eastAsia" w:hAnsi="宋体"/>
          <w:color w:val="auto"/>
          <w:highlight w:val="none"/>
        </w:rPr>
        <w:t>（6）商务、</w:t>
      </w:r>
      <w:r>
        <w:rPr>
          <w:rFonts w:hint="eastAsia" w:hAnsi="宋体"/>
          <w:color w:val="auto"/>
          <w:highlight w:val="none"/>
          <w:lang w:eastAsia="zh-CN"/>
        </w:rPr>
        <w:t>技术</w:t>
      </w:r>
      <w:r>
        <w:rPr>
          <w:rFonts w:hint="eastAsia" w:hAnsi="宋体"/>
          <w:color w:val="auto"/>
          <w:highlight w:val="none"/>
        </w:rPr>
        <w:t>偏离情况说明表</w:t>
      </w:r>
      <w:r>
        <w:rPr>
          <w:rFonts w:hint="eastAsia" w:hAnsi="宋体"/>
          <w:b/>
          <w:bCs/>
          <w:color w:val="auto"/>
          <w:highlight w:val="none"/>
        </w:rPr>
        <w:t>（必须提供，否则报价无效）；</w:t>
      </w:r>
    </w:p>
    <w:p w14:paraId="29BD41F2">
      <w:pPr>
        <w:pStyle w:val="10"/>
        <w:spacing w:line="500" w:lineRule="exact"/>
        <w:ind w:firstLine="420"/>
        <w:rPr>
          <w:rFonts w:hAnsi="宋体"/>
          <w:color w:val="auto"/>
          <w:highlight w:val="none"/>
        </w:rPr>
      </w:pPr>
      <w:r>
        <w:rPr>
          <w:rFonts w:hint="eastAsia" w:hAnsi="宋体"/>
          <w:color w:val="auto"/>
          <w:highlight w:val="none"/>
        </w:rPr>
        <w:t>（7）服务承诺书</w:t>
      </w:r>
      <w:r>
        <w:rPr>
          <w:rFonts w:hint="eastAsia" w:hAnsi="宋体"/>
          <w:b/>
          <w:bCs/>
          <w:color w:val="auto"/>
          <w:highlight w:val="none"/>
        </w:rPr>
        <w:t>（必须提供，否则报价无效）；</w:t>
      </w:r>
    </w:p>
    <w:p w14:paraId="5FB18714">
      <w:pPr>
        <w:pStyle w:val="10"/>
        <w:spacing w:line="500" w:lineRule="exact"/>
        <w:ind w:firstLine="420" w:firstLineChars="200"/>
        <w:rPr>
          <w:rFonts w:hint="eastAsia" w:hAnsi="宋体"/>
          <w:color w:val="auto"/>
          <w:highlight w:val="none"/>
        </w:rPr>
      </w:pPr>
      <w:r>
        <w:rPr>
          <w:rFonts w:hint="eastAsia" w:hAnsi="宋体"/>
          <w:color w:val="auto"/>
          <w:highlight w:val="none"/>
        </w:rPr>
        <w:t>（</w:t>
      </w:r>
      <w:r>
        <w:rPr>
          <w:rFonts w:hint="eastAsia" w:hAnsi="宋体"/>
          <w:color w:val="auto"/>
          <w:highlight w:val="none"/>
          <w:lang w:val="en-US" w:eastAsia="zh-CN"/>
        </w:rPr>
        <w:t>8</w:t>
      </w:r>
      <w:r>
        <w:rPr>
          <w:rFonts w:hint="eastAsia" w:hAnsi="宋体"/>
          <w:color w:val="auto"/>
          <w:highlight w:val="none"/>
        </w:rPr>
        <w:t>）供应商认为有必要提供的其他资料材料。</w:t>
      </w:r>
    </w:p>
    <w:p w14:paraId="08AA995B">
      <w:pPr>
        <w:pStyle w:val="10"/>
        <w:spacing w:line="500" w:lineRule="exact"/>
        <w:ind w:firstLine="420"/>
        <w:rPr>
          <w:rFonts w:hint="eastAsia" w:hAnsi="宋体"/>
          <w:b/>
          <w:color w:val="auto"/>
          <w:highlight w:val="none"/>
        </w:rPr>
      </w:pPr>
      <w:r>
        <w:rPr>
          <w:rFonts w:hAnsi="宋体"/>
          <w:b/>
          <w:color w:val="auto"/>
          <w:highlight w:val="none"/>
        </w:rPr>
        <w:t>特别说明：</w:t>
      </w:r>
    </w:p>
    <w:p w14:paraId="5B32A606">
      <w:pPr>
        <w:pStyle w:val="10"/>
        <w:spacing w:line="500" w:lineRule="exact"/>
        <w:ind w:firstLine="420"/>
        <w:rPr>
          <w:rFonts w:hAnsi="宋体"/>
          <w:b/>
          <w:color w:val="auto"/>
          <w:highlight w:val="none"/>
        </w:rPr>
      </w:pPr>
      <w:r>
        <w:rPr>
          <w:rFonts w:hAnsi="宋体"/>
          <w:b/>
          <w:color w:val="auto"/>
          <w:highlight w:val="none"/>
        </w:rPr>
        <w:t>（1）电子报价文件中所须加盖公章部分均采用 CA 签章。若报价文件中有专门标注的某关联点，并要求供应商在电子投标系统中作出</w:t>
      </w:r>
      <w:r>
        <w:rPr>
          <w:rFonts w:hint="eastAsia" w:hAnsi="宋体"/>
          <w:b/>
          <w:color w:val="auto"/>
          <w:highlight w:val="none"/>
          <w:lang w:val="en-US" w:eastAsia="zh-CN"/>
        </w:rPr>
        <w:t>报价</w:t>
      </w:r>
      <w:r>
        <w:rPr>
          <w:rFonts w:hAnsi="宋体"/>
          <w:b/>
          <w:color w:val="auto"/>
          <w:highlight w:val="none"/>
        </w:rPr>
        <w:t>响应的，如供应商未对关联点进行响应或者在报价文件其它内容进行描述，造成电子评审不能查询的责任由供应商自行承担。</w:t>
      </w:r>
    </w:p>
    <w:p w14:paraId="3399B108">
      <w:pPr>
        <w:pStyle w:val="10"/>
        <w:spacing w:line="500" w:lineRule="exact"/>
        <w:ind w:firstLine="420"/>
        <w:rPr>
          <w:rFonts w:hAnsi="宋体"/>
          <w:b/>
          <w:color w:val="auto"/>
          <w:highlight w:val="none"/>
        </w:rPr>
      </w:pPr>
      <w:r>
        <w:rPr>
          <w:rFonts w:hint="eastAsia" w:hAnsi="宋体"/>
          <w:b/>
          <w:color w:val="auto"/>
          <w:highlight w:val="none"/>
        </w:rPr>
        <w:t>（2）</w:t>
      </w:r>
      <w:r>
        <w:rPr>
          <w:rFonts w:hAnsi="宋体"/>
          <w:b/>
          <w:color w:val="auto"/>
          <w:highlight w:val="none"/>
        </w:rPr>
        <w:t>采购文件要求提供的的各种复印件，须加盖供应商 CA 签章，否则其报价无效。</w:t>
      </w:r>
    </w:p>
    <w:p w14:paraId="7E918217">
      <w:pPr>
        <w:pStyle w:val="10"/>
        <w:spacing w:line="500" w:lineRule="exact"/>
        <w:ind w:firstLine="420"/>
        <w:rPr>
          <w:rFonts w:hAnsi="宋体"/>
          <w:b/>
          <w:color w:val="auto"/>
          <w:highlight w:val="none"/>
        </w:rPr>
      </w:pPr>
      <w:r>
        <w:rPr>
          <w:rFonts w:hint="eastAsia" w:hAnsi="宋体"/>
          <w:b/>
          <w:color w:val="auto"/>
          <w:highlight w:val="none"/>
        </w:rPr>
        <w:t>（3）</w:t>
      </w:r>
      <w:r>
        <w:rPr>
          <w:rFonts w:hAnsi="宋体"/>
          <w:b/>
          <w:color w:val="auto"/>
          <w:highlight w:val="none"/>
        </w:rPr>
        <w:t>采购文件要求“必须提供”的证明等材料，供应商必须全部提供，缺一不可，否则报价无效。</w:t>
      </w:r>
    </w:p>
    <w:p w14:paraId="7FC3BC08">
      <w:pPr>
        <w:pStyle w:val="10"/>
        <w:spacing w:line="500" w:lineRule="exact"/>
        <w:ind w:firstLine="420"/>
        <w:rPr>
          <w:rFonts w:hint="eastAsia" w:hAnsi="宋体"/>
          <w:b/>
          <w:color w:val="auto"/>
          <w:highlight w:val="none"/>
        </w:rPr>
      </w:pPr>
      <w:r>
        <w:rPr>
          <w:rFonts w:hint="eastAsia" w:hAnsi="宋体"/>
          <w:b/>
          <w:color w:val="auto"/>
          <w:highlight w:val="none"/>
        </w:rPr>
        <w:t>（4）</w:t>
      </w:r>
      <w:r>
        <w:rPr>
          <w:rFonts w:hAnsi="宋体"/>
          <w:b/>
          <w:color w:val="auto"/>
          <w:highlight w:val="none"/>
        </w:rPr>
        <w:t>采购文件要求法定代表人（负责人）或委托代理人签字的部分</w:t>
      </w:r>
      <w:r>
        <w:rPr>
          <w:rFonts w:hint="eastAsia" w:hAnsi="宋体"/>
          <w:b/>
          <w:color w:val="auto"/>
          <w:highlight w:val="none"/>
          <w:lang w:eastAsia="zh-CN"/>
        </w:rPr>
        <w:t>，</w:t>
      </w:r>
      <w:r>
        <w:rPr>
          <w:rFonts w:hint="eastAsia" w:ascii="宋体" w:hAnsi="宋体" w:eastAsia="宋体" w:cs="宋体"/>
          <w:b/>
          <w:color w:val="auto"/>
          <w:szCs w:val="21"/>
          <w:highlight w:val="none"/>
        </w:rPr>
        <w:t>必须由法定代表人</w:t>
      </w:r>
      <w:r>
        <w:rPr>
          <w:rFonts w:hAnsi="宋体"/>
          <w:b/>
          <w:color w:val="auto"/>
          <w:highlight w:val="none"/>
        </w:rPr>
        <w:t>（负责人）</w:t>
      </w:r>
      <w:r>
        <w:rPr>
          <w:rFonts w:hint="eastAsia" w:ascii="宋体" w:hAnsi="宋体" w:eastAsia="宋体" w:cs="宋体"/>
          <w:b/>
          <w:color w:val="auto"/>
          <w:szCs w:val="21"/>
          <w:highlight w:val="none"/>
        </w:rPr>
        <w:t>及委托代理人签字</w:t>
      </w:r>
      <w:r>
        <w:rPr>
          <w:rFonts w:hint="eastAsia" w:ascii="宋体" w:hAnsi="宋体" w:eastAsia="宋体" w:cs="宋体"/>
          <w:b/>
          <w:color w:val="auto"/>
          <w:szCs w:val="21"/>
          <w:highlight w:val="none"/>
          <w:lang w:eastAsia="zh-CN"/>
        </w:rPr>
        <w:t>或盖章或电子签名</w:t>
      </w:r>
      <w:r>
        <w:rPr>
          <w:rFonts w:hAnsi="宋体"/>
          <w:b/>
          <w:color w:val="auto"/>
          <w:highlight w:val="none"/>
        </w:rPr>
        <w:t>，否则其报价无效。</w:t>
      </w:r>
    </w:p>
    <w:p w14:paraId="6F6DA887">
      <w:pPr>
        <w:pStyle w:val="10"/>
        <w:spacing w:line="500" w:lineRule="exact"/>
        <w:rPr>
          <w:rFonts w:hint="eastAsia" w:hAnsi="宋体"/>
          <w:b/>
          <w:color w:val="auto"/>
          <w:highlight w:val="none"/>
        </w:rPr>
      </w:pPr>
      <w:r>
        <w:rPr>
          <w:rFonts w:hint="eastAsia" w:hAnsi="宋体"/>
          <w:b/>
          <w:color w:val="auto"/>
          <w:highlight w:val="none"/>
        </w:rPr>
        <w:t>8.报价文件的文字及计量单位</w:t>
      </w:r>
    </w:p>
    <w:p w14:paraId="2D2A0577">
      <w:pPr>
        <w:pStyle w:val="10"/>
        <w:spacing w:line="500" w:lineRule="exact"/>
        <w:ind w:firstLine="420"/>
        <w:rPr>
          <w:rFonts w:hint="eastAsia" w:hAnsi="宋体"/>
          <w:color w:val="auto"/>
          <w:highlight w:val="none"/>
        </w:rPr>
      </w:pPr>
      <w:r>
        <w:rPr>
          <w:rFonts w:hint="eastAsia" w:hAnsi="宋体"/>
          <w:color w:val="auto"/>
          <w:highlight w:val="none"/>
        </w:rPr>
        <w:t>8.1供应商的报价文件以及供应商与采购代理机构的所有来往的函电统一使用中文（另有规定的除外）。</w:t>
      </w:r>
    </w:p>
    <w:p w14:paraId="24821349">
      <w:pPr>
        <w:pStyle w:val="10"/>
        <w:spacing w:line="500" w:lineRule="exact"/>
        <w:ind w:firstLine="420"/>
        <w:rPr>
          <w:rFonts w:hint="eastAsia" w:hAnsi="宋体"/>
          <w:color w:val="auto"/>
          <w:highlight w:val="none"/>
        </w:rPr>
      </w:pPr>
      <w:r>
        <w:rPr>
          <w:rFonts w:hint="eastAsia" w:hAnsi="宋体"/>
          <w:color w:val="auto"/>
          <w:highlight w:val="none"/>
        </w:rPr>
        <w:t>8.2报价文件中使用的计量单位除采购文件中有特殊规定外，一律使用法定计量单位。</w:t>
      </w:r>
    </w:p>
    <w:p w14:paraId="247DFCA9">
      <w:pPr>
        <w:pStyle w:val="10"/>
        <w:spacing w:line="500" w:lineRule="exact"/>
        <w:rPr>
          <w:rFonts w:hint="eastAsia" w:hAnsi="宋体"/>
          <w:b/>
          <w:color w:val="auto"/>
          <w:highlight w:val="none"/>
        </w:rPr>
      </w:pPr>
      <w:r>
        <w:rPr>
          <w:rFonts w:hint="eastAsia" w:hAnsi="宋体"/>
          <w:b/>
          <w:color w:val="auto"/>
          <w:highlight w:val="none"/>
        </w:rPr>
        <w:t>9</w:t>
      </w:r>
      <w:r>
        <w:rPr>
          <w:rFonts w:hAnsi="宋体"/>
          <w:b/>
          <w:color w:val="auto"/>
          <w:highlight w:val="none"/>
        </w:rPr>
        <w:t>.</w:t>
      </w:r>
      <w:r>
        <w:rPr>
          <w:rFonts w:hint="eastAsia" w:hAnsi="宋体"/>
          <w:b/>
          <w:color w:val="auto"/>
          <w:highlight w:val="none"/>
        </w:rPr>
        <w:t>报价文件格式</w:t>
      </w:r>
    </w:p>
    <w:p w14:paraId="2877C98C">
      <w:pPr>
        <w:pStyle w:val="10"/>
        <w:spacing w:line="500" w:lineRule="exact"/>
        <w:ind w:firstLine="420"/>
        <w:rPr>
          <w:rFonts w:hint="eastAsia" w:hAnsi="宋体"/>
          <w:bCs/>
          <w:color w:val="auto"/>
          <w:highlight w:val="none"/>
        </w:rPr>
      </w:pPr>
      <w:r>
        <w:rPr>
          <w:rFonts w:hAnsi="宋体"/>
          <w:bCs/>
          <w:color w:val="auto"/>
          <w:highlight w:val="none"/>
        </w:rPr>
        <w:t>9</w:t>
      </w:r>
      <w:r>
        <w:rPr>
          <w:rFonts w:hint="eastAsia" w:hAnsi="宋体"/>
          <w:bCs/>
          <w:color w:val="auto"/>
          <w:highlight w:val="none"/>
        </w:rPr>
        <w:t>.1供应商应按采购文件</w:t>
      </w:r>
      <w:r>
        <w:rPr>
          <w:rFonts w:hint="eastAsia" w:hAnsi="宋体"/>
          <w:color w:val="auto"/>
          <w:highlight w:val="none"/>
        </w:rPr>
        <w:t>第五章中“报价文件(格式)”</w:t>
      </w:r>
      <w:r>
        <w:rPr>
          <w:rFonts w:hint="eastAsia" w:hAnsi="宋体"/>
          <w:bCs/>
          <w:color w:val="auto"/>
          <w:highlight w:val="none"/>
        </w:rPr>
        <w:t>详细完整地填写各项内容。</w:t>
      </w:r>
    </w:p>
    <w:p w14:paraId="29510C8A">
      <w:pPr>
        <w:pStyle w:val="10"/>
        <w:spacing w:line="500" w:lineRule="exact"/>
        <w:ind w:firstLine="420"/>
        <w:rPr>
          <w:rFonts w:hint="eastAsia" w:hAnsi="宋体"/>
          <w:b/>
          <w:color w:val="auto"/>
          <w:highlight w:val="none"/>
        </w:rPr>
      </w:pPr>
      <w:r>
        <w:rPr>
          <w:rFonts w:hint="eastAsia" w:hAnsi="宋体"/>
          <w:color w:val="auto"/>
          <w:highlight w:val="none"/>
        </w:rPr>
        <w:t>9.2报价文件必须编制目录及页码，目录与页码必须保持一致，否则因此造成的一切后果由供应商自行承担。</w:t>
      </w:r>
    </w:p>
    <w:p w14:paraId="4B2C2858">
      <w:pPr>
        <w:pStyle w:val="10"/>
        <w:spacing w:line="500" w:lineRule="exact"/>
        <w:rPr>
          <w:rFonts w:hint="eastAsia" w:hAnsi="宋体"/>
          <w:b/>
          <w:color w:val="auto"/>
          <w:highlight w:val="none"/>
        </w:rPr>
      </w:pPr>
      <w:r>
        <w:rPr>
          <w:rFonts w:hint="eastAsia" w:hAnsi="宋体"/>
          <w:b/>
          <w:color w:val="auto"/>
          <w:highlight w:val="none"/>
        </w:rPr>
        <w:t>1</w:t>
      </w:r>
      <w:r>
        <w:rPr>
          <w:rFonts w:hAnsi="宋体"/>
          <w:b/>
          <w:color w:val="auto"/>
          <w:highlight w:val="none"/>
        </w:rPr>
        <w:t>0</w:t>
      </w:r>
      <w:r>
        <w:rPr>
          <w:rFonts w:hint="eastAsia" w:hAnsi="宋体"/>
          <w:b/>
          <w:color w:val="auto"/>
          <w:highlight w:val="none"/>
        </w:rPr>
        <w:t>.报价</w:t>
      </w:r>
    </w:p>
    <w:p w14:paraId="1A8EE301">
      <w:pPr>
        <w:pStyle w:val="10"/>
        <w:spacing w:line="500" w:lineRule="exact"/>
        <w:ind w:firstLine="420"/>
        <w:rPr>
          <w:rFonts w:hint="eastAsia" w:hAnsi="宋体"/>
          <w:bCs/>
          <w:color w:val="auto"/>
          <w:highlight w:val="none"/>
        </w:rPr>
      </w:pPr>
      <w:r>
        <w:rPr>
          <w:rFonts w:hint="eastAsia" w:hAnsi="宋体"/>
          <w:bCs/>
          <w:color w:val="auto"/>
          <w:highlight w:val="none"/>
        </w:rPr>
        <w:t>1</w:t>
      </w:r>
      <w:r>
        <w:rPr>
          <w:rFonts w:hAnsi="宋体"/>
          <w:bCs/>
          <w:color w:val="auto"/>
          <w:highlight w:val="none"/>
        </w:rPr>
        <w:t>0</w:t>
      </w:r>
      <w:r>
        <w:rPr>
          <w:rFonts w:hint="eastAsia" w:hAnsi="宋体"/>
          <w:bCs/>
          <w:color w:val="auto"/>
          <w:highlight w:val="none"/>
        </w:rPr>
        <w:t>.1</w:t>
      </w:r>
      <w:r>
        <w:rPr>
          <w:rFonts w:hint="eastAsia" w:hAnsi="宋体"/>
          <w:bCs/>
          <w:color w:val="auto"/>
          <w:highlight w:val="none"/>
          <w:u w:val="single"/>
        </w:rPr>
        <w:t>供应商应就《服务项目需求》中的</w:t>
      </w:r>
      <w:r>
        <w:rPr>
          <w:color w:val="auto"/>
          <w:highlight w:val="none"/>
          <w:u w:val="single"/>
        </w:rPr>
        <w:t>所有内容作完整唯一报价</w:t>
      </w:r>
      <w:r>
        <w:rPr>
          <w:rFonts w:hint="eastAsia" w:hAnsi="宋体"/>
          <w:bCs/>
          <w:color w:val="auto"/>
          <w:highlight w:val="none"/>
          <w:u w:val="single"/>
        </w:rPr>
        <w:t>。</w:t>
      </w:r>
      <w:r>
        <w:rPr>
          <w:rFonts w:hint="eastAsia" w:hAnsi="宋体"/>
          <w:bCs/>
          <w:color w:val="auto"/>
          <w:highlight w:val="none"/>
        </w:rPr>
        <w:t>如果报价供应商所填报的服务内容与采购文件相比较有存在漏项的状况且在评审时被接受，则将被认为该遗漏项目已包含在报价中，成交人在服务时应严格按采购文件要求的内容完整提供，不得要求采购人对其漏报的项目追加支付款项。</w:t>
      </w:r>
    </w:p>
    <w:p w14:paraId="3D077414">
      <w:pPr>
        <w:pStyle w:val="10"/>
        <w:spacing w:line="500" w:lineRule="exact"/>
        <w:ind w:firstLine="420"/>
        <w:rPr>
          <w:rFonts w:hint="eastAsia" w:hAnsi="宋体"/>
          <w:color w:val="auto"/>
          <w:highlight w:val="none"/>
        </w:rPr>
      </w:pPr>
      <w:r>
        <w:rPr>
          <w:rFonts w:hint="eastAsia" w:hAnsi="宋体"/>
          <w:bCs/>
          <w:color w:val="auto"/>
          <w:highlight w:val="none"/>
        </w:rPr>
        <w:t>1</w:t>
      </w:r>
      <w:r>
        <w:rPr>
          <w:rFonts w:hAnsi="宋体"/>
          <w:bCs/>
          <w:color w:val="auto"/>
          <w:highlight w:val="none"/>
        </w:rPr>
        <w:t>0</w:t>
      </w:r>
      <w:r>
        <w:rPr>
          <w:rFonts w:hint="eastAsia" w:hAnsi="宋体"/>
          <w:bCs/>
          <w:color w:val="auto"/>
          <w:highlight w:val="none"/>
        </w:rPr>
        <w:t>.2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如果因供应商原因引起的报价失误，并在报价时被接受，其后果由供应商自负。</w:t>
      </w:r>
    </w:p>
    <w:p w14:paraId="1653AEDC">
      <w:pPr>
        <w:pStyle w:val="10"/>
        <w:spacing w:line="500" w:lineRule="exact"/>
        <w:ind w:firstLine="420"/>
        <w:rPr>
          <w:rFonts w:hint="eastAsia" w:hAnsi="宋体"/>
          <w:color w:val="auto"/>
          <w:highlight w:val="none"/>
        </w:rPr>
      </w:pPr>
      <w:r>
        <w:rPr>
          <w:rFonts w:hint="eastAsia" w:hAnsi="宋体"/>
          <w:color w:val="auto"/>
          <w:highlight w:val="none"/>
        </w:rPr>
        <w:t>1</w:t>
      </w:r>
      <w:r>
        <w:rPr>
          <w:rFonts w:hAnsi="宋体"/>
          <w:color w:val="auto"/>
          <w:highlight w:val="none"/>
        </w:rPr>
        <w:t>0</w:t>
      </w:r>
      <w:r>
        <w:rPr>
          <w:rFonts w:hint="eastAsia" w:hAnsi="宋体"/>
          <w:color w:val="auto"/>
          <w:highlight w:val="none"/>
        </w:rPr>
        <w:t>.3</w:t>
      </w:r>
      <w:r>
        <w:rPr>
          <w:rFonts w:hint="eastAsia" w:hAnsi="宋体"/>
          <w:color w:val="auto"/>
          <w:highlight w:val="none"/>
          <w:lang w:val="en-US" w:eastAsia="zh-CN"/>
        </w:rPr>
        <w:t xml:space="preserve"> </w:t>
      </w:r>
      <w:r>
        <w:rPr>
          <w:rFonts w:hint="eastAsia" w:hAnsi="宋体"/>
          <w:color w:val="auto"/>
          <w:highlight w:val="none"/>
        </w:rPr>
        <w:t>报价是履行合同的最终价格，报价包含实施和完成本项目全部工作所需的服务期内所需的一切费用，包括但不限于：软件升级服务、备品备件替换费用、保险费、安装调试费、税费、培训费、产品检测费、产品质保期内升级维护费等费用。在合同实施时，供应商应就《服务项目需求》中的所有内容作完整唯一报价，采购人将不予支付成交供应商没有列入的项目费用，并认为此项目的费用已包括在响应总报价中。</w:t>
      </w:r>
    </w:p>
    <w:p w14:paraId="7CFA9A92">
      <w:pPr>
        <w:pStyle w:val="10"/>
        <w:spacing w:line="500" w:lineRule="exact"/>
        <w:rPr>
          <w:rFonts w:hint="eastAsia" w:hAnsi="宋体"/>
          <w:b/>
          <w:color w:val="auto"/>
          <w:highlight w:val="none"/>
        </w:rPr>
      </w:pPr>
      <w:r>
        <w:rPr>
          <w:rFonts w:hint="eastAsia" w:hAnsi="宋体"/>
          <w:b/>
          <w:color w:val="auto"/>
          <w:highlight w:val="none"/>
        </w:rPr>
        <w:t>11.报价货币</w:t>
      </w:r>
    </w:p>
    <w:p w14:paraId="2BC3F0F0">
      <w:pPr>
        <w:pStyle w:val="10"/>
        <w:spacing w:line="500" w:lineRule="exact"/>
        <w:ind w:firstLine="420"/>
        <w:rPr>
          <w:rFonts w:hint="eastAsia" w:hAnsi="宋体"/>
          <w:color w:val="auto"/>
          <w:highlight w:val="none"/>
        </w:rPr>
      </w:pPr>
      <w:r>
        <w:rPr>
          <w:rFonts w:hint="eastAsia" w:hAnsi="宋体"/>
          <w:color w:val="auto"/>
          <w:highlight w:val="none"/>
        </w:rPr>
        <w:t>11.1报价应以人民币报价。</w:t>
      </w:r>
    </w:p>
    <w:p w14:paraId="760CA3E2">
      <w:pPr>
        <w:pStyle w:val="10"/>
        <w:spacing w:line="500" w:lineRule="exact"/>
        <w:rPr>
          <w:rFonts w:hint="eastAsia" w:hAnsi="宋体"/>
          <w:b/>
          <w:color w:val="auto"/>
          <w:highlight w:val="none"/>
        </w:rPr>
      </w:pPr>
      <w:r>
        <w:rPr>
          <w:rFonts w:hint="eastAsia" w:hAnsi="宋体"/>
          <w:b/>
          <w:color w:val="auto"/>
          <w:highlight w:val="none"/>
        </w:rPr>
        <w:t>12.报价的有效期</w:t>
      </w:r>
    </w:p>
    <w:p w14:paraId="7A1B2D77">
      <w:pPr>
        <w:pStyle w:val="10"/>
        <w:spacing w:line="500" w:lineRule="exact"/>
        <w:ind w:firstLine="420"/>
        <w:rPr>
          <w:rFonts w:hint="eastAsia" w:hAnsi="宋体"/>
          <w:color w:val="auto"/>
          <w:highlight w:val="none"/>
        </w:rPr>
      </w:pPr>
      <w:r>
        <w:rPr>
          <w:rFonts w:hint="eastAsia" w:hAnsi="宋体"/>
          <w:color w:val="auto"/>
          <w:highlight w:val="none"/>
        </w:rPr>
        <w:t>12.1报价文件有效期详见本须知前附表第4项规定。</w:t>
      </w:r>
    </w:p>
    <w:p w14:paraId="0B7FB541">
      <w:pPr>
        <w:pStyle w:val="10"/>
        <w:spacing w:line="500" w:lineRule="exact"/>
        <w:ind w:firstLine="420"/>
        <w:rPr>
          <w:rFonts w:hint="eastAsia" w:hAnsi="宋体"/>
          <w:color w:val="auto"/>
          <w:highlight w:val="none"/>
        </w:rPr>
      </w:pPr>
      <w:r>
        <w:rPr>
          <w:rFonts w:hint="eastAsia" w:hAnsi="宋体"/>
          <w:color w:val="auto"/>
          <w:highlight w:val="none"/>
        </w:rPr>
        <w:t>12.2在特殊情况下，采购代理机构可与供应商协商延长报价文件的有效期。</w:t>
      </w:r>
    </w:p>
    <w:p w14:paraId="6A15B66A">
      <w:pPr>
        <w:spacing w:line="500" w:lineRule="exact"/>
        <w:rPr>
          <w:rFonts w:hint="eastAsia" w:hAnsi="宋体"/>
          <w:color w:val="auto"/>
          <w:highlight w:val="none"/>
        </w:rPr>
      </w:pPr>
      <w:r>
        <w:rPr>
          <w:rFonts w:hint="eastAsia" w:hAnsi="宋体"/>
          <w:b/>
          <w:color w:val="auto"/>
          <w:highlight w:val="none"/>
        </w:rPr>
        <w:t>13.</w:t>
      </w:r>
      <w:r>
        <w:rPr>
          <w:rFonts w:hint="eastAsia" w:ascii="宋体" w:hAnsi="宋体" w:cs="宋体"/>
          <w:b/>
          <w:bCs/>
          <w:color w:val="auto"/>
          <w:spacing w:val="2"/>
          <w:szCs w:val="21"/>
          <w:highlight w:val="none"/>
        </w:rPr>
        <w:t xml:space="preserve"> 报价文件的份数和签署</w:t>
      </w:r>
    </w:p>
    <w:p w14:paraId="2EDF843D">
      <w:pPr>
        <w:spacing w:line="500" w:lineRule="exact"/>
        <w:ind w:firstLine="428" w:firstLineChars="200"/>
        <w:rPr>
          <w:rFonts w:hint="eastAsia" w:ascii="宋体" w:hAnsi="宋体" w:cs="宋体"/>
          <w:color w:val="auto"/>
          <w:spacing w:val="2"/>
          <w:szCs w:val="21"/>
          <w:highlight w:val="none"/>
        </w:rPr>
      </w:pPr>
      <w:bookmarkStart w:id="59" w:name="_Toc467138620"/>
      <w:r>
        <w:rPr>
          <w:rFonts w:hint="eastAsia" w:ascii="宋体" w:hAnsi="宋体" w:cs="宋体"/>
          <w:color w:val="auto"/>
          <w:spacing w:val="2"/>
          <w:szCs w:val="21"/>
          <w:highlight w:val="none"/>
        </w:rPr>
        <w:t>13.1报价人按本须知第7条的规定，编制报价文件电子版一份。</w:t>
      </w:r>
    </w:p>
    <w:p w14:paraId="22A0EDF4">
      <w:pPr>
        <w:spacing w:line="500" w:lineRule="exact"/>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13.2报价文件中所须加盖公章部分均采用CA签章。并根据“政府采购项目电子交易管理操作指南-供应商”及本单一来源采购文件规定的格式和顺序编制电子报价文件并进行关联定位，以便评审小组在评审时，点击评分项可直接定位到该评分项内容。如对单一来源采购文件的某项要求，供应商的电子报价文件未能关联定位提供相应的内容与其对应，则评审小组在评审时如做出对供应商不利的评审由供应商自行承担。电子报价文件如内容不完整、编排混乱导致报价文件被误读、漏读，或者在按单一来源采购文件规定的部位查找不到相关内容的，由供应商自行承担。若单一来源采购文件中有专门标注的某关联点，并要求供应商在电子投标系统中作出报价响应的，如供应商未对关联点进行响应或者在报价文件其它内容进行描述，造成电子评审不能查询的责任由供应商自行承担。</w:t>
      </w:r>
    </w:p>
    <w:p w14:paraId="018D05E2">
      <w:pPr>
        <w:spacing w:line="500" w:lineRule="exact"/>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13.3单一来源采购文件要求提供的的各种复印件，须加盖磋商供应商CA签章，否则其报价无效。</w:t>
      </w:r>
    </w:p>
    <w:p w14:paraId="4035D19F">
      <w:pPr>
        <w:spacing w:line="500" w:lineRule="exact"/>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13.4单一来源采购文件要求“必须提供”的证明等材料，供应商必须全部提供，缺一不可，否则报价无效。</w:t>
      </w:r>
    </w:p>
    <w:p w14:paraId="0D3FFC13">
      <w:pPr>
        <w:spacing w:line="500" w:lineRule="exact"/>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13.5采购文件要求法定代表人（负责人）或委托代理人签字的部分，必须由法定代表人（负责人）及委托代理人签字或盖章或电子签名，否则其报价无效。</w:t>
      </w:r>
    </w:p>
    <w:p w14:paraId="28AE2467">
      <w:pPr>
        <w:spacing w:line="500" w:lineRule="exact"/>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 报价文件不得涂改，若有修改错漏处，须加盖供应商CA签章及法定代表人（供应商若为其他组织形式无法定代表人的为机构负责人）或相应的授权委托代理人签字。报价文件因字迹潦草或表达不清所引起的后果由供应商负责。</w:t>
      </w:r>
    </w:p>
    <w:p w14:paraId="218915E2">
      <w:pPr>
        <w:pStyle w:val="3"/>
        <w:rPr>
          <w:rFonts w:hint="eastAsia"/>
          <w:color w:val="auto"/>
          <w:highlight w:val="none"/>
        </w:rPr>
      </w:pPr>
      <w:r>
        <w:rPr>
          <w:rFonts w:hint="eastAsia"/>
          <w:color w:val="auto"/>
          <w:highlight w:val="none"/>
        </w:rPr>
        <w:t>四、报价文件的递交</w:t>
      </w:r>
      <w:bookmarkEnd w:id="59"/>
    </w:p>
    <w:p w14:paraId="3747E0A5">
      <w:pPr>
        <w:pStyle w:val="10"/>
        <w:spacing w:line="500" w:lineRule="exact"/>
        <w:rPr>
          <w:rFonts w:hint="eastAsia" w:hAnsi="宋体" w:cs="宋体"/>
          <w:b/>
          <w:bCs/>
          <w:color w:val="auto"/>
          <w:szCs w:val="21"/>
          <w:highlight w:val="none"/>
        </w:rPr>
      </w:pPr>
      <w:r>
        <w:rPr>
          <w:rFonts w:hint="eastAsia" w:hAnsi="宋体" w:cs="宋体"/>
          <w:b/>
          <w:bCs/>
          <w:color w:val="auto"/>
          <w:szCs w:val="21"/>
          <w:highlight w:val="none"/>
        </w:rPr>
        <w:t>14、报价文件的递交：</w:t>
      </w:r>
    </w:p>
    <w:p w14:paraId="607FBE5E">
      <w:pPr>
        <w:spacing w:line="500" w:lineRule="exact"/>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14.1报价文件必须按“供应商须知前附表”规定的时间和地点提交。</w:t>
      </w:r>
    </w:p>
    <w:p w14:paraId="5E80036D">
      <w:pPr>
        <w:tabs>
          <w:tab w:val="left" w:pos="1305"/>
        </w:tabs>
        <w:spacing w:line="500" w:lineRule="exact"/>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14.2报价文件启用顺序和效力：报价文件的启用，按先后顺位分别为电子报价文件、电子备份报价文件。若供应商在规定时间内无法解密或解密失败，可以以电子备份报价文件作为依据，若电子备份报价文件与</w:t>
      </w:r>
      <w:r>
        <w:rPr>
          <w:rFonts w:hint="eastAsia"/>
          <w:color w:val="auto"/>
          <w:sz w:val="21"/>
          <w:szCs w:val="21"/>
          <w:highlight w:val="none"/>
        </w:rPr>
        <w:t>广西政府采购云平台</w:t>
      </w:r>
      <w:r>
        <w:rPr>
          <w:rFonts w:hint="eastAsia" w:ascii="宋体" w:hAnsi="宋体" w:cs="宋体"/>
          <w:color w:val="auto"/>
          <w:szCs w:val="21"/>
          <w:highlight w:val="none"/>
        </w:rPr>
        <w:t>上传的电子报价文件被识别为不一致的，以电子备份报价文件作为评审依据；供应商按时在线解密报价文件的，以在线解密的报价文件作为评审依据。若供应商在规定时间内无法解密或解密失败且未提供电子备份报价文件的，视为报价文件撤回。</w:t>
      </w:r>
    </w:p>
    <w:p w14:paraId="7DFE6809">
      <w:pPr>
        <w:spacing w:line="500" w:lineRule="exact"/>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14.3 逾期解密且未提供电子备份报价文件到达指定地点的报价文件，采购代理机构不予受理。</w:t>
      </w:r>
    </w:p>
    <w:p w14:paraId="37B8C43A">
      <w:pPr>
        <w:snapToGrid w:val="0"/>
        <w:spacing w:line="500" w:lineRule="exact"/>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14.4</w:t>
      </w:r>
      <w:r>
        <w:rPr>
          <w:rFonts w:hint="eastAsia" w:ascii="宋体" w:hAnsi="宋体" w:cs="宋体"/>
          <w:b/>
          <w:color w:val="auto"/>
          <w:szCs w:val="21"/>
          <w:highlight w:val="none"/>
        </w:rPr>
        <w:t>电子报价文件的相关说明</w:t>
      </w:r>
    </w:p>
    <w:p w14:paraId="490826FA">
      <w:pPr>
        <w:snapToGrid w:val="0"/>
        <w:spacing w:line="500" w:lineRule="exact"/>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1）供应商进行电子投标应安装客户端软件，并按照单一来源采购文件和电子交易平台的要求编制并加密报价文件。供应商未按规定加密的报价文件，电子交易平台将拒收。供应商应当在报价截止时间前完成报价文件的传输递交，并可以补充、修改或者撤回报价文件。补充或者修改报价文件的，应当先行撤回原文件，补充、修改后重新传输提交。报价截止时间前未完成传输的，视为撤回报价文件。报价截止时间后提交的报价文件，电子交易平台将拒收。</w:t>
      </w:r>
    </w:p>
    <w:p w14:paraId="628C65A3">
      <w:pPr>
        <w:spacing w:line="500" w:lineRule="exact"/>
        <w:ind w:firstLine="420" w:firstLineChars="200"/>
        <w:textAlignment w:val="baseline"/>
        <w:rPr>
          <w:rFonts w:hint="eastAsia" w:hAnsi="宋体"/>
          <w:color w:val="auto"/>
          <w:highlight w:val="none"/>
        </w:rPr>
      </w:pPr>
      <w:r>
        <w:rPr>
          <w:rFonts w:hint="eastAsia" w:ascii="宋体" w:hAnsi="宋体" w:cs="宋体"/>
          <w:color w:val="auto"/>
          <w:szCs w:val="21"/>
          <w:highlight w:val="none"/>
        </w:rPr>
        <w:t>（2）如有特殊情况，采购代理机构延长截止时间和开标时间，采购代理机构和供应商的权利和义务将受到新的截止时间和开标时间的约束。</w:t>
      </w:r>
    </w:p>
    <w:p w14:paraId="00D46244">
      <w:pPr>
        <w:pStyle w:val="10"/>
        <w:spacing w:line="500" w:lineRule="exact"/>
        <w:rPr>
          <w:rFonts w:hint="eastAsia" w:hAnsi="宋体"/>
          <w:b/>
          <w:color w:val="auto"/>
          <w:highlight w:val="none"/>
        </w:rPr>
      </w:pPr>
      <w:r>
        <w:rPr>
          <w:rFonts w:hint="eastAsia" w:hAnsi="宋体"/>
          <w:b/>
          <w:color w:val="auto"/>
          <w:highlight w:val="none"/>
        </w:rPr>
        <w:t>15.报价截止时间</w:t>
      </w:r>
    </w:p>
    <w:p w14:paraId="692DDEE3">
      <w:pPr>
        <w:pStyle w:val="10"/>
        <w:tabs>
          <w:tab w:val="left" w:pos="1957"/>
        </w:tabs>
        <w:spacing w:line="500" w:lineRule="exact"/>
        <w:ind w:firstLine="420"/>
        <w:rPr>
          <w:rFonts w:hint="eastAsia" w:hAnsi="宋体"/>
          <w:color w:val="auto"/>
          <w:spacing w:val="-4"/>
          <w:highlight w:val="none"/>
        </w:rPr>
      </w:pPr>
      <w:r>
        <w:rPr>
          <w:rFonts w:hint="eastAsia" w:hAnsi="宋体"/>
          <w:color w:val="auto"/>
          <w:highlight w:val="none"/>
        </w:rPr>
        <w:t>15.1</w:t>
      </w:r>
      <w:r>
        <w:rPr>
          <w:rFonts w:hint="eastAsia" w:hAnsi="宋体"/>
          <w:color w:val="auto"/>
          <w:spacing w:val="-4"/>
          <w:highlight w:val="none"/>
        </w:rPr>
        <w:t>报价文件的递交不得迟于本须知前附表第6项规定的截止时间。</w:t>
      </w:r>
    </w:p>
    <w:p w14:paraId="7602E809">
      <w:pPr>
        <w:pStyle w:val="10"/>
        <w:spacing w:line="500" w:lineRule="exact"/>
        <w:ind w:firstLine="420"/>
        <w:rPr>
          <w:rFonts w:hint="eastAsia" w:hAnsi="宋体"/>
          <w:color w:val="auto"/>
          <w:highlight w:val="none"/>
        </w:rPr>
      </w:pPr>
      <w:r>
        <w:rPr>
          <w:rFonts w:hint="eastAsia" w:hAnsi="宋体"/>
          <w:color w:val="auto"/>
          <w:highlight w:val="none"/>
        </w:rPr>
        <w:t>15.2供应商必须在规定时间内将报价文件送到本须知前附表第6项规定地点，超过报价截止时间送达的报价文件将不予受理。</w:t>
      </w:r>
    </w:p>
    <w:p w14:paraId="1904E619">
      <w:pPr>
        <w:pStyle w:val="3"/>
        <w:rPr>
          <w:rFonts w:hint="eastAsia"/>
          <w:color w:val="auto"/>
          <w:highlight w:val="none"/>
        </w:rPr>
      </w:pPr>
      <w:bookmarkStart w:id="60" w:name="_Toc467138621"/>
      <w:r>
        <w:rPr>
          <w:rFonts w:hint="eastAsia"/>
          <w:color w:val="auto"/>
          <w:highlight w:val="none"/>
        </w:rPr>
        <w:t>五、协商及确定成交供应商原则</w:t>
      </w:r>
      <w:bookmarkEnd w:id="60"/>
    </w:p>
    <w:p w14:paraId="11563524">
      <w:pPr>
        <w:pStyle w:val="10"/>
        <w:spacing w:line="500" w:lineRule="exact"/>
        <w:ind w:firstLine="422" w:firstLineChars="200"/>
        <w:rPr>
          <w:rFonts w:hint="eastAsia" w:hAnsi="宋体"/>
          <w:b/>
          <w:color w:val="auto"/>
          <w:highlight w:val="none"/>
        </w:rPr>
      </w:pPr>
      <w:r>
        <w:rPr>
          <w:rFonts w:hint="eastAsia" w:hAnsi="宋体"/>
          <w:b/>
          <w:color w:val="auto"/>
          <w:highlight w:val="none"/>
        </w:rPr>
        <w:t>16.</w:t>
      </w:r>
      <w:r>
        <w:rPr>
          <w:rFonts w:hint="eastAsia" w:hAnsi="宋体"/>
          <w:b/>
          <w:bCs/>
          <w:color w:val="auto"/>
          <w:highlight w:val="none"/>
        </w:rPr>
        <w:t xml:space="preserve"> 协商</w:t>
      </w:r>
    </w:p>
    <w:p w14:paraId="0707A632">
      <w:pPr>
        <w:pStyle w:val="10"/>
        <w:spacing w:line="500" w:lineRule="exact"/>
        <w:ind w:firstLine="420" w:firstLineChars="200"/>
        <w:rPr>
          <w:rFonts w:hint="eastAsia" w:hAnsi="宋体"/>
          <w:color w:val="auto"/>
          <w:highlight w:val="none"/>
        </w:rPr>
      </w:pPr>
      <w:r>
        <w:rPr>
          <w:rFonts w:hint="eastAsia" w:hAnsi="宋体"/>
          <w:color w:val="auto"/>
          <w:highlight w:val="none"/>
        </w:rPr>
        <w:t xml:space="preserve">16.1 </w:t>
      </w:r>
      <w:r>
        <w:rPr>
          <w:rFonts w:hAnsi="宋体"/>
          <w:color w:val="auto"/>
          <w:highlight w:val="none"/>
        </w:rPr>
        <w:t>协商时间及地点:</w:t>
      </w:r>
      <w:r>
        <w:rPr>
          <w:rFonts w:hint="eastAsia" w:hAnsi="宋体"/>
          <w:color w:val="auto"/>
          <w:highlight w:val="none"/>
        </w:rPr>
        <w:t>供应商须知前附表</w:t>
      </w:r>
      <w:r>
        <w:rPr>
          <w:rFonts w:hAnsi="宋体"/>
          <w:color w:val="auto"/>
          <w:highlight w:val="none"/>
        </w:rPr>
        <w:t>。</w:t>
      </w:r>
    </w:p>
    <w:p w14:paraId="2663FD8E">
      <w:pPr>
        <w:pStyle w:val="10"/>
        <w:spacing w:line="500" w:lineRule="exact"/>
        <w:ind w:firstLine="420" w:firstLineChars="200"/>
        <w:rPr>
          <w:rFonts w:hint="eastAsia" w:hAnsi="宋体"/>
          <w:color w:val="auto"/>
          <w:highlight w:val="none"/>
        </w:rPr>
      </w:pPr>
      <w:r>
        <w:rPr>
          <w:rFonts w:hint="eastAsia" w:hAnsi="宋体"/>
          <w:color w:val="auto"/>
          <w:highlight w:val="none"/>
        </w:rPr>
        <w:t>16.2</w:t>
      </w:r>
      <w:r>
        <w:rPr>
          <w:rFonts w:hint="eastAsia" w:hAnsi="宋体"/>
          <w:color w:val="auto"/>
          <w:highlight w:val="none"/>
          <w:lang w:val="en-US" w:eastAsia="zh-CN"/>
        </w:rPr>
        <w:t xml:space="preserve"> </w:t>
      </w:r>
      <w:r>
        <w:rPr>
          <w:rFonts w:hint="eastAsia" w:ascii="宋体" w:hAnsi="宋体" w:eastAsia="宋体" w:cs="宋体"/>
          <w:color w:val="auto"/>
          <w:spacing w:val="-1"/>
          <w:highlight w:val="none"/>
        </w:rPr>
        <w:t>成立协商小组： 由采购人代表和评审专家（具有相关经验的专业人员）共 3 人以上单数组成， 其中评审专家（具有相关经验的专业人员）人数不得少于协商小组成员总数的 2/3。采购人代表不得以评审专家（具有相关经验的专业人员）身份参加本部门或者本单位采购项目的协商</w:t>
      </w:r>
      <w:r>
        <w:rPr>
          <w:rFonts w:hAnsi="宋体"/>
          <w:color w:val="auto"/>
          <w:highlight w:val="none"/>
        </w:rPr>
        <w:t>。</w:t>
      </w:r>
    </w:p>
    <w:p w14:paraId="1E1EAA06">
      <w:pPr>
        <w:pStyle w:val="10"/>
        <w:spacing w:line="500" w:lineRule="exact"/>
        <w:ind w:firstLine="420" w:firstLineChars="200"/>
        <w:rPr>
          <w:rFonts w:hAnsi="宋体"/>
          <w:color w:val="auto"/>
          <w:highlight w:val="none"/>
        </w:rPr>
      </w:pPr>
      <w:r>
        <w:rPr>
          <w:rFonts w:hAnsi="宋体"/>
          <w:color w:val="auto"/>
          <w:highlight w:val="none"/>
        </w:rPr>
        <w:t>1</w:t>
      </w:r>
      <w:r>
        <w:rPr>
          <w:rFonts w:hint="eastAsia" w:hAnsi="宋体"/>
          <w:color w:val="auto"/>
          <w:highlight w:val="none"/>
        </w:rPr>
        <w:t>6</w:t>
      </w:r>
      <w:r>
        <w:rPr>
          <w:rFonts w:hAnsi="宋体"/>
          <w:color w:val="auto"/>
          <w:highlight w:val="none"/>
        </w:rPr>
        <w:t>.3采购代理机构将在</w:t>
      </w:r>
      <w:r>
        <w:rPr>
          <w:rFonts w:hint="eastAsia" w:hAnsi="宋体"/>
          <w:color w:val="auto"/>
          <w:highlight w:val="none"/>
        </w:rPr>
        <w:t>采购文件</w:t>
      </w:r>
      <w:r>
        <w:rPr>
          <w:rFonts w:hAnsi="宋体"/>
          <w:color w:val="auto"/>
          <w:highlight w:val="none"/>
        </w:rPr>
        <w:t>规定的时间和地点组织“</w:t>
      </w:r>
      <w:r>
        <w:rPr>
          <w:rFonts w:hint="eastAsia" w:hAnsi="宋体"/>
          <w:color w:val="auto"/>
          <w:highlight w:val="none"/>
        </w:rPr>
        <w:t>协商小组</w:t>
      </w:r>
      <w:r>
        <w:rPr>
          <w:rFonts w:hAnsi="宋体"/>
          <w:color w:val="auto"/>
          <w:highlight w:val="none"/>
        </w:rPr>
        <w:t>”与报价</w:t>
      </w:r>
      <w:r>
        <w:rPr>
          <w:rFonts w:hint="eastAsia" w:hAnsi="宋体"/>
          <w:color w:val="auto"/>
          <w:highlight w:val="none"/>
        </w:rPr>
        <w:t>供应商</w:t>
      </w:r>
      <w:r>
        <w:rPr>
          <w:rFonts w:hAnsi="宋体" w:cs="Arial"/>
          <w:color w:val="auto"/>
          <w:kern w:val="0"/>
          <w:szCs w:val="21"/>
          <w:highlight w:val="none"/>
        </w:rPr>
        <w:t>商定合理的成交价格并保证采购项目质量</w:t>
      </w:r>
      <w:r>
        <w:rPr>
          <w:rFonts w:hAnsi="宋体"/>
          <w:color w:val="auto"/>
          <w:highlight w:val="none"/>
        </w:rPr>
        <w:t>。</w:t>
      </w:r>
    </w:p>
    <w:p w14:paraId="63D86407">
      <w:pPr>
        <w:pStyle w:val="10"/>
        <w:spacing w:line="500" w:lineRule="exact"/>
        <w:ind w:firstLine="420" w:firstLineChars="200"/>
        <w:rPr>
          <w:rFonts w:hint="eastAsia" w:hAnsi="宋体"/>
          <w:color w:val="auto"/>
          <w:highlight w:val="none"/>
        </w:rPr>
      </w:pPr>
      <w:r>
        <w:rPr>
          <w:rFonts w:hAnsi="宋体"/>
          <w:color w:val="auto"/>
          <w:highlight w:val="none"/>
        </w:rPr>
        <w:t>1</w:t>
      </w:r>
      <w:r>
        <w:rPr>
          <w:rFonts w:hint="eastAsia" w:hAnsi="宋体"/>
          <w:color w:val="auto"/>
          <w:highlight w:val="none"/>
        </w:rPr>
        <w:t>6</w:t>
      </w:r>
      <w:r>
        <w:rPr>
          <w:rFonts w:hAnsi="宋体"/>
          <w:color w:val="auto"/>
          <w:highlight w:val="none"/>
        </w:rPr>
        <w:t>.4</w:t>
      </w:r>
      <w:r>
        <w:rPr>
          <w:rFonts w:hint="eastAsia" w:hAnsi="宋体"/>
          <w:color w:val="auto"/>
          <w:highlight w:val="none"/>
        </w:rPr>
        <w:t xml:space="preserve"> </w:t>
      </w:r>
      <w:r>
        <w:rPr>
          <w:rFonts w:hAnsi="宋体"/>
          <w:color w:val="auto"/>
          <w:highlight w:val="none"/>
        </w:rPr>
        <w:t>报价</w:t>
      </w:r>
      <w:r>
        <w:rPr>
          <w:rFonts w:hint="eastAsia" w:hAnsi="宋体"/>
          <w:color w:val="auto"/>
          <w:highlight w:val="none"/>
        </w:rPr>
        <w:t>供应商</w:t>
      </w:r>
      <w:r>
        <w:rPr>
          <w:rFonts w:hAnsi="宋体"/>
          <w:color w:val="auto"/>
          <w:highlight w:val="none"/>
        </w:rPr>
        <w:t>的报价文件必须对单一来源采购文件关键性条款全部响应方能参加协商。当单一来源采购文件有实质性变动的，</w:t>
      </w:r>
      <w:r>
        <w:rPr>
          <w:rFonts w:hint="eastAsia" w:hAnsi="宋体"/>
          <w:color w:val="auto"/>
          <w:highlight w:val="none"/>
        </w:rPr>
        <w:t>协商</w:t>
      </w:r>
      <w:r>
        <w:rPr>
          <w:rFonts w:hAnsi="宋体"/>
          <w:color w:val="auto"/>
          <w:highlight w:val="none"/>
        </w:rPr>
        <w:t>小组以书面形式通知所有参加协商的报价</w:t>
      </w:r>
      <w:r>
        <w:rPr>
          <w:rFonts w:hint="eastAsia" w:hAnsi="宋体"/>
          <w:color w:val="auto"/>
          <w:highlight w:val="none"/>
        </w:rPr>
        <w:t>供应商</w:t>
      </w:r>
      <w:r>
        <w:rPr>
          <w:rFonts w:hAnsi="宋体"/>
          <w:color w:val="auto"/>
          <w:highlight w:val="none"/>
        </w:rPr>
        <w:t>。其中涉及价格的内容不得要求报价</w:t>
      </w:r>
      <w:r>
        <w:rPr>
          <w:rFonts w:hint="eastAsia" w:hAnsi="宋体"/>
          <w:color w:val="auto"/>
          <w:highlight w:val="none"/>
        </w:rPr>
        <w:t>供应商</w:t>
      </w:r>
      <w:r>
        <w:rPr>
          <w:rFonts w:hAnsi="宋体"/>
          <w:color w:val="auto"/>
          <w:highlight w:val="none"/>
        </w:rPr>
        <w:t>在协商时作口头报价，而应以书面形式报价。</w:t>
      </w:r>
    </w:p>
    <w:p w14:paraId="465E237D">
      <w:pPr>
        <w:pStyle w:val="10"/>
        <w:spacing w:line="500" w:lineRule="exact"/>
        <w:ind w:firstLine="420" w:firstLineChars="200"/>
        <w:rPr>
          <w:rFonts w:hint="eastAsia" w:hAnsi="宋体"/>
          <w:color w:val="auto"/>
          <w:highlight w:val="none"/>
        </w:rPr>
      </w:pPr>
      <w:r>
        <w:rPr>
          <w:rFonts w:hAnsi="宋体"/>
          <w:color w:val="auto"/>
          <w:highlight w:val="none"/>
        </w:rPr>
        <w:t>1</w:t>
      </w:r>
      <w:r>
        <w:rPr>
          <w:rFonts w:hint="eastAsia" w:hAnsi="宋体"/>
          <w:color w:val="auto"/>
          <w:highlight w:val="none"/>
        </w:rPr>
        <w:t>6</w:t>
      </w:r>
      <w:r>
        <w:rPr>
          <w:rFonts w:hAnsi="宋体"/>
          <w:color w:val="auto"/>
          <w:highlight w:val="none"/>
        </w:rPr>
        <w:t>.5</w:t>
      </w:r>
      <w:r>
        <w:rPr>
          <w:rFonts w:hint="eastAsia" w:hAnsi="宋体"/>
          <w:color w:val="auto"/>
          <w:highlight w:val="none"/>
        </w:rPr>
        <w:t xml:space="preserve"> </w:t>
      </w:r>
      <w:r>
        <w:rPr>
          <w:rFonts w:hAnsi="宋体"/>
          <w:color w:val="auto"/>
          <w:highlight w:val="none"/>
        </w:rPr>
        <w:t>协商结束后，</w:t>
      </w:r>
      <w:r>
        <w:rPr>
          <w:rFonts w:hint="eastAsia" w:hAnsi="宋体"/>
          <w:color w:val="auto"/>
          <w:highlight w:val="none"/>
        </w:rPr>
        <w:t>协商小组</w:t>
      </w:r>
      <w:r>
        <w:rPr>
          <w:rFonts w:hAnsi="宋体"/>
          <w:color w:val="auto"/>
          <w:highlight w:val="none"/>
        </w:rPr>
        <w:t>应要求</w:t>
      </w:r>
      <w:r>
        <w:rPr>
          <w:rFonts w:hint="eastAsia" w:hAnsi="宋体"/>
          <w:color w:val="auto"/>
          <w:highlight w:val="none"/>
        </w:rPr>
        <w:t>供应商</w:t>
      </w:r>
      <w:r>
        <w:rPr>
          <w:rFonts w:hAnsi="宋体"/>
          <w:color w:val="auto"/>
          <w:highlight w:val="none"/>
        </w:rPr>
        <w:t>在约定的时间、地点以</w:t>
      </w:r>
      <w:r>
        <w:rPr>
          <w:rFonts w:hint="eastAsia" w:hAnsi="宋体"/>
          <w:color w:val="auto"/>
          <w:highlight w:val="none"/>
          <w:lang w:eastAsia="zh-CN"/>
        </w:rPr>
        <w:t>书面</w:t>
      </w:r>
      <w:r>
        <w:rPr>
          <w:rFonts w:hAnsi="宋体"/>
          <w:color w:val="auto"/>
          <w:highlight w:val="none"/>
        </w:rPr>
        <w:t>形式递交协商时要求其作出的包含补充、修改、承诺、重新报价等内容的应答文件，应答文件必须由报价</w:t>
      </w:r>
      <w:r>
        <w:rPr>
          <w:rFonts w:hint="eastAsia" w:hAnsi="宋体"/>
          <w:color w:val="auto"/>
          <w:highlight w:val="none"/>
        </w:rPr>
        <w:t>供应商</w:t>
      </w:r>
      <w:r>
        <w:rPr>
          <w:rFonts w:hAnsi="宋体"/>
          <w:color w:val="auto"/>
          <w:highlight w:val="none"/>
        </w:rPr>
        <w:t>的法定代表人（或负责人）或委托代理人签名，应答文件构成协商报价文件的一部分。</w:t>
      </w:r>
    </w:p>
    <w:p w14:paraId="1A1B87F0">
      <w:pPr>
        <w:pStyle w:val="10"/>
        <w:spacing w:line="500" w:lineRule="exact"/>
        <w:ind w:firstLine="420" w:firstLineChars="200"/>
        <w:rPr>
          <w:rFonts w:hint="eastAsia" w:hAnsi="宋体"/>
          <w:color w:val="auto"/>
          <w:highlight w:val="none"/>
        </w:rPr>
      </w:pPr>
      <w:r>
        <w:rPr>
          <w:rFonts w:hint="eastAsia" w:hAnsi="宋体"/>
          <w:color w:val="auto"/>
          <w:highlight w:val="none"/>
        </w:rPr>
        <w:t>16</w:t>
      </w:r>
      <w:r>
        <w:rPr>
          <w:rFonts w:hAnsi="宋体"/>
          <w:color w:val="auto"/>
          <w:highlight w:val="none"/>
        </w:rPr>
        <w:t>.6</w:t>
      </w:r>
      <w:r>
        <w:rPr>
          <w:rFonts w:hint="eastAsia" w:hAnsi="宋体"/>
          <w:color w:val="auto"/>
          <w:highlight w:val="none"/>
        </w:rPr>
        <w:t xml:space="preserve"> 协商和商定</w:t>
      </w:r>
      <w:r>
        <w:rPr>
          <w:rFonts w:hAnsi="宋体"/>
          <w:color w:val="auto"/>
          <w:highlight w:val="none"/>
        </w:rPr>
        <w:t>内容应作</w:t>
      </w:r>
      <w:r>
        <w:rPr>
          <w:rFonts w:hint="eastAsia" w:hAnsi="宋体"/>
          <w:color w:val="auto"/>
          <w:highlight w:val="none"/>
        </w:rPr>
        <w:t>相应</w:t>
      </w:r>
      <w:r>
        <w:rPr>
          <w:rFonts w:hAnsi="宋体"/>
          <w:color w:val="auto"/>
          <w:highlight w:val="none"/>
        </w:rPr>
        <w:t>记录，并由</w:t>
      </w:r>
      <w:r>
        <w:rPr>
          <w:rFonts w:hint="eastAsia" w:hAnsi="宋体"/>
          <w:color w:val="auto"/>
          <w:highlight w:val="none"/>
        </w:rPr>
        <w:t>报价供应商</w:t>
      </w:r>
      <w:r>
        <w:rPr>
          <w:rFonts w:hAnsi="宋体"/>
          <w:color w:val="auto"/>
          <w:highlight w:val="none"/>
        </w:rPr>
        <w:t>及</w:t>
      </w:r>
      <w:r>
        <w:rPr>
          <w:rFonts w:hint="eastAsia" w:hAnsi="宋体"/>
          <w:color w:val="auto"/>
          <w:highlight w:val="none"/>
        </w:rPr>
        <w:t>协商小组</w:t>
      </w:r>
      <w:r>
        <w:rPr>
          <w:rFonts w:hAnsi="宋体"/>
          <w:color w:val="auto"/>
          <w:highlight w:val="none"/>
        </w:rPr>
        <w:t>成员签字确认。</w:t>
      </w:r>
    </w:p>
    <w:p w14:paraId="1FF496BA">
      <w:pPr>
        <w:pStyle w:val="10"/>
        <w:spacing w:line="500" w:lineRule="exact"/>
        <w:ind w:firstLine="420" w:firstLineChars="200"/>
        <w:rPr>
          <w:rFonts w:hAnsi="宋体"/>
          <w:color w:val="auto"/>
          <w:highlight w:val="none"/>
        </w:rPr>
      </w:pPr>
      <w:r>
        <w:rPr>
          <w:rFonts w:hAnsi="宋体"/>
          <w:color w:val="auto"/>
          <w:highlight w:val="none"/>
        </w:rPr>
        <w:t>1</w:t>
      </w:r>
      <w:r>
        <w:rPr>
          <w:rFonts w:hint="eastAsia" w:hAnsi="宋体"/>
          <w:color w:val="auto"/>
          <w:highlight w:val="none"/>
        </w:rPr>
        <w:t>6</w:t>
      </w:r>
      <w:r>
        <w:rPr>
          <w:rFonts w:hAnsi="宋体"/>
          <w:color w:val="auto"/>
          <w:highlight w:val="none"/>
        </w:rPr>
        <w:t>.</w:t>
      </w:r>
      <w:r>
        <w:rPr>
          <w:rFonts w:hint="eastAsia" w:hAnsi="宋体"/>
          <w:color w:val="auto"/>
          <w:highlight w:val="none"/>
        </w:rPr>
        <w:t>7 协商小组</w:t>
      </w:r>
      <w:r>
        <w:rPr>
          <w:rFonts w:hAnsi="宋体"/>
          <w:color w:val="auto"/>
          <w:highlight w:val="none"/>
        </w:rPr>
        <w:t>认为有必要再次进行协商和商定的，可再次与报价</w:t>
      </w:r>
      <w:r>
        <w:rPr>
          <w:rFonts w:hint="eastAsia" w:hAnsi="宋体"/>
          <w:color w:val="auto"/>
          <w:highlight w:val="none"/>
        </w:rPr>
        <w:t>供应商</w:t>
      </w:r>
      <w:r>
        <w:rPr>
          <w:rFonts w:hAnsi="宋体"/>
          <w:color w:val="auto"/>
          <w:highlight w:val="none"/>
        </w:rPr>
        <w:t>进行协商和商定，相关程序和要求按本须知1</w:t>
      </w:r>
      <w:r>
        <w:rPr>
          <w:rFonts w:hint="eastAsia" w:hAnsi="宋体"/>
          <w:color w:val="auto"/>
          <w:highlight w:val="none"/>
        </w:rPr>
        <w:t>6</w:t>
      </w:r>
      <w:r>
        <w:rPr>
          <w:rFonts w:hAnsi="宋体"/>
          <w:color w:val="auto"/>
          <w:highlight w:val="none"/>
        </w:rPr>
        <w:t>.2至1</w:t>
      </w:r>
      <w:r>
        <w:rPr>
          <w:rFonts w:hint="eastAsia" w:hAnsi="宋体"/>
          <w:color w:val="auto"/>
          <w:highlight w:val="none"/>
        </w:rPr>
        <w:t>6</w:t>
      </w:r>
      <w:r>
        <w:rPr>
          <w:rFonts w:hAnsi="宋体"/>
          <w:color w:val="auto"/>
          <w:highlight w:val="none"/>
        </w:rPr>
        <w:t>.5规定执行，直至</w:t>
      </w:r>
      <w:r>
        <w:rPr>
          <w:rFonts w:hint="eastAsia" w:hAnsi="宋体"/>
          <w:color w:val="auto"/>
          <w:highlight w:val="none"/>
        </w:rPr>
        <w:t>协商</w:t>
      </w:r>
      <w:r>
        <w:rPr>
          <w:rFonts w:hAnsi="宋体"/>
          <w:color w:val="auto"/>
          <w:highlight w:val="none"/>
        </w:rPr>
        <w:t>小组认为没有必要再进行商定，商定方可结束。</w:t>
      </w:r>
    </w:p>
    <w:p w14:paraId="3EEA19DA">
      <w:pPr>
        <w:pStyle w:val="10"/>
        <w:spacing w:line="500" w:lineRule="exact"/>
        <w:ind w:firstLine="420" w:firstLineChars="200"/>
        <w:rPr>
          <w:rFonts w:hAnsi="宋体"/>
          <w:color w:val="auto"/>
          <w:highlight w:val="none"/>
        </w:rPr>
      </w:pPr>
      <w:r>
        <w:rPr>
          <w:rFonts w:hAnsi="宋体"/>
          <w:color w:val="auto"/>
          <w:highlight w:val="none"/>
        </w:rPr>
        <w:t>1</w:t>
      </w:r>
      <w:r>
        <w:rPr>
          <w:rFonts w:hint="eastAsia" w:hAnsi="宋体"/>
          <w:color w:val="auto"/>
          <w:highlight w:val="none"/>
        </w:rPr>
        <w:t>6</w:t>
      </w:r>
      <w:r>
        <w:rPr>
          <w:rFonts w:hAnsi="宋体"/>
          <w:color w:val="auto"/>
          <w:highlight w:val="none"/>
        </w:rPr>
        <w:t>.</w:t>
      </w:r>
      <w:r>
        <w:rPr>
          <w:rFonts w:hint="eastAsia" w:hAnsi="宋体"/>
          <w:color w:val="auto"/>
          <w:highlight w:val="none"/>
        </w:rPr>
        <w:t xml:space="preserve">8  </w:t>
      </w:r>
      <w:r>
        <w:rPr>
          <w:rFonts w:hAnsi="宋体"/>
          <w:color w:val="auto"/>
          <w:highlight w:val="none"/>
        </w:rPr>
        <w:t>最终商定结束，确定了合理的成交价格后，</w:t>
      </w:r>
      <w:r>
        <w:rPr>
          <w:rFonts w:hint="eastAsia" w:hAnsi="宋体"/>
          <w:color w:val="auto"/>
          <w:highlight w:val="none"/>
        </w:rPr>
        <w:t>协商</w:t>
      </w:r>
      <w:r>
        <w:rPr>
          <w:rFonts w:hAnsi="宋体"/>
          <w:color w:val="auto"/>
          <w:highlight w:val="none"/>
        </w:rPr>
        <w:t>小组不得再与报价</w:t>
      </w:r>
      <w:r>
        <w:rPr>
          <w:rFonts w:hint="eastAsia" w:hAnsi="宋体"/>
          <w:color w:val="auto"/>
          <w:highlight w:val="none"/>
        </w:rPr>
        <w:t>供应商</w:t>
      </w:r>
      <w:r>
        <w:rPr>
          <w:rFonts w:hAnsi="宋体"/>
          <w:color w:val="auto"/>
          <w:highlight w:val="none"/>
        </w:rPr>
        <w:t>进行任何形式的商谈。</w:t>
      </w:r>
    </w:p>
    <w:p w14:paraId="67F1C972">
      <w:pPr>
        <w:widowControl/>
        <w:shd w:val="clear" w:color="auto" w:fill="FFFFFF"/>
        <w:spacing w:line="500" w:lineRule="exact"/>
        <w:ind w:firstLine="420" w:firstLineChars="200"/>
        <w:jc w:val="left"/>
        <w:rPr>
          <w:rFonts w:hint="eastAsia" w:ascii="宋体" w:hAnsi="宋体" w:cs="Arial"/>
          <w:color w:val="auto"/>
          <w:kern w:val="0"/>
          <w:szCs w:val="21"/>
          <w:highlight w:val="none"/>
        </w:rPr>
      </w:pPr>
      <w:r>
        <w:rPr>
          <w:rFonts w:hint="eastAsia" w:ascii="宋体" w:hAnsi="宋体"/>
          <w:color w:val="auto"/>
          <w:szCs w:val="20"/>
          <w:highlight w:val="none"/>
        </w:rPr>
        <w:t xml:space="preserve">16.9  </w:t>
      </w:r>
      <w:r>
        <w:rPr>
          <w:rFonts w:hint="eastAsia" w:ascii="宋体" w:hAnsi="宋体"/>
          <w:color w:val="auto"/>
          <w:highlight w:val="none"/>
        </w:rPr>
        <w:t>协商小组</w:t>
      </w:r>
      <w:r>
        <w:rPr>
          <w:rFonts w:ascii="宋体" w:hAnsi="宋体"/>
          <w:color w:val="auto"/>
          <w:kern w:val="0"/>
          <w:highlight w:val="none"/>
        </w:rPr>
        <w:t>应当编写</w:t>
      </w:r>
      <w:r>
        <w:rPr>
          <w:rFonts w:hint="eastAsia" w:ascii="宋体" w:hAnsi="宋体"/>
          <w:color w:val="auto"/>
          <w:kern w:val="0"/>
          <w:highlight w:val="none"/>
        </w:rPr>
        <w:t>协商</w:t>
      </w:r>
      <w:r>
        <w:rPr>
          <w:rFonts w:ascii="宋体" w:hAnsi="宋体"/>
          <w:color w:val="auto"/>
          <w:kern w:val="0"/>
          <w:highlight w:val="none"/>
        </w:rPr>
        <w:t>情况记录，</w:t>
      </w:r>
      <w:r>
        <w:rPr>
          <w:rFonts w:hint="eastAsia" w:ascii="宋体" w:hAnsi="宋体"/>
          <w:color w:val="auto"/>
          <w:kern w:val="0"/>
          <w:highlight w:val="none"/>
        </w:rPr>
        <w:t>协商</w:t>
      </w:r>
      <w:r>
        <w:rPr>
          <w:rFonts w:ascii="宋体" w:hAnsi="宋体"/>
          <w:color w:val="auto"/>
          <w:kern w:val="0"/>
          <w:highlight w:val="none"/>
        </w:rPr>
        <w:t>情况记录应当由</w:t>
      </w:r>
      <w:r>
        <w:rPr>
          <w:rFonts w:hint="eastAsia" w:ascii="宋体" w:hAnsi="宋体"/>
          <w:color w:val="auto"/>
          <w:highlight w:val="none"/>
        </w:rPr>
        <w:t>协商小组</w:t>
      </w:r>
      <w:r>
        <w:rPr>
          <w:rFonts w:ascii="宋体" w:hAnsi="宋体"/>
          <w:color w:val="auto"/>
          <w:kern w:val="0"/>
          <w:highlight w:val="none"/>
        </w:rPr>
        <w:t>全体签字认可。对记录有异议的协商小组，应当签署不同意见并说明理由。</w:t>
      </w:r>
      <w:r>
        <w:rPr>
          <w:rFonts w:hint="eastAsia" w:ascii="宋体" w:hAnsi="宋体"/>
          <w:color w:val="auto"/>
          <w:highlight w:val="none"/>
        </w:rPr>
        <w:t>协商小组</w:t>
      </w:r>
      <w:r>
        <w:rPr>
          <w:rFonts w:ascii="宋体" w:hAnsi="宋体"/>
          <w:color w:val="auto"/>
          <w:kern w:val="0"/>
          <w:highlight w:val="none"/>
        </w:rPr>
        <w:t>拒绝在记录上签字又不书面说明其不同意见和理由的，视为同意。</w:t>
      </w:r>
    </w:p>
    <w:p w14:paraId="36B8DF36">
      <w:pPr>
        <w:pStyle w:val="10"/>
        <w:spacing w:line="500" w:lineRule="exact"/>
        <w:ind w:firstLine="420" w:firstLineChars="200"/>
        <w:rPr>
          <w:rFonts w:hAnsi="宋体"/>
          <w:color w:val="auto"/>
          <w:highlight w:val="none"/>
        </w:rPr>
      </w:pPr>
      <w:r>
        <w:rPr>
          <w:rFonts w:hAnsi="宋体"/>
          <w:color w:val="auto"/>
          <w:highlight w:val="none"/>
        </w:rPr>
        <w:t>1</w:t>
      </w:r>
      <w:r>
        <w:rPr>
          <w:rFonts w:hint="eastAsia" w:hAnsi="宋体"/>
          <w:color w:val="auto"/>
          <w:highlight w:val="none"/>
        </w:rPr>
        <w:t>6</w:t>
      </w:r>
      <w:r>
        <w:rPr>
          <w:rFonts w:hAnsi="宋体"/>
          <w:color w:val="auto"/>
          <w:highlight w:val="none"/>
        </w:rPr>
        <w:t>.</w:t>
      </w:r>
      <w:r>
        <w:rPr>
          <w:rFonts w:hint="eastAsia" w:hAnsi="宋体"/>
          <w:color w:val="auto"/>
          <w:highlight w:val="none"/>
        </w:rPr>
        <w:t>10商定</w:t>
      </w:r>
      <w:r>
        <w:rPr>
          <w:rFonts w:hAnsi="宋体"/>
          <w:color w:val="auto"/>
          <w:highlight w:val="none"/>
        </w:rPr>
        <w:t>的任何一方不得透露与</w:t>
      </w:r>
      <w:r>
        <w:rPr>
          <w:rFonts w:hint="eastAsia" w:hAnsi="宋体"/>
          <w:color w:val="auto"/>
          <w:highlight w:val="none"/>
        </w:rPr>
        <w:t>商定</w:t>
      </w:r>
      <w:r>
        <w:rPr>
          <w:rFonts w:hAnsi="宋体"/>
          <w:color w:val="auto"/>
          <w:highlight w:val="none"/>
        </w:rPr>
        <w:t>有关的信息。</w:t>
      </w:r>
    </w:p>
    <w:p w14:paraId="3A450D49">
      <w:pPr>
        <w:pStyle w:val="10"/>
        <w:spacing w:line="500" w:lineRule="exact"/>
        <w:ind w:firstLine="420" w:firstLineChars="200"/>
        <w:rPr>
          <w:rFonts w:hint="eastAsia" w:hAnsi="宋体"/>
          <w:color w:val="auto"/>
          <w:highlight w:val="none"/>
        </w:rPr>
      </w:pPr>
      <w:r>
        <w:rPr>
          <w:rFonts w:hAnsi="宋体"/>
          <w:color w:val="auto"/>
          <w:highlight w:val="none"/>
        </w:rPr>
        <w:t>1</w:t>
      </w:r>
      <w:r>
        <w:rPr>
          <w:rFonts w:hint="eastAsia" w:hAnsi="宋体"/>
          <w:color w:val="auto"/>
          <w:highlight w:val="none"/>
        </w:rPr>
        <w:t>6.11报价供应商</w:t>
      </w:r>
      <w:r>
        <w:rPr>
          <w:rFonts w:hAnsi="宋体"/>
          <w:color w:val="auto"/>
          <w:highlight w:val="none"/>
        </w:rPr>
        <w:t>未在</w:t>
      </w:r>
      <w:r>
        <w:rPr>
          <w:rFonts w:hint="eastAsia" w:hAnsi="宋体"/>
          <w:color w:val="auto"/>
          <w:highlight w:val="none"/>
        </w:rPr>
        <w:t>协商小组</w:t>
      </w:r>
      <w:r>
        <w:rPr>
          <w:rFonts w:hAnsi="宋体"/>
          <w:color w:val="auto"/>
          <w:highlight w:val="none"/>
        </w:rPr>
        <w:t>规定时间内作出澄清或说明的，作主动弃权处理，一切后果由报价</w:t>
      </w:r>
      <w:r>
        <w:rPr>
          <w:rFonts w:hint="eastAsia" w:hAnsi="宋体"/>
          <w:color w:val="auto"/>
          <w:highlight w:val="none"/>
        </w:rPr>
        <w:t>供应商</w:t>
      </w:r>
      <w:r>
        <w:rPr>
          <w:rFonts w:hAnsi="宋体"/>
          <w:color w:val="auto"/>
          <w:highlight w:val="none"/>
        </w:rPr>
        <w:t>承担。</w:t>
      </w:r>
    </w:p>
    <w:p w14:paraId="58C176B2">
      <w:pPr>
        <w:pStyle w:val="10"/>
        <w:spacing w:line="500" w:lineRule="exact"/>
        <w:ind w:firstLine="422" w:firstLineChars="200"/>
        <w:rPr>
          <w:rFonts w:hAnsi="宋体"/>
          <w:b/>
          <w:bCs/>
          <w:color w:val="auto"/>
          <w:highlight w:val="none"/>
        </w:rPr>
      </w:pPr>
      <w:r>
        <w:rPr>
          <w:rFonts w:hint="eastAsia" w:hAnsi="宋体"/>
          <w:b/>
          <w:bCs/>
          <w:color w:val="auto"/>
          <w:highlight w:val="none"/>
        </w:rPr>
        <w:t>17.</w:t>
      </w:r>
      <w:r>
        <w:rPr>
          <w:rFonts w:hAnsi="宋体"/>
          <w:b/>
          <w:bCs/>
          <w:color w:val="auto"/>
          <w:highlight w:val="none"/>
        </w:rPr>
        <w:t>协商原则</w:t>
      </w:r>
    </w:p>
    <w:p w14:paraId="45F580FD">
      <w:pPr>
        <w:pStyle w:val="10"/>
        <w:spacing w:line="500" w:lineRule="exact"/>
        <w:ind w:firstLine="420" w:firstLineChars="200"/>
        <w:rPr>
          <w:rFonts w:hAnsi="宋体"/>
          <w:color w:val="auto"/>
          <w:highlight w:val="none"/>
        </w:rPr>
      </w:pPr>
      <w:r>
        <w:rPr>
          <w:rFonts w:hint="eastAsia" w:hAnsi="宋体"/>
          <w:color w:val="auto"/>
          <w:highlight w:val="none"/>
        </w:rPr>
        <w:t xml:space="preserve">17.1 </w:t>
      </w:r>
      <w:r>
        <w:rPr>
          <w:rFonts w:hAnsi="宋体"/>
          <w:color w:val="auto"/>
          <w:highlight w:val="none"/>
        </w:rPr>
        <w:t>必须公平、公正、客观，不带任何倾向性和启发性；</w:t>
      </w:r>
    </w:p>
    <w:p w14:paraId="00F43D36">
      <w:pPr>
        <w:pStyle w:val="10"/>
        <w:spacing w:line="500" w:lineRule="exact"/>
        <w:ind w:firstLine="420" w:firstLineChars="200"/>
        <w:rPr>
          <w:rFonts w:hAnsi="宋体"/>
          <w:color w:val="auto"/>
          <w:highlight w:val="none"/>
        </w:rPr>
      </w:pPr>
      <w:r>
        <w:rPr>
          <w:rFonts w:hint="eastAsia" w:hAnsi="宋体"/>
          <w:color w:val="auto"/>
          <w:highlight w:val="none"/>
        </w:rPr>
        <w:t xml:space="preserve">17.2 </w:t>
      </w:r>
      <w:r>
        <w:rPr>
          <w:rFonts w:hAnsi="宋体"/>
          <w:color w:val="auto"/>
          <w:highlight w:val="none"/>
        </w:rPr>
        <w:t>协商人员不得向外界透露任何与协商有关的内容；</w:t>
      </w:r>
    </w:p>
    <w:p w14:paraId="72929992">
      <w:pPr>
        <w:pStyle w:val="10"/>
        <w:spacing w:line="500" w:lineRule="exact"/>
        <w:ind w:firstLine="420" w:firstLineChars="200"/>
        <w:rPr>
          <w:rFonts w:hAnsi="宋体"/>
          <w:color w:val="auto"/>
          <w:highlight w:val="none"/>
        </w:rPr>
      </w:pPr>
      <w:r>
        <w:rPr>
          <w:rFonts w:hint="eastAsia" w:hAnsi="宋体"/>
          <w:color w:val="auto"/>
          <w:highlight w:val="none"/>
        </w:rPr>
        <w:t xml:space="preserve">17.3 </w:t>
      </w:r>
      <w:r>
        <w:rPr>
          <w:rFonts w:hAnsi="宋体"/>
          <w:color w:val="auto"/>
          <w:highlight w:val="none"/>
        </w:rPr>
        <w:t>任何单位和个人不得干扰、影响协商的正常进行；</w:t>
      </w:r>
    </w:p>
    <w:p w14:paraId="28A0263F">
      <w:pPr>
        <w:pStyle w:val="10"/>
        <w:spacing w:line="500" w:lineRule="exact"/>
        <w:ind w:firstLine="420" w:firstLineChars="200"/>
        <w:rPr>
          <w:rFonts w:hint="eastAsia" w:hAnsi="宋体" w:cs="Arial"/>
          <w:color w:val="auto"/>
          <w:kern w:val="0"/>
          <w:szCs w:val="21"/>
          <w:highlight w:val="none"/>
        </w:rPr>
      </w:pPr>
      <w:r>
        <w:rPr>
          <w:rFonts w:hint="eastAsia" w:hAnsi="宋体"/>
          <w:color w:val="auto"/>
          <w:highlight w:val="none"/>
        </w:rPr>
        <w:t xml:space="preserve">17.4 </w:t>
      </w:r>
      <w:r>
        <w:rPr>
          <w:rFonts w:hAnsi="宋体"/>
          <w:color w:val="auto"/>
          <w:highlight w:val="none"/>
        </w:rPr>
        <w:t>协商人员不得私下与</w:t>
      </w:r>
      <w:r>
        <w:rPr>
          <w:rFonts w:hint="eastAsia" w:hAnsi="宋体"/>
          <w:color w:val="auto"/>
          <w:highlight w:val="none"/>
          <w:lang w:val="en-US" w:eastAsia="zh-CN"/>
        </w:rPr>
        <w:t>采购人</w:t>
      </w:r>
      <w:r>
        <w:rPr>
          <w:rFonts w:hAnsi="宋体"/>
          <w:color w:val="auto"/>
          <w:highlight w:val="none"/>
        </w:rPr>
        <w:t>接触。</w:t>
      </w:r>
    </w:p>
    <w:p w14:paraId="3DA0C5C7">
      <w:pPr>
        <w:pStyle w:val="10"/>
        <w:spacing w:line="500" w:lineRule="exact"/>
        <w:ind w:firstLine="422" w:firstLineChars="200"/>
        <w:rPr>
          <w:rFonts w:hint="eastAsia" w:hAnsi="宋体"/>
          <w:b/>
          <w:color w:val="auto"/>
          <w:highlight w:val="none"/>
        </w:rPr>
      </w:pPr>
      <w:r>
        <w:rPr>
          <w:rFonts w:hint="eastAsia" w:hAnsi="宋体"/>
          <w:b/>
          <w:color w:val="auto"/>
          <w:highlight w:val="none"/>
        </w:rPr>
        <w:t>18.</w:t>
      </w:r>
      <w:r>
        <w:rPr>
          <w:rFonts w:hint="eastAsia" w:hAnsi="宋体"/>
          <w:b/>
          <w:bCs/>
          <w:color w:val="auto"/>
          <w:highlight w:val="none"/>
        </w:rPr>
        <w:t xml:space="preserve"> 确定成交供应商原则</w:t>
      </w:r>
      <w:r>
        <w:rPr>
          <w:rFonts w:hint="eastAsia" w:hAnsi="宋体"/>
          <w:b/>
          <w:color w:val="auto"/>
          <w:highlight w:val="none"/>
        </w:rPr>
        <w:t xml:space="preserve"> </w:t>
      </w:r>
    </w:p>
    <w:p w14:paraId="3E33D204">
      <w:pPr>
        <w:pStyle w:val="10"/>
        <w:spacing w:line="500" w:lineRule="exact"/>
        <w:ind w:firstLine="420" w:firstLineChars="200"/>
        <w:rPr>
          <w:rFonts w:hint="eastAsia" w:hAnsi="宋体"/>
          <w:color w:val="auto"/>
          <w:szCs w:val="21"/>
          <w:highlight w:val="none"/>
        </w:rPr>
      </w:pPr>
      <w:r>
        <w:rPr>
          <w:rFonts w:hint="eastAsia" w:hAnsi="宋体"/>
          <w:color w:val="auto"/>
          <w:szCs w:val="21"/>
          <w:highlight w:val="none"/>
        </w:rPr>
        <w:t>18.1价格商定工作将采取封闭方式进行，</w:t>
      </w:r>
      <w:r>
        <w:rPr>
          <w:rFonts w:hint="eastAsia" w:hAnsi="宋体" w:cs="Arial"/>
          <w:color w:val="auto"/>
          <w:kern w:val="0"/>
          <w:szCs w:val="21"/>
          <w:highlight w:val="none"/>
        </w:rPr>
        <w:t>协商</w:t>
      </w:r>
      <w:r>
        <w:rPr>
          <w:rFonts w:hAnsi="宋体" w:cs="Arial"/>
          <w:color w:val="auto"/>
          <w:kern w:val="0"/>
          <w:szCs w:val="21"/>
          <w:highlight w:val="none"/>
        </w:rPr>
        <w:t>小组</w:t>
      </w:r>
      <w:r>
        <w:rPr>
          <w:rFonts w:hint="eastAsia" w:hAnsi="宋体"/>
          <w:color w:val="auto"/>
          <w:szCs w:val="21"/>
          <w:highlight w:val="none"/>
        </w:rPr>
        <w:t>成员和有关工作人员不得透露与价格商定有关的情况。</w:t>
      </w:r>
    </w:p>
    <w:p w14:paraId="5ABF1182">
      <w:pPr>
        <w:pStyle w:val="10"/>
        <w:spacing w:line="500" w:lineRule="exact"/>
        <w:ind w:firstLine="420" w:firstLineChars="200"/>
        <w:rPr>
          <w:rFonts w:hint="eastAsia" w:hAnsi="宋体"/>
          <w:color w:val="auto"/>
          <w:szCs w:val="21"/>
          <w:highlight w:val="none"/>
        </w:rPr>
      </w:pPr>
      <w:r>
        <w:rPr>
          <w:rFonts w:hint="eastAsia" w:hAnsi="宋体"/>
          <w:color w:val="auto"/>
          <w:szCs w:val="21"/>
          <w:highlight w:val="none"/>
        </w:rPr>
        <w:t>18.2、协商小组根据“在保证采购项目服务质量和双方商定合理的成交价格” 的原则下确定成交供应商。</w:t>
      </w:r>
      <w:r>
        <w:rPr>
          <w:rFonts w:hint="eastAsia"/>
          <w:color w:val="auto"/>
          <w:szCs w:val="21"/>
          <w:highlight w:val="none"/>
        </w:rPr>
        <w:t>在质量和服务均能满足采购文件实质性响应要求、服务方案和具体措施可行的前提下，确定本项目单一来源供应商作为本项目的成交供应商。</w:t>
      </w:r>
    </w:p>
    <w:p w14:paraId="0003140F">
      <w:pPr>
        <w:snapToGrid w:val="0"/>
        <w:spacing w:line="500" w:lineRule="exact"/>
        <w:ind w:firstLine="420" w:firstLineChars="200"/>
        <w:outlineLvl w:val="4"/>
        <w:rPr>
          <w:rFonts w:hint="eastAsia" w:ascii="宋体" w:hAnsi="宋体"/>
          <w:b/>
          <w:color w:val="auto"/>
          <w:szCs w:val="21"/>
          <w:highlight w:val="none"/>
        </w:rPr>
      </w:pPr>
      <w:r>
        <w:rPr>
          <w:rFonts w:hint="eastAsia" w:hAnsi="宋体"/>
          <w:color w:val="auto"/>
          <w:szCs w:val="21"/>
          <w:highlight w:val="none"/>
        </w:rPr>
        <w:t>18</w:t>
      </w:r>
      <w:r>
        <w:rPr>
          <w:rFonts w:hint="eastAsia" w:ascii="宋体" w:hAnsi="宋体"/>
          <w:color w:val="auto"/>
          <w:szCs w:val="21"/>
          <w:highlight w:val="none"/>
        </w:rPr>
        <w:t>.3、</w:t>
      </w:r>
      <w:r>
        <w:rPr>
          <w:rFonts w:hint="eastAsia" w:ascii="宋体" w:hAnsi="宋体"/>
          <w:b/>
          <w:color w:val="auto"/>
          <w:szCs w:val="21"/>
          <w:highlight w:val="none"/>
        </w:rPr>
        <w:t>属于下列情况之一者，报价无效：</w:t>
      </w:r>
    </w:p>
    <w:p w14:paraId="7D40AE9C">
      <w:pPr>
        <w:snapToGrid w:val="0"/>
        <w:spacing w:line="500" w:lineRule="exact"/>
        <w:ind w:firstLine="411" w:firstLineChars="196"/>
        <w:outlineLvl w:val="4"/>
        <w:rPr>
          <w:rFonts w:hint="eastAsia" w:ascii="宋体" w:hAnsi="宋体"/>
          <w:color w:val="auto"/>
          <w:szCs w:val="21"/>
          <w:highlight w:val="none"/>
        </w:rPr>
      </w:pPr>
      <w:r>
        <w:rPr>
          <w:rFonts w:hint="eastAsia" w:ascii="宋体" w:hAnsi="宋体"/>
          <w:color w:val="auto"/>
          <w:szCs w:val="21"/>
          <w:highlight w:val="none"/>
        </w:rPr>
        <w:t>（1）未按单一来源采购文件规定完整提交报价文件或未按要求盖章的，或未提供授权委托书（委托代理的）；</w:t>
      </w:r>
    </w:p>
    <w:p w14:paraId="7677C36F">
      <w:pPr>
        <w:snapToGrid w:val="0"/>
        <w:spacing w:line="500" w:lineRule="exact"/>
        <w:ind w:firstLine="420" w:firstLineChars="200"/>
        <w:outlineLvl w:val="4"/>
        <w:rPr>
          <w:rFonts w:hint="eastAsia" w:ascii="宋体" w:hAnsi="宋体"/>
          <w:color w:val="auto"/>
          <w:szCs w:val="21"/>
          <w:highlight w:val="none"/>
        </w:rPr>
      </w:pPr>
      <w:r>
        <w:rPr>
          <w:rFonts w:hint="eastAsia" w:ascii="宋体" w:hAnsi="宋体"/>
          <w:color w:val="auto"/>
          <w:szCs w:val="21"/>
          <w:highlight w:val="none"/>
        </w:rPr>
        <w:t>（2）超越了按照法律法规规定必须获得行政许可；</w:t>
      </w:r>
    </w:p>
    <w:p w14:paraId="6816757F">
      <w:pPr>
        <w:snapToGrid w:val="0"/>
        <w:spacing w:line="500" w:lineRule="exact"/>
        <w:ind w:firstLine="411" w:firstLineChars="196"/>
        <w:outlineLvl w:val="4"/>
        <w:rPr>
          <w:rFonts w:hint="eastAsia" w:ascii="宋体" w:hAnsi="宋体"/>
          <w:color w:val="auto"/>
          <w:szCs w:val="21"/>
          <w:highlight w:val="none"/>
        </w:rPr>
      </w:pPr>
      <w:r>
        <w:rPr>
          <w:rFonts w:hint="eastAsia" w:ascii="宋体" w:hAnsi="宋体"/>
          <w:color w:val="auto"/>
          <w:szCs w:val="21"/>
          <w:highlight w:val="none"/>
        </w:rPr>
        <w:t>（3）不具备单一来源采购文件规定的资格要求的；</w:t>
      </w:r>
    </w:p>
    <w:p w14:paraId="57BB39E7">
      <w:pPr>
        <w:snapToGrid w:val="0"/>
        <w:spacing w:line="500" w:lineRule="exact"/>
        <w:ind w:firstLine="411" w:firstLineChars="196"/>
        <w:outlineLvl w:val="4"/>
        <w:rPr>
          <w:rFonts w:hint="eastAsia" w:ascii="宋体" w:hAnsi="宋体"/>
          <w:color w:val="auto"/>
          <w:szCs w:val="21"/>
          <w:highlight w:val="none"/>
        </w:rPr>
      </w:pPr>
      <w:r>
        <w:rPr>
          <w:rFonts w:hint="eastAsia" w:ascii="宋体" w:hAnsi="宋体"/>
          <w:color w:val="auto"/>
          <w:szCs w:val="21"/>
          <w:highlight w:val="none"/>
        </w:rPr>
        <w:t>（4）报价文件未按单一来源采购文件的内容和要求编制，或提供虚假材料或无效的；</w:t>
      </w:r>
    </w:p>
    <w:p w14:paraId="16F4D739">
      <w:pPr>
        <w:snapToGrid w:val="0"/>
        <w:spacing w:line="500" w:lineRule="exact"/>
        <w:ind w:firstLine="411" w:firstLineChars="196"/>
        <w:outlineLvl w:val="4"/>
        <w:rPr>
          <w:rFonts w:hint="eastAsia" w:ascii="宋体" w:hAnsi="宋体"/>
          <w:color w:val="auto"/>
          <w:szCs w:val="21"/>
          <w:highlight w:val="none"/>
        </w:rPr>
      </w:pPr>
      <w:r>
        <w:rPr>
          <w:rFonts w:hint="eastAsia" w:ascii="宋体" w:hAnsi="宋体"/>
          <w:color w:val="auto"/>
          <w:szCs w:val="21"/>
          <w:highlight w:val="none"/>
        </w:rPr>
        <w:t>（5）报价有效期、服务承诺等不能满足单一来源采购文件要求的；</w:t>
      </w:r>
    </w:p>
    <w:p w14:paraId="2E9D6B75">
      <w:pPr>
        <w:snapToGrid w:val="0"/>
        <w:spacing w:line="500" w:lineRule="exact"/>
        <w:ind w:firstLine="411" w:firstLineChars="196"/>
        <w:outlineLvl w:val="4"/>
        <w:rPr>
          <w:rFonts w:hint="eastAsia" w:ascii="宋体" w:hAnsi="宋体"/>
          <w:color w:val="auto"/>
          <w:szCs w:val="21"/>
          <w:highlight w:val="none"/>
        </w:rPr>
      </w:pPr>
      <w:r>
        <w:rPr>
          <w:rFonts w:hint="eastAsia" w:ascii="宋体" w:hAnsi="宋体"/>
          <w:color w:val="auto"/>
          <w:szCs w:val="21"/>
          <w:highlight w:val="none"/>
        </w:rPr>
        <w:t>（6）供应商未就“项目需求”中的所有内容作完整唯一报价的；</w:t>
      </w:r>
    </w:p>
    <w:p w14:paraId="65D56E39">
      <w:pPr>
        <w:snapToGrid w:val="0"/>
        <w:spacing w:line="500" w:lineRule="exact"/>
        <w:ind w:firstLine="420" w:firstLineChars="200"/>
        <w:outlineLvl w:val="4"/>
        <w:rPr>
          <w:rFonts w:hint="eastAsia" w:ascii="宋体" w:hAnsi="宋体"/>
          <w:color w:val="auto"/>
          <w:highlight w:val="none"/>
        </w:rPr>
      </w:pPr>
      <w:r>
        <w:rPr>
          <w:rFonts w:hint="eastAsia" w:ascii="宋体" w:hAnsi="宋体"/>
          <w:color w:val="auto"/>
          <w:szCs w:val="21"/>
          <w:highlight w:val="none"/>
        </w:rPr>
        <w:t>（7）</w:t>
      </w:r>
      <w:r>
        <w:rPr>
          <w:rFonts w:hint="eastAsia" w:ascii="宋体" w:hAnsi="宋体"/>
          <w:color w:val="auto"/>
          <w:highlight w:val="none"/>
        </w:rPr>
        <w:t>供应商未按要求提供 “原件备查”材料原件的，或所提供材料原件与其在报价文件中提供的材料复印件不一致的；</w:t>
      </w:r>
    </w:p>
    <w:p w14:paraId="195EF96E">
      <w:pPr>
        <w:pStyle w:val="10"/>
        <w:spacing w:line="500" w:lineRule="exact"/>
        <w:ind w:firstLine="420" w:firstLineChars="200"/>
        <w:rPr>
          <w:rFonts w:hint="eastAsia" w:hAnsi="宋体"/>
          <w:color w:val="auto"/>
          <w:szCs w:val="21"/>
          <w:highlight w:val="none"/>
        </w:rPr>
      </w:pPr>
      <w:r>
        <w:rPr>
          <w:rFonts w:hint="eastAsia" w:hAnsi="宋体"/>
          <w:bCs/>
          <w:color w:val="auto"/>
          <w:highlight w:val="none"/>
        </w:rPr>
        <w:t>（8）不满足</w:t>
      </w:r>
      <w:r>
        <w:rPr>
          <w:rFonts w:hint="eastAsia" w:hAnsi="宋体"/>
          <w:color w:val="auto"/>
          <w:szCs w:val="21"/>
          <w:highlight w:val="none"/>
        </w:rPr>
        <w:t>单一来源采购文件全部实质性要求或者报价文件有采购人不能接受的附加条件的；</w:t>
      </w:r>
    </w:p>
    <w:p w14:paraId="75BC57A4">
      <w:pPr>
        <w:pStyle w:val="10"/>
        <w:spacing w:line="500" w:lineRule="exact"/>
        <w:ind w:firstLine="420" w:firstLineChars="200"/>
        <w:rPr>
          <w:rFonts w:hint="eastAsia" w:hAnsi="宋体"/>
          <w:color w:val="auto"/>
          <w:highlight w:val="none"/>
        </w:rPr>
      </w:pPr>
      <w:r>
        <w:rPr>
          <w:rFonts w:hint="eastAsia" w:hAnsi="宋体"/>
          <w:color w:val="auto"/>
          <w:highlight w:val="none"/>
        </w:rPr>
        <w:t>（9）不符合法律、法规和采购文件规定的其他实质性要求和条件的</w:t>
      </w:r>
      <w:r>
        <w:rPr>
          <w:rFonts w:hint="eastAsia" w:hAnsi="宋体"/>
          <w:color w:val="auto"/>
          <w:szCs w:val="21"/>
          <w:highlight w:val="none"/>
        </w:rPr>
        <w:t>。</w:t>
      </w:r>
    </w:p>
    <w:p w14:paraId="42B519BA">
      <w:pPr>
        <w:snapToGrid w:val="0"/>
        <w:spacing w:line="500" w:lineRule="exact"/>
        <w:ind w:firstLine="420" w:firstLineChars="200"/>
        <w:outlineLvl w:val="4"/>
        <w:rPr>
          <w:rFonts w:ascii="宋体" w:hAnsi="宋体"/>
          <w:color w:val="auto"/>
          <w:highlight w:val="none"/>
        </w:rPr>
      </w:pPr>
      <w:r>
        <w:rPr>
          <w:rFonts w:hint="eastAsia" w:hAnsi="宋体"/>
          <w:color w:val="auto"/>
          <w:highlight w:val="none"/>
        </w:rPr>
        <w:t>18</w:t>
      </w:r>
      <w:r>
        <w:rPr>
          <w:rFonts w:hint="eastAsia" w:ascii="宋体" w:hAnsi="宋体"/>
          <w:bCs/>
          <w:color w:val="auto"/>
          <w:szCs w:val="21"/>
          <w:highlight w:val="none"/>
        </w:rPr>
        <w:t>.4、</w:t>
      </w:r>
      <w:r>
        <w:rPr>
          <w:rFonts w:ascii="宋体" w:hAnsi="宋体"/>
          <w:b/>
          <w:color w:val="auto"/>
          <w:highlight w:val="none"/>
        </w:rPr>
        <w:t>出现下列情形之一的，采购人或者采购代理机构应当终止</w:t>
      </w:r>
      <w:r>
        <w:rPr>
          <w:rFonts w:hint="eastAsia" w:ascii="宋体" w:hAnsi="宋体"/>
          <w:b/>
          <w:color w:val="auto"/>
          <w:highlight w:val="none"/>
        </w:rPr>
        <w:t>单一来源采购</w:t>
      </w:r>
      <w:r>
        <w:rPr>
          <w:rFonts w:ascii="宋体" w:hAnsi="宋体"/>
          <w:b/>
          <w:color w:val="auto"/>
          <w:highlight w:val="none"/>
        </w:rPr>
        <w:t>活动，发布项目终止公告并说明原因，重新开展采购活动：</w:t>
      </w:r>
    </w:p>
    <w:p w14:paraId="6EC01B75">
      <w:pPr>
        <w:snapToGrid w:val="0"/>
        <w:spacing w:line="500" w:lineRule="exact"/>
        <w:ind w:left="355" w:leftChars="169" w:firstLine="102" w:firstLineChars="49"/>
        <w:outlineLvl w:val="4"/>
        <w:rPr>
          <w:rFonts w:ascii="宋体" w:hAnsi="宋体"/>
          <w:color w:val="auto"/>
          <w:highlight w:val="none"/>
        </w:rPr>
      </w:pPr>
      <w:r>
        <w:rPr>
          <w:rFonts w:ascii="宋体" w:hAnsi="宋体"/>
          <w:color w:val="auto"/>
          <w:highlight w:val="none"/>
        </w:rPr>
        <w:t>（一）因情况变化，不再符合规定的</w:t>
      </w:r>
      <w:r>
        <w:rPr>
          <w:rFonts w:hint="eastAsia" w:ascii="宋体" w:hAnsi="宋体"/>
          <w:color w:val="auto"/>
          <w:highlight w:val="none"/>
        </w:rPr>
        <w:t>单一来源采购</w:t>
      </w:r>
      <w:r>
        <w:rPr>
          <w:rFonts w:ascii="宋体" w:hAnsi="宋体"/>
          <w:color w:val="auto"/>
          <w:highlight w:val="none"/>
        </w:rPr>
        <w:t>方式适用情形的；</w:t>
      </w:r>
    </w:p>
    <w:p w14:paraId="2047A3E3">
      <w:pPr>
        <w:snapToGrid w:val="0"/>
        <w:spacing w:line="500" w:lineRule="exact"/>
        <w:ind w:left="355" w:leftChars="169" w:firstLine="102" w:firstLineChars="49"/>
        <w:outlineLvl w:val="4"/>
        <w:rPr>
          <w:rFonts w:hint="eastAsia" w:ascii="宋体" w:hAnsi="宋体"/>
          <w:color w:val="auto"/>
          <w:highlight w:val="none"/>
        </w:rPr>
      </w:pPr>
      <w:r>
        <w:rPr>
          <w:rFonts w:ascii="宋体" w:hAnsi="宋体"/>
          <w:color w:val="auto"/>
          <w:highlight w:val="none"/>
        </w:rPr>
        <w:t>（二）出现影响采购公正的违法、违规行为的；</w:t>
      </w:r>
    </w:p>
    <w:p w14:paraId="6E6E1235">
      <w:pPr>
        <w:snapToGrid w:val="0"/>
        <w:spacing w:line="500" w:lineRule="exact"/>
        <w:ind w:left="355" w:leftChars="169" w:firstLine="102" w:firstLineChars="49"/>
        <w:outlineLvl w:val="4"/>
        <w:rPr>
          <w:rFonts w:hint="eastAsia" w:ascii="宋体" w:hAnsi="宋体"/>
          <w:color w:val="auto"/>
          <w:highlight w:val="none"/>
        </w:rPr>
      </w:pPr>
      <w:r>
        <w:rPr>
          <w:rFonts w:hint="eastAsia" w:ascii="宋体" w:hAnsi="宋体"/>
          <w:color w:val="auto"/>
          <w:highlight w:val="none"/>
        </w:rPr>
        <w:t>（三）报价超过采购预算的。</w:t>
      </w:r>
    </w:p>
    <w:p w14:paraId="641CCD44">
      <w:pPr>
        <w:pStyle w:val="10"/>
        <w:spacing w:line="360" w:lineRule="auto"/>
        <w:rPr>
          <w:rFonts w:hint="eastAsia" w:hAnsi="宋体"/>
          <w:b/>
          <w:color w:val="auto"/>
          <w:highlight w:val="none"/>
        </w:rPr>
      </w:pPr>
      <w:r>
        <w:rPr>
          <w:rFonts w:hint="eastAsia" w:hAnsi="宋体"/>
          <w:b/>
          <w:color w:val="auto"/>
          <w:highlight w:val="none"/>
        </w:rPr>
        <w:t>19.商定过程的监控</w:t>
      </w:r>
    </w:p>
    <w:p w14:paraId="180002AB">
      <w:pPr>
        <w:pStyle w:val="10"/>
        <w:spacing w:line="360" w:lineRule="auto"/>
        <w:ind w:firstLine="420" w:firstLineChars="200"/>
        <w:rPr>
          <w:rFonts w:hint="eastAsia" w:hAnsi="宋体"/>
          <w:b/>
          <w:color w:val="auto"/>
          <w:highlight w:val="none"/>
        </w:rPr>
      </w:pPr>
      <w:r>
        <w:rPr>
          <w:rFonts w:hint="eastAsia" w:hAnsi="宋体"/>
          <w:color w:val="auto"/>
          <w:highlight w:val="none"/>
        </w:rPr>
        <w:t>19.1、本项目商定过程实行全程录音、录像监控，供应商在商定过程中所进行的试图影响商定结果的不公正活动，可能导致其报价被拒绝。</w:t>
      </w:r>
    </w:p>
    <w:p w14:paraId="019B1A6A">
      <w:pPr>
        <w:pStyle w:val="10"/>
        <w:spacing w:line="360" w:lineRule="auto"/>
        <w:rPr>
          <w:rFonts w:hint="eastAsia" w:hAnsi="宋体"/>
          <w:b/>
          <w:color w:val="auto"/>
          <w:highlight w:val="none"/>
        </w:rPr>
      </w:pPr>
      <w:r>
        <w:rPr>
          <w:rFonts w:hint="eastAsia" w:hAnsi="宋体"/>
          <w:b/>
          <w:color w:val="auto"/>
          <w:highlight w:val="none"/>
        </w:rPr>
        <w:t>20</w:t>
      </w:r>
      <w:r>
        <w:rPr>
          <w:rFonts w:hint="eastAsia" w:hAnsi="宋体"/>
          <w:b/>
          <w:color w:val="auto"/>
          <w:szCs w:val="21"/>
          <w:highlight w:val="none"/>
        </w:rPr>
        <w:t>.</w:t>
      </w:r>
      <w:r>
        <w:rPr>
          <w:rFonts w:hint="eastAsia" w:ascii="黑体" w:hAnsi="黑体" w:eastAsia="黑体" w:cs="宋体"/>
          <w:b/>
          <w:bCs/>
          <w:color w:val="auto"/>
          <w:sz w:val="24"/>
          <w:highlight w:val="none"/>
        </w:rPr>
        <w:t>确定成交供应商及结果公告</w:t>
      </w:r>
    </w:p>
    <w:p w14:paraId="1A274EB8">
      <w:pPr>
        <w:keepNext w:val="0"/>
        <w:keepLines w:val="0"/>
        <w:widowControl/>
        <w:suppressLineNumbers w:val="0"/>
        <w:spacing w:line="360" w:lineRule="auto"/>
        <w:ind w:firstLine="210" w:firstLineChars="10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20.1、采购代理机构应当在评审结束后 2 个工作日内将评审报告送采购人确认。采购人应当在收到评审报告后 2 个工作日内，从评审报告提出的成交候选人确定成交供应商，采购人逾期未确定成交供应商且不提出异议的，视为确定协商报告提出的供应商为成交供应商。 </w:t>
      </w:r>
    </w:p>
    <w:p w14:paraId="376EC20C">
      <w:pPr>
        <w:keepNext w:val="0"/>
        <w:keepLines w:val="0"/>
        <w:widowControl/>
        <w:suppressLineNumbers w:val="0"/>
        <w:spacing w:line="360" w:lineRule="auto"/>
        <w:ind w:firstLine="210" w:firstLineChars="10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20.2、采购代理机构应当在成交供应商确定后 2 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 </w:t>
      </w:r>
    </w:p>
    <w:p w14:paraId="325AD2CE">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1"/>
          <w:szCs w:val="21"/>
          <w:highlight w:val="none"/>
          <w:lang w:val="en-US" w:eastAsia="zh-CN" w:bidi="ar"/>
        </w:rPr>
        <w:t>以上信息查询记录及相关证据与采购文件一并保存。</w:t>
      </w:r>
    </w:p>
    <w:p w14:paraId="383B212B">
      <w:pPr>
        <w:pStyle w:val="10"/>
        <w:spacing w:line="500" w:lineRule="exact"/>
        <w:ind w:firstLine="420" w:firstLineChars="200"/>
        <w:rPr>
          <w:rFonts w:hint="eastAsia" w:hAnsi="宋体"/>
          <w:color w:val="auto"/>
          <w:highlight w:val="none"/>
        </w:rPr>
      </w:pPr>
    </w:p>
    <w:p w14:paraId="49AE8FBE">
      <w:pPr>
        <w:pStyle w:val="3"/>
        <w:rPr>
          <w:rFonts w:hint="eastAsia"/>
          <w:color w:val="auto"/>
          <w:highlight w:val="none"/>
        </w:rPr>
      </w:pPr>
      <w:bookmarkStart w:id="61" w:name="_Toc467138622"/>
      <w:r>
        <w:rPr>
          <w:rFonts w:hint="eastAsia"/>
          <w:color w:val="auto"/>
          <w:highlight w:val="none"/>
        </w:rPr>
        <w:t>六、签订合同</w:t>
      </w:r>
      <w:bookmarkEnd w:id="61"/>
    </w:p>
    <w:p w14:paraId="52193799">
      <w:pPr>
        <w:pStyle w:val="10"/>
        <w:spacing w:line="500" w:lineRule="exact"/>
        <w:rPr>
          <w:rFonts w:hint="eastAsia" w:hAnsi="宋体"/>
          <w:b/>
          <w:color w:val="auto"/>
          <w:highlight w:val="none"/>
        </w:rPr>
      </w:pPr>
      <w:r>
        <w:rPr>
          <w:rFonts w:hint="eastAsia" w:hAnsi="宋体"/>
          <w:b/>
          <w:color w:val="auto"/>
          <w:highlight w:val="none"/>
        </w:rPr>
        <w:t>21.合同授予标准</w:t>
      </w:r>
    </w:p>
    <w:p w14:paraId="2F20D360">
      <w:pPr>
        <w:pStyle w:val="10"/>
        <w:spacing w:line="500" w:lineRule="exact"/>
        <w:ind w:firstLine="420"/>
        <w:rPr>
          <w:rFonts w:hint="eastAsia" w:hAnsi="宋体"/>
          <w:color w:val="auto"/>
          <w:highlight w:val="none"/>
        </w:rPr>
      </w:pPr>
      <w:r>
        <w:rPr>
          <w:rFonts w:hint="eastAsia" w:hAnsi="宋体"/>
          <w:color w:val="auto"/>
          <w:highlight w:val="none"/>
        </w:rPr>
        <w:t>21.1合同将授予被确定为实质上响应采购文件要求，评审认为具备履行合同能力的供应商。</w:t>
      </w:r>
    </w:p>
    <w:p w14:paraId="008D0421">
      <w:pPr>
        <w:pStyle w:val="10"/>
        <w:spacing w:line="500" w:lineRule="exact"/>
        <w:ind w:firstLine="420"/>
        <w:rPr>
          <w:rFonts w:hint="eastAsia" w:hAnsi="宋体"/>
          <w:color w:val="auto"/>
          <w:highlight w:val="none"/>
        </w:rPr>
      </w:pPr>
      <w:r>
        <w:rPr>
          <w:rFonts w:hint="eastAsia" w:hAnsi="宋体"/>
          <w:color w:val="auto"/>
          <w:highlight w:val="none"/>
        </w:rPr>
        <w:t>21.2采购人应按照评审报告确定成交供应商。</w:t>
      </w:r>
    </w:p>
    <w:p w14:paraId="60A63157">
      <w:pPr>
        <w:pStyle w:val="10"/>
        <w:spacing w:line="500" w:lineRule="exact"/>
        <w:ind w:firstLine="420"/>
        <w:rPr>
          <w:rFonts w:hint="eastAsia" w:hAnsi="宋体"/>
          <w:color w:val="auto"/>
          <w:highlight w:val="none"/>
        </w:rPr>
      </w:pPr>
      <w:r>
        <w:rPr>
          <w:rFonts w:hint="eastAsia" w:hAnsi="宋体"/>
          <w:color w:val="auto"/>
          <w:highlight w:val="none"/>
        </w:rPr>
        <w:t>21.3成交供应商因不可抗力或者自身原因，不能履行政府采购合同的，采购人在对成交供应商采取相应处置措施后，宣布废标。另行按政府采购相关程序重新采购。</w:t>
      </w:r>
    </w:p>
    <w:p w14:paraId="46F60B76">
      <w:pPr>
        <w:pStyle w:val="10"/>
        <w:spacing w:line="500" w:lineRule="exact"/>
        <w:rPr>
          <w:rFonts w:hint="eastAsia" w:hAnsi="宋体"/>
          <w:b/>
          <w:color w:val="auto"/>
          <w:highlight w:val="none"/>
        </w:rPr>
      </w:pPr>
      <w:r>
        <w:rPr>
          <w:rFonts w:hint="eastAsia" w:hAnsi="宋体"/>
          <w:b/>
          <w:color w:val="auto"/>
          <w:highlight w:val="none"/>
        </w:rPr>
        <w:t>22.签订合同</w:t>
      </w:r>
    </w:p>
    <w:p w14:paraId="69B457C6">
      <w:pPr>
        <w:pStyle w:val="10"/>
        <w:spacing w:line="500" w:lineRule="exact"/>
        <w:ind w:firstLine="420"/>
        <w:rPr>
          <w:rFonts w:hint="eastAsia" w:hAnsi="宋体"/>
          <w:color w:val="auto"/>
          <w:highlight w:val="none"/>
        </w:rPr>
      </w:pPr>
      <w:r>
        <w:rPr>
          <w:rFonts w:hint="eastAsia" w:hAnsi="宋体"/>
          <w:color w:val="auto"/>
          <w:highlight w:val="none"/>
        </w:rPr>
        <w:t>22.1合同签订时间：</w:t>
      </w:r>
      <w:r>
        <w:rPr>
          <w:rFonts w:hint="eastAsia" w:hAnsi="宋体"/>
          <w:b/>
          <w:bCs/>
          <w:color w:val="auto"/>
          <w:highlight w:val="none"/>
        </w:rPr>
        <w:t>自成交通知书发出之日起</w:t>
      </w:r>
      <w:r>
        <w:rPr>
          <w:rFonts w:hint="eastAsia" w:hAnsi="宋体"/>
          <w:b/>
          <w:bCs/>
          <w:color w:val="auto"/>
          <w:highlight w:val="none"/>
          <w:lang w:val="en-US" w:eastAsia="zh-CN"/>
        </w:rPr>
        <w:t>20</w:t>
      </w:r>
      <w:r>
        <w:rPr>
          <w:rFonts w:hint="eastAsia" w:hAnsi="宋体"/>
          <w:b/>
          <w:bCs/>
          <w:color w:val="auto"/>
          <w:highlight w:val="none"/>
        </w:rPr>
        <w:t>日内。</w:t>
      </w:r>
      <w:r>
        <w:rPr>
          <w:rFonts w:hint="eastAsia" w:hAnsi="宋体"/>
          <w:color w:val="auto"/>
          <w:highlight w:val="none"/>
        </w:rPr>
        <w:t>成交供应商收到成交通知书后，按成交规定与采购人签订合同。</w:t>
      </w:r>
    </w:p>
    <w:p w14:paraId="4E60F64C">
      <w:pPr>
        <w:pStyle w:val="10"/>
        <w:spacing w:line="500" w:lineRule="exact"/>
        <w:ind w:firstLine="420"/>
        <w:rPr>
          <w:rFonts w:hint="eastAsia" w:hAnsi="宋体"/>
          <w:color w:val="auto"/>
          <w:highlight w:val="none"/>
        </w:rPr>
      </w:pPr>
      <w:r>
        <w:rPr>
          <w:rFonts w:hint="eastAsia" w:hAnsi="宋体"/>
          <w:color w:val="auto"/>
          <w:highlight w:val="none"/>
        </w:rPr>
        <w:t>22.2采购代理机构如遇成交供应商违约，在报采购人备案后，对违约供应商采取相应的处罚措施。并按政府采购程序重新组织采购。</w:t>
      </w:r>
    </w:p>
    <w:p w14:paraId="21E1EE31">
      <w:pPr>
        <w:spacing w:line="500" w:lineRule="exact"/>
        <w:ind w:firstLine="420" w:firstLineChars="200"/>
        <w:rPr>
          <w:rFonts w:ascii="宋体" w:hAnsi="宋体"/>
          <w:color w:val="auto"/>
          <w:highlight w:val="none"/>
        </w:rPr>
      </w:pPr>
      <w:r>
        <w:rPr>
          <w:rFonts w:hint="eastAsia" w:ascii="宋体" w:hAnsi="宋体"/>
          <w:color w:val="auto"/>
          <w:highlight w:val="none"/>
        </w:rPr>
        <w:t>22.3如成交供应商有下列情形之一的，情节严重的，由财政部门将其列入不良行为记录名单，在一至三年内禁止参加政府采购活动，并予以通报。采购代理机构重新组织报价。拒绝签订政府采购合同的成</w:t>
      </w:r>
      <w:r>
        <w:rPr>
          <w:rFonts w:hint="eastAsia" w:ascii="宋体" w:hAnsi="宋体"/>
          <w:color w:val="auto"/>
          <w:szCs w:val="21"/>
          <w:highlight w:val="none"/>
        </w:rPr>
        <w:t>交供应商不得参加对该项目重新开展的采购活动。</w:t>
      </w:r>
    </w:p>
    <w:p w14:paraId="5AC8D4CF">
      <w:pPr>
        <w:widowControl/>
        <w:spacing w:line="500" w:lineRule="exact"/>
        <w:jc w:val="left"/>
        <w:rPr>
          <w:rFonts w:ascii="宋体" w:hAnsi="宋体"/>
          <w:color w:val="auto"/>
          <w:highlight w:val="none"/>
        </w:rPr>
      </w:pPr>
      <w:r>
        <w:rPr>
          <w:rFonts w:hint="eastAsia" w:ascii="宋体" w:hAnsi="宋体"/>
          <w:color w:val="auto"/>
          <w:highlight w:val="none"/>
        </w:rPr>
        <w:t xml:space="preserve">    （1）成交后不与采购人签订合同的（不可抗力除外）；</w:t>
      </w:r>
    </w:p>
    <w:p w14:paraId="462AD5B3">
      <w:pPr>
        <w:widowControl/>
        <w:spacing w:line="500" w:lineRule="exact"/>
        <w:jc w:val="left"/>
        <w:rPr>
          <w:rFonts w:ascii="宋体" w:hAnsi="宋体"/>
          <w:color w:val="auto"/>
          <w:highlight w:val="none"/>
        </w:rPr>
      </w:pPr>
      <w:r>
        <w:rPr>
          <w:rFonts w:hint="eastAsia" w:ascii="宋体" w:hAnsi="宋体"/>
          <w:color w:val="auto"/>
          <w:highlight w:val="none"/>
        </w:rPr>
        <w:t xml:space="preserve">    （2）将成交项目转让给他人，或者在报价文件中未说明，且未经采购人同意，将成交项目分包给他人的；</w:t>
      </w:r>
    </w:p>
    <w:p w14:paraId="0189DA8D">
      <w:pPr>
        <w:widowControl/>
        <w:spacing w:line="500" w:lineRule="exact"/>
        <w:ind w:firstLine="420"/>
        <w:jc w:val="left"/>
        <w:rPr>
          <w:rFonts w:hint="eastAsia" w:ascii="宋体" w:hAnsi="宋体"/>
          <w:color w:val="auto"/>
          <w:highlight w:val="none"/>
        </w:rPr>
      </w:pPr>
      <w:r>
        <w:rPr>
          <w:rFonts w:hint="eastAsia" w:ascii="宋体" w:hAnsi="宋体"/>
          <w:color w:val="auto"/>
          <w:highlight w:val="none"/>
        </w:rPr>
        <w:t>（3）拒绝履行合同义务的。</w:t>
      </w:r>
    </w:p>
    <w:p w14:paraId="428A393F">
      <w:pPr>
        <w:pStyle w:val="10"/>
        <w:spacing w:line="440" w:lineRule="exact"/>
        <w:ind w:firstLine="412"/>
        <w:rPr>
          <w:rFonts w:hAnsi="宋体"/>
          <w:color w:val="auto"/>
          <w:highlight w:val="none"/>
        </w:rPr>
      </w:pPr>
      <w:r>
        <w:rPr>
          <w:rFonts w:hint="eastAsia" w:hAnsi="宋体"/>
          <w:color w:val="auto"/>
          <w:highlight w:val="none"/>
        </w:rPr>
        <w:t>22.4</w:t>
      </w:r>
      <w:r>
        <w:rPr>
          <w:rFonts w:hAnsi="宋体"/>
          <w:color w:val="auto"/>
          <w:highlight w:val="none"/>
        </w:rPr>
        <w:t>政府采购合同公告</w:t>
      </w:r>
    </w:p>
    <w:p w14:paraId="6B0AC249">
      <w:pPr>
        <w:pStyle w:val="10"/>
        <w:spacing w:line="440" w:lineRule="exact"/>
        <w:ind w:firstLine="412"/>
        <w:rPr>
          <w:rFonts w:hint="eastAsia"/>
          <w:color w:val="auto"/>
          <w:highlight w:val="none"/>
        </w:rPr>
      </w:pPr>
      <w:r>
        <w:rPr>
          <w:rFonts w:hAnsi="宋体"/>
          <w:color w:val="auto"/>
          <w:highlight w:val="none"/>
        </w:rPr>
        <w:t>根据《中华人民共和国政府采购法实施条例》第五十条规定，采购人应当自政府采购合同签订之日起2 个工作日内，将政府采购合同在省级以上人民政府财政部门指定的媒体上公告，但政府采购合同中涉及国家秘密、商业秘密的内容除外。</w:t>
      </w:r>
    </w:p>
    <w:p w14:paraId="564CA26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lang w:val="en-US" w:eastAsia="zh-CN"/>
        </w:rPr>
        <w:t>23</w:t>
      </w:r>
      <w:r>
        <w:rPr>
          <w:rFonts w:hint="eastAsia" w:ascii="黑体" w:hAnsi="黑体" w:eastAsia="黑体" w:cs="宋体"/>
          <w:b/>
          <w:bCs/>
          <w:color w:val="auto"/>
          <w:sz w:val="24"/>
          <w:highlight w:val="none"/>
        </w:rPr>
        <w:t>. 质疑和投诉</w:t>
      </w:r>
    </w:p>
    <w:p w14:paraId="21FD7AD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23</w:t>
      </w:r>
      <w:r>
        <w:rPr>
          <w:rFonts w:hint="eastAsia" w:ascii="宋体" w:hAnsi="宋体" w:cs="宋体"/>
          <w:color w:val="auto"/>
          <w:highlight w:val="none"/>
        </w:rPr>
        <w:t>.</w:t>
      </w:r>
      <w:r>
        <w:rPr>
          <w:rFonts w:hint="eastAsia" w:ascii="宋体" w:hAnsi="宋体" w:cs="宋体"/>
          <w:color w:val="auto"/>
          <w:highlight w:val="none"/>
          <w:lang w:val="en-US" w:eastAsia="zh-CN"/>
        </w:rPr>
        <w:t>1</w:t>
      </w:r>
      <w:r>
        <w:rPr>
          <w:rFonts w:hint="eastAsia" w:ascii="宋体" w:hAnsi="宋体" w:cs="宋体"/>
          <w:color w:val="auto"/>
          <w:highlight w:val="none"/>
        </w:rPr>
        <w:t>供应商认为</w:t>
      </w:r>
      <w:r>
        <w:rPr>
          <w:rFonts w:hint="eastAsia" w:ascii="宋体" w:hAnsi="宋体" w:cs="宋体"/>
          <w:color w:val="auto"/>
          <w:highlight w:val="none"/>
          <w:lang w:eastAsia="zh-CN"/>
        </w:rPr>
        <w:t>采购</w:t>
      </w:r>
      <w:r>
        <w:rPr>
          <w:rFonts w:hint="eastAsia" w:ascii="宋体" w:hAnsi="宋体" w:cs="宋体"/>
          <w:color w:val="auto"/>
          <w:highlight w:val="none"/>
        </w:rPr>
        <w:t>文件、采购过程或者成交结果使自己的合法权益受到损害的，应当在知道或者应知其权益受到损害之日起7个工作日内，以书面形式向采购人</w:t>
      </w:r>
      <w:r>
        <w:rPr>
          <w:rFonts w:hint="eastAsia"/>
          <w:color w:val="auto"/>
          <w:highlight w:val="none"/>
          <w:lang w:eastAsia="zh-CN"/>
        </w:rPr>
        <w:t>或者</w:t>
      </w:r>
      <w:r>
        <w:rPr>
          <w:rFonts w:hint="eastAsia" w:ascii="宋体" w:hAnsi="宋体" w:cs="宋体"/>
          <w:color w:val="auto"/>
          <w:highlight w:val="none"/>
        </w:rPr>
        <w:t>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1E3872C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w:t>
      </w:r>
      <w:r>
        <w:rPr>
          <w:rFonts w:hint="eastAsia" w:ascii="宋体" w:hAnsi="宋体" w:cs="宋体"/>
          <w:color w:val="auto"/>
          <w:highlight w:val="none"/>
          <w:lang w:eastAsia="zh-CN"/>
        </w:rPr>
        <w:t>采购</w:t>
      </w:r>
      <w:r>
        <w:rPr>
          <w:rFonts w:hint="eastAsia" w:ascii="宋体" w:hAnsi="宋体" w:cs="宋体"/>
          <w:color w:val="auto"/>
          <w:highlight w:val="none"/>
        </w:rPr>
        <w:t>文件提出质疑的，为收到</w:t>
      </w:r>
      <w:r>
        <w:rPr>
          <w:rFonts w:hint="eastAsia" w:ascii="宋体" w:hAnsi="宋体" w:cs="宋体"/>
          <w:color w:val="auto"/>
          <w:highlight w:val="none"/>
          <w:lang w:eastAsia="zh-CN"/>
        </w:rPr>
        <w:t>采购</w:t>
      </w:r>
      <w:r>
        <w:rPr>
          <w:rFonts w:hint="eastAsia" w:ascii="宋体" w:hAnsi="宋体" w:cs="宋体"/>
          <w:color w:val="auto"/>
          <w:highlight w:val="none"/>
        </w:rPr>
        <w:t>文件之日；</w:t>
      </w:r>
    </w:p>
    <w:p w14:paraId="58D05EC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28CF232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3D28D7A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23</w:t>
      </w:r>
      <w:r>
        <w:rPr>
          <w:rFonts w:hint="eastAsia" w:ascii="宋体" w:hAnsi="宋体" w:cs="宋体"/>
          <w:color w:val="auto"/>
          <w:highlight w:val="none"/>
        </w:rPr>
        <w:t>.</w:t>
      </w:r>
      <w:r>
        <w:rPr>
          <w:rFonts w:hint="eastAsia" w:ascii="宋体" w:hAnsi="宋体" w:cs="宋体"/>
          <w:color w:val="auto"/>
          <w:highlight w:val="none"/>
          <w:lang w:val="en-US" w:eastAsia="zh-CN"/>
        </w:rPr>
        <w:t>2</w:t>
      </w:r>
      <w:r>
        <w:rPr>
          <w:rFonts w:hint="eastAsia" w:ascii="宋体" w:hAnsi="宋体" w:cs="宋体"/>
          <w:color w:val="auto"/>
          <w:highlight w:val="none"/>
        </w:rPr>
        <w:t>供应商提出的询问或者质疑超出采购人对采购代理机构委托授权范围的，采购代理机构应当告知供应商向采购人提出。政府采购评审专家应当配合采购人或者采购代理机构答复供应商的询问和质疑。</w:t>
      </w:r>
    </w:p>
    <w:p w14:paraId="0D368C3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23</w:t>
      </w:r>
      <w:r>
        <w:rPr>
          <w:rFonts w:hint="eastAsia" w:ascii="宋体" w:hAnsi="宋体" w:cs="宋体"/>
          <w:color w:val="auto"/>
          <w:highlight w:val="none"/>
        </w:rPr>
        <w:t>.</w:t>
      </w:r>
      <w:r>
        <w:rPr>
          <w:rFonts w:hint="eastAsia" w:ascii="宋体" w:hAnsi="宋体" w:cs="宋体"/>
          <w:color w:val="auto"/>
          <w:highlight w:val="none"/>
          <w:lang w:val="en-US" w:eastAsia="zh-CN"/>
        </w:rPr>
        <w:t>3</w:t>
      </w:r>
      <w:r>
        <w:rPr>
          <w:rFonts w:hint="eastAsia" w:ascii="宋体" w:hAnsi="宋体" w:cs="宋体"/>
          <w:color w:val="auto"/>
          <w:highlight w:val="none"/>
        </w:rPr>
        <w:t xml:space="preserve">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642E4CA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2C6B5D0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5273557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7C1CB8C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3B34560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2F8F548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186803D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w:t>
      </w:r>
      <w:r>
        <w:rPr>
          <w:rFonts w:hint="eastAsia" w:ascii="宋体" w:hAnsi="宋体" w:cs="宋体"/>
          <w:color w:val="auto"/>
          <w:highlight w:val="none"/>
          <w:lang w:eastAsia="zh-CN"/>
        </w:rPr>
        <w:t>其他</w:t>
      </w:r>
      <w:r>
        <w:rPr>
          <w:rFonts w:hint="eastAsia" w:ascii="宋体" w:hAnsi="宋体" w:cs="宋体"/>
          <w:color w:val="auto"/>
          <w:highlight w:val="none"/>
        </w:rPr>
        <w:t>组织的，应当由法定代表人、主要负责人，或者其委托代理人签字或者盖章，并加盖公章。</w:t>
      </w:r>
    </w:p>
    <w:p w14:paraId="6EEF4EE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23</w:t>
      </w:r>
      <w:r>
        <w:rPr>
          <w:rFonts w:ascii="宋体" w:hAnsi="宋体" w:cs="宋体"/>
          <w:color w:val="auto"/>
          <w:highlight w:val="none"/>
        </w:rPr>
        <w:t>.</w:t>
      </w:r>
      <w:r>
        <w:rPr>
          <w:rFonts w:hint="eastAsia" w:ascii="宋体" w:hAnsi="宋体" w:cs="宋体"/>
          <w:color w:val="auto"/>
          <w:highlight w:val="none"/>
          <w:lang w:val="en-US" w:eastAsia="zh-CN"/>
        </w:rPr>
        <w:t>4</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5B32D99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264AFB0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48B8C46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1FC4AEDD">
      <w:pPr>
        <w:spacing w:line="360" w:lineRule="auto"/>
        <w:ind w:firstLine="420" w:firstLineChars="200"/>
        <w:rPr>
          <w:rFonts w:hint="eastAsia" w:hAnsi="宋体"/>
          <w:b/>
          <w:color w:val="auto"/>
          <w:highlight w:val="none"/>
        </w:rPr>
      </w:pPr>
      <w:r>
        <w:rPr>
          <w:rFonts w:hint="eastAsia" w:ascii="宋体" w:hAnsi="宋体" w:cs="宋体"/>
          <w:color w:val="auto"/>
          <w:highlight w:val="none"/>
          <w:lang w:val="en-US" w:eastAsia="zh-CN"/>
        </w:rPr>
        <w:t>23</w:t>
      </w:r>
      <w:r>
        <w:rPr>
          <w:rFonts w:hint="eastAsia" w:ascii="宋体" w:hAnsi="宋体" w:cs="宋体"/>
          <w:color w:val="auto"/>
          <w:highlight w:val="none"/>
        </w:rPr>
        <w:t>.</w:t>
      </w:r>
      <w:r>
        <w:rPr>
          <w:rFonts w:hint="eastAsia" w:ascii="宋体" w:hAnsi="宋体" w:cs="宋体"/>
          <w:color w:val="auto"/>
          <w:highlight w:val="none"/>
          <w:lang w:val="en-US" w:eastAsia="zh-CN"/>
        </w:rPr>
        <w:t>5</w:t>
      </w:r>
      <w:r>
        <w:rPr>
          <w:rFonts w:hint="eastAsia" w:ascii="宋体" w:hAnsi="宋体" w:cs="宋体"/>
          <w:color w:val="auto"/>
          <w:highlight w:val="none"/>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w:t>
      </w:r>
    </w:p>
    <w:p w14:paraId="35BB4E35">
      <w:pPr>
        <w:pStyle w:val="10"/>
        <w:spacing w:line="500" w:lineRule="exact"/>
        <w:rPr>
          <w:rFonts w:hint="eastAsia" w:hAnsi="宋体"/>
          <w:b/>
          <w:color w:val="auto"/>
          <w:highlight w:val="none"/>
        </w:rPr>
      </w:pPr>
      <w:r>
        <w:rPr>
          <w:rFonts w:hint="eastAsia" w:hAnsi="宋体"/>
          <w:b/>
          <w:color w:val="auto"/>
          <w:highlight w:val="none"/>
        </w:rPr>
        <w:t>2</w:t>
      </w:r>
      <w:r>
        <w:rPr>
          <w:rFonts w:hint="eastAsia" w:hAnsi="宋体"/>
          <w:b/>
          <w:color w:val="auto"/>
          <w:highlight w:val="none"/>
          <w:lang w:val="en-US" w:eastAsia="zh-CN"/>
        </w:rPr>
        <w:t>4</w:t>
      </w:r>
      <w:r>
        <w:rPr>
          <w:rFonts w:hint="eastAsia" w:hAnsi="宋体"/>
          <w:b/>
          <w:color w:val="auto"/>
          <w:highlight w:val="none"/>
        </w:rPr>
        <w:t>.履约保证金</w:t>
      </w:r>
    </w:p>
    <w:p w14:paraId="29837EA6">
      <w:pPr>
        <w:pStyle w:val="10"/>
        <w:spacing w:line="500" w:lineRule="exact"/>
        <w:ind w:firstLine="420"/>
        <w:rPr>
          <w:rFonts w:hint="eastAsia" w:hAnsi="宋体"/>
          <w:color w:val="auto"/>
          <w:highlight w:val="none"/>
        </w:rPr>
      </w:pPr>
      <w:r>
        <w:rPr>
          <w:rFonts w:hint="eastAsia" w:hAnsi="宋体"/>
          <w:color w:val="auto"/>
          <w:highlight w:val="none"/>
        </w:rPr>
        <w:t>2</w:t>
      </w:r>
      <w:r>
        <w:rPr>
          <w:rFonts w:hint="eastAsia" w:hAnsi="宋体"/>
          <w:color w:val="auto"/>
          <w:highlight w:val="none"/>
          <w:lang w:val="en-US" w:eastAsia="zh-CN"/>
        </w:rPr>
        <w:t>4</w:t>
      </w:r>
      <w:r>
        <w:rPr>
          <w:rFonts w:hint="eastAsia" w:hAnsi="宋体"/>
          <w:color w:val="auto"/>
          <w:highlight w:val="none"/>
        </w:rPr>
        <w:t>.1履约保证金：无。</w:t>
      </w:r>
    </w:p>
    <w:p w14:paraId="2BBC95A7">
      <w:pPr>
        <w:pStyle w:val="3"/>
        <w:rPr>
          <w:rFonts w:hint="eastAsia"/>
          <w:color w:val="auto"/>
          <w:highlight w:val="none"/>
        </w:rPr>
      </w:pPr>
      <w:bookmarkStart w:id="62" w:name="_Toc467138623"/>
      <w:r>
        <w:rPr>
          <w:rFonts w:hint="eastAsia"/>
          <w:color w:val="auto"/>
          <w:highlight w:val="none"/>
        </w:rPr>
        <w:t>七、其他事项</w:t>
      </w:r>
      <w:bookmarkEnd w:id="62"/>
    </w:p>
    <w:p w14:paraId="127BECB6">
      <w:pPr>
        <w:pStyle w:val="10"/>
        <w:spacing w:line="500" w:lineRule="exact"/>
        <w:rPr>
          <w:rFonts w:hint="eastAsia" w:hAnsi="宋体"/>
          <w:b/>
          <w:bCs w:val="0"/>
          <w:color w:val="auto"/>
          <w:highlight w:val="none"/>
        </w:rPr>
      </w:pPr>
      <w:r>
        <w:rPr>
          <w:rFonts w:hint="eastAsia" w:hAnsi="宋体"/>
          <w:b/>
          <w:bCs w:val="0"/>
          <w:color w:val="auto"/>
          <w:highlight w:val="none"/>
        </w:rPr>
        <w:t>2</w:t>
      </w:r>
      <w:r>
        <w:rPr>
          <w:rFonts w:hint="eastAsia" w:hAnsi="宋体"/>
          <w:b/>
          <w:bCs w:val="0"/>
          <w:color w:val="auto"/>
          <w:highlight w:val="none"/>
          <w:lang w:val="en-US" w:eastAsia="zh-CN"/>
        </w:rPr>
        <w:t>5.</w:t>
      </w:r>
      <w:r>
        <w:rPr>
          <w:rFonts w:hint="eastAsia" w:hAnsi="宋体"/>
          <w:b/>
          <w:bCs w:val="0"/>
          <w:color w:val="auto"/>
          <w:highlight w:val="none"/>
        </w:rPr>
        <w:t xml:space="preserve"> 采购代理服务费</w:t>
      </w:r>
    </w:p>
    <w:p w14:paraId="0112F53F">
      <w:pPr>
        <w:pStyle w:val="10"/>
        <w:spacing w:line="500" w:lineRule="exact"/>
        <w:ind w:firstLine="420" w:firstLineChars="200"/>
        <w:rPr>
          <w:rFonts w:hint="eastAsia" w:hAnsi="宋体"/>
          <w:color w:val="auto"/>
          <w:highlight w:val="none"/>
        </w:rPr>
      </w:pPr>
      <w:r>
        <w:rPr>
          <w:rFonts w:hint="eastAsia" w:hAnsi="宋体"/>
          <w:color w:val="auto"/>
          <w:highlight w:val="none"/>
        </w:rPr>
        <w:t>2</w:t>
      </w:r>
      <w:r>
        <w:rPr>
          <w:rFonts w:hint="eastAsia" w:hAnsi="宋体"/>
          <w:color w:val="auto"/>
          <w:highlight w:val="none"/>
          <w:lang w:val="en-US" w:eastAsia="zh-CN"/>
        </w:rPr>
        <w:t>5</w:t>
      </w:r>
      <w:r>
        <w:rPr>
          <w:rFonts w:hint="eastAsia" w:hAnsi="宋体"/>
          <w:color w:val="auto"/>
          <w:highlight w:val="none"/>
        </w:rPr>
        <w:t>.1签订合同前，</w:t>
      </w:r>
      <w:r>
        <w:rPr>
          <w:rFonts w:hint="eastAsia" w:hAnsi="宋体"/>
          <w:color w:val="auto"/>
          <w:highlight w:val="none"/>
          <w:lang w:val="en-US" w:eastAsia="zh-CN"/>
        </w:rPr>
        <w:t>供应商</w:t>
      </w:r>
      <w:r>
        <w:rPr>
          <w:rFonts w:hint="eastAsia" w:hAnsi="宋体"/>
          <w:color w:val="auto"/>
          <w:highlight w:val="none"/>
        </w:rPr>
        <w:t>向采购代理</w:t>
      </w:r>
      <w:r>
        <w:rPr>
          <w:rFonts w:hint="eastAsia" w:hAnsi="宋体"/>
          <w:color w:val="auto"/>
          <w:highlight w:val="none"/>
          <w:lang w:eastAsia="zh-CN"/>
        </w:rPr>
        <w:t>机构</w:t>
      </w:r>
      <w:r>
        <w:rPr>
          <w:rFonts w:hint="eastAsia" w:hAnsi="宋体"/>
          <w:color w:val="auto"/>
          <w:highlight w:val="none"/>
        </w:rPr>
        <w:t>一次付清采购代理服务费，其金额详见本须知前附表第9项规定。</w:t>
      </w:r>
    </w:p>
    <w:p w14:paraId="4DC8BC6B">
      <w:pPr>
        <w:pStyle w:val="10"/>
        <w:spacing w:line="500" w:lineRule="exact"/>
        <w:ind w:firstLine="420" w:firstLineChars="200"/>
        <w:rPr>
          <w:rFonts w:hint="eastAsia" w:hAnsi="宋体"/>
          <w:color w:val="auto"/>
          <w:highlight w:val="none"/>
        </w:rPr>
      </w:pPr>
    </w:p>
    <w:p w14:paraId="25D430C2">
      <w:pPr>
        <w:pStyle w:val="10"/>
        <w:spacing w:line="360" w:lineRule="auto"/>
        <w:rPr>
          <w:rFonts w:hint="eastAsia" w:hAnsi="宋体"/>
          <w:b/>
          <w:color w:val="auto"/>
          <w:highlight w:val="none"/>
        </w:rPr>
      </w:pPr>
      <w:r>
        <w:rPr>
          <w:rFonts w:hint="eastAsia" w:hAnsi="宋体"/>
          <w:b/>
          <w:color w:val="auto"/>
          <w:highlight w:val="none"/>
        </w:rPr>
        <w:t>2</w:t>
      </w:r>
      <w:r>
        <w:rPr>
          <w:rFonts w:hint="eastAsia" w:hAnsi="宋体"/>
          <w:b/>
          <w:color w:val="auto"/>
          <w:highlight w:val="none"/>
          <w:lang w:val="en-US" w:eastAsia="zh-CN"/>
        </w:rPr>
        <w:t>6</w:t>
      </w:r>
      <w:r>
        <w:rPr>
          <w:rFonts w:hint="eastAsia" w:hAnsi="宋体"/>
          <w:b/>
          <w:color w:val="auto"/>
          <w:highlight w:val="none"/>
        </w:rPr>
        <w:t>.解释</w:t>
      </w:r>
    </w:p>
    <w:p w14:paraId="781C2ECF">
      <w:pPr>
        <w:pStyle w:val="6"/>
        <w:spacing w:line="360" w:lineRule="auto"/>
        <w:ind w:firstLine="210" w:firstLineChars="100"/>
        <w:rPr>
          <w:rFonts w:hint="eastAsia" w:hAnsi="宋体"/>
          <w:color w:val="auto"/>
          <w:highlight w:val="none"/>
        </w:rPr>
      </w:pPr>
      <w:r>
        <w:rPr>
          <w:rFonts w:hint="eastAsia" w:hAnsi="宋体"/>
          <w:color w:val="auto"/>
          <w:highlight w:val="none"/>
        </w:rPr>
        <w:t>本单一来源采购文件是根据中华人民共和国财政部令第 74 号《政府采购非招标采购方式管理办法》及相关法律法规编制，解释权属采购代理机构。</w:t>
      </w:r>
    </w:p>
    <w:p w14:paraId="1D8D58FF">
      <w:pPr>
        <w:pStyle w:val="2"/>
        <w:rPr>
          <w:rFonts w:hint="eastAsia"/>
          <w:color w:val="auto"/>
          <w:highlight w:val="none"/>
        </w:rPr>
      </w:pPr>
      <w:r>
        <w:rPr>
          <w:color w:val="auto"/>
          <w:highlight w:val="none"/>
        </w:rPr>
        <w:br w:type="page"/>
      </w:r>
      <w:bookmarkStart w:id="63" w:name="_Toc467138624"/>
      <w:bookmarkStart w:id="64" w:name="_Toc45031224"/>
      <w:r>
        <w:rPr>
          <w:rFonts w:hint="eastAsia"/>
          <w:color w:val="auto"/>
          <w:highlight w:val="none"/>
        </w:rPr>
        <w:t>第三章</w:t>
      </w:r>
      <w:r>
        <w:rPr>
          <w:rFonts w:hint="eastAsia"/>
          <w:color w:val="auto"/>
          <w:highlight w:val="none"/>
          <w:lang w:eastAsia="zh-CN"/>
        </w:rPr>
        <w:t xml:space="preserve">  </w:t>
      </w:r>
      <w:r>
        <w:rPr>
          <w:rFonts w:hint="eastAsia"/>
          <w:color w:val="auto"/>
          <w:highlight w:val="none"/>
        </w:rPr>
        <w:t xml:space="preserve"> </w:t>
      </w:r>
      <w:bookmarkEnd w:id="63"/>
      <w:r>
        <w:rPr>
          <w:rFonts w:hint="eastAsia"/>
          <w:color w:val="auto"/>
          <w:highlight w:val="none"/>
        </w:rPr>
        <w:t>服务项目需求</w:t>
      </w:r>
      <w:bookmarkEnd w:id="64"/>
    </w:p>
    <w:p w14:paraId="4C2BCC87">
      <w:pPr>
        <w:spacing w:line="360" w:lineRule="auto"/>
        <w:rPr>
          <w:rFonts w:hint="eastAsia" w:ascii="Times New Roman" w:hAnsi="Times New Roman" w:eastAsia="宋体" w:cs="Times New Roman"/>
          <w:color w:val="auto"/>
          <w:szCs w:val="21"/>
          <w:highlight w:val="none"/>
          <w:lang w:eastAsia="zh-CN"/>
        </w:rPr>
      </w:pPr>
    </w:p>
    <w:p w14:paraId="33B0674C">
      <w:pPr>
        <w:spacing w:line="360" w:lineRule="auto"/>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eastAsia="zh-CN"/>
        </w:rPr>
        <w:t>说明：</w:t>
      </w:r>
    </w:p>
    <w:p w14:paraId="0DCA367D">
      <w:pPr>
        <w:keepNext w:val="0"/>
        <w:keepLines w:val="0"/>
        <w:pageBreakBefore w:val="0"/>
        <w:numPr>
          <w:ilvl w:val="0"/>
          <w:numId w:val="1"/>
        </w:numP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“实质性要求”是指</w:t>
      </w:r>
      <w:r>
        <w:rPr>
          <w:rFonts w:hint="eastAsia"/>
          <w:color w:val="auto"/>
          <w:highlight w:val="none"/>
        </w:rPr>
        <w:t>服务项目需求</w:t>
      </w:r>
      <w:r>
        <w:rPr>
          <w:rFonts w:hint="eastAsia" w:ascii="宋体" w:hAnsi="宋体" w:eastAsia="宋体" w:cs="宋体"/>
          <w:color w:val="auto"/>
          <w:szCs w:val="21"/>
          <w:highlight w:val="none"/>
        </w:rPr>
        <w:t>中带“▲”的条款或者不能负偏离的条款或者已经指明不满足按无效响应处理的条款。“正偏离”，是指响应文件对</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“采购需求”中有关条款作出优于条款要求并有利于采购人的响应情形；“负偏离”，是指响应文件对</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“采购需求”中有关条款作出的响应不满足条款要求，导致采购人要求不能得到满足的情形。</w:t>
      </w:r>
    </w:p>
    <w:p w14:paraId="23A63797">
      <w:pPr>
        <w:keepNext w:val="0"/>
        <w:keepLines w:val="0"/>
        <w:pageBreakBefore w:val="0"/>
        <w:numPr>
          <w:ilvl w:val="0"/>
          <w:numId w:val="0"/>
        </w:numPr>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标的所属行业：</w:t>
      </w:r>
      <w:r>
        <w:rPr>
          <w:rFonts w:hint="eastAsia"/>
          <w:b/>
          <w:bCs/>
          <w:color w:val="auto"/>
          <w:szCs w:val="21"/>
          <w:highlight w:val="none"/>
        </w:rPr>
        <w:t>软件和信息技术服务业</w:t>
      </w:r>
    </w:p>
    <w:p w14:paraId="349D4F06">
      <w:pPr>
        <w:spacing w:line="360" w:lineRule="auto"/>
        <w:ind w:firstLine="422" w:firstLineChars="200"/>
        <w:rPr>
          <w:rFonts w:hint="default" w:ascii="Times New Roman" w:hAnsi="Times New Roman" w:eastAsia="宋体" w:cs="Times New Roman"/>
          <w:b/>
          <w:bCs/>
          <w:color w:val="auto"/>
          <w:szCs w:val="21"/>
          <w:highlight w:val="none"/>
          <w:lang w:val="en-US" w:eastAsia="zh-CN"/>
        </w:rPr>
      </w:pPr>
      <w:r>
        <w:rPr>
          <w:rFonts w:hint="eastAsia" w:cs="Times New Roman"/>
          <w:b/>
          <w:bCs/>
          <w:color w:val="auto"/>
          <w:szCs w:val="21"/>
          <w:highlight w:val="none"/>
          <w:lang w:val="en-US" w:eastAsia="zh-CN"/>
        </w:rPr>
        <w:t>3、</w:t>
      </w:r>
      <w:r>
        <w:rPr>
          <w:rFonts w:hint="eastAsia" w:cs="Times New Roman"/>
          <w:b/>
          <w:bCs/>
          <w:color w:val="auto"/>
          <w:szCs w:val="21"/>
          <w:highlight w:val="none"/>
          <w:lang w:eastAsia="zh-CN"/>
        </w:rPr>
        <w:t>采购预算：</w:t>
      </w:r>
      <w:r>
        <w:rPr>
          <w:rFonts w:hint="eastAsia" w:cs="Times New Roman"/>
          <w:b/>
          <w:bCs/>
          <w:color w:val="auto"/>
          <w:szCs w:val="21"/>
          <w:highlight w:val="none"/>
          <w:lang w:val="en-US" w:eastAsia="zh-CN"/>
        </w:rPr>
        <w:t>175万元</w:t>
      </w:r>
    </w:p>
    <w:tbl>
      <w:tblPr>
        <w:tblStyle w:val="19"/>
        <w:tblW w:w="95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5"/>
        <w:gridCol w:w="1173"/>
        <w:gridCol w:w="131"/>
        <w:gridCol w:w="726"/>
        <w:gridCol w:w="6814"/>
      </w:tblGrid>
      <w:tr w14:paraId="47FCE2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9509" w:type="dxa"/>
            <w:gridSpan w:val="5"/>
            <w:tcBorders>
              <w:top w:val="single" w:color="auto" w:sz="4" w:space="0"/>
              <w:left w:val="single" w:color="auto" w:sz="4" w:space="0"/>
              <w:bottom w:val="single" w:color="auto" w:sz="4" w:space="0"/>
              <w:right w:val="single" w:color="auto" w:sz="4" w:space="0"/>
            </w:tcBorders>
            <w:noWrap w:val="0"/>
            <w:vAlign w:val="center"/>
          </w:tcPr>
          <w:p w14:paraId="4BFF7655">
            <w:pPr>
              <w:spacing w:line="320" w:lineRule="exact"/>
              <w:jc w:val="left"/>
              <w:rPr>
                <w:rFonts w:hint="eastAsia" w:ascii="宋体" w:hAnsi="宋体" w:eastAsia="宋体" w:cs="宋体"/>
                <w:bCs/>
                <w:color w:val="auto"/>
                <w:sz w:val="21"/>
                <w:szCs w:val="21"/>
                <w:highlight w:val="none"/>
                <w:lang w:eastAsia="zh-CN"/>
              </w:rPr>
            </w:pPr>
            <w:r>
              <w:rPr>
                <w:rFonts w:hint="eastAsia" w:ascii="宋体" w:hAnsi="宋体" w:eastAsia="宋体" w:cs="宋体"/>
                <w:color w:val="auto"/>
                <w:szCs w:val="21"/>
                <w:highlight w:val="none"/>
              </w:rPr>
              <w:t>▲</w:t>
            </w:r>
            <w:r>
              <w:rPr>
                <w:rFonts w:hint="eastAsia"/>
                <w:b/>
                <w:bCs/>
                <w:color w:val="auto"/>
                <w:sz w:val="21"/>
                <w:szCs w:val="21"/>
                <w:highlight w:val="none"/>
                <w:lang w:val="en-US" w:eastAsia="zh-CN"/>
              </w:rPr>
              <w:t>一、技术要求</w:t>
            </w:r>
          </w:p>
        </w:tc>
      </w:tr>
      <w:tr w14:paraId="03530A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14:paraId="6B35A20C">
            <w:pPr>
              <w:spacing w:line="32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序号</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14:paraId="49226010">
            <w:pPr>
              <w:spacing w:line="320" w:lineRule="exact"/>
              <w:jc w:val="center"/>
              <w:rPr>
                <w:rFonts w:hint="eastAsia"/>
                <w:color w:val="auto"/>
                <w:sz w:val="21"/>
                <w:szCs w:val="21"/>
                <w:highlight w:val="none"/>
                <w:lang w:eastAsia="zh-CN"/>
              </w:rPr>
            </w:pPr>
            <w:r>
              <w:rPr>
                <w:rFonts w:hint="eastAsia"/>
                <w:color w:val="auto"/>
                <w:sz w:val="21"/>
                <w:szCs w:val="21"/>
                <w:highlight w:val="none"/>
                <w:lang w:eastAsia="zh-CN"/>
              </w:rPr>
              <w:t>标的名称</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511D453D">
            <w:pPr>
              <w:spacing w:line="32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数量</w:t>
            </w:r>
          </w:p>
        </w:tc>
        <w:tc>
          <w:tcPr>
            <w:tcW w:w="6814" w:type="dxa"/>
            <w:tcBorders>
              <w:top w:val="single" w:color="auto" w:sz="4" w:space="0"/>
              <w:left w:val="single" w:color="auto" w:sz="4" w:space="0"/>
              <w:bottom w:val="single" w:color="auto" w:sz="4" w:space="0"/>
              <w:right w:val="single" w:color="auto" w:sz="4" w:space="0"/>
            </w:tcBorders>
            <w:noWrap w:val="0"/>
            <w:vAlign w:val="center"/>
          </w:tcPr>
          <w:p w14:paraId="11AD67B1">
            <w:pPr>
              <w:spacing w:line="320" w:lineRule="exact"/>
              <w:jc w:val="center"/>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服务需求</w:t>
            </w:r>
          </w:p>
        </w:tc>
      </w:tr>
      <w:tr w14:paraId="6B127B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71" w:hRule="atLeast"/>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14:paraId="13FCF3C5">
            <w:pPr>
              <w:spacing w:line="32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14:paraId="26DA5021">
            <w:pPr>
              <w:widowControl/>
              <w:jc w:val="center"/>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贵港市港北区人民医院信息系统升级建设项目</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4FDEFACF">
            <w:pPr>
              <w:widowControl/>
              <w:numPr>
                <w:ilvl w:val="0"/>
                <w:numId w:val="0"/>
              </w:numPr>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w:t>
            </w:r>
            <w:r>
              <w:rPr>
                <w:rFonts w:hint="eastAsia" w:cs="Times New Roman"/>
                <w:color w:val="auto"/>
                <w:sz w:val="21"/>
                <w:szCs w:val="21"/>
                <w:highlight w:val="none"/>
                <w:lang w:val="en-US" w:eastAsia="zh-CN"/>
              </w:rPr>
              <w:t>项</w:t>
            </w:r>
          </w:p>
        </w:tc>
        <w:tc>
          <w:tcPr>
            <w:tcW w:w="68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2C1B60">
            <w:pPr>
              <w:pStyle w:val="2"/>
              <w:spacing w:line="360" w:lineRule="auto"/>
              <w:jc w:val="left"/>
              <w:rPr>
                <w:rFonts w:hint="default" w:cs="宋体"/>
                <w:color w:val="auto"/>
                <w:sz w:val="21"/>
                <w:szCs w:val="21"/>
                <w:highlight w:val="none"/>
              </w:rPr>
            </w:pPr>
            <w:r>
              <w:rPr>
                <w:rFonts w:cs="宋体"/>
                <w:color w:val="auto"/>
                <w:sz w:val="21"/>
                <w:szCs w:val="21"/>
                <w:highlight w:val="none"/>
              </w:rPr>
              <w:t>1.服务内容</w:t>
            </w:r>
          </w:p>
          <w:p w14:paraId="0301FC38">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为进一步加强医院信息化建设及管理工作，不断提高信息化建设及管理水平，现对贵港市港北区人民医院云健康智慧医院信息系统换代升级服务</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项，具体要求如下：</w:t>
            </w:r>
          </w:p>
          <w:p w14:paraId="52746663">
            <w:pPr>
              <w:pStyle w:val="2"/>
              <w:spacing w:line="360" w:lineRule="auto"/>
              <w:jc w:val="left"/>
              <w:rPr>
                <w:rFonts w:hint="default" w:cs="宋体"/>
                <w:color w:val="auto"/>
                <w:sz w:val="21"/>
                <w:szCs w:val="21"/>
                <w:highlight w:val="none"/>
              </w:rPr>
            </w:pPr>
            <w:r>
              <w:rPr>
                <w:rFonts w:cs="宋体"/>
                <w:color w:val="auto"/>
                <w:sz w:val="21"/>
                <w:szCs w:val="21"/>
                <w:highlight w:val="none"/>
              </w:rPr>
              <w:t>2.服务需求</w:t>
            </w:r>
          </w:p>
          <w:p w14:paraId="377FC852">
            <w:pPr>
              <w:spacing w:line="360" w:lineRule="auto"/>
              <w:jc w:val="left"/>
              <w:rPr>
                <w:rFonts w:ascii="宋体" w:hAnsi="宋体" w:eastAsia="宋体" w:cs="宋体"/>
                <w:b/>
                <w:bCs/>
                <w:color w:val="auto"/>
                <w:highlight w:val="none"/>
              </w:rPr>
            </w:pPr>
            <w:r>
              <w:rPr>
                <w:rFonts w:hint="eastAsia" w:ascii="宋体" w:hAnsi="宋体" w:eastAsia="宋体" w:cs="宋体"/>
                <w:b/>
                <w:bCs/>
                <w:color w:val="auto"/>
                <w:highlight w:val="none"/>
              </w:rPr>
              <w:t>2.1采购清单</w:t>
            </w:r>
          </w:p>
          <w:tbl>
            <w:tblPr>
              <w:tblStyle w:val="20"/>
              <w:tblW w:w="6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869"/>
              <w:gridCol w:w="2150"/>
              <w:gridCol w:w="800"/>
              <w:gridCol w:w="800"/>
            </w:tblGrid>
            <w:tr w14:paraId="1BBE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39" w:type="dxa"/>
                  <w:noWrap w:val="0"/>
                  <w:vAlign w:val="top"/>
                </w:tcPr>
                <w:p w14:paraId="25C00025">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4019" w:type="dxa"/>
                  <w:gridSpan w:val="2"/>
                  <w:noWrap w:val="0"/>
                  <w:vAlign w:val="top"/>
                </w:tcPr>
                <w:p w14:paraId="4C1DA7BC">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800" w:type="dxa"/>
                  <w:noWrap w:val="0"/>
                  <w:vAlign w:val="center"/>
                </w:tcPr>
                <w:p w14:paraId="14BA89D3">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800" w:type="dxa"/>
                  <w:noWrap w:val="0"/>
                  <w:vAlign w:val="center"/>
                </w:tcPr>
                <w:p w14:paraId="294ACD61">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单位</w:t>
                  </w:r>
                </w:p>
              </w:tc>
            </w:tr>
            <w:tr w14:paraId="2CAC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39" w:type="dxa"/>
                  <w:noWrap w:val="0"/>
                  <w:vAlign w:val="top"/>
                </w:tcPr>
                <w:p w14:paraId="3C06F7F9">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869" w:type="dxa"/>
                  <w:noWrap w:val="0"/>
                  <w:vAlign w:val="center"/>
                </w:tcPr>
                <w:p w14:paraId="1A823A65">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云健康升级服务</w:t>
                  </w:r>
                </w:p>
              </w:tc>
              <w:tc>
                <w:tcPr>
                  <w:tcW w:w="2150" w:type="dxa"/>
                  <w:noWrap w:val="0"/>
                  <w:vAlign w:val="center"/>
                </w:tcPr>
                <w:p w14:paraId="514A04C1">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云健康升级实施服务</w:t>
                  </w:r>
                </w:p>
              </w:tc>
              <w:tc>
                <w:tcPr>
                  <w:tcW w:w="800" w:type="dxa"/>
                  <w:noWrap w:val="0"/>
                  <w:vAlign w:val="top"/>
                </w:tcPr>
                <w:p w14:paraId="4BC4A95D">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00" w:type="dxa"/>
                  <w:noWrap w:val="0"/>
                  <w:vAlign w:val="top"/>
                </w:tcPr>
                <w:p w14:paraId="156221DD">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w:t>
                  </w:r>
                </w:p>
              </w:tc>
            </w:tr>
            <w:tr w14:paraId="56F2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39" w:type="dxa"/>
                  <w:noWrap w:val="0"/>
                  <w:vAlign w:val="top"/>
                </w:tcPr>
                <w:p w14:paraId="0D624C7B">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869" w:type="dxa"/>
                  <w:noWrap w:val="0"/>
                  <w:vAlign w:val="center"/>
                </w:tcPr>
                <w:p w14:paraId="5260DEC7">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云运维服务</w:t>
                  </w:r>
                </w:p>
              </w:tc>
              <w:tc>
                <w:tcPr>
                  <w:tcW w:w="2150" w:type="dxa"/>
                  <w:noWrap w:val="0"/>
                  <w:vAlign w:val="center"/>
                </w:tcPr>
                <w:p w14:paraId="1BCF9C78">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云运维服务</w:t>
                  </w:r>
                </w:p>
              </w:tc>
              <w:tc>
                <w:tcPr>
                  <w:tcW w:w="800" w:type="dxa"/>
                  <w:noWrap w:val="0"/>
                  <w:vAlign w:val="top"/>
                </w:tcPr>
                <w:p w14:paraId="6861DB2A">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00" w:type="dxa"/>
                  <w:noWrap w:val="0"/>
                  <w:vAlign w:val="top"/>
                </w:tcPr>
                <w:p w14:paraId="4BEA9D0D">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年</w:t>
                  </w:r>
                </w:p>
              </w:tc>
            </w:tr>
            <w:tr w14:paraId="74E8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39" w:type="dxa"/>
                  <w:noWrap w:val="0"/>
                  <w:vAlign w:val="top"/>
                </w:tcPr>
                <w:p w14:paraId="6F29E458">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869" w:type="dxa"/>
                  <w:noWrap w:val="0"/>
                  <w:vAlign w:val="center"/>
                </w:tcPr>
                <w:p w14:paraId="253ADB3F">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软件系统</w:t>
                  </w:r>
                </w:p>
              </w:tc>
              <w:tc>
                <w:tcPr>
                  <w:tcW w:w="2150" w:type="dxa"/>
                  <w:noWrap w:val="0"/>
                  <w:vAlign w:val="center"/>
                </w:tcPr>
                <w:p w14:paraId="04AD4E10">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医保结算清单系统</w:t>
                  </w:r>
                </w:p>
              </w:tc>
              <w:tc>
                <w:tcPr>
                  <w:tcW w:w="800" w:type="dxa"/>
                  <w:noWrap w:val="0"/>
                  <w:vAlign w:val="top"/>
                </w:tcPr>
                <w:p w14:paraId="50AB2E04">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00" w:type="dxa"/>
                  <w:noWrap w:val="0"/>
                  <w:vAlign w:val="top"/>
                </w:tcPr>
                <w:p w14:paraId="33118B39">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套</w:t>
                  </w:r>
                </w:p>
              </w:tc>
            </w:tr>
          </w:tbl>
          <w:p w14:paraId="2238322D">
            <w:pPr>
              <w:spacing w:line="360" w:lineRule="auto"/>
              <w:jc w:val="left"/>
              <w:rPr>
                <w:rFonts w:ascii="宋体" w:hAnsi="宋体" w:eastAsia="宋体" w:cs="宋体"/>
                <w:b/>
                <w:bCs/>
                <w:color w:val="auto"/>
                <w:highlight w:val="none"/>
              </w:rPr>
            </w:pPr>
            <w:r>
              <w:rPr>
                <w:rFonts w:hint="eastAsia" w:ascii="宋体" w:hAnsi="宋体" w:eastAsia="宋体" w:cs="宋体"/>
                <w:b/>
                <w:bCs/>
                <w:color w:val="auto"/>
                <w:highlight w:val="none"/>
              </w:rPr>
              <w:t>2.2云健康升级服务</w:t>
            </w:r>
          </w:p>
          <w:p w14:paraId="597C6C6A">
            <w:pPr>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2.2.1云健康升级实施服务</w:t>
            </w:r>
          </w:p>
          <w:p w14:paraId="6807B9A6">
            <w:pPr>
              <w:spacing w:line="360" w:lineRule="auto"/>
              <w:jc w:val="left"/>
              <w:rPr>
                <w:color w:val="auto"/>
                <w:highlight w:val="none"/>
              </w:rPr>
            </w:pPr>
            <w:r>
              <w:rPr>
                <w:rFonts w:hint="eastAsia" w:ascii="宋体" w:hAnsi="宋体" w:eastAsia="宋体" w:cs="宋体"/>
                <w:color w:val="auto"/>
                <w:szCs w:val="21"/>
                <w:highlight w:val="none"/>
              </w:rPr>
              <w:t>（1）系统升级清单</w:t>
            </w:r>
          </w:p>
          <w:tbl>
            <w:tblPr>
              <w:tblStyle w:val="19"/>
              <w:tblW w:w="634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177"/>
              <w:gridCol w:w="3402"/>
            </w:tblGrid>
            <w:tr w14:paraId="1583D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70" w:type="dxa"/>
                  <w:noWrap/>
                  <w:vAlign w:val="center"/>
                </w:tcPr>
                <w:p w14:paraId="76FDE897">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177" w:type="dxa"/>
                  <w:noWrap/>
                  <w:vAlign w:val="center"/>
                </w:tcPr>
                <w:p w14:paraId="4FA808DE">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系统名称</w:t>
                  </w:r>
                </w:p>
              </w:tc>
              <w:tc>
                <w:tcPr>
                  <w:tcW w:w="3402" w:type="dxa"/>
                  <w:noWrap/>
                  <w:vAlign w:val="center"/>
                </w:tcPr>
                <w:p w14:paraId="5B32DCD8">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6BF5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70" w:type="dxa"/>
                  <w:noWrap/>
                  <w:vAlign w:val="center"/>
                </w:tcPr>
                <w:p w14:paraId="0A932BBD">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177" w:type="dxa"/>
                  <w:noWrap/>
                  <w:vAlign w:val="center"/>
                </w:tcPr>
                <w:p w14:paraId="41A18F22">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医院信息系统（HIS)</w:t>
                  </w:r>
                </w:p>
              </w:tc>
              <w:tc>
                <w:tcPr>
                  <w:tcW w:w="3402" w:type="dxa"/>
                  <w:noWrap/>
                  <w:vAlign w:val="center"/>
                </w:tcPr>
                <w:p w14:paraId="11D4F9F7">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已建设，在原有系统基础之上升级</w:t>
                  </w:r>
                </w:p>
              </w:tc>
            </w:tr>
            <w:tr w14:paraId="35483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70" w:type="dxa"/>
                  <w:noWrap/>
                  <w:vAlign w:val="center"/>
                </w:tcPr>
                <w:p w14:paraId="3D6AAE9D">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177" w:type="dxa"/>
                  <w:noWrap/>
                  <w:vAlign w:val="center"/>
                </w:tcPr>
                <w:p w14:paraId="4B945CF5">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检验系统（LIS)</w:t>
                  </w:r>
                </w:p>
              </w:tc>
              <w:tc>
                <w:tcPr>
                  <w:tcW w:w="3402" w:type="dxa"/>
                  <w:noWrap/>
                  <w:vAlign w:val="center"/>
                </w:tcPr>
                <w:p w14:paraId="652A300D">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已建设，在原有系统基础之上升级</w:t>
                  </w:r>
                </w:p>
              </w:tc>
            </w:tr>
            <w:tr w14:paraId="2B84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70" w:type="dxa"/>
                  <w:noWrap/>
                  <w:vAlign w:val="center"/>
                </w:tcPr>
                <w:p w14:paraId="43B48CFA">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177" w:type="dxa"/>
                  <w:noWrap/>
                  <w:vAlign w:val="center"/>
                </w:tcPr>
                <w:p w14:paraId="2A01AE5B">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影像系统(PACS)</w:t>
                  </w:r>
                </w:p>
              </w:tc>
              <w:tc>
                <w:tcPr>
                  <w:tcW w:w="3402" w:type="dxa"/>
                  <w:noWrap/>
                  <w:vAlign w:val="center"/>
                </w:tcPr>
                <w:p w14:paraId="4FB0B664">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已建设，在原有系统基础之上升级</w:t>
                  </w:r>
                </w:p>
              </w:tc>
            </w:tr>
            <w:tr w14:paraId="7D55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70" w:type="dxa"/>
                  <w:noWrap/>
                  <w:vAlign w:val="center"/>
                </w:tcPr>
                <w:p w14:paraId="040058F5">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177" w:type="dxa"/>
                  <w:noWrap/>
                  <w:vAlign w:val="center"/>
                </w:tcPr>
                <w:p w14:paraId="2F1794E0">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电子病历系统</w:t>
                  </w:r>
                </w:p>
              </w:tc>
              <w:tc>
                <w:tcPr>
                  <w:tcW w:w="3402" w:type="dxa"/>
                  <w:vMerge w:val="restart"/>
                  <w:noWrap/>
                  <w:vAlign w:val="center"/>
                </w:tcPr>
                <w:p w14:paraId="6B7B72C4">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已建设，在原有系统基础之上升级</w:t>
                  </w:r>
                </w:p>
              </w:tc>
            </w:tr>
            <w:tr w14:paraId="2F1AC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70" w:type="dxa"/>
                  <w:noWrap/>
                  <w:vAlign w:val="center"/>
                </w:tcPr>
                <w:p w14:paraId="6B62A25D">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177" w:type="dxa"/>
                  <w:noWrap/>
                  <w:vAlign w:val="center"/>
                </w:tcPr>
                <w:p w14:paraId="62532AEF">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门诊电子病历系统</w:t>
                  </w:r>
                </w:p>
              </w:tc>
              <w:tc>
                <w:tcPr>
                  <w:tcW w:w="3402" w:type="dxa"/>
                  <w:vMerge w:val="continue"/>
                  <w:noWrap/>
                  <w:vAlign w:val="center"/>
                </w:tcPr>
                <w:p w14:paraId="06BAAF1D">
                  <w:pPr>
                    <w:spacing w:line="360" w:lineRule="auto"/>
                    <w:jc w:val="left"/>
                    <w:rPr>
                      <w:rFonts w:ascii="宋体" w:hAnsi="宋体" w:eastAsia="宋体" w:cs="宋体"/>
                      <w:color w:val="auto"/>
                      <w:szCs w:val="21"/>
                      <w:highlight w:val="none"/>
                    </w:rPr>
                  </w:pPr>
                </w:p>
              </w:tc>
            </w:tr>
            <w:tr w14:paraId="0B61E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70" w:type="dxa"/>
                  <w:noWrap/>
                  <w:vAlign w:val="center"/>
                </w:tcPr>
                <w:p w14:paraId="7CFD4D44">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177" w:type="dxa"/>
                  <w:noWrap/>
                  <w:vAlign w:val="center"/>
                </w:tcPr>
                <w:p w14:paraId="476C2BEC">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临床路径管理系统</w:t>
                  </w:r>
                </w:p>
              </w:tc>
              <w:tc>
                <w:tcPr>
                  <w:tcW w:w="3402" w:type="dxa"/>
                  <w:noWrap/>
                  <w:vAlign w:val="center"/>
                </w:tcPr>
                <w:p w14:paraId="00C74865">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已建设，在原有系统基础之上升级</w:t>
                  </w:r>
                </w:p>
              </w:tc>
            </w:tr>
            <w:tr w14:paraId="48F8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70" w:type="dxa"/>
                  <w:noWrap/>
                  <w:vAlign w:val="center"/>
                </w:tcPr>
                <w:p w14:paraId="04512636">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2177" w:type="dxa"/>
                  <w:noWrap/>
                  <w:vAlign w:val="center"/>
                </w:tcPr>
                <w:p w14:paraId="371AB8CE">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体检信息系统</w:t>
                  </w:r>
                </w:p>
              </w:tc>
              <w:tc>
                <w:tcPr>
                  <w:tcW w:w="3402" w:type="dxa"/>
                  <w:noWrap/>
                  <w:vAlign w:val="center"/>
                </w:tcPr>
                <w:p w14:paraId="0C59802F">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已建设，在原有系统基础之上升级</w:t>
                  </w:r>
                </w:p>
              </w:tc>
            </w:tr>
            <w:tr w14:paraId="09312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70" w:type="dxa"/>
                  <w:noWrap/>
                  <w:vAlign w:val="center"/>
                </w:tcPr>
                <w:p w14:paraId="189C9C64">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2177" w:type="dxa"/>
                  <w:noWrap/>
                  <w:vAlign w:val="center"/>
                </w:tcPr>
                <w:p w14:paraId="6CFFD0F1">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血液管理系统</w:t>
                  </w:r>
                </w:p>
              </w:tc>
              <w:tc>
                <w:tcPr>
                  <w:tcW w:w="3402" w:type="dxa"/>
                  <w:noWrap/>
                  <w:vAlign w:val="center"/>
                </w:tcPr>
                <w:p w14:paraId="517ADDE8">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已建设，在原有系统基础之上升级</w:t>
                  </w:r>
                </w:p>
              </w:tc>
            </w:tr>
            <w:tr w14:paraId="282E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70" w:type="dxa"/>
                  <w:noWrap/>
                  <w:vAlign w:val="center"/>
                </w:tcPr>
                <w:p w14:paraId="44BC7FC2">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2177" w:type="dxa"/>
                  <w:noWrap/>
                  <w:vAlign w:val="center"/>
                </w:tcPr>
                <w:p w14:paraId="1871E1E7">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重症监护系统</w:t>
                  </w:r>
                </w:p>
              </w:tc>
              <w:tc>
                <w:tcPr>
                  <w:tcW w:w="3402" w:type="dxa"/>
                  <w:noWrap/>
                  <w:vAlign w:val="center"/>
                </w:tcPr>
                <w:p w14:paraId="6AE6F894">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已建设，在原有系统基础之上升级</w:t>
                  </w:r>
                </w:p>
              </w:tc>
            </w:tr>
            <w:tr w14:paraId="2BB1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70" w:type="dxa"/>
                  <w:noWrap/>
                  <w:vAlign w:val="center"/>
                </w:tcPr>
                <w:p w14:paraId="3D3DA328">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2177" w:type="dxa"/>
                  <w:noWrap/>
                  <w:vAlign w:val="center"/>
                </w:tcPr>
                <w:p w14:paraId="5594B3A1">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病案管理系统</w:t>
                  </w:r>
                </w:p>
              </w:tc>
              <w:tc>
                <w:tcPr>
                  <w:tcW w:w="3402" w:type="dxa"/>
                  <w:noWrap/>
                  <w:vAlign w:val="center"/>
                </w:tcPr>
                <w:p w14:paraId="2B15F0DA">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已建设，在原有系统基础之上升级</w:t>
                  </w:r>
                </w:p>
              </w:tc>
            </w:tr>
            <w:tr w14:paraId="17927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70" w:type="dxa"/>
                  <w:noWrap/>
                  <w:vAlign w:val="center"/>
                </w:tcPr>
                <w:p w14:paraId="4016FDDF">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177" w:type="dxa"/>
                  <w:noWrap/>
                  <w:vAlign w:val="center"/>
                </w:tcPr>
                <w:p w14:paraId="511F6FD8">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病历质控系统</w:t>
                  </w:r>
                </w:p>
              </w:tc>
              <w:tc>
                <w:tcPr>
                  <w:tcW w:w="3402" w:type="dxa"/>
                  <w:noWrap/>
                  <w:vAlign w:val="center"/>
                </w:tcPr>
                <w:p w14:paraId="3A7DDFA3">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已建设，在原有系统基础之上升级</w:t>
                  </w:r>
                </w:p>
              </w:tc>
            </w:tr>
            <w:tr w14:paraId="3B9C9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70" w:type="dxa"/>
                  <w:noWrap/>
                  <w:vAlign w:val="center"/>
                </w:tcPr>
                <w:p w14:paraId="48BC4A0B">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2177" w:type="dxa"/>
                  <w:noWrap/>
                  <w:vAlign w:val="center"/>
                </w:tcPr>
                <w:p w14:paraId="38459E03">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手术麻醉系统</w:t>
                  </w:r>
                </w:p>
              </w:tc>
              <w:tc>
                <w:tcPr>
                  <w:tcW w:w="3402" w:type="dxa"/>
                  <w:noWrap/>
                  <w:vAlign w:val="center"/>
                </w:tcPr>
                <w:p w14:paraId="4E9D5D29">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已建设，在原有系统基础之上升级</w:t>
                  </w:r>
                </w:p>
              </w:tc>
            </w:tr>
            <w:tr w14:paraId="3139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70" w:type="dxa"/>
                  <w:noWrap/>
                  <w:vAlign w:val="center"/>
                </w:tcPr>
                <w:p w14:paraId="6A953711">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2177" w:type="dxa"/>
                  <w:noWrap/>
                  <w:vAlign w:val="center"/>
                </w:tcPr>
                <w:p w14:paraId="36B531AB">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医院感染管理系统</w:t>
                  </w:r>
                </w:p>
              </w:tc>
              <w:tc>
                <w:tcPr>
                  <w:tcW w:w="3402" w:type="dxa"/>
                  <w:noWrap/>
                  <w:vAlign w:val="center"/>
                </w:tcPr>
                <w:p w14:paraId="614FC3BC">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已建设，在原有系统基础之上升级</w:t>
                  </w:r>
                </w:p>
              </w:tc>
            </w:tr>
            <w:tr w14:paraId="3ECFE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70" w:type="dxa"/>
                  <w:noWrap/>
                  <w:vAlign w:val="center"/>
                </w:tcPr>
                <w:p w14:paraId="776C5C0F">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2177" w:type="dxa"/>
                  <w:noWrap/>
                  <w:vAlign w:val="center"/>
                </w:tcPr>
                <w:p w14:paraId="679C86E8">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患者智能服务系统</w:t>
                  </w:r>
                </w:p>
              </w:tc>
              <w:tc>
                <w:tcPr>
                  <w:tcW w:w="3402" w:type="dxa"/>
                  <w:noWrap/>
                  <w:vAlign w:val="center"/>
                </w:tcPr>
                <w:p w14:paraId="5DF6E79B">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已建设，在原有系统基础之上升级</w:t>
                  </w:r>
                </w:p>
              </w:tc>
            </w:tr>
            <w:tr w14:paraId="6094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770" w:type="dxa"/>
                  <w:noWrap/>
                  <w:vAlign w:val="center"/>
                </w:tcPr>
                <w:p w14:paraId="67983CCB">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2177" w:type="dxa"/>
                  <w:noWrap/>
                  <w:vAlign w:val="center"/>
                </w:tcPr>
                <w:p w14:paraId="7AD6D0F4">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基于微信公众号的全流程导诊系统</w:t>
                  </w:r>
                </w:p>
              </w:tc>
              <w:tc>
                <w:tcPr>
                  <w:tcW w:w="3402" w:type="dxa"/>
                  <w:noWrap/>
                  <w:vAlign w:val="center"/>
                </w:tcPr>
                <w:p w14:paraId="3FF197D1">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已建设，在原有系统基础之上升级</w:t>
                  </w:r>
                </w:p>
              </w:tc>
            </w:tr>
            <w:tr w14:paraId="0ACF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70" w:type="dxa"/>
                  <w:noWrap/>
                  <w:vAlign w:val="center"/>
                </w:tcPr>
                <w:p w14:paraId="005CD9BA">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2177" w:type="dxa"/>
                  <w:noWrap/>
                  <w:vAlign w:val="center"/>
                </w:tcPr>
                <w:p w14:paraId="5621B287">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门诊叫号系统</w:t>
                  </w:r>
                </w:p>
              </w:tc>
              <w:tc>
                <w:tcPr>
                  <w:tcW w:w="3402" w:type="dxa"/>
                  <w:noWrap/>
                  <w:vAlign w:val="center"/>
                </w:tcPr>
                <w:p w14:paraId="55D0E0CF">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已建设，在原有系统基础之上升级</w:t>
                  </w:r>
                </w:p>
              </w:tc>
            </w:tr>
            <w:tr w14:paraId="7EB4F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70" w:type="dxa"/>
                  <w:noWrap/>
                  <w:vAlign w:val="center"/>
                </w:tcPr>
                <w:p w14:paraId="390400B9">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2177" w:type="dxa"/>
                  <w:noWrap/>
                  <w:vAlign w:val="center"/>
                </w:tcPr>
                <w:p w14:paraId="1211357F">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预约挂号系统</w:t>
                  </w:r>
                </w:p>
              </w:tc>
              <w:tc>
                <w:tcPr>
                  <w:tcW w:w="3402" w:type="dxa"/>
                  <w:noWrap/>
                  <w:vAlign w:val="center"/>
                </w:tcPr>
                <w:p w14:paraId="73556A34">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已建设，在原有系统基础之上升级</w:t>
                  </w:r>
                </w:p>
              </w:tc>
            </w:tr>
            <w:tr w14:paraId="18A55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70" w:type="dxa"/>
                  <w:noWrap/>
                  <w:vAlign w:val="center"/>
                </w:tcPr>
                <w:p w14:paraId="79651567">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2177" w:type="dxa"/>
                  <w:noWrap/>
                  <w:vAlign w:val="center"/>
                </w:tcPr>
                <w:p w14:paraId="4FDFA3B3">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医院DRGs管理系统</w:t>
                  </w:r>
                </w:p>
              </w:tc>
              <w:tc>
                <w:tcPr>
                  <w:tcW w:w="3402" w:type="dxa"/>
                  <w:noWrap/>
                  <w:vAlign w:val="center"/>
                </w:tcPr>
                <w:p w14:paraId="131A25B4">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已建设，在原有系统基础之上升级</w:t>
                  </w:r>
                </w:p>
              </w:tc>
            </w:tr>
            <w:tr w14:paraId="0F70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70" w:type="dxa"/>
                  <w:noWrap/>
                  <w:vAlign w:val="center"/>
                </w:tcPr>
                <w:p w14:paraId="0213B8B5">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2177" w:type="dxa"/>
                  <w:noWrap/>
                  <w:vAlign w:val="center"/>
                </w:tcPr>
                <w:p w14:paraId="416C3AA5">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医院自动化办公系统</w:t>
                  </w:r>
                </w:p>
              </w:tc>
              <w:tc>
                <w:tcPr>
                  <w:tcW w:w="3402" w:type="dxa"/>
                  <w:noWrap/>
                  <w:vAlign w:val="center"/>
                </w:tcPr>
                <w:p w14:paraId="5ABF38EC">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已建设，在原有系统基础之上升级</w:t>
                  </w:r>
                </w:p>
              </w:tc>
            </w:tr>
            <w:tr w14:paraId="6831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0" w:type="dxa"/>
                  <w:noWrap/>
                  <w:vAlign w:val="center"/>
                </w:tcPr>
                <w:p w14:paraId="158A16C7">
                  <w:pPr>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p>
              </w:tc>
              <w:tc>
                <w:tcPr>
                  <w:tcW w:w="2177" w:type="dxa"/>
                  <w:noWrap/>
                  <w:vAlign w:val="center"/>
                </w:tcPr>
                <w:p w14:paraId="7A351371">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合理用药系统</w:t>
                  </w:r>
                </w:p>
              </w:tc>
              <w:tc>
                <w:tcPr>
                  <w:tcW w:w="3402" w:type="dxa"/>
                  <w:noWrap/>
                  <w:vAlign w:val="center"/>
                </w:tcPr>
                <w:p w14:paraId="09F8E402">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已建设，在原有系统基础之上升级</w:t>
                  </w:r>
                </w:p>
              </w:tc>
            </w:tr>
          </w:tbl>
          <w:p w14:paraId="05319D45">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（2）软件升级服务</w:t>
            </w:r>
          </w:p>
          <w:p w14:paraId="77CAE2A4">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1、要求基于云原生技术，构建高可用服务</w:t>
            </w:r>
          </w:p>
          <w:p w14:paraId="78957AC6">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需面向医院的业务要求，利用云原生简单易扩展的优势，提供稳定可靠的应用服务。</w:t>
            </w:r>
          </w:p>
          <w:p w14:paraId="5E9F60A0">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需利用云原生特性，保障系统在应用快速迭代变化的同时，既可以保持高度的可用性、多节点、负载均衡、弹性扩展等特性，又具备高效处理、水平扩展和数据高并发访问的能力。</w:t>
            </w:r>
          </w:p>
          <w:p w14:paraId="29D1E29B">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2、各个业务模块应具有统一的前端框架、设计风格、高度一致的交互体验</w:t>
            </w:r>
            <w:r>
              <w:rPr>
                <w:rFonts w:hint="eastAsia" w:ascii="宋体" w:hAnsi="宋体" w:cs="宋体"/>
                <w:color w:val="auto"/>
                <w:szCs w:val="21"/>
                <w:highlight w:val="none"/>
                <w:lang w:eastAsia="zh-CN"/>
              </w:rPr>
              <w:t>。</w:t>
            </w:r>
          </w:p>
          <w:p w14:paraId="602E7726">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要求系统从样式、组件、框架、组件交互四个维度实现体验标准化，保障基础体验、交互体验的高度一致。</w:t>
            </w:r>
          </w:p>
          <w:p w14:paraId="5093EB51">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3、采用微服务架构，搭建业务中台、数据中台等中台服务。</w:t>
            </w:r>
          </w:p>
          <w:p w14:paraId="35D291A6">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要求能够将不同模块、不同业务单元、不同应用程序有机且良好的结合起来，实现服务的轻量化、标准化、快速响应化。</w:t>
            </w:r>
          </w:p>
          <w:p w14:paraId="5AD7B704">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需构建业务中台、数据中台等中台服务，使系统能够提供高可用、高稳定、快速访问和响应的同时，还能够做到服务模块化、可配置化。</w:t>
            </w:r>
          </w:p>
          <w:p w14:paraId="54B494A2">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4、要求将系统，进行云化升级</w:t>
            </w:r>
          </w:p>
          <w:p w14:paraId="47F3ACAF">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要求将本地系统迁移到云，实现系统的云化升级。</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需保证云上的系统与本地系统的衔接和过渡，实现云上系统的正常运行。</w:t>
            </w:r>
          </w:p>
          <w:p w14:paraId="0143EF55">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5、要求使用无版权纠纷的数据库，避免数据制约</w:t>
            </w:r>
          </w:p>
          <w:p w14:paraId="21D95C2D">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为避免因技术问题造成数据库软件不被授权、不能使用，整个医院系统瘫痪等问题；软件升级后需保证数据库无版权纠纷。</w:t>
            </w:r>
          </w:p>
          <w:p w14:paraId="75D480F0">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6、应用+中台架构，支持快速响应政策要求变更</w:t>
            </w:r>
          </w:p>
          <w:p w14:paraId="2F7EB189">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支持在业务中台基础之上，根据国家政策要求变更，复用中台基础能力，快速构建应用支持。</w:t>
            </w:r>
          </w:p>
          <w:p w14:paraId="47E42ED2">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7、要求支持无感升级</w:t>
            </w:r>
          </w:p>
          <w:p w14:paraId="76BA3626">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应支持在系统升级过程中，无感知、无影响、无侵入；支持灰度发布、金丝雀发布、蓝绿发布、AB发布等常见过渡发布方式。要求业务系统具有完善的预警、监测机制。</w:t>
            </w:r>
          </w:p>
          <w:p w14:paraId="41F10DEB">
            <w:pPr>
              <w:spacing w:line="360" w:lineRule="auto"/>
              <w:jc w:val="left"/>
              <w:rPr>
                <w:rFonts w:ascii="宋体" w:hAnsi="宋体" w:eastAsia="宋体" w:cs="宋体"/>
                <w:b/>
                <w:bCs/>
                <w:color w:val="auto"/>
                <w:highlight w:val="none"/>
              </w:rPr>
            </w:pPr>
            <w:r>
              <w:rPr>
                <w:rFonts w:hint="eastAsia" w:ascii="宋体" w:hAnsi="宋体" w:eastAsia="宋体" w:cs="宋体"/>
                <w:b/>
                <w:bCs/>
                <w:color w:val="auto"/>
                <w:highlight w:val="none"/>
              </w:rPr>
              <w:t>2.3云运维服务</w:t>
            </w:r>
          </w:p>
          <w:p w14:paraId="5D3654A5">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1、云运维服务总体要求</w:t>
            </w:r>
          </w:p>
          <w:p w14:paraId="4B1D3254">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应支持基于业界主流的微服务架构体系进行开发和建设，运维人应具有丰富的云平台运维管理和具备故障排查解决经验，确保能够解决、修复所使用的软件中的问题。</w:t>
            </w:r>
          </w:p>
          <w:p w14:paraId="5161A04A">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2、基础服务</w:t>
            </w:r>
          </w:p>
          <w:p w14:paraId="53871526">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（1）应提供业务系统所需的整体计算能力和业务承载能力保障。</w:t>
            </w:r>
          </w:p>
          <w:p w14:paraId="1763B720">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云平台可靠性服务：应支持在容错、故障、攻击等场景下，通过冗余、高可用集群、应用与底层设备松耦合等特性来体现，从硬件设备冗余、链路冗余、应用容错等方面充分保证整体系统的可用性，来实现系统在故障或攻击时服务的正常使用或服务降级时的核心服务确保一定的服务能力。应能够快速恢复故障应用系统，确保业务的连续性。</w:t>
            </w:r>
          </w:p>
          <w:p w14:paraId="53CFB271">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云平台建设服务：应支持对云平台上业务系统的整体建设，对各个业务系统模块建设资源应支持具体动态调整、网络支持动/静态BGP接入、支持x86及异构算力等保证业务平稳健康运行满足业务需求。应提供计算、存储、网络、安全、容器、数据库、中间件、大数据、人工智能、物联网等多种服务能力，满足当前及未来业务的扩展。</w:t>
            </w:r>
          </w:p>
          <w:p w14:paraId="452E4F50">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平台高可用性服务：云平台业务系统建设过程中所需的中间件支持，应提供稳定的消息队列服务支撑、稳定的高速缓存存储能力支撑、大数据量写入存储能力支持、大数据量日志的数据搜索引擎能力支撑等。</w:t>
            </w:r>
          </w:p>
          <w:p w14:paraId="5B123CCB">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（5）云平台服务系统持续集成与持续发布，应支持为整个业务系统敏捷版本发布提供稳定的持续集成与发布能力，提供无故障感知的服务升级能力，提供服务升级灰度发布以及滚动升级能力。</w:t>
            </w:r>
          </w:p>
          <w:p w14:paraId="2FF513DB">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3、安全服务</w:t>
            </w:r>
          </w:p>
          <w:p w14:paraId="3B4683FB">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应支持为云服务器、云容器、云数据库等云上资源构建隔离、私密的虚拟网络环境。VPC丰富的功能应支持灵活管理云上网络，包括创建子网、设置安全组和网络ACL、管理路由表、申请弹性公网IP和带宽等。通过链路冗余，分布式网关集群，多AZ部署等多种技术，保障网络的安全、稳定、高可用。</w:t>
            </w:r>
          </w:p>
          <w:p w14:paraId="77B16DFC">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安全组：应支持为云上虚拟服务器设置合理的安全组管理策略，内网之间仅允许指定业务端口开放。安全组是一个逻辑上的分组，应支持为具有相同安全保护需求并相互信任的云服务器、云容器、云数据库等实例提供访问策略。安全组创建后，应支持在安全组中定义各种访问规则，当实例加入该安全组后，即受到这些访问规则的保护。</w:t>
            </w:r>
          </w:p>
          <w:p w14:paraId="6A510FFA">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（3）Web应用防火墙（WAF），应支持七层HTTP协议的防护策略支持，使用WEB应用防火墙或其他防护手段，对常见的SQL注入、跨站脚本攻击等进行防御。</w:t>
            </w:r>
          </w:p>
          <w:p w14:paraId="71A5BBAF">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应支持对网站业务流量进行全方位检测和防护；HTTP(S)请求进行检测，识别并阻断网页木马上传、命令/代码注入、文件包含、敏感文件访问、第三方应用漏洞攻击、CC攻击、恶意爬虫扫描、跨站请求伪造等攻击，保护Web服务安全稳定；提供精准高效的威胁检测、针对业界爆发的高危web漏洞，应提供快速分析漏洞、向引擎下发漏洞防御规则的支持，保障0day漏洞及时在waf打上虚拟补丁，用户无感知；应支持通过Web应用防火墙服务配置地理位置访问控制规则。可针对指定国家、省份的来源IP自定义访问控制；提供简洁友好的控制界面，实时查看攻击信息和事件日志。</w:t>
            </w:r>
          </w:p>
          <w:p w14:paraId="3654BCED">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企业主机安全，应对云上资源建设主机防护措施，对主机安全行为进行监控，对于恶意注入的木马、病毒等能够扫描并干预。应提升主机整体安全性的服务，提供资产管理、漏洞管理支持检测系统和软件漏洞、Web-CMS漏洞，识别潜在风险。入侵检测、基线检查等功能，降低主机安全风险；检测系统中的口令复杂度策略，给出修改建议，帮助用户提升口令安全性；对运行中的程序进行检测，识别出其中的后门、木马、蠕虫和病毒等恶意程序，帮助用户识别出系统存在的安全风险。</w:t>
            </w:r>
          </w:p>
          <w:p w14:paraId="4F50A9C3">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5）云堡垒机，应支持对云上服务器的操作运维审计；提供云计算安全管控的系统和组件，包含部门、用户、资源、策略、运维、审计等功能模块，集单点登录、统一资产管理、多终端访问协议、文件传输、会话协同等功能于一体。通过统一运维登录入口，基于协议正向代理技术和远程访问隔离技术，实现对服务器、云主机、数据库、应用系统等云上资源的集中管理和运维审计；提供可视化运维行为监控，及时预警发现违规操作；实时记录管理员的资源管理、用户管理和策略管理等所有行为日志，以便监控和审计。</w:t>
            </w:r>
          </w:p>
          <w:p w14:paraId="2FB82D35">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（6）数据库安全服务，审计数据库操作行为。应支持对数据库的内部违规和不正当操作进行定位追责，保障数据资产安全。</w:t>
            </w:r>
          </w:p>
          <w:p w14:paraId="0A5A9B1C">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7）安全态势感知，应支持统一的威胁检测和风险处置平台；应支持检测出8大类的云上安全风险，包括DDoS攻击、暴力破解、Web攻击、后门木马、僵尸主机、异常行为、漏洞攻击、命令与控制等。利用大数据分析技术，态势感知可以对攻击事件、威胁告警和攻击源头进行分类统计和综合分析，呈现全局安全攻击态势。</w:t>
            </w:r>
          </w:p>
          <w:p w14:paraId="4C65235C">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（8）云审计，应支持对各种云资源操作记录的收集、存储和查询功能，可用于支撑安全分析、合规审计、资源跟踪和问题定位等，记录审计日志、审计日志查询、审计日志转储。</w:t>
            </w:r>
          </w:p>
          <w:p w14:paraId="1C2B1F01">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（9）云监控，应支持一个针对弹性云服务器、带宽等资源的立体化监控平台。资源使用情况、业务的运行状况，并及时收到异常告警做出反应，保证业务顺畅运行。</w:t>
            </w:r>
          </w:p>
          <w:p w14:paraId="2A587624">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（10）云日志，应支持日志收集、实时查询、存储等功能，通过海量日志数据的分析与处理，可以将云服务和应用程序的可用性和性能最大化，提供实时、高效、安全的日志处理能力。</w:t>
            </w:r>
          </w:p>
          <w:p w14:paraId="2AB43C61">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4、云平台日常运维服务</w:t>
            </w:r>
          </w:p>
          <w:p w14:paraId="5545BAD9">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（1）专门的运维团队，应支持全时段运维服务，制定科学的管理制度、服务流程、质量管控策略等，形成稳定高效的服务管控体系，做到管理规范、流程合理、职责明确、服务高效。</w:t>
            </w:r>
          </w:p>
          <w:p w14:paraId="53755F03">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监控服务：云平台基础资源的实时监控与告警，应包括云主机计算资源、内存资源、存储资源等维度的实时监控与分析，对日常业务运行提供业务异常监控，对日常网络带宽提供预警监控，对以上所有监控维度的实时监控与实时告警能力支撑。</w:t>
            </w:r>
          </w:p>
          <w:p w14:paraId="54EE8718">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云平台故障处理服务：应支持根据业务运行需要，对云平台各组件、各项参数进行针对性的调优，如调整资源虚拟化比例、虚拟CPU类型与型号、服务线程数量，对业务运行过程中的故障进行分析监测，故障解决，提供7x24的检测与处理能力。</w:t>
            </w:r>
          </w:p>
          <w:p w14:paraId="746E1D67">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（4）云平台容量规划与调整服务。应支持对业务需求统计分析，对云平台进行容量规划，包括计算能力、存储容量、网络IP地址空间等；实施网络隔离，保障网络安全。</w:t>
            </w:r>
          </w:p>
          <w:p w14:paraId="3890EFE5">
            <w:pPr>
              <w:spacing w:line="360" w:lineRule="auto"/>
              <w:jc w:val="left"/>
              <w:rPr>
                <w:rFonts w:ascii="宋体" w:hAnsi="宋体" w:eastAsia="宋体" w:cs="宋体"/>
                <w:b/>
                <w:bCs/>
                <w:color w:val="auto"/>
                <w:highlight w:val="none"/>
              </w:rPr>
            </w:pPr>
            <w:r>
              <w:rPr>
                <w:rFonts w:hint="eastAsia" w:ascii="宋体" w:hAnsi="宋体" w:eastAsia="宋体" w:cs="宋体"/>
                <w:b/>
                <w:bCs/>
                <w:color w:val="auto"/>
                <w:highlight w:val="none"/>
              </w:rPr>
              <w:t>2.4软件系统</w:t>
            </w:r>
          </w:p>
          <w:p w14:paraId="3D9B9E94">
            <w:pPr>
              <w:spacing w:line="360" w:lineRule="auto"/>
              <w:jc w:val="left"/>
              <w:rPr>
                <w:rFonts w:ascii="宋体" w:hAnsi="宋体" w:eastAsia="宋体" w:cs="宋体"/>
                <w:b/>
                <w:bCs/>
                <w:color w:val="auto"/>
                <w:highlight w:val="none"/>
              </w:rPr>
            </w:pPr>
            <w:r>
              <w:rPr>
                <w:rFonts w:hint="eastAsia" w:ascii="宋体" w:hAnsi="宋体" w:eastAsia="宋体" w:cs="宋体"/>
                <w:b/>
                <w:bCs/>
                <w:color w:val="auto"/>
                <w:highlight w:val="none"/>
              </w:rPr>
              <w:t>2.4.1医保结算清单系统</w:t>
            </w:r>
          </w:p>
          <w:p w14:paraId="658FF940">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系统功能要求如下：</w:t>
            </w:r>
          </w:p>
          <w:p w14:paraId="34B58274">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1.待办事项功能</w:t>
            </w:r>
          </w:p>
          <w:p w14:paraId="4C0E1D66">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待完善配置信息展示：统计展示所有待完善配置信息，如：医保经办机构代码未配置、医保经办机构经办人代码未配置、未维护科室医保编码、患者的相关医生护士编码未维护等；</w:t>
            </w:r>
          </w:p>
          <w:p w14:paraId="1B59F53D">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即将超出上传时间的清单展示：统计展示即将超出上传时间的所有清单，方便快捷及时处理超出上传时间的清单。</w:t>
            </w:r>
          </w:p>
          <w:p w14:paraId="63DD0854">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上传失败待处理展示：统计展示上传失败待处理的问题，方便快接及时查看处理上传失败的结算清单。</w:t>
            </w:r>
          </w:p>
          <w:p w14:paraId="71A8085E">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数据变化清单展示：统计展示未上传且审核通过的结算清单源数据发生改变，提醒及时处理。点击处理可直接进入处理界面，快速查看调整前后的结算清单相关数据。</w:t>
            </w:r>
          </w:p>
          <w:p w14:paraId="63C55A8D">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2.重点关注指标分析</w:t>
            </w:r>
          </w:p>
          <w:p w14:paraId="3E43C067">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结算清单总数量统计：按照住院/门诊慢特病、科室、费别、时间条件进行统计分析，统计结算清单总数量。</w:t>
            </w:r>
          </w:p>
          <w:p w14:paraId="0F69CF8E">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上传情况环形图分析：按照住院/门诊慢特病、科室、费别、时间条件进行统计分析，支持对上传情况相关的上传成功数、上传失败数、未上传数进行统计展示，并以环形图进行分析展示。</w:t>
            </w:r>
          </w:p>
          <w:p w14:paraId="6A441FF3">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基础数据校验情况条形图统计分析：</w:t>
            </w:r>
          </w:p>
          <w:p w14:paraId="778847A3">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按照条件支持错误级别数量统计，并支持点击错误级别数量，直接跳入质量异常数量详情界面，进行具体信息查看；</w:t>
            </w:r>
          </w:p>
          <w:p w14:paraId="68F00305">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按条件支持统计支持警告级别数量统计，并支持点击警告级别数量，直接跳入质控警告详情界面，进行具体信息查看。</w:t>
            </w:r>
          </w:p>
          <w:p w14:paraId="70DED029">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支持错误级别排名前10问题排序由高到低条形图展示，比如：责任护士代码不能为空、单位名称不能为空、单位电话不能为空、新生儿入院体重不能为空时入院类型不能为空、新生儿年龄不为空时新生儿入院类型必须填写、诊断重复、单位地址不能为空、性别与身份证号不对应、出生日期与身份证号不对应、当离院方式为医嘱转院或医嘱转社区/乡镇卫生院需要填写机构对应的医保定点医疗机构代码等问题，发现容易出现的问题，便于统一管理整改。</w:t>
            </w:r>
          </w:p>
          <w:p w14:paraId="3D21685D">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审核情况饼状图统计分析：按照住院/门诊慢特病、科室、费别、时间相关条件，对审核情况进行统计分析，统计展示待提交清单数量并支持点击数量直接跳入待提交清单详情查看，进行具体信息查看；统计展示清单审核通过数量并支持点击数量直接进行具体详情查看；清单待提交与审核通过数量支持通过饼状图进行展示分析，并展示占比分析。</w:t>
            </w:r>
          </w:p>
          <w:p w14:paraId="25564124">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其他可配置指标：可根据医院疫情情况进行首页个性化指标统计分析展示。</w:t>
            </w:r>
          </w:p>
          <w:p w14:paraId="4EDCB91F">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3.清单查询</w:t>
            </w:r>
          </w:p>
          <w:p w14:paraId="6F546FF5">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多条件查询结算清单：查询条件包含大于等于超结算天数、住院类型、科室、病案归档状态、病案编码状态、查看状态、更改状态、审核状态、上传状态、姓名/病案号/医生、编码员姓名/工号、异地人员类型、结算类型、医保类型、参保地、病案回收状态、费别、编码开始日期至编码结束日期、时间段选择、入院日期至入院结束日期、出院开始日期至出院结束日期等条件进行查询。</w:t>
            </w:r>
          </w:p>
          <w:p w14:paraId="26EB102C">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病例类型条件包含全部、高倍率、低倍率、住院大于60天病例、低风险死亡、质控异常数量、质控警告数量、伴严重并发症、伴一般并发症、不伴并发症、不区分并发症等条件进行查询</w:t>
            </w:r>
            <w:r>
              <w:rPr>
                <w:rFonts w:hint="eastAsia"/>
                <w:color w:val="auto"/>
                <w:highlight w:val="none"/>
                <w:lang w:eastAsia="zh-CN"/>
              </w:rPr>
              <w:t>。</w:t>
            </w:r>
          </w:p>
          <w:p w14:paraId="6016AE41">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批量退回功能：支持对按条件查询后的清单进行批量退回</w:t>
            </w:r>
            <w:r>
              <w:rPr>
                <w:rFonts w:hint="eastAsia" w:ascii="宋体" w:hAnsi="宋体" w:cs="宋体"/>
                <w:color w:val="auto"/>
                <w:szCs w:val="21"/>
                <w:highlight w:val="none"/>
                <w:lang w:eastAsia="zh-CN"/>
              </w:rPr>
              <w:t>。</w:t>
            </w:r>
          </w:p>
          <w:p w14:paraId="78CDFEE8">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重新生成功能：支持对按条件查询后的清单进行重新生成</w:t>
            </w:r>
            <w:r>
              <w:rPr>
                <w:rFonts w:hint="eastAsia" w:ascii="宋体" w:hAnsi="宋体" w:cs="宋体"/>
                <w:color w:val="auto"/>
                <w:szCs w:val="21"/>
                <w:highlight w:val="none"/>
                <w:lang w:eastAsia="zh-CN"/>
              </w:rPr>
              <w:t>。</w:t>
            </w:r>
          </w:p>
          <w:p w14:paraId="29B2FE1F">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上传：支持对按条件查询后的清单上传</w:t>
            </w:r>
            <w:r>
              <w:rPr>
                <w:rFonts w:hint="eastAsia" w:ascii="宋体" w:hAnsi="宋体" w:cs="宋体"/>
                <w:color w:val="auto"/>
                <w:szCs w:val="21"/>
                <w:highlight w:val="none"/>
                <w:lang w:eastAsia="zh-CN"/>
              </w:rPr>
              <w:t>。</w:t>
            </w:r>
          </w:p>
          <w:p w14:paraId="35DBD5C3">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批量审核功能：支持对按条件查询后的清单进行批量审核</w:t>
            </w:r>
            <w:r>
              <w:rPr>
                <w:rFonts w:hint="eastAsia" w:ascii="宋体" w:hAnsi="宋体" w:cs="宋体"/>
                <w:color w:val="auto"/>
                <w:szCs w:val="21"/>
                <w:highlight w:val="none"/>
                <w:lang w:eastAsia="zh-CN"/>
              </w:rPr>
              <w:t>。</w:t>
            </w:r>
          </w:p>
          <w:p w14:paraId="5C3AE4CF">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导出功能：支持对按条件查询后的清单进行批量导出</w:t>
            </w:r>
            <w:r>
              <w:rPr>
                <w:rFonts w:hint="eastAsia" w:ascii="宋体" w:hAnsi="宋体" w:cs="宋体"/>
                <w:color w:val="auto"/>
                <w:szCs w:val="21"/>
                <w:highlight w:val="none"/>
                <w:lang w:eastAsia="zh-CN"/>
              </w:rPr>
              <w:t>。</w:t>
            </w:r>
          </w:p>
          <w:p w14:paraId="38B781C9">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4.清单生成</w:t>
            </w:r>
          </w:p>
          <w:p w14:paraId="432D60C0">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支持后台定时任务自动获取已结算的病案首页数据生成结算清单，也支持手动根据结算时间或者病案号和住院次数获取病案首页数据生成结算清单。并可以实时查看数据抽取的进度。支持查看清单生成历史记录。</w:t>
            </w:r>
          </w:p>
          <w:p w14:paraId="5179E3CC">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支持实时查询历史遗漏清单数据并支持系统自动补充遗漏数据和手动一键获取遗漏数据。</w:t>
            </w:r>
          </w:p>
          <w:p w14:paraId="72018D74">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支持查看清单生成历史记录。可按照清单生成历史条件进行查询，并进行清单生成的数据展示。</w:t>
            </w:r>
          </w:p>
          <w:p w14:paraId="49A9E02A">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5.结算清单质控</w:t>
            </w:r>
          </w:p>
          <w:p w14:paraId="41B49495">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结算清单完整性质控：医保结算清单基础质控包括支持字段非空校验、字典值域校验数据格式等，确保结算清单数据的完整性，上传的及时性和合格率。</w:t>
            </w:r>
          </w:p>
          <w:p w14:paraId="0D5A75F9">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结算清单医保编码质控：支持诊断手术灰码提示和替换编码推荐，编码和名称不对应、非医保码、诊断手术编码重复等进行质控，提高入组准确性和入组率，避免因为编码原因导致入组异常。</w:t>
            </w:r>
          </w:p>
          <w:p w14:paraId="125BD67D">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结算清单费用质控：支持根据费用构成信息提示是否低标准入院，避免医保违规罚款。</w:t>
            </w:r>
          </w:p>
          <w:p w14:paraId="1D936438">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6.清单审核</w:t>
            </w:r>
          </w:p>
          <w:p w14:paraId="6A183B61">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医保结算清单支持根据不同条件查询相应的结算清单，并支持查看清单详细数据。支持结算清单数据修改。支持院内自定义审核流程，并支持医保办人员对医保结算清单进行修改，确保结算清单经过多方确认，同时支持单项以及批量审核。</w:t>
            </w:r>
          </w:p>
          <w:p w14:paraId="283C091A">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对于部分清单生成时出现生成失败或抽取不到的情况，系统支持通过住院号和住院次数查询清单状态，可以检测出此结算信息是否存在撤销，联网登记作废等异常情况，所有结果都以页面形式展示，数据字段异常时会以显眼的红色标记，且在右侧会提示清单可能存在的问题和解决方案，方便用户针对数据问题专项处理。同时支持查看历史住院结算信息、联网结算信息、联网结算信息。</w:t>
            </w:r>
          </w:p>
          <w:p w14:paraId="28A1E723">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7.清单上传</w:t>
            </w:r>
          </w:p>
          <w:p w14:paraId="7427463D">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上传管理：结算清单支持后台定时任务批量上传，也支持手动批量和单个上传。结算清单支持全国所有清单上传参数模板，并可以根据医保上传接口调整做相应的模板修改。</w:t>
            </w:r>
          </w:p>
          <w:p w14:paraId="331F6C39">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上传查询：结算清单支持对所有上传情况进行查询，支持多种查询方式，包括结算清单类型、科室、姓名/病案号/医生/结算ID、时间段、上传状态、结算类型、费别、上传失败原因、解决方案、错误类型等多种条件进行查询，所有查询内容，以列表方式展示结算清单的具体信息，应包含就医流水号、患者姓名、住院号、病案号、科室、清单来源、院内结算日期、上传状态、上传失败原因，并支持根据病案号信息进行数据下钻，查看详细信息，并支持查看上传日志。</w:t>
            </w:r>
          </w:p>
          <w:p w14:paraId="536451A7">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上传日志查询：支持按照结算清单类型、科室、上传状态、异地人员类型、错误类型、姓名/病案号/医生/结算ID、上传失败原因、时间段、是否仅展示最后一次上传等多条件查询。</w:t>
            </w:r>
          </w:p>
          <w:p w14:paraId="2DCCB09F">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上传日志展示:支持以列表方式统计展示结算清单上传的详情，支持针对某条结算清单的信息，进行查看日志、查看清单、重新生成、重新上传等操作。</w:t>
            </w:r>
          </w:p>
          <w:p w14:paraId="5E0356DE">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上传日志导出:结算清单支持实时查看结算清单上传日志，及时查看上传失败的错误原因，并及时修改。</w:t>
            </w:r>
          </w:p>
          <w:p w14:paraId="7B7571A5">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上传核对：支持将医保局要求上传的结算清单数据整理好，导入系统中与系统的结算清单数据进行核对，可以查看上传成功、上传失败、未上传和系统缺少清单。</w:t>
            </w:r>
          </w:p>
          <w:p w14:paraId="1D6BFFA8">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上传核对导出：支持将上传核对结果以EXCEL形式导出</w:t>
            </w:r>
          </w:p>
          <w:p w14:paraId="4845A818">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上传核对统计：支持将上传核对结果以饼图的形式展示，可以清晰的查看上传成功、上传失败、未上传和系统缺少清单的数量。</w:t>
            </w:r>
          </w:p>
          <w:p w14:paraId="47218900">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批量删除：支持按照导入的数据将系中的结算清单数据进行批量删除。</w:t>
            </w:r>
          </w:p>
          <w:p w14:paraId="1AE7B9F0">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下载模版：系统应提供导入模板，可以下载模板，按模板将需要核对的数据进行整理，导入到系统中进行核对。</w:t>
            </w:r>
          </w:p>
          <w:p w14:paraId="2AF7E6D9">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导入数据：支持将医保局下发的需要上传的结算清单数据进行导入到系统中</w:t>
            </w:r>
          </w:p>
          <w:p w14:paraId="6B43BA4B">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上传核对查看：支持以表格的形式展示核对结果。</w:t>
            </w:r>
          </w:p>
          <w:p w14:paraId="34B6F709">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上传核对删除：支持将核对出来的多余的清单进行删除</w:t>
            </w:r>
          </w:p>
          <w:p w14:paraId="7C4953ED">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8.清单查询与明细</w:t>
            </w:r>
            <w:r>
              <w:rPr>
                <w:rFonts w:hint="eastAsia" w:ascii="宋体" w:hAnsi="宋体" w:eastAsia="宋体" w:cs="宋体"/>
                <w:color w:val="auto"/>
                <w:szCs w:val="21"/>
                <w:highlight w:val="none"/>
              </w:rPr>
              <w:tab/>
            </w:r>
          </w:p>
          <w:p w14:paraId="5E973929">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清单按条件查询：包含病人类型、科室、审核状态、上传状态、时间段选择、排序条件（结算时间、入院时间、出院时间、科室、主治医生）、降序、升序、设置搜索条件（姓名/病案号/医生、病案归档状态、病案编码状态、异地人员类型、结算类型、入院时间、出院时间）</w:t>
            </w:r>
          </w:p>
          <w:p w14:paraId="52FD4366">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9.数据变化提醒</w:t>
            </w:r>
            <w:r>
              <w:rPr>
                <w:rFonts w:hint="eastAsia" w:ascii="宋体" w:hAnsi="宋体" w:eastAsia="宋体" w:cs="宋体"/>
                <w:color w:val="auto"/>
                <w:szCs w:val="21"/>
                <w:highlight w:val="none"/>
              </w:rPr>
              <w:tab/>
            </w:r>
          </w:p>
          <w:p w14:paraId="101DDE24">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条件查询功能：查询条件包含住院号、住院次数、科室、上传状态、审核状态、异地人员类型、结算开始结束日期进行查询。</w:t>
            </w:r>
          </w:p>
          <w:p w14:paraId="5F516453">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数据变化信息展示：对所有数据产生变化的患者以列表的方式进行展示，支持对单个患者进行详细数据变化对比查看，清楚展示调整前的结算清单数据与调整后的数据集，调整变动指出进行红色字段展示。支持对于变化的数据进行，取消、忽略同步操作。</w:t>
            </w:r>
          </w:p>
          <w:p w14:paraId="2D715A6D">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一键同步功能：对于结算清单数据产生变化的所有信息，支持批量操作数据同步</w:t>
            </w:r>
          </w:p>
          <w:p w14:paraId="09E751BD">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一键忽略功能：对于结算清单数据产生变化的所有信息，支持批量操作忽略</w:t>
            </w:r>
          </w:p>
          <w:p w14:paraId="56B5D960">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10.上游数据追溯</w:t>
            </w:r>
          </w:p>
          <w:p w14:paraId="60D23565">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条件查询功能：对于部分清单生成时出现生成失败或抽取不到的情况，系统支持通过住院号和住院次数查询清单状态。</w:t>
            </w:r>
          </w:p>
          <w:p w14:paraId="46486662">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数据信息分析展示：支持检测出此结算信息是否存在撤销，联网登记作废等异常情况，所有结果都以页面形式展示，数据字段异常时会以显眼的红色标记，且会提示清单可能存在的问题和解决方案，方便用户针对数据问题专项处理。</w:t>
            </w:r>
          </w:p>
          <w:p w14:paraId="0774FA3D">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联网登记记录查询功能：支持查看患者医保联网登记的联网登记流水号、参保地、医保就诊id等信息。</w:t>
            </w:r>
          </w:p>
          <w:p w14:paraId="0A6D80BB">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信息查询功能：支持查看历史住院结算信息。</w:t>
            </w:r>
          </w:p>
          <w:p w14:paraId="2095340B">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11.统计分析</w:t>
            </w:r>
          </w:p>
          <w:p w14:paraId="330A55E8">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支持医保结算清单上传失败信息的统计分析、驳回统计、审核统计分析。</w:t>
            </w:r>
          </w:p>
          <w:p w14:paraId="72D9E084">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12.结算清单相关接口</w:t>
            </w:r>
          </w:p>
          <w:p w14:paraId="4035801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医保结算清单提供标准数据接口，可以通过数据接口与其他产品、系统进行数据交互。</w:t>
            </w:r>
          </w:p>
          <w:p w14:paraId="40170540">
            <w:pPr>
              <w:bidi w:val="0"/>
              <w:spacing w:line="360" w:lineRule="auto"/>
              <w:jc w:val="left"/>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技术服务要求</w:t>
            </w:r>
          </w:p>
          <w:p w14:paraId="35693875">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（1）应采用微服务架构体系</w:t>
            </w:r>
          </w:p>
          <w:p w14:paraId="42D88579">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医院信息系统应满足目前微服务架构体系的建设标准，能够将不同模块、不同业务单元、不同应用程序有机且良好的结合起来，能够让服务轻量化、标准化、快速响应化，能够满足医疗信息系统复杂且多变的业务需求。</w:t>
            </w:r>
          </w:p>
          <w:p w14:paraId="0A18DB8F">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（2）应支持无感升级</w:t>
            </w:r>
          </w:p>
          <w:p w14:paraId="3FE447C4">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对于已上线系统的升级过程中，应做到对用户无感知、对稳定性无影响、对系统无侵入。对于系统的升级发布应支持灰度发布、金丝雀发布、蓝绿发布、AB发布等常见过渡发布方案。应进行详尽UAT测试后再进行大规模的发布。</w:t>
            </w:r>
          </w:p>
          <w:p w14:paraId="2A96A2F4">
            <w:pPr>
              <w:numPr>
                <w:ilvl w:val="0"/>
                <w:numId w:val="0"/>
              </w:num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（3）</w:t>
            </w:r>
            <w:r>
              <w:rPr>
                <w:rFonts w:hint="default" w:ascii="宋体" w:hAnsi="宋体" w:eastAsia="宋体" w:cs="宋体"/>
                <w:color w:val="auto"/>
                <w:szCs w:val="21"/>
                <w:highlight w:val="none"/>
                <w:lang w:val="en-US" w:eastAsia="zh-CN"/>
              </w:rPr>
              <w:t>需提供能够匹配软件系统升级要求的配套硬件支持</w:t>
            </w:r>
          </w:p>
          <w:p w14:paraId="67CABE12">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为保障医院信息系统顺利升级，保证使用效果，需提供能够匹配软件系统升级要求的配套硬件支持，须包含</w:t>
            </w:r>
            <w:r>
              <w:rPr>
                <w:rFonts w:hint="eastAsia" w:ascii="宋体" w:hAnsi="宋体" w:eastAsia="宋体" w:cs="宋体"/>
                <w:color w:val="auto"/>
                <w:szCs w:val="21"/>
                <w:highlight w:val="none"/>
              </w:rPr>
              <w:t>5G CPE</w:t>
            </w:r>
            <w:r>
              <w:rPr>
                <w:rFonts w:hint="eastAsia" w:ascii="宋体" w:hAnsi="宋体" w:eastAsia="宋体" w:cs="宋体"/>
                <w:color w:val="auto"/>
                <w:szCs w:val="21"/>
                <w:highlight w:val="none"/>
                <w:lang w:eastAsia="zh-CN"/>
              </w:rPr>
              <w:t>（支持4G、5G、有线多网同时接入）、</w:t>
            </w:r>
            <w:r>
              <w:rPr>
                <w:rFonts w:hint="eastAsia" w:ascii="宋体" w:hAnsi="宋体" w:eastAsia="宋体" w:cs="宋体"/>
                <w:color w:val="auto"/>
                <w:szCs w:val="21"/>
                <w:highlight w:val="none"/>
                <w:lang w:val="en-US" w:eastAsia="zh-CN"/>
              </w:rPr>
              <w:t>前置机（至少32GB内存，3T硬盘）、影像文件存储（要求至少8*1GbETH，4*10GbETH）、标清采集卡（应支持标准PAL、NTSC制式彩色/黑白视频输入）、高清采集卡（可采集1路全高清1080P信号）、安卓盒子（应支持安卓9.0，运行内至少2GB）、云体系带宽线路（要求主线500M、备用线路300M）、台式电脑内存条（应配置8GB），实现医院信息共享。</w:t>
            </w:r>
          </w:p>
          <w:p w14:paraId="6195AF0C">
            <w:pPr>
              <w:spacing w:line="360" w:lineRule="auto"/>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color w:val="auto"/>
                <w:szCs w:val="21"/>
                <w:highlight w:val="none"/>
                <w:lang w:val="en-US" w:eastAsia="zh-CN"/>
              </w:rPr>
              <w:t>（4）需提供7*24小时技术支持服务,包括提供远程支援、电话咨询和现场技术处理等服务。</w:t>
            </w:r>
          </w:p>
        </w:tc>
      </w:tr>
      <w:tr w14:paraId="4DD0CD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509" w:type="dxa"/>
            <w:gridSpan w:val="5"/>
            <w:tcBorders>
              <w:top w:val="single" w:color="auto" w:sz="4" w:space="0"/>
              <w:left w:val="single" w:color="auto" w:sz="4" w:space="0"/>
              <w:bottom w:val="single" w:color="auto" w:sz="4" w:space="0"/>
              <w:right w:val="single" w:color="auto" w:sz="4" w:space="0"/>
            </w:tcBorders>
            <w:noWrap w:val="0"/>
            <w:vAlign w:val="center"/>
          </w:tcPr>
          <w:p w14:paraId="78E4C6C1">
            <w:pPr>
              <w:jc w:val="both"/>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eastAsia="zh-CN"/>
              </w:rPr>
              <w:t>二、</w:t>
            </w:r>
            <w:r>
              <w:rPr>
                <w:rFonts w:hint="eastAsia" w:ascii="宋体" w:hAnsi="宋体" w:cs="宋体"/>
                <w:b/>
                <w:bCs/>
                <w:color w:val="auto"/>
                <w:sz w:val="21"/>
                <w:szCs w:val="21"/>
                <w:highlight w:val="none"/>
              </w:rPr>
              <w:t>▲商务</w:t>
            </w:r>
            <w:r>
              <w:rPr>
                <w:rFonts w:hint="eastAsia" w:ascii="宋体" w:hAnsi="宋体" w:cs="宋体"/>
                <w:b/>
                <w:bCs/>
                <w:color w:val="auto"/>
                <w:sz w:val="21"/>
                <w:szCs w:val="21"/>
                <w:highlight w:val="none"/>
                <w:lang w:eastAsia="zh-CN"/>
              </w:rPr>
              <w:t>条款</w:t>
            </w:r>
          </w:p>
        </w:tc>
      </w:tr>
      <w:tr w14:paraId="5F712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1838" w:type="dxa"/>
            <w:gridSpan w:val="2"/>
            <w:tcBorders>
              <w:top w:val="single" w:color="auto" w:sz="4" w:space="0"/>
              <w:left w:val="single" w:color="auto" w:sz="4" w:space="0"/>
              <w:bottom w:val="single" w:color="auto" w:sz="4" w:space="0"/>
              <w:right w:val="single" w:color="auto" w:sz="4" w:space="0"/>
            </w:tcBorders>
            <w:noWrap w:val="0"/>
            <w:vAlign w:val="center"/>
          </w:tcPr>
          <w:p w14:paraId="4C69BD96">
            <w:pPr>
              <w:pStyle w:val="26"/>
              <w:spacing w:line="360" w:lineRule="auto"/>
              <w:jc w:val="center"/>
              <w:rPr>
                <w:rFonts w:hint="eastAsia" w:ascii="宋体" w:hAnsi="宋体" w:cs="宋体"/>
                <w:color w:val="auto"/>
                <w:kern w:val="0"/>
                <w:sz w:val="21"/>
                <w:szCs w:val="21"/>
                <w:highlight w:val="none"/>
                <w:lang w:val="en-US" w:eastAsia="zh-CN" w:bidi="ar-SA"/>
              </w:rPr>
            </w:pPr>
            <w:r>
              <w:rPr>
                <w:rFonts w:hint="eastAsia"/>
                <w:color w:val="auto"/>
                <w:sz w:val="21"/>
                <w:szCs w:val="21"/>
                <w:highlight w:val="none"/>
              </w:rPr>
              <w:t>合同签订时间</w:t>
            </w:r>
          </w:p>
        </w:tc>
        <w:tc>
          <w:tcPr>
            <w:tcW w:w="7671" w:type="dxa"/>
            <w:gridSpan w:val="3"/>
            <w:tcBorders>
              <w:top w:val="single" w:color="auto" w:sz="4" w:space="0"/>
              <w:left w:val="single" w:color="auto" w:sz="4" w:space="0"/>
              <w:bottom w:val="single" w:color="auto" w:sz="4" w:space="0"/>
              <w:right w:val="single" w:color="auto" w:sz="4" w:space="0"/>
            </w:tcBorders>
            <w:noWrap w:val="0"/>
            <w:vAlign w:val="center"/>
          </w:tcPr>
          <w:p w14:paraId="4AB45D42">
            <w:pPr>
              <w:pStyle w:val="26"/>
              <w:spacing w:line="360" w:lineRule="auto"/>
              <w:jc w:val="both"/>
              <w:rPr>
                <w:rFonts w:hint="eastAsia" w:ascii="宋体" w:hAnsi="宋体" w:cs="宋体"/>
                <w:color w:val="auto"/>
                <w:kern w:val="0"/>
                <w:sz w:val="21"/>
                <w:szCs w:val="21"/>
                <w:highlight w:val="none"/>
                <w:lang w:val="en-US" w:eastAsia="en-US" w:bidi="ar-SA"/>
              </w:rPr>
            </w:pPr>
            <w:r>
              <w:rPr>
                <w:rFonts w:hint="eastAsia"/>
                <w:color w:val="auto"/>
                <w:sz w:val="21"/>
                <w:szCs w:val="21"/>
                <w:highlight w:val="none"/>
              </w:rPr>
              <w:t>自成交通知书发出之日起</w:t>
            </w:r>
            <w:r>
              <w:rPr>
                <w:rFonts w:hint="eastAsia"/>
                <w:color w:val="auto"/>
                <w:sz w:val="21"/>
                <w:szCs w:val="21"/>
                <w:highlight w:val="none"/>
                <w:lang w:val="en-US"/>
              </w:rPr>
              <w:t>20</w:t>
            </w:r>
            <w:r>
              <w:rPr>
                <w:rFonts w:hint="eastAsia"/>
                <w:color w:val="auto"/>
                <w:sz w:val="21"/>
                <w:szCs w:val="21"/>
                <w:highlight w:val="none"/>
              </w:rPr>
              <w:t>日历天内</w:t>
            </w:r>
          </w:p>
        </w:tc>
      </w:tr>
      <w:tr w14:paraId="777FE4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1838" w:type="dxa"/>
            <w:gridSpan w:val="2"/>
            <w:tcBorders>
              <w:top w:val="single" w:color="auto" w:sz="4" w:space="0"/>
              <w:left w:val="single" w:color="auto" w:sz="4" w:space="0"/>
              <w:bottom w:val="single" w:color="auto" w:sz="4" w:space="0"/>
              <w:right w:val="single" w:color="auto" w:sz="4" w:space="0"/>
            </w:tcBorders>
            <w:noWrap w:val="0"/>
            <w:vAlign w:val="center"/>
          </w:tcPr>
          <w:p w14:paraId="101F2B0C">
            <w:pPr>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交付地点</w:t>
            </w:r>
          </w:p>
        </w:tc>
        <w:tc>
          <w:tcPr>
            <w:tcW w:w="7671" w:type="dxa"/>
            <w:gridSpan w:val="3"/>
            <w:tcBorders>
              <w:top w:val="single" w:color="auto" w:sz="4" w:space="0"/>
              <w:left w:val="single" w:color="auto" w:sz="4" w:space="0"/>
              <w:bottom w:val="single" w:color="auto" w:sz="4" w:space="0"/>
              <w:right w:val="single" w:color="auto" w:sz="4" w:space="0"/>
            </w:tcBorders>
            <w:noWrap w:val="0"/>
            <w:vAlign w:val="center"/>
          </w:tcPr>
          <w:p w14:paraId="19D060E5">
            <w:pPr>
              <w:widowControl/>
              <w:spacing w:line="360" w:lineRule="auto"/>
              <w:jc w:val="left"/>
              <w:rPr>
                <w:rFonts w:hint="eastAsia" w:ascii="宋体" w:hAnsi="宋体"/>
                <w:bCs/>
                <w:color w:val="auto"/>
                <w:sz w:val="21"/>
                <w:szCs w:val="21"/>
                <w:highlight w:val="none"/>
              </w:rPr>
            </w:pPr>
            <w:r>
              <w:rPr>
                <w:rFonts w:hint="eastAsia" w:ascii="宋体" w:hAnsi="宋体" w:cs="宋体"/>
                <w:color w:val="auto"/>
                <w:kern w:val="0"/>
                <w:sz w:val="21"/>
                <w:szCs w:val="21"/>
                <w:highlight w:val="none"/>
              </w:rPr>
              <w:t>交付地点：贵港市港北区人民医院。</w:t>
            </w:r>
          </w:p>
        </w:tc>
      </w:tr>
      <w:tr w14:paraId="4DA8A8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1838" w:type="dxa"/>
            <w:gridSpan w:val="2"/>
            <w:tcBorders>
              <w:top w:val="single" w:color="auto" w:sz="4" w:space="0"/>
              <w:left w:val="single" w:color="auto" w:sz="4" w:space="0"/>
              <w:bottom w:val="single" w:color="auto" w:sz="4" w:space="0"/>
              <w:right w:val="single" w:color="auto" w:sz="4" w:space="0"/>
            </w:tcBorders>
            <w:noWrap w:val="0"/>
            <w:vAlign w:val="center"/>
          </w:tcPr>
          <w:p w14:paraId="653C99E9">
            <w:pPr>
              <w:jc w:val="center"/>
              <w:rPr>
                <w:rFonts w:ascii="宋体" w:hAnsi="宋体"/>
                <w:color w:val="auto"/>
                <w:sz w:val="21"/>
                <w:szCs w:val="21"/>
                <w:highlight w:val="none"/>
              </w:rPr>
            </w:pPr>
            <w:r>
              <w:rPr>
                <w:rFonts w:hint="eastAsia" w:ascii="宋体" w:hAnsi="宋体"/>
                <w:color w:val="auto"/>
                <w:sz w:val="21"/>
                <w:szCs w:val="21"/>
                <w:highlight w:val="none"/>
                <w:lang w:eastAsia="zh-CN"/>
              </w:rPr>
              <w:t>服务</w:t>
            </w:r>
            <w:r>
              <w:rPr>
                <w:rFonts w:hint="eastAsia" w:ascii="宋体" w:hAnsi="宋体"/>
                <w:color w:val="auto"/>
                <w:sz w:val="21"/>
                <w:szCs w:val="21"/>
                <w:highlight w:val="none"/>
              </w:rPr>
              <w:t>期</w:t>
            </w:r>
          </w:p>
        </w:tc>
        <w:tc>
          <w:tcPr>
            <w:tcW w:w="7671" w:type="dxa"/>
            <w:gridSpan w:val="3"/>
            <w:tcBorders>
              <w:top w:val="single" w:color="auto" w:sz="4" w:space="0"/>
              <w:left w:val="single" w:color="auto" w:sz="4" w:space="0"/>
              <w:bottom w:val="single" w:color="auto" w:sz="4" w:space="0"/>
              <w:right w:val="single" w:color="auto" w:sz="4" w:space="0"/>
            </w:tcBorders>
            <w:noWrap w:val="0"/>
            <w:vAlign w:val="center"/>
          </w:tcPr>
          <w:p w14:paraId="28849277">
            <w:pPr>
              <w:widowControl/>
              <w:spacing w:line="360" w:lineRule="auto"/>
              <w:jc w:val="left"/>
              <w:rPr>
                <w:rFonts w:hint="default" w:ascii="宋体" w:hAnsi="宋体" w:eastAsia="宋体"/>
                <w:bCs/>
                <w:color w:val="auto"/>
                <w:sz w:val="21"/>
                <w:szCs w:val="21"/>
                <w:highlight w:val="none"/>
                <w:lang w:val="en-US" w:eastAsia="zh-CN"/>
              </w:rPr>
            </w:pPr>
            <w:r>
              <w:rPr>
                <w:rFonts w:hint="eastAsia" w:ascii="宋体" w:hAnsi="宋体" w:cs="宋体"/>
                <w:color w:val="auto"/>
                <w:kern w:val="0"/>
                <w:sz w:val="21"/>
                <w:szCs w:val="21"/>
                <w:highlight w:val="none"/>
                <w:lang w:val="en-US" w:eastAsia="zh-CN"/>
              </w:rPr>
              <w:t>自合同签订生效之日起30日内完成。</w:t>
            </w:r>
          </w:p>
        </w:tc>
      </w:tr>
      <w:tr w14:paraId="27D140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1838" w:type="dxa"/>
            <w:gridSpan w:val="2"/>
            <w:tcBorders>
              <w:top w:val="single" w:color="auto" w:sz="4" w:space="0"/>
              <w:left w:val="single" w:color="auto" w:sz="4" w:space="0"/>
              <w:bottom w:val="single" w:color="auto" w:sz="4" w:space="0"/>
              <w:right w:val="single" w:color="auto" w:sz="4" w:space="0"/>
            </w:tcBorders>
            <w:noWrap w:val="0"/>
            <w:vAlign w:val="center"/>
          </w:tcPr>
          <w:p w14:paraId="4ADA1E08">
            <w:pPr>
              <w:jc w:val="center"/>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报价要求</w:t>
            </w:r>
          </w:p>
        </w:tc>
        <w:tc>
          <w:tcPr>
            <w:tcW w:w="7671" w:type="dxa"/>
            <w:gridSpan w:val="3"/>
            <w:tcBorders>
              <w:top w:val="single" w:color="auto" w:sz="4" w:space="0"/>
              <w:left w:val="single" w:color="auto" w:sz="4" w:space="0"/>
              <w:bottom w:val="single" w:color="auto" w:sz="4" w:space="0"/>
              <w:right w:val="single" w:color="auto" w:sz="4" w:space="0"/>
            </w:tcBorders>
            <w:noWrap w:val="0"/>
            <w:vAlign w:val="center"/>
          </w:tcPr>
          <w:p w14:paraId="309CAFB3">
            <w:pPr>
              <w:widowControl/>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价是履行合同的最终价格，报价包含实施和完成本项目全部工作所需的服务期内所需的一切费用，包括但不限于：软件升级服务、备品备件替换费用、保险费、安装调试费、税费、培训费、产品检测费、产品质保期内升级维护费等费用。在合同实施时，供应商应就《服务项目需求》中的所有内容作完整唯一报价，采购人将不予支付成交供应商没有列入的项目费用，并认为此项目的费用已包括在响应总报价中。</w:t>
            </w:r>
          </w:p>
        </w:tc>
      </w:tr>
      <w:tr w14:paraId="0FA0E4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838" w:type="dxa"/>
            <w:gridSpan w:val="2"/>
            <w:tcBorders>
              <w:top w:val="single" w:color="auto" w:sz="4" w:space="0"/>
              <w:left w:val="single" w:color="auto" w:sz="4" w:space="0"/>
              <w:bottom w:val="single" w:color="auto" w:sz="4" w:space="0"/>
              <w:right w:val="single" w:color="auto" w:sz="4" w:space="0"/>
            </w:tcBorders>
            <w:noWrap w:val="0"/>
            <w:vAlign w:val="center"/>
          </w:tcPr>
          <w:p w14:paraId="2312D353">
            <w:pPr>
              <w:jc w:val="center"/>
              <w:rPr>
                <w:rFonts w:hint="eastAsia" w:ascii="宋体" w:hAnsi="宋体"/>
                <w:color w:val="auto"/>
                <w:sz w:val="21"/>
                <w:szCs w:val="21"/>
                <w:highlight w:val="none"/>
              </w:rPr>
            </w:pPr>
            <w:r>
              <w:rPr>
                <w:rFonts w:hint="eastAsia" w:ascii="宋体" w:hAnsi="宋体"/>
                <w:color w:val="auto"/>
                <w:sz w:val="21"/>
                <w:szCs w:val="21"/>
                <w:highlight w:val="none"/>
              </w:rPr>
              <w:t>付款</w:t>
            </w:r>
            <w:r>
              <w:rPr>
                <w:rFonts w:hint="eastAsia" w:ascii="宋体" w:hAnsi="宋体"/>
                <w:color w:val="auto"/>
                <w:sz w:val="21"/>
                <w:szCs w:val="21"/>
                <w:highlight w:val="none"/>
                <w:lang w:eastAsia="zh-CN"/>
              </w:rPr>
              <w:t>方式</w:t>
            </w:r>
          </w:p>
        </w:tc>
        <w:tc>
          <w:tcPr>
            <w:tcW w:w="7671" w:type="dxa"/>
            <w:gridSpan w:val="3"/>
            <w:tcBorders>
              <w:top w:val="single" w:color="auto" w:sz="4" w:space="0"/>
              <w:left w:val="single" w:color="auto" w:sz="4" w:space="0"/>
              <w:bottom w:val="single" w:color="auto" w:sz="4" w:space="0"/>
              <w:right w:val="single" w:color="auto" w:sz="4" w:space="0"/>
            </w:tcBorders>
            <w:noWrap w:val="0"/>
            <w:vAlign w:val="center"/>
          </w:tcPr>
          <w:p w14:paraId="6B2C6B41">
            <w:pPr>
              <w:widowControl/>
              <w:spacing w:line="360" w:lineRule="auto"/>
              <w:jc w:val="left"/>
              <w:rPr>
                <w:rFonts w:hint="eastAsia" w:eastAsia="宋体" w:cs="宋体"/>
                <w:color w:val="auto"/>
                <w:sz w:val="21"/>
                <w:szCs w:val="21"/>
                <w:highlight w:val="none"/>
                <w:lang w:eastAsia="zh-CN"/>
              </w:rPr>
            </w:pPr>
            <w:r>
              <w:rPr>
                <w:rFonts w:hint="eastAsia" w:ascii="宋体" w:hAnsi="宋体" w:cs="宋体"/>
                <w:color w:val="auto"/>
                <w:szCs w:val="21"/>
                <w:highlight w:val="none"/>
              </w:rPr>
              <w:t>合同生效及项目组织实施后</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个工作日内支付合同金额的30%，全部</w:t>
            </w:r>
            <w:r>
              <w:rPr>
                <w:rFonts w:hint="eastAsia" w:ascii="宋体" w:hAnsi="宋体" w:cs="宋体"/>
                <w:color w:val="auto"/>
                <w:szCs w:val="21"/>
                <w:highlight w:val="none"/>
                <w:lang w:eastAsia="zh-CN"/>
              </w:rPr>
              <w:t>系统升级服务</w:t>
            </w:r>
            <w:r>
              <w:rPr>
                <w:rFonts w:hint="eastAsia" w:ascii="宋体" w:hAnsi="宋体" w:cs="宋体"/>
                <w:color w:val="auto"/>
                <w:szCs w:val="21"/>
                <w:highlight w:val="none"/>
              </w:rPr>
              <w:t>调试完毕并通过验收后7个工作日内支付</w:t>
            </w:r>
            <w:r>
              <w:rPr>
                <w:rFonts w:hint="eastAsia" w:ascii="宋体" w:hAnsi="宋体" w:cs="宋体"/>
                <w:color w:val="auto"/>
                <w:szCs w:val="21"/>
                <w:highlight w:val="none"/>
                <w:lang w:eastAsia="zh-CN"/>
              </w:rPr>
              <w:t>至合同金额的</w:t>
            </w:r>
            <w:r>
              <w:rPr>
                <w:rFonts w:hint="eastAsia" w:ascii="宋体" w:hAnsi="宋体" w:cs="宋体"/>
                <w:color w:val="auto"/>
                <w:szCs w:val="21"/>
                <w:highlight w:val="none"/>
                <w:lang w:val="en-US" w:eastAsia="zh-CN"/>
              </w:rPr>
              <w:t>97%，</w:t>
            </w:r>
            <w:r>
              <w:rPr>
                <w:rFonts w:hint="eastAsia" w:ascii="宋体" w:hAnsi="宋体" w:cs="宋体"/>
                <w:color w:val="auto"/>
                <w:szCs w:val="21"/>
                <w:highlight w:val="none"/>
                <w:lang w:eastAsia="zh-CN"/>
              </w:rPr>
              <w:t>云系统维护</w:t>
            </w:r>
            <w:r>
              <w:rPr>
                <w:rFonts w:hint="eastAsia" w:ascii="宋体" w:hAnsi="宋体" w:cs="宋体"/>
                <w:color w:val="auto"/>
                <w:szCs w:val="21"/>
                <w:highlight w:val="none"/>
                <w:lang w:val="en-US" w:eastAsia="zh-CN"/>
              </w:rPr>
              <w:t>1年到期后支付至</w:t>
            </w:r>
            <w:r>
              <w:rPr>
                <w:rFonts w:hint="eastAsia" w:ascii="宋体" w:hAnsi="宋体" w:cs="宋体"/>
                <w:color w:val="auto"/>
                <w:szCs w:val="21"/>
                <w:highlight w:val="none"/>
                <w:lang w:eastAsia="zh-CN"/>
              </w:rPr>
              <w:t>合同金额的</w:t>
            </w:r>
            <w:r>
              <w:rPr>
                <w:rFonts w:hint="eastAsia" w:ascii="宋体" w:hAnsi="宋体" w:cs="宋体"/>
                <w:color w:val="auto"/>
                <w:szCs w:val="21"/>
                <w:highlight w:val="none"/>
                <w:lang w:val="en-US" w:eastAsia="zh-CN"/>
              </w:rPr>
              <w:t>100%。</w:t>
            </w:r>
            <w:r>
              <w:rPr>
                <w:rFonts w:hint="eastAsia" w:ascii="宋体" w:hAnsi="宋体" w:cs="宋体"/>
                <w:color w:val="auto"/>
                <w:szCs w:val="21"/>
                <w:highlight w:val="none"/>
              </w:rPr>
              <w:t>每次付款前由供应商提供正式发票和相关报账材料，采购人完善相关报账手续后支付合同款。</w:t>
            </w:r>
          </w:p>
        </w:tc>
      </w:tr>
      <w:tr w14:paraId="76EF28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1" w:hRule="atLeast"/>
          <w:jc w:val="center"/>
        </w:trPr>
        <w:tc>
          <w:tcPr>
            <w:tcW w:w="1838" w:type="dxa"/>
            <w:gridSpan w:val="2"/>
            <w:tcBorders>
              <w:top w:val="single" w:color="auto" w:sz="4" w:space="0"/>
              <w:left w:val="single" w:color="auto" w:sz="4" w:space="0"/>
              <w:bottom w:val="single" w:color="auto" w:sz="4" w:space="0"/>
              <w:right w:val="single" w:color="auto" w:sz="4" w:space="0"/>
            </w:tcBorders>
            <w:noWrap w:val="0"/>
            <w:vAlign w:val="center"/>
          </w:tcPr>
          <w:p w14:paraId="53753053">
            <w:pPr>
              <w:jc w:val="center"/>
              <w:rPr>
                <w:rFonts w:ascii="宋体" w:hAnsi="宋体"/>
                <w:color w:val="auto"/>
                <w:sz w:val="21"/>
                <w:szCs w:val="21"/>
                <w:highlight w:val="none"/>
              </w:rPr>
            </w:pPr>
            <w:r>
              <w:rPr>
                <w:rFonts w:hint="eastAsia" w:ascii="宋体" w:hAnsi="宋体"/>
                <w:color w:val="auto"/>
                <w:sz w:val="21"/>
                <w:szCs w:val="21"/>
                <w:highlight w:val="none"/>
              </w:rPr>
              <w:t>售后服务要求</w:t>
            </w:r>
          </w:p>
        </w:tc>
        <w:tc>
          <w:tcPr>
            <w:tcW w:w="7671"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13D5DA6">
            <w:pPr>
              <w:widowControl/>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采购人在使用过程中若产品发生故障，在接到采购人通知后5小时内响应，24个小时内到达现场处理，一般故障处理时限不超过24小时修复，重大故障处理时限不超过72小时修复。</w:t>
            </w:r>
          </w:p>
          <w:p w14:paraId="6214F96C">
            <w:pPr>
              <w:widowControl/>
              <w:spacing w:line="360" w:lineRule="auto"/>
              <w:jc w:val="left"/>
              <w:rPr>
                <w:rFonts w:ascii="宋体" w:hAnsi="宋体" w:eastAsia="宋体" w:cs="Times New Roman"/>
                <w:bCs/>
                <w:color w:val="auto"/>
                <w:kern w:val="2"/>
                <w:sz w:val="21"/>
                <w:szCs w:val="21"/>
                <w:highlight w:val="none"/>
                <w:lang w:val="en-US" w:eastAsia="zh-CN" w:bidi="ar-SA"/>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）供应商在提供服务过程中，对所接触到的所有信息负有保密义务，并签署相关保密协议，如因服务商原因造成的信息泄露事件，采购人追究其责任。</w:t>
            </w:r>
          </w:p>
        </w:tc>
      </w:tr>
      <w:tr w14:paraId="755FE4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23" w:hRule="atLeast"/>
          <w:jc w:val="center"/>
        </w:trPr>
        <w:tc>
          <w:tcPr>
            <w:tcW w:w="1838" w:type="dxa"/>
            <w:gridSpan w:val="2"/>
            <w:tcBorders>
              <w:top w:val="single" w:color="auto" w:sz="4" w:space="0"/>
              <w:left w:val="single" w:color="auto" w:sz="4" w:space="0"/>
              <w:bottom w:val="single" w:color="auto" w:sz="4" w:space="0"/>
              <w:right w:val="single" w:color="auto" w:sz="4" w:space="0"/>
            </w:tcBorders>
            <w:noWrap w:val="0"/>
            <w:vAlign w:val="center"/>
          </w:tcPr>
          <w:p w14:paraId="6A5B7D67">
            <w:pPr>
              <w:snapToGrid w:val="0"/>
              <w:spacing w:line="460" w:lineRule="exact"/>
              <w:jc w:val="center"/>
              <w:rPr>
                <w:rFonts w:hint="eastAsia" w:ascii="宋体" w:hAnsi="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验收标准</w:t>
            </w:r>
          </w:p>
        </w:tc>
        <w:tc>
          <w:tcPr>
            <w:tcW w:w="7671" w:type="dxa"/>
            <w:gridSpan w:val="3"/>
            <w:tcBorders>
              <w:top w:val="single" w:color="auto" w:sz="4" w:space="0"/>
              <w:left w:val="single" w:color="auto" w:sz="4" w:space="0"/>
              <w:bottom w:val="single" w:color="auto" w:sz="4" w:space="0"/>
              <w:right w:val="single" w:color="auto" w:sz="4" w:space="0"/>
            </w:tcBorders>
            <w:noWrap w:val="0"/>
            <w:vAlign w:val="center"/>
          </w:tcPr>
          <w:p w14:paraId="21785DFA">
            <w:pPr>
              <w:tabs>
                <w:tab w:val="left" w:pos="180"/>
                <w:tab w:val="left" w:pos="1620"/>
              </w:tabs>
              <w:snapToGrid w:val="0"/>
              <w:spacing w:line="4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按照</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供应商的响应文件</w:t>
            </w:r>
            <w:r>
              <w:rPr>
                <w:rFonts w:hint="eastAsia" w:ascii="宋体" w:hAnsi="宋体" w:eastAsia="宋体" w:cs="宋体"/>
                <w:color w:val="auto"/>
                <w:sz w:val="21"/>
                <w:szCs w:val="21"/>
                <w:highlight w:val="none"/>
              </w:rPr>
              <w:t>以及采购合同要求开展验收</w:t>
            </w:r>
            <w:r>
              <w:rPr>
                <w:rFonts w:hint="eastAsia" w:ascii="宋体" w:hAnsi="宋体" w:eastAsia="宋体" w:cs="宋体"/>
                <w:color w:val="auto"/>
                <w:sz w:val="21"/>
                <w:szCs w:val="21"/>
                <w:highlight w:val="none"/>
                <w:lang w:eastAsia="zh-CN"/>
              </w:rPr>
              <w:t>；</w:t>
            </w:r>
          </w:p>
          <w:p w14:paraId="1980D30F">
            <w:pPr>
              <w:tabs>
                <w:tab w:val="left" w:pos="180"/>
                <w:tab w:val="left" w:pos="1620"/>
              </w:tabs>
              <w:snapToGrid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在验收前应对所提供的货物和相关服务作出全面检查并整理验收文件，列出清单，作为采购人验收的依据之一。</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不能按规定交付相关材料，导致采购人无法确认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交付结果的，必须负责补齐，否则视为未按合同约定交付货物和相应的服务。</w:t>
            </w:r>
          </w:p>
          <w:p w14:paraId="71BF838D">
            <w:pPr>
              <w:snapToGrid w:val="0"/>
              <w:spacing w:line="460" w:lineRule="exac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其他未尽事项按照《关于印发广西壮族自治区政府采购项目履约验收管理办法的通知》[桂财采〔2015〕22号]以及《财政部关于进一步加强政府采购需求和履约验收管理的指导意见》[财库〔2016〕205号]规定执行。</w:t>
            </w:r>
          </w:p>
        </w:tc>
      </w:tr>
      <w:tr w14:paraId="7F16E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23" w:hRule="atLeast"/>
          <w:jc w:val="center"/>
        </w:trPr>
        <w:tc>
          <w:tcPr>
            <w:tcW w:w="1838" w:type="dxa"/>
            <w:gridSpan w:val="2"/>
            <w:tcBorders>
              <w:top w:val="single" w:color="auto" w:sz="4" w:space="0"/>
              <w:left w:val="single" w:color="auto" w:sz="4" w:space="0"/>
              <w:bottom w:val="single" w:color="auto" w:sz="4" w:space="0"/>
              <w:right w:val="single" w:color="auto" w:sz="4" w:space="0"/>
            </w:tcBorders>
            <w:noWrap w:val="0"/>
            <w:vAlign w:val="center"/>
          </w:tcPr>
          <w:p w14:paraId="09F8D229">
            <w:pPr>
              <w:pStyle w:val="10"/>
              <w:spacing w:line="420" w:lineRule="exact"/>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其他要求</w:t>
            </w:r>
          </w:p>
        </w:tc>
        <w:tc>
          <w:tcPr>
            <w:tcW w:w="7671" w:type="dxa"/>
            <w:gridSpan w:val="3"/>
            <w:tcBorders>
              <w:top w:val="single" w:color="auto" w:sz="4" w:space="0"/>
              <w:left w:val="single" w:color="auto" w:sz="4" w:space="0"/>
              <w:bottom w:val="single" w:color="auto" w:sz="4" w:space="0"/>
              <w:right w:val="single" w:color="auto" w:sz="4" w:space="0"/>
            </w:tcBorders>
            <w:noWrap w:val="0"/>
            <w:vAlign w:val="center"/>
          </w:tcPr>
          <w:p w14:paraId="6E4FB543">
            <w:pPr>
              <w:pStyle w:val="10"/>
              <w:numPr>
                <w:ilvl w:val="0"/>
                <w:numId w:val="0"/>
              </w:numPr>
              <w:spacing w:line="420" w:lineRule="exact"/>
              <w:rPr>
                <w:rFonts w:hint="eastAsia" w:ascii="宋体" w:hAnsi="宋体" w:eastAsia="宋体" w:cs="宋体"/>
                <w:color w:val="auto"/>
                <w:sz w:val="21"/>
                <w:szCs w:val="21"/>
                <w:highlight w:val="none"/>
              </w:rPr>
            </w:pPr>
            <w:r>
              <w:rPr>
                <w:rFonts w:hint="eastAsia" w:ascii="宋体" w:hAnsi="宋体" w:cs="宋体"/>
                <w:bCs/>
                <w:color w:val="auto"/>
                <w:sz w:val="21"/>
                <w:szCs w:val="21"/>
                <w:highlight w:val="none"/>
              </w:rPr>
              <w:t>知识产权保护要求：</w:t>
            </w:r>
            <w:r>
              <w:rPr>
                <w:rFonts w:hint="eastAsia" w:hAnsi="宋体" w:cs="宋体"/>
                <w:bCs/>
                <w:color w:val="auto"/>
                <w:sz w:val="21"/>
                <w:szCs w:val="21"/>
                <w:highlight w:val="none"/>
                <w:lang w:eastAsia="zh-CN"/>
              </w:rPr>
              <w:t>协商供应商</w:t>
            </w:r>
            <w:r>
              <w:rPr>
                <w:rFonts w:hint="eastAsia" w:ascii="宋体" w:hAnsi="宋体" w:cs="宋体"/>
                <w:bCs/>
                <w:color w:val="auto"/>
                <w:sz w:val="21"/>
                <w:szCs w:val="21"/>
                <w:highlight w:val="none"/>
              </w:rPr>
              <w:t>应对</w:t>
            </w:r>
            <w:r>
              <w:rPr>
                <w:rFonts w:hint="eastAsia" w:hAnsi="宋体" w:cs="宋体"/>
                <w:bCs/>
                <w:color w:val="auto"/>
                <w:sz w:val="21"/>
                <w:szCs w:val="21"/>
                <w:highlight w:val="none"/>
                <w:lang w:eastAsia="zh-CN"/>
              </w:rPr>
              <w:t>协商</w:t>
            </w:r>
            <w:r>
              <w:rPr>
                <w:rFonts w:hint="eastAsia" w:ascii="宋体" w:hAnsi="宋体" w:cs="宋体"/>
                <w:bCs/>
                <w:color w:val="auto"/>
                <w:sz w:val="21"/>
                <w:szCs w:val="21"/>
                <w:highlight w:val="none"/>
              </w:rPr>
              <w:t>内容所涉及的专利承担责任，并负责保护采购单位的利益不受任何损害。一切由于文字、商标、技术和软件专利授权引起的法律裁决、诉讼和赔偿费用均由</w:t>
            </w:r>
            <w:r>
              <w:rPr>
                <w:rFonts w:hint="eastAsia" w:hAnsi="宋体" w:cs="宋体"/>
                <w:bCs/>
                <w:color w:val="auto"/>
                <w:sz w:val="21"/>
                <w:szCs w:val="21"/>
                <w:highlight w:val="none"/>
                <w:lang w:eastAsia="zh-CN"/>
              </w:rPr>
              <w:t>供应商</w:t>
            </w:r>
            <w:r>
              <w:rPr>
                <w:rFonts w:hint="eastAsia" w:ascii="宋体" w:hAnsi="宋体" w:cs="宋体"/>
                <w:bCs/>
                <w:color w:val="auto"/>
                <w:sz w:val="21"/>
                <w:szCs w:val="21"/>
                <w:highlight w:val="none"/>
              </w:rPr>
              <w:t>负责。所使用的设备、材料须符合国家有关标准要求。</w:t>
            </w:r>
          </w:p>
        </w:tc>
      </w:tr>
    </w:tbl>
    <w:p w14:paraId="7DC1F517">
      <w:pPr>
        <w:pStyle w:val="7"/>
        <w:spacing w:line="440" w:lineRule="exact"/>
        <w:ind w:firstLine="420" w:firstLineChars="200"/>
        <w:jc w:val="both"/>
        <w:rPr>
          <w:rFonts w:hint="eastAsia" w:ascii="宋体" w:hAnsi="宋体"/>
          <w:color w:val="auto"/>
          <w:szCs w:val="21"/>
          <w:highlight w:val="none"/>
        </w:rPr>
      </w:pPr>
    </w:p>
    <w:p w14:paraId="5B466D65">
      <w:pPr>
        <w:widowControl/>
        <w:jc w:val="left"/>
        <w:rPr>
          <w:rFonts w:hint="eastAsia" w:hAnsi="宋体"/>
          <w:color w:val="auto"/>
          <w:highlight w:val="none"/>
        </w:rPr>
      </w:pPr>
      <w:r>
        <w:rPr>
          <w:rFonts w:hint="eastAsia" w:hAnsi="宋体"/>
          <w:color w:val="auto"/>
          <w:highlight w:val="none"/>
        </w:rPr>
        <w:br w:type="page"/>
      </w:r>
    </w:p>
    <w:p w14:paraId="2749988A">
      <w:pPr>
        <w:widowControl/>
        <w:jc w:val="left"/>
        <w:rPr>
          <w:rFonts w:hint="eastAsia" w:hAnsi="宋体"/>
          <w:color w:val="auto"/>
          <w:highlight w:val="none"/>
        </w:rPr>
      </w:pPr>
    </w:p>
    <w:p w14:paraId="4E7E7B48">
      <w:pPr>
        <w:widowControl/>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附件1：</w:t>
      </w:r>
    </w:p>
    <w:p w14:paraId="38F36663">
      <w:pPr>
        <w:pStyle w:val="7"/>
        <w:jc w:val="center"/>
        <w:rPr>
          <w:rFonts w:hint="eastAsia"/>
          <w:b/>
          <w:color w:val="auto"/>
          <w:sz w:val="28"/>
          <w:szCs w:val="28"/>
          <w:highlight w:val="none"/>
        </w:rPr>
      </w:pPr>
      <w:r>
        <w:rPr>
          <w:rFonts w:hint="eastAsia"/>
          <w:b/>
          <w:color w:val="auto"/>
          <w:sz w:val="28"/>
          <w:szCs w:val="28"/>
          <w:highlight w:val="none"/>
        </w:rPr>
        <w:t>中小企业划型标准规定</w:t>
      </w:r>
    </w:p>
    <w:p w14:paraId="34395D2E">
      <w:pPr>
        <w:pStyle w:val="7"/>
        <w:jc w:val="center"/>
        <w:rPr>
          <w:rFonts w:ascii="宋体" w:hAnsi="宋体"/>
          <w:color w:val="auto"/>
          <w:sz w:val="21"/>
          <w:szCs w:val="21"/>
          <w:highlight w:val="none"/>
        </w:rPr>
      </w:pPr>
      <w:r>
        <w:rPr>
          <w:rFonts w:hint="eastAsia" w:ascii="宋体" w:hAnsi="宋体"/>
          <w:color w:val="auto"/>
          <w:szCs w:val="21"/>
          <w:highlight w:val="none"/>
        </w:rPr>
        <w:t>工信部联企业[2011]300号</w:t>
      </w:r>
    </w:p>
    <w:p w14:paraId="28CACDC2">
      <w:pPr>
        <w:pStyle w:val="7"/>
        <w:rPr>
          <w:rFonts w:hint="eastAsia"/>
          <w:color w:val="auto"/>
          <w:szCs w:val="21"/>
          <w:highlight w:val="none"/>
        </w:rPr>
      </w:pPr>
    </w:p>
    <w:p w14:paraId="2BFFD900">
      <w:pPr>
        <w:pStyle w:val="7"/>
        <w:spacing w:line="360" w:lineRule="auto"/>
        <w:jc w:val="left"/>
        <w:rPr>
          <w:color w:val="auto"/>
          <w:szCs w:val="21"/>
          <w:highlight w:val="none"/>
        </w:rPr>
      </w:pPr>
      <w:r>
        <w:rPr>
          <w:rFonts w:hint="eastAsia"/>
          <w:color w:val="auto"/>
          <w:szCs w:val="21"/>
          <w:highlight w:val="none"/>
        </w:rPr>
        <w:t>　　一、根据《中华人民共和国中小企业促进法》和《国务院关于进一步促进中小企业发展的若干意见》</w:t>
      </w:r>
      <w:r>
        <w:rPr>
          <w:color w:val="auto"/>
          <w:szCs w:val="21"/>
          <w:highlight w:val="none"/>
        </w:rPr>
        <w:t>(</w:t>
      </w:r>
      <w:r>
        <w:rPr>
          <w:rFonts w:hint="eastAsia"/>
          <w:color w:val="auto"/>
          <w:szCs w:val="21"/>
          <w:highlight w:val="none"/>
        </w:rPr>
        <w:t>国发</w:t>
      </w:r>
      <w:r>
        <w:rPr>
          <w:color w:val="auto"/>
          <w:szCs w:val="21"/>
          <w:highlight w:val="none"/>
        </w:rPr>
        <w:t>[2009]36</w:t>
      </w:r>
      <w:r>
        <w:rPr>
          <w:rFonts w:hint="eastAsia"/>
          <w:color w:val="auto"/>
          <w:szCs w:val="21"/>
          <w:highlight w:val="none"/>
        </w:rPr>
        <w:t>号</w:t>
      </w:r>
      <w:r>
        <w:rPr>
          <w:color w:val="auto"/>
          <w:szCs w:val="21"/>
          <w:highlight w:val="none"/>
        </w:rPr>
        <w:t>)</w:t>
      </w:r>
      <w:r>
        <w:rPr>
          <w:rFonts w:hint="eastAsia"/>
          <w:color w:val="auto"/>
          <w:szCs w:val="21"/>
          <w:highlight w:val="none"/>
        </w:rPr>
        <w:t>，制定本规定。</w:t>
      </w:r>
    </w:p>
    <w:p w14:paraId="357D97DB">
      <w:pPr>
        <w:pStyle w:val="7"/>
        <w:spacing w:line="360" w:lineRule="auto"/>
        <w:jc w:val="left"/>
        <w:rPr>
          <w:color w:val="auto"/>
          <w:szCs w:val="21"/>
          <w:highlight w:val="none"/>
        </w:rPr>
      </w:pPr>
      <w:r>
        <w:rPr>
          <w:rFonts w:hint="eastAsia"/>
          <w:color w:val="auto"/>
          <w:szCs w:val="21"/>
          <w:highlight w:val="none"/>
        </w:rPr>
        <w:t>　　二、中小企业划分为中型、小型、微型三种类型，具体标准根据企业从业人员、营业收入、资产总额等指标，结合行业特点制定。</w:t>
      </w:r>
    </w:p>
    <w:p w14:paraId="2FB45C5B">
      <w:pPr>
        <w:pStyle w:val="7"/>
        <w:spacing w:line="360" w:lineRule="auto"/>
        <w:jc w:val="left"/>
        <w:rPr>
          <w:color w:val="auto"/>
          <w:szCs w:val="21"/>
          <w:highlight w:val="none"/>
        </w:rPr>
      </w:pPr>
      <w:r>
        <w:rPr>
          <w:rFonts w:hint="eastAsia"/>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AF126EE">
      <w:pPr>
        <w:pStyle w:val="7"/>
        <w:spacing w:line="360" w:lineRule="auto"/>
        <w:jc w:val="left"/>
        <w:rPr>
          <w:color w:val="auto"/>
          <w:szCs w:val="21"/>
          <w:highlight w:val="none"/>
        </w:rPr>
      </w:pPr>
      <w:r>
        <w:rPr>
          <w:rFonts w:hint="eastAsia"/>
          <w:color w:val="auto"/>
          <w:szCs w:val="21"/>
          <w:highlight w:val="none"/>
        </w:rPr>
        <w:t>　　四、各行业划型标准为：</w:t>
      </w:r>
    </w:p>
    <w:p w14:paraId="42891647">
      <w:pPr>
        <w:pStyle w:val="7"/>
        <w:spacing w:line="360" w:lineRule="auto"/>
        <w:jc w:val="left"/>
        <w:rPr>
          <w:color w:val="auto"/>
          <w:szCs w:val="21"/>
          <w:highlight w:val="none"/>
        </w:rPr>
      </w:pPr>
      <w:r>
        <w:rPr>
          <w:rFonts w:hint="eastAsia"/>
          <w:color w:val="auto"/>
          <w:szCs w:val="21"/>
          <w:highlight w:val="none"/>
        </w:rPr>
        <w:t>　　（一）农、林、牧、渔业。营业收入</w:t>
      </w:r>
      <w:r>
        <w:rPr>
          <w:color w:val="auto"/>
          <w:szCs w:val="21"/>
          <w:highlight w:val="none"/>
        </w:rPr>
        <w:t>20000</w:t>
      </w:r>
      <w:r>
        <w:rPr>
          <w:rFonts w:hint="eastAsia"/>
          <w:color w:val="auto"/>
          <w:szCs w:val="21"/>
          <w:highlight w:val="none"/>
        </w:rPr>
        <w:t>万元以下的为中小微型企业。其中，营业收入</w:t>
      </w:r>
      <w:r>
        <w:rPr>
          <w:color w:val="auto"/>
          <w:szCs w:val="21"/>
          <w:highlight w:val="none"/>
        </w:rPr>
        <w:t>500</w:t>
      </w:r>
      <w:r>
        <w:rPr>
          <w:rFonts w:hint="eastAsia"/>
          <w:color w:val="auto"/>
          <w:szCs w:val="21"/>
          <w:highlight w:val="none"/>
        </w:rPr>
        <w:t>万元及以上的为中型企业，营业收入</w:t>
      </w:r>
      <w:r>
        <w:rPr>
          <w:color w:val="auto"/>
          <w:szCs w:val="21"/>
          <w:highlight w:val="none"/>
        </w:rPr>
        <w:t>50</w:t>
      </w:r>
      <w:r>
        <w:rPr>
          <w:rFonts w:hint="eastAsia"/>
          <w:color w:val="auto"/>
          <w:szCs w:val="21"/>
          <w:highlight w:val="none"/>
        </w:rPr>
        <w:t>万元及以上的为小型企业，营业收入</w:t>
      </w:r>
      <w:r>
        <w:rPr>
          <w:color w:val="auto"/>
          <w:szCs w:val="21"/>
          <w:highlight w:val="none"/>
        </w:rPr>
        <w:t>50</w:t>
      </w:r>
      <w:r>
        <w:rPr>
          <w:rFonts w:hint="eastAsia"/>
          <w:color w:val="auto"/>
          <w:szCs w:val="21"/>
          <w:highlight w:val="none"/>
        </w:rPr>
        <w:t>万元以下的为微型企业。</w:t>
      </w:r>
    </w:p>
    <w:p w14:paraId="3D9A0A6F">
      <w:pPr>
        <w:pStyle w:val="7"/>
        <w:spacing w:line="360" w:lineRule="auto"/>
        <w:jc w:val="left"/>
        <w:rPr>
          <w:color w:val="auto"/>
          <w:szCs w:val="21"/>
          <w:highlight w:val="none"/>
        </w:rPr>
      </w:pPr>
      <w:r>
        <w:rPr>
          <w:rFonts w:hint="eastAsia"/>
          <w:color w:val="auto"/>
          <w:szCs w:val="21"/>
          <w:highlight w:val="none"/>
        </w:rPr>
        <w:t>　　（二）工业。从业人员</w:t>
      </w:r>
      <w:r>
        <w:rPr>
          <w:color w:val="auto"/>
          <w:szCs w:val="21"/>
          <w:highlight w:val="none"/>
        </w:rPr>
        <w:t>1000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300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300</w:t>
      </w:r>
      <w:r>
        <w:rPr>
          <w:rFonts w:hint="eastAsia"/>
          <w:color w:val="auto"/>
          <w:szCs w:val="21"/>
          <w:highlight w:val="none"/>
        </w:rPr>
        <w:t>万元以下的为微型企业。</w:t>
      </w:r>
    </w:p>
    <w:p w14:paraId="28F69509">
      <w:pPr>
        <w:pStyle w:val="7"/>
        <w:spacing w:line="360" w:lineRule="auto"/>
        <w:jc w:val="left"/>
        <w:rPr>
          <w:color w:val="auto"/>
          <w:szCs w:val="21"/>
          <w:highlight w:val="none"/>
        </w:rPr>
      </w:pPr>
      <w:r>
        <w:rPr>
          <w:rFonts w:hint="eastAsia"/>
          <w:color w:val="auto"/>
          <w:szCs w:val="21"/>
          <w:highlight w:val="none"/>
        </w:rPr>
        <w:t>　　（三）建筑业。营业收入</w:t>
      </w:r>
      <w:r>
        <w:rPr>
          <w:color w:val="auto"/>
          <w:szCs w:val="21"/>
          <w:highlight w:val="none"/>
        </w:rPr>
        <w:t>80000</w:t>
      </w:r>
      <w:r>
        <w:rPr>
          <w:rFonts w:hint="eastAsia"/>
          <w:color w:val="auto"/>
          <w:szCs w:val="21"/>
          <w:highlight w:val="none"/>
        </w:rPr>
        <w:t>万元以下或资产总额</w:t>
      </w:r>
      <w:r>
        <w:rPr>
          <w:color w:val="auto"/>
          <w:szCs w:val="21"/>
          <w:highlight w:val="none"/>
        </w:rPr>
        <w:t>80000</w:t>
      </w:r>
      <w:r>
        <w:rPr>
          <w:rFonts w:hint="eastAsia"/>
          <w:color w:val="auto"/>
          <w:szCs w:val="21"/>
          <w:highlight w:val="none"/>
        </w:rPr>
        <w:t>万元以下的为中小微型企业。其中，营业收入</w:t>
      </w:r>
      <w:r>
        <w:rPr>
          <w:color w:val="auto"/>
          <w:szCs w:val="21"/>
          <w:highlight w:val="none"/>
        </w:rPr>
        <w:t>6000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300</w:t>
      </w:r>
      <w:r>
        <w:rPr>
          <w:rFonts w:hint="eastAsia"/>
          <w:color w:val="auto"/>
          <w:szCs w:val="21"/>
          <w:highlight w:val="none"/>
        </w:rPr>
        <w:t>万元及以上，且资产总额</w:t>
      </w:r>
      <w:r>
        <w:rPr>
          <w:color w:val="auto"/>
          <w:szCs w:val="21"/>
          <w:highlight w:val="none"/>
        </w:rPr>
        <w:t>300</w:t>
      </w:r>
      <w:r>
        <w:rPr>
          <w:rFonts w:hint="eastAsia"/>
          <w:color w:val="auto"/>
          <w:szCs w:val="21"/>
          <w:highlight w:val="none"/>
        </w:rPr>
        <w:t>万元及以上的为小型企业；营业收入</w:t>
      </w:r>
      <w:r>
        <w:rPr>
          <w:color w:val="auto"/>
          <w:szCs w:val="21"/>
          <w:highlight w:val="none"/>
        </w:rPr>
        <w:t>300</w:t>
      </w:r>
      <w:r>
        <w:rPr>
          <w:rFonts w:hint="eastAsia"/>
          <w:color w:val="auto"/>
          <w:szCs w:val="21"/>
          <w:highlight w:val="none"/>
        </w:rPr>
        <w:t>万元以下或资产总额</w:t>
      </w:r>
      <w:r>
        <w:rPr>
          <w:color w:val="auto"/>
          <w:szCs w:val="21"/>
          <w:highlight w:val="none"/>
        </w:rPr>
        <w:t>300</w:t>
      </w:r>
      <w:r>
        <w:rPr>
          <w:rFonts w:hint="eastAsia"/>
          <w:color w:val="auto"/>
          <w:szCs w:val="21"/>
          <w:highlight w:val="none"/>
        </w:rPr>
        <w:t>万元以下的为微型企业。</w:t>
      </w:r>
    </w:p>
    <w:p w14:paraId="67FD86C1">
      <w:pPr>
        <w:pStyle w:val="7"/>
        <w:spacing w:line="360" w:lineRule="auto"/>
        <w:jc w:val="left"/>
        <w:rPr>
          <w:color w:val="auto"/>
          <w:szCs w:val="21"/>
          <w:highlight w:val="none"/>
        </w:rPr>
      </w:pPr>
      <w:r>
        <w:rPr>
          <w:rFonts w:hint="eastAsia"/>
          <w:color w:val="auto"/>
          <w:szCs w:val="21"/>
          <w:highlight w:val="none"/>
        </w:rPr>
        <w:t>　　（四）批发业。从业人员</w:t>
      </w:r>
      <w:r>
        <w:rPr>
          <w:color w:val="auto"/>
          <w:szCs w:val="21"/>
          <w:highlight w:val="none"/>
        </w:rPr>
        <w:t>200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20</w:t>
      </w:r>
      <w:r>
        <w:rPr>
          <w:rFonts w:hint="eastAsia"/>
          <w:color w:val="auto"/>
          <w:szCs w:val="21"/>
          <w:highlight w:val="none"/>
        </w:rPr>
        <w:t>人及以上，且营业收入</w:t>
      </w:r>
      <w:r>
        <w:rPr>
          <w:color w:val="auto"/>
          <w:szCs w:val="21"/>
          <w:highlight w:val="none"/>
        </w:rPr>
        <w:t>5000</w:t>
      </w:r>
      <w:r>
        <w:rPr>
          <w:rFonts w:hint="eastAsia"/>
          <w:color w:val="auto"/>
          <w:szCs w:val="21"/>
          <w:highlight w:val="none"/>
        </w:rPr>
        <w:t>万元及以上的为中型企业；从业人员</w:t>
      </w:r>
      <w:r>
        <w:rPr>
          <w:color w:val="auto"/>
          <w:szCs w:val="21"/>
          <w:highlight w:val="none"/>
        </w:rPr>
        <w:t>5</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万元及以上的为小型企业；从业人员</w:t>
      </w:r>
      <w:r>
        <w:rPr>
          <w:color w:val="auto"/>
          <w:szCs w:val="21"/>
          <w:highlight w:val="none"/>
        </w:rPr>
        <w:t>5</w:t>
      </w:r>
      <w:r>
        <w:rPr>
          <w:rFonts w:hint="eastAsia"/>
          <w:color w:val="auto"/>
          <w:szCs w:val="21"/>
          <w:highlight w:val="none"/>
        </w:rPr>
        <w:t>人以下或营业收入</w:t>
      </w:r>
      <w:r>
        <w:rPr>
          <w:color w:val="auto"/>
          <w:szCs w:val="21"/>
          <w:highlight w:val="none"/>
        </w:rPr>
        <w:t>1000</w:t>
      </w:r>
      <w:r>
        <w:rPr>
          <w:rFonts w:hint="eastAsia"/>
          <w:color w:val="auto"/>
          <w:szCs w:val="21"/>
          <w:highlight w:val="none"/>
        </w:rPr>
        <w:t>万元以下的为微型企业。</w:t>
      </w:r>
    </w:p>
    <w:p w14:paraId="6C914C89">
      <w:pPr>
        <w:pStyle w:val="7"/>
        <w:spacing w:line="360" w:lineRule="auto"/>
        <w:jc w:val="left"/>
        <w:rPr>
          <w:color w:val="auto"/>
          <w:szCs w:val="21"/>
          <w:highlight w:val="none"/>
        </w:rPr>
      </w:pPr>
      <w:r>
        <w:rPr>
          <w:rFonts w:hint="eastAsia"/>
          <w:color w:val="auto"/>
          <w:szCs w:val="21"/>
          <w:highlight w:val="none"/>
        </w:rPr>
        <w:t>　　（五）零售业。从业人员</w:t>
      </w:r>
      <w:r>
        <w:rPr>
          <w:color w:val="auto"/>
          <w:szCs w:val="21"/>
          <w:highlight w:val="none"/>
        </w:rPr>
        <w:t>300</w:t>
      </w:r>
      <w:r>
        <w:rPr>
          <w:rFonts w:hint="eastAsia"/>
          <w:color w:val="auto"/>
          <w:szCs w:val="21"/>
          <w:highlight w:val="none"/>
        </w:rPr>
        <w:t>人以下或营业收入</w:t>
      </w:r>
      <w:r>
        <w:rPr>
          <w:color w:val="auto"/>
          <w:szCs w:val="21"/>
          <w:highlight w:val="none"/>
        </w:rPr>
        <w:t>20000</w:t>
      </w:r>
      <w:r>
        <w:rPr>
          <w:rFonts w:hint="eastAsia"/>
          <w:color w:val="auto"/>
          <w:szCs w:val="21"/>
          <w:highlight w:val="none"/>
        </w:rPr>
        <w:t>万元以下的为中小微型企业。其中，从业人员</w:t>
      </w:r>
      <w:r>
        <w:rPr>
          <w:color w:val="auto"/>
          <w:szCs w:val="21"/>
          <w:highlight w:val="none"/>
        </w:rPr>
        <w:t>50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04E60F45">
      <w:pPr>
        <w:pStyle w:val="7"/>
        <w:spacing w:line="360" w:lineRule="auto"/>
        <w:jc w:val="left"/>
        <w:rPr>
          <w:color w:val="auto"/>
          <w:szCs w:val="21"/>
          <w:highlight w:val="none"/>
        </w:rPr>
      </w:pPr>
      <w:r>
        <w:rPr>
          <w:rFonts w:hint="eastAsia"/>
          <w:color w:val="auto"/>
          <w:szCs w:val="21"/>
          <w:highlight w:val="none"/>
        </w:rPr>
        <w:t>　　（六）交通运输业。从业人员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3000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200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200</w:t>
      </w:r>
      <w:r>
        <w:rPr>
          <w:rFonts w:hint="eastAsia"/>
          <w:color w:val="auto"/>
          <w:szCs w:val="21"/>
          <w:highlight w:val="none"/>
        </w:rPr>
        <w:t>万元以下的为微型企业。</w:t>
      </w:r>
    </w:p>
    <w:p w14:paraId="79C03C2A">
      <w:pPr>
        <w:pStyle w:val="7"/>
        <w:spacing w:line="360" w:lineRule="auto"/>
        <w:jc w:val="left"/>
        <w:rPr>
          <w:color w:val="auto"/>
          <w:szCs w:val="21"/>
          <w:highlight w:val="none"/>
        </w:rPr>
      </w:pPr>
      <w:r>
        <w:rPr>
          <w:rFonts w:hint="eastAsia"/>
          <w:color w:val="auto"/>
          <w:szCs w:val="21"/>
          <w:highlight w:val="none"/>
        </w:rPr>
        <w:t>　　（七）仓储业。从业人员</w:t>
      </w:r>
      <w:r>
        <w:rPr>
          <w:color w:val="auto"/>
          <w:szCs w:val="21"/>
          <w:highlight w:val="none"/>
        </w:rPr>
        <w:t>200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0EB7D911">
      <w:pPr>
        <w:pStyle w:val="7"/>
        <w:spacing w:line="360" w:lineRule="auto"/>
        <w:jc w:val="left"/>
        <w:rPr>
          <w:color w:val="auto"/>
          <w:szCs w:val="21"/>
          <w:highlight w:val="none"/>
        </w:rPr>
      </w:pPr>
      <w:r>
        <w:rPr>
          <w:rFonts w:hint="eastAsia"/>
          <w:color w:val="auto"/>
          <w:szCs w:val="21"/>
          <w:highlight w:val="none"/>
        </w:rPr>
        <w:t>　　（八）邮政业。从业人员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6A928177">
      <w:pPr>
        <w:pStyle w:val="7"/>
        <w:spacing w:line="360" w:lineRule="auto"/>
        <w:jc w:val="left"/>
        <w:rPr>
          <w:color w:val="auto"/>
          <w:szCs w:val="21"/>
          <w:highlight w:val="none"/>
        </w:rPr>
      </w:pPr>
      <w:r>
        <w:rPr>
          <w:rFonts w:hint="eastAsia"/>
          <w:color w:val="auto"/>
          <w:szCs w:val="21"/>
          <w:highlight w:val="none"/>
        </w:rPr>
        <w:t>　　（九）住宿业。从业人员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4847BE70">
      <w:pPr>
        <w:pStyle w:val="7"/>
        <w:spacing w:line="360" w:lineRule="auto"/>
        <w:jc w:val="left"/>
        <w:rPr>
          <w:color w:val="auto"/>
          <w:szCs w:val="21"/>
          <w:highlight w:val="none"/>
        </w:rPr>
      </w:pPr>
      <w:r>
        <w:rPr>
          <w:rFonts w:hint="eastAsia"/>
          <w:color w:val="auto"/>
          <w:szCs w:val="21"/>
          <w:highlight w:val="none"/>
        </w:rPr>
        <w:t>　　（十）餐饮业。从业人员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32652E67">
      <w:pPr>
        <w:pStyle w:val="7"/>
        <w:spacing w:line="360" w:lineRule="auto"/>
        <w:jc w:val="left"/>
        <w:rPr>
          <w:color w:val="auto"/>
          <w:szCs w:val="21"/>
          <w:highlight w:val="none"/>
        </w:rPr>
      </w:pPr>
      <w:r>
        <w:rPr>
          <w:rFonts w:hint="eastAsia"/>
          <w:color w:val="auto"/>
          <w:szCs w:val="21"/>
          <w:highlight w:val="none"/>
        </w:rPr>
        <w:t>　　（十一）信息传输业。从业人员</w:t>
      </w:r>
      <w:r>
        <w:rPr>
          <w:color w:val="auto"/>
          <w:szCs w:val="21"/>
          <w:highlight w:val="none"/>
        </w:rPr>
        <w:t>2000</w:t>
      </w:r>
      <w:r>
        <w:rPr>
          <w:rFonts w:hint="eastAsia"/>
          <w:color w:val="auto"/>
          <w:szCs w:val="21"/>
          <w:highlight w:val="none"/>
        </w:rPr>
        <w:t>人以下或营业收入</w:t>
      </w:r>
      <w:r>
        <w:rPr>
          <w:color w:val="auto"/>
          <w:szCs w:val="21"/>
          <w:highlight w:val="none"/>
        </w:rPr>
        <w:t>100000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63A976D0">
      <w:pPr>
        <w:pStyle w:val="7"/>
        <w:spacing w:line="360" w:lineRule="auto"/>
        <w:jc w:val="left"/>
        <w:rPr>
          <w:color w:val="auto"/>
          <w:szCs w:val="21"/>
          <w:highlight w:val="none"/>
        </w:rPr>
      </w:pPr>
      <w:r>
        <w:rPr>
          <w:rFonts w:hint="eastAsia"/>
          <w:color w:val="auto"/>
          <w:szCs w:val="21"/>
          <w:highlight w:val="none"/>
        </w:rPr>
        <w:t>　　（十二）软件和信息技术服务业。从业人员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50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50</w:t>
      </w:r>
      <w:r>
        <w:rPr>
          <w:rFonts w:hint="eastAsia"/>
          <w:color w:val="auto"/>
          <w:szCs w:val="21"/>
          <w:highlight w:val="none"/>
        </w:rPr>
        <w:t>万元以下的为微型企业。</w:t>
      </w:r>
    </w:p>
    <w:p w14:paraId="44EA1164">
      <w:pPr>
        <w:pStyle w:val="7"/>
        <w:spacing w:line="360" w:lineRule="auto"/>
        <w:jc w:val="left"/>
        <w:rPr>
          <w:color w:val="auto"/>
          <w:szCs w:val="21"/>
          <w:highlight w:val="none"/>
        </w:rPr>
      </w:pPr>
      <w:r>
        <w:rPr>
          <w:rFonts w:hint="eastAsia"/>
          <w:color w:val="auto"/>
          <w:szCs w:val="21"/>
          <w:highlight w:val="none"/>
        </w:rPr>
        <w:t>　　（十三）房地产开发经营。营业收入</w:t>
      </w:r>
      <w:r>
        <w:rPr>
          <w:color w:val="auto"/>
          <w:szCs w:val="21"/>
          <w:highlight w:val="none"/>
        </w:rPr>
        <w:t>200000</w:t>
      </w:r>
      <w:r>
        <w:rPr>
          <w:rFonts w:hint="eastAsia"/>
          <w:color w:val="auto"/>
          <w:szCs w:val="21"/>
          <w:highlight w:val="none"/>
        </w:rPr>
        <w:t>万元以下或资产总额</w:t>
      </w:r>
      <w:r>
        <w:rPr>
          <w:color w:val="auto"/>
          <w:szCs w:val="21"/>
          <w:highlight w:val="none"/>
        </w:rPr>
        <w:t>10000</w:t>
      </w:r>
      <w:r>
        <w:rPr>
          <w:rFonts w:hint="eastAsia"/>
          <w:color w:val="auto"/>
          <w:szCs w:val="21"/>
          <w:highlight w:val="none"/>
        </w:rPr>
        <w:t>万元以下的为中小微型企业。其中，营业收入</w:t>
      </w:r>
      <w:r>
        <w:rPr>
          <w:color w:val="auto"/>
          <w:szCs w:val="21"/>
          <w:highlight w:val="none"/>
        </w:rPr>
        <w:t>1000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100</w:t>
      </w:r>
      <w:r>
        <w:rPr>
          <w:rFonts w:hint="eastAsia"/>
          <w:color w:val="auto"/>
          <w:szCs w:val="21"/>
          <w:highlight w:val="none"/>
        </w:rPr>
        <w:t>万元及以上，且资产总额</w:t>
      </w:r>
      <w:r>
        <w:rPr>
          <w:color w:val="auto"/>
          <w:szCs w:val="21"/>
          <w:highlight w:val="none"/>
        </w:rPr>
        <w:t>2000</w:t>
      </w:r>
      <w:r>
        <w:rPr>
          <w:rFonts w:hint="eastAsia"/>
          <w:color w:val="auto"/>
          <w:szCs w:val="21"/>
          <w:highlight w:val="none"/>
        </w:rPr>
        <w:t>万元及以上的为小型企业；营业收入</w:t>
      </w:r>
      <w:r>
        <w:rPr>
          <w:color w:val="auto"/>
          <w:szCs w:val="21"/>
          <w:highlight w:val="none"/>
        </w:rPr>
        <w:t>100</w:t>
      </w:r>
      <w:r>
        <w:rPr>
          <w:rFonts w:hint="eastAsia"/>
          <w:color w:val="auto"/>
          <w:szCs w:val="21"/>
          <w:highlight w:val="none"/>
        </w:rPr>
        <w:t>万元以下或资产总额</w:t>
      </w:r>
      <w:r>
        <w:rPr>
          <w:color w:val="auto"/>
          <w:szCs w:val="21"/>
          <w:highlight w:val="none"/>
        </w:rPr>
        <w:t>2000</w:t>
      </w:r>
      <w:r>
        <w:rPr>
          <w:rFonts w:hint="eastAsia"/>
          <w:color w:val="auto"/>
          <w:szCs w:val="21"/>
          <w:highlight w:val="none"/>
        </w:rPr>
        <w:t>万元以下的为微型企业。</w:t>
      </w:r>
    </w:p>
    <w:p w14:paraId="7C8C8578">
      <w:pPr>
        <w:pStyle w:val="7"/>
        <w:spacing w:line="360" w:lineRule="auto"/>
        <w:jc w:val="left"/>
        <w:rPr>
          <w:color w:val="auto"/>
          <w:szCs w:val="21"/>
          <w:highlight w:val="none"/>
        </w:rPr>
      </w:pPr>
      <w:r>
        <w:rPr>
          <w:rFonts w:hint="eastAsia"/>
          <w:color w:val="auto"/>
          <w:szCs w:val="21"/>
          <w:highlight w:val="none"/>
        </w:rPr>
        <w:t>　　（十四）物业管理。从业人员</w:t>
      </w:r>
      <w:r>
        <w:rPr>
          <w:color w:val="auto"/>
          <w:szCs w:val="21"/>
          <w:highlight w:val="none"/>
        </w:rPr>
        <w:t>1000</w:t>
      </w:r>
      <w:r>
        <w:rPr>
          <w:rFonts w:hint="eastAsia"/>
          <w:color w:val="auto"/>
          <w:szCs w:val="21"/>
          <w:highlight w:val="none"/>
        </w:rPr>
        <w:t>人以下或营业收入</w:t>
      </w:r>
      <w:r>
        <w:rPr>
          <w:color w:val="auto"/>
          <w:szCs w:val="21"/>
          <w:highlight w:val="none"/>
        </w:rPr>
        <w:t>5000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万元及以上的为小型企业；从业人员</w:t>
      </w:r>
      <w:r>
        <w:rPr>
          <w:color w:val="auto"/>
          <w:szCs w:val="21"/>
          <w:highlight w:val="none"/>
        </w:rPr>
        <w:t>100</w:t>
      </w:r>
      <w:r>
        <w:rPr>
          <w:rFonts w:hint="eastAsia"/>
          <w:color w:val="auto"/>
          <w:szCs w:val="21"/>
          <w:highlight w:val="none"/>
        </w:rPr>
        <w:t>人以下或营业收入</w:t>
      </w:r>
      <w:r>
        <w:rPr>
          <w:color w:val="auto"/>
          <w:szCs w:val="21"/>
          <w:highlight w:val="none"/>
        </w:rPr>
        <w:t>500</w:t>
      </w:r>
      <w:r>
        <w:rPr>
          <w:rFonts w:hint="eastAsia"/>
          <w:color w:val="auto"/>
          <w:szCs w:val="21"/>
          <w:highlight w:val="none"/>
        </w:rPr>
        <w:t>万元以下的为微型企业。</w:t>
      </w:r>
    </w:p>
    <w:p w14:paraId="479A01BD">
      <w:pPr>
        <w:pStyle w:val="7"/>
        <w:spacing w:line="360" w:lineRule="auto"/>
        <w:jc w:val="left"/>
        <w:rPr>
          <w:color w:val="auto"/>
          <w:szCs w:val="21"/>
          <w:highlight w:val="none"/>
        </w:rPr>
      </w:pPr>
      <w:r>
        <w:rPr>
          <w:rFonts w:hint="eastAsia"/>
          <w:color w:val="auto"/>
          <w:szCs w:val="21"/>
          <w:highlight w:val="none"/>
        </w:rPr>
        <w:t>　　（十五）租赁和商务服务业。从业人员</w:t>
      </w:r>
      <w:r>
        <w:rPr>
          <w:color w:val="auto"/>
          <w:szCs w:val="21"/>
          <w:highlight w:val="none"/>
        </w:rPr>
        <w:t>300</w:t>
      </w:r>
      <w:r>
        <w:rPr>
          <w:rFonts w:hint="eastAsia"/>
          <w:color w:val="auto"/>
          <w:szCs w:val="21"/>
          <w:highlight w:val="none"/>
        </w:rPr>
        <w:t>人以下或资产总额</w:t>
      </w:r>
      <w:r>
        <w:rPr>
          <w:color w:val="auto"/>
          <w:szCs w:val="21"/>
          <w:highlight w:val="none"/>
        </w:rPr>
        <w:t>120000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人及以上，且资产总额</w:t>
      </w:r>
      <w:r>
        <w:rPr>
          <w:color w:val="auto"/>
          <w:szCs w:val="21"/>
          <w:highlight w:val="none"/>
        </w:rPr>
        <w:t>8000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人及以上，且资产总额</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人以下或资产总额</w:t>
      </w:r>
      <w:r>
        <w:rPr>
          <w:color w:val="auto"/>
          <w:szCs w:val="21"/>
          <w:highlight w:val="none"/>
        </w:rPr>
        <w:t>100</w:t>
      </w:r>
      <w:r>
        <w:rPr>
          <w:rFonts w:hint="eastAsia"/>
          <w:color w:val="auto"/>
          <w:szCs w:val="21"/>
          <w:highlight w:val="none"/>
        </w:rPr>
        <w:t>万元以下的为微型企业。</w:t>
      </w:r>
    </w:p>
    <w:p w14:paraId="7DD7F5BD">
      <w:pPr>
        <w:pStyle w:val="7"/>
        <w:spacing w:line="360" w:lineRule="auto"/>
        <w:jc w:val="left"/>
        <w:rPr>
          <w:color w:val="auto"/>
          <w:szCs w:val="21"/>
          <w:highlight w:val="none"/>
        </w:rPr>
      </w:pPr>
      <w:r>
        <w:rPr>
          <w:rFonts w:hint="eastAsia"/>
          <w:color w:val="auto"/>
          <w:szCs w:val="21"/>
          <w:highlight w:val="none"/>
        </w:rPr>
        <w:t>　　（十六）其他未列明行业。从业人员</w:t>
      </w:r>
      <w:r>
        <w:rPr>
          <w:color w:val="auto"/>
          <w:szCs w:val="21"/>
          <w:highlight w:val="none"/>
        </w:rPr>
        <w:t>300</w:t>
      </w:r>
      <w:r>
        <w:rPr>
          <w:rFonts w:hint="eastAsia"/>
          <w:color w:val="auto"/>
          <w:szCs w:val="21"/>
          <w:highlight w:val="none"/>
        </w:rPr>
        <w:t>人以下的为中小微型企业。其中，从业人员</w:t>
      </w:r>
      <w:r>
        <w:rPr>
          <w:color w:val="auto"/>
          <w:szCs w:val="21"/>
          <w:highlight w:val="none"/>
        </w:rPr>
        <w:t>100</w:t>
      </w:r>
      <w:r>
        <w:rPr>
          <w:rFonts w:hint="eastAsia"/>
          <w:color w:val="auto"/>
          <w:szCs w:val="21"/>
          <w:highlight w:val="none"/>
        </w:rPr>
        <w:t>人及以上的为中型企业；从业人员</w:t>
      </w:r>
      <w:r>
        <w:rPr>
          <w:color w:val="auto"/>
          <w:szCs w:val="21"/>
          <w:highlight w:val="none"/>
        </w:rPr>
        <w:t>10</w:t>
      </w:r>
      <w:r>
        <w:rPr>
          <w:rFonts w:hint="eastAsia"/>
          <w:color w:val="auto"/>
          <w:szCs w:val="21"/>
          <w:highlight w:val="none"/>
        </w:rPr>
        <w:t>人及以上的为小型企业；从业人员</w:t>
      </w:r>
      <w:r>
        <w:rPr>
          <w:color w:val="auto"/>
          <w:szCs w:val="21"/>
          <w:highlight w:val="none"/>
        </w:rPr>
        <w:t>10</w:t>
      </w:r>
      <w:r>
        <w:rPr>
          <w:rFonts w:hint="eastAsia"/>
          <w:color w:val="auto"/>
          <w:szCs w:val="21"/>
          <w:highlight w:val="none"/>
        </w:rPr>
        <w:t>人以下的为微型企业。</w:t>
      </w:r>
    </w:p>
    <w:p w14:paraId="57A87DE3">
      <w:pPr>
        <w:pStyle w:val="7"/>
        <w:spacing w:line="360" w:lineRule="auto"/>
        <w:jc w:val="left"/>
        <w:rPr>
          <w:color w:val="auto"/>
          <w:szCs w:val="21"/>
          <w:highlight w:val="none"/>
        </w:rPr>
      </w:pPr>
      <w:r>
        <w:rPr>
          <w:rFonts w:hint="eastAsia"/>
          <w:color w:val="auto"/>
          <w:szCs w:val="21"/>
          <w:highlight w:val="none"/>
        </w:rPr>
        <w:t>　　五、企业类型的划分以统计部门的统计数据为依据。</w:t>
      </w:r>
    </w:p>
    <w:p w14:paraId="2830884D">
      <w:pPr>
        <w:pStyle w:val="7"/>
        <w:spacing w:line="360" w:lineRule="auto"/>
        <w:jc w:val="left"/>
        <w:rPr>
          <w:color w:val="auto"/>
          <w:szCs w:val="21"/>
          <w:highlight w:val="none"/>
        </w:rPr>
      </w:pPr>
      <w:r>
        <w:rPr>
          <w:rFonts w:hint="eastAsia"/>
          <w:color w:val="auto"/>
          <w:szCs w:val="21"/>
          <w:highlight w:val="none"/>
        </w:rPr>
        <w:t>　　六、本规定适用于在中华人民共和国境内依法设立的各类所有制和各种组织形式的企业。个体工商户和本规定以外的行业，参照本规定进行划型。</w:t>
      </w:r>
    </w:p>
    <w:p w14:paraId="1E54271A">
      <w:pPr>
        <w:pStyle w:val="7"/>
        <w:spacing w:line="360" w:lineRule="auto"/>
        <w:jc w:val="left"/>
        <w:rPr>
          <w:color w:val="auto"/>
          <w:szCs w:val="21"/>
          <w:highlight w:val="none"/>
        </w:rPr>
      </w:pPr>
      <w:r>
        <w:rPr>
          <w:rFonts w:hint="eastAsia"/>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246B9D13">
      <w:pPr>
        <w:pStyle w:val="7"/>
        <w:spacing w:line="360" w:lineRule="auto"/>
        <w:jc w:val="left"/>
        <w:rPr>
          <w:color w:val="auto"/>
          <w:szCs w:val="21"/>
          <w:highlight w:val="none"/>
        </w:rPr>
      </w:pPr>
      <w:r>
        <w:rPr>
          <w:rFonts w:hint="eastAsia"/>
          <w:color w:val="auto"/>
          <w:szCs w:val="21"/>
          <w:highlight w:val="none"/>
        </w:rPr>
        <w:t>　　八、本规定由工业和信息化部、国家统计局会同有关部门根据《国民经济行业分类》修订情况和企业发展变化情况适时修订。</w:t>
      </w:r>
    </w:p>
    <w:p w14:paraId="0883CC1D">
      <w:pPr>
        <w:pStyle w:val="7"/>
        <w:spacing w:line="360" w:lineRule="auto"/>
        <w:jc w:val="left"/>
        <w:rPr>
          <w:color w:val="auto"/>
          <w:szCs w:val="21"/>
          <w:highlight w:val="none"/>
        </w:rPr>
      </w:pPr>
      <w:r>
        <w:rPr>
          <w:rFonts w:hint="eastAsia"/>
          <w:color w:val="auto"/>
          <w:szCs w:val="21"/>
          <w:highlight w:val="none"/>
        </w:rPr>
        <w:t>　　九、本规定由工业和信息化部、国家统计局会同有关部门负责解释。</w:t>
      </w:r>
    </w:p>
    <w:p w14:paraId="6641BAD0">
      <w:pPr>
        <w:pStyle w:val="10"/>
        <w:ind w:firstLine="420" w:firstLineChars="200"/>
        <w:jc w:val="left"/>
        <w:rPr>
          <w:rFonts w:hint="eastAsia"/>
          <w:color w:val="auto"/>
          <w:szCs w:val="21"/>
          <w:highlight w:val="none"/>
        </w:rPr>
      </w:pPr>
      <w:r>
        <w:rPr>
          <w:rFonts w:hint="eastAsia"/>
          <w:color w:val="auto"/>
          <w:szCs w:val="21"/>
          <w:highlight w:val="none"/>
        </w:rPr>
        <w:t>十、本规定自发布之日起执行，原国家经贸委、原国家计委、财政部和国家统计局</w:t>
      </w:r>
      <w:r>
        <w:rPr>
          <w:color w:val="auto"/>
          <w:szCs w:val="21"/>
          <w:highlight w:val="none"/>
        </w:rPr>
        <w:t>2003</w:t>
      </w:r>
      <w:r>
        <w:rPr>
          <w:rFonts w:hint="eastAsia"/>
          <w:color w:val="auto"/>
          <w:szCs w:val="21"/>
          <w:highlight w:val="none"/>
        </w:rPr>
        <w:t>年颁布的《中小企业标准暂行规定》同时废止。</w:t>
      </w:r>
    </w:p>
    <w:p w14:paraId="20268022">
      <w:pPr>
        <w:rPr>
          <w:rFonts w:hint="eastAsia"/>
          <w:color w:val="auto"/>
          <w:szCs w:val="21"/>
          <w:highlight w:val="none"/>
        </w:rPr>
      </w:pPr>
      <w:r>
        <w:rPr>
          <w:rFonts w:hint="eastAsia"/>
          <w:color w:val="auto"/>
          <w:szCs w:val="21"/>
          <w:highlight w:val="none"/>
        </w:rPr>
        <w:br w:type="page"/>
      </w:r>
    </w:p>
    <w:p w14:paraId="1E8EA0B0">
      <w:pPr>
        <w:spacing w:line="360" w:lineRule="auto"/>
        <w:ind w:firstLine="470" w:firstLineChars="147"/>
        <w:jc w:val="left"/>
        <w:rPr>
          <w:rFonts w:ascii="Arial Unicode MS" w:hAnsi="Arial Unicode MS" w:eastAsia="Arial Unicode MS" w:cs="Arial Unicode MS"/>
          <w:color w:val="auto"/>
          <w:sz w:val="17"/>
          <w:szCs w:val="17"/>
          <w:highlight w:val="none"/>
        </w:rPr>
      </w:pPr>
      <w:r>
        <w:rPr>
          <w:rFonts w:hint="eastAsia" w:ascii="微软雅黑" w:hAnsi="微软雅黑" w:eastAsia="微软雅黑" w:cs="微软雅黑"/>
          <w:color w:val="auto"/>
          <w:sz w:val="32"/>
          <w:szCs w:val="32"/>
          <w:highlight w:val="none"/>
        </w:rPr>
        <w:t>附件</w:t>
      </w:r>
      <w:r>
        <w:rPr>
          <w:rFonts w:ascii="Arial Unicode MS" w:hAnsi="Arial Unicode MS" w:eastAsia="Arial Unicode MS" w:cs="Arial Unicode MS"/>
          <w:color w:val="auto"/>
          <w:sz w:val="32"/>
          <w:szCs w:val="32"/>
          <w:highlight w:val="none"/>
        </w:rPr>
        <w:t>1</w:t>
      </w:r>
      <w:r>
        <w:rPr>
          <w:rFonts w:hint="eastAsia" w:ascii="微软雅黑" w:hAnsi="微软雅黑" w:eastAsia="微软雅黑" w:cs="微软雅黑"/>
          <w:color w:val="auto"/>
          <w:sz w:val="32"/>
          <w:szCs w:val="32"/>
          <w:highlight w:val="none"/>
        </w:rPr>
        <w:t>：</w:t>
      </w:r>
    </w:p>
    <w:p w14:paraId="6A927430">
      <w:pPr>
        <w:spacing w:line="528" w:lineRule="exact"/>
        <w:jc w:val="center"/>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19"/>
        <w:tblW w:w="9220" w:type="dxa"/>
        <w:tblInd w:w="93" w:type="dxa"/>
        <w:tblLayout w:type="autofit"/>
        <w:tblCellMar>
          <w:top w:w="0" w:type="dxa"/>
          <w:left w:w="108" w:type="dxa"/>
          <w:bottom w:w="0" w:type="dxa"/>
          <w:right w:w="108" w:type="dxa"/>
        </w:tblCellMar>
      </w:tblPr>
      <w:tblGrid>
        <w:gridCol w:w="660"/>
        <w:gridCol w:w="1116"/>
        <w:gridCol w:w="1516"/>
        <w:gridCol w:w="1620"/>
        <w:gridCol w:w="4540"/>
      </w:tblGrid>
      <w:tr w14:paraId="2EAA93DD">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vAlign w:val="top"/>
          </w:tcPr>
          <w:p w14:paraId="792B45DD">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noWrap/>
            <w:vAlign w:val="center"/>
          </w:tcPr>
          <w:p w14:paraId="227228CB">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noWrap/>
            <w:vAlign w:val="center"/>
          </w:tcPr>
          <w:p w14:paraId="7105AC97">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2BBE330D">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ign w:val="center"/>
          </w:tcPr>
          <w:p w14:paraId="0E326AE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noWrap/>
            <w:vAlign w:val="center"/>
          </w:tcPr>
          <w:p w14:paraId="6469EBC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noWrap/>
            <w:vAlign w:val="center"/>
          </w:tcPr>
          <w:p w14:paraId="5596015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noWrap/>
            <w:vAlign w:val="center"/>
          </w:tcPr>
          <w:p w14:paraId="3C557F9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07734BF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79B367B4">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55AE666B">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3B2054CC">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652498F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noWrap/>
            <w:vAlign w:val="center"/>
          </w:tcPr>
          <w:p w14:paraId="2E40609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5ADDDD4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574EB8F8">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5BE3D6C0">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699776FA">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054D78F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noWrap/>
            <w:vAlign w:val="center"/>
          </w:tcPr>
          <w:p w14:paraId="7416063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528E4A6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17EAB905">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ign w:val="center"/>
          </w:tcPr>
          <w:p w14:paraId="72ED0DC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noWrap/>
            <w:vAlign w:val="center"/>
          </w:tcPr>
          <w:p w14:paraId="4A78CD2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noWrap/>
            <w:vAlign w:val="center"/>
          </w:tcPr>
          <w:p w14:paraId="00FDF91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noWrap/>
            <w:vAlign w:val="center"/>
          </w:tcPr>
          <w:p w14:paraId="7D319C4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noWrap/>
            <w:vAlign w:val="center"/>
          </w:tcPr>
          <w:p w14:paraId="1253B1E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23264FD4">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170EEAC0">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083105D6">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2BBA29C5">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6714E02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noWrap/>
            <w:vAlign w:val="center"/>
          </w:tcPr>
          <w:p w14:paraId="1A9A6DA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1D0607AD">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51167980">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1BE6ADB2">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2B008AED">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3FE3492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noWrap/>
            <w:vAlign w:val="center"/>
          </w:tcPr>
          <w:p w14:paraId="2813E68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5D035370">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1AC321A5">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15692E5A">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0858E9A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noWrap/>
            <w:vAlign w:val="center"/>
          </w:tcPr>
          <w:p w14:paraId="77FCF6A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noWrap/>
            <w:vAlign w:val="center"/>
          </w:tcPr>
          <w:p w14:paraId="05ADF3D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2BC5B28B">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2DC425D0">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0DBFD622">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17B395F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noWrap/>
            <w:vAlign w:val="center"/>
          </w:tcPr>
          <w:p w14:paraId="1CC569D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noWrap/>
            <w:vAlign w:val="center"/>
          </w:tcPr>
          <w:p w14:paraId="3373E48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2F720027">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3E0903E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noWrap/>
            <w:vAlign w:val="center"/>
          </w:tcPr>
          <w:p w14:paraId="4832B6F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noWrap/>
            <w:vAlign w:val="center"/>
          </w:tcPr>
          <w:p w14:paraId="0055E7C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4D9C7A5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206B29A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786E050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78588D9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noWrap/>
            <w:vAlign w:val="center"/>
          </w:tcPr>
          <w:p w14:paraId="4EA3770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noWrap/>
            <w:vAlign w:val="center"/>
          </w:tcPr>
          <w:p w14:paraId="48CE831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48FDE70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2410DE7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6868323E">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4A6307B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noWrap/>
            <w:vAlign w:val="center"/>
          </w:tcPr>
          <w:p w14:paraId="781E211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noWrap/>
            <w:vAlign w:val="center"/>
          </w:tcPr>
          <w:p w14:paraId="0EE9FFC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noWrap/>
            <w:vAlign w:val="center"/>
          </w:tcPr>
          <w:p w14:paraId="1674B15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5FDBC29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42A7203D">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ign w:val="center"/>
          </w:tcPr>
          <w:p w14:paraId="3CF3F46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noWrap/>
            <w:vAlign w:val="center"/>
          </w:tcPr>
          <w:p w14:paraId="55C79B7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noWrap/>
            <w:vAlign w:val="center"/>
          </w:tcPr>
          <w:p w14:paraId="750A664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noWrap/>
            <w:vAlign w:val="center"/>
          </w:tcPr>
          <w:p w14:paraId="60AEF76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noWrap/>
            <w:vAlign w:val="center"/>
          </w:tcPr>
          <w:p w14:paraId="64A63F7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3376D870">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6BDCC119">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701EE14D">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31A697EE">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3946FC9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noWrap/>
            <w:vAlign w:val="center"/>
          </w:tcPr>
          <w:p w14:paraId="112BA07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002F9BBD">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76A8F331">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2E9392C4">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7124CA6A">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4DFD22C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noWrap/>
            <w:vAlign w:val="center"/>
          </w:tcPr>
          <w:p w14:paraId="5CB5D64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1304924E">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23016D33">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7084CBD5">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14:paraId="2DFA035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noWrap/>
            <w:vAlign w:val="center"/>
          </w:tcPr>
          <w:p w14:paraId="707B001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noWrap/>
            <w:vAlign w:val="center"/>
          </w:tcPr>
          <w:p w14:paraId="04BD370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4BEF4481">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691B5A97">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77D64B09">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66497058">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2AEF9CA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noWrap/>
            <w:vAlign w:val="center"/>
          </w:tcPr>
          <w:p w14:paraId="15A421F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6EFE1C4D">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0389CA63">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4D6ADC8F">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3BF0E7E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noWrap/>
            <w:vAlign w:val="center"/>
          </w:tcPr>
          <w:p w14:paraId="447BA67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noWrap/>
            <w:vAlign w:val="center"/>
          </w:tcPr>
          <w:p w14:paraId="29422BD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77A73C5E">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2E7DFF67">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1EF5382A">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06BA952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noWrap/>
            <w:vAlign w:val="center"/>
          </w:tcPr>
          <w:p w14:paraId="393C7EC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noWrap/>
            <w:vAlign w:val="center"/>
          </w:tcPr>
          <w:p w14:paraId="051D936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318ECB0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356EB14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noWrap/>
            <w:vAlign w:val="center"/>
          </w:tcPr>
          <w:p w14:paraId="4613544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noWrap/>
            <w:vAlign w:val="center"/>
          </w:tcPr>
          <w:p w14:paraId="02B54C2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20675FA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7689ED6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3E9A10C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0CCE927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noWrap/>
            <w:vAlign w:val="center"/>
          </w:tcPr>
          <w:p w14:paraId="3E4FBBA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noWrap/>
            <w:vAlign w:val="center"/>
          </w:tcPr>
          <w:p w14:paraId="1567EE7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noWrap/>
            <w:vAlign w:val="center"/>
          </w:tcPr>
          <w:p w14:paraId="7CCD093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5415B9E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21E4B69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0D1B6A2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noWrap/>
            <w:vAlign w:val="center"/>
          </w:tcPr>
          <w:p w14:paraId="601D943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noWrap/>
            <w:vAlign w:val="center"/>
          </w:tcPr>
          <w:p w14:paraId="314A03C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noWrap/>
            <w:vAlign w:val="center"/>
          </w:tcPr>
          <w:p w14:paraId="3F30F02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554DCCC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18636826">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ign w:val="center"/>
          </w:tcPr>
          <w:p w14:paraId="409E69A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noWrap/>
            <w:vAlign w:val="center"/>
          </w:tcPr>
          <w:p w14:paraId="6F5F4DA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noWrap/>
            <w:vAlign w:val="center"/>
          </w:tcPr>
          <w:p w14:paraId="759E2C7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noWrap/>
            <w:vAlign w:val="center"/>
          </w:tcPr>
          <w:p w14:paraId="14FCFE7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5919938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0B758727">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2DADC2DA">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16050B6A">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14:paraId="5ADB2D2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noWrap/>
            <w:vAlign w:val="center"/>
          </w:tcPr>
          <w:p w14:paraId="43A2F8C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noWrap/>
            <w:vAlign w:val="center"/>
          </w:tcPr>
          <w:p w14:paraId="348116E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3E8C8ABE">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0E564FAD">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1A5BAA62">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7687C73F">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181513C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noWrap/>
            <w:vAlign w:val="center"/>
          </w:tcPr>
          <w:p w14:paraId="0806228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6DAC3E56">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1FBF8BF7">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57FB3B83">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0400F7D9">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4D9FA06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noWrap/>
            <w:vAlign w:val="center"/>
          </w:tcPr>
          <w:p w14:paraId="07426E9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380760EA">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5CAD91D8">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24BA545B">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1EC2646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noWrap/>
            <w:vAlign w:val="center"/>
          </w:tcPr>
          <w:p w14:paraId="505D249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1027527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65861D40">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74791416">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60C0731D">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14:paraId="24124A9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noWrap/>
            <w:vAlign w:val="center"/>
          </w:tcPr>
          <w:p w14:paraId="22C5F7D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noWrap/>
            <w:vAlign w:val="center"/>
          </w:tcPr>
          <w:p w14:paraId="6E619F3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32F5E48D">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2C498B4C">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7A08001D">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69F327DA">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1D3AC22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noWrap/>
            <w:vAlign w:val="center"/>
          </w:tcPr>
          <w:p w14:paraId="1402628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559BB3EF">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57FC1461">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61A8E2FD">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1FC54E9E">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7D4B20B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noWrap/>
            <w:vAlign w:val="center"/>
          </w:tcPr>
          <w:p w14:paraId="034192E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2ACCF115">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69964617">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0081D6B3">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00C12A31">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764A80B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noWrap/>
            <w:vAlign w:val="center"/>
          </w:tcPr>
          <w:p w14:paraId="0E1496D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5F70B412">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ign w:val="center"/>
          </w:tcPr>
          <w:p w14:paraId="61AC804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80" w:type="dxa"/>
            <w:vMerge w:val="restart"/>
            <w:tcBorders>
              <w:top w:val="nil"/>
              <w:left w:val="single" w:color="000000" w:sz="8" w:space="0"/>
              <w:bottom w:val="single" w:color="000000" w:sz="8" w:space="0"/>
              <w:right w:val="single" w:color="000000" w:sz="8" w:space="0"/>
            </w:tcBorders>
            <w:noWrap/>
            <w:vAlign w:val="center"/>
          </w:tcPr>
          <w:p w14:paraId="5355913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320" w:type="dxa"/>
            <w:tcBorders>
              <w:top w:val="nil"/>
              <w:left w:val="nil"/>
              <w:bottom w:val="single" w:color="000000" w:sz="8" w:space="0"/>
              <w:right w:val="single" w:color="000000" w:sz="8" w:space="0"/>
            </w:tcBorders>
            <w:noWrap/>
            <w:vAlign w:val="center"/>
          </w:tcPr>
          <w:p w14:paraId="1919336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tcBorders>
              <w:top w:val="nil"/>
              <w:left w:val="nil"/>
              <w:bottom w:val="single" w:color="000000" w:sz="8" w:space="0"/>
              <w:right w:val="single" w:color="000000" w:sz="8" w:space="0"/>
            </w:tcBorders>
            <w:noWrap/>
            <w:vAlign w:val="center"/>
          </w:tcPr>
          <w:p w14:paraId="66CF48B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74069B2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454F9D6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242DC5D1">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5D32C4E3">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1497300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tcBorders>
              <w:top w:val="nil"/>
              <w:left w:val="nil"/>
              <w:bottom w:val="single" w:color="000000" w:sz="8" w:space="0"/>
              <w:right w:val="single" w:color="000000" w:sz="8" w:space="0"/>
            </w:tcBorders>
            <w:noWrap/>
            <w:vAlign w:val="center"/>
          </w:tcPr>
          <w:p w14:paraId="3BF23E3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1E8D455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2997C854">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4B79B0F3">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63D131D0">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0606CBA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tcBorders>
              <w:top w:val="nil"/>
              <w:left w:val="nil"/>
              <w:bottom w:val="single" w:color="000000" w:sz="8" w:space="0"/>
              <w:right w:val="single" w:color="000000" w:sz="8" w:space="0"/>
            </w:tcBorders>
            <w:noWrap/>
            <w:vAlign w:val="center"/>
          </w:tcPr>
          <w:p w14:paraId="02D8591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6FCBBAB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7C628897">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4D1C8174">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20BFBBD7">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3563533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tcBorders>
              <w:top w:val="nil"/>
              <w:left w:val="nil"/>
              <w:bottom w:val="single" w:color="000000" w:sz="8" w:space="0"/>
              <w:right w:val="single" w:color="000000" w:sz="8" w:space="0"/>
            </w:tcBorders>
            <w:noWrap/>
            <w:vAlign w:val="center"/>
          </w:tcPr>
          <w:p w14:paraId="7C2FC65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626AFE8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497A4BDB">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noWrap/>
            <w:vAlign w:val="center"/>
          </w:tcPr>
          <w:p w14:paraId="4289B32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80" w:type="dxa"/>
            <w:tcBorders>
              <w:top w:val="nil"/>
              <w:left w:val="nil"/>
              <w:bottom w:val="single" w:color="000000" w:sz="8" w:space="0"/>
              <w:right w:val="single" w:color="000000" w:sz="8" w:space="0"/>
            </w:tcBorders>
            <w:noWrap/>
            <w:vAlign w:val="center"/>
          </w:tcPr>
          <w:p w14:paraId="4C552FF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320" w:type="dxa"/>
            <w:tcBorders>
              <w:top w:val="nil"/>
              <w:left w:val="nil"/>
              <w:bottom w:val="single" w:color="000000" w:sz="8" w:space="0"/>
              <w:right w:val="single" w:color="000000" w:sz="8" w:space="0"/>
            </w:tcBorders>
            <w:noWrap/>
            <w:vAlign w:val="center"/>
          </w:tcPr>
          <w:p w14:paraId="4CC36C6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tcBorders>
              <w:top w:val="nil"/>
              <w:left w:val="nil"/>
              <w:bottom w:val="single" w:color="000000" w:sz="8" w:space="0"/>
              <w:right w:val="single" w:color="000000" w:sz="8" w:space="0"/>
            </w:tcBorders>
            <w:noWrap/>
            <w:vAlign w:val="center"/>
          </w:tcPr>
          <w:p w14:paraId="5745887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1F3BF85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05BAD20D">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noWrap/>
            <w:vAlign w:val="center"/>
          </w:tcPr>
          <w:p w14:paraId="01BDE06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80" w:type="dxa"/>
            <w:tcBorders>
              <w:top w:val="nil"/>
              <w:left w:val="nil"/>
              <w:bottom w:val="single" w:color="000000" w:sz="8" w:space="0"/>
              <w:right w:val="single" w:color="000000" w:sz="8" w:space="0"/>
            </w:tcBorders>
            <w:noWrap/>
            <w:vAlign w:val="center"/>
          </w:tcPr>
          <w:p w14:paraId="0DEAA32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320" w:type="dxa"/>
            <w:tcBorders>
              <w:top w:val="nil"/>
              <w:left w:val="nil"/>
              <w:bottom w:val="single" w:color="000000" w:sz="8" w:space="0"/>
              <w:right w:val="single" w:color="000000" w:sz="8" w:space="0"/>
            </w:tcBorders>
            <w:noWrap/>
            <w:vAlign w:val="center"/>
          </w:tcPr>
          <w:p w14:paraId="244CD95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tcBorders>
              <w:top w:val="nil"/>
              <w:left w:val="nil"/>
              <w:bottom w:val="single" w:color="000000" w:sz="8" w:space="0"/>
              <w:right w:val="single" w:color="000000" w:sz="8" w:space="0"/>
            </w:tcBorders>
            <w:noWrap/>
            <w:vAlign w:val="center"/>
          </w:tcPr>
          <w:p w14:paraId="2571923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tcBorders>
              <w:top w:val="nil"/>
              <w:left w:val="nil"/>
              <w:bottom w:val="single" w:color="000000" w:sz="8" w:space="0"/>
              <w:right w:val="single" w:color="000000" w:sz="8" w:space="0"/>
            </w:tcBorders>
            <w:noWrap/>
            <w:vAlign w:val="center"/>
          </w:tcPr>
          <w:p w14:paraId="6AAD3FB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2EFE283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4350014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80" w:type="dxa"/>
            <w:tcBorders>
              <w:top w:val="nil"/>
              <w:left w:val="nil"/>
              <w:bottom w:val="single" w:color="000000" w:sz="8" w:space="0"/>
              <w:right w:val="single" w:color="000000" w:sz="8" w:space="0"/>
            </w:tcBorders>
            <w:noWrap/>
            <w:vAlign w:val="center"/>
          </w:tcPr>
          <w:p w14:paraId="39E536C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320" w:type="dxa"/>
            <w:tcBorders>
              <w:top w:val="nil"/>
              <w:left w:val="nil"/>
              <w:bottom w:val="single" w:color="000000" w:sz="8" w:space="0"/>
              <w:right w:val="single" w:color="000000" w:sz="8" w:space="0"/>
            </w:tcBorders>
            <w:noWrap/>
            <w:vAlign w:val="center"/>
          </w:tcPr>
          <w:p w14:paraId="3D5E833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tcBorders>
              <w:top w:val="nil"/>
              <w:left w:val="nil"/>
              <w:bottom w:val="single" w:color="000000" w:sz="8" w:space="0"/>
              <w:right w:val="single" w:color="000000" w:sz="8" w:space="0"/>
            </w:tcBorders>
            <w:noWrap/>
            <w:vAlign w:val="center"/>
          </w:tcPr>
          <w:p w14:paraId="1601817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601F3E4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488A309C">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noWrap/>
            <w:vAlign w:val="center"/>
          </w:tcPr>
          <w:p w14:paraId="5EE5CC9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80" w:type="dxa"/>
            <w:vMerge w:val="restart"/>
            <w:tcBorders>
              <w:top w:val="nil"/>
              <w:left w:val="single" w:color="000000" w:sz="8" w:space="0"/>
              <w:bottom w:val="single" w:color="000000" w:sz="8" w:space="0"/>
              <w:right w:val="single" w:color="000000" w:sz="8" w:space="0"/>
            </w:tcBorders>
            <w:noWrap/>
            <w:vAlign w:val="center"/>
          </w:tcPr>
          <w:p w14:paraId="76C26D8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320" w:type="dxa"/>
            <w:tcBorders>
              <w:top w:val="nil"/>
              <w:left w:val="nil"/>
              <w:bottom w:val="single" w:color="000000" w:sz="8" w:space="0"/>
              <w:right w:val="single" w:color="000000" w:sz="8" w:space="0"/>
            </w:tcBorders>
            <w:noWrap/>
            <w:vAlign w:val="center"/>
          </w:tcPr>
          <w:p w14:paraId="5F5CCDC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tcBorders>
              <w:top w:val="nil"/>
              <w:left w:val="nil"/>
              <w:bottom w:val="single" w:color="000000" w:sz="8" w:space="0"/>
              <w:right w:val="single" w:color="000000" w:sz="8" w:space="0"/>
            </w:tcBorders>
            <w:noWrap/>
            <w:vAlign w:val="center"/>
          </w:tcPr>
          <w:p w14:paraId="5FFCB8B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2B4038D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452773B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2A10C080">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7392EC52">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2A288AF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tcBorders>
              <w:top w:val="nil"/>
              <w:left w:val="nil"/>
              <w:bottom w:val="single" w:color="000000" w:sz="8" w:space="0"/>
              <w:right w:val="single" w:color="000000" w:sz="8" w:space="0"/>
            </w:tcBorders>
            <w:noWrap/>
            <w:vAlign w:val="center"/>
          </w:tcPr>
          <w:p w14:paraId="2DB06E6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6FAE237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794C4E0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56515BB1">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36BA2077">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4FF6CEA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tcBorders>
              <w:top w:val="nil"/>
              <w:left w:val="nil"/>
              <w:bottom w:val="single" w:color="000000" w:sz="8" w:space="0"/>
              <w:right w:val="single" w:color="000000" w:sz="8" w:space="0"/>
            </w:tcBorders>
            <w:noWrap/>
            <w:vAlign w:val="center"/>
          </w:tcPr>
          <w:p w14:paraId="51EC199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17F8AC0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0DC9583B">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64599F2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noWrap/>
            <w:vAlign w:val="center"/>
          </w:tcPr>
          <w:p w14:paraId="3002DF5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noWrap/>
            <w:vAlign w:val="center"/>
          </w:tcPr>
          <w:p w14:paraId="24184A5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56A6F67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027AA67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75DB437B">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68BEB1F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noWrap/>
            <w:vAlign w:val="center"/>
          </w:tcPr>
          <w:p w14:paraId="30E9A21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noWrap/>
            <w:vAlign w:val="center"/>
          </w:tcPr>
          <w:p w14:paraId="56EB337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61E6063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63A1AE0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2B948C57">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77C647B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noWrap/>
            <w:vAlign w:val="center"/>
          </w:tcPr>
          <w:p w14:paraId="02FB267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noWrap/>
            <w:vAlign w:val="center"/>
          </w:tcPr>
          <w:p w14:paraId="0239357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227BAC6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35A45AA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1775C097">
      <w:pPr>
        <w:spacing w:after="120" w:line="360" w:lineRule="auto"/>
        <w:rPr>
          <w:rFonts w:ascii="宋体" w:hAns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14:paraId="2A194B23">
      <w:pPr>
        <w:spacing w:line="380" w:lineRule="exact"/>
        <w:rPr>
          <w:rFonts w:hint="eastAsia"/>
          <w:color w:val="auto"/>
          <w:kern w:val="0"/>
          <w:sz w:val="24"/>
          <w:highlight w:val="none"/>
        </w:rPr>
      </w:pPr>
      <w:r>
        <w:rPr>
          <w:rFonts w:hint="eastAsia" w:ascii="宋体" w:hAnsi="Courier New"/>
          <w:color w:val="auto"/>
          <w:kern w:val="0"/>
          <w:sz w:val="20"/>
          <w:szCs w:val="21"/>
          <w:highlight w:val="none"/>
        </w:rPr>
        <w:t>2.以</w:t>
      </w:r>
      <w:r>
        <w:rPr>
          <w:rFonts w:ascii="宋体" w:hAnsi="Courier New"/>
          <w:color w:val="auto"/>
          <w:kern w:val="0"/>
          <w:sz w:val="20"/>
          <w:szCs w:val="21"/>
          <w:highlight w:val="none"/>
        </w:rPr>
        <w:t>“</w:t>
      </w:r>
      <w:r>
        <w:rPr>
          <w:rFonts w:hint="eastAsia" w:ascii="宋体" w:hAnsi="Courier New"/>
          <w:color w:val="auto"/>
          <w:kern w:val="0"/>
          <w:sz w:val="20"/>
          <w:szCs w:val="21"/>
          <w:highlight w:val="none"/>
        </w:rPr>
        <w:t>★</w:t>
      </w:r>
      <w:r>
        <w:rPr>
          <w:rFonts w:ascii="宋体" w:hAnsi="Courier New"/>
          <w:color w:val="auto"/>
          <w:kern w:val="0"/>
          <w:sz w:val="20"/>
          <w:szCs w:val="21"/>
          <w:highlight w:val="none"/>
        </w:rPr>
        <w:t>”</w:t>
      </w:r>
      <w:r>
        <w:rPr>
          <w:rFonts w:hint="eastAsia" w:ascii="宋体" w:hAnsi="Courier New"/>
          <w:color w:val="auto"/>
          <w:kern w:val="0"/>
          <w:sz w:val="20"/>
          <w:szCs w:val="21"/>
          <w:highlight w:val="none"/>
        </w:rPr>
        <w:t>标注的为政府强制采购产品。</w:t>
      </w:r>
    </w:p>
    <w:p w14:paraId="5EAC1409">
      <w:pPr>
        <w:pStyle w:val="10"/>
        <w:ind w:firstLine="420" w:firstLineChars="200"/>
        <w:jc w:val="left"/>
        <w:rPr>
          <w:rFonts w:hint="eastAsia" w:hAnsi="宋体"/>
          <w:color w:val="auto"/>
          <w:highlight w:val="none"/>
        </w:rPr>
      </w:pPr>
      <w:r>
        <w:rPr>
          <w:rFonts w:hint="eastAsia" w:ascii="宋体" w:hAnsi="宋体" w:cs="Arial"/>
          <w:bCs/>
          <w:color w:val="auto"/>
          <w:szCs w:val="21"/>
          <w:highlight w:val="none"/>
          <w:u w:val="single"/>
        </w:rPr>
        <w:br w:type="page"/>
      </w:r>
    </w:p>
    <w:p w14:paraId="119782A1">
      <w:pPr>
        <w:jc w:val="center"/>
        <w:outlineLvl w:val="0"/>
        <w:rPr>
          <w:rFonts w:hint="eastAsia"/>
          <w:b/>
          <w:bCs/>
          <w:color w:val="auto"/>
          <w:sz w:val="32"/>
          <w:szCs w:val="32"/>
          <w:highlight w:val="none"/>
        </w:rPr>
      </w:pPr>
      <w:bookmarkStart w:id="65" w:name="_Toc45031225"/>
      <w:bookmarkStart w:id="66" w:name="_Toc467138625"/>
      <w:r>
        <w:rPr>
          <w:rFonts w:hint="eastAsia"/>
          <w:b/>
          <w:bCs/>
          <w:color w:val="auto"/>
          <w:sz w:val="32"/>
          <w:szCs w:val="32"/>
          <w:highlight w:val="none"/>
        </w:rPr>
        <w:t>第四章 合同主要条款及格式</w:t>
      </w:r>
      <w:bookmarkEnd w:id="65"/>
      <w:bookmarkEnd w:id="66"/>
    </w:p>
    <w:p w14:paraId="60542B6C">
      <w:pPr>
        <w:widowControl/>
        <w:rPr>
          <w:rFonts w:ascii="宋体" w:hAnsi="宋体"/>
          <w:color w:val="auto"/>
          <w:szCs w:val="21"/>
          <w:highlight w:val="none"/>
        </w:rPr>
      </w:pPr>
      <w:bookmarkStart w:id="67" w:name="_Toc467138626"/>
    </w:p>
    <w:p w14:paraId="4F8C3C28">
      <w:pPr>
        <w:spacing w:before="120" w:line="320" w:lineRule="atLeast"/>
        <w:ind w:firstLine="562" w:firstLineChars="200"/>
        <w:jc w:val="center"/>
        <w:outlineLvl w:val="1"/>
        <w:rPr>
          <w:b/>
          <w:bCs/>
          <w:color w:val="auto"/>
          <w:kern w:val="0"/>
          <w:sz w:val="28"/>
          <w:szCs w:val="28"/>
          <w:highlight w:val="none"/>
        </w:rPr>
      </w:pPr>
      <w:r>
        <w:rPr>
          <w:b/>
          <w:bCs/>
          <w:color w:val="auto"/>
          <w:kern w:val="0"/>
          <w:sz w:val="28"/>
          <w:szCs w:val="28"/>
          <w:highlight w:val="none"/>
        </w:rPr>
        <w:t>广西壮族自治区政府采购合同</w:t>
      </w:r>
    </w:p>
    <w:p w14:paraId="3349A2DB">
      <w:pPr>
        <w:snapToGrid w:val="0"/>
        <w:spacing w:line="360" w:lineRule="exact"/>
        <w:ind w:right="480" w:firstLine="5985" w:firstLineChars="2850"/>
        <w:rPr>
          <w:bCs/>
          <w:color w:val="auto"/>
          <w:szCs w:val="21"/>
          <w:highlight w:val="none"/>
        </w:rPr>
      </w:pPr>
    </w:p>
    <w:p w14:paraId="47DBA2B3">
      <w:pPr>
        <w:snapToGrid w:val="0"/>
        <w:spacing w:line="360" w:lineRule="exact"/>
        <w:ind w:right="480" w:firstLine="5985" w:firstLineChars="2850"/>
        <w:rPr>
          <w:bCs/>
          <w:color w:val="auto"/>
          <w:szCs w:val="21"/>
          <w:highlight w:val="none"/>
          <w:u w:val="single"/>
        </w:rPr>
      </w:pPr>
      <w:r>
        <w:rPr>
          <w:bCs/>
          <w:color w:val="auto"/>
          <w:szCs w:val="21"/>
          <w:highlight w:val="none"/>
        </w:rPr>
        <w:t>合同编号：</w:t>
      </w:r>
    </w:p>
    <w:p w14:paraId="7E1BBF14">
      <w:pPr>
        <w:snapToGrid w:val="0"/>
        <w:spacing w:line="360" w:lineRule="exact"/>
        <w:rPr>
          <w:color w:val="auto"/>
          <w:szCs w:val="21"/>
          <w:highlight w:val="none"/>
        </w:rPr>
      </w:pPr>
    </w:p>
    <w:p w14:paraId="5E3C81E1">
      <w:pPr>
        <w:snapToGrid w:val="0"/>
        <w:spacing w:line="360" w:lineRule="exact"/>
        <w:rPr>
          <w:color w:val="auto"/>
          <w:szCs w:val="21"/>
          <w:highlight w:val="none"/>
          <w:u w:val="single"/>
        </w:rPr>
      </w:pPr>
      <w:r>
        <w:rPr>
          <w:color w:val="auto"/>
          <w:szCs w:val="21"/>
          <w:highlight w:val="none"/>
        </w:rPr>
        <w:t>采购单位（甲方）</w:t>
      </w:r>
      <w:r>
        <w:rPr>
          <w:color w:val="auto"/>
          <w:szCs w:val="21"/>
          <w:highlight w:val="none"/>
          <w:u w:val="single"/>
        </w:rPr>
        <w:t xml:space="preserve">                          </w:t>
      </w:r>
      <w:r>
        <w:rPr>
          <w:color w:val="auto"/>
          <w:szCs w:val="21"/>
          <w:highlight w:val="none"/>
        </w:rPr>
        <w:t xml:space="preserve">  </w:t>
      </w:r>
      <w:r>
        <w:rPr>
          <w:color w:val="auto"/>
          <w:spacing w:val="-20"/>
          <w:szCs w:val="21"/>
          <w:highlight w:val="none"/>
        </w:rPr>
        <w:t>采 购 计 划 号</w:t>
      </w:r>
      <w:r>
        <w:rPr>
          <w:color w:val="auto"/>
          <w:szCs w:val="21"/>
          <w:highlight w:val="none"/>
          <w:u w:val="single"/>
        </w:rPr>
        <w:t xml:space="preserve">                        </w:t>
      </w:r>
    </w:p>
    <w:p w14:paraId="68F36545">
      <w:pPr>
        <w:snapToGrid w:val="0"/>
        <w:spacing w:line="360" w:lineRule="exact"/>
        <w:rPr>
          <w:color w:val="auto"/>
          <w:szCs w:val="21"/>
          <w:highlight w:val="none"/>
          <w:u w:val="single"/>
        </w:rPr>
      </w:pPr>
      <w:r>
        <w:rPr>
          <w:color w:val="auto"/>
          <w:szCs w:val="21"/>
          <w:highlight w:val="none"/>
        </w:rPr>
        <w:t>供 应 商（乙方）</w:t>
      </w:r>
      <w:r>
        <w:rPr>
          <w:color w:val="auto"/>
          <w:szCs w:val="21"/>
          <w:highlight w:val="none"/>
          <w:u w:val="single"/>
        </w:rPr>
        <w:t xml:space="preserve">                          </w:t>
      </w:r>
      <w:r>
        <w:rPr>
          <w:color w:val="auto"/>
          <w:szCs w:val="21"/>
          <w:highlight w:val="none"/>
        </w:rPr>
        <w:t xml:space="preserve">  项目名称</w:t>
      </w:r>
      <w:r>
        <w:rPr>
          <w:color w:val="auto"/>
          <w:spacing w:val="-20"/>
          <w:szCs w:val="21"/>
          <w:highlight w:val="none"/>
        </w:rPr>
        <w:t>编号</w:t>
      </w:r>
      <w:r>
        <w:rPr>
          <w:color w:val="auto"/>
          <w:szCs w:val="21"/>
          <w:highlight w:val="none"/>
          <w:u w:val="single"/>
        </w:rPr>
        <w:t xml:space="preserve">                       </w:t>
      </w:r>
    </w:p>
    <w:p w14:paraId="35D52481">
      <w:pPr>
        <w:snapToGrid w:val="0"/>
        <w:spacing w:line="360" w:lineRule="exact"/>
        <w:rPr>
          <w:color w:val="auto"/>
          <w:szCs w:val="21"/>
          <w:highlight w:val="none"/>
          <w:u w:val="single"/>
        </w:rPr>
      </w:pPr>
      <w:r>
        <w:rPr>
          <w:color w:val="auto"/>
          <w:szCs w:val="21"/>
          <w:highlight w:val="none"/>
        </w:rPr>
        <w:t xml:space="preserve">签  订  地  点  </w:t>
      </w:r>
      <w:r>
        <w:rPr>
          <w:color w:val="auto"/>
          <w:szCs w:val="21"/>
          <w:highlight w:val="none"/>
          <w:u w:val="single"/>
        </w:rPr>
        <w:t xml:space="preserve">                          </w:t>
      </w:r>
      <w:r>
        <w:rPr>
          <w:color w:val="auto"/>
          <w:szCs w:val="21"/>
          <w:highlight w:val="none"/>
        </w:rPr>
        <w:t xml:space="preserve">  签 订 时 间</w:t>
      </w:r>
      <w:r>
        <w:rPr>
          <w:color w:val="auto"/>
          <w:szCs w:val="21"/>
          <w:highlight w:val="none"/>
          <w:u w:val="single"/>
        </w:rPr>
        <w:t xml:space="preserve">                       </w:t>
      </w:r>
    </w:p>
    <w:p w14:paraId="2E30A37F">
      <w:pPr>
        <w:snapToGrid w:val="0"/>
        <w:spacing w:line="360" w:lineRule="exact"/>
        <w:ind w:firstLine="420" w:firstLineChars="200"/>
        <w:rPr>
          <w:color w:val="auto"/>
          <w:szCs w:val="21"/>
          <w:highlight w:val="none"/>
        </w:rPr>
      </w:pPr>
    </w:p>
    <w:p w14:paraId="31D59D35">
      <w:pPr>
        <w:spacing w:line="360" w:lineRule="exact"/>
        <w:ind w:firstLine="420" w:firstLineChars="200"/>
        <w:rPr>
          <w:rFonts w:ascii="宋体" w:hAnsi="宋体" w:cs="Arial"/>
          <w:color w:val="auto"/>
          <w:highlight w:val="none"/>
        </w:rPr>
      </w:pPr>
      <w:bookmarkStart w:id="68" w:name="_Hlk80978015"/>
      <w:r>
        <w:rPr>
          <w:rFonts w:ascii="宋体" w:hAnsi="宋体" w:cs="Arial"/>
          <w:color w:val="auto"/>
          <w:highlight w:val="none"/>
        </w:rPr>
        <w:t>根据《中华人民共和国政府采购法》</w:t>
      </w:r>
      <w:r>
        <w:rPr>
          <w:rFonts w:ascii="宋体" w:hAnsi="宋体" w:cs="Arial"/>
          <w:color w:val="auto"/>
          <w:kern w:val="0"/>
          <w:highlight w:val="none"/>
        </w:rPr>
        <w:t>、</w:t>
      </w:r>
      <w:r>
        <w:rPr>
          <w:rFonts w:hint="eastAsia" w:ascii="宋体" w:hAnsi="宋体" w:cs="Arial"/>
          <w:color w:val="auto"/>
          <w:kern w:val="0"/>
          <w:highlight w:val="none"/>
        </w:rPr>
        <w:t>《中华人民共和国政府采购法实施条例》、</w:t>
      </w:r>
      <w:r>
        <w:rPr>
          <w:rFonts w:ascii="宋体" w:hAnsi="宋体" w:cs="Arial"/>
          <w:color w:val="auto"/>
          <w:kern w:val="0"/>
          <w:highlight w:val="none"/>
        </w:rPr>
        <w:t>《政府采购货物和服务招标投标管理办法》、</w:t>
      </w:r>
      <w:r>
        <w:rPr>
          <w:rFonts w:ascii="宋体" w:hAnsi="宋体" w:cs="Arial"/>
          <w:color w:val="auto"/>
          <w:highlight w:val="none"/>
        </w:rPr>
        <w:t>《中华人民共和国民法典》等法律、法规规定，按照招标文件规定条款和乙方投标文件及其承诺，甲乙双方签订本合同。</w:t>
      </w:r>
    </w:p>
    <w:p w14:paraId="035FFA9C">
      <w:pPr>
        <w:snapToGrid w:val="0"/>
        <w:spacing w:line="360" w:lineRule="exact"/>
        <w:ind w:firstLine="422" w:firstLineChars="200"/>
        <w:rPr>
          <w:rFonts w:ascii="Arial" w:hAnsi="Arial" w:cs="Arial"/>
          <w:b/>
          <w:color w:val="auto"/>
          <w:highlight w:val="none"/>
        </w:rPr>
      </w:pPr>
      <w:r>
        <w:rPr>
          <w:rFonts w:ascii="宋体" w:hAnsi="宋体" w:cs="Arial"/>
          <w:b/>
          <w:color w:val="auto"/>
          <w:highlight w:val="none"/>
        </w:rPr>
        <w:t>第一条</w:t>
      </w:r>
      <w:r>
        <w:rPr>
          <w:rFonts w:hint="eastAsia" w:ascii="宋体" w:hAnsi="宋体" w:cs="Arial"/>
          <w:b/>
          <w:color w:val="auto"/>
          <w:highlight w:val="none"/>
          <w:lang w:val="en-US" w:eastAsia="zh-CN"/>
        </w:rPr>
        <w:t xml:space="preserve">  </w:t>
      </w:r>
      <w:r>
        <w:rPr>
          <w:rFonts w:ascii="宋体" w:hAnsi="宋体" w:cs="Arial"/>
          <w:b/>
          <w:color w:val="auto"/>
          <w:highlight w:val="none"/>
        </w:rPr>
        <w:t>合同标的</w:t>
      </w:r>
    </w:p>
    <w:p w14:paraId="013F403E">
      <w:pPr>
        <w:snapToGrid w:val="0"/>
        <w:spacing w:line="300" w:lineRule="exact"/>
        <w:ind w:firstLine="420" w:firstLineChars="200"/>
        <w:rPr>
          <w:rFonts w:ascii="Arial" w:hAnsi="Arial" w:cs="Arial"/>
          <w:color w:val="auto"/>
          <w:highlight w:val="none"/>
        </w:rPr>
      </w:pPr>
      <w:r>
        <w:rPr>
          <w:rFonts w:ascii="宋体" w:hAnsi="宋体" w:cs="Arial"/>
          <w:color w:val="auto"/>
          <w:highlight w:val="none"/>
        </w:rPr>
        <w:t>1</w:t>
      </w:r>
      <w:r>
        <w:rPr>
          <w:rFonts w:hint="eastAsia" w:ascii="宋体" w:hAnsi="宋体" w:cs="Arial"/>
          <w:color w:val="auto"/>
          <w:highlight w:val="none"/>
        </w:rPr>
        <w:t>、</w:t>
      </w:r>
      <w:r>
        <w:rPr>
          <w:rFonts w:ascii="宋体" w:hAnsi="宋体" w:cs="Arial"/>
          <w:color w:val="auto"/>
          <w:highlight w:val="none"/>
        </w:rPr>
        <w:t>供货一览表</w:t>
      </w:r>
    </w:p>
    <w:tbl>
      <w:tblPr>
        <w:tblStyle w:val="19"/>
        <w:tblW w:w="9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388"/>
        <w:gridCol w:w="1340"/>
        <w:gridCol w:w="2719"/>
        <w:gridCol w:w="868"/>
        <w:gridCol w:w="887"/>
        <w:gridCol w:w="722"/>
        <w:gridCol w:w="1450"/>
        <w:gridCol w:w="1431"/>
      </w:tblGrid>
      <w:tr w14:paraId="26068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6" w:hRule="atLeast"/>
          <w:jc w:val="center"/>
        </w:trPr>
        <w:tc>
          <w:tcPr>
            <w:tcW w:w="388" w:type="dxa"/>
            <w:tcBorders>
              <w:top w:val="single" w:color="auto" w:sz="4" w:space="0"/>
              <w:left w:val="single" w:color="auto" w:sz="4" w:space="0"/>
              <w:bottom w:val="single" w:color="auto" w:sz="4" w:space="0"/>
              <w:right w:val="single" w:color="auto" w:sz="4" w:space="0"/>
            </w:tcBorders>
            <w:noWrap w:val="0"/>
            <w:vAlign w:val="center"/>
          </w:tcPr>
          <w:p w14:paraId="1C51E8BA">
            <w:pPr>
              <w:jc w:val="center"/>
              <w:rPr>
                <w:rFonts w:ascii="Arial" w:hAnsi="Arial" w:cs="Arial"/>
                <w:color w:val="auto"/>
                <w:highlight w:val="none"/>
              </w:rPr>
            </w:pPr>
            <w:r>
              <w:rPr>
                <w:rFonts w:ascii="宋体" w:hAnsi="宋体" w:cs="Arial"/>
                <w:color w:val="auto"/>
                <w:highlight w:val="none"/>
              </w:rPr>
              <w:t>序号</w:t>
            </w:r>
          </w:p>
        </w:tc>
        <w:tc>
          <w:tcPr>
            <w:tcW w:w="1340" w:type="dxa"/>
            <w:tcBorders>
              <w:top w:val="single" w:color="auto" w:sz="4" w:space="0"/>
              <w:left w:val="single" w:color="auto" w:sz="4" w:space="0"/>
              <w:bottom w:val="single" w:color="auto" w:sz="4" w:space="0"/>
              <w:right w:val="single" w:color="auto" w:sz="4" w:space="0"/>
            </w:tcBorders>
            <w:noWrap w:val="0"/>
            <w:vAlign w:val="center"/>
          </w:tcPr>
          <w:p w14:paraId="08548618">
            <w:pPr>
              <w:jc w:val="center"/>
              <w:rPr>
                <w:rFonts w:hint="eastAsia" w:ascii="Arial" w:hAnsi="Arial" w:eastAsia="宋体" w:cs="Arial"/>
                <w:color w:val="auto"/>
                <w:highlight w:val="none"/>
              </w:rPr>
            </w:pPr>
            <w:r>
              <w:rPr>
                <w:rFonts w:ascii="Arial" w:hAnsi="Arial" w:cs="Arial"/>
                <w:color w:val="auto"/>
                <w:highlight w:val="none"/>
              </w:rPr>
              <w:t>服务</w:t>
            </w:r>
            <w:r>
              <w:rPr>
                <w:rFonts w:hint="eastAsia" w:ascii="Arial" w:hAnsi="Arial" w:cs="Arial"/>
                <w:color w:val="auto"/>
                <w:highlight w:val="none"/>
              </w:rPr>
              <w:t>名称</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A661055">
            <w:pPr>
              <w:jc w:val="center"/>
              <w:rPr>
                <w:rFonts w:hint="eastAsia" w:ascii="Arial" w:hAnsi="Arial" w:eastAsia="宋体" w:cs="Arial"/>
                <w:color w:val="auto"/>
                <w:highlight w:val="none"/>
              </w:rPr>
            </w:pPr>
            <w:r>
              <w:rPr>
                <w:rFonts w:hint="eastAsia" w:ascii="Arial" w:hAnsi="Arial" w:cs="Arial"/>
                <w:color w:val="auto"/>
                <w:highlight w:val="none"/>
              </w:rPr>
              <w:t>技术及服务需求</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4E0E9DC2">
            <w:pPr>
              <w:jc w:val="center"/>
              <w:rPr>
                <w:rFonts w:ascii="Arial" w:hAnsi="Arial" w:cs="Arial"/>
                <w:color w:val="auto"/>
                <w:highlight w:val="none"/>
              </w:rPr>
            </w:pPr>
            <w:r>
              <w:rPr>
                <w:rFonts w:ascii="Arial" w:hAnsi="Arial" w:cs="Arial"/>
                <w:color w:val="auto"/>
                <w:highlight w:val="none"/>
              </w:rPr>
              <w:t>数量</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23F12B34">
            <w:pPr>
              <w:jc w:val="center"/>
              <w:rPr>
                <w:rFonts w:ascii="Arial" w:hAnsi="Arial" w:cs="Arial"/>
                <w:color w:val="auto"/>
                <w:highlight w:val="none"/>
              </w:rPr>
            </w:pPr>
            <w:r>
              <w:rPr>
                <w:rFonts w:ascii="Arial" w:hAnsi="Arial" w:cs="Arial"/>
                <w:color w:val="auto"/>
                <w:highlight w:val="none"/>
              </w:rPr>
              <w:t>单位</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5AD21A48">
            <w:pPr>
              <w:jc w:val="center"/>
              <w:rPr>
                <w:rFonts w:ascii="Arial" w:hAnsi="Arial" w:cs="Arial"/>
                <w:color w:val="auto"/>
                <w:highlight w:val="none"/>
              </w:rPr>
            </w:pPr>
            <w:r>
              <w:rPr>
                <w:rFonts w:ascii="Arial" w:hAnsi="Arial" w:cs="Arial"/>
                <w:color w:val="auto"/>
                <w:highlight w:val="none"/>
              </w:rPr>
              <w:t>单价（元）</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47508CA6">
            <w:pPr>
              <w:jc w:val="center"/>
              <w:rPr>
                <w:rFonts w:ascii="Arial" w:hAnsi="Arial" w:cs="Arial"/>
                <w:color w:val="auto"/>
                <w:highlight w:val="none"/>
              </w:rPr>
            </w:pPr>
            <w:r>
              <w:rPr>
                <w:rFonts w:ascii="Arial" w:hAnsi="Arial" w:cs="Arial"/>
                <w:color w:val="auto"/>
                <w:highlight w:val="none"/>
              </w:rPr>
              <w:t>金额（元）</w:t>
            </w:r>
          </w:p>
        </w:tc>
        <w:tc>
          <w:tcPr>
            <w:tcW w:w="1431" w:type="dxa"/>
            <w:tcBorders>
              <w:top w:val="single" w:color="auto" w:sz="4" w:space="0"/>
              <w:left w:val="single" w:color="auto" w:sz="4" w:space="0"/>
              <w:bottom w:val="single" w:color="auto" w:sz="4" w:space="0"/>
              <w:right w:val="single" w:color="auto" w:sz="4" w:space="0"/>
            </w:tcBorders>
            <w:noWrap w:val="0"/>
            <w:vAlign w:val="center"/>
          </w:tcPr>
          <w:p w14:paraId="08C1CAD2">
            <w:pPr>
              <w:jc w:val="center"/>
              <w:rPr>
                <w:rFonts w:ascii="Arial" w:hAnsi="Arial" w:cs="Arial"/>
                <w:color w:val="auto"/>
                <w:highlight w:val="none"/>
              </w:rPr>
            </w:pPr>
            <w:r>
              <w:rPr>
                <w:rFonts w:hint="eastAsia" w:ascii="Arial" w:hAnsi="Arial" w:cs="Arial"/>
                <w:color w:val="auto"/>
                <w:highlight w:val="none"/>
              </w:rPr>
              <w:t>备注</w:t>
            </w:r>
          </w:p>
        </w:tc>
      </w:tr>
      <w:tr w14:paraId="4B637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2" w:hRule="atLeast"/>
          <w:jc w:val="center"/>
        </w:trPr>
        <w:tc>
          <w:tcPr>
            <w:tcW w:w="388" w:type="dxa"/>
            <w:tcBorders>
              <w:top w:val="single" w:color="auto" w:sz="4" w:space="0"/>
              <w:left w:val="single" w:color="auto" w:sz="4" w:space="0"/>
              <w:bottom w:val="single" w:color="auto" w:sz="4" w:space="0"/>
              <w:right w:val="single" w:color="auto" w:sz="4" w:space="0"/>
            </w:tcBorders>
            <w:noWrap w:val="0"/>
            <w:vAlign w:val="center"/>
          </w:tcPr>
          <w:p w14:paraId="3B0E13AD">
            <w:pPr>
              <w:widowControl/>
              <w:jc w:val="center"/>
              <w:textAlignment w:val="center"/>
              <w:rPr>
                <w:rFonts w:ascii="Arial" w:hAnsi="Arial" w:cs="Arial"/>
                <w:color w:val="auto"/>
                <w:kern w:val="0"/>
                <w:highlight w:val="none"/>
              </w:rPr>
            </w:pPr>
            <w:r>
              <w:rPr>
                <w:rFonts w:ascii="Arial" w:hAnsi="Arial" w:cs="Arial"/>
                <w:color w:val="auto"/>
                <w:kern w:val="0"/>
                <w:highlight w:val="none"/>
              </w:rPr>
              <w:t>1</w:t>
            </w:r>
          </w:p>
        </w:tc>
        <w:tc>
          <w:tcPr>
            <w:tcW w:w="1340" w:type="dxa"/>
            <w:tcBorders>
              <w:top w:val="single" w:color="auto" w:sz="4" w:space="0"/>
              <w:left w:val="single" w:color="auto" w:sz="4" w:space="0"/>
              <w:bottom w:val="single" w:color="auto" w:sz="4" w:space="0"/>
              <w:right w:val="single" w:color="auto" w:sz="4" w:space="0"/>
            </w:tcBorders>
            <w:noWrap w:val="0"/>
            <w:vAlign w:val="center"/>
          </w:tcPr>
          <w:p w14:paraId="0DB98B9F">
            <w:pPr>
              <w:widowControl/>
              <w:jc w:val="center"/>
              <w:textAlignment w:val="center"/>
              <w:rPr>
                <w:rFonts w:ascii="Arial" w:hAnsi="Arial" w:cs="Arial"/>
                <w:color w:val="auto"/>
                <w:kern w:val="0"/>
                <w:highlight w:val="none"/>
              </w:rPr>
            </w:pPr>
          </w:p>
        </w:tc>
        <w:tc>
          <w:tcPr>
            <w:tcW w:w="2719" w:type="dxa"/>
            <w:tcBorders>
              <w:top w:val="single" w:color="auto" w:sz="4" w:space="0"/>
              <w:left w:val="single" w:color="auto" w:sz="4" w:space="0"/>
              <w:bottom w:val="single" w:color="auto" w:sz="4" w:space="0"/>
              <w:right w:val="single" w:color="auto" w:sz="4" w:space="0"/>
            </w:tcBorders>
            <w:noWrap w:val="0"/>
            <w:vAlign w:val="center"/>
          </w:tcPr>
          <w:p w14:paraId="2C8E1764">
            <w:pPr>
              <w:snapToGrid w:val="0"/>
              <w:spacing w:line="400" w:lineRule="exact"/>
              <w:jc w:val="center"/>
              <w:textAlignment w:val="center"/>
              <w:rPr>
                <w:rFonts w:ascii="Arial" w:hAnsi="Arial" w:cs="Arial"/>
                <w:color w:val="auto"/>
                <w:kern w:val="0"/>
                <w:highlight w:val="none"/>
              </w:rPr>
            </w:pPr>
          </w:p>
        </w:tc>
        <w:tc>
          <w:tcPr>
            <w:tcW w:w="868" w:type="dxa"/>
            <w:tcBorders>
              <w:top w:val="single" w:color="auto" w:sz="4" w:space="0"/>
              <w:left w:val="single" w:color="auto" w:sz="4" w:space="0"/>
              <w:bottom w:val="single" w:color="auto" w:sz="4" w:space="0"/>
              <w:right w:val="single" w:color="auto" w:sz="4" w:space="0"/>
            </w:tcBorders>
            <w:noWrap w:val="0"/>
            <w:vAlign w:val="center"/>
          </w:tcPr>
          <w:p w14:paraId="03F773F7">
            <w:pPr>
              <w:widowControl/>
              <w:jc w:val="center"/>
              <w:textAlignment w:val="center"/>
              <w:rPr>
                <w:rFonts w:ascii="Arial" w:hAnsi="Arial" w:cs="Arial"/>
                <w:color w:val="auto"/>
                <w:kern w:val="0"/>
                <w:highlight w:val="none"/>
              </w:rPr>
            </w:pPr>
          </w:p>
        </w:tc>
        <w:tc>
          <w:tcPr>
            <w:tcW w:w="887" w:type="dxa"/>
            <w:tcBorders>
              <w:top w:val="single" w:color="auto" w:sz="4" w:space="0"/>
              <w:left w:val="single" w:color="auto" w:sz="4" w:space="0"/>
              <w:bottom w:val="single" w:color="auto" w:sz="4" w:space="0"/>
              <w:right w:val="single" w:color="auto" w:sz="4" w:space="0"/>
            </w:tcBorders>
            <w:noWrap w:val="0"/>
            <w:vAlign w:val="center"/>
          </w:tcPr>
          <w:p w14:paraId="5436CE08">
            <w:pPr>
              <w:widowControl/>
              <w:jc w:val="center"/>
              <w:textAlignment w:val="center"/>
              <w:rPr>
                <w:rFonts w:ascii="Arial" w:hAnsi="Arial" w:cs="Arial"/>
                <w:color w:val="auto"/>
                <w:kern w:val="0"/>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1CC1E6C5">
            <w:pPr>
              <w:widowControl/>
              <w:jc w:val="center"/>
              <w:textAlignment w:val="center"/>
              <w:rPr>
                <w:rFonts w:ascii="Arial" w:hAnsi="Arial" w:cs="Arial"/>
                <w:color w:val="auto"/>
                <w:kern w:val="0"/>
                <w:highlight w:val="none"/>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1B948C27">
            <w:pPr>
              <w:widowControl/>
              <w:jc w:val="center"/>
              <w:textAlignment w:val="center"/>
              <w:rPr>
                <w:rFonts w:ascii="Arial" w:hAnsi="Arial" w:cs="Arial"/>
                <w:color w:val="auto"/>
                <w:kern w:val="0"/>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594D0BD9">
            <w:pPr>
              <w:widowControl/>
              <w:jc w:val="center"/>
              <w:textAlignment w:val="center"/>
              <w:rPr>
                <w:rFonts w:ascii="Arial" w:hAnsi="Arial" w:cs="Arial"/>
                <w:color w:val="auto"/>
                <w:kern w:val="0"/>
                <w:highlight w:val="none"/>
              </w:rPr>
            </w:pPr>
          </w:p>
        </w:tc>
      </w:tr>
      <w:tr w14:paraId="46E1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5" w:hRule="atLeast"/>
          <w:jc w:val="center"/>
        </w:trPr>
        <w:tc>
          <w:tcPr>
            <w:tcW w:w="388" w:type="dxa"/>
            <w:tcBorders>
              <w:top w:val="single" w:color="auto" w:sz="4" w:space="0"/>
              <w:left w:val="single" w:color="auto" w:sz="4" w:space="0"/>
              <w:bottom w:val="single" w:color="auto" w:sz="4" w:space="0"/>
              <w:right w:val="single" w:color="auto" w:sz="4" w:space="0"/>
            </w:tcBorders>
            <w:noWrap w:val="0"/>
            <w:vAlign w:val="center"/>
          </w:tcPr>
          <w:p w14:paraId="4FD4DF56">
            <w:pPr>
              <w:widowControl/>
              <w:jc w:val="center"/>
              <w:textAlignment w:val="center"/>
              <w:rPr>
                <w:rFonts w:ascii="Arial" w:hAnsi="Arial" w:cs="Arial"/>
                <w:color w:val="auto"/>
                <w:kern w:val="0"/>
                <w:highlight w:val="none"/>
              </w:rPr>
            </w:pPr>
            <w:r>
              <w:rPr>
                <w:rFonts w:ascii="Arial" w:hAnsi="Arial" w:cs="Arial"/>
                <w:color w:val="auto"/>
                <w:kern w:val="0"/>
                <w:highlight w:val="none"/>
              </w:rPr>
              <w:t>2</w:t>
            </w:r>
          </w:p>
        </w:tc>
        <w:tc>
          <w:tcPr>
            <w:tcW w:w="1340" w:type="dxa"/>
            <w:tcBorders>
              <w:top w:val="single" w:color="auto" w:sz="4" w:space="0"/>
              <w:left w:val="single" w:color="auto" w:sz="4" w:space="0"/>
              <w:bottom w:val="single" w:color="auto" w:sz="4" w:space="0"/>
              <w:right w:val="single" w:color="auto" w:sz="4" w:space="0"/>
            </w:tcBorders>
            <w:noWrap w:val="0"/>
            <w:vAlign w:val="center"/>
          </w:tcPr>
          <w:p w14:paraId="5920599B">
            <w:pPr>
              <w:widowControl/>
              <w:jc w:val="center"/>
              <w:textAlignment w:val="center"/>
              <w:rPr>
                <w:rFonts w:ascii="Arial" w:hAnsi="Arial" w:cs="Arial"/>
                <w:color w:val="auto"/>
                <w:kern w:val="0"/>
                <w:highlight w:val="none"/>
              </w:rPr>
            </w:pPr>
          </w:p>
        </w:tc>
        <w:tc>
          <w:tcPr>
            <w:tcW w:w="2719" w:type="dxa"/>
            <w:tcBorders>
              <w:top w:val="single" w:color="auto" w:sz="4" w:space="0"/>
              <w:left w:val="single" w:color="auto" w:sz="4" w:space="0"/>
              <w:bottom w:val="single" w:color="auto" w:sz="4" w:space="0"/>
              <w:right w:val="single" w:color="auto" w:sz="4" w:space="0"/>
            </w:tcBorders>
            <w:noWrap w:val="0"/>
            <w:vAlign w:val="center"/>
          </w:tcPr>
          <w:p w14:paraId="3B2B97FA">
            <w:pPr>
              <w:snapToGrid w:val="0"/>
              <w:spacing w:line="400" w:lineRule="exact"/>
              <w:jc w:val="center"/>
              <w:textAlignment w:val="center"/>
              <w:rPr>
                <w:rFonts w:ascii="Arial" w:hAnsi="Arial" w:cs="Arial"/>
                <w:color w:val="auto"/>
                <w:kern w:val="0"/>
                <w:highlight w:val="none"/>
              </w:rPr>
            </w:pPr>
          </w:p>
        </w:tc>
        <w:tc>
          <w:tcPr>
            <w:tcW w:w="868" w:type="dxa"/>
            <w:tcBorders>
              <w:top w:val="single" w:color="auto" w:sz="4" w:space="0"/>
              <w:left w:val="single" w:color="auto" w:sz="4" w:space="0"/>
              <w:bottom w:val="single" w:color="auto" w:sz="4" w:space="0"/>
              <w:right w:val="single" w:color="auto" w:sz="4" w:space="0"/>
            </w:tcBorders>
            <w:noWrap w:val="0"/>
            <w:vAlign w:val="center"/>
          </w:tcPr>
          <w:p w14:paraId="376112FF">
            <w:pPr>
              <w:widowControl/>
              <w:jc w:val="center"/>
              <w:textAlignment w:val="center"/>
              <w:rPr>
                <w:rFonts w:ascii="Arial" w:hAnsi="Arial" w:cs="Arial"/>
                <w:color w:val="auto"/>
                <w:kern w:val="0"/>
                <w:highlight w:val="none"/>
              </w:rPr>
            </w:pPr>
          </w:p>
        </w:tc>
        <w:tc>
          <w:tcPr>
            <w:tcW w:w="887" w:type="dxa"/>
            <w:tcBorders>
              <w:top w:val="single" w:color="auto" w:sz="4" w:space="0"/>
              <w:left w:val="single" w:color="auto" w:sz="4" w:space="0"/>
              <w:bottom w:val="single" w:color="auto" w:sz="4" w:space="0"/>
              <w:right w:val="single" w:color="auto" w:sz="4" w:space="0"/>
            </w:tcBorders>
            <w:noWrap w:val="0"/>
            <w:vAlign w:val="center"/>
          </w:tcPr>
          <w:p w14:paraId="4488FFF0">
            <w:pPr>
              <w:widowControl/>
              <w:jc w:val="center"/>
              <w:textAlignment w:val="center"/>
              <w:rPr>
                <w:rFonts w:ascii="Arial" w:hAnsi="Arial" w:cs="Arial"/>
                <w:color w:val="auto"/>
                <w:kern w:val="0"/>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0A9F8FD1">
            <w:pPr>
              <w:widowControl/>
              <w:jc w:val="center"/>
              <w:textAlignment w:val="center"/>
              <w:rPr>
                <w:rFonts w:ascii="Arial" w:hAnsi="Arial" w:cs="Arial"/>
                <w:color w:val="auto"/>
                <w:kern w:val="0"/>
                <w:highlight w:val="none"/>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63F058F0">
            <w:pPr>
              <w:widowControl/>
              <w:jc w:val="center"/>
              <w:textAlignment w:val="center"/>
              <w:rPr>
                <w:rFonts w:ascii="Arial" w:hAnsi="Arial" w:cs="Arial"/>
                <w:color w:val="auto"/>
                <w:kern w:val="0"/>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067437B0">
            <w:pPr>
              <w:widowControl/>
              <w:jc w:val="center"/>
              <w:textAlignment w:val="center"/>
              <w:rPr>
                <w:rFonts w:ascii="Arial" w:hAnsi="Arial" w:cs="Arial"/>
                <w:color w:val="auto"/>
                <w:kern w:val="0"/>
                <w:highlight w:val="none"/>
              </w:rPr>
            </w:pPr>
          </w:p>
        </w:tc>
      </w:tr>
      <w:tr w14:paraId="7E1D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5" w:hRule="atLeast"/>
          <w:jc w:val="center"/>
        </w:trPr>
        <w:tc>
          <w:tcPr>
            <w:tcW w:w="388" w:type="dxa"/>
            <w:tcBorders>
              <w:top w:val="single" w:color="auto" w:sz="4" w:space="0"/>
              <w:left w:val="single" w:color="auto" w:sz="4" w:space="0"/>
              <w:bottom w:val="single" w:color="auto" w:sz="4" w:space="0"/>
              <w:right w:val="single" w:color="auto" w:sz="4" w:space="0"/>
            </w:tcBorders>
            <w:noWrap w:val="0"/>
            <w:vAlign w:val="center"/>
          </w:tcPr>
          <w:p w14:paraId="1825AACA">
            <w:pPr>
              <w:widowControl/>
              <w:jc w:val="center"/>
              <w:textAlignment w:val="center"/>
              <w:rPr>
                <w:rFonts w:hint="eastAsia" w:ascii="Arial" w:hAnsi="Arial" w:eastAsia="宋体" w:cs="Arial"/>
                <w:color w:val="auto"/>
                <w:kern w:val="0"/>
                <w:highlight w:val="none"/>
                <w:lang w:val="en-US" w:eastAsia="zh-CN"/>
              </w:rPr>
            </w:pPr>
            <w:r>
              <w:rPr>
                <w:rFonts w:hint="eastAsia" w:ascii="Arial" w:hAnsi="Arial" w:cs="Arial"/>
                <w:color w:val="auto"/>
                <w:kern w:val="0"/>
                <w:highlight w:val="none"/>
                <w:lang w:val="en-US" w:eastAsia="zh-CN"/>
              </w:rPr>
              <w:t>3</w:t>
            </w:r>
          </w:p>
        </w:tc>
        <w:tc>
          <w:tcPr>
            <w:tcW w:w="1340" w:type="dxa"/>
            <w:tcBorders>
              <w:top w:val="single" w:color="auto" w:sz="4" w:space="0"/>
              <w:left w:val="single" w:color="auto" w:sz="4" w:space="0"/>
              <w:bottom w:val="single" w:color="auto" w:sz="4" w:space="0"/>
              <w:right w:val="single" w:color="auto" w:sz="4" w:space="0"/>
            </w:tcBorders>
            <w:noWrap w:val="0"/>
            <w:vAlign w:val="center"/>
          </w:tcPr>
          <w:p w14:paraId="6615A20A">
            <w:pPr>
              <w:widowControl/>
              <w:jc w:val="center"/>
              <w:textAlignment w:val="center"/>
              <w:rPr>
                <w:rFonts w:ascii="Arial" w:hAnsi="Arial" w:cs="Arial"/>
                <w:color w:val="auto"/>
                <w:kern w:val="0"/>
                <w:highlight w:val="none"/>
              </w:rPr>
            </w:pPr>
          </w:p>
        </w:tc>
        <w:tc>
          <w:tcPr>
            <w:tcW w:w="2719" w:type="dxa"/>
            <w:tcBorders>
              <w:top w:val="single" w:color="auto" w:sz="4" w:space="0"/>
              <w:left w:val="single" w:color="auto" w:sz="4" w:space="0"/>
              <w:bottom w:val="single" w:color="auto" w:sz="4" w:space="0"/>
              <w:right w:val="single" w:color="auto" w:sz="4" w:space="0"/>
            </w:tcBorders>
            <w:noWrap w:val="0"/>
            <w:vAlign w:val="center"/>
          </w:tcPr>
          <w:p w14:paraId="14012504">
            <w:pPr>
              <w:snapToGrid w:val="0"/>
              <w:spacing w:line="400" w:lineRule="exact"/>
              <w:jc w:val="center"/>
              <w:textAlignment w:val="center"/>
              <w:rPr>
                <w:rFonts w:ascii="Arial" w:hAnsi="Arial" w:cs="Arial"/>
                <w:color w:val="auto"/>
                <w:kern w:val="0"/>
                <w:highlight w:val="none"/>
              </w:rPr>
            </w:pPr>
          </w:p>
        </w:tc>
        <w:tc>
          <w:tcPr>
            <w:tcW w:w="868" w:type="dxa"/>
            <w:tcBorders>
              <w:top w:val="single" w:color="auto" w:sz="4" w:space="0"/>
              <w:left w:val="single" w:color="auto" w:sz="4" w:space="0"/>
              <w:bottom w:val="single" w:color="auto" w:sz="4" w:space="0"/>
              <w:right w:val="single" w:color="auto" w:sz="4" w:space="0"/>
            </w:tcBorders>
            <w:noWrap w:val="0"/>
            <w:vAlign w:val="center"/>
          </w:tcPr>
          <w:p w14:paraId="4D36E246">
            <w:pPr>
              <w:widowControl/>
              <w:jc w:val="center"/>
              <w:textAlignment w:val="center"/>
              <w:rPr>
                <w:rFonts w:ascii="Arial" w:hAnsi="Arial" w:cs="Arial"/>
                <w:color w:val="auto"/>
                <w:kern w:val="0"/>
                <w:highlight w:val="none"/>
              </w:rPr>
            </w:pPr>
          </w:p>
        </w:tc>
        <w:tc>
          <w:tcPr>
            <w:tcW w:w="887" w:type="dxa"/>
            <w:tcBorders>
              <w:top w:val="single" w:color="auto" w:sz="4" w:space="0"/>
              <w:left w:val="single" w:color="auto" w:sz="4" w:space="0"/>
              <w:bottom w:val="single" w:color="auto" w:sz="4" w:space="0"/>
              <w:right w:val="single" w:color="auto" w:sz="4" w:space="0"/>
            </w:tcBorders>
            <w:noWrap w:val="0"/>
            <w:vAlign w:val="center"/>
          </w:tcPr>
          <w:p w14:paraId="03036861">
            <w:pPr>
              <w:widowControl/>
              <w:jc w:val="center"/>
              <w:textAlignment w:val="center"/>
              <w:rPr>
                <w:rFonts w:ascii="Arial" w:hAnsi="Arial" w:cs="Arial"/>
                <w:color w:val="auto"/>
                <w:kern w:val="0"/>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06A1BA46">
            <w:pPr>
              <w:widowControl/>
              <w:jc w:val="center"/>
              <w:textAlignment w:val="center"/>
              <w:rPr>
                <w:rFonts w:ascii="Arial" w:hAnsi="Arial" w:cs="Arial"/>
                <w:color w:val="auto"/>
                <w:kern w:val="0"/>
                <w:highlight w:val="none"/>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37522E9F">
            <w:pPr>
              <w:widowControl/>
              <w:jc w:val="center"/>
              <w:textAlignment w:val="center"/>
              <w:rPr>
                <w:rFonts w:ascii="Arial" w:hAnsi="Arial" w:cs="Arial"/>
                <w:color w:val="auto"/>
                <w:kern w:val="0"/>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5C08FFC0">
            <w:pPr>
              <w:widowControl/>
              <w:jc w:val="center"/>
              <w:textAlignment w:val="center"/>
              <w:rPr>
                <w:rFonts w:ascii="Arial" w:hAnsi="Arial" w:cs="Arial"/>
                <w:color w:val="auto"/>
                <w:kern w:val="0"/>
                <w:highlight w:val="none"/>
              </w:rPr>
            </w:pPr>
          </w:p>
        </w:tc>
      </w:tr>
      <w:tr w14:paraId="5BEC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99" w:hRule="atLeast"/>
          <w:jc w:val="center"/>
        </w:trPr>
        <w:tc>
          <w:tcPr>
            <w:tcW w:w="9805" w:type="dxa"/>
            <w:gridSpan w:val="8"/>
            <w:tcBorders>
              <w:top w:val="single" w:color="auto" w:sz="4" w:space="0"/>
              <w:left w:val="single" w:color="auto" w:sz="4" w:space="0"/>
              <w:bottom w:val="single" w:color="auto" w:sz="4" w:space="0"/>
              <w:right w:val="single" w:color="auto" w:sz="4" w:space="0"/>
            </w:tcBorders>
            <w:noWrap w:val="0"/>
            <w:vAlign w:val="center"/>
          </w:tcPr>
          <w:p w14:paraId="28B57EB6">
            <w:pPr>
              <w:widowControl/>
              <w:textAlignment w:val="center"/>
              <w:rPr>
                <w:rFonts w:ascii="Arial" w:hAnsi="Arial" w:cs="Arial"/>
                <w:color w:val="auto"/>
                <w:kern w:val="0"/>
                <w:highlight w:val="none"/>
              </w:rPr>
            </w:pPr>
            <w:r>
              <w:rPr>
                <w:rFonts w:ascii="宋体" w:hAnsi="宋体" w:cs="Arial"/>
                <w:color w:val="auto"/>
                <w:highlight w:val="none"/>
              </w:rPr>
              <w:t>总价：</w:t>
            </w:r>
            <w:r>
              <w:rPr>
                <w:rFonts w:ascii="Arial" w:hAnsi="Arial" w:cs="Arial"/>
                <w:color w:val="auto"/>
                <w:highlight w:val="none"/>
              </w:rPr>
              <w:t>(</w:t>
            </w:r>
            <w:r>
              <w:rPr>
                <w:rFonts w:ascii="宋体" w:hAnsi="宋体" w:cs="Arial"/>
                <w:color w:val="auto"/>
                <w:highlight w:val="none"/>
              </w:rPr>
              <w:t>大写</w:t>
            </w:r>
            <w:r>
              <w:rPr>
                <w:rFonts w:ascii="Arial" w:hAnsi="Arial" w:cs="Arial"/>
                <w:color w:val="auto"/>
                <w:highlight w:val="none"/>
              </w:rPr>
              <w:t>)</w:t>
            </w:r>
            <w:r>
              <w:rPr>
                <w:rFonts w:ascii="Arial" w:hAnsi="Arial" w:cs="Arial"/>
                <w:color w:val="auto"/>
                <w:highlight w:val="none"/>
                <w:u w:val="single"/>
              </w:rPr>
              <w:t xml:space="preserve">                      </w:t>
            </w:r>
            <w:r>
              <w:rPr>
                <w:rFonts w:ascii="宋体" w:hAnsi="宋体" w:cs="Arial"/>
                <w:color w:val="auto"/>
                <w:highlight w:val="none"/>
              </w:rPr>
              <w:t>（</w:t>
            </w:r>
            <w:r>
              <w:rPr>
                <w:rFonts w:hint="eastAsia" w:ascii="宋体" w:hAnsi="宋体" w:cs="Arial"/>
                <w:color w:val="auto"/>
                <w:highlight w:val="none"/>
              </w:rPr>
              <w:t>¥</w:t>
            </w:r>
            <w:r>
              <w:rPr>
                <w:rFonts w:ascii="Arial" w:hAnsi="Arial" w:cs="Arial"/>
                <w:color w:val="auto"/>
                <w:highlight w:val="none"/>
                <w:u w:val="single"/>
              </w:rPr>
              <w:t xml:space="preserve">                      </w:t>
            </w:r>
            <w:r>
              <w:rPr>
                <w:rFonts w:ascii="Arial" w:hAnsi="Arial" w:cs="Arial"/>
                <w:color w:val="auto"/>
                <w:highlight w:val="none"/>
              </w:rPr>
              <w:t>）</w:t>
            </w:r>
          </w:p>
        </w:tc>
      </w:tr>
    </w:tbl>
    <w:p w14:paraId="63BB94B7">
      <w:pPr>
        <w:spacing w:line="360" w:lineRule="auto"/>
        <w:ind w:firstLine="420" w:firstLineChars="200"/>
        <w:rPr>
          <w:rFonts w:hint="eastAsia" w:ascii="Arial" w:hAnsi="Arial" w:cs="Arial"/>
          <w:color w:val="auto"/>
          <w:kern w:val="0"/>
          <w:szCs w:val="21"/>
          <w:highlight w:val="none"/>
          <w:lang w:bidi="ar"/>
        </w:rPr>
      </w:pPr>
      <w:r>
        <w:rPr>
          <w:rFonts w:hint="eastAsia" w:ascii="Arial" w:hAnsi="Arial" w:cs="Arial"/>
          <w:color w:val="auto"/>
          <w:highlight w:val="none"/>
        </w:rPr>
        <w:t>2、报价是履行合同的最终价格，报价包含实施和完成本项目全部工作所需的服务期内所需的一切费用，包括但不限于：软件升级服务、备品备件替换费用、保险费、安装调试费、税费、培训费、产品检测费、产品质保期内升级维护费等费用。在合同实施时，</w:t>
      </w:r>
      <w:r>
        <w:rPr>
          <w:rFonts w:hint="eastAsia" w:ascii="Arial" w:hAnsi="Arial" w:cs="Arial"/>
          <w:color w:val="auto"/>
          <w:highlight w:val="none"/>
          <w:lang w:eastAsia="zh-CN"/>
        </w:rPr>
        <w:t>乙方</w:t>
      </w:r>
      <w:r>
        <w:rPr>
          <w:rFonts w:hint="eastAsia" w:ascii="Arial" w:hAnsi="Arial" w:cs="Arial"/>
          <w:color w:val="auto"/>
          <w:highlight w:val="none"/>
        </w:rPr>
        <w:t>应就《服务项目需求》中的所有内容作完整唯一报价，</w:t>
      </w:r>
      <w:r>
        <w:rPr>
          <w:rFonts w:hint="eastAsia" w:ascii="Arial" w:hAnsi="Arial" w:cs="Arial"/>
          <w:color w:val="auto"/>
          <w:highlight w:val="none"/>
          <w:lang w:eastAsia="zh-CN"/>
        </w:rPr>
        <w:t>甲方</w:t>
      </w:r>
      <w:r>
        <w:rPr>
          <w:rFonts w:hint="eastAsia" w:ascii="Arial" w:hAnsi="Arial" w:cs="Arial"/>
          <w:color w:val="auto"/>
          <w:highlight w:val="none"/>
        </w:rPr>
        <w:t>将不予支付</w:t>
      </w:r>
      <w:r>
        <w:rPr>
          <w:rFonts w:hint="eastAsia" w:ascii="Arial" w:hAnsi="Arial" w:cs="Arial"/>
          <w:color w:val="auto"/>
          <w:highlight w:val="none"/>
          <w:lang w:eastAsia="zh-CN"/>
        </w:rPr>
        <w:t>乙方</w:t>
      </w:r>
      <w:r>
        <w:rPr>
          <w:rFonts w:hint="eastAsia" w:ascii="Arial" w:hAnsi="Arial" w:cs="Arial"/>
          <w:color w:val="auto"/>
          <w:highlight w:val="none"/>
        </w:rPr>
        <w:t>没有列入的项目费用，并认为此项目的费用已包括在响应总报价中。</w:t>
      </w:r>
    </w:p>
    <w:p w14:paraId="4F4148F5">
      <w:pPr>
        <w:snapToGrid w:val="0"/>
        <w:spacing w:line="360" w:lineRule="auto"/>
        <w:ind w:firstLine="422" w:firstLineChars="200"/>
        <w:rPr>
          <w:rFonts w:ascii="Arial" w:hAnsi="Arial" w:cs="Arial"/>
          <w:color w:val="auto"/>
          <w:highlight w:val="none"/>
        </w:rPr>
      </w:pPr>
      <w:r>
        <w:rPr>
          <w:rFonts w:ascii="宋体" w:hAnsi="宋体" w:cs="Arial"/>
          <w:b/>
          <w:color w:val="auto"/>
          <w:highlight w:val="none"/>
        </w:rPr>
        <w:t>第二条 质量保证</w:t>
      </w:r>
    </w:p>
    <w:p w14:paraId="6F773820">
      <w:pPr>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乙方所提供的服务内容必须与</w:t>
      </w:r>
      <w:r>
        <w:rPr>
          <w:rFonts w:hint="eastAsia" w:ascii="宋体" w:hAnsi="宋体" w:cs="宋体"/>
          <w:color w:val="auto"/>
          <w:highlight w:val="none"/>
          <w:lang w:eastAsia="zh-CN"/>
        </w:rPr>
        <w:t>采购文件及报价响应</w:t>
      </w:r>
      <w:r>
        <w:rPr>
          <w:rFonts w:hint="eastAsia" w:ascii="宋体" w:hAnsi="宋体" w:cs="宋体"/>
          <w:color w:val="auto"/>
          <w:highlight w:val="none"/>
        </w:rPr>
        <w:t>文件承诺相一致。</w:t>
      </w:r>
    </w:p>
    <w:p w14:paraId="22407903">
      <w:pPr>
        <w:snapToGrid w:val="0"/>
        <w:spacing w:line="360" w:lineRule="auto"/>
        <w:ind w:firstLine="422" w:firstLineChars="200"/>
        <w:rPr>
          <w:rFonts w:ascii="Arial" w:hAnsi="Arial" w:cs="Arial"/>
          <w:color w:val="auto"/>
          <w:highlight w:val="none"/>
        </w:rPr>
      </w:pPr>
      <w:r>
        <w:rPr>
          <w:rFonts w:ascii="宋体" w:hAnsi="宋体" w:cs="Arial"/>
          <w:b/>
          <w:color w:val="auto"/>
          <w:highlight w:val="none"/>
        </w:rPr>
        <w:t>第三条</w:t>
      </w:r>
      <w:r>
        <w:rPr>
          <w:rFonts w:ascii="Arial" w:hAnsi="Arial" w:cs="Arial"/>
          <w:b/>
          <w:color w:val="auto"/>
          <w:highlight w:val="none"/>
        </w:rPr>
        <w:t xml:space="preserve">  权利保证</w:t>
      </w:r>
    </w:p>
    <w:p w14:paraId="50185769">
      <w:pPr>
        <w:spacing w:after="96" w:afterLines="40" w:line="360" w:lineRule="auto"/>
        <w:ind w:firstLine="420" w:firstLineChars="200"/>
        <w:rPr>
          <w:rFonts w:ascii="Arial" w:hAnsi="Arial" w:cs="Arial"/>
          <w:color w:val="auto"/>
          <w:highlight w:val="none"/>
        </w:rPr>
      </w:pPr>
      <w:r>
        <w:rPr>
          <w:rFonts w:ascii="宋体" w:hAnsi="宋体" w:cs="Arial"/>
          <w:color w:val="auto"/>
          <w:highlight w:val="none"/>
        </w:rPr>
        <w:t>乙方应保证所提供</w:t>
      </w:r>
      <w:r>
        <w:rPr>
          <w:rFonts w:hint="eastAsia" w:ascii="宋体" w:hAnsi="宋体" w:cs="Arial"/>
          <w:color w:val="auto"/>
          <w:highlight w:val="none"/>
        </w:rPr>
        <w:t>服务及相关货物</w:t>
      </w:r>
      <w:r>
        <w:rPr>
          <w:rFonts w:ascii="宋体" w:hAnsi="宋体" w:cs="Arial"/>
          <w:color w:val="auto"/>
          <w:highlight w:val="none"/>
        </w:rPr>
        <w:t>在使用时不会侵犯任何第三方的专利权、商标权、工业设计权或其他权利。</w:t>
      </w:r>
    </w:p>
    <w:p w14:paraId="49B7D15B">
      <w:pPr>
        <w:spacing w:after="96" w:afterLines="40" w:line="360" w:lineRule="auto"/>
        <w:ind w:firstLine="420" w:firstLineChars="200"/>
        <w:rPr>
          <w:rFonts w:ascii="Arial" w:hAnsi="Arial" w:cs="Arial"/>
          <w:color w:val="auto"/>
          <w:highlight w:val="none"/>
        </w:rPr>
      </w:pPr>
      <w:r>
        <w:rPr>
          <w:rFonts w:ascii="宋体" w:hAnsi="宋体" w:cs="Arial"/>
          <w:color w:val="auto"/>
          <w:highlight w:val="none"/>
        </w:rPr>
        <w:t>乙方应按</w:t>
      </w:r>
      <w:r>
        <w:rPr>
          <w:rFonts w:hint="eastAsia" w:ascii="宋体" w:hAnsi="宋体" w:cs="Arial"/>
          <w:color w:val="auto"/>
          <w:highlight w:val="none"/>
          <w:lang w:eastAsia="zh-CN"/>
        </w:rPr>
        <w:t>采购</w:t>
      </w:r>
      <w:r>
        <w:rPr>
          <w:rFonts w:ascii="宋体" w:hAnsi="宋体" w:cs="Arial"/>
          <w:color w:val="auto"/>
          <w:highlight w:val="none"/>
        </w:rPr>
        <w:t>文件规定</w:t>
      </w:r>
      <w:r>
        <w:rPr>
          <w:rFonts w:hint="eastAsia" w:ascii="宋体" w:hAnsi="宋体" w:cs="Arial"/>
          <w:color w:val="auto"/>
          <w:highlight w:val="none"/>
        </w:rPr>
        <w:t>、本合同约定</w:t>
      </w:r>
      <w:r>
        <w:rPr>
          <w:rFonts w:ascii="宋体" w:hAnsi="宋体" w:cs="Arial"/>
          <w:color w:val="auto"/>
          <w:highlight w:val="none"/>
        </w:rPr>
        <w:t>的时间向甲方提供使用</w:t>
      </w:r>
      <w:r>
        <w:rPr>
          <w:rFonts w:hint="eastAsia" w:ascii="宋体" w:hAnsi="宋体" w:cs="Arial"/>
          <w:color w:val="auto"/>
          <w:highlight w:val="none"/>
        </w:rPr>
        <w:t>服务及相关货物</w:t>
      </w:r>
      <w:r>
        <w:rPr>
          <w:rFonts w:ascii="宋体" w:hAnsi="宋体" w:cs="Arial"/>
          <w:color w:val="auto"/>
          <w:highlight w:val="none"/>
        </w:rPr>
        <w:t>的有关技术资料。</w:t>
      </w:r>
    </w:p>
    <w:p w14:paraId="053A525B">
      <w:pPr>
        <w:spacing w:after="96" w:afterLines="40" w:line="360" w:lineRule="auto"/>
        <w:ind w:firstLine="420" w:firstLineChars="200"/>
        <w:rPr>
          <w:rFonts w:ascii="Arial" w:hAnsi="Arial" w:cs="Arial"/>
          <w:color w:val="auto"/>
          <w:highlight w:val="none"/>
        </w:rPr>
      </w:pPr>
      <w:r>
        <w:rPr>
          <w:rFonts w:ascii="宋体" w:hAnsi="宋体" w:cs="Arial"/>
          <w:color w:val="auto"/>
          <w:highlight w:val="none"/>
        </w:rPr>
        <w:t>没有甲方事先书面同意，乙方不得将由甲方提供的有关合同或任何合同条文、规格、计划、图纸或资料提供给与履行本合同无关的任何其他人。即使向履行本合同有关的人员提供，也应注意保密并限于履行合同的必需范围。</w:t>
      </w:r>
    </w:p>
    <w:p w14:paraId="15B22C4C">
      <w:pPr>
        <w:spacing w:after="96" w:afterLines="40" w:line="360" w:lineRule="auto"/>
        <w:ind w:firstLine="420" w:firstLineChars="200"/>
        <w:rPr>
          <w:rFonts w:ascii="Arial" w:hAnsi="Arial" w:cs="Arial"/>
          <w:color w:val="auto"/>
          <w:highlight w:val="none"/>
        </w:rPr>
      </w:pPr>
      <w:r>
        <w:rPr>
          <w:rFonts w:ascii="宋体" w:hAnsi="宋体" w:cs="Arial"/>
          <w:color w:val="auto"/>
          <w:highlight w:val="none"/>
        </w:rPr>
        <w:t>乙方保证所交付的</w:t>
      </w:r>
      <w:r>
        <w:rPr>
          <w:rFonts w:hint="eastAsia" w:ascii="宋体" w:hAnsi="宋体" w:cs="Arial"/>
          <w:color w:val="auto"/>
          <w:highlight w:val="none"/>
        </w:rPr>
        <w:t>服务及相关货物</w:t>
      </w:r>
      <w:r>
        <w:rPr>
          <w:rFonts w:ascii="宋体" w:hAnsi="宋体" w:cs="Arial"/>
          <w:color w:val="auto"/>
          <w:highlight w:val="none"/>
        </w:rPr>
        <w:t>的所有权完全属于乙方且无任何抵押、质押、查封等产权瑕疵。</w:t>
      </w:r>
    </w:p>
    <w:p w14:paraId="68A741EF">
      <w:pPr>
        <w:snapToGrid w:val="0"/>
        <w:spacing w:line="360" w:lineRule="exact"/>
        <w:ind w:firstLine="422" w:firstLineChars="200"/>
        <w:rPr>
          <w:rFonts w:ascii="Arial" w:hAnsi="Arial" w:cs="Arial"/>
          <w:b/>
          <w:color w:val="auto"/>
          <w:highlight w:val="none"/>
        </w:rPr>
      </w:pPr>
      <w:r>
        <w:rPr>
          <w:rFonts w:ascii="宋体" w:hAnsi="宋体" w:cs="Arial"/>
          <w:b/>
          <w:color w:val="auto"/>
          <w:highlight w:val="none"/>
        </w:rPr>
        <w:t>第四条</w:t>
      </w:r>
      <w:r>
        <w:rPr>
          <w:rFonts w:ascii="Arial" w:hAnsi="Arial" w:cs="Arial"/>
          <w:b/>
          <w:color w:val="auto"/>
          <w:highlight w:val="none"/>
        </w:rPr>
        <w:t xml:space="preserve">  </w:t>
      </w:r>
      <w:r>
        <w:rPr>
          <w:rFonts w:hint="eastAsia" w:ascii="Arial" w:hAnsi="Arial" w:cs="Arial"/>
          <w:b/>
          <w:color w:val="auto"/>
          <w:highlight w:val="none"/>
        </w:rPr>
        <w:t>保修服务期限</w:t>
      </w:r>
    </w:p>
    <w:p w14:paraId="6386B9A0">
      <w:pPr>
        <w:spacing w:after="96" w:afterLines="40" w:line="360" w:lineRule="exact"/>
        <w:ind w:firstLine="420" w:firstLineChars="200"/>
        <w:rPr>
          <w:rFonts w:ascii="宋体" w:hAnsi="宋体" w:cs="Arial"/>
          <w:color w:val="auto"/>
          <w:highlight w:val="none"/>
        </w:rPr>
      </w:pPr>
      <w:r>
        <w:rPr>
          <w:rFonts w:hint="eastAsia" w:ascii="宋体" w:hAnsi="宋体" w:eastAsia="宋体" w:cs="宋体"/>
          <w:bCs/>
          <w:color w:val="auto"/>
          <w:sz w:val="21"/>
          <w:szCs w:val="21"/>
          <w:highlight w:val="none"/>
          <w:lang w:val="en-US" w:eastAsia="zh-CN" w:bidi="ar"/>
        </w:rPr>
        <w:t>服务期限：</w:t>
      </w:r>
      <w:r>
        <w:rPr>
          <w:rFonts w:hint="eastAsia" w:ascii="宋体" w:hAnsi="宋体" w:eastAsia="宋体" w:cs="宋体"/>
          <w:bCs/>
          <w:color w:val="auto"/>
          <w:sz w:val="21"/>
          <w:szCs w:val="21"/>
          <w:highlight w:val="none"/>
          <w:u w:val="single"/>
          <w:lang w:val="en-US" w:eastAsia="zh-CN" w:bidi="ar"/>
        </w:rPr>
        <w:t xml:space="preserve">                         </w:t>
      </w:r>
      <w:r>
        <w:rPr>
          <w:rFonts w:hint="eastAsia" w:ascii="宋体" w:hAnsi="宋体" w:eastAsia="宋体" w:cs="宋体"/>
          <w:bCs/>
          <w:color w:val="auto"/>
          <w:sz w:val="21"/>
          <w:szCs w:val="21"/>
          <w:highlight w:val="none"/>
          <w:lang w:val="en-US" w:eastAsia="zh-CN" w:bidi="ar"/>
        </w:rPr>
        <w:t>。</w:t>
      </w:r>
    </w:p>
    <w:p w14:paraId="75A04F82">
      <w:pPr>
        <w:snapToGrid w:val="0"/>
        <w:spacing w:line="360" w:lineRule="exact"/>
        <w:ind w:firstLine="422" w:firstLineChars="200"/>
        <w:rPr>
          <w:rFonts w:ascii="Arial" w:hAnsi="Arial" w:cs="Arial"/>
          <w:color w:val="auto"/>
          <w:highlight w:val="none"/>
        </w:rPr>
      </w:pPr>
      <w:r>
        <w:rPr>
          <w:rFonts w:ascii="宋体" w:hAnsi="宋体" w:cs="Arial"/>
          <w:b/>
          <w:color w:val="auto"/>
          <w:highlight w:val="none"/>
        </w:rPr>
        <w:t>第</w:t>
      </w:r>
      <w:r>
        <w:rPr>
          <w:rFonts w:hint="eastAsia" w:ascii="宋体" w:hAnsi="宋体" w:cs="Arial"/>
          <w:b/>
          <w:color w:val="auto"/>
          <w:highlight w:val="none"/>
        </w:rPr>
        <w:t>五</w:t>
      </w:r>
      <w:r>
        <w:rPr>
          <w:rFonts w:ascii="宋体" w:hAnsi="宋体" w:cs="Arial"/>
          <w:b/>
          <w:color w:val="auto"/>
          <w:highlight w:val="none"/>
        </w:rPr>
        <w:t>条 付款方式</w:t>
      </w:r>
    </w:p>
    <w:p w14:paraId="0F0D8F6F">
      <w:pPr>
        <w:snapToGrid w:val="0"/>
        <w:spacing w:line="360" w:lineRule="auto"/>
        <w:ind w:firstLine="420" w:firstLineChars="200"/>
        <w:rPr>
          <w:rFonts w:ascii="Arial" w:hAnsi="Arial" w:cs="Arial"/>
          <w:color w:val="auto"/>
          <w:highlight w:val="none"/>
        </w:rPr>
      </w:pPr>
      <w:r>
        <w:rPr>
          <w:rFonts w:ascii="Arial" w:hAnsi="Arial" w:cs="Arial"/>
          <w:color w:val="auto"/>
          <w:highlight w:val="none"/>
        </w:rPr>
        <w:t>1</w:t>
      </w:r>
      <w:r>
        <w:rPr>
          <w:rFonts w:hint="eastAsia" w:ascii="Arial" w:hAnsi="Arial" w:cs="Arial"/>
          <w:color w:val="auto"/>
          <w:highlight w:val="none"/>
        </w:rPr>
        <w:t>、</w:t>
      </w:r>
      <w:r>
        <w:rPr>
          <w:rFonts w:ascii="宋体" w:hAnsi="宋体" w:cs="Arial"/>
          <w:color w:val="auto"/>
          <w:highlight w:val="none"/>
        </w:rPr>
        <w:t>资金性质：</w:t>
      </w:r>
      <w:r>
        <w:rPr>
          <w:rFonts w:hint="eastAsia" w:ascii="宋体" w:hAnsi="宋体" w:cs="Arial"/>
          <w:color w:val="auto"/>
          <w:highlight w:val="none"/>
          <w:u w:val="single"/>
          <w:lang w:val="en-US" w:eastAsia="zh-CN"/>
        </w:rPr>
        <w:t xml:space="preserve">                 </w:t>
      </w:r>
      <w:r>
        <w:rPr>
          <w:rFonts w:ascii="宋体" w:hAnsi="宋体" w:cs="Arial"/>
          <w:color w:val="auto"/>
          <w:highlight w:val="none"/>
        </w:rPr>
        <w:t>。</w:t>
      </w:r>
    </w:p>
    <w:p w14:paraId="563FF97D">
      <w:pPr>
        <w:widowControl/>
        <w:spacing w:line="360" w:lineRule="auto"/>
        <w:ind w:firstLine="420" w:firstLineChars="200"/>
        <w:jc w:val="left"/>
        <w:textAlignment w:val="center"/>
        <w:rPr>
          <w:rFonts w:hint="default" w:ascii="宋体" w:hAnsi="宋体" w:eastAsia="宋体" w:cs="宋体"/>
          <w:color w:val="auto"/>
          <w:szCs w:val="21"/>
          <w:highlight w:val="none"/>
          <w:u w:val="single"/>
          <w:lang w:val="en-US" w:eastAsia="zh-CN"/>
        </w:rPr>
      </w:pPr>
      <w:r>
        <w:rPr>
          <w:rFonts w:ascii="Arial" w:hAnsi="Arial" w:cs="Arial"/>
          <w:color w:val="auto"/>
          <w:highlight w:val="none"/>
        </w:rPr>
        <w:t>2</w:t>
      </w:r>
      <w:r>
        <w:rPr>
          <w:rFonts w:hint="eastAsia" w:ascii="Arial" w:hAnsi="Arial" w:cs="Arial"/>
          <w:color w:val="auto"/>
          <w:highlight w:val="none"/>
        </w:rPr>
        <w:t>、</w:t>
      </w:r>
      <w:r>
        <w:rPr>
          <w:rFonts w:ascii="宋体" w:hAnsi="宋体" w:cs="Arial"/>
          <w:color w:val="auto"/>
          <w:highlight w:val="none"/>
        </w:rPr>
        <w:t>付款方式：</w:t>
      </w:r>
      <w:r>
        <w:rPr>
          <w:rFonts w:hint="eastAsia" w:ascii="宋体" w:hAnsi="宋体" w:eastAsia="宋体" w:cs="宋体"/>
          <w:color w:val="auto"/>
          <w:szCs w:val="21"/>
          <w:highlight w:val="none"/>
          <w:u w:val="single"/>
          <w:lang w:val="en-US" w:eastAsia="zh-CN"/>
        </w:rPr>
        <w:t xml:space="preserve">                       。</w:t>
      </w:r>
    </w:p>
    <w:p w14:paraId="3D456A25">
      <w:pPr>
        <w:snapToGrid w:val="0"/>
        <w:spacing w:line="360" w:lineRule="exact"/>
        <w:ind w:firstLine="422" w:firstLineChars="200"/>
        <w:rPr>
          <w:rFonts w:ascii="Arial" w:hAnsi="Arial" w:cs="Arial"/>
          <w:b/>
          <w:color w:val="auto"/>
          <w:highlight w:val="none"/>
        </w:rPr>
      </w:pPr>
      <w:r>
        <w:rPr>
          <w:rFonts w:ascii="宋体" w:hAnsi="宋体" w:cs="Arial"/>
          <w:b/>
          <w:color w:val="auto"/>
          <w:highlight w:val="none"/>
        </w:rPr>
        <w:t>第</w:t>
      </w:r>
      <w:r>
        <w:rPr>
          <w:rFonts w:hint="eastAsia" w:ascii="宋体" w:hAnsi="宋体" w:cs="Arial"/>
          <w:b/>
          <w:color w:val="auto"/>
          <w:highlight w:val="none"/>
        </w:rPr>
        <w:t>六</w:t>
      </w:r>
      <w:r>
        <w:rPr>
          <w:rFonts w:ascii="宋体" w:hAnsi="宋体" w:cs="Arial"/>
          <w:b/>
          <w:color w:val="auto"/>
          <w:highlight w:val="none"/>
        </w:rPr>
        <w:t>条</w:t>
      </w:r>
      <w:r>
        <w:rPr>
          <w:rFonts w:ascii="Arial" w:hAnsi="Arial" w:cs="Arial"/>
          <w:b/>
          <w:color w:val="auto"/>
          <w:highlight w:val="none"/>
        </w:rPr>
        <w:t xml:space="preserve"> </w:t>
      </w:r>
      <w:r>
        <w:rPr>
          <w:rFonts w:hint="eastAsia" w:ascii="宋体" w:hAnsi="宋体" w:cs="宋体"/>
          <w:b/>
          <w:color w:val="auto"/>
          <w:highlight w:val="none"/>
        </w:rPr>
        <w:t>本合同执行中相关的一切税费均由乙方负担。</w:t>
      </w:r>
      <w:r>
        <w:rPr>
          <w:rFonts w:ascii="Arial" w:hAnsi="Arial" w:cs="Arial"/>
          <w:b/>
          <w:color w:val="auto"/>
          <w:highlight w:val="none"/>
        </w:rPr>
        <w:t xml:space="preserve">  </w:t>
      </w:r>
    </w:p>
    <w:p w14:paraId="5FDC8412">
      <w:pPr>
        <w:snapToGrid w:val="0"/>
        <w:spacing w:line="360" w:lineRule="exact"/>
        <w:ind w:firstLine="422" w:firstLineChars="200"/>
        <w:rPr>
          <w:rFonts w:ascii="Arial" w:hAnsi="Arial" w:cs="Arial"/>
          <w:b/>
          <w:color w:val="auto"/>
          <w:highlight w:val="none"/>
        </w:rPr>
      </w:pPr>
      <w:r>
        <w:rPr>
          <w:rFonts w:ascii="宋体" w:hAnsi="宋体" w:cs="Arial"/>
          <w:b/>
          <w:color w:val="auto"/>
          <w:highlight w:val="none"/>
        </w:rPr>
        <w:t>第</w:t>
      </w:r>
      <w:r>
        <w:rPr>
          <w:rFonts w:hint="eastAsia" w:ascii="宋体" w:hAnsi="宋体" w:cs="Arial"/>
          <w:b/>
          <w:color w:val="auto"/>
          <w:highlight w:val="none"/>
        </w:rPr>
        <w:t>七</w:t>
      </w:r>
      <w:r>
        <w:rPr>
          <w:rFonts w:ascii="宋体" w:hAnsi="宋体" w:cs="Arial"/>
          <w:b/>
          <w:color w:val="auto"/>
          <w:highlight w:val="none"/>
        </w:rPr>
        <w:t>条</w:t>
      </w:r>
      <w:r>
        <w:rPr>
          <w:rFonts w:ascii="Arial" w:hAnsi="Arial" w:cs="Arial"/>
          <w:b/>
          <w:color w:val="auto"/>
          <w:highlight w:val="none"/>
        </w:rPr>
        <w:t xml:space="preserve"> </w:t>
      </w:r>
      <w:r>
        <w:rPr>
          <w:rFonts w:ascii="宋体" w:hAnsi="宋体" w:cs="Arial"/>
          <w:b/>
          <w:color w:val="auto"/>
          <w:highlight w:val="none"/>
        </w:rPr>
        <w:t>违约责任</w:t>
      </w:r>
    </w:p>
    <w:p w14:paraId="2B0A20BF">
      <w:pPr>
        <w:spacing w:after="96" w:afterLines="40" w:line="360" w:lineRule="exact"/>
        <w:ind w:firstLine="420" w:firstLineChars="200"/>
        <w:rPr>
          <w:rFonts w:hint="eastAsia" w:ascii="Arial" w:hAnsi="Arial" w:cs="Arial"/>
          <w:color w:val="auto"/>
          <w:highlight w:val="none"/>
        </w:rPr>
      </w:pPr>
      <w:r>
        <w:rPr>
          <w:rFonts w:hint="eastAsia" w:ascii="Arial" w:hAnsi="Arial" w:cs="Arial"/>
          <w:color w:val="auto"/>
          <w:highlight w:val="none"/>
        </w:rPr>
        <w:t>7.1 甲乙双方任何一方不履行合同义务或者履行合同义务不符合合同约定的，均视为违约。违约方应当承担继续履行、采取补救措施或者赔偿损失等违约责任。违约方应承担守约方因追讨违约方的违约责任所支出的各项费用（包括但不限于律师费、诉讼费、保全费、财产保全担保费等）。</w:t>
      </w:r>
    </w:p>
    <w:p w14:paraId="048E4F5D">
      <w:pPr>
        <w:spacing w:after="96" w:afterLines="40" w:line="360" w:lineRule="exact"/>
        <w:ind w:firstLine="420" w:firstLineChars="200"/>
        <w:rPr>
          <w:rFonts w:hint="eastAsia" w:ascii="Arial" w:hAnsi="Arial" w:cs="Arial"/>
          <w:color w:val="auto"/>
          <w:highlight w:val="none"/>
        </w:rPr>
      </w:pPr>
      <w:r>
        <w:rPr>
          <w:rFonts w:hint="eastAsia" w:ascii="Arial" w:hAnsi="Arial" w:cs="Arial"/>
          <w:color w:val="auto"/>
          <w:highlight w:val="none"/>
        </w:rPr>
        <w:t>7.2 甲乙双方在完成双方签署的书面确认事项后，任何一方提出变更要求，导致项目进度延迟的，不视为对方违约；因此而给对方造成损失的，由提出变更一方承担相应的责任。</w:t>
      </w:r>
    </w:p>
    <w:p w14:paraId="4A357FD0">
      <w:pPr>
        <w:spacing w:after="96" w:afterLines="40" w:line="360" w:lineRule="exact"/>
        <w:ind w:firstLine="420" w:firstLineChars="200"/>
        <w:rPr>
          <w:rFonts w:hint="eastAsia" w:ascii="Arial" w:hAnsi="Arial" w:cs="Arial"/>
          <w:color w:val="auto"/>
          <w:highlight w:val="none"/>
        </w:rPr>
      </w:pPr>
      <w:r>
        <w:rPr>
          <w:rFonts w:hint="eastAsia" w:ascii="Arial" w:hAnsi="Arial" w:cs="Arial"/>
          <w:color w:val="auto"/>
          <w:highlight w:val="none"/>
        </w:rPr>
        <w:t>7.3 甲方未按约定时间履行付款义务的，甲方应承担违约责任，每逾期一日，按服务总金额的0.1%向乙方支付违约金，升级服务违约金总额不得超过合同服务总价款的10%，由此导致项目进度延迟的，双方应重新协商项目进度安排并予以书面确认。</w:t>
      </w:r>
    </w:p>
    <w:p w14:paraId="4CAA7246">
      <w:pPr>
        <w:spacing w:after="96" w:afterLines="40" w:line="360" w:lineRule="exact"/>
        <w:ind w:firstLine="420" w:firstLineChars="200"/>
        <w:rPr>
          <w:rFonts w:hint="eastAsia" w:ascii="Arial" w:hAnsi="Arial" w:cs="Arial"/>
          <w:color w:val="auto"/>
          <w:highlight w:val="none"/>
        </w:rPr>
      </w:pPr>
      <w:r>
        <w:rPr>
          <w:rFonts w:hint="eastAsia" w:ascii="Arial" w:hAnsi="Arial" w:cs="Arial"/>
          <w:color w:val="auto"/>
          <w:highlight w:val="none"/>
        </w:rPr>
        <w:t>7.4 因甲方的原因或与甲方具有协作关系的第三方的原因导致项目进度延迟的，乙方不承担违约责任，甲方应弥补乙方因项目进度迟延导致的损失。</w:t>
      </w:r>
    </w:p>
    <w:p w14:paraId="3A54F24D">
      <w:pPr>
        <w:spacing w:after="96" w:afterLines="40" w:line="360" w:lineRule="exact"/>
        <w:ind w:firstLine="420" w:firstLineChars="200"/>
        <w:rPr>
          <w:rFonts w:hint="default" w:ascii="Arial" w:hAnsi="Arial" w:eastAsia="宋体" w:cs="Arial"/>
          <w:color w:val="auto"/>
          <w:highlight w:val="none"/>
          <w:shd w:val="clear"/>
          <w:lang w:val="en-US" w:eastAsia="zh-CN"/>
        </w:rPr>
      </w:pPr>
      <w:r>
        <w:rPr>
          <w:rFonts w:hint="eastAsia" w:ascii="Arial" w:hAnsi="Arial" w:cs="Arial"/>
          <w:color w:val="auto"/>
          <w:highlight w:val="none"/>
        </w:rPr>
        <w:t>7.</w:t>
      </w:r>
      <w:r>
        <w:rPr>
          <w:rFonts w:hint="eastAsia" w:ascii="Arial" w:hAnsi="Arial" w:cs="Arial"/>
          <w:color w:val="auto"/>
          <w:highlight w:val="none"/>
          <w:lang w:val="en-US" w:eastAsia="zh-CN"/>
        </w:rPr>
        <w:t>5</w:t>
      </w:r>
      <w:r>
        <w:rPr>
          <w:rFonts w:hint="eastAsia" w:ascii="Arial" w:hAnsi="Arial" w:cs="Arial"/>
          <w:color w:val="auto"/>
          <w:highlight w:val="none"/>
        </w:rPr>
        <w:t xml:space="preserve"> 因乙方原因造成不能按约定时间进行本合同服务履约的，乙方应承担违约责任，每逾期一日，按合同服务总价款</w:t>
      </w:r>
      <w:r>
        <w:rPr>
          <w:rFonts w:hint="eastAsia" w:ascii="Arial" w:hAnsi="Arial" w:cs="Arial"/>
          <w:color w:val="auto"/>
          <w:highlight w:val="none"/>
          <w:shd w:val="clear"/>
        </w:rPr>
        <w:t>的</w:t>
      </w:r>
      <w:r>
        <w:rPr>
          <w:rFonts w:hint="eastAsia" w:ascii="宋体" w:hAnsi="宋体" w:cs="Arial"/>
          <w:color w:val="auto"/>
          <w:highlight w:val="none"/>
          <w:shd w:val="clear"/>
        </w:rPr>
        <w:t>1‰</w:t>
      </w:r>
      <w:r>
        <w:rPr>
          <w:rFonts w:hint="eastAsia" w:ascii="Arial" w:hAnsi="Arial" w:cs="Arial"/>
          <w:color w:val="auto"/>
          <w:highlight w:val="none"/>
          <w:shd w:val="clear"/>
        </w:rPr>
        <w:t>向甲方支付违约金，升级服务违约金总额不得超过合同服务总价款的10%</w:t>
      </w:r>
      <w:r>
        <w:rPr>
          <w:rFonts w:hint="eastAsia" w:ascii="Arial" w:hAnsi="Arial" w:cs="Arial"/>
          <w:color w:val="auto"/>
          <w:highlight w:val="none"/>
          <w:shd w:val="clear"/>
          <w:lang w:val="en-US" w:eastAsia="zh-CN"/>
        </w:rPr>
        <w:t xml:space="preserve"> </w:t>
      </w:r>
      <w:r>
        <w:rPr>
          <w:rFonts w:hint="eastAsia" w:ascii="Arial" w:hAnsi="Arial" w:cs="Arial"/>
          <w:color w:val="auto"/>
          <w:highlight w:val="none"/>
          <w:shd w:val="clear"/>
        </w:rPr>
        <w:t>。</w:t>
      </w:r>
      <w:r>
        <w:rPr>
          <w:rFonts w:hint="eastAsia" w:ascii="Arial" w:hAnsi="Arial" w:cs="Arial"/>
          <w:color w:val="auto"/>
          <w:highlight w:val="none"/>
          <w:shd w:val="clear"/>
          <w:lang w:val="en-US" w:eastAsia="zh-CN"/>
        </w:rPr>
        <w:t>乙方逾期超过15日，甲方有权解除合同，给甲方造成损失的，乙方还应当赔偿损失。</w:t>
      </w:r>
    </w:p>
    <w:p w14:paraId="09A69EFC">
      <w:pPr>
        <w:snapToGrid w:val="0"/>
        <w:spacing w:before="120" w:after="120" w:line="360" w:lineRule="exact"/>
        <w:ind w:firstLine="413" w:firstLineChars="196"/>
        <w:rPr>
          <w:rFonts w:ascii="Arial" w:hAnsi="Arial" w:cs="Arial"/>
          <w:b/>
          <w:color w:val="auto"/>
          <w:highlight w:val="none"/>
        </w:rPr>
      </w:pPr>
      <w:r>
        <w:rPr>
          <w:rFonts w:ascii="宋体" w:hAnsi="宋体" w:cs="Arial"/>
          <w:b/>
          <w:color w:val="auto"/>
          <w:highlight w:val="none"/>
        </w:rPr>
        <w:t>第</w:t>
      </w:r>
      <w:r>
        <w:rPr>
          <w:rFonts w:hint="eastAsia" w:ascii="宋体" w:hAnsi="宋体" w:cs="Arial"/>
          <w:b/>
          <w:color w:val="auto"/>
          <w:highlight w:val="none"/>
        </w:rPr>
        <w:t>八</w:t>
      </w:r>
      <w:r>
        <w:rPr>
          <w:rFonts w:ascii="宋体" w:hAnsi="宋体" w:cs="Arial"/>
          <w:b/>
          <w:color w:val="auto"/>
          <w:highlight w:val="none"/>
        </w:rPr>
        <w:t>条</w:t>
      </w:r>
      <w:r>
        <w:rPr>
          <w:rFonts w:ascii="Arial" w:hAnsi="Arial" w:cs="Arial"/>
          <w:b/>
          <w:color w:val="auto"/>
          <w:highlight w:val="none"/>
        </w:rPr>
        <w:t xml:space="preserve"> 不可抗力事件处理</w:t>
      </w:r>
    </w:p>
    <w:p w14:paraId="27D2BC84">
      <w:pPr>
        <w:snapToGrid w:val="0"/>
        <w:spacing w:line="360" w:lineRule="exact"/>
        <w:ind w:firstLine="420" w:firstLineChars="200"/>
        <w:rPr>
          <w:rFonts w:ascii="Arial" w:hAnsi="Arial" w:cs="Arial"/>
          <w:color w:val="auto"/>
          <w:highlight w:val="none"/>
        </w:rPr>
      </w:pPr>
      <w:r>
        <w:rPr>
          <w:rFonts w:ascii="Arial" w:hAnsi="Arial" w:cs="Arial"/>
          <w:color w:val="auto"/>
          <w:highlight w:val="none"/>
        </w:rPr>
        <w:t>1</w:t>
      </w:r>
      <w:r>
        <w:rPr>
          <w:rFonts w:hint="eastAsia" w:ascii="Arial" w:hAnsi="Arial" w:cs="Arial"/>
          <w:color w:val="auto"/>
          <w:highlight w:val="none"/>
        </w:rPr>
        <w:t>、</w:t>
      </w:r>
      <w:r>
        <w:rPr>
          <w:rFonts w:ascii="宋体" w:hAnsi="宋体" w:cs="Arial"/>
          <w:color w:val="auto"/>
          <w:highlight w:val="none"/>
        </w:rPr>
        <w:t>在合同有效期内，任何一方因不可抗力事件导致不能履行合同，则合同履行期可延长，其延长期与不可抗力影响期相同。</w:t>
      </w:r>
    </w:p>
    <w:p w14:paraId="02192061">
      <w:pPr>
        <w:snapToGrid w:val="0"/>
        <w:spacing w:line="360" w:lineRule="exact"/>
        <w:ind w:firstLine="420" w:firstLineChars="200"/>
        <w:rPr>
          <w:rFonts w:ascii="Arial" w:hAnsi="Arial" w:cs="Arial"/>
          <w:color w:val="auto"/>
          <w:highlight w:val="none"/>
        </w:rPr>
      </w:pPr>
      <w:r>
        <w:rPr>
          <w:rFonts w:ascii="Arial" w:hAnsi="Arial" w:cs="Arial"/>
          <w:color w:val="auto"/>
          <w:highlight w:val="none"/>
        </w:rPr>
        <w:t>2</w:t>
      </w:r>
      <w:r>
        <w:rPr>
          <w:rFonts w:hint="eastAsia" w:ascii="Arial" w:hAnsi="Arial" w:cs="Arial"/>
          <w:color w:val="auto"/>
          <w:highlight w:val="none"/>
        </w:rPr>
        <w:t>、</w:t>
      </w:r>
      <w:r>
        <w:rPr>
          <w:rFonts w:ascii="宋体" w:hAnsi="宋体" w:cs="Arial"/>
          <w:color w:val="auto"/>
          <w:highlight w:val="none"/>
        </w:rPr>
        <w:t>不可抗力事件发生后，应立即通知对方，并寄送有关权威机构出具的证明。</w:t>
      </w:r>
    </w:p>
    <w:p w14:paraId="35DDB04C">
      <w:pPr>
        <w:snapToGrid w:val="0"/>
        <w:spacing w:line="360" w:lineRule="exact"/>
        <w:ind w:firstLine="420" w:firstLineChars="200"/>
        <w:rPr>
          <w:rFonts w:ascii="宋体" w:hAnsi="宋体" w:cs="Arial"/>
          <w:color w:val="auto"/>
          <w:highlight w:val="none"/>
        </w:rPr>
      </w:pPr>
      <w:r>
        <w:rPr>
          <w:rFonts w:ascii="Arial" w:hAnsi="Arial" w:cs="Arial"/>
          <w:color w:val="auto"/>
          <w:highlight w:val="none"/>
        </w:rPr>
        <w:t>3</w:t>
      </w:r>
      <w:r>
        <w:rPr>
          <w:rFonts w:hint="eastAsia" w:ascii="Arial" w:hAnsi="Arial" w:cs="Arial"/>
          <w:color w:val="auto"/>
          <w:highlight w:val="none"/>
        </w:rPr>
        <w:t>、</w:t>
      </w:r>
      <w:r>
        <w:rPr>
          <w:rFonts w:ascii="宋体" w:hAnsi="宋体" w:cs="Arial"/>
          <w:color w:val="auto"/>
          <w:highlight w:val="none"/>
        </w:rPr>
        <w:t>不可抗力事件延续一百二十天以上，双方应通过友好协商，确定是否继续履行合同。</w:t>
      </w:r>
    </w:p>
    <w:p w14:paraId="0E8429B2">
      <w:pPr>
        <w:snapToGrid w:val="0"/>
        <w:spacing w:line="360" w:lineRule="exact"/>
        <w:ind w:firstLine="422" w:firstLineChars="200"/>
        <w:rPr>
          <w:rFonts w:ascii="Arial" w:hAnsi="Arial" w:cs="Arial"/>
          <w:color w:val="auto"/>
          <w:highlight w:val="none"/>
        </w:rPr>
      </w:pPr>
      <w:r>
        <w:rPr>
          <w:rFonts w:ascii="宋体" w:hAnsi="宋体" w:cs="Arial"/>
          <w:b/>
          <w:color w:val="auto"/>
          <w:highlight w:val="none"/>
        </w:rPr>
        <w:t>第</w:t>
      </w:r>
      <w:r>
        <w:rPr>
          <w:rFonts w:hint="eastAsia" w:ascii="宋体" w:hAnsi="宋体" w:cs="Arial"/>
          <w:b/>
          <w:color w:val="auto"/>
          <w:highlight w:val="none"/>
        </w:rPr>
        <w:t>九</w:t>
      </w:r>
      <w:r>
        <w:rPr>
          <w:rFonts w:ascii="宋体" w:hAnsi="宋体" w:cs="Arial"/>
          <w:b/>
          <w:color w:val="auto"/>
          <w:highlight w:val="none"/>
        </w:rPr>
        <w:t>条</w:t>
      </w:r>
      <w:r>
        <w:rPr>
          <w:rFonts w:ascii="Arial" w:hAnsi="Arial" w:cs="Arial"/>
          <w:b/>
          <w:color w:val="auto"/>
          <w:highlight w:val="none"/>
        </w:rPr>
        <w:t xml:space="preserve">  合同争议解决</w:t>
      </w:r>
    </w:p>
    <w:p w14:paraId="325F86EB">
      <w:pPr>
        <w:snapToGrid w:val="0"/>
        <w:spacing w:line="360" w:lineRule="exact"/>
        <w:ind w:firstLine="420" w:firstLineChars="200"/>
        <w:rPr>
          <w:rFonts w:ascii="Arial" w:hAnsi="Arial" w:cs="Arial"/>
          <w:color w:val="auto"/>
          <w:highlight w:val="none"/>
        </w:rPr>
      </w:pPr>
      <w:r>
        <w:rPr>
          <w:rFonts w:ascii="Arial" w:hAnsi="Arial" w:cs="Arial"/>
          <w:color w:val="auto"/>
          <w:highlight w:val="none"/>
        </w:rPr>
        <w:t>1</w:t>
      </w:r>
      <w:r>
        <w:rPr>
          <w:rFonts w:hint="eastAsia" w:ascii="Arial" w:hAnsi="Arial" w:cs="Arial"/>
          <w:color w:val="auto"/>
          <w:highlight w:val="none"/>
        </w:rPr>
        <w:t>、</w:t>
      </w:r>
      <w:r>
        <w:rPr>
          <w:rFonts w:ascii="宋体" w:hAnsi="宋体" w:cs="Arial"/>
          <w:color w:val="auto"/>
          <w:highlight w:val="none"/>
        </w:rPr>
        <w:t>因履行本合同引起的或与本合同有关的争议，甲乙双方应首先通过友好协商解决，如果协商不能解决，可向甲方所在地人民法院提起诉讼。</w:t>
      </w:r>
    </w:p>
    <w:p w14:paraId="6E149682">
      <w:pPr>
        <w:snapToGrid w:val="0"/>
        <w:spacing w:line="360" w:lineRule="exact"/>
        <w:ind w:firstLine="420" w:firstLineChars="200"/>
        <w:rPr>
          <w:rFonts w:ascii="宋体" w:hAnsi="宋体" w:cs="Arial"/>
          <w:color w:val="auto"/>
          <w:highlight w:val="none"/>
        </w:rPr>
      </w:pPr>
      <w:r>
        <w:rPr>
          <w:rFonts w:ascii="Arial" w:hAnsi="Arial" w:cs="Arial"/>
          <w:color w:val="auto"/>
          <w:highlight w:val="none"/>
        </w:rPr>
        <w:t>2</w:t>
      </w:r>
      <w:r>
        <w:rPr>
          <w:rFonts w:hint="eastAsia" w:ascii="Arial" w:hAnsi="Arial" w:cs="Arial"/>
          <w:color w:val="auto"/>
          <w:highlight w:val="none"/>
        </w:rPr>
        <w:t>、</w:t>
      </w:r>
      <w:r>
        <w:rPr>
          <w:rFonts w:ascii="宋体" w:hAnsi="宋体" w:cs="Arial"/>
          <w:color w:val="auto"/>
          <w:highlight w:val="none"/>
        </w:rPr>
        <w:t>诉讼期间，本合同继续履行。</w:t>
      </w:r>
    </w:p>
    <w:p w14:paraId="366D0847">
      <w:pPr>
        <w:snapToGrid w:val="0"/>
        <w:spacing w:before="120" w:after="120" w:line="360" w:lineRule="exact"/>
        <w:ind w:firstLine="422" w:firstLineChars="200"/>
        <w:rPr>
          <w:rFonts w:ascii="Arial" w:hAnsi="Arial" w:cs="Arial"/>
          <w:b/>
          <w:color w:val="auto"/>
          <w:highlight w:val="none"/>
        </w:rPr>
      </w:pPr>
      <w:r>
        <w:rPr>
          <w:rFonts w:ascii="宋体" w:hAnsi="宋体" w:cs="Arial"/>
          <w:b/>
          <w:color w:val="auto"/>
          <w:highlight w:val="none"/>
        </w:rPr>
        <w:t>第十条</w:t>
      </w:r>
      <w:r>
        <w:rPr>
          <w:rFonts w:ascii="Arial" w:hAnsi="Arial" w:cs="Arial"/>
          <w:b/>
          <w:color w:val="auto"/>
          <w:highlight w:val="none"/>
        </w:rPr>
        <w:t xml:space="preserve"> 合同生效及其它</w:t>
      </w:r>
    </w:p>
    <w:p w14:paraId="49E1DBBA">
      <w:pPr>
        <w:snapToGrid w:val="0"/>
        <w:spacing w:line="360" w:lineRule="exact"/>
        <w:ind w:firstLine="420" w:firstLineChars="200"/>
        <w:rPr>
          <w:rFonts w:ascii="Arial" w:hAnsi="Arial" w:cs="Arial"/>
          <w:color w:val="auto"/>
          <w:highlight w:val="none"/>
        </w:rPr>
      </w:pPr>
      <w:r>
        <w:rPr>
          <w:rFonts w:ascii="Arial" w:hAnsi="Arial" w:cs="Arial"/>
          <w:color w:val="auto"/>
          <w:highlight w:val="none"/>
        </w:rPr>
        <w:t>1</w:t>
      </w:r>
      <w:r>
        <w:rPr>
          <w:rFonts w:hint="eastAsia" w:ascii="宋体" w:hAnsi="宋体" w:cs="Arial"/>
          <w:color w:val="auto"/>
          <w:highlight w:val="none"/>
        </w:rPr>
        <w:t>、</w:t>
      </w:r>
      <w:r>
        <w:rPr>
          <w:rFonts w:ascii="宋体" w:hAnsi="宋体" w:cs="Arial"/>
          <w:color w:val="auto"/>
          <w:highlight w:val="none"/>
        </w:rPr>
        <w:t>合同履行地点为：</w:t>
      </w:r>
      <w:r>
        <w:rPr>
          <w:rFonts w:ascii="宋体" w:hAnsi="宋体" w:cs="Arial"/>
          <w:color w:val="auto"/>
          <w:highlight w:val="none"/>
          <w:u w:val="single"/>
        </w:rPr>
        <w:t>甲方指定地点</w:t>
      </w:r>
      <w:r>
        <w:rPr>
          <w:rFonts w:ascii="Arial" w:hAnsi="Arial" w:cs="Arial"/>
          <w:color w:val="auto"/>
          <w:highlight w:val="none"/>
          <w:u w:val="single"/>
        </w:rPr>
        <w:t xml:space="preserve"> </w:t>
      </w:r>
      <w:r>
        <w:rPr>
          <w:rFonts w:ascii="宋体" w:hAnsi="宋体" w:cs="Arial"/>
          <w:color w:val="auto"/>
          <w:highlight w:val="none"/>
        </w:rPr>
        <w:t>；合同履行的方式：</w:t>
      </w:r>
      <w:r>
        <w:rPr>
          <w:rFonts w:ascii="Arial" w:hAnsi="Arial" w:cs="Arial"/>
          <w:color w:val="auto"/>
          <w:highlight w:val="none"/>
          <w:u w:val="single"/>
        </w:rPr>
        <w:t xml:space="preserve"> </w:t>
      </w:r>
      <w:r>
        <w:rPr>
          <w:rFonts w:ascii="宋体" w:hAnsi="宋体" w:cs="Arial"/>
          <w:color w:val="auto"/>
          <w:highlight w:val="none"/>
          <w:u w:val="single"/>
        </w:rPr>
        <w:t>按照本合同约定</w:t>
      </w:r>
      <w:r>
        <w:rPr>
          <w:rFonts w:ascii="Arial" w:hAnsi="Arial" w:cs="Arial"/>
          <w:color w:val="auto"/>
          <w:highlight w:val="none"/>
          <w:u w:val="single"/>
        </w:rPr>
        <w:t xml:space="preserve">  </w:t>
      </w:r>
      <w:r>
        <w:rPr>
          <w:rFonts w:ascii="宋体" w:hAnsi="宋体" w:cs="Arial"/>
          <w:color w:val="auto"/>
          <w:highlight w:val="none"/>
        </w:rPr>
        <w:t>。</w:t>
      </w:r>
    </w:p>
    <w:p w14:paraId="1388DB99">
      <w:pPr>
        <w:snapToGrid w:val="0"/>
        <w:spacing w:line="360" w:lineRule="exact"/>
        <w:ind w:firstLine="420" w:firstLineChars="200"/>
        <w:rPr>
          <w:rFonts w:ascii="Arial" w:hAnsi="Arial" w:cs="Arial"/>
          <w:color w:val="auto"/>
          <w:highlight w:val="none"/>
        </w:rPr>
      </w:pPr>
      <w:r>
        <w:rPr>
          <w:rFonts w:ascii="Arial" w:hAnsi="Arial" w:cs="Arial"/>
          <w:color w:val="auto"/>
          <w:highlight w:val="none"/>
        </w:rPr>
        <w:t>2</w:t>
      </w:r>
      <w:r>
        <w:rPr>
          <w:rFonts w:hint="eastAsia" w:ascii="宋体" w:hAnsi="宋体" w:cs="Arial"/>
          <w:color w:val="auto"/>
          <w:highlight w:val="none"/>
        </w:rPr>
        <w:t>、</w:t>
      </w:r>
      <w:r>
        <w:rPr>
          <w:rFonts w:ascii="宋体" w:hAnsi="宋体" w:cs="Arial"/>
          <w:color w:val="auto"/>
          <w:highlight w:val="none"/>
        </w:rPr>
        <w:t>合同经双方法定代表人或授权代表签字并加盖单位公章后生效。</w:t>
      </w:r>
    </w:p>
    <w:p w14:paraId="427295F3">
      <w:pPr>
        <w:snapToGrid w:val="0"/>
        <w:spacing w:line="360" w:lineRule="exact"/>
        <w:ind w:firstLine="420" w:firstLineChars="200"/>
        <w:rPr>
          <w:rFonts w:ascii="宋体" w:hAnsi="宋体" w:cs="Arial"/>
          <w:color w:val="auto"/>
          <w:highlight w:val="none"/>
        </w:rPr>
      </w:pPr>
      <w:r>
        <w:rPr>
          <w:rFonts w:ascii="Arial" w:hAnsi="Arial" w:cs="Arial"/>
          <w:color w:val="auto"/>
          <w:highlight w:val="none"/>
        </w:rPr>
        <w:t>3</w:t>
      </w:r>
      <w:bookmarkStart w:id="69" w:name="_Hlk113287290"/>
      <w:r>
        <w:rPr>
          <w:rFonts w:hint="eastAsia" w:ascii="宋体" w:hAnsi="宋体" w:cs="Arial"/>
          <w:color w:val="auto"/>
          <w:highlight w:val="none"/>
        </w:rPr>
        <w:t>、</w:t>
      </w:r>
      <w:r>
        <w:rPr>
          <w:rFonts w:ascii="宋体" w:hAnsi="宋体" w:cs="Arial"/>
          <w:color w:val="auto"/>
          <w:highlight w:val="none"/>
        </w:rPr>
        <w:t>本合同未尽事宜，遵照《</w:t>
      </w:r>
      <w:r>
        <w:rPr>
          <w:rFonts w:hint="eastAsia" w:ascii="宋体" w:hAnsi="宋体" w:cs="Arial"/>
          <w:color w:val="auto"/>
          <w:highlight w:val="none"/>
        </w:rPr>
        <w:t>中华人民共和国</w:t>
      </w:r>
      <w:r>
        <w:rPr>
          <w:rFonts w:ascii="宋体" w:hAnsi="宋体" w:cs="Arial"/>
          <w:color w:val="auto"/>
          <w:highlight w:val="none"/>
        </w:rPr>
        <w:t>民法典》有关条文执行。</w:t>
      </w:r>
      <w:bookmarkEnd w:id="69"/>
    </w:p>
    <w:p w14:paraId="17928E97">
      <w:pPr>
        <w:snapToGrid w:val="0"/>
        <w:spacing w:line="360" w:lineRule="exact"/>
        <w:ind w:firstLine="422" w:firstLineChars="200"/>
        <w:rPr>
          <w:rFonts w:ascii="Arial" w:hAnsi="Arial" w:cs="Arial"/>
          <w:color w:val="auto"/>
          <w:highlight w:val="none"/>
        </w:rPr>
      </w:pPr>
      <w:r>
        <w:rPr>
          <w:rFonts w:ascii="宋体" w:hAnsi="宋体" w:cs="Arial"/>
          <w:b/>
          <w:color w:val="auto"/>
          <w:highlight w:val="none"/>
        </w:rPr>
        <w:t>第十</w:t>
      </w:r>
      <w:r>
        <w:rPr>
          <w:rFonts w:hint="eastAsia" w:ascii="宋体" w:hAnsi="宋体" w:cs="Arial"/>
          <w:b/>
          <w:color w:val="auto"/>
          <w:highlight w:val="none"/>
        </w:rPr>
        <w:t>一</w:t>
      </w:r>
      <w:r>
        <w:rPr>
          <w:rFonts w:ascii="宋体" w:hAnsi="宋体" w:cs="Arial"/>
          <w:b/>
          <w:color w:val="auto"/>
          <w:highlight w:val="none"/>
        </w:rPr>
        <w:t>条 合同的</w:t>
      </w:r>
      <w:r>
        <w:rPr>
          <w:rFonts w:hint="eastAsia" w:ascii="宋体" w:hAnsi="宋体" w:cs="Arial"/>
          <w:b/>
          <w:color w:val="auto"/>
          <w:highlight w:val="none"/>
        </w:rPr>
        <w:t>廉洁条款</w:t>
      </w:r>
    </w:p>
    <w:p w14:paraId="46A34B36">
      <w:pPr>
        <w:snapToGrid w:val="0"/>
        <w:spacing w:line="360" w:lineRule="exact"/>
        <w:ind w:firstLine="420"/>
        <w:rPr>
          <w:rFonts w:ascii="Arial" w:hAnsi="Arial" w:cs="Arial"/>
          <w:color w:val="auto"/>
          <w:highlight w:val="none"/>
        </w:rPr>
      </w:pPr>
      <w:r>
        <w:rPr>
          <w:rFonts w:hint="eastAsia" w:ascii="Arial" w:hAnsi="Arial" w:cs="Arial"/>
          <w:color w:val="auto"/>
          <w:highlight w:val="none"/>
        </w:rPr>
        <w:t>1、</w:t>
      </w:r>
      <w:r>
        <w:rPr>
          <w:rFonts w:ascii="宋体" w:hAnsi="宋体" w:cs="Arial"/>
          <w:color w:val="auto"/>
          <w:highlight w:val="none"/>
        </w:rPr>
        <w:t>甲方购进</w:t>
      </w:r>
      <w:r>
        <w:rPr>
          <w:rFonts w:hint="eastAsia" w:ascii="宋体" w:hAnsi="宋体" w:cs="Arial"/>
          <w:color w:val="auto"/>
          <w:highlight w:val="none"/>
        </w:rPr>
        <w:t>设备、器械等</w:t>
      </w:r>
      <w:r>
        <w:rPr>
          <w:rFonts w:ascii="宋体" w:hAnsi="宋体" w:cs="Arial"/>
          <w:color w:val="auto"/>
          <w:highlight w:val="none"/>
        </w:rPr>
        <w:t>，不得以任何方式向乙方索取回扣，不得要求乙方代支任何费用开支。</w:t>
      </w:r>
    </w:p>
    <w:p w14:paraId="59281DFD">
      <w:pPr>
        <w:snapToGrid w:val="0"/>
        <w:spacing w:line="360" w:lineRule="exact"/>
        <w:ind w:firstLine="420"/>
        <w:rPr>
          <w:rFonts w:ascii="Arial" w:hAnsi="Arial" w:cs="Arial"/>
          <w:color w:val="auto"/>
          <w:highlight w:val="none"/>
        </w:rPr>
      </w:pPr>
      <w:r>
        <w:rPr>
          <w:rFonts w:ascii="Arial" w:hAnsi="Arial" w:cs="Arial"/>
          <w:color w:val="auto"/>
          <w:highlight w:val="none"/>
        </w:rPr>
        <w:t>2</w:t>
      </w:r>
      <w:r>
        <w:rPr>
          <w:rFonts w:hint="eastAsia" w:ascii="Arial" w:hAnsi="Arial" w:cs="Arial"/>
          <w:color w:val="auto"/>
          <w:highlight w:val="none"/>
        </w:rPr>
        <w:t>、</w:t>
      </w:r>
      <w:r>
        <w:rPr>
          <w:rFonts w:ascii="宋体" w:hAnsi="宋体" w:cs="Arial"/>
          <w:color w:val="auto"/>
          <w:highlight w:val="none"/>
        </w:rPr>
        <w:t>甲方工作人员不得以暗示或任何形式索要回扣、提成、有价证券、现金、信用卡、购物卡等，乙方应予拒绝，并有责任如实向甲方纪检监察部门反映情况。</w:t>
      </w:r>
    </w:p>
    <w:p w14:paraId="467C12B2">
      <w:pPr>
        <w:snapToGrid w:val="0"/>
        <w:spacing w:line="360" w:lineRule="exact"/>
        <w:ind w:firstLine="420"/>
        <w:rPr>
          <w:rFonts w:ascii="Arial" w:hAnsi="Arial" w:cs="Arial"/>
          <w:color w:val="auto"/>
          <w:highlight w:val="none"/>
        </w:rPr>
      </w:pPr>
      <w:r>
        <w:rPr>
          <w:rFonts w:ascii="Arial" w:hAnsi="Arial" w:cs="Arial"/>
          <w:color w:val="auto"/>
          <w:highlight w:val="none"/>
        </w:rPr>
        <w:t>3</w:t>
      </w:r>
      <w:r>
        <w:rPr>
          <w:rFonts w:hint="eastAsia" w:ascii="Arial" w:hAnsi="Arial" w:cs="Arial"/>
          <w:color w:val="auto"/>
          <w:highlight w:val="none"/>
        </w:rPr>
        <w:t>、</w:t>
      </w:r>
      <w:r>
        <w:rPr>
          <w:rFonts w:ascii="宋体" w:hAnsi="宋体" w:cs="Arial"/>
          <w:color w:val="auto"/>
          <w:highlight w:val="none"/>
        </w:rPr>
        <w:t>乙方不得暗中给予甲方回扣，不得以提成和赠送有价证券、现金、信誉卡、购物卡、宴请、娱乐及提供国内或境外学术活动等手段影响甲方购进</w:t>
      </w:r>
      <w:r>
        <w:rPr>
          <w:rFonts w:hint="eastAsia" w:ascii="宋体" w:hAnsi="宋体" w:cs="Arial"/>
          <w:color w:val="auto"/>
          <w:highlight w:val="none"/>
        </w:rPr>
        <w:t>设备、器械等</w:t>
      </w:r>
      <w:r>
        <w:rPr>
          <w:rFonts w:ascii="宋体" w:hAnsi="宋体" w:cs="Arial"/>
          <w:color w:val="auto"/>
          <w:highlight w:val="none"/>
        </w:rPr>
        <w:t>。</w:t>
      </w:r>
    </w:p>
    <w:p w14:paraId="5684F12E">
      <w:pPr>
        <w:snapToGrid w:val="0"/>
        <w:spacing w:line="360" w:lineRule="exact"/>
        <w:ind w:firstLine="420"/>
        <w:rPr>
          <w:rFonts w:ascii="Arial" w:hAnsi="Arial" w:cs="Arial"/>
          <w:color w:val="auto"/>
          <w:highlight w:val="none"/>
        </w:rPr>
      </w:pPr>
      <w:r>
        <w:rPr>
          <w:rFonts w:hint="eastAsia" w:ascii="Arial" w:hAnsi="Arial" w:cs="Arial"/>
          <w:color w:val="auto"/>
          <w:highlight w:val="none"/>
        </w:rPr>
        <w:t>4、</w:t>
      </w:r>
      <w:r>
        <w:rPr>
          <w:rFonts w:ascii="宋体" w:hAnsi="宋体" w:cs="Arial"/>
          <w:color w:val="auto"/>
          <w:highlight w:val="none"/>
        </w:rPr>
        <w:t>乙方洽谈业务，必须在工作时间到甲方指定科室或者办公室联系商洽，不得借故到甲方主管领导、部门负责人及相关工作人员家中访谈或向介绍人提供任何好处费。</w:t>
      </w:r>
    </w:p>
    <w:p w14:paraId="6305CF86">
      <w:pPr>
        <w:snapToGrid w:val="0"/>
        <w:spacing w:line="360" w:lineRule="exact"/>
        <w:ind w:firstLine="420"/>
        <w:rPr>
          <w:rFonts w:ascii="Arial" w:hAnsi="Arial" w:cs="Arial"/>
          <w:color w:val="auto"/>
          <w:highlight w:val="none"/>
        </w:rPr>
      </w:pPr>
      <w:r>
        <w:rPr>
          <w:rFonts w:ascii="宋体" w:hAnsi="宋体" w:cs="Arial"/>
          <w:color w:val="auto"/>
          <w:highlight w:val="none"/>
        </w:rPr>
        <w:t>乙方如违反以上条款，经核实后，甲方有权终止购销合同，并将乙方列入</w:t>
      </w:r>
      <w:r>
        <w:rPr>
          <w:rFonts w:ascii="Arial" w:hAnsi="Arial" w:cs="Arial"/>
          <w:color w:val="auto"/>
          <w:highlight w:val="none"/>
        </w:rPr>
        <w:t>“</w:t>
      </w:r>
      <w:r>
        <w:rPr>
          <w:rFonts w:ascii="宋体" w:hAnsi="宋体" w:cs="Arial"/>
          <w:color w:val="auto"/>
          <w:highlight w:val="none"/>
        </w:rPr>
        <w:t>非诚信交易黑名单</w:t>
      </w:r>
      <w:r>
        <w:rPr>
          <w:rFonts w:ascii="Arial" w:hAnsi="Arial" w:cs="Arial"/>
          <w:color w:val="auto"/>
          <w:highlight w:val="none"/>
        </w:rPr>
        <w:t>”</w:t>
      </w:r>
      <w:r>
        <w:rPr>
          <w:rFonts w:ascii="宋体" w:hAnsi="宋体" w:cs="Arial"/>
          <w:color w:val="auto"/>
          <w:highlight w:val="none"/>
        </w:rPr>
        <w:t>，在单位内进行通报。情节严重的，涉嫌违法的，由执法部门予以处理。</w:t>
      </w:r>
    </w:p>
    <w:p w14:paraId="6D08F6B2">
      <w:pPr>
        <w:snapToGrid w:val="0"/>
        <w:spacing w:line="360" w:lineRule="exact"/>
        <w:ind w:firstLine="420"/>
        <w:rPr>
          <w:rFonts w:ascii="宋体" w:hAnsi="宋体" w:cs="Arial"/>
          <w:color w:val="auto"/>
          <w:highlight w:val="none"/>
        </w:rPr>
      </w:pPr>
      <w:r>
        <w:rPr>
          <w:rFonts w:ascii="宋体" w:hAnsi="宋体" w:cs="Arial"/>
          <w:color w:val="auto"/>
          <w:highlight w:val="none"/>
        </w:rPr>
        <w:t>甲方工作人员如违反以上条款的，甲方将按国家有关法律、法规规定和有关廉政制度规定给予处理，涉嫌违法的，由执法部门予以处理。</w:t>
      </w:r>
    </w:p>
    <w:p w14:paraId="4E1ED984">
      <w:pPr>
        <w:snapToGrid w:val="0"/>
        <w:spacing w:line="360" w:lineRule="exact"/>
        <w:ind w:firstLine="422" w:firstLineChars="200"/>
        <w:rPr>
          <w:rFonts w:ascii="Arial" w:hAnsi="Arial" w:cs="Arial"/>
          <w:b/>
          <w:color w:val="auto"/>
          <w:highlight w:val="none"/>
        </w:rPr>
      </w:pPr>
      <w:r>
        <w:rPr>
          <w:rFonts w:ascii="宋体" w:hAnsi="宋体" w:cs="Arial"/>
          <w:b/>
          <w:color w:val="auto"/>
          <w:highlight w:val="none"/>
        </w:rPr>
        <w:t>第十</w:t>
      </w:r>
      <w:r>
        <w:rPr>
          <w:rFonts w:hint="eastAsia" w:ascii="宋体" w:hAnsi="宋体" w:cs="Arial"/>
          <w:b/>
          <w:color w:val="auto"/>
          <w:highlight w:val="none"/>
        </w:rPr>
        <w:t>二</w:t>
      </w:r>
      <w:r>
        <w:rPr>
          <w:rFonts w:ascii="宋体" w:hAnsi="宋体" w:cs="Arial"/>
          <w:b/>
          <w:color w:val="auto"/>
          <w:highlight w:val="none"/>
        </w:rPr>
        <w:t>条 合同的变更、终止</w:t>
      </w:r>
    </w:p>
    <w:p w14:paraId="3A81A8F0">
      <w:pPr>
        <w:snapToGrid w:val="0"/>
        <w:spacing w:line="360" w:lineRule="exact"/>
        <w:ind w:firstLine="420"/>
        <w:rPr>
          <w:rFonts w:ascii="宋体" w:hAnsi="宋体" w:cs="Arial"/>
          <w:color w:val="auto"/>
          <w:highlight w:val="none"/>
        </w:rPr>
      </w:pPr>
      <w:r>
        <w:rPr>
          <w:rFonts w:hint="eastAsia" w:ascii="宋体" w:hAnsi="宋体" w:cs="Arial"/>
          <w:color w:val="auto"/>
          <w:highlight w:val="none"/>
        </w:rPr>
        <w:t>（一）发生以下情形之一，双方有权终止本协议：</w:t>
      </w:r>
    </w:p>
    <w:p w14:paraId="5CDEE6EA">
      <w:pPr>
        <w:snapToGrid w:val="0"/>
        <w:spacing w:line="360" w:lineRule="exact"/>
        <w:ind w:firstLine="420"/>
        <w:rPr>
          <w:rFonts w:ascii="宋体" w:hAnsi="宋体" w:cs="Arial"/>
          <w:color w:val="auto"/>
          <w:highlight w:val="none"/>
        </w:rPr>
      </w:pPr>
      <w:r>
        <w:rPr>
          <w:rFonts w:hint="eastAsia" w:ascii="宋体" w:hAnsi="宋体" w:cs="Arial"/>
          <w:color w:val="auto"/>
          <w:highlight w:val="none"/>
        </w:rPr>
        <w:t>1、甲乙双方违反</w:t>
      </w:r>
      <w:r>
        <w:rPr>
          <w:rFonts w:ascii="宋体" w:hAnsi="宋体" w:cs="Arial"/>
          <w:color w:val="auto"/>
          <w:highlight w:val="none"/>
        </w:rPr>
        <w:t>《中华人民共和国政府采购法》第五十条规定的情形</w:t>
      </w:r>
      <w:r>
        <w:rPr>
          <w:rFonts w:hint="eastAsia" w:ascii="宋体" w:hAnsi="宋体" w:cs="Arial"/>
          <w:color w:val="auto"/>
          <w:highlight w:val="none"/>
        </w:rPr>
        <w:t>；</w:t>
      </w:r>
    </w:p>
    <w:p w14:paraId="68A73B83">
      <w:pPr>
        <w:snapToGrid w:val="0"/>
        <w:spacing w:line="360" w:lineRule="exact"/>
        <w:ind w:firstLine="420"/>
        <w:rPr>
          <w:rFonts w:ascii="宋体" w:hAnsi="宋体" w:cs="Arial"/>
          <w:color w:val="auto"/>
          <w:highlight w:val="none"/>
        </w:rPr>
      </w:pPr>
      <w:r>
        <w:rPr>
          <w:rFonts w:hint="eastAsia" w:ascii="宋体" w:hAnsi="宋体" w:cs="Arial"/>
          <w:color w:val="auto"/>
          <w:highlight w:val="none"/>
        </w:rPr>
        <w:t>2、违反本协议廉洁条款约定。</w:t>
      </w:r>
    </w:p>
    <w:p w14:paraId="51A71F14">
      <w:pPr>
        <w:snapToGrid w:val="0"/>
        <w:spacing w:line="360" w:lineRule="exact"/>
        <w:ind w:firstLine="420"/>
        <w:rPr>
          <w:rFonts w:ascii="宋体" w:hAnsi="宋体" w:cs="Arial"/>
          <w:color w:val="auto"/>
          <w:highlight w:val="none"/>
        </w:rPr>
      </w:pPr>
      <w:r>
        <w:rPr>
          <w:rFonts w:hint="eastAsia" w:ascii="宋体" w:hAnsi="宋体" w:cs="Arial"/>
          <w:color w:val="auto"/>
          <w:highlight w:val="none"/>
        </w:rPr>
        <w:t>3、乙方因国家政策或其他原因不能提供相应的服务。</w:t>
      </w:r>
    </w:p>
    <w:p w14:paraId="011733E7">
      <w:pPr>
        <w:snapToGrid w:val="0"/>
        <w:spacing w:line="360" w:lineRule="exact"/>
        <w:ind w:firstLine="420"/>
        <w:rPr>
          <w:rFonts w:ascii="宋体" w:hAnsi="宋体" w:cs="Arial"/>
          <w:color w:val="auto"/>
          <w:highlight w:val="none"/>
        </w:rPr>
      </w:pPr>
      <w:r>
        <w:rPr>
          <w:rFonts w:hint="eastAsia" w:ascii="宋体" w:hAnsi="宋体" w:cs="Arial"/>
          <w:color w:val="auto"/>
          <w:highlight w:val="none"/>
        </w:rPr>
        <w:t>因上述原因造成协议终止的，守约方有权要求违约方按合同总额的1‰支付违约金，并赔偿一切损失，包括但不限于经济损失及因维权支出的合理的诉讼费（仲裁费）、律师费、保全费、担保费、鉴定费、差旅费、调查取证费等费用。</w:t>
      </w:r>
    </w:p>
    <w:p w14:paraId="0AD85022">
      <w:pPr>
        <w:snapToGrid w:val="0"/>
        <w:spacing w:line="360" w:lineRule="exact"/>
        <w:ind w:firstLine="420"/>
        <w:rPr>
          <w:rFonts w:ascii="宋体" w:hAnsi="宋体" w:cs="Arial"/>
          <w:color w:val="auto"/>
          <w:highlight w:val="none"/>
          <w:shd w:val="clear" w:fill="000000"/>
        </w:rPr>
      </w:pPr>
      <w:r>
        <w:rPr>
          <w:rFonts w:hint="eastAsia" w:ascii="宋体" w:hAnsi="宋体" w:cs="Arial"/>
          <w:color w:val="auto"/>
          <w:highlight w:val="none"/>
        </w:rPr>
        <w:t>（二）乙方不得擅自转让其应履行的合同义务</w:t>
      </w:r>
      <w:r>
        <w:rPr>
          <w:rFonts w:hint="eastAsia" w:ascii="宋体" w:hAnsi="宋体" w:cs="Arial"/>
          <w:color w:val="auto"/>
          <w:highlight w:val="none"/>
          <w:lang w:eastAsia="zh-CN"/>
        </w:rPr>
        <w:t>。</w:t>
      </w:r>
      <w:r>
        <w:rPr>
          <w:rFonts w:hint="eastAsia" w:ascii="宋体" w:hAnsi="宋体" w:cs="Arial"/>
          <w:color w:val="auto"/>
          <w:highlight w:val="none"/>
          <w:shd w:val="clear"/>
          <w:lang w:val="en-US" w:eastAsia="zh-CN"/>
        </w:rPr>
        <w:t>如违反条款，甲方有权解除合同，乙方应按照合同服务总价款的10%支付违约金，给甲方造成损失的，乙方还应当赔偿损失</w:t>
      </w:r>
      <w:r>
        <w:rPr>
          <w:rFonts w:hint="eastAsia" w:ascii="宋体" w:hAnsi="宋体" w:cs="Arial"/>
          <w:color w:val="auto"/>
          <w:highlight w:val="none"/>
          <w:shd w:val="clear"/>
        </w:rPr>
        <w:t>。</w:t>
      </w:r>
    </w:p>
    <w:p w14:paraId="2649C2D0">
      <w:pPr>
        <w:snapToGrid w:val="0"/>
        <w:spacing w:line="360" w:lineRule="exact"/>
        <w:ind w:firstLine="420"/>
        <w:rPr>
          <w:rFonts w:ascii="宋体" w:hAnsi="宋体" w:cs="Arial"/>
          <w:color w:val="auto"/>
          <w:highlight w:val="none"/>
        </w:rPr>
      </w:pPr>
      <w:r>
        <w:rPr>
          <w:rFonts w:hint="eastAsia" w:ascii="宋体" w:hAnsi="宋体" w:cs="Arial"/>
          <w:color w:val="auto"/>
          <w:highlight w:val="none"/>
        </w:rPr>
        <w:t>（三）本合同未尽事宜，遵照《中华人民共和国民法典》有关条文执行。</w:t>
      </w:r>
    </w:p>
    <w:p w14:paraId="2F7E15EA">
      <w:pPr>
        <w:snapToGrid w:val="0"/>
        <w:spacing w:line="360" w:lineRule="exact"/>
        <w:ind w:firstLine="422" w:firstLineChars="200"/>
        <w:rPr>
          <w:rFonts w:ascii="Arial" w:hAnsi="Arial" w:cs="Arial"/>
          <w:b/>
          <w:color w:val="auto"/>
          <w:highlight w:val="none"/>
        </w:rPr>
      </w:pPr>
      <w:r>
        <w:rPr>
          <w:rFonts w:ascii="宋体" w:hAnsi="宋体" w:cs="Arial"/>
          <w:b/>
          <w:color w:val="auto"/>
          <w:highlight w:val="none"/>
        </w:rPr>
        <w:t>第十</w:t>
      </w:r>
      <w:r>
        <w:rPr>
          <w:rFonts w:hint="eastAsia" w:ascii="宋体" w:hAnsi="宋体" w:cs="Arial"/>
          <w:b/>
          <w:color w:val="auto"/>
          <w:highlight w:val="none"/>
        </w:rPr>
        <w:t>三</w:t>
      </w:r>
      <w:r>
        <w:rPr>
          <w:rFonts w:ascii="宋体" w:hAnsi="宋体" w:cs="Arial"/>
          <w:b/>
          <w:color w:val="auto"/>
          <w:highlight w:val="none"/>
        </w:rPr>
        <w:t>条 签订本合同依据</w:t>
      </w:r>
    </w:p>
    <w:p w14:paraId="5551D558">
      <w:pPr>
        <w:snapToGrid w:val="0"/>
        <w:spacing w:line="360" w:lineRule="exact"/>
        <w:ind w:firstLine="420" w:firstLineChars="200"/>
        <w:rPr>
          <w:rFonts w:ascii="Arial" w:hAnsi="Arial" w:cs="Arial"/>
          <w:color w:val="auto"/>
          <w:highlight w:val="none"/>
        </w:rPr>
      </w:pPr>
      <w:r>
        <w:rPr>
          <w:rFonts w:hint="eastAsia" w:ascii="Arial" w:hAnsi="Arial" w:cs="Arial"/>
          <w:color w:val="auto"/>
          <w:highlight w:val="none"/>
        </w:rPr>
        <w:t>1、</w:t>
      </w:r>
      <w:r>
        <w:rPr>
          <w:rFonts w:hint="eastAsia" w:ascii="Arial" w:hAnsi="Arial" w:cs="Arial"/>
          <w:color w:val="auto"/>
          <w:highlight w:val="none"/>
          <w:lang w:eastAsia="zh-CN"/>
        </w:rPr>
        <w:t>采购文件</w:t>
      </w:r>
      <w:r>
        <w:rPr>
          <w:rFonts w:hint="eastAsia" w:ascii="Arial" w:hAnsi="Arial" w:cs="Arial"/>
          <w:color w:val="auto"/>
          <w:highlight w:val="none"/>
        </w:rPr>
        <w:t>；</w:t>
      </w:r>
    </w:p>
    <w:p w14:paraId="0B7ACE98">
      <w:pPr>
        <w:snapToGrid w:val="0"/>
        <w:spacing w:line="360" w:lineRule="exact"/>
        <w:ind w:firstLine="420" w:firstLineChars="200"/>
        <w:rPr>
          <w:rFonts w:ascii="Arial" w:hAnsi="Arial" w:cs="Arial"/>
          <w:color w:val="auto"/>
          <w:highlight w:val="none"/>
        </w:rPr>
      </w:pPr>
      <w:r>
        <w:rPr>
          <w:rFonts w:hint="eastAsia" w:ascii="Arial" w:hAnsi="Arial" w:cs="Arial"/>
          <w:color w:val="auto"/>
          <w:highlight w:val="none"/>
        </w:rPr>
        <w:t>2、</w:t>
      </w:r>
      <w:r>
        <w:rPr>
          <w:rFonts w:hint="eastAsia" w:ascii="Arial" w:hAnsi="Arial" w:cs="Arial"/>
          <w:color w:val="auto"/>
          <w:highlight w:val="none"/>
          <w:lang w:eastAsia="zh-CN"/>
        </w:rPr>
        <w:t>报价响应</w:t>
      </w:r>
      <w:r>
        <w:rPr>
          <w:rFonts w:hint="eastAsia" w:ascii="Arial" w:hAnsi="Arial" w:cs="Arial"/>
          <w:color w:val="auto"/>
          <w:highlight w:val="none"/>
        </w:rPr>
        <w:t>文件；</w:t>
      </w:r>
    </w:p>
    <w:p w14:paraId="43913E3A">
      <w:pPr>
        <w:snapToGrid w:val="0"/>
        <w:spacing w:line="360" w:lineRule="exact"/>
        <w:ind w:firstLine="420" w:firstLineChars="200"/>
        <w:rPr>
          <w:rFonts w:ascii="Arial" w:hAnsi="Arial" w:cs="Arial"/>
          <w:color w:val="auto"/>
          <w:highlight w:val="none"/>
          <w:u w:val="single"/>
        </w:rPr>
      </w:pPr>
      <w:r>
        <w:rPr>
          <w:rFonts w:hint="eastAsia" w:ascii="Arial" w:hAnsi="Arial" w:cs="Arial"/>
          <w:color w:val="auto"/>
          <w:highlight w:val="none"/>
        </w:rPr>
        <w:t>3、成交通知书。</w:t>
      </w:r>
    </w:p>
    <w:p w14:paraId="2F88778C">
      <w:pPr>
        <w:snapToGrid w:val="0"/>
        <w:spacing w:line="360" w:lineRule="exact"/>
        <w:ind w:firstLine="422" w:firstLineChars="200"/>
        <w:rPr>
          <w:rFonts w:ascii="Arial" w:hAnsi="Arial" w:cs="Arial"/>
          <w:color w:val="auto"/>
          <w:highlight w:val="none"/>
        </w:rPr>
      </w:pPr>
      <w:r>
        <w:rPr>
          <w:rFonts w:ascii="宋体" w:hAnsi="宋体" w:cs="Arial"/>
          <w:b/>
          <w:color w:val="auto"/>
          <w:highlight w:val="none"/>
        </w:rPr>
        <w:t>第十</w:t>
      </w:r>
      <w:r>
        <w:rPr>
          <w:rFonts w:hint="eastAsia" w:ascii="宋体" w:hAnsi="宋体" w:cs="Arial"/>
          <w:b/>
          <w:color w:val="auto"/>
          <w:highlight w:val="none"/>
        </w:rPr>
        <w:t>四</w:t>
      </w:r>
      <w:r>
        <w:rPr>
          <w:rFonts w:ascii="宋体" w:hAnsi="宋体" w:cs="Arial"/>
          <w:b/>
          <w:color w:val="auto"/>
          <w:highlight w:val="none"/>
        </w:rPr>
        <w:t xml:space="preserve">条 </w:t>
      </w:r>
      <w:r>
        <w:rPr>
          <w:rFonts w:ascii="宋体" w:hAnsi="宋体" w:cs="Arial"/>
          <w:color w:val="auto"/>
          <w:highlight w:val="none"/>
        </w:rPr>
        <w:t>本合同一式</w:t>
      </w:r>
      <w:r>
        <w:rPr>
          <w:rFonts w:hint="eastAsia" w:ascii="宋体" w:hAnsi="宋体" w:cs="Arial"/>
          <w:color w:val="auto"/>
          <w:highlight w:val="none"/>
          <w:lang w:val="en-US" w:eastAsia="zh-CN"/>
        </w:rPr>
        <w:t>肆</w:t>
      </w:r>
      <w:r>
        <w:rPr>
          <w:rFonts w:ascii="宋体" w:hAnsi="宋体" w:cs="Arial"/>
          <w:color w:val="auto"/>
          <w:highlight w:val="none"/>
        </w:rPr>
        <w:t>份，具有同等法律效力。甲方</w:t>
      </w:r>
      <w:r>
        <w:rPr>
          <w:rFonts w:hint="eastAsia" w:ascii="宋体" w:hAnsi="宋体" w:cs="Arial"/>
          <w:color w:val="auto"/>
          <w:highlight w:val="none"/>
          <w:lang w:val="en-US" w:eastAsia="zh-CN"/>
        </w:rPr>
        <w:t>两</w:t>
      </w:r>
      <w:r>
        <w:rPr>
          <w:rFonts w:ascii="宋体" w:hAnsi="宋体" w:cs="Arial"/>
          <w:color w:val="auto"/>
          <w:highlight w:val="none"/>
        </w:rPr>
        <w:t>份，乙方两份。</w:t>
      </w:r>
    </w:p>
    <w:p w14:paraId="22F0CFBB">
      <w:pPr>
        <w:snapToGrid w:val="0"/>
        <w:spacing w:line="360" w:lineRule="exact"/>
        <w:ind w:firstLine="420" w:firstLineChars="200"/>
        <w:rPr>
          <w:rFonts w:ascii="宋体" w:hAnsi="宋体" w:cs="Arial"/>
          <w:color w:val="auto"/>
          <w:highlight w:val="none"/>
        </w:rPr>
      </w:pPr>
      <w:r>
        <w:rPr>
          <w:rFonts w:ascii="宋体" w:hAnsi="宋体" w:cs="Arial"/>
          <w:color w:val="auto"/>
          <w:highlight w:val="none"/>
        </w:rPr>
        <w:t>本合同经甲乙双方法定代表人或授权代表签字并加盖单位公章后生效</w:t>
      </w:r>
      <w:r>
        <w:rPr>
          <w:rFonts w:hint="eastAsia" w:ascii="宋体" w:hAnsi="宋体" w:cs="Arial"/>
          <w:color w:val="auto"/>
          <w:highlight w:val="none"/>
        </w:rPr>
        <w:t>。</w:t>
      </w:r>
    </w:p>
    <w:p w14:paraId="4F7A7013">
      <w:pPr>
        <w:snapToGrid w:val="0"/>
        <w:spacing w:line="360" w:lineRule="exact"/>
        <w:ind w:firstLine="420" w:firstLineChars="200"/>
        <w:jc w:val="center"/>
        <w:rPr>
          <w:color w:val="auto"/>
          <w:highlight w:val="none"/>
        </w:rPr>
      </w:pPr>
      <w:r>
        <w:rPr>
          <w:rFonts w:hint="eastAsia"/>
          <w:color w:val="auto"/>
          <w:highlight w:val="none"/>
        </w:rPr>
        <w:t>本页为合同签章页</w:t>
      </w:r>
    </w:p>
    <w:tbl>
      <w:tblPr>
        <w:tblStyle w:val="19"/>
        <w:tblW w:w="9739"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6"/>
        <w:gridCol w:w="5003"/>
      </w:tblGrid>
      <w:tr w14:paraId="09A11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4736" w:type="dxa"/>
            <w:tcBorders>
              <w:top w:val="single" w:color="auto" w:sz="4" w:space="0"/>
              <w:left w:val="single" w:color="auto" w:sz="4" w:space="0"/>
              <w:bottom w:val="single" w:color="auto" w:sz="4" w:space="0"/>
              <w:right w:val="single" w:color="auto" w:sz="4" w:space="0"/>
            </w:tcBorders>
            <w:noWrap w:val="0"/>
            <w:vAlign w:val="center"/>
          </w:tcPr>
          <w:p w14:paraId="6781D34A">
            <w:pPr>
              <w:snapToGrid w:val="0"/>
              <w:spacing w:line="360" w:lineRule="exact"/>
              <w:rPr>
                <w:color w:val="auto"/>
                <w:highlight w:val="none"/>
              </w:rPr>
            </w:pPr>
            <w:r>
              <w:rPr>
                <w:rFonts w:ascii="宋体" w:hAnsi="宋体"/>
                <w:color w:val="auto"/>
                <w:highlight w:val="none"/>
              </w:rPr>
              <w:t>甲方（章）</w:t>
            </w:r>
            <w:r>
              <w:rPr>
                <w:color w:val="auto"/>
                <w:highlight w:val="none"/>
              </w:rPr>
              <w:t xml:space="preserve">           </w:t>
            </w:r>
          </w:p>
          <w:p w14:paraId="6BA94789">
            <w:pPr>
              <w:snapToGrid w:val="0"/>
              <w:spacing w:line="360" w:lineRule="exact"/>
              <w:rPr>
                <w:color w:val="auto"/>
                <w:highlight w:val="none"/>
              </w:rPr>
            </w:pPr>
          </w:p>
          <w:p w14:paraId="1693338A">
            <w:pPr>
              <w:snapToGrid w:val="0"/>
              <w:spacing w:line="360" w:lineRule="exact"/>
              <w:ind w:firstLine="945" w:firstLineChars="450"/>
              <w:jc w:val="right"/>
              <w:rPr>
                <w:color w:val="auto"/>
                <w:highlight w:val="none"/>
              </w:rPr>
            </w:pPr>
          </w:p>
        </w:tc>
        <w:tc>
          <w:tcPr>
            <w:tcW w:w="5003" w:type="dxa"/>
            <w:tcBorders>
              <w:top w:val="single" w:color="auto" w:sz="4" w:space="0"/>
              <w:left w:val="single" w:color="auto" w:sz="4" w:space="0"/>
              <w:bottom w:val="single" w:color="auto" w:sz="4" w:space="0"/>
              <w:right w:val="single" w:color="auto" w:sz="4" w:space="0"/>
            </w:tcBorders>
            <w:noWrap w:val="0"/>
            <w:vAlign w:val="center"/>
          </w:tcPr>
          <w:p w14:paraId="07DEFE7C">
            <w:pPr>
              <w:snapToGrid w:val="0"/>
              <w:spacing w:line="360" w:lineRule="exact"/>
              <w:rPr>
                <w:color w:val="auto"/>
                <w:highlight w:val="none"/>
              </w:rPr>
            </w:pPr>
            <w:r>
              <w:rPr>
                <w:rFonts w:ascii="宋体" w:hAnsi="宋体"/>
                <w:color w:val="auto"/>
                <w:highlight w:val="none"/>
              </w:rPr>
              <w:t>乙方（章）</w:t>
            </w:r>
            <w:r>
              <w:rPr>
                <w:color w:val="auto"/>
                <w:highlight w:val="none"/>
              </w:rPr>
              <w:t xml:space="preserve">              </w:t>
            </w:r>
          </w:p>
          <w:p w14:paraId="42CBC477">
            <w:pPr>
              <w:snapToGrid w:val="0"/>
              <w:spacing w:line="360" w:lineRule="exact"/>
              <w:rPr>
                <w:color w:val="auto"/>
                <w:highlight w:val="none"/>
              </w:rPr>
            </w:pPr>
          </w:p>
          <w:p w14:paraId="742ABF06">
            <w:pPr>
              <w:snapToGrid w:val="0"/>
              <w:spacing w:line="360" w:lineRule="exact"/>
              <w:jc w:val="right"/>
              <w:rPr>
                <w:color w:val="auto"/>
                <w:highlight w:val="none"/>
              </w:rPr>
            </w:pPr>
          </w:p>
        </w:tc>
      </w:tr>
      <w:tr w14:paraId="28E8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4736" w:type="dxa"/>
            <w:tcBorders>
              <w:top w:val="single" w:color="auto" w:sz="4" w:space="0"/>
              <w:left w:val="single" w:color="auto" w:sz="4" w:space="0"/>
              <w:bottom w:val="single" w:color="auto" w:sz="4" w:space="0"/>
              <w:right w:val="single" w:color="auto" w:sz="4" w:space="0"/>
            </w:tcBorders>
            <w:noWrap w:val="0"/>
            <w:vAlign w:val="center"/>
          </w:tcPr>
          <w:p w14:paraId="4FF3E57E">
            <w:pPr>
              <w:snapToGrid w:val="0"/>
              <w:spacing w:line="360" w:lineRule="exact"/>
              <w:rPr>
                <w:color w:val="auto"/>
                <w:highlight w:val="none"/>
              </w:rPr>
            </w:pPr>
            <w:r>
              <w:rPr>
                <w:rFonts w:ascii="宋体" w:hAnsi="宋体"/>
                <w:color w:val="auto"/>
                <w:highlight w:val="none"/>
              </w:rPr>
              <w:t>单位地址：</w:t>
            </w:r>
            <w:r>
              <w:rPr>
                <w:rFonts w:hint="eastAsia" w:ascii="宋体" w:hAnsi="宋体"/>
                <w:color w:val="auto"/>
                <w:highlight w:val="none"/>
                <w:lang w:val="en-US" w:eastAsia="zh-CN"/>
              </w:rPr>
              <w:t xml:space="preserve"> </w:t>
            </w:r>
          </w:p>
        </w:tc>
        <w:tc>
          <w:tcPr>
            <w:tcW w:w="5003" w:type="dxa"/>
            <w:tcBorders>
              <w:top w:val="single" w:color="auto" w:sz="4" w:space="0"/>
              <w:left w:val="single" w:color="auto" w:sz="4" w:space="0"/>
              <w:bottom w:val="single" w:color="auto" w:sz="4" w:space="0"/>
              <w:right w:val="single" w:color="auto" w:sz="4" w:space="0"/>
            </w:tcBorders>
            <w:noWrap w:val="0"/>
            <w:vAlign w:val="center"/>
          </w:tcPr>
          <w:p w14:paraId="5F00C4B2">
            <w:pPr>
              <w:snapToGrid w:val="0"/>
              <w:spacing w:line="360" w:lineRule="exact"/>
              <w:rPr>
                <w:color w:val="auto"/>
                <w:highlight w:val="none"/>
              </w:rPr>
            </w:pPr>
            <w:r>
              <w:rPr>
                <w:rFonts w:ascii="宋体" w:hAnsi="宋体"/>
                <w:color w:val="auto"/>
                <w:highlight w:val="none"/>
              </w:rPr>
              <w:t>单位地址：</w:t>
            </w:r>
          </w:p>
        </w:tc>
      </w:tr>
      <w:tr w14:paraId="3FCA8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4736" w:type="dxa"/>
            <w:tcBorders>
              <w:top w:val="single" w:color="auto" w:sz="4" w:space="0"/>
              <w:left w:val="single" w:color="auto" w:sz="4" w:space="0"/>
              <w:bottom w:val="single" w:color="auto" w:sz="4" w:space="0"/>
              <w:right w:val="single" w:color="auto" w:sz="4" w:space="0"/>
            </w:tcBorders>
            <w:noWrap w:val="0"/>
            <w:vAlign w:val="center"/>
          </w:tcPr>
          <w:p w14:paraId="6A92631D">
            <w:pPr>
              <w:snapToGrid w:val="0"/>
              <w:spacing w:line="360" w:lineRule="exact"/>
              <w:rPr>
                <w:rFonts w:hint="eastAsia" w:ascii="宋体" w:hAnsi="宋体"/>
                <w:color w:val="auto"/>
                <w:highlight w:val="none"/>
              </w:rPr>
            </w:pPr>
            <w:r>
              <w:rPr>
                <w:rFonts w:hint="eastAsia" w:ascii="宋体" w:hAnsi="宋体"/>
                <w:color w:val="auto"/>
                <w:highlight w:val="none"/>
              </w:rPr>
              <w:t>法定代表人</w:t>
            </w:r>
          </w:p>
          <w:p w14:paraId="245307E8">
            <w:pPr>
              <w:snapToGrid w:val="0"/>
              <w:spacing w:line="360" w:lineRule="exact"/>
              <w:rPr>
                <w:color w:val="auto"/>
                <w:highlight w:val="none"/>
              </w:rPr>
            </w:pPr>
            <w:r>
              <w:rPr>
                <w:rFonts w:hint="eastAsia" w:ascii="宋体" w:hAnsi="宋体"/>
                <w:color w:val="auto"/>
                <w:highlight w:val="none"/>
              </w:rPr>
              <w:t>或</w:t>
            </w:r>
            <w:r>
              <w:rPr>
                <w:rFonts w:ascii="宋体" w:hAnsi="宋体"/>
                <w:color w:val="auto"/>
                <w:highlight w:val="none"/>
              </w:rPr>
              <w:t>委托代理人：</w:t>
            </w:r>
          </w:p>
        </w:tc>
        <w:tc>
          <w:tcPr>
            <w:tcW w:w="5003" w:type="dxa"/>
            <w:tcBorders>
              <w:top w:val="single" w:color="auto" w:sz="4" w:space="0"/>
              <w:left w:val="single" w:color="auto" w:sz="4" w:space="0"/>
              <w:bottom w:val="single" w:color="auto" w:sz="4" w:space="0"/>
              <w:right w:val="single" w:color="auto" w:sz="4" w:space="0"/>
            </w:tcBorders>
            <w:noWrap w:val="0"/>
            <w:vAlign w:val="center"/>
          </w:tcPr>
          <w:p w14:paraId="6AF41F78">
            <w:pPr>
              <w:snapToGrid w:val="0"/>
              <w:spacing w:line="360" w:lineRule="exact"/>
              <w:rPr>
                <w:rFonts w:hint="eastAsia" w:ascii="宋体" w:hAnsi="宋体"/>
                <w:color w:val="auto"/>
                <w:highlight w:val="none"/>
              </w:rPr>
            </w:pPr>
            <w:r>
              <w:rPr>
                <w:rFonts w:hint="eastAsia" w:ascii="宋体" w:hAnsi="宋体"/>
                <w:color w:val="auto"/>
                <w:highlight w:val="none"/>
              </w:rPr>
              <w:t>法定代表人</w:t>
            </w:r>
          </w:p>
          <w:p w14:paraId="029F4A18">
            <w:pPr>
              <w:snapToGrid w:val="0"/>
              <w:spacing w:line="360" w:lineRule="exact"/>
              <w:rPr>
                <w:color w:val="auto"/>
                <w:highlight w:val="none"/>
              </w:rPr>
            </w:pPr>
            <w:r>
              <w:rPr>
                <w:rFonts w:hint="eastAsia" w:ascii="宋体" w:hAnsi="宋体"/>
                <w:color w:val="auto"/>
                <w:highlight w:val="none"/>
              </w:rPr>
              <w:t>或</w:t>
            </w:r>
            <w:r>
              <w:rPr>
                <w:rFonts w:ascii="宋体" w:hAnsi="宋体"/>
                <w:color w:val="auto"/>
                <w:highlight w:val="none"/>
              </w:rPr>
              <w:t>委托代理人：</w:t>
            </w:r>
            <w:r>
              <w:rPr>
                <w:color w:val="auto"/>
                <w:highlight w:val="none"/>
              </w:rPr>
              <w:t xml:space="preserve"> </w:t>
            </w:r>
          </w:p>
        </w:tc>
      </w:tr>
      <w:tr w14:paraId="044E3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4736" w:type="dxa"/>
            <w:tcBorders>
              <w:top w:val="single" w:color="auto" w:sz="4" w:space="0"/>
              <w:left w:val="single" w:color="auto" w:sz="4" w:space="0"/>
              <w:bottom w:val="single" w:color="auto" w:sz="4" w:space="0"/>
              <w:right w:val="single" w:color="auto" w:sz="4" w:space="0"/>
            </w:tcBorders>
            <w:noWrap w:val="0"/>
            <w:vAlign w:val="center"/>
          </w:tcPr>
          <w:p w14:paraId="62B84776">
            <w:pPr>
              <w:snapToGrid w:val="0"/>
              <w:spacing w:line="360" w:lineRule="exact"/>
              <w:rPr>
                <w:rFonts w:hint="eastAsia" w:eastAsia="宋体"/>
                <w:color w:val="auto"/>
                <w:highlight w:val="none"/>
                <w:lang w:eastAsia="zh-CN"/>
              </w:rPr>
            </w:pPr>
            <w:r>
              <w:rPr>
                <w:rFonts w:ascii="宋体" w:hAnsi="宋体"/>
                <w:color w:val="auto"/>
                <w:highlight w:val="none"/>
              </w:rPr>
              <w:t>电话：</w:t>
            </w:r>
            <w:r>
              <w:rPr>
                <w:rFonts w:hint="eastAsia" w:ascii="宋体" w:hAnsi="宋体"/>
                <w:color w:val="auto"/>
                <w:highlight w:val="none"/>
                <w:lang w:val="en-US" w:eastAsia="zh-CN"/>
              </w:rPr>
              <w:t xml:space="preserve"> </w:t>
            </w:r>
          </w:p>
        </w:tc>
        <w:tc>
          <w:tcPr>
            <w:tcW w:w="5003" w:type="dxa"/>
            <w:tcBorders>
              <w:top w:val="single" w:color="auto" w:sz="4" w:space="0"/>
              <w:left w:val="single" w:color="auto" w:sz="4" w:space="0"/>
              <w:bottom w:val="single" w:color="auto" w:sz="4" w:space="0"/>
              <w:right w:val="single" w:color="auto" w:sz="4" w:space="0"/>
            </w:tcBorders>
            <w:noWrap w:val="0"/>
            <w:vAlign w:val="center"/>
          </w:tcPr>
          <w:p w14:paraId="74F71419">
            <w:pPr>
              <w:snapToGrid w:val="0"/>
              <w:spacing w:line="360" w:lineRule="exact"/>
              <w:rPr>
                <w:color w:val="auto"/>
                <w:highlight w:val="none"/>
              </w:rPr>
            </w:pPr>
            <w:r>
              <w:rPr>
                <w:rFonts w:ascii="宋体" w:hAnsi="宋体"/>
                <w:color w:val="auto"/>
                <w:highlight w:val="none"/>
              </w:rPr>
              <w:t>电话：</w:t>
            </w:r>
          </w:p>
        </w:tc>
      </w:tr>
      <w:tr w14:paraId="3D94A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4736" w:type="dxa"/>
            <w:tcBorders>
              <w:top w:val="single" w:color="auto" w:sz="4" w:space="0"/>
              <w:left w:val="single" w:color="auto" w:sz="4" w:space="0"/>
              <w:bottom w:val="single" w:color="auto" w:sz="4" w:space="0"/>
              <w:right w:val="single" w:color="auto" w:sz="4" w:space="0"/>
            </w:tcBorders>
            <w:noWrap w:val="0"/>
            <w:vAlign w:val="center"/>
          </w:tcPr>
          <w:p w14:paraId="03CD80E7">
            <w:pPr>
              <w:snapToGrid w:val="0"/>
              <w:spacing w:line="360" w:lineRule="exact"/>
              <w:rPr>
                <w:rFonts w:hint="eastAsia" w:eastAsia="宋体"/>
                <w:color w:val="auto"/>
                <w:highlight w:val="none"/>
                <w:lang w:eastAsia="zh-CN"/>
              </w:rPr>
            </w:pPr>
            <w:r>
              <w:rPr>
                <w:rFonts w:ascii="宋体" w:hAnsi="宋体"/>
                <w:color w:val="auto"/>
                <w:highlight w:val="none"/>
              </w:rPr>
              <w:t>电子邮箱：</w:t>
            </w:r>
            <w:r>
              <w:rPr>
                <w:rFonts w:hint="eastAsia" w:ascii="宋体" w:hAnsi="宋体"/>
                <w:color w:val="auto"/>
                <w:highlight w:val="none"/>
                <w:lang w:val="en-US" w:eastAsia="zh-CN"/>
              </w:rPr>
              <w:t xml:space="preserve"> </w:t>
            </w:r>
          </w:p>
        </w:tc>
        <w:tc>
          <w:tcPr>
            <w:tcW w:w="5003" w:type="dxa"/>
            <w:tcBorders>
              <w:top w:val="single" w:color="auto" w:sz="4" w:space="0"/>
              <w:left w:val="single" w:color="auto" w:sz="4" w:space="0"/>
              <w:bottom w:val="single" w:color="auto" w:sz="4" w:space="0"/>
              <w:right w:val="single" w:color="auto" w:sz="4" w:space="0"/>
            </w:tcBorders>
            <w:noWrap w:val="0"/>
            <w:vAlign w:val="center"/>
          </w:tcPr>
          <w:p w14:paraId="6CAF4766">
            <w:pPr>
              <w:snapToGrid w:val="0"/>
              <w:spacing w:line="360" w:lineRule="exact"/>
              <w:rPr>
                <w:color w:val="auto"/>
                <w:highlight w:val="none"/>
              </w:rPr>
            </w:pPr>
            <w:r>
              <w:rPr>
                <w:rFonts w:ascii="宋体" w:hAnsi="宋体"/>
                <w:color w:val="auto"/>
                <w:highlight w:val="none"/>
              </w:rPr>
              <w:t>电子邮箱：</w:t>
            </w:r>
          </w:p>
        </w:tc>
      </w:tr>
      <w:tr w14:paraId="26C0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4736" w:type="dxa"/>
            <w:tcBorders>
              <w:top w:val="single" w:color="auto" w:sz="4" w:space="0"/>
              <w:left w:val="single" w:color="auto" w:sz="4" w:space="0"/>
              <w:bottom w:val="single" w:color="auto" w:sz="4" w:space="0"/>
              <w:right w:val="single" w:color="auto" w:sz="4" w:space="0"/>
            </w:tcBorders>
            <w:noWrap w:val="0"/>
            <w:vAlign w:val="center"/>
          </w:tcPr>
          <w:p w14:paraId="553AAC24">
            <w:pPr>
              <w:snapToGrid w:val="0"/>
              <w:spacing w:line="360" w:lineRule="exact"/>
              <w:rPr>
                <w:rFonts w:hint="eastAsia" w:eastAsia="宋体"/>
                <w:color w:val="auto"/>
                <w:highlight w:val="none"/>
                <w:lang w:eastAsia="zh-CN"/>
              </w:rPr>
            </w:pPr>
            <w:r>
              <w:rPr>
                <w:rFonts w:ascii="宋体" w:hAnsi="宋体"/>
                <w:color w:val="auto"/>
                <w:highlight w:val="none"/>
              </w:rPr>
              <w:t>开户银行：</w:t>
            </w:r>
            <w:r>
              <w:rPr>
                <w:rFonts w:hint="eastAsia" w:ascii="宋体" w:hAnsi="宋体"/>
                <w:color w:val="auto"/>
                <w:highlight w:val="none"/>
                <w:lang w:val="en-US" w:eastAsia="zh-CN"/>
              </w:rPr>
              <w:t xml:space="preserve"> </w:t>
            </w:r>
          </w:p>
        </w:tc>
        <w:tc>
          <w:tcPr>
            <w:tcW w:w="5003" w:type="dxa"/>
            <w:tcBorders>
              <w:top w:val="single" w:color="auto" w:sz="4" w:space="0"/>
              <w:left w:val="single" w:color="auto" w:sz="4" w:space="0"/>
              <w:bottom w:val="single" w:color="auto" w:sz="4" w:space="0"/>
              <w:right w:val="single" w:color="auto" w:sz="4" w:space="0"/>
            </w:tcBorders>
            <w:noWrap w:val="0"/>
            <w:vAlign w:val="center"/>
          </w:tcPr>
          <w:p w14:paraId="6C87D2A3">
            <w:pPr>
              <w:snapToGrid w:val="0"/>
              <w:spacing w:line="360" w:lineRule="exact"/>
              <w:rPr>
                <w:color w:val="auto"/>
                <w:highlight w:val="none"/>
              </w:rPr>
            </w:pPr>
            <w:r>
              <w:rPr>
                <w:rFonts w:ascii="宋体" w:hAnsi="宋体"/>
                <w:color w:val="auto"/>
                <w:highlight w:val="none"/>
              </w:rPr>
              <w:t>开户银行：</w:t>
            </w:r>
          </w:p>
        </w:tc>
      </w:tr>
      <w:tr w14:paraId="18F05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4736" w:type="dxa"/>
            <w:tcBorders>
              <w:top w:val="single" w:color="auto" w:sz="4" w:space="0"/>
              <w:left w:val="single" w:color="auto" w:sz="4" w:space="0"/>
              <w:bottom w:val="single" w:color="auto" w:sz="4" w:space="0"/>
              <w:right w:val="single" w:color="auto" w:sz="4" w:space="0"/>
            </w:tcBorders>
            <w:noWrap w:val="0"/>
            <w:vAlign w:val="center"/>
          </w:tcPr>
          <w:p w14:paraId="6674191B">
            <w:pPr>
              <w:snapToGrid w:val="0"/>
              <w:spacing w:line="360" w:lineRule="exact"/>
              <w:rPr>
                <w:rFonts w:hint="eastAsia" w:eastAsia="宋体"/>
                <w:color w:val="auto"/>
                <w:highlight w:val="none"/>
                <w:lang w:eastAsia="zh-CN"/>
              </w:rPr>
            </w:pPr>
            <w:r>
              <w:rPr>
                <w:rFonts w:ascii="宋体" w:hAnsi="宋体"/>
                <w:color w:val="auto"/>
                <w:highlight w:val="none"/>
              </w:rPr>
              <w:t>账号：</w:t>
            </w:r>
            <w:r>
              <w:rPr>
                <w:rFonts w:hint="eastAsia" w:ascii="宋体" w:hAnsi="宋体"/>
                <w:color w:val="auto"/>
                <w:highlight w:val="none"/>
                <w:lang w:val="en-US" w:eastAsia="zh-CN"/>
              </w:rPr>
              <w:t xml:space="preserve"> </w:t>
            </w:r>
          </w:p>
        </w:tc>
        <w:tc>
          <w:tcPr>
            <w:tcW w:w="5003" w:type="dxa"/>
            <w:tcBorders>
              <w:top w:val="single" w:color="auto" w:sz="4" w:space="0"/>
              <w:left w:val="single" w:color="auto" w:sz="4" w:space="0"/>
              <w:bottom w:val="single" w:color="auto" w:sz="4" w:space="0"/>
              <w:right w:val="single" w:color="auto" w:sz="4" w:space="0"/>
            </w:tcBorders>
            <w:noWrap w:val="0"/>
            <w:vAlign w:val="center"/>
          </w:tcPr>
          <w:p w14:paraId="648A4E30">
            <w:pPr>
              <w:snapToGrid w:val="0"/>
              <w:spacing w:line="360" w:lineRule="exact"/>
              <w:rPr>
                <w:color w:val="auto"/>
                <w:highlight w:val="none"/>
              </w:rPr>
            </w:pPr>
            <w:r>
              <w:rPr>
                <w:rFonts w:ascii="宋体" w:hAnsi="宋体"/>
                <w:color w:val="auto"/>
                <w:highlight w:val="none"/>
              </w:rPr>
              <w:t>账号：</w:t>
            </w:r>
          </w:p>
        </w:tc>
      </w:tr>
      <w:tr w14:paraId="3ABF1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4736" w:type="dxa"/>
            <w:tcBorders>
              <w:top w:val="single" w:color="auto" w:sz="4" w:space="0"/>
              <w:left w:val="single" w:color="auto" w:sz="4" w:space="0"/>
              <w:bottom w:val="single" w:color="auto" w:sz="4" w:space="0"/>
              <w:right w:val="single" w:color="auto" w:sz="4" w:space="0"/>
            </w:tcBorders>
            <w:noWrap w:val="0"/>
            <w:vAlign w:val="center"/>
          </w:tcPr>
          <w:p w14:paraId="706FE1BB">
            <w:pPr>
              <w:snapToGrid w:val="0"/>
              <w:spacing w:line="360" w:lineRule="exact"/>
              <w:rPr>
                <w:rFonts w:hint="eastAsia" w:eastAsia="宋体"/>
                <w:color w:val="auto"/>
                <w:highlight w:val="none"/>
                <w:lang w:eastAsia="zh-CN"/>
              </w:rPr>
            </w:pPr>
            <w:r>
              <w:rPr>
                <w:rFonts w:ascii="宋体" w:hAnsi="宋体"/>
                <w:color w:val="auto"/>
                <w:highlight w:val="none"/>
              </w:rPr>
              <w:t>邮政编码：</w:t>
            </w:r>
            <w:r>
              <w:rPr>
                <w:rFonts w:hint="eastAsia" w:ascii="宋体" w:hAnsi="宋体"/>
                <w:color w:val="auto"/>
                <w:highlight w:val="none"/>
                <w:lang w:val="en-US" w:eastAsia="zh-CN"/>
              </w:rPr>
              <w:t xml:space="preserve"> </w:t>
            </w:r>
          </w:p>
        </w:tc>
        <w:tc>
          <w:tcPr>
            <w:tcW w:w="5003" w:type="dxa"/>
            <w:tcBorders>
              <w:top w:val="single" w:color="auto" w:sz="4" w:space="0"/>
              <w:left w:val="single" w:color="auto" w:sz="4" w:space="0"/>
              <w:bottom w:val="single" w:color="auto" w:sz="4" w:space="0"/>
              <w:right w:val="single" w:color="auto" w:sz="4" w:space="0"/>
            </w:tcBorders>
            <w:noWrap w:val="0"/>
            <w:vAlign w:val="center"/>
          </w:tcPr>
          <w:p w14:paraId="0647EDD6">
            <w:pPr>
              <w:snapToGrid w:val="0"/>
              <w:spacing w:line="360" w:lineRule="exact"/>
              <w:rPr>
                <w:color w:val="auto"/>
                <w:highlight w:val="none"/>
              </w:rPr>
            </w:pPr>
            <w:r>
              <w:rPr>
                <w:rFonts w:ascii="宋体" w:hAnsi="宋体"/>
                <w:color w:val="auto"/>
                <w:highlight w:val="none"/>
              </w:rPr>
              <w:t>邮政编码：</w:t>
            </w:r>
          </w:p>
        </w:tc>
      </w:tr>
    </w:tbl>
    <w:p w14:paraId="15BFF46E">
      <w:pPr>
        <w:rPr>
          <w:color w:val="auto"/>
          <w:highlight w:val="none"/>
        </w:rPr>
      </w:pPr>
      <w:r>
        <w:rPr>
          <w:color w:val="auto"/>
          <w:highlight w:val="none"/>
        </w:rPr>
        <w:t xml:space="preserve"> </w:t>
      </w:r>
    </w:p>
    <w:p w14:paraId="12E1648C">
      <w:pPr>
        <w:spacing w:before="120" w:line="320" w:lineRule="exact"/>
        <w:rPr>
          <w:rFonts w:ascii="仿宋" w:hAnsi="仿宋" w:eastAsia="仿宋"/>
          <w:color w:val="auto"/>
          <w:szCs w:val="21"/>
          <w:highlight w:val="none"/>
          <w:u w:val="single"/>
        </w:rPr>
      </w:pPr>
      <w:r>
        <w:rPr>
          <w:rFonts w:hint="eastAsia" w:ascii="宋体" w:hAnsi="宋体" w:cs="宋体"/>
          <w:b/>
          <w:color w:val="auto"/>
          <w:position w:val="-2"/>
          <w:sz w:val="24"/>
          <w:highlight w:val="none"/>
        </w:rPr>
        <w:br w:type="page"/>
      </w:r>
    </w:p>
    <w:bookmarkEnd w:id="68"/>
    <w:p w14:paraId="723DCCED">
      <w:pPr>
        <w:widowControl/>
        <w:shd w:val="clear" w:color="auto" w:fill="FFFFFF"/>
        <w:spacing w:line="480" w:lineRule="atLeast"/>
        <w:jc w:val="center"/>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rPr>
        <w:t>广西壮族自治区政府采购项目合同验收书（格式）</w:t>
      </w:r>
    </w:p>
    <w:p w14:paraId="61066A1C">
      <w:pPr>
        <w:widowControl/>
        <w:shd w:val="clear" w:color="auto" w:fill="FFFFFF"/>
        <w:spacing w:line="480" w:lineRule="atLeast"/>
        <w:jc w:val="center"/>
        <w:rPr>
          <w:rFonts w:hint="eastAsia" w:ascii="宋体" w:hAnsi="宋体" w:eastAsia="宋体" w:cs="宋体"/>
          <w:color w:val="auto"/>
          <w:kern w:val="0"/>
          <w:sz w:val="32"/>
          <w:szCs w:val="32"/>
          <w:highlight w:val="none"/>
        </w:rPr>
      </w:pPr>
    </w:p>
    <w:p w14:paraId="4E866750">
      <w:pPr>
        <w:widowControl/>
        <w:shd w:val="clear" w:color="auto" w:fill="FFFFFF"/>
        <w:snapToGrid w:val="0"/>
        <w:spacing w:line="320"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 政府采购项目成交供应商（</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 提供的货物（或工程、服务）进行了验收，验收情况如下：</w:t>
      </w:r>
    </w:p>
    <w:tbl>
      <w:tblPr>
        <w:tblStyle w:val="19"/>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7A46847E">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6FB2C94B">
            <w:pPr>
              <w:widowControl/>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14:paraId="7783598B">
            <w:pPr>
              <w:widowControl/>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sym w:font="Wingdings 2" w:char="0052"/>
            </w:r>
            <w:r>
              <w:rPr>
                <w:rFonts w:hint="eastAsia" w:ascii="宋体" w:hAnsi="宋体" w:eastAsia="宋体" w:cs="宋体"/>
                <w:color w:val="auto"/>
                <w:kern w:val="0"/>
                <w:szCs w:val="21"/>
                <w:highlight w:val="none"/>
              </w:rPr>
              <w:t xml:space="preserve">自行验收 </w:t>
            </w:r>
            <w:r>
              <w:rPr>
                <w:rFonts w:hint="eastAsia" w:ascii="宋体" w:hAnsi="宋体" w:eastAsia="宋体" w:cs="宋体"/>
                <w:color w:val="auto"/>
                <w:kern w:val="0"/>
                <w:szCs w:val="21"/>
                <w:highlight w:val="none"/>
              </w:rPr>
              <w:sym w:font="Wingdings 2" w:char="00A3"/>
            </w:r>
            <w:r>
              <w:rPr>
                <w:rFonts w:hint="eastAsia" w:ascii="宋体" w:hAnsi="宋体" w:eastAsia="宋体" w:cs="宋体"/>
                <w:color w:val="auto"/>
                <w:kern w:val="0"/>
                <w:szCs w:val="21"/>
                <w:highlight w:val="none"/>
              </w:rPr>
              <w:t>委托验收</w:t>
            </w:r>
          </w:p>
        </w:tc>
      </w:tr>
      <w:tr w14:paraId="53B45E3A">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2EC9EEBE">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14:paraId="19E33837">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14:paraId="12D71761">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货物型号规格、标准及配置等（或服务内容、标准）</w:t>
            </w:r>
          </w:p>
        </w:tc>
        <w:tc>
          <w:tcPr>
            <w:tcW w:w="863" w:type="dxa"/>
            <w:gridSpan w:val="2"/>
            <w:tcBorders>
              <w:top w:val="nil"/>
              <w:left w:val="nil"/>
              <w:bottom w:val="single" w:color="auto" w:sz="8" w:space="0"/>
              <w:right w:val="single" w:color="auto" w:sz="8" w:space="0"/>
            </w:tcBorders>
            <w:noWrap w:val="0"/>
            <w:vAlign w:val="center"/>
          </w:tcPr>
          <w:p w14:paraId="447DEBE2">
            <w:pPr>
              <w:widowControl/>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1428" w:type="dxa"/>
            <w:tcBorders>
              <w:top w:val="nil"/>
              <w:left w:val="nil"/>
              <w:bottom w:val="single" w:color="auto" w:sz="8" w:space="0"/>
              <w:right w:val="single" w:color="auto" w:sz="8" w:space="0"/>
            </w:tcBorders>
            <w:noWrap w:val="0"/>
            <w:vAlign w:val="center"/>
          </w:tcPr>
          <w:p w14:paraId="6169CF70">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金额</w:t>
            </w:r>
          </w:p>
        </w:tc>
      </w:tr>
      <w:tr w14:paraId="50012F41">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2DB1AE9E">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0A4D606F">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519EB934">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5268E829">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15586591">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46B1BC12">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3291E76A">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544E9A8D">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44E2E495">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2D94C31F">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61EB907B">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484624EE">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758CE8E0">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6B1C30AF">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1F3C1A68">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40715D60">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3A1B0002">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384344A0">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6CD1A02F">
            <w:pPr>
              <w:widowControl/>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235E4B6B">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321B48AA">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267FC823">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14:paraId="393A58DB">
            <w:pPr>
              <w:widowControl/>
              <w:snapToGrid w:val="0"/>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仟  佰  拾  万  仟  佰  拾  元</w:t>
            </w:r>
          </w:p>
        </w:tc>
      </w:tr>
      <w:tr w14:paraId="507A3F4E">
        <w:tblPrEx>
          <w:tblCellMar>
            <w:top w:w="0" w:type="dxa"/>
            <w:left w:w="0" w:type="dxa"/>
            <w:bottom w:w="0" w:type="dxa"/>
            <w:right w:w="0" w:type="dxa"/>
          </w:tblCellMar>
        </w:tblPrEx>
        <w:trPr>
          <w:trHeight w:val="52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759ECCE0">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14:paraId="2CEF04A5">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6BB8A93B">
            <w:pPr>
              <w:widowControl/>
              <w:snapToGrid w:val="0"/>
              <w:spacing w:before="100" w:beforeAutospacing="1" w:after="100" w:afterAutospacing="1" w:line="320" w:lineRule="atLeast"/>
              <w:ind w:firstLine="4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noWrap w:val="0"/>
            <w:vAlign w:val="center"/>
          </w:tcPr>
          <w:p w14:paraId="5934FF0F">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09978472">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C74FF4C">
            <w:pPr>
              <w:widowControl/>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87F01C8">
            <w:pPr>
              <w:widowControl/>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竞争性磋商文件、竞标响应文件及验收方案等进行验收；并核对成交供应商在安装调试等方面是否违反合同约定或服务规范要求、提供的质量保证证明材料是否齐全、应有的配件及附件是否达到合同约定等。可附件)</w:t>
            </w:r>
          </w:p>
        </w:tc>
      </w:tr>
      <w:tr w14:paraId="5852DA55">
        <w:tblPrEx>
          <w:tblCellMar>
            <w:top w:w="0" w:type="dxa"/>
            <w:left w:w="0" w:type="dxa"/>
            <w:bottom w:w="0" w:type="dxa"/>
            <w:right w:w="0" w:type="dxa"/>
          </w:tblCellMar>
        </w:tblPrEx>
        <w:trPr>
          <w:trHeight w:val="101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6094C50">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noWrap w:val="0"/>
            <w:vAlign w:val="center"/>
          </w:tcPr>
          <w:p w14:paraId="2D2F041D">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w:t>
            </w:r>
          </w:p>
        </w:tc>
      </w:tr>
      <w:tr w14:paraId="20C483E1">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5C3EFE29">
            <w:pPr>
              <w:widowControl/>
              <w:jc w:val="left"/>
              <w:rPr>
                <w:rFonts w:hint="eastAsia" w:ascii="宋体" w:hAnsi="宋体" w:eastAsia="宋体" w:cs="宋体"/>
                <w:color w:val="auto"/>
                <w:kern w:val="0"/>
                <w:szCs w:val="21"/>
                <w:highlight w:val="none"/>
              </w:rPr>
            </w:pPr>
          </w:p>
        </w:tc>
        <w:tc>
          <w:tcPr>
            <w:tcW w:w="6816" w:type="dxa"/>
            <w:gridSpan w:val="7"/>
            <w:tcBorders>
              <w:top w:val="nil"/>
              <w:left w:val="nil"/>
              <w:bottom w:val="single" w:color="auto" w:sz="8" w:space="0"/>
              <w:right w:val="single" w:color="auto" w:sz="8" w:space="0"/>
            </w:tcBorders>
            <w:noWrap w:val="0"/>
            <w:vAlign w:val="center"/>
          </w:tcPr>
          <w:p w14:paraId="57ACEB0D">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46F1A17D">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14:paraId="75AA9A47">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BA11ECC">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6B393618">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3BE9D2B3">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监督人员或其他相关人员签字：</w:t>
            </w:r>
          </w:p>
          <w:p w14:paraId="64741EE2">
            <w:pPr>
              <w:widowControl/>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或受邀机构的意见（盖章）：</w:t>
            </w:r>
          </w:p>
        </w:tc>
      </w:tr>
      <w:tr w14:paraId="4F993B98">
        <w:tblPrEx>
          <w:tblCellMar>
            <w:top w:w="0" w:type="dxa"/>
            <w:left w:w="0" w:type="dxa"/>
            <w:bottom w:w="0" w:type="dxa"/>
            <w:right w:w="0" w:type="dxa"/>
          </w:tblCellMar>
        </w:tblPrEx>
        <w:trPr>
          <w:trHeight w:val="90" w:hRule="atLeast"/>
          <w:jc w:val="center"/>
        </w:trPr>
        <w:tc>
          <w:tcPr>
            <w:tcW w:w="4152" w:type="dxa"/>
            <w:gridSpan w:val="5"/>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FF2E53C">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成交供应商负责人签字或盖章：</w:t>
            </w:r>
          </w:p>
          <w:p w14:paraId="224E3AB1">
            <w:pPr>
              <w:widowControl/>
              <w:spacing w:before="100" w:beforeAutospacing="1" w:after="100" w:afterAutospacing="1" w:line="320" w:lineRule="atLeast"/>
              <w:jc w:val="left"/>
              <w:rPr>
                <w:rFonts w:hint="eastAsia" w:ascii="宋体" w:hAnsi="宋体" w:eastAsia="宋体" w:cs="宋体"/>
                <w:color w:val="auto"/>
                <w:kern w:val="0"/>
                <w:szCs w:val="21"/>
                <w:highlight w:val="none"/>
              </w:rPr>
            </w:pPr>
          </w:p>
          <w:p w14:paraId="108A5D5D">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c>
          <w:tcPr>
            <w:tcW w:w="4293" w:type="dxa"/>
            <w:gridSpan w:val="4"/>
            <w:tcBorders>
              <w:top w:val="single" w:color="auto" w:sz="4" w:space="0"/>
              <w:left w:val="single" w:color="auto" w:sz="4" w:space="0"/>
              <w:bottom w:val="single" w:color="auto" w:sz="4" w:space="0"/>
              <w:right w:val="single" w:color="auto" w:sz="4" w:space="0"/>
            </w:tcBorders>
            <w:noWrap w:val="0"/>
            <w:vAlign w:val="center"/>
          </w:tcPr>
          <w:p w14:paraId="7AE3BBE7">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采购人或受托机构的意见（盖章）：</w:t>
            </w:r>
          </w:p>
          <w:p w14:paraId="5F0DED8E">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p>
          <w:p w14:paraId="33CB5B3A">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r>
    </w:tbl>
    <w:p w14:paraId="6C8FCAF0">
      <w:pPr>
        <w:widowControl/>
        <w:rPr>
          <w:color w:val="auto"/>
          <w:sz w:val="21"/>
          <w:highlight w:val="none"/>
        </w:rPr>
      </w:pPr>
      <w:r>
        <w:rPr>
          <w:rFonts w:ascii="宋体" w:hAnsi="宋体"/>
          <w:color w:val="auto"/>
          <w:szCs w:val="21"/>
          <w:highlight w:val="none"/>
        </w:rPr>
        <w:br w:type="page"/>
      </w:r>
    </w:p>
    <w:p w14:paraId="638525B2">
      <w:pPr>
        <w:pStyle w:val="2"/>
        <w:rPr>
          <w:rFonts w:hint="eastAsia"/>
          <w:color w:val="auto"/>
          <w:highlight w:val="none"/>
        </w:rPr>
      </w:pPr>
      <w:r>
        <w:rPr>
          <w:rFonts w:hint="eastAsia"/>
          <w:color w:val="auto"/>
          <w:highlight w:val="none"/>
        </w:rPr>
        <w:t xml:space="preserve"> </w:t>
      </w:r>
      <w:bookmarkStart w:id="70" w:name="_Toc45031226"/>
    </w:p>
    <w:p w14:paraId="3863DEB9">
      <w:pPr>
        <w:pStyle w:val="2"/>
        <w:rPr>
          <w:rFonts w:hint="eastAsia"/>
          <w:color w:val="auto"/>
          <w:highlight w:val="none"/>
        </w:rPr>
      </w:pPr>
      <w:r>
        <w:rPr>
          <w:rFonts w:hint="eastAsia"/>
          <w:color w:val="auto"/>
          <w:highlight w:val="none"/>
        </w:rPr>
        <w:t>第五章  报价文件（格式）</w:t>
      </w:r>
      <w:bookmarkEnd w:id="67"/>
      <w:bookmarkEnd w:id="70"/>
    </w:p>
    <w:p w14:paraId="6ADA2C88">
      <w:pPr>
        <w:tabs>
          <w:tab w:val="left" w:pos="5040"/>
        </w:tabs>
        <w:spacing w:line="400" w:lineRule="exact"/>
        <w:rPr>
          <w:rFonts w:hint="eastAsia" w:ascii="宋体" w:hAnsi="宋体"/>
          <w:b/>
          <w:bCs/>
          <w:color w:val="auto"/>
          <w:kern w:val="44"/>
          <w:sz w:val="36"/>
          <w:szCs w:val="36"/>
          <w:highlight w:val="none"/>
        </w:rPr>
      </w:pPr>
    </w:p>
    <w:p w14:paraId="0DC4578C">
      <w:pPr>
        <w:jc w:val="center"/>
        <w:rPr>
          <w:rFonts w:hint="eastAsia"/>
          <w:b/>
          <w:color w:val="auto"/>
          <w:sz w:val="31"/>
          <w:highlight w:val="none"/>
        </w:rPr>
      </w:pPr>
      <w:bookmarkStart w:id="71" w:name="_Toc467138627"/>
    </w:p>
    <w:p w14:paraId="239C6766">
      <w:pPr>
        <w:jc w:val="center"/>
        <w:rPr>
          <w:rFonts w:hint="eastAsia"/>
          <w:b/>
          <w:color w:val="auto"/>
          <w:sz w:val="31"/>
          <w:highlight w:val="none"/>
        </w:rPr>
      </w:pPr>
    </w:p>
    <w:p w14:paraId="247A348B">
      <w:pPr>
        <w:jc w:val="center"/>
        <w:rPr>
          <w:rFonts w:hint="eastAsia"/>
          <w:b/>
          <w:color w:val="auto"/>
          <w:sz w:val="31"/>
          <w:highlight w:val="none"/>
        </w:rPr>
      </w:pPr>
    </w:p>
    <w:bookmarkEnd w:id="71"/>
    <w:p w14:paraId="5231AF72">
      <w:pPr>
        <w:jc w:val="center"/>
        <w:rPr>
          <w:rFonts w:hint="eastAsia"/>
          <w:b/>
          <w:color w:val="auto"/>
          <w:sz w:val="31"/>
          <w:highlight w:val="none"/>
        </w:rPr>
      </w:pPr>
      <w:r>
        <w:rPr>
          <w:rFonts w:hint="eastAsia" w:ascii="宋体" w:hAnsi="宋体" w:eastAsia="宋体" w:cs="宋体"/>
          <w:color w:val="auto"/>
          <w:sz w:val="44"/>
          <w:szCs w:val="44"/>
          <w:highlight w:val="none"/>
        </w:rPr>
        <w:t>电 子 响 应 文 件</w:t>
      </w:r>
    </w:p>
    <w:p w14:paraId="4F6D103E">
      <w:pPr>
        <w:jc w:val="center"/>
        <w:rPr>
          <w:rFonts w:hint="eastAsia"/>
          <w:b/>
          <w:color w:val="auto"/>
          <w:sz w:val="31"/>
          <w:highlight w:val="none"/>
        </w:rPr>
      </w:pPr>
    </w:p>
    <w:p w14:paraId="0DCCDF1A">
      <w:pPr>
        <w:jc w:val="center"/>
        <w:rPr>
          <w:rFonts w:hint="eastAsia"/>
          <w:b/>
          <w:color w:val="auto"/>
          <w:sz w:val="31"/>
          <w:highlight w:val="none"/>
        </w:rPr>
      </w:pPr>
    </w:p>
    <w:p w14:paraId="610DCAE8">
      <w:pPr>
        <w:pStyle w:val="10"/>
        <w:spacing w:line="440" w:lineRule="exact"/>
        <w:rPr>
          <w:rFonts w:hint="eastAsia" w:hAnsi="宋体"/>
          <w:color w:val="auto"/>
          <w:highlight w:val="none"/>
        </w:rPr>
      </w:pPr>
      <w:r>
        <w:rPr>
          <w:rFonts w:hint="eastAsia" w:hAnsi="宋体"/>
          <w:color w:val="auto"/>
          <w:highlight w:val="none"/>
        </w:rPr>
        <w:t xml:space="preserve"> </w:t>
      </w:r>
    </w:p>
    <w:p w14:paraId="54136859">
      <w:pPr>
        <w:pStyle w:val="10"/>
        <w:spacing w:line="440" w:lineRule="exact"/>
        <w:jc w:val="center"/>
        <w:rPr>
          <w:rFonts w:hint="eastAsia" w:hAnsi="宋体"/>
          <w:color w:val="auto"/>
          <w:highlight w:val="none"/>
        </w:rPr>
      </w:pPr>
    </w:p>
    <w:p w14:paraId="1ACE0B4A">
      <w:pPr>
        <w:pStyle w:val="10"/>
        <w:rPr>
          <w:rFonts w:hint="eastAsia" w:hAnsi="宋体"/>
          <w:color w:val="auto"/>
          <w:highlight w:val="none"/>
        </w:rPr>
      </w:pPr>
    </w:p>
    <w:p w14:paraId="2D14D71C">
      <w:pPr>
        <w:pStyle w:val="10"/>
        <w:rPr>
          <w:rFonts w:hint="eastAsia" w:hAnsi="宋体"/>
          <w:color w:val="auto"/>
          <w:highlight w:val="none"/>
        </w:rPr>
      </w:pPr>
    </w:p>
    <w:p w14:paraId="7AB1A8D0">
      <w:pPr>
        <w:pStyle w:val="10"/>
        <w:rPr>
          <w:rFonts w:hint="eastAsia" w:hAnsi="宋体"/>
          <w:color w:val="auto"/>
          <w:highlight w:val="none"/>
        </w:rPr>
      </w:pPr>
    </w:p>
    <w:p w14:paraId="0C9E6D19">
      <w:pPr>
        <w:pStyle w:val="10"/>
        <w:jc w:val="center"/>
        <w:rPr>
          <w:rFonts w:hint="eastAsia" w:hAnsi="宋体"/>
          <w:color w:val="auto"/>
          <w:sz w:val="72"/>
          <w:highlight w:val="none"/>
        </w:rPr>
      </w:pPr>
      <w:r>
        <w:rPr>
          <w:rFonts w:hint="eastAsia" w:hAnsi="宋体"/>
          <w:color w:val="auto"/>
          <w:sz w:val="72"/>
          <w:highlight w:val="none"/>
        </w:rPr>
        <w:t>报   价  文  件</w:t>
      </w:r>
    </w:p>
    <w:p w14:paraId="2DF4C9A8">
      <w:pPr>
        <w:pStyle w:val="10"/>
        <w:rPr>
          <w:rFonts w:hint="eastAsia" w:hAnsi="宋体"/>
          <w:color w:val="auto"/>
          <w:highlight w:val="none"/>
        </w:rPr>
      </w:pPr>
    </w:p>
    <w:p w14:paraId="3647B8A4">
      <w:pPr>
        <w:pStyle w:val="10"/>
        <w:rPr>
          <w:rFonts w:hint="eastAsia" w:hAnsi="宋体"/>
          <w:color w:val="auto"/>
          <w:highlight w:val="none"/>
        </w:rPr>
      </w:pPr>
    </w:p>
    <w:p w14:paraId="05820197">
      <w:pPr>
        <w:pStyle w:val="10"/>
        <w:rPr>
          <w:rFonts w:hint="eastAsia" w:hAnsi="宋体"/>
          <w:color w:val="auto"/>
          <w:highlight w:val="none"/>
        </w:rPr>
      </w:pPr>
    </w:p>
    <w:p w14:paraId="01265546">
      <w:pPr>
        <w:pStyle w:val="10"/>
        <w:rPr>
          <w:rFonts w:hint="eastAsia" w:hAnsi="宋体"/>
          <w:color w:val="auto"/>
          <w:highlight w:val="none"/>
        </w:rPr>
      </w:pPr>
    </w:p>
    <w:p w14:paraId="6CE1826B">
      <w:pPr>
        <w:pStyle w:val="10"/>
        <w:ind w:firstLine="2554" w:firstLineChars="795"/>
        <w:rPr>
          <w:rFonts w:hint="eastAsia" w:hAnsi="宋体"/>
          <w:b/>
          <w:color w:val="auto"/>
          <w:sz w:val="32"/>
          <w:szCs w:val="32"/>
          <w:highlight w:val="none"/>
          <w:u w:val="single"/>
        </w:rPr>
      </w:pPr>
      <w:r>
        <w:rPr>
          <w:rFonts w:hint="eastAsia" w:hAnsi="宋体"/>
          <w:b/>
          <w:color w:val="auto"/>
          <w:sz w:val="32"/>
          <w:szCs w:val="32"/>
          <w:highlight w:val="none"/>
        </w:rPr>
        <w:t>项目名称：</w:t>
      </w:r>
      <w:r>
        <w:rPr>
          <w:rFonts w:hint="eastAsia" w:hAnsi="宋体"/>
          <w:b/>
          <w:color w:val="auto"/>
          <w:sz w:val="32"/>
          <w:szCs w:val="32"/>
          <w:highlight w:val="none"/>
          <w:u w:val="single"/>
        </w:rPr>
        <w:t xml:space="preserve">                    </w:t>
      </w:r>
    </w:p>
    <w:p w14:paraId="7165DFC7">
      <w:pPr>
        <w:pStyle w:val="10"/>
        <w:ind w:firstLine="2554" w:firstLineChars="795"/>
        <w:rPr>
          <w:rFonts w:hint="eastAsia" w:hAnsi="宋体"/>
          <w:b/>
          <w:color w:val="auto"/>
          <w:sz w:val="32"/>
          <w:szCs w:val="32"/>
          <w:highlight w:val="none"/>
        </w:rPr>
      </w:pPr>
      <w:r>
        <w:rPr>
          <w:rFonts w:hint="eastAsia" w:hAnsi="宋体"/>
          <w:b/>
          <w:color w:val="auto"/>
          <w:sz w:val="32"/>
          <w:szCs w:val="32"/>
          <w:highlight w:val="none"/>
        </w:rPr>
        <w:t>项目编号:</w:t>
      </w:r>
      <w:r>
        <w:rPr>
          <w:rFonts w:hint="eastAsia" w:hAnsi="宋体"/>
          <w:b/>
          <w:color w:val="auto"/>
          <w:sz w:val="32"/>
          <w:szCs w:val="32"/>
          <w:highlight w:val="none"/>
          <w:u w:val="single"/>
        </w:rPr>
        <w:t xml:space="preserve">                    </w:t>
      </w:r>
    </w:p>
    <w:p w14:paraId="37EAA913">
      <w:pPr>
        <w:pStyle w:val="10"/>
        <w:rPr>
          <w:rFonts w:hint="eastAsia" w:hAnsi="宋体"/>
          <w:color w:val="auto"/>
          <w:highlight w:val="none"/>
        </w:rPr>
      </w:pPr>
    </w:p>
    <w:p w14:paraId="10EC8EFC">
      <w:pPr>
        <w:pStyle w:val="10"/>
        <w:rPr>
          <w:rFonts w:hint="eastAsia" w:hAnsi="宋体"/>
          <w:color w:val="auto"/>
          <w:highlight w:val="none"/>
        </w:rPr>
      </w:pPr>
    </w:p>
    <w:p w14:paraId="42425AA4">
      <w:pPr>
        <w:pStyle w:val="10"/>
        <w:rPr>
          <w:rFonts w:hint="eastAsia" w:hAnsi="宋体"/>
          <w:color w:val="auto"/>
          <w:highlight w:val="none"/>
        </w:rPr>
      </w:pPr>
    </w:p>
    <w:p w14:paraId="2863833F">
      <w:pPr>
        <w:pStyle w:val="10"/>
        <w:rPr>
          <w:rFonts w:hint="eastAsia" w:hAnsi="宋体"/>
          <w:color w:val="auto"/>
          <w:highlight w:val="none"/>
        </w:rPr>
      </w:pPr>
    </w:p>
    <w:p w14:paraId="37366354">
      <w:pPr>
        <w:pStyle w:val="10"/>
        <w:rPr>
          <w:rFonts w:hint="eastAsia" w:hAnsi="宋体"/>
          <w:color w:val="auto"/>
          <w:highlight w:val="none"/>
        </w:rPr>
      </w:pPr>
    </w:p>
    <w:p w14:paraId="5A1C5F45">
      <w:pPr>
        <w:pStyle w:val="10"/>
        <w:rPr>
          <w:rFonts w:hint="eastAsia" w:hAnsi="宋体"/>
          <w:color w:val="auto"/>
          <w:highlight w:val="none"/>
        </w:rPr>
      </w:pPr>
    </w:p>
    <w:p w14:paraId="2AE78DA2">
      <w:pPr>
        <w:pStyle w:val="10"/>
        <w:spacing w:line="500" w:lineRule="exact"/>
        <w:ind w:left="1842" w:leftChars="877"/>
        <w:rPr>
          <w:rFonts w:hint="eastAsia" w:hAnsi="宋体"/>
          <w:b/>
          <w:bCs/>
          <w:color w:val="auto"/>
          <w:sz w:val="28"/>
          <w:highlight w:val="none"/>
        </w:rPr>
      </w:pPr>
      <w:r>
        <w:rPr>
          <w:rFonts w:hint="eastAsia" w:hAnsi="宋体"/>
          <w:b/>
          <w:bCs/>
          <w:color w:val="auto"/>
          <w:sz w:val="28"/>
          <w:highlight w:val="none"/>
        </w:rPr>
        <w:t xml:space="preserve">供应商： </w:t>
      </w:r>
      <w:r>
        <w:rPr>
          <w:rFonts w:hint="eastAsia" w:hAnsi="宋体"/>
          <w:b/>
          <w:bCs/>
          <w:color w:val="auto"/>
          <w:sz w:val="28"/>
          <w:highlight w:val="none"/>
          <w:u w:val="single"/>
        </w:rPr>
        <w:t xml:space="preserve">                               </w:t>
      </w:r>
    </w:p>
    <w:p w14:paraId="49DDA92E">
      <w:pPr>
        <w:pStyle w:val="10"/>
        <w:spacing w:line="500" w:lineRule="exact"/>
        <w:ind w:left="1842" w:leftChars="877"/>
        <w:rPr>
          <w:rFonts w:hint="eastAsia" w:hAnsi="宋体"/>
          <w:b/>
          <w:bCs/>
          <w:color w:val="auto"/>
          <w:sz w:val="28"/>
          <w:highlight w:val="none"/>
        </w:rPr>
      </w:pPr>
      <w:r>
        <w:rPr>
          <w:rFonts w:hint="eastAsia" w:hAnsi="宋体"/>
          <w:b/>
          <w:bCs/>
          <w:color w:val="auto"/>
          <w:sz w:val="28"/>
          <w:highlight w:val="none"/>
        </w:rPr>
        <w:t>地 址：</w:t>
      </w:r>
      <w:r>
        <w:rPr>
          <w:rFonts w:hint="eastAsia" w:hAnsi="宋体"/>
          <w:b/>
          <w:bCs/>
          <w:color w:val="auto"/>
          <w:sz w:val="28"/>
          <w:highlight w:val="none"/>
          <w:u w:val="single"/>
        </w:rPr>
        <w:t xml:space="preserve">                                </w:t>
      </w:r>
    </w:p>
    <w:p w14:paraId="032E9B0D">
      <w:pPr>
        <w:pStyle w:val="10"/>
        <w:spacing w:line="500" w:lineRule="exact"/>
        <w:ind w:left="1842" w:leftChars="877"/>
        <w:rPr>
          <w:rFonts w:hint="eastAsia" w:hAnsi="宋体"/>
          <w:b/>
          <w:bCs/>
          <w:color w:val="auto"/>
          <w:sz w:val="28"/>
          <w:highlight w:val="none"/>
        </w:rPr>
      </w:pPr>
      <w:r>
        <w:rPr>
          <w:rFonts w:hint="eastAsia" w:hAnsi="宋体"/>
          <w:b/>
          <w:bCs/>
          <w:color w:val="auto"/>
          <w:sz w:val="28"/>
          <w:highlight w:val="none"/>
        </w:rPr>
        <w:t>联系人：</w:t>
      </w:r>
      <w:r>
        <w:rPr>
          <w:rFonts w:hint="eastAsia" w:hAnsi="宋体"/>
          <w:b/>
          <w:bCs/>
          <w:color w:val="auto"/>
          <w:sz w:val="28"/>
          <w:highlight w:val="none"/>
          <w:u w:val="single"/>
        </w:rPr>
        <w:t xml:space="preserve">                               </w:t>
      </w:r>
    </w:p>
    <w:p w14:paraId="59CA0FCD">
      <w:pPr>
        <w:pStyle w:val="10"/>
        <w:spacing w:line="500" w:lineRule="exact"/>
        <w:ind w:left="1842" w:leftChars="877"/>
        <w:rPr>
          <w:rFonts w:hint="eastAsia" w:hAnsi="宋体"/>
          <w:b/>
          <w:bCs/>
          <w:color w:val="auto"/>
          <w:sz w:val="28"/>
          <w:highlight w:val="none"/>
        </w:rPr>
      </w:pPr>
      <w:r>
        <w:rPr>
          <w:rFonts w:hint="eastAsia" w:hAnsi="宋体"/>
          <w:b/>
          <w:bCs/>
          <w:color w:val="auto"/>
          <w:sz w:val="28"/>
          <w:highlight w:val="none"/>
        </w:rPr>
        <w:t>联系电话：</w:t>
      </w:r>
      <w:r>
        <w:rPr>
          <w:rFonts w:hint="eastAsia" w:hAnsi="宋体"/>
          <w:b/>
          <w:bCs/>
          <w:color w:val="auto"/>
          <w:sz w:val="28"/>
          <w:highlight w:val="none"/>
          <w:u w:val="single"/>
        </w:rPr>
        <w:t xml:space="preserve">                             </w:t>
      </w:r>
    </w:p>
    <w:p w14:paraId="59EDA129">
      <w:pPr>
        <w:pStyle w:val="10"/>
        <w:spacing w:line="500" w:lineRule="exact"/>
        <w:ind w:left="1260" w:leftChars="600"/>
        <w:rPr>
          <w:rFonts w:hint="eastAsia" w:hAnsi="宋体"/>
          <w:b/>
          <w:bCs/>
          <w:color w:val="auto"/>
          <w:sz w:val="28"/>
          <w:highlight w:val="none"/>
        </w:rPr>
      </w:pPr>
    </w:p>
    <w:p w14:paraId="4E9E4C4F">
      <w:pPr>
        <w:pStyle w:val="10"/>
        <w:jc w:val="center"/>
        <w:rPr>
          <w:rFonts w:hint="eastAsia" w:hAnsi="宋体"/>
          <w:b/>
          <w:bCs/>
          <w:color w:val="auto"/>
          <w:sz w:val="28"/>
          <w:highlight w:val="none"/>
        </w:rPr>
      </w:pPr>
      <w:r>
        <w:rPr>
          <w:rFonts w:hint="eastAsia" w:ascii="宋体" w:hAnsi="宋体" w:eastAsia="宋体" w:cs="宋体"/>
          <w:color w:val="auto"/>
          <w:sz w:val="32"/>
          <w:szCs w:val="32"/>
          <w:highlight w:val="none"/>
        </w:rPr>
        <w:t>年    月    日</w:t>
      </w:r>
    </w:p>
    <w:p w14:paraId="385A0218">
      <w:pPr>
        <w:pStyle w:val="10"/>
        <w:jc w:val="center"/>
        <w:rPr>
          <w:rFonts w:hint="eastAsia" w:hAnsi="宋体"/>
          <w:b/>
          <w:bCs/>
          <w:color w:val="auto"/>
          <w:sz w:val="28"/>
          <w:highlight w:val="none"/>
        </w:rPr>
      </w:pPr>
    </w:p>
    <w:p w14:paraId="23DB01F7">
      <w:pPr>
        <w:pStyle w:val="10"/>
        <w:jc w:val="center"/>
        <w:rPr>
          <w:rFonts w:hint="eastAsia" w:hAnsi="宋体"/>
          <w:color w:val="auto"/>
          <w:sz w:val="44"/>
          <w:highlight w:val="none"/>
        </w:rPr>
      </w:pPr>
      <w:r>
        <w:rPr>
          <w:rFonts w:hAnsi="宋体"/>
          <w:b/>
          <w:bCs/>
          <w:color w:val="auto"/>
          <w:sz w:val="28"/>
          <w:highlight w:val="none"/>
        </w:rPr>
        <w:br w:type="page"/>
      </w:r>
    </w:p>
    <w:p w14:paraId="612AE984">
      <w:pPr>
        <w:pStyle w:val="10"/>
        <w:jc w:val="center"/>
        <w:rPr>
          <w:rFonts w:hint="eastAsia" w:hAnsi="宋体"/>
          <w:color w:val="auto"/>
          <w:sz w:val="44"/>
          <w:highlight w:val="none"/>
        </w:rPr>
      </w:pPr>
    </w:p>
    <w:p w14:paraId="23B5AB6E">
      <w:pPr>
        <w:pStyle w:val="10"/>
        <w:jc w:val="center"/>
        <w:rPr>
          <w:rFonts w:hint="eastAsia" w:hAnsi="宋体"/>
          <w:color w:val="auto"/>
          <w:sz w:val="44"/>
          <w:highlight w:val="none"/>
        </w:rPr>
      </w:pPr>
    </w:p>
    <w:p w14:paraId="3BD5A0F7">
      <w:pPr>
        <w:pStyle w:val="10"/>
        <w:jc w:val="center"/>
        <w:rPr>
          <w:rFonts w:hAnsi="宋体"/>
          <w:color w:val="auto"/>
          <w:sz w:val="44"/>
          <w:highlight w:val="none"/>
        </w:rPr>
      </w:pPr>
      <w:r>
        <w:rPr>
          <w:rFonts w:hint="eastAsia" w:hAnsi="宋体"/>
          <w:color w:val="auto"/>
          <w:sz w:val="44"/>
          <w:highlight w:val="none"/>
        </w:rPr>
        <w:t>目     录</w:t>
      </w:r>
    </w:p>
    <w:p w14:paraId="1469D1BB">
      <w:pPr>
        <w:pStyle w:val="10"/>
        <w:jc w:val="center"/>
        <w:rPr>
          <w:rFonts w:hint="eastAsia" w:hAnsi="宋体"/>
          <w:color w:val="auto"/>
          <w:highlight w:val="none"/>
        </w:rPr>
      </w:pPr>
    </w:p>
    <w:p w14:paraId="524C1FDE">
      <w:pPr>
        <w:rPr>
          <w:rFonts w:hint="eastAsia"/>
          <w:color w:val="auto"/>
          <w:highlight w:val="none"/>
        </w:rPr>
      </w:pPr>
    </w:p>
    <w:p w14:paraId="4E79412A">
      <w:pPr>
        <w:pStyle w:val="3"/>
        <w:rPr>
          <w:rFonts w:hint="eastAsia" w:hAnsi="宋体" w:eastAsia="宋体"/>
          <w:color w:val="auto"/>
          <w:sz w:val="24"/>
          <w:highlight w:val="none"/>
          <w:lang w:eastAsia="zh-CN"/>
        </w:rPr>
      </w:pPr>
      <w:r>
        <w:rPr>
          <w:rFonts w:hint="eastAsia" w:ascii="宋体" w:hAnsi="宋体" w:eastAsia="宋体" w:cs="宋体"/>
          <w:color w:val="auto"/>
          <w:sz w:val="32"/>
          <w:szCs w:val="32"/>
          <w:highlight w:val="none"/>
        </w:rPr>
        <w:t>根据</w:t>
      </w:r>
      <w:r>
        <w:rPr>
          <w:rFonts w:hint="eastAsia" w:ascii="宋体" w:hAnsi="宋体" w:cs="宋体"/>
          <w:color w:val="auto"/>
          <w:sz w:val="32"/>
          <w:szCs w:val="32"/>
          <w:highlight w:val="none"/>
          <w:lang w:val="en-US" w:eastAsia="zh-CN"/>
        </w:rPr>
        <w:t>采购</w:t>
      </w:r>
      <w:r>
        <w:rPr>
          <w:rFonts w:hint="eastAsia" w:ascii="宋体" w:hAnsi="宋体" w:eastAsia="宋体" w:cs="宋体"/>
          <w:color w:val="auto"/>
          <w:sz w:val="32"/>
          <w:szCs w:val="32"/>
          <w:highlight w:val="none"/>
        </w:rPr>
        <w:t>文件规定及供应商提供的材料自行编写目录</w:t>
      </w:r>
      <w:r>
        <w:rPr>
          <w:color w:val="auto"/>
          <w:highlight w:val="none"/>
        </w:rPr>
        <w:br w:type="page"/>
      </w:r>
      <w:bookmarkStart w:id="72" w:name="_Toc467138628"/>
      <w:r>
        <w:rPr>
          <w:rFonts w:hint="eastAsia"/>
          <w:color w:val="auto"/>
          <w:highlight w:val="none"/>
          <w:lang w:val="en-US" w:eastAsia="zh-CN"/>
        </w:rPr>
        <w:t>1、</w:t>
      </w:r>
      <w:r>
        <w:rPr>
          <w:rFonts w:hint="eastAsia"/>
          <w:color w:val="auto"/>
          <w:highlight w:val="none"/>
        </w:rPr>
        <w:t>报  价  函</w:t>
      </w:r>
      <w:bookmarkEnd w:id="72"/>
    </w:p>
    <w:p w14:paraId="61F5954C">
      <w:pPr>
        <w:pStyle w:val="10"/>
        <w:spacing w:line="380" w:lineRule="exact"/>
        <w:rPr>
          <w:rFonts w:hint="eastAsia" w:hAnsi="宋体"/>
          <w:color w:val="auto"/>
          <w:highlight w:val="none"/>
        </w:rPr>
      </w:pPr>
      <w:r>
        <w:rPr>
          <w:rFonts w:hint="eastAsia" w:hAnsi="宋体"/>
          <w:color w:val="auto"/>
          <w:highlight w:val="none"/>
        </w:rPr>
        <w:t>致：</w:t>
      </w:r>
      <w:r>
        <w:rPr>
          <w:rFonts w:hint="eastAsia" w:hAnsi="宋体"/>
          <w:color w:val="auto"/>
          <w:highlight w:val="none"/>
          <w:u w:val="single"/>
          <w:lang w:eastAsia="zh-CN"/>
        </w:rPr>
        <w:t>云之龙咨询集团有限公司</w:t>
      </w:r>
      <w:r>
        <w:rPr>
          <w:rFonts w:hint="eastAsia" w:hAnsi="宋体"/>
          <w:color w:val="auto"/>
          <w:highlight w:val="none"/>
          <w:u w:val="single"/>
        </w:rPr>
        <w:t xml:space="preserve"> </w:t>
      </w:r>
    </w:p>
    <w:p w14:paraId="4A7EE7C4">
      <w:pPr>
        <w:pStyle w:val="10"/>
        <w:spacing w:line="380" w:lineRule="exact"/>
        <w:ind w:firstLine="420" w:firstLineChars="200"/>
        <w:rPr>
          <w:rFonts w:hAnsi="宋体"/>
          <w:color w:val="auto"/>
          <w:highlight w:val="none"/>
        </w:rPr>
      </w:pPr>
      <w:r>
        <w:rPr>
          <w:rFonts w:hint="eastAsia" w:hAnsi="宋体"/>
          <w:color w:val="auto"/>
          <w:highlight w:val="none"/>
        </w:rPr>
        <w:t>根据贵方</w:t>
      </w:r>
      <w:r>
        <w:rPr>
          <w:rFonts w:hint="eastAsia" w:hAnsi="宋体"/>
          <w:color w:val="auto"/>
          <w:highlight w:val="none"/>
          <w:u w:val="single"/>
        </w:rPr>
        <w:t>（项目名称</w:t>
      </w:r>
      <w:r>
        <w:rPr>
          <w:rFonts w:hint="eastAsia" w:hAnsi="宋体"/>
          <w:color w:val="auto"/>
          <w:highlight w:val="none"/>
          <w:u w:val="single"/>
          <w:lang w:eastAsia="zh-CN"/>
        </w:rPr>
        <w:t>：</w:t>
      </w:r>
      <w:r>
        <w:rPr>
          <w:rFonts w:hint="eastAsia" w:hAnsi="宋体"/>
          <w:color w:val="auto"/>
          <w:highlight w:val="none"/>
          <w:u w:val="single"/>
          <w:lang w:val="en-US" w:eastAsia="zh-CN"/>
        </w:rPr>
        <w:t xml:space="preserve">          </w:t>
      </w:r>
      <w:r>
        <w:rPr>
          <w:rFonts w:hint="eastAsia" w:hAnsi="宋体"/>
          <w:color w:val="auto"/>
          <w:highlight w:val="none"/>
          <w:u w:val="single"/>
        </w:rPr>
        <w:t>）</w:t>
      </w:r>
      <w:r>
        <w:rPr>
          <w:rFonts w:hint="eastAsia" w:hAnsi="宋体"/>
          <w:color w:val="auto"/>
          <w:highlight w:val="none"/>
        </w:rPr>
        <w:t>项目单一来源采购文件（</w:t>
      </w:r>
      <w:r>
        <w:rPr>
          <w:rFonts w:hint="eastAsia" w:hAnsi="宋体"/>
          <w:color w:val="auto"/>
          <w:highlight w:val="none"/>
          <w:lang w:val="en-US" w:eastAsia="zh-CN"/>
        </w:rPr>
        <w:t>项目</w:t>
      </w:r>
      <w:r>
        <w:rPr>
          <w:rFonts w:hint="eastAsia" w:hAnsi="宋体"/>
          <w:color w:val="auto"/>
          <w:highlight w:val="none"/>
        </w:rPr>
        <w:t>编号：</w:t>
      </w:r>
      <w:r>
        <w:rPr>
          <w:rFonts w:hint="eastAsia" w:hAnsi="宋体"/>
          <w:color w:val="auto"/>
          <w:highlight w:val="none"/>
          <w:u w:val="single"/>
        </w:rPr>
        <w:t xml:space="preserve">            ）</w:t>
      </w:r>
      <w:r>
        <w:rPr>
          <w:rFonts w:hint="eastAsia" w:hAnsi="宋体"/>
          <w:color w:val="auto"/>
          <w:highlight w:val="none"/>
        </w:rPr>
        <w:t>，正式授权下述签字人</w:t>
      </w:r>
      <w:r>
        <w:rPr>
          <w:rFonts w:hint="eastAsia" w:hAnsi="宋体"/>
          <w:color w:val="auto"/>
          <w:highlight w:val="none"/>
          <w:u w:val="single"/>
        </w:rPr>
        <w:t xml:space="preserve">   （姓名和职务）     </w:t>
      </w:r>
      <w:r>
        <w:rPr>
          <w:rFonts w:hint="eastAsia" w:hAnsi="宋体"/>
          <w:color w:val="auto"/>
          <w:highlight w:val="none"/>
        </w:rPr>
        <w:t>全权代表供应商</w:t>
      </w:r>
      <w:r>
        <w:rPr>
          <w:rFonts w:hint="eastAsia" w:hAnsi="宋体"/>
          <w:color w:val="auto"/>
          <w:highlight w:val="none"/>
          <w:u w:val="single"/>
        </w:rPr>
        <w:t>（供应商全称）</w:t>
      </w:r>
      <w:r>
        <w:rPr>
          <w:rFonts w:hint="eastAsia" w:hAnsi="宋体"/>
          <w:color w:val="auto"/>
          <w:highlight w:val="none"/>
        </w:rPr>
        <w:t>参加贵方组织的有关采购活动，并提交下述文件电子文档一份：</w:t>
      </w:r>
    </w:p>
    <w:p w14:paraId="291B6DFD">
      <w:pPr>
        <w:pStyle w:val="10"/>
        <w:spacing w:line="380" w:lineRule="exact"/>
        <w:ind w:firstLine="420" w:firstLineChars="200"/>
        <w:rPr>
          <w:rFonts w:hint="eastAsia" w:hAnsi="宋体"/>
          <w:color w:val="auto"/>
          <w:highlight w:val="none"/>
        </w:rPr>
      </w:pPr>
      <w:r>
        <w:rPr>
          <w:rFonts w:hint="eastAsia" w:hAnsi="宋体"/>
          <w:color w:val="auto"/>
          <w:highlight w:val="none"/>
        </w:rPr>
        <w:t>报价文件(按单一来源采购文件第五章要求的格式及顺序自行填写提交)：</w:t>
      </w:r>
    </w:p>
    <w:p w14:paraId="03C7D3A2">
      <w:pPr>
        <w:pStyle w:val="10"/>
        <w:spacing w:line="380" w:lineRule="exact"/>
        <w:ind w:firstLine="420" w:firstLineChars="200"/>
        <w:rPr>
          <w:rFonts w:hint="eastAsia" w:hAnsi="宋体"/>
          <w:color w:val="auto"/>
          <w:highlight w:val="none"/>
        </w:rPr>
      </w:pPr>
      <w:r>
        <w:rPr>
          <w:rFonts w:hint="eastAsia" w:hAnsi="宋体"/>
          <w:color w:val="auto"/>
          <w:highlight w:val="none"/>
        </w:rPr>
        <w:t>（1）报价函；</w:t>
      </w:r>
    </w:p>
    <w:p w14:paraId="47E3A754">
      <w:pPr>
        <w:pStyle w:val="10"/>
        <w:spacing w:line="380" w:lineRule="exact"/>
        <w:ind w:firstLine="420" w:firstLineChars="200"/>
        <w:rPr>
          <w:rFonts w:hint="eastAsia" w:hAnsi="宋体"/>
          <w:color w:val="auto"/>
          <w:highlight w:val="none"/>
        </w:rPr>
      </w:pPr>
      <w:r>
        <w:rPr>
          <w:rFonts w:hint="eastAsia" w:hAnsi="宋体"/>
          <w:color w:val="auto"/>
          <w:highlight w:val="none"/>
        </w:rPr>
        <w:t>（2）报价表；</w:t>
      </w:r>
    </w:p>
    <w:p w14:paraId="46F0A6F2">
      <w:pPr>
        <w:pStyle w:val="10"/>
        <w:spacing w:line="380" w:lineRule="exact"/>
        <w:ind w:firstLine="420" w:firstLineChars="200"/>
        <w:rPr>
          <w:rFonts w:hint="eastAsia" w:hAnsi="宋体"/>
          <w:color w:val="auto"/>
          <w:highlight w:val="none"/>
        </w:rPr>
      </w:pPr>
      <w:r>
        <w:rPr>
          <w:rFonts w:hint="eastAsia" w:hAnsi="宋体"/>
          <w:color w:val="auto"/>
          <w:highlight w:val="none"/>
        </w:rPr>
        <w:t>（3）供应商资格证明文件；</w:t>
      </w:r>
    </w:p>
    <w:p w14:paraId="5A379564">
      <w:pPr>
        <w:pStyle w:val="10"/>
        <w:spacing w:line="380" w:lineRule="exact"/>
        <w:ind w:firstLine="420" w:firstLineChars="200"/>
        <w:rPr>
          <w:rFonts w:hint="eastAsia" w:hAnsi="宋体"/>
          <w:color w:val="auto"/>
          <w:highlight w:val="none"/>
        </w:rPr>
      </w:pPr>
      <w:r>
        <w:rPr>
          <w:rFonts w:hint="eastAsia" w:hAnsi="宋体"/>
          <w:color w:val="auto"/>
          <w:highlight w:val="none"/>
        </w:rPr>
        <w:t>（4）</w:t>
      </w:r>
      <w:r>
        <w:rPr>
          <w:rFonts w:hint="eastAsia" w:hAnsi="宋体"/>
          <w:color w:val="auto"/>
          <w:highlight w:val="none"/>
          <w:lang w:eastAsia="zh-CN"/>
        </w:rPr>
        <w:t>商务、技术</w:t>
      </w:r>
      <w:r>
        <w:rPr>
          <w:rFonts w:hint="eastAsia" w:hAnsi="宋体"/>
          <w:color w:val="auto"/>
          <w:highlight w:val="none"/>
        </w:rPr>
        <w:t>响应偏离情况说明表；</w:t>
      </w:r>
    </w:p>
    <w:p w14:paraId="5B9B8D63">
      <w:pPr>
        <w:pStyle w:val="10"/>
        <w:spacing w:line="500" w:lineRule="exact"/>
        <w:ind w:firstLine="420"/>
        <w:rPr>
          <w:rFonts w:hint="eastAsia" w:hAnsi="宋体"/>
          <w:color w:val="auto"/>
          <w:highlight w:val="none"/>
        </w:rPr>
      </w:pPr>
      <w:r>
        <w:rPr>
          <w:rFonts w:hint="eastAsia" w:hAnsi="宋体"/>
          <w:color w:val="auto"/>
          <w:highlight w:val="none"/>
        </w:rPr>
        <w:t>（5）服务承诺书；</w:t>
      </w:r>
    </w:p>
    <w:p w14:paraId="6EA748AE">
      <w:pPr>
        <w:pStyle w:val="10"/>
        <w:spacing w:line="380" w:lineRule="exact"/>
        <w:ind w:firstLine="420" w:firstLineChars="200"/>
        <w:rPr>
          <w:rFonts w:hint="eastAsia" w:hAnsi="宋体"/>
          <w:color w:val="auto"/>
          <w:highlight w:val="none"/>
        </w:rPr>
      </w:pPr>
      <w:r>
        <w:rPr>
          <w:rFonts w:hint="eastAsia" w:hAnsi="宋体"/>
          <w:color w:val="auto"/>
          <w:highlight w:val="none"/>
        </w:rPr>
        <w:t>（6）供应商认为有必要提供的其他有关资料。</w:t>
      </w:r>
    </w:p>
    <w:p w14:paraId="788B6763">
      <w:pPr>
        <w:pStyle w:val="10"/>
        <w:spacing w:line="380" w:lineRule="exact"/>
        <w:ind w:firstLine="420" w:firstLineChars="200"/>
        <w:rPr>
          <w:rFonts w:hint="eastAsia" w:hAnsi="宋体"/>
          <w:color w:val="auto"/>
          <w:highlight w:val="none"/>
        </w:rPr>
      </w:pPr>
      <w:r>
        <w:rPr>
          <w:rFonts w:hint="eastAsia" w:hAnsi="宋体"/>
          <w:color w:val="auto"/>
          <w:highlight w:val="none"/>
        </w:rPr>
        <w:t>据此函，签字人兹宣布同意如下：</w:t>
      </w:r>
    </w:p>
    <w:p w14:paraId="607DED78">
      <w:pPr>
        <w:pStyle w:val="10"/>
        <w:numPr>
          <w:ilvl w:val="0"/>
          <w:numId w:val="2"/>
        </w:numPr>
        <w:spacing w:line="380" w:lineRule="exact"/>
        <w:ind w:firstLine="420" w:firstLineChars="200"/>
        <w:rPr>
          <w:rFonts w:hint="eastAsia" w:hAnsi="宋体"/>
          <w:color w:val="auto"/>
          <w:highlight w:val="none"/>
        </w:rPr>
      </w:pPr>
      <w:r>
        <w:rPr>
          <w:rFonts w:hint="eastAsia" w:hAnsi="宋体"/>
          <w:color w:val="auto"/>
          <w:highlight w:val="none"/>
        </w:rPr>
        <w:t>按单一来源采购文件服务项目需求和报价表，总报价（大写）人民币</w:t>
      </w:r>
      <w:r>
        <w:rPr>
          <w:rFonts w:hint="eastAsia" w:hAnsi="宋体"/>
          <w:color w:val="auto"/>
          <w:highlight w:val="none"/>
          <w:u w:val="single"/>
        </w:rPr>
        <w:t xml:space="preserve">      (</w:t>
      </w:r>
      <w:r>
        <w:rPr>
          <w:rFonts w:hint="eastAsia" w:hAnsi="宋体"/>
          <w:color w:val="auto"/>
          <w:highlight w:val="none"/>
        </w:rPr>
        <w:t>¥</w:t>
      </w:r>
      <w:r>
        <w:rPr>
          <w:rFonts w:hint="eastAsia" w:hAnsi="宋体"/>
          <w:color w:val="auto"/>
          <w:highlight w:val="none"/>
          <w:u w:val="single"/>
        </w:rPr>
        <w:t xml:space="preserve">        </w:t>
      </w:r>
      <w:r>
        <w:rPr>
          <w:rFonts w:hint="eastAsia" w:hAnsi="宋体"/>
          <w:color w:val="auto"/>
          <w:highlight w:val="none"/>
        </w:rPr>
        <w:t>)，</w:t>
      </w:r>
      <w:r>
        <w:rPr>
          <w:rFonts w:hint="eastAsia" w:hAnsi="宋体"/>
          <w:color w:val="auto"/>
          <w:highlight w:val="none"/>
          <w:lang w:eastAsia="zh-CN"/>
        </w:rPr>
        <w:t>合同履约期限</w:t>
      </w:r>
      <w:r>
        <w:rPr>
          <w:rFonts w:hint="eastAsia" w:hAnsi="宋体"/>
          <w:color w:val="auto"/>
          <w:highlight w:val="none"/>
        </w:rPr>
        <w:t>：</w:t>
      </w:r>
      <w:r>
        <w:rPr>
          <w:rFonts w:hint="eastAsia" w:hAnsi="宋体"/>
          <w:color w:val="auto"/>
          <w:highlight w:val="none"/>
          <w:u w:val="single"/>
        </w:rPr>
        <w:t xml:space="preserve">          </w:t>
      </w:r>
      <w:r>
        <w:rPr>
          <w:rFonts w:hint="eastAsia" w:hAnsi="宋体"/>
          <w:color w:val="auto"/>
          <w:highlight w:val="none"/>
        </w:rPr>
        <w:t>；</w:t>
      </w:r>
    </w:p>
    <w:p w14:paraId="16DA2702">
      <w:pPr>
        <w:pStyle w:val="10"/>
        <w:numPr>
          <w:ilvl w:val="0"/>
          <w:numId w:val="0"/>
        </w:numPr>
        <w:spacing w:line="380" w:lineRule="exact"/>
        <w:ind w:firstLine="420" w:firstLineChars="200"/>
        <w:rPr>
          <w:rFonts w:hint="eastAsia" w:hAnsi="宋体"/>
          <w:color w:val="auto"/>
          <w:highlight w:val="none"/>
        </w:rPr>
      </w:pPr>
      <w:r>
        <w:rPr>
          <w:rFonts w:hint="eastAsia" w:hAnsi="宋体"/>
          <w:color w:val="auto"/>
          <w:highlight w:val="none"/>
        </w:rPr>
        <w:t>2、我方同意在供应商须知规定的开标日期起遵循本单一来源采购文件，并在供应商须知第12条规定的报价有效期满之前均具有约束力，并有可能成交。</w:t>
      </w:r>
    </w:p>
    <w:p w14:paraId="2ED3910D">
      <w:pPr>
        <w:pStyle w:val="10"/>
        <w:spacing w:line="380" w:lineRule="exact"/>
        <w:ind w:firstLine="420" w:firstLineChars="200"/>
        <w:rPr>
          <w:rFonts w:hint="eastAsia" w:hAnsi="宋体"/>
          <w:color w:val="auto"/>
          <w:highlight w:val="none"/>
        </w:rPr>
      </w:pPr>
      <w:r>
        <w:rPr>
          <w:rFonts w:hint="eastAsia" w:hAnsi="宋体"/>
          <w:color w:val="auto"/>
          <w:highlight w:val="none"/>
        </w:rPr>
        <w:t>3、我方承诺已经具备《中华人民共和国政府采购法》中规定的参加政府采购活动的供应商应当具备的条件：</w:t>
      </w:r>
    </w:p>
    <w:p w14:paraId="6E58DFD4">
      <w:pPr>
        <w:pStyle w:val="10"/>
        <w:spacing w:line="380" w:lineRule="exact"/>
        <w:ind w:firstLine="420" w:firstLineChars="200"/>
        <w:rPr>
          <w:rFonts w:hint="eastAsia" w:hAnsi="宋体"/>
          <w:color w:val="auto"/>
          <w:highlight w:val="none"/>
        </w:rPr>
      </w:pPr>
      <w:r>
        <w:rPr>
          <w:rFonts w:hAnsi="宋体"/>
          <w:color w:val="auto"/>
          <w:highlight w:val="none"/>
        </w:rPr>
        <w:fldChar w:fldCharType="begin"/>
      </w:r>
      <w:r>
        <w:rPr>
          <w:rFonts w:hAnsi="宋体"/>
          <w:color w:val="auto"/>
          <w:highlight w:val="none"/>
        </w:rPr>
        <w:instrText xml:space="preserve"> = 1 \* GB2 </w:instrText>
      </w:r>
      <w:r>
        <w:rPr>
          <w:rFonts w:hAnsi="宋体"/>
          <w:color w:val="auto"/>
          <w:highlight w:val="none"/>
        </w:rPr>
        <w:fldChar w:fldCharType="separate"/>
      </w:r>
      <w:r>
        <w:rPr>
          <w:rFonts w:hint="eastAsia" w:hAnsi="宋体"/>
          <w:color w:val="auto"/>
          <w:highlight w:val="none"/>
        </w:rPr>
        <w:t>⑴</w:t>
      </w:r>
      <w:r>
        <w:rPr>
          <w:rFonts w:hAnsi="宋体"/>
          <w:color w:val="auto"/>
          <w:highlight w:val="none"/>
        </w:rPr>
        <w:fldChar w:fldCharType="end"/>
      </w:r>
      <w:r>
        <w:rPr>
          <w:rFonts w:hint="eastAsia" w:hAnsi="宋体"/>
          <w:color w:val="auto"/>
          <w:highlight w:val="none"/>
        </w:rPr>
        <w:t>具有独立承担民事责任的能力；</w:t>
      </w:r>
    </w:p>
    <w:p w14:paraId="3A8B0EF8">
      <w:pPr>
        <w:pStyle w:val="10"/>
        <w:spacing w:line="380" w:lineRule="exact"/>
        <w:ind w:firstLine="420" w:firstLineChars="200"/>
        <w:rPr>
          <w:rFonts w:hint="eastAsia" w:hAnsi="宋体"/>
          <w:color w:val="auto"/>
          <w:highlight w:val="none"/>
        </w:rPr>
      </w:pPr>
      <w:r>
        <w:rPr>
          <w:rFonts w:hAnsi="宋体"/>
          <w:color w:val="auto"/>
          <w:highlight w:val="none"/>
        </w:rPr>
        <w:fldChar w:fldCharType="begin"/>
      </w:r>
      <w:r>
        <w:rPr>
          <w:rFonts w:hAnsi="宋体"/>
          <w:color w:val="auto"/>
          <w:highlight w:val="none"/>
        </w:rPr>
        <w:instrText xml:space="preserve"> = 2 \* GB2 </w:instrText>
      </w:r>
      <w:r>
        <w:rPr>
          <w:rFonts w:hAnsi="宋体"/>
          <w:color w:val="auto"/>
          <w:highlight w:val="none"/>
        </w:rPr>
        <w:fldChar w:fldCharType="separate"/>
      </w:r>
      <w:r>
        <w:rPr>
          <w:rFonts w:hint="eastAsia" w:hAnsi="宋体"/>
          <w:color w:val="auto"/>
          <w:highlight w:val="none"/>
        </w:rPr>
        <w:t>⑵</w:t>
      </w:r>
      <w:r>
        <w:rPr>
          <w:rFonts w:hAnsi="宋体"/>
          <w:color w:val="auto"/>
          <w:highlight w:val="none"/>
        </w:rPr>
        <w:fldChar w:fldCharType="end"/>
      </w:r>
      <w:r>
        <w:rPr>
          <w:rFonts w:hint="eastAsia" w:hAnsi="宋体"/>
          <w:color w:val="auto"/>
          <w:highlight w:val="none"/>
        </w:rPr>
        <w:t>具有良好的商业信誉和健全的财务会计制度；</w:t>
      </w:r>
    </w:p>
    <w:p w14:paraId="11CB2B30">
      <w:pPr>
        <w:pStyle w:val="10"/>
        <w:spacing w:line="380" w:lineRule="exact"/>
        <w:ind w:firstLine="420" w:firstLineChars="200"/>
        <w:rPr>
          <w:rFonts w:hint="eastAsia" w:hAnsi="宋体"/>
          <w:color w:val="auto"/>
          <w:highlight w:val="none"/>
        </w:rPr>
      </w:pPr>
      <w:r>
        <w:rPr>
          <w:rFonts w:hAnsi="宋体"/>
          <w:color w:val="auto"/>
          <w:highlight w:val="none"/>
        </w:rPr>
        <w:fldChar w:fldCharType="begin"/>
      </w:r>
      <w:r>
        <w:rPr>
          <w:rFonts w:hAnsi="宋体"/>
          <w:color w:val="auto"/>
          <w:highlight w:val="none"/>
        </w:rPr>
        <w:instrText xml:space="preserve"> = 3 \* GB2 </w:instrText>
      </w:r>
      <w:r>
        <w:rPr>
          <w:rFonts w:hAnsi="宋体"/>
          <w:color w:val="auto"/>
          <w:highlight w:val="none"/>
        </w:rPr>
        <w:fldChar w:fldCharType="separate"/>
      </w:r>
      <w:r>
        <w:rPr>
          <w:rFonts w:hint="eastAsia" w:hAnsi="宋体"/>
          <w:color w:val="auto"/>
          <w:highlight w:val="none"/>
        </w:rPr>
        <w:t>⑶</w:t>
      </w:r>
      <w:r>
        <w:rPr>
          <w:rFonts w:hAnsi="宋体"/>
          <w:color w:val="auto"/>
          <w:highlight w:val="none"/>
        </w:rPr>
        <w:fldChar w:fldCharType="end"/>
      </w:r>
      <w:r>
        <w:rPr>
          <w:rFonts w:hint="eastAsia" w:hAnsi="宋体"/>
          <w:color w:val="auto"/>
          <w:highlight w:val="none"/>
        </w:rPr>
        <w:t>具有履行合同所必需的设备和专业技术能力；</w:t>
      </w:r>
    </w:p>
    <w:p w14:paraId="44721226">
      <w:pPr>
        <w:pStyle w:val="10"/>
        <w:spacing w:line="380" w:lineRule="exact"/>
        <w:ind w:firstLine="420" w:firstLineChars="200"/>
        <w:rPr>
          <w:rFonts w:hint="eastAsia" w:hAnsi="宋体"/>
          <w:color w:val="auto"/>
          <w:highlight w:val="none"/>
        </w:rPr>
      </w:pPr>
      <w:r>
        <w:rPr>
          <w:rFonts w:hAnsi="宋体"/>
          <w:color w:val="auto"/>
          <w:highlight w:val="none"/>
        </w:rPr>
        <w:fldChar w:fldCharType="begin"/>
      </w:r>
      <w:r>
        <w:rPr>
          <w:rFonts w:hAnsi="宋体"/>
          <w:color w:val="auto"/>
          <w:highlight w:val="none"/>
        </w:rPr>
        <w:instrText xml:space="preserve"> = 4 \* GB2 </w:instrText>
      </w:r>
      <w:r>
        <w:rPr>
          <w:rFonts w:hAnsi="宋体"/>
          <w:color w:val="auto"/>
          <w:highlight w:val="none"/>
        </w:rPr>
        <w:fldChar w:fldCharType="separate"/>
      </w:r>
      <w:r>
        <w:rPr>
          <w:rFonts w:hint="eastAsia" w:hAnsi="宋体"/>
          <w:color w:val="auto"/>
          <w:highlight w:val="none"/>
        </w:rPr>
        <w:t>⑷</w:t>
      </w:r>
      <w:r>
        <w:rPr>
          <w:rFonts w:hAnsi="宋体"/>
          <w:color w:val="auto"/>
          <w:highlight w:val="none"/>
        </w:rPr>
        <w:fldChar w:fldCharType="end"/>
      </w:r>
      <w:r>
        <w:rPr>
          <w:rFonts w:hint="eastAsia" w:hAnsi="宋体"/>
          <w:color w:val="auto"/>
          <w:highlight w:val="none"/>
        </w:rPr>
        <w:t>有依法缴纳税收和社会保障资金的良好记录；</w:t>
      </w:r>
    </w:p>
    <w:p w14:paraId="484D6E40">
      <w:pPr>
        <w:pStyle w:val="10"/>
        <w:spacing w:line="380" w:lineRule="exact"/>
        <w:ind w:firstLine="420" w:firstLineChars="200"/>
        <w:rPr>
          <w:rFonts w:hint="eastAsia" w:hAnsi="宋体"/>
          <w:color w:val="auto"/>
          <w:highlight w:val="none"/>
        </w:rPr>
      </w:pPr>
      <w:r>
        <w:rPr>
          <w:rFonts w:hAnsi="宋体"/>
          <w:color w:val="auto"/>
          <w:highlight w:val="none"/>
        </w:rPr>
        <w:fldChar w:fldCharType="begin"/>
      </w:r>
      <w:r>
        <w:rPr>
          <w:rFonts w:hAnsi="宋体"/>
          <w:color w:val="auto"/>
          <w:highlight w:val="none"/>
        </w:rPr>
        <w:instrText xml:space="preserve"> = 5 \* GB2 </w:instrText>
      </w:r>
      <w:r>
        <w:rPr>
          <w:rFonts w:hAnsi="宋体"/>
          <w:color w:val="auto"/>
          <w:highlight w:val="none"/>
        </w:rPr>
        <w:fldChar w:fldCharType="separate"/>
      </w:r>
      <w:r>
        <w:rPr>
          <w:rFonts w:hint="eastAsia" w:hAnsi="宋体"/>
          <w:color w:val="auto"/>
          <w:highlight w:val="none"/>
        </w:rPr>
        <w:t>⑸</w:t>
      </w:r>
      <w:r>
        <w:rPr>
          <w:rFonts w:hAnsi="宋体"/>
          <w:color w:val="auto"/>
          <w:highlight w:val="none"/>
        </w:rPr>
        <w:fldChar w:fldCharType="end"/>
      </w:r>
      <w:r>
        <w:rPr>
          <w:rFonts w:hint="eastAsia" w:hAnsi="宋体"/>
          <w:color w:val="auto"/>
          <w:highlight w:val="none"/>
        </w:rPr>
        <w:t>参加此项采购活动前三年内，在经营活动中没有重大违法记录。</w:t>
      </w:r>
    </w:p>
    <w:p w14:paraId="6B76338F">
      <w:pPr>
        <w:pStyle w:val="10"/>
        <w:spacing w:line="380" w:lineRule="exact"/>
        <w:ind w:firstLine="420" w:firstLineChars="200"/>
        <w:rPr>
          <w:rFonts w:hint="eastAsia" w:hAnsi="宋体"/>
          <w:color w:val="auto"/>
          <w:highlight w:val="none"/>
        </w:rPr>
      </w:pPr>
      <w:r>
        <w:rPr>
          <w:rFonts w:hint="eastAsia" w:hAnsi="宋体"/>
          <w:color w:val="auto"/>
          <w:highlight w:val="none"/>
        </w:rPr>
        <w:t>4、我方根据单一来源采购文件的规定，承担完成合同的责任和义务。</w:t>
      </w:r>
    </w:p>
    <w:p w14:paraId="32A7A13A">
      <w:pPr>
        <w:pStyle w:val="10"/>
        <w:spacing w:line="380" w:lineRule="exact"/>
        <w:ind w:firstLine="420" w:firstLineChars="200"/>
        <w:rPr>
          <w:rFonts w:hint="eastAsia" w:hAnsi="宋体"/>
          <w:color w:val="auto"/>
          <w:highlight w:val="none"/>
        </w:rPr>
      </w:pPr>
      <w:r>
        <w:rPr>
          <w:rFonts w:hint="eastAsia" w:hAnsi="宋体"/>
          <w:color w:val="auto"/>
          <w:highlight w:val="none"/>
        </w:rPr>
        <w:t>5、我方已详细审核单一来源采购文件，我方知道必须放弃提出含糊不清或误解问题的权利。</w:t>
      </w:r>
    </w:p>
    <w:p w14:paraId="7AA30299">
      <w:pPr>
        <w:pStyle w:val="10"/>
        <w:spacing w:line="380" w:lineRule="exact"/>
        <w:ind w:firstLine="420" w:firstLineChars="200"/>
        <w:rPr>
          <w:rFonts w:hint="eastAsia" w:hAnsi="宋体"/>
          <w:color w:val="auto"/>
          <w:highlight w:val="none"/>
        </w:rPr>
      </w:pPr>
      <w:r>
        <w:rPr>
          <w:rFonts w:hint="eastAsia" w:hAnsi="宋体"/>
          <w:color w:val="auto"/>
          <w:highlight w:val="none"/>
        </w:rPr>
        <w:t>6、如果在报价截止时间后的报价有效期内撤回报价或者有其他违约行为，原承担相关的一切责任。</w:t>
      </w:r>
    </w:p>
    <w:p w14:paraId="7A7F367C">
      <w:pPr>
        <w:pStyle w:val="10"/>
        <w:spacing w:line="380" w:lineRule="exact"/>
        <w:ind w:firstLine="420" w:firstLineChars="200"/>
        <w:rPr>
          <w:rFonts w:hint="eastAsia" w:hAnsi="宋体"/>
          <w:color w:val="auto"/>
          <w:highlight w:val="none"/>
        </w:rPr>
      </w:pPr>
      <w:r>
        <w:rPr>
          <w:rFonts w:hint="eastAsia" w:hAnsi="宋体"/>
          <w:color w:val="auto"/>
          <w:highlight w:val="none"/>
        </w:rPr>
        <w:t>7、同意向贵方提供贵方可能要求的与本报价有关的任何数据或资料。</w:t>
      </w:r>
    </w:p>
    <w:p w14:paraId="56ACD2DD">
      <w:pPr>
        <w:pStyle w:val="10"/>
        <w:spacing w:line="380" w:lineRule="exact"/>
        <w:ind w:firstLine="420" w:firstLineChars="200"/>
        <w:rPr>
          <w:rFonts w:hint="eastAsia" w:hAnsi="宋体"/>
          <w:color w:val="auto"/>
          <w:highlight w:val="none"/>
        </w:rPr>
      </w:pPr>
      <w:r>
        <w:rPr>
          <w:rFonts w:hint="eastAsia" w:hAnsi="宋体"/>
          <w:color w:val="auto"/>
          <w:highlight w:val="none"/>
        </w:rPr>
        <w:t>8、若贵方需要，我方愿意提供我方作出的一切承诺的证明材料。</w:t>
      </w:r>
    </w:p>
    <w:p w14:paraId="28D236DD">
      <w:pPr>
        <w:pStyle w:val="10"/>
        <w:spacing w:line="380" w:lineRule="exact"/>
        <w:ind w:firstLine="420" w:firstLineChars="200"/>
        <w:rPr>
          <w:rFonts w:hint="eastAsia" w:hAnsi="宋体"/>
          <w:color w:val="auto"/>
          <w:highlight w:val="none"/>
        </w:rPr>
      </w:pPr>
      <w:r>
        <w:rPr>
          <w:rFonts w:hint="eastAsia" w:hAnsi="宋体"/>
          <w:color w:val="auto"/>
          <w:highlight w:val="none"/>
        </w:rPr>
        <w:t>9、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7C7CCF2F">
      <w:pPr>
        <w:pStyle w:val="10"/>
        <w:spacing w:line="380" w:lineRule="exact"/>
        <w:ind w:firstLine="420" w:firstLineChars="200"/>
        <w:rPr>
          <w:rFonts w:hint="eastAsia" w:hAnsi="宋体"/>
          <w:color w:val="auto"/>
          <w:highlight w:val="none"/>
        </w:rPr>
      </w:pPr>
      <w:r>
        <w:rPr>
          <w:rFonts w:hAnsi="宋体"/>
          <w:color w:val="auto"/>
          <w:highlight w:val="none"/>
        </w:rPr>
        <w:fldChar w:fldCharType="begin"/>
      </w:r>
      <w:r>
        <w:rPr>
          <w:rFonts w:hAnsi="宋体"/>
          <w:color w:val="auto"/>
          <w:highlight w:val="none"/>
        </w:rPr>
        <w:instrText xml:space="preserve"> = 1 \* GB2 </w:instrText>
      </w:r>
      <w:r>
        <w:rPr>
          <w:rFonts w:hAnsi="宋体"/>
          <w:color w:val="auto"/>
          <w:highlight w:val="none"/>
        </w:rPr>
        <w:fldChar w:fldCharType="separate"/>
      </w:r>
      <w:r>
        <w:rPr>
          <w:rFonts w:hAnsi="宋体"/>
          <w:color w:val="auto"/>
          <w:highlight w:val="none"/>
        </w:rPr>
        <w:t>⑴</w:t>
      </w:r>
      <w:r>
        <w:rPr>
          <w:rFonts w:hAnsi="宋体"/>
          <w:color w:val="auto"/>
          <w:highlight w:val="none"/>
        </w:rPr>
        <w:fldChar w:fldCharType="end"/>
      </w:r>
      <w:r>
        <w:rPr>
          <w:rFonts w:hint="eastAsia" w:hAnsi="宋体"/>
          <w:color w:val="auto"/>
          <w:highlight w:val="none"/>
        </w:rPr>
        <w:t>提供虚假材料谋取成交的；</w:t>
      </w:r>
    </w:p>
    <w:p w14:paraId="5A926457">
      <w:pPr>
        <w:pStyle w:val="10"/>
        <w:spacing w:line="380" w:lineRule="exact"/>
        <w:ind w:firstLine="420" w:firstLineChars="200"/>
        <w:rPr>
          <w:rFonts w:hint="eastAsia" w:hAnsi="宋体"/>
          <w:color w:val="auto"/>
          <w:highlight w:val="none"/>
        </w:rPr>
      </w:pPr>
      <w:r>
        <w:rPr>
          <w:rFonts w:hAnsi="宋体"/>
          <w:color w:val="auto"/>
          <w:highlight w:val="none"/>
        </w:rPr>
        <w:fldChar w:fldCharType="begin"/>
      </w:r>
      <w:r>
        <w:rPr>
          <w:rFonts w:hAnsi="宋体"/>
          <w:color w:val="auto"/>
          <w:highlight w:val="none"/>
        </w:rPr>
        <w:instrText xml:space="preserve"> = 2 \* GB2 </w:instrText>
      </w:r>
      <w:r>
        <w:rPr>
          <w:rFonts w:hAnsi="宋体"/>
          <w:color w:val="auto"/>
          <w:highlight w:val="none"/>
        </w:rPr>
        <w:fldChar w:fldCharType="separate"/>
      </w:r>
      <w:r>
        <w:rPr>
          <w:rFonts w:hAnsi="宋体"/>
          <w:color w:val="auto"/>
          <w:highlight w:val="none"/>
        </w:rPr>
        <w:t>⑵</w:t>
      </w:r>
      <w:r>
        <w:rPr>
          <w:rFonts w:hAnsi="宋体"/>
          <w:color w:val="auto"/>
          <w:highlight w:val="none"/>
        </w:rPr>
        <w:fldChar w:fldCharType="end"/>
      </w:r>
      <w:r>
        <w:rPr>
          <w:rFonts w:hint="eastAsia" w:hAnsi="宋体"/>
          <w:color w:val="auto"/>
          <w:highlight w:val="none"/>
        </w:rPr>
        <w:t>与采购人、采购代理机构恶意串通的；</w:t>
      </w:r>
    </w:p>
    <w:p w14:paraId="216E06C8">
      <w:pPr>
        <w:pStyle w:val="10"/>
        <w:spacing w:line="380" w:lineRule="exact"/>
        <w:ind w:firstLine="420" w:firstLineChars="200"/>
        <w:rPr>
          <w:rFonts w:hint="eastAsia" w:hAnsi="宋体"/>
          <w:color w:val="auto"/>
          <w:highlight w:val="none"/>
        </w:rPr>
      </w:pPr>
      <w:r>
        <w:rPr>
          <w:rFonts w:hAnsi="宋体"/>
          <w:color w:val="auto"/>
          <w:highlight w:val="none"/>
        </w:rPr>
        <w:fldChar w:fldCharType="begin"/>
      </w:r>
      <w:r>
        <w:rPr>
          <w:rFonts w:hAnsi="宋体"/>
          <w:color w:val="auto"/>
          <w:highlight w:val="none"/>
        </w:rPr>
        <w:instrText xml:space="preserve"> = 3 \* GB2 </w:instrText>
      </w:r>
      <w:r>
        <w:rPr>
          <w:rFonts w:hAnsi="宋体"/>
          <w:color w:val="auto"/>
          <w:highlight w:val="none"/>
        </w:rPr>
        <w:fldChar w:fldCharType="separate"/>
      </w:r>
      <w:r>
        <w:rPr>
          <w:rFonts w:hAnsi="宋体"/>
          <w:color w:val="auto"/>
          <w:highlight w:val="none"/>
        </w:rPr>
        <w:t>⑶</w:t>
      </w:r>
      <w:r>
        <w:rPr>
          <w:rFonts w:hAnsi="宋体"/>
          <w:color w:val="auto"/>
          <w:highlight w:val="none"/>
        </w:rPr>
        <w:fldChar w:fldCharType="end"/>
      </w:r>
      <w:r>
        <w:rPr>
          <w:rFonts w:hint="eastAsia" w:hAnsi="宋体"/>
          <w:color w:val="auto"/>
          <w:highlight w:val="none"/>
        </w:rPr>
        <w:t>向采购人、采购代理机构行贿或者提供其他不正当利益的；</w:t>
      </w:r>
    </w:p>
    <w:p w14:paraId="6CF71417">
      <w:pPr>
        <w:pStyle w:val="10"/>
        <w:spacing w:line="380" w:lineRule="exact"/>
        <w:ind w:firstLine="420" w:firstLineChars="200"/>
        <w:rPr>
          <w:rFonts w:hint="eastAsia" w:hAnsi="宋体"/>
          <w:color w:val="auto"/>
          <w:highlight w:val="none"/>
        </w:rPr>
      </w:pPr>
      <w:r>
        <w:rPr>
          <w:rFonts w:hAnsi="宋体"/>
          <w:color w:val="auto"/>
          <w:highlight w:val="none"/>
        </w:rPr>
        <w:fldChar w:fldCharType="begin"/>
      </w:r>
      <w:r>
        <w:rPr>
          <w:rFonts w:hAnsi="宋体"/>
          <w:color w:val="auto"/>
          <w:highlight w:val="none"/>
        </w:rPr>
        <w:instrText xml:space="preserve"> = 4 \* GB2 </w:instrText>
      </w:r>
      <w:r>
        <w:rPr>
          <w:rFonts w:hAnsi="宋体"/>
          <w:color w:val="auto"/>
          <w:highlight w:val="none"/>
        </w:rPr>
        <w:fldChar w:fldCharType="separate"/>
      </w:r>
      <w:r>
        <w:rPr>
          <w:rFonts w:hAnsi="宋体"/>
          <w:color w:val="auto"/>
          <w:highlight w:val="none"/>
        </w:rPr>
        <w:t>⑷</w:t>
      </w:r>
      <w:r>
        <w:rPr>
          <w:rFonts w:hAnsi="宋体"/>
          <w:color w:val="auto"/>
          <w:highlight w:val="none"/>
        </w:rPr>
        <w:fldChar w:fldCharType="end"/>
      </w:r>
      <w:r>
        <w:rPr>
          <w:rFonts w:hint="eastAsia" w:hAnsi="宋体"/>
          <w:color w:val="auto"/>
          <w:highlight w:val="none"/>
        </w:rPr>
        <w:t>未经采购人同意，在采购过程中与采购人进行协商报价的；</w:t>
      </w:r>
    </w:p>
    <w:p w14:paraId="4B561D22">
      <w:pPr>
        <w:pStyle w:val="10"/>
        <w:spacing w:line="380" w:lineRule="exact"/>
        <w:ind w:firstLine="420" w:firstLineChars="200"/>
        <w:rPr>
          <w:rFonts w:hint="eastAsia" w:hAnsi="宋体"/>
          <w:color w:val="auto"/>
          <w:highlight w:val="none"/>
        </w:rPr>
      </w:pPr>
      <w:r>
        <w:rPr>
          <w:rFonts w:hAnsi="宋体"/>
          <w:color w:val="auto"/>
          <w:highlight w:val="none"/>
        </w:rPr>
        <w:fldChar w:fldCharType="begin"/>
      </w:r>
      <w:r>
        <w:rPr>
          <w:rFonts w:hAnsi="宋体"/>
          <w:color w:val="auto"/>
          <w:highlight w:val="none"/>
        </w:rPr>
        <w:instrText xml:space="preserve"> = 5 \* GB2 </w:instrText>
      </w:r>
      <w:r>
        <w:rPr>
          <w:rFonts w:hAnsi="宋体"/>
          <w:color w:val="auto"/>
          <w:highlight w:val="none"/>
        </w:rPr>
        <w:fldChar w:fldCharType="separate"/>
      </w:r>
      <w:r>
        <w:rPr>
          <w:rFonts w:hAnsi="宋体"/>
          <w:color w:val="auto"/>
          <w:highlight w:val="none"/>
        </w:rPr>
        <w:t>⑸</w:t>
      </w:r>
      <w:r>
        <w:rPr>
          <w:rFonts w:hAnsi="宋体"/>
          <w:color w:val="auto"/>
          <w:highlight w:val="none"/>
        </w:rPr>
        <w:fldChar w:fldCharType="end"/>
      </w:r>
      <w:r>
        <w:rPr>
          <w:rFonts w:hint="eastAsia" w:hAnsi="宋体"/>
          <w:color w:val="auto"/>
          <w:highlight w:val="none"/>
        </w:rPr>
        <w:t>拒绝有关部门监督检查或提供虚假情况的。</w:t>
      </w:r>
    </w:p>
    <w:p w14:paraId="0CC7822B">
      <w:pPr>
        <w:pStyle w:val="10"/>
        <w:spacing w:line="320" w:lineRule="exact"/>
        <w:rPr>
          <w:rFonts w:hint="eastAsia" w:hAnsi="宋体"/>
          <w:color w:val="auto"/>
          <w:highlight w:val="none"/>
        </w:rPr>
      </w:pPr>
    </w:p>
    <w:p w14:paraId="402D384A">
      <w:pPr>
        <w:pStyle w:val="10"/>
        <w:spacing w:line="400" w:lineRule="exact"/>
        <w:ind w:firstLine="420"/>
        <w:rPr>
          <w:rFonts w:hint="eastAsia" w:hAnsi="宋体"/>
          <w:color w:val="auto"/>
          <w:highlight w:val="none"/>
        </w:rPr>
      </w:pPr>
      <w:r>
        <w:rPr>
          <w:rFonts w:hint="eastAsia" w:hAnsi="宋体"/>
          <w:color w:val="auto"/>
          <w:highlight w:val="none"/>
        </w:rPr>
        <w:t>与本报价有关的正式通讯地址为：</w:t>
      </w:r>
    </w:p>
    <w:p w14:paraId="26EFDCEC">
      <w:pPr>
        <w:pStyle w:val="10"/>
        <w:spacing w:line="400" w:lineRule="exact"/>
        <w:ind w:firstLine="420"/>
        <w:rPr>
          <w:rFonts w:hint="eastAsia" w:hAnsi="宋体"/>
          <w:color w:val="auto"/>
          <w:highlight w:val="none"/>
        </w:rPr>
      </w:pPr>
      <w:r>
        <w:rPr>
          <w:rFonts w:hint="eastAsia" w:hAnsi="宋体"/>
          <w:color w:val="auto"/>
          <w:highlight w:val="none"/>
        </w:rPr>
        <w:t>地址：</w:t>
      </w:r>
      <w:r>
        <w:rPr>
          <w:rFonts w:hint="eastAsia" w:hAnsi="宋体"/>
          <w:color w:val="auto"/>
          <w:highlight w:val="none"/>
          <w:u w:val="single"/>
        </w:rPr>
        <w:t xml:space="preserve">                                </w:t>
      </w:r>
      <w:r>
        <w:rPr>
          <w:rFonts w:hint="eastAsia" w:hAnsi="宋体"/>
          <w:color w:val="auto"/>
          <w:highlight w:val="none"/>
        </w:rPr>
        <w:t xml:space="preserve"> 邮政编码：</w:t>
      </w:r>
      <w:r>
        <w:rPr>
          <w:rFonts w:hint="eastAsia" w:hAnsi="宋体"/>
          <w:color w:val="auto"/>
          <w:highlight w:val="none"/>
          <w:u w:val="single"/>
        </w:rPr>
        <w:t xml:space="preserve">             </w:t>
      </w:r>
    </w:p>
    <w:p w14:paraId="552FED7D">
      <w:pPr>
        <w:pStyle w:val="10"/>
        <w:spacing w:line="400" w:lineRule="exact"/>
        <w:ind w:firstLine="420"/>
        <w:rPr>
          <w:rFonts w:hint="eastAsia" w:hAnsi="宋体"/>
          <w:color w:val="auto"/>
          <w:highlight w:val="none"/>
          <w:u w:val="single"/>
        </w:rPr>
      </w:pPr>
      <w:r>
        <w:rPr>
          <w:rFonts w:hint="eastAsia" w:hAnsi="宋体"/>
          <w:color w:val="auto"/>
          <w:highlight w:val="none"/>
        </w:rPr>
        <w:t>电话：</w:t>
      </w:r>
      <w:r>
        <w:rPr>
          <w:rFonts w:hint="eastAsia" w:hAnsi="宋体"/>
          <w:color w:val="auto"/>
          <w:highlight w:val="none"/>
          <w:u w:val="single"/>
        </w:rPr>
        <w:t xml:space="preserve">                                                        </w:t>
      </w:r>
    </w:p>
    <w:p w14:paraId="745B2A21">
      <w:pPr>
        <w:pStyle w:val="10"/>
        <w:spacing w:line="400" w:lineRule="exact"/>
        <w:ind w:firstLine="420"/>
        <w:rPr>
          <w:rFonts w:hint="eastAsia" w:hAnsi="宋体"/>
          <w:color w:val="auto"/>
          <w:highlight w:val="none"/>
        </w:rPr>
      </w:pPr>
      <w:r>
        <w:rPr>
          <w:rFonts w:hint="eastAsia" w:hAnsi="宋体"/>
          <w:color w:val="auto"/>
          <w:highlight w:val="none"/>
        </w:rPr>
        <w:t>传真：</w:t>
      </w:r>
      <w:r>
        <w:rPr>
          <w:rFonts w:hint="eastAsia" w:hAnsi="宋体"/>
          <w:color w:val="auto"/>
          <w:highlight w:val="none"/>
          <w:u w:val="single"/>
        </w:rPr>
        <w:t xml:space="preserve">                                                        </w:t>
      </w:r>
    </w:p>
    <w:p w14:paraId="5C0753D8">
      <w:pPr>
        <w:pStyle w:val="10"/>
        <w:spacing w:line="400" w:lineRule="exact"/>
        <w:ind w:firstLine="420"/>
        <w:rPr>
          <w:rFonts w:hint="eastAsia" w:hAnsi="宋体"/>
          <w:color w:val="auto"/>
          <w:highlight w:val="none"/>
          <w:u w:val="single"/>
        </w:rPr>
      </w:pPr>
      <w:r>
        <w:rPr>
          <w:rFonts w:hint="eastAsia" w:hAnsi="宋体"/>
          <w:color w:val="auto"/>
          <w:highlight w:val="none"/>
        </w:rPr>
        <w:t>开户名称：</w:t>
      </w:r>
      <w:r>
        <w:rPr>
          <w:rFonts w:hint="eastAsia" w:hAnsi="宋体"/>
          <w:color w:val="auto"/>
          <w:highlight w:val="none"/>
          <w:u w:val="single"/>
        </w:rPr>
        <w:t xml:space="preserve">                                                    </w:t>
      </w:r>
    </w:p>
    <w:p w14:paraId="595824DC">
      <w:pPr>
        <w:pStyle w:val="10"/>
        <w:spacing w:line="400" w:lineRule="exact"/>
        <w:ind w:firstLine="420"/>
        <w:rPr>
          <w:rFonts w:hint="eastAsia" w:hAnsi="宋体"/>
          <w:color w:val="auto"/>
          <w:highlight w:val="none"/>
          <w:u w:val="single"/>
        </w:rPr>
      </w:pPr>
      <w:r>
        <w:rPr>
          <w:rFonts w:hint="eastAsia" w:hAnsi="宋体"/>
          <w:color w:val="auto"/>
          <w:highlight w:val="none"/>
        </w:rPr>
        <w:t>开户银行：</w:t>
      </w:r>
      <w:r>
        <w:rPr>
          <w:rFonts w:hint="eastAsia" w:hAnsi="宋体"/>
          <w:color w:val="auto"/>
          <w:highlight w:val="none"/>
          <w:u w:val="single"/>
        </w:rPr>
        <w:t xml:space="preserve">                                                    </w:t>
      </w:r>
    </w:p>
    <w:p w14:paraId="5A9DFAB3">
      <w:pPr>
        <w:pStyle w:val="10"/>
        <w:spacing w:line="400" w:lineRule="exact"/>
        <w:ind w:firstLine="420"/>
        <w:rPr>
          <w:rFonts w:hint="eastAsia" w:hAnsi="宋体"/>
          <w:color w:val="auto"/>
          <w:highlight w:val="none"/>
          <w:u w:val="single"/>
        </w:rPr>
      </w:pPr>
      <w:r>
        <w:rPr>
          <w:rFonts w:hint="eastAsia" w:hAnsi="宋体"/>
          <w:color w:val="auto"/>
          <w:highlight w:val="none"/>
        </w:rPr>
        <w:t>帐    号：</w:t>
      </w:r>
      <w:r>
        <w:rPr>
          <w:rFonts w:hint="eastAsia" w:hAnsi="宋体"/>
          <w:color w:val="auto"/>
          <w:highlight w:val="none"/>
          <w:u w:val="single"/>
        </w:rPr>
        <w:t xml:space="preserve">                                                    </w:t>
      </w:r>
    </w:p>
    <w:p w14:paraId="0C1EE178">
      <w:pPr>
        <w:pStyle w:val="10"/>
        <w:spacing w:line="400" w:lineRule="exact"/>
        <w:ind w:firstLine="420"/>
        <w:rPr>
          <w:rFonts w:hint="eastAsia" w:hAnsi="宋体"/>
          <w:color w:val="auto"/>
          <w:highlight w:val="none"/>
        </w:rPr>
      </w:pPr>
    </w:p>
    <w:p w14:paraId="7791F574">
      <w:pPr>
        <w:pStyle w:val="10"/>
        <w:spacing w:line="400" w:lineRule="exact"/>
        <w:ind w:firstLine="420"/>
        <w:rPr>
          <w:rFonts w:hint="eastAsia" w:hAnsi="宋体"/>
          <w:color w:val="auto"/>
          <w:highlight w:val="none"/>
        </w:rPr>
      </w:pPr>
    </w:p>
    <w:p w14:paraId="7A5C72D5">
      <w:pPr>
        <w:pStyle w:val="10"/>
        <w:spacing w:line="400" w:lineRule="exact"/>
        <w:ind w:firstLine="420"/>
        <w:rPr>
          <w:rFonts w:hint="eastAsia" w:hAnsi="宋体"/>
          <w:b/>
          <w:bCs/>
          <w:color w:val="auto"/>
          <w:highlight w:val="none"/>
        </w:rPr>
      </w:pPr>
      <w:r>
        <w:rPr>
          <w:rFonts w:hint="eastAsia" w:hAnsi="宋体"/>
          <w:b/>
          <w:bCs/>
          <w:color w:val="auto"/>
          <w:highlight w:val="none"/>
        </w:rPr>
        <w:t>法定代表人（负责人）或授权委托代理人</w:t>
      </w:r>
      <w:r>
        <w:rPr>
          <w:rFonts w:hint="eastAsia" w:hAnsi="宋体"/>
          <w:b/>
          <w:bCs/>
          <w:color w:val="auto"/>
          <w:highlight w:val="none"/>
          <w:lang w:eastAsia="zh-CN"/>
        </w:rPr>
        <w:t>（签字或电子签名或盖章）</w:t>
      </w:r>
      <w:r>
        <w:rPr>
          <w:rFonts w:hint="eastAsia" w:hAnsi="宋体"/>
          <w:b/>
          <w:bCs/>
          <w:color w:val="auto"/>
          <w:highlight w:val="none"/>
        </w:rPr>
        <w:t>：</w:t>
      </w:r>
      <w:r>
        <w:rPr>
          <w:rFonts w:hint="eastAsia" w:hAnsi="宋体"/>
          <w:b/>
          <w:bCs/>
          <w:color w:val="auto"/>
          <w:highlight w:val="none"/>
          <w:u w:val="single"/>
        </w:rPr>
        <w:t xml:space="preserve">                      </w:t>
      </w:r>
    </w:p>
    <w:p w14:paraId="0E39C390">
      <w:pPr>
        <w:pStyle w:val="10"/>
        <w:spacing w:line="400" w:lineRule="exact"/>
        <w:ind w:firstLine="420"/>
        <w:rPr>
          <w:rFonts w:hint="eastAsia" w:hAnsi="宋体"/>
          <w:b/>
          <w:bCs/>
          <w:color w:val="auto"/>
          <w:highlight w:val="none"/>
        </w:rPr>
      </w:pPr>
      <w:r>
        <w:rPr>
          <w:rFonts w:hint="eastAsia" w:hAnsi="宋体"/>
          <w:b/>
          <w:bCs/>
          <w:color w:val="auto"/>
          <w:highlight w:val="none"/>
        </w:rPr>
        <w:t>供应商盖公章：</w:t>
      </w:r>
      <w:r>
        <w:rPr>
          <w:rFonts w:hint="eastAsia" w:hAnsi="宋体"/>
          <w:b/>
          <w:bCs/>
          <w:color w:val="auto"/>
          <w:highlight w:val="none"/>
          <w:u w:val="single"/>
        </w:rPr>
        <w:t xml:space="preserve">                                                </w:t>
      </w:r>
    </w:p>
    <w:p w14:paraId="0F6631DC">
      <w:pPr>
        <w:pStyle w:val="10"/>
        <w:spacing w:line="400" w:lineRule="exact"/>
        <w:ind w:firstLine="422" w:firstLineChars="200"/>
        <w:rPr>
          <w:rFonts w:hint="eastAsia" w:hAnsi="宋体"/>
          <w:b/>
          <w:bCs/>
          <w:color w:val="auto"/>
          <w:highlight w:val="none"/>
          <w:u w:val="single"/>
        </w:rPr>
      </w:pPr>
      <w:r>
        <w:rPr>
          <w:rFonts w:hint="eastAsia" w:hAnsi="宋体"/>
          <w:b/>
          <w:bCs/>
          <w:color w:val="auto"/>
          <w:highlight w:val="none"/>
        </w:rPr>
        <w:t>报价日期：</w:t>
      </w:r>
      <w:r>
        <w:rPr>
          <w:rFonts w:hint="eastAsia" w:hAnsi="宋体"/>
          <w:b/>
          <w:bCs/>
          <w:color w:val="auto"/>
          <w:highlight w:val="none"/>
          <w:u w:val="single"/>
        </w:rPr>
        <w:t xml:space="preserve">       </w:t>
      </w:r>
      <w:r>
        <w:rPr>
          <w:rFonts w:hint="eastAsia" w:hAnsi="宋体"/>
          <w:b/>
          <w:bCs/>
          <w:color w:val="auto"/>
          <w:highlight w:val="none"/>
          <w:u w:val="single"/>
          <w:lang w:val="en-US" w:eastAsia="zh-CN"/>
        </w:rPr>
        <w:t>年   月    日</w:t>
      </w:r>
      <w:r>
        <w:rPr>
          <w:rFonts w:hint="eastAsia" w:hAnsi="宋体"/>
          <w:b/>
          <w:bCs/>
          <w:color w:val="auto"/>
          <w:highlight w:val="none"/>
          <w:u w:val="single"/>
        </w:rPr>
        <w:t xml:space="preserve">                                </w:t>
      </w:r>
    </w:p>
    <w:p w14:paraId="1695C12B">
      <w:pPr>
        <w:pStyle w:val="10"/>
        <w:rPr>
          <w:rFonts w:hint="eastAsia" w:hAnsi="宋体"/>
          <w:color w:val="auto"/>
          <w:highlight w:val="none"/>
        </w:rPr>
      </w:pPr>
    </w:p>
    <w:p w14:paraId="5C50913E">
      <w:pPr>
        <w:pStyle w:val="3"/>
        <w:rPr>
          <w:rFonts w:hint="eastAsia"/>
          <w:color w:val="auto"/>
          <w:highlight w:val="none"/>
        </w:rPr>
      </w:pPr>
      <w:r>
        <w:rPr>
          <w:color w:val="auto"/>
          <w:highlight w:val="none"/>
        </w:rPr>
        <w:br w:type="page"/>
      </w:r>
      <w:bookmarkStart w:id="73" w:name="_Toc467138630"/>
      <w:r>
        <w:rPr>
          <w:rFonts w:hint="eastAsia"/>
          <w:color w:val="auto"/>
          <w:highlight w:val="none"/>
          <w:lang w:val="en-US" w:eastAsia="zh-CN"/>
        </w:rPr>
        <w:t>2、</w:t>
      </w:r>
      <w:r>
        <w:rPr>
          <w:rFonts w:hint="eastAsia"/>
          <w:color w:val="auto"/>
          <w:highlight w:val="none"/>
        </w:rPr>
        <w:t>报价表</w:t>
      </w:r>
      <w:bookmarkEnd w:id="73"/>
    </w:p>
    <w:p w14:paraId="466B1626">
      <w:pPr>
        <w:pStyle w:val="10"/>
        <w:spacing w:before="120" w:line="360" w:lineRule="auto"/>
        <w:ind w:firstLine="211" w:firstLineChars="100"/>
        <w:rPr>
          <w:rFonts w:hint="eastAsia" w:hAnsi="宋体"/>
          <w:b/>
          <w:color w:val="auto"/>
          <w:szCs w:val="21"/>
          <w:highlight w:val="none"/>
        </w:rPr>
      </w:pPr>
      <w:r>
        <w:rPr>
          <w:rFonts w:hint="eastAsia" w:hAnsi="宋体"/>
          <w:b/>
          <w:color w:val="auto"/>
          <w:szCs w:val="21"/>
          <w:highlight w:val="none"/>
        </w:rPr>
        <w:t xml:space="preserve">  </w:t>
      </w:r>
    </w:p>
    <w:p w14:paraId="35605931">
      <w:pPr>
        <w:pStyle w:val="10"/>
        <w:spacing w:before="120" w:line="360" w:lineRule="auto"/>
        <w:ind w:firstLine="422" w:firstLineChars="200"/>
        <w:rPr>
          <w:rFonts w:hAnsi="宋体"/>
          <w:b/>
          <w:color w:val="auto"/>
          <w:szCs w:val="21"/>
          <w:highlight w:val="none"/>
          <w:u w:val="single"/>
        </w:rPr>
      </w:pPr>
      <w:r>
        <w:rPr>
          <w:rFonts w:hint="eastAsia" w:hAnsi="宋体"/>
          <w:b/>
          <w:color w:val="auto"/>
          <w:szCs w:val="21"/>
          <w:highlight w:val="none"/>
        </w:rPr>
        <w:t>采购项目名称：</w:t>
      </w:r>
      <w:r>
        <w:rPr>
          <w:rFonts w:hint="eastAsia" w:hAnsi="宋体"/>
          <w:b/>
          <w:color w:val="auto"/>
          <w:szCs w:val="21"/>
          <w:highlight w:val="none"/>
          <w:u w:val="single"/>
        </w:rPr>
        <w:t xml:space="preserve">                    </w:t>
      </w:r>
    </w:p>
    <w:p w14:paraId="75A5E750">
      <w:pPr>
        <w:pStyle w:val="10"/>
        <w:spacing w:before="120" w:line="360" w:lineRule="auto"/>
        <w:ind w:firstLine="211" w:firstLineChars="100"/>
        <w:rPr>
          <w:rFonts w:hint="eastAsia" w:hAnsi="宋体"/>
          <w:b/>
          <w:color w:val="auto"/>
          <w:szCs w:val="21"/>
          <w:highlight w:val="none"/>
          <w:u w:val="single"/>
        </w:rPr>
      </w:pPr>
      <w:r>
        <w:rPr>
          <w:rFonts w:hint="eastAsia" w:hAnsi="宋体"/>
          <w:b/>
          <w:color w:val="auto"/>
          <w:szCs w:val="21"/>
          <w:highlight w:val="none"/>
        </w:rPr>
        <w:t xml:space="preserve">  采购项目编号：</w:t>
      </w:r>
      <w:r>
        <w:rPr>
          <w:rFonts w:hint="eastAsia" w:hAnsi="宋体"/>
          <w:b/>
          <w:color w:val="auto"/>
          <w:szCs w:val="21"/>
          <w:highlight w:val="none"/>
          <w:u w:val="single"/>
        </w:rPr>
        <w:t xml:space="preserve">                    </w:t>
      </w:r>
      <w:bookmarkStart w:id="119" w:name="_GoBack"/>
      <w:bookmarkEnd w:id="119"/>
    </w:p>
    <w:tbl>
      <w:tblPr>
        <w:tblStyle w:val="19"/>
        <w:tblpPr w:leftFromText="180" w:rightFromText="180" w:vertAnchor="text" w:horzAnchor="margin" w:tblpY="447"/>
        <w:tblW w:w="969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3164"/>
        <w:gridCol w:w="1230"/>
        <w:gridCol w:w="1711"/>
        <w:gridCol w:w="1817"/>
        <w:gridCol w:w="1055"/>
      </w:tblGrid>
      <w:tr w14:paraId="243A3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14" w:type="dxa"/>
            <w:noWrap w:val="0"/>
            <w:vAlign w:val="center"/>
          </w:tcPr>
          <w:p w14:paraId="223CCA3D">
            <w:pPr>
              <w:pStyle w:val="26"/>
              <w:spacing w:before="170"/>
              <w:ind w:left="183" w:right="137"/>
              <w:jc w:val="center"/>
              <w:rPr>
                <w:color w:val="auto"/>
                <w:sz w:val="21"/>
                <w:szCs w:val="21"/>
                <w:highlight w:val="none"/>
              </w:rPr>
            </w:pPr>
            <w:r>
              <w:rPr>
                <w:color w:val="auto"/>
                <w:sz w:val="21"/>
                <w:szCs w:val="21"/>
                <w:highlight w:val="none"/>
              </w:rPr>
              <w:t>项号</w:t>
            </w:r>
          </w:p>
        </w:tc>
        <w:tc>
          <w:tcPr>
            <w:tcW w:w="3164" w:type="dxa"/>
            <w:noWrap w:val="0"/>
            <w:vAlign w:val="center"/>
          </w:tcPr>
          <w:p w14:paraId="4CD7049A">
            <w:pPr>
              <w:pStyle w:val="26"/>
              <w:spacing w:before="170"/>
              <w:ind w:left="176" w:right="126"/>
              <w:jc w:val="center"/>
              <w:rPr>
                <w:color w:val="auto"/>
                <w:sz w:val="21"/>
                <w:szCs w:val="21"/>
                <w:highlight w:val="none"/>
              </w:rPr>
            </w:pPr>
            <w:r>
              <w:rPr>
                <w:color w:val="auto"/>
                <w:sz w:val="21"/>
                <w:szCs w:val="21"/>
                <w:highlight w:val="none"/>
              </w:rPr>
              <w:t>报价内容</w:t>
            </w:r>
          </w:p>
        </w:tc>
        <w:tc>
          <w:tcPr>
            <w:tcW w:w="1230" w:type="dxa"/>
            <w:noWrap w:val="0"/>
            <w:vAlign w:val="center"/>
          </w:tcPr>
          <w:p w14:paraId="15033E8F">
            <w:pPr>
              <w:pStyle w:val="26"/>
              <w:ind w:left="183" w:right="176"/>
              <w:jc w:val="center"/>
              <w:rPr>
                <w:rFonts w:hint="eastAsia"/>
                <w:color w:val="auto"/>
                <w:sz w:val="21"/>
                <w:szCs w:val="21"/>
                <w:highlight w:val="none"/>
                <w:lang w:eastAsia="zh-CN"/>
              </w:rPr>
            </w:pPr>
            <w:r>
              <w:rPr>
                <w:color w:val="auto"/>
                <w:sz w:val="21"/>
                <w:szCs w:val="21"/>
                <w:highlight w:val="none"/>
              </w:rPr>
              <w:t>数量</w:t>
            </w:r>
          </w:p>
          <w:p w14:paraId="0A02DF88">
            <w:pPr>
              <w:pStyle w:val="26"/>
              <w:spacing w:before="2"/>
              <w:ind w:left="7"/>
              <w:jc w:val="center"/>
              <w:rPr>
                <w:color w:val="auto"/>
                <w:sz w:val="21"/>
                <w:szCs w:val="21"/>
                <w:highlight w:val="none"/>
              </w:rPr>
            </w:pPr>
            <w:r>
              <w:rPr>
                <w:color w:val="auto"/>
                <w:sz w:val="21"/>
                <w:szCs w:val="21"/>
                <w:highlight w:val="none"/>
              </w:rPr>
              <w:t>①</w:t>
            </w:r>
          </w:p>
        </w:tc>
        <w:tc>
          <w:tcPr>
            <w:tcW w:w="1711" w:type="dxa"/>
            <w:noWrap w:val="0"/>
            <w:vAlign w:val="center"/>
          </w:tcPr>
          <w:p w14:paraId="6F9341CE">
            <w:pPr>
              <w:pStyle w:val="26"/>
              <w:ind w:left="183" w:right="176"/>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单价(元)</w:t>
            </w:r>
          </w:p>
          <w:p w14:paraId="5EE694F9">
            <w:pPr>
              <w:pStyle w:val="26"/>
              <w:ind w:left="183" w:right="176"/>
              <w:jc w:val="center"/>
              <w:rPr>
                <w:color w:val="auto"/>
                <w:sz w:val="21"/>
                <w:szCs w:val="21"/>
                <w:highlight w:val="none"/>
              </w:rPr>
            </w:pPr>
            <w:r>
              <w:rPr>
                <w:rFonts w:ascii="宋体" w:hAnsi="宋体" w:eastAsia="宋体" w:cs="宋体"/>
                <w:color w:val="auto"/>
                <w:sz w:val="21"/>
                <w:szCs w:val="21"/>
                <w:highlight w:val="none"/>
              </w:rPr>
              <w:t>②</w:t>
            </w:r>
          </w:p>
        </w:tc>
        <w:tc>
          <w:tcPr>
            <w:tcW w:w="1817" w:type="dxa"/>
            <w:noWrap w:val="0"/>
            <w:vAlign w:val="center"/>
          </w:tcPr>
          <w:p w14:paraId="01CB14A1">
            <w:pPr>
              <w:pStyle w:val="26"/>
              <w:ind w:left="132" w:right="122"/>
              <w:jc w:val="center"/>
              <w:rPr>
                <w:color w:val="auto"/>
                <w:sz w:val="21"/>
                <w:szCs w:val="21"/>
                <w:highlight w:val="none"/>
              </w:rPr>
            </w:pPr>
            <w:r>
              <w:rPr>
                <w:rFonts w:hint="eastAsia"/>
                <w:color w:val="auto"/>
                <w:sz w:val="21"/>
                <w:szCs w:val="21"/>
                <w:highlight w:val="none"/>
                <w:lang w:eastAsia="zh-CN"/>
              </w:rPr>
              <w:t>合计</w:t>
            </w:r>
            <w:r>
              <w:rPr>
                <w:color w:val="auto"/>
                <w:sz w:val="21"/>
                <w:szCs w:val="21"/>
                <w:highlight w:val="none"/>
              </w:rPr>
              <w:t>（元）</w:t>
            </w:r>
          </w:p>
          <w:p w14:paraId="2A4F483C">
            <w:pPr>
              <w:pStyle w:val="26"/>
              <w:spacing w:before="2"/>
              <w:ind w:left="132" w:right="122"/>
              <w:jc w:val="center"/>
              <w:rPr>
                <w:color w:val="auto"/>
                <w:sz w:val="21"/>
                <w:szCs w:val="21"/>
                <w:highlight w:val="none"/>
              </w:rPr>
            </w:pPr>
            <w:r>
              <w:rPr>
                <w:color w:val="auto"/>
                <w:sz w:val="21"/>
                <w:szCs w:val="21"/>
                <w:highlight w:val="none"/>
              </w:rPr>
              <w:t>③=①×②</w:t>
            </w:r>
          </w:p>
        </w:tc>
        <w:tc>
          <w:tcPr>
            <w:tcW w:w="1055" w:type="dxa"/>
            <w:noWrap w:val="0"/>
            <w:vAlign w:val="center"/>
          </w:tcPr>
          <w:p w14:paraId="144891DF">
            <w:pPr>
              <w:pStyle w:val="26"/>
              <w:spacing w:before="170"/>
              <w:jc w:val="center"/>
              <w:rPr>
                <w:color w:val="auto"/>
                <w:sz w:val="21"/>
                <w:szCs w:val="21"/>
                <w:highlight w:val="none"/>
              </w:rPr>
            </w:pPr>
            <w:r>
              <w:rPr>
                <w:color w:val="auto"/>
                <w:sz w:val="21"/>
                <w:szCs w:val="21"/>
                <w:highlight w:val="none"/>
              </w:rPr>
              <w:t>备注</w:t>
            </w:r>
          </w:p>
        </w:tc>
      </w:tr>
      <w:tr w14:paraId="33324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14" w:type="dxa"/>
            <w:noWrap w:val="0"/>
            <w:vAlign w:val="top"/>
          </w:tcPr>
          <w:p w14:paraId="33348E4B">
            <w:pPr>
              <w:pStyle w:val="26"/>
              <w:spacing w:before="157"/>
              <w:ind w:left="6"/>
              <w:jc w:val="center"/>
              <w:rPr>
                <w:color w:val="auto"/>
                <w:sz w:val="21"/>
                <w:szCs w:val="21"/>
                <w:highlight w:val="none"/>
              </w:rPr>
            </w:pPr>
            <w:r>
              <w:rPr>
                <w:color w:val="auto"/>
                <w:sz w:val="21"/>
                <w:szCs w:val="21"/>
                <w:highlight w:val="none"/>
              </w:rPr>
              <w:t>1</w:t>
            </w:r>
          </w:p>
        </w:tc>
        <w:tc>
          <w:tcPr>
            <w:tcW w:w="3164" w:type="dxa"/>
            <w:noWrap w:val="0"/>
            <w:vAlign w:val="top"/>
          </w:tcPr>
          <w:p w14:paraId="52BC87FB">
            <w:pPr>
              <w:pStyle w:val="26"/>
              <w:spacing w:before="170"/>
              <w:ind w:left="176" w:right="126"/>
              <w:jc w:val="center"/>
              <w:rPr>
                <w:rFonts w:hint="eastAsia" w:eastAsia="宋体"/>
                <w:color w:val="auto"/>
                <w:sz w:val="21"/>
                <w:szCs w:val="21"/>
                <w:highlight w:val="none"/>
                <w:lang w:eastAsia="zh-CN"/>
              </w:rPr>
            </w:pPr>
            <w:r>
              <w:rPr>
                <w:rFonts w:hint="eastAsia"/>
                <w:color w:val="auto"/>
                <w:sz w:val="21"/>
                <w:szCs w:val="21"/>
                <w:highlight w:val="none"/>
                <w:lang w:eastAsia="zh-CN"/>
              </w:rPr>
              <w:t>贵港市港北区人民医院信息系统升级建设项目</w:t>
            </w:r>
          </w:p>
        </w:tc>
        <w:tc>
          <w:tcPr>
            <w:tcW w:w="1230" w:type="dxa"/>
            <w:noWrap w:val="0"/>
            <w:vAlign w:val="center"/>
          </w:tcPr>
          <w:p w14:paraId="4BA90513">
            <w:pPr>
              <w:pStyle w:val="26"/>
              <w:spacing w:before="157"/>
              <w:ind w:left="7"/>
              <w:jc w:val="center"/>
              <w:rPr>
                <w:rFonts w:hint="eastAsia"/>
                <w:color w:val="auto"/>
                <w:sz w:val="21"/>
                <w:szCs w:val="21"/>
                <w:highlight w:val="none"/>
                <w:lang w:eastAsia="zh-CN"/>
              </w:rPr>
            </w:pPr>
          </w:p>
        </w:tc>
        <w:tc>
          <w:tcPr>
            <w:tcW w:w="1711" w:type="dxa"/>
            <w:noWrap w:val="0"/>
            <w:vAlign w:val="top"/>
          </w:tcPr>
          <w:p w14:paraId="34CFC8AD">
            <w:pPr>
              <w:pStyle w:val="26"/>
              <w:spacing w:before="157"/>
              <w:ind w:left="6"/>
              <w:jc w:val="center"/>
              <w:rPr>
                <w:color w:val="auto"/>
                <w:sz w:val="21"/>
                <w:szCs w:val="21"/>
                <w:highlight w:val="none"/>
              </w:rPr>
            </w:pPr>
          </w:p>
        </w:tc>
        <w:tc>
          <w:tcPr>
            <w:tcW w:w="1817" w:type="dxa"/>
            <w:noWrap w:val="0"/>
            <w:vAlign w:val="top"/>
          </w:tcPr>
          <w:p w14:paraId="3F4F0091">
            <w:pPr>
              <w:pStyle w:val="26"/>
              <w:rPr>
                <w:rFonts w:ascii="Times New Roman"/>
                <w:color w:val="auto"/>
                <w:sz w:val="21"/>
                <w:szCs w:val="21"/>
                <w:highlight w:val="none"/>
              </w:rPr>
            </w:pPr>
          </w:p>
        </w:tc>
        <w:tc>
          <w:tcPr>
            <w:tcW w:w="1055" w:type="dxa"/>
            <w:noWrap w:val="0"/>
            <w:vAlign w:val="top"/>
          </w:tcPr>
          <w:p w14:paraId="06B2A842">
            <w:pPr>
              <w:pStyle w:val="26"/>
              <w:rPr>
                <w:rFonts w:ascii="Times New Roman"/>
                <w:color w:val="auto"/>
                <w:sz w:val="21"/>
                <w:szCs w:val="21"/>
                <w:highlight w:val="none"/>
              </w:rPr>
            </w:pPr>
          </w:p>
        </w:tc>
      </w:tr>
      <w:tr w14:paraId="4FA46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9691" w:type="dxa"/>
            <w:gridSpan w:val="6"/>
            <w:noWrap w:val="0"/>
            <w:vAlign w:val="center"/>
          </w:tcPr>
          <w:p w14:paraId="7668DDA9">
            <w:pPr>
              <w:pStyle w:val="26"/>
              <w:tabs>
                <w:tab w:val="left" w:pos="4582"/>
              </w:tabs>
              <w:ind w:left="106"/>
              <w:jc w:val="both"/>
              <w:rPr>
                <w:color w:val="auto"/>
                <w:sz w:val="21"/>
                <w:szCs w:val="21"/>
                <w:highlight w:val="none"/>
              </w:rPr>
            </w:pPr>
            <w:r>
              <w:rPr>
                <w:color w:val="auto"/>
                <w:sz w:val="21"/>
                <w:szCs w:val="21"/>
                <w:highlight w:val="none"/>
              </w:rPr>
              <w:t>总报价（人民币大写）</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 xml:space="preserve">（¥ </w:t>
            </w:r>
            <w:r>
              <w:rPr>
                <w:rFonts w:hint="eastAsia"/>
                <w:color w:val="auto"/>
                <w:sz w:val="21"/>
                <w:szCs w:val="21"/>
                <w:highlight w:val="none"/>
                <w:u w:val="single"/>
                <w:lang w:eastAsia="zh-CN"/>
              </w:rPr>
              <w:t xml:space="preserve">            </w:t>
            </w:r>
            <w:r>
              <w:rPr>
                <w:color w:val="auto"/>
                <w:sz w:val="21"/>
                <w:szCs w:val="21"/>
                <w:highlight w:val="none"/>
                <w:u w:val="single"/>
              </w:rPr>
              <w:tab/>
            </w:r>
            <w:r>
              <w:rPr>
                <w:color w:val="auto"/>
                <w:sz w:val="21"/>
                <w:szCs w:val="21"/>
                <w:highlight w:val="none"/>
                <w:u w:val="single"/>
              </w:rPr>
              <w:t>）</w:t>
            </w:r>
          </w:p>
        </w:tc>
      </w:tr>
      <w:tr w14:paraId="2EAC0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trPr>
        <w:tc>
          <w:tcPr>
            <w:tcW w:w="9691" w:type="dxa"/>
            <w:gridSpan w:val="6"/>
            <w:noWrap w:val="0"/>
            <w:vAlign w:val="top"/>
          </w:tcPr>
          <w:p w14:paraId="77DC8600">
            <w:pPr>
              <w:pStyle w:val="26"/>
              <w:spacing w:before="8"/>
              <w:rPr>
                <w:b/>
                <w:color w:val="auto"/>
                <w:sz w:val="21"/>
                <w:szCs w:val="21"/>
                <w:highlight w:val="none"/>
              </w:rPr>
            </w:pPr>
          </w:p>
          <w:p w14:paraId="716B1804">
            <w:pPr>
              <w:pStyle w:val="26"/>
              <w:tabs>
                <w:tab w:val="left" w:pos="4582"/>
              </w:tabs>
              <w:spacing w:line="360" w:lineRule="auto"/>
              <w:ind w:left="106"/>
              <w:rPr>
                <w:rFonts w:hint="eastAsia" w:eastAsia="宋体"/>
                <w:color w:val="auto"/>
                <w:sz w:val="21"/>
                <w:szCs w:val="21"/>
                <w:highlight w:val="none"/>
                <w:lang w:eastAsia="zh-CN"/>
              </w:rPr>
            </w:pPr>
            <w:r>
              <w:rPr>
                <w:rFonts w:hint="eastAsia"/>
                <w:color w:val="auto"/>
                <w:sz w:val="21"/>
                <w:szCs w:val="21"/>
                <w:highlight w:val="none"/>
              </w:rPr>
              <w:t>合同履约期限：</w:t>
            </w:r>
            <w:r>
              <w:rPr>
                <w:rFonts w:hint="eastAsia"/>
                <w:color w:val="auto"/>
                <w:sz w:val="21"/>
                <w:szCs w:val="21"/>
                <w:highlight w:val="none"/>
                <w:lang w:eastAsia="zh-CN"/>
              </w:rPr>
              <w:t>自合同签订生效之日起30日内完成。</w:t>
            </w:r>
          </w:p>
        </w:tc>
      </w:tr>
      <w:tr w14:paraId="22D5C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9" w:hRule="atLeast"/>
        </w:trPr>
        <w:tc>
          <w:tcPr>
            <w:tcW w:w="9691" w:type="dxa"/>
            <w:gridSpan w:val="6"/>
            <w:noWrap w:val="0"/>
            <w:vAlign w:val="top"/>
          </w:tcPr>
          <w:p w14:paraId="3B7AB0F2">
            <w:pPr>
              <w:pStyle w:val="26"/>
              <w:spacing w:before="1" w:line="360" w:lineRule="exact"/>
              <w:ind w:right="-29"/>
              <w:rPr>
                <w:color w:val="auto"/>
                <w:sz w:val="21"/>
                <w:szCs w:val="21"/>
                <w:highlight w:val="none"/>
              </w:rPr>
            </w:pPr>
            <w:r>
              <w:rPr>
                <w:rFonts w:hint="eastAsia"/>
                <w:color w:val="auto"/>
                <w:sz w:val="21"/>
                <w:szCs w:val="21"/>
                <w:highlight w:val="none"/>
              </w:rPr>
              <w:t>报价是履行合同的最终价格，报价包含实施和完成本项目全部工作所需的服务期内所需的一切费用，包括但不限于：软件升级服务、备品备件替换费用、保险费、安装调试费、税费、培训费、产品检测费、产品质保期内升级维护费等费用。在合同实施时，供应商应就《服务项目需求》中的所有内容作完整唯一报价，采购人将不予支付成交供应商没有列入的项目费用，并认为此项目的费用已包括在响应总报价中。</w:t>
            </w:r>
          </w:p>
        </w:tc>
      </w:tr>
    </w:tbl>
    <w:p w14:paraId="7FE4B9A8">
      <w:pPr>
        <w:snapToGrid w:val="0"/>
        <w:spacing w:before="50" w:after="50"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注: </w:t>
      </w:r>
    </w:p>
    <w:p w14:paraId="5E111822">
      <w:pPr>
        <w:snapToGrid w:val="0"/>
        <w:spacing w:before="50" w:after="5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1.供应商的报价表必须加盖供应商公章并由法定代表人或委托代理人</w:t>
      </w:r>
      <w:r>
        <w:rPr>
          <w:rFonts w:hint="eastAsia" w:ascii="宋体" w:hAnsi="宋体" w:cs="宋体"/>
          <w:color w:val="auto"/>
          <w:sz w:val="21"/>
          <w:szCs w:val="21"/>
          <w:highlight w:val="none"/>
        </w:rPr>
        <w:t>签字或</w:t>
      </w:r>
      <w:r>
        <w:rPr>
          <w:rFonts w:hint="eastAsia" w:ascii="宋体" w:hAnsi="宋体" w:cs="宋体"/>
          <w:color w:val="auto"/>
          <w:sz w:val="21"/>
          <w:szCs w:val="21"/>
          <w:highlight w:val="none"/>
          <w:lang w:eastAsia="zh-CN"/>
        </w:rPr>
        <w:t>盖章或</w:t>
      </w:r>
      <w:r>
        <w:rPr>
          <w:rFonts w:hint="eastAsia" w:ascii="宋体" w:hAnsi="宋体" w:cs="宋体"/>
          <w:color w:val="auto"/>
          <w:sz w:val="21"/>
          <w:szCs w:val="21"/>
          <w:highlight w:val="none"/>
        </w:rPr>
        <w:t>电子签名</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否则其响应文件按无效响应处理</w:t>
      </w:r>
      <w:r>
        <w:rPr>
          <w:rFonts w:hint="eastAsia" w:ascii="宋体" w:hAnsi="宋体" w:eastAsia="宋体" w:cs="宋体"/>
          <w:color w:val="auto"/>
          <w:sz w:val="21"/>
          <w:szCs w:val="21"/>
          <w:highlight w:val="none"/>
        </w:rPr>
        <w:t>。</w:t>
      </w:r>
    </w:p>
    <w:p w14:paraId="3B949283">
      <w:pPr>
        <w:pStyle w:val="10"/>
        <w:spacing w:before="120" w:line="360" w:lineRule="auto"/>
        <w:ind w:firstLine="210" w:firstLineChars="100"/>
        <w:rPr>
          <w:b/>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报价一经涂改，应在涂改处加盖供应商公章或由法定代表人或委托代理人</w:t>
      </w:r>
      <w:r>
        <w:rPr>
          <w:rFonts w:hint="eastAsia" w:ascii="宋体" w:hAnsi="宋体" w:cs="宋体"/>
          <w:color w:val="auto"/>
          <w:sz w:val="21"/>
          <w:szCs w:val="21"/>
          <w:highlight w:val="none"/>
        </w:rPr>
        <w:t>签字或</w:t>
      </w:r>
      <w:r>
        <w:rPr>
          <w:rFonts w:hint="eastAsia" w:ascii="宋体" w:hAnsi="宋体" w:cs="宋体"/>
          <w:color w:val="auto"/>
          <w:sz w:val="21"/>
          <w:szCs w:val="21"/>
          <w:highlight w:val="none"/>
          <w:lang w:eastAsia="zh-CN"/>
        </w:rPr>
        <w:t>盖章或</w:t>
      </w:r>
      <w:r>
        <w:rPr>
          <w:rFonts w:hint="eastAsia" w:ascii="宋体" w:hAnsi="宋体" w:cs="宋体"/>
          <w:color w:val="auto"/>
          <w:sz w:val="21"/>
          <w:szCs w:val="21"/>
          <w:highlight w:val="none"/>
        </w:rPr>
        <w:t>电子签名</w:t>
      </w:r>
      <w:r>
        <w:rPr>
          <w:rFonts w:hint="eastAsia" w:ascii="宋体" w:hAnsi="宋体" w:eastAsia="宋体" w:cs="宋体"/>
          <w:b/>
          <w:color w:val="auto"/>
          <w:sz w:val="21"/>
          <w:szCs w:val="21"/>
          <w:highlight w:val="none"/>
        </w:rPr>
        <w:t>，否则其响应文件按无效响应处理。</w:t>
      </w:r>
    </w:p>
    <w:p w14:paraId="5CA1931D">
      <w:pPr>
        <w:pStyle w:val="7"/>
        <w:spacing w:before="7"/>
        <w:rPr>
          <w:b/>
          <w:color w:val="auto"/>
          <w:sz w:val="11"/>
          <w:highlight w:val="none"/>
        </w:rPr>
      </w:pPr>
    </w:p>
    <w:p w14:paraId="419823CE">
      <w:pPr>
        <w:pStyle w:val="7"/>
        <w:rPr>
          <w:b/>
          <w:color w:val="auto"/>
          <w:sz w:val="20"/>
          <w:highlight w:val="none"/>
        </w:rPr>
      </w:pPr>
    </w:p>
    <w:p w14:paraId="54452ED1">
      <w:pPr>
        <w:pStyle w:val="10"/>
        <w:rPr>
          <w:rFonts w:hint="eastAsia" w:hAnsi="宋体"/>
          <w:color w:val="auto"/>
          <w:highlight w:val="none"/>
        </w:rPr>
      </w:pPr>
    </w:p>
    <w:p w14:paraId="77873370">
      <w:pPr>
        <w:pStyle w:val="10"/>
        <w:ind w:firstLine="2835" w:firstLineChars="1350"/>
        <w:rPr>
          <w:rFonts w:hint="eastAsia" w:hAnsi="宋体"/>
          <w:color w:val="auto"/>
          <w:highlight w:val="none"/>
        </w:rPr>
      </w:pPr>
    </w:p>
    <w:p w14:paraId="1C34683B">
      <w:pPr>
        <w:pStyle w:val="10"/>
        <w:ind w:firstLine="2835" w:firstLineChars="1350"/>
        <w:rPr>
          <w:rFonts w:hint="eastAsia" w:hAnsi="宋体"/>
          <w:color w:val="auto"/>
          <w:highlight w:val="none"/>
        </w:rPr>
      </w:pPr>
      <w:r>
        <w:rPr>
          <w:rFonts w:hint="eastAsia" w:hAnsi="宋体"/>
          <w:color w:val="auto"/>
          <w:highlight w:val="none"/>
        </w:rPr>
        <w:t>报价供应商（公章）</w:t>
      </w:r>
      <w:r>
        <w:rPr>
          <w:rFonts w:hint="eastAsia" w:hAnsi="宋体"/>
          <w:color w:val="auto"/>
          <w:highlight w:val="none"/>
          <w:u w:val="single"/>
        </w:rPr>
        <w:t xml:space="preserve">                                </w:t>
      </w:r>
    </w:p>
    <w:p w14:paraId="43635052">
      <w:pPr>
        <w:pStyle w:val="10"/>
        <w:tabs>
          <w:tab w:val="left" w:pos="309"/>
        </w:tabs>
        <w:rPr>
          <w:rFonts w:hint="eastAsia" w:hAnsi="宋体"/>
          <w:color w:val="auto"/>
          <w:highlight w:val="none"/>
        </w:rPr>
      </w:pPr>
    </w:p>
    <w:p w14:paraId="353C9156">
      <w:pPr>
        <w:pStyle w:val="10"/>
        <w:ind w:firstLine="2835" w:firstLineChars="1350"/>
        <w:rPr>
          <w:rFonts w:hint="eastAsia" w:hAnsi="宋体"/>
          <w:color w:val="auto"/>
          <w:highlight w:val="none"/>
          <w:u w:val="single"/>
        </w:rPr>
      </w:pPr>
      <w:r>
        <w:rPr>
          <w:rFonts w:hint="eastAsia" w:hAnsi="宋体"/>
          <w:color w:val="auto"/>
          <w:highlight w:val="none"/>
        </w:rPr>
        <w:t>法定代表人（负责人）或授权委托代理人（签字或电子签名或盖章）：</w:t>
      </w:r>
      <w:r>
        <w:rPr>
          <w:rFonts w:hint="eastAsia" w:hAnsi="宋体"/>
          <w:color w:val="auto"/>
          <w:highlight w:val="none"/>
          <w:u w:val="single"/>
        </w:rPr>
        <w:t xml:space="preserve">                    </w:t>
      </w:r>
    </w:p>
    <w:p w14:paraId="30F4C492">
      <w:pPr>
        <w:pStyle w:val="10"/>
        <w:spacing w:line="240" w:lineRule="exact"/>
        <w:rPr>
          <w:rFonts w:hint="eastAsia" w:hAnsi="宋体"/>
          <w:b/>
          <w:color w:val="auto"/>
          <w:sz w:val="44"/>
          <w:highlight w:val="none"/>
        </w:rPr>
      </w:pPr>
    </w:p>
    <w:p w14:paraId="1B9C88B9">
      <w:pPr>
        <w:pStyle w:val="10"/>
        <w:spacing w:before="120" w:line="360" w:lineRule="auto"/>
        <w:ind w:firstLine="2835" w:firstLineChars="1350"/>
        <w:rPr>
          <w:rFonts w:hint="eastAsia" w:hAnsi="宋体"/>
          <w:color w:val="auto"/>
          <w:szCs w:val="21"/>
          <w:highlight w:val="none"/>
        </w:rPr>
      </w:pPr>
      <w:r>
        <w:rPr>
          <w:rFonts w:hint="eastAsia" w:hAnsi="宋体"/>
          <w:color w:val="auto"/>
          <w:szCs w:val="21"/>
          <w:highlight w:val="none"/>
        </w:rPr>
        <w:t>日期：</w:t>
      </w:r>
      <w:r>
        <w:rPr>
          <w:rFonts w:hint="eastAsia" w:hAnsi="宋体"/>
          <w:color w:val="auto"/>
          <w:szCs w:val="21"/>
          <w:highlight w:val="none"/>
          <w:u w:val="single"/>
        </w:rPr>
        <w:t xml:space="preserve">         </w:t>
      </w:r>
      <w:r>
        <w:rPr>
          <w:rFonts w:hint="eastAsia" w:hAnsi="宋体"/>
          <w:color w:val="auto"/>
          <w:szCs w:val="21"/>
          <w:highlight w:val="none"/>
        </w:rPr>
        <w:t xml:space="preserve"> 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w:t>
      </w:r>
    </w:p>
    <w:p w14:paraId="49CD5DF3">
      <w:pPr>
        <w:pStyle w:val="10"/>
        <w:spacing w:before="120" w:line="360" w:lineRule="auto"/>
        <w:ind w:firstLine="2835" w:firstLineChars="1350"/>
        <w:rPr>
          <w:rFonts w:hint="eastAsia" w:hAnsi="宋体"/>
          <w:color w:val="auto"/>
          <w:szCs w:val="21"/>
          <w:highlight w:val="none"/>
        </w:rPr>
      </w:pPr>
    </w:p>
    <w:p w14:paraId="28591649">
      <w:pPr>
        <w:rPr>
          <w:rFonts w:hint="eastAsia" w:ascii="宋体" w:hAnsi="宋体"/>
          <w:color w:val="auto"/>
          <w:highlight w:val="none"/>
        </w:rPr>
      </w:pPr>
    </w:p>
    <w:p w14:paraId="3D58CD7F">
      <w:pPr>
        <w:widowControl/>
        <w:shd w:val="clear" w:color="auto" w:fill="FFFFFF"/>
        <w:spacing w:after="240" w:line="360" w:lineRule="atLeast"/>
        <w:rPr>
          <w:color w:val="auto"/>
          <w:highlight w:val="none"/>
        </w:rPr>
      </w:pPr>
      <w:r>
        <w:rPr>
          <w:rFonts w:ascii="宋体" w:hAnsi="宋体"/>
          <w:color w:val="auto"/>
          <w:highlight w:val="none"/>
        </w:rPr>
        <w:br w:type="page"/>
      </w:r>
      <w:bookmarkStart w:id="74" w:name="_Toc467138631"/>
      <w:bookmarkStart w:id="75" w:name="_Toc467138632"/>
    </w:p>
    <w:bookmarkEnd w:id="74"/>
    <w:p w14:paraId="7C8E3578">
      <w:pPr>
        <w:pStyle w:val="3"/>
        <w:jc w:val="both"/>
        <w:rPr>
          <w:rFonts w:hint="eastAsia"/>
          <w:color w:val="auto"/>
          <w:highlight w:val="none"/>
        </w:rPr>
      </w:pPr>
      <w:r>
        <w:rPr>
          <w:rFonts w:hint="eastAsia"/>
          <w:color w:val="auto"/>
          <w:highlight w:val="none"/>
          <w:lang w:val="en-US" w:eastAsia="zh-CN"/>
        </w:rPr>
        <w:t>3、</w:t>
      </w:r>
      <w:r>
        <w:rPr>
          <w:rFonts w:hint="eastAsia"/>
          <w:color w:val="auto"/>
          <w:highlight w:val="none"/>
        </w:rPr>
        <w:t>供应商资格证明文件</w:t>
      </w:r>
    </w:p>
    <w:p w14:paraId="70CCA3ED">
      <w:pPr>
        <w:pStyle w:val="10"/>
        <w:spacing w:line="500" w:lineRule="exact"/>
        <w:jc w:val="center"/>
        <w:rPr>
          <w:rFonts w:hint="eastAsia" w:hAnsi="宋体"/>
          <w:b/>
          <w:bCs/>
          <w:color w:val="auto"/>
          <w:sz w:val="24"/>
          <w:szCs w:val="22"/>
          <w:highlight w:val="none"/>
        </w:rPr>
      </w:pPr>
      <w:r>
        <w:rPr>
          <w:rFonts w:hint="eastAsia" w:hAnsi="宋体"/>
          <w:b/>
          <w:bCs/>
          <w:color w:val="auto"/>
          <w:sz w:val="24"/>
          <w:szCs w:val="22"/>
          <w:highlight w:val="none"/>
          <w:lang w:val="en-US" w:eastAsia="zh-CN"/>
        </w:rPr>
        <w:t>3.1、</w:t>
      </w:r>
      <w:r>
        <w:rPr>
          <w:rFonts w:hint="eastAsia" w:hAnsi="宋体"/>
          <w:b/>
          <w:bCs/>
          <w:color w:val="auto"/>
          <w:sz w:val="24"/>
          <w:szCs w:val="22"/>
          <w:highlight w:val="none"/>
        </w:rPr>
        <w:t>供应商为法人或者其他组织的提供其营业执照复印件等证明文件（如营业执照或者事业单位法人证书或者执业许可证复印件等），供应商为自然人的提供其有效身份证正反面复印件；</w:t>
      </w:r>
    </w:p>
    <w:p w14:paraId="13450F26">
      <w:pPr>
        <w:rPr>
          <w:rFonts w:hint="eastAsia" w:hAnsi="宋体"/>
          <w:color w:val="auto"/>
          <w:highlight w:val="none"/>
        </w:rPr>
      </w:pPr>
      <w:r>
        <w:rPr>
          <w:rFonts w:hint="eastAsia" w:hAnsi="宋体"/>
          <w:color w:val="auto"/>
          <w:highlight w:val="none"/>
        </w:rPr>
        <w:br w:type="page"/>
      </w:r>
    </w:p>
    <w:p w14:paraId="04A3FA1D">
      <w:pPr>
        <w:rPr>
          <w:rFonts w:hint="eastAsia"/>
          <w:color w:val="auto"/>
          <w:highlight w:val="none"/>
        </w:rPr>
      </w:pPr>
    </w:p>
    <w:p w14:paraId="5149CA24">
      <w:pPr>
        <w:pStyle w:val="10"/>
        <w:spacing w:line="500" w:lineRule="exact"/>
        <w:ind w:firstLine="420"/>
        <w:jc w:val="center"/>
        <w:rPr>
          <w:rFonts w:hint="eastAsia" w:ascii="宋体" w:hAnsi="宋体" w:eastAsia="宋体" w:cs="宋体"/>
          <w:b/>
          <w:color w:val="auto"/>
          <w:sz w:val="32"/>
          <w:szCs w:val="32"/>
          <w:highlight w:val="none"/>
          <w:lang w:val="en-US" w:eastAsia="zh-CN"/>
        </w:rPr>
      </w:pPr>
    </w:p>
    <w:p w14:paraId="3C968846">
      <w:pPr>
        <w:pStyle w:val="10"/>
        <w:spacing w:line="500" w:lineRule="exact"/>
        <w:ind w:firstLine="420"/>
        <w:jc w:val="center"/>
        <w:rPr>
          <w:rFonts w:hint="eastAsia" w:ascii="宋体" w:hAnsi="宋体" w:eastAsia="宋体" w:cs="宋体"/>
          <w:color w:val="auto"/>
          <w:sz w:val="20"/>
          <w:szCs w:val="18"/>
          <w:highlight w:val="none"/>
        </w:rPr>
      </w:pPr>
      <w:r>
        <w:rPr>
          <w:rFonts w:hint="eastAsia" w:hAnsi="宋体" w:cs="宋体"/>
          <w:b/>
          <w:color w:val="auto"/>
          <w:sz w:val="28"/>
          <w:szCs w:val="28"/>
          <w:highlight w:val="none"/>
          <w:lang w:val="en-US" w:eastAsia="zh-CN"/>
        </w:rPr>
        <w:t>3.2、</w:t>
      </w:r>
      <w:r>
        <w:rPr>
          <w:rFonts w:hint="eastAsia" w:ascii="宋体" w:hAnsi="宋体" w:eastAsia="宋体" w:cs="宋体"/>
          <w:b/>
          <w:color w:val="auto"/>
          <w:sz w:val="28"/>
          <w:szCs w:val="28"/>
          <w:highlight w:val="none"/>
          <w:lang w:eastAsia="zh-CN"/>
        </w:rPr>
        <w:t>贵</w:t>
      </w:r>
      <w:r>
        <w:rPr>
          <w:rFonts w:hint="eastAsia" w:ascii="宋体" w:hAnsi="宋体" w:eastAsia="宋体" w:cs="宋体"/>
          <w:b/>
          <w:color w:val="auto"/>
          <w:sz w:val="28"/>
          <w:szCs w:val="28"/>
          <w:highlight w:val="none"/>
        </w:rPr>
        <w:t>港市政府采购项目</w:t>
      </w:r>
      <w:r>
        <w:rPr>
          <w:rFonts w:hint="eastAsia" w:hAnsi="宋体" w:eastAsia="宋体" w:cs="宋体"/>
          <w:b/>
          <w:color w:val="auto"/>
          <w:sz w:val="28"/>
          <w:szCs w:val="28"/>
          <w:highlight w:val="none"/>
          <w:lang w:eastAsia="zh-CN"/>
        </w:rPr>
        <w:t>投标</w:t>
      </w:r>
      <w:r>
        <w:rPr>
          <w:rFonts w:hint="eastAsia" w:ascii="宋体" w:hAnsi="宋体" w:eastAsia="宋体" w:cs="宋体"/>
          <w:b/>
          <w:color w:val="auto"/>
          <w:sz w:val="28"/>
          <w:szCs w:val="28"/>
          <w:highlight w:val="none"/>
        </w:rPr>
        <w:t>资格承诺函</w:t>
      </w:r>
    </w:p>
    <w:p w14:paraId="2C39980B">
      <w:pPr>
        <w:widowControl/>
        <w:spacing w:line="360" w:lineRule="auto"/>
        <w:ind w:firstLine="420" w:firstLineChars="200"/>
        <w:jc w:val="left"/>
        <w:rPr>
          <w:rFonts w:hint="eastAsia" w:ascii="宋体" w:hAnsi="宋体" w:eastAsia="宋体" w:cs="宋体"/>
          <w:color w:val="auto"/>
          <w:kern w:val="0"/>
          <w:szCs w:val="21"/>
          <w:highlight w:val="none"/>
          <w:lang w:bidi="ar"/>
        </w:rPr>
      </w:pPr>
    </w:p>
    <w:p w14:paraId="0593525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本公司郑重承诺，根据《中华人民共和国政府采购法》第二十二条的规定，本公司为参加政府采购活动的合格供应商。即本公司同时满足以下条件： </w:t>
      </w:r>
    </w:p>
    <w:p w14:paraId="6205A23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1.具有独立承担民事责任的能力。 </w:t>
      </w:r>
    </w:p>
    <w:p w14:paraId="2A0D868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2.具有良好的商业信誉和健全的财务会计制度。 </w:t>
      </w:r>
    </w:p>
    <w:p w14:paraId="13980A43">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3.具有履行合同所必需的设备和专业技术能力。 </w:t>
      </w:r>
    </w:p>
    <w:p w14:paraId="2DF8DF0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4.有依法缴纳税收和社会保障资金的良好记录。 </w:t>
      </w:r>
    </w:p>
    <w:p w14:paraId="0682BB03">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 提交</w:t>
      </w:r>
      <w:r>
        <w:rPr>
          <w:rFonts w:hint="eastAsia" w:ascii="宋体" w:hAnsi="宋体" w:eastAsia="宋体" w:cs="宋体"/>
          <w:color w:val="auto"/>
          <w:kern w:val="0"/>
          <w:szCs w:val="21"/>
          <w:highlight w:val="none"/>
          <w:lang w:eastAsia="zh-CN" w:bidi="ar"/>
        </w:rPr>
        <w:t>电子报价文件</w:t>
      </w:r>
      <w:r>
        <w:rPr>
          <w:rFonts w:hint="eastAsia" w:ascii="宋体" w:hAnsi="宋体" w:eastAsia="宋体" w:cs="宋体"/>
          <w:color w:val="auto"/>
          <w:kern w:val="0"/>
          <w:szCs w:val="21"/>
          <w:highlight w:val="none"/>
          <w:lang w:bidi="ar"/>
        </w:rPr>
        <w:t xml:space="preserve">截止日期前三年内，在经营活动中没有重大 </w:t>
      </w:r>
    </w:p>
    <w:p w14:paraId="57B75CE2">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违法记录。 </w:t>
      </w:r>
    </w:p>
    <w:p w14:paraId="54BA152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本公司对上述承诺的真实性负责，并接受政府采购、税务、社会保障等监督管理部门、采购文件规定的资格审查机构、社会公众的监督和检查。如有虚假，将依法承担相应责任。 </w:t>
      </w:r>
    </w:p>
    <w:p w14:paraId="58E75AFC">
      <w:pPr>
        <w:widowControl/>
        <w:spacing w:line="360" w:lineRule="auto"/>
        <w:jc w:val="right"/>
        <w:rPr>
          <w:rFonts w:hint="eastAsia" w:ascii="宋体" w:hAnsi="宋体" w:eastAsia="宋体" w:cs="宋体"/>
          <w:color w:val="auto"/>
          <w:kern w:val="0"/>
          <w:szCs w:val="21"/>
          <w:highlight w:val="none"/>
          <w:lang w:bidi="ar"/>
        </w:rPr>
      </w:pPr>
    </w:p>
    <w:p w14:paraId="5B8F0249">
      <w:pPr>
        <w:widowControl/>
        <w:spacing w:line="360" w:lineRule="auto"/>
        <w:jc w:val="right"/>
        <w:rPr>
          <w:rFonts w:hint="eastAsia" w:ascii="宋体" w:hAnsi="宋体" w:eastAsia="宋体" w:cs="宋体"/>
          <w:color w:val="auto"/>
          <w:kern w:val="0"/>
          <w:szCs w:val="21"/>
          <w:highlight w:val="none"/>
          <w:lang w:bidi="ar"/>
        </w:rPr>
      </w:pPr>
    </w:p>
    <w:p w14:paraId="4BE9317F">
      <w:pPr>
        <w:widowControl/>
        <w:spacing w:line="360" w:lineRule="auto"/>
        <w:jc w:val="right"/>
        <w:rPr>
          <w:rFonts w:hint="eastAsia" w:ascii="宋体" w:hAnsi="宋体" w:eastAsia="宋体" w:cs="宋体"/>
          <w:color w:val="auto"/>
          <w:kern w:val="0"/>
          <w:szCs w:val="21"/>
          <w:highlight w:val="none"/>
          <w:lang w:bidi="ar"/>
        </w:rPr>
      </w:pPr>
    </w:p>
    <w:p w14:paraId="028A275C">
      <w:pPr>
        <w:widowControl/>
        <w:spacing w:line="360" w:lineRule="auto"/>
        <w:jc w:val="right"/>
        <w:rPr>
          <w:rFonts w:hint="eastAsia" w:ascii="宋体" w:hAnsi="宋体" w:eastAsia="宋体" w:cs="宋体"/>
          <w:color w:val="auto"/>
          <w:kern w:val="0"/>
          <w:szCs w:val="21"/>
          <w:highlight w:val="none"/>
          <w:lang w:bidi="ar"/>
        </w:rPr>
      </w:pPr>
    </w:p>
    <w:p w14:paraId="0B8F116C">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企业名称（盖章）： </w:t>
      </w:r>
    </w:p>
    <w:p w14:paraId="68580A6E">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法定代表人</w:t>
      </w:r>
      <w:r>
        <w:rPr>
          <w:rFonts w:hint="eastAsia" w:ascii="宋体" w:hAnsi="宋体" w:eastAsia="宋体" w:cs="宋体"/>
          <w:color w:val="auto"/>
          <w:sz w:val="24"/>
          <w:highlight w:val="none"/>
          <w:lang w:eastAsia="zh-CN"/>
        </w:rPr>
        <w:t>（负责人或自然人）（签字或电子签名或盖章）</w:t>
      </w:r>
      <w:r>
        <w:rPr>
          <w:rFonts w:hint="eastAsia" w:ascii="宋体" w:hAnsi="宋体" w:eastAsia="宋体" w:cs="宋体"/>
          <w:color w:val="auto"/>
          <w:kern w:val="0"/>
          <w:szCs w:val="21"/>
          <w:highlight w:val="none"/>
          <w:lang w:bidi="ar"/>
        </w:rPr>
        <w:t xml:space="preserve">： </w:t>
      </w:r>
    </w:p>
    <w:p w14:paraId="5E897E9C">
      <w:pPr>
        <w:pStyle w:val="10"/>
        <w:spacing w:line="500" w:lineRule="exact"/>
        <w:ind w:firstLine="5250" w:firstLineChars="2500"/>
        <w:rPr>
          <w:rFonts w:hint="eastAsia" w:hAnsi="宋体"/>
          <w:color w:val="auto"/>
          <w:highlight w:val="none"/>
        </w:rPr>
      </w:pPr>
      <w:r>
        <w:rPr>
          <w:rFonts w:hint="eastAsia" w:ascii="宋体" w:hAnsi="宋体" w:eastAsia="宋体" w:cs="宋体"/>
          <w:color w:val="auto"/>
          <w:kern w:val="0"/>
          <w:szCs w:val="21"/>
          <w:highlight w:val="none"/>
          <w:lang w:bidi="ar"/>
        </w:rPr>
        <w:t>日期： 年 月 日</w:t>
      </w:r>
    </w:p>
    <w:p w14:paraId="40071047">
      <w:pPr>
        <w:pStyle w:val="10"/>
        <w:spacing w:line="500" w:lineRule="exact"/>
        <w:ind w:firstLine="420"/>
        <w:rPr>
          <w:rFonts w:hint="eastAsia" w:hAnsi="宋体"/>
          <w:color w:val="auto"/>
          <w:highlight w:val="none"/>
        </w:rPr>
      </w:pPr>
    </w:p>
    <w:p w14:paraId="5F9F180B">
      <w:pPr>
        <w:pStyle w:val="10"/>
        <w:spacing w:line="500" w:lineRule="exact"/>
        <w:ind w:firstLine="420"/>
        <w:rPr>
          <w:rFonts w:hint="eastAsia" w:hAnsi="宋体"/>
          <w:color w:val="auto"/>
          <w:highlight w:val="none"/>
        </w:rPr>
      </w:pPr>
    </w:p>
    <w:p w14:paraId="4175C396">
      <w:pPr>
        <w:rPr>
          <w:rFonts w:hint="eastAsia" w:hAnsi="宋体"/>
          <w:color w:val="auto"/>
          <w:highlight w:val="none"/>
        </w:rPr>
      </w:pPr>
      <w:r>
        <w:rPr>
          <w:rFonts w:hint="eastAsia" w:hAnsi="宋体"/>
          <w:color w:val="auto"/>
          <w:highlight w:val="none"/>
        </w:rPr>
        <w:br w:type="page"/>
      </w:r>
    </w:p>
    <w:p w14:paraId="051F4B8E">
      <w:pPr>
        <w:rPr>
          <w:rFonts w:hint="eastAsia"/>
          <w:color w:val="auto"/>
          <w:highlight w:val="none"/>
        </w:rPr>
      </w:pPr>
    </w:p>
    <w:p w14:paraId="562E9428">
      <w:pPr>
        <w:pStyle w:val="10"/>
        <w:spacing w:line="500" w:lineRule="exact"/>
        <w:ind w:firstLine="420"/>
        <w:rPr>
          <w:rFonts w:hint="eastAsia" w:hAnsi="宋体"/>
          <w:color w:val="auto"/>
          <w:highlight w:val="none"/>
        </w:rPr>
      </w:pPr>
    </w:p>
    <w:p w14:paraId="73932121">
      <w:pPr>
        <w:pStyle w:val="10"/>
        <w:spacing w:line="500" w:lineRule="exact"/>
        <w:ind w:firstLine="420"/>
        <w:jc w:val="center"/>
        <w:rPr>
          <w:rFonts w:hint="eastAsia"/>
          <w:color w:val="auto"/>
          <w:highlight w:val="none"/>
        </w:rPr>
      </w:pPr>
      <w:r>
        <w:rPr>
          <w:rFonts w:hint="eastAsia" w:hAnsi="宋体" w:cs="宋体"/>
          <w:b/>
          <w:color w:val="auto"/>
          <w:sz w:val="28"/>
          <w:szCs w:val="28"/>
          <w:highlight w:val="none"/>
          <w:lang w:val="en-US" w:eastAsia="zh-CN"/>
        </w:rPr>
        <w:t>3.3、</w:t>
      </w:r>
      <w:r>
        <w:rPr>
          <w:rFonts w:hint="eastAsia" w:ascii="宋体" w:hAnsi="宋体" w:eastAsia="宋体" w:cs="宋体"/>
          <w:b/>
          <w:color w:val="auto"/>
          <w:sz w:val="28"/>
          <w:szCs w:val="28"/>
          <w:highlight w:val="none"/>
        </w:rPr>
        <w:t>供应商参加政府采购活动前 3 年内在经营活动中没有重大违法记录的书面声明</w:t>
      </w:r>
    </w:p>
    <w:p w14:paraId="42E8C413">
      <w:pPr>
        <w:pStyle w:val="10"/>
        <w:spacing w:line="440" w:lineRule="exact"/>
        <w:ind w:firstLine="420"/>
        <w:rPr>
          <w:rFonts w:hint="eastAsia"/>
          <w:color w:val="auto"/>
          <w:highlight w:val="none"/>
        </w:rPr>
      </w:pPr>
    </w:p>
    <w:p w14:paraId="0B7767DE">
      <w:pPr>
        <w:pStyle w:val="10"/>
        <w:spacing w:line="440" w:lineRule="exact"/>
        <w:rPr>
          <w:color w:val="auto"/>
          <w:highlight w:val="none"/>
        </w:rPr>
      </w:pPr>
      <w:r>
        <w:rPr>
          <w:rFonts w:hint="eastAsia"/>
          <w:color w:val="auto"/>
          <w:highlight w:val="none"/>
          <w:lang w:eastAsia="zh-CN"/>
        </w:rPr>
        <w:t>云之龙咨询集团有限公司</w:t>
      </w:r>
      <w:r>
        <w:rPr>
          <w:color w:val="auto"/>
          <w:highlight w:val="none"/>
        </w:rPr>
        <w:t>：</w:t>
      </w:r>
    </w:p>
    <w:p w14:paraId="5F18A13A">
      <w:pPr>
        <w:pStyle w:val="10"/>
        <w:spacing w:line="440" w:lineRule="exact"/>
        <w:ind w:firstLine="420"/>
        <w:rPr>
          <w:color w:val="auto"/>
          <w:highlight w:val="none"/>
        </w:rPr>
      </w:pPr>
      <w:r>
        <w:rPr>
          <w:color w:val="auto"/>
          <w:highlight w:val="none"/>
        </w:rPr>
        <w:t>我公司参加贵公司组织</w:t>
      </w:r>
      <w:r>
        <w:rPr>
          <w:rFonts w:hint="eastAsia"/>
          <w:color w:val="auto"/>
          <w:highlight w:val="none"/>
          <w:u w:val="single"/>
        </w:rPr>
        <w:t xml:space="preserve">                        </w:t>
      </w:r>
      <w:r>
        <w:rPr>
          <w:color w:val="auto"/>
          <w:highlight w:val="none"/>
        </w:rPr>
        <w:t>项目的政府采购活动。我公司在此郑重声明，我公司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46011B53">
      <w:pPr>
        <w:pStyle w:val="10"/>
        <w:spacing w:line="440" w:lineRule="exact"/>
        <w:ind w:firstLine="420"/>
        <w:rPr>
          <w:color w:val="auto"/>
          <w:highlight w:val="none"/>
        </w:rPr>
      </w:pPr>
      <w:r>
        <w:rPr>
          <w:color w:val="auto"/>
          <w:highlight w:val="none"/>
        </w:rPr>
        <w:t>特此承诺。</w:t>
      </w:r>
    </w:p>
    <w:p w14:paraId="6DEA1AF6">
      <w:pPr>
        <w:pStyle w:val="7"/>
        <w:rPr>
          <w:color w:val="auto"/>
          <w:highlight w:val="none"/>
        </w:rPr>
      </w:pPr>
    </w:p>
    <w:p w14:paraId="000125A0">
      <w:pPr>
        <w:pStyle w:val="10"/>
        <w:spacing w:line="440" w:lineRule="exact"/>
        <w:rPr>
          <w:rFonts w:hint="eastAsia"/>
          <w:b/>
          <w:color w:val="auto"/>
          <w:szCs w:val="21"/>
          <w:highlight w:val="none"/>
        </w:rPr>
      </w:pPr>
    </w:p>
    <w:p w14:paraId="4C5A9925">
      <w:pPr>
        <w:pStyle w:val="10"/>
        <w:spacing w:line="440" w:lineRule="exact"/>
        <w:rPr>
          <w:rFonts w:hint="eastAsia"/>
          <w:b/>
          <w:color w:val="auto"/>
          <w:szCs w:val="21"/>
          <w:highlight w:val="none"/>
        </w:rPr>
      </w:pPr>
    </w:p>
    <w:p w14:paraId="635E7C63">
      <w:pPr>
        <w:pStyle w:val="10"/>
        <w:spacing w:line="500" w:lineRule="exact"/>
        <w:rPr>
          <w:rFonts w:hint="eastAsia" w:hAnsi="宋体"/>
          <w:color w:val="auto"/>
          <w:szCs w:val="21"/>
          <w:highlight w:val="none"/>
        </w:rPr>
      </w:pPr>
      <w:r>
        <w:rPr>
          <w:rFonts w:hint="eastAsia" w:hAnsi="宋体"/>
          <w:color w:val="auto"/>
          <w:highlight w:val="none"/>
        </w:rPr>
        <w:t>法定代表人（负责人）或授权委托代理人（签字或电子签名或盖章）：</w:t>
      </w:r>
      <w:r>
        <w:rPr>
          <w:rFonts w:hint="eastAsia" w:hAnsi="宋体"/>
          <w:color w:val="auto"/>
          <w:szCs w:val="21"/>
          <w:highlight w:val="none"/>
          <w:u w:val="single"/>
        </w:rPr>
        <w:t xml:space="preserve">              </w:t>
      </w:r>
    </w:p>
    <w:p w14:paraId="625EDDE3">
      <w:pPr>
        <w:pStyle w:val="10"/>
        <w:spacing w:line="500" w:lineRule="exact"/>
        <w:rPr>
          <w:rFonts w:hint="eastAsia" w:hAnsi="宋体"/>
          <w:color w:val="auto"/>
          <w:szCs w:val="21"/>
          <w:highlight w:val="none"/>
        </w:rPr>
      </w:pPr>
      <w:r>
        <w:rPr>
          <w:rFonts w:hint="eastAsia" w:hAnsi="宋体"/>
          <w:color w:val="auto"/>
          <w:szCs w:val="21"/>
          <w:highlight w:val="none"/>
        </w:rPr>
        <w:t>报价供应商名称（公章）：</w:t>
      </w:r>
      <w:r>
        <w:rPr>
          <w:rFonts w:hint="eastAsia" w:hAnsi="宋体"/>
          <w:color w:val="auto"/>
          <w:szCs w:val="21"/>
          <w:highlight w:val="none"/>
          <w:u w:val="single"/>
        </w:rPr>
        <w:t xml:space="preserve">                 </w:t>
      </w:r>
    </w:p>
    <w:p w14:paraId="2960F9C0">
      <w:pPr>
        <w:pStyle w:val="10"/>
        <w:widowControl w:val="0"/>
        <w:numPr>
          <w:ilvl w:val="0"/>
          <w:numId w:val="0"/>
        </w:numPr>
        <w:spacing w:line="500" w:lineRule="exact"/>
        <w:jc w:val="both"/>
        <w:rPr>
          <w:rFonts w:hint="eastAsia" w:hAnsi="宋体"/>
          <w:color w:val="auto"/>
          <w:highlight w:val="none"/>
        </w:rPr>
      </w:pPr>
      <w:r>
        <w:rPr>
          <w:rFonts w:hint="eastAsia" w:hAnsi="宋体"/>
          <w:color w:val="auto"/>
          <w:szCs w:val="21"/>
          <w:highlight w:val="none"/>
        </w:rPr>
        <w:t xml:space="preserve">日期：     年     月    日 </w:t>
      </w:r>
    </w:p>
    <w:p w14:paraId="6A1F2BE9">
      <w:pPr>
        <w:pStyle w:val="10"/>
        <w:widowControl w:val="0"/>
        <w:numPr>
          <w:ilvl w:val="0"/>
          <w:numId w:val="0"/>
        </w:numPr>
        <w:spacing w:line="500" w:lineRule="exact"/>
        <w:jc w:val="both"/>
        <w:rPr>
          <w:rFonts w:hint="eastAsia" w:hAnsi="宋体"/>
          <w:color w:val="auto"/>
          <w:highlight w:val="none"/>
        </w:rPr>
      </w:pPr>
    </w:p>
    <w:p w14:paraId="67431D00">
      <w:pPr>
        <w:pStyle w:val="10"/>
        <w:widowControl w:val="0"/>
        <w:numPr>
          <w:ilvl w:val="0"/>
          <w:numId w:val="0"/>
        </w:numPr>
        <w:spacing w:line="500" w:lineRule="exact"/>
        <w:jc w:val="both"/>
        <w:rPr>
          <w:rFonts w:hint="eastAsia" w:hAnsi="宋体"/>
          <w:color w:val="auto"/>
          <w:highlight w:val="none"/>
        </w:rPr>
      </w:pPr>
    </w:p>
    <w:p w14:paraId="55615C5B">
      <w:pPr>
        <w:rPr>
          <w:rFonts w:hint="eastAsia" w:hAnsi="宋体"/>
          <w:color w:val="auto"/>
          <w:highlight w:val="none"/>
        </w:rPr>
      </w:pPr>
      <w:r>
        <w:rPr>
          <w:rFonts w:hint="eastAsia" w:hAnsi="宋体"/>
          <w:color w:val="auto"/>
          <w:highlight w:val="none"/>
        </w:rPr>
        <w:br w:type="page"/>
      </w:r>
    </w:p>
    <w:p w14:paraId="50981FAB">
      <w:pPr>
        <w:rPr>
          <w:rFonts w:hint="eastAsia"/>
          <w:color w:val="auto"/>
          <w:highlight w:val="none"/>
        </w:rPr>
      </w:pPr>
    </w:p>
    <w:p w14:paraId="420E418C">
      <w:pPr>
        <w:pStyle w:val="10"/>
        <w:spacing w:line="500" w:lineRule="exact"/>
        <w:ind w:firstLine="420"/>
        <w:jc w:val="center"/>
        <w:rPr>
          <w:rFonts w:hint="eastAsia" w:ascii="宋体" w:hAnsi="宋体" w:eastAsia="宋体" w:cs="宋体"/>
          <w:b/>
          <w:color w:val="auto"/>
          <w:sz w:val="28"/>
          <w:szCs w:val="28"/>
          <w:highlight w:val="none"/>
          <w:lang w:eastAsia="zh-CN"/>
        </w:rPr>
      </w:pPr>
      <w:r>
        <w:rPr>
          <w:rFonts w:hint="eastAsia" w:hAnsi="宋体" w:cs="宋体"/>
          <w:b/>
          <w:color w:val="auto"/>
          <w:sz w:val="28"/>
          <w:szCs w:val="28"/>
          <w:highlight w:val="none"/>
          <w:lang w:val="en-US" w:eastAsia="zh-CN"/>
        </w:rPr>
        <w:t>3.4、</w:t>
      </w:r>
      <w:r>
        <w:rPr>
          <w:rFonts w:hint="eastAsia" w:ascii="宋体" w:hAnsi="宋体" w:eastAsia="宋体" w:cs="宋体"/>
          <w:b/>
          <w:color w:val="auto"/>
          <w:sz w:val="28"/>
          <w:szCs w:val="28"/>
          <w:highlight w:val="none"/>
        </w:rPr>
        <w:t>中小企业声明函或者残疾人福利性单位声明函或者供应商属于监狱企业的证明材料；</w:t>
      </w:r>
    </w:p>
    <w:p w14:paraId="6724B94A">
      <w:pPr>
        <w:spacing w:line="360" w:lineRule="auto"/>
        <w:ind w:firstLine="562" w:firstLineChars="200"/>
        <w:jc w:val="center"/>
        <w:rPr>
          <w:rFonts w:hint="eastAsia" w:ascii="宋体" w:hAnsi="宋体" w:cs="宋体"/>
          <w:b/>
          <w:color w:val="auto"/>
          <w:sz w:val="28"/>
          <w:szCs w:val="28"/>
          <w:highlight w:val="none"/>
        </w:rPr>
      </w:pPr>
    </w:p>
    <w:p w14:paraId="3183CD2E">
      <w:pPr>
        <w:spacing w:line="360" w:lineRule="auto"/>
        <w:ind w:firstLine="562" w:firstLineChars="20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中小企业声明函（服务）</w:t>
      </w:r>
    </w:p>
    <w:p w14:paraId="69D7B52B">
      <w:pPr>
        <w:pStyle w:val="25"/>
        <w:rPr>
          <w:color w:val="auto"/>
          <w:highlight w:val="none"/>
        </w:rPr>
      </w:pPr>
    </w:p>
    <w:p w14:paraId="36308D9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采购</w:t>
      </w:r>
      <w:r>
        <w:rPr>
          <w:rFonts w:hint="eastAsia" w:ascii="宋体" w:hAnsi="宋体" w:cs="宋体"/>
          <w:color w:val="auto"/>
          <w:sz w:val="24"/>
          <w:highlight w:val="none"/>
          <w:u w:val="single"/>
        </w:rPr>
        <w:t>单位名称）</w:t>
      </w:r>
      <w:r>
        <w:rPr>
          <w:rFonts w:hint="eastAsia" w:ascii="宋体" w:hAnsi="宋体" w:cs="宋体"/>
          <w:color w:val="auto"/>
          <w:sz w:val="24"/>
          <w:highlight w:val="none"/>
        </w:rPr>
        <w:t xml:space="preserve">的 </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采购活动，服务全部由符合政策要求的中小企业承接。相关企业（含联合体中的中小企业、签订分包意向协议的中小企业）的具体情况如下：</w:t>
      </w:r>
    </w:p>
    <w:p w14:paraId="4123E83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 xml:space="preserve">（标的名称） </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（采购文件中明确的所属行业）  </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 xml:space="preserve">（企业名称） </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（中型企业、小型企业、微型企业） </w:t>
      </w:r>
      <w:r>
        <w:rPr>
          <w:rFonts w:hint="eastAsia" w:ascii="宋体" w:hAnsi="宋体" w:cs="宋体"/>
          <w:color w:val="auto"/>
          <w:sz w:val="24"/>
          <w:highlight w:val="none"/>
        </w:rPr>
        <w:t>；</w:t>
      </w:r>
    </w:p>
    <w:p w14:paraId="4F5E868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（标的名称） </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（采购文件中明确的所属行业） </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 xml:space="preserve">（企业名称） </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（中型企业、小型企业、微型企业） </w:t>
      </w:r>
      <w:r>
        <w:rPr>
          <w:rFonts w:hint="eastAsia" w:ascii="宋体" w:hAnsi="宋体" w:cs="宋体"/>
          <w:color w:val="auto"/>
          <w:sz w:val="24"/>
          <w:highlight w:val="none"/>
        </w:rPr>
        <w:t>；</w:t>
      </w:r>
    </w:p>
    <w:p w14:paraId="38D286DA">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14:paraId="3D74E58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1C77AEB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29B12D21">
      <w:pPr>
        <w:spacing w:line="360" w:lineRule="auto"/>
        <w:ind w:firstLine="5040" w:firstLineChars="2100"/>
        <w:jc w:val="left"/>
        <w:rPr>
          <w:rFonts w:ascii="宋体" w:hAnsi="宋体" w:cs="宋体"/>
          <w:color w:val="auto"/>
          <w:sz w:val="24"/>
          <w:highlight w:val="none"/>
        </w:rPr>
      </w:pPr>
      <w:r>
        <w:rPr>
          <w:rFonts w:hint="eastAsia" w:ascii="宋体" w:hAnsi="宋体" w:cs="宋体"/>
          <w:color w:val="auto"/>
          <w:sz w:val="24"/>
          <w:highlight w:val="none"/>
        </w:rPr>
        <w:t>企业名称（盖章）：</w:t>
      </w:r>
    </w:p>
    <w:p w14:paraId="5790A3FA">
      <w:pPr>
        <w:spacing w:line="360" w:lineRule="auto"/>
        <w:ind w:firstLine="5040" w:firstLineChars="2100"/>
        <w:jc w:val="left"/>
        <w:rPr>
          <w:rFonts w:ascii="宋体" w:hAnsi="宋体" w:cs="宋体"/>
          <w:color w:val="auto"/>
          <w:sz w:val="24"/>
          <w:highlight w:val="none"/>
        </w:rPr>
      </w:pPr>
      <w:r>
        <w:rPr>
          <w:rFonts w:hint="eastAsia" w:ascii="宋体" w:hAnsi="宋体" w:cs="宋体"/>
          <w:color w:val="auto"/>
          <w:sz w:val="24"/>
          <w:highlight w:val="none"/>
        </w:rPr>
        <w:t>日期：</w:t>
      </w:r>
    </w:p>
    <w:p w14:paraId="733439B6">
      <w:pPr>
        <w:spacing w:line="360" w:lineRule="auto"/>
        <w:rPr>
          <w:rFonts w:ascii="宋体" w:hAnsi="宋体" w:cs="宋体"/>
          <w:color w:val="auto"/>
          <w:sz w:val="24"/>
          <w:highlight w:val="none"/>
        </w:rPr>
      </w:pPr>
    </w:p>
    <w:p w14:paraId="762EE9E7">
      <w:pPr>
        <w:spacing w:line="360" w:lineRule="auto"/>
        <w:ind w:firstLine="480" w:firstLineChars="200"/>
        <w:rPr>
          <w:rFonts w:ascii="宋体" w:hAnsi="宋体" w:cs="宋体"/>
          <w:color w:val="auto"/>
          <w:sz w:val="24"/>
          <w:highlight w:val="none"/>
        </w:rPr>
      </w:pPr>
    </w:p>
    <w:p w14:paraId="48EC4D3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备注：</w:t>
      </w:r>
    </w:p>
    <w:p w14:paraId="7BA24472">
      <w:pPr>
        <w:spacing w:line="360" w:lineRule="auto"/>
        <w:ind w:firstLine="405"/>
        <w:rPr>
          <w:rFonts w:ascii="宋体" w:hAnsi="宋体" w:cs="宋体"/>
          <w:color w:val="auto"/>
          <w:sz w:val="24"/>
          <w:highlight w:val="none"/>
        </w:rPr>
      </w:pPr>
      <w:r>
        <w:rPr>
          <w:rFonts w:hint="eastAsia" w:ascii="宋体" w:hAnsi="宋体" w:cs="宋体"/>
          <w:color w:val="auto"/>
          <w:sz w:val="24"/>
          <w:highlight w:val="none"/>
        </w:rPr>
        <w:t>1.从业人员、营业收入、资产总额填报上一年度数据，无上一年度数据的新成立企业可不填报。</w:t>
      </w:r>
    </w:p>
    <w:p w14:paraId="33B728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2.中小企业划型应按《关于印发中小企业划型标准规定的通知》（工信部联企业〔2011〕300号）规定的划型标准划分。</w:t>
      </w:r>
    </w:p>
    <w:p w14:paraId="2628436D">
      <w:pPr>
        <w:overflowPunct w:val="0"/>
        <w:spacing w:line="360" w:lineRule="auto"/>
        <w:jc w:val="left"/>
        <w:rPr>
          <w:rFonts w:ascii="宋体" w:hAnsi="宋体" w:cs="宋体"/>
          <w:b/>
          <w:color w:val="auto"/>
          <w:sz w:val="24"/>
          <w:highlight w:val="none"/>
        </w:rPr>
      </w:pPr>
      <w:r>
        <w:rPr>
          <w:color w:val="auto"/>
          <w:highlight w:val="none"/>
        </w:rPr>
        <w:br w:type="page"/>
      </w:r>
      <w:r>
        <w:rPr>
          <w:rFonts w:hint="eastAsia" w:ascii="宋体" w:hAnsi="宋体" w:cs="宋体"/>
          <w:b/>
          <w:color w:val="auto"/>
          <w:sz w:val="24"/>
          <w:highlight w:val="none"/>
        </w:rPr>
        <w:t>残疾人福利性单位声明函格式：</w:t>
      </w:r>
    </w:p>
    <w:p w14:paraId="63108A58">
      <w:pPr>
        <w:rPr>
          <w:rFonts w:ascii="宋体" w:hAnsi="宋体" w:cs="宋体"/>
          <w:color w:val="auto"/>
          <w:sz w:val="24"/>
          <w:highlight w:val="none"/>
        </w:rPr>
      </w:pPr>
    </w:p>
    <w:p w14:paraId="42FCA927">
      <w:pPr>
        <w:rPr>
          <w:color w:val="auto"/>
          <w:highlight w:val="none"/>
        </w:rPr>
      </w:pPr>
    </w:p>
    <w:p w14:paraId="5260C59B">
      <w:pPr>
        <w:overflowPunct w:val="0"/>
        <w:spacing w:line="360" w:lineRule="auto"/>
        <w:ind w:firstLine="482" w:firstLineChars="200"/>
        <w:jc w:val="center"/>
        <w:rPr>
          <w:rFonts w:ascii="宋体" w:hAnsi="宋体" w:cs="宋体"/>
          <w:b/>
          <w:color w:val="auto"/>
          <w:sz w:val="24"/>
          <w:highlight w:val="none"/>
        </w:rPr>
      </w:pPr>
      <w:r>
        <w:rPr>
          <w:rFonts w:hint="eastAsia" w:ascii="宋体" w:hAnsi="宋体" w:cs="宋体"/>
          <w:b/>
          <w:color w:val="auto"/>
          <w:sz w:val="24"/>
          <w:highlight w:val="none"/>
        </w:rPr>
        <w:t>残疾人福利性单位声明函</w:t>
      </w:r>
    </w:p>
    <w:p w14:paraId="3BEE7E30">
      <w:pPr>
        <w:overflowPunct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96BC0F2">
      <w:pPr>
        <w:overflowPunct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62D18E1C">
      <w:pPr>
        <w:overflowPunct w:val="0"/>
        <w:spacing w:line="360" w:lineRule="auto"/>
        <w:ind w:firstLine="480" w:firstLineChars="200"/>
        <w:rPr>
          <w:rFonts w:ascii="宋体" w:hAnsi="宋体" w:cs="宋体"/>
          <w:color w:val="auto"/>
          <w:sz w:val="24"/>
          <w:highlight w:val="none"/>
        </w:rPr>
      </w:pPr>
    </w:p>
    <w:p w14:paraId="39B80D0D">
      <w:pPr>
        <w:overflowPunct w:val="0"/>
        <w:spacing w:line="360" w:lineRule="auto"/>
        <w:ind w:firstLine="4560" w:firstLineChars="1900"/>
        <w:rPr>
          <w:rFonts w:ascii="宋体" w:hAnsi="宋体" w:cs="宋体"/>
          <w:color w:val="auto"/>
          <w:sz w:val="24"/>
          <w:highlight w:val="none"/>
        </w:rPr>
      </w:pPr>
      <w:r>
        <w:rPr>
          <w:rFonts w:hint="eastAsia" w:ascii="宋体" w:hAnsi="宋体" w:cs="宋体"/>
          <w:color w:val="auto"/>
          <w:sz w:val="24"/>
          <w:highlight w:val="none"/>
        </w:rPr>
        <w:t xml:space="preserve">单位名称（盖章）：        </w:t>
      </w:r>
    </w:p>
    <w:p w14:paraId="67A39E7E">
      <w:pPr>
        <w:overflowPunct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日  期：             </w:t>
      </w:r>
    </w:p>
    <w:p w14:paraId="09434396">
      <w:pPr>
        <w:overflowPunct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备注：</w:t>
      </w:r>
    </w:p>
    <w:p w14:paraId="6F44833B">
      <w:pPr>
        <w:overflowPunct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1.填写前请认真阅读财库〔2017〕141号《三部门联合发布关于促进残疾人就业政府采购政策的通知》相关规定，并对声明的真实性负责。</w:t>
      </w:r>
    </w:p>
    <w:p w14:paraId="53A1C400">
      <w:pPr>
        <w:overflowPunct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2.成交供应商为残疾人福利性单位的，成交结果将同时公告其《残疾人福利性单位声明函》，接受社会监督。</w:t>
      </w:r>
    </w:p>
    <w:p w14:paraId="655D8AAA">
      <w:pPr>
        <w:pStyle w:val="10"/>
        <w:spacing w:line="500" w:lineRule="exact"/>
        <w:ind w:firstLine="420"/>
        <w:rPr>
          <w:rFonts w:hint="eastAsia" w:hAnsi="宋体"/>
          <w:color w:val="auto"/>
          <w:highlight w:val="none"/>
        </w:rPr>
      </w:pPr>
    </w:p>
    <w:p w14:paraId="0D909B83">
      <w:pPr>
        <w:pStyle w:val="10"/>
        <w:spacing w:line="500" w:lineRule="exact"/>
        <w:ind w:firstLine="420"/>
        <w:jc w:val="center"/>
        <w:rPr>
          <w:rFonts w:hint="eastAsia" w:ascii="宋体" w:hAnsi="宋体" w:eastAsia="宋体" w:cs="宋体"/>
          <w:b/>
          <w:color w:val="auto"/>
          <w:sz w:val="28"/>
          <w:szCs w:val="28"/>
          <w:highlight w:val="none"/>
          <w:lang w:val="en-US" w:eastAsia="zh-CN"/>
        </w:rPr>
      </w:pPr>
    </w:p>
    <w:p w14:paraId="1BE556BF">
      <w:pPr>
        <w:pStyle w:val="10"/>
        <w:rPr>
          <w:rFonts w:hint="eastAsia" w:hAnsi="宋体" w:cs="宋体"/>
          <w:b/>
          <w:bCs/>
          <w:color w:val="auto"/>
          <w:sz w:val="24"/>
          <w:szCs w:val="24"/>
          <w:highlight w:val="none"/>
        </w:rPr>
      </w:pPr>
    </w:p>
    <w:p w14:paraId="7C0CC520">
      <w:pPr>
        <w:pStyle w:val="10"/>
        <w:rPr>
          <w:rFonts w:hAnsi="宋体" w:cs="宋体"/>
          <w:b/>
          <w:bCs/>
          <w:color w:val="auto"/>
          <w:sz w:val="24"/>
          <w:szCs w:val="24"/>
          <w:highlight w:val="none"/>
        </w:rPr>
      </w:pPr>
    </w:p>
    <w:p w14:paraId="11531595">
      <w:pPr>
        <w:pStyle w:val="10"/>
        <w:rPr>
          <w:rFonts w:hAnsi="宋体" w:cs="宋体"/>
          <w:b/>
          <w:bCs/>
          <w:color w:val="auto"/>
          <w:sz w:val="24"/>
          <w:szCs w:val="24"/>
          <w:highlight w:val="none"/>
        </w:rPr>
      </w:pPr>
    </w:p>
    <w:p w14:paraId="2C9B3057">
      <w:pPr>
        <w:pStyle w:val="10"/>
        <w:numPr>
          <w:ilvl w:val="0"/>
          <w:numId w:val="3"/>
        </w:numPr>
        <w:jc w:val="center"/>
        <w:rPr>
          <w:rFonts w:hint="eastAsia" w:ascii="宋体" w:hAnsi="宋体" w:eastAsia="宋体" w:cs="宋体"/>
          <w:b/>
          <w:bCs/>
          <w:color w:val="auto"/>
          <w:sz w:val="32"/>
          <w:szCs w:val="32"/>
          <w:highlight w:val="none"/>
          <w:lang w:val="en-US" w:eastAsia="zh-CN"/>
        </w:rPr>
      </w:pPr>
      <w:r>
        <w:rPr>
          <w:rFonts w:hAnsi="宋体" w:cs="宋体"/>
          <w:b/>
          <w:bCs/>
          <w:color w:val="auto"/>
          <w:sz w:val="24"/>
          <w:szCs w:val="24"/>
          <w:highlight w:val="none"/>
        </w:rPr>
        <w:br w:type="page"/>
      </w:r>
      <w:r>
        <w:rPr>
          <w:rFonts w:hint="eastAsia" w:ascii="宋体" w:hAnsi="宋体" w:eastAsia="宋体" w:cs="宋体"/>
          <w:b/>
          <w:bCs/>
          <w:color w:val="auto"/>
          <w:sz w:val="32"/>
          <w:szCs w:val="32"/>
          <w:highlight w:val="none"/>
          <w:lang w:val="en-US" w:eastAsia="zh-CN"/>
        </w:rPr>
        <w:t>法定代表人（负责人）身份证明书及</w:t>
      </w:r>
    </w:p>
    <w:p w14:paraId="545D928E">
      <w:pPr>
        <w:pStyle w:val="10"/>
        <w:numPr>
          <w:ilvl w:val="0"/>
          <w:numId w:val="0"/>
        </w:numPr>
        <w:ind w:firstLine="1285" w:firstLineChars="400"/>
        <w:jc w:val="both"/>
        <w:rPr>
          <w:rFonts w:hAnsi="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法定代表人（负责人）有效身份证正反面复印件</w:t>
      </w:r>
    </w:p>
    <w:p w14:paraId="7CE71094">
      <w:pPr>
        <w:pStyle w:val="10"/>
        <w:rPr>
          <w:rFonts w:hAnsi="宋体" w:cs="宋体"/>
          <w:b/>
          <w:bCs/>
          <w:color w:val="auto"/>
          <w:sz w:val="24"/>
          <w:szCs w:val="24"/>
          <w:highlight w:val="none"/>
        </w:rPr>
      </w:pPr>
    </w:p>
    <w:p w14:paraId="4BB04F68">
      <w:pPr>
        <w:pStyle w:val="10"/>
        <w:rPr>
          <w:rFonts w:hAnsi="宋体" w:cs="宋体"/>
          <w:b/>
          <w:bCs/>
          <w:color w:val="auto"/>
          <w:sz w:val="24"/>
          <w:szCs w:val="24"/>
          <w:highlight w:val="none"/>
        </w:rPr>
      </w:pPr>
    </w:p>
    <w:p w14:paraId="198ADC2D">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t>法定代表人（负责人）证明书</w:t>
      </w:r>
    </w:p>
    <w:p w14:paraId="0D6F2B23">
      <w:pPr>
        <w:spacing w:line="360" w:lineRule="auto"/>
        <w:ind w:left="540"/>
        <w:contextualSpacing/>
        <w:rPr>
          <w:rFonts w:hint="eastAsia" w:ascii="宋体" w:hAnsi="宋体" w:eastAsia="宋体" w:cs="宋体"/>
          <w:color w:val="auto"/>
          <w:sz w:val="32"/>
          <w:szCs w:val="32"/>
          <w:highlight w:val="none"/>
        </w:rPr>
      </w:pPr>
    </w:p>
    <w:p w14:paraId="2A82651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3B093A47">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7C5760A9">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252E0A50">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2A059B3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6F94B6A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的法定代表人（负责人）。</w:t>
      </w:r>
    </w:p>
    <w:p w14:paraId="50A82F80">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65E4B3CC">
      <w:pPr>
        <w:spacing w:line="360" w:lineRule="auto"/>
        <w:ind w:left="540"/>
        <w:contextualSpacing/>
        <w:rPr>
          <w:rFonts w:hint="eastAsia" w:ascii="宋体" w:hAnsi="宋体" w:eastAsia="宋体" w:cs="宋体"/>
          <w:color w:val="auto"/>
          <w:sz w:val="24"/>
          <w:highlight w:val="none"/>
        </w:rPr>
      </w:pPr>
    </w:p>
    <w:p w14:paraId="5E9580A3">
      <w:pPr>
        <w:spacing w:line="360" w:lineRule="auto"/>
        <w:ind w:left="540"/>
        <w:contextualSpacing/>
        <w:rPr>
          <w:rFonts w:hint="eastAsia" w:ascii="宋体" w:hAnsi="宋体" w:eastAsia="宋体" w:cs="宋体"/>
          <w:color w:val="auto"/>
          <w:sz w:val="24"/>
          <w:highlight w:val="none"/>
        </w:rPr>
      </w:pPr>
    </w:p>
    <w:p w14:paraId="1FC59E03">
      <w:pPr>
        <w:spacing w:line="360" w:lineRule="auto"/>
        <w:ind w:left="540"/>
        <w:contextualSpacing/>
        <w:rPr>
          <w:rFonts w:hint="eastAsia" w:ascii="宋体" w:hAnsi="宋体" w:eastAsia="宋体" w:cs="宋体"/>
          <w:color w:val="auto"/>
          <w:sz w:val="24"/>
          <w:highlight w:val="none"/>
        </w:rPr>
      </w:pPr>
    </w:p>
    <w:p w14:paraId="09D8139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附件：法定代表人（负责人）有效身份证正反面复印件</w:t>
      </w:r>
    </w:p>
    <w:p w14:paraId="0F37499D">
      <w:pPr>
        <w:spacing w:line="360" w:lineRule="auto"/>
        <w:ind w:left="540"/>
        <w:contextualSpacing/>
        <w:rPr>
          <w:rFonts w:hint="eastAsia" w:ascii="宋体" w:hAnsi="宋体" w:eastAsia="宋体" w:cs="宋体"/>
          <w:color w:val="auto"/>
          <w:sz w:val="24"/>
          <w:highlight w:val="none"/>
        </w:rPr>
      </w:pPr>
    </w:p>
    <w:p w14:paraId="3987DC0C">
      <w:pPr>
        <w:spacing w:line="360" w:lineRule="auto"/>
        <w:ind w:firstLine="4080" w:firstLineChars="1700"/>
        <w:contextualSpacing/>
        <w:rPr>
          <w:rFonts w:hint="eastAsia" w:ascii="宋体" w:hAnsi="宋体" w:cs="宋体"/>
          <w:color w:val="auto"/>
          <w:sz w:val="24"/>
          <w:highlight w:val="none"/>
        </w:rPr>
      </w:pPr>
      <w:r>
        <w:rPr>
          <w:rFonts w:hint="eastAsia" w:ascii="宋体" w:hAnsi="宋体" w:cs="宋体"/>
          <w:color w:val="auto"/>
          <w:sz w:val="24"/>
          <w:highlight w:val="none"/>
        </w:rPr>
        <w:t>供应商（电子签章）：</w:t>
      </w:r>
    </w:p>
    <w:p w14:paraId="5C97B8C2">
      <w:pPr>
        <w:spacing w:line="360" w:lineRule="auto"/>
        <w:ind w:firstLine="4080" w:firstLineChars="17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1E6D182">
      <w:pPr>
        <w:rPr>
          <w:rFonts w:hAnsi="宋体" w:cs="宋体"/>
          <w:b/>
          <w:bCs/>
          <w:color w:val="auto"/>
          <w:sz w:val="24"/>
          <w:szCs w:val="24"/>
          <w:highlight w:val="none"/>
        </w:rPr>
      </w:pPr>
      <w:r>
        <w:rPr>
          <w:rFonts w:hAnsi="宋体" w:cs="宋体"/>
          <w:b/>
          <w:bCs/>
          <w:color w:val="auto"/>
          <w:sz w:val="24"/>
          <w:szCs w:val="24"/>
          <w:highlight w:val="none"/>
        </w:rPr>
        <w:br w:type="page"/>
      </w:r>
    </w:p>
    <w:p w14:paraId="279703EE">
      <w:pPr>
        <w:rPr>
          <w:color w:val="auto"/>
          <w:highlight w:val="none"/>
        </w:rPr>
      </w:pPr>
    </w:p>
    <w:p w14:paraId="31E913C1">
      <w:pPr>
        <w:pStyle w:val="10"/>
        <w:rPr>
          <w:rFonts w:hAnsi="宋体" w:cs="宋体"/>
          <w:b/>
          <w:bCs/>
          <w:color w:val="auto"/>
          <w:sz w:val="24"/>
          <w:szCs w:val="24"/>
          <w:highlight w:val="none"/>
        </w:rPr>
      </w:pPr>
    </w:p>
    <w:p w14:paraId="3B1B3060">
      <w:pPr>
        <w:pStyle w:val="10"/>
        <w:rPr>
          <w:rFonts w:hAnsi="宋体" w:cs="宋体"/>
          <w:b/>
          <w:bCs/>
          <w:color w:val="auto"/>
          <w:sz w:val="24"/>
          <w:szCs w:val="24"/>
          <w:highlight w:val="none"/>
        </w:rPr>
      </w:pPr>
    </w:p>
    <w:p w14:paraId="216B8F57">
      <w:pPr>
        <w:pStyle w:val="10"/>
        <w:jc w:val="center"/>
        <w:rPr>
          <w:rFonts w:hint="eastAsia" w:hAnsi="宋体"/>
          <w:b/>
          <w:bCs/>
          <w:color w:val="auto"/>
          <w:highlight w:val="none"/>
        </w:rPr>
      </w:pPr>
      <w:r>
        <w:rPr>
          <w:rFonts w:hint="eastAsia" w:hAnsi="宋体" w:cs="宋体"/>
          <w:b/>
          <w:bCs/>
          <w:color w:val="auto"/>
          <w:sz w:val="32"/>
          <w:szCs w:val="32"/>
          <w:highlight w:val="none"/>
          <w:lang w:val="en-US" w:eastAsia="zh-CN"/>
        </w:rPr>
        <w:t>5</w:t>
      </w:r>
      <w:r>
        <w:rPr>
          <w:rFonts w:hint="eastAsia" w:hAnsi="宋体" w:cs="宋体"/>
          <w:b/>
          <w:bCs/>
          <w:color w:val="auto"/>
          <w:sz w:val="32"/>
          <w:szCs w:val="32"/>
          <w:highlight w:val="none"/>
          <w:lang w:eastAsia="zh-CN"/>
        </w:rPr>
        <w:t>、</w:t>
      </w:r>
      <w:r>
        <w:rPr>
          <w:rFonts w:hAnsi="宋体" w:cs="宋体"/>
          <w:b/>
          <w:bCs/>
          <w:color w:val="auto"/>
          <w:sz w:val="32"/>
          <w:szCs w:val="32"/>
          <w:highlight w:val="none"/>
        </w:rPr>
        <w:t>法定代表人（负责人）授权委托书原件和委托代理人完整有效的正反面身份证复印件；</w:t>
      </w:r>
    </w:p>
    <w:p w14:paraId="183D16DD">
      <w:pPr>
        <w:rPr>
          <w:rFonts w:hint="eastAsia" w:ascii="宋体" w:hAnsi="宋体"/>
          <w:b/>
          <w:bCs/>
          <w:color w:val="auto"/>
          <w:sz w:val="24"/>
          <w:highlight w:val="none"/>
        </w:rPr>
      </w:pPr>
    </w:p>
    <w:p w14:paraId="4629A44E">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授权委托书</w:t>
      </w:r>
    </w:p>
    <w:p w14:paraId="1BCEB2CD">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32"/>
          <w:szCs w:val="32"/>
          <w:highlight w:val="none"/>
        </w:rPr>
        <w:t>（如有委托时）</w:t>
      </w:r>
    </w:p>
    <w:p w14:paraId="51AF6CFA">
      <w:pPr>
        <w:spacing w:line="520" w:lineRule="exact"/>
        <w:rPr>
          <w:rFonts w:hint="eastAsia" w:ascii="宋体" w:hAnsi="宋体" w:eastAsia="宋体" w:cs="宋体"/>
          <w:color w:val="auto"/>
          <w:sz w:val="32"/>
          <w:szCs w:val="32"/>
          <w:highlight w:val="none"/>
        </w:rPr>
      </w:pPr>
    </w:p>
    <w:p w14:paraId="6D4EA2E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45D4DB5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4EDB8BD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我方对委托代理人的签字或者电子签名事项负全部责任。</w:t>
      </w:r>
    </w:p>
    <w:p w14:paraId="0A14ED8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1805883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6832604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附：法定代表人（负责人）身份证明书及委托代理人有效身份证正反面复印件</w:t>
      </w:r>
    </w:p>
    <w:p w14:paraId="743D86EB">
      <w:pPr>
        <w:spacing w:line="360" w:lineRule="auto"/>
        <w:rPr>
          <w:rFonts w:hint="eastAsia" w:ascii="宋体" w:hAnsi="宋体" w:eastAsia="宋体" w:cs="宋体"/>
          <w:color w:val="auto"/>
          <w:sz w:val="24"/>
          <w:highlight w:val="none"/>
        </w:rPr>
      </w:pPr>
    </w:p>
    <w:p w14:paraId="5248BF13">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cs="宋体"/>
          <w:color w:val="auto"/>
          <w:sz w:val="24"/>
          <w:highlight w:val="none"/>
        </w:rPr>
        <w:t>签字或</w:t>
      </w:r>
      <w:r>
        <w:rPr>
          <w:rFonts w:hint="eastAsia" w:ascii="宋体" w:hAnsi="宋体" w:cs="宋体"/>
          <w:color w:val="auto"/>
          <w:sz w:val="24"/>
          <w:highlight w:val="none"/>
          <w:lang w:eastAsia="zh-CN"/>
        </w:rPr>
        <w:t>盖章或</w:t>
      </w:r>
      <w:r>
        <w:rPr>
          <w:rFonts w:hint="eastAsia" w:ascii="宋体" w:hAnsi="宋体" w:cs="宋体"/>
          <w:color w:val="auto"/>
          <w:sz w:val="24"/>
          <w:highlight w:val="none"/>
        </w:rPr>
        <w:t>电子签名</w:t>
      </w:r>
      <w:r>
        <w:rPr>
          <w:rFonts w:hint="eastAsia" w:ascii="宋体" w:hAnsi="宋体" w:eastAsia="宋体" w:cs="宋体"/>
          <w:color w:val="auto"/>
          <w:sz w:val="24"/>
          <w:highlight w:val="none"/>
        </w:rPr>
        <w:t>）：    法定代表人（负责人）（</w:t>
      </w:r>
      <w:r>
        <w:rPr>
          <w:rFonts w:hint="eastAsia" w:ascii="宋体" w:hAnsi="宋体" w:cs="宋体"/>
          <w:color w:val="auto"/>
          <w:sz w:val="24"/>
          <w:highlight w:val="none"/>
        </w:rPr>
        <w:t>签字或</w:t>
      </w:r>
      <w:r>
        <w:rPr>
          <w:rFonts w:hint="eastAsia" w:ascii="宋体" w:hAnsi="宋体" w:cs="宋体"/>
          <w:color w:val="auto"/>
          <w:sz w:val="24"/>
          <w:highlight w:val="none"/>
          <w:lang w:eastAsia="zh-CN"/>
        </w:rPr>
        <w:t>盖章或</w:t>
      </w:r>
      <w:r>
        <w:rPr>
          <w:rFonts w:hint="eastAsia" w:ascii="宋体" w:hAnsi="宋体" w:cs="宋体"/>
          <w:color w:val="auto"/>
          <w:sz w:val="24"/>
          <w:highlight w:val="none"/>
        </w:rPr>
        <w:t>电子签名</w:t>
      </w:r>
      <w:r>
        <w:rPr>
          <w:rFonts w:hint="eastAsia" w:ascii="宋体" w:hAnsi="宋体" w:eastAsia="宋体" w:cs="宋体"/>
          <w:color w:val="auto"/>
          <w:sz w:val="24"/>
          <w:highlight w:val="none"/>
        </w:rPr>
        <w:t xml:space="preserve">）：                    </w:t>
      </w:r>
    </w:p>
    <w:p w14:paraId="570C7390">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5B229E0B">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8CCD92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rPr>
        <w:t>供应商（电子签章）：</w:t>
      </w:r>
      <w:r>
        <w:rPr>
          <w:rFonts w:hint="eastAsia" w:ascii="宋体" w:hAnsi="宋体" w:eastAsia="宋体" w:cs="宋体"/>
          <w:color w:val="auto"/>
          <w:sz w:val="24"/>
          <w:highlight w:val="none"/>
        </w:rPr>
        <w:t xml:space="preserve">                      </w:t>
      </w:r>
    </w:p>
    <w:p w14:paraId="5C2D179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327BD07A">
      <w:pPr>
        <w:spacing w:line="360" w:lineRule="auto"/>
        <w:rPr>
          <w:rFonts w:hint="eastAsia" w:ascii="宋体" w:hAnsi="宋体" w:eastAsia="宋体" w:cs="宋体"/>
          <w:color w:val="auto"/>
          <w:sz w:val="24"/>
          <w:highlight w:val="none"/>
        </w:rPr>
      </w:pPr>
    </w:p>
    <w:p w14:paraId="1FA01D0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法定代表人（负责人）必须在授权委托书上</w:t>
      </w:r>
      <w:r>
        <w:rPr>
          <w:rFonts w:hint="eastAsia" w:ascii="宋体" w:hAnsi="宋体" w:cs="宋体"/>
          <w:color w:val="auto"/>
          <w:sz w:val="24"/>
          <w:highlight w:val="none"/>
        </w:rPr>
        <w:t>签字或</w:t>
      </w:r>
      <w:r>
        <w:rPr>
          <w:rFonts w:hint="eastAsia" w:ascii="宋体" w:hAnsi="宋体" w:cs="宋体"/>
          <w:color w:val="auto"/>
          <w:sz w:val="24"/>
          <w:highlight w:val="none"/>
          <w:lang w:eastAsia="zh-CN"/>
        </w:rPr>
        <w:t>盖章或</w:t>
      </w:r>
      <w:r>
        <w:rPr>
          <w:rFonts w:hint="eastAsia" w:ascii="宋体" w:hAnsi="宋体" w:cs="宋体"/>
          <w:color w:val="auto"/>
          <w:sz w:val="24"/>
          <w:highlight w:val="none"/>
        </w:rPr>
        <w:t>电子签名</w:t>
      </w:r>
      <w:r>
        <w:rPr>
          <w:rFonts w:hint="eastAsia" w:ascii="宋体" w:hAnsi="宋体" w:eastAsia="宋体" w:cs="宋体"/>
          <w:color w:val="auto"/>
          <w:sz w:val="24"/>
          <w:highlight w:val="none"/>
        </w:rPr>
        <w:t>，委托代理人必须在授权委托书上</w:t>
      </w:r>
      <w:r>
        <w:rPr>
          <w:rFonts w:hint="eastAsia" w:ascii="宋体" w:hAnsi="宋体" w:cs="宋体"/>
          <w:color w:val="auto"/>
          <w:sz w:val="24"/>
          <w:highlight w:val="none"/>
        </w:rPr>
        <w:t>签字或</w:t>
      </w:r>
      <w:r>
        <w:rPr>
          <w:rFonts w:hint="eastAsia" w:ascii="宋体" w:hAnsi="宋体" w:cs="宋体"/>
          <w:color w:val="auto"/>
          <w:sz w:val="24"/>
          <w:highlight w:val="none"/>
          <w:lang w:eastAsia="zh-CN"/>
        </w:rPr>
        <w:t>盖章或</w:t>
      </w:r>
      <w:r>
        <w:rPr>
          <w:rFonts w:hint="eastAsia" w:ascii="宋体" w:hAnsi="宋体" w:cs="宋体"/>
          <w:color w:val="auto"/>
          <w:sz w:val="24"/>
          <w:highlight w:val="none"/>
        </w:rPr>
        <w:t>电子签名</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否则其响应文件按无效响应处理。</w:t>
      </w:r>
    </w:p>
    <w:p w14:paraId="7C1D9F1D">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bookmarkStart w:id="76" w:name="_Hlk65853109"/>
      <w:bookmarkStart w:id="77" w:name="_Hlk65853542"/>
      <w:r>
        <w:rPr>
          <w:rFonts w:hint="eastAsia" w:ascii="宋体" w:hAnsi="宋体" w:eastAsia="宋体" w:cs="宋体"/>
          <w:color w:val="auto"/>
          <w:sz w:val="24"/>
          <w:highlight w:val="none"/>
        </w:rPr>
        <w:t>法人、其他组织竞标时“我方”是指“我单位”，自然人竞标时“我方”是指“本人”。</w:t>
      </w:r>
      <w:bookmarkEnd w:id="76"/>
    </w:p>
    <w:bookmarkEnd w:id="77"/>
    <w:p w14:paraId="4318E347">
      <w:pPr>
        <w:pStyle w:val="10"/>
        <w:rPr>
          <w:rFonts w:hint="eastAsia" w:hAnsi="宋体"/>
          <w:color w:val="auto"/>
          <w:highlight w:val="none"/>
        </w:rPr>
      </w:pPr>
    </w:p>
    <w:p w14:paraId="078B4D68">
      <w:pPr>
        <w:rPr>
          <w:rFonts w:hint="eastAsia" w:hAnsi="宋体"/>
          <w:color w:val="auto"/>
          <w:highlight w:val="none"/>
        </w:rPr>
      </w:pPr>
      <w:r>
        <w:rPr>
          <w:rFonts w:hint="eastAsia" w:hAnsi="宋体"/>
          <w:color w:val="auto"/>
          <w:highlight w:val="none"/>
        </w:rPr>
        <w:br w:type="page"/>
      </w:r>
    </w:p>
    <w:p w14:paraId="4D21283D">
      <w:pPr>
        <w:rPr>
          <w:rFonts w:hint="eastAsia"/>
          <w:color w:val="auto"/>
          <w:highlight w:val="none"/>
        </w:rPr>
      </w:pPr>
    </w:p>
    <w:p w14:paraId="0A3C691E">
      <w:pPr>
        <w:pStyle w:val="3"/>
        <w:rPr>
          <w:rFonts w:hint="eastAsia"/>
          <w:color w:val="auto"/>
          <w:highlight w:val="none"/>
        </w:rPr>
      </w:pPr>
      <w:r>
        <w:rPr>
          <w:rFonts w:hint="eastAsia"/>
          <w:color w:val="auto"/>
          <w:highlight w:val="none"/>
          <w:lang w:val="en-US" w:eastAsia="zh-CN"/>
        </w:rPr>
        <w:t>6</w:t>
      </w:r>
      <w:r>
        <w:rPr>
          <w:rFonts w:hint="eastAsia"/>
          <w:color w:val="auto"/>
          <w:highlight w:val="none"/>
        </w:rPr>
        <w:t>、商务</w:t>
      </w:r>
      <w:r>
        <w:rPr>
          <w:rFonts w:hint="eastAsia"/>
          <w:color w:val="auto"/>
          <w:highlight w:val="none"/>
          <w:lang w:eastAsia="zh-CN"/>
        </w:rPr>
        <w:t>、技术</w:t>
      </w:r>
      <w:r>
        <w:rPr>
          <w:rFonts w:hint="eastAsia"/>
          <w:color w:val="auto"/>
          <w:highlight w:val="none"/>
        </w:rPr>
        <w:t>响应偏离情况说明表</w:t>
      </w:r>
    </w:p>
    <w:p w14:paraId="2472763E">
      <w:pPr>
        <w:rPr>
          <w:rFonts w:hint="eastAsia"/>
          <w:color w:val="auto"/>
          <w:highlight w:val="none"/>
        </w:rPr>
      </w:pPr>
    </w:p>
    <w:p w14:paraId="14163ACC">
      <w:pPr>
        <w:rPr>
          <w:rFonts w:ascii="宋体" w:hAnsi="宋体"/>
          <w:color w:val="auto"/>
          <w:sz w:val="24"/>
          <w:highlight w:val="none"/>
          <w:u w:val="single"/>
        </w:rPr>
      </w:pPr>
      <w:r>
        <w:rPr>
          <w:rFonts w:hint="eastAsia" w:ascii="宋体" w:hAnsi="宋体"/>
          <w:color w:val="auto"/>
          <w:sz w:val="24"/>
          <w:highlight w:val="none"/>
        </w:rPr>
        <w:t>采购项目编号:</w:t>
      </w:r>
      <w:r>
        <w:rPr>
          <w:rFonts w:hint="eastAsia" w:ascii="宋体" w:hAnsi="宋体"/>
          <w:color w:val="auto"/>
          <w:sz w:val="24"/>
          <w:highlight w:val="none"/>
          <w:u w:val="single"/>
        </w:rPr>
        <w:t xml:space="preserve">                 </w:t>
      </w:r>
    </w:p>
    <w:p w14:paraId="28BDCED4">
      <w:pPr>
        <w:rPr>
          <w:rFonts w:hint="eastAsia" w:ascii="宋体" w:hAnsi="宋体"/>
          <w:color w:val="auto"/>
          <w:sz w:val="24"/>
          <w:highlight w:val="none"/>
        </w:rPr>
      </w:pPr>
      <w:r>
        <w:rPr>
          <w:rFonts w:hint="eastAsia" w:ascii="宋体" w:hAnsi="宋体"/>
          <w:color w:val="auto"/>
          <w:sz w:val="24"/>
          <w:highlight w:val="none"/>
        </w:rPr>
        <w:t>采购项目名称: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7318CC4E">
      <w:pPr>
        <w:pStyle w:val="25"/>
        <w:rPr>
          <w:color w:val="auto"/>
          <w:highlight w:val="none"/>
        </w:rPr>
      </w:pPr>
    </w:p>
    <w:tbl>
      <w:tblPr>
        <w:tblStyle w:val="19"/>
        <w:tblW w:w="9747"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8"/>
        <w:gridCol w:w="1566"/>
        <w:gridCol w:w="2418"/>
        <w:gridCol w:w="2250"/>
        <w:gridCol w:w="1701"/>
        <w:gridCol w:w="1134"/>
      </w:tblGrid>
      <w:tr w14:paraId="23BDAA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40" w:hRule="atLeast"/>
        </w:trPr>
        <w:tc>
          <w:tcPr>
            <w:tcW w:w="678" w:type="dxa"/>
            <w:noWrap w:val="0"/>
            <w:vAlign w:val="center"/>
          </w:tcPr>
          <w:p w14:paraId="28EC6B90">
            <w:pPr>
              <w:jc w:val="center"/>
              <w:rPr>
                <w:color w:val="auto"/>
                <w:highlight w:val="none"/>
              </w:rPr>
            </w:pPr>
            <w:bookmarkStart w:id="78" w:name="_Toc173211900"/>
            <w:bookmarkStart w:id="79" w:name="_Toc254970588"/>
            <w:bookmarkStart w:id="80" w:name="_Toc254970729"/>
            <w:bookmarkStart w:id="81" w:name="_Toc173066401"/>
            <w:r>
              <w:rPr>
                <w:rFonts w:hint="eastAsia"/>
                <w:color w:val="auto"/>
                <w:highlight w:val="none"/>
              </w:rPr>
              <w:t>序号</w:t>
            </w:r>
            <w:bookmarkEnd w:id="78"/>
            <w:bookmarkEnd w:id="79"/>
            <w:bookmarkEnd w:id="80"/>
            <w:bookmarkEnd w:id="81"/>
          </w:p>
        </w:tc>
        <w:tc>
          <w:tcPr>
            <w:tcW w:w="1566" w:type="dxa"/>
            <w:tcBorders>
              <w:right w:val="single" w:color="auto" w:sz="4" w:space="0"/>
            </w:tcBorders>
            <w:noWrap w:val="0"/>
            <w:vAlign w:val="center"/>
          </w:tcPr>
          <w:p w14:paraId="59D5C89B">
            <w:pPr>
              <w:jc w:val="center"/>
              <w:rPr>
                <w:rFonts w:hint="eastAsia" w:eastAsia="宋体"/>
                <w:color w:val="auto"/>
                <w:highlight w:val="none"/>
                <w:lang w:eastAsia="zh-CN"/>
              </w:rPr>
            </w:pPr>
            <w:r>
              <w:rPr>
                <w:rFonts w:hint="eastAsia"/>
                <w:color w:val="auto"/>
                <w:highlight w:val="none"/>
                <w:lang w:eastAsia="zh-CN"/>
              </w:rPr>
              <w:t>服务名称</w:t>
            </w:r>
          </w:p>
        </w:tc>
        <w:tc>
          <w:tcPr>
            <w:tcW w:w="2418" w:type="dxa"/>
            <w:tcBorders>
              <w:left w:val="single" w:color="auto" w:sz="4" w:space="0"/>
            </w:tcBorders>
            <w:noWrap w:val="0"/>
            <w:vAlign w:val="center"/>
          </w:tcPr>
          <w:p w14:paraId="41F11404">
            <w:pPr>
              <w:jc w:val="center"/>
              <w:rPr>
                <w:color w:val="auto"/>
                <w:highlight w:val="none"/>
              </w:rPr>
            </w:pPr>
            <w:bookmarkStart w:id="82" w:name="_Toc173066402"/>
            <w:bookmarkStart w:id="83" w:name="_Toc173211901"/>
            <w:bookmarkStart w:id="84" w:name="_Toc254970730"/>
            <w:bookmarkStart w:id="85" w:name="_Toc254970589"/>
            <w:r>
              <w:rPr>
                <w:rFonts w:hint="eastAsia"/>
                <w:color w:val="auto"/>
                <w:highlight w:val="none"/>
              </w:rPr>
              <w:t>单一来源采购文件要求</w:t>
            </w:r>
            <w:bookmarkEnd w:id="82"/>
            <w:bookmarkEnd w:id="83"/>
            <w:bookmarkEnd w:id="84"/>
            <w:bookmarkEnd w:id="85"/>
          </w:p>
        </w:tc>
        <w:tc>
          <w:tcPr>
            <w:tcW w:w="2250" w:type="dxa"/>
            <w:noWrap w:val="0"/>
            <w:vAlign w:val="center"/>
          </w:tcPr>
          <w:p w14:paraId="567A38FB">
            <w:pPr>
              <w:jc w:val="center"/>
              <w:rPr>
                <w:color w:val="auto"/>
                <w:highlight w:val="none"/>
              </w:rPr>
            </w:pPr>
            <w:bookmarkStart w:id="86" w:name="_Toc254970590"/>
            <w:bookmarkStart w:id="87" w:name="_Toc254970731"/>
            <w:bookmarkStart w:id="88" w:name="_Toc173066403"/>
            <w:bookmarkStart w:id="89" w:name="_Toc173211902"/>
            <w:r>
              <w:rPr>
                <w:rFonts w:hint="eastAsia"/>
                <w:color w:val="auto"/>
                <w:highlight w:val="none"/>
              </w:rPr>
              <w:t>报价文件具体响应</w:t>
            </w:r>
            <w:bookmarkEnd w:id="86"/>
            <w:bookmarkEnd w:id="87"/>
            <w:bookmarkEnd w:id="88"/>
            <w:bookmarkEnd w:id="89"/>
          </w:p>
        </w:tc>
        <w:tc>
          <w:tcPr>
            <w:tcW w:w="1701" w:type="dxa"/>
            <w:noWrap w:val="0"/>
            <w:vAlign w:val="center"/>
          </w:tcPr>
          <w:p w14:paraId="0428F432">
            <w:pPr>
              <w:jc w:val="center"/>
              <w:rPr>
                <w:color w:val="auto"/>
                <w:highlight w:val="none"/>
              </w:rPr>
            </w:pPr>
            <w:bookmarkStart w:id="90" w:name="_Toc254970732"/>
            <w:bookmarkStart w:id="91" w:name="_Toc173066404"/>
            <w:bookmarkStart w:id="92" w:name="_Toc254970591"/>
            <w:bookmarkStart w:id="93" w:name="_Toc173211903"/>
            <w:r>
              <w:rPr>
                <w:rFonts w:hint="eastAsia"/>
                <w:color w:val="auto"/>
                <w:highlight w:val="none"/>
              </w:rPr>
              <w:t>响应/偏离</w:t>
            </w:r>
            <w:bookmarkEnd w:id="90"/>
            <w:bookmarkEnd w:id="91"/>
            <w:bookmarkEnd w:id="92"/>
            <w:bookmarkEnd w:id="93"/>
          </w:p>
        </w:tc>
        <w:tc>
          <w:tcPr>
            <w:tcW w:w="1134" w:type="dxa"/>
            <w:noWrap w:val="0"/>
            <w:vAlign w:val="center"/>
          </w:tcPr>
          <w:p w14:paraId="7A4F4A6F">
            <w:pPr>
              <w:jc w:val="center"/>
              <w:rPr>
                <w:color w:val="auto"/>
                <w:highlight w:val="none"/>
              </w:rPr>
            </w:pPr>
            <w:bookmarkStart w:id="94" w:name="_Toc173211904"/>
            <w:bookmarkStart w:id="95" w:name="_Toc173066405"/>
            <w:bookmarkStart w:id="96" w:name="_Toc254970592"/>
            <w:bookmarkStart w:id="97" w:name="_Toc254970733"/>
            <w:r>
              <w:rPr>
                <w:rFonts w:hint="eastAsia"/>
                <w:color w:val="auto"/>
                <w:highlight w:val="none"/>
              </w:rPr>
              <w:t>说明</w:t>
            </w:r>
            <w:bookmarkEnd w:id="94"/>
            <w:bookmarkEnd w:id="95"/>
            <w:bookmarkEnd w:id="96"/>
            <w:bookmarkEnd w:id="97"/>
          </w:p>
        </w:tc>
      </w:tr>
      <w:tr w14:paraId="1CA039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06" w:hRule="atLeast"/>
        </w:trPr>
        <w:tc>
          <w:tcPr>
            <w:tcW w:w="9747" w:type="dxa"/>
            <w:gridSpan w:val="6"/>
            <w:noWrap w:val="0"/>
            <w:vAlign w:val="center"/>
          </w:tcPr>
          <w:p w14:paraId="69FC611C">
            <w:pPr>
              <w:rPr>
                <w:rFonts w:hint="eastAsia" w:eastAsia="宋体"/>
                <w:color w:val="auto"/>
                <w:highlight w:val="none"/>
                <w:lang w:eastAsia="zh-CN"/>
              </w:rPr>
            </w:pPr>
            <w:bookmarkStart w:id="98" w:name="_Toc173211905"/>
            <w:bookmarkStart w:id="99" w:name="_Toc254970593"/>
            <w:bookmarkStart w:id="100" w:name="_Toc254970734"/>
            <w:bookmarkStart w:id="101" w:name="_Toc173066406"/>
            <w:r>
              <w:rPr>
                <w:rFonts w:hint="eastAsia"/>
                <w:color w:val="auto"/>
                <w:highlight w:val="none"/>
                <w:lang w:eastAsia="zh-CN"/>
              </w:rPr>
              <w:t>一、技术要求部分</w:t>
            </w:r>
          </w:p>
        </w:tc>
      </w:tr>
      <w:tr w14:paraId="76D09D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61" w:hRule="atLeast"/>
        </w:trPr>
        <w:tc>
          <w:tcPr>
            <w:tcW w:w="678" w:type="dxa"/>
            <w:noWrap w:val="0"/>
            <w:vAlign w:val="center"/>
          </w:tcPr>
          <w:p w14:paraId="056057BA">
            <w:pPr>
              <w:rPr>
                <w:color w:val="auto"/>
                <w:highlight w:val="none"/>
              </w:rPr>
            </w:pPr>
            <w:r>
              <w:rPr>
                <w:rFonts w:hint="eastAsia"/>
                <w:color w:val="auto"/>
                <w:highlight w:val="none"/>
              </w:rPr>
              <w:t>1</w:t>
            </w:r>
            <w:bookmarkEnd w:id="98"/>
            <w:bookmarkEnd w:id="99"/>
            <w:bookmarkEnd w:id="100"/>
            <w:bookmarkEnd w:id="101"/>
          </w:p>
        </w:tc>
        <w:tc>
          <w:tcPr>
            <w:tcW w:w="1566" w:type="dxa"/>
            <w:tcBorders>
              <w:right w:val="single" w:color="auto" w:sz="4" w:space="0"/>
            </w:tcBorders>
            <w:noWrap w:val="0"/>
            <w:vAlign w:val="center"/>
          </w:tcPr>
          <w:p w14:paraId="194FE2E3">
            <w:pPr>
              <w:rPr>
                <w:color w:val="auto"/>
                <w:highlight w:val="none"/>
              </w:rPr>
            </w:pPr>
          </w:p>
        </w:tc>
        <w:tc>
          <w:tcPr>
            <w:tcW w:w="2418" w:type="dxa"/>
            <w:tcBorders>
              <w:left w:val="single" w:color="auto" w:sz="4" w:space="0"/>
            </w:tcBorders>
            <w:noWrap w:val="0"/>
            <w:vAlign w:val="center"/>
          </w:tcPr>
          <w:p w14:paraId="20A6B3EE">
            <w:pPr>
              <w:rPr>
                <w:color w:val="auto"/>
                <w:highlight w:val="none"/>
              </w:rPr>
            </w:pPr>
          </w:p>
        </w:tc>
        <w:tc>
          <w:tcPr>
            <w:tcW w:w="2250" w:type="dxa"/>
            <w:noWrap w:val="0"/>
            <w:vAlign w:val="center"/>
          </w:tcPr>
          <w:p w14:paraId="2CD8D4C2">
            <w:pPr>
              <w:rPr>
                <w:color w:val="auto"/>
                <w:highlight w:val="none"/>
              </w:rPr>
            </w:pPr>
          </w:p>
        </w:tc>
        <w:tc>
          <w:tcPr>
            <w:tcW w:w="1701" w:type="dxa"/>
            <w:noWrap w:val="0"/>
            <w:vAlign w:val="center"/>
          </w:tcPr>
          <w:p w14:paraId="4BE9589F">
            <w:pPr>
              <w:rPr>
                <w:color w:val="auto"/>
                <w:highlight w:val="none"/>
              </w:rPr>
            </w:pPr>
          </w:p>
        </w:tc>
        <w:tc>
          <w:tcPr>
            <w:tcW w:w="1134" w:type="dxa"/>
            <w:noWrap w:val="0"/>
            <w:vAlign w:val="center"/>
          </w:tcPr>
          <w:p w14:paraId="205917FE">
            <w:pPr>
              <w:rPr>
                <w:color w:val="auto"/>
                <w:highlight w:val="none"/>
              </w:rPr>
            </w:pPr>
          </w:p>
        </w:tc>
      </w:tr>
      <w:tr w14:paraId="436650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1" w:hRule="atLeast"/>
        </w:trPr>
        <w:tc>
          <w:tcPr>
            <w:tcW w:w="678" w:type="dxa"/>
            <w:noWrap w:val="0"/>
            <w:vAlign w:val="center"/>
          </w:tcPr>
          <w:p w14:paraId="7BD48E50">
            <w:pPr>
              <w:rPr>
                <w:color w:val="auto"/>
                <w:highlight w:val="none"/>
              </w:rPr>
            </w:pPr>
            <w:bookmarkStart w:id="102" w:name="_Toc254970594"/>
            <w:bookmarkStart w:id="103" w:name="_Toc173211906"/>
            <w:bookmarkStart w:id="104" w:name="_Toc173066407"/>
            <w:bookmarkStart w:id="105" w:name="_Toc254970735"/>
            <w:r>
              <w:rPr>
                <w:rFonts w:hint="eastAsia"/>
                <w:color w:val="auto"/>
                <w:highlight w:val="none"/>
              </w:rPr>
              <w:t>2</w:t>
            </w:r>
            <w:bookmarkEnd w:id="102"/>
            <w:bookmarkEnd w:id="103"/>
            <w:bookmarkEnd w:id="104"/>
            <w:bookmarkEnd w:id="105"/>
          </w:p>
        </w:tc>
        <w:tc>
          <w:tcPr>
            <w:tcW w:w="1566" w:type="dxa"/>
            <w:tcBorders>
              <w:right w:val="single" w:color="auto" w:sz="4" w:space="0"/>
            </w:tcBorders>
            <w:noWrap w:val="0"/>
            <w:vAlign w:val="center"/>
          </w:tcPr>
          <w:p w14:paraId="6B19152D">
            <w:pPr>
              <w:rPr>
                <w:color w:val="auto"/>
                <w:highlight w:val="none"/>
              </w:rPr>
            </w:pPr>
          </w:p>
        </w:tc>
        <w:tc>
          <w:tcPr>
            <w:tcW w:w="2418" w:type="dxa"/>
            <w:tcBorders>
              <w:left w:val="single" w:color="auto" w:sz="4" w:space="0"/>
            </w:tcBorders>
            <w:noWrap w:val="0"/>
            <w:vAlign w:val="center"/>
          </w:tcPr>
          <w:p w14:paraId="4127AAE1">
            <w:pPr>
              <w:rPr>
                <w:color w:val="auto"/>
                <w:highlight w:val="none"/>
              </w:rPr>
            </w:pPr>
          </w:p>
        </w:tc>
        <w:tc>
          <w:tcPr>
            <w:tcW w:w="2250" w:type="dxa"/>
            <w:noWrap w:val="0"/>
            <w:vAlign w:val="center"/>
          </w:tcPr>
          <w:p w14:paraId="419FE439">
            <w:pPr>
              <w:rPr>
                <w:color w:val="auto"/>
                <w:highlight w:val="none"/>
              </w:rPr>
            </w:pPr>
          </w:p>
        </w:tc>
        <w:tc>
          <w:tcPr>
            <w:tcW w:w="1701" w:type="dxa"/>
            <w:noWrap w:val="0"/>
            <w:vAlign w:val="center"/>
          </w:tcPr>
          <w:p w14:paraId="34656F45">
            <w:pPr>
              <w:rPr>
                <w:color w:val="auto"/>
                <w:highlight w:val="none"/>
              </w:rPr>
            </w:pPr>
          </w:p>
        </w:tc>
        <w:tc>
          <w:tcPr>
            <w:tcW w:w="1134" w:type="dxa"/>
            <w:noWrap w:val="0"/>
            <w:vAlign w:val="center"/>
          </w:tcPr>
          <w:p w14:paraId="51C568FD">
            <w:pPr>
              <w:rPr>
                <w:color w:val="auto"/>
                <w:highlight w:val="none"/>
              </w:rPr>
            </w:pPr>
          </w:p>
        </w:tc>
      </w:tr>
      <w:tr w14:paraId="2B60F1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678" w:type="dxa"/>
            <w:noWrap w:val="0"/>
            <w:vAlign w:val="center"/>
          </w:tcPr>
          <w:p w14:paraId="408D1CC8">
            <w:pPr>
              <w:rPr>
                <w:rFonts w:hint="eastAsia"/>
                <w:color w:val="auto"/>
                <w:highlight w:val="none"/>
              </w:rPr>
            </w:pPr>
            <w:bookmarkStart w:id="106" w:name="_Toc173211907"/>
            <w:bookmarkStart w:id="107" w:name="_Toc254970595"/>
            <w:bookmarkStart w:id="108" w:name="_Toc173066408"/>
            <w:bookmarkStart w:id="109" w:name="_Toc254970736"/>
            <w:r>
              <w:rPr>
                <w:rFonts w:hint="eastAsia"/>
                <w:color w:val="auto"/>
                <w:highlight w:val="none"/>
              </w:rPr>
              <w:t>3</w:t>
            </w:r>
          </w:p>
        </w:tc>
        <w:tc>
          <w:tcPr>
            <w:tcW w:w="1566" w:type="dxa"/>
            <w:tcBorders>
              <w:right w:val="single" w:color="auto" w:sz="4" w:space="0"/>
            </w:tcBorders>
            <w:noWrap w:val="0"/>
            <w:vAlign w:val="center"/>
          </w:tcPr>
          <w:p w14:paraId="5948BAB5">
            <w:pPr>
              <w:rPr>
                <w:color w:val="auto"/>
                <w:highlight w:val="none"/>
              </w:rPr>
            </w:pPr>
          </w:p>
        </w:tc>
        <w:tc>
          <w:tcPr>
            <w:tcW w:w="2418" w:type="dxa"/>
            <w:tcBorders>
              <w:left w:val="single" w:color="auto" w:sz="4" w:space="0"/>
            </w:tcBorders>
            <w:noWrap w:val="0"/>
            <w:vAlign w:val="center"/>
          </w:tcPr>
          <w:p w14:paraId="0321E1D9">
            <w:pPr>
              <w:rPr>
                <w:color w:val="auto"/>
                <w:highlight w:val="none"/>
              </w:rPr>
            </w:pPr>
          </w:p>
        </w:tc>
        <w:tc>
          <w:tcPr>
            <w:tcW w:w="2250" w:type="dxa"/>
            <w:noWrap w:val="0"/>
            <w:vAlign w:val="center"/>
          </w:tcPr>
          <w:p w14:paraId="16EF0C14">
            <w:pPr>
              <w:rPr>
                <w:color w:val="auto"/>
                <w:highlight w:val="none"/>
              </w:rPr>
            </w:pPr>
          </w:p>
        </w:tc>
        <w:tc>
          <w:tcPr>
            <w:tcW w:w="1701" w:type="dxa"/>
            <w:noWrap w:val="0"/>
            <w:vAlign w:val="center"/>
          </w:tcPr>
          <w:p w14:paraId="7170BC78">
            <w:pPr>
              <w:rPr>
                <w:color w:val="auto"/>
                <w:highlight w:val="none"/>
              </w:rPr>
            </w:pPr>
          </w:p>
        </w:tc>
        <w:tc>
          <w:tcPr>
            <w:tcW w:w="1134" w:type="dxa"/>
            <w:noWrap w:val="0"/>
            <w:vAlign w:val="center"/>
          </w:tcPr>
          <w:p w14:paraId="76E155BD">
            <w:pPr>
              <w:rPr>
                <w:color w:val="auto"/>
                <w:highlight w:val="none"/>
              </w:rPr>
            </w:pPr>
          </w:p>
        </w:tc>
      </w:tr>
      <w:bookmarkEnd w:id="106"/>
      <w:bookmarkEnd w:id="107"/>
      <w:bookmarkEnd w:id="108"/>
      <w:bookmarkEnd w:id="109"/>
      <w:tr w14:paraId="7BCC9D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678" w:type="dxa"/>
            <w:noWrap w:val="0"/>
            <w:vAlign w:val="center"/>
          </w:tcPr>
          <w:p w14:paraId="39D6A5C1">
            <w:pPr>
              <w:rPr>
                <w:color w:val="auto"/>
                <w:highlight w:val="none"/>
              </w:rPr>
            </w:pPr>
            <w:r>
              <w:rPr>
                <w:rFonts w:hint="eastAsia"/>
                <w:color w:val="auto"/>
                <w:highlight w:val="none"/>
              </w:rPr>
              <w:t>…</w:t>
            </w:r>
          </w:p>
        </w:tc>
        <w:tc>
          <w:tcPr>
            <w:tcW w:w="1566" w:type="dxa"/>
            <w:tcBorders>
              <w:right w:val="single" w:color="auto" w:sz="4" w:space="0"/>
            </w:tcBorders>
            <w:noWrap w:val="0"/>
            <w:vAlign w:val="center"/>
          </w:tcPr>
          <w:p w14:paraId="0011EC4C">
            <w:pPr>
              <w:rPr>
                <w:color w:val="auto"/>
                <w:highlight w:val="none"/>
              </w:rPr>
            </w:pPr>
          </w:p>
        </w:tc>
        <w:tc>
          <w:tcPr>
            <w:tcW w:w="2418" w:type="dxa"/>
            <w:tcBorders>
              <w:left w:val="single" w:color="auto" w:sz="4" w:space="0"/>
            </w:tcBorders>
            <w:noWrap w:val="0"/>
            <w:vAlign w:val="center"/>
          </w:tcPr>
          <w:p w14:paraId="56683F9C">
            <w:pPr>
              <w:rPr>
                <w:color w:val="auto"/>
                <w:highlight w:val="none"/>
              </w:rPr>
            </w:pPr>
          </w:p>
        </w:tc>
        <w:tc>
          <w:tcPr>
            <w:tcW w:w="2250" w:type="dxa"/>
            <w:noWrap w:val="0"/>
            <w:vAlign w:val="center"/>
          </w:tcPr>
          <w:p w14:paraId="75B58017">
            <w:pPr>
              <w:rPr>
                <w:color w:val="auto"/>
                <w:highlight w:val="none"/>
              </w:rPr>
            </w:pPr>
          </w:p>
        </w:tc>
        <w:tc>
          <w:tcPr>
            <w:tcW w:w="1701" w:type="dxa"/>
            <w:noWrap w:val="0"/>
            <w:vAlign w:val="center"/>
          </w:tcPr>
          <w:p w14:paraId="23422BFE">
            <w:pPr>
              <w:rPr>
                <w:color w:val="auto"/>
                <w:highlight w:val="none"/>
              </w:rPr>
            </w:pPr>
          </w:p>
        </w:tc>
        <w:tc>
          <w:tcPr>
            <w:tcW w:w="1134" w:type="dxa"/>
            <w:noWrap w:val="0"/>
            <w:vAlign w:val="center"/>
          </w:tcPr>
          <w:p w14:paraId="19E6AEB4">
            <w:pPr>
              <w:rPr>
                <w:color w:val="auto"/>
                <w:highlight w:val="none"/>
              </w:rPr>
            </w:pPr>
          </w:p>
        </w:tc>
      </w:tr>
      <w:tr w14:paraId="11F89F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9" w:hRule="atLeast"/>
        </w:trPr>
        <w:tc>
          <w:tcPr>
            <w:tcW w:w="9747" w:type="dxa"/>
            <w:gridSpan w:val="6"/>
            <w:noWrap w:val="0"/>
            <w:vAlign w:val="center"/>
          </w:tcPr>
          <w:p w14:paraId="340AA521">
            <w:pPr>
              <w:rPr>
                <w:rFonts w:hint="eastAsia" w:eastAsia="宋体"/>
                <w:color w:val="auto"/>
                <w:highlight w:val="none"/>
                <w:lang w:eastAsia="zh-CN"/>
              </w:rPr>
            </w:pPr>
            <w:bookmarkStart w:id="110" w:name="_Toc173211908"/>
            <w:bookmarkStart w:id="111" w:name="_Toc254970596"/>
            <w:bookmarkStart w:id="112" w:name="_Toc254970737"/>
            <w:bookmarkStart w:id="113" w:name="_Toc173066409"/>
            <w:r>
              <w:rPr>
                <w:rFonts w:hint="eastAsia"/>
                <w:color w:val="auto"/>
                <w:highlight w:val="none"/>
                <w:lang w:eastAsia="zh-CN"/>
              </w:rPr>
              <w:t>二、商务要求部分</w:t>
            </w:r>
          </w:p>
        </w:tc>
      </w:tr>
      <w:tr w14:paraId="454844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9" w:hRule="atLeast"/>
        </w:trPr>
        <w:tc>
          <w:tcPr>
            <w:tcW w:w="678" w:type="dxa"/>
            <w:noWrap w:val="0"/>
            <w:vAlign w:val="center"/>
          </w:tcPr>
          <w:p w14:paraId="6D3FA3F7">
            <w:pPr>
              <w:rPr>
                <w:rFonts w:hint="eastAsia" w:eastAsia="宋体"/>
                <w:color w:val="auto"/>
                <w:highlight w:val="none"/>
                <w:lang w:val="en-US" w:eastAsia="zh-CN"/>
              </w:rPr>
            </w:pPr>
            <w:r>
              <w:rPr>
                <w:rFonts w:hint="eastAsia"/>
                <w:color w:val="auto"/>
                <w:highlight w:val="none"/>
                <w:lang w:val="en-US" w:eastAsia="zh-CN"/>
              </w:rPr>
              <w:t>1</w:t>
            </w:r>
          </w:p>
        </w:tc>
        <w:tc>
          <w:tcPr>
            <w:tcW w:w="1566" w:type="dxa"/>
            <w:tcBorders>
              <w:right w:val="single" w:color="auto" w:sz="4" w:space="0"/>
            </w:tcBorders>
            <w:noWrap w:val="0"/>
            <w:vAlign w:val="center"/>
          </w:tcPr>
          <w:p w14:paraId="21983241">
            <w:pPr>
              <w:rPr>
                <w:color w:val="auto"/>
                <w:highlight w:val="none"/>
              </w:rPr>
            </w:pPr>
          </w:p>
        </w:tc>
        <w:tc>
          <w:tcPr>
            <w:tcW w:w="2418" w:type="dxa"/>
            <w:tcBorders>
              <w:left w:val="single" w:color="auto" w:sz="4" w:space="0"/>
            </w:tcBorders>
            <w:noWrap w:val="0"/>
            <w:vAlign w:val="center"/>
          </w:tcPr>
          <w:p w14:paraId="755F5B93">
            <w:pPr>
              <w:rPr>
                <w:color w:val="auto"/>
                <w:highlight w:val="none"/>
              </w:rPr>
            </w:pPr>
          </w:p>
        </w:tc>
        <w:tc>
          <w:tcPr>
            <w:tcW w:w="2250" w:type="dxa"/>
            <w:noWrap w:val="0"/>
            <w:vAlign w:val="center"/>
          </w:tcPr>
          <w:p w14:paraId="6D6DC1D5">
            <w:pPr>
              <w:rPr>
                <w:color w:val="auto"/>
                <w:highlight w:val="none"/>
              </w:rPr>
            </w:pPr>
          </w:p>
        </w:tc>
        <w:tc>
          <w:tcPr>
            <w:tcW w:w="1701" w:type="dxa"/>
            <w:noWrap w:val="0"/>
            <w:vAlign w:val="center"/>
          </w:tcPr>
          <w:p w14:paraId="77433933">
            <w:pPr>
              <w:rPr>
                <w:color w:val="auto"/>
                <w:highlight w:val="none"/>
              </w:rPr>
            </w:pPr>
          </w:p>
        </w:tc>
        <w:tc>
          <w:tcPr>
            <w:tcW w:w="1134" w:type="dxa"/>
            <w:noWrap w:val="0"/>
            <w:vAlign w:val="center"/>
          </w:tcPr>
          <w:p w14:paraId="1AFD4582">
            <w:pPr>
              <w:rPr>
                <w:color w:val="auto"/>
                <w:highlight w:val="none"/>
              </w:rPr>
            </w:pPr>
          </w:p>
        </w:tc>
      </w:tr>
      <w:bookmarkEnd w:id="110"/>
      <w:bookmarkEnd w:id="111"/>
      <w:bookmarkEnd w:id="112"/>
      <w:bookmarkEnd w:id="113"/>
      <w:tr w14:paraId="5679C0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9" w:hRule="atLeast"/>
        </w:trPr>
        <w:tc>
          <w:tcPr>
            <w:tcW w:w="678" w:type="dxa"/>
            <w:noWrap w:val="0"/>
            <w:vAlign w:val="center"/>
          </w:tcPr>
          <w:p w14:paraId="62D35E4C">
            <w:pPr>
              <w:rPr>
                <w:rFonts w:hint="eastAsia" w:eastAsia="宋体"/>
                <w:color w:val="auto"/>
                <w:highlight w:val="none"/>
                <w:lang w:eastAsia="zh-CN"/>
              </w:rPr>
            </w:pPr>
            <w:r>
              <w:rPr>
                <w:rFonts w:hint="eastAsia"/>
                <w:color w:val="auto"/>
                <w:highlight w:val="none"/>
                <w:lang w:val="en-US" w:eastAsia="zh-CN"/>
              </w:rPr>
              <w:t>2</w:t>
            </w:r>
          </w:p>
        </w:tc>
        <w:tc>
          <w:tcPr>
            <w:tcW w:w="1566" w:type="dxa"/>
            <w:tcBorders>
              <w:right w:val="single" w:color="auto" w:sz="4" w:space="0"/>
            </w:tcBorders>
            <w:noWrap w:val="0"/>
            <w:vAlign w:val="center"/>
          </w:tcPr>
          <w:p w14:paraId="10211B19">
            <w:pPr>
              <w:rPr>
                <w:color w:val="auto"/>
                <w:highlight w:val="none"/>
              </w:rPr>
            </w:pPr>
          </w:p>
        </w:tc>
        <w:tc>
          <w:tcPr>
            <w:tcW w:w="2418" w:type="dxa"/>
            <w:tcBorders>
              <w:left w:val="single" w:color="auto" w:sz="4" w:space="0"/>
            </w:tcBorders>
            <w:noWrap w:val="0"/>
            <w:vAlign w:val="center"/>
          </w:tcPr>
          <w:p w14:paraId="0FDE46E6">
            <w:pPr>
              <w:rPr>
                <w:color w:val="auto"/>
                <w:highlight w:val="none"/>
              </w:rPr>
            </w:pPr>
          </w:p>
        </w:tc>
        <w:tc>
          <w:tcPr>
            <w:tcW w:w="2250" w:type="dxa"/>
            <w:noWrap w:val="0"/>
            <w:vAlign w:val="center"/>
          </w:tcPr>
          <w:p w14:paraId="483987D6">
            <w:pPr>
              <w:rPr>
                <w:color w:val="auto"/>
                <w:highlight w:val="none"/>
              </w:rPr>
            </w:pPr>
          </w:p>
        </w:tc>
        <w:tc>
          <w:tcPr>
            <w:tcW w:w="1701" w:type="dxa"/>
            <w:noWrap w:val="0"/>
            <w:vAlign w:val="center"/>
          </w:tcPr>
          <w:p w14:paraId="24E78CE9">
            <w:pPr>
              <w:rPr>
                <w:color w:val="auto"/>
                <w:highlight w:val="none"/>
              </w:rPr>
            </w:pPr>
          </w:p>
        </w:tc>
        <w:tc>
          <w:tcPr>
            <w:tcW w:w="1134" w:type="dxa"/>
            <w:noWrap w:val="0"/>
            <w:vAlign w:val="center"/>
          </w:tcPr>
          <w:p w14:paraId="60A3A14F">
            <w:pPr>
              <w:rPr>
                <w:color w:val="auto"/>
                <w:highlight w:val="none"/>
              </w:rPr>
            </w:pPr>
          </w:p>
        </w:tc>
      </w:tr>
      <w:tr w14:paraId="3F71E7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4" w:hRule="atLeast"/>
        </w:trPr>
        <w:tc>
          <w:tcPr>
            <w:tcW w:w="678" w:type="dxa"/>
            <w:noWrap w:val="0"/>
            <w:vAlign w:val="center"/>
          </w:tcPr>
          <w:p w14:paraId="5C6C527E">
            <w:pPr>
              <w:rPr>
                <w:rFonts w:hint="eastAsia" w:eastAsia="宋体"/>
                <w:color w:val="auto"/>
                <w:highlight w:val="none"/>
                <w:lang w:val="en-US" w:eastAsia="zh-CN"/>
              </w:rPr>
            </w:pPr>
            <w:bookmarkStart w:id="114" w:name="_Toc173066415"/>
            <w:bookmarkStart w:id="115" w:name="_Toc254970743"/>
            <w:bookmarkStart w:id="116" w:name="_Toc254970602"/>
            <w:bookmarkStart w:id="117" w:name="_Toc173211914"/>
            <w:r>
              <w:rPr>
                <w:rFonts w:hint="eastAsia"/>
                <w:color w:val="auto"/>
                <w:highlight w:val="none"/>
                <w:lang w:val="en-US" w:eastAsia="zh-CN"/>
              </w:rPr>
              <w:t>3</w:t>
            </w:r>
          </w:p>
        </w:tc>
        <w:tc>
          <w:tcPr>
            <w:tcW w:w="1566" w:type="dxa"/>
            <w:tcBorders>
              <w:right w:val="single" w:color="auto" w:sz="4" w:space="0"/>
            </w:tcBorders>
            <w:noWrap w:val="0"/>
            <w:vAlign w:val="center"/>
          </w:tcPr>
          <w:p w14:paraId="221CE0F7">
            <w:pPr>
              <w:rPr>
                <w:color w:val="auto"/>
                <w:highlight w:val="none"/>
              </w:rPr>
            </w:pPr>
          </w:p>
        </w:tc>
        <w:tc>
          <w:tcPr>
            <w:tcW w:w="2418" w:type="dxa"/>
            <w:tcBorders>
              <w:left w:val="single" w:color="auto" w:sz="4" w:space="0"/>
            </w:tcBorders>
            <w:noWrap w:val="0"/>
            <w:vAlign w:val="center"/>
          </w:tcPr>
          <w:p w14:paraId="263121C5">
            <w:pPr>
              <w:rPr>
                <w:color w:val="auto"/>
                <w:highlight w:val="none"/>
              </w:rPr>
            </w:pPr>
          </w:p>
        </w:tc>
        <w:tc>
          <w:tcPr>
            <w:tcW w:w="2250" w:type="dxa"/>
            <w:noWrap w:val="0"/>
            <w:vAlign w:val="center"/>
          </w:tcPr>
          <w:p w14:paraId="6A65CEE7">
            <w:pPr>
              <w:rPr>
                <w:color w:val="auto"/>
                <w:highlight w:val="none"/>
              </w:rPr>
            </w:pPr>
          </w:p>
        </w:tc>
        <w:tc>
          <w:tcPr>
            <w:tcW w:w="1701" w:type="dxa"/>
            <w:tcBorders>
              <w:right w:val="single" w:color="auto" w:sz="4" w:space="0"/>
            </w:tcBorders>
            <w:noWrap w:val="0"/>
            <w:vAlign w:val="center"/>
          </w:tcPr>
          <w:p w14:paraId="2EF666A2">
            <w:pPr>
              <w:rPr>
                <w:color w:val="auto"/>
                <w:highlight w:val="none"/>
              </w:rPr>
            </w:pPr>
          </w:p>
        </w:tc>
        <w:tc>
          <w:tcPr>
            <w:tcW w:w="1134" w:type="dxa"/>
            <w:tcBorders>
              <w:left w:val="single" w:color="auto" w:sz="4" w:space="0"/>
            </w:tcBorders>
            <w:noWrap w:val="0"/>
            <w:vAlign w:val="center"/>
          </w:tcPr>
          <w:p w14:paraId="7FDCBC5A">
            <w:pPr>
              <w:rPr>
                <w:color w:val="auto"/>
                <w:highlight w:val="none"/>
              </w:rPr>
            </w:pPr>
          </w:p>
        </w:tc>
      </w:tr>
      <w:tr w14:paraId="000F70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4" w:hRule="atLeast"/>
        </w:trPr>
        <w:tc>
          <w:tcPr>
            <w:tcW w:w="678" w:type="dxa"/>
            <w:noWrap w:val="0"/>
            <w:vAlign w:val="center"/>
          </w:tcPr>
          <w:p w14:paraId="5755BC60">
            <w:pPr>
              <w:rPr>
                <w:color w:val="auto"/>
                <w:highlight w:val="none"/>
              </w:rPr>
            </w:pPr>
            <w:r>
              <w:rPr>
                <w:rFonts w:hint="eastAsia"/>
                <w:color w:val="auto"/>
                <w:highlight w:val="none"/>
              </w:rPr>
              <w:t>…</w:t>
            </w:r>
            <w:bookmarkEnd w:id="114"/>
            <w:bookmarkEnd w:id="115"/>
            <w:bookmarkEnd w:id="116"/>
            <w:bookmarkEnd w:id="117"/>
          </w:p>
        </w:tc>
        <w:tc>
          <w:tcPr>
            <w:tcW w:w="1566" w:type="dxa"/>
            <w:tcBorders>
              <w:right w:val="single" w:color="auto" w:sz="4" w:space="0"/>
            </w:tcBorders>
            <w:noWrap w:val="0"/>
            <w:vAlign w:val="center"/>
          </w:tcPr>
          <w:p w14:paraId="396B9145">
            <w:pPr>
              <w:rPr>
                <w:color w:val="auto"/>
                <w:highlight w:val="none"/>
              </w:rPr>
            </w:pPr>
          </w:p>
        </w:tc>
        <w:tc>
          <w:tcPr>
            <w:tcW w:w="2418" w:type="dxa"/>
            <w:tcBorders>
              <w:left w:val="single" w:color="auto" w:sz="4" w:space="0"/>
            </w:tcBorders>
            <w:noWrap w:val="0"/>
            <w:vAlign w:val="center"/>
          </w:tcPr>
          <w:p w14:paraId="186628BB">
            <w:pPr>
              <w:rPr>
                <w:color w:val="auto"/>
                <w:highlight w:val="none"/>
              </w:rPr>
            </w:pPr>
          </w:p>
        </w:tc>
        <w:tc>
          <w:tcPr>
            <w:tcW w:w="2250" w:type="dxa"/>
            <w:noWrap w:val="0"/>
            <w:vAlign w:val="center"/>
          </w:tcPr>
          <w:p w14:paraId="53BFBD0A">
            <w:pPr>
              <w:rPr>
                <w:color w:val="auto"/>
                <w:highlight w:val="none"/>
              </w:rPr>
            </w:pPr>
          </w:p>
        </w:tc>
        <w:tc>
          <w:tcPr>
            <w:tcW w:w="1701" w:type="dxa"/>
            <w:tcBorders>
              <w:right w:val="single" w:color="auto" w:sz="4" w:space="0"/>
            </w:tcBorders>
            <w:noWrap w:val="0"/>
            <w:vAlign w:val="center"/>
          </w:tcPr>
          <w:p w14:paraId="6C68EF1D">
            <w:pPr>
              <w:rPr>
                <w:color w:val="auto"/>
                <w:highlight w:val="none"/>
              </w:rPr>
            </w:pPr>
          </w:p>
        </w:tc>
        <w:tc>
          <w:tcPr>
            <w:tcW w:w="1134" w:type="dxa"/>
            <w:tcBorders>
              <w:left w:val="single" w:color="auto" w:sz="4" w:space="0"/>
            </w:tcBorders>
            <w:noWrap w:val="0"/>
            <w:vAlign w:val="center"/>
          </w:tcPr>
          <w:p w14:paraId="607478D1">
            <w:pPr>
              <w:rPr>
                <w:color w:val="auto"/>
                <w:highlight w:val="none"/>
              </w:rPr>
            </w:pPr>
          </w:p>
        </w:tc>
      </w:tr>
    </w:tbl>
    <w:p w14:paraId="06E52987">
      <w:pPr>
        <w:rPr>
          <w:rFonts w:hint="eastAsia" w:hAnsi="宋体"/>
          <w:color w:val="auto"/>
          <w:szCs w:val="21"/>
          <w:highlight w:val="none"/>
        </w:rPr>
      </w:pPr>
    </w:p>
    <w:p w14:paraId="027D9C39">
      <w:pPr>
        <w:rPr>
          <w:rFonts w:hint="eastAsia" w:hAnsi="宋体"/>
          <w:color w:val="auto"/>
          <w:szCs w:val="21"/>
          <w:highlight w:val="none"/>
        </w:rPr>
      </w:pPr>
      <w:r>
        <w:rPr>
          <w:rFonts w:hint="eastAsia" w:hAnsi="宋体"/>
          <w:color w:val="auto"/>
          <w:szCs w:val="21"/>
          <w:highlight w:val="none"/>
        </w:rPr>
        <w:t>说明：</w:t>
      </w:r>
    </w:p>
    <w:p w14:paraId="363B4784">
      <w:pPr>
        <w:pStyle w:val="8"/>
        <w:spacing w:line="320" w:lineRule="exact"/>
        <w:ind w:firstLine="404" w:firstLineChars="200"/>
        <w:rPr>
          <w:rFonts w:hint="eastAsia" w:hAnsi="宋体"/>
          <w:color w:val="auto"/>
          <w:sz w:val="21"/>
          <w:szCs w:val="21"/>
          <w:highlight w:val="none"/>
        </w:rPr>
      </w:pPr>
      <w:r>
        <w:rPr>
          <w:rFonts w:hint="eastAsia" w:hAnsi="宋体"/>
          <w:color w:val="auto"/>
          <w:sz w:val="21"/>
          <w:szCs w:val="21"/>
          <w:highlight w:val="none"/>
        </w:rPr>
        <w:t>1、应对照单一来源采购文件的要求，说明所提供服务已对单一来源采购文件的商务技术要求做出了实质性的响应，并申明与商务技术要求条文的响应和偏离。</w:t>
      </w:r>
    </w:p>
    <w:p w14:paraId="5E814646">
      <w:pPr>
        <w:ind w:right="-178" w:rightChars="-85" w:firstLine="422" w:firstLineChars="200"/>
        <w:jc w:val="left"/>
        <w:rPr>
          <w:rFonts w:ascii="宋体" w:hAnsi="宋体"/>
          <w:b/>
          <w:color w:val="auto"/>
          <w:szCs w:val="21"/>
          <w:highlight w:val="none"/>
        </w:rPr>
      </w:pPr>
      <w:r>
        <w:rPr>
          <w:rFonts w:hint="eastAsia" w:ascii="宋体" w:hAnsi="宋体"/>
          <w:b/>
          <w:color w:val="auto"/>
          <w:szCs w:val="21"/>
          <w:highlight w:val="none"/>
        </w:rPr>
        <w:t>2、若与单一来源采购文件要求无偏离时，请在偏离表中填写“响应”或“无偏离”。</w:t>
      </w:r>
    </w:p>
    <w:p w14:paraId="687FB932">
      <w:pPr>
        <w:pStyle w:val="8"/>
        <w:spacing w:line="320" w:lineRule="exact"/>
        <w:ind w:firstLine="0"/>
        <w:rPr>
          <w:rFonts w:hint="eastAsia" w:hAnsi="宋体"/>
          <w:color w:val="auto"/>
          <w:sz w:val="24"/>
          <w:szCs w:val="24"/>
          <w:highlight w:val="none"/>
        </w:rPr>
      </w:pPr>
    </w:p>
    <w:p w14:paraId="0E1A2F00">
      <w:pPr>
        <w:pStyle w:val="10"/>
        <w:ind w:firstLine="1680" w:firstLineChars="700"/>
        <w:rPr>
          <w:rFonts w:hAnsi="宋体"/>
          <w:color w:val="auto"/>
          <w:sz w:val="24"/>
          <w:szCs w:val="24"/>
          <w:highlight w:val="none"/>
        </w:rPr>
      </w:pPr>
    </w:p>
    <w:p w14:paraId="77C74CF1">
      <w:pPr>
        <w:pStyle w:val="10"/>
        <w:ind w:firstLine="1680" w:firstLineChars="700"/>
        <w:rPr>
          <w:rFonts w:hAnsi="宋体"/>
          <w:color w:val="auto"/>
          <w:sz w:val="24"/>
          <w:szCs w:val="24"/>
          <w:highlight w:val="none"/>
        </w:rPr>
      </w:pPr>
    </w:p>
    <w:p w14:paraId="36AECC07">
      <w:pPr>
        <w:pStyle w:val="10"/>
        <w:ind w:firstLine="1680" w:firstLineChars="700"/>
        <w:rPr>
          <w:rFonts w:hAnsi="宋体"/>
          <w:color w:val="auto"/>
          <w:sz w:val="24"/>
          <w:szCs w:val="24"/>
          <w:highlight w:val="none"/>
        </w:rPr>
      </w:pPr>
    </w:p>
    <w:p w14:paraId="68DBFA9F">
      <w:pPr>
        <w:pStyle w:val="10"/>
        <w:ind w:firstLine="2100" w:firstLineChars="1000"/>
        <w:rPr>
          <w:rFonts w:hint="eastAsia" w:hAnsi="宋体"/>
          <w:color w:val="auto"/>
          <w:highlight w:val="none"/>
          <w:u w:val="single"/>
        </w:rPr>
      </w:pPr>
      <w:r>
        <w:rPr>
          <w:rFonts w:hint="eastAsia" w:hAnsi="宋体"/>
          <w:color w:val="auto"/>
          <w:highlight w:val="none"/>
        </w:rPr>
        <w:t>报价供应商（公章）:</w:t>
      </w:r>
      <w:r>
        <w:rPr>
          <w:rFonts w:hint="eastAsia" w:hAnsi="宋体"/>
          <w:color w:val="auto"/>
          <w:highlight w:val="none"/>
          <w:u w:val="single"/>
        </w:rPr>
        <w:t xml:space="preserve">                                             </w:t>
      </w:r>
    </w:p>
    <w:p w14:paraId="52F1748F">
      <w:pPr>
        <w:pStyle w:val="10"/>
        <w:ind w:firstLine="2100" w:firstLineChars="1000"/>
        <w:rPr>
          <w:rFonts w:hint="eastAsia" w:hAnsi="宋体"/>
          <w:color w:val="auto"/>
          <w:highlight w:val="none"/>
          <w:u w:val="single"/>
        </w:rPr>
      </w:pPr>
      <w:r>
        <w:rPr>
          <w:rFonts w:hint="eastAsia" w:hAnsi="宋体"/>
          <w:color w:val="auto"/>
          <w:highlight w:val="none"/>
        </w:rPr>
        <w:t>法定代表人（负责人）或授权委托代理人（签字或电子签名或盖章）：</w:t>
      </w:r>
      <w:r>
        <w:rPr>
          <w:rFonts w:hint="eastAsia" w:hAnsi="宋体"/>
          <w:color w:val="auto"/>
          <w:highlight w:val="none"/>
          <w:u w:val="single"/>
        </w:rPr>
        <w:t xml:space="preserve">                     </w:t>
      </w:r>
    </w:p>
    <w:p w14:paraId="669B6BCC">
      <w:pPr>
        <w:pStyle w:val="10"/>
        <w:ind w:firstLine="5527" w:firstLineChars="2632"/>
        <w:rPr>
          <w:rFonts w:hint="eastAsia" w:hAnsi="宋体"/>
          <w:color w:val="auto"/>
          <w:sz w:val="24"/>
          <w:szCs w:val="24"/>
          <w:highlight w:val="none"/>
        </w:rPr>
      </w:pPr>
      <w:r>
        <w:rPr>
          <w:rFonts w:hint="eastAsia" w:hAnsi="宋体"/>
          <w:color w:val="auto"/>
          <w:highlight w:val="none"/>
        </w:rPr>
        <w:t>年   月   日</w:t>
      </w:r>
    </w:p>
    <w:p w14:paraId="0BD90C9D">
      <w:pPr>
        <w:rPr>
          <w:rFonts w:hint="eastAsia" w:ascii="宋体" w:hAnsi="宋体"/>
          <w:color w:val="auto"/>
          <w:highlight w:val="none"/>
        </w:rPr>
      </w:pPr>
    </w:p>
    <w:p w14:paraId="27AE4BE0">
      <w:pPr>
        <w:pStyle w:val="25"/>
        <w:rPr>
          <w:rFonts w:hint="eastAsia"/>
          <w:color w:val="auto"/>
          <w:highlight w:val="none"/>
        </w:rPr>
      </w:pPr>
    </w:p>
    <w:p w14:paraId="3D7386D8">
      <w:pPr>
        <w:pStyle w:val="25"/>
        <w:rPr>
          <w:rFonts w:hint="eastAsia"/>
          <w:color w:val="auto"/>
          <w:highlight w:val="none"/>
        </w:rPr>
      </w:pPr>
    </w:p>
    <w:p w14:paraId="48321F34">
      <w:pPr>
        <w:pStyle w:val="3"/>
        <w:rPr>
          <w:rFonts w:hint="eastAsia"/>
          <w:color w:val="auto"/>
          <w:highlight w:val="none"/>
        </w:rPr>
      </w:pPr>
      <w:r>
        <w:rPr>
          <w:rFonts w:ascii="宋体" w:hAnsi="宋体"/>
          <w:b w:val="0"/>
          <w:bCs w:val="0"/>
          <w:color w:val="auto"/>
          <w:sz w:val="24"/>
          <w:highlight w:val="none"/>
        </w:rPr>
        <w:br w:type="page"/>
      </w:r>
      <w:bookmarkEnd w:id="75"/>
      <w:bookmarkStart w:id="118" w:name="_Toc467138633"/>
      <w:r>
        <w:rPr>
          <w:rFonts w:hint="eastAsia"/>
          <w:color w:val="auto"/>
          <w:highlight w:val="none"/>
          <w:lang w:val="en-US" w:eastAsia="zh-CN"/>
        </w:rPr>
        <w:t>7</w:t>
      </w:r>
      <w:r>
        <w:rPr>
          <w:rFonts w:hint="eastAsia"/>
          <w:color w:val="auto"/>
          <w:highlight w:val="none"/>
        </w:rPr>
        <w:t>、服务承诺书</w:t>
      </w:r>
    </w:p>
    <w:p w14:paraId="0271931D">
      <w:pPr>
        <w:jc w:val="center"/>
        <w:rPr>
          <w:rFonts w:hint="eastAsia" w:hAnsi="宋体"/>
          <w:color w:val="auto"/>
          <w:highlight w:val="none"/>
        </w:rPr>
      </w:pPr>
      <w:r>
        <w:rPr>
          <w:rFonts w:hint="eastAsia" w:hAnsi="宋体"/>
          <w:color w:val="auto"/>
          <w:highlight w:val="none"/>
        </w:rPr>
        <w:t>(由供应商就《服务项目需求》的要求自行填写)</w:t>
      </w:r>
    </w:p>
    <w:bookmarkEnd w:id="118"/>
    <w:p w14:paraId="4D5CDAC8">
      <w:pPr>
        <w:pStyle w:val="3"/>
        <w:rPr>
          <w:rFonts w:hint="eastAsia"/>
          <w:color w:val="auto"/>
          <w:highlight w:val="none"/>
        </w:rPr>
      </w:pPr>
      <w:r>
        <w:rPr>
          <w:color w:val="auto"/>
          <w:highlight w:val="none"/>
        </w:rPr>
        <w:br w:type="page"/>
      </w:r>
      <w:r>
        <w:rPr>
          <w:rFonts w:hint="eastAsia"/>
          <w:color w:val="auto"/>
          <w:highlight w:val="none"/>
          <w:lang w:val="en-US" w:eastAsia="zh-CN"/>
        </w:rPr>
        <w:t>8</w:t>
      </w:r>
      <w:r>
        <w:rPr>
          <w:rFonts w:hint="eastAsia"/>
          <w:color w:val="auto"/>
          <w:highlight w:val="none"/>
        </w:rPr>
        <w:t>、</w:t>
      </w:r>
      <w:r>
        <w:rPr>
          <w:rFonts w:hint="eastAsia" w:hAnsi="宋体"/>
          <w:color w:val="auto"/>
          <w:highlight w:val="none"/>
        </w:rPr>
        <w:t>供应商认为有必要提供的其他资料材料。</w:t>
      </w:r>
    </w:p>
    <w:p w14:paraId="152ECBE8">
      <w:pPr>
        <w:pStyle w:val="10"/>
        <w:spacing w:line="440" w:lineRule="exact"/>
        <w:ind w:firstLine="210" w:firstLineChars="100"/>
        <w:jc w:val="center"/>
        <w:rPr>
          <w:rFonts w:hint="eastAsia" w:hAnsi="宋体"/>
          <w:color w:val="auto"/>
          <w:highlight w:val="none"/>
        </w:rPr>
      </w:pPr>
      <w:r>
        <w:rPr>
          <w:rFonts w:hint="eastAsia" w:hAnsi="宋体"/>
          <w:color w:val="auto"/>
          <w:highlight w:val="none"/>
        </w:rPr>
        <w:t>（由供应商根据自己实际情况如实提供）</w:t>
      </w:r>
    </w:p>
    <w:p w14:paraId="70E2B5F8">
      <w:pPr>
        <w:rPr>
          <w:color w:val="auto"/>
          <w:highlight w:val="none"/>
        </w:rPr>
      </w:pPr>
    </w:p>
    <w:sectPr>
      <w:footerReference r:id="rId7" w:type="first"/>
      <w:footerReference r:id="rId6" w:type="default"/>
      <w:pgSz w:w="11906" w:h="16838"/>
      <w:pgMar w:top="1191" w:right="1191" w:bottom="1191" w:left="1191" w:header="794" w:footer="794" w:gutter="0"/>
      <w:pgNumType w:fmt="decimal" w:start="1"/>
      <w:cols w:space="720" w:num="1"/>
      <w:titlePg/>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D1573">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1</w:t>
    </w:r>
    <w:r>
      <w:fldChar w:fldCharType="end"/>
    </w:r>
  </w:p>
  <w:p w14:paraId="0400BF31">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4C0E1">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2ECC98">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2ECC98">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CCD8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91030">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C791030">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9EB96">
    <w:pPr>
      <w:pStyle w:val="10"/>
      <w:spacing w:line="340" w:lineRule="exact"/>
      <w:rPr>
        <w:rFonts w:hint="eastAsia"/>
        <w:color w:val="000000"/>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8CEB2">
    <w:pPr>
      <w:pStyle w:val="12"/>
      <w:pBdr>
        <w:bottom w:val="none" w:color="auto" w:sz="0" w:space="0"/>
      </w:pBdr>
      <w:ind w:firstLine="1980"/>
      <w:jc w:val="right"/>
      <w:rPr>
        <w:rFonts w:hint="eastAsia" w:ascii="方正仿宋简体" w:eastAsia="方正仿宋简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DB91B"/>
    <w:multiLevelType w:val="singleLevel"/>
    <w:tmpl w:val="13EDB91B"/>
    <w:lvl w:ilvl="0" w:tentative="0">
      <w:start w:val="1"/>
      <w:numFmt w:val="decimal"/>
      <w:suff w:val="nothing"/>
      <w:lvlText w:val="%1、"/>
      <w:lvlJc w:val="left"/>
    </w:lvl>
  </w:abstractNum>
  <w:abstractNum w:abstractNumId="1">
    <w:nsid w:val="6A7C3F0B"/>
    <w:multiLevelType w:val="singleLevel"/>
    <w:tmpl w:val="6A7C3F0B"/>
    <w:lvl w:ilvl="0" w:tentative="0">
      <w:start w:val="1"/>
      <w:numFmt w:val="decimal"/>
      <w:suff w:val="nothing"/>
      <w:lvlText w:val="%1、"/>
      <w:lvlJc w:val="left"/>
    </w:lvl>
  </w:abstractNum>
  <w:abstractNum w:abstractNumId="2">
    <w:nsid w:val="7BC04365"/>
    <w:multiLevelType w:val="singleLevel"/>
    <w:tmpl w:val="7BC04365"/>
    <w:lvl w:ilvl="0" w:tentative="0">
      <w:start w:val="4"/>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lMWZiYTdkZDhlNzdmYzU1OWY4OTcyMTlmYmQ4ZGYifQ=="/>
  </w:docVars>
  <w:rsids>
    <w:rsidRoot w:val="00000000"/>
    <w:rsid w:val="01306415"/>
    <w:rsid w:val="01F46CAA"/>
    <w:rsid w:val="036A7762"/>
    <w:rsid w:val="04397422"/>
    <w:rsid w:val="04EC334C"/>
    <w:rsid w:val="05595CE0"/>
    <w:rsid w:val="05662158"/>
    <w:rsid w:val="05C96731"/>
    <w:rsid w:val="07C971D2"/>
    <w:rsid w:val="07E171C7"/>
    <w:rsid w:val="08CC0FC4"/>
    <w:rsid w:val="09C53944"/>
    <w:rsid w:val="0A6D0F89"/>
    <w:rsid w:val="0BD95485"/>
    <w:rsid w:val="0C25691C"/>
    <w:rsid w:val="0C9900E4"/>
    <w:rsid w:val="0E116BEA"/>
    <w:rsid w:val="0ECC1DC8"/>
    <w:rsid w:val="10B300E6"/>
    <w:rsid w:val="1198193E"/>
    <w:rsid w:val="12474AB1"/>
    <w:rsid w:val="132222E0"/>
    <w:rsid w:val="14885C9A"/>
    <w:rsid w:val="14EC0D54"/>
    <w:rsid w:val="14F05A03"/>
    <w:rsid w:val="15A56973"/>
    <w:rsid w:val="170A0BE8"/>
    <w:rsid w:val="177251AA"/>
    <w:rsid w:val="192F2B88"/>
    <w:rsid w:val="195B1CE4"/>
    <w:rsid w:val="1ADB331E"/>
    <w:rsid w:val="1AE7537A"/>
    <w:rsid w:val="1B701236"/>
    <w:rsid w:val="1C1F18AE"/>
    <w:rsid w:val="1C933599"/>
    <w:rsid w:val="1DAF4893"/>
    <w:rsid w:val="1E3B55B3"/>
    <w:rsid w:val="1EAC1310"/>
    <w:rsid w:val="1EC716CD"/>
    <w:rsid w:val="1EE61F3B"/>
    <w:rsid w:val="20552B6B"/>
    <w:rsid w:val="208039D8"/>
    <w:rsid w:val="209D2ACD"/>
    <w:rsid w:val="20D03CCB"/>
    <w:rsid w:val="24E011DB"/>
    <w:rsid w:val="264E457D"/>
    <w:rsid w:val="266E3B31"/>
    <w:rsid w:val="289357A5"/>
    <w:rsid w:val="28DB0637"/>
    <w:rsid w:val="29741A99"/>
    <w:rsid w:val="299F7AD1"/>
    <w:rsid w:val="29DA61D8"/>
    <w:rsid w:val="2ADA66CC"/>
    <w:rsid w:val="2B221131"/>
    <w:rsid w:val="2B9D6077"/>
    <w:rsid w:val="2C0167A4"/>
    <w:rsid w:val="2CD279C3"/>
    <w:rsid w:val="2E020414"/>
    <w:rsid w:val="2F74578F"/>
    <w:rsid w:val="2FCA6ABE"/>
    <w:rsid w:val="313C0369"/>
    <w:rsid w:val="31AC1AEF"/>
    <w:rsid w:val="31D67BED"/>
    <w:rsid w:val="33143C75"/>
    <w:rsid w:val="359D4FC5"/>
    <w:rsid w:val="37F1578A"/>
    <w:rsid w:val="381C63F3"/>
    <w:rsid w:val="38883C0B"/>
    <w:rsid w:val="3A8F1C48"/>
    <w:rsid w:val="3B441832"/>
    <w:rsid w:val="3BCE6AA2"/>
    <w:rsid w:val="3C3E73E9"/>
    <w:rsid w:val="3CF14667"/>
    <w:rsid w:val="3D70454E"/>
    <w:rsid w:val="3E2E7E1B"/>
    <w:rsid w:val="40114F8C"/>
    <w:rsid w:val="431238D3"/>
    <w:rsid w:val="44746C5F"/>
    <w:rsid w:val="466B5E4A"/>
    <w:rsid w:val="46E20E40"/>
    <w:rsid w:val="46EE5581"/>
    <w:rsid w:val="4B080272"/>
    <w:rsid w:val="4B502367"/>
    <w:rsid w:val="4B7575DC"/>
    <w:rsid w:val="4C786019"/>
    <w:rsid w:val="4CBE2331"/>
    <w:rsid w:val="4CDF5D99"/>
    <w:rsid w:val="4D4B3FA1"/>
    <w:rsid w:val="4D724C55"/>
    <w:rsid w:val="4D936982"/>
    <w:rsid w:val="4E46397B"/>
    <w:rsid w:val="4EDA5E0C"/>
    <w:rsid w:val="4FAE58AE"/>
    <w:rsid w:val="51752B27"/>
    <w:rsid w:val="520C2D5F"/>
    <w:rsid w:val="52C8312A"/>
    <w:rsid w:val="55837EB9"/>
    <w:rsid w:val="56075D18"/>
    <w:rsid w:val="56FA587C"/>
    <w:rsid w:val="574865E8"/>
    <w:rsid w:val="57827D4C"/>
    <w:rsid w:val="58CB36FC"/>
    <w:rsid w:val="59995DB8"/>
    <w:rsid w:val="59B008D6"/>
    <w:rsid w:val="5A721435"/>
    <w:rsid w:val="5BA0639E"/>
    <w:rsid w:val="5BAD7BAD"/>
    <w:rsid w:val="5C8E7193"/>
    <w:rsid w:val="5D681792"/>
    <w:rsid w:val="60E75DC2"/>
    <w:rsid w:val="62A768CD"/>
    <w:rsid w:val="63027A37"/>
    <w:rsid w:val="654E75AC"/>
    <w:rsid w:val="657122CC"/>
    <w:rsid w:val="664D1E54"/>
    <w:rsid w:val="671275A7"/>
    <w:rsid w:val="67BC2E06"/>
    <w:rsid w:val="68451CF9"/>
    <w:rsid w:val="69934DBD"/>
    <w:rsid w:val="69FF3DA6"/>
    <w:rsid w:val="6B403065"/>
    <w:rsid w:val="6C925443"/>
    <w:rsid w:val="6E2949EC"/>
    <w:rsid w:val="6EE53863"/>
    <w:rsid w:val="6F72024E"/>
    <w:rsid w:val="703C1324"/>
    <w:rsid w:val="70B14DA6"/>
    <w:rsid w:val="71A15D65"/>
    <w:rsid w:val="7218332F"/>
    <w:rsid w:val="72366DA4"/>
    <w:rsid w:val="72663AE6"/>
    <w:rsid w:val="73DE59B4"/>
    <w:rsid w:val="74B35591"/>
    <w:rsid w:val="75DE3F91"/>
    <w:rsid w:val="76766FA6"/>
    <w:rsid w:val="772379D1"/>
    <w:rsid w:val="78896AE4"/>
    <w:rsid w:val="789E491E"/>
    <w:rsid w:val="78D772F4"/>
    <w:rsid w:val="79F94CB9"/>
    <w:rsid w:val="7B09321F"/>
    <w:rsid w:val="7B1A257E"/>
    <w:rsid w:val="7C5915A1"/>
    <w:rsid w:val="7E33329E"/>
    <w:rsid w:val="7E9D5C94"/>
    <w:rsid w:val="7EED65E3"/>
    <w:rsid w:val="7F085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580" w:lineRule="exact"/>
      <w:jc w:val="center"/>
      <w:outlineLvl w:val="0"/>
    </w:pPr>
    <w:rPr>
      <w:b/>
      <w:sz w:val="32"/>
    </w:rPr>
  </w:style>
  <w:style w:type="paragraph" w:styleId="3">
    <w:name w:val="heading 3"/>
    <w:basedOn w:val="1"/>
    <w:next w:val="1"/>
    <w:qFormat/>
    <w:uiPriority w:val="0"/>
    <w:pPr>
      <w:keepNext/>
      <w:keepLines/>
      <w:spacing w:before="260" w:after="260" w:line="500" w:lineRule="exact"/>
      <w:jc w:val="center"/>
      <w:outlineLvl w:val="2"/>
    </w:pPr>
    <w:rPr>
      <w:b/>
      <w:bCs/>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unhideWhenUsed/>
    <w:qFormat/>
    <w:uiPriority w:val="99"/>
    <w:pPr>
      <w:ind w:left="420" w:leftChars="200"/>
    </w:pPr>
  </w:style>
  <w:style w:type="paragraph" w:styleId="5">
    <w:name w:val="index 8"/>
    <w:basedOn w:val="1"/>
    <w:next w:val="1"/>
    <w:qFormat/>
    <w:uiPriority w:val="0"/>
    <w:pPr>
      <w:ind w:left="2940"/>
    </w:pPr>
  </w:style>
  <w:style w:type="paragraph" w:styleId="6">
    <w:name w:val="annotation text"/>
    <w:basedOn w:val="1"/>
    <w:qFormat/>
    <w:uiPriority w:val="0"/>
    <w:pPr>
      <w:jc w:val="left"/>
    </w:pPr>
  </w:style>
  <w:style w:type="paragraph" w:styleId="7">
    <w:name w:val="Body Text"/>
    <w:basedOn w:val="1"/>
    <w:next w:val="1"/>
    <w:qFormat/>
    <w:uiPriority w:val="0"/>
    <w:pPr>
      <w:jc w:val="center"/>
    </w:pPr>
  </w:style>
  <w:style w:type="paragraph" w:styleId="8">
    <w:name w:val="Body Text Indent"/>
    <w:basedOn w:val="1"/>
    <w:next w:val="9"/>
    <w:qFormat/>
    <w:uiPriority w:val="0"/>
    <w:pPr>
      <w:spacing w:line="200" w:lineRule="exact"/>
      <w:ind w:firstLine="301"/>
    </w:pPr>
    <w:rPr>
      <w:rFonts w:ascii="宋体" w:hAnsi="Courier New"/>
      <w:spacing w:val="-4"/>
      <w:sz w:val="18"/>
      <w:szCs w:val="20"/>
    </w:rPr>
  </w:style>
  <w:style w:type="paragraph" w:customStyle="1" w:styleId="9">
    <w:name w:val="目录 42"/>
    <w:next w:val="1"/>
    <w:qFormat/>
    <w:uiPriority w:val="99"/>
    <w:pPr>
      <w:wordWrap w:val="0"/>
      <w:ind w:left="850"/>
      <w:jc w:val="both"/>
    </w:pPr>
    <w:rPr>
      <w:rFonts w:ascii="Times New Roman" w:hAnsi="Times New Roman" w:eastAsia="宋体" w:cs="Times New Roman"/>
      <w:sz w:val="21"/>
      <w:lang w:val="en-US" w:eastAsia="zh-CN" w:bidi="ar-SA"/>
    </w:rPr>
  </w:style>
  <w:style w:type="paragraph" w:styleId="10">
    <w:name w:val="Plain Text"/>
    <w:basedOn w:val="1"/>
    <w:qFormat/>
    <w:uiPriority w:val="0"/>
    <w:rPr>
      <w:rFonts w:ascii="宋体" w:hAnsi="Courier New"/>
      <w:szCs w:val="20"/>
    </w:rPr>
  </w:style>
  <w:style w:type="paragraph" w:styleId="11">
    <w:name w:val="footer"/>
    <w:basedOn w:val="1"/>
    <w:next w:val="1"/>
    <w:qFormat/>
    <w:uiPriority w:val="99"/>
    <w:pPr>
      <w:tabs>
        <w:tab w:val="center" w:pos="4153"/>
        <w:tab w:val="right" w:pos="8306"/>
      </w:tabs>
      <w:snapToGrid w:val="0"/>
      <w:jc w:val="left"/>
    </w:pPr>
    <w:rPr>
      <w:rFonts w:ascii="宋体" w:hAnsi="Courier New"/>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13">
    <w:name w:val="toc 1"/>
    <w:basedOn w:val="1"/>
    <w:next w:val="1"/>
    <w:qFormat/>
    <w:uiPriority w:val="39"/>
    <w:pPr>
      <w:spacing w:line="700" w:lineRule="exact"/>
    </w:pPr>
    <w:rPr>
      <w:b/>
      <w:sz w:val="30"/>
    </w:rPr>
  </w:style>
  <w:style w:type="paragraph" w:styleId="14">
    <w:name w:val="table of figures"/>
    <w:basedOn w:val="1"/>
    <w:next w:val="1"/>
    <w:qFormat/>
    <w:uiPriority w:val="0"/>
    <w:pPr>
      <w:ind w:left="200" w:leftChars="200" w:hanging="200" w:hangingChars="200"/>
      <w:jc w:val="center"/>
    </w:pPr>
  </w:style>
  <w:style w:type="paragraph" w:styleId="15">
    <w:name w:val="Body Text 2"/>
    <w:basedOn w:val="1"/>
    <w:qFormat/>
    <w:uiPriority w:val="0"/>
    <w:pPr>
      <w:spacing w:after="120" w:afterLines="0" w:line="480" w:lineRule="auto"/>
    </w:pPr>
    <w:rPr>
      <w:kern w:val="0"/>
      <w:sz w:val="20"/>
    </w:rPr>
  </w:style>
  <w:style w:type="paragraph" w:styleId="16">
    <w:name w:val="Normal (Web)"/>
    <w:basedOn w:val="1"/>
    <w:qFormat/>
    <w:uiPriority w:val="99"/>
    <w:pPr>
      <w:widowControl/>
      <w:spacing w:before="100" w:beforeLines="0" w:beforeAutospacing="1" w:after="100" w:afterLines="0" w:afterAutospacing="1"/>
      <w:jc w:val="left"/>
    </w:pPr>
    <w:rPr>
      <w:rFonts w:hint="eastAsia" w:ascii="宋体" w:hAnsi="宋体"/>
      <w:kern w:val="0"/>
      <w:sz w:val="24"/>
    </w:rPr>
  </w:style>
  <w:style w:type="paragraph" w:styleId="17">
    <w:name w:val="Title"/>
    <w:basedOn w:val="1"/>
    <w:next w:val="1"/>
    <w:qFormat/>
    <w:uiPriority w:val="0"/>
    <w:pPr>
      <w:spacing w:before="240" w:after="60"/>
      <w:jc w:val="center"/>
      <w:outlineLvl w:val="0"/>
    </w:pPr>
    <w:rPr>
      <w:rFonts w:ascii="Cambria" w:hAnsi="Cambria"/>
      <w:b/>
      <w:bCs/>
      <w:sz w:val="32"/>
      <w:szCs w:val="32"/>
    </w:rPr>
  </w:style>
  <w:style w:type="paragraph" w:styleId="18">
    <w:name w:val="Body Text First Indent 2"/>
    <w:basedOn w:val="8"/>
    <w:unhideWhenUsed/>
    <w:qFormat/>
    <w:uiPriority w:val="99"/>
    <w:pPr>
      <w:ind w:firstLine="420" w:firstLineChars="200"/>
    </w:pPr>
  </w:style>
  <w:style w:type="table" w:styleId="20">
    <w:name w:val="Table Grid"/>
    <w:basedOn w:val="1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qFormat/>
    <w:uiPriority w:val="0"/>
  </w:style>
  <w:style w:type="character" w:styleId="23">
    <w:name w:val="Hyperlink"/>
    <w:qFormat/>
    <w:uiPriority w:val="99"/>
    <w:rPr>
      <w:color w:val="0000FF"/>
      <w:u w:val="single"/>
    </w:rPr>
  </w:style>
  <w:style w:type="character" w:styleId="24">
    <w:name w:val="annotation reference"/>
    <w:qFormat/>
    <w:uiPriority w:val="0"/>
    <w:rPr>
      <w:sz w:val="21"/>
      <w:szCs w:val="21"/>
    </w:rPr>
  </w:style>
  <w:style w:type="paragraph" w:customStyle="1" w:styleId="25">
    <w:name w:val="Default"/>
    <w:qFormat/>
    <w:uiPriority w:val="99"/>
    <w:pPr>
      <w:widowControl w:val="0"/>
      <w:autoSpaceDE w:val="0"/>
      <w:autoSpaceDN w:val="0"/>
      <w:adjustRightInd w:val="0"/>
      <w:jc w:val="both"/>
    </w:pPr>
    <w:rPr>
      <w:rFonts w:ascii="宋体" w:hAnsi="Calibri" w:eastAsia="宋体" w:cs="Times New Roman"/>
      <w:color w:val="000000"/>
      <w:kern w:val="2"/>
      <w:sz w:val="24"/>
      <w:szCs w:val="24"/>
      <w:lang w:val="en-US" w:eastAsia="zh-CN" w:bidi="ar-SA"/>
    </w:rPr>
  </w:style>
  <w:style w:type="paragraph" w:customStyle="1" w:styleId="26">
    <w:name w:val="Table Paragraph"/>
    <w:basedOn w:val="1"/>
    <w:qFormat/>
    <w:uiPriority w:val="1"/>
    <w:pPr>
      <w:autoSpaceDE w:val="0"/>
      <w:autoSpaceDN w:val="0"/>
      <w:jc w:val="left"/>
    </w:pPr>
    <w:rPr>
      <w:rFonts w:ascii="宋体" w:hAnsi="宋体" w:cs="宋体"/>
      <w:kern w:val="0"/>
      <w:sz w:val="22"/>
      <w:lang w:eastAsia="en-US"/>
    </w:rPr>
  </w:style>
  <w:style w:type="paragraph" w:customStyle="1" w:styleId="27">
    <w:name w:val="正文-2字符首行缩进"/>
    <w:basedOn w:val="1"/>
    <w:qFormat/>
    <w:uiPriority w:val="0"/>
    <w:pPr>
      <w:widowControl/>
      <w:spacing w:line="360" w:lineRule="auto"/>
      <w:ind w:firstLine="200" w:firstLineChars="200"/>
    </w:pPr>
    <w:rPr>
      <w:rFonts w:ascii="仿宋_GB2312" w:hAnsi="Calibri" w:eastAsia="仿宋_GB2312"/>
      <w:kern w:val="0"/>
      <w:sz w:val="28"/>
      <w:szCs w:val="22"/>
    </w:rPr>
  </w:style>
  <w:style w:type="paragraph" w:customStyle="1" w:styleId="28">
    <w:name w:val="列出段落1"/>
    <w:basedOn w:val="1"/>
    <w:qFormat/>
    <w:uiPriority w:val="99"/>
    <w:pPr>
      <w:ind w:firstLine="420" w:firstLineChars="200"/>
    </w:pPr>
    <w:rPr>
      <w:rFonts w:ascii="等线" w:hAnsi="等线" w:eastAsia="等线"/>
    </w:rPr>
  </w:style>
  <w:style w:type="paragraph" w:customStyle="1" w:styleId="29">
    <w:name w:val="表格文字"/>
    <w:basedOn w:val="1"/>
    <w:qFormat/>
    <w:uiPriority w:val="99"/>
    <w:pPr>
      <w:spacing w:before="25" w:after="25"/>
      <w:ind w:firstLine="315" w:firstLineChars="150"/>
      <w:jc w:val="left"/>
    </w:pPr>
    <w:rPr>
      <w:bCs/>
      <w:color w:val="00000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30712</Words>
  <Characters>32921</Characters>
  <Lines>0</Lines>
  <Paragraphs>0</Paragraphs>
  <TotalTime>14</TotalTime>
  <ScaleCrop>false</ScaleCrop>
  <LinksUpToDate>false</LinksUpToDate>
  <CharactersWithSpaces>34596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2024-08-15T07:41:00Z</dcterms:created>
  <dc:creator>Administrator</dc:creator>
  <cp:lastModifiedBy>厨房里的锅</cp:lastModifiedBy>
  <cp:lastPrinted>2024-08-19T01:45:00Z</cp:lastPrinted>
  <dcterms:modified xsi:type="dcterms:W3CDTF">2025-11-27T05:16:45Z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8CB53B0EF8B34191B561B70815644B25_12</vt:lpwstr>
  </property>
  <property fmtid="{D5CDD505-2E9C-101B-9397-08002B2CF9AE}" pid="4" name="KSOTemplateDocerSaveRecord">
    <vt:lpwstr>eyJoZGlkIjoiMzllY2U2ZDZiZGE4ZjQ2YjFkZTAwM2I5NTlkOTUwMjgiLCJ1c2VySWQiOiI3NTM2ODA2NDkifQ==</vt:lpwstr>
  </property>
</Properties>
</file>