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9B3E8">
      <w:pPr>
        <w:spacing w:line="360" w:lineRule="auto"/>
        <w:jc w:val="center"/>
        <w:rPr>
          <w:rFonts w:hint="eastAsia" w:ascii="方正小标宋简体" w:hAnsi="宋体" w:eastAsia="方正小标宋简体"/>
          <w:color w:val="auto"/>
          <w:sz w:val="52"/>
          <w:szCs w:val="52"/>
          <w:highlight w:val="none"/>
        </w:rPr>
      </w:pPr>
    </w:p>
    <w:p w14:paraId="5317BEBF">
      <w:pPr>
        <w:spacing w:line="360" w:lineRule="auto"/>
        <w:jc w:val="center"/>
        <w:rPr>
          <w:rFonts w:hint="eastAsia" w:ascii="方正小标宋简体" w:hAnsi="方正小标宋简体" w:eastAsia="方正小标宋简体" w:cs="方正小标宋简体"/>
          <w:color w:val="auto"/>
          <w:sz w:val="52"/>
          <w:szCs w:val="52"/>
          <w:highlight w:val="none"/>
        </w:rPr>
      </w:pPr>
      <w:r>
        <w:rPr>
          <w:rFonts w:hint="eastAsia" w:ascii="方正小标宋简体" w:hAnsi="宋体" w:eastAsia="方正小标宋简体"/>
          <w:color w:val="auto"/>
          <w:sz w:val="52"/>
          <w:szCs w:val="52"/>
          <w:highlight w:val="none"/>
        </w:rPr>
        <w:t>云之龙咨询集团有限公司</w:t>
      </w:r>
    </w:p>
    <w:p w14:paraId="50FD7BC7">
      <w:pPr>
        <w:spacing w:line="360" w:lineRule="auto"/>
        <w:jc w:val="center"/>
        <w:rPr>
          <w:rFonts w:hint="eastAsia" w:ascii="方正小标宋简体" w:hAnsi="方正小标宋简体" w:eastAsia="方正小标宋简体" w:cs="方正小标宋简体"/>
          <w:b/>
          <w:color w:val="auto"/>
          <w:sz w:val="44"/>
          <w:szCs w:val="44"/>
          <w:highlight w:val="none"/>
        </w:rPr>
      </w:pPr>
    </w:p>
    <w:p w14:paraId="27826BB1">
      <w:pPr>
        <w:snapToGrid w:val="0"/>
        <w:spacing w:before="156" w:beforeLines="50" w:line="360" w:lineRule="auto"/>
        <w:jc w:val="center"/>
        <w:rPr>
          <w:rFonts w:hint="eastAsia" w:ascii="华文新魏" w:hAnsi="宋体" w:eastAsia="华文新魏"/>
          <w:color w:val="auto"/>
          <w:sz w:val="120"/>
          <w:szCs w:val="120"/>
          <w:highlight w:val="none"/>
        </w:rPr>
      </w:pPr>
      <w:r>
        <w:rPr>
          <w:rFonts w:hint="eastAsia" w:ascii="华文新魏" w:hAnsi="宋体" w:eastAsia="华文新魏"/>
          <w:color w:val="auto"/>
          <w:sz w:val="120"/>
          <w:szCs w:val="120"/>
          <w:highlight w:val="none"/>
        </w:rPr>
        <w:t>竞争性磋商文件</w:t>
      </w:r>
    </w:p>
    <w:p w14:paraId="516A3C71">
      <w:pPr>
        <w:snapToGrid w:val="0"/>
        <w:spacing w:before="156" w:beforeLines="50" w:line="360" w:lineRule="auto"/>
        <w:jc w:val="center"/>
        <w:rPr>
          <w:rFonts w:hint="eastAsia" w:ascii="仿宋_GB2312" w:hAnsi="宋体" w:eastAsia="仿宋_GB2312"/>
          <w:b/>
          <w:color w:val="auto"/>
          <w:sz w:val="30"/>
          <w:szCs w:val="72"/>
          <w:highlight w:val="none"/>
        </w:rPr>
      </w:pPr>
      <w:r>
        <w:rPr>
          <w:rFonts w:hint="eastAsia" w:ascii="仿宋_GB2312" w:hAnsi="宋体" w:eastAsia="仿宋_GB2312"/>
          <w:b/>
          <w:color w:val="auto"/>
          <w:sz w:val="48"/>
          <w:szCs w:val="48"/>
          <w:highlight w:val="none"/>
        </w:rPr>
        <w:t>（全流程电子化采购）</w:t>
      </w:r>
    </w:p>
    <w:p w14:paraId="739D9E67">
      <w:pPr>
        <w:snapToGrid w:val="0"/>
        <w:spacing w:line="360" w:lineRule="auto"/>
        <w:rPr>
          <w:rFonts w:hint="eastAsia" w:ascii="仿宋_GB2312" w:hAnsi="宋体" w:eastAsia="仿宋_GB2312"/>
          <w:color w:val="auto"/>
          <w:sz w:val="30"/>
          <w:szCs w:val="72"/>
          <w:highlight w:val="none"/>
        </w:rPr>
      </w:pPr>
    </w:p>
    <w:p w14:paraId="00D2D014">
      <w:pPr>
        <w:pStyle w:val="25"/>
        <w:snapToGrid w:val="0"/>
        <w:spacing w:line="360" w:lineRule="auto"/>
        <w:ind w:firstLine="904" w:firstLineChars="300"/>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rPr>
        <w:t>项目</w:t>
      </w:r>
      <w:r>
        <w:rPr>
          <w:rFonts w:hint="eastAsia" w:ascii="仿宋_GB2312" w:hAnsi="宋体" w:eastAsia="仿宋_GB2312" w:cs="Courier New"/>
          <w:b/>
          <w:bCs/>
          <w:color w:val="auto"/>
          <w:w w:val="95"/>
          <w:sz w:val="30"/>
          <w:szCs w:val="30"/>
          <w:highlight w:val="none"/>
        </w:rPr>
        <w:t>名称</w:t>
      </w:r>
      <w:r>
        <w:rPr>
          <w:rFonts w:hint="eastAsia" w:ascii="仿宋_GB2312" w:hAnsi="宋体" w:eastAsia="仿宋_GB2312"/>
          <w:b/>
          <w:bCs/>
          <w:color w:val="auto"/>
          <w:sz w:val="30"/>
          <w:szCs w:val="30"/>
          <w:highlight w:val="none"/>
        </w:rPr>
        <w:t>：</w:t>
      </w:r>
      <w:r>
        <w:rPr>
          <w:rFonts w:hint="eastAsia" w:ascii="仿宋_GB2312" w:hAnsi="宋体" w:eastAsia="仿宋_GB2312"/>
          <w:b/>
          <w:bCs/>
          <w:color w:val="auto"/>
          <w:sz w:val="30"/>
          <w:szCs w:val="30"/>
          <w:highlight w:val="none"/>
          <w:lang w:eastAsia="zh-CN"/>
        </w:rPr>
        <w:t>东龙镇乡村垃圾集中收集点项目建设</w:t>
      </w:r>
    </w:p>
    <w:p w14:paraId="32855014">
      <w:pPr>
        <w:snapToGrid w:val="0"/>
        <w:spacing w:line="360" w:lineRule="auto"/>
        <w:ind w:firstLine="859" w:firstLineChars="300"/>
        <w:rPr>
          <w:rFonts w:hint="eastAsia" w:ascii="仿宋_GB2312" w:hAnsi="宋体" w:eastAsia="仿宋_GB2312"/>
          <w:color w:val="auto"/>
          <w:sz w:val="30"/>
          <w:szCs w:val="72"/>
          <w:highlight w:val="none"/>
          <w:lang w:eastAsia="zh-CN"/>
        </w:rPr>
      </w:pPr>
      <w:r>
        <w:rPr>
          <w:rFonts w:hint="eastAsia" w:ascii="仿宋_GB2312" w:hAnsi="宋体" w:eastAsia="仿宋_GB2312" w:cs="Courier New"/>
          <w:b/>
          <w:bCs/>
          <w:color w:val="auto"/>
          <w:w w:val="95"/>
          <w:sz w:val="30"/>
          <w:szCs w:val="30"/>
          <w:highlight w:val="none"/>
        </w:rPr>
        <w:t>项目</w:t>
      </w:r>
      <w:r>
        <w:rPr>
          <w:rFonts w:hint="eastAsia" w:ascii="仿宋_GB2312" w:hAnsi="宋体" w:eastAsia="仿宋_GB2312"/>
          <w:b/>
          <w:bCs/>
          <w:color w:val="auto"/>
          <w:sz w:val="30"/>
          <w:szCs w:val="30"/>
          <w:highlight w:val="none"/>
        </w:rPr>
        <w:t>编号</w:t>
      </w:r>
      <w:r>
        <w:rPr>
          <w:rFonts w:hint="eastAsia" w:ascii="仿宋_GB2312" w:hAnsi="宋体" w:eastAsia="仿宋_GB2312" w:cs="Courier New"/>
          <w:b/>
          <w:bCs/>
          <w:color w:val="auto"/>
          <w:w w:val="95"/>
          <w:sz w:val="30"/>
          <w:szCs w:val="30"/>
          <w:highlight w:val="none"/>
        </w:rPr>
        <w:t>：</w:t>
      </w:r>
      <w:r>
        <w:rPr>
          <w:rFonts w:hint="eastAsia" w:ascii="仿宋_GB2312" w:hAnsi="宋体" w:eastAsia="仿宋_GB2312"/>
          <w:b/>
          <w:color w:val="auto"/>
          <w:sz w:val="30"/>
          <w:szCs w:val="48"/>
          <w:highlight w:val="none"/>
          <w:lang w:eastAsia="zh-CN"/>
        </w:rPr>
        <w:t>GGZC2025-C2-040193-YZLZ</w:t>
      </w:r>
    </w:p>
    <w:p w14:paraId="3F5DEDAD">
      <w:pPr>
        <w:pStyle w:val="25"/>
        <w:snapToGrid w:val="0"/>
        <w:spacing w:line="360" w:lineRule="auto"/>
        <w:ind w:firstLine="859" w:firstLineChars="300"/>
        <w:rPr>
          <w:rFonts w:hint="eastAsia" w:ascii="仿宋_GB2312" w:hAnsi="宋体" w:eastAsia="仿宋_GB2312"/>
          <w:b/>
          <w:bCs/>
          <w:color w:val="auto"/>
          <w:w w:val="95"/>
          <w:sz w:val="30"/>
          <w:szCs w:val="30"/>
          <w:highlight w:val="none"/>
          <w:lang w:eastAsia="zh-CN"/>
        </w:rPr>
      </w:pPr>
      <w:r>
        <w:rPr>
          <w:rFonts w:hint="eastAsia" w:ascii="仿宋_GB2312" w:hAnsi="宋体" w:eastAsia="仿宋_GB2312"/>
          <w:b/>
          <w:bCs/>
          <w:color w:val="auto"/>
          <w:w w:val="95"/>
          <w:sz w:val="30"/>
          <w:szCs w:val="30"/>
          <w:highlight w:val="none"/>
        </w:rPr>
        <w:t>采 购 人：</w:t>
      </w:r>
      <w:r>
        <w:rPr>
          <w:rFonts w:hint="eastAsia" w:ascii="仿宋_GB2312" w:hAnsi="宋体" w:eastAsia="仿宋_GB2312"/>
          <w:b/>
          <w:bCs/>
          <w:color w:val="auto"/>
          <w:w w:val="95"/>
          <w:sz w:val="30"/>
          <w:szCs w:val="30"/>
          <w:highlight w:val="none"/>
          <w:lang w:eastAsia="zh-CN"/>
        </w:rPr>
        <w:t>贵港市覃塘区东龙镇人民政府</w:t>
      </w:r>
    </w:p>
    <w:p w14:paraId="1173E619">
      <w:pPr>
        <w:pStyle w:val="25"/>
        <w:snapToGrid w:val="0"/>
        <w:spacing w:line="360" w:lineRule="auto"/>
        <w:ind w:firstLine="859" w:firstLineChars="300"/>
        <w:rPr>
          <w:rFonts w:hint="eastAsia"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采购代理机构：云之龙</w:t>
      </w:r>
      <w:r>
        <w:rPr>
          <w:rFonts w:ascii="仿宋_GB2312" w:hAnsi="宋体" w:eastAsia="仿宋_GB2312"/>
          <w:b/>
          <w:bCs/>
          <w:color w:val="auto"/>
          <w:w w:val="95"/>
          <w:sz w:val="30"/>
          <w:szCs w:val="30"/>
          <w:highlight w:val="none"/>
        </w:rPr>
        <w:t>咨询集团有限公司</w:t>
      </w:r>
    </w:p>
    <w:p w14:paraId="264EF997">
      <w:pPr>
        <w:pStyle w:val="25"/>
        <w:snapToGrid w:val="0"/>
        <w:spacing w:line="360" w:lineRule="auto"/>
        <w:ind w:firstLine="1125" w:firstLineChars="393"/>
        <w:rPr>
          <w:rFonts w:hint="eastAsia" w:ascii="仿宋_GB2312" w:hAnsi="宋体" w:eastAsia="仿宋_GB2312"/>
          <w:b/>
          <w:bCs/>
          <w:color w:val="auto"/>
          <w:w w:val="95"/>
          <w:sz w:val="30"/>
          <w:szCs w:val="30"/>
          <w:highlight w:val="none"/>
        </w:rPr>
      </w:pPr>
    </w:p>
    <w:p w14:paraId="3EC9EBA6">
      <w:pPr>
        <w:pStyle w:val="25"/>
        <w:snapToGrid w:val="0"/>
        <w:spacing w:line="360" w:lineRule="auto"/>
        <w:rPr>
          <w:rFonts w:hint="eastAsia" w:ascii="仿宋_GB2312" w:hAnsi="宋体" w:eastAsia="仿宋_GB2312"/>
          <w:b/>
          <w:bCs/>
          <w:color w:val="auto"/>
          <w:w w:val="95"/>
          <w:sz w:val="30"/>
          <w:szCs w:val="30"/>
          <w:highlight w:val="none"/>
        </w:rPr>
      </w:pPr>
    </w:p>
    <w:p w14:paraId="63621851">
      <w:pPr>
        <w:pStyle w:val="25"/>
        <w:snapToGrid w:val="0"/>
        <w:spacing w:line="360" w:lineRule="auto"/>
        <w:jc w:val="center"/>
        <w:rPr>
          <w:rFonts w:ascii="仿宋_GB2312" w:eastAsia="仿宋_GB2312"/>
          <w:color w:val="auto"/>
          <w:szCs w:val="20"/>
          <w:highlight w:val="none"/>
        </w:rPr>
      </w:pPr>
      <w:r>
        <w:rPr>
          <w:rFonts w:ascii="仿宋_GB2312" w:hAnsi="宋体" w:eastAsia="仿宋_GB2312"/>
          <w:b/>
          <w:bCs/>
          <w:color w:val="auto"/>
          <w:w w:val="95"/>
          <w:sz w:val="30"/>
          <w:szCs w:val="30"/>
          <w:highlight w:val="none"/>
        </w:rPr>
        <w:t>202</w:t>
      </w:r>
      <w:r>
        <w:rPr>
          <w:rFonts w:hint="eastAsia" w:ascii="仿宋_GB2312" w:hAnsi="宋体" w:eastAsia="仿宋_GB2312"/>
          <w:b/>
          <w:bCs/>
          <w:color w:val="auto"/>
          <w:w w:val="95"/>
          <w:sz w:val="30"/>
          <w:szCs w:val="30"/>
          <w:highlight w:val="none"/>
        </w:rPr>
        <w:t>5年</w:t>
      </w:r>
      <w:r>
        <w:rPr>
          <w:rFonts w:hint="eastAsia" w:ascii="仿宋_GB2312" w:hAnsi="宋体" w:eastAsia="仿宋_GB2312"/>
          <w:b/>
          <w:bCs/>
          <w:color w:val="auto"/>
          <w:w w:val="95"/>
          <w:sz w:val="30"/>
          <w:szCs w:val="30"/>
          <w:highlight w:val="none"/>
          <w:lang w:val="en-US" w:eastAsia="zh-CN"/>
        </w:rPr>
        <w:t>11</w:t>
      </w:r>
      <w:r>
        <w:rPr>
          <w:rFonts w:hint="eastAsia" w:ascii="仿宋_GB2312" w:hAnsi="宋体" w:eastAsia="仿宋_GB2312"/>
          <w:b/>
          <w:bCs/>
          <w:color w:val="auto"/>
          <w:w w:val="95"/>
          <w:sz w:val="30"/>
          <w:szCs w:val="30"/>
          <w:highlight w:val="none"/>
        </w:rPr>
        <w:t>月</w:t>
      </w:r>
    </w:p>
    <w:p w14:paraId="454BD389">
      <w:pPr>
        <w:spacing w:line="360" w:lineRule="auto"/>
        <w:jc w:val="center"/>
        <w:rPr>
          <w:rFonts w:hint="eastAsia" w:ascii="宋体" w:hAnsi="宋体"/>
          <w:b/>
          <w:color w:val="auto"/>
          <w:sz w:val="44"/>
          <w:szCs w:val="44"/>
          <w:highlight w:val="none"/>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14:paraId="19745B25">
      <w:pPr>
        <w:spacing w:line="360" w:lineRule="auto"/>
        <w:jc w:val="center"/>
        <w:rPr>
          <w:rFonts w:hint="eastAsia" w:ascii="宋体" w:hAnsi="宋体"/>
          <w:b/>
          <w:color w:val="auto"/>
          <w:sz w:val="44"/>
          <w:szCs w:val="44"/>
          <w:highlight w:val="none"/>
        </w:rPr>
      </w:pPr>
    </w:p>
    <w:p w14:paraId="1AAC3826">
      <w:pPr>
        <w:spacing w:line="360" w:lineRule="auto"/>
        <w:jc w:val="center"/>
        <w:rPr>
          <w:rFonts w:hint="eastAsia" w:ascii="宋体" w:hAnsi="宋体"/>
          <w:b/>
          <w:color w:val="auto"/>
          <w:sz w:val="44"/>
          <w:szCs w:val="44"/>
          <w:highlight w:val="none"/>
        </w:rPr>
      </w:pPr>
    </w:p>
    <w:p w14:paraId="5A433D1C">
      <w:pPr>
        <w:spacing w:line="360" w:lineRule="auto"/>
        <w:jc w:val="center"/>
        <w:rPr>
          <w:rFonts w:hint="eastAsia" w:ascii="宋体" w:hAnsi="宋体"/>
          <w:b/>
          <w:color w:val="auto"/>
          <w:sz w:val="44"/>
          <w:szCs w:val="44"/>
          <w:highlight w:val="none"/>
        </w:rPr>
      </w:pPr>
    </w:p>
    <w:p w14:paraId="08FF0F22">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3BF42F18">
      <w:pPr>
        <w:spacing w:line="400" w:lineRule="exact"/>
        <w:jc w:val="center"/>
        <w:rPr>
          <w:rFonts w:hint="eastAsia" w:ascii="宋体" w:hAnsi="宋体"/>
          <w:b/>
          <w:color w:val="auto"/>
          <w:sz w:val="44"/>
          <w:szCs w:val="44"/>
          <w:highlight w:val="none"/>
        </w:rPr>
      </w:pPr>
    </w:p>
    <w:p w14:paraId="21BF77D9">
      <w:pPr>
        <w:pStyle w:val="31"/>
        <w:tabs>
          <w:tab w:val="right" w:leader="dot" w:pos="8869"/>
        </w:tabs>
        <w:snapToGrid w:val="0"/>
        <w:spacing w:line="500" w:lineRule="atLeast"/>
        <w:rPr>
          <w:rFonts w:hint="eastAsia" w:ascii="宋体" w:hAnsi="宋体"/>
          <w:b/>
          <w:color w:val="auto"/>
          <w:sz w:val="24"/>
          <w:highlight w:val="none"/>
        </w:rPr>
      </w:pPr>
      <w:r>
        <w:rPr>
          <w:rFonts w:ascii="宋体" w:hAnsi="宋体"/>
          <w:b/>
          <w:color w:val="auto"/>
          <w:sz w:val="24"/>
          <w:highlight w:val="none"/>
        </w:rPr>
        <w:fldChar w:fldCharType="begin"/>
      </w:r>
      <w:r>
        <w:rPr>
          <w:rFonts w:hint="eastAsia" w:ascii="宋体" w:hAnsi="宋体"/>
          <w:b/>
          <w:color w:val="auto"/>
          <w:sz w:val="24"/>
          <w:highlight w:val="none"/>
        </w:rPr>
        <w:instrText xml:space="preserve">TOC \o "1-3" \h \z \u</w:instrText>
      </w:r>
      <w:r>
        <w:rPr>
          <w:rFonts w:ascii="宋体" w:hAnsi="宋体"/>
          <w:b/>
          <w:color w:val="auto"/>
          <w:sz w:val="24"/>
          <w:highlight w:val="none"/>
        </w:rPr>
        <w:fldChar w:fldCharType="separate"/>
      </w:r>
      <w:r>
        <w:rPr>
          <w:color w:val="auto"/>
          <w:highlight w:val="none"/>
        </w:rPr>
        <w:fldChar w:fldCharType="begin"/>
      </w:r>
      <w:r>
        <w:rPr>
          <w:color w:val="auto"/>
          <w:highlight w:val="none"/>
        </w:rPr>
        <w:instrText xml:space="preserve"> HYPERLINK \l "_Toc74323456" </w:instrText>
      </w:r>
      <w:r>
        <w:rPr>
          <w:color w:val="auto"/>
          <w:highlight w:val="none"/>
        </w:rPr>
        <w:fldChar w:fldCharType="separate"/>
      </w:r>
      <w:r>
        <w:rPr>
          <w:rStyle w:val="54"/>
          <w:rFonts w:hint="eastAsia" w:ascii="宋体" w:hAnsi="宋体"/>
          <w:b/>
          <w:color w:val="auto"/>
          <w:sz w:val="24"/>
          <w:highlight w:val="none"/>
        </w:rPr>
        <w:t>第一章 竞争性磋商公告</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_Toc74323456 \h </w:instrText>
      </w:r>
      <w:r>
        <w:rPr>
          <w:rFonts w:ascii="宋体" w:hAnsi="宋体"/>
          <w:b/>
          <w:color w:val="auto"/>
          <w:sz w:val="24"/>
          <w:highlight w:val="none"/>
        </w:rPr>
        <w:fldChar w:fldCharType="separate"/>
      </w:r>
      <w:r>
        <w:rPr>
          <w:rFonts w:ascii="宋体" w:hAnsi="宋体"/>
          <w:b/>
          <w:color w:val="auto"/>
          <w:sz w:val="24"/>
          <w:highlight w:val="none"/>
        </w:rPr>
        <w:t>1</w:t>
      </w:r>
      <w:r>
        <w:rPr>
          <w:rFonts w:ascii="宋体" w:hAnsi="宋体"/>
          <w:b/>
          <w:color w:val="auto"/>
          <w:sz w:val="24"/>
          <w:highlight w:val="none"/>
        </w:rPr>
        <w:fldChar w:fldCharType="end"/>
      </w:r>
      <w:r>
        <w:rPr>
          <w:rFonts w:ascii="宋体" w:hAnsi="宋体"/>
          <w:b/>
          <w:color w:val="auto"/>
          <w:sz w:val="24"/>
          <w:highlight w:val="none"/>
        </w:rPr>
        <w:fldChar w:fldCharType="end"/>
      </w:r>
    </w:p>
    <w:p w14:paraId="4965884A">
      <w:pPr>
        <w:pStyle w:val="31"/>
        <w:tabs>
          <w:tab w:val="right" w:leader="dot" w:pos="8869"/>
        </w:tabs>
        <w:snapToGrid w:val="0"/>
        <w:spacing w:line="500" w:lineRule="atLeast"/>
        <w:rPr>
          <w:rFonts w:hint="eastAsia" w:ascii="宋体" w:hAnsi="宋体"/>
          <w:b/>
          <w:color w:val="auto"/>
          <w:sz w:val="24"/>
          <w:highlight w:val="none"/>
        </w:rPr>
      </w:pPr>
      <w:r>
        <w:rPr>
          <w:color w:val="auto"/>
          <w:highlight w:val="none"/>
        </w:rPr>
        <w:fldChar w:fldCharType="begin"/>
      </w:r>
      <w:r>
        <w:rPr>
          <w:color w:val="auto"/>
          <w:highlight w:val="none"/>
        </w:rPr>
        <w:instrText xml:space="preserve"> HYPERLINK \l "_Toc74323457" </w:instrText>
      </w:r>
      <w:r>
        <w:rPr>
          <w:color w:val="auto"/>
          <w:highlight w:val="none"/>
        </w:rPr>
        <w:fldChar w:fldCharType="separate"/>
      </w:r>
      <w:r>
        <w:rPr>
          <w:rStyle w:val="54"/>
          <w:rFonts w:hint="eastAsia" w:ascii="宋体" w:hAnsi="宋体"/>
          <w:b/>
          <w:color w:val="auto"/>
          <w:sz w:val="24"/>
          <w:highlight w:val="none"/>
        </w:rPr>
        <w:t>第二章 供应</w:t>
      </w:r>
      <w:bookmarkStart w:id="0" w:name="_Hlt82161237"/>
      <w:r>
        <w:rPr>
          <w:rStyle w:val="54"/>
          <w:rFonts w:hint="eastAsia" w:ascii="宋体" w:hAnsi="宋体"/>
          <w:b/>
          <w:color w:val="auto"/>
          <w:sz w:val="24"/>
          <w:highlight w:val="none"/>
        </w:rPr>
        <w:t>商</w:t>
      </w:r>
      <w:bookmarkEnd w:id="0"/>
      <w:r>
        <w:rPr>
          <w:rStyle w:val="54"/>
          <w:rFonts w:hint="eastAsia" w:ascii="宋体" w:hAnsi="宋体"/>
          <w:b/>
          <w:color w:val="auto"/>
          <w:sz w:val="24"/>
          <w:highlight w:val="none"/>
        </w:rPr>
        <w:t>须</w:t>
      </w:r>
      <w:bookmarkStart w:id="1" w:name="_Hlt123912042"/>
      <w:r>
        <w:rPr>
          <w:rStyle w:val="54"/>
          <w:rFonts w:hint="eastAsia" w:ascii="宋体" w:hAnsi="宋体"/>
          <w:b/>
          <w:color w:val="auto"/>
          <w:sz w:val="24"/>
          <w:highlight w:val="none"/>
        </w:rPr>
        <w:t>知</w:t>
      </w:r>
      <w:bookmarkEnd w:id="1"/>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_Toc74323457 \h </w:instrText>
      </w:r>
      <w:r>
        <w:rPr>
          <w:rFonts w:ascii="宋体" w:hAnsi="宋体"/>
          <w:b/>
          <w:color w:val="auto"/>
          <w:sz w:val="24"/>
          <w:highlight w:val="none"/>
        </w:rPr>
        <w:fldChar w:fldCharType="separate"/>
      </w:r>
      <w:r>
        <w:rPr>
          <w:rFonts w:ascii="宋体" w:hAnsi="宋体"/>
          <w:b/>
          <w:color w:val="auto"/>
          <w:sz w:val="24"/>
          <w:highlight w:val="none"/>
        </w:rPr>
        <w:t>5</w:t>
      </w:r>
      <w:r>
        <w:rPr>
          <w:rFonts w:ascii="宋体" w:hAnsi="宋体"/>
          <w:b/>
          <w:color w:val="auto"/>
          <w:sz w:val="24"/>
          <w:highlight w:val="none"/>
        </w:rPr>
        <w:fldChar w:fldCharType="end"/>
      </w:r>
      <w:r>
        <w:rPr>
          <w:rFonts w:ascii="宋体" w:hAnsi="宋体"/>
          <w:b/>
          <w:color w:val="auto"/>
          <w:sz w:val="24"/>
          <w:highlight w:val="none"/>
        </w:rPr>
        <w:fldChar w:fldCharType="end"/>
      </w:r>
    </w:p>
    <w:p w14:paraId="572A4B29">
      <w:pPr>
        <w:pStyle w:val="31"/>
        <w:tabs>
          <w:tab w:val="right" w:leader="dot" w:pos="8869"/>
        </w:tabs>
        <w:snapToGrid w:val="0"/>
        <w:spacing w:line="500" w:lineRule="atLeast"/>
        <w:rPr>
          <w:rFonts w:hint="eastAsia" w:ascii="宋体" w:hAnsi="宋体"/>
          <w:b/>
          <w:color w:val="auto"/>
          <w:sz w:val="24"/>
          <w:highlight w:val="none"/>
        </w:rPr>
      </w:pPr>
      <w:r>
        <w:rPr>
          <w:color w:val="auto"/>
          <w:highlight w:val="none"/>
        </w:rPr>
        <w:fldChar w:fldCharType="begin"/>
      </w:r>
      <w:r>
        <w:rPr>
          <w:color w:val="auto"/>
          <w:highlight w:val="none"/>
        </w:rPr>
        <w:instrText xml:space="preserve"> HYPERLINK \l "_Toc74323458" </w:instrText>
      </w:r>
      <w:r>
        <w:rPr>
          <w:color w:val="auto"/>
          <w:highlight w:val="none"/>
        </w:rPr>
        <w:fldChar w:fldCharType="separate"/>
      </w:r>
      <w:r>
        <w:rPr>
          <w:rStyle w:val="54"/>
          <w:rFonts w:hint="eastAsia" w:ascii="宋体" w:hAnsi="宋体"/>
          <w:b/>
          <w:color w:val="auto"/>
          <w:sz w:val="24"/>
          <w:highlight w:val="none"/>
        </w:rPr>
        <w:t>第三章 采</w:t>
      </w:r>
      <w:bookmarkStart w:id="2" w:name="_Hlt123903950"/>
      <w:bookmarkStart w:id="3" w:name="_Hlt123905034"/>
      <w:bookmarkStart w:id="4" w:name="_Hlt123913427"/>
      <w:r>
        <w:rPr>
          <w:rStyle w:val="54"/>
          <w:rFonts w:hint="eastAsia" w:ascii="宋体" w:hAnsi="宋体"/>
          <w:b/>
          <w:color w:val="auto"/>
          <w:sz w:val="24"/>
          <w:highlight w:val="none"/>
        </w:rPr>
        <w:t>购</w:t>
      </w:r>
      <w:bookmarkEnd w:id="2"/>
      <w:bookmarkEnd w:id="3"/>
      <w:bookmarkEnd w:id="4"/>
      <w:bookmarkStart w:id="5" w:name="_Hlt123913500"/>
      <w:r>
        <w:rPr>
          <w:rStyle w:val="54"/>
          <w:rFonts w:hint="eastAsia" w:ascii="宋体" w:hAnsi="宋体"/>
          <w:b/>
          <w:color w:val="auto"/>
          <w:sz w:val="24"/>
          <w:highlight w:val="none"/>
        </w:rPr>
        <w:t>需</w:t>
      </w:r>
      <w:bookmarkEnd w:id="5"/>
      <w:bookmarkStart w:id="6" w:name="_Hlt82166940"/>
      <w:r>
        <w:rPr>
          <w:rStyle w:val="54"/>
          <w:rFonts w:hint="eastAsia" w:ascii="宋体" w:hAnsi="宋体"/>
          <w:b/>
          <w:color w:val="auto"/>
          <w:sz w:val="24"/>
          <w:highlight w:val="none"/>
        </w:rPr>
        <w:t>求</w:t>
      </w:r>
      <w:bookmarkEnd w:id="6"/>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_Toc74323458 \h </w:instrText>
      </w:r>
      <w:r>
        <w:rPr>
          <w:rFonts w:ascii="宋体" w:hAnsi="宋体"/>
          <w:b/>
          <w:color w:val="auto"/>
          <w:sz w:val="24"/>
          <w:highlight w:val="none"/>
        </w:rPr>
        <w:fldChar w:fldCharType="separate"/>
      </w:r>
      <w:r>
        <w:rPr>
          <w:rFonts w:ascii="宋体" w:hAnsi="宋体"/>
          <w:b/>
          <w:color w:val="auto"/>
          <w:sz w:val="24"/>
          <w:highlight w:val="none"/>
        </w:rPr>
        <w:t>20</w:t>
      </w:r>
      <w:r>
        <w:rPr>
          <w:rFonts w:ascii="宋体" w:hAnsi="宋体"/>
          <w:b/>
          <w:color w:val="auto"/>
          <w:sz w:val="24"/>
          <w:highlight w:val="none"/>
        </w:rPr>
        <w:fldChar w:fldCharType="end"/>
      </w:r>
      <w:r>
        <w:rPr>
          <w:rFonts w:ascii="宋体" w:hAnsi="宋体"/>
          <w:b/>
          <w:color w:val="auto"/>
          <w:sz w:val="24"/>
          <w:highlight w:val="none"/>
        </w:rPr>
        <w:fldChar w:fldCharType="end"/>
      </w:r>
    </w:p>
    <w:p w14:paraId="0C923A4A">
      <w:pPr>
        <w:pStyle w:val="31"/>
        <w:tabs>
          <w:tab w:val="right" w:leader="dot" w:pos="8869"/>
        </w:tabs>
        <w:snapToGrid w:val="0"/>
        <w:spacing w:line="500" w:lineRule="atLeast"/>
        <w:rPr>
          <w:rFonts w:hint="eastAsia" w:ascii="宋体" w:hAnsi="宋体"/>
          <w:b/>
          <w:color w:val="auto"/>
          <w:sz w:val="24"/>
          <w:highlight w:val="none"/>
        </w:rPr>
      </w:pPr>
      <w:r>
        <w:rPr>
          <w:color w:val="auto"/>
          <w:highlight w:val="none"/>
        </w:rPr>
        <w:fldChar w:fldCharType="begin"/>
      </w:r>
      <w:r>
        <w:rPr>
          <w:color w:val="auto"/>
          <w:highlight w:val="none"/>
        </w:rPr>
        <w:instrText xml:space="preserve"> HYPERLINK \l "_Toc74323459" </w:instrText>
      </w:r>
      <w:r>
        <w:rPr>
          <w:color w:val="auto"/>
          <w:highlight w:val="none"/>
        </w:rPr>
        <w:fldChar w:fldCharType="separate"/>
      </w:r>
      <w:r>
        <w:rPr>
          <w:rStyle w:val="54"/>
          <w:rFonts w:hint="eastAsia" w:ascii="宋体" w:hAnsi="宋体"/>
          <w:b/>
          <w:color w:val="auto"/>
          <w:sz w:val="24"/>
          <w:highlight w:val="none"/>
        </w:rPr>
        <w:t>第四章 评审</w:t>
      </w:r>
      <w:bookmarkStart w:id="7" w:name="_Hlt124354839"/>
      <w:r>
        <w:rPr>
          <w:rStyle w:val="54"/>
          <w:rFonts w:hint="eastAsia" w:ascii="宋体" w:hAnsi="宋体"/>
          <w:b/>
          <w:color w:val="auto"/>
          <w:sz w:val="24"/>
          <w:highlight w:val="none"/>
        </w:rPr>
        <w:t>程</w:t>
      </w:r>
      <w:bookmarkEnd w:id="7"/>
      <w:r>
        <w:rPr>
          <w:rStyle w:val="54"/>
          <w:rFonts w:hint="eastAsia" w:ascii="宋体" w:hAnsi="宋体"/>
          <w:b/>
          <w:color w:val="auto"/>
          <w:sz w:val="24"/>
          <w:highlight w:val="none"/>
        </w:rPr>
        <w:t>序、</w:t>
      </w:r>
      <w:bookmarkStart w:id="8" w:name="_Hlt82166000"/>
      <w:r>
        <w:rPr>
          <w:rStyle w:val="54"/>
          <w:rFonts w:hint="eastAsia" w:ascii="宋体" w:hAnsi="宋体"/>
          <w:b/>
          <w:color w:val="auto"/>
          <w:sz w:val="24"/>
          <w:highlight w:val="none"/>
        </w:rPr>
        <w:t>评</w:t>
      </w:r>
      <w:bookmarkEnd w:id="8"/>
      <w:r>
        <w:rPr>
          <w:rStyle w:val="54"/>
          <w:rFonts w:hint="eastAsia" w:ascii="宋体" w:hAnsi="宋体"/>
          <w:b/>
          <w:color w:val="auto"/>
          <w:sz w:val="24"/>
          <w:highlight w:val="none"/>
        </w:rPr>
        <w:t>审方法和评审标准</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_Toc74323459 \h </w:instrText>
      </w:r>
      <w:r>
        <w:rPr>
          <w:rFonts w:ascii="宋体" w:hAnsi="宋体"/>
          <w:b/>
          <w:color w:val="auto"/>
          <w:sz w:val="24"/>
          <w:highlight w:val="none"/>
        </w:rPr>
        <w:fldChar w:fldCharType="separate"/>
      </w:r>
      <w:r>
        <w:rPr>
          <w:rFonts w:ascii="宋体" w:hAnsi="宋体"/>
          <w:b/>
          <w:color w:val="auto"/>
          <w:sz w:val="24"/>
          <w:highlight w:val="none"/>
        </w:rPr>
        <w:t>22</w:t>
      </w:r>
      <w:r>
        <w:rPr>
          <w:rFonts w:ascii="宋体" w:hAnsi="宋体"/>
          <w:b/>
          <w:color w:val="auto"/>
          <w:sz w:val="24"/>
          <w:highlight w:val="none"/>
        </w:rPr>
        <w:fldChar w:fldCharType="end"/>
      </w:r>
      <w:r>
        <w:rPr>
          <w:rFonts w:ascii="宋体" w:hAnsi="宋体"/>
          <w:b/>
          <w:color w:val="auto"/>
          <w:sz w:val="24"/>
          <w:highlight w:val="none"/>
        </w:rPr>
        <w:fldChar w:fldCharType="end"/>
      </w:r>
    </w:p>
    <w:p w14:paraId="60D2ECEB">
      <w:pPr>
        <w:pStyle w:val="31"/>
        <w:tabs>
          <w:tab w:val="right" w:leader="dot" w:pos="8869"/>
        </w:tabs>
        <w:snapToGrid w:val="0"/>
        <w:spacing w:line="500" w:lineRule="atLeast"/>
        <w:rPr>
          <w:rFonts w:hint="eastAsia" w:ascii="宋体" w:hAnsi="宋体"/>
          <w:b/>
          <w:color w:val="auto"/>
          <w:sz w:val="24"/>
          <w:highlight w:val="none"/>
        </w:rPr>
      </w:pPr>
      <w:r>
        <w:rPr>
          <w:color w:val="auto"/>
          <w:highlight w:val="none"/>
        </w:rPr>
        <w:fldChar w:fldCharType="begin"/>
      </w:r>
      <w:r>
        <w:rPr>
          <w:color w:val="auto"/>
          <w:highlight w:val="none"/>
        </w:rPr>
        <w:instrText xml:space="preserve"> HYPERLINK \l "_Toc74323460" </w:instrText>
      </w:r>
      <w:r>
        <w:rPr>
          <w:color w:val="auto"/>
          <w:highlight w:val="none"/>
        </w:rPr>
        <w:fldChar w:fldCharType="separate"/>
      </w:r>
      <w:r>
        <w:rPr>
          <w:rStyle w:val="54"/>
          <w:rFonts w:hint="eastAsia" w:ascii="宋体" w:hAnsi="宋体"/>
          <w:b/>
          <w:color w:val="auto"/>
          <w:sz w:val="24"/>
          <w:highlight w:val="none"/>
        </w:rPr>
        <w:t>第五章 响应</w:t>
      </w:r>
      <w:bookmarkStart w:id="9" w:name="_Hlt123912950"/>
      <w:r>
        <w:rPr>
          <w:rStyle w:val="54"/>
          <w:rFonts w:hint="eastAsia" w:ascii="宋体" w:hAnsi="宋体"/>
          <w:b/>
          <w:color w:val="auto"/>
          <w:sz w:val="24"/>
          <w:highlight w:val="none"/>
        </w:rPr>
        <w:t>文</w:t>
      </w:r>
      <w:bookmarkEnd w:id="9"/>
      <w:bookmarkStart w:id="10" w:name="_Hlt123911868"/>
      <w:r>
        <w:rPr>
          <w:rStyle w:val="54"/>
          <w:rFonts w:hint="eastAsia" w:ascii="宋体" w:hAnsi="宋体"/>
          <w:b/>
          <w:color w:val="auto"/>
          <w:sz w:val="24"/>
          <w:highlight w:val="none"/>
        </w:rPr>
        <w:t>件</w:t>
      </w:r>
      <w:bookmarkEnd w:id="10"/>
      <w:r>
        <w:rPr>
          <w:rStyle w:val="54"/>
          <w:rFonts w:hint="eastAsia" w:ascii="宋体" w:hAnsi="宋体"/>
          <w:b/>
          <w:color w:val="auto"/>
          <w:sz w:val="24"/>
          <w:highlight w:val="none"/>
        </w:rPr>
        <w:t>格式</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_Toc74323460 \h </w:instrText>
      </w:r>
      <w:r>
        <w:rPr>
          <w:rFonts w:ascii="宋体" w:hAnsi="宋体"/>
          <w:b/>
          <w:color w:val="auto"/>
          <w:sz w:val="24"/>
          <w:highlight w:val="none"/>
        </w:rPr>
        <w:fldChar w:fldCharType="separate"/>
      </w:r>
      <w:r>
        <w:rPr>
          <w:rFonts w:ascii="宋体" w:hAnsi="宋体"/>
          <w:b/>
          <w:color w:val="auto"/>
          <w:sz w:val="24"/>
          <w:highlight w:val="none"/>
        </w:rPr>
        <w:t>38</w:t>
      </w:r>
      <w:r>
        <w:rPr>
          <w:rFonts w:ascii="宋体" w:hAnsi="宋体"/>
          <w:b/>
          <w:color w:val="auto"/>
          <w:sz w:val="24"/>
          <w:highlight w:val="none"/>
        </w:rPr>
        <w:fldChar w:fldCharType="end"/>
      </w:r>
      <w:r>
        <w:rPr>
          <w:rFonts w:ascii="宋体" w:hAnsi="宋体"/>
          <w:b/>
          <w:color w:val="auto"/>
          <w:sz w:val="24"/>
          <w:highlight w:val="none"/>
        </w:rPr>
        <w:fldChar w:fldCharType="end"/>
      </w:r>
    </w:p>
    <w:p w14:paraId="16D7CA84">
      <w:pPr>
        <w:pStyle w:val="31"/>
        <w:tabs>
          <w:tab w:val="right" w:leader="dot" w:pos="8869"/>
        </w:tabs>
        <w:snapToGrid w:val="0"/>
        <w:spacing w:line="500" w:lineRule="atLeast"/>
        <w:rPr>
          <w:rFonts w:hint="eastAsia" w:ascii="宋体" w:hAnsi="宋体"/>
          <w:color w:val="auto"/>
          <w:sz w:val="24"/>
          <w:highlight w:val="none"/>
        </w:rPr>
      </w:pPr>
      <w:r>
        <w:rPr>
          <w:color w:val="auto"/>
          <w:highlight w:val="none"/>
        </w:rPr>
        <w:fldChar w:fldCharType="begin"/>
      </w:r>
      <w:r>
        <w:rPr>
          <w:color w:val="auto"/>
          <w:highlight w:val="none"/>
        </w:rPr>
        <w:instrText xml:space="preserve"> HYPERLINK \l "_Toc74323461" </w:instrText>
      </w:r>
      <w:r>
        <w:rPr>
          <w:color w:val="auto"/>
          <w:highlight w:val="none"/>
        </w:rPr>
        <w:fldChar w:fldCharType="separate"/>
      </w:r>
      <w:r>
        <w:rPr>
          <w:rStyle w:val="54"/>
          <w:rFonts w:hint="eastAsia" w:ascii="宋体" w:hAnsi="宋体"/>
          <w:b/>
          <w:color w:val="auto"/>
          <w:sz w:val="24"/>
          <w:highlight w:val="none"/>
        </w:rPr>
        <w:t>第六章 合同文本</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_Toc74323461 \h </w:instrText>
      </w:r>
      <w:r>
        <w:rPr>
          <w:rFonts w:ascii="宋体" w:hAnsi="宋体"/>
          <w:b/>
          <w:color w:val="auto"/>
          <w:sz w:val="24"/>
          <w:highlight w:val="none"/>
        </w:rPr>
        <w:fldChar w:fldCharType="separate"/>
      </w:r>
      <w:r>
        <w:rPr>
          <w:rFonts w:ascii="宋体" w:hAnsi="宋体"/>
          <w:b/>
          <w:color w:val="auto"/>
          <w:sz w:val="24"/>
          <w:highlight w:val="none"/>
        </w:rPr>
        <w:t>77</w:t>
      </w:r>
      <w:r>
        <w:rPr>
          <w:rFonts w:ascii="宋体" w:hAnsi="宋体"/>
          <w:b/>
          <w:color w:val="auto"/>
          <w:sz w:val="24"/>
          <w:highlight w:val="none"/>
        </w:rPr>
        <w:fldChar w:fldCharType="end"/>
      </w:r>
      <w:r>
        <w:rPr>
          <w:rFonts w:ascii="宋体" w:hAnsi="宋体"/>
          <w:b/>
          <w:color w:val="auto"/>
          <w:sz w:val="24"/>
          <w:highlight w:val="none"/>
        </w:rPr>
        <w:fldChar w:fldCharType="end"/>
      </w:r>
    </w:p>
    <w:p w14:paraId="6F80E6F1">
      <w:pPr>
        <w:pStyle w:val="36"/>
        <w:tabs>
          <w:tab w:val="right" w:leader="dot" w:pos="8931"/>
          <w:tab w:val="clear" w:pos="8296"/>
        </w:tabs>
        <w:snapToGrid w:val="0"/>
        <w:spacing w:line="500" w:lineRule="atLeast"/>
        <w:ind w:left="0" w:leftChars="0"/>
        <w:rPr>
          <w:rFonts w:hint="eastAsia" w:ascii="宋体" w:hAnsi="宋体"/>
          <w:b/>
          <w:color w:val="auto"/>
          <w:sz w:val="24"/>
          <w:highlight w:val="none"/>
        </w:rPr>
      </w:pPr>
      <w:r>
        <w:rPr>
          <w:rFonts w:ascii="宋体" w:hAnsi="宋体"/>
          <w:b/>
          <w:color w:val="auto"/>
          <w:sz w:val="24"/>
          <w:highlight w:val="none"/>
        </w:rPr>
        <w:fldChar w:fldCharType="end"/>
      </w:r>
    </w:p>
    <w:p w14:paraId="3F28A635">
      <w:pPr>
        <w:spacing w:line="400" w:lineRule="exact"/>
        <w:jc w:val="left"/>
        <w:rPr>
          <w:rFonts w:hint="eastAsia" w:ascii="宋体" w:hAnsi="宋体"/>
          <w:b/>
          <w:color w:val="auto"/>
          <w:sz w:val="32"/>
          <w:szCs w:val="32"/>
          <w:highlight w:val="none"/>
        </w:rPr>
      </w:pPr>
    </w:p>
    <w:p w14:paraId="157D266F">
      <w:pPr>
        <w:spacing w:line="400" w:lineRule="exact"/>
        <w:jc w:val="center"/>
        <w:rPr>
          <w:rFonts w:hint="eastAsia" w:ascii="宋体" w:hAnsi="宋体"/>
          <w:b/>
          <w:color w:val="auto"/>
          <w:sz w:val="32"/>
          <w:szCs w:val="32"/>
          <w:highlight w:val="none"/>
        </w:rPr>
      </w:pPr>
    </w:p>
    <w:p w14:paraId="7D38285E">
      <w:pPr>
        <w:spacing w:line="400" w:lineRule="exact"/>
        <w:jc w:val="center"/>
        <w:rPr>
          <w:rFonts w:hint="eastAsia" w:ascii="宋体" w:hAnsi="宋体"/>
          <w:b/>
          <w:color w:val="auto"/>
          <w:sz w:val="32"/>
          <w:szCs w:val="32"/>
          <w:highlight w:val="none"/>
        </w:rPr>
      </w:pPr>
      <w:bookmarkStart w:id="235" w:name="_GoBack"/>
      <w:bookmarkEnd w:id="235"/>
    </w:p>
    <w:p w14:paraId="6E719941">
      <w:pPr>
        <w:spacing w:line="400" w:lineRule="exact"/>
        <w:jc w:val="center"/>
        <w:rPr>
          <w:rFonts w:hint="eastAsia" w:ascii="宋体" w:hAnsi="宋体"/>
          <w:b/>
          <w:color w:val="auto"/>
          <w:sz w:val="32"/>
          <w:szCs w:val="32"/>
          <w:highlight w:val="none"/>
        </w:rPr>
      </w:pPr>
    </w:p>
    <w:p w14:paraId="17113D3D">
      <w:pPr>
        <w:spacing w:line="400" w:lineRule="exact"/>
        <w:jc w:val="center"/>
        <w:rPr>
          <w:rFonts w:hint="eastAsia" w:ascii="宋体" w:hAnsi="宋体"/>
          <w:b/>
          <w:color w:val="auto"/>
          <w:sz w:val="32"/>
          <w:szCs w:val="32"/>
          <w:highlight w:val="none"/>
        </w:rPr>
      </w:pPr>
    </w:p>
    <w:p w14:paraId="0B6712EC">
      <w:pPr>
        <w:spacing w:line="400" w:lineRule="exact"/>
        <w:rPr>
          <w:rFonts w:hint="eastAsia" w:ascii="宋体" w:hAnsi="宋体"/>
          <w:b/>
          <w:color w:val="auto"/>
          <w:sz w:val="32"/>
          <w:szCs w:val="32"/>
          <w:highlight w:val="none"/>
        </w:rPr>
        <w:sectPr>
          <w:footerReference r:id="rId8" w:type="first"/>
          <w:footerReference r:id="rId7" w:type="default"/>
          <w:pgSz w:w="11906" w:h="16838"/>
          <w:pgMar w:top="1440" w:right="1440" w:bottom="1440" w:left="1587" w:header="851" w:footer="992" w:gutter="0"/>
          <w:pgNumType w:start="1"/>
          <w:cols w:space="720" w:num="1"/>
          <w:titlePg/>
          <w:docGrid w:type="lines" w:linePitch="312" w:charSpace="0"/>
        </w:sectPr>
      </w:pPr>
    </w:p>
    <w:p w14:paraId="0C4D9F56">
      <w:pPr>
        <w:pStyle w:val="3"/>
        <w:spacing w:after="340" w:line="360" w:lineRule="auto"/>
        <w:jc w:val="center"/>
        <w:rPr>
          <w:color w:val="auto"/>
          <w:highlight w:val="none"/>
        </w:rPr>
      </w:pPr>
      <w:bookmarkStart w:id="11" w:name="_Toc74323456"/>
      <w:r>
        <w:rPr>
          <w:rFonts w:hint="eastAsia"/>
          <w:color w:val="auto"/>
          <w:highlight w:val="none"/>
        </w:rPr>
        <w:t>第一章竞争性磋商公告</w:t>
      </w:r>
      <w:bookmarkEnd w:id="11"/>
    </w:p>
    <w:p w14:paraId="18E6512E">
      <w:pPr>
        <w:spacing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竞争性磋商公告</w:t>
      </w:r>
    </w:p>
    <w:p w14:paraId="56C50842">
      <w:pPr>
        <w:spacing w:line="360" w:lineRule="auto"/>
        <w:rPr>
          <w:rFonts w:hint="eastAsia" w:ascii="宋体" w:hAnsi="宋体"/>
          <w:color w:val="auto"/>
          <w:szCs w:val="21"/>
          <w:highlight w:val="none"/>
        </w:rPr>
      </w:pPr>
    </w:p>
    <w:p w14:paraId="5FDAAECE">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highlight w:val="none"/>
        </w:rPr>
      </w:pPr>
      <w:bookmarkStart w:id="12" w:name="_Hlk37430271"/>
      <w:r>
        <w:rPr>
          <w:rFonts w:hint="eastAsia" w:ascii="宋体" w:hAnsi="宋体"/>
          <w:color w:val="auto"/>
          <w:szCs w:val="21"/>
          <w:highlight w:val="none"/>
        </w:rPr>
        <w:t>项目概况</w:t>
      </w:r>
    </w:p>
    <w:p w14:paraId="63710514">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u w:val="single"/>
          <w:lang w:eastAsia="zh-CN"/>
        </w:rPr>
        <w:t>东龙镇乡村垃圾集中收集点项目建设项目</w:t>
      </w:r>
      <w:r>
        <w:rPr>
          <w:rFonts w:hint="eastAsia" w:ascii="宋体" w:hAnsi="宋体"/>
          <w:color w:val="auto"/>
          <w:szCs w:val="21"/>
          <w:highlight w:val="none"/>
        </w:rPr>
        <w:t>的潜在供应商应在广西政府采购云平台（https://www.gcy.zfcg.gxzf.gov.cn）获取（下载）竞争性磋商文件，并于</w:t>
      </w:r>
      <w:r>
        <w:rPr>
          <w:rFonts w:ascii="宋体" w:hAnsi="宋体"/>
          <w:bCs/>
          <w:color w:val="auto"/>
          <w:szCs w:val="21"/>
          <w:highlight w:val="none"/>
          <w:u w:val="none"/>
        </w:rPr>
        <w:t>202</w:t>
      </w:r>
      <w:r>
        <w:rPr>
          <w:rFonts w:hint="eastAsia" w:ascii="宋体" w:hAnsi="宋体"/>
          <w:bCs/>
          <w:color w:val="auto"/>
          <w:szCs w:val="21"/>
          <w:highlight w:val="none"/>
          <w:u w:val="none"/>
        </w:rPr>
        <w:t>5年</w:t>
      </w:r>
      <w:r>
        <w:rPr>
          <w:rFonts w:hint="eastAsia" w:ascii="宋体" w:hAnsi="宋体"/>
          <w:bCs/>
          <w:color w:val="auto"/>
          <w:szCs w:val="21"/>
          <w:highlight w:val="none"/>
          <w:u w:val="none"/>
          <w:lang w:val="en-US" w:eastAsia="zh-CN"/>
        </w:rPr>
        <w:t>12</w:t>
      </w:r>
      <w:r>
        <w:rPr>
          <w:rFonts w:hint="eastAsia" w:ascii="宋体" w:hAnsi="宋体"/>
          <w:bCs/>
          <w:color w:val="auto"/>
          <w:szCs w:val="21"/>
          <w:highlight w:val="none"/>
          <w:u w:val="none"/>
        </w:rPr>
        <w:t>月</w:t>
      </w:r>
      <w:r>
        <w:rPr>
          <w:rFonts w:hint="eastAsia" w:ascii="宋体" w:hAnsi="宋体"/>
          <w:bCs/>
          <w:color w:val="auto"/>
          <w:szCs w:val="21"/>
          <w:highlight w:val="none"/>
          <w:u w:val="none"/>
          <w:lang w:val="en-US" w:eastAsia="zh-CN"/>
        </w:rPr>
        <w:t>8</w:t>
      </w:r>
      <w:r>
        <w:rPr>
          <w:rFonts w:hint="eastAsia" w:ascii="宋体" w:hAnsi="宋体"/>
          <w:bCs/>
          <w:color w:val="auto"/>
          <w:szCs w:val="21"/>
          <w:highlight w:val="none"/>
          <w:u w:val="none"/>
        </w:rPr>
        <w:t>日9时0</w:t>
      </w:r>
      <w:r>
        <w:rPr>
          <w:rFonts w:ascii="宋体" w:hAnsi="宋体"/>
          <w:bCs/>
          <w:color w:val="auto"/>
          <w:szCs w:val="21"/>
          <w:highlight w:val="none"/>
          <w:u w:val="none"/>
        </w:rPr>
        <w:t>0</w:t>
      </w:r>
      <w:r>
        <w:rPr>
          <w:rFonts w:hint="eastAsia" w:ascii="宋体" w:hAnsi="宋体"/>
          <w:bCs/>
          <w:color w:val="auto"/>
          <w:szCs w:val="21"/>
          <w:highlight w:val="none"/>
          <w:u w:val="none"/>
        </w:rPr>
        <w:t>分</w:t>
      </w:r>
      <w:r>
        <w:rPr>
          <w:rFonts w:hint="eastAsia" w:ascii="宋体" w:hAnsi="宋体"/>
          <w:bCs/>
          <w:color w:val="auto"/>
          <w:szCs w:val="21"/>
          <w:highlight w:val="none"/>
        </w:rPr>
        <w:t>（北京时间）前提交（上传）</w:t>
      </w:r>
      <w:r>
        <w:rPr>
          <w:rFonts w:hint="eastAsia" w:ascii="宋体" w:hAnsi="宋体"/>
          <w:color w:val="auto"/>
          <w:szCs w:val="21"/>
          <w:highlight w:val="none"/>
        </w:rPr>
        <w:t>响应</w:t>
      </w:r>
      <w:r>
        <w:rPr>
          <w:rFonts w:hint="eastAsia" w:ascii="宋体" w:hAnsi="宋体"/>
          <w:bCs/>
          <w:color w:val="auto"/>
          <w:szCs w:val="21"/>
          <w:highlight w:val="none"/>
        </w:rPr>
        <w:t>文件</w:t>
      </w:r>
      <w:r>
        <w:rPr>
          <w:rFonts w:hint="eastAsia" w:ascii="宋体" w:hAnsi="宋体"/>
          <w:color w:val="auto"/>
          <w:szCs w:val="21"/>
          <w:highlight w:val="none"/>
        </w:rPr>
        <w:t>。</w:t>
      </w:r>
    </w:p>
    <w:p w14:paraId="01DCADDB">
      <w:pPr>
        <w:spacing w:line="360" w:lineRule="auto"/>
        <w:rPr>
          <w:rFonts w:hint="eastAsia" w:ascii="宋体" w:hAnsi="宋体"/>
          <w:color w:val="auto"/>
          <w:szCs w:val="21"/>
          <w:highlight w:val="none"/>
        </w:rPr>
      </w:pPr>
    </w:p>
    <w:p w14:paraId="0A065905">
      <w:pPr>
        <w:spacing w:line="360" w:lineRule="auto"/>
        <w:ind w:firstLine="354" w:firstLineChars="147"/>
        <w:rPr>
          <w:rFonts w:hint="eastAsia" w:ascii="黑体" w:hAnsi="黑体" w:eastAsia="黑体"/>
          <w:b/>
          <w:color w:val="auto"/>
          <w:sz w:val="24"/>
          <w:highlight w:val="none"/>
        </w:rPr>
      </w:pPr>
      <w:bookmarkStart w:id="13" w:name="_Toc28359012"/>
      <w:bookmarkStart w:id="14" w:name="_Toc71365905"/>
      <w:bookmarkStart w:id="15" w:name="_Toc44229878"/>
      <w:bookmarkStart w:id="16" w:name="_Toc35393798"/>
      <w:bookmarkStart w:id="17" w:name="_Toc28359089"/>
      <w:bookmarkStart w:id="18" w:name="_Toc35393629"/>
      <w:r>
        <w:rPr>
          <w:rFonts w:hint="eastAsia" w:ascii="黑体" w:hAnsi="黑体" w:eastAsia="黑体"/>
          <w:b/>
          <w:color w:val="auto"/>
          <w:sz w:val="24"/>
          <w:highlight w:val="none"/>
        </w:rPr>
        <w:t>一、项目基本情况</w:t>
      </w:r>
      <w:bookmarkEnd w:id="13"/>
      <w:bookmarkEnd w:id="14"/>
      <w:bookmarkEnd w:id="15"/>
      <w:bookmarkEnd w:id="16"/>
      <w:bookmarkEnd w:id="17"/>
      <w:bookmarkEnd w:id="18"/>
    </w:p>
    <w:p w14:paraId="3091B99C">
      <w:pPr>
        <w:spacing w:line="312" w:lineRule="auto"/>
        <w:ind w:firstLine="420" w:firstLineChars="200"/>
        <w:rPr>
          <w:rFonts w:hint="eastAsia" w:ascii="宋体" w:hAnsi="宋体" w:cs="宋体"/>
          <w:color w:val="auto"/>
          <w:highlight w:val="none"/>
        </w:rPr>
      </w:pPr>
      <w:r>
        <w:rPr>
          <w:rFonts w:hint="eastAsia" w:ascii="宋体" w:hAnsi="宋体" w:cs="宋体"/>
          <w:color w:val="auto"/>
          <w:highlight w:val="none"/>
        </w:rPr>
        <w:t>项目编号：</w:t>
      </w:r>
      <w:r>
        <w:rPr>
          <w:rFonts w:hint="eastAsia" w:ascii="宋体" w:hAnsi="宋体" w:cs="宋体"/>
          <w:color w:val="auto"/>
          <w:highlight w:val="none"/>
          <w:lang w:eastAsia="zh-CN"/>
        </w:rPr>
        <w:t>GGZC2025-C2-040193-YZLZ</w:t>
      </w:r>
      <w:r>
        <w:rPr>
          <w:rFonts w:hint="eastAsia" w:ascii="宋体" w:hAnsi="宋体" w:cs="宋体"/>
          <w:color w:val="auto"/>
          <w:highlight w:val="none"/>
        </w:rPr>
        <w:t xml:space="preserve">     </w:t>
      </w:r>
    </w:p>
    <w:p w14:paraId="618A6742">
      <w:pPr>
        <w:spacing w:line="312" w:lineRule="auto"/>
        <w:ind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rPr>
        <w:t>项目名称：</w:t>
      </w:r>
      <w:r>
        <w:rPr>
          <w:rFonts w:hint="eastAsia" w:ascii="宋体" w:hAnsi="宋体" w:cs="宋体"/>
          <w:color w:val="auto"/>
          <w:highlight w:val="none"/>
          <w:lang w:eastAsia="zh-CN"/>
        </w:rPr>
        <w:t>东龙镇乡村垃圾集中收集点项目建设</w:t>
      </w:r>
    </w:p>
    <w:p w14:paraId="15A83884">
      <w:pPr>
        <w:spacing w:line="312" w:lineRule="auto"/>
        <w:ind w:firstLine="420" w:firstLineChars="200"/>
        <w:rPr>
          <w:rFonts w:hint="eastAsia" w:ascii="宋体" w:hAnsi="宋体" w:cs="宋体"/>
          <w:color w:val="auto"/>
          <w:highlight w:val="none"/>
        </w:rPr>
      </w:pPr>
      <w:r>
        <w:rPr>
          <w:rFonts w:hint="eastAsia" w:ascii="宋体" w:hAnsi="宋体" w:cs="宋体"/>
          <w:color w:val="auto"/>
          <w:highlight w:val="none"/>
        </w:rPr>
        <w:t>采购方式：竞争性磋商</w:t>
      </w:r>
    </w:p>
    <w:p w14:paraId="718CE08A">
      <w:pPr>
        <w:spacing w:line="312" w:lineRule="auto"/>
        <w:ind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rPr>
        <w:t>预算金额（元）：</w:t>
      </w:r>
      <w:r>
        <w:rPr>
          <w:rFonts w:hint="eastAsia" w:ascii="宋体" w:hAnsi="宋体" w:cs="宋体"/>
          <w:color w:val="auto"/>
          <w:highlight w:val="none"/>
          <w:lang w:eastAsia="zh-CN"/>
        </w:rPr>
        <w:t>897848.58</w:t>
      </w:r>
    </w:p>
    <w:p w14:paraId="448EFE00">
      <w:pPr>
        <w:spacing w:line="312" w:lineRule="auto"/>
        <w:ind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rPr>
        <w:t>最高限价（元）：</w:t>
      </w:r>
      <w:r>
        <w:rPr>
          <w:rFonts w:hint="eastAsia" w:ascii="宋体" w:hAnsi="宋体" w:cs="宋体"/>
          <w:color w:val="auto"/>
          <w:highlight w:val="none"/>
          <w:lang w:eastAsia="zh-CN"/>
        </w:rPr>
        <w:t>897848.58</w:t>
      </w:r>
    </w:p>
    <w:p w14:paraId="3CB3272F">
      <w:pPr>
        <w:spacing w:line="312" w:lineRule="auto"/>
        <w:ind w:firstLine="420" w:firstLineChars="200"/>
        <w:rPr>
          <w:rFonts w:hint="eastAsia" w:ascii="宋体" w:hAnsi="宋体" w:cs="宋体"/>
          <w:color w:val="auto"/>
          <w:highlight w:val="none"/>
        </w:rPr>
      </w:pPr>
      <w:r>
        <w:rPr>
          <w:rFonts w:hint="eastAsia" w:ascii="宋体" w:hAnsi="宋体" w:cs="宋体"/>
          <w:color w:val="auto"/>
          <w:highlight w:val="none"/>
        </w:rPr>
        <w:t>采购需求：</w:t>
      </w:r>
    </w:p>
    <w:p w14:paraId="3FF3001B">
      <w:pPr>
        <w:spacing w:line="312" w:lineRule="auto"/>
        <w:ind w:firstLine="420" w:firstLineChars="200"/>
        <w:rPr>
          <w:rFonts w:hint="eastAsia" w:ascii="宋体" w:hAnsi="宋体" w:cs="宋体"/>
          <w:color w:val="auto"/>
          <w:highlight w:val="none"/>
        </w:rPr>
      </w:pPr>
      <w:r>
        <w:rPr>
          <w:rFonts w:hint="eastAsia" w:ascii="宋体" w:hAnsi="宋体" w:cs="宋体"/>
          <w:color w:val="auto"/>
          <w:highlight w:val="none"/>
        </w:rPr>
        <w:t>标项一</w:t>
      </w:r>
    </w:p>
    <w:p w14:paraId="6857D0F7">
      <w:pPr>
        <w:spacing w:line="312" w:lineRule="auto"/>
        <w:ind w:firstLine="420" w:firstLineChars="200"/>
        <w:rPr>
          <w:rFonts w:hint="eastAsia" w:ascii="宋体" w:hAnsi="宋体" w:cs="宋体"/>
          <w:color w:val="auto"/>
          <w:highlight w:val="none"/>
        </w:rPr>
      </w:pPr>
      <w:r>
        <w:rPr>
          <w:rFonts w:hint="eastAsia" w:ascii="宋体" w:hAnsi="宋体" w:cs="宋体"/>
          <w:color w:val="auto"/>
          <w:highlight w:val="none"/>
        </w:rPr>
        <w:t>标项名称：</w:t>
      </w:r>
      <w:r>
        <w:rPr>
          <w:rFonts w:hint="eastAsia" w:ascii="宋体" w:hAnsi="宋体" w:cs="宋体"/>
          <w:color w:val="auto"/>
          <w:highlight w:val="none"/>
          <w:lang w:eastAsia="zh-CN"/>
        </w:rPr>
        <w:t>东龙镇乡村垃圾集中收集点项目建设</w:t>
      </w:r>
    </w:p>
    <w:p w14:paraId="0BF886AD">
      <w:pPr>
        <w:spacing w:line="312" w:lineRule="auto"/>
        <w:ind w:firstLine="420" w:firstLineChars="200"/>
        <w:rPr>
          <w:rFonts w:hint="eastAsia" w:ascii="宋体" w:hAnsi="宋体" w:cs="宋体"/>
          <w:color w:val="auto"/>
          <w:highlight w:val="none"/>
        </w:rPr>
      </w:pPr>
      <w:r>
        <w:rPr>
          <w:rFonts w:hint="eastAsia" w:ascii="宋体" w:hAnsi="宋体" w:cs="宋体"/>
          <w:color w:val="auto"/>
          <w:highlight w:val="none"/>
        </w:rPr>
        <w:t>数量：1项</w:t>
      </w:r>
    </w:p>
    <w:p w14:paraId="58534063">
      <w:pPr>
        <w:spacing w:line="312" w:lineRule="auto"/>
        <w:ind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rPr>
        <w:t>预算金额（元）：</w:t>
      </w:r>
      <w:r>
        <w:rPr>
          <w:rFonts w:hint="eastAsia" w:ascii="宋体" w:hAnsi="宋体" w:cs="宋体"/>
          <w:color w:val="auto"/>
          <w:highlight w:val="none"/>
          <w:lang w:eastAsia="zh-CN"/>
        </w:rPr>
        <w:t>897848.58</w:t>
      </w:r>
    </w:p>
    <w:p w14:paraId="0CD9EFE2">
      <w:pPr>
        <w:spacing w:line="312" w:lineRule="auto"/>
        <w:ind w:firstLine="420" w:firstLineChars="200"/>
        <w:rPr>
          <w:rFonts w:hint="eastAsia" w:ascii="宋体" w:hAnsi="宋体" w:eastAsia="宋体"/>
          <w:color w:val="auto"/>
          <w:szCs w:val="21"/>
          <w:highlight w:val="none"/>
          <w:lang w:eastAsia="zh-CN"/>
        </w:rPr>
      </w:pPr>
      <w:r>
        <w:rPr>
          <w:rFonts w:hint="eastAsia" w:ascii="宋体" w:hAnsi="宋体" w:cs="宋体"/>
          <w:color w:val="auto"/>
          <w:szCs w:val="21"/>
          <w:highlight w:val="none"/>
        </w:rPr>
        <w:t>简要规格描述或项目基本概况介绍、用途：</w:t>
      </w:r>
      <w:r>
        <w:rPr>
          <w:rFonts w:hint="eastAsia" w:ascii="宋体" w:hAnsi="宋体" w:cs="宋体"/>
          <w:color w:val="auto"/>
          <w:highlight w:val="none"/>
          <w:lang w:eastAsia="zh-CN"/>
        </w:rPr>
        <w:t>东龙镇乡村垃圾集中收集点项目建设</w:t>
      </w:r>
      <w:r>
        <w:rPr>
          <w:rFonts w:hint="eastAsia" w:ascii="宋体" w:hAnsi="宋体" w:cs="宋体"/>
          <w:color w:val="auto"/>
          <w:szCs w:val="21"/>
          <w:highlight w:val="none"/>
          <w:lang w:val="en-US" w:eastAsia="zh-CN"/>
        </w:rPr>
        <w:t>1项</w:t>
      </w:r>
      <w:r>
        <w:rPr>
          <w:rFonts w:hint="eastAsia" w:ascii="宋体" w:hAnsi="宋体" w:cs="宋体"/>
          <w:color w:val="auto"/>
          <w:szCs w:val="21"/>
          <w:highlight w:val="none"/>
        </w:rPr>
        <w:t>，用地总面积1050㎡，工程总建筑面积106.64㎡，建筑高度6.65m，工程质量等级要求达到国家施工质量验收规范合格标准</w:t>
      </w:r>
      <w:r>
        <w:rPr>
          <w:rFonts w:hint="eastAsia" w:ascii="宋体" w:hAnsi="宋体" w:cs="宋体"/>
          <w:color w:val="auto"/>
          <w:szCs w:val="21"/>
          <w:highlight w:val="none"/>
          <w:lang w:eastAsia="zh-CN"/>
        </w:rPr>
        <w:t>；详见招标控制价及图纸。</w:t>
      </w:r>
    </w:p>
    <w:p w14:paraId="1FD46361">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合同履行期限：要求工期为</w:t>
      </w:r>
      <w:r>
        <w:rPr>
          <w:rFonts w:hint="eastAsia" w:ascii="宋体" w:hAnsi="宋体"/>
          <w:color w:val="auto"/>
          <w:szCs w:val="21"/>
          <w:highlight w:val="none"/>
          <w:lang w:val="en-US" w:eastAsia="zh-CN"/>
        </w:rPr>
        <w:t>90</w:t>
      </w:r>
      <w:r>
        <w:rPr>
          <w:rFonts w:hint="eastAsia" w:ascii="宋体" w:hAnsi="宋体"/>
          <w:color w:val="auto"/>
          <w:szCs w:val="21"/>
          <w:highlight w:val="none"/>
        </w:rPr>
        <w:t>个日历天。</w:t>
      </w:r>
    </w:p>
    <w:p w14:paraId="31F5558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本项目不接受联合体。</w:t>
      </w:r>
    </w:p>
    <w:p w14:paraId="2BDE2AD4">
      <w:pPr>
        <w:spacing w:line="360" w:lineRule="auto"/>
        <w:ind w:firstLine="354" w:firstLineChars="147"/>
        <w:rPr>
          <w:rFonts w:hint="eastAsia" w:ascii="黑体" w:hAnsi="黑体" w:eastAsia="黑体"/>
          <w:b/>
          <w:color w:val="auto"/>
          <w:sz w:val="24"/>
          <w:highlight w:val="none"/>
        </w:rPr>
      </w:pPr>
      <w:bookmarkStart w:id="19" w:name="_Toc35393630"/>
      <w:bookmarkStart w:id="20" w:name="_Toc71365906"/>
      <w:bookmarkStart w:id="21" w:name="_Toc28359090"/>
      <w:bookmarkStart w:id="22" w:name="_Toc28359013"/>
      <w:bookmarkStart w:id="23" w:name="_Toc44229879"/>
      <w:bookmarkStart w:id="24" w:name="_Toc35393799"/>
      <w:r>
        <w:rPr>
          <w:rFonts w:hint="eastAsia" w:ascii="黑体" w:hAnsi="黑体" w:eastAsia="黑体"/>
          <w:b/>
          <w:color w:val="auto"/>
          <w:sz w:val="24"/>
          <w:highlight w:val="none"/>
        </w:rPr>
        <w:t>二、申请人的资格条件：</w:t>
      </w:r>
      <w:bookmarkEnd w:id="19"/>
      <w:bookmarkEnd w:id="20"/>
      <w:bookmarkEnd w:id="21"/>
      <w:bookmarkEnd w:id="22"/>
      <w:bookmarkEnd w:id="23"/>
      <w:bookmarkEnd w:id="24"/>
    </w:p>
    <w:p w14:paraId="051DCF40">
      <w:pPr>
        <w:spacing w:line="360" w:lineRule="auto"/>
        <w:ind w:firstLine="420" w:firstLineChars="200"/>
        <w:rPr>
          <w:rFonts w:hint="eastAsia" w:ascii="宋体" w:hAnsi="宋体"/>
          <w:color w:val="auto"/>
          <w:szCs w:val="21"/>
          <w:highlight w:val="none"/>
        </w:rPr>
      </w:pPr>
      <w:bookmarkStart w:id="25" w:name="_Toc28359014"/>
      <w:bookmarkStart w:id="26" w:name="_Toc35393800"/>
      <w:bookmarkStart w:id="27" w:name="_Toc28359091"/>
      <w:bookmarkStart w:id="28" w:name="_Toc44229880"/>
      <w:bookmarkStart w:id="29" w:name="_Toc35393631"/>
      <w:r>
        <w:rPr>
          <w:rFonts w:hint="eastAsia" w:ascii="宋体" w:hAnsi="宋体"/>
          <w:color w:val="auto"/>
          <w:szCs w:val="21"/>
          <w:highlight w:val="none"/>
        </w:rPr>
        <w:t>1.满足《中华人民共和国政府采购法》第二十二条规定；</w:t>
      </w:r>
    </w:p>
    <w:p w14:paraId="63A4819F">
      <w:pPr>
        <w:spacing w:line="360" w:lineRule="auto"/>
        <w:ind w:firstLine="420" w:firstLineChars="200"/>
        <w:rPr>
          <w:rStyle w:val="56"/>
          <w:color w:val="auto"/>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w:t>
      </w:r>
      <w:r>
        <w:rPr>
          <w:rFonts w:hint="eastAsia" w:ascii="宋体" w:hAnsi="宋体" w:cs="宋体"/>
          <w:b/>
          <w:bCs/>
          <w:color w:val="auto"/>
          <w:szCs w:val="21"/>
          <w:highlight w:val="none"/>
        </w:rPr>
        <w:t>本项目属于专门面向中小企业采购的项目</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供应商</w:t>
      </w:r>
      <w:r>
        <w:rPr>
          <w:rFonts w:hint="eastAsia" w:ascii="宋体" w:hAnsi="宋体" w:cs="宋体"/>
          <w:b/>
          <w:bCs/>
          <w:color w:val="auto"/>
          <w:szCs w:val="21"/>
          <w:highlight w:val="none"/>
          <w:lang w:eastAsia="zh-CN"/>
        </w:rPr>
        <w:t>对应符合《政府采购促进中小企业发展管理办法》（财库〔2020〕46号）要求的</w:t>
      </w:r>
      <w:r>
        <w:rPr>
          <w:rFonts w:hint="eastAsia" w:ascii="宋体" w:hAnsi="宋体" w:cs="宋体"/>
          <w:b/>
          <w:bCs/>
          <w:color w:val="auto"/>
          <w:szCs w:val="21"/>
          <w:highlight w:val="none"/>
        </w:rPr>
        <w:t>中小企业</w:t>
      </w:r>
      <w:r>
        <w:rPr>
          <w:rFonts w:hint="eastAsia" w:ascii="宋体" w:hAnsi="宋体" w:cs="宋体"/>
          <w:b/>
          <w:bCs/>
          <w:color w:val="auto"/>
          <w:szCs w:val="21"/>
          <w:highlight w:val="none"/>
          <w:lang w:eastAsia="zh-CN"/>
        </w:rPr>
        <w:t>或符合《财政部、司法部关于政府采购支持监狱企业发展有关问题的通知》（财库〔2014〕68号）要求的监狱企业或符合《财政部 民政部 中国残疾人联合会关于促进残疾人就业政府采购政策的通知》（财库〔2017〕141号）要求的残疾人福利性单位，否则作无效响应处理。</w:t>
      </w:r>
    </w:p>
    <w:p w14:paraId="390D938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3.本项目的特定资格要求：</w:t>
      </w:r>
    </w:p>
    <w:p w14:paraId="08011864">
      <w:pPr>
        <w:widowControl/>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DA0D909">
      <w:pPr>
        <w:widowControl/>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59C08EC5">
      <w:pPr>
        <w:widowControl/>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3.3具备建筑工程施工总承包三级或三级以上资质；</w:t>
      </w:r>
      <w:r>
        <w:rPr>
          <w:rFonts w:hint="eastAsia" w:ascii="宋体" w:hAnsi="宋体" w:cs="宋体"/>
          <w:color w:val="auto"/>
          <w:szCs w:val="21"/>
          <w:highlight w:val="none"/>
          <w:lang w:eastAsia="zh-CN"/>
        </w:rPr>
        <w:t>具有</w:t>
      </w:r>
      <w:r>
        <w:rPr>
          <w:rFonts w:hint="eastAsia" w:ascii="宋体" w:hAnsi="宋体" w:cs="宋体"/>
          <w:color w:val="auto"/>
          <w:szCs w:val="21"/>
          <w:highlight w:val="none"/>
        </w:rPr>
        <w:t>省级及以上建设行政主管部门颁发的安全生产许可证；在人员、设备、资金等方面具备相应的施工能力。</w:t>
      </w:r>
    </w:p>
    <w:p w14:paraId="495939C8">
      <w:pPr>
        <w:widowControl/>
        <w:spacing w:line="440" w:lineRule="exact"/>
        <w:ind w:firstLine="420" w:firstLineChars="200"/>
        <w:rPr>
          <w:rFonts w:hint="eastAsia" w:ascii="宋体" w:hAnsi="宋体" w:cs="宋体"/>
          <w:color w:val="auto"/>
          <w:spacing w:val="1"/>
          <w:sz w:val="21"/>
          <w:szCs w:val="21"/>
          <w:highlight w:val="none"/>
          <w:lang w:eastAsia="zh-CN"/>
        </w:rPr>
      </w:pPr>
      <w:r>
        <w:rPr>
          <w:rFonts w:hint="eastAsia" w:ascii="宋体" w:hAnsi="宋体" w:cs="宋体"/>
          <w:color w:val="auto"/>
          <w:szCs w:val="21"/>
          <w:highlight w:val="none"/>
        </w:rPr>
        <w:t>3.4拟投入本工程的</w:t>
      </w:r>
      <w:r>
        <w:rPr>
          <w:rFonts w:hint="eastAsia" w:ascii="宋体" w:hAnsi="宋体" w:cs="宋体"/>
          <w:color w:val="auto"/>
          <w:szCs w:val="21"/>
          <w:highlight w:val="none"/>
          <w:lang w:eastAsia="zh-CN"/>
        </w:rPr>
        <w:t>技术负责人</w:t>
      </w:r>
      <w:r>
        <w:rPr>
          <w:rFonts w:hint="eastAsia" w:ascii="宋体" w:hAnsi="宋体" w:eastAsia="宋体" w:cs="宋体"/>
          <w:color w:val="auto"/>
          <w:spacing w:val="1"/>
          <w:sz w:val="21"/>
          <w:szCs w:val="21"/>
          <w:highlight w:val="none"/>
          <w:lang w:eastAsia="zh-CN"/>
        </w:rPr>
        <w:t>具有工程师及以上职称</w:t>
      </w:r>
      <w:r>
        <w:rPr>
          <w:rFonts w:hint="eastAsia" w:ascii="宋体" w:hAnsi="宋体" w:cs="宋体"/>
          <w:color w:val="auto"/>
          <w:spacing w:val="1"/>
          <w:sz w:val="21"/>
          <w:szCs w:val="21"/>
          <w:highlight w:val="none"/>
          <w:lang w:eastAsia="zh-CN"/>
        </w:rPr>
        <w:t>。</w:t>
      </w:r>
    </w:p>
    <w:p w14:paraId="68931193">
      <w:pPr>
        <w:widowControl/>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3.5</w:t>
      </w:r>
      <w:r>
        <w:rPr>
          <w:rFonts w:hint="eastAsia" w:ascii="宋体" w:hAnsi="宋体" w:cs="宋体"/>
          <w:color w:val="auto"/>
          <w:szCs w:val="21"/>
          <w:highlight w:val="none"/>
        </w:rPr>
        <w:t>项目经理持有二级或二级以上注册建造师证书，专业是建筑工程专业（以建造师注册证书中“专业类别”栏所填写的专业为准）；项目经理持有省级或省级以上行政主管部门颁发的有效安全生产考核合格证（“三类人员”B 类证书），项目经理无在建工程。</w:t>
      </w:r>
    </w:p>
    <w:p w14:paraId="052088BE">
      <w:pPr>
        <w:widowControl/>
        <w:spacing w:line="440" w:lineRule="exact"/>
        <w:ind w:firstLine="420" w:firstLineChars="200"/>
        <w:rPr>
          <w:rFonts w:hint="default"/>
          <w:color w:val="auto"/>
          <w:highlight w:val="none"/>
          <w:lang w:val="en-US"/>
        </w:rPr>
      </w:pPr>
      <w:r>
        <w:rPr>
          <w:rFonts w:hint="eastAsia" w:ascii="宋体" w:hAnsi="宋体" w:cs="宋体"/>
          <w:color w:val="auto"/>
          <w:szCs w:val="21"/>
          <w:highlight w:val="none"/>
          <w:lang w:val="en-US" w:eastAsia="zh-CN"/>
        </w:rPr>
        <w:t>3.6</w:t>
      </w:r>
      <w:r>
        <w:rPr>
          <w:rFonts w:hint="eastAsia" w:ascii="宋体" w:hAnsi="宋体" w:cs="宋体"/>
          <w:color w:val="auto"/>
          <w:szCs w:val="21"/>
          <w:highlight w:val="none"/>
        </w:rPr>
        <w:t>拟投入本项目的专职安全生产管理人员须具备有效的安全生产考核合格证书（C类），人数符合住房和城乡建设部《建筑施工企业安全生产管理机构设置及专职安全生产管理人员配备办法》（建质〔2008〕91号）的规定不少于1人。</w:t>
      </w:r>
    </w:p>
    <w:p w14:paraId="4C2A8956">
      <w:pPr>
        <w:spacing w:line="360" w:lineRule="auto"/>
        <w:ind w:firstLine="354" w:firstLineChars="147"/>
        <w:rPr>
          <w:rFonts w:hint="eastAsia" w:ascii="黑体" w:hAnsi="黑体" w:eastAsia="黑体"/>
          <w:b/>
          <w:color w:val="auto"/>
          <w:sz w:val="24"/>
          <w:highlight w:val="none"/>
        </w:rPr>
      </w:pPr>
      <w:bookmarkStart w:id="30" w:name="_Toc71365907"/>
      <w:r>
        <w:rPr>
          <w:rFonts w:hint="eastAsia" w:ascii="黑体" w:hAnsi="黑体" w:eastAsia="黑体"/>
          <w:b/>
          <w:color w:val="auto"/>
          <w:sz w:val="24"/>
          <w:highlight w:val="none"/>
        </w:rPr>
        <w:t>三、获取竞争性磋商文件</w:t>
      </w:r>
      <w:bookmarkEnd w:id="25"/>
      <w:bookmarkEnd w:id="26"/>
      <w:bookmarkEnd w:id="27"/>
      <w:bookmarkEnd w:id="28"/>
      <w:bookmarkEnd w:id="29"/>
      <w:bookmarkEnd w:id="30"/>
    </w:p>
    <w:p w14:paraId="16E37772">
      <w:pPr>
        <w:spacing w:line="300" w:lineRule="auto"/>
        <w:ind w:firstLine="420" w:firstLineChars="200"/>
        <w:rPr>
          <w:rFonts w:hint="eastAsia" w:ascii="宋体" w:hAnsi="宋体" w:cs="宋体"/>
          <w:bCs/>
          <w:color w:val="auto"/>
          <w:kern w:val="0"/>
          <w:szCs w:val="21"/>
          <w:highlight w:val="none"/>
        </w:rPr>
      </w:pPr>
      <w:bookmarkStart w:id="31" w:name="_Toc35393801"/>
      <w:bookmarkStart w:id="32" w:name="_Toc28359092"/>
      <w:bookmarkStart w:id="33" w:name="_Toc28359015"/>
      <w:bookmarkStart w:id="34" w:name="_Toc44229881"/>
      <w:bookmarkStart w:id="35" w:name="_Toc35393632"/>
      <w:r>
        <w:rPr>
          <w:rFonts w:hint="eastAsia" w:ascii="宋体" w:hAnsi="宋体" w:cs="宋体"/>
          <w:bCs/>
          <w:color w:val="auto"/>
          <w:kern w:val="0"/>
          <w:szCs w:val="21"/>
          <w:highlight w:val="none"/>
        </w:rPr>
        <w:t>时间：</w:t>
      </w:r>
      <w:r>
        <w:rPr>
          <w:rFonts w:ascii="宋体" w:hAnsi="宋体"/>
          <w:bCs/>
          <w:color w:val="auto"/>
          <w:szCs w:val="21"/>
          <w:highlight w:val="none"/>
        </w:rPr>
        <w:t>202</w:t>
      </w:r>
      <w:r>
        <w:rPr>
          <w:rFonts w:hint="eastAsia" w:ascii="宋体" w:hAnsi="宋体"/>
          <w:bCs/>
          <w:color w:val="auto"/>
          <w:szCs w:val="21"/>
          <w:highlight w:val="none"/>
        </w:rPr>
        <w:t>5年</w:t>
      </w:r>
      <w:r>
        <w:rPr>
          <w:rFonts w:hint="eastAsia" w:ascii="宋体" w:hAnsi="宋体"/>
          <w:bCs/>
          <w:color w:val="auto"/>
          <w:szCs w:val="21"/>
          <w:highlight w:val="none"/>
          <w:lang w:val="en-US" w:eastAsia="zh-CN"/>
        </w:rPr>
        <w:t>11</w:t>
      </w:r>
      <w:r>
        <w:rPr>
          <w:rFonts w:hint="eastAsia" w:ascii="宋体" w:hAnsi="宋体"/>
          <w:bCs/>
          <w:color w:val="auto"/>
          <w:szCs w:val="21"/>
          <w:highlight w:val="none"/>
        </w:rPr>
        <w:t>月</w:t>
      </w:r>
      <w:r>
        <w:rPr>
          <w:rFonts w:hint="eastAsia" w:ascii="宋体" w:hAnsi="宋体"/>
          <w:bCs/>
          <w:color w:val="auto"/>
          <w:szCs w:val="21"/>
          <w:highlight w:val="none"/>
          <w:lang w:val="en-US" w:eastAsia="zh-CN"/>
        </w:rPr>
        <w:t>26</w:t>
      </w:r>
      <w:r>
        <w:rPr>
          <w:rFonts w:hint="eastAsia" w:ascii="宋体" w:hAnsi="宋体"/>
          <w:bCs/>
          <w:color w:val="auto"/>
          <w:szCs w:val="21"/>
          <w:highlight w:val="none"/>
        </w:rPr>
        <w:t>日</w:t>
      </w:r>
      <w:r>
        <w:rPr>
          <w:rFonts w:hint="eastAsia" w:ascii="宋体" w:hAnsi="宋体" w:cs="宋体"/>
          <w:bCs/>
          <w:color w:val="auto"/>
          <w:kern w:val="0"/>
          <w:szCs w:val="21"/>
          <w:highlight w:val="none"/>
        </w:rPr>
        <w:t>至</w:t>
      </w:r>
      <w:r>
        <w:rPr>
          <w:rFonts w:ascii="宋体" w:hAnsi="宋体"/>
          <w:bCs/>
          <w:color w:val="auto"/>
          <w:szCs w:val="21"/>
          <w:highlight w:val="none"/>
        </w:rPr>
        <w:t>202</w:t>
      </w:r>
      <w:r>
        <w:rPr>
          <w:rFonts w:hint="eastAsia" w:ascii="宋体" w:hAnsi="宋体"/>
          <w:bCs/>
          <w:color w:val="auto"/>
          <w:szCs w:val="21"/>
          <w:highlight w:val="none"/>
        </w:rPr>
        <w:t>5年</w:t>
      </w:r>
      <w:r>
        <w:rPr>
          <w:rFonts w:hint="eastAsia" w:ascii="宋体" w:hAnsi="宋体"/>
          <w:bCs/>
          <w:color w:val="auto"/>
          <w:szCs w:val="21"/>
          <w:highlight w:val="none"/>
          <w:lang w:val="en-US" w:eastAsia="zh-CN"/>
        </w:rPr>
        <w:t>12</w:t>
      </w:r>
      <w:r>
        <w:rPr>
          <w:rFonts w:hint="eastAsia" w:ascii="宋体" w:hAnsi="宋体"/>
          <w:bCs/>
          <w:color w:val="auto"/>
          <w:szCs w:val="21"/>
          <w:highlight w:val="none"/>
        </w:rPr>
        <w:t>月</w:t>
      </w:r>
      <w:r>
        <w:rPr>
          <w:rFonts w:hint="eastAsia" w:ascii="宋体" w:hAnsi="宋体"/>
          <w:bCs/>
          <w:color w:val="auto"/>
          <w:szCs w:val="21"/>
          <w:highlight w:val="none"/>
          <w:lang w:val="en-US" w:eastAsia="zh-CN"/>
        </w:rPr>
        <w:t>3</w:t>
      </w:r>
      <w:r>
        <w:rPr>
          <w:rFonts w:hint="eastAsia" w:ascii="宋体" w:hAnsi="宋体"/>
          <w:bCs/>
          <w:color w:val="auto"/>
          <w:szCs w:val="21"/>
          <w:highlight w:val="none"/>
        </w:rPr>
        <w:t>日</w:t>
      </w:r>
      <w:r>
        <w:rPr>
          <w:rFonts w:hint="eastAsia" w:ascii="宋体" w:hAnsi="宋体" w:cs="宋体"/>
          <w:bCs/>
          <w:color w:val="auto"/>
          <w:kern w:val="0"/>
          <w:szCs w:val="21"/>
          <w:highlight w:val="none"/>
        </w:rPr>
        <w:t>，</w:t>
      </w:r>
      <w:r>
        <w:rPr>
          <w:rFonts w:hint="eastAsia" w:ascii="宋体" w:hAnsi="宋体" w:cs="宋体"/>
          <w:color w:val="auto"/>
          <w:szCs w:val="21"/>
          <w:highlight w:val="none"/>
        </w:rPr>
        <w:t>每天上午00：00至12：00，下午12：00至23：59（北京时间，法定节假日除外）</w:t>
      </w:r>
    </w:p>
    <w:p w14:paraId="2F6A03AB">
      <w:pPr>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地点：广西政府采购云平台（https://www.gcy.zfcg.gxzf.gov.cn）</w:t>
      </w:r>
    </w:p>
    <w:p w14:paraId="111B73E4">
      <w:pPr>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使用账号登录或者使用CA登录广西政府采购云平台（https://www.gcy.zfcg.gxzf.gov.cn）-进入“项目采购”应用，在获取采购文件菜单中选择项目，获取竞争性磋商文件。</w:t>
      </w:r>
      <w:r>
        <w:rPr>
          <w:rFonts w:hint="eastAsia" w:ascii="宋体" w:hAnsi="宋体"/>
          <w:color w:val="auto"/>
          <w:szCs w:val="21"/>
          <w:highlight w:val="none"/>
        </w:rPr>
        <w:t>电子</w:t>
      </w:r>
      <w:r>
        <w:rPr>
          <w:rFonts w:hint="eastAsia"/>
          <w:color w:val="auto"/>
          <w:highlight w:val="none"/>
        </w:rPr>
        <w:t>响应文件</w:t>
      </w:r>
      <w:r>
        <w:rPr>
          <w:rFonts w:hint="eastAsia" w:ascii="宋体" w:hAnsi="宋体"/>
          <w:color w:val="auto"/>
          <w:szCs w:val="21"/>
          <w:highlight w:val="none"/>
        </w:rPr>
        <w:t>制作需要基于广西政府采购云平台获取的磋商文件编制，</w:t>
      </w:r>
      <w:r>
        <w:rPr>
          <w:rFonts w:hint="eastAsia" w:ascii="宋体" w:hAnsi="宋体" w:cs="宋体"/>
          <w:bCs/>
          <w:color w:val="auto"/>
          <w:kern w:val="0"/>
          <w:szCs w:val="21"/>
          <w:highlight w:val="none"/>
        </w:rPr>
        <w:t>通过其他方式获取磋商文件的，将有可能导致供应商无法在广西政府采购云平台编制及上传响应文件。</w:t>
      </w:r>
    </w:p>
    <w:p w14:paraId="6539B137">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kern w:val="0"/>
          <w:szCs w:val="21"/>
          <w:highlight w:val="none"/>
        </w:rPr>
        <w:t>售价：</w:t>
      </w:r>
      <w:r>
        <w:rPr>
          <w:rFonts w:hint="eastAsia" w:ascii="宋体" w:hAnsi="宋体" w:cs="宋体"/>
          <w:color w:val="auto"/>
          <w:szCs w:val="21"/>
          <w:highlight w:val="none"/>
        </w:rPr>
        <w:t>0元</w:t>
      </w:r>
    </w:p>
    <w:p w14:paraId="71507E71">
      <w:pPr>
        <w:spacing w:line="360" w:lineRule="auto"/>
        <w:ind w:firstLine="354" w:firstLineChars="147"/>
        <w:rPr>
          <w:rFonts w:hint="eastAsia" w:ascii="黑体" w:hAnsi="黑体" w:eastAsia="黑体"/>
          <w:b/>
          <w:color w:val="auto"/>
          <w:sz w:val="24"/>
          <w:highlight w:val="none"/>
        </w:rPr>
      </w:pPr>
      <w:bookmarkStart w:id="36" w:name="_Toc71365908"/>
      <w:r>
        <w:rPr>
          <w:rFonts w:hint="eastAsia" w:ascii="黑体" w:hAnsi="黑体" w:eastAsia="黑体"/>
          <w:b/>
          <w:color w:val="auto"/>
          <w:sz w:val="24"/>
          <w:highlight w:val="none"/>
        </w:rPr>
        <w:t>四、响应文件提交</w:t>
      </w:r>
      <w:bookmarkEnd w:id="31"/>
      <w:bookmarkEnd w:id="32"/>
      <w:bookmarkEnd w:id="33"/>
      <w:bookmarkEnd w:id="34"/>
      <w:bookmarkEnd w:id="35"/>
      <w:bookmarkEnd w:id="36"/>
    </w:p>
    <w:p w14:paraId="380FB1BB">
      <w:pPr>
        <w:spacing w:line="360" w:lineRule="auto"/>
        <w:ind w:firstLine="420" w:firstLineChars="200"/>
        <w:rPr>
          <w:rFonts w:hint="eastAsia" w:ascii="宋体" w:hAnsi="宋体"/>
          <w:bCs/>
          <w:color w:val="auto"/>
          <w:szCs w:val="21"/>
          <w:highlight w:val="none"/>
        </w:rPr>
      </w:pPr>
      <w:bookmarkStart w:id="37" w:name="_Toc44229882"/>
      <w:bookmarkStart w:id="38" w:name="_Toc28359093"/>
      <w:bookmarkStart w:id="39" w:name="_Toc35393633"/>
      <w:bookmarkStart w:id="40" w:name="_Toc35393802"/>
      <w:bookmarkStart w:id="41" w:name="_Toc28359016"/>
      <w:r>
        <w:rPr>
          <w:rFonts w:hint="eastAsia" w:ascii="宋体" w:hAnsi="宋体"/>
          <w:color w:val="auto"/>
          <w:szCs w:val="21"/>
          <w:highlight w:val="none"/>
        </w:rPr>
        <w:t>截止时间：</w:t>
      </w:r>
      <w:r>
        <w:rPr>
          <w:rFonts w:ascii="宋体" w:hAnsi="宋体"/>
          <w:bCs/>
          <w:color w:val="auto"/>
          <w:szCs w:val="21"/>
          <w:highlight w:val="none"/>
        </w:rPr>
        <w:t>202</w:t>
      </w:r>
      <w:r>
        <w:rPr>
          <w:rFonts w:hint="eastAsia" w:ascii="宋体" w:hAnsi="宋体"/>
          <w:bCs/>
          <w:color w:val="auto"/>
          <w:szCs w:val="21"/>
          <w:highlight w:val="none"/>
        </w:rPr>
        <w:t>5年</w:t>
      </w:r>
      <w:r>
        <w:rPr>
          <w:rFonts w:hint="eastAsia" w:ascii="宋体" w:hAnsi="宋体"/>
          <w:bCs/>
          <w:color w:val="auto"/>
          <w:szCs w:val="21"/>
          <w:highlight w:val="none"/>
          <w:lang w:val="en-US" w:eastAsia="zh-CN"/>
        </w:rPr>
        <w:t>12</w:t>
      </w:r>
      <w:r>
        <w:rPr>
          <w:rFonts w:hint="eastAsia" w:ascii="宋体" w:hAnsi="宋体"/>
          <w:bCs/>
          <w:color w:val="auto"/>
          <w:szCs w:val="21"/>
          <w:highlight w:val="none"/>
        </w:rPr>
        <w:t>月</w:t>
      </w:r>
      <w:r>
        <w:rPr>
          <w:rFonts w:hint="eastAsia" w:ascii="宋体" w:hAnsi="宋体"/>
          <w:bCs/>
          <w:color w:val="auto"/>
          <w:szCs w:val="21"/>
          <w:highlight w:val="none"/>
          <w:lang w:val="en-US" w:eastAsia="zh-CN"/>
        </w:rPr>
        <w:t>8</w:t>
      </w:r>
      <w:r>
        <w:rPr>
          <w:rFonts w:hint="eastAsia" w:ascii="宋体" w:hAnsi="宋体"/>
          <w:bCs/>
          <w:color w:val="auto"/>
          <w:szCs w:val="21"/>
          <w:highlight w:val="none"/>
        </w:rPr>
        <w:t>日9时0</w:t>
      </w:r>
      <w:r>
        <w:rPr>
          <w:rFonts w:ascii="宋体" w:hAnsi="宋体"/>
          <w:bCs/>
          <w:color w:val="auto"/>
          <w:szCs w:val="21"/>
          <w:highlight w:val="none"/>
        </w:rPr>
        <w:t>0</w:t>
      </w:r>
      <w:r>
        <w:rPr>
          <w:rFonts w:hint="eastAsia" w:ascii="宋体" w:hAnsi="宋体"/>
          <w:bCs/>
          <w:color w:val="auto"/>
          <w:szCs w:val="21"/>
          <w:highlight w:val="none"/>
        </w:rPr>
        <w:t>分（北京时间）</w:t>
      </w:r>
    </w:p>
    <w:p w14:paraId="4D22365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地点：广西政府采购云平台</w:t>
      </w:r>
      <w:r>
        <w:rPr>
          <w:rFonts w:hint="eastAsia" w:ascii="宋体" w:hAnsi="宋体" w:cs="宋体"/>
          <w:bCs/>
          <w:color w:val="auto"/>
          <w:kern w:val="0"/>
          <w:szCs w:val="21"/>
          <w:highlight w:val="none"/>
        </w:rPr>
        <w:t>（https://www.gcy.zfcg.gxzf.gov.cn）</w:t>
      </w:r>
    </w:p>
    <w:p w14:paraId="348C690D">
      <w:pPr>
        <w:spacing w:line="360" w:lineRule="auto"/>
        <w:ind w:firstLine="354" w:firstLineChars="147"/>
        <w:rPr>
          <w:rFonts w:hint="eastAsia" w:ascii="黑体" w:hAnsi="黑体" w:eastAsia="黑体"/>
          <w:b/>
          <w:color w:val="auto"/>
          <w:sz w:val="24"/>
          <w:highlight w:val="none"/>
        </w:rPr>
      </w:pPr>
      <w:bookmarkStart w:id="42" w:name="_Toc71365909"/>
      <w:r>
        <w:rPr>
          <w:rFonts w:hint="eastAsia" w:ascii="黑体" w:hAnsi="黑体" w:eastAsia="黑体"/>
          <w:b/>
          <w:color w:val="auto"/>
          <w:sz w:val="24"/>
          <w:highlight w:val="none"/>
        </w:rPr>
        <w:t>五、响应文件开启</w:t>
      </w:r>
      <w:bookmarkEnd w:id="37"/>
      <w:bookmarkEnd w:id="38"/>
      <w:bookmarkEnd w:id="39"/>
      <w:bookmarkEnd w:id="40"/>
      <w:bookmarkEnd w:id="41"/>
      <w:bookmarkEnd w:id="42"/>
    </w:p>
    <w:p w14:paraId="09A6D458">
      <w:pPr>
        <w:spacing w:line="360" w:lineRule="auto"/>
        <w:ind w:firstLine="420" w:firstLineChars="200"/>
        <w:rPr>
          <w:rFonts w:hint="eastAsia" w:ascii="宋体" w:hAnsi="宋体"/>
          <w:bCs/>
          <w:color w:val="auto"/>
          <w:szCs w:val="21"/>
          <w:highlight w:val="none"/>
          <w:u w:val="singl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时间：</w:t>
      </w:r>
      <w:r>
        <w:rPr>
          <w:rFonts w:ascii="宋体" w:hAnsi="宋体"/>
          <w:bCs/>
          <w:color w:val="auto"/>
          <w:szCs w:val="21"/>
          <w:highlight w:val="none"/>
        </w:rPr>
        <w:t>202</w:t>
      </w:r>
      <w:r>
        <w:rPr>
          <w:rFonts w:hint="eastAsia" w:ascii="宋体" w:hAnsi="宋体"/>
          <w:bCs/>
          <w:color w:val="auto"/>
          <w:szCs w:val="21"/>
          <w:highlight w:val="none"/>
        </w:rPr>
        <w:t>5年</w:t>
      </w:r>
      <w:r>
        <w:rPr>
          <w:rFonts w:hint="eastAsia" w:ascii="宋体" w:hAnsi="宋体"/>
          <w:bCs/>
          <w:color w:val="auto"/>
          <w:szCs w:val="21"/>
          <w:highlight w:val="none"/>
          <w:lang w:val="en-US" w:eastAsia="zh-CN"/>
        </w:rPr>
        <w:t>12</w:t>
      </w:r>
      <w:r>
        <w:rPr>
          <w:rFonts w:hint="eastAsia" w:ascii="宋体" w:hAnsi="宋体"/>
          <w:bCs/>
          <w:color w:val="auto"/>
          <w:szCs w:val="21"/>
          <w:highlight w:val="none"/>
        </w:rPr>
        <w:t>月</w:t>
      </w:r>
      <w:r>
        <w:rPr>
          <w:rFonts w:hint="eastAsia" w:ascii="宋体" w:hAnsi="宋体"/>
          <w:bCs/>
          <w:color w:val="auto"/>
          <w:szCs w:val="21"/>
          <w:highlight w:val="none"/>
          <w:lang w:val="en-US" w:eastAsia="zh-CN"/>
        </w:rPr>
        <w:t>8</w:t>
      </w:r>
      <w:r>
        <w:rPr>
          <w:rFonts w:hint="eastAsia" w:ascii="宋体" w:hAnsi="宋体"/>
          <w:bCs/>
          <w:color w:val="auto"/>
          <w:szCs w:val="21"/>
          <w:highlight w:val="none"/>
        </w:rPr>
        <w:t>日9时0</w:t>
      </w:r>
      <w:r>
        <w:rPr>
          <w:rFonts w:ascii="宋体" w:hAnsi="宋体"/>
          <w:bCs/>
          <w:color w:val="auto"/>
          <w:szCs w:val="21"/>
          <w:highlight w:val="none"/>
        </w:rPr>
        <w:t>0</w:t>
      </w:r>
      <w:r>
        <w:rPr>
          <w:rFonts w:hint="eastAsia" w:ascii="宋体" w:hAnsi="宋体"/>
          <w:bCs/>
          <w:color w:val="auto"/>
          <w:szCs w:val="21"/>
          <w:highlight w:val="none"/>
        </w:rPr>
        <w:t>分（北京时间）</w:t>
      </w:r>
    </w:p>
    <w:p w14:paraId="602CE56B">
      <w:pPr>
        <w:spacing w:line="360" w:lineRule="auto"/>
        <w:ind w:firstLine="420" w:firstLineChars="200"/>
        <w:rPr>
          <w:rFonts w:hint="eastAsia" w:ascii="宋体" w:hAnsi="宋体"/>
          <w:bCs/>
          <w:color w:val="auto"/>
          <w:szCs w:val="21"/>
          <w:highlight w:val="none"/>
          <w:u w:val="singl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地点：广西政府采购云平台</w:t>
      </w:r>
      <w:r>
        <w:rPr>
          <w:rFonts w:hint="eastAsia" w:ascii="宋体" w:hAnsi="宋体" w:cs="宋体"/>
          <w:bCs/>
          <w:color w:val="auto"/>
          <w:kern w:val="0"/>
          <w:szCs w:val="21"/>
          <w:highlight w:val="none"/>
        </w:rPr>
        <w:t>（https://www.gcy.zfcg.gxzf.gov.cn）</w:t>
      </w:r>
    </w:p>
    <w:p w14:paraId="356A3594">
      <w:pPr>
        <w:spacing w:line="360" w:lineRule="auto"/>
        <w:ind w:firstLine="354" w:firstLineChars="147"/>
        <w:rPr>
          <w:rFonts w:hint="eastAsia" w:ascii="黑体" w:hAnsi="黑体" w:eastAsia="黑体"/>
          <w:b/>
          <w:color w:val="auto"/>
          <w:sz w:val="24"/>
          <w:highlight w:val="none"/>
        </w:rPr>
      </w:pPr>
      <w:bookmarkStart w:id="43" w:name="_Toc28359017"/>
      <w:bookmarkStart w:id="44" w:name="_Toc44229883"/>
      <w:bookmarkStart w:id="45" w:name="_Toc35393803"/>
      <w:bookmarkStart w:id="46" w:name="_Toc28359094"/>
      <w:bookmarkStart w:id="47" w:name="_Toc35393634"/>
      <w:bookmarkStart w:id="48" w:name="_Toc71365910"/>
      <w:r>
        <w:rPr>
          <w:rFonts w:hint="eastAsia" w:ascii="黑体" w:hAnsi="黑体" w:eastAsia="黑体"/>
          <w:b/>
          <w:color w:val="auto"/>
          <w:sz w:val="24"/>
          <w:highlight w:val="none"/>
        </w:rPr>
        <w:t>六、公告期限</w:t>
      </w:r>
      <w:bookmarkEnd w:id="43"/>
      <w:bookmarkEnd w:id="44"/>
      <w:bookmarkEnd w:id="45"/>
      <w:bookmarkEnd w:id="46"/>
      <w:bookmarkEnd w:id="47"/>
      <w:bookmarkEnd w:id="48"/>
    </w:p>
    <w:p w14:paraId="46964455">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w:t>
      </w:r>
    </w:p>
    <w:p w14:paraId="0DC85B5B">
      <w:pPr>
        <w:spacing w:line="360" w:lineRule="auto"/>
        <w:ind w:firstLine="354" w:firstLineChars="147"/>
        <w:rPr>
          <w:rFonts w:hint="eastAsia" w:ascii="黑体" w:hAnsi="黑体" w:eastAsia="黑体"/>
          <w:b/>
          <w:color w:val="auto"/>
          <w:sz w:val="24"/>
          <w:highlight w:val="none"/>
        </w:rPr>
      </w:pPr>
      <w:bookmarkStart w:id="49" w:name="_Toc35393635"/>
      <w:bookmarkStart w:id="50" w:name="_Toc71365911"/>
      <w:bookmarkStart w:id="51" w:name="_Toc35393804"/>
      <w:bookmarkStart w:id="52" w:name="_Toc44229884"/>
      <w:r>
        <w:rPr>
          <w:rFonts w:hint="eastAsia" w:ascii="黑体" w:hAnsi="黑体" w:eastAsia="黑体"/>
          <w:b/>
          <w:color w:val="auto"/>
          <w:sz w:val="24"/>
          <w:highlight w:val="none"/>
        </w:rPr>
        <w:t>七、其他补充事宜</w:t>
      </w:r>
      <w:bookmarkEnd w:id="49"/>
      <w:bookmarkEnd w:id="50"/>
      <w:bookmarkEnd w:id="51"/>
      <w:bookmarkEnd w:id="52"/>
    </w:p>
    <w:p w14:paraId="5A6569CE">
      <w:pPr>
        <w:spacing w:line="350" w:lineRule="exact"/>
        <w:ind w:firstLine="420" w:firstLineChars="200"/>
        <w:rPr>
          <w:rFonts w:hint="eastAsia" w:ascii="宋体" w:hAnsi="宋体" w:cs="宋体"/>
          <w:color w:val="auto"/>
          <w:kern w:val="0"/>
          <w:szCs w:val="21"/>
          <w:highlight w:val="none"/>
        </w:rPr>
      </w:pPr>
      <w:bookmarkStart w:id="53" w:name="_Toc35393805"/>
      <w:bookmarkStart w:id="54" w:name="_Toc28359095"/>
      <w:bookmarkStart w:id="55" w:name="_Toc28359018"/>
      <w:bookmarkStart w:id="56" w:name="_Toc35393636"/>
      <w:bookmarkStart w:id="57" w:name="_Toc44229885"/>
      <w:r>
        <w:rPr>
          <w:rFonts w:hint="eastAsia" w:ascii="宋体" w:hAnsi="宋体" w:cs="宋体"/>
          <w:color w:val="auto"/>
          <w:kern w:val="0"/>
          <w:szCs w:val="21"/>
          <w:highlight w:val="none"/>
        </w:rPr>
        <w:t>1.磋商保证金：无</w:t>
      </w:r>
    </w:p>
    <w:p w14:paraId="7F98E311">
      <w:pPr>
        <w:spacing w:line="350" w:lineRule="exact"/>
        <w:ind w:firstLine="420" w:firstLineChars="200"/>
        <w:rPr>
          <w:rFonts w:hint="eastAsia" w:ascii="宋体" w:hAnsi="宋体" w:cs="宋体"/>
          <w:color w:val="auto"/>
          <w:kern w:val="0"/>
          <w:highlight w:val="none"/>
        </w:rPr>
      </w:pPr>
      <w:r>
        <w:rPr>
          <w:rFonts w:hint="eastAsia" w:ascii="宋体" w:hAnsi="宋体" w:cs="宋体"/>
          <w:color w:val="auto"/>
          <w:kern w:val="0"/>
          <w:szCs w:val="21"/>
          <w:highlight w:val="none"/>
        </w:rPr>
        <w:t>2.</w:t>
      </w:r>
      <w:r>
        <w:rPr>
          <w:rFonts w:hint="eastAsia" w:ascii="宋体" w:hAnsi="宋体" w:cs="宋体"/>
          <w:color w:val="auto"/>
          <w:kern w:val="0"/>
          <w:highlight w:val="none"/>
        </w:rPr>
        <w:t>本项目需要落实的政府采购政策：</w:t>
      </w:r>
    </w:p>
    <w:p w14:paraId="5F40FDB5">
      <w:pPr>
        <w:spacing w:line="35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71287CEF">
      <w:pPr>
        <w:spacing w:line="35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（2）政府采购促进残疾人就业政策。</w:t>
      </w:r>
    </w:p>
    <w:p w14:paraId="239BF7FA">
      <w:pPr>
        <w:spacing w:line="35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（3）政府采购支持监狱企业发展。</w:t>
      </w:r>
    </w:p>
    <w:p w14:paraId="07D60377">
      <w:pPr>
        <w:spacing w:line="35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3.网上查询地址</w:t>
      </w:r>
    </w:p>
    <w:p w14:paraId="384FB416">
      <w:pPr>
        <w:spacing w:line="35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http://www.ccgp.gov.cn（中国政府采购网）、http://zfcg.gxzf.gov.cn/（广西壮族自治区政府采购网）、http://zfcg.czj.gxgg.gov.cn/（贵港市政府采购网）、http://ggzy.jgswj.gxzf.gov.cn/ggggzy/全国公共资源交易平台（广西·贵港）</w:t>
      </w:r>
    </w:p>
    <w:p w14:paraId="64BC913F">
      <w:pPr>
        <w:spacing w:line="35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4.监督部门</w:t>
      </w:r>
    </w:p>
    <w:p w14:paraId="311D1540">
      <w:pPr>
        <w:spacing w:line="35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名    称：贵港市覃塘区财政局综合业务股</w:t>
      </w:r>
    </w:p>
    <w:p w14:paraId="43C4F94A">
      <w:pPr>
        <w:spacing w:line="35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电    话：0775-4721505</w:t>
      </w:r>
    </w:p>
    <w:p w14:paraId="769C58D5">
      <w:pPr>
        <w:spacing w:line="30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708D21F">
      <w:pPr>
        <w:spacing w:line="30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6.未被“信用中国”（www.creditchina.gov.cn）、中国政府采购网（www.ccgp.gov.cn）列入失信被执行人、重大税收违法失信主体、政府采购严重违法失信行为记录名单。</w:t>
      </w:r>
    </w:p>
    <w:p w14:paraId="5871DB15">
      <w:pPr>
        <w:spacing w:line="30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7.供应商竞标注意事项</w:t>
      </w:r>
    </w:p>
    <w:p w14:paraId="22EE9D15">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（1）本项目为全流程电子化采购项目，通过广西政府采购云平台（</w:t>
      </w:r>
      <w:r>
        <w:rPr>
          <w:rFonts w:hint="eastAsia" w:ascii="宋体" w:hAnsi="宋体"/>
          <w:color w:val="auto"/>
          <w:sz w:val="18"/>
          <w:szCs w:val="18"/>
          <w:highlight w:val="none"/>
        </w:rPr>
        <w:t>https：//www.gcy.zfcg.gxzf.gov.cn/</w:t>
      </w:r>
      <w:r>
        <w:rPr>
          <w:rFonts w:hint="eastAsia" w:ascii="宋体" w:hAnsi="宋体"/>
          <w:color w:val="auto"/>
          <w:szCs w:val="21"/>
          <w:highlight w:val="none"/>
        </w:rPr>
        <w:t>）实行在线电子竞标，供应商应按照本项目竞争性磋商文件和广西政府采购云平台的要求编制、加密后在提交响应文件截止时间前通过网络上传至广西政府采购云平台（加密的电子响应文件是指</w:t>
      </w:r>
      <w:r>
        <w:rPr>
          <w:rFonts w:hint="eastAsia"/>
          <w:color w:val="auto"/>
          <w:highlight w:val="none"/>
        </w:rPr>
        <w:t>后缀名为“jm</w:t>
      </w:r>
      <w:r>
        <w:rPr>
          <w:color w:val="auto"/>
          <w:highlight w:val="none"/>
        </w:rPr>
        <w:t>bs</w:t>
      </w:r>
      <w:r>
        <w:rPr>
          <w:rFonts w:hint="eastAsia"/>
          <w:color w:val="auto"/>
          <w:highlight w:val="none"/>
        </w:rPr>
        <w:t>”的文件</w:t>
      </w:r>
      <w:r>
        <w:rPr>
          <w:rFonts w:hint="eastAsia" w:ascii="宋体" w:hAnsi="宋体"/>
          <w:color w:val="auto"/>
          <w:szCs w:val="21"/>
          <w:highlight w:val="none"/>
        </w:rPr>
        <w:t>），</w:t>
      </w:r>
      <w:r>
        <w:rPr>
          <w:rFonts w:hint="eastAsia" w:ascii="宋体" w:hAnsi="宋体"/>
          <w:b/>
          <w:color w:val="auto"/>
          <w:szCs w:val="21"/>
          <w:highlight w:val="none"/>
        </w:rPr>
        <w:t>供应商在广西政府采购云平台提交电子响应文件时，请填写参加远程采购活动经办人联系方式。</w:t>
      </w:r>
      <w:r>
        <w:rPr>
          <w:rFonts w:hint="eastAsia" w:ascii="宋体" w:hAnsi="宋体"/>
          <w:color w:val="auto"/>
          <w:szCs w:val="21"/>
          <w:highlight w:val="none"/>
        </w:rPr>
        <w:t>供应商登录广西政府采购云平台，依次进入“服务中心－项目采购－操作流程－电子招投标－</w:t>
      </w:r>
      <w:r>
        <w:rPr>
          <w:rFonts w:hint="eastAsia"/>
          <w:color w:val="auto"/>
          <w:highlight w:val="none"/>
        </w:rPr>
        <w:t>政府采购项目电子交易管理操作指南－供应商</w:t>
      </w:r>
      <w:r>
        <w:rPr>
          <w:rFonts w:hint="eastAsia" w:ascii="宋体" w:hAnsi="宋体"/>
          <w:color w:val="auto"/>
          <w:szCs w:val="21"/>
          <w:highlight w:val="none"/>
        </w:rPr>
        <w:t>”查看电子竞标具体操作流程。</w:t>
      </w:r>
    </w:p>
    <w:p w14:paraId="370CEA0C">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如在操作过程中遇到问题或者需要技术支持，请致电客服热线：95763或者0771-3381253</w:t>
      </w:r>
      <w:r>
        <w:rPr>
          <w:rFonts w:hint="eastAsia" w:ascii="宋体" w:hAnsi="宋体"/>
          <w:color w:val="auto"/>
          <w:szCs w:val="21"/>
          <w:highlight w:val="none"/>
        </w:rPr>
        <w:t>）。</w:t>
      </w:r>
    </w:p>
    <w:p w14:paraId="057BA9C7">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742CDB7B">
      <w:pPr>
        <w:widowControl/>
        <w:spacing w:line="360" w:lineRule="auto"/>
        <w:ind w:firstLine="420" w:firstLineChars="200"/>
        <w:jc w:val="left"/>
        <w:rPr>
          <w:rFonts w:hint="eastAsia" w:ascii="宋体" w:hAnsi="宋体"/>
          <w:bCs/>
          <w:color w:val="auto"/>
          <w:szCs w:val="21"/>
          <w:highlight w:val="none"/>
        </w:rPr>
      </w:pPr>
      <w:r>
        <w:rPr>
          <w:rFonts w:hint="eastAsia" w:ascii="宋体" w:hAnsi="宋体"/>
          <w:color w:val="auto"/>
          <w:szCs w:val="21"/>
          <w:highlight w:val="none"/>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77ECF39E">
      <w:pPr>
        <w:spacing w:line="360" w:lineRule="auto"/>
        <w:ind w:firstLine="308" w:firstLineChars="147"/>
        <w:rPr>
          <w:rFonts w:hint="eastAsia" w:ascii="黑体" w:hAnsi="黑体" w:eastAsia="黑体"/>
          <w:b/>
          <w:color w:val="auto"/>
          <w:sz w:val="24"/>
          <w:highlight w:val="none"/>
        </w:rPr>
      </w:pPr>
      <w:r>
        <w:rPr>
          <w:rFonts w:hint="eastAsia" w:ascii="宋体" w:hAnsi="宋体"/>
          <w:bCs/>
          <w:color w:val="auto"/>
          <w:szCs w:val="21"/>
          <w:highlight w:val="none"/>
        </w:rPr>
        <w:t>（4）供应商需要在具备有摄像头及语音功能且互联网网络状况良好的电脑登录广西政府采购云平台远程开标大厅参与本次磋商，否则后果自负。</w:t>
      </w:r>
    </w:p>
    <w:p w14:paraId="584AF101">
      <w:pPr>
        <w:spacing w:line="360" w:lineRule="auto"/>
        <w:ind w:firstLine="354" w:firstLineChars="147"/>
        <w:rPr>
          <w:rFonts w:hint="eastAsia" w:ascii="黑体" w:hAnsi="黑体" w:eastAsia="黑体"/>
          <w:b/>
          <w:color w:val="auto"/>
          <w:sz w:val="24"/>
          <w:highlight w:val="none"/>
        </w:rPr>
      </w:pPr>
      <w:r>
        <w:rPr>
          <w:rFonts w:hint="eastAsia" w:ascii="黑体" w:hAnsi="黑体" w:eastAsia="黑体"/>
          <w:b/>
          <w:color w:val="auto"/>
          <w:sz w:val="24"/>
          <w:highlight w:val="none"/>
        </w:rPr>
        <w:t>八、凡对本次采购提出询问，请按</w:t>
      </w:r>
      <w:r>
        <w:rPr>
          <w:rFonts w:ascii="黑体" w:hAnsi="黑体" w:eastAsia="黑体"/>
          <w:b/>
          <w:color w:val="auto"/>
          <w:sz w:val="24"/>
          <w:highlight w:val="none"/>
        </w:rPr>
        <w:t>以下方式</w:t>
      </w:r>
      <w:r>
        <w:rPr>
          <w:rFonts w:hint="eastAsia" w:ascii="黑体" w:hAnsi="黑体" w:eastAsia="黑体"/>
          <w:b/>
          <w:color w:val="auto"/>
          <w:sz w:val="24"/>
          <w:highlight w:val="none"/>
        </w:rPr>
        <w:t>联系。</w:t>
      </w:r>
      <w:bookmarkEnd w:id="53"/>
      <w:bookmarkEnd w:id="54"/>
      <w:bookmarkEnd w:id="55"/>
      <w:bookmarkEnd w:id="56"/>
      <w:bookmarkEnd w:id="57"/>
    </w:p>
    <w:bookmarkEnd w:id="12"/>
    <w:p w14:paraId="4E0C8FE6">
      <w:pPr>
        <w:spacing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1.采购人信息</w:t>
      </w:r>
    </w:p>
    <w:p w14:paraId="52F950E8">
      <w:pPr>
        <w:spacing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名    称：</w:t>
      </w:r>
      <w:r>
        <w:rPr>
          <w:rFonts w:hint="eastAsia" w:ascii="宋体" w:hAnsi="宋体" w:cs="Arial"/>
          <w:color w:val="auto"/>
          <w:szCs w:val="21"/>
          <w:highlight w:val="none"/>
          <w:lang w:eastAsia="zh-CN"/>
        </w:rPr>
        <w:t>贵港市覃塘区东龙镇人民政府</w:t>
      </w:r>
      <w:r>
        <w:rPr>
          <w:rFonts w:hint="eastAsia" w:ascii="宋体" w:hAnsi="宋体" w:cs="Arial"/>
          <w:color w:val="auto"/>
          <w:szCs w:val="21"/>
          <w:highlight w:val="none"/>
        </w:rPr>
        <w:t>　</w:t>
      </w:r>
    </w:p>
    <w:p w14:paraId="41A1B2C4">
      <w:pPr>
        <w:spacing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 xml:space="preserve">地    址：贵港市覃塘区东龙镇振龙街46号  </w:t>
      </w:r>
    </w:p>
    <w:p w14:paraId="7353E4EA">
      <w:pPr>
        <w:spacing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项目联系人：黄杰</w:t>
      </w:r>
    </w:p>
    <w:p w14:paraId="7481CB6F">
      <w:pPr>
        <w:spacing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联系方式：0775-4662337</w:t>
      </w:r>
    </w:p>
    <w:p w14:paraId="326646DA">
      <w:pPr>
        <w:spacing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2.采购代理机构信息</w:t>
      </w:r>
    </w:p>
    <w:p w14:paraId="18B8F7D5">
      <w:pPr>
        <w:spacing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名    称：　云之龙咨询集团有限公司　</w:t>
      </w:r>
    </w:p>
    <w:p w14:paraId="0B0869AB">
      <w:pPr>
        <w:spacing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地　　址：广西贵港市港北区荷城路 1132 号华泰官邸1栋6楼</w:t>
      </w:r>
    </w:p>
    <w:p w14:paraId="5CCA7CF1">
      <w:pPr>
        <w:spacing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项目联系人：徐律、廖喜平</w:t>
      </w:r>
    </w:p>
    <w:p w14:paraId="5F280FC0">
      <w:pPr>
        <w:spacing w:line="360" w:lineRule="auto"/>
        <w:ind w:firstLine="420" w:firstLineChars="200"/>
        <w:rPr>
          <w:rFonts w:ascii="方正小标宋简体" w:eastAsia="方正小标宋简体"/>
          <w:color w:val="auto"/>
          <w:sz w:val="32"/>
          <w:szCs w:val="32"/>
          <w:highlight w:val="none"/>
        </w:rPr>
      </w:pPr>
      <w:r>
        <w:rPr>
          <w:rFonts w:hint="eastAsia" w:ascii="宋体" w:hAnsi="宋体" w:cs="Arial"/>
          <w:color w:val="auto"/>
          <w:szCs w:val="21"/>
          <w:highlight w:val="none"/>
        </w:rPr>
        <w:t>项目联系方式： 0775-4565100、4569690</w:t>
      </w:r>
      <w:r>
        <w:rPr>
          <w:rFonts w:ascii="宋体" w:hAnsi="宋体" w:cs="Arial"/>
          <w:color w:val="auto"/>
          <w:szCs w:val="21"/>
          <w:highlight w:val="none"/>
        </w:rPr>
        <w:br w:type="page"/>
      </w:r>
    </w:p>
    <w:p w14:paraId="1EF12FAA">
      <w:pPr>
        <w:pStyle w:val="3"/>
        <w:spacing w:before="300" w:after="300" w:line="360" w:lineRule="auto"/>
        <w:jc w:val="center"/>
        <w:rPr>
          <w:color w:val="auto"/>
          <w:highlight w:val="none"/>
        </w:rPr>
      </w:pPr>
      <w:bookmarkStart w:id="58" w:name="_Toc74323457"/>
      <w:r>
        <w:rPr>
          <w:rFonts w:hint="eastAsia"/>
          <w:color w:val="auto"/>
          <w:highlight w:val="none"/>
        </w:rPr>
        <w:t>第二章供应商须知</w:t>
      </w:r>
      <w:bookmarkEnd w:id="58"/>
    </w:p>
    <w:p w14:paraId="25BE4A5A">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供应商须知前附表</w:t>
      </w:r>
    </w:p>
    <w:p w14:paraId="10371E03">
      <w:pPr>
        <w:spacing w:line="400" w:lineRule="exact"/>
        <w:jc w:val="center"/>
        <w:rPr>
          <w:rFonts w:hint="eastAsia" w:ascii="宋体" w:hAnsi="宋体"/>
          <w:b/>
          <w:color w:val="auto"/>
          <w:sz w:val="32"/>
          <w:szCs w:val="32"/>
          <w:highlight w:val="none"/>
        </w:rPr>
      </w:pPr>
    </w:p>
    <w:tbl>
      <w:tblPr>
        <w:tblStyle w:val="43"/>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40D07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2D871F39">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7912" w:type="dxa"/>
          </w:tcPr>
          <w:p w14:paraId="33C5A826">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内    容</w:t>
            </w:r>
          </w:p>
        </w:tc>
      </w:tr>
      <w:tr w14:paraId="225E4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85EC4E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7912" w:type="dxa"/>
            <w:vAlign w:val="center"/>
          </w:tcPr>
          <w:p w14:paraId="06B562F6">
            <w:pPr>
              <w:spacing w:line="360" w:lineRule="auto"/>
              <w:rPr>
                <w:rFonts w:hint="eastAsia" w:ascii="宋体" w:hAnsi="宋体"/>
                <w:color w:val="auto"/>
                <w:szCs w:val="21"/>
                <w:highlight w:val="none"/>
              </w:rPr>
            </w:pPr>
            <w:r>
              <w:rPr>
                <w:rFonts w:hint="eastAsia" w:ascii="宋体" w:hAnsi="宋体" w:cs="宋体"/>
                <w:bCs/>
                <w:color w:val="auto"/>
                <w:szCs w:val="21"/>
                <w:highlight w:val="none"/>
              </w:rPr>
              <w:t>1.供应商的资格条件</w:t>
            </w:r>
            <w:r>
              <w:rPr>
                <w:rFonts w:hint="eastAsia" w:ascii="宋体" w:hAnsi="宋体" w:cs="宋体"/>
                <w:color w:val="auto"/>
                <w:szCs w:val="21"/>
                <w:highlight w:val="none"/>
              </w:rPr>
              <w:t>：详见竞争性磋商公告</w:t>
            </w:r>
          </w:p>
          <w:p w14:paraId="77A226F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出现下列情形之一的，不得参加政府采购活动：</w:t>
            </w:r>
          </w:p>
          <w:p w14:paraId="22BCF8D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6A4264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0CBB5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5D745A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7912" w:type="dxa"/>
            <w:vAlign w:val="center"/>
          </w:tcPr>
          <w:p w14:paraId="7E97483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是否接受联合体竞标: 否</w:t>
            </w:r>
          </w:p>
        </w:tc>
      </w:tr>
      <w:tr w14:paraId="2EC5B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B13BF0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6.2</w:t>
            </w:r>
          </w:p>
        </w:tc>
        <w:tc>
          <w:tcPr>
            <w:tcW w:w="7912" w:type="dxa"/>
            <w:vAlign w:val="center"/>
          </w:tcPr>
          <w:p w14:paraId="0F93A8F7">
            <w:pPr>
              <w:pStyle w:val="17"/>
              <w:spacing w:line="360" w:lineRule="auto"/>
              <w:rPr>
                <w:rFonts w:hint="eastAsia" w:ascii="宋体" w:hAnsi="宋体" w:cs="宋体"/>
                <w:color w:val="auto"/>
                <w:szCs w:val="21"/>
                <w:highlight w:val="none"/>
              </w:rPr>
            </w:pPr>
            <w:r>
              <w:rPr>
                <w:rFonts w:ascii="仿宋_GB2312" w:hAnsi="仿宋" w:eastAsia="仿宋_GB2312"/>
                <w:color w:val="auto"/>
                <w:szCs w:val="21"/>
                <w:highlight w:val="none"/>
              </w:rPr>
              <w:sym w:font="Wingdings 2" w:char="F052"/>
            </w:r>
            <w:r>
              <w:rPr>
                <w:rFonts w:hint="eastAsia" w:ascii="宋体" w:hAnsi="宋体"/>
                <w:color w:val="auto"/>
                <w:szCs w:val="21"/>
                <w:highlight w:val="none"/>
              </w:rPr>
              <w:t>不允许分包</w:t>
            </w:r>
          </w:p>
        </w:tc>
      </w:tr>
      <w:tr w14:paraId="1B6F0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2A9ECE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7912" w:type="dxa"/>
            <w:vAlign w:val="center"/>
          </w:tcPr>
          <w:p w14:paraId="7BF27863">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资格证明文件</w:t>
            </w:r>
          </w:p>
          <w:p w14:paraId="200174C3">
            <w:pPr>
              <w:pStyle w:val="17"/>
              <w:spacing w:line="360" w:lineRule="auto"/>
              <w:rPr>
                <w:rFonts w:hint="eastAsia" w:ascii="宋体" w:hAnsi="宋体" w:cs="宋体"/>
                <w:color w:val="auto"/>
                <w:highlight w:val="none"/>
              </w:rPr>
            </w:pPr>
            <w:r>
              <w:rPr>
                <w:rFonts w:hint="eastAsia" w:ascii="宋体" w:hAnsi="宋体" w:cs="宋体"/>
                <w:color w:val="auto"/>
                <w:szCs w:val="21"/>
                <w:highlight w:val="none"/>
              </w:rPr>
              <w:t>1.法人或者其他组织的营业执照等证明文件（如营业执照或事业单位法人证书或执业许可证等），自然人的身份证复印件；</w:t>
            </w:r>
            <w:r>
              <w:rPr>
                <w:rFonts w:hint="eastAsia" w:ascii="宋体" w:hAnsi="宋体" w:cs="宋体"/>
                <w:b/>
                <w:bCs/>
                <w:color w:val="auto"/>
                <w:szCs w:val="21"/>
                <w:highlight w:val="none"/>
              </w:rPr>
              <w:t>（必须提供，否则响应文件按无效响应处理）</w:t>
            </w:r>
          </w:p>
          <w:p w14:paraId="72E92DFC">
            <w:pPr>
              <w:snapToGrid w:val="0"/>
              <w:spacing w:line="360" w:lineRule="auto"/>
              <w:jc w:val="left"/>
              <w:rPr>
                <w:rFonts w:hint="eastAsia" w:ascii="宋体" w:hAnsi="宋体" w:cs="宋体"/>
                <w:b/>
                <w:bCs/>
                <w:color w:val="auto"/>
                <w:szCs w:val="21"/>
                <w:highlight w:val="none"/>
              </w:rPr>
            </w:pPr>
            <w:r>
              <w:rPr>
                <w:rFonts w:hint="eastAsia" w:ascii="宋体" w:hAnsi="宋体" w:cs="宋体"/>
                <w:color w:val="auto"/>
                <w:szCs w:val="21"/>
                <w:highlight w:val="none"/>
              </w:rPr>
              <w:t>2.贵港市政府采购项目投标资格承诺函（格式后附）；</w:t>
            </w:r>
            <w:r>
              <w:rPr>
                <w:rFonts w:hint="eastAsia" w:ascii="宋体" w:hAnsi="宋体" w:cs="宋体"/>
                <w:b/>
                <w:bCs/>
                <w:color w:val="auto"/>
                <w:szCs w:val="21"/>
                <w:highlight w:val="none"/>
              </w:rPr>
              <w:t>（必须提供，否则响应文件按无效响应处理）</w:t>
            </w:r>
          </w:p>
          <w:p w14:paraId="769611E2">
            <w:pPr>
              <w:snapToGrid w:val="0"/>
              <w:spacing w:line="360" w:lineRule="auto"/>
              <w:jc w:val="left"/>
              <w:rPr>
                <w:rFonts w:hint="eastAsia" w:ascii="宋体" w:hAnsi="宋体" w:cs="宋体"/>
                <w:b/>
                <w:bCs/>
                <w:color w:val="auto"/>
                <w:szCs w:val="21"/>
                <w:highlight w:val="none"/>
              </w:rPr>
            </w:pPr>
            <w:r>
              <w:rPr>
                <w:rFonts w:hint="eastAsia" w:ascii="宋体" w:hAnsi="宋体" w:cs="宋体"/>
                <w:color w:val="auto"/>
                <w:szCs w:val="21"/>
                <w:highlight w:val="none"/>
              </w:rPr>
              <w:t>3.供应商直接控股、管理关系信息表（格式后附）；</w:t>
            </w:r>
            <w:r>
              <w:rPr>
                <w:rFonts w:hint="eastAsia" w:ascii="宋体" w:hAnsi="宋体" w:cs="宋体"/>
                <w:b/>
                <w:bCs/>
                <w:color w:val="auto"/>
                <w:szCs w:val="21"/>
                <w:highlight w:val="none"/>
              </w:rPr>
              <w:t>（必须提供，否则响应文件按无效响应处理）</w:t>
            </w:r>
          </w:p>
          <w:p w14:paraId="7638F652">
            <w:pPr>
              <w:snapToGrid w:val="0"/>
              <w:spacing w:line="360" w:lineRule="auto"/>
              <w:jc w:val="left"/>
              <w:rPr>
                <w:rFonts w:hint="eastAsia" w:ascii="宋体" w:hAnsi="宋体"/>
                <w:color w:val="auto"/>
                <w:szCs w:val="21"/>
                <w:highlight w:val="none"/>
              </w:rPr>
            </w:pPr>
            <w:r>
              <w:rPr>
                <w:rFonts w:hint="eastAsia" w:ascii="宋体" w:hAnsi="宋体" w:cs="宋体"/>
                <w:color w:val="auto"/>
                <w:szCs w:val="21"/>
                <w:highlight w:val="none"/>
              </w:rPr>
              <w:t>4.竞标声明（格式后附）；</w:t>
            </w:r>
            <w:r>
              <w:rPr>
                <w:rFonts w:hint="eastAsia" w:ascii="宋体" w:hAnsi="宋体" w:cs="宋体"/>
                <w:b/>
                <w:bCs/>
                <w:color w:val="auto"/>
                <w:szCs w:val="21"/>
                <w:highlight w:val="none"/>
              </w:rPr>
              <w:t>（必须提供，否则响应文件按无效响应处理）</w:t>
            </w:r>
          </w:p>
          <w:p w14:paraId="5174F51E">
            <w:pPr>
              <w:spacing w:line="360" w:lineRule="auto"/>
              <w:rPr>
                <w:rFonts w:hint="eastAsia" w:ascii="宋体" w:hAnsi="宋体" w:cs="宋体"/>
                <w:b/>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.有效</w:t>
            </w:r>
            <w:r>
              <w:rPr>
                <w:rFonts w:hint="eastAsia" w:ascii="宋体" w:hAnsi="宋体" w:cs="宋体"/>
                <w:color w:val="auto"/>
                <w:szCs w:val="21"/>
                <w:highlight w:val="none"/>
                <w:lang w:val="en-US" w:eastAsia="zh-CN"/>
              </w:rPr>
              <w:t>的资</w:t>
            </w:r>
            <w:r>
              <w:rPr>
                <w:rFonts w:hint="eastAsia" w:ascii="宋体" w:hAnsi="宋体" w:cs="宋体"/>
                <w:color w:val="auto"/>
                <w:szCs w:val="21"/>
                <w:highlight w:val="none"/>
              </w:rPr>
              <w:t>质证书副本、有效的企业安全生产许可证副本复印件；</w:t>
            </w:r>
            <w:r>
              <w:rPr>
                <w:rFonts w:hint="eastAsia" w:ascii="宋体" w:hAnsi="宋体" w:cs="宋体"/>
                <w:b/>
                <w:color w:val="auto"/>
                <w:szCs w:val="21"/>
                <w:highlight w:val="none"/>
              </w:rPr>
              <w:t>（必须提供，否则响应文件按无效响应处理）</w:t>
            </w:r>
          </w:p>
          <w:p w14:paraId="5A732660">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6.拟投入本工程的技术负责人具有工程师及以上职称复印件及有效的身份证正反面复印件；</w:t>
            </w:r>
            <w:r>
              <w:rPr>
                <w:rFonts w:hint="eastAsia" w:ascii="宋体" w:hAnsi="宋体" w:cs="宋体"/>
                <w:b/>
                <w:bCs/>
                <w:color w:val="auto"/>
                <w:szCs w:val="21"/>
                <w:highlight w:val="none"/>
              </w:rPr>
              <w:t>（必须提供，否则响应文件按无效响应处理）</w:t>
            </w:r>
          </w:p>
          <w:p w14:paraId="2026564B">
            <w:pPr>
              <w:spacing w:line="360" w:lineRule="auto"/>
              <w:rPr>
                <w:rFonts w:hint="eastAsia" w:ascii="宋体" w:hAnsi="宋体" w:cs="宋体"/>
                <w:b/>
                <w:bCs/>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.拟担任本项目工程项目经理（注册建造师）简历表；附拟担任本工程项目经理有效的注册建造师资质证书、其安全生产考核合格证复印件及有效的身份证正反面复印件</w:t>
            </w:r>
            <w:r>
              <w:rPr>
                <w:rFonts w:hint="eastAsia" w:ascii="宋体" w:hAnsi="宋体" w:cs="宋体"/>
                <w:b/>
                <w:bCs/>
                <w:color w:val="auto"/>
                <w:szCs w:val="21"/>
                <w:highlight w:val="none"/>
              </w:rPr>
              <w:t>（必须提供，否则响应文件按无效响应处理）</w:t>
            </w:r>
          </w:p>
          <w:p w14:paraId="3AB84E30">
            <w:pPr>
              <w:spacing w:line="360" w:lineRule="auto"/>
              <w:rPr>
                <w:rFonts w:hint="eastAsia" w:ascii="宋体" w:hAnsi="宋体" w:eastAsia="宋体" w:cs="宋体"/>
                <w:color w:val="auto"/>
                <w:szCs w:val="21"/>
                <w:highlight w:val="none"/>
                <w:lang w:val="en-US" w:eastAsia="zh-CN"/>
              </w:rPr>
            </w:pPr>
            <w:r>
              <w:rPr>
                <w:rFonts w:hint="eastAsia" w:ascii="宋体" w:hAnsi="宋体" w:cs="宋体"/>
                <w:b w:val="0"/>
                <w:bCs w:val="0"/>
                <w:color w:val="auto"/>
                <w:szCs w:val="21"/>
                <w:highlight w:val="none"/>
                <w:lang w:val="en-US" w:eastAsia="zh-CN"/>
              </w:rPr>
              <w:t>8.</w:t>
            </w:r>
            <w:r>
              <w:rPr>
                <w:rFonts w:hint="eastAsia" w:ascii="宋体" w:hAnsi="宋体" w:cs="宋体"/>
                <w:b w:val="0"/>
                <w:bCs w:val="0"/>
                <w:color w:val="auto"/>
                <w:szCs w:val="21"/>
                <w:highlight w:val="none"/>
              </w:rPr>
              <w:t>拟担任本项目工</w:t>
            </w:r>
            <w:r>
              <w:rPr>
                <w:rFonts w:hint="eastAsia" w:ascii="宋体" w:hAnsi="宋体" w:cs="宋体"/>
                <w:color w:val="auto"/>
                <w:szCs w:val="21"/>
                <w:highlight w:val="none"/>
              </w:rPr>
              <w:t>程项目经理</w:t>
            </w:r>
            <w:r>
              <w:rPr>
                <w:rFonts w:hint="eastAsia" w:ascii="宋体" w:hAnsi="宋体" w:cs="宋体"/>
                <w:color w:val="auto"/>
                <w:szCs w:val="21"/>
                <w:highlight w:val="none"/>
                <w:lang w:eastAsia="zh-CN"/>
              </w:rPr>
              <w:t>无在建工程承诺书；</w:t>
            </w:r>
            <w:r>
              <w:rPr>
                <w:rFonts w:hint="eastAsia" w:ascii="宋体" w:hAnsi="宋体" w:cs="宋体"/>
                <w:b/>
                <w:bCs/>
                <w:color w:val="auto"/>
                <w:szCs w:val="21"/>
                <w:highlight w:val="none"/>
              </w:rPr>
              <w:t>（必须提供，否则响应文件按无效响应处理）</w:t>
            </w:r>
          </w:p>
          <w:p w14:paraId="1BD28C31">
            <w:pPr>
              <w:spacing w:line="360" w:lineRule="auto"/>
              <w:rPr>
                <w:rFonts w:hint="default" w:ascii="宋体" w:hAnsi="宋体" w:cs="宋体"/>
                <w:b/>
                <w:bCs/>
                <w:color w:val="auto"/>
                <w:szCs w:val="21"/>
                <w:highlight w:val="none"/>
                <w:lang w:val="en-US" w:eastAsia="zh-CN"/>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拟投入本项目的专职安全生产管理人员须具备有效的安全生产考核合格证书（C类）及有效的身份证正反面复印件</w:t>
            </w:r>
            <w:r>
              <w:rPr>
                <w:rFonts w:hint="eastAsia" w:ascii="宋体" w:hAnsi="宋体" w:cs="宋体"/>
                <w:color w:val="auto"/>
                <w:szCs w:val="21"/>
                <w:highlight w:val="none"/>
                <w:lang w:eastAsia="zh-CN"/>
              </w:rPr>
              <w:t>；</w:t>
            </w:r>
            <w:r>
              <w:rPr>
                <w:rFonts w:hint="eastAsia" w:ascii="宋体" w:hAnsi="宋体" w:cs="宋体"/>
                <w:b/>
                <w:bCs/>
                <w:color w:val="auto"/>
                <w:szCs w:val="21"/>
                <w:highlight w:val="none"/>
              </w:rPr>
              <w:t>（必须提供，否则响应文件按无效响应处理）</w:t>
            </w:r>
          </w:p>
          <w:p w14:paraId="5F934FC1">
            <w:pPr>
              <w:spacing w:line="360" w:lineRule="auto"/>
              <w:rPr>
                <w:rFonts w:hint="default" w:eastAsia="宋体"/>
                <w:color w:val="auto"/>
                <w:highlight w:val="none"/>
                <w:lang w:val="en-US" w:eastAsia="zh-CN"/>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.中小企业声明函（格式后附）或残疾人福利性单位声明函（格式后附）或监狱企业的证明文件；</w:t>
            </w:r>
            <w:r>
              <w:rPr>
                <w:rFonts w:hint="eastAsia" w:ascii="宋体" w:hAnsi="宋体" w:cs="宋体"/>
                <w:b/>
                <w:bCs/>
                <w:color w:val="auto"/>
                <w:szCs w:val="21"/>
                <w:highlight w:val="none"/>
              </w:rPr>
              <w:t>（必须提供，否则响应文件按无效响应处理）</w:t>
            </w:r>
          </w:p>
          <w:p w14:paraId="06E08555">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.除磋商文件规定必须提供以外，供应商认为需要提供的其他证明材料；</w:t>
            </w:r>
          </w:p>
          <w:p w14:paraId="6E67B3F1">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注：1.以上标明“必须提供”的材料属于扫描件的，必须加盖供应商</w:t>
            </w:r>
            <w:r>
              <w:rPr>
                <w:rFonts w:hint="eastAsia"/>
                <w:b/>
                <w:color w:val="auto"/>
                <w:highlight w:val="none"/>
              </w:rPr>
              <w:t>电子签章</w:t>
            </w:r>
            <w:r>
              <w:rPr>
                <w:rFonts w:hint="eastAsia" w:ascii="宋体" w:hAnsi="宋体" w:cs="宋体"/>
                <w:b/>
                <w:color w:val="auto"/>
                <w:szCs w:val="21"/>
                <w:highlight w:val="none"/>
              </w:rPr>
              <w:t>，否则响应文件按无效处理。</w:t>
            </w:r>
          </w:p>
        </w:tc>
      </w:tr>
      <w:tr w14:paraId="7A0E7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DB481F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12.1.2</w:t>
            </w:r>
          </w:p>
        </w:tc>
        <w:tc>
          <w:tcPr>
            <w:tcW w:w="7912" w:type="dxa"/>
            <w:vAlign w:val="center"/>
          </w:tcPr>
          <w:p w14:paraId="60EAE5F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报价文件</w:t>
            </w:r>
          </w:p>
          <w:p w14:paraId="2E8499D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1.竞标函及竞标函附录（格式后附）；（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300E523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2.竞标报价表（格式后附）；（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33D7F005">
            <w:pPr>
              <w:spacing w:line="360" w:lineRule="auto"/>
              <w:rPr>
                <w:rFonts w:hint="eastAsia"/>
                <w:color w:val="auto"/>
                <w:highlight w:val="none"/>
              </w:rPr>
            </w:pPr>
            <w:r>
              <w:rPr>
                <w:rFonts w:hint="eastAsia" w:ascii="宋体" w:hAnsi="宋体" w:cs="宋体"/>
                <w:color w:val="auto"/>
                <w:szCs w:val="21"/>
                <w:highlight w:val="none"/>
              </w:rPr>
              <w:t>3.已标价工程量清单；（</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307455DB">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.供应商认为需要提供的其他有关资料。</w:t>
            </w:r>
          </w:p>
        </w:tc>
      </w:tr>
      <w:tr w14:paraId="47DBD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833390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.3</w:t>
            </w:r>
          </w:p>
        </w:tc>
        <w:tc>
          <w:tcPr>
            <w:tcW w:w="7912" w:type="dxa"/>
            <w:vAlign w:val="center"/>
          </w:tcPr>
          <w:p w14:paraId="001E7A03">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商务技术文件</w:t>
            </w:r>
          </w:p>
          <w:p w14:paraId="2C3B83B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02397115">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2.法定代表人身份证明书及法定代表人有效身份证正反面扫描件（格式后附）；（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70B3F3D0">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3.授权委托书及委托代理人有效身份证正反面扫描件（格式后附）；（</w:t>
            </w:r>
            <w:r>
              <w:rPr>
                <w:rFonts w:hint="eastAsia" w:ascii="宋体" w:hAnsi="宋体" w:cs="宋体"/>
                <w:b/>
                <w:color w:val="auto"/>
                <w:szCs w:val="21"/>
                <w:highlight w:val="none"/>
              </w:rPr>
              <w:t>委托时必须提供，否则响应文件按无效处理</w:t>
            </w:r>
            <w:r>
              <w:rPr>
                <w:rFonts w:hint="eastAsia" w:ascii="宋体" w:hAnsi="宋体" w:cs="宋体"/>
                <w:color w:val="auto"/>
                <w:szCs w:val="21"/>
                <w:highlight w:val="none"/>
              </w:rPr>
              <w:t>）</w:t>
            </w:r>
          </w:p>
          <w:p w14:paraId="429D73D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4.施工组织设计（格式自拟）；（</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2D70F01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5.项目管理机构配备情况表及主要人员简历表（格式后附）；（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 xml:space="preserve">） </w:t>
            </w:r>
          </w:p>
          <w:p w14:paraId="60B69F8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6.供应商认为需要提供的其他有关资料。</w:t>
            </w:r>
          </w:p>
          <w:p w14:paraId="5912F8B3">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注：以上标明“必须提供”的材料属于扫描件的，必须加盖供应商电子签章，否则响应文件按无效处理。</w:t>
            </w:r>
          </w:p>
        </w:tc>
      </w:tr>
      <w:tr w14:paraId="6202F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719136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15.1</w:t>
            </w:r>
          </w:p>
        </w:tc>
        <w:tc>
          <w:tcPr>
            <w:tcW w:w="7912" w:type="dxa"/>
            <w:vAlign w:val="center"/>
          </w:tcPr>
          <w:p w14:paraId="780B3BD3">
            <w:pPr>
              <w:spacing w:line="360" w:lineRule="auto"/>
              <w:contextualSpacing/>
              <w:jc w:val="left"/>
              <w:rPr>
                <w:rFonts w:hint="eastAsia" w:ascii="宋体" w:hAnsi="宋体"/>
                <w:color w:val="auto"/>
                <w:szCs w:val="21"/>
                <w:highlight w:val="none"/>
              </w:rPr>
            </w:pPr>
            <w:r>
              <w:rPr>
                <w:rFonts w:hint="eastAsia" w:ascii="宋体" w:hAnsi="宋体"/>
                <w:color w:val="auto"/>
                <w:szCs w:val="21"/>
                <w:highlight w:val="none"/>
              </w:rPr>
              <w:t>竞标报价应按磋商文件中“竞标报价表”格式填写。</w:t>
            </w:r>
          </w:p>
        </w:tc>
      </w:tr>
      <w:tr w14:paraId="76DAB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6EA425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7912" w:type="dxa"/>
            <w:vAlign w:val="center"/>
          </w:tcPr>
          <w:p w14:paraId="7732E727">
            <w:pPr>
              <w:numPr>
                <w:ilvl w:val="0"/>
                <w:numId w:val="0"/>
              </w:numPr>
              <w:spacing w:line="360" w:lineRule="auto"/>
              <w:contextualSpacing/>
              <w:jc w:val="left"/>
              <w:rPr>
                <w:rFonts w:hint="eastAsia" w:ascii="宋体" w:hAnsi="宋体" w:cs="宋体"/>
                <w:color w:val="auto"/>
                <w:szCs w:val="21"/>
                <w:highlight w:val="none"/>
              </w:rPr>
            </w:pPr>
            <w:r>
              <w:rPr>
                <w:rFonts w:hint="eastAsia" w:ascii="宋体" w:hAnsi="宋体" w:cs="宋体"/>
                <w:b/>
                <w:bCs/>
                <w:color w:val="auto"/>
                <w:szCs w:val="21"/>
                <w:highlight w:val="none"/>
              </w:rPr>
              <w:t>竞标报价是履行合同的最终价格，包括了为实施和完成合同工程所需的劳务、材料、机械、质检（自检）、安装、缺陷修复、管理、保险、税费、利润等费用，以及合同明示或暗示的所有责任、义务和一般风险。</w:t>
            </w:r>
          </w:p>
        </w:tc>
      </w:tr>
      <w:tr w14:paraId="799AC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F669DC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15.3</w:t>
            </w:r>
          </w:p>
        </w:tc>
        <w:tc>
          <w:tcPr>
            <w:tcW w:w="7912" w:type="dxa"/>
            <w:vAlign w:val="center"/>
          </w:tcPr>
          <w:p w14:paraId="5EBFA7F1">
            <w:pPr>
              <w:spacing w:line="360" w:lineRule="auto"/>
              <w:contextualSpacing/>
              <w:jc w:val="left"/>
              <w:rPr>
                <w:rFonts w:hint="eastAsia" w:ascii="宋体" w:hAnsi="宋体"/>
                <w:color w:val="auto"/>
                <w:szCs w:val="21"/>
                <w:highlight w:val="none"/>
              </w:rPr>
            </w:pPr>
            <w:r>
              <w:rPr>
                <w:rFonts w:hint="eastAsia" w:cs="宋体"/>
                <w:color w:val="auto"/>
                <w:highlight w:val="none"/>
              </w:rPr>
              <w:t>本工程增值税计税方法：</w:t>
            </w:r>
            <w:r>
              <w:rPr>
                <w:rFonts w:ascii="仿宋_GB2312" w:hAnsi="仿宋" w:eastAsia="仿宋_GB2312"/>
                <w:color w:val="auto"/>
                <w:szCs w:val="21"/>
                <w:highlight w:val="none"/>
              </w:rPr>
              <w:sym w:font="Wingdings 2" w:char="00A3"/>
            </w:r>
            <w:r>
              <w:rPr>
                <w:rFonts w:hint="eastAsia" w:cs="宋体"/>
                <w:color w:val="auto"/>
                <w:highlight w:val="none"/>
              </w:rPr>
              <w:t>一般计税法；☑简易计税法</w:t>
            </w:r>
          </w:p>
        </w:tc>
      </w:tr>
      <w:tr w14:paraId="7366A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10911D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7912" w:type="dxa"/>
            <w:vAlign w:val="center"/>
          </w:tcPr>
          <w:p w14:paraId="13FD31A8">
            <w:pPr>
              <w:pStyle w:val="14"/>
              <w:widowControl w:val="0"/>
              <w:tabs>
                <w:tab w:val="clear" w:pos="454"/>
              </w:tabs>
              <w:snapToGrid w:val="0"/>
              <w:spacing w:afterLines="0" w:line="360" w:lineRule="auto"/>
              <w:ind w:left="283" w:hanging="283" w:hangingChars="135"/>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hint="eastAsia" w:ascii="宋体" w:hAnsi="宋体" w:cs="宋体"/>
                <w:color w:val="auto"/>
                <w:kern w:val="2"/>
                <w:sz w:val="21"/>
                <w:szCs w:val="21"/>
                <w:highlight w:val="none"/>
                <w:u w:val="single"/>
              </w:rPr>
              <w:t>9</w:t>
            </w:r>
            <w:r>
              <w:rPr>
                <w:rFonts w:ascii="宋体" w:hAnsi="宋体" w:cs="宋体"/>
                <w:color w:val="auto"/>
                <w:kern w:val="2"/>
                <w:sz w:val="21"/>
                <w:szCs w:val="21"/>
                <w:highlight w:val="none"/>
                <w:u w:val="single"/>
              </w:rPr>
              <w:t>0</w:t>
            </w:r>
            <w:r>
              <w:rPr>
                <w:rFonts w:hint="eastAsia" w:ascii="宋体" w:hAnsi="宋体" w:cs="宋体"/>
                <w:color w:val="auto"/>
                <w:kern w:val="2"/>
                <w:sz w:val="21"/>
                <w:szCs w:val="21"/>
                <w:highlight w:val="none"/>
              </w:rPr>
              <w:t>日。</w:t>
            </w:r>
          </w:p>
        </w:tc>
      </w:tr>
      <w:tr w14:paraId="376C5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 w:hRule="atLeast"/>
          <w:jc w:val="center"/>
        </w:trPr>
        <w:tc>
          <w:tcPr>
            <w:tcW w:w="992" w:type="dxa"/>
            <w:vAlign w:val="center"/>
          </w:tcPr>
          <w:p w14:paraId="44F007D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17.1</w:t>
            </w:r>
          </w:p>
        </w:tc>
        <w:tc>
          <w:tcPr>
            <w:tcW w:w="7912" w:type="dxa"/>
            <w:vAlign w:val="center"/>
          </w:tcPr>
          <w:p w14:paraId="47698DA9">
            <w:pPr>
              <w:autoSpaceDE w:val="0"/>
              <w:autoSpaceDN w:val="0"/>
              <w:snapToGrid w:val="0"/>
              <w:spacing w:line="360" w:lineRule="auto"/>
              <w:textAlignment w:val="bottom"/>
              <w:rPr>
                <w:rFonts w:hint="eastAsia" w:ascii="宋体" w:hAnsi="宋体" w:cs="宋体"/>
                <w:b/>
                <w:color w:val="auto"/>
                <w:szCs w:val="21"/>
                <w:highlight w:val="none"/>
              </w:rPr>
            </w:pPr>
            <w:r>
              <w:rPr>
                <w:rFonts w:hint="eastAsia" w:ascii="宋体" w:hAnsi="宋体" w:cs="宋体"/>
                <w:bCs/>
                <w:color w:val="auto"/>
                <w:szCs w:val="21"/>
                <w:highlight w:val="none"/>
              </w:rPr>
              <w:t>磋商保证金：无</w:t>
            </w:r>
          </w:p>
        </w:tc>
      </w:tr>
      <w:tr w14:paraId="6AC72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3110F2F">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19</w:t>
            </w:r>
          </w:p>
        </w:tc>
        <w:tc>
          <w:tcPr>
            <w:tcW w:w="7912" w:type="dxa"/>
            <w:vAlign w:val="center"/>
          </w:tcPr>
          <w:p w14:paraId="508072F6">
            <w:pPr>
              <w:spacing w:line="360" w:lineRule="auto"/>
              <w:rPr>
                <w:rFonts w:hint="eastAsia" w:ascii="宋体" w:hAnsi="宋体" w:cs="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备份响应文件</w:t>
            </w:r>
          </w:p>
        </w:tc>
      </w:tr>
      <w:tr w14:paraId="448D3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662A82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7912" w:type="dxa"/>
            <w:vAlign w:val="center"/>
          </w:tcPr>
          <w:p w14:paraId="41D8DC85">
            <w:pPr>
              <w:spacing w:line="360" w:lineRule="auto"/>
              <w:contextualSpacing/>
              <w:jc w:val="left"/>
              <w:rPr>
                <w:rFonts w:hint="eastAsia" w:ascii="宋体" w:hAnsi="宋体" w:cs="宋体"/>
                <w:color w:val="auto"/>
                <w:szCs w:val="21"/>
                <w:highlight w:val="none"/>
                <w:u w:val="single"/>
              </w:rPr>
            </w:pPr>
            <w:r>
              <w:rPr>
                <w:rFonts w:hint="eastAsia" w:ascii="宋体" w:hAnsi="宋体" w:cs="宋体"/>
                <w:color w:val="auto"/>
                <w:szCs w:val="21"/>
                <w:highlight w:val="none"/>
              </w:rPr>
              <w:t>响应文件提交截止时间：详见竞争性磋商公告</w:t>
            </w:r>
          </w:p>
          <w:p w14:paraId="3790AEC3">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响应文件提交地点：详见竞争性磋商公告</w:t>
            </w:r>
          </w:p>
        </w:tc>
      </w:tr>
      <w:tr w14:paraId="31B6E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97DC02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24.1</w:t>
            </w:r>
          </w:p>
        </w:tc>
        <w:tc>
          <w:tcPr>
            <w:tcW w:w="7912" w:type="dxa"/>
            <w:vAlign w:val="center"/>
          </w:tcPr>
          <w:p w14:paraId="684171C8">
            <w:pPr>
              <w:snapToGrid w:val="0"/>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磋商小组的人数：</w:t>
            </w:r>
            <w:r>
              <w:rPr>
                <w:rFonts w:ascii="宋体" w:hAnsi="宋体" w:cs="宋体"/>
                <w:color w:val="auto"/>
                <w:szCs w:val="21"/>
                <w:highlight w:val="none"/>
                <w:u w:val="single"/>
              </w:rPr>
              <w:t>3</w:t>
            </w:r>
            <w:r>
              <w:rPr>
                <w:rFonts w:hint="eastAsia" w:ascii="宋体" w:hAnsi="宋体" w:cs="宋体"/>
                <w:color w:val="auto"/>
                <w:szCs w:val="21"/>
                <w:highlight w:val="none"/>
              </w:rPr>
              <w:t>人。</w:t>
            </w:r>
          </w:p>
        </w:tc>
      </w:tr>
      <w:tr w14:paraId="17D53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10D4CC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p>
        </w:tc>
        <w:tc>
          <w:tcPr>
            <w:tcW w:w="7912" w:type="dxa"/>
            <w:vAlign w:val="center"/>
          </w:tcPr>
          <w:p w14:paraId="06471509">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首次响应文件开启时间详见“竞争性磋商公告”</w:t>
            </w:r>
          </w:p>
          <w:p w14:paraId="6FFEAA39">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首次响应文件解密时间：</w:t>
            </w:r>
            <w:r>
              <w:rPr>
                <w:rFonts w:hint="eastAsia" w:hAnsi="宋体"/>
                <w:color w:val="auto"/>
                <w:highlight w:val="none"/>
                <w:u w:val="single"/>
              </w:rPr>
              <w:t>3</w:t>
            </w:r>
            <w:r>
              <w:rPr>
                <w:rFonts w:hAnsi="宋体"/>
                <w:color w:val="auto"/>
                <w:highlight w:val="none"/>
                <w:u w:val="single"/>
              </w:rPr>
              <w:t>0</w:t>
            </w:r>
            <w:r>
              <w:rPr>
                <w:rFonts w:hint="eastAsia" w:hAnsi="宋体"/>
                <w:color w:val="auto"/>
                <w:highlight w:val="none"/>
              </w:rPr>
              <w:t>分钟</w:t>
            </w:r>
          </w:p>
        </w:tc>
      </w:tr>
      <w:tr w14:paraId="63131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Align w:val="center"/>
          </w:tcPr>
          <w:p w14:paraId="68A48A0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6.3</w:t>
            </w:r>
          </w:p>
        </w:tc>
        <w:tc>
          <w:tcPr>
            <w:tcW w:w="7912" w:type="dxa"/>
            <w:vAlign w:val="center"/>
          </w:tcPr>
          <w:p w14:paraId="0B50FEAD">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p w14:paraId="3D46E02E">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tc>
      </w:tr>
      <w:tr w14:paraId="4A3CC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EE9C001">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28.1</w:t>
            </w:r>
          </w:p>
        </w:tc>
        <w:tc>
          <w:tcPr>
            <w:tcW w:w="7912" w:type="dxa"/>
            <w:vAlign w:val="center"/>
          </w:tcPr>
          <w:p w14:paraId="1877E299">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olor w:val="auto"/>
                <w:szCs w:val="21"/>
                <w:highlight w:val="none"/>
              </w:rPr>
              <w:t>☑本项目不收取履约保证金。</w:t>
            </w:r>
          </w:p>
        </w:tc>
      </w:tr>
      <w:tr w14:paraId="65B41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7D27543">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29.1</w:t>
            </w:r>
          </w:p>
        </w:tc>
        <w:tc>
          <w:tcPr>
            <w:tcW w:w="7912" w:type="dxa"/>
            <w:vAlign w:val="center"/>
          </w:tcPr>
          <w:p w14:paraId="7FE93D77">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 xml:space="preserve">签订合同携带的证明材料： </w:t>
            </w:r>
          </w:p>
          <w:p w14:paraId="31E7EBED">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2952B9F1">
            <w:pPr>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2B6D0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95789A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7912" w:type="dxa"/>
            <w:vAlign w:val="center"/>
          </w:tcPr>
          <w:p w14:paraId="3E49E42D">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接收质疑函方式：以书面形式</w:t>
            </w:r>
          </w:p>
          <w:p w14:paraId="33C377E0">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质疑联系部门：云之龙咨询集团有限公司招标部</w:t>
            </w:r>
          </w:p>
          <w:p w14:paraId="6CDAAAEF">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联系电话：0775-4565100</w:t>
            </w:r>
          </w:p>
          <w:p w14:paraId="1BDC7582">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通讯地址：广西贵港市港北区荷城路1132号华泰官邸1栋6楼</w:t>
            </w:r>
          </w:p>
          <w:p w14:paraId="7394B83E">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业务时间：工作日每天上午8时00分到12时00分，下午3时00分到6时00分。</w:t>
            </w:r>
          </w:p>
        </w:tc>
      </w:tr>
      <w:tr w14:paraId="4A5DE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1F18CBE">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32.1</w:t>
            </w:r>
          </w:p>
        </w:tc>
        <w:tc>
          <w:tcPr>
            <w:tcW w:w="7912" w:type="dxa"/>
            <w:vAlign w:val="center"/>
          </w:tcPr>
          <w:p w14:paraId="7AB1013A">
            <w:pPr>
              <w:pStyle w:val="25"/>
              <w:snapToGrid w:val="0"/>
              <w:spacing w:line="360" w:lineRule="auto"/>
              <w:rPr>
                <w:rFonts w:hint="eastAsia" w:hAnsi="宋体" w:cs="宋体"/>
                <w:color w:val="auto"/>
                <w:sz w:val="21"/>
                <w:highlight w:val="none"/>
              </w:rPr>
            </w:pPr>
            <w:r>
              <w:rPr>
                <w:rFonts w:hint="eastAsia" w:hAnsi="宋体" w:cs="宋体"/>
                <w:color w:val="auto"/>
                <w:sz w:val="21"/>
                <w:highlight w:val="none"/>
              </w:rPr>
              <w:t>1.采购代理费收取方式：</w:t>
            </w:r>
          </w:p>
          <w:p w14:paraId="738914B7">
            <w:pPr>
              <w:pStyle w:val="25"/>
              <w:snapToGrid w:val="0"/>
              <w:spacing w:line="360" w:lineRule="auto"/>
              <w:rPr>
                <w:rFonts w:hint="eastAsia" w:hAnsi="宋体" w:cs="宋体"/>
                <w:color w:val="auto"/>
                <w:sz w:val="21"/>
                <w:highlight w:val="none"/>
              </w:rPr>
            </w:pPr>
            <w:r>
              <w:rPr>
                <w:rFonts w:hint="eastAsia" w:hAnsi="宋体" w:cs="宋体"/>
                <w:color w:val="auto"/>
                <w:sz w:val="21"/>
                <w:highlight w:val="none"/>
              </w:rPr>
              <w:t>☑本项目代理服务费由成交供应商向采购代理机构支付。</w:t>
            </w:r>
          </w:p>
          <w:p w14:paraId="6CEC9A0D">
            <w:pPr>
              <w:pStyle w:val="25"/>
              <w:snapToGrid w:val="0"/>
              <w:spacing w:line="360" w:lineRule="auto"/>
              <w:rPr>
                <w:rFonts w:hint="eastAsia" w:hAnsi="宋体" w:cs="宋体"/>
                <w:color w:val="auto"/>
                <w:sz w:val="21"/>
                <w:highlight w:val="none"/>
              </w:rPr>
            </w:pPr>
            <w:r>
              <w:rPr>
                <w:rFonts w:hint="eastAsia" w:hAnsi="宋体" w:cs="宋体"/>
                <w:color w:val="auto"/>
                <w:sz w:val="21"/>
                <w:highlight w:val="none"/>
              </w:rPr>
              <w:t>□采购人支付。</w:t>
            </w:r>
          </w:p>
          <w:p w14:paraId="4BDEE261">
            <w:pPr>
              <w:pStyle w:val="25"/>
              <w:snapToGrid w:val="0"/>
              <w:spacing w:line="360" w:lineRule="auto"/>
              <w:rPr>
                <w:rFonts w:hint="eastAsia" w:hAnsi="宋体" w:cs="宋体"/>
                <w:color w:val="auto"/>
                <w:sz w:val="21"/>
                <w:highlight w:val="none"/>
              </w:rPr>
            </w:pPr>
            <w:r>
              <w:rPr>
                <w:rFonts w:hint="eastAsia" w:hAnsi="宋体" w:cs="宋体"/>
                <w:color w:val="auto"/>
                <w:sz w:val="21"/>
                <w:highlight w:val="none"/>
              </w:rPr>
              <w:t>2.采购代理费收取标准：</w:t>
            </w:r>
          </w:p>
          <w:p w14:paraId="409F6E3E">
            <w:pPr>
              <w:pStyle w:val="25"/>
              <w:snapToGrid w:val="0"/>
              <w:spacing w:line="360" w:lineRule="auto"/>
              <w:rPr>
                <w:rFonts w:hint="eastAsia" w:hAnsi="宋体" w:cs="宋体"/>
                <w:color w:val="auto"/>
                <w:sz w:val="21"/>
                <w:highlight w:val="none"/>
              </w:rPr>
            </w:pPr>
            <w:r>
              <w:rPr>
                <w:rFonts w:hint="eastAsia" w:hAnsi="宋体" w:cs="宋体"/>
                <w:color w:val="auto"/>
                <w:sz w:val="21"/>
                <w:highlight w:val="none"/>
              </w:rPr>
              <w:t>☑根据发改价格〔2015〕299号文，按固定金额收费标准，具体金额：人民币</w:t>
            </w:r>
            <w:r>
              <w:rPr>
                <w:rFonts w:hint="eastAsia" w:hAnsi="宋体" w:cs="宋体"/>
                <w:color w:val="auto"/>
                <w:sz w:val="21"/>
                <w:highlight w:val="none"/>
                <w:lang w:eastAsia="zh-CN"/>
              </w:rPr>
              <w:t>捌仟捌佰</w:t>
            </w:r>
            <w:r>
              <w:rPr>
                <w:rFonts w:hint="eastAsia" w:hAnsi="宋体" w:cs="宋体"/>
                <w:color w:val="auto"/>
                <w:sz w:val="21"/>
                <w:highlight w:val="none"/>
              </w:rPr>
              <w:t>元整(¥</w:t>
            </w:r>
            <w:r>
              <w:rPr>
                <w:rFonts w:hint="eastAsia" w:hAnsi="宋体" w:cs="宋体"/>
                <w:color w:val="auto"/>
                <w:sz w:val="21"/>
                <w:highlight w:val="none"/>
                <w:lang w:val="en-US" w:eastAsia="zh-CN"/>
              </w:rPr>
              <w:t>8800</w:t>
            </w:r>
            <w:r>
              <w:rPr>
                <w:rFonts w:hint="eastAsia" w:hAnsi="宋体" w:cs="宋体"/>
                <w:color w:val="auto"/>
                <w:sz w:val="21"/>
                <w:highlight w:val="none"/>
              </w:rPr>
              <w:t>.00)。</w:t>
            </w:r>
          </w:p>
          <w:p w14:paraId="3F55138B">
            <w:pPr>
              <w:pStyle w:val="25"/>
              <w:snapToGrid w:val="0"/>
              <w:spacing w:line="360" w:lineRule="auto"/>
              <w:rPr>
                <w:rFonts w:hint="eastAsia" w:hAnsi="宋体" w:cs="宋体"/>
                <w:color w:val="auto"/>
                <w:sz w:val="21"/>
                <w:highlight w:val="none"/>
              </w:rPr>
            </w:pPr>
            <w:r>
              <w:rPr>
                <w:rFonts w:hint="eastAsia" w:hAnsi="宋体" w:cs="宋体"/>
                <w:color w:val="auto"/>
                <w:sz w:val="21"/>
                <w:highlight w:val="none"/>
              </w:rPr>
              <w:t>3. 采购代理费收取银行账户</w:t>
            </w:r>
          </w:p>
          <w:p w14:paraId="3DDB9F3A">
            <w:pPr>
              <w:pStyle w:val="25"/>
              <w:snapToGrid w:val="0"/>
              <w:spacing w:line="360" w:lineRule="auto"/>
              <w:rPr>
                <w:rFonts w:hint="eastAsia" w:hAnsi="宋体" w:cs="宋体"/>
                <w:color w:val="auto"/>
                <w:sz w:val="21"/>
                <w:highlight w:val="none"/>
              </w:rPr>
            </w:pPr>
            <w:r>
              <w:rPr>
                <w:rFonts w:hint="eastAsia" w:hAnsi="宋体" w:cs="宋体"/>
                <w:color w:val="auto"/>
                <w:sz w:val="21"/>
                <w:highlight w:val="none"/>
              </w:rPr>
              <w:t>单位名称：云之龙咨询集团有限公司贵港分公司  </w:t>
            </w:r>
          </w:p>
          <w:p w14:paraId="2D7844D8">
            <w:pPr>
              <w:pStyle w:val="25"/>
              <w:snapToGrid w:val="0"/>
              <w:spacing w:line="360" w:lineRule="auto"/>
              <w:rPr>
                <w:rFonts w:hint="eastAsia" w:hAnsi="宋体" w:cs="宋体"/>
                <w:color w:val="auto"/>
                <w:sz w:val="21"/>
                <w:highlight w:val="none"/>
              </w:rPr>
            </w:pPr>
            <w:r>
              <w:rPr>
                <w:rFonts w:hint="eastAsia" w:hAnsi="宋体" w:cs="宋体"/>
                <w:color w:val="auto"/>
                <w:sz w:val="21"/>
                <w:highlight w:val="none"/>
              </w:rPr>
              <w:t>开户银行：中信银行南宁东葛支行</w:t>
            </w:r>
          </w:p>
          <w:p w14:paraId="79F5E4F6">
            <w:pPr>
              <w:pStyle w:val="25"/>
              <w:snapToGrid w:val="0"/>
              <w:spacing w:line="360" w:lineRule="auto"/>
              <w:rPr>
                <w:rFonts w:hint="eastAsia" w:hAnsi="宋体" w:cs="宋体"/>
                <w:color w:val="auto"/>
                <w:sz w:val="21"/>
                <w:highlight w:val="none"/>
              </w:rPr>
            </w:pPr>
            <w:r>
              <w:rPr>
                <w:rFonts w:hint="eastAsia" w:hAnsi="宋体" w:cs="宋体"/>
                <w:color w:val="auto"/>
                <w:sz w:val="21"/>
                <w:highlight w:val="none"/>
              </w:rPr>
              <w:t>银行账号：8113001015100158012</w:t>
            </w:r>
          </w:p>
          <w:p w14:paraId="695DB10B">
            <w:pPr>
              <w:pStyle w:val="25"/>
              <w:snapToGrid w:val="0"/>
              <w:spacing w:line="360" w:lineRule="auto"/>
              <w:rPr>
                <w:rFonts w:hint="eastAsia" w:hAnsi="宋体" w:cs="宋体"/>
                <w:color w:val="auto"/>
                <w:sz w:val="21"/>
                <w:highlight w:val="none"/>
              </w:rPr>
            </w:pPr>
            <w:r>
              <w:rPr>
                <w:rFonts w:hint="eastAsia" w:hAnsi="宋体" w:cs="宋体"/>
                <w:color w:val="auto"/>
                <w:sz w:val="21"/>
                <w:highlight w:val="none"/>
              </w:rPr>
              <w:t>行号：302611029137</w:t>
            </w:r>
          </w:p>
        </w:tc>
      </w:tr>
      <w:tr w14:paraId="551E2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E7EDD4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7912" w:type="dxa"/>
            <w:vAlign w:val="center"/>
          </w:tcPr>
          <w:p w14:paraId="33FB9209">
            <w:pPr>
              <w:pStyle w:val="25"/>
              <w:snapToGrid w:val="0"/>
              <w:spacing w:line="360" w:lineRule="auto"/>
              <w:rPr>
                <w:rFonts w:hint="eastAsia" w:hAnsi="宋体" w:cs="宋体"/>
                <w:color w:val="auto"/>
                <w:kern w:val="2"/>
                <w:sz w:val="21"/>
                <w:highlight w:val="none"/>
              </w:rPr>
            </w:pPr>
            <w:r>
              <w:rPr>
                <w:rFonts w:hint="eastAsia" w:hAnsi="宋体"/>
                <w:color w:val="auto"/>
                <w:sz w:val="21"/>
                <w:highlight w:val="none"/>
              </w:rPr>
              <w:t>解释：</w:t>
            </w:r>
            <w:r>
              <w:rPr>
                <w:rFonts w:hAnsi="宋体"/>
                <w:color w:val="auto"/>
                <w:sz w:val="21"/>
                <w:highlight w:val="none"/>
              </w:rPr>
              <w:t>构成本</w:t>
            </w:r>
            <w:r>
              <w:rPr>
                <w:rFonts w:hint="eastAsia" w:hAnsi="宋体"/>
                <w:color w:val="auto"/>
                <w:sz w:val="21"/>
                <w:highlight w:val="none"/>
              </w:rPr>
              <w:t>磋商文件</w:t>
            </w:r>
            <w:r>
              <w:rPr>
                <w:rFonts w:hAnsi="宋体"/>
                <w:color w:val="auto"/>
                <w:sz w:val="21"/>
                <w:highlight w:val="none"/>
              </w:rPr>
              <w:t>的各个组成文件应互为解释，互为说明；除</w:t>
            </w:r>
            <w:r>
              <w:rPr>
                <w:rFonts w:hint="eastAsia" w:hAnsi="宋体"/>
                <w:color w:val="auto"/>
                <w:sz w:val="21"/>
                <w:highlight w:val="none"/>
              </w:rPr>
              <w:t>磋商文件</w:t>
            </w:r>
            <w:r>
              <w:rPr>
                <w:rFonts w:hAnsi="宋体"/>
                <w:color w:val="auto"/>
                <w:sz w:val="21"/>
                <w:highlight w:val="none"/>
              </w:rPr>
              <w:t>中有特别规定外，仅适用于</w:t>
            </w:r>
            <w:r>
              <w:rPr>
                <w:rFonts w:hint="eastAsia" w:hAnsi="宋体"/>
                <w:color w:val="auto"/>
                <w:sz w:val="21"/>
                <w:highlight w:val="none"/>
              </w:rPr>
              <w:t>竞标</w:t>
            </w:r>
            <w:r>
              <w:rPr>
                <w:rFonts w:hAnsi="宋体"/>
                <w:color w:val="auto"/>
                <w:sz w:val="21"/>
                <w:highlight w:val="none"/>
              </w:rPr>
              <w:t>阶段的规定，按</w:t>
            </w:r>
            <w:r>
              <w:rPr>
                <w:rFonts w:hint="eastAsia" w:hAnsi="宋体"/>
                <w:color w:val="auto"/>
                <w:sz w:val="21"/>
                <w:highlight w:val="none"/>
              </w:rPr>
              <w:t>更正公告（澄清公告）</w:t>
            </w:r>
            <w:r>
              <w:rPr>
                <w:rFonts w:hAnsi="宋体"/>
                <w:color w:val="auto"/>
                <w:sz w:val="21"/>
                <w:highlight w:val="none"/>
              </w:rPr>
              <w:t>、</w:t>
            </w:r>
            <w:r>
              <w:rPr>
                <w:rFonts w:hint="eastAsia" w:hAnsi="宋体"/>
                <w:color w:val="auto"/>
                <w:sz w:val="21"/>
                <w:highlight w:val="none"/>
              </w:rPr>
              <w:t>竞争性磋商</w:t>
            </w:r>
            <w:r>
              <w:rPr>
                <w:rFonts w:hAnsi="宋体"/>
                <w:color w:val="auto"/>
                <w:sz w:val="21"/>
                <w:highlight w:val="none"/>
              </w:rPr>
              <w:t>公告、</w:t>
            </w:r>
            <w:r>
              <w:rPr>
                <w:rFonts w:hint="eastAsia" w:hAnsi="宋体"/>
                <w:color w:val="auto"/>
                <w:sz w:val="21"/>
                <w:highlight w:val="none"/>
              </w:rPr>
              <w:t>供应商</w:t>
            </w:r>
            <w:r>
              <w:rPr>
                <w:rFonts w:hAnsi="宋体"/>
                <w:color w:val="auto"/>
                <w:sz w:val="21"/>
                <w:highlight w:val="none"/>
              </w:rPr>
              <w:t>须知</w:t>
            </w:r>
            <w:r>
              <w:rPr>
                <w:rFonts w:hint="eastAsia" w:hAnsi="宋体"/>
                <w:color w:val="auto"/>
                <w:sz w:val="21"/>
                <w:highlight w:val="none"/>
              </w:rPr>
              <w:t>、采购需求</w:t>
            </w:r>
            <w:r>
              <w:rPr>
                <w:rFonts w:hAnsi="宋体"/>
                <w:color w:val="auto"/>
                <w:sz w:val="21"/>
                <w:highlight w:val="none"/>
              </w:rPr>
              <w:t>、</w:t>
            </w:r>
            <w:r>
              <w:rPr>
                <w:rFonts w:hint="eastAsia"/>
                <w:color w:val="auto"/>
                <w:sz w:val="21"/>
                <w:highlight w:val="none"/>
              </w:rPr>
              <w:t>评审程序、评审方法和评审标准</w:t>
            </w:r>
            <w:r>
              <w:rPr>
                <w:rFonts w:hAnsi="宋体"/>
                <w:color w:val="auto"/>
                <w:sz w:val="21"/>
                <w:highlight w:val="none"/>
              </w:rPr>
              <w:t>、</w:t>
            </w:r>
            <w:r>
              <w:rPr>
                <w:rFonts w:hint="eastAsia" w:hAnsi="宋体"/>
                <w:color w:val="auto"/>
                <w:sz w:val="21"/>
                <w:highlight w:val="none"/>
              </w:rPr>
              <w:t>响应</w:t>
            </w:r>
            <w:r>
              <w:rPr>
                <w:rFonts w:hAnsi="宋体"/>
                <w:color w:val="auto"/>
                <w:sz w:val="21"/>
                <w:highlight w:val="none"/>
              </w:rPr>
              <w:t>文件格式</w:t>
            </w:r>
            <w:r>
              <w:rPr>
                <w:rFonts w:hint="eastAsia" w:hAnsi="宋体"/>
                <w:color w:val="auto"/>
                <w:sz w:val="21"/>
                <w:highlight w:val="none"/>
              </w:rPr>
              <w:t>、合同文本</w:t>
            </w:r>
            <w:r>
              <w:rPr>
                <w:rFonts w:hAnsi="宋体"/>
                <w:color w:val="auto"/>
                <w:sz w:val="21"/>
                <w:highlight w:val="none"/>
              </w:rPr>
              <w:t>的先后顺序解释；同一组成文件中就同一事项的规定或者约定不一致的，以编排顺序在后者为准；同一组成文件不同版本之间有不一致的，以形成时间在后者为准；</w:t>
            </w:r>
            <w:r>
              <w:rPr>
                <w:rFonts w:hint="eastAsia" w:hAnsi="宋体"/>
                <w:color w:val="auto"/>
                <w:sz w:val="21"/>
                <w:highlight w:val="none"/>
              </w:rPr>
              <w:t>更正公告（澄清公告）</w:t>
            </w:r>
            <w:r>
              <w:rPr>
                <w:rFonts w:hAnsi="宋体"/>
                <w:color w:val="auto"/>
                <w:sz w:val="21"/>
                <w:highlight w:val="none"/>
              </w:rPr>
              <w:t>与同步更新的</w:t>
            </w:r>
            <w:r>
              <w:rPr>
                <w:rFonts w:hint="eastAsia" w:hAnsi="宋体"/>
                <w:color w:val="auto"/>
                <w:sz w:val="21"/>
                <w:highlight w:val="none"/>
              </w:rPr>
              <w:t>磋商文件</w:t>
            </w:r>
            <w:r>
              <w:rPr>
                <w:rFonts w:hAnsi="宋体"/>
                <w:color w:val="auto"/>
                <w:sz w:val="21"/>
                <w:highlight w:val="none"/>
              </w:rPr>
              <w:t>不一致时以</w:t>
            </w:r>
            <w:r>
              <w:rPr>
                <w:rFonts w:hint="eastAsia" w:hAnsi="宋体"/>
                <w:color w:val="auto"/>
                <w:sz w:val="21"/>
                <w:highlight w:val="none"/>
              </w:rPr>
              <w:t>更正公告（澄清公告）</w:t>
            </w:r>
            <w:r>
              <w:rPr>
                <w:rFonts w:hAnsi="宋体"/>
                <w:color w:val="auto"/>
                <w:sz w:val="21"/>
                <w:highlight w:val="none"/>
              </w:rPr>
              <w:t>为准。按本款前述规定仍不能形成结论的，由</w:t>
            </w:r>
            <w:r>
              <w:rPr>
                <w:rFonts w:hint="eastAsia" w:hAnsi="宋体"/>
                <w:color w:val="auto"/>
                <w:sz w:val="21"/>
                <w:highlight w:val="none"/>
              </w:rPr>
              <w:t>采购</w:t>
            </w:r>
            <w:r>
              <w:rPr>
                <w:rFonts w:hAnsi="宋体"/>
                <w:color w:val="auto"/>
                <w:sz w:val="21"/>
                <w:highlight w:val="none"/>
              </w:rPr>
              <w:t>人</w:t>
            </w:r>
            <w:r>
              <w:rPr>
                <w:rFonts w:hint="eastAsia" w:hAnsi="宋体"/>
                <w:color w:val="auto"/>
                <w:sz w:val="21"/>
                <w:highlight w:val="none"/>
              </w:rPr>
              <w:t>或者采购代理机构</w:t>
            </w:r>
            <w:r>
              <w:rPr>
                <w:rFonts w:hAnsi="宋体"/>
                <w:color w:val="auto"/>
                <w:sz w:val="21"/>
                <w:highlight w:val="none"/>
              </w:rPr>
              <w:t>负责解释。</w:t>
            </w:r>
          </w:p>
        </w:tc>
      </w:tr>
      <w:tr w14:paraId="05FE1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FF0BCD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33.2</w:t>
            </w:r>
          </w:p>
        </w:tc>
        <w:tc>
          <w:tcPr>
            <w:tcW w:w="7912" w:type="dxa"/>
            <w:vAlign w:val="center"/>
          </w:tcPr>
          <w:p w14:paraId="5188BE6C">
            <w:pPr>
              <w:pStyle w:val="25"/>
              <w:snapToGrid w:val="0"/>
              <w:spacing w:line="360" w:lineRule="auto"/>
              <w:rPr>
                <w:rFonts w:hint="eastAsia" w:hAnsi="宋体"/>
                <w:color w:val="auto"/>
                <w:sz w:val="21"/>
                <w:highlight w:val="none"/>
              </w:rPr>
            </w:pPr>
            <w:r>
              <w:rPr>
                <w:rFonts w:hint="eastAsia" w:hAnsi="宋体"/>
                <w:color w:val="auto"/>
                <w:sz w:val="21"/>
                <w:highlight w:val="none"/>
              </w:rPr>
              <w:t>农民工工资保证金：按照《保障农民工工资支付条例》及《广西壮族自治区人力资源和社会保障厅等8部门关于印发广西壮族自治区工程建设领域农民工工资专用账户管理暂行办法实施细则的通知》（桂人社规〔2022〕5号）有关规定执行。如开设了农民工工资专用账户的，应按规定比例足额将农民工工资保证金存入</w:t>
            </w:r>
            <w:r>
              <w:rPr>
                <w:rFonts w:hint="eastAsia" w:hAnsi="宋体"/>
                <w:color w:val="auto"/>
                <w:sz w:val="21"/>
                <w:highlight w:val="none"/>
                <w:lang w:eastAsia="zh-CN"/>
              </w:rPr>
              <w:t>账</w:t>
            </w:r>
            <w:r>
              <w:rPr>
                <w:rFonts w:hint="eastAsia" w:hAnsi="宋体"/>
                <w:color w:val="auto"/>
                <w:sz w:val="21"/>
                <w:highlight w:val="none"/>
              </w:rPr>
              <w:t>户，也可以使用银行保函。工程竣工验收结算经审定后，按照规定程序，将农民工工资保证金没有使用或剩余的金额退还给承包人。</w:t>
            </w:r>
          </w:p>
        </w:tc>
      </w:tr>
      <w:tr w14:paraId="174E7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F08186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w:t>
            </w:r>
            <w:r>
              <w:rPr>
                <w:rFonts w:hint="eastAsia" w:ascii="宋体" w:hAnsi="宋体" w:cs="宋体"/>
                <w:color w:val="auto"/>
                <w:szCs w:val="21"/>
                <w:highlight w:val="none"/>
              </w:rPr>
              <w:t>3</w:t>
            </w:r>
          </w:p>
        </w:tc>
        <w:tc>
          <w:tcPr>
            <w:tcW w:w="7912" w:type="dxa"/>
            <w:vAlign w:val="center"/>
          </w:tcPr>
          <w:p w14:paraId="749CF56A">
            <w:pPr>
              <w:pStyle w:val="25"/>
              <w:snapToGrid w:val="0"/>
              <w:spacing w:line="360" w:lineRule="auto"/>
              <w:rPr>
                <w:rFonts w:hint="eastAsia"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447FE728">
            <w:pPr>
              <w:pStyle w:val="25"/>
              <w:snapToGrid w:val="0"/>
              <w:spacing w:line="360" w:lineRule="auto"/>
              <w:rPr>
                <w:rFonts w:hint="eastAsia" w:hAnsi="宋体" w:cs="宋体"/>
                <w:color w:val="auto"/>
                <w:sz w:val="21"/>
                <w:highlight w:val="none"/>
              </w:rPr>
            </w:pPr>
            <w:r>
              <w:rPr>
                <w:rFonts w:hint="eastAsia" w:hAnsi="宋体" w:cs="宋体"/>
                <w:bCs/>
                <w:color w:val="auto"/>
                <w:sz w:val="21"/>
                <w:highlight w:val="none"/>
              </w:rPr>
              <w:t>2.本磋商文件所称的“</w:t>
            </w:r>
            <w:r>
              <w:rPr>
                <w:rFonts w:hint="eastAsia" w:hAnsi="宋体"/>
                <w:color w:val="auto"/>
                <w:sz w:val="21"/>
                <w:highlight w:val="none"/>
              </w:rPr>
              <w:t>电子签章</w:t>
            </w:r>
            <w:r>
              <w:rPr>
                <w:rFonts w:hint="eastAsia" w:hAnsi="宋体" w:cs="宋体"/>
                <w:bCs/>
                <w:color w:val="auto"/>
                <w:sz w:val="21"/>
                <w:highlight w:val="none"/>
              </w:rPr>
              <w:t>”、“电子签名”</w:t>
            </w:r>
            <w:r>
              <w:rPr>
                <w:rFonts w:hint="eastAsia" w:hAnsi="宋体"/>
                <w:color w:val="auto"/>
                <w:sz w:val="21"/>
                <w:highlight w:val="none"/>
              </w:rPr>
              <w:t>，是指经广西政府采购云平台认可的CA认证的电子签名数据为表现形式的印章，可用于签署电子响应文件，电子印章与实物印章具有同等法律效力，不因其采用电子化表现形式而否定其法律效力。</w:t>
            </w:r>
          </w:p>
          <w:p w14:paraId="79D3C8E9">
            <w:pPr>
              <w:pStyle w:val="25"/>
              <w:snapToGrid w:val="0"/>
              <w:spacing w:line="360" w:lineRule="auto"/>
              <w:rPr>
                <w:rFonts w:hint="eastAsia" w:hAnsi="宋体" w:cs="宋体"/>
                <w:bCs/>
                <w:color w:val="auto"/>
                <w:sz w:val="21"/>
                <w:highlight w:val="none"/>
              </w:rPr>
            </w:pPr>
            <w:r>
              <w:rPr>
                <w:rFonts w:hAnsi="宋体" w:cs="宋体"/>
                <w:color w:val="auto"/>
                <w:sz w:val="21"/>
                <w:highlight w:val="none"/>
              </w:rPr>
              <w:t>3</w:t>
            </w:r>
            <w:r>
              <w:rPr>
                <w:rFonts w:hint="eastAsia" w:hAnsi="宋体" w:cs="宋体"/>
                <w:color w:val="auto"/>
                <w:sz w:val="21"/>
                <w:highlight w:val="none"/>
              </w:rPr>
              <w:t>.供应商为其他组织时，本磋商文件规定的法定代表人指负责人。本磋商文件所称负责人是指参加竞标的其他组织</w:t>
            </w:r>
            <w:r>
              <w:rPr>
                <w:rFonts w:hint="eastAsia" w:hAnsi="宋体" w:cs="宋体"/>
                <w:bCs/>
                <w:color w:val="auto"/>
                <w:sz w:val="21"/>
                <w:highlight w:val="none"/>
              </w:rPr>
              <w:t>营业执照或者执业许可证等证照上的</w:t>
            </w:r>
            <w:r>
              <w:rPr>
                <w:rFonts w:hint="eastAsia" w:hAnsi="宋体" w:cs="宋体"/>
                <w:color w:val="auto"/>
                <w:sz w:val="21"/>
                <w:highlight w:val="none"/>
              </w:rPr>
              <w:t>负责人</w:t>
            </w:r>
            <w:r>
              <w:rPr>
                <w:rFonts w:hint="eastAsia" w:hAnsi="宋体" w:cs="宋体"/>
                <w:bCs/>
                <w:color w:val="auto"/>
                <w:sz w:val="21"/>
                <w:highlight w:val="none"/>
              </w:rPr>
              <w:t>。</w:t>
            </w:r>
          </w:p>
          <w:p w14:paraId="4CCF9B9D">
            <w:pPr>
              <w:pStyle w:val="25"/>
              <w:snapToGrid w:val="0"/>
              <w:spacing w:line="360" w:lineRule="auto"/>
              <w:rPr>
                <w:rFonts w:hint="eastAsia" w:hAnsi="宋体" w:cs="宋体"/>
                <w:color w:val="auto"/>
                <w:sz w:val="21"/>
                <w:highlight w:val="none"/>
              </w:rPr>
            </w:pPr>
            <w:r>
              <w:rPr>
                <w:rFonts w:hAnsi="宋体" w:cs="宋体"/>
                <w:color w:val="auto"/>
                <w:sz w:val="21"/>
                <w:highlight w:val="none"/>
              </w:rPr>
              <w:t>4.</w:t>
            </w:r>
            <w:r>
              <w:rPr>
                <w:rFonts w:hint="eastAsia" w:hAnsi="宋体" w:cs="宋体"/>
                <w:color w:val="auto"/>
                <w:sz w:val="21"/>
                <w:highlight w:val="none"/>
              </w:rPr>
              <w:t>本磋商文件中描述供应商的“签字”是指供应商的法定代表人或者委托代理人亲自在文件规定签署处亲笔写上个人的名字的行为，私章、签字章、印鉴、影印等其他形式均不能代替亲笔签字。</w:t>
            </w:r>
          </w:p>
          <w:p w14:paraId="5391B15F">
            <w:pPr>
              <w:pStyle w:val="25"/>
              <w:snapToGrid w:val="0"/>
              <w:spacing w:line="360" w:lineRule="auto"/>
              <w:rPr>
                <w:rFonts w:hint="eastAsia" w:hAnsi="宋体" w:cs="宋体"/>
                <w:color w:val="auto"/>
                <w:sz w:val="21"/>
                <w:highlight w:val="none"/>
              </w:rPr>
            </w:pPr>
            <w:r>
              <w:rPr>
                <w:rFonts w:hint="eastAsia" w:hAnsi="宋体" w:cs="宋体"/>
                <w:color w:val="auto"/>
                <w:sz w:val="21"/>
                <w:highlight w:val="none"/>
              </w:rPr>
              <w:t>5</w:t>
            </w:r>
            <w:r>
              <w:rPr>
                <w:rFonts w:hAnsi="宋体" w:cs="宋体"/>
                <w:color w:val="auto"/>
                <w:sz w:val="21"/>
                <w:highlight w:val="none"/>
              </w:rPr>
              <w:t>.</w:t>
            </w:r>
            <w:r>
              <w:rPr>
                <w:rFonts w:hint="eastAsia" w:hAnsi="宋体" w:cs="宋体"/>
                <w:color w:val="auto"/>
                <w:sz w:val="21"/>
                <w:highlight w:val="none"/>
              </w:rPr>
              <w:t>本磋商文件所称的“以上”“以下”“以内”“届满”，包括本数；所称的“不满”“超过”“以外”，不包括本数。</w:t>
            </w:r>
          </w:p>
        </w:tc>
      </w:tr>
    </w:tbl>
    <w:p w14:paraId="37B04990">
      <w:pPr>
        <w:spacing w:line="400" w:lineRule="exact"/>
        <w:jc w:val="center"/>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供应商须知正文</w:t>
      </w:r>
    </w:p>
    <w:p w14:paraId="0102EF09">
      <w:pPr>
        <w:spacing w:line="400" w:lineRule="exact"/>
        <w:jc w:val="center"/>
        <w:rPr>
          <w:rFonts w:hint="eastAsia" w:ascii="宋体" w:hAnsi="宋体"/>
          <w:b/>
          <w:color w:val="auto"/>
          <w:sz w:val="32"/>
          <w:szCs w:val="32"/>
          <w:highlight w:val="none"/>
        </w:rPr>
      </w:pPr>
    </w:p>
    <w:p w14:paraId="6898D7F3">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一、总则</w:t>
      </w:r>
    </w:p>
    <w:p w14:paraId="4AA18182">
      <w:pPr>
        <w:spacing w:line="400" w:lineRule="exact"/>
        <w:rPr>
          <w:rFonts w:hint="eastAsia" w:ascii="宋体" w:hAnsi="宋体"/>
          <w:color w:val="auto"/>
          <w:szCs w:val="21"/>
          <w:highlight w:val="none"/>
        </w:rPr>
      </w:pPr>
    </w:p>
    <w:p w14:paraId="30F243AD">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591B097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及本项目本级和上级财政部门政府采购有关规定的约束和保护。</w:t>
      </w:r>
    </w:p>
    <w:p w14:paraId="7D469D8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1.2本竞争性磋商文件（以下简称磋商文件）适用于本项目的所有采购程序和环节（法律、法规另有规定的，从其规定）</w:t>
      </w:r>
      <w:r>
        <w:rPr>
          <w:rFonts w:hint="eastAsia" w:ascii="宋体" w:hAnsi="宋体" w:cs="宋体"/>
          <w:color w:val="auto"/>
          <w:spacing w:val="-6"/>
          <w:szCs w:val="21"/>
          <w:highlight w:val="none"/>
        </w:rPr>
        <w:t>。</w:t>
      </w:r>
    </w:p>
    <w:p w14:paraId="19161D96">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0079B95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58C915A0">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354F8A1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4771A065">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2.4“工程”是指建设工程，包括建筑物和构筑物的新建、改建、扩建、装修、拆除、修缮等。</w:t>
      </w:r>
    </w:p>
    <w:p w14:paraId="6D232F2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“竞标”是指供应商按照本项目竞争性磋商公告或者邀请函规定的方式获取磋商文件、提交响应文件并希望获得标的的行为。</w:t>
      </w:r>
    </w:p>
    <w:p w14:paraId="79D61EDF">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266B5A82">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2.7“响应文件”是指：供应商根据本磋商文件要求，编制包含资格证明、报价、商务技术等所有内容的文件</w:t>
      </w:r>
      <w:r>
        <w:rPr>
          <w:rFonts w:hint="eastAsia" w:ascii="宋体" w:hAnsi="宋体" w:cs="宋体"/>
          <w:color w:val="auto"/>
          <w:spacing w:val="-6"/>
          <w:szCs w:val="21"/>
          <w:highlight w:val="none"/>
        </w:rPr>
        <w:t>。</w:t>
      </w:r>
    </w:p>
    <w:p w14:paraId="7F7BECB0">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2.8“实质性要求”是指磋商文件中已经指明不满足则响应文件按无效处理的条款，或者不能负偏离的条款，或者采购需求中带“▲”的条款。</w:t>
      </w:r>
    </w:p>
    <w:p w14:paraId="5034165F">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794B0CDB">
      <w:pPr>
        <w:spacing w:line="360" w:lineRule="auto"/>
        <w:ind w:firstLine="420" w:firstLineChars="200"/>
        <w:contextualSpacing/>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10“负偏离”，是指响应文件对磋商文件“采购需求”中有关条款作出的响应不满足条款要求，导致采购人要求不能得到满足的情形。</w:t>
      </w:r>
    </w:p>
    <w:p w14:paraId="4F391F4D">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5D729C9F">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w:t>
      </w:r>
      <w:r>
        <w:rPr>
          <w:rFonts w:hint="eastAsia" w:ascii="宋体" w:hAnsi="宋体" w:cs="宋体"/>
          <w:color w:val="auto"/>
          <w:szCs w:val="21"/>
          <w:highlight w:val="none"/>
        </w:rPr>
        <w:t>2“首次报价”是指供应商提交的首次响应文件中的报价。</w:t>
      </w:r>
    </w:p>
    <w:p w14:paraId="10EF5CD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49C8D50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38A26216">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4.竞标费用</w:t>
      </w:r>
    </w:p>
    <w:p w14:paraId="4899C45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4E0D984A">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7A983D8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3D7E2E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olor w:val="auto"/>
          <w:highlight w:val="none"/>
        </w:rPr>
        <w:t>如接受联合体竞标，</w:t>
      </w:r>
      <w:r>
        <w:rPr>
          <w:rFonts w:hint="eastAsia" w:ascii="宋体" w:hAnsi="宋体" w:cs="宋体"/>
          <w:color w:val="auto"/>
          <w:szCs w:val="21"/>
          <w:highlight w:val="none"/>
        </w:rPr>
        <w:t>联合体竞标要求详见“供应商须知前附表”。</w:t>
      </w:r>
    </w:p>
    <w:p w14:paraId="2CDB18B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w:t>
      </w:r>
      <w:bookmarkStart w:id="59" w:name="_Hlk66782192"/>
      <w:r>
        <w:rPr>
          <w:rFonts w:hint="eastAsia" w:ascii="宋体" w:hAnsi="宋体"/>
          <w:color w:val="auto"/>
          <w:szCs w:val="21"/>
          <w:highlight w:val="none"/>
        </w:rPr>
        <w:t>根据《政府采购促进中小企业发展管理办法》（财库〔2020〕46号）第九条第二款及《广西壮族自治区财政厅关于贯彻落实政府采购支持中小企业发展政策的通知》（桂财采〔2022〕31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1%-2%的扣除，用扣除后的价格参加评审。</w:t>
      </w:r>
      <w:bookmarkEnd w:id="59"/>
    </w:p>
    <w:p w14:paraId="6C50A795">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6D39DD50">
      <w:pPr>
        <w:pStyle w:val="7"/>
        <w:keepNext w:val="0"/>
        <w:keepLines w:val="0"/>
        <w:spacing w:before="0" w:after="0" w:line="360" w:lineRule="auto"/>
        <w:ind w:left="420" w:leftChars="200"/>
        <w:rPr>
          <w:rFonts w:hint="eastAsia" w:ascii="宋体" w:hAnsi="宋体"/>
          <w:b w:val="0"/>
          <w:color w:val="auto"/>
          <w:sz w:val="21"/>
          <w:szCs w:val="21"/>
          <w:highlight w:val="none"/>
        </w:rPr>
      </w:pPr>
      <w:bookmarkStart w:id="60" w:name="_Toc254970532"/>
      <w:bookmarkStart w:id="61" w:name="_Toc254970673"/>
      <w:r>
        <w:rPr>
          <w:rFonts w:hint="eastAsia" w:ascii="宋体" w:hAnsi="宋体"/>
          <w:b w:val="0"/>
          <w:color w:val="auto"/>
          <w:sz w:val="21"/>
          <w:szCs w:val="21"/>
          <w:highlight w:val="none"/>
        </w:rPr>
        <w:t>6.1本项目不允许转包。</w:t>
      </w:r>
    </w:p>
    <w:p w14:paraId="5FEC2C57">
      <w:pPr>
        <w:pStyle w:val="7"/>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6.2本项目是否允许分包详见“供应商须知前附表”，本项目不允许违法分包。允许分包的非主体、非关键性工作，根据法律法规规定承担该工作需要资质或者行政许可的，如该工作由供应商自行承担，供应商应具备相应的资质或者行政许可，如供应商不具备相应的资质或者行政许可必须采用分包的方式，但分包供应商应具备相应资质或者行政许可。</w:t>
      </w:r>
    </w:p>
    <w:p w14:paraId="026DDD33">
      <w:pPr>
        <w:pStyle w:val="7"/>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4BCBADF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bookmarkEnd w:id="60"/>
      <w:bookmarkEnd w:id="61"/>
    </w:p>
    <w:p w14:paraId="5FDDBEAA">
      <w:pPr>
        <w:spacing w:line="360" w:lineRule="auto"/>
        <w:ind w:firstLine="420" w:firstLineChars="200"/>
        <w:rPr>
          <w:rFonts w:hint="eastAsia" w:ascii="宋体" w:hAnsi="宋体" w:cs="宋体"/>
          <w:color w:val="auto"/>
          <w:szCs w:val="21"/>
          <w:highlight w:val="none"/>
        </w:rPr>
      </w:pPr>
      <w:bookmarkStart w:id="62" w:name="_8.1提供相同品牌产品且通过资格审查、符合性审查的不同投标人参加同一合"/>
      <w:bookmarkEnd w:id="62"/>
      <w:r>
        <w:rPr>
          <w:rFonts w:hint="eastAsia" w:ascii="宋体" w:hAnsi="宋体" w:cs="宋体"/>
          <w:color w:val="auto"/>
          <w:szCs w:val="21"/>
          <w:highlight w:val="none"/>
        </w:rPr>
        <w:t>7.</w:t>
      </w:r>
      <w:r>
        <w:rPr>
          <w:rFonts w:ascii="宋体" w:hAnsi="宋体" w:cs="宋体"/>
          <w:color w:val="auto"/>
          <w:szCs w:val="21"/>
          <w:highlight w:val="none"/>
        </w:rPr>
        <w:t>1</w:t>
      </w:r>
      <w:bookmarkStart w:id="63" w:name="_Hlk65832145"/>
      <w:r>
        <w:rPr>
          <w:rFonts w:hint="eastAsia" w:ascii="宋体" w:hAnsi="宋体"/>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bookmarkEnd w:id="63"/>
    <w:p w14:paraId="58E859B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2</w:t>
      </w:r>
      <w:r>
        <w:rPr>
          <w:rFonts w:hint="eastAsia" w:ascii="宋体" w:hAnsi="宋体" w:cs="宋体"/>
          <w:color w:val="auto"/>
          <w:szCs w:val="21"/>
          <w:highlight w:val="none"/>
        </w:rPr>
        <w:t>供应商应仔细阅读磋商文件的所有内容，按照磋商文件的要求提交响应文件，并对所提供的全部资料的真实性承担法律责任。</w:t>
      </w:r>
    </w:p>
    <w:p w14:paraId="64C7D3F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3</w:t>
      </w:r>
      <w:r>
        <w:rPr>
          <w:rFonts w:hint="eastAsia" w:ascii="宋体" w:hAnsi="宋体" w:cs="宋体"/>
          <w:color w:val="auto"/>
          <w:szCs w:val="21"/>
          <w:highlight w:val="none"/>
        </w:rPr>
        <w:t>供应商在竞标活动中提供任何虚假材料谋取成交的，将报财政部门查处；签订合同后发现的，成交供应商须依照《中华人民共和国消费者权益保护法》规定赔偿采购人，且民事赔偿并不免除违法供应商的行政与刑事责任。</w:t>
      </w:r>
    </w:p>
    <w:p w14:paraId="611CAEC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4</w:t>
      </w:r>
      <w:r>
        <w:rPr>
          <w:rFonts w:hint="eastAsia" w:ascii="宋体" w:hAnsi="宋体" w:cs="宋体"/>
          <w:color w:val="auto"/>
          <w:szCs w:val="21"/>
          <w:highlight w:val="none"/>
        </w:rPr>
        <w:t>在政府采购活动中，采购人员及相关人员与供应商有下列利害关系之一的，应当回避：</w:t>
      </w:r>
    </w:p>
    <w:p w14:paraId="246A23F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16F3B25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1E0DC97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11F6988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3C4517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41AF013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1CF8555">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7.</w:t>
      </w:r>
      <w:r>
        <w:rPr>
          <w:rFonts w:ascii="宋体" w:hAnsi="宋体" w:cs="宋体"/>
          <w:b/>
          <w:bCs/>
          <w:color w:val="auto"/>
          <w:szCs w:val="21"/>
          <w:highlight w:val="none"/>
        </w:rPr>
        <w:t>5</w:t>
      </w:r>
      <w:r>
        <w:rPr>
          <w:rFonts w:hint="eastAsia" w:ascii="宋体" w:hAnsi="宋体" w:cs="宋体"/>
          <w:b/>
          <w:bCs/>
          <w:color w:val="auto"/>
          <w:szCs w:val="21"/>
          <w:highlight w:val="none"/>
        </w:rPr>
        <w:t>有下列情形之一的视为供应商相互串通竞标，响应文件将被视为无效：</w:t>
      </w:r>
    </w:p>
    <w:p w14:paraId="413AF79A">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 xml:space="preserve">（1）不同供应商的响应文件由同一单位或者个人编制； </w:t>
      </w:r>
    </w:p>
    <w:p w14:paraId="0E39B42D">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（2）不同供应商委托同一单位或者个人办理竞标事宜；</w:t>
      </w:r>
    </w:p>
    <w:p w14:paraId="56C1E508">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（3）不同的供应商的响应文件载明的项目管理员为同一个人；</w:t>
      </w:r>
    </w:p>
    <w:p w14:paraId="677C5712">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（4）不同供应商的响应文件异常一致或者报价呈规律性差异；</w:t>
      </w:r>
    </w:p>
    <w:p w14:paraId="28252E59">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（5）不同供应商的响应文件相互混装；</w:t>
      </w:r>
    </w:p>
    <w:p w14:paraId="356FD9E2">
      <w:pPr>
        <w:tabs>
          <w:tab w:val="left" w:pos="6931"/>
        </w:tabs>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（6）不同供应商的磋商保证金从同一单位或者个人账户转出。</w:t>
      </w:r>
      <w:r>
        <w:rPr>
          <w:rFonts w:ascii="宋体" w:hAnsi="宋体" w:cs="宋体"/>
          <w:b/>
          <w:bCs/>
          <w:color w:val="auto"/>
          <w:szCs w:val="21"/>
          <w:highlight w:val="none"/>
        </w:rPr>
        <w:tab/>
      </w:r>
    </w:p>
    <w:p w14:paraId="1F068CD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6</w:t>
      </w:r>
      <w:r>
        <w:rPr>
          <w:rFonts w:hint="eastAsia" w:ascii="宋体" w:hAnsi="宋体" w:cs="宋体"/>
          <w:color w:val="auto"/>
          <w:szCs w:val="21"/>
          <w:highlight w:val="none"/>
        </w:rPr>
        <w:t>供应商有下列情形之一的，属于恶意串通行为，将报同级监督管理部门：</w:t>
      </w:r>
    </w:p>
    <w:p w14:paraId="5956EB5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768FB93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02C0F41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3F617F2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1A58091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3E615C8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382737C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5392ADFF">
      <w:pPr>
        <w:spacing w:line="360" w:lineRule="auto"/>
        <w:ind w:firstLine="420" w:firstLineChars="200"/>
        <w:rPr>
          <w:rFonts w:hint="eastAsia" w:ascii="宋体" w:hAnsi="宋体" w:cs="宋体"/>
          <w:color w:val="auto"/>
          <w:szCs w:val="21"/>
          <w:highlight w:val="none"/>
        </w:rPr>
      </w:pPr>
    </w:p>
    <w:p w14:paraId="3D29E308">
      <w:pPr>
        <w:spacing w:line="360" w:lineRule="auto"/>
        <w:ind w:left="1" w:firstLine="417" w:firstLineChars="199"/>
        <w:jc w:val="center"/>
        <w:rPr>
          <w:rFonts w:hint="eastAsia" w:ascii="宋体" w:hAnsi="宋体"/>
          <w:color w:val="auto"/>
          <w:highlight w:val="none"/>
        </w:rPr>
      </w:pPr>
      <w:bookmarkStart w:id="64" w:name="_Toc254970534"/>
      <w:bookmarkStart w:id="65" w:name="_Toc254970675"/>
    </w:p>
    <w:p w14:paraId="0AF78A1E">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二、磋商文件</w:t>
      </w:r>
      <w:bookmarkEnd w:id="64"/>
      <w:bookmarkEnd w:id="65"/>
    </w:p>
    <w:p w14:paraId="557A5D11">
      <w:pPr>
        <w:spacing w:line="360" w:lineRule="auto"/>
        <w:rPr>
          <w:rFonts w:hint="eastAsia" w:ascii="宋体" w:hAnsi="宋体"/>
          <w:color w:val="auto"/>
          <w:szCs w:val="21"/>
          <w:highlight w:val="none"/>
        </w:rPr>
      </w:pPr>
    </w:p>
    <w:p w14:paraId="5251298B">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14:paraId="0EB3A792">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第一章  竞争性磋商公告；</w:t>
      </w:r>
    </w:p>
    <w:p w14:paraId="1D303900">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第二章  供应商须知； </w:t>
      </w:r>
    </w:p>
    <w:p w14:paraId="5E0767E0">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第三章  采购需求；</w:t>
      </w:r>
    </w:p>
    <w:p w14:paraId="5D28E306">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第四章  评审程序、评审方法和评审标准；</w:t>
      </w:r>
    </w:p>
    <w:p w14:paraId="049A578B">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第五章  工程量清单及图纸；</w:t>
      </w:r>
    </w:p>
    <w:p w14:paraId="301D145D">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第六章  响应文件格式；</w:t>
      </w:r>
    </w:p>
    <w:p w14:paraId="66A2F558">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第七章  合同文本。</w:t>
      </w:r>
    </w:p>
    <w:p w14:paraId="14AB2EB4">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062B5AE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供应商应认真阅读磋商文件的采购需求，如供应商对磋商文件有疑问的，如要求采购人作出澄清或者修改的，供应商尽可能在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484BFE0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14:paraId="265D3AC5">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提交首次响应文件截止之日前，采购人或者采购代理机构可以对已发出的磋商文件进行必要的澄清或者修改，澄清或者修改的内容作为磋商文件的组成部分。澄清或者修改的内容可能影响响应文件编制的，</w:t>
      </w:r>
      <w:r>
        <w:rPr>
          <w:rFonts w:hint="eastAsia" w:ascii="宋体" w:hAnsi="宋体"/>
          <w:color w:val="auto"/>
          <w:szCs w:val="21"/>
          <w:highlight w:val="none"/>
        </w:rPr>
        <w:t>采购人或者采购代理机构应当</w:t>
      </w:r>
      <w:r>
        <w:rPr>
          <w:rFonts w:ascii="宋体" w:hAnsi="宋体"/>
          <w:color w:val="auto"/>
          <w:szCs w:val="21"/>
          <w:highlight w:val="none"/>
        </w:rPr>
        <w:t>在提交首次响应文件截止之日3个工作日前，以书面形式通知所有</w:t>
      </w:r>
      <w:r>
        <w:rPr>
          <w:rFonts w:hint="eastAsia" w:ascii="宋体" w:hAnsi="宋体"/>
          <w:color w:val="auto"/>
          <w:szCs w:val="21"/>
          <w:highlight w:val="none"/>
        </w:rPr>
        <w:t>获取</w:t>
      </w:r>
      <w:r>
        <w:rPr>
          <w:rFonts w:ascii="宋体" w:hAnsi="宋体"/>
          <w:color w:val="auto"/>
          <w:szCs w:val="21"/>
          <w:highlight w:val="none"/>
        </w:rPr>
        <w:t>磋商文件的供应商，不足3个工作日的，应当顺延提交首次响应文件截止之日。</w:t>
      </w:r>
    </w:p>
    <w:p w14:paraId="61A46471">
      <w:pPr>
        <w:spacing w:line="360" w:lineRule="auto"/>
        <w:rPr>
          <w:rFonts w:hint="eastAsia" w:ascii="宋体" w:hAnsi="宋体"/>
          <w:color w:val="auto"/>
          <w:szCs w:val="21"/>
          <w:highlight w:val="none"/>
        </w:rPr>
      </w:pPr>
    </w:p>
    <w:p w14:paraId="7AAE2AD3">
      <w:pPr>
        <w:spacing w:line="360" w:lineRule="auto"/>
        <w:jc w:val="center"/>
        <w:rPr>
          <w:rFonts w:hint="eastAsia" w:ascii="宋体" w:hAnsi="宋体"/>
          <w:b/>
          <w:bCs/>
          <w:color w:val="auto"/>
          <w:szCs w:val="21"/>
          <w:highlight w:val="none"/>
        </w:rPr>
      </w:pPr>
      <w:r>
        <w:rPr>
          <w:rFonts w:hint="eastAsia" w:ascii="宋体" w:hAnsi="宋体"/>
          <w:b/>
          <w:bCs/>
          <w:color w:val="auto"/>
          <w:sz w:val="32"/>
          <w:szCs w:val="32"/>
          <w:highlight w:val="none"/>
        </w:rPr>
        <w:t>三、响应文件的编制</w:t>
      </w:r>
    </w:p>
    <w:p w14:paraId="06ADD073">
      <w:pPr>
        <w:spacing w:line="360" w:lineRule="auto"/>
        <w:rPr>
          <w:rFonts w:hint="eastAsia" w:ascii="宋体" w:hAnsi="宋体"/>
          <w:color w:val="auto"/>
          <w:szCs w:val="21"/>
          <w:highlight w:val="none"/>
        </w:rPr>
      </w:pPr>
    </w:p>
    <w:p w14:paraId="55227F8D">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278431C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15761B7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6F08C0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14:paraId="3DD4B73E">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14:paraId="24868BE2">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12.1.2报价文件：详见“供应商须知前附表”</w:t>
      </w:r>
    </w:p>
    <w:p w14:paraId="58B12615">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1F0ECA5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15748BB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332018B0">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715FD66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04B2002C">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15.竞标报价</w:t>
      </w:r>
    </w:p>
    <w:p w14:paraId="3BBD531A">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15.1竞标报价应按磋商文件中“竞标报价表”格式填写。</w:t>
      </w:r>
    </w:p>
    <w:p w14:paraId="6929F258">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15.2竞标报价的内容见“供应商须知前附表”。</w:t>
      </w:r>
    </w:p>
    <w:p w14:paraId="09431B60">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15.3本项目的增值税计税方法见“供应商须知前附表”。</w:t>
      </w:r>
    </w:p>
    <w:p w14:paraId="6E7DD996">
      <w:pPr>
        <w:spacing w:line="360" w:lineRule="auto"/>
        <w:ind w:left="426" w:leftChars="203"/>
        <w:rPr>
          <w:rFonts w:hint="eastAsia" w:ascii="宋体" w:hAnsi="宋体" w:cs="宋体"/>
          <w:color w:val="auto"/>
          <w:szCs w:val="21"/>
          <w:highlight w:val="none"/>
        </w:rPr>
      </w:pPr>
      <w:r>
        <w:rPr>
          <w:rFonts w:hint="eastAsia" w:ascii="宋体" w:hAnsi="宋体" w:cs="宋体"/>
          <w:color w:val="auto"/>
          <w:szCs w:val="21"/>
          <w:highlight w:val="none"/>
        </w:rPr>
        <w:t>15.4竞标报价要求</w:t>
      </w:r>
    </w:p>
    <w:p w14:paraId="6D1133AB">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w:t>
      </w:r>
      <w:r>
        <w:rPr>
          <w:rFonts w:ascii="宋体" w:hAnsi="宋体" w:cs="宋体"/>
          <w:b/>
          <w:bCs/>
          <w:color w:val="auto"/>
          <w:szCs w:val="21"/>
          <w:highlight w:val="none"/>
        </w:rPr>
        <w:t>5.</w:t>
      </w:r>
      <w:r>
        <w:rPr>
          <w:rFonts w:hint="eastAsia" w:ascii="宋体" w:hAnsi="宋体" w:cs="宋体"/>
          <w:b/>
          <w:bCs/>
          <w:color w:val="auto"/>
          <w:szCs w:val="21"/>
          <w:highlight w:val="none"/>
        </w:rPr>
        <w:t>4</w:t>
      </w:r>
      <w:r>
        <w:rPr>
          <w:rFonts w:ascii="宋体" w:hAnsi="宋体" w:cs="宋体"/>
          <w:b/>
          <w:bCs/>
          <w:color w:val="auto"/>
          <w:szCs w:val="21"/>
          <w:highlight w:val="none"/>
        </w:rPr>
        <w:t>.1</w:t>
      </w:r>
      <w:r>
        <w:rPr>
          <w:rFonts w:hint="eastAsia" w:ascii="宋体" w:hAnsi="宋体" w:cs="宋体"/>
          <w:b/>
          <w:bCs/>
          <w:color w:val="auto"/>
          <w:szCs w:val="21"/>
          <w:highlight w:val="none"/>
        </w:rPr>
        <w:t>供应商的竞标报价应符合以下要求，否则响应文件按无效处理：</w:t>
      </w:r>
    </w:p>
    <w:p w14:paraId="47F821C7">
      <w:pPr>
        <w:spacing w:line="360" w:lineRule="auto"/>
        <w:ind w:left="420" w:leftChars="200"/>
        <w:rPr>
          <w:rFonts w:hint="eastAsia" w:ascii="宋体" w:hAnsi="宋体" w:cs="宋体"/>
          <w:b/>
          <w:bCs/>
          <w:color w:val="auto"/>
          <w:szCs w:val="21"/>
          <w:highlight w:val="none"/>
        </w:rPr>
      </w:pPr>
      <w:r>
        <w:rPr>
          <w:rFonts w:hint="eastAsia" w:ascii="宋体" w:hAnsi="宋体" w:cs="宋体"/>
          <w:b/>
          <w:bCs/>
          <w:color w:val="auto"/>
          <w:szCs w:val="21"/>
          <w:highlight w:val="none"/>
        </w:rPr>
        <w:t>（1）供应商必须就“采购需求”中所竞标的每个分标的全部内容分别作完整唯一总价报价，</w:t>
      </w:r>
    </w:p>
    <w:p w14:paraId="1534B679">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不得存在漏项报价；</w:t>
      </w:r>
    </w:p>
    <w:p w14:paraId="2248F801">
      <w:pPr>
        <w:numPr>
          <w:ilvl w:val="0"/>
          <w:numId w:val="1"/>
        </w:num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供应商必须就所竞标的分标的单项内容作唯一报价。</w:t>
      </w:r>
    </w:p>
    <w:p w14:paraId="645F131B">
      <w:pPr>
        <w:numPr>
          <w:ilvl w:val="0"/>
          <w:numId w:val="1"/>
        </w:numPr>
        <w:spacing w:line="360" w:lineRule="auto"/>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供应商竞标报价（含总报价和单项报价）如明显低于其他通过符合性审查供应商的报价，有可能不能诚信履约的，磋商</w:t>
      </w:r>
      <w:r>
        <w:rPr>
          <w:rFonts w:ascii="宋体" w:hAnsi="宋体" w:cs="宋体"/>
          <w:b/>
          <w:bCs/>
          <w:color w:val="auto"/>
          <w:szCs w:val="21"/>
          <w:highlight w:val="none"/>
        </w:rPr>
        <w:t>小组可</w:t>
      </w:r>
      <w:r>
        <w:rPr>
          <w:rFonts w:ascii="ˎ̥" w:hAnsi="ˎ̥"/>
          <w:b/>
          <w:bCs/>
          <w:color w:val="auto"/>
          <w:sz w:val="22"/>
          <w:szCs w:val="22"/>
          <w:highlight w:val="none"/>
        </w:rPr>
        <w:t>要求其在评标现场合理的时间内提供书面说明</w:t>
      </w:r>
      <w:r>
        <w:rPr>
          <w:rFonts w:hint="eastAsia" w:ascii="宋体" w:hAnsi="宋体" w:cs="宋体"/>
          <w:b/>
          <w:bCs/>
          <w:color w:val="auto"/>
          <w:szCs w:val="21"/>
          <w:highlight w:val="none"/>
        </w:rPr>
        <w:t>。如无法提供说明，或者说明不足以证明合理性的，经磋商小组评定，响应文件按无效处理。</w:t>
      </w:r>
    </w:p>
    <w:p w14:paraId="2E6CDD5C">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15.4.</w:t>
      </w:r>
      <w:r>
        <w:rPr>
          <w:rFonts w:ascii="宋体" w:hAnsi="宋体" w:cs="宋体"/>
          <w:b/>
          <w:bCs/>
          <w:color w:val="auto"/>
          <w:szCs w:val="21"/>
          <w:highlight w:val="none"/>
        </w:rPr>
        <w:t>2</w:t>
      </w:r>
      <w:r>
        <w:rPr>
          <w:rFonts w:hint="eastAsia" w:ascii="宋体" w:hAnsi="宋体" w:cs="宋体"/>
          <w:b/>
          <w:bCs/>
          <w:color w:val="auto"/>
          <w:szCs w:val="21"/>
          <w:highlight w:val="none"/>
        </w:rPr>
        <w:t>竞标报价（包含首次报价、最后报价）超过所竞标分标规定的采购预算金额或者最高限价的，其响应文件将按无效处理。</w:t>
      </w:r>
    </w:p>
    <w:p w14:paraId="2174D124">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15.4.</w:t>
      </w:r>
      <w:r>
        <w:rPr>
          <w:rFonts w:ascii="宋体" w:hAnsi="宋体" w:cs="宋体"/>
          <w:b/>
          <w:bCs/>
          <w:color w:val="auto"/>
          <w:szCs w:val="21"/>
          <w:highlight w:val="none"/>
        </w:rPr>
        <w:t>3</w:t>
      </w:r>
      <w:bookmarkStart w:id="66" w:name="_Hlk42592874"/>
      <w:r>
        <w:rPr>
          <w:rFonts w:hint="eastAsia" w:ascii="宋体" w:hAnsi="宋体" w:cs="宋体"/>
          <w:b/>
          <w:bCs/>
          <w:color w:val="auto"/>
          <w:szCs w:val="21"/>
          <w:highlight w:val="none"/>
        </w:rPr>
        <w:t>竞标报价（包含首次报价、最后报价）超过分项采购预算金额或者最高限价的（如有要求），其响应文件将按无效处理。</w:t>
      </w:r>
    </w:p>
    <w:p w14:paraId="198806D5">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15.4.4供应商在提交响应文件截止时间前修改竞标函中的竞标总报价，应同时修改响应文件“已标价工程量清单”(如有)中的相应报价。此修改须符合本须知正文第20条、第21条的有关要求。</w:t>
      </w:r>
    </w:p>
    <w:bookmarkEnd w:id="66"/>
    <w:p w14:paraId="127AC810">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0B59C78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0E479AD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6C0B46E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07ABD2E1">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17.磋商保证金</w:t>
      </w:r>
    </w:p>
    <w:p w14:paraId="65C5B5D0">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6CDCCF9E">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17.2磋商保证金的退还</w:t>
      </w:r>
    </w:p>
    <w:p w14:paraId="6E15BF2E">
      <w:pPr>
        <w:spacing w:line="360" w:lineRule="auto"/>
        <w:ind w:firstLine="420" w:firstLineChars="200"/>
        <w:rPr>
          <w:rFonts w:hint="eastAsia" w:ascii="宋体" w:hAnsi="宋体" w:cs="宋体"/>
          <w:color w:val="auto"/>
          <w:szCs w:val="21"/>
          <w:highlight w:val="none"/>
        </w:rPr>
      </w:pPr>
      <w:bookmarkStart w:id="67" w:name="_Hlk66782243"/>
      <w:r>
        <w:rPr>
          <w:rFonts w:hint="eastAsia" w:ascii="宋体" w:hAnsi="宋体" w:cs="宋体"/>
          <w:color w:val="auto"/>
          <w:szCs w:val="21"/>
          <w:highlight w:val="none"/>
        </w:rPr>
        <w:t>未成交供应商的磋商保证金自成交通知书发出之日起5个工作日内退还；成交供应商的磋商保证金自签订合同之日起5个工作日内退还或者转为成交供应商的履约保证金。</w:t>
      </w:r>
      <w:bookmarkEnd w:id="67"/>
    </w:p>
    <w:p w14:paraId="53543F5F">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17.3磋商保证金不计息。</w:t>
      </w:r>
    </w:p>
    <w:p w14:paraId="620FFC7F">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14:paraId="1A567DF0">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032A25F3">
      <w:pPr>
        <w:spacing w:line="360" w:lineRule="auto"/>
        <w:ind w:left="420" w:leftChars="200"/>
        <w:rPr>
          <w:rFonts w:hint="eastAsia" w:ascii="宋体" w:hAnsi="宋体" w:cs="宋体"/>
          <w:color w:val="auto"/>
          <w:szCs w:val="21"/>
          <w:highlight w:val="none"/>
        </w:rPr>
      </w:pPr>
      <w:r>
        <w:rPr>
          <w:rFonts w:hint="eastAsia" w:ascii="宋体" w:hAnsi="宋体"/>
          <w:color w:val="auto"/>
          <w:szCs w:val="21"/>
          <w:highlight w:val="none"/>
        </w:rPr>
        <w:t>（2）未按规定提交履约保证金的；</w:t>
      </w:r>
    </w:p>
    <w:p w14:paraId="02FE92E1">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7B556CA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（4）除因不可抗力或者磋商文件认可的情形以外，成交供应商不与采购人签订合同的；</w:t>
      </w:r>
    </w:p>
    <w:p w14:paraId="1736F666">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329752E4">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（6）法律法规规定的其他情形。</w:t>
      </w:r>
    </w:p>
    <w:p w14:paraId="7253B244">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14:paraId="0FEAD8D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18.1供应商应先安装“广西政府采购云电子交易客户端”（请自行前往广西政府采购云平台进行下载），并按照本项目磋商文件规定的格式和顺序和广西政府采购云平台的要求编制并加密。响应文件内容不完整、编排混乱导致响应文件被误读、漏读或者查找不到相关内容的，由此引发的后果由供应商承担。</w:t>
      </w:r>
    </w:p>
    <w:p w14:paraId="3F8C4BA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18.2为确保网上操作合法、有效和安全，供应商应当在提交响应文件截止时间前完成在广西政府采购云平台的身份认证，确保在电子竞标过程中能够对相关数据电文进行加密和使用电子签章。</w:t>
      </w:r>
    </w:p>
    <w:p w14:paraId="043EFFF7">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18.3响应文件须由供应商在规定位置签字、盖章（具体以供应商须知前附表或响应文件格式规定为准），否则按无效响应处理。</w:t>
      </w:r>
    </w:p>
    <w:p w14:paraId="7FEE6657">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18.4响应文件中标注的供应商名称应与主体资格证明（如营业执照或者事业单位法人证书或者执业许可证或者登记证书等）及公章一致，否则其响应文件按无效处理。</w:t>
      </w:r>
    </w:p>
    <w:p w14:paraId="77D91F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5FAC83C6">
      <w:pPr>
        <w:spacing w:line="360" w:lineRule="auto"/>
        <w:ind w:firstLine="482" w:firstLineChars="200"/>
        <w:rPr>
          <w:rFonts w:hint="eastAsia" w:ascii="黑体" w:hAnsi="黑体" w:eastAsia="黑体"/>
          <w:color w:val="auto"/>
          <w:sz w:val="24"/>
          <w:highlight w:val="none"/>
        </w:rPr>
      </w:pPr>
      <w:r>
        <w:rPr>
          <w:rFonts w:hint="eastAsia" w:ascii="黑体" w:hAnsi="黑体" w:eastAsia="黑体" w:cs="宋体"/>
          <w:b/>
          <w:bCs/>
          <w:color w:val="auto"/>
          <w:sz w:val="24"/>
          <w:highlight w:val="none"/>
        </w:rPr>
        <w:t>19.电子</w:t>
      </w:r>
      <w:r>
        <w:rPr>
          <w:rFonts w:hint="eastAsia" w:ascii="黑体" w:hAnsi="黑体" w:eastAsia="黑体"/>
          <w:b/>
          <w:color w:val="auto"/>
          <w:sz w:val="24"/>
          <w:highlight w:val="none"/>
        </w:rPr>
        <w:t>备份响应文件</w:t>
      </w:r>
    </w:p>
    <w:p w14:paraId="7848278E">
      <w:pPr>
        <w:spacing w:line="360" w:lineRule="auto"/>
        <w:ind w:firstLine="420" w:firstLineChars="200"/>
        <w:rPr>
          <w:rFonts w:hint="eastAsia" w:ascii="宋体" w:hAnsi="宋体" w:cs="宋体"/>
          <w:color w:val="auto"/>
          <w:szCs w:val="21"/>
          <w:highlight w:val="none"/>
        </w:rPr>
      </w:pPr>
      <w:r>
        <w:rPr>
          <w:rFonts w:hint="eastAsia"/>
          <w:color w:val="auto"/>
          <w:highlight w:val="none"/>
        </w:rPr>
        <w:t>电子备份响应文件是指通过“广西政府采购云电子投标客户端”在线编制生成且后缀名为“</w:t>
      </w:r>
      <w:r>
        <w:rPr>
          <w:color w:val="auto"/>
          <w:highlight w:val="none"/>
        </w:rPr>
        <w:t>bfbs</w:t>
      </w:r>
      <w:r>
        <w:rPr>
          <w:rFonts w:hint="eastAsia"/>
          <w:color w:val="auto"/>
          <w:highlight w:val="none"/>
        </w:rPr>
        <w:t>”的文件，是否接受电子备份响应文件</w:t>
      </w:r>
      <w:r>
        <w:rPr>
          <w:rFonts w:hint="eastAsia" w:hAnsi="宋体"/>
          <w:bCs/>
          <w:color w:val="auto"/>
          <w:szCs w:val="21"/>
          <w:highlight w:val="none"/>
        </w:rPr>
        <w:t>详见在“供应商须知前附表”。</w:t>
      </w:r>
    </w:p>
    <w:p w14:paraId="0322709F">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5B4724F4">
      <w:pPr>
        <w:spacing w:line="360" w:lineRule="auto"/>
        <w:ind w:firstLine="420" w:firstLineChars="200"/>
        <w:rPr>
          <w:rFonts w:hint="eastAsia" w:hAnsi="宋体"/>
          <w:b/>
          <w:color w:val="auto"/>
          <w:highlight w:val="none"/>
        </w:rPr>
      </w:pPr>
      <w:r>
        <w:rPr>
          <w:rFonts w:hint="eastAsia" w:hAnsi="宋体"/>
          <w:bCs/>
          <w:color w:val="auto"/>
          <w:szCs w:val="21"/>
          <w:highlight w:val="none"/>
        </w:rPr>
        <w:t>20.1供应商必须按“供应商须知前附表”规定的</w:t>
      </w:r>
      <w:r>
        <w:rPr>
          <w:rFonts w:hint="eastAsia" w:ascii="宋体" w:hAnsi="宋体" w:cs="宋体"/>
          <w:color w:val="auto"/>
          <w:szCs w:val="21"/>
          <w:highlight w:val="none"/>
        </w:rPr>
        <w:t>时间</w:t>
      </w:r>
      <w:r>
        <w:rPr>
          <w:rFonts w:hint="eastAsia" w:ascii="宋体" w:hAnsi="宋体"/>
          <w:color w:val="auto"/>
          <w:szCs w:val="21"/>
          <w:highlight w:val="none"/>
        </w:rPr>
        <w:t>及</w:t>
      </w:r>
      <w:r>
        <w:rPr>
          <w:rFonts w:hint="eastAsia" w:hAnsi="宋体"/>
          <w:bCs/>
          <w:color w:val="auto"/>
          <w:szCs w:val="21"/>
          <w:highlight w:val="none"/>
        </w:rPr>
        <w:t>地点提交响应文件。电子响应文件应在制作完成后，</w:t>
      </w:r>
      <w:r>
        <w:rPr>
          <w:rFonts w:hAnsi="宋体"/>
          <w:bCs/>
          <w:color w:val="auto"/>
          <w:szCs w:val="21"/>
          <w:highlight w:val="none"/>
        </w:rPr>
        <w:t>在</w:t>
      </w:r>
      <w:r>
        <w:rPr>
          <w:rFonts w:hint="eastAsia" w:hAnsi="宋体"/>
          <w:bCs/>
          <w:color w:val="auto"/>
          <w:szCs w:val="21"/>
          <w:highlight w:val="none"/>
        </w:rPr>
        <w:t>提交响应文件截止</w:t>
      </w:r>
      <w:r>
        <w:rPr>
          <w:rFonts w:hAnsi="宋体"/>
          <w:bCs/>
          <w:color w:val="auto"/>
          <w:szCs w:val="21"/>
          <w:highlight w:val="none"/>
        </w:rPr>
        <w:t>时间前</w:t>
      </w:r>
      <w:r>
        <w:rPr>
          <w:rFonts w:hint="eastAsia" w:hAnsi="宋体"/>
          <w:bCs/>
          <w:color w:val="auto"/>
          <w:szCs w:val="21"/>
          <w:highlight w:val="none"/>
        </w:rPr>
        <w:t>通过有效数字证书（CA认证锁）进行电子签章、加密，然后通过网络将加密的电子响应文件提交至</w:t>
      </w:r>
      <w:r>
        <w:rPr>
          <w:rFonts w:hint="eastAsia" w:ascii="宋体" w:hAnsi="宋体"/>
          <w:color w:val="auto"/>
          <w:szCs w:val="21"/>
          <w:highlight w:val="none"/>
        </w:rPr>
        <w:t>广西政府采购云平台</w:t>
      </w:r>
      <w:r>
        <w:rPr>
          <w:rFonts w:hint="eastAsia" w:hAnsi="宋体"/>
          <w:bCs/>
          <w:color w:val="auto"/>
          <w:szCs w:val="21"/>
          <w:highlight w:val="none"/>
        </w:rPr>
        <w:t>。</w:t>
      </w:r>
    </w:p>
    <w:p w14:paraId="53619064">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2</w:t>
      </w:r>
      <w:r>
        <w:rPr>
          <w:rFonts w:hint="eastAsia" w:ascii="宋体" w:hAnsi="宋体"/>
          <w:color w:val="auto"/>
          <w:szCs w:val="21"/>
          <w:highlight w:val="none"/>
        </w:rPr>
        <w:t>未在规定时间内提交或者未按照磋商文件要求加密的电子响应文件，广西政府采购云平台将拒收。</w:t>
      </w:r>
    </w:p>
    <w:p w14:paraId="60ED1E7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03B5FE9E">
      <w:pPr>
        <w:spacing w:line="360" w:lineRule="auto"/>
        <w:ind w:firstLine="420" w:firstLineChars="200"/>
        <w:rPr>
          <w:rFonts w:hint="eastAsia" w:hAnsi="宋体"/>
          <w:bCs/>
          <w:color w:val="auto"/>
          <w:szCs w:val="21"/>
          <w:highlight w:val="none"/>
        </w:rPr>
      </w:pPr>
      <w:bookmarkStart w:id="68" w:name="_Toc254970543"/>
      <w:bookmarkStart w:id="69" w:name="_Toc254970684"/>
      <w:r>
        <w:rPr>
          <w:rFonts w:hAnsi="宋体"/>
          <w:bCs/>
          <w:color w:val="auto"/>
          <w:szCs w:val="21"/>
          <w:highlight w:val="none"/>
        </w:rPr>
        <w:t>2</w:t>
      </w:r>
      <w:r>
        <w:rPr>
          <w:rFonts w:hint="eastAsia" w:hAnsi="宋体"/>
          <w:bCs/>
          <w:color w:val="auto"/>
          <w:szCs w:val="21"/>
          <w:highlight w:val="none"/>
        </w:rPr>
        <w:t>1.1供应商应当在提交响应文件截止</w:t>
      </w:r>
      <w:r>
        <w:rPr>
          <w:rFonts w:hAnsi="宋体"/>
          <w:bCs/>
          <w:color w:val="auto"/>
          <w:szCs w:val="21"/>
          <w:highlight w:val="none"/>
        </w:rPr>
        <w:t>时间</w:t>
      </w:r>
      <w:r>
        <w:rPr>
          <w:rFonts w:hint="eastAsia" w:hAnsi="宋体"/>
          <w:bCs/>
          <w:color w:val="auto"/>
          <w:szCs w:val="21"/>
          <w:highlight w:val="none"/>
        </w:rPr>
        <w:t>前完成电子响应文件的提交（上传），提交响应文件截止</w:t>
      </w:r>
      <w:r>
        <w:rPr>
          <w:rFonts w:hAnsi="宋体"/>
          <w:bCs/>
          <w:color w:val="auto"/>
          <w:szCs w:val="21"/>
          <w:highlight w:val="none"/>
        </w:rPr>
        <w:t>时间</w:t>
      </w:r>
      <w:r>
        <w:rPr>
          <w:rFonts w:hint="eastAsia" w:hAnsi="宋体"/>
          <w:bCs/>
          <w:color w:val="auto"/>
          <w:szCs w:val="21"/>
          <w:highlight w:val="none"/>
        </w:rPr>
        <w:t>前可以补充、修改或者撤回响应文件。补充或者修改响应文件的，应当先行撤回原响应文件，补充、修改后重新提交（上传），提交响应文件截止</w:t>
      </w:r>
      <w:r>
        <w:rPr>
          <w:rFonts w:hAnsi="宋体"/>
          <w:bCs/>
          <w:color w:val="auto"/>
          <w:szCs w:val="21"/>
          <w:highlight w:val="none"/>
        </w:rPr>
        <w:t>时间</w:t>
      </w:r>
      <w:r>
        <w:rPr>
          <w:rFonts w:hint="eastAsia" w:hAnsi="宋体"/>
          <w:bCs/>
          <w:color w:val="auto"/>
          <w:szCs w:val="21"/>
          <w:highlight w:val="none"/>
        </w:rPr>
        <w:t>前未完成提交（上传）的，视为撤回响应文件。提交响应文件截止</w:t>
      </w:r>
      <w:r>
        <w:rPr>
          <w:rFonts w:hAnsi="宋体"/>
          <w:bCs/>
          <w:color w:val="auto"/>
          <w:szCs w:val="21"/>
          <w:highlight w:val="none"/>
        </w:rPr>
        <w:t>时间</w:t>
      </w:r>
      <w:r>
        <w:rPr>
          <w:rFonts w:hint="eastAsia" w:hAnsi="宋体"/>
          <w:bCs/>
          <w:color w:val="auto"/>
          <w:szCs w:val="21"/>
          <w:highlight w:val="none"/>
        </w:rPr>
        <w:t>以后提交（上传）的响应文件，广西政府采购云平台将予以拒收。（注：补充、修改或者撤回方式可登录广西政府采购云平台，进入“服务中心”中查看“电子投标文件制作与投送教程”）</w:t>
      </w:r>
    </w:p>
    <w:bookmarkEnd w:id="68"/>
    <w:bookmarkEnd w:id="69"/>
    <w:p w14:paraId="77F5A8E5">
      <w:pPr>
        <w:pStyle w:val="156"/>
        <w:spacing w:before="0"/>
        <w:ind w:firstLine="420"/>
        <w:rPr>
          <w:rFonts w:hint="eastAsia"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1</w:t>
      </w:r>
      <w:r>
        <w:rPr>
          <w:rFonts w:ascii="宋体" w:hAnsi="宋体" w:cs="宋体"/>
          <w:color w:val="auto"/>
          <w:sz w:val="21"/>
          <w:szCs w:val="21"/>
          <w:highlight w:val="none"/>
        </w:rPr>
        <w:t>.</w:t>
      </w:r>
      <w:r>
        <w:rPr>
          <w:rFonts w:hint="eastAsia" w:ascii="宋体" w:hAnsi="宋体" w:cs="宋体"/>
          <w:color w:val="auto"/>
          <w:sz w:val="21"/>
          <w:szCs w:val="21"/>
          <w:highlight w:val="none"/>
        </w:rPr>
        <w:t>2在提交响应文件截止时间前，除供应商补充、修改或者撤回响应文件外，任何单位和个人不得解密或提取响应文件。</w:t>
      </w:r>
    </w:p>
    <w:p w14:paraId="265D4D8F">
      <w:pPr>
        <w:spacing w:line="360" w:lineRule="auto"/>
        <w:ind w:firstLine="482" w:firstLineChars="200"/>
        <w:rPr>
          <w:rFonts w:hint="eastAsia" w:ascii="黑体" w:hAnsi="黑体" w:eastAsia="黑体" w:cs="宋体"/>
          <w:b/>
          <w:bCs/>
          <w:color w:val="auto"/>
          <w:sz w:val="24"/>
          <w:highlight w:val="none"/>
        </w:rPr>
      </w:pPr>
      <w:bookmarkStart w:id="70" w:name="_Hlk45702405"/>
      <w:r>
        <w:rPr>
          <w:rFonts w:hint="eastAsia" w:ascii="黑体" w:hAnsi="黑体" w:eastAsia="黑体" w:cs="宋体"/>
          <w:b/>
          <w:bCs/>
          <w:color w:val="auto"/>
          <w:sz w:val="24"/>
          <w:highlight w:val="none"/>
        </w:rPr>
        <w:t>22.响应文件的退回</w:t>
      </w:r>
    </w:p>
    <w:p w14:paraId="64751D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7C07D351">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23.截止时间后的撤回</w:t>
      </w:r>
    </w:p>
    <w:p w14:paraId="5342CC6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供应商在响应文件提交截止时间后向采购人、采购代理机构书面申请撤回响应文件的，将根据本须知正文第17.4条的规定不予退还其磋商保证金。</w:t>
      </w:r>
    </w:p>
    <w:bookmarkEnd w:id="70"/>
    <w:p w14:paraId="44A95122">
      <w:pPr>
        <w:spacing w:line="360" w:lineRule="auto"/>
        <w:rPr>
          <w:rFonts w:hint="eastAsia" w:ascii="宋体" w:hAnsi="宋体"/>
          <w:color w:val="auto"/>
          <w:szCs w:val="21"/>
          <w:highlight w:val="none"/>
        </w:rPr>
      </w:pPr>
    </w:p>
    <w:p w14:paraId="2E9A4F88">
      <w:pPr>
        <w:spacing w:line="360" w:lineRule="auto"/>
        <w:ind w:left="420" w:firstLine="420"/>
        <w:jc w:val="center"/>
        <w:rPr>
          <w:rFonts w:hint="eastAsia" w:ascii="宋体" w:hAnsi="宋体"/>
          <w:b/>
          <w:bCs/>
          <w:color w:val="auto"/>
          <w:sz w:val="32"/>
          <w:szCs w:val="32"/>
          <w:highlight w:val="none"/>
        </w:rPr>
      </w:pPr>
      <w:r>
        <w:rPr>
          <w:rFonts w:hint="eastAsia" w:ascii="宋体" w:hAnsi="宋体"/>
          <w:b/>
          <w:bCs/>
          <w:color w:val="auto"/>
          <w:sz w:val="32"/>
          <w:szCs w:val="32"/>
          <w:highlight w:val="none"/>
        </w:rPr>
        <w:t>四、评审及磋商</w:t>
      </w:r>
    </w:p>
    <w:p w14:paraId="70E9E780">
      <w:pPr>
        <w:spacing w:line="360" w:lineRule="auto"/>
        <w:ind w:left="420" w:firstLine="420"/>
        <w:rPr>
          <w:rFonts w:hint="eastAsia" w:ascii="宋体" w:hAnsi="宋体"/>
          <w:color w:val="auto"/>
          <w:szCs w:val="21"/>
          <w:highlight w:val="none"/>
        </w:rPr>
      </w:pPr>
    </w:p>
    <w:p w14:paraId="58630432">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24.磋商小组成立</w:t>
      </w:r>
    </w:p>
    <w:p w14:paraId="69A4E52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w:t>
      </w:r>
    </w:p>
    <w:p w14:paraId="75F8E89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8FF71E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基于广西政府采购云平台</w:t>
      </w:r>
      <w:r>
        <w:rPr>
          <w:rFonts w:hint="eastAsia" w:hAnsi="宋体"/>
          <w:bCs/>
          <w:color w:val="auto"/>
          <w:highlight w:val="none"/>
        </w:rPr>
        <w:t>抽（选）取</w:t>
      </w:r>
      <w:r>
        <w:rPr>
          <w:rFonts w:hint="eastAsia" w:hAnsi="宋体"/>
          <w:bCs/>
          <w:color w:val="auto"/>
          <w:szCs w:val="21"/>
          <w:highlight w:val="none"/>
        </w:rPr>
        <w:t>评审专家。</w:t>
      </w:r>
    </w:p>
    <w:p w14:paraId="2AC243D3">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首次响应文件的开启和解密</w:t>
      </w:r>
    </w:p>
    <w:p w14:paraId="79B0CE5D">
      <w:pPr>
        <w:spacing w:line="360" w:lineRule="auto"/>
        <w:ind w:firstLine="420" w:firstLineChars="200"/>
        <w:rPr>
          <w:rFonts w:hint="eastAsia" w:ascii="宋体" w:hAnsi="宋体" w:cs="宋体"/>
          <w:color w:val="auto"/>
          <w:szCs w:val="21"/>
          <w:highlight w:val="none"/>
        </w:rPr>
      </w:pPr>
      <w:r>
        <w:rPr>
          <w:rFonts w:hint="eastAsia" w:hAnsi="宋体"/>
          <w:bCs/>
          <w:color w:val="auto"/>
          <w:highlight w:val="none"/>
        </w:rPr>
        <w:t>采购代理机构将在“供应商须知前附表”规定的时</w:t>
      </w:r>
      <w:r>
        <w:rPr>
          <w:rFonts w:hint="eastAsia" w:hAnsi="宋体"/>
          <w:color w:val="auto"/>
          <w:highlight w:val="none"/>
        </w:rPr>
        <w:t>间通过电子交易平台组织响应文件开启，供应商的法定代表人或其委托代理人须携带加密时所用的CA锁，按平台提示和磋商文件的规定登录到广西政府采购云平台电子开标大厅签到，</w:t>
      </w:r>
      <w:r>
        <w:rPr>
          <w:rFonts w:hint="eastAsia"/>
          <w:color w:val="auto"/>
          <w:highlight w:val="none"/>
        </w:rPr>
        <w:t>采购代理机构依托广西政府采购云平台向各供应商发出电子加密响应文件【开始解密】通知，由供应商按</w:t>
      </w:r>
      <w:r>
        <w:rPr>
          <w:rFonts w:hint="eastAsia" w:hAnsi="宋体"/>
          <w:bCs/>
          <w:color w:val="auto"/>
          <w:szCs w:val="21"/>
          <w:highlight w:val="none"/>
        </w:rPr>
        <w:t>“供应商须知前附表”</w:t>
      </w:r>
      <w:r>
        <w:rPr>
          <w:rFonts w:hint="eastAsia"/>
          <w:color w:val="auto"/>
          <w:highlight w:val="none"/>
        </w:rPr>
        <w:t>规定的时间内自行进行响应文件解密</w:t>
      </w:r>
      <w:r>
        <w:rPr>
          <w:rFonts w:hint="eastAsia" w:hAnsi="宋体"/>
          <w:color w:val="auto"/>
          <w:highlight w:val="none"/>
        </w:rPr>
        <w:t>。</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的响应文件按无效处理</w:t>
      </w:r>
      <w:r>
        <w:rPr>
          <w:b/>
          <w:color w:val="auto"/>
          <w:highlight w:val="none"/>
        </w:rPr>
        <w:t>。</w:t>
      </w:r>
    </w:p>
    <w:p w14:paraId="0EE9C863">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.评审程序、评审方法和评审标准</w:t>
      </w:r>
    </w:p>
    <w:p w14:paraId="39B9488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w:t>
      </w:r>
      <w:r>
        <w:rPr>
          <w:rFonts w:hint="eastAsia" w:ascii="宋体" w:hAnsi="宋体" w:cs="宋体"/>
          <w:color w:val="auto"/>
          <w:szCs w:val="21"/>
          <w:highlight w:val="none"/>
        </w:rPr>
        <w:t>.1本项目的评审方法为综合评分法。</w:t>
      </w:r>
    </w:p>
    <w:p w14:paraId="141FE5E5">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26.2</w:t>
      </w:r>
      <w:r>
        <w:rPr>
          <w:rFonts w:hint="eastAsia" w:ascii="宋体" w:hAnsi="宋体" w:cs="宋体"/>
          <w:color w:val="auto"/>
          <w:szCs w:val="21"/>
          <w:highlight w:val="none"/>
        </w:rPr>
        <w:t>磋商小组</w:t>
      </w:r>
      <w:r>
        <w:rPr>
          <w:rFonts w:ascii="宋体" w:hAnsi="宋体" w:cs="宋体"/>
          <w:color w:val="auto"/>
          <w:szCs w:val="21"/>
          <w:highlight w:val="none"/>
        </w:rPr>
        <w:t>按照</w:t>
      </w:r>
      <w:r>
        <w:rPr>
          <w:rFonts w:hint="eastAsia" w:ascii="宋体" w:hAnsi="宋体" w:cs="宋体"/>
          <w:color w:val="auto"/>
          <w:szCs w:val="21"/>
          <w:highlight w:val="none"/>
        </w:rPr>
        <w:t>“第四章 评审程序、评审方法和评审标准”</w:t>
      </w:r>
      <w:r>
        <w:rPr>
          <w:rFonts w:ascii="宋体" w:hAnsi="宋体" w:cs="宋体"/>
          <w:color w:val="auto"/>
          <w:szCs w:val="21"/>
          <w:highlight w:val="none"/>
        </w:rPr>
        <w:t>规定的方法、评审因素、标准和程序对</w:t>
      </w:r>
      <w:r>
        <w:rPr>
          <w:rFonts w:hint="eastAsia" w:ascii="宋体" w:hAnsi="宋体" w:cs="宋体"/>
          <w:color w:val="auto"/>
          <w:szCs w:val="21"/>
          <w:highlight w:val="none"/>
        </w:rPr>
        <w:t>响应</w:t>
      </w:r>
      <w:r>
        <w:rPr>
          <w:rFonts w:ascii="宋体" w:hAnsi="宋体" w:cs="宋体"/>
          <w:color w:val="auto"/>
          <w:szCs w:val="21"/>
          <w:highlight w:val="none"/>
        </w:rPr>
        <w:t>文件进行评审</w:t>
      </w:r>
      <w:r>
        <w:rPr>
          <w:rFonts w:hint="eastAsia" w:ascii="宋体" w:hAnsi="宋体" w:cs="宋体"/>
          <w:color w:val="auto"/>
          <w:szCs w:val="21"/>
          <w:highlight w:val="none"/>
        </w:rPr>
        <w:t>并推荐成交候选供应商</w:t>
      </w:r>
      <w:r>
        <w:rPr>
          <w:rFonts w:ascii="宋体" w:hAnsi="宋体" w:cs="宋体"/>
          <w:color w:val="auto"/>
          <w:szCs w:val="21"/>
          <w:highlight w:val="none"/>
        </w:rPr>
        <w:t>。</w:t>
      </w:r>
    </w:p>
    <w:p w14:paraId="26C331E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6.3 </w:t>
      </w:r>
      <w:r>
        <w:rPr>
          <w:rFonts w:hint="eastAsia" w:ascii="宋体" w:hAnsi="宋体"/>
          <w:color w:val="auto"/>
          <w:szCs w:val="21"/>
          <w:highlight w:val="none"/>
        </w:rPr>
        <w:t>商务/技术要求允许负偏离的条款数详见“供应商须知前附表”。</w:t>
      </w:r>
    </w:p>
    <w:p w14:paraId="295EF943">
      <w:pPr>
        <w:spacing w:line="360" w:lineRule="auto"/>
        <w:ind w:firstLine="420" w:firstLineChars="200"/>
        <w:rPr>
          <w:rFonts w:hint="eastAsia" w:ascii="宋体" w:hAnsi="宋体"/>
          <w:color w:val="auto"/>
          <w:szCs w:val="21"/>
          <w:highlight w:val="none"/>
        </w:rPr>
      </w:pPr>
      <w:r>
        <w:rPr>
          <w:rFonts w:hint="eastAsia" w:ascii="宋体" w:hAnsi="宋体" w:cs="宋体"/>
          <w:color w:val="auto"/>
          <w:highlight w:val="none"/>
        </w:rPr>
        <w:t>26.</w:t>
      </w:r>
      <w:r>
        <w:rPr>
          <w:rFonts w:ascii="宋体" w:hAnsi="宋体" w:cs="宋体"/>
          <w:color w:val="auto"/>
          <w:highlight w:val="none"/>
        </w:rPr>
        <w:t>4</w:t>
      </w:r>
      <w:r>
        <w:rPr>
          <w:rFonts w:hint="eastAsia" w:ascii="宋体" w:hAnsi="宋体" w:cs="宋体"/>
          <w:color w:val="auto"/>
          <w:highlight w:val="none"/>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3B8D409A">
      <w:pPr>
        <w:spacing w:line="360" w:lineRule="auto"/>
        <w:ind w:firstLine="420" w:firstLineChars="200"/>
        <w:rPr>
          <w:rFonts w:hint="eastAsia" w:hAnsi="宋体"/>
          <w:color w:val="auto"/>
          <w:highlight w:val="none"/>
        </w:rPr>
      </w:pPr>
      <w:r>
        <w:rPr>
          <w:rFonts w:hint="eastAsia" w:ascii="宋体" w:hAnsi="宋体" w:cs="宋体"/>
          <w:color w:val="auto"/>
          <w:highlight w:val="none"/>
        </w:rPr>
        <w:t>2</w:t>
      </w:r>
      <w:r>
        <w:rPr>
          <w:rFonts w:ascii="宋体" w:hAnsi="宋体" w:cs="宋体"/>
          <w:color w:val="auto"/>
          <w:highlight w:val="none"/>
        </w:rPr>
        <w:t>6.5</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34F435CD">
      <w:pPr>
        <w:spacing w:line="360" w:lineRule="auto"/>
        <w:ind w:firstLine="420" w:firstLineChars="200"/>
        <w:rPr>
          <w:rFonts w:hint="eastAsia" w:hAnsi="宋体"/>
          <w:color w:val="auto"/>
          <w:highlight w:val="none"/>
        </w:rPr>
      </w:pPr>
      <w:r>
        <w:rPr>
          <w:rFonts w:hint="eastAsia" w:hAnsi="宋体"/>
          <w:color w:val="auto"/>
          <w:highlight w:val="none"/>
        </w:rPr>
        <w:t>（1）电子交易平台发生故障而无法登录访问的；</w:t>
      </w:r>
    </w:p>
    <w:p w14:paraId="17C0DBDB">
      <w:pPr>
        <w:spacing w:line="360" w:lineRule="auto"/>
        <w:ind w:firstLine="420" w:firstLineChars="200"/>
        <w:rPr>
          <w:rFonts w:hint="eastAsia" w:hAnsi="宋体"/>
          <w:color w:val="auto"/>
          <w:highlight w:val="none"/>
        </w:rPr>
      </w:pPr>
      <w:r>
        <w:rPr>
          <w:rFonts w:hint="eastAsia" w:hAnsi="宋体"/>
          <w:color w:val="auto"/>
          <w:highlight w:val="none"/>
        </w:rPr>
        <w:t>（2）电子交易平台应用或数据库出现错误，不能进行正常操作的；</w:t>
      </w:r>
    </w:p>
    <w:p w14:paraId="5CBF26FD">
      <w:pPr>
        <w:spacing w:line="360" w:lineRule="auto"/>
        <w:ind w:firstLine="420" w:firstLineChars="200"/>
        <w:rPr>
          <w:rFonts w:hint="eastAsia" w:hAnsi="宋体"/>
          <w:color w:val="auto"/>
          <w:highlight w:val="none"/>
        </w:rPr>
      </w:pPr>
      <w:r>
        <w:rPr>
          <w:rFonts w:hint="eastAsia" w:hAnsi="宋体"/>
          <w:color w:val="auto"/>
          <w:highlight w:val="none"/>
        </w:rPr>
        <w:t>（3）电子交易平台发现严重安全漏洞，有潜在泄密危险的；</w:t>
      </w:r>
    </w:p>
    <w:p w14:paraId="2C47AE39">
      <w:pPr>
        <w:spacing w:line="360" w:lineRule="auto"/>
        <w:ind w:firstLine="420" w:firstLineChars="200"/>
        <w:rPr>
          <w:rFonts w:hint="eastAsia" w:hAnsi="宋体"/>
          <w:color w:val="auto"/>
          <w:highlight w:val="none"/>
        </w:rPr>
      </w:pPr>
      <w:r>
        <w:rPr>
          <w:rFonts w:hint="eastAsia" w:hAnsi="宋体"/>
          <w:color w:val="auto"/>
          <w:highlight w:val="none"/>
        </w:rPr>
        <w:t>（4）病毒发作导致不能进行正常操作的；</w:t>
      </w:r>
    </w:p>
    <w:p w14:paraId="54F39347">
      <w:pPr>
        <w:spacing w:line="360" w:lineRule="auto"/>
        <w:ind w:firstLine="420" w:firstLineChars="200"/>
        <w:rPr>
          <w:rFonts w:hint="eastAsia" w:hAnsi="宋体"/>
          <w:color w:val="auto"/>
          <w:highlight w:val="none"/>
        </w:rPr>
      </w:pPr>
      <w:r>
        <w:rPr>
          <w:rFonts w:hint="eastAsia" w:hAnsi="宋体"/>
          <w:color w:val="auto"/>
          <w:highlight w:val="none"/>
        </w:rPr>
        <w:t>（5）其他无法保证电子交易的公平、公正和安全的情况。</w:t>
      </w:r>
    </w:p>
    <w:p w14:paraId="1F65EB14">
      <w:pPr>
        <w:spacing w:line="360" w:lineRule="auto"/>
        <w:ind w:firstLine="420" w:firstLineChars="200"/>
        <w:rPr>
          <w:rFonts w:hint="eastAsia" w:ascii="宋体" w:hAnsi="宋体" w:cs="宋体"/>
          <w:color w:val="auto"/>
          <w:szCs w:val="21"/>
          <w:highlight w:val="none"/>
        </w:rPr>
      </w:pPr>
      <w:r>
        <w:rPr>
          <w:rFonts w:hint="eastAsia" w:ascii="宋体" w:hAnsi="宋体"/>
          <w:color w:val="auto"/>
          <w:highlight w:val="none"/>
        </w:rPr>
        <w:t>26.</w:t>
      </w:r>
      <w:r>
        <w:rPr>
          <w:rFonts w:ascii="宋体" w:hAnsi="宋体"/>
          <w:color w:val="auto"/>
          <w:highlight w:val="none"/>
        </w:rPr>
        <w:t>6</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23F82167">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01263CAC">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采购代理机构应当在评审结束后2个工作日内将评审报告送采购人确认。采购人应当在收到评审报告后2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2F23434">
      <w:pPr>
        <w:spacing w:line="360" w:lineRule="auto"/>
        <w:ind w:firstLine="420" w:firstLineChars="200"/>
        <w:rPr>
          <w:rFonts w:hint="eastAsia" w:ascii="宋体" w:hAnsi="宋体" w:cs="Courier New"/>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1" w:name="_Hlk66782294"/>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《政府采购促进中小企业发展管理办法》（财库〔2020〕46号）规定的中小企业扶持</w:t>
      </w:r>
      <w:r>
        <w:rPr>
          <w:rFonts w:hint="eastAsia" w:ascii="宋体" w:hAnsi="宋体" w:cs="Courier New"/>
          <w:color w:val="auto"/>
          <w:szCs w:val="21"/>
          <w:highlight w:val="none"/>
        </w:rPr>
        <w:t>政策的，采购人、采购代理机构应当随成交结果公开成交供应商的《中小企业声明函》。</w:t>
      </w:r>
      <w:bookmarkEnd w:id="71"/>
    </w:p>
    <w:p w14:paraId="10C97EB2">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27.3出现下列情形之一的，采购人或者采购代理机构应当终止竞争性磋商采购活动，发布项目终止公告并说明原因，重新开展采购活动：</w:t>
      </w:r>
    </w:p>
    <w:p w14:paraId="1D0E1C70">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（1）因情况变化，不再符合规定的竞争性磋商采购方式适用情形的；</w:t>
      </w:r>
    </w:p>
    <w:p w14:paraId="4165C57F">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（2）出现影响采购公正的违法、违规行为的；</w:t>
      </w:r>
    </w:p>
    <w:p w14:paraId="7856824C">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（3）除“第四章 评审程序、评审方法和评审标准”第4.3条规定的情形外，在采购过程中符合要求的供应商或者报价未超过采购预算的供应商不足3家的。</w:t>
      </w:r>
    </w:p>
    <w:p w14:paraId="29D18802">
      <w:pPr>
        <w:spacing w:line="360" w:lineRule="auto"/>
        <w:ind w:firstLine="420" w:firstLineChars="200"/>
        <w:rPr>
          <w:rFonts w:hint="eastAsia" w:ascii="宋体" w:hAnsi="宋体" w:cs="宋体"/>
          <w:color w:val="auto"/>
          <w:szCs w:val="21"/>
          <w:highlight w:val="none"/>
        </w:rPr>
      </w:pPr>
      <w:r>
        <w:rPr>
          <w:rFonts w:hint="eastAsia" w:ascii="宋体" w:hAnsi="宋体" w:cs="Courier New"/>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14:paraId="665B8BDE">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14:paraId="6111A700">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.1履约保证金的金额、提交方式、退付的时间和条件详见 “供应商须知前附表”。成交供应商未按规定提交履约保证金的，视为拒绝</w:t>
      </w:r>
      <w:r>
        <w:rPr>
          <w:rFonts w:ascii="宋体" w:hAnsi="宋体"/>
          <w:color w:val="auto"/>
          <w:highlight w:val="none"/>
        </w:rPr>
        <w:t>与采购人</w:t>
      </w:r>
      <w:r>
        <w:rPr>
          <w:rFonts w:hint="eastAsia" w:ascii="宋体" w:hAnsi="宋体" w:cs="宋体"/>
          <w:color w:val="auto"/>
          <w:szCs w:val="21"/>
          <w:highlight w:val="none"/>
        </w:rPr>
        <w:t>签订合同。</w:t>
      </w:r>
    </w:p>
    <w:p w14:paraId="7D40A5A7">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.2在履约保证金退还日期前，若成交供应商的开户名称、开户银行、账号有变动的，请以书面形式通知履约保证金收取单位，否则由此产生的后果由成交供应商自行承担。</w:t>
      </w:r>
    </w:p>
    <w:p w14:paraId="34200522">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4B71C0CB">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65FE049C">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5D03BED8">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73BD4D11">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404274E5">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08B4870">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0A66C2F6">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23521BC7">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200074EA">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14:paraId="4C9203C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18A6FFA6">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14:paraId="59AA326F">
      <w:pPr>
        <w:pStyle w:val="8"/>
        <w:spacing w:line="360" w:lineRule="auto"/>
        <w:rPr>
          <w:rFonts w:hint="eastAsia" w:ascii="宋体" w:hAnsi="宋体"/>
          <w:color w:val="auto"/>
          <w:szCs w:val="21"/>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r>
        <w:rPr>
          <w:rFonts w:hint="eastAsia" w:ascii="宋体" w:hAnsi="宋体" w:cs="宋体"/>
          <w:color w:val="auto"/>
          <w:highlight w:val="none"/>
        </w:rPr>
        <w:t>。</w:t>
      </w:r>
    </w:p>
    <w:p w14:paraId="715DAFD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highlight w:val="none"/>
          <w:shd w:val="clear" w:color="auto" w:fill="FFFFFF"/>
        </w:rPr>
        <w:t>接收质疑函的方式、联系部门、联系电话和通讯地址等信息</w:t>
      </w:r>
      <w:r>
        <w:rPr>
          <w:rFonts w:hint="eastAsia" w:ascii="宋体" w:hAnsi="宋体" w:cs="Arial"/>
          <w:color w:val="auto"/>
          <w:highlight w:val="none"/>
          <w:shd w:val="clear" w:color="auto" w:fill="FFFFFF"/>
        </w:rPr>
        <w:t>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322F3A3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（1）对可以质疑的磋商文件提出质疑的，为获取磋商文件之日或者</w:t>
      </w:r>
      <w:r>
        <w:rPr>
          <w:rFonts w:hint="eastAsia" w:ascii="宋体" w:hAnsi="宋体"/>
          <w:color w:val="auto"/>
          <w:highlight w:val="none"/>
        </w:rPr>
        <w:t>竞争性磋商公告期限届满之日</w:t>
      </w:r>
      <w:r>
        <w:rPr>
          <w:rFonts w:hint="eastAsia" w:ascii="宋体" w:hAnsi="宋体" w:cs="宋体"/>
          <w:color w:val="auto"/>
          <w:highlight w:val="none"/>
        </w:rPr>
        <w:t>；</w:t>
      </w:r>
    </w:p>
    <w:p w14:paraId="58DA61D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4CE7947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6B36CD7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3075A90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.4 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2CE20DA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77322AD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（2）质疑项目的名称、编号；</w:t>
      </w:r>
    </w:p>
    <w:p w14:paraId="5AA240E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14:paraId="1DA11D8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（4）事实依据；</w:t>
      </w:r>
    </w:p>
    <w:p w14:paraId="48F5EF8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（5）必要的法律依据；</w:t>
      </w:r>
    </w:p>
    <w:p w14:paraId="1DF2C5B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（6）提出质疑的日期。</w:t>
      </w:r>
    </w:p>
    <w:p w14:paraId="0597D5C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2CEFD92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086B768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1DAFEBF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00FB6BE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486706E2">
      <w:pPr>
        <w:spacing w:line="360" w:lineRule="auto"/>
        <w:ind w:firstLine="420" w:firstLineChars="200"/>
        <w:rPr>
          <w:rFonts w:hint="eastAsia" w:ascii="宋体" w:hAnsi="宋体" w:cs="宋体"/>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337FEC03">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32</w:t>
      </w:r>
      <w:r>
        <w:rPr>
          <w:rFonts w:hint="eastAsia" w:ascii="黑体" w:hAnsi="黑体" w:eastAsia="黑体" w:cs="宋体"/>
          <w:b/>
          <w:bCs/>
          <w:color w:val="auto"/>
          <w:sz w:val="24"/>
          <w:highlight w:val="none"/>
        </w:rPr>
        <w:t>.其他内容</w:t>
      </w:r>
    </w:p>
    <w:p w14:paraId="4D8E0136">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.1代理服务收取标准及缴费账户详见“供应商须知前附表”。</w:t>
      </w:r>
    </w:p>
    <w:p w14:paraId="5BD15174">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3.需要补充的其他内容</w:t>
      </w:r>
    </w:p>
    <w:p w14:paraId="082EAB02">
      <w:pPr>
        <w:pStyle w:val="25"/>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3.1</w:t>
      </w:r>
      <w:r>
        <w:rPr>
          <w:rFonts w:hint="eastAsia" w:hAnsi="宋体" w:cs="宋体"/>
          <w:color w:val="auto"/>
          <w:kern w:val="2"/>
          <w:sz w:val="21"/>
          <w:highlight w:val="none"/>
        </w:rPr>
        <w:t>本磋商文件解释规则详见“供应商须知前附表”。</w:t>
      </w:r>
    </w:p>
    <w:p w14:paraId="0163135E">
      <w:pPr>
        <w:pStyle w:val="25"/>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33.2农民工工资保证金见“供应商须知前附表”。</w:t>
      </w:r>
    </w:p>
    <w:p w14:paraId="50EAB3FF">
      <w:pPr>
        <w:pStyle w:val="25"/>
        <w:spacing w:line="360" w:lineRule="auto"/>
        <w:ind w:firstLine="420" w:firstLineChars="200"/>
        <w:textAlignment w:val="center"/>
        <w:rPr>
          <w:rFonts w:hint="eastAsia" w:hAnsi="宋体" w:cs="宋体"/>
          <w:color w:val="auto"/>
          <w:kern w:val="2"/>
          <w:sz w:val="21"/>
          <w:highlight w:val="none"/>
        </w:rPr>
      </w:pPr>
      <w:r>
        <w:rPr>
          <w:rFonts w:hAnsi="宋体" w:cs="宋体"/>
          <w:color w:val="auto"/>
          <w:kern w:val="2"/>
          <w:sz w:val="21"/>
          <w:highlight w:val="none"/>
        </w:rPr>
        <w:t>33.</w:t>
      </w:r>
      <w:r>
        <w:rPr>
          <w:rFonts w:hint="eastAsia" w:hAnsi="宋体" w:cs="宋体"/>
          <w:color w:val="auto"/>
          <w:kern w:val="2"/>
          <w:sz w:val="21"/>
          <w:highlight w:val="none"/>
        </w:rPr>
        <w:t>3 其他事项详见“供应商须知前附表”。</w:t>
      </w:r>
    </w:p>
    <w:p w14:paraId="570815FA">
      <w:pPr>
        <w:pStyle w:val="25"/>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w:t>
      </w:r>
      <w:r>
        <w:rPr>
          <w:rFonts w:hint="eastAsia" w:hAnsi="宋体" w:cs="宋体"/>
          <w:color w:val="auto"/>
          <w:kern w:val="2"/>
          <w:sz w:val="21"/>
          <w:highlight w:val="none"/>
        </w:rPr>
        <w:t>4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6C40030A">
      <w:pPr>
        <w:pStyle w:val="25"/>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6EC1940F">
      <w:pPr>
        <w:pStyle w:val="25"/>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135A065A">
      <w:pPr>
        <w:pStyle w:val="25"/>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7FB26AC1">
      <w:pPr>
        <w:pStyle w:val="25"/>
        <w:spacing w:line="360" w:lineRule="auto"/>
        <w:ind w:firstLine="420" w:firstLineChars="200"/>
        <w:contextualSpacing/>
        <w:jc w:val="left"/>
        <w:rPr>
          <w:rFonts w:hint="eastAsia" w:hAnsi="宋体"/>
          <w:color w:val="auto"/>
          <w:sz w:val="21"/>
          <w:highlight w:val="none"/>
        </w:rPr>
      </w:pPr>
      <w:r>
        <w:rPr>
          <w:rFonts w:hint="eastAsia" w:hAnsi="宋体" w:cs="宋体"/>
          <w:color w:val="auto"/>
          <w:kern w:val="2"/>
          <w:sz w:val="21"/>
          <w:highlight w:val="none"/>
        </w:rPr>
        <w:t>在货物采购项目中，供应商提供的货物既有中小企业制造货物，也有大型企业制造货物的，不享受本磋商文件规定的中小企业扶持政策。以联合体形式参加政府采购活动，联合体各方均为</w:t>
      </w:r>
      <w:r>
        <w:rPr>
          <w:rFonts w:hint="eastAsia" w:hAnsi="宋体"/>
          <w:color w:val="auto"/>
          <w:sz w:val="21"/>
          <w:highlight w:val="none"/>
        </w:rPr>
        <w:t>中小企业的，联合体视同中小企业。其中，联合体各方均为小微企业的，联合体视同小微企业。</w:t>
      </w:r>
    </w:p>
    <w:p w14:paraId="69D0097A">
      <w:pPr>
        <w:pStyle w:val="25"/>
        <w:spacing w:line="360" w:lineRule="auto"/>
        <w:ind w:firstLine="420" w:firstLineChars="200"/>
        <w:contextualSpacing/>
        <w:jc w:val="left"/>
        <w:rPr>
          <w:rFonts w:hint="eastAsia" w:hAnsi="宋体"/>
          <w:color w:val="auto"/>
          <w:sz w:val="21"/>
          <w:highlight w:val="none"/>
        </w:rPr>
      </w:pPr>
      <w:r>
        <w:rPr>
          <w:rFonts w:hint="eastAsia" w:hAnsi="宋体"/>
          <w:color w:val="auto"/>
          <w:sz w:val="21"/>
          <w:highlight w:val="none"/>
        </w:rPr>
        <w:t>依据本磋商文件规定享受扶持政策获得政府采购合同的，小微企业不得将合同分包给大中型企业，中型企业不得将合同分包给大型企业。</w:t>
      </w:r>
    </w:p>
    <w:p w14:paraId="45707734">
      <w:pPr>
        <w:pStyle w:val="25"/>
        <w:spacing w:line="360" w:lineRule="auto"/>
        <w:ind w:firstLine="883" w:firstLineChars="200"/>
        <w:contextualSpacing/>
        <w:jc w:val="center"/>
        <w:rPr>
          <w:b/>
          <w:color w:val="auto"/>
          <w:sz w:val="44"/>
          <w:szCs w:val="44"/>
          <w:highlight w:val="none"/>
        </w:rPr>
      </w:pPr>
      <w:bookmarkStart w:id="72" w:name="_Toc74323458"/>
      <w:r>
        <w:rPr>
          <w:rFonts w:hint="eastAsia"/>
          <w:b/>
          <w:color w:val="auto"/>
          <w:sz w:val="44"/>
          <w:szCs w:val="44"/>
          <w:highlight w:val="none"/>
        </w:rPr>
        <w:t>第三章 采购需求</w:t>
      </w:r>
      <w:bookmarkEnd w:id="72"/>
    </w:p>
    <w:p w14:paraId="0699D458">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5673EE43">
      <w:pPr>
        <w:spacing w:line="360" w:lineRule="auto"/>
        <w:ind w:firstLine="420" w:firstLineChars="200"/>
        <w:jc w:val="left"/>
        <w:rPr>
          <w:rFonts w:hint="eastAsia" w:ascii="宋体" w:hAnsi="宋体" w:cs="宋体"/>
          <w:color w:val="auto"/>
          <w:szCs w:val="21"/>
          <w:highlight w:val="none"/>
        </w:rPr>
      </w:pPr>
      <w:r>
        <w:rPr>
          <w:rFonts w:hint="eastAsia" w:ascii="宋体" w:hAnsi="宋体"/>
          <w:color w:val="auto"/>
          <w:highlight w:val="none"/>
        </w:rPr>
        <w:t>1</w:t>
      </w:r>
      <w:r>
        <w:rPr>
          <w:rFonts w:hint="eastAsia"/>
          <w:color w:val="auto"/>
          <w:highlight w:val="none"/>
        </w:rPr>
        <w:t>. 为落实政府采购政策需满足的要求</w:t>
      </w:r>
      <w:r>
        <w:rPr>
          <w:rFonts w:hint="eastAsia" w:ascii="宋体" w:hAnsi="宋体" w:cs="宋体"/>
          <w:color w:val="auto"/>
          <w:szCs w:val="21"/>
          <w:highlight w:val="none"/>
        </w:rPr>
        <w:t>：</w:t>
      </w:r>
    </w:p>
    <w:p w14:paraId="5A585347">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097FAF5A">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）政府采购促进残疾人就业政策。</w:t>
      </w:r>
    </w:p>
    <w:p w14:paraId="0276BA09">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）政府采购支持监狱企业发展。</w:t>
      </w:r>
    </w:p>
    <w:p w14:paraId="1FCB9070">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 “实质性要求”是指采购需求中带“▲”的条款或者不能负偏离的条款或者已经指明不满足按响应文件按无效处理的条款。</w:t>
      </w:r>
    </w:p>
    <w:p w14:paraId="5F70CFC3">
      <w:pPr>
        <w:spacing w:line="360" w:lineRule="auto"/>
        <w:ind w:firstLine="424" w:firstLineChars="202"/>
        <w:jc w:val="left"/>
        <w:rPr>
          <w:rFonts w:hint="eastAsia" w:ascii="宋体" w:hAnsi="宋体" w:cs="Arial"/>
          <w:bCs/>
          <w:color w:val="auto"/>
          <w:szCs w:val="21"/>
          <w:highlight w:val="none"/>
          <w:u w:val="single"/>
        </w:rPr>
      </w:pPr>
      <w:r>
        <w:rPr>
          <w:rFonts w:hint="eastAsia" w:ascii="宋体" w:hAnsi="宋体" w:cs="宋体"/>
          <w:color w:val="auto"/>
          <w:szCs w:val="21"/>
          <w:highlight w:val="none"/>
        </w:rPr>
        <w:t>3.</w:t>
      </w:r>
      <w:r>
        <w:rPr>
          <w:rFonts w:hint="eastAsia"/>
          <w:color w:val="auto"/>
          <w:highlight w:val="none"/>
        </w:rPr>
        <w:t>供应商必须自行为其竞标产品侵犯他人的知识产权或者专利成果的行为承担相应法律责任。</w:t>
      </w:r>
    </w:p>
    <w:tbl>
      <w:tblPr>
        <w:tblStyle w:val="43"/>
        <w:tblW w:w="88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445"/>
        <w:gridCol w:w="283"/>
        <w:gridCol w:w="946"/>
        <w:gridCol w:w="755"/>
        <w:gridCol w:w="4721"/>
      </w:tblGrid>
      <w:tr w14:paraId="14171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55" w:type="dxa"/>
            <w:vAlign w:val="center"/>
          </w:tcPr>
          <w:p w14:paraId="05DF49BB">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728" w:type="dxa"/>
            <w:gridSpan w:val="2"/>
            <w:vAlign w:val="center"/>
          </w:tcPr>
          <w:p w14:paraId="621C2EE6">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标的的名称</w:t>
            </w:r>
          </w:p>
        </w:tc>
        <w:tc>
          <w:tcPr>
            <w:tcW w:w="946" w:type="dxa"/>
            <w:vAlign w:val="center"/>
          </w:tcPr>
          <w:p w14:paraId="6E400E96">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数量及单位</w:t>
            </w:r>
          </w:p>
        </w:tc>
        <w:tc>
          <w:tcPr>
            <w:tcW w:w="755" w:type="dxa"/>
            <w:vAlign w:val="center"/>
          </w:tcPr>
          <w:p w14:paraId="2A7C72F3">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所属行业</w:t>
            </w:r>
          </w:p>
        </w:tc>
        <w:tc>
          <w:tcPr>
            <w:tcW w:w="4721" w:type="dxa"/>
            <w:vAlign w:val="center"/>
          </w:tcPr>
          <w:p w14:paraId="0352A1D5">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▲技术要求</w:t>
            </w:r>
          </w:p>
        </w:tc>
      </w:tr>
      <w:tr w14:paraId="2470E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655" w:type="dxa"/>
            <w:vAlign w:val="center"/>
          </w:tcPr>
          <w:p w14:paraId="5591925C">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728" w:type="dxa"/>
            <w:gridSpan w:val="2"/>
            <w:vAlign w:val="center"/>
          </w:tcPr>
          <w:p w14:paraId="4CA8C7EF">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b w:val="0"/>
                <w:bCs/>
                <w:color w:val="auto"/>
                <w:szCs w:val="21"/>
                <w:highlight w:val="none"/>
              </w:rPr>
              <w:t>东龙镇乡村垃圾集中收集点项目建设</w:t>
            </w:r>
          </w:p>
        </w:tc>
        <w:tc>
          <w:tcPr>
            <w:tcW w:w="946" w:type="dxa"/>
            <w:vAlign w:val="center"/>
          </w:tcPr>
          <w:p w14:paraId="020B06FA">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1项</w:t>
            </w:r>
          </w:p>
        </w:tc>
        <w:tc>
          <w:tcPr>
            <w:tcW w:w="755" w:type="dxa"/>
            <w:vAlign w:val="center"/>
          </w:tcPr>
          <w:p w14:paraId="7C174E8D">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建筑业</w:t>
            </w:r>
          </w:p>
        </w:tc>
        <w:tc>
          <w:tcPr>
            <w:tcW w:w="4721" w:type="dxa"/>
            <w:vAlign w:val="center"/>
          </w:tcPr>
          <w:p w14:paraId="14155D79">
            <w:pPr>
              <w:pStyle w:val="193"/>
              <w:spacing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工程概况：东龙镇乡村垃圾集中收集点项目建设1项，用地总面积1050㎡，工程总建筑面积106.64㎡，建筑高度6.65m。</w:t>
            </w:r>
          </w:p>
          <w:p w14:paraId="149E2B0B">
            <w:pPr>
              <w:pStyle w:val="193"/>
              <w:spacing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1.质量要求：符合国家工程质量验收规范合格标准。</w:t>
            </w:r>
          </w:p>
          <w:p w14:paraId="1EFDBD81">
            <w:pPr>
              <w:pStyle w:val="193"/>
              <w:spacing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2.安全要求：承包人应遵守安全生产法律、法规的规定及国家和工程所在地工程建设安全生产有关管理规定，严格按现行安全标准组织施工。</w:t>
            </w:r>
          </w:p>
          <w:p w14:paraId="5DF2E7D5">
            <w:pPr>
              <w:pStyle w:val="193"/>
              <w:spacing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3.技术要求：本工程应该认真按照设计施工图纸的要求进行施工，同时也要严格执行国家现行行业验收标准、各专业相关的现行标准和技术规范。</w:t>
            </w:r>
          </w:p>
          <w:p w14:paraId="253CB177">
            <w:pPr>
              <w:numPr>
                <w:ilvl w:val="0"/>
                <w:numId w:val="0"/>
              </w:numPr>
              <w:spacing w:line="360" w:lineRule="auto"/>
              <w:rPr>
                <w:color w:val="auto"/>
                <w:highlight w:val="none"/>
              </w:rPr>
            </w:pPr>
            <w:r>
              <w:rPr>
                <w:rFonts w:hint="eastAsia" w:ascii="宋体" w:hAnsi="宋体" w:cs="宋体"/>
                <w:color w:val="auto"/>
                <w:szCs w:val="21"/>
                <w:highlight w:val="none"/>
              </w:rPr>
              <w:t>4.需实现的功能或者目标：完成</w:t>
            </w:r>
            <w:r>
              <w:rPr>
                <w:rFonts w:hint="eastAsia" w:ascii="宋体" w:hAnsi="宋体" w:cs="宋体"/>
                <w:b w:val="0"/>
                <w:bCs/>
                <w:color w:val="auto"/>
                <w:szCs w:val="21"/>
                <w:highlight w:val="none"/>
                <w:lang w:eastAsia="zh-CN"/>
              </w:rPr>
              <w:t>东龙镇乡村垃圾集中收集点的建设</w:t>
            </w:r>
            <w:r>
              <w:rPr>
                <w:rFonts w:hint="eastAsia" w:ascii="宋体" w:hAnsi="宋体" w:cs="宋体"/>
                <w:color w:val="auto"/>
                <w:szCs w:val="21"/>
                <w:highlight w:val="none"/>
              </w:rPr>
              <w:t>。</w:t>
            </w:r>
          </w:p>
        </w:tc>
      </w:tr>
      <w:tr w14:paraId="1F473F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tcPr>
          <w:p w14:paraId="1A21D724">
            <w:pPr>
              <w:spacing w:line="360" w:lineRule="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eastAsia="zh-CN"/>
              </w:rPr>
              <w:t>一、</w:t>
            </w:r>
            <w:r>
              <w:rPr>
                <w:rFonts w:hint="eastAsia" w:ascii="宋体" w:hAnsi="宋体"/>
                <w:b/>
                <w:color w:val="auto"/>
                <w:szCs w:val="21"/>
                <w:highlight w:val="none"/>
              </w:rPr>
              <w:t>商务要求：</w:t>
            </w:r>
          </w:p>
        </w:tc>
      </w:tr>
      <w:tr w14:paraId="5911DE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14:paraId="0B6BEAEC">
            <w:pPr>
              <w:spacing w:line="360" w:lineRule="auto"/>
              <w:jc w:val="center"/>
              <w:rPr>
                <w:rFonts w:hint="eastAsia" w:ascii="宋体" w:hAnsi="宋体"/>
                <w:b/>
                <w:bCs/>
                <w:color w:val="auto"/>
                <w:szCs w:val="21"/>
                <w:highlight w:val="none"/>
              </w:rPr>
            </w:pPr>
            <w:r>
              <w:rPr>
                <w:rFonts w:hint="eastAsia" w:ascii="宋体" w:hAnsi="宋体" w:cs="宋体"/>
                <w:b/>
                <w:bCs/>
                <w:color w:val="auto"/>
                <w:szCs w:val="21"/>
                <w:highlight w:val="none"/>
              </w:rPr>
              <w:t>计划工期</w:t>
            </w:r>
          </w:p>
        </w:tc>
        <w:tc>
          <w:tcPr>
            <w:tcW w:w="6705" w:type="dxa"/>
            <w:gridSpan w:val="4"/>
            <w:tcBorders>
              <w:top w:val="single" w:color="auto" w:sz="4" w:space="0"/>
              <w:left w:val="single" w:color="auto" w:sz="4" w:space="0"/>
              <w:bottom w:val="single" w:color="auto" w:sz="4" w:space="0"/>
              <w:right w:val="single" w:color="auto" w:sz="4" w:space="0"/>
            </w:tcBorders>
            <w:vAlign w:val="center"/>
          </w:tcPr>
          <w:p w14:paraId="73EBF3B1">
            <w:pPr>
              <w:spacing w:line="360" w:lineRule="auto"/>
              <w:rPr>
                <w:rFonts w:hint="eastAsia" w:ascii="宋体" w:hAnsi="宋体" w:eastAsia="宋体" w:cs="宋体"/>
                <w:color w:val="auto"/>
                <w:highlight w:val="none"/>
                <w:lang w:val="zh-CN"/>
              </w:rPr>
            </w:pPr>
            <w:r>
              <w:rPr>
                <w:rFonts w:hint="eastAsia" w:ascii="宋体" w:hAnsi="宋体" w:eastAsia="宋体" w:cs="宋体"/>
                <w:color w:val="auto"/>
                <w:szCs w:val="21"/>
                <w:highlight w:val="none"/>
              </w:rPr>
              <w:t>计划工期：</w:t>
            </w:r>
            <w:r>
              <w:rPr>
                <w:rFonts w:hint="eastAsia" w:ascii="宋体" w:hAnsi="宋体" w:cs="宋体"/>
                <w:color w:val="auto"/>
                <w:highlight w:val="none"/>
                <w:lang w:val="en-US" w:eastAsia="zh-CN"/>
              </w:rPr>
              <w:t>90</w:t>
            </w:r>
            <w:r>
              <w:rPr>
                <w:rFonts w:hint="eastAsia" w:ascii="宋体" w:hAnsi="宋体" w:eastAsia="宋体" w:cs="宋体"/>
                <w:color w:val="auto"/>
                <w:highlight w:val="none"/>
                <w:lang w:val="zh-CN"/>
              </w:rPr>
              <w:t>日历天</w:t>
            </w:r>
          </w:p>
          <w:p w14:paraId="73E4EDF9">
            <w:pPr>
              <w:spacing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计划开工日期：</w:t>
            </w:r>
            <w:r>
              <w:rPr>
                <w:rFonts w:hint="eastAsia" w:ascii="宋体" w:hAnsi="宋体" w:eastAsia="宋体" w:cs="宋体"/>
                <w:color w:val="auto"/>
                <w:highlight w:val="none"/>
              </w:rPr>
              <w:t>2025</w:t>
            </w:r>
            <w:r>
              <w:rPr>
                <w:rFonts w:hint="eastAsia" w:ascii="宋体" w:hAnsi="宋体" w:eastAsia="宋体" w:cs="宋体"/>
                <w:color w:val="auto"/>
                <w:highlight w:val="none"/>
                <w:lang w:val="zh-CN"/>
              </w:rPr>
              <w:t>年</w:t>
            </w:r>
            <w:r>
              <w:rPr>
                <w:rFonts w:hint="eastAsia" w:ascii="宋体" w:hAnsi="宋体" w:cs="宋体"/>
                <w:color w:val="auto"/>
                <w:highlight w:val="none"/>
                <w:lang w:val="en-US" w:eastAsia="zh-CN"/>
              </w:rPr>
              <w:t>12</w:t>
            </w:r>
            <w:r>
              <w:rPr>
                <w:rFonts w:hint="eastAsia" w:ascii="宋体" w:hAnsi="宋体" w:eastAsia="宋体" w:cs="宋体"/>
                <w:color w:val="auto"/>
                <w:highlight w:val="none"/>
                <w:lang w:val="zh-CN"/>
              </w:rPr>
              <w:t>月</w:t>
            </w:r>
            <w:r>
              <w:rPr>
                <w:rFonts w:hint="eastAsia" w:ascii="宋体" w:hAnsi="宋体" w:cs="宋体"/>
                <w:color w:val="auto"/>
                <w:highlight w:val="none"/>
                <w:lang w:val="en-US" w:eastAsia="zh-CN"/>
              </w:rPr>
              <w:t>15</w:t>
            </w:r>
            <w:r>
              <w:rPr>
                <w:rFonts w:hint="eastAsia" w:ascii="宋体" w:hAnsi="宋体" w:eastAsia="宋体" w:cs="宋体"/>
                <w:color w:val="auto"/>
                <w:highlight w:val="none"/>
                <w:lang w:val="zh-CN"/>
              </w:rPr>
              <w:t>日</w:t>
            </w:r>
          </w:p>
          <w:p w14:paraId="6A701880">
            <w:pPr>
              <w:spacing w:line="360" w:lineRule="auto"/>
              <w:rPr>
                <w:rFonts w:hint="eastAsia" w:ascii="宋体" w:hAnsi="宋体"/>
                <w:color w:val="auto"/>
                <w:szCs w:val="21"/>
                <w:highlight w:val="none"/>
              </w:rPr>
            </w:pPr>
            <w:r>
              <w:rPr>
                <w:rFonts w:hint="eastAsia" w:ascii="宋体" w:hAnsi="宋体" w:eastAsia="宋体" w:cs="宋体"/>
                <w:color w:val="auto"/>
                <w:highlight w:val="none"/>
                <w:lang w:val="zh-CN"/>
              </w:rPr>
              <w:t>计划交工日期：</w:t>
            </w:r>
            <w:r>
              <w:rPr>
                <w:rFonts w:hint="eastAsia" w:ascii="宋体" w:hAnsi="宋体" w:eastAsia="宋体" w:cs="宋体"/>
                <w:color w:val="auto"/>
                <w:highlight w:val="none"/>
              </w:rPr>
              <w:t>202</w:t>
            </w:r>
            <w:r>
              <w:rPr>
                <w:rFonts w:hint="eastAsia" w:ascii="宋体" w:hAnsi="宋体" w:cs="宋体"/>
                <w:color w:val="auto"/>
                <w:highlight w:val="none"/>
                <w:lang w:val="en-US" w:eastAsia="zh-CN"/>
              </w:rPr>
              <w:t>6</w:t>
            </w:r>
            <w:r>
              <w:rPr>
                <w:rFonts w:hint="eastAsia" w:ascii="宋体" w:hAnsi="宋体" w:eastAsia="宋体" w:cs="宋体"/>
                <w:color w:val="auto"/>
                <w:highlight w:val="none"/>
                <w:lang w:val="zh-CN"/>
              </w:rPr>
              <w:t>年</w:t>
            </w:r>
            <w:r>
              <w:rPr>
                <w:rFonts w:hint="eastAsia" w:ascii="宋体" w:hAnsi="宋体" w:cs="宋体"/>
                <w:color w:val="auto"/>
                <w:highlight w:val="none"/>
                <w:lang w:val="en-US" w:eastAsia="zh-CN"/>
              </w:rPr>
              <w:t>3</w:t>
            </w:r>
            <w:r>
              <w:rPr>
                <w:rFonts w:hint="eastAsia" w:ascii="宋体" w:hAnsi="宋体" w:eastAsia="宋体" w:cs="宋体"/>
                <w:color w:val="auto"/>
                <w:highlight w:val="none"/>
                <w:lang w:val="zh-CN"/>
              </w:rPr>
              <w:t>月</w:t>
            </w:r>
            <w:r>
              <w:rPr>
                <w:rFonts w:hint="eastAsia" w:ascii="宋体" w:hAnsi="宋体" w:cs="宋体"/>
                <w:color w:val="auto"/>
                <w:highlight w:val="none"/>
                <w:lang w:val="en-US" w:eastAsia="zh-CN"/>
              </w:rPr>
              <w:t>14</w:t>
            </w:r>
            <w:r>
              <w:rPr>
                <w:rFonts w:hint="eastAsia" w:ascii="宋体" w:hAnsi="宋体" w:eastAsia="宋体" w:cs="宋体"/>
                <w:color w:val="auto"/>
                <w:highlight w:val="none"/>
                <w:lang w:val="zh-CN"/>
              </w:rPr>
              <w:t>日</w:t>
            </w:r>
          </w:p>
        </w:tc>
      </w:tr>
      <w:tr w14:paraId="58D04A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14:paraId="1D9E5784">
            <w:pPr>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rPr>
              <w:t>建设地点</w:t>
            </w:r>
          </w:p>
        </w:tc>
        <w:tc>
          <w:tcPr>
            <w:tcW w:w="6705" w:type="dxa"/>
            <w:gridSpan w:val="4"/>
            <w:tcBorders>
              <w:top w:val="single" w:color="auto" w:sz="4" w:space="0"/>
              <w:left w:val="single" w:color="auto" w:sz="4" w:space="0"/>
              <w:bottom w:val="single" w:color="auto" w:sz="4" w:space="0"/>
              <w:right w:val="single" w:color="auto" w:sz="4" w:space="0"/>
            </w:tcBorders>
            <w:vAlign w:val="center"/>
          </w:tcPr>
          <w:p w14:paraId="5E901707">
            <w:pPr>
              <w:spacing w:line="360" w:lineRule="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贵港市覃塘区东龙镇</w:t>
            </w:r>
          </w:p>
        </w:tc>
      </w:tr>
      <w:tr w14:paraId="56C39B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14:paraId="49CAAE5E">
            <w:pPr>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rPr>
              <w:t>合同签订时间</w:t>
            </w:r>
          </w:p>
        </w:tc>
        <w:tc>
          <w:tcPr>
            <w:tcW w:w="6705" w:type="dxa"/>
            <w:gridSpan w:val="4"/>
            <w:tcBorders>
              <w:top w:val="single" w:color="auto" w:sz="4" w:space="0"/>
              <w:left w:val="single" w:color="auto" w:sz="4" w:space="0"/>
              <w:bottom w:val="single" w:color="auto" w:sz="4" w:space="0"/>
              <w:right w:val="single" w:color="auto" w:sz="4" w:space="0"/>
            </w:tcBorders>
            <w:vAlign w:val="center"/>
          </w:tcPr>
          <w:p w14:paraId="7F901D5E">
            <w:pPr>
              <w:spacing w:line="360" w:lineRule="auto"/>
              <w:rPr>
                <w:rFonts w:hint="eastAsia" w:ascii="宋体" w:hAnsi="宋体"/>
                <w:b/>
                <w:color w:val="auto"/>
                <w:szCs w:val="21"/>
                <w:highlight w:val="none"/>
              </w:rPr>
            </w:pPr>
            <w:r>
              <w:rPr>
                <w:rFonts w:hint="eastAsia" w:ascii="宋体" w:hAnsi="宋体"/>
                <w:color w:val="auto"/>
                <w:szCs w:val="21"/>
                <w:highlight w:val="none"/>
              </w:rPr>
              <w:t>自成交通知书发出之日起25日内</w:t>
            </w:r>
          </w:p>
        </w:tc>
      </w:tr>
      <w:tr w14:paraId="2E71C7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14:paraId="292F982B">
            <w:pPr>
              <w:spacing w:line="360" w:lineRule="auto"/>
              <w:jc w:val="center"/>
              <w:rPr>
                <w:rFonts w:hint="eastAsia" w:ascii="宋体" w:hAnsi="宋体"/>
                <w:b/>
                <w:color w:val="auto"/>
                <w:szCs w:val="21"/>
                <w:highlight w:val="none"/>
              </w:rPr>
            </w:pPr>
            <w:r>
              <w:rPr>
                <w:rFonts w:hint="eastAsia" w:ascii="宋体" w:hAnsi="宋体"/>
                <w:b/>
                <w:bCs/>
                <w:color w:val="auto"/>
                <w:szCs w:val="21"/>
                <w:highlight w:val="none"/>
              </w:rPr>
              <w:t>付款条件（进度和方式）</w:t>
            </w:r>
          </w:p>
        </w:tc>
        <w:tc>
          <w:tcPr>
            <w:tcW w:w="670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1ED7A19">
            <w:pPr>
              <w:spacing w:line="360" w:lineRule="auto"/>
              <w:rPr>
                <w:rFonts w:hint="eastAsia" w:ascii="宋体" w:hAnsi="宋体" w:eastAsia="宋体" w:cs="Times New Roman"/>
                <w:b/>
                <w:color w:val="auto"/>
                <w:kern w:val="2"/>
                <w:sz w:val="21"/>
                <w:szCs w:val="21"/>
                <w:highlight w:val="none"/>
                <w:lang w:val="en-US" w:eastAsia="zh-CN" w:bidi="ar-SA"/>
              </w:rPr>
            </w:pPr>
            <w:r>
              <w:rPr>
                <w:rFonts w:hint="eastAsia" w:ascii="宋体" w:hAnsi="宋体"/>
                <w:color w:val="auto"/>
                <w:szCs w:val="21"/>
                <w:highlight w:val="none"/>
              </w:rPr>
              <w:t>合同签订后，施工单位进场开工，工程预付款支付至合同总价的30%</w:t>
            </w:r>
            <w:r>
              <w:rPr>
                <w:rFonts w:hint="eastAsia"/>
                <w:color w:val="auto"/>
                <w:highlight w:val="none"/>
              </w:rPr>
              <w:t>（扣除安全文明施工费）</w:t>
            </w:r>
            <w:r>
              <w:rPr>
                <w:rFonts w:hint="eastAsia" w:ascii="宋体" w:hAnsi="宋体"/>
                <w:color w:val="auto"/>
                <w:szCs w:val="21"/>
                <w:highlight w:val="none"/>
              </w:rPr>
              <w:t>，按工程进度拨付工程进度款，工程量达到60%时工程进度款拨付至合同价款的50%（扣除前期支付的30%工程预付款，本次实际支付进度款为合同金额的20%），工程完工后支付至合同价款的</w:t>
            </w:r>
            <w:r>
              <w:rPr>
                <w:rFonts w:hint="eastAsia" w:ascii="宋体" w:hAnsi="宋体"/>
                <w:color w:val="auto"/>
                <w:szCs w:val="21"/>
                <w:highlight w:val="none"/>
                <w:lang w:eastAsia="zh-CN"/>
              </w:rPr>
              <w:t>80%</w:t>
            </w:r>
            <w:r>
              <w:rPr>
                <w:rFonts w:hint="eastAsia" w:ascii="宋体" w:hAnsi="宋体"/>
                <w:color w:val="auto"/>
                <w:szCs w:val="21"/>
                <w:highlight w:val="none"/>
              </w:rPr>
              <w:t>，经结算审计后支付至</w:t>
            </w:r>
            <w:r>
              <w:rPr>
                <w:rFonts w:hint="eastAsia" w:ascii="宋体" w:hAnsi="宋体"/>
                <w:color w:val="auto"/>
                <w:szCs w:val="21"/>
                <w:highlight w:val="none"/>
                <w:lang w:eastAsia="zh-CN"/>
              </w:rPr>
              <w:t>结算总价的100%</w:t>
            </w:r>
            <w:r>
              <w:rPr>
                <w:rFonts w:hint="eastAsia" w:ascii="宋体" w:hAnsi="宋体"/>
                <w:color w:val="auto"/>
                <w:szCs w:val="21"/>
                <w:highlight w:val="none"/>
              </w:rPr>
              <w:t>。质量保证金总额为</w:t>
            </w:r>
            <w:r>
              <w:rPr>
                <w:rFonts w:hint="eastAsia" w:ascii="宋体" w:hAnsi="宋体"/>
                <w:color w:val="auto"/>
                <w:szCs w:val="21"/>
                <w:highlight w:val="none"/>
                <w:lang w:eastAsia="zh-CN"/>
              </w:rPr>
              <w:t>结算总价</w:t>
            </w:r>
            <w:r>
              <w:rPr>
                <w:rFonts w:hint="eastAsia" w:ascii="宋体" w:hAnsi="宋体"/>
                <w:color w:val="auto"/>
                <w:szCs w:val="21"/>
                <w:highlight w:val="none"/>
              </w:rPr>
              <w:t>的3%，</w:t>
            </w:r>
            <w:r>
              <w:rPr>
                <w:rFonts w:hint="eastAsia" w:ascii="宋体" w:hAnsi="宋体"/>
                <w:color w:val="auto"/>
                <w:szCs w:val="21"/>
                <w:highlight w:val="none"/>
                <w:lang w:eastAsia="zh-CN"/>
              </w:rPr>
              <w:t>成交供应商</w:t>
            </w:r>
            <w:r>
              <w:rPr>
                <w:rFonts w:hint="eastAsia" w:ascii="宋体" w:hAnsi="宋体"/>
                <w:color w:val="auto"/>
                <w:szCs w:val="21"/>
                <w:highlight w:val="none"/>
              </w:rPr>
              <w:t>可按照</w:t>
            </w:r>
            <w:r>
              <w:rPr>
                <w:rFonts w:hint="eastAsia" w:ascii="宋体" w:hAnsi="宋体"/>
                <w:color w:val="auto"/>
                <w:szCs w:val="21"/>
                <w:highlight w:val="none"/>
                <w:lang w:eastAsia="zh-CN"/>
              </w:rPr>
              <w:t>结算总价</w:t>
            </w:r>
            <w:r>
              <w:rPr>
                <w:rFonts w:hint="eastAsia" w:ascii="宋体" w:hAnsi="宋体"/>
                <w:color w:val="auto"/>
                <w:szCs w:val="21"/>
                <w:highlight w:val="none"/>
              </w:rPr>
              <w:t>的3%提供质保保函或缴纳质量保证金到</w:t>
            </w:r>
            <w:r>
              <w:rPr>
                <w:rFonts w:hint="eastAsia" w:ascii="宋体" w:hAnsi="宋体"/>
                <w:color w:val="auto"/>
                <w:szCs w:val="21"/>
                <w:highlight w:val="none"/>
                <w:lang w:eastAsia="zh-CN"/>
              </w:rPr>
              <w:t>采购人</w:t>
            </w:r>
            <w:r>
              <w:rPr>
                <w:rFonts w:hint="eastAsia" w:ascii="宋体" w:hAnsi="宋体"/>
                <w:color w:val="auto"/>
                <w:szCs w:val="21"/>
                <w:highlight w:val="none"/>
              </w:rPr>
              <w:t>指定的账户后工程款可支付至100%</w:t>
            </w:r>
            <w:r>
              <w:rPr>
                <w:rFonts w:hint="eastAsia" w:ascii="宋体" w:hAnsi="宋体"/>
                <w:color w:val="auto"/>
                <w:szCs w:val="21"/>
                <w:highlight w:val="none"/>
                <w:lang w:eastAsia="zh-CN"/>
              </w:rPr>
              <w:t>，质量保证金待工程缺陷责任期满后成交供应商无违约行为发生的情况下，由成交供应商提出申请，采购人在7个工作日内无息返还。</w:t>
            </w:r>
          </w:p>
        </w:tc>
      </w:tr>
      <w:tr w14:paraId="277398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noWrap w:val="0"/>
            <w:vAlign w:val="center"/>
          </w:tcPr>
          <w:p w14:paraId="20D7EB41">
            <w:pPr>
              <w:spacing w:line="360" w:lineRule="auto"/>
              <w:rPr>
                <w:rFonts w:hint="eastAsia" w:ascii="宋体" w:hAnsi="宋体"/>
                <w:b/>
                <w:bCs/>
                <w:color w:val="auto"/>
                <w:szCs w:val="21"/>
                <w:highlight w:val="none"/>
              </w:rPr>
            </w:pPr>
            <w:r>
              <w:rPr>
                <w:rFonts w:hint="eastAsia" w:ascii="宋体" w:hAnsi="宋体"/>
                <w:b/>
                <w:bCs/>
                <w:color w:val="auto"/>
                <w:szCs w:val="21"/>
                <w:highlight w:val="none"/>
              </w:rPr>
              <w:t xml:space="preserve">二、与实现项目目标相关的其他要求 </w:t>
            </w:r>
          </w:p>
        </w:tc>
      </w:tr>
      <w:tr w14:paraId="0365C3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noWrap w:val="0"/>
            <w:vAlign w:val="center"/>
          </w:tcPr>
          <w:p w14:paraId="390CFDCE">
            <w:pPr>
              <w:spacing w:line="360" w:lineRule="auto"/>
              <w:rPr>
                <w:rFonts w:ascii="宋体" w:hAnsi="宋体"/>
                <w:b/>
                <w:color w:val="auto"/>
                <w:szCs w:val="21"/>
                <w:highlight w:val="none"/>
              </w:rPr>
            </w:pPr>
            <w:r>
              <w:rPr>
                <w:rFonts w:hint="eastAsia" w:ascii="宋体" w:hAnsi="宋体"/>
                <w:b/>
                <w:color w:val="auto"/>
                <w:szCs w:val="21"/>
                <w:highlight w:val="none"/>
              </w:rPr>
              <w:t>（一）供应商的履约能力要求</w:t>
            </w:r>
          </w:p>
        </w:tc>
      </w:tr>
      <w:tr w14:paraId="30C4B2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noWrap w:val="0"/>
            <w:vAlign w:val="center"/>
          </w:tcPr>
          <w:p w14:paraId="2980AD57">
            <w:pPr>
              <w:spacing w:line="360" w:lineRule="auto"/>
              <w:rPr>
                <w:rFonts w:ascii="宋体" w:hAnsi="宋体"/>
                <w:b/>
                <w:color w:val="auto"/>
                <w:szCs w:val="21"/>
                <w:highlight w:val="none"/>
              </w:rPr>
            </w:pPr>
            <w:r>
              <w:rPr>
                <w:rFonts w:hint="eastAsia" w:ascii="宋体" w:hAnsi="宋体"/>
                <w:color w:val="auto"/>
                <w:szCs w:val="21"/>
                <w:highlight w:val="none"/>
              </w:rPr>
              <w:t>管理体系要求</w:t>
            </w:r>
          </w:p>
        </w:tc>
        <w:tc>
          <w:tcPr>
            <w:tcW w:w="6705" w:type="dxa"/>
            <w:gridSpan w:val="4"/>
            <w:tcBorders>
              <w:top w:val="single" w:color="auto" w:sz="4" w:space="0"/>
              <w:left w:val="single" w:color="auto" w:sz="4" w:space="0"/>
              <w:bottom w:val="single" w:color="auto" w:sz="4" w:space="0"/>
              <w:right w:val="single" w:color="auto" w:sz="4" w:space="0"/>
            </w:tcBorders>
            <w:noWrap w:val="0"/>
            <w:vAlign w:val="center"/>
          </w:tcPr>
          <w:p w14:paraId="7D8D8233">
            <w:pPr>
              <w:spacing w:line="360" w:lineRule="auto"/>
              <w:rPr>
                <w:rFonts w:hint="eastAsia" w:ascii="宋体" w:hAnsi="宋体"/>
                <w:color w:val="auto"/>
                <w:szCs w:val="21"/>
                <w:highlight w:val="none"/>
              </w:rPr>
            </w:pPr>
            <w:r>
              <w:rPr>
                <w:rFonts w:hint="eastAsia" w:ascii="宋体" w:hAnsi="宋体"/>
                <w:color w:val="auto"/>
                <w:szCs w:val="21"/>
                <w:highlight w:val="none"/>
              </w:rPr>
              <w:t>无</w:t>
            </w:r>
          </w:p>
        </w:tc>
      </w:tr>
      <w:tr w14:paraId="1211E6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noWrap w:val="0"/>
            <w:vAlign w:val="center"/>
          </w:tcPr>
          <w:p w14:paraId="1F496E7C">
            <w:pPr>
              <w:spacing w:line="360" w:lineRule="auto"/>
              <w:rPr>
                <w:rFonts w:ascii="宋体" w:hAnsi="宋体"/>
                <w:b/>
                <w:color w:val="auto"/>
                <w:szCs w:val="21"/>
                <w:highlight w:val="none"/>
              </w:rPr>
            </w:pPr>
            <w:r>
              <w:rPr>
                <w:rFonts w:hint="eastAsia" w:ascii="宋体" w:hAnsi="宋体"/>
                <w:color w:val="auto"/>
                <w:szCs w:val="21"/>
                <w:highlight w:val="none"/>
              </w:rPr>
              <w:t>业绩要求</w:t>
            </w:r>
          </w:p>
        </w:tc>
        <w:tc>
          <w:tcPr>
            <w:tcW w:w="6705" w:type="dxa"/>
            <w:gridSpan w:val="4"/>
            <w:tcBorders>
              <w:top w:val="single" w:color="auto" w:sz="4" w:space="0"/>
              <w:left w:val="single" w:color="auto" w:sz="4" w:space="0"/>
              <w:bottom w:val="single" w:color="auto" w:sz="4" w:space="0"/>
              <w:right w:val="single" w:color="auto" w:sz="4" w:space="0"/>
            </w:tcBorders>
            <w:noWrap w:val="0"/>
            <w:vAlign w:val="center"/>
          </w:tcPr>
          <w:p w14:paraId="57444438">
            <w:pPr>
              <w:spacing w:line="360" w:lineRule="auto"/>
              <w:rPr>
                <w:rFonts w:hint="eastAsia" w:ascii="宋体" w:hAnsi="宋体"/>
                <w:color w:val="auto"/>
                <w:szCs w:val="21"/>
                <w:highlight w:val="none"/>
              </w:rPr>
            </w:pPr>
            <w:r>
              <w:rPr>
                <w:rFonts w:hint="eastAsia" w:ascii="宋体" w:hAnsi="宋体"/>
                <w:color w:val="auto"/>
                <w:szCs w:val="21"/>
                <w:highlight w:val="none"/>
              </w:rPr>
              <w:t>无</w:t>
            </w:r>
          </w:p>
        </w:tc>
      </w:tr>
      <w:tr w14:paraId="7ED354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noWrap w:val="0"/>
            <w:vAlign w:val="center"/>
          </w:tcPr>
          <w:p w14:paraId="47493D57">
            <w:pPr>
              <w:tabs>
                <w:tab w:val="left" w:pos="180"/>
                <w:tab w:val="left" w:pos="1620"/>
              </w:tabs>
              <w:spacing w:line="360" w:lineRule="auto"/>
              <w:rPr>
                <w:rFonts w:ascii="宋体" w:hAnsi="宋体" w:cs="宋体"/>
                <w:bCs/>
                <w:color w:val="auto"/>
                <w:szCs w:val="21"/>
                <w:highlight w:val="none"/>
              </w:rPr>
            </w:pPr>
            <w:r>
              <w:rPr>
                <w:rFonts w:hint="eastAsia" w:ascii="宋体" w:hAnsi="宋体"/>
                <w:b/>
                <w:color w:val="auto"/>
                <w:szCs w:val="21"/>
                <w:highlight w:val="none"/>
              </w:rPr>
              <w:t>（二）验收标准</w:t>
            </w:r>
          </w:p>
        </w:tc>
      </w:tr>
      <w:tr w14:paraId="0E0BF5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noWrap w:val="0"/>
            <w:vAlign w:val="center"/>
          </w:tcPr>
          <w:p w14:paraId="3A280100">
            <w:pPr>
              <w:tabs>
                <w:tab w:val="left" w:pos="180"/>
                <w:tab w:val="left" w:pos="1620"/>
              </w:tabs>
              <w:spacing w:line="360" w:lineRule="auto"/>
              <w:rPr>
                <w:rFonts w:ascii="宋体" w:hAnsi="宋体"/>
                <w:color w:val="auto"/>
                <w:szCs w:val="21"/>
                <w:highlight w:val="none"/>
              </w:rPr>
            </w:pPr>
            <w:r>
              <w:rPr>
                <w:rFonts w:hint="eastAsia" w:ascii="宋体" w:hAnsi="宋体"/>
                <w:color w:val="auto"/>
                <w:szCs w:val="21"/>
                <w:highlight w:val="none"/>
              </w:rPr>
              <w:t>符合现行国家相关标准、行业标准、地方标准或者其他标准、规范</w:t>
            </w:r>
          </w:p>
        </w:tc>
      </w:tr>
      <w:tr w14:paraId="0E52B3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noWrap w:val="0"/>
            <w:vAlign w:val="center"/>
          </w:tcPr>
          <w:p w14:paraId="0D5E4090">
            <w:pPr>
              <w:spacing w:line="360" w:lineRule="auto"/>
              <w:rPr>
                <w:rFonts w:ascii="宋体" w:hAnsi="宋体"/>
                <w:color w:val="auto"/>
                <w:szCs w:val="21"/>
                <w:highlight w:val="none"/>
              </w:rPr>
            </w:pPr>
            <w:r>
              <w:rPr>
                <w:rFonts w:hint="eastAsia" w:ascii="宋体" w:hAnsi="宋体"/>
                <w:b/>
                <w:color w:val="auto"/>
                <w:szCs w:val="21"/>
                <w:highlight w:val="none"/>
              </w:rPr>
              <w:t>（三）其他要求</w:t>
            </w:r>
          </w:p>
        </w:tc>
      </w:tr>
      <w:tr w14:paraId="7DBC75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noWrap w:val="0"/>
            <w:vAlign w:val="center"/>
          </w:tcPr>
          <w:p w14:paraId="057C1EB2">
            <w:pPr>
              <w:tabs>
                <w:tab w:val="left" w:pos="180"/>
                <w:tab w:val="left" w:pos="1620"/>
              </w:tabs>
              <w:spacing w:line="360" w:lineRule="auto"/>
              <w:rPr>
                <w:rFonts w:hint="eastAsia" w:ascii="宋体" w:hAnsi="宋体" w:eastAsia="宋体" w:cs="宋体"/>
                <w:bCs/>
                <w:color w:val="auto"/>
                <w:szCs w:val="21"/>
                <w:highlight w:val="none"/>
                <w:lang w:eastAsia="zh-CN"/>
              </w:rPr>
            </w:pPr>
            <w:r>
              <w:rPr>
                <w:rFonts w:hint="eastAsia"/>
                <w:b/>
                <w:bCs/>
                <w:color w:val="auto"/>
                <w:highlight w:val="none"/>
                <w:lang w:eastAsia="zh-CN"/>
              </w:rPr>
              <w:t>响应文件中提供</w:t>
            </w:r>
            <w:r>
              <w:rPr>
                <w:rFonts w:hint="eastAsia"/>
                <w:b/>
                <w:bCs/>
                <w:color w:val="auto"/>
                <w:highlight w:val="none"/>
              </w:rPr>
              <w:t>施工员、质量员、材料员的身份证、职称证、执业或职业资格证书</w:t>
            </w:r>
            <w:r>
              <w:rPr>
                <w:rFonts w:hint="eastAsia"/>
                <w:b/>
                <w:bCs/>
                <w:color w:val="auto"/>
                <w:highlight w:val="none"/>
                <w:lang w:eastAsia="zh-CN"/>
              </w:rPr>
              <w:t>。</w:t>
            </w:r>
          </w:p>
        </w:tc>
      </w:tr>
    </w:tbl>
    <w:p w14:paraId="6176B996">
      <w:pPr>
        <w:tabs>
          <w:tab w:val="left" w:pos="180"/>
          <w:tab w:val="left" w:pos="1620"/>
        </w:tabs>
        <w:spacing w:line="360" w:lineRule="auto"/>
        <w:ind w:firstLine="422" w:firstLineChars="200"/>
        <w:rPr>
          <w:rFonts w:hint="eastAsia" w:ascii="宋体" w:hAnsi="宋体" w:cs="宋体"/>
          <w:b/>
          <w:bCs/>
          <w:color w:val="auto"/>
          <w:szCs w:val="21"/>
          <w:highlight w:val="none"/>
        </w:rPr>
      </w:pPr>
    </w:p>
    <w:p w14:paraId="469F292A">
      <w:pPr>
        <w:tabs>
          <w:tab w:val="left" w:pos="180"/>
          <w:tab w:val="left" w:pos="1620"/>
        </w:tabs>
        <w:spacing w:line="360" w:lineRule="auto"/>
        <w:ind w:firstLine="422" w:firstLineChars="200"/>
        <w:rPr>
          <w:rFonts w:hint="eastAsia" w:ascii="宋体" w:hAnsi="宋体" w:cs="宋体"/>
          <w:b/>
          <w:bCs/>
          <w:color w:val="auto"/>
          <w:szCs w:val="21"/>
          <w:highlight w:val="none"/>
        </w:rPr>
      </w:pPr>
    </w:p>
    <w:p w14:paraId="62FB0C6B">
      <w:pPr>
        <w:tabs>
          <w:tab w:val="left" w:pos="180"/>
          <w:tab w:val="left" w:pos="1620"/>
        </w:tabs>
        <w:spacing w:line="360" w:lineRule="auto"/>
        <w:ind w:firstLine="422" w:firstLineChars="200"/>
        <w:rPr>
          <w:rFonts w:hint="eastAsia" w:ascii="宋体" w:hAnsi="宋体" w:cs="宋体"/>
          <w:b/>
          <w:bCs/>
          <w:color w:val="auto"/>
          <w:szCs w:val="21"/>
          <w:highlight w:val="none"/>
        </w:rPr>
      </w:pPr>
    </w:p>
    <w:p w14:paraId="54184EBE">
      <w:pPr>
        <w:pStyle w:val="25"/>
        <w:spacing w:before="340" w:after="340" w:line="360" w:lineRule="auto"/>
        <w:ind w:firstLine="402" w:firstLineChars="200"/>
        <w:jc w:val="center"/>
        <w:textAlignment w:val="center"/>
        <w:rPr>
          <w:color w:val="auto"/>
          <w:highlight w:val="none"/>
        </w:rPr>
      </w:pPr>
      <w:r>
        <w:rPr>
          <w:rFonts w:hAnsi="宋体" w:cs="宋体"/>
          <w:b/>
          <w:bCs/>
          <w:color w:val="auto"/>
          <w:highlight w:val="none"/>
        </w:rPr>
        <w:br w:type="page"/>
      </w:r>
      <w:bookmarkStart w:id="73" w:name="_Toc74323459"/>
      <w:r>
        <w:rPr>
          <w:rFonts w:hint="eastAsia"/>
          <w:b/>
          <w:color w:val="auto"/>
          <w:sz w:val="44"/>
          <w:szCs w:val="44"/>
          <w:highlight w:val="none"/>
        </w:rPr>
        <w:t>第四章  评审程序、评审方法和评审标准</w:t>
      </w:r>
      <w:bookmarkEnd w:id="73"/>
    </w:p>
    <w:p w14:paraId="4391C21D">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一、评审程序和评审方法</w:t>
      </w:r>
    </w:p>
    <w:p w14:paraId="49D0AC60">
      <w:pPr>
        <w:spacing w:line="360" w:lineRule="auto"/>
        <w:ind w:firstLine="354" w:firstLineChars="147"/>
        <w:jc w:val="left"/>
        <w:rPr>
          <w:rFonts w:hint="eastAsia"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.资格审查</w:t>
      </w:r>
    </w:p>
    <w:p w14:paraId="6571B08B">
      <w:pPr>
        <w:snapToGrid w:val="0"/>
        <w:spacing w:line="360" w:lineRule="auto"/>
        <w:ind w:firstLine="420" w:firstLineChars="200"/>
        <w:rPr>
          <w:rFonts w:hint="eastAsia"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hint="eastAsia" w:ascii="宋体" w:hAnsi="宋体"/>
          <w:color w:val="auto"/>
          <w:szCs w:val="21"/>
          <w:highlight w:val="none"/>
        </w:rPr>
        <w:t>响应文件开启后，磋商小组依法对供应商的资格证明文件进行审查。</w:t>
      </w:r>
    </w:p>
    <w:p w14:paraId="558EC43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w:t>
      </w:r>
      <w:r>
        <w:rPr>
          <w:rFonts w:hint="eastAsia"/>
          <w:color w:val="auto"/>
          <w:highlight w:val="none"/>
        </w:rPr>
        <w:t>磋商小组</w:t>
      </w:r>
      <w:r>
        <w:rPr>
          <w:rFonts w:hint="eastAsia" w:ascii="宋体" w:hAnsi="宋体" w:cs="宋体"/>
          <w:color w:val="auto"/>
          <w:szCs w:val="21"/>
          <w:highlight w:val="none"/>
        </w:rPr>
        <w:t>在资格审查结束前，对供应商进行信用查询。</w:t>
      </w:r>
    </w:p>
    <w:p w14:paraId="610B997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（1）查询渠道：广西政府采购云平台“信用中国”网站（www.creditchina.gov.cn）、中国政府采购网（www.ccgp.gov.cn）链接入口。</w:t>
      </w:r>
    </w:p>
    <w:p w14:paraId="150BA91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7B6209E0">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7B21DD9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highlight w:val="none"/>
        </w:rPr>
        <w:t>。</w:t>
      </w:r>
    </w:p>
    <w:p w14:paraId="5D3FF15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.2资格审查标准为本磋商文件中载明对供应商资格要求的条件。资格审查采用合格制，凡符合磋商文件规定的供应商资格要求的响应文件均通过资格审查。</w:t>
      </w:r>
    </w:p>
    <w:p w14:paraId="791B0CBE">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1</w:t>
      </w:r>
      <w:r>
        <w:rPr>
          <w:rFonts w:hint="eastAsia" w:ascii="宋体" w:hAnsi="宋体" w:cs="宋体"/>
          <w:b/>
          <w:bCs/>
          <w:color w:val="auto"/>
          <w:szCs w:val="21"/>
          <w:highlight w:val="none"/>
        </w:rPr>
        <w:t>.3供应商有下列情形之一的，资格审查不通过，其响应文件按无效处理：</w:t>
      </w:r>
    </w:p>
    <w:p w14:paraId="1DC4C951">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w:t>
      </w:r>
      <w:r>
        <w:rPr>
          <w:rFonts w:ascii="宋体" w:hAnsi="宋体" w:cs="宋体"/>
          <w:b/>
          <w:bCs/>
          <w:color w:val="auto"/>
          <w:szCs w:val="21"/>
          <w:highlight w:val="none"/>
        </w:rPr>
        <w:t>1</w:t>
      </w:r>
      <w:r>
        <w:rPr>
          <w:rFonts w:hint="eastAsia" w:ascii="宋体" w:hAnsi="宋体" w:cs="宋体"/>
          <w:b/>
          <w:bCs/>
          <w:color w:val="auto"/>
          <w:szCs w:val="21"/>
          <w:highlight w:val="none"/>
        </w:rPr>
        <w:t>）不具备磋商文件中规定的资格要求的；</w:t>
      </w:r>
    </w:p>
    <w:p w14:paraId="216BD84F">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（2）未按磋商文件规定的方式获取本磋商文件的供应商；</w:t>
      </w:r>
    </w:p>
    <w:p w14:paraId="415604CC">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w:t>
      </w:r>
      <w:r>
        <w:rPr>
          <w:rFonts w:ascii="宋体" w:hAnsi="宋体" w:cs="宋体"/>
          <w:b/>
          <w:bCs/>
          <w:color w:val="auto"/>
          <w:szCs w:val="21"/>
          <w:highlight w:val="none"/>
        </w:rPr>
        <w:t>3</w:t>
      </w:r>
      <w:r>
        <w:rPr>
          <w:rFonts w:hint="eastAsia" w:ascii="宋体" w:hAnsi="宋体" w:cs="宋体"/>
          <w:b/>
          <w:bCs/>
          <w:color w:val="auto"/>
          <w:szCs w:val="21"/>
          <w:highlight w:val="none"/>
        </w:rPr>
        <w:t>）响应文件的资格证明文件缺少任一项“供应商须知前附表”资格证明文件规定的“必须提供”的文件资料的；</w:t>
      </w:r>
    </w:p>
    <w:p w14:paraId="1C02E57F">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w:t>
      </w:r>
      <w:r>
        <w:rPr>
          <w:rFonts w:ascii="宋体" w:hAnsi="宋体" w:cs="宋体"/>
          <w:b/>
          <w:bCs/>
          <w:color w:val="auto"/>
          <w:szCs w:val="21"/>
          <w:highlight w:val="none"/>
        </w:rPr>
        <w:t>4</w:t>
      </w:r>
      <w:r>
        <w:rPr>
          <w:rFonts w:hint="eastAsia" w:ascii="宋体" w:hAnsi="宋体" w:cs="宋体"/>
          <w:b/>
          <w:bCs/>
          <w:color w:val="auto"/>
          <w:szCs w:val="21"/>
          <w:highlight w:val="none"/>
        </w:rPr>
        <w:t>）响应文件中的资格证明文件出现任一项不符合“供应商须知前附表”资格证明文件规定的“必须提供”的文件资料要求或者无效的；</w:t>
      </w:r>
    </w:p>
    <w:p w14:paraId="362AF561">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w:t>
      </w:r>
      <w:r>
        <w:rPr>
          <w:rFonts w:ascii="宋体" w:hAnsi="宋体" w:cs="宋体"/>
          <w:b/>
          <w:bCs/>
          <w:color w:val="auto"/>
          <w:szCs w:val="21"/>
          <w:highlight w:val="none"/>
        </w:rPr>
        <w:t>5</w:t>
      </w:r>
      <w:r>
        <w:rPr>
          <w:rFonts w:hint="eastAsia" w:ascii="宋体" w:hAnsi="宋体" w:cs="宋体"/>
          <w:b/>
          <w:bCs/>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29146594">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.4通过资格审查的合格供应商不足3家的，不得进入符合性审查环节，</w:t>
      </w:r>
      <w:r>
        <w:rPr>
          <w:rFonts w:hint="eastAsia" w:ascii="宋体" w:hAnsi="宋体"/>
          <w:color w:val="auto"/>
          <w:szCs w:val="21"/>
          <w:highlight w:val="none"/>
        </w:rPr>
        <w:t>应当重新开展采购活动。</w:t>
      </w:r>
    </w:p>
    <w:p w14:paraId="0E89A25B">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.符合性审查</w:t>
      </w:r>
    </w:p>
    <w:p w14:paraId="51262A64">
      <w:pPr>
        <w:spacing w:line="360" w:lineRule="auto"/>
        <w:ind w:firstLine="420" w:firstLineChars="200"/>
        <w:rPr>
          <w:rFonts w:hint="eastAsia" w:ascii="宋体" w:hAnsi="宋体" w:cs="宋体"/>
          <w:color w:val="auto"/>
          <w:szCs w:val="21"/>
          <w:highlight w:val="none"/>
        </w:rPr>
      </w:pPr>
      <w:bookmarkStart w:id="74" w:name="_Hlk42528882"/>
      <w:r>
        <w:rPr>
          <w:rFonts w:ascii="宋体" w:hAnsi="宋体" w:cs="宋体"/>
          <w:color w:val="auto"/>
          <w:szCs w:val="21"/>
          <w:highlight w:val="none"/>
        </w:rPr>
        <w:t>2.1</w:t>
      </w:r>
      <w:r>
        <w:rPr>
          <w:rFonts w:hint="eastAsia" w:ascii="宋体" w:hAnsi="宋体" w:cs="宋体"/>
          <w:color w:val="auto"/>
          <w:szCs w:val="21"/>
          <w:highlight w:val="none"/>
        </w:rPr>
        <w:t>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的响应文件的竞标报价、商务、技术等实质性要求进行符合性审查，以确定其是否满足磋商文件的实质性要求。</w:t>
      </w:r>
    </w:p>
    <w:bookmarkEnd w:id="74"/>
    <w:p w14:paraId="4035140C">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F4EE268">
      <w:pPr>
        <w:spacing w:line="360" w:lineRule="auto"/>
        <w:ind w:firstLine="420" w:firstLineChars="200"/>
        <w:rPr>
          <w:rFonts w:hint="eastAsia" w:ascii="宋体" w:hAnsi="宋体" w:cs="宋体"/>
          <w:color w:val="auto"/>
          <w:spacing w:val="-6"/>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14:paraId="205085A7">
      <w:pPr>
        <w:spacing w:line="360" w:lineRule="auto"/>
        <w:ind w:firstLine="420" w:firstLineChars="200"/>
        <w:rPr>
          <w:rFonts w:hint="eastAsia" w:ascii="宋体" w:hAnsi="宋体" w:cs="宋体"/>
          <w:color w:val="auto"/>
          <w:spacing w:val="-6"/>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4C24114A">
      <w:pPr>
        <w:spacing w:line="360" w:lineRule="auto"/>
        <w:ind w:firstLine="396" w:firstLineChars="200"/>
        <w:rPr>
          <w:rFonts w:hint="eastAsia" w:ascii="宋体" w:hAnsi="宋体" w:cs="宋体"/>
          <w:color w:val="auto"/>
          <w:szCs w:val="21"/>
          <w:highlight w:val="none"/>
        </w:rPr>
      </w:pPr>
      <w:r>
        <w:rPr>
          <w:rFonts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1EB8118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168488F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75870BF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58E2472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7BD0E0A9">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同时出现两种以上不一致的，按照以上（1）-（4）规定的顺序逐条进行修正。修正后的报价经供应商确认后产生约束力，供应商不确认的，其响应文件按无效处理。</w:t>
      </w:r>
    </w:p>
    <w:p w14:paraId="17479B6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31215007">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在评审时，如发现下列情形之一的，将被视为响应文件无效处理：</w:t>
      </w:r>
    </w:p>
    <w:p w14:paraId="6607EA51">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（1）商务技术评审</w:t>
      </w:r>
    </w:p>
    <w:p w14:paraId="58B51418">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1）响应文件未按磋商文件要求签署、盖章的；</w:t>
      </w:r>
    </w:p>
    <w:p w14:paraId="35D0C16C">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 xml:space="preserve">2）委托代理人未能出具有效身份证或者出具的身份证与授权委托书中的信息不符的； </w:t>
      </w:r>
    </w:p>
    <w:p w14:paraId="24992ADF">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3）提交的磋商保证金无效的或者未按照磋商文件的规定提交磋商保证金的；</w:t>
      </w:r>
    </w:p>
    <w:p w14:paraId="230E704D">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“必须提供”或者“委托时必须提供”文件资料要求的规定或者提供的商务技术文件无效的。</w:t>
      </w:r>
    </w:p>
    <w:p w14:paraId="7BF6F1CA">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5）商务要求允许负偏离的条款数超过“供应商须知前附表”规定项数的；</w:t>
      </w:r>
    </w:p>
    <w:p w14:paraId="4BA6DEF3">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6）未对竞标有效期作出响应或者响应文件承诺的竞标有效期不满足磋商文件要求的；</w:t>
      </w:r>
    </w:p>
    <w:p w14:paraId="5BC3E0D3">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7）响应文件的实质性内容未使用中文表述、使用计量单位不符合磋商文件要求的；</w:t>
      </w:r>
    </w:p>
    <w:p w14:paraId="0494E29C">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8）响应文件中的文件资料因填写不齐全或者内容虚假或者出现其他情形而导致被磋商小组认定无效的；</w:t>
      </w:r>
    </w:p>
    <w:p w14:paraId="5EC639FC">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9）响应文件含有采购人不能接受的附加条件的；</w:t>
      </w:r>
    </w:p>
    <w:p w14:paraId="75AB650A">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10）属于“供应商须知正文”第7.</w:t>
      </w:r>
      <w:r>
        <w:rPr>
          <w:rFonts w:ascii="宋体" w:hAnsi="宋体" w:cs="宋体"/>
          <w:b/>
          <w:color w:val="auto"/>
          <w:szCs w:val="21"/>
          <w:highlight w:val="none"/>
        </w:rPr>
        <w:t>5</w:t>
      </w:r>
      <w:r>
        <w:rPr>
          <w:rFonts w:hint="eastAsia" w:ascii="宋体" w:hAnsi="宋体" w:cs="宋体"/>
          <w:b/>
          <w:color w:val="auto"/>
          <w:szCs w:val="21"/>
          <w:highlight w:val="none"/>
        </w:rPr>
        <w:t>条供应商相互串通竞标情形的；</w:t>
      </w:r>
    </w:p>
    <w:p w14:paraId="4B50316F">
      <w:pPr>
        <w:spacing w:line="360" w:lineRule="auto"/>
        <w:ind w:firstLine="422" w:firstLineChars="200"/>
        <w:rPr>
          <w:rFonts w:hint="eastAsia"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1）技术要求允许负偏离的条款数超过“供应商须知前附表”规定项数的；</w:t>
      </w:r>
    </w:p>
    <w:p w14:paraId="5E855274">
      <w:pPr>
        <w:spacing w:line="360" w:lineRule="auto"/>
        <w:ind w:firstLine="422" w:firstLineChars="200"/>
        <w:rPr>
          <w:rFonts w:hint="eastAsia"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2）虚假竞标，或者出现其他情形而导致被磋商小组认定无效的；</w:t>
      </w:r>
    </w:p>
    <w:p w14:paraId="3BB911E5">
      <w:pPr>
        <w:spacing w:line="360" w:lineRule="auto"/>
        <w:ind w:firstLine="422" w:firstLineChars="200"/>
        <w:rPr>
          <w:rFonts w:hint="eastAsia"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3）</w:t>
      </w:r>
      <w:bookmarkStart w:id="75" w:name="_Hlk71704147"/>
      <w:r>
        <w:rPr>
          <w:rFonts w:hint="eastAsia" w:ascii="宋体" w:hAnsi="宋体" w:cs="宋体"/>
          <w:b/>
          <w:color w:val="auto"/>
          <w:szCs w:val="21"/>
          <w:highlight w:val="none"/>
        </w:rPr>
        <w:t>磋商文件未载明允许提供备选（替代）竞标方案或明确不允许提供备选（替代）竞标方案时，供应商提供了备选（替代）竞标方案的；</w:t>
      </w:r>
      <w:bookmarkEnd w:id="75"/>
    </w:p>
    <w:p w14:paraId="45F04B4B">
      <w:pPr>
        <w:spacing w:line="360" w:lineRule="auto"/>
        <w:ind w:firstLine="422" w:firstLineChars="200"/>
        <w:rPr>
          <w:rFonts w:hint="eastAsia"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4）响应文件标注的项目名称或者项目编号与磋商文件标注的项目名称或者项目编号不一致的；</w:t>
      </w:r>
    </w:p>
    <w:p w14:paraId="2E855291">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15）</w:t>
      </w:r>
      <w:r>
        <w:rPr>
          <w:rFonts w:hint="eastAsia" w:ascii="宋体" w:hAnsi="宋体"/>
          <w:b/>
          <w:color w:val="auto"/>
          <w:szCs w:val="21"/>
          <w:highlight w:val="none"/>
        </w:rPr>
        <w:t>竞争性磋商文件明确不允许分包，响应文件拟分包的；</w:t>
      </w:r>
    </w:p>
    <w:p w14:paraId="4BBD41BE">
      <w:pPr>
        <w:spacing w:line="360" w:lineRule="auto"/>
        <w:ind w:firstLine="422" w:firstLineChars="200"/>
        <w:rPr>
          <w:rFonts w:hint="eastAsia"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6）未响应磋商文件实质性要求的；</w:t>
      </w:r>
    </w:p>
    <w:p w14:paraId="368FF149">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17）法律、法规和磋商文件规定的其他无效情形。</w:t>
      </w:r>
    </w:p>
    <w:p w14:paraId="4B286080">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w:t>
      </w:r>
      <w:r>
        <w:rPr>
          <w:rFonts w:ascii="宋体" w:hAnsi="宋体" w:cs="宋体"/>
          <w:b/>
          <w:color w:val="auto"/>
          <w:szCs w:val="21"/>
          <w:highlight w:val="none"/>
        </w:rPr>
        <w:t>2</w:t>
      </w:r>
      <w:r>
        <w:rPr>
          <w:rFonts w:hint="eastAsia" w:ascii="宋体" w:hAnsi="宋体" w:cs="宋体"/>
          <w:b/>
          <w:color w:val="auto"/>
          <w:szCs w:val="21"/>
          <w:highlight w:val="none"/>
        </w:rPr>
        <w:t>）报价评审</w:t>
      </w:r>
    </w:p>
    <w:p w14:paraId="670AE650">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1）响应文件未提供“供应商须知前附表” 报价文件中规定的“竞标报价表”的；</w:t>
      </w:r>
    </w:p>
    <w:p w14:paraId="283286C5">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2）未采用人民币报价或者未按照磋商文件标明的币种报价的；</w:t>
      </w:r>
    </w:p>
    <w:p w14:paraId="35690923">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199047D4">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4）竞标报价（包含首次报价、最后报价）超过所竞标分标规定的采购预算金额或者最高限价的（如本项目公布了最高限价）；</w:t>
      </w:r>
      <w:bookmarkStart w:id="76" w:name="_Hlk42596405"/>
      <w:r>
        <w:rPr>
          <w:rFonts w:hint="eastAsia" w:ascii="宋体" w:hAnsi="宋体" w:cs="宋体"/>
          <w:b/>
          <w:color w:val="auto"/>
          <w:szCs w:val="21"/>
          <w:highlight w:val="none"/>
        </w:rPr>
        <w:t>竞标报价（包含首次报价、最后报价）</w:t>
      </w:r>
      <w:bookmarkEnd w:id="76"/>
      <w:bookmarkStart w:id="77" w:name="_Hlk42596276"/>
      <w:r>
        <w:rPr>
          <w:rFonts w:hint="eastAsia" w:ascii="宋体" w:hAnsi="宋体" w:cs="宋体"/>
          <w:b/>
          <w:color w:val="auto"/>
          <w:szCs w:val="21"/>
          <w:highlight w:val="none"/>
        </w:rPr>
        <w:t>超过磋商文件分项采购预算金额或者最高限价的</w:t>
      </w:r>
      <w:bookmarkEnd w:id="77"/>
      <w:r>
        <w:rPr>
          <w:rFonts w:hint="eastAsia" w:ascii="宋体" w:hAnsi="宋体" w:cs="宋体"/>
          <w:b/>
          <w:color w:val="auto"/>
          <w:szCs w:val="21"/>
          <w:highlight w:val="none"/>
        </w:rPr>
        <w:t>（如本项目有要求并公布了分项采购预算金额或者最高限价）；</w:t>
      </w:r>
    </w:p>
    <w:p w14:paraId="4F2047C3">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有要求并公布了分项采购预算金额或者最高限价）。</w:t>
      </w:r>
    </w:p>
    <w:p w14:paraId="246DE313">
      <w:pPr>
        <w:spacing w:line="360" w:lineRule="auto"/>
        <w:ind w:firstLine="422" w:firstLineChars="200"/>
        <w:rPr>
          <w:rFonts w:hint="eastAsia" w:ascii="宋体" w:hAnsi="宋体"/>
          <w:b/>
          <w:color w:val="auto"/>
          <w:szCs w:val="21"/>
          <w:highlight w:val="none"/>
        </w:rPr>
      </w:pPr>
      <w:r>
        <w:rPr>
          <w:rFonts w:hint="eastAsia" w:ascii="宋体" w:hAnsi="宋体" w:cs="宋体"/>
          <w:b/>
          <w:color w:val="auto"/>
          <w:szCs w:val="21"/>
          <w:highlight w:val="none"/>
        </w:rPr>
        <w:t>6）</w:t>
      </w:r>
      <w:r>
        <w:rPr>
          <w:rFonts w:hint="eastAsia" w:ascii="宋体" w:hAnsi="宋体"/>
          <w:b/>
          <w:color w:val="auto"/>
          <w:szCs w:val="21"/>
          <w:highlight w:val="none"/>
        </w:rPr>
        <w:t>响应文件响应的标的数量及单位与竞争性磋商采购文件要求实质性不一致的；</w:t>
      </w:r>
    </w:p>
    <w:p w14:paraId="26AD2493">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7）未响应磋商文件实质性要求的。</w:t>
      </w:r>
    </w:p>
    <w:p w14:paraId="5B60D89E">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磋商小组对响应文件进行评审，未实质性响应磋商文件的响应文件按无效处理，磋商小组应当将资格和符合性不通过的情况告知有关供应商。</w:t>
      </w:r>
    </w:p>
    <w:p w14:paraId="2D630E99">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olor w:val="auto"/>
          <w:szCs w:val="21"/>
          <w:highlight w:val="none"/>
        </w:rPr>
        <w:t>通过符合性审查的合格供应商不足3家的，不得进入磋商环节，应当重新开展采购活动。</w:t>
      </w:r>
    </w:p>
    <w:p w14:paraId="4C33DE52">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.磋商程序</w:t>
      </w:r>
    </w:p>
    <w:p w14:paraId="7CE4C85A">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.1</w:t>
      </w:r>
      <w:r>
        <w:rPr>
          <w:rFonts w:hint="eastAsia" w:ascii="宋体" w:hAnsi="宋体" w:cs="宋体"/>
          <w:color w:val="auto"/>
          <w:kern w:val="0"/>
          <w:szCs w:val="21"/>
          <w:highlight w:val="none"/>
        </w:rPr>
        <w:t>磋商小组</w:t>
      </w:r>
      <w:r>
        <w:rPr>
          <w:rFonts w:hint="eastAsia" w:ascii="宋体" w:hAnsi="宋体" w:cs="宋体"/>
          <w:color w:val="auto"/>
          <w:szCs w:val="21"/>
          <w:highlight w:val="none"/>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处理。</w:t>
      </w:r>
    </w:p>
    <w:p w14:paraId="6FE7195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FC4B139">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对磋商文件作出的实质性变动是磋商文件的有效组成部分，由磋商小组及时以电子澄清函形式同时通知所有参加磋商的供应商。</w:t>
      </w:r>
    </w:p>
    <w:p w14:paraId="07CF803F">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3.4</w:t>
      </w:r>
      <w:r>
        <w:rPr>
          <w:rFonts w:hint="eastAsia" w:ascii="宋体" w:hAnsi="宋体" w:cs="宋体"/>
          <w:color w:val="auto"/>
          <w:szCs w:val="21"/>
          <w:highlight w:val="none"/>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3E77AEA1">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3.5</w:t>
      </w:r>
      <w:r>
        <w:rPr>
          <w:rFonts w:hint="eastAsia" w:ascii="宋体" w:hAnsi="宋体" w:cs="宋体"/>
          <w:color w:val="auto"/>
          <w:szCs w:val="21"/>
          <w:highlight w:val="none"/>
        </w:rPr>
        <w:t>磋商中，磋商的任何一方不得透露与磋商有关的其他供应商的技术资料、价格和其他信息</w:t>
      </w:r>
      <w:r>
        <w:rPr>
          <w:rFonts w:hint="eastAsia" w:ascii="宋体" w:hAnsi="宋体" w:cs="宋体"/>
          <w:color w:val="auto"/>
          <w:spacing w:val="-6"/>
          <w:szCs w:val="21"/>
          <w:highlight w:val="none"/>
        </w:rPr>
        <w:t>。</w:t>
      </w:r>
    </w:p>
    <w:p w14:paraId="107323BE">
      <w:pPr>
        <w:widowControl/>
        <w:tabs>
          <w:tab w:val="left" w:pos="540"/>
        </w:tabs>
        <w:spacing w:line="360" w:lineRule="auto"/>
        <w:ind w:firstLine="420" w:firstLineChars="200"/>
        <w:jc w:val="left"/>
        <w:rPr>
          <w:rFonts w:hint="eastAsia" w:ascii="宋体" w:hAnsi="宋体" w:cs="宋体"/>
          <w:color w:val="auto"/>
          <w:szCs w:val="21"/>
          <w:highlight w:val="none"/>
        </w:rPr>
      </w:pPr>
      <w:r>
        <w:rPr>
          <w:rFonts w:ascii="宋体" w:hAnsi="宋体" w:cs="宋体"/>
          <w:color w:val="auto"/>
          <w:szCs w:val="21"/>
          <w:highlight w:val="none"/>
        </w:rPr>
        <w:t>3.6</w:t>
      </w:r>
      <w:r>
        <w:rPr>
          <w:rFonts w:hint="eastAsia" w:ascii="宋体" w:hAnsi="宋体" w:cs="宋体"/>
          <w:color w:val="auto"/>
          <w:szCs w:val="21"/>
          <w:highlight w:val="none"/>
        </w:rPr>
        <w:t>采购代理机构对磋商过程和磋商内容进行记录。</w:t>
      </w:r>
    </w:p>
    <w:p w14:paraId="2C2EEDEA">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.7</w:t>
      </w:r>
      <w:r>
        <w:rPr>
          <w:color w:val="auto"/>
          <w:highlight w:val="none"/>
        </w:rPr>
        <w:t>根据《</w:t>
      </w:r>
      <w:r>
        <w:rPr>
          <w:rFonts w:ascii="宋体" w:hAnsi="宋体"/>
          <w:color w:val="auto"/>
          <w:highlight w:val="none"/>
        </w:rPr>
        <w:t>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F6A0533">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3.8除</w:t>
      </w:r>
      <w:r>
        <w:rPr>
          <w:rFonts w:ascii="宋体" w:hAnsi="宋体"/>
          <w:color w:val="auto"/>
          <w:highlight w:val="none"/>
        </w:rPr>
        <w:t>本章第3.7条</w:t>
      </w:r>
      <w:r>
        <w:rPr>
          <w:rFonts w:hint="eastAsia" w:ascii="宋体" w:hAnsi="宋体"/>
          <w:color w:val="auto"/>
          <w:highlight w:val="none"/>
        </w:rPr>
        <w:t>规定的</w:t>
      </w:r>
      <w:r>
        <w:rPr>
          <w:rFonts w:ascii="宋体" w:hAnsi="宋体"/>
          <w:color w:val="auto"/>
          <w:highlight w:val="none"/>
        </w:rPr>
        <w:t>情形</w:t>
      </w:r>
      <w:r>
        <w:rPr>
          <w:rFonts w:hint="eastAsia" w:ascii="宋体" w:hAnsi="宋体"/>
          <w:color w:val="auto"/>
          <w:highlight w:val="none"/>
        </w:rPr>
        <w:t>外，</w:t>
      </w:r>
      <w:r>
        <w:rPr>
          <w:rFonts w:hint="eastAsia" w:ascii="宋体" w:hAnsi="宋体"/>
          <w:color w:val="auto"/>
          <w:szCs w:val="21"/>
          <w:highlight w:val="none"/>
        </w:rPr>
        <w:t>对磋商过程提交的响应文件进行有效性、完整性和响应程度审查，通过审查的合格供应商不足3家的，应当重新开展采购活动。</w:t>
      </w:r>
    </w:p>
    <w:p w14:paraId="41562B2D">
      <w:pPr>
        <w:spacing w:line="360" w:lineRule="auto"/>
        <w:ind w:firstLine="482" w:firstLineChars="200"/>
        <w:rPr>
          <w:rFonts w:hint="eastAsia" w:ascii="宋体" w:hAnsi="宋体" w:cs="宋体"/>
          <w:color w:val="auto"/>
          <w:szCs w:val="21"/>
          <w:highlight w:val="none"/>
        </w:rPr>
      </w:pPr>
      <w:r>
        <w:rPr>
          <w:rFonts w:ascii="黑体" w:hAnsi="黑体" w:eastAsia="黑体" w:cs="宋体"/>
          <w:b/>
          <w:bCs/>
          <w:color w:val="auto"/>
          <w:sz w:val="24"/>
          <w:highlight w:val="none"/>
        </w:rPr>
        <w:t>4.</w:t>
      </w:r>
      <w:r>
        <w:rPr>
          <w:rFonts w:hint="eastAsia" w:ascii="黑体" w:hAnsi="黑体" w:eastAsia="黑体" w:cs="宋体"/>
          <w:b/>
          <w:bCs/>
          <w:color w:val="auto"/>
          <w:sz w:val="24"/>
          <w:highlight w:val="none"/>
        </w:rPr>
        <w:t xml:space="preserve"> 最后报价</w:t>
      </w:r>
    </w:p>
    <w:p w14:paraId="21C3394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磋商文件能够详细列明采购标的的技术、服务要求的，磋商结束后，磋商小组应当要求所有继续参加磋商的供应商在规定时间内在广西政府采购云平台开标大厅提交加盖供应商电子签章的最后报价，除本章第</w:t>
      </w:r>
      <w:r>
        <w:rPr>
          <w:rFonts w:ascii="宋体" w:hAnsi="宋体" w:cs="宋体"/>
          <w:color w:val="auto"/>
          <w:szCs w:val="21"/>
          <w:highlight w:val="none"/>
        </w:rPr>
        <w:t>4.3</w:t>
      </w:r>
      <w:r>
        <w:rPr>
          <w:rFonts w:hint="eastAsia" w:ascii="宋体" w:hAnsi="宋体" w:cs="宋体"/>
          <w:color w:val="auto"/>
          <w:szCs w:val="21"/>
          <w:highlight w:val="none"/>
        </w:rPr>
        <w:t>条规定的情形外，提交最后报价的供应商不得少于3家，否则应当重新</w:t>
      </w:r>
      <w:r>
        <w:rPr>
          <w:rFonts w:hint="eastAsia" w:ascii="宋体" w:hAnsi="宋体"/>
          <w:color w:val="auto"/>
          <w:szCs w:val="21"/>
          <w:highlight w:val="none"/>
        </w:rPr>
        <w:t>开展采购活动</w:t>
      </w:r>
      <w:r>
        <w:rPr>
          <w:rFonts w:hint="eastAsia" w:ascii="宋体" w:hAnsi="宋体" w:cs="宋体"/>
          <w:color w:val="auto"/>
          <w:szCs w:val="21"/>
          <w:highlight w:val="none"/>
        </w:rPr>
        <w:t>。</w:t>
      </w:r>
    </w:p>
    <w:p w14:paraId="59797A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14:paraId="245CE680">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 xml:space="preserve"> 最后报价是供应商响应文件的有效组成部分。</w:t>
      </w:r>
    </w:p>
    <w:p w14:paraId="1B03953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符合《政府采购竞争性磋商采购方式管理暂行办法》（财库〔2014〕214号）第三条第四项“市场竞争不充分的科研项目，以及需要扶持的科技成果转化项目”和</w:t>
      </w:r>
      <w:r>
        <w:rPr>
          <w:color w:val="auto"/>
          <w:highlight w:val="none"/>
        </w:rPr>
        <w:t>本章</w:t>
      </w:r>
      <w:r>
        <w:rPr>
          <w:rFonts w:ascii="宋体" w:hAnsi="宋体"/>
          <w:color w:val="auto"/>
          <w:highlight w:val="none"/>
        </w:rPr>
        <w:t>第3.7条</w:t>
      </w:r>
      <w:r>
        <w:rPr>
          <w:rFonts w:hint="eastAsia" w:ascii="宋体" w:hAnsi="宋体" w:cs="宋体"/>
          <w:color w:val="auto"/>
          <w:szCs w:val="21"/>
          <w:highlight w:val="none"/>
        </w:rPr>
        <w:t>规定</w:t>
      </w:r>
      <w:r>
        <w:rPr>
          <w:color w:val="auto"/>
          <w:highlight w:val="none"/>
        </w:rPr>
        <w:t>情形的，</w:t>
      </w:r>
      <w:r>
        <w:rPr>
          <w:rFonts w:hint="eastAsia" w:ascii="宋体" w:hAnsi="宋体" w:cs="宋体"/>
          <w:color w:val="auto"/>
          <w:szCs w:val="21"/>
          <w:highlight w:val="none"/>
        </w:rPr>
        <w:t>提交最后报价的供应商可以为2家。</w:t>
      </w:r>
    </w:p>
    <w:p w14:paraId="73803B37">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已经提交响应文件的供应商，在提交最后报价之前，可以根据磋商情况退出磋商，退出磋商的供应商的响应文件按无效处理。采购人、采购代理机构将退还退出磋商的供应商的保证金。</w:t>
      </w:r>
    </w:p>
    <w:p w14:paraId="196C9DD3">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供应商未在规定时间内提交最后报价的，视同退出磋商，其响应文件按无效处理。</w:t>
      </w:r>
    </w:p>
    <w:p w14:paraId="76EF7068">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最后报价统一开启后，磋商小组对最后报价进行有效性、完整性和响应程度的审查。</w:t>
      </w:r>
    </w:p>
    <w:p w14:paraId="5AB82DEE">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最后报价出现前后不一致的，按照本章第</w:t>
      </w:r>
      <w:r>
        <w:rPr>
          <w:rFonts w:ascii="宋体" w:hAnsi="宋体" w:cs="宋体"/>
          <w:color w:val="auto"/>
          <w:szCs w:val="21"/>
          <w:highlight w:val="none"/>
        </w:rPr>
        <w:t>2.4</w:t>
      </w:r>
      <w:r>
        <w:rPr>
          <w:rFonts w:hint="eastAsia" w:ascii="宋体" w:hAnsi="宋体" w:cs="宋体"/>
          <w:color w:val="auto"/>
          <w:szCs w:val="21"/>
          <w:highlight w:val="none"/>
        </w:rPr>
        <w:t xml:space="preserve">条的规定修正。 </w:t>
      </w:r>
    </w:p>
    <w:p w14:paraId="66C6EFE1">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4.8</w:t>
      </w:r>
      <w:r>
        <w:rPr>
          <w:rFonts w:hint="eastAsia" w:ascii="宋体" w:hAnsi="宋体" w:cs="宋体"/>
          <w:color w:val="auto"/>
          <w:szCs w:val="21"/>
          <w:highlight w:val="none"/>
        </w:rPr>
        <w:t>修正后的报价出现下列情形的，按无效响应处理：</w:t>
      </w:r>
    </w:p>
    <w:p w14:paraId="78ED84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4B03BC3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14:paraId="6958687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7FAC78F0">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4.9</w:t>
      </w:r>
      <w:r>
        <w:rPr>
          <w:rFonts w:hint="eastAsia" w:ascii="宋体" w:hAnsi="宋体" w:cs="宋体"/>
          <w:color w:val="auto"/>
          <w:szCs w:val="21"/>
          <w:highlight w:val="none"/>
        </w:rPr>
        <w:t>经供应商确认修正后的最后报价作为评审及签订合同的依据。</w:t>
      </w:r>
    </w:p>
    <w:p w14:paraId="16A89BF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4.10供应商出现最后报价按无效响应处理或者响应文件按无效处理时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5D74AB5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1最后报价结束后，磋商小组不得再与供应商进行任何形式的商谈。</w:t>
      </w:r>
    </w:p>
    <w:p w14:paraId="5FDE53E4">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6F45348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评审方法：综合评分法。</w:t>
      </w:r>
    </w:p>
    <w:p w14:paraId="4CFC4188">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046AE43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14:paraId="13C2A5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2D6207D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24D3CD4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6C76CE2B">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6. 成交供应商推荐原则</w:t>
      </w:r>
    </w:p>
    <w:p w14:paraId="24D03C5D">
      <w:pPr>
        <w:spacing w:line="360" w:lineRule="auto"/>
        <w:ind w:firstLine="420" w:firstLineChars="200"/>
        <w:rPr>
          <w:rFonts w:hint="eastAsia" w:ascii="宋体" w:hAnsi="宋体"/>
          <w:color w:val="auto"/>
          <w:kern w:val="0"/>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w:t>
      </w:r>
      <w:r>
        <w:rPr>
          <w:rFonts w:hint="eastAsia" w:ascii="宋体" w:hAnsi="宋体" w:cs="宋体"/>
          <w:color w:val="auto"/>
          <w:szCs w:val="21"/>
          <w:highlight w:val="none"/>
        </w:rPr>
        <w:t>1</w:t>
      </w:r>
      <w:r>
        <w:rPr>
          <w:rFonts w:hint="eastAsia" w:ascii="宋体" w:hAnsi="宋体"/>
          <w:bCs/>
          <w:color w:val="auto"/>
          <w:szCs w:val="21"/>
          <w:highlight w:val="none"/>
        </w:rPr>
        <w:t>由磋商小组根据综合评分情况，按照评审得分由高到低顺序推荐3名以上成交候选供应商，并编写评审报告，</w:t>
      </w:r>
      <w:r>
        <w:rPr>
          <w:rFonts w:hint="eastAsia" w:ascii="宋体" w:hAnsi="宋体" w:cs="宋体"/>
          <w:color w:val="auto"/>
          <w:highlight w:val="none"/>
        </w:rPr>
        <w:t>评审报告</w:t>
      </w:r>
      <w:r>
        <w:rPr>
          <w:rFonts w:hint="eastAsia" w:hAnsi="宋体"/>
          <w:color w:val="auto"/>
          <w:highlight w:val="none"/>
        </w:rPr>
        <w:t>通过电子交易平台向采购人、采购代理机构提交。</w:t>
      </w:r>
      <w:r>
        <w:rPr>
          <w:rFonts w:hint="eastAsia" w:ascii="宋体" w:hAnsi="宋体"/>
          <w:bCs/>
          <w:color w:val="auto"/>
          <w:szCs w:val="21"/>
          <w:highlight w:val="none"/>
        </w:rPr>
        <w:t>符合本章第</w:t>
      </w:r>
      <w:r>
        <w:rPr>
          <w:rFonts w:ascii="宋体" w:hAnsi="宋体"/>
          <w:bCs/>
          <w:color w:val="auto"/>
          <w:szCs w:val="21"/>
          <w:highlight w:val="none"/>
        </w:rPr>
        <w:t>4.3</w:t>
      </w:r>
      <w:r>
        <w:rPr>
          <w:rFonts w:hint="eastAsia" w:ascii="宋体" w:hAnsi="宋体"/>
          <w:bCs/>
          <w:color w:val="auto"/>
          <w:szCs w:val="21"/>
          <w:highlight w:val="none"/>
        </w:rPr>
        <w:t>条情形的，可以推荐2家成交候选供应商。评审得分相同的，按照下浮率报价(即:1-下浮系数,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r>
        <w:rPr>
          <w:rFonts w:hint="eastAsia" w:ascii="宋体" w:hAnsi="宋体"/>
          <w:color w:val="auto"/>
          <w:kern w:val="0"/>
          <w:szCs w:val="21"/>
          <w:highlight w:val="none"/>
        </w:rPr>
        <w:t>。</w:t>
      </w:r>
    </w:p>
    <w:p w14:paraId="63A86F42">
      <w:pPr>
        <w:spacing w:line="360" w:lineRule="auto"/>
        <w:ind w:firstLine="420" w:firstLineChars="200"/>
        <w:rPr>
          <w:rFonts w:hint="eastAsia" w:ascii="宋体" w:hAnsi="宋体" w:cs="宋体"/>
          <w:color w:val="auto"/>
          <w:szCs w:val="21"/>
          <w:highlight w:val="none"/>
        </w:rPr>
      </w:pPr>
      <w:r>
        <w:rPr>
          <w:rFonts w:hint="eastAsia" w:ascii="宋体" w:hAnsi="宋体"/>
          <w:color w:val="auto"/>
          <w:kern w:val="0"/>
          <w:szCs w:val="21"/>
          <w:highlight w:val="none"/>
        </w:rPr>
        <w:t>6</w:t>
      </w:r>
      <w:r>
        <w:rPr>
          <w:rFonts w:ascii="宋体" w:hAnsi="宋体"/>
          <w:color w:val="auto"/>
          <w:kern w:val="0"/>
          <w:szCs w:val="21"/>
          <w:highlight w:val="none"/>
        </w:rPr>
        <w:t>.</w:t>
      </w:r>
      <w:r>
        <w:rPr>
          <w:rFonts w:hint="eastAsia" w:ascii="宋体" w:hAnsi="宋体"/>
          <w:color w:val="auto"/>
          <w:kern w:val="0"/>
          <w:szCs w:val="21"/>
          <w:highlight w:val="none"/>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FC12F03">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二、评审标准</w:t>
      </w:r>
    </w:p>
    <w:p w14:paraId="41355F7B">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7</w:t>
      </w:r>
      <w:r>
        <w:rPr>
          <w:rFonts w:ascii="宋体" w:hAnsi="宋体"/>
          <w:bCs/>
          <w:color w:val="auto"/>
          <w:szCs w:val="21"/>
          <w:highlight w:val="none"/>
        </w:rPr>
        <w:t>.</w:t>
      </w:r>
      <w:r>
        <w:rPr>
          <w:rFonts w:hint="eastAsia" w:ascii="宋体" w:hAnsi="宋体"/>
          <w:bCs/>
          <w:color w:val="auto"/>
          <w:szCs w:val="21"/>
          <w:highlight w:val="none"/>
        </w:rPr>
        <w:t>评审依据：磋商小组以磋商文件为评审依据，对供应商的报价、技术、商务等方面内容按百分制打分。（计分方法按四舍五入取至百分位）</w:t>
      </w:r>
    </w:p>
    <w:tbl>
      <w:tblPr>
        <w:tblStyle w:val="43"/>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299"/>
        <w:gridCol w:w="6288"/>
        <w:gridCol w:w="851"/>
      </w:tblGrid>
      <w:tr w14:paraId="68172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2" w:type="dxa"/>
            <w:noWrap w:val="0"/>
            <w:vAlign w:val="center"/>
          </w:tcPr>
          <w:p w14:paraId="790DA829">
            <w:pPr>
              <w:widowControl/>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299" w:type="dxa"/>
            <w:noWrap w:val="0"/>
            <w:vAlign w:val="center"/>
          </w:tcPr>
          <w:p w14:paraId="5ED671CC">
            <w:pPr>
              <w:widowControl/>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评审因素</w:t>
            </w:r>
          </w:p>
        </w:tc>
        <w:tc>
          <w:tcPr>
            <w:tcW w:w="6288" w:type="dxa"/>
            <w:noWrap w:val="0"/>
            <w:vAlign w:val="center"/>
          </w:tcPr>
          <w:p w14:paraId="15B5E335">
            <w:pPr>
              <w:widowControl/>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评审标准</w:t>
            </w:r>
          </w:p>
        </w:tc>
        <w:tc>
          <w:tcPr>
            <w:tcW w:w="851" w:type="dxa"/>
            <w:noWrap w:val="0"/>
            <w:vAlign w:val="center"/>
          </w:tcPr>
          <w:p w14:paraId="5B2F9A97">
            <w:pPr>
              <w:widowControl/>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分值</w:t>
            </w:r>
          </w:p>
        </w:tc>
      </w:tr>
      <w:tr w14:paraId="433EA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2" w:type="dxa"/>
            <w:noWrap w:val="0"/>
            <w:vAlign w:val="center"/>
          </w:tcPr>
          <w:p w14:paraId="7BEB64DF">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299" w:type="dxa"/>
            <w:noWrap w:val="0"/>
            <w:vAlign w:val="center"/>
          </w:tcPr>
          <w:p w14:paraId="5F2F56A5">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价格分</w:t>
            </w:r>
          </w:p>
        </w:tc>
        <w:tc>
          <w:tcPr>
            <w:tcW w:w="6288" w:type="dxa"/>
            <w:noWrap w:val="0"/>
            <w:vAlign w:val="top"/>
          </w:tcPr>
          <w:p w14:paraId="1EF58C6C">
            <w:pPr>
              <w:spacing w:line="312"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（1）</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0A615D71">
            <w:pPr>
              <w:pStyle w:val="25"/>
              <w:spacing w:line="312" w:lineRule="auto"/>
              <w:ind w:firstLine="420" w:firstLineChars="200"/>
              <w:rPr>
                <w:rFonts w:hint="eastAsia" w:hAnsi="宋体" w:cs="宋体"/>
                <w:color w:val="auto"/>
                <w:sz w:val="21"/>
                <w:highlight w:val="none"/>
              </w:rPr>
            </w:pPr>
            <w:r>
              <w:rPr>
                <w:rFonts w:hint="eastAsia" w:hAnsi="宋体" w:cs="宋体"/>
                <w:bCs/>
                <w:color w:val="auto"/>
                <w:kern w:val="2"/>
                <w:sz w:val="21"/>
                <w:highlight w:val="none"/>
              </w:rPr>
              <w:t>（2）政府采购政策性扣除计算方法</w:t>
            </w:r>
          </w:p>
          <w:p w14:paraId="7E042340">
            <w:pPr>
              <w:spacing w:line="312"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本项目为专门面对中小企业项目，小微企业、监狱企业、残疾人福利性单位不再执行价格评审优惠的扶持政策</w:t>
            </w:r>
            <w:r>
              <w:rPr>
                <w:rFonts w:hint="eastAsia" w:ascii="宋体" w:hAnsi="宋体" w:cs="宋体"/>
                <w:color w:val="auto"/>
                <w:szCs w:val="21"/>
                <w:highlight w:val="none"/>
              </w:rPr>
              <w:t>。</w:t>
            </w:r>
          </w:p>
          <w:p w14:paraId="073FE037">
            <w:pPr>
              <w:pStyle w:val="25"/>
              <w:spacing w:line="312" w:lineRule="auto"/>
              <w:ind w:firstLine="420" w:firstLineChars="200"/>
              <w:rPr>
                <w:rFonts w:hint="eastAsia" w:hAnsi="宋体" w:cs="宋体"/>
                <w:bCs/>
                <w:color w:val="auto"/>
                <w:kern w:val="2"/>
                <w:sz w:val="21"/>
                <w:highlight w:val="none"/>
              </w:rPr>
            </w:pPr>
            <w:r>
              <w:rPr>
                <w:rFonts w:hint="eastAsia" w:hAnsi="宋体" w:cs="宋体"/>
                <w:bCs/>
                <w:color w:val="auto"/>
                <w:kern w:val="2"/>
                <w:sz w:val="21"/>
                <w:highlight w:val="none"/>
              </w:rPr>
              <w:t>（3）以进入比较与评价环节的最低的评审价为基准价，基准价得分为</w:t>
            </w:r>
            <w:r>
              <w:rPr>
                <w:rFonts w:hint="eastAsia" w:hAnsi="宋体" w:cs="宋体"/>
                <w:bCs/>
                <w:color w:val="auto"/>
                <w:kern w:val="2"/>
                <w:sz w:val="21"/>
                <w:highlight w:val="none"/>
                <w:u w:val="single"/>
              </w:rPr>
              <w:t>30</w:t>
            </w:r>
            <w:r>
              <w:rPr>
                <w:rFonts w:hint="eastAsia" w:hAnsi="宋体" w:cs="宋体"/>
                <w:bCs/>
                <w:color w:val="auto"/>
                <w:kern w:val="2"/>
                <w:sz w:val="21"/>
                <w:highlight w:val="none"/>
              </w:rPr>
              <w:t>分。</w:t>
            </w:r>
          </w:p>
          <w:p w14:paraId="611FA297">
            <w:pPr>
              <w:pStyle w:val="25"/>
              <w:spacing w:line="312" w:lineRule="auto"/>
              <w:ind w:firstLine="420" w:firstLineChars="200"/>
              <w:rPr>
                <w:rFonts w:hint="eastAsia" w:hAnsi="宋体" w:cs="宋体"/>
                <w:bCs/>
                <w:color w:val="auto"/>
                <w:kern w:val="2"/>
                <w:sz w:val="21"/>
                <w:highlight w:val="none"/>
              </w:rPr>
            </w:pPr>
            <w:r>
              <w:rPr>
                <w:rFonts w:hint="eastAsia" w:hAnsi="宋体" w:cs="宋体"/>
                <w:bCs/>
                <w:color w:val="auto"/>
                <w:kern w:val="2"/>
                <w:sz w:val="21"/>
                <w:highlight w:val="none"/>
              </w:rPr>
              <w:t>（4）价格分计算公式：</w:t>
            </w:r>
          </w:p>
          <w:p w14:paraId="3B4E3C12">
            <w:pPr>
              <w:pStyle w:val="25"/>
              <w:spacing w:line="360" w:lineRule="auto"/>
              <w:ind w:firstLine="420" w:firstLineChars="200"/>
              <w:rPr>
                <w:rFonts w:hint="eastAsia" w:hAnsi="宋体" w:cs="宋体"/>
                <w:bCs/>
                <w:color w:val="auto"/>
                <w:kern w:val="2"/>
                <w:sz w:val="21"/>
                <w:highlight w:val="none"/>
              </w:rPr>
            </w:pPr>
            <w:r>
              <w:rPr>
                <w:rFonts w:hint="eastAsia" w:hAnsi="宋体" w:cs="宋体"/>
                <w:bCs/>
                <w:color w:val="auto"/>
                <w:kern w:val="2"/>
                <w:sz w:val="21"/>
                <w:highlight w:val="none"/>
              </w:rPr>
              <w:t>报价得分=（基准价/最后报价）×</w:t>
            </w:r>
            <w:r>
              <w:rPr>
                <w:rFonts w:hint="eastAsia" w:hAnsi="宋体" w:cs="宋体"/>
                <w:bCs/>
                <w:color w:val="auto"/>
                <w:kern w:val="2"/>
                <w:sz w:val="21"/>
                <w:highlight w:val="none"/>
                <w:u w:val="single"/>
              </w:rPr>
              <w:t>30</w:t>
            </w:r>
            <w:r>
              <w:rPr>
                <w:rFonts w:hint="eastAsia" w:hAnsi="宋体" w:cs="宋体"/>
                <w:bCs/>
                <w:color w:val="auto"/>
                <w:kern w:val="2"/>
                <w:sz w:val="21"/>
                <w:highlight w:val="none"/>
              </w:rPr>
              <w:t>分</w:t>
            </w:r>
          </w:p>
        </w:tc>
        <w:tc>
          <w:tcPr>
            <w:tcW w:w="851" w:type="dxa"/>
            <w:noWrap w:val="0"/>
            <w:vAlign w:val="center"/>
          </w:tcPr>
          <w:p w14:paraId="3A59B7FA">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30分</w:t>
            </w:r>
          </w:p>
        </w:tc>
      </w:tr>
      <w:tr w14:paraId="53949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52" w:type="dxa"/>
            <w:noWrap w:val="0"/>
            <w:vAlign w:val="center"/>
          </w:tcPr>
          <w:p w14:paraId="0DBC6A9D">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299" w:type="dxa"/>
            <w:noWrap w:val="0"/>
            <w:vAlign w:val="center"/>
          </w:tcPr>
          <w:p w14:paraId="6101368F">
            <w:pPr>
              <w:widowControl/>
              <w:spacing w:line="360" w:lineRule="auto"/>
              <w:jc w:val="center"/>
              <w:rPr>
                <w:rFonts w:hint="eastAsia" w:ascii="宋体" w:hAnsi="宋体" w:cs="宋体"/>
                <w:color w:val="auto"/>
                <w:kern w:val="0"/>
                <w:szCs w:val="21"/>
                <w:highlight w:val="none"/>
              </w:rPr>
            </w:pPr>
            <w:r>
              <w:rPr>
                <w:rFonts w:hint="eastAsia" w:ascii="宋体" w:hAnsi="宋体" w:cs="宋体"/>
                <w:bCs/>
                <w:color w:val="auto"/>
                <w:kern w:val="0"/>
                <w:szCs w:val="21"/>
                <w:highlight w:val="none"/>
              </w:rPr>
              <w:t>技术分</w:t>
            </w:r>
          </w:p>
        </w:tc>
        <w:tc>
          <w:tcPr>
            <w:tcW w:w="7139" w:type="dxa"/>
            <w:gridSpan w:val="2"/>
            <w:noWrap w:val="0"/>
            <w:vAlign w:val="center"/>
          </w:tcPr>
          <w:p w14:paraId="79A12738">
            <w:pPr>
              <w:spacing w:line="360" w:lineRule="auto"/>
              <w:jc w:val="center"/>
              <w:rPr>
                <w:rFonts w:hint="eastAsia" w:ascii="宋体" w:hAnsi="宋体" w:cs="宋体"/>
                <w:color w:val="auto"/>
                <w:kern w:val="0"/>
                <w:szCs w:val="21"/>
                <w:highlight w:val="none"/>
              </w:rPr>
            </w:pPr>
            <w:r>
              <w:rPr>
                <w:rFonts w:hint="eastAsia" w:ascii="宋体" w:hAnsi="宋体" w:cs="宋体"/>
                <w:bCs/>
                <w:color w:val="auto"/>
                <w:szCs w:val="21"/>
                <w:highlight w:val="none"/>
              </w:rPr>
              <w:t>评审标准</w:t>
            </w:r>
          </w:p>
        </w:tc>
      </w:tr>
      <w:tr w14:paraId="6EF72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52" w:type="dxa"/>
            <w:noWrap w:val="0"/>
            <w:vAlign w:val="center"/>
          </w:tcPr>
          <w:p w14:paraId="66C25190">
            <w:pPr>
              <w:adjustRightInd w:val="0"/>
              <w:spacing w:line="360" w:lineRule="auto"/>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2.1</w:t>
            </w:r>
          </w:p>
        </w:tc>
        <w:tc>
          <w:tcPr>
            <w:tcW w:w="1299" w:type="dxa"/>
            <w:noWrap w:val="0"/>
            <w:vAlign w:val="center"/>
          </w:tcPr>
          <w:p w14:paraId="4AA51010">
            <w:pPr>
              <w:pStyle w:val="240"/>
              <w:widowControl w:val="0"/>
              <w:autoSpaceDE w:val="0"/>
              <w:autoSpaceDN w:val="0"/>
              <w:spacing w:before="0" w:after="0" w:line="360" w:lineRule="auto"/>
              <w:jc w:val="left"/>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sz w:val="21"/>
                <w:szCs w:val="21"/>
                <w:highlight w:val="none"/>
                <w:lang w:eastAsia="zh-CN"/>
              </w:rPr>
              <w:t>主要施工</w:t>
            </w:r>
            <w:r>
              <w:rPr>
                <w:rFonts w:hint="eastAsia" w:ascii="宋体" w:hAnsi="宋体" w:eastAsia="宋体" w:cs="宋体"/>
                <w:color w:val="auto"/>
                <w:spacing w:val="-21"/>
                <w:sz w:val="21"/>
                <w:szCs w:val="21"/>
                <w:highlight w:val="none"/>
                <w:lang w:eastAsia="zh-CN"/>
              </w:rPr>
              <w:t>方法</w:t>
            </w:r>
          </w:p>
        </w:tc>
        <w:tc>
          <w:tcPr>
            <w:tcW w:w="6288" w:type="dxa"/>
            <w:noWrap w:val="0"/>
            <w:vAlign w:val="center"/>
          </w:tcPr>
          <w:p w14:paraId="42CC3E43">
            <w:pPr>
              <w:pStyle w:val="240"/>
              <w:widowControl w:val="0"/>
              <w:autoSpaceDE w:val="0"/>
              <w:autoSpaceDN w:val="0"/>
              <w:spacing w:before="0" w:after="0" w:line="360" w:lineRule="auto"/>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四档（7分）：各主要分部施工方法符合项目实际，有详尽的施工技术方案，工艺精湛、方法科学合理、可行，能指导具体施工并确保安全。</w:t>
            </w:r>
          </w:p>
          <w:p w14:paraId="5B878A4B">
            <w:pPr>
              <w:pStyle w:val="240"/>
              <w:widowControl w:val="0"/>
              <w:autoSpaceDE w:val="0"/>
              <w:autoSpaceDN w:val="0"/>
              <w:spacing w:before="0" w:after="0" w:line="360" w:lineRule="auto"/>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三档（5分）：各主要分部施工方法符合项目实际，有详尽的施工技术方案，工艺合理、方法可行，能指导具体施工并确保安全。</w:t>
            </w:r>
          </w:p>
          <w:p w14:paraId="4C662DCA">
            <w:pPr>
              <w:pStyle w:val="240"/>
              <w:widowControl w:val="0"/>
              <w:autoSpaceDE w:val="0"/>
              <w:autoSpaceDN w:val="0"/>
              <w:spacing w:before="0" w:after="0" w:line="360" w:lineRule="auto"/>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二档（3分）：各主要分部施工方法符合项目实际，有施工技术方案，工艺合理、方法可行，能指导施工并确保安全。</w:t>
            </w:r>
          </w:p>
          <w:p w14:paraId="27EB8AF8">
            <w:pPr>
              <w:pStyle w:val="240"/>
              <w:widowControl w:val="0"/>
              <w:autoSpaceDE w:val="0"/>
              <w:autoSpaceDN w:val="0"/>
              <w:spacing w:before="0" w:after="0" w:line="360" w:lineRule="auto"/>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一档（1分）：各主要分部施工方法不符合项目实际，有施工技术方案，工艺不合理，不能指导具体施工并确保安全。</w:t>
            </w:r>
          </w:p>
        </w:tc>
        <w:tc>
          <w:tcPr>
            <w:tcW w:w="851" w:type="dxa"/>
            <w:noWrap w:val="0"/>
            <w:vAlign w:val="center"/>
          </w:tcPr>
          <w:p w14:paraId="65925754">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7分</w:t>
            </w:r>
          </w:p>
        </w:tc>
      </w:tr>
      <w:tr w14:paraId="4B73C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52" w:type="dxa"/>
            <w:noWrap w:val="0"/>
            <w:vAlign w:val="center"/>
          </w:tcPr>
          <w:p w14:paraId="0DBBE9E5">
            <w:pPr>
              <w:adjustRightInd w:val="0"/>
              <w:spacing w:line="360" w:lineRule="auto"/>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2.2</w:t>
            </w:r>
          </w:p>
        </w:tc>
        <w:tc>
          <w:tcPr>
            <w:tcW w:w="1299" w:type="dxa"/>
            <w:noWrap w:val="0"/>
            <w:vAlign w:val="center"/>
          </w:tcPr>
          <w:p w14:paraId="30A599A4">
            <w:pPr>
              <w:pStyle w:val="240"/>
              <w:widowControl w:val="0"/>
              <w:autoSpaceDE w:val="0"/>
              <w:autoSpaceDN w:val="0"/>
              <w:spacing w:before="0" w:after="0"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拟投入的主要物资计划</w:t>
            </w:r>
          </w:p>
        </w:tc>
        <w:tc>
          <w:tcPr>
            <w:tcW w:w="6288" w:type="dxa"/>
            <w:noWrap w:val="0"/>
            <w:vAlign w:val="center"/>
          </w:tcPr>
          <w:p w14:paraId="21115825">
            <w:pPr>
              <w:pStyle w:val="241"/>
              <w:spacing w:before="0" w:after="0" w:line="360" w:lineRule="auto"/>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val="en-US" w:eastAsia="zh-CN"/>
              </w:rPr>
              <w:t>四档</w:t>
            </w:r>
            <w:r>
              <w:rPr>
                <w:rFonts w:hint="eastAsia" w:ascii="宋体" w:hAnsi="宋体" w:eastAsia="宋体" w:cs="宋体"/>
                <w:color w:val="auto"/>
                <w:sz w:val="21"/>
                <w:szCs w:val="21"/>
                <w:highlight w:val="none"/>
                <w:lang w:eastAsia="zh-CN"/>
              </w:rPr>
              <w:t>（6分）：投入的施工材料有详细的组织计划且计划周密，数量、选型配置、进场时间安排合理，满足施工需要。</w:t>
            </w:r>
          </w:p>
          <w:p w14:paraId="7C205AC5">
            <w:pPr>
              <w:pStyle w:val="241"/>
              <w:spacing w:before="0" w:after="0" w:line="360" w:lineRule="auto"/>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val="en-US" w:eastAsia="zh-CN"/>
              </w:rPr>
              <w:t>三档</w:t>
            </w:r>
            <w:r>
              <w:rPr>
                <w:rFonts w:hint="eastAsia" w:ascii="宋体" w:hAnsi="宋体" w:eastAsia="宋体" w:cs="宋体"/>
                <w:color w:val="auto"/>
                <w:sz w:val="21"/>
                <w:szCs w:val="21"/>
                <w:highlight w:val="none"/>
                <w:lang w:eastAsia="zh-CN"/>
              </w:rPr>
              <w:t>（4分）：投入的施工材料有详细的组织计划但计划可行，数量、选型配置、进场时间安排合理，满足施工需要。</w:t>
            </w:r>
          </w:p>
          <w:p w14:paraId="5DDF9230">
            <w:pPr>
              <w:pStyle w:val="241"/>
              <w:spacing w:before="0" w:after="0" w:line="360" w:lineRule="auto"/>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val="en-US" w:eastAsia="zh-CN"/>
              </w:rPr>
              <w:t>二档</w:t>
            </w:r>
            <w:r>
              <w:rPr>
                <w:rFonts w:hint="eastAsia" w:ascii="宋体" w:hAnsi="宋体" w:eastAsia="宋体" w:cs="宋体"/>
                <w:color w:val="auto"/>
                <w:sz w:val="21"/>
                <w:szCs w:val="21"/>
                <w:highlight w:val="none"/>
                <w:lang w:eastAsia="zh-CN"/>
              </w:rPr>
              <w:t>（2分）：投入的施工材料有组织计划但计划一般，数量、选型配置、进场时间安排基本合理，基本满足施工需要。</w:t>
            </w:r>
          </w:p>
          <w:p w14:paraId="06DA9ED5">
            <w:pPr>
              <w:pStyle w:val="241"/>
              <w:widowControl w:val="0"/>
              <w:autoSpaceDE w:val="0"/>
              <w:autoSpaceDN w:val="0"/>
              <w:spacing w:before="0" w:after="0" w:line="360" w:lineRule="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sz w:val="21"/>
                <w:szCs w:val="21"/>
                <w:highlight w:val="none"/>
                <w:lang w:val="en-US" w:eastAsia="zh-CN"/>
              </w:rPr>
              <w:t>一档</w:t>
            </w:r>
            <w:r>
              <w:rPr>
                <w:rFonts w:hint="eastAsia" w:ascii="宋体" w:hAnsi="宋体" w:eastAsia="宋体" w:cs="宋体"/>
                <w:color w:val="auto"/>
                <w:sz w:val="21"/>
                <w:szCs w:val="21"/>
                <w:highlight w:val="none"/>
                <w:lang w:eastAsia="zh-CN"/>
              </w:rPr>
              <w:t>（1分）：投入的施工材料无组织计划，数量、选型配置、进场时间安排不合理，不满足施工需要。</w:t>
            </w:r>
          </w:p>
        </w:tc>
        <w:tc>
          <w:tcPr>
            <w:tcW w:w="851" w:type="dxa"/>
            <w:noWrap w:val="0"/>
            <w:vAlign w:val="center"/>
          </w:tcPr>
          <w:p w14:paraId="6BBC686C">
            <w:pPr>
              <w:spacing w:line="360" w:lineRule="auto"/>
              <w:jc w:val="center"/>
              <w:rPr>
                <w:rFonts w:hint="eastAsia" w:ascii="宋体" w:hAnsi="宋体" w:cs="宋体"/>
                <w:color w:val="auto"/>
                <w:kern w:val="0"/>
                <w:szCs w:val="21"/>
                <w:highlight w:val="none"/>
              </w:rPr>
            </w:pPr>
            <w:r>
              <w:rPr>
                <w:rFonts w:hint="eastAsia" w:ascii="宋体" w:hAnsi="宋体" w:cs="宋体"/>
                <w:color w:val="auto"/>
                <w:szCs w:val="21"/>
                <w:highlight w:val="none"/>
              </w:rPr>
              <w:t>6分</w:t>
            </w:r>
          </w:p>
        </w:tc>
      </w:tr>
      <w:tr w14:paraId="7E6E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52" w:type="dxa"/>
            <w:noWrap w:val="0"/>
            <w:vAlign w:val="center"/>
          </w:tcPr>
          <w:p w14:paraId="1A88210C">
            <w:pPr>
              <w:adjustRightInd w:val="0"/>
              <w:spacing w:line="360" w:lineRule="auto"/>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2.3</w:t>
            </w:r>
          </w:p>
        </w:tc>
        <w:tc>
          <w:tcPr>
            <w:tcW w:w="1299" w:type="dxa"/>
            <w:noWrap w:val="0"/>
            <w:vAlign w:val="center"/>
          </w:tcPr>
          <w:p w14:paraId="3CC9FACA">
            <w:pPr>
              <w:pStyle w:val="241"/>
              <w:widowControl w:val="0"/>
              <w:autoSpaceDE w:val="0"/>
              <w:autoSpaceDN w:val="0"/>
              <w:spacing w:before="0" w:after="0"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拟投入的主要施工</w:t>
            </w:r>
            <w:r>
              <w:rPr>
                <w:rFonts w:hint="eastAsia" w:ascii="宋体" w:hAnsi="宋体" w:eastAsia="宋体" w:cs="宋体"/>
                <w:color w:val="auto"/>
                <w:spacing w:val="-2"/>
                <w:sz w:val="21"/>
                <w:szCs w:val="21"/>
                <w:highlight w:val="none"/>
                <w:lang w:eastAsia="zh-CN"/>
              </w:rPr>
              <w:t>机械、设备</w:t>
            </w:r>
            <w:r>
              <w:rPr>
                <w:rFonts w:hint="eastAsia" w:ascii="宋体" w:hAnsi="宋体" w:eastAsia="宋体" w:cs="宋体"/>
                <w:color w:val="auto"/>
                <w:spacing w:val="-21"/>
                <w:sz w:val="21"/>
                <w:szCs w:val="21"/>
                <w:highlight w:val="none"/>
                <w:lang w:eastAsia="zh-CN"/>
              </w:rPr>
              <w:t>计划</w:t>
            </w:r>
          </w:p>
          <w:p w14:paraId="06F5C544">
            <w:pPr>
              <w:spacing w:line="360" w:lineRule="auto"/>
              <w:rPr>
                <w:rFonts w:hint="eastAsia" w:ascii="宋体" w:hAnsi="宋体" w:cs="宋体"/>
                <w:color w:val="auto"/>
                <w:szCs w:val="21"/>
                <w:highlight w:val="none"/>
              </w:rPr>
            </w:pPr>
          </w:p>
        </w:tc>
        <w:tc>
          <w:tcPr>
            <w:tcW w:w="6288" w:type="dxa"/>
            <w:noWrap w:val="0"/>
            <w:vAlign w:val="center"/>
          </w:tcPr>
          <w:p w14:paraId="21388D28">
            <w:pPr>
              <w:pStyle w:val="241"/>
              <w:spacing w:before="0" w:after="0" w:line="360" w:lineRule="auto"/>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val="en-US" w:eastAsia="zh-CN"/>
              </w:rPr>
              <w:t>四档</w:t>
            </w:r>
            <w:r>
              <w:rPr>
                <w:rFonts w:hint="eastAsia" w:ascii="宋体" w:hAnsi="宋体" w:eastAsia="宋体" w:cs="宋体"/>
                <w:color w:val="auto"/>
                <w:sz w:val="21"/>
                <w:szCs w:val="21"/>
                <w:highlight w:val="none"/>
                <w:lang w:eastAsia="zh-CN"/>
              </w:rPr>
              <w:t>（6分）：投入的施工机械、设备、机具有详细的组织计划且计划周密，设备数量、选型配置、进场时间安排合理，满足施工需要。</w:t>
            </w:r>
          </w:p>
          <w:p w14:paraId="6FE5558A">
            <w:pPr>
              <w:pStyle w:val="241"/>
              <w:spacing w:before="0" w:after="0" w:line="360" w:lineRule="auto"/>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val="en-US" w:eastAsia="zh-CN"/>
              </w:rPr>
              <w:t>三档</w:t>
            </w:r>
            <w:r>
              <w:rPr>
                <w:rFonts w:hint="eastAsia" w:ascii="宋体" w:hAnsi="宋体" w:eastAsia="宋体" w:cs="宋体"/>
                <w:color w:val="auto"/>
                <w:sz w:val="21"/>
                <w:szCs w:val="21"/>
                <w:highlight w:val="none"/>
                <w:lang w:eastAsia="zh-CN"/>
              </w:rPr>
              <w:t>（4分）：投入的施工机械、设备、机具有详细的组织计划但计划可行，设备数量、选型配置、进场时间安排合理，满足施工需要。</w:t>
            </w:r>
          </w:p>
          <w:p w14:paraId="01F449C6">
            <w:pPr>
              <w:pStyle w:val="241"/>
              <w:spacing w:before="0" w:after="0" w:line="360" w:lineRule="auto"/>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val="en-US" w:eastAsia="zh-CN"/>
              </w:rPr>
              <w:t>二档</w:t>
            </w:r>
            <w:r>
              <w:rPr>
                <w:rFonts w:hint="eastAsia" w:ascii="宋体" w:hAnsi="宋体" w:eastAsia="宋体" w:cs="宋体"/>
                <w:color w:val="auto"/>
                <w:sz w:val="21"/>
                <w:szCs w:val="21"/>
                <w:highlight w:val="none"/>
                <w:lang w:eastAsia="zh-CN"/>
              </w:rPr>
              <w:t>（2分）：投入的施工机械、设备、机具有组织计划但计划一般，设备数量、选型配置、进场时间安排合理，基本满足施工需要。</w:t>
            </w:r>
          </w:p>
          <w:p w14:paraId="0FF81C3A">
            <w:pPr>
              <w:pStyle w:val="241"/>
              <w:widowControl w:val="0"/>
              <w:autoSpaceDE w:val="0"/>
              <w:autoSpaceDN w:val="0"/>
              <w:spacing w:before="0" w:after="0" w:line="360" w:lineRule="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sz w:val="21"/>
                <w:szCs w:val="21"/>
                <w:highlight w:val="none"/>
                <w:lang w:val="en-US" w:eastAsia="zh-CN"/>
              </w:rPr>
              <w:t>一档</w:t>
            </w:r>
            <w:r>
              <w:rPr>
                <w:rFonts w:hint="eastAsia" w:ascii="宋体" w:hAnsi="宋体" w:eastAsia="宋体" w:cs="宋体"/>
                <w:color w:val="auto"/>
                <w:sz w:val="21"/>
                <w:szCs w:val="21"/>
                <w:highlight w:val="none"/>
                <w:lang w:eastAsia="zh-CN"/>
              </w:rPr>
              <w:t>（1分）：投入的施工机械、设备、机具无组织计划，设备数量、选型配置、进场时间安排不合理，不满足施工需要。</w:t>
            </w:r>
          </w:p>
        </w:tc>
        <w:tc>
          <w:tcPr>
            <w:tcW w:w="851" w:type="dxa"/>
            <w:noWrap w:val="0"/>
            <w:vAlign w:val="center"/>
          </w:tcPr>
          <w:p w14:paraId="769123A8">
            <w:pPr>
              <w:spacing w:line="360" w:lineRule="auto"/>
              <w:jc w:val="center"/>
              <w:rPr>
                <w:rFonts w:hint="eastAsia" w:ascii="宋体" w:hAnsi="宋体" w:cs="宋体"/>
                <w:color w:val="auto"/>
                <w:kern w:val="0"/>
                <w:szCs w:val="21"/>
                <w:highlight w:val="none"/>
              </w:rPr>
            </w:pPr>
            <w:r>
              <w:rPr>
                <w:rFonts w:hint="eastAsia" w:ascii="宋体" w:hAnsi="宋体" w:cs="宋体"/>
                <w:color w:val="auto"/>
                <w:szCs w:val="21"/>
                <w:highlight w:val="none"/>
              </w:rPr>
              <w:t>6分</w:t>
            </w:r>
          </w:p>
        </w:tc>
      </w:tr>
      <w:tr w14:paraId="4CA8C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52" w:type="dxa"/>
            <w:noWrap w:val="0"/>
            <w:vAlign w:val="center"/>
          </w:tcPr>
          <w:p w14:paraId="1BDF8DF1">
            <w:pPr>
              <w:adjustRightInd w:val="0"/>
              <w:spacing w:line="360" w:lineRule="auto"/>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2.4</w:t>
            </w:r>
          </w:p>
        </w:tc>
        <w:tc>
          <w:tcPr>
            <w:tcW w:w="1299" w:type="dxa"/>
            <w:noWrap w:val="0"/>
            <w:vAlign w:val="center"/>
          </w:tcPr>
          <w:p w14:paraId="71A0057F">
            <w:pPr>
              <w:pStyle w:val="241"/>
              <w:widowControl w:val="0"/>
              <w:autoSpaceDE w:val="0"/>
              <w:autoSpaceDN w:val="0"/>
              <w:spacing w:before="0" w:after="0" w:line="360" w:lineRule="auto"/>
              <w:ind w:left="53"/>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劳动力安</w:t>
            </w:r>
            <w:r>
              <w:rPr>
                <w:rFonts w:hint="eastAsia" w:ascii="宋体" w:hAnsi="宋体" w:eastAsia="宋体" w:cs="宋体"/>
                <w:color w:val="auto"/>
                <w:spacing w:val="1"/>
                <w:sz w:val="21"/>
                <w:szCs w:val="21"/>
                <w:highlight w:val="none"/>
                <w:lang w:eastAsia="zh-CN"/>
              </w:rPr>
              <w:t>排计划</w:t>
            </w:r>
          </w:p>
        </w:tc>
        <w:tc>
          <w:tcPr>
            <w:tcW w:w="6288" w:type="dxa"/>
            <w:noWrap w:val="0"/>
            <w:vAlign w:val="center"/>
          </w:tcPr>
          <w:p w14:paraId="6C9E562A">
            <w:pPr>
              <w:pStyle w:val="241"/>
              <w:widowControl w:val="0"/>
              <w:autoSpaceDE w:val="0"/>
              <w:autoSpaceDN w:val="0"/>
              <w:spacing w:before="0" w:after="0" w:line="360" w:lineRule="auto"/>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val="en-US" w:eastAsia="zh-CN"/>
              </w:rPr>
              <w:t>四档</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z w:val="21"/>
                <w:szCs w:val="21"/>
                <w:highlight w:val="none"/>
                <w:lang w:eastAsia="zh-CN"/>
              </w:rPr>
              <w:t>6</w:t>
            </w:r>
            <w:r>
              <w:rPr>
                <w:rFonts w:hint="eastAsia" w:ascii="宋体" w:hAnsi="宋体" w:eastAsia="宋体" w:cs="宋体"/>
                <w:color w:val="auto"/>
                <w:spacing w:val="5"/>
                <w:sz w:val="21"/>
                <w:szCs w:val="21"/>
                <w:highlight w:val="none"/>
                <w:lang w:eastAsia="zh-CN"/>
              </w:rPr>
              <w:t>分）：各主要施工工序有详细周密的劳动力安排计划，</w:t>
            </w:r>
            <w:r>
              <w:rPr>
                <w:rFonts w:hint="eastAsia" w:ascii="宋体" w:hAnsi="宋体" w:eastAsia="宋体" w:cs="宋体"/>
                <w:color w:val="auto"/>
                <w:spacing w:val="-1"/>
                <w:sz w:val="21"/>
                <w:szCs w:val="21"/>
                <w:highlight w:val="none"/>
                <w:lang w:eastAsia="zh-CN"/>
              </w:rPr>
              <w:t>各工种劳动力安排计划科学合理，劳动力投入科学合理，满足施工需要。</w:t>
            </w:r>
          </w:p>
          <w:p w14:paraId="242D93CF">
            <w:pPr>
              <w:pStyle w:val="241"/>
              <w:widowControl w:val="0"/>
              <w:autoSpaceDE w:val="0"/>
              <w:autoSpaceDN w:val="0"/>
              <w:spacing w:before="0" w:after="0" w:line="360" w:lineRule="auto"/>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val="en-US" w:eastAsia="zh-CN"/>
              </w:rPr>
              <w:t>三档</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z w:val="21"/>
                <w:szCs w:val="21"/>
                <w:highlight w:val="none"/>
                <w:lang w:eastAsia="zh-CN"/>
              </w:rPr>
              <w:t>4</w:t>
            </w:r>
            <w:r>
              <w:rPr>
                <w:rFonts w:hint="eastAsia" w:ascii="宋体" w:hAnsi="宋体" w:eastAsia="宋体" w:cs="宋体"/>
                <w:color w:val="auto"/>
                <w:spacing w:val="5"/>
                <w:sz w:val="21"/>
                <w:szCs w:val="21"/>
                <w:highlight w:val="none"/>
                <w:lang w:eastAsia="zh-CN"/>
              </w:rPr>
              <w:t>分）：各主要施工工序有劳动力安排计划，有各工种劳</w:t>
            </w:r>
            <w:r>
              <w:rPr>
                <w:rFonts w:hint="eastAsia" w:ascii="宋体" w:hAnsi="宋体" w:eastAsia="宋体" w:cs="宋体"/>
                <w:color w:val="auto"/>
                <w:spacing w:val="1"/>
                <w:sz w:val="21"/>
                <w:szCs w:val="21"/>
                <w:highlight w:val="none"/>
                <w:lang w:eastAsia="zh-CN"/>
              </w:rPr>
              <w:t>动力安排计划，劳动力投入合理，满足施工需要。</w:t>
            </w:r>
          </w:p>
          <w:p w14:paraId="064879CF">
            <w:pPr>
              <w:pStyle w:val="241"/>
              <w:widowControl w:val="0"/>
              <w:autoSpaceDE w:val="0"/>
              <w:autoSpaceDN w:val="0"/>
              <w:spacing w:before="0" w:after="0" w:line="360" w:lineRule="auto"/>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val="en-US" w:eastAsia="zh-CN"/>
              </w:rPr>
              <w:t>二档</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z w:val="21"/>
                <w:szCs w:val="21"/>
                <w:highlight w:val="none"/>
                <w:lang w:eastAsia="zh-CN"/>
              </w:rPr>
              <w:t>2</w:t>
            </w:r>
            <w:r>
              <w:rPr>
                <w:rFonts w:hint="eastAsia" w:ascii="宋体" w:hAnsi="宋体" w:eastAsia="宋体" w:cs="宋体"/>
                <w:color w:val="auto"/>
                <w:spacing w:val="5"/>
                <w:sz w:val="21"/>
                <w:szCs w:val="21"/>
                <w:highlight w:val="none"/>
                <w:lang w:eastAsia="zh-CN"/>
              </w:rPr>
              <w:t>分）：各主要施工工序只有劳动力安排计划，无各工种</w:t>
            </w:r>
            <w:r>
              <w:rPr>
                <w:rFonts w:hint="eastAsia" w:ascii="宋体" w:hAnsi="宋体" w:eastAsia="宋体" w:cs="宋体"/>
                <w:color w:val="auto"/>
                <w:spacing w:val="1"/>
                <w:sz w:val="21"/>
                <w:szCs w:val="21"/>
                <w:highlight w:val="none"/>
                <w:lang w:eastAsia="zh-CN"/>
              </w:rPr>
              <w:t>劳动力安排计划，劳动力投入基本满足项目要求，基本满足施工需要。</w:t>
            </w:r>
          </w:p>
          <w:p w14:paraId="4EE143FE">
            <w:pPr>
              <w:pStyle w:val="241"/>
              <w:widowControl w:val="0"/>
              <w:autoSpaceDE w:val="0"/>
              <w:autoSpaceDN w:val="0"/>
              <w:spacing w:before="0" w:after="0"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一档</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z w:val="21"/>
                <w:szCs w:val="21"/>
                <w:highlight w:val="none"/>
                <w:lang w:eastAsia="zh-CN"/>
              </w:rPr>
              <w:t>1</w:t>
            </w:r>
            <w:r>
              <w:rPr>
                <w:rFonts w:hint="eastAsia" w:ascii="宋体" w:hAnsi="宋体" w:eastAsia="宋体" w:cs="宋体"/>
                <w:color w:val="auto"/>
                <w:spacing w:val="5"/>
                <w:sz w:val="21"/>
                <w:szCs w:val="21"/>
                <w:highlight w:val="none"/>
                <w:lang w:eastAsia="zh-CN"/>
              </w:rPr>
              <w:t>分）：各主要施工工序无劳动力安排计划，劳动力投入</w:t>
            </w:r>
            <w:r>
              <w:rPr>
                <w:rFonts w:hint="eastAsia" w:ascii="宋体" w:hAnsi="宋体" w:eastAsia="宋体" w:cs="宋体"/>
                <w:color w:val="auto"/>
                <w:spacing w:val="1"/>
                <w:sz w:val="21"/>
                <w:szCs w:val="21"/>
                <w:highlight w:val="none"/>
                <w:lang w:eastAsia="zh-CN"/>
              </w:rPr>
              <w:t>不合理，不满足施工需要。</w:t>
            </w:r>
          </w:p>
        </w:tc>
        <w:tc>
          <w:tcPr>
            <w:tcW w:w="851" w:type="dxa"/>
            <w:noWrap w:val="0"/>
            <w:vAlign w:val="center"/>
          </w:tcPr>
          <w:p w14:paraId="668C4568">
            <w:pPr>
              <w:spacing w:line="360" w:lineRule="auto"/>
              <w:jc w:val="center"/>
              <w:rPr>
                <w:rFonts w:hint="eastAsia" w:ascii="宋体" w:hAnsi="宋体" w:cs="宋体"/>
                <w:color w:val="auto"/>
                <w:kern w:val="0"/>
                <w:szCs w:val="21"/>
                <w:highlight w:val="none"/>
              </w:rPr>
            </w:pPr>
            <w:r>
              <w:rPr>
                <w:rFonts w:hint="eastAsia" w:ascii="宋体" w:hAnsi="宋体" w:cs="宋体"/>
                <w:color w:val="auto"/>
                <w:szCs w:val="21"/>
                <w:highlight w:val="none"/>
              </w:rPr>
              <w:t>6分</w:t>
            </w:r>
          </w:p>
        </w:tc>
      </w:tr>
      <w:tr w14:paraId="4F4A3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52" w:type="dxa"/>
            <w:noWrap w:val="0"/>
            <w:vAlign w:val="center"/>
          </w:tcPr>
          <w:p w14:paraId="115C2482">
            <w:pPr>
              <w:adjustRightInd w:val="0"/>
              <w:spacing w:line="360" w:lineRule="auto"/>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2.5</w:t>
            </w:r>
          </w:p>
        </w:tc>
        <w:tc>
          <w:tcPr>
            <w:tcW w:w="1299" w:type="dxa"/>
            <w:noWrap w:val="0"/>
            <w:vAlign w:val="center"/>
          </w:tcPr>
          <w:p w14:paraId="748D5F8B">
            <w:pPr>
              <w:pStyle w:val="241"/>
              <w:widowControl w:val="0"/>
              <w:autoSpaceDE w:val="0"/>
              <w:autoSpaceDN w:val="0"/>
              <w:spacing w:before="0" w:after="0"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确保工程质量的技术组织措</w:t>
            </w:r>
            <w:r>
              <w:rPr>
                <w:rFonts w:hint="eastAsia" w:ascii="宋体" w:hAnsi="宋体" w:eastAsia="宋体" w:cs="宋体"/>
                <w:color w:val="auto"/>
                <w:spacing w:val="1"/>
                <w:sz w:val="21"/>
                <w:szCs w:val="21"/>
                <w:highlight w:val="none"/>
                <w:lang w:eastAsia="zh-CN"/>
              </w:rPr>
              <w:t>施</w:t>
            </w:r>
          </w:p>
          <w:p w14:paraId="3D99117E">
            <w:pPr>
              <w:spacing w:line="360" w:lineRule="auto"/>
              <w:rPr>
                <w:rFonts w:hint="eastAsia" w:ascii="宋体" w:hAnsi="宋体" w:cs="宋体"/>
                <w:color w:val="auto"/>
                <w:szCs w:val="21"/>
                <w:highlight w:val="none"/>
              </w:rPr>
            </w:pPr>
          </w:p>
        </w:tc>
        <w:tc>
          <w:tcPr>
            <w:tcW w:w="6288" w:type="dxa"/>
            <w:noWrap w:val="0"/>
            <w:vAlign w:val="center"/>
          </w:tcPr>
          <w:p w14:paraId="16BF6D81">
            <w:pPr>
              <w:pStyle w:val="241"/>
              <w:widowControl w:val="0"/>
              <w:autoSpaceDE w:val="0"/>
              <w:autoSpaceDN w:val="0"/>
              <w:spacing w:before="0" w:after="0" w:line="360" w:lineRule="auto"/>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val="en-US" w:eastAsia="zh-CN"/>
              </w:rPr>
              <w:t>四档</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z w:val="21"/>
                <w:szCs w:val="21"/>
                <w:highlight w:val="none"/>
                <w:lang w:eastAsia="zh-CN"/>
              </w:rPr>
              <w:t>6</w:t>
            </w:r>
            <w:r>
              <w:rPr>
                <w:rFonts w:hint="eastAsia" w:ascii="宋体" w:hAnsi="宋体" w:eastAsia="宋体" w:cs="宋体"/>
                <w:color w:val="auto"/>
                <w:spacing w:val="5"/>
                <w:sz w:val="21"/>
                <w:szCs w:val="21"/>
                <w:highlight w:val="none"/>
                <w:lang w:eastAsia="zh-CN"/>
              </w:rPr>
              <w:t>分）：有专门的质量技术管理班子和制度，且人员配备科学</w:t>
            </w:r>
            <w:r>
              <w:rPr>
                <w:rFonts w:hint="eastAsia" w:ascii="宋体" w:hAnsi="宋体" w:eastAsia="宋体" w:cs="宋体"/>
                <w:color w:val="auto"/>
                <w:spacing w:val="3"/>
                <w:sz w:val="21"/>
                <w:szCs w:val="21"/>
                <w:highlight w:val="none"/>
                <w:lang w:eastAsia="zh-CN"/>
              </w:rPr>
              <w:t>合理，制度健全。主要工序有质量技术保证措施和手段，自</w:t>
            </w:r>
            <w:r>
              <w:rPr>
                <w:rFonts w:hint="eastAsia" w:ascii="宋体" w:hAnsi="宋体" w:eastAsia="宋体" w:cs="宋体"/>
                <w:color w:val="auto"/>
                <w:spacing w:val="1"/>
                <w:sz w:val="21"/>
                <w:szCs w:val="21"/>
                <w:highlight w:val="none"/>
                <w:lang w:eastAsia="zh-CN"/>
              </w:rPr>
              <w:t>控体系完整、切合实际，能很好的保证技术质量，达到承诺的质量标准。</w:t>
            </w:r>
          </w:p>
          <w:p w14:paraId="2BBBE372">
            <w:pPr>
              <w:pStyle w:val="241"/>
              <w:widowControl w:val="0"/>
              <w:autoSpaceDE w:val="0"/>
              <w:autoSpaceDN w:val="0"/>
              <w:spacing w:before="0" w:after="0" w:line="360" w:lineRule="auto"/>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val="en-US" w:eastAsia="zh-CN"/>
              </w:rPr>
              <w:t>三档</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z w:val="21"/>
                <w:szCs w:val="21"/>
                <w:highlight w:val="none"/>
                <w:lang w:eastAsia="zh-CN"/>
              </w:rPr>
              <w:t>4</w:t>
            </w:r>
            <w:r>
              <w:rPr>
                <w:rFonts w:hint="eastAsia" w:ascii="宋体" w:hAnsi="宋体" w:eastAsia="宋体" w:cs="宋体"/>
                <w:color w:val="auto"/>
                <w:spacing w:val="5"/>
                <w:sz w:val="21"/>
                <w:szCs w:val="21"/>
                <w:highlight w:val="none"/>
                <w:lang w:eastAsia="zh-CN"/>
              </w:rPr>
              <w:t>分）：有质量技术管理班子和制度，且人员配备合理，</w:t>
            </w:r>
            <w:r>
              <w:rPr>
                <w:rFonts w:hint="eastAsia" w:ascii="宋体" w:hAnsi="宋体" w:eastAsia="宋体" w:cs="宋体"/>
                <w:color w:val="auto"/>
                <w:spacing w:val="3"/>
                <w:sz w:val="21"/>
                <w:szCs w:val="21"/>
                <w:highlight w:val="none"/>
                <w:lang w:eastAsia="zh-CN"/>
              </w:rPr>
              <w:t>制度健全。主要工序有质量技术保证措施和手段，自控体系</w:t>
            </w:r>
            <w:r>
              <w:rPr>
                <w:rFonts w:hint="eastAsia" w:ascii="宋体" w:hAnsi="宋体" w:eastAsia="宋体" w:cs="宋体"/>
                <w:color w:val="auto"/>
                <w:spacing w:val="1"/>
                <w:sz w:val="21"/>
                <w:szCs w:val="21"/>
                <w:highlight w:val="none"/>
                <w:lang w:eastAsia="zh-CN"/>
              </w:rPr>
              <w:t>完整，能有效保证技术质量，达到承诺的质量标准。</w:t>
            </w:r>
          </w:p>
          <w:p w14:paraId="59A0B523">
            <w:pPr>
              <w:spacing w:line="360" w:lineRule="auto"/>
              <w:rPr>
                <w:rFonts w:hint="eastAsia" w:ascii="宋体" w:hAnsi="宋体" w:cs="宋体"/>
                <w:color w:val="auto"/>
                <w:szCs w:val="21"/>
                <w:highlight w:val="none"/>
                <w:lang w:val="ru-RU"/>
              </w:rPr>
            </w:pPr>
            <w:r>
              <w:rPr>
                <w:rFonts w:hint="eastAsia" w:ascii="宋体" w:hAnsi="宋体" w:cs="宋体"/>
                <w:bCs/>
                <w:color w:val="auto"/>
                <w:szCs w:val="21"/>
                <w:highlight w:val="none"/>
              </w:rPr>
              <w:t>二档</w:t>
            </w:r>
            <w:r>
              <w:rPr>
                <w:rFonts w:hint="eastAsia" w:ascii="宋体" w:hAnsi="宋体" w:cs="宋体"/>
                <w:color w:val="auto"/>
                <w:szCs w:val="21"/>
                <w:highlight w:val="none"/>
                <w:lang w:val="ru-RU"/>
              </w:rPr>
              <w:t>（2分）：有质量技术管理班子和制度。主要工序有质量技术保证措施和手段，自控体系一般，基本能保证技术质量，达到承诺的质量标准。</w:t>
            </w:r>
          </w:p>
          <w:p w14:paraId="7319A690">
            <w:pPr>
              <w:pStyle w:val="242"/>
              <w:widowControl w:val="0"/>
              <w:autoSpaceDE w:val="0"/>
              <w:autoSpaceDN w:val="0"/>
              <w:spacing w:before="0" w:after="0"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一档</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z w:val="21"/>
                <w:szCs w:val="21"/>
                <w:highlight w:val="none"/>
                <w:lang w:eastAsia="zh-CN"/>
              </w:rPr>
              <w:t>1</w:t>
            </w:r>
            <w:r>
              <w:rPr>
                <w:rFonts w:hint="eastAsia" w:ascii="宋体" w:hAnsi="宋体" w:eastAsia="宋体" w:cs="宋体"/>
                <w:color w:val="auto"/>
                <w:spacing w:val="5"/>
                <w:sz w:val="21"/>
                <w:szCs w:val="21"/>
                <w:highlight w:val="none"/>
                <w:lang w:eastAsia="zh-CN"/>
              </w:rPr>
              <w:t>分）：有质量技术管理班子和制度。主要工序无质量技</w:t>
            </w:r>
            <w:r>
              <w:rPr>
                <w:rFonts w:hint="eastAsia" w:ascii="宋体" w:hAnsi="宋体" w:eastAsia="宋体" w:cs="宋体"/>
                <w:color w:val="auto"/>
                <w:spacing w:val="-1"/>
                <w:sz w:val="21"/>
                <w:szCs w:val="21"/>
                <w:highlight w:val="none"/>
                <w:lang w:eastAsia="zh-CN"/>
              </w:rPr>
              <w:t>术保证措施和手段，自控体系一般，不能有效保证技术质量。</w:t>
            </w:r>
          </w:p>
        </w:tc>
        <w:tc>
          <w:tcPr>
            <w:tcW w:w="851" w:type="dxa"/>
            <w:noWrap w:val="0"/>
            <w:vAlign w:val="center"/>
          </w:tcPr>
          <w:p w14:paraId="68A4B60E">
            <w:pPr>
              <w:spacing w:line="360" w:lineRule="auto"/>
              <w:jc w:val="center"/>
              <w:rPr>
                <w:rFonts w:hint="eastAsia" w:ascii="宋体" w:hAnsi="宋体" w:cs="宋体"/>
                <w:color w:val="auto"/>
                <w:kern w:val="0"/>
                <w:szCs w:val="21"/>
                <w:highlight w:val="none"/>
              </w:rPr>
            </w:pPr>
            <w:r>
              <w:rPr>
                <w:rFonts w:hint="eastAsia" w:ascii="宋体" w:hAnsi="宋体" w:cs="宋体"/>
                <w:color w:val="auto"/>
                <w:szCs w:val="21"/>
                <w:highlight w:val="none"/>
              </w:rPr>
              <w:t>6分</w:t>
            </w:r>
          </w:p>
        </w:tc>
      </w:tr>
      <w:tr w14:paraId="0211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52" w:type="dxa"/>
            <w:noWrap w:val="0"/>
            <w:vAlign w:val="center"/>
          </w:tcPr>
          <w:p w14:paraId="2036D31F">
            <w:pPr>
              <w:adjustRightInd w:val="0"/>
              <w:spacing w:line="360" w:lineRule="auto"/>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2.6</w:t>
            </w:r>
          </w:p>
        </w:tc>
        <w:tc>
          <w:tcPr>
            <w:tcW w:w="1299" w:type="dxa"/>
            <w:noWrap w:val="0"/>
            <w:vAlign w:val="center"/>
          </w:tcPr>
          <w:p w14:paraId="050223F6">
            <w:pPr>
              <w:pStyle w:val="242"/>
              <w:widowControl w:val="0"/>
              <w:autoSpaceDE w:val="0"/>
              <w:autoSpaceDN w:val="0"/>
              <w:spacing w:before="0" w:after="0"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确保安全生产的技术组织措</w:t>
            </w:r>
            <w:r>
              <w:rPr>
                <w:rFonts w:hint="eastAsia" w:ascii="宋体" w:hAnsi="宋体" w:eastAsia="宋体" w:cs="宋体"/>
                <w:color w:val="auto"/>
                <w:spacing w:val="1"/>
                <w:sz w:val="21"/>
                <w:szCs w:val="21"/>
                <w:highlight w:val="none"/>
                <w:lang w:eastAsia="zh-CN"/>
              </w:rPr>
              <w:t>施</w:t>
            </w:r>
          </w:p>
          <w:p w14:paraId="6BC138B6">
            <w:pPr>
              <w:pStyle w:val="241"/>
              <w:widowControl w:val="0"/>
              <w:autoSpaceDE w:val="0"/>
              <w:autoSpaceDN w:val="0"/>
              <w:spacing w:before="0" w:after="0" w:line="360" w:lineRule="auto"/>
              <w:jc w:val="left"/>
              <w:rPr>
                <w:rFonts w:hint="eastAsia" w:ascii="宋体" w:hAnsi="宋体" w:eastAsia="宋体" w:cs="宋体"/>
                <w:color w:val="auto"/>
                <w:sz w:val="21"/>
                <w:szCs w:val="21"/>
                <w:highlight w:val="none"/>
                <w:lang w:eastAsia="zh-CN"/>
              </w:rPr>
            </w:pPr>
          </w:p>
        </w:tc>
        <w:tc>
          <w:tcPr>
            <w:tcW w:w="6288" w:type="dxa"/>
            <w:noWrap w:val="0"/>
            <w:vAlign w:val="center"/>
          </w:tcPr>
          <w:p w14:paraId="13488A41">
            <w:pPr>
              <w:pStyle w:val="242"/>
              <w:widowControl w:val="0"/>
              <w:autoSpaceDE w:val="0"/>
              <w:autoSpaceDN w:val="0"/>
              <w:spacing w:before="0" w:after="0" w:line="360" w:lineRule="auto"/>
              <w:rPr>
                <w:rFonts w:hint="eastAsia" w:ascii="宋体" w:hAnsi="宋体" w:eastAsia="宋体" w:cs="宋体"/>
                <w:color w:val="auto"/>
                <w:spacing w:val="1"/>
                <w:sz w:val="21"/>
                <w:szCs w:val="21"/>
                <w:highlight w:val="none"/>
                <w:lang w:eastAsia="zh-CN"/>
              </w:rPr>
            </w:pPr>
            <w:r>
              <w:rPr>
                <w:rFonts w:hint="eastAsia" w:ascii="宋体" w:hAnsi="宋体" w:eastAsia="宋体" w:cs="宋体"/>
                <w:bCs/>
                <w:color w:val="auto"/>
                <w:sz w:val="21"/>
                <w:szCs w:val="21"/>
                <w:highlight w:val="none"/>
                <w:lang w:val="en-US" w:eastAsia="zh-CN"/>
              </w:rPr>
              <w:t>四档</w:t>
            </w:r>
            <w:r>
              <w:rPr>
                <w:rFonts w:hint="eastAsia" w:ascii="宋体" w:hAnsi="宋体" w:eastAsia="宋体" w:cs="宋体"/>
                <w:color w:val="auto"/>
                <w:sz w:val="21"/>
                <w:szCs w:val="21"/>
                <w:highlight w:val="none"/>
                <w:lang w:eastAsia="zh-CN"/>
              </w:rPr>
              <w:t>（6</w:t>
            </w:r>
            <w:r>
              <w:rPr>
                <w:rFonts w:hint="eastAsia" w:ascii="宋体" w:hAnsi="宋体" w:eastAsia="宋体" w:cs="宋体"/>
                <w:color w:val="auto"/>
                <w:spacing w:val="1"/>
                <w:sz w:val="21"/>
                <w:szCs w:val="21"/>
                <w:highlight w:val="none"/>
                <w:lang w:eastAsia="zh-CN"/>
              </w:rPr>
              <w:t>分）：有专门的安全管理人员和制度，且人员配备科学合理，</w:t>
            </w:r>
            <w:r>
              <w:rPr>
                <w:rFonts w:hint="eastAsia" w:ascii="宋体" w:hAnsi="宋体" w:eastAsia="宋体" w:cs="宋体"/>
                <w:color w:val="auto"/>
                <w:spacing w:val="3"/>
                <w:sz w:val="21"/>
                <w:szCs w:val="21"/>
                <w:highlight w:val="none"/>
                <w:lang w:eastAsia="zh-CN"/>
              </w:rPr>
              <w:t>制度健全，各道工序安全技术措施针对性强，切合实际且满足有关安全技术标准要求。现场防火、应急救援、社会治安</w:t>
            </w:r>
            <w:r>
              <w:rPr>
                <w:rFonts w:hint="eastAsia" w:ascii="宋体" w:hAnsi="宋体" w:eastAsia="宋体" w:cs="宋体"/>
                <w:color w:val="auto"/>
                <w:spacing w:val="1"/>
                <w:sz w:val="21"/>
                <w:szCs w:val="21"/>
                <w:highlight w:val="none"/>
                <w:lang w:eastAsia="zh-CN"/>
              </w:rPr>
              <w:t>安全措施得力。</w:t>
            </w:r>
          </w:p>
          <w:p w14:paraId="375B3ACA">
            <w:pPr>
              <w:pStyle w:val="242"/>
              <w:widowControl w:val="0"/>
              <w:autoSpaceDE w:val="0"/>
              <w:autoSpaceDN w:val="0"/>
              <w:spacing w:before="0" w:after="0" w:line="360" w:lineRule="auto"/>
              <w:rPr>
                <w:rFonts w:hint="eastAsia" w:ascii="宋体" w:hAnsi="宋体" w:eastAsia="宋体" w:cs="宋体"/>
                <w:color w:val="auto"/>
                <w:spacing w:val="1"/>
                <w:sz w:val="21"/>
                <w:szCs w:val="21"/>
                <w:highlight w:val="none"/>
                <w:lang w:eastAsia="zh-CN"/>
              </w:rPr>
            </w:pPr>
            <w:r>
              <w:rPr>
                <w:rFonts w:hint="eastAsia" w:ascii="宋体" w:hAnsi="宋体" w:eastAsia="宋体" w:cs="宋体"/>
                <w:bCs/>
                <w:color w:val="auto"/>
                <w:sz w:val="21"/>
                <w:szCs w:val="21"/>
                <w:highlight w:val="none"/>
                <w:lang w:val="en-US" w:eastAsia="zh-CN"/>
              </w:rPr>
              <w:t>三档</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z w:val="21"/>
                <w:szCs w:val="21"/>
                <w:highlight w:val="none"/>
                <w:lang w:eastAsia="zh-CN"/>
              </w:rPr>
              <w:t>4</w:t>
            </w:r>
            <w:r>
              <w:rPr>
                <w:rFonts w:hint="eastAsia" w:ascii="宋体" w:hAnsi="宋体" w:eastAsia="宋体" w:cs="宋体"/>
                <w:color w:val="auto"/>
                <w:spacing w:val="5"/>
                <w:sz w:val="21"/>
                <w:szCs w:val="21"/>
                <w:highlight w:val="none"/>
                <w:lang w:eastAsia="zh-CN"/>
              </w:rPr>
              <w:t>分）：有安全管理人员和制度，且人员配备合理，制度完整</w:t>
            </w:r>
            <w:r>
              <w:rPr>
                <w:rFonts w:hint="eastAsia" w:ascii="宋体" w:hAnsi="宋体" w:eastAsia="宋体" w:cs="宋体"/>
                <w:color w:val="auto"/>
                <w:spacing w:val="3"/>
                <w:sz w:val="21"/>
                <w:szCs w:val="21"/>
                <w:highlight w:val="none"/>
                <w:lang w:eastAsia="zh-CN"/>
              </w:rPr>
              <w:t>，各道工序安全技术措施针对性较强，符合实际且满足有关安全技术标准要求。现场防火、应急救援、社会治安安全</w:t>
            </w:r>
            <w:r>
              <w:rPr>
                <w:rFonts w:hint="eastAsia" w:ascii="宋体" w:hAnsi="宋体" w:eastAsia="宋体" w:cs="宋体"/>
                <w:color w:val="auto"/>
                <w:spacing w:val="1"/>
                <w:sz w:val="21"/>
                <w:szCs w:val="21"/>
                <w:highlight w:val="none"/>
                <w:lang w:eastAsia="zh-CN"/>
              </w:rPr>
              <w:t>措施完整。</w:t>
            </w:r>
          </w:p>
          <w:p w14:paraId="0F4E8C01">
            <w:pPr>
              <w:pStyle w:val="242"/>
              <w:widowControl w:val="0"/>
              <w:autoSpaceDE w:val="0"/>
              <w:autoSpaceDN w:val="0"/>
              <w:spacing w:before="0" w:after="0" w:line="360" w:lineRule="auto"/>
              <w:rPr>
                <w:rFonts w:hint="eastAsia" w:ascii="宋体" w:hAnsi="宋体" w:eastAsia="宋体" w:cs="宋体"/>
                <w:color w:val="auto"/>
                <w:spacing w:val="1"/>
                <w:sz w:val="21"/>
                <w:szCs w:val="21"/>
                <w:highlight w:val="none"/>
                <w:lang w:eastAsia="zh-CN"/>
              </w:rPr>
            </w:pPr>
            <w:r>
              <w:rPr>
                <w:rFonts w:hint="eastAsia" w:ascii="宋体" w:hAnsi="宋体" w:eastAsia="宋体" w:cs="宋体"/>
                <w:bCs/>
                <w:color w:val="auto"/>
                <w:sz w:val="21"/>
                <w:szCs w:val="21"/>
                <w:highlight w:val="none"/>
                <w:lang w:val="en-US" w:eastAsia="zh-CN"/>
              </w:rPr>
              <w:t>二档</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z w:val="21"/>
                <w:szCs w:val="21"/>
                <w:highlight w:val="none"/>
                <w:lang w:eastAsia="zh-CN"/>
              </w:rPr>
              <w:t>2</w:t>
            </w:r>
            <w:r>
              <w:rPr>
                <w:rFonts w:hint="eastAsia" w:ascii="宋体" w:hAnsi="宋体" w:eastAsia="宋体" w:cs="宋体"/>
                <w:color w:val="auto"/>
                <w:spacing w:val="5"/>
                <w:sz w:val="21"/>
                <w:szCs w:val="21"/>
                <w:highlight w:val="none"/>
                <w:lang w:eastAsia="zh-CN"/>
              </w:rPr>
              <w:t>分）：有安全管理人员和制度，各道工序安全技术措施</w:t>
            </w:r>
            <w:r>
              <w:rPr>
                <w:rFonts w:hint="eastAsia" w:ascii="宋体" w:hAnsi="宋体" w:eastAsia="宋体" w:cs="宋体"/>
                <w:color w:val="auto"/>
                <w:spacing w:val="3"/>
                <w:sz w:val="21"/>
                <w:szCs w:val="21"/>
                <w:highlight w:val="none"/>
                <w:lang w:eastAsia="zh-CN"/>
              </w:rPr>
              <w:t>针对性一般，满足有关安全技术标准要求。现场防火、应急救</w:t>
            </w:r>
            <w:r>
              <w:rPr>
                <w:rFonts w:hint="eastAsia" w:ascii="宋体" w:hAnsi="宋体" w:eastAsia="宋体" w:cs="宋体"/>
                <w:color w:val="auto"/>
                <w:spacing w:val="1"/>
                <w:sz w:val="21"/>
                <w:szCs w:val="21"/>
                <w:highlight w:val="none"/>
                <w:lang w:eastAsia="zh-CN"/>
              </w:rPr>
              <w:t>援、社会治安安全措施基本满足项目要求。</w:t>
            </w:r>
          </w:p>
          <w:p w14:paraId="2D50F108">
            <w:pPr>
              <w:pStyle w:val="242"/>
              <w:widowControl w:val="0"/>
              <w:autoSpaceDE w:val="0"/>
              <w:autoSpaceDN w:val="0"/>
              <w:spacing w:before="0" w:after="0"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一档</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pacing w:val="5"/>
                <w:sz w:val="21"/>
                <w:szCs w:val="21"/>
                <w:highlight w:val="none"/>
                <w:lang w:eastAsia="zh-CN"/>
              </w:rPr>
              <w:t>分）：有安全管理人员和制度，各道工序安全技术措施</w:t>
            </w:r>
            <w:r>
              <w:rPr>
                <w:rFonts w:hint="eastAsia" w:ascii="宋体" w:hAnsi="宋体" w:eastAsia="宋体" w:cs="宋体"/>
                <w:color w:val="auto"/>
                <w:spacing w:val="3"/>
                <w:sz w:val="21"/>
                <w:szCs w:val="21"/>
                <w:highlight w:val="none"/>
                <w:lang w:eastAsia="zh-CN"/>
              </w:rPr>
              <w:t>无针对性，基本满足有关安全技术标准要求。现场防火、应急救</w:t>
            </w:r>
            <w:r>
              <w:rPr>
                <w:rFonts w:hint="eastAsia" w:ascii="宋体" w:hAnsi="宋体" w:eastAsia="宋体" w:cs="宋体"/>
                <w:color w:val="auto"/>
                <w:spacing w:val="1"/>
                <w:sz w:val="21"/>
                <w:szCs w:val="21"/>
                <w:highlight w:val="none"/>
                <w:lang w:eastAsia="zh-CN"/>
              </w:rPr>
              <w:t>援、社会治安安全措施差。</w:t>
            </w:r>
          </w:p>
        </w:tc>
        <w:tc>
          <w:tcPr>
            <w:tcW w:w="851" w:type="dxa"/>
            <w:noWrap w:val="0"/>
            <w:vAlign w:val="center"/>
          </w:tcPr>
          <w:p w14:paraId="1C89E5D9">
            <w:pPr>
              <w:spacing w:line="360" w:lineRule="auto"/>
              <w:jc w:val="center"/>
              <w:rPr>
                <w:rFonts w:hint="eastAsia" w:ascii="宋体" w:hAnsi="宋体" w:cs="宋体"/>
                <w:color w:val="auto"/>
                <w:kern w:val="0"/>
                <w:szCs w:val="21"/>
                <w:highlight w:val="none"/>
              </w:rPr>
            </w:pPr>
            <w:r>
              <w:rPr>
                <w:rFonts w:hint="eastAsia" w:ascii="宋体" w:hAnsi="宋体" w:cs="宋体"/>
                <w:color w:val="auto"/>
                <w:szCs w:val="21"/>
                <w:highlight w:val="none"/>
              </w:rPr>
              <w:t>6分</w:t>
            </w:r>
          </w:p>
        </w:tc>
      </w:tr>
      <w:tr w14:paraId="0005F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52" w:type="dxa"/>
            <w:noWrap w:val="0"/>
            <w:vAlign w:val="center"/>
          </w:tcPr>
          <w:p w14:paraId="06EE62C6">
            <w:pPr>
              <w:adjustRightInd w:val="0"/>
              <w:spacing w:line="360" w:lineRule="auto"/>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2.7</w:t>
            </w:r>
          </w:p>
        </w:tc>
        <w:tc>
          <w:tcPr>
            <w:tcW w:w="1299" w:type="dxa"/>
            <w:noWrap w:val="0"/>
            <w:vAlign w:val="center"/>
          </w:tcPr>
          <w:p w14:paraId="10A22F46">
            <w:pPr>
              <w:pStyle w:val="242"/>
              <w:widowControl w:val="0"/>
              <w:autoSpaceDE w:val="0"/>
              <w:autoSpaceDN w:val="0"/>
              <w:spacing w:before="0" w:after="0"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确保工期的技术组</w:t>
            </w:r>
            <w:r>
              <w:rPr>
                <w:rFonts w:hint="eastAsia" w:ascii="宋体" w:hAnsi="宋体" w:eastAsia="宋体" w:cs="宋体"/>
                <w:color w:val="auto"/>
                <w:spacing w:val="1"/>
                <w:sz w:val="21"/>
                <w:szCs w:val="21"/>
                <w:highlight w:val="none"/>
                <w:lang w:eastAsia="zh-CN"/>
              </w:rPr>
              <w:t>织措施</w:t>
            </w:r>
          </w:p>
        </w:tc>
        <w:tc>
          <w:tcPr>
            <w:tcW w:w="6288" w:type="dxa"/>
            <w:noWrap w:val="0"/>
            <w:vAlign w:val="center"/>
          </w:tcPr>
          <w:p w14:paraId="231A375B">
            <w:pPr>
              <w:pStyle w:val="242"/>
              <w:widowControl w:val="0"/>
              <w:autoSpaceDE w:val="0"/>
              <w:autoSpaceDN w:val="0"/>
              <w:spacing w:before="0" w:after="0" w:line="360" w:lineRule="auto"/>
              <w:rPr>
                <w:rFonts w:hint="eastAsia" w:ascii="宋体" w:hAnsi="宋体" w:eastAsia="宋体" w:cs="宋体"/>
                <w:color w:val="auto"/>
                <w:spacing w:val="1"/>
                <w:sz w:val="21"/>
                <w:szCs w:val="21"/>
                <w:highlight w:val="none"/>
                <w:lang w:eastAsia="zh-CN"/>
              </w:rPr>
            </w:pPr>
            <w:r>
              <w:rPr>
                <w:rFonts w:hint="eastAsia" w:ascii="宋体" w:hAnsi="宋体" w:eastAsia="宋体" w:cs="宋体"/>
                <w:bCs/>
                <w:color w:val="auto"/>
                <w:sz w:val="21"/>
                <w:szCs w:val="21"/>
                <w:highlight w:val="none"/>
                <w:lang w:val="en-US" w:eastAsia="zh-CN"/>
              </w:rPr>
              <w:t>四档</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z w:val="21"/>
                <w:szCs w:val="21"/>
                <w:highlight w:val="none"/>
                <w:lang w:eastAsia="zh-CN"/>
              </w:rPr>
              <w:t>6</w:t>
            </w:r>
            <w:r>
              <w:rPr>
                <w:rFonts w:hint="eastAsia" w:ascii="宋体" w:hAnsi="宋体" w:eastAsia="宋体" w:cs="宋体"/>
                <w:color w:val="auto"/>
                <w:spacing w:val="1"/>
                <w:sz w:val="21"/>
                <w:szCs w:val="21"/>
                <w:highlight w:val="none"/>
                <w:lang w:eastAsia="zh-CN"/>
              </w:rPr>
              <w:t>分）：在施工工艺、施工方法、材料选用、劳动力安排、</w:t>
            </w:r>
            <w:r>
              <w:rPr>
                <w:rFonts w:hint="eastAsia" w:ascii="宋体" w:hAnsi="宋体" w:eastAsia="宋体" w:cs="宋体"/>
                <w:color w:val="auto"/>
                <w:spacing w:val="3"/>
                <w:sz w:val="21"/>
                <w:szCs w:val="21"/>
                <w:highlight w:val="none"/>
                <w:lang w:eastAsia="zh-CN"/>
              </w:rPr>
              <w:t>技术等方面有保证工期的具体措施且措施得当。有控制工期的施工进度计划。有施工总进度表或施工网络图，各项计划</w:t>
            </w:r>
            <w:r>
              <w:rPr>
                <w:rFonts w:hint="eastAsia" w:ascii="宋体" w:hAnsi="宋体" w:eastAsia="宋体" w:cs="宋体"/>
                <w:color w:val="auto"/>
                <w:spacing w:val="1"/>
                <w:sz w:val="21"/>
                <w:szCs w:val="21"/>
                <w:highlight w:val="none"/>
                <w:lang w:eastAsia="zh-CN"/>
              </w:rPr>
              <w:t>图表编制完善，安排科学合理，符合本项目施工实际要求。</w:t>
            </w:r>
          </w:p>
          <w:p w14:paraId="1F52A286">
            <w:pPr>
              <w:pStyle w:val="242"/>
              <w:widowControl w:val="0"/>
              <w:autoSpaceDE w:val="0"/>
              <w:autoSpaceDN w:val="0"/>
              <w:spacing w:before="0" w:after="0" w:line="360" w:lineRule="auto"/>
              <w:rPr>
                <w:rFonts w:hint="eastAsia" w:ascii="宋体" w:hAnsi="宋体" w:eastAsia="宋体" w:cs="宋体"/>
                <w:color w:val="auto"/>
                <w:spacing w:val="3"/>
                <w:sz w:val="21"/>
                <w:szCs w:val="21"/>
                <w:highlight w:val="none"/>
                <w:lang w:eastAsia="zh-CN"/>
              </w:rPr>
            </w:pPr>
            <w:r>
              <w:rPr>
                <w:rFonts w:hint="eastAsia" w:ascii="宋体" w:hAnsi="宋体" w:eastAsia="宋体" w:cs="宋体"/>
                <w:bCs/>
                <w:color w:val="auto"/>
                <w:sz w:val="21"/>
                <w:szCs w:val="21"/>
                <w:highlight w:val="none"/>
                <w:lang w:val="en-US" w:eastAsia="zh-CN"/>
              </w:rPr>
              <w:t>三档</w:t>
            </w:r>
            <w:r>
              <w:rPr>
                <w:rFonts w:hint="eastAsia" w:ascii="宋体" w:hAnsi="宋体" w:eastAsia="宋体" w:cs="宋体"/>
                <w:color w:val="auto"/>
                <w:spacing w:val="5"/>
                <w:sz w:val="21"/>
                <w:szCs w:val="21"/>
                <w:highlight w:val="none"/>
                <w:lang w:eastAsia="zh-CN"/>
              </w:rPr>
              <w:t>（4分）：施工工艺、施工方法、材料选用、劳动力安排、</w:t>
            </w:r>
            <w:r>
              <w:rPr>
                <w:rFonts w:hint="eastAsia" w:ascii="宋体" w:hAnsi="宋体" w:eastAsia="宋体" w:cs="宋体"/>
                <w:color w:val="auto"/>
                <w:spacing w:val="3"/>
                <w:sz w:val="21"/>
                <w:szCs w:val="21"/>
                <w:highlight w:val="none"/>
                <w:lang w:eastAsia="zh-CN"/>
              </w:rPr>
              <w:t>技术等方面有保证工期的具体措施。有控制工期的施工进度计划。有施工总进度表或施工网络图，各项计划图表编制完整，符合本项目施工实际要求。</w:t>
            </w:r>
          </w:p>
          <w:p w14:paraId="25A68AC1">
            <w:pPr>
              <w:pStyle w:val="242"/>
              <w:widowControl w:val="0"/>
              <w:autoSpaceDE w:val="0"/>
              <w:autoSpaceDN w:val="0"/>
              <w:spacing w:before="0" w:after="0" w:line="360" w:lineRule="auto"/>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val="en-US" w:eastAsia="zh-CN"/>
              </w:rPr>
              <w:t>二档</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z w:val="21"/>
                <w:szCs w:val="21"/>
                <w:highlight w:val="none"/>
                <w:lang w:eastAsia="zh-CN"/>
              </w:rPr>
              <w:t>2</w:t>
            </w:r>
            <w:r>
              <w:rPr>
                <w:rFonts w:hint="eastAsia" w:ascii="宋体" w:hAnsi="宋体" w:eastAsia="宋体" w:cs="宋体"/>
                <w:color w:val="auto"/>
                <w:spacing w:val="5"/>
                <w:sz w:val="21"/>
                <w:szCs w:val="21"/>
                <w:highlight w:val="none"/>
                <w:lang w:eastAsia="zh-CN"/>
              </w:rPr>
              <w:t>分）：施工工艺、施工方法、材料选用、劳动力安排、</w:t>
            </w:r>
            <w:r>
              <w:rPr>
                <w:rFonts w:hint="eastAsia" w:ascii="宋体" w:hAnsi="宋体" w:eastAsia="宋体" w:cs="宋体"/>
                <w:color w:val="auto"/>
                <w:spacing w:val="3"/>
                <w:sz w:val="21"/>
                <w:szCs w:val="21"/>
                <w:highlight w:val="none"/>
                <w:lang w:eastAsia="zh-CN"/>
              </w:rPr>
              <w:t>技术等方面有措施。有控制工期的施工进度计划。有施工总进度表或施工网络图，各项计划图表编制一般，基本符合本</w:t>
            </w:r>
            <w:r>
              <w:rPr>
                <w:rFonts w:hint="eastAsia" w:ascii="宋体" w:hAnsi="宋体" w:eastAsia="宋体" w:cs="宋体"/>
                <w:color w:val="auto"/>
                <w:spacing w:val="1"/>
                <w:sz w:val="21"/>
                <w:szCs w:val="21"/>
                <w:highlight w:val="none"/>
                <w:lang w:eastAsia="zh-CN"/>
              </w:rPr>
              <w:t>项目施工实际要求。</w:t>
            </w:r>
          </w:p>
          <w:p w14:paraId="783C9C34">
            <w:pPr>
              <w:pStyle w:val="242"/>
              <w:widowControl w:val="0"/>
              <w:autoSpaceDE w:val="0"/>
              <w:autoSpaceDN w:val="0"/>
              <w:spacing w:before="0" w:after="0"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一档</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z w:val="21"/>
                <w:szCs w:val="21"/>
                <w:highlight w:val="none"/>
                <w:lang w:eastAsia="zh-CN"/>
              </w:rPr>
              <w:t>1</w:t>
            </w:r>
            <w:r>
              <w:rPr>
                <w:rFonts w:hint="eastAsia" w:ascii="宋体" w:hAnsi="宋体" w:eastAsia="宋体" w:cs="宋体"/>
                <w:color w:val="auto"/>
                <w:spacing w:val="5"/>
                <w:sz w:val="21"/>
                <w:szCs w:val="21"/>
                <w:highlight w:val="none"/>
                <w:lang w:eastAsia="zh-CN"/>
              </w:rPr>
              <w:t>分）：施工工艺、施工方法、材料选用、劳动力安排、</w:t>
            </w:r>
            <w:r>
              <w:rPr>
                <w:rFonts w:hint="eastAsia" w:ascii="宋体" w:hAnsi="宋体" w:eastAsia="宋体" w:cs="宋体"/>
                <w:color w:val="auto"/>
                <w:spacing w:val="3"/>
                <w:sz w:val="21"/>
                <w:szCs w:val="21"/>
                <w:highlight w:val="none"/>
                <w:lang w:eastAsia="zh-CN"/>
              </w:rPr>
              <w:t>技术等方面有措施。有控制工期的施工进度计划。有施工总进度表或施工网络图，各项计划图表编制差，不符合本项目</w:t>
            </w:r>
            <w:r>
              <w:rPr>
                <w:rFonts w:hint="eastAsia" w:ascii="宋体" w:hAnsi="宋体" w:eastAsia="宋体" w:cs="宋体"/>
                <w:color w:val="auto"/>
                <w:spacing w:val="1"/>
                <w:sz w:val="21"/>
                <w:szCs w:val="21"/>
                <w:highlight w:val="none"/>
                <w:lang w:eastAsia="zh-CN"/>
              </w:rPr>
              <w:t>施工实际要求。</w:t>
            </w:r>
          </w:p>
        </w:tc>
        <w:tc>
          <w:tcPr>
            <w:tcW w:w="851" w:type="dxa"/>
            <w:noWrap w:val="0"/>
            <w:vAlign w:val="center"/>
          </w:tcPr>
          <w:p w14:paraId="06DBB1BD">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6分</w:t>
            </w:r>
          </w:p>
        </w:tc>
      </w:tr>
      <w:tr w14:paraId="41277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52" w:type="dxa"/>
            <w:noWrap w:val="0"/>
            <w:vAlign w:val="center"/>
          </w:tcPr>
          <w:p w14:paraId="749C0B8A">
            <w:pPr>
              <w:adjustRightInd w:val="0"/>
              <w:spacing w:line="360" w:lineRule="auto"/>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2.8</w:t>
            </w:r>
          </w:p>
        </w:tc>
        <w:tc>
          <w:tcPr>
            <w:tcW w:w="1299" w:type="dxa"/>
            <w:noWrap w:val="0"/>
            <w:vAlign w:val="center"/>
          </w:tcPr>
          <w:p w14:paraId="4573057F">
            <w:pPr>
              <w:pStyle w:val="242"/>
              <w:widowControl w:val="0"/>
              <w:autoSpaceDE w:val="0"/>
              <w:autoSpaceDN w:val="0"/>
              <w:spacing w:before="0" w:after="0"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确保文明施工的技术组织措</w:t>
            </w:r>
            <w:r>
              <w:rPr>
                <w:rFonts w:hint="eastAsia" w:ascii="宋体" w:hAnsi="宋体" w:eastAsia="宋体" w:cs="宋体"/>
                <w:color w:val="auto"/>
                <w:spacing w:val="1"/>
                <w:sz w:val="21"/>
                <w:szCs w:val="21"/>
                <w:highlight w:val="none"/>
                <w:lang w:eastAsia="zh-CN"/>
              </w:rPr>
              <w:t>施</w:t>
            </w:r>
          </w:p>
        </w:tc>
        <w:tc>
          <w:tcPr>
            <w:tcW w:w="6288" w:type="dxa"/>
            <w:noWrap w:val="0"/>
            <w:vAlign w:val="center"/>
          </w:tcPr>
          <w:p w14:paraId="53476A2F">
            <w:pPr>
              <w:pStyle w:val="243"/>
              <w:widowControl w:val="0"/>
              <w:autoSpaceDE w:val="0"/>
              <w:autoSpaceDN w:val="0"/>
              <w:spacing w:before="0" w:after="0" w:line="360" w:lineRule="auto"/>
              <w:rPr>
                <w:rFonts w:hint="eastAsia" w:ascii="宋体" w:hAnsi="宋体" w:eastAsia="宋体" w:cs="宋体"/>
                <w:color w:val="auto"/>
                <w:spacing w:val="1"/>
                <w:sz w:val="21"/>
                <w:szCs w:val="21"/>
                <w:highlight w:val="none"/>
                <w:lang w:eastAsia="zh-CN"/>
              </w:rPr>
            </w:pPr>
            <w:r>
              <w:rPr>
                <w:rFonts w:hint="eastAsia" w:ascii="宋体" w:hAnsi="宋体" w:eastAsia="宋体" w:cs="宋体"/>
                <w:bCs/>
                <w:color w:val="auto"/>
                <w:sz w:val="21"/>
                <w:szCs w:val="21"/>
                <w:highlight w:val="none"/>
                <w:lang w:val="en-US" w:eastAsia="zh-CN"/>
              </w:rPr>
              <w:t>四档</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pacing w:val="5"/>
                <w:sz w:val="21"/>
                <w:szCs w:val="21"/>
                <w:highlight w:val="none"/>
                <w:lang w:eastAsia="zh-CN"/>
              </w:rPr>
              <w:t>分）：针对本工程项目特点，有现场文明施工、环境保</w:t>
            </w:r>
            <w:r>
              <w:rPr>
                <w:rFonts w:hint="eastAsia" w:ascii="宋体" w:hAnsi="宋体" w:eastAsia="宋体" w:cs="宋体"/>
                <w:color w:val="auto"/>
                <w:spacing w:val="11"/>
                <w:sz w:val="21"/>
                <w:szCs w:val="21"/>
                <w:highlight w:val="none"/>
                <w:lang w:eastAsia="zh-CN"/>
              </w:rPr>
              <w:t>护措施，且措施内容达到《建筑施工安全生产检查标准》</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z w:val="21"/>
                <w:szCs w:val="21"/>
                <w:highlight w:val="none"/>
                <w:lang w:eastAsia="zh-CN"/>
              </w:rPr>
              <w:t>JGJ59-2011</w:t>
            </w:r>
            <w:r>
              <w:rPr>
                <w:rFonts w:hint="eastAsia" w:ascii="宋体" w:hAnsi="宋体" w:eastAsia="宋体" w:cs="宋体"/>
                <w:color w:val="auto"/>
                <w:spacing w:val="-3"/>
                <w:sz w:val="21"/>
                <w:szCs w:val="21"/>
                <w:highlight w:val="none"/>
                <w:lang w:eastAsia="zh-CN"/>
              </w:rPr>
              <w:t>）合格标准并符合《广西壮族自治区建筑工程文</w:t>
            </w:r>
            <w:r>
              <w:rPr>
                <w:rFonts w:hint="eastAsia" w:ascii="宋体" w:hAnsi="宋体" w:eastAsia="宋体" w:cs="宋体"/>
                <w:color w:val="auto"/>
                <w:spacing w:val="3"/>
                <w:sz w:val="21"/>
                <w:szCs w:val="21"/>
                <w:highlight w:val="none"/>
                <w:lang w:eastAsia="zh-CN"/>
              </w:rPr>
              <w:t>明施工导则》要求。各项措施周全、具体、有效。有具体实</w:t>
            </w:r>
            <w:r>
              <w:rPr>
                <w:rFonts w:hint="eastAsia" w:ascii="宋体" w:hAnsi="宋体" w:eastAsia="宋体" w:cs="宋体"/>
                <w:color w:val="auto"/>
                <w:spacing w:val="1"/>
                <w:sz w:val="21"/>
                <w:szCs w:val="21"/>
                <w:highlight w:val="none"/>
                <w:lang w:eastAsia="zh-CN"/>
              </w:rPr>
              <w:t>现现场文明施工目标的承诺。</w:t>
            </w:r>
          </w:p>
          <w:p w14:paraId="587443A8">
            <w:pPr>
              <w:pStyle w:val="243"/>
              <w:widowControl w:val="0"/>
              <w:autoSpaceDE w:val="0"/>
              <w:autoSpaceDN w:val="0"/>
              <w:spacing w:before="0" w:after="0" w:line="360" w:lineRule="auto"/>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val="en-US" w:eastAsia="zh-CN"/>
              </w:rPr>
              <w:t>三档</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pacing w:val="5"/>
                <w:sz w:val="21"/>
                <w:szCs w:val="21"/>
                <w:highlight w:val="none"/>
                <w:lang w:eastAsia="zh-CN"/>
              </w:rPr>
              <w:t>分）：针对本工程项目特点，有现场文明施工、环境保</w:t>
            </w:r>
            <w:r>
              <w:rPr>
                <w:rFonts w:hint="eastAsia" w:ascii="宋体" w:hAnsi="宋体" w:eastAsia="宋体" w:cs="宋体"/>
                <w:color w:val="auto"/>
                <w:spacing w:val="11"/>
                <w:sz w:val="21"/>
                <w:szCs w:val="21"/>
                <w:highlight w:val="none"/>
                <w:lang w:eastAsia="zh-CN"/>
              </w:rPr>
              <w:t>护措施，且措施内容达到《建筑施工安全生产检查标准》</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z w:val="21"/>
                <w:szCs w:val="21"/>
                <w:highlight w:val="none"/>
                <w:lang w:eastAsia="zh-CN"/>
              </w:rPr>
              <w:t>JGJ59-2011</w:t>
            </w:r>
            <w:r>
              <w:rPr>
                <w:rFonts w:hint="eastAsia" w:ascii="宋体" w:hAnsi="宋体" w:eastAsia="宋体" w:cs="宋体"/>
                <w:color w:val="auto"/>
                <w:spacing w:val="-3"/>
                <w:sz w:val="21"/>
                <w:szCs w:val="21"/>
                <w:highlight w:val="none"/>
                <w:lang w:eastAsia="zh-CN"/>
              </w:rPr>
              <w:t>）合格标准并符合《广西壮族自治区建筑工程文</w:t>
            </w:r>
            <w:r>
              <w:rPr>
                <w:rFonts w:hint="eastAsia" w:ascii="宋体" w:hAnsi="宋体" w:eastAsia="宋体" w:cs="宋体"/>
                <w:color w:val="auto"/>
                <w:spacing w:val="1"/>
                <w:sz w:val="21"/>
                <w:szCs w:val="21"/>
                <w:highlight w:val="none"/>
                <w:lang w:eastAsia="zh-CN"/>
              </w:rPr>
              <w:t>明施工导则》要求。</w:t>
            </w:r>
            <w:r>
              <w:rPr>
                <w:rFonts w:hint="eastAsia" w:ascii="宋体" w:hAnsi="宋体" w:eastAsia="宋体" w:cs="宋体"/>
                <w:color w:val="auto"/>
                <w:spacing w:val="3"/>
                <w:sz w:val="21"/>
                <w:szCs w:val="21"/>
                <w:highlight w:val="none"/>
                <w:lang w:eastAsia="zh-CN"/>
              </w:rPr>
              <w:t>各项措施完整具体。</w:t>
            </w:r>
            <w:r>
              <w:rPr>
                <w:rFonts w:hint="eastAsia" w:ascii="宋体" w:hAnsi="宋体" w:eastAsia="宋体" w:cs="宋体"/>
                <w:color w:val="auto"/>
                <w:spacing w:val="1"/>
                <w:sz w:val="21"/>
                <w:szCs w:val="21"/>
                <w:highlight w:val="none"/>
                <w:lang w:eastAsia="zh-CN"/>
              </w:rPr>
              <w:t>有实现现场文明施工目标的承诺。</w:t>
            </w:r>
          </w:p>
          <w:p w14:paraId="47226A0C">
            <w:pPr>
              <w:pStyle w:val="243"/>
              <w:widowControl w:val="0"/>
              <w:autoSpaceDE w:val="0"/>
              <w:autoSpaceDN w:val="0"/>
              <w:spacing w:before="0" w:after="0" w:line="360" w:lineRule="auto"/>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val="en-US" w:eastAsia="zh-CN"/>
              </w:rPr>
              <w:t>二档</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z w:val="21"/>
                <w:szCs w:val="21"/>
                <w:highlight w:val="none"/>
                <w:lang w:eastAsia="zh-CN"/>
              </w:rPr>
              <w:t>2</w:t>
            </w:r>
            <w:r>
              <w:rPr>
                <w:rFonts w:hint="eastAsia" w:ascii="宋体" w:hAnsi="宋体" w:eastAsia="宋体" w:cs="宋体"/>
                <w:color w:val="auto"/>
                <w:spacing w:val="5"/>
                <w:sz w:val="21"/>
                <w:szCs w:val="21"/>
                <w:highlight w:val="none"/>
                <w:lang w:eastAsia="zh-CN"/>
              </w:rPr>
              <w:t>分）：有现场文明施工、环境保护措施，且措施内容达</w:t>
            </w:r>
            <w:r>
              <w:rPr>
                <w:rFonts w:hint="eastAsia" w:ascii="宋体" w:hAnsi="宋体" w:eastAsia="宋体" w:cs="宋体"/>
                <w:color w:val="auto"/>
                <w:spacing w:val="-2"/>
                <w:sz w:val="21"/>
                <w:szCs w:val="21"/>
                <w:highlight w:val="none"/>
                <w:lang w:eastAsia="zh-CN"/>
              </w:rPr>
              <w:t>到《建筑施工安全生产检查标准》（</w:t>
            </w:r>
            <w:r>
              <w:rPr>
                <w:rFonts w:hint="eastAsia" w:ascii="宋体" w:hAnsi="宋体" w:eastAsia="宋体" w:cs="宋体"/>
                <w:color w:val="auto"/>
                <w:sz w:val="21"/>
                <w:szCs w:val="21"/>
                <w:highlight w:val="none"/>
                <w:lang w:eastAsia="zh-CN"/>
              </w:rPr>
              <w:t>JGJ59-2011</w:t>
            </w:r>
            <w:r>
              <w:rPr>
                <w:rFonts w:hint="eastAsia" w:ascii="宋体" w:hAnsi="宋体" w:eastAsia="宋体" w:cs="宋体"/>
                <w:color w:val="auto"/>
                <w:spacing w:val="-2"/>
                <w:sz w:val="21"/>
                <w:szCs w:val="21"/>
                <w:highlight w:val="none"/>
                <w:lang w:eastAsia="zh-CN"/>
              </w:rPr>
              <w:t>）合格标准并</w:t>
            </w:r>
            <w:r>
              <w:rPr>
                <w:rFonts w:hint="eastAsia" w:ascii="宋体" w:hAnsi="宋体" w:eastAsia="宋体" w:cs="宋体"/>
                <w:color w:val="auto"/>
                <w:spacing w:val="3"/>
                <w:sz w:val="21"/>
                <w:szCs w:val="21"/>
                <w:highlight w:val="none"/>
                <w:lang w:eastAsia="zh-CN"/>
              </w:rPr>
              <w:t>符合《广西壮族自治区建筑工程文明施工导则》要求。有实</w:t>
            </w:r>
            <w:r>
              <w:rPr>
                <w:rFonts w:hint="eastAsia" w:ascii="宋体" w:hAnsi="宋体" w:eastAsia="宋体" w:cs="宋体"/>
                <w:color w:val="auto"/>
                <w:spacing w:val="1"/>
                <w:sz w:val="21"/>
                <w:szCs w:val="21"/>
                <w:highlight w:val="none"/>
                <w:lang w:eastAsia="zh-CN"/>
              </w:rPr>
              <w:t>现现场文明施工目标的承诺。</w:t>
            </w:r>
          </w:p>
          <w:p w14:paraId="79DF5FB3">
            <w:pPr>
              <w:pStyle w:val="243"/>
              <w:widowControl w:val="0"/>
              <w:autoSpaceDE w:val="0"/>
              <w:autoSpaceDN w:val="0"/>
              <w:spacing w:before="0" w:after="0"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一档</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z w:val="21"/>
                <w:szCs w:val="21"/>
                <w:highlight w:val="none"/>
                <w:lang w:eastAsia="zh-CN"/>
              </w:rPr>
              <w:t>1</w:t>
            </w:r>
            <w:r>
              <w:rPr>
                <w:rFonts w:hint="eastAsia" w:ascii="宋体" w:hAnsi="宋体" w:eastAsia="宋体" w:cs="宋体"/>
                <w:color w:val="auto"/>
                <w:spacing w:val="5"/>
                <w:sz w:val="21"/>
                <w:szCs w:val="21"/>
                <w:highlight w:val="none"/>
                <w:lang w:eastAsia="zh-CN"/>
              </w:rPr>
              <w:t>分）：有现场文明施工、环境保护措施，且措施内容达</w:t>
            </w:r>
            <w:r>
              <w:rPr>
                <w:rFonts w:hint="eastAsia" w:ascii="宋体" w:hAnsi="宋体" w:eastAsia="宋体" w:cs="宋体"/>
                <w:color w:val="auto"/>
                <w:spacing w:val="-2"/>
                <w:sz w:val="21"/>
                <w:szCs w:val="21"/>
                <w:highlight w:val="none"/>
                <w:lang w:eastAsia="zh-CN"/>
              </w:rPr>
              <w:t>到《建筑施工安全生产检查标准》（</w:t>
            </w:r>
            <w:r>
              <w:rPr>
                <w:rFonts w:hint="eastAsia" w:ascii="宋体" w:hAnsi="宋体" w:eastAsia="宋体" w:cs="宋体"/>
                <w:color w:val="auto"/>
                <w:sz w:val="21"/>
                <w:szCs w:val="21"/>
                <w:highlight w:val="none"/>
                <w:lang w:eastAsia="zh-CN"/>
              </w:rPr>
              <w:t>JGJ59-2011</w:t>
            </w:r>
            <w:r>
              <w:rPr>
                <w:rFonts w:hint="eastAsia" w:ascii="宋体" w:hAnsi="宋体" w:eastAsia="宋体" w:cs="宋体"/>
                <w:color w:val="auto"/>
                <w:spacing w:val="-2"/>
                <w:sz w:val="21"/>
                <w:szCs w:val="21"/>
                <w:highlight w:val="none"/>
                <w:lang w:eastAsia="zh-CN"/>
              </w:rPr>
              <w:t>）合格标准并</w:t>
            </w:r>
            <w:r>
              <w:rPr>
                <w:rFonts w:hint="eastAsia" w:ascii="宋体" w:hAnsi="宋体" w:eastAsia="宋体" w:cs="宋体"/>
                <w:color w:val="auto"/>
                <w:spacing w:val="3"/>
                <w:sz w:val="21"/>
                <w:szCs w:val="21"/>
                <w:highlight w:val="none"/>
                <w:lang w:eastAsia="zh-CN"/>
              </w:rPr>
              <w:t>符合《广西壮族自治区建筑工程文明施工导则》要求。无实</w:t>
            </w:r>
            <w:r>
              <w:rPr>
                <w:rFonts w:hint="eastAsia" w:ascii="宋体" w:hAnsi="宋体" w:eastAsia="宋体" w:cs="宋体"/>
                <w:color w:val="auto"/>
                <w:spacing w:val="1"/>
                <w:sz w:val="21"/>
                <w:szCs w:val="21"/>
                <w:highlight w:val="none"/>
                <w:lang w:eastAsia="zh-CN"/>
              </w:rPr>
              <w:t>现现场文明施工目标的承诺。</w:t>
            </w:r>
          </w:p>
        </w:tc>
        <w:tc>
          <w:tcPr>
            <w:tcW w:w="851" w:type="dxa"/>
            <w:noWrap w:val="0"/>
            <w:vAlign w:val="center"/>
          </w:tcPr>
          <w:p w14:paraId="65A0E4D5">
            <w:pPr>
              <w:spacing w:line="360" w:lineRule="auto"/>
              <w:jc w:val="center"/>
              <w:rPr>
                <w:rFonts w:hint="eastAsia" w:ascii="宋体" w:hAnsi="宋体" w:cs="宋体"/>
                <w:color w:val="auto"/>
                <w:kern w:val="0"/>
                <w:szCs w:val="21"/>
                <w:highlight w:val="none"/>
              </w:rPr>
            </w:pPr>
            <w:r>
              <w:rPr>
                <w:rFonts w:hint="eastAsia" w:ascii="宋体" w:hAnsi="宋体" w:cs="宋体"/>
                <w:color w:val="auto"/>
                <w:szCs w:val="21"/>
                <w:highlight w:val="none"/>
              </w:rPr>
              <w:t>6分</w:t>
            </w:r>
          </w:p>
        </w:tc>
      </w:tr>
      <w:tr w14:paraId="3B802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52" w:type="dxa"/>
            <w:noWrap w:val="0"/>
            <w:vAlign w:val="center"/>
          </w:tcPr>
          <w:p w14:paraId="13A8E44C">
            <w:pPr>
              <w:adjustRightInd w:val="0"/>
              <w:spacing w:line="360" w:lineRule="auto"/>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2.9</w:t>
            </w:r>
          </w:p>
        </w:tc>
        <w:tc>
          <w:tcPr>
            <w:tcW w:w="1299" w:type="dxa"/>
            <w:noWrap w:val="0"/>
            <w:vAlign w:val="center"/>
          </w:tcPr>
          <w:p w14:paraId="410F3728">
            <w:pPr>
              <w:pStyle w:val="243"/>
              <w:widowControl w:val="0"/>
              <w:autoSpaceDE w:val="0"/>
              <w:autoSpaceDN w:val="0"/>
              <w:spacing w:before="0" w:after="0"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工程施工的重点和</w:t>
            </w:r>
            <w:r>
              <w:rPr>
                <w:rFonts w:hint="eastAsia" w:ascii="宋体" w:hAnsi="宋体" w:eastAsia="宋体" w:cs="宋体"/>
                <w:color w:val="auto"/>
                <w:spacing w:val="-21"/>
                <w:sz w:val="21"/>
                <w:szCs w:val="21"/>
                <w:highlight w:val="none"/>
                <w:lang w:eastAsia="zh-CN"/>
              </w:rPr>
              <w:t>难点</w:t>
            </w:r>
          </w:p>
        </w:tc>
        <w:tc>
          <w:tcPr>
            <w:tcW w:w="6288" w:type="dxa"/>
            <w:noWrap w:val="0"/>
            <w:vAlign w:val="center"/>
          </w:tcPr>
          <w:p w14:paraId="6C21AEBE">
            <w:pPr>
              <w:pStyle w:val="243"/>
              <w:widowControl w:val="0"/>
              <w:autoSpaceDE w:val="0"/>
              <w:autoSpaceDN w:val="0"/>
              <w:spacing w:before="0" w:after="0"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val="en-US" w:eastAsia="zh-CN"/>
              </w:rPr>
              <w:t>四档</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pacing w:val="5"/>
                <w:sz w:val="21"/>
                <w:szCs w:val="21"/>
                <w:highlight w:val="none"/>
                <w:lang w:eastAsia="zh-CN"/>
              </w:rPr>
              <w:t>分）：针对本工程的特点，详细阐述了本工程的重点和</w:t>
            </w:r>
            <w:r>
              <w:rPr>
                <w:rFonts w:hint="eastAsia" w:ascii="宋体" w:hAnsi="宋体" w:eastAsia="宋体" w:cs="宋体"/>
                <w:color w:val="auto"/>
                <w:spacing w:val="1"/>
                <w:sz w:val="21"/>
                <w:szCs w:val="21"/>
                <w:highlight w:val="none"/>
                <w:lang w:eastAsia="zh-CN"/>
              </w:rPr>
              <w:t>难点，解决重点和难点问题的方法合理、科学可行。</w:t>
            </w:r>
          </w:p>
          <w:p w14:paraId="047E10E4">
            <w:pPr>
              <w:pStyle w:val="243"/>
              <w:widowControl w:val="0"/>
              <w:autoSpaceDE w:val="0"/>
              <w:autoSpaceDN w:val="0"/>
              <w:spacing w:before="0" w:after="0" w:line="360" w:lineRule="auto"/>
              <w:jc w:val="left"/>
              <w:rPr>
                <w:rFonts w:hint="eastAsia" w:ascii="宋体" w:hAnsi="宋体" w:eastAsia="宋体" w:cs="宋体"/>
                <w:color w:val="auto"/>
                <w:spacing w:val="1"/>
                <w:sz w:val="21"/>
                <w:szCs w:val="21"/>
                <w:highlight w:val="none"/>
                <w:lang w:eastAsia="zh-CN"/>
              </w:rPr>
            </w:pPr>
            <w:r>
              <w:rPr>
                <w:rFonts w:hint="eastAsia" w:ascii="宋体" w:hAnsi="宋体" w:eastAsia="宋体" w:cs="宋体"/>
                <w:bCs/>
                <w:color w:val="auto"/>
                <w:sz w:val="21"/>
                <w:szCs w:val="21"/>
                <w:highlight w:val="none"/>
                <w:lang w:val="en-US" w:eastAsia="zh-CN"/>
              </w:rPr>
              <w:t>三档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pacing w:val="1"/>
                <w:sz w:val="21"/>
                <w:szCs w:val="21"/>
                <w:highlight w:val="none"/>
                <w:lang w:eastAsia="zh-CN"/>
              </w:rPr>
              <w:t>分）：针对本工程的特点，阐述了本工程的重点和难点，解决重点和难点问题的方法合理。</w:t>
            </w:r>
          </w:p>
          <w:p w14:paraId="3D67CCBF">
            <w:pPr>
              <w:pStyle w:val="243"/>
              <w:widowControl w:val="0"/>
              <w:autoSpaceDE w:val="0"/>
              <w:autoSpaceDN w:val="0"/>
              <w:spacing w:before="0" w:after="0"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val="en-US" w:eastAsia="zh-CN"/>
              </w:rPr>
              <w:t>二档</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z w:val="21"/>
                <w:szCs w:val="21"/>
                <w:highlight w:val="none"/>
                <w:lang w:eastAsia="zh-CN"/>
              </w:rPr>
              <w:t>2</w:t>
            </w:r>
            <w:r>
              <w:rPr>
                <w:rFonts w:hint="eastAsia" w:ascii="宋体" w:hAnsi="宋体" w:eastAsia="宋体" w:cs="宋体"/>
                <w:color w:val="auto"/>
                <w:spacing w:val="5"/>
                <w:sz w:val="21"/>
                <w:szCs w:val="21"/>
                <w:highlight w:val="none"/>
                <w:lang w:eastAsia="zh-CN"/>
              </w:rPr>
              <w:t>分）：简单阐述了本工程的重点和难点，解决重点和难</w:t>
            </w:r>
            <w:r>
              <w:rPr>
                <w:rFonts w:hint="eastAsia" w:ascii="宋体" w:hAnsi="宋体" w:eastAsia="宋体" w:cs="宋体"/>
                <w:color w:val="auto"/>
                <w:spacing w:val="1"/>
                <w:sz w:val="21"/>
                <w:szCs w:val="21"/>
                <w:highlight w:val="none"/>
                <w:lang w:eastAsia="zh-CN"/>
              </w:rPr>
              <w:t>点问题的方法一般。</w:t>
            </w:r>
          </w:p>
          <w:p w14:paraId="445BD9B1">
            <w:pPr>
              <w:pStyle w:val="243"/>
              <w:widowControl w:val="0"/>
              <w:autoSpaceDE w:val="0"/>
              <w:autoSpaceDN w:val="0"/>
              <w:spacing w:before="0" w:after="0" w:line="360" w:lineRule="auto"/>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一档</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z w:val="21"/>
                <w:szCs w:val="21"/>
                <w:highlight w:val="none"/>
                <w:lang w:eastAsia="zh-CN"/>
              </w:rPr>
              <w:t>1</w:t>
            </w:r>
            <w:r>
              <w:rPr>
                <w:rFonts w:hint="eastAsia" w:ascii="宋体" w:hAnsi="宋体" w:eastAsia="宋体" w:cs="宋体"/>
                <w:color w:val="auto"/>
                <w:spacing w:val="5"/>
                <w:sz w:val="21"/>
                <w:szCs w:val="21"/>
                <w:highlight w:val="none"/>
                <w:lang w:eastAsia="zh-CN"/>
              </w:rPr>
              <w:t>分）：未阐述本工程的重点和难点，无解决及保证措施</w:t>
            </w:r>
            <w:r>
              <w:rPr>
                <w:rFonts w:hint="eastAsia" w:ascii="宋体" w:hAnsi="宋体" w:eastAsia="宋体" w:cs="宋体"/>
                <w:color w:val="auto"/>
                <w:spacing w:val="1"/>
                <w:sz w:val="21"/>
                <w:szCs w:val="21"/>
                <w:highlight w:val="none"/>
                <w:lang w:eastAsia="zh-CN"/>
              </w:rPr>
              <w:t>重点和难点问题的方法。</w:t>
            </w:r>
          </w:p>
        </w:tc>
        <w:tc>
          <w:tcPr>
            <w:tcW w:w="851" w:type="dxa"/>
            <w:noWrap w:val="0"/>
            <w:vAlign w:val="center"/>
          </w:tcPr>
          <w:p w14:paraId="608C9F13">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6分</w:t>
            </w:r>
          </w:p>
        </w:tc>
      </w:tr>
      <w:tr w14:paraId="18E48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7" w:hRule="atLeast"/>
          <w:jc w:val="center"/>
        </w:trPr>
        <w:tc>
          <w:tcPr>
            <w:tcW w:w="652" w:type="dxa"/>
            <w:noWrap w:val="0"/>
            <w:vAlign w:val="center"/>
          </w:tcPr>
          <w:p w14:paraId="06A31B14">
            <w:pPr>
              <w:adjustRightInd w:val="0"/>
              <w:spacing w:line="360" w:lineRule="auto"/>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2.10</w:t>
            </w:r>
          </w:p>
        </w:tc>
        <w:tc>
          <w:tcPr>
            <w:tcW w:w="1299" w:type="dxa"/>
            <w:noWrap w:val="0"/>
            <w:vAlign w:val="center"/>
          </w:tcPr>
          <w:p w14:paraId="6B3D5429">
            <w:pPr>
              <w:adjustRightInd w:val="0"/>
              <w:spacing w:line="360" w:lineRule="auto"/>
              <w:jc w:val="center"/>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项目管理机构</w:t>
            </w:r>
          </w:p>
        </w:tc>
        <w:tc>
          <w:tcPr>
            <w:tcW w:w="6288" w:type="dxa"/>
            <w:noWrap w:val="0"/>
            <w:vAlign w:val="center"/>
          </w:tcPr>
          <w:p w14:paraId="5CD061D6">
            <w:pPr>
              <w:pStyle w:val="243"/>
              <w:widowControl w:val="0"/>
              <w:autoSpaceDE w:val="0"/>
              <w:autoSpaceDN w:val="0"/>
              <w:spacing w:before="0" w:after="0" w:line="360" w:lineRule="auto"/>
              <w:jc w:val="left"/>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val="en-US" w:eastAsia="zh-CN"/>
              </w:rPr>
              <w:t>（1）项目经理</w:t>
            </w:r>
            <w:r>
              <w:rPr>
                <w:rFonts w:hint="eastAsia" w:ascii="宋体" w:hAnsi="宋体" w:eastAsia="宋体" w:cs="宋体"/>
                <w:color w:val="auto"/>
                <w:spacing w:val="1"/>
                <w:sz w:val="21"/>
                <w:szCs w:val="21"/>
                <w:highlight w:val="none"/>
                <w:lang w:eastAsia="zh-CN"/>
              </w:rPr>
              <w:t>（满分</w:t>
            </w:r>
            <w:r>
              <w:rPr>
                <w:rFonts w:hint="eastAsia" w:ascii="宋体" w:hAnsi="宋体" w:eastAsia="宋体" w:cs="宋体"/>
                <w:color w:val="auto"/>
                <w:spacing w:val="1"/>
                <w:sz w:val="21"/>
                <w:szCs w:val="21"/>
                <w:highlight w:val="none"/>
                <w:lang w:val="en-US" w:eastAsia="zh-CN"/>
              </w:rPr>
              <w:t>5</w:t>
            </w:r>
            <w:r>
              <w:rPr>
                <w:rFonts w:hint="eastAsia" w:ascii="宋体" w:hAnsi="宋体" w:eastAsia="宋体" w:cs="宋体"/>
                <w:color w:val="auto"/>
                <w:spacing w:val="1"/>
                <w:sz w:val="21"/>
                <w:szCs w:val="21"/>
                <w:highlight w:val="none"/>
                <w:lang w:eastAsia="zh-CN"/>
              </w:rPr>
              <w:t>分）</w:t>
            </w:r>
          </w:p>
          <w:p w14:paraId="12E7199F">
            <w:pPr>
              <w:pStyle w:val="243"/>
              <w:widowControl w:val="0"/>
              <w:autoSpaceDE w:val="0"/>
              <w:autoSpaceDN w:val="0"/>
              <w:spacing w:before="0" w:after="0" w:line="360" w:lineRule="auto"/>
              <w:jc w:val="left"/>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eastAsia="zh-CN"/>
              </w:rPr>
              <w:t>拟派任项目经理具有</w:t>
            </w:r>
            <w:r>
              <w:rPr>
                <w:rFonts w:hint="eastAsia"/>
                <w:color w:val="auto"/>
                <w:sz w:val="21"/>
                <w:szCs w:val="21"/>
                <w:highlight w:val="none"/>
                <w:lang w:val="en-US" w:eastAsia="zh-CN"/>
              </w:rPr>
              <w:t>建筑工程或相关专业</w:t>
            </w:r>
            <w:r>
              <w:rPr>
                <w:rFonts w:hint="eastAsia" w:ascii="宋体" w:hAnsi="宋体" w:eastAsia="宋体" w:cs="宋体"/>
                <w:color w:val="auto"/>
                <w:spacing w:val="1"/>
                <w:sz w:val="21"/>
                <w:szCs w:val="21"/>
                <w:highlight w:val="none"/>
                <w:lang w:eastAsia="zh-CN"/>
              </w:rPr>
              <w:t>中级及以上职称的得5分。</w:t>
            </w:r>
          </w:p>
          <w:p w14:paraId="7E48A861">
            <w:pPr>
              <w:pStyle w:val="243"/>
              <w:widowControl w:val="0"/>
              <w:numPr>
                <w:ilvl w:val="0"/>
                <w:numId w:val="2"/>
              </w:numPr>
              <w:autoSpaceDE w:val="0"/>
              <w:autoSpaceDN w:val="0"/>
              <w:spacing w:before="0" w:after="0"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其他主要人员（满分</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w:t>
            </w:r>
          </w:p>
          <w:p w14:paraId="494FEEFB">
            <w:pPr>
              <w:pStyle w:val="25"/>
              <w:spacing w:line="360" w:lineRule="auto"/>
              <w:rPr>
                <w:rFonts w:hint="eastAsia" w:hAnsi="宋体" w:cs="宋体"/>
                <w:bCs/>
                <w:color w:val="auto"/>
                <w:kern w:val="2"/>
                <w:sz w:val="21"/>
                <w:highlight w:val="none"/>
              </w:rPr>
            </w:pPr>
            <w:r>
              <w:rPr>
                <w:rFonts w:hint="eastAsia" w:hAnsi="宋体" w:cs="宋体"/>
                <w:color w:val="auto"/>
                <w:spacing w:val="2"/>
                <w:sz w:val="21"/>
                <w:szCs w:val="21"/>
                <w:highlight w:val="none"/>
              </w:rPr>
              <w:t>除项目经理、技术负责人外，项目管理机构中其他主要人员（施工员、</w:t>
            </w:r>
            <w:r>
              <w:rPr>
                <w:rFonts w:hint="eastAsia" w:cs="宋体"/>
                <w:color w:val="auto"/>
                <w:sz w:val="21"/>
                <w:szCs w:val="21"/>
                <w:highlight w:val="none"/>
              </w:rPr>
              <w:t>专职安全生产管理人员</w:t>
            </w:r>
            <w:r>
              <w:rPr>
                <w:rFonts w:hint="eastAsia" w:hAnsi="宋体" w:cs="宋体"/>
                <w:color w:val="auto"/>
                <w:spacing w:val="2"/>
                <w:sz w:val="21"/>
                <w:szCs w:val="21"/>
                <w:highlight w:val="none"/>
              </w:rPr>
              <w:t>、质量员、材料员）总人数不少于3人，且有</w:t>
            </w:r>
            <w:r>
              <w:rPr>
                <w:rFonts w:hint="eastAsia" w:hAnsi="宋体" w:cs="宋体"/>
                <w:color w:val="auto"/>
                <w:spacing w:val="2"/>
                <w:sz w:val="21"/>
                <w:szCs w:val="21"/>
                <w:highlight w:val="none"/>
                <w:lang w:val="en-US" w:eastAsia="zh-CN"/>
              </w:rPr>
              <w:t>50</w:t>
            </w:r>
            <w:r>
              <w:rPr>
                <w:rFonts w:hint="eastAsia" w:hAnsi="宋体" w:cs="宋体"/>
                <w:color w:val="auto"/>
                <w:spacing w:val="2"/>
                <w:sz w:val="21"/>
                <w:szCs w:val="21"/>
                <w:highlight w:val="none"/>
              </w:rPr>
              <w:t>%（含</w:t>
            </w:r>
            <w:r>
              <w:rPr>
                <w:rFonts w:hint="eastAsia" w:hAnsi="宋体" w:cs="宋体"/>
                <w:color w:val="auto"/>
                <w:spacing w:val="2"/>
                <w:sz w:val="21"/>
                <w:szCs w:val="21"/>
                <w:highlight w:val="none"/>
                <w:lang w:val="en-US" w:eastAsia="zh-CN"/>
              </w:rPr>
              <w:t>50</w:t>
            </w:r>
            <w:r>
              <w:rPr>
                <w:rFonts w:hint="eastAsia" w:hAnsi="宋体" w:cs="宋体"/>
                <w:color w:val="auto"/>
                <w:spacing w:val="2"/>
                <w:sz w:val="21"/>
                <w:szCs w:val="21"/>
                <w:highlight w:val="none"/>
              </w:rPr>
              <w:t>%）以上的人员具备</w:t>
            </w:r>
            <w:r>
              <w:rPr>
                <w:rFonts w:hint="eastAsia"/>
                <w:color w:val="auto"/>
                <w:sz w:val="21"/>
                <w:szCs w:val="21"/>
                <w:highlight w:val="none"/>
                <w:lang w:val="en-US" w:eastAsia="zh-CN"/>
              </w:rPr>
              <w:t>建筑工程或相关专业</w:t>
            </w:r>
            <w:r>
              <w:rPr>
                <w:rFonts w:hint="eastAsia" w:hAnsi="宋体" w:cs="宋体"/>
                <w:color w:val="auto"/>
                <w:spacing w:val="2"/>
                <w:sz w:val="21"/>
                <w:szCs w:val="21"/>
                <w:highlight w:val="none"/>
              </w:rPr>
              <w:t>中级及以上职称的得</w:t>
            </w:r>
            <w:r>
              <w:rPr>
                <w:rFonts w:hint="eastAsia" w:hAnsi="宋体" w:cs="宋体"/>
                <w:color w:val="auto"/>
                <w:spacing w:val="2"/>
                <w:sz w:val="21"/>
                <w:szCs w:val="21"/>
                <w:highlight w:val="none"/>
                <w:lang w:val="en-US" w:eastAsia="zh-CN"/>
              </w:rPr>
              <w:t>5</w:t>
            </w:r>
            <w:r>
              <w:rPr>
                <w:rFonts w:hint="eastAsia" w:hAnsi="宋体" w:cs="宋体"/>
                <w:color w:val="auto"/>
                <w:spacing w:val="2"/>
                <w:sz w:val="21"/>
                <w:szCs w:val="21"/>
                <w:highlight w:val="none"/>
              </w:rPr>
              <w:t>分</w:t>
            </w:r>
            <w:r>
              <w:rPr>
                <w:rFonts w:hint="eastAsia" w:hAnsi="宋体" w:cs="宋体"/>
                <w:color w:val="auto"/>
                <w:sz w:val="21"/>
                <w:szCs w:val="21"/>
                <w:highlight w:val="none"/>
              </w:rPr>
              <w:t>。</w:t>
            </w:r>
          </w:p>
        </w:tc>
        <w:tc>
          <w:tcPr>
            <w:tcW w:w="851" w:type="dxa"/>
            <w:noWrap w:val="0"/>
            <w:vAlign w:val="center"/>
          </w:tcPr>
          <w:p w14:paraId="7B0458A4">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10分</w:t>
            </w:r>
          </w:p>
        </w:tc>
      </w:tr>
      <w:tr w14:paraId="1D60A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52" w:type="dxa"/>
            <w:noWrap w:val="0"/>
            <w:vAlign w:val="center"/>
          </w:tcPr>
          <w:p w14:paraId="2DE82795">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1299" w:type="dxa"/>
            <w:noWrap w:val="0"/>
            <w:vAlign w:val="center"/>
          </w:tcPr>
          <w:p w14:paraId="6F5540B3">
            <w:pPr>
              <w:widowControl/>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商务分</w:t>
            </w:r>
          </w:p>
        </w:tc>
        <w:tc>
          <w:tcPr>
            <w:tcW w:w="7139" w:type="dxa"/>
            <w:gridSpan w:val="2"/>
            <w:noWrap w:val="0"/>
            <w:vAlign w:val="center"/>
          </w:tcPr>
          <w:p w14:paraId="38F94E52">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评审标准</w:t>
            </w:r>
          </w:p>
        </w:tc>
      </w:tr>
      <w:tr w14:paraId="252A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52" w:type="dxa"/>
            <w:noWrap w:val="0"/>
            <w:vAlign w:val="center"/>
          </w:tcPr>
          <w:p w14:paraId="6716010A">
            <w:pPr>
              <w:widowControl/>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3.1</w:t>
            </w:r>
          </w:p>
        </w:tc>
        <w:tc>
          <w:tcPr>
            <w:tcW w:w="1299" w:type="dxa"/>
            <w:noWrap w:val="0"/>
            <w:vAlign w:val="center"/>
          </w:tcPr>
          <w:p w14:paraId="00163EA6">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业绩分</w:t>
            </w:r>
          </w:p>
        </w:tc>
        <w:tc>
          <w:tcPr>
            <w:tcW w:w="6288" w:type="dxa"/>
            <w:noWrap w:val="0"/>
            <w:vAlign w:val="top"/>
          </w:tcPr>
          <w:p w14:paraId="1DBB18D7">
            <w:pPr>
              <w:pStyle w:val="25"/>
              <w:spacing w:line="360" w:lineRule="auto"/>
              <w:rPr>
                <w:rFonts w:hint="eastAsia" w:hAnsi="宋体" w:cs="宋体"/>
                <w:bCs/>
                <w:color w:val="auto"/>
                <w:kern w:val="2"/>
                <w:sz w:val="21"/>
                <w:highlight w:val="none"/>
              </w:rPr>
            </w:pPr>
            <w:r>
              <w:rPr>
                <w:rFonts w:hint="eastAsia" w:hAnsi="宋体" w:cs="宋体"/>
                <w:bCs/>
                <w:color w:val="auto"/>
                <w:kern w:val="2"/>
                <w:sz w:val="21"/>
                <w:highlight w:val="none"/>
              </w:rPr>
              <w:t>供应商从2022年1月1日至响应文件递交截止时间止</w:t>
            </w:r>
            <w:r>
              <w:rPr>
                <w:rFonts w:hint="eastAsia" w:hAnsi="宋体" w:cs="宋体"/>
                <w:bCs/>
                <w:color w:val="auto"/>
                <w:kern w:val="2"/>
                <w:sz w:val="21"/>
                <w:highlight w:val="none"/>
                <w:lang w:eastAsia="zh-CN"/>
              </w:rPr>
              <w:t>在建</w:t>
            </w:r>
            <w:r>
              <w:rPr>
                <w:rFonts w:hint="eastAsia" w:hAnsi="宋体" w:cs="宋体"/>
                <w:bCs/>
                <w:color w:val="auto"/>
                <w:kern w:val="2"/>
                <w:sz w:val="21"/>
                <w:highlight w:val="none"/>
                <w:lang w:val="en-US" w:eastAsia="zh-CN"/>
              </w:rPr>
              <w:t>或已完工的</w:t>
            </w:r>
            <w:r>
              <w:rPr>
                <w:rFonts w:hint="eastAsia" w:hAnsi="宋体" w:cs="宋体"/>
                <w:bCs/>
                <w:color w:val="auto"/>
                <w:kern w:val="2"/>
                <w:sz w:val="21"/>
                <w:highlight w:val="none"/>
              </w:rPr>
              <w:t>类似建筑工程项目</w:t>
            </w:r>
            <w:r>
              <w:rPr>
                <w:rFonts w:hint="eastAsia" w:hAnsi="宋体" w:cs="宋体"/>
                <w:bCs/>
                <w:color w:val="auto"/>
                <w:kern w:val="2"/>
                <w:sz w:val="21"/>
                <w:highlight w:val="none"/>
                <w:lang w:eastAsia="zh-CN"/>
              </w:rPr>
              <w:t>业绩</w:t>
            </w:r>
            <w:r>
              <w:rPr>
                <w:rFonts w:hint="eastAsia" w:hAnsi="宋体" w:cs="宋体"/>
                <w:bCs/>
                <w:color w:val="auto"/>
                <w:kern w:val="2"/>
                <w:sz w:val="21"/>
                <w:highlight w:val="none"/>
              </w:rPr>
              <w:t>，提供</w:t>
            </w:r>
            <w:r>
              <w:rPr>
                <w:rFonts w:hint="eastAsia" w:hAnsi="宋体" w:cs="宋体"/>
                <w:bCs/>
                <w:color w:val="auto"/>
                <w:kern w:val="2"/>
                <w:sz w:val="21"/>
                <w:highlight w:val="none"/>
                <w:lang w:val="en-US" w:eastAsia="zh-CN"/>
              </w:rPr>
              <w:t>1</w:t>
            </w:r>
            <w:r>
              <w:rPr>
                <w:rFonts w:hint="eastAsia" w:hAnsi="宋体" w:cs="宋体"/>
                <w:bCs/>
                <w:color w:val="auto"/>
                <w:kern w:val="2"/>
                <w:sz w:val="21"/>
                <w:highlight w:val="none"/>
              </w:rPr>
              <w:t>个有效业绩得</w:t>
            </w:r>
            <w:r>
              <w:rPr>
                <w:rFonts w:hint="eastAsia" w:hAnsi="宋体" w:cs="宋体"/>
                <w:bCs/>
                <w:color w:val="auto"/>
                <w:kern w:val="2"/>
                <w:sz w:val="21"/>
                <w:highlight w:val="none"/>
                <w:lang w:val="en-US" w:eastAsia="zh-CN"/>
              </w:rPr>
              <w:t>2.5</w:t>
            </w:r>
            <w:r>
              <w:rPr>
                <w:rFonts w:hint="eastAsia" w:hAnsi="宋体" w:cs="宋体"/>
                <w:bCs/>
                <w:color w:val="auto"/>
                <w:kern w:val="2"/>
                <w:sz w:val="21"/>
                <w:highlight w:val="none"/>
              </w:rPr>
              <w:t>分，最高得5分。必须提供相关证明材料。</w:t>
            </w:r>
          </w:p>
          <w:p w14:paraId="6F933BB1">
            <w:pPr>
              <w:pStyle w:val="25"/>
              <w:spacing w:line="360" w:lineRule="auto"/>
              <w:rPr>
                <w:rFonts w:hint="eastAsia" w:hAnsi="宋体" w:cs="宋体"/>
                <w:bCs/>
                <w:color w:val="auto"/>
                <w:kern w:val="2"/>
                <w:sz w:val="21"/>
                <w:highlight w:val="none"/>
              </w:rPr>
            </w:pPr>
            <w:r>
              <w:rPr>
                <w:rFonts w:hint="eastAsia" w:hAnsi="宋体" w:cs="宋体"/>
                <w:bCs/>
                <w:color w:val="auto"/>
                <w:kern w:val="2"/>
                <w:sz w:val="21"/>
                <w:highlight w:val="none"/>
              </w:rPr>
              <w:t>证明材料：</w:t>
            </w:r>
            <w:r>
              <w:rPr>
                <w:rFonts w:hint="eastAsia" w:hAnsi="宋体" w:cs="宋体"/>
                <w:bCs/>
                <w:color w:val="auto"/>
                <w:kern w:val="2"/>
                <w:sz w:val="21"/>
                <w:highlight w:val="none"/>
                <w:lang w:val="en-US" w:eastAsia="zh-CN"/>
              </w:rPr>
              <w:t>以有效中标（成交）通知书复印件或</w:t>
            </w:r>
            <w:r>
              <w:rPr>
                <w:rFonts w:hint="eastAsia" w:hAnsi="宋体" w:cs="宋体"/>
                <w:bCs/>
                <w:color w:val="auto"/>
                <w:kern w:val="2"/>
                <w:sz w:val="21"/>
                <w:highlight w:val="none"/>
              </w:rPr>
              <w:t>工程</w:t>
            </w:r>
            <w:r>
              <w:rPr>
                <w:rFonts w:hint="eastAsia" w:hAnsi="宋体" w:cs="宋体"/>
                <w:bCs/>
                <w:color w:val="auto"/>
                <w:kern w:val="2"/>
                <w:sz w:val="21"/>
                <w:highlight w:val="none"/>
                <w:lang w:val="en-US" w:eastAsia="zh-CN"/>
              </w:rPr>
              <w:t>合同复印件为准并加盖供应商公章，否则不得分</w:t>
            </w:r>
            <w:r>
              <w:rPr>
                <w:rFonts w:hint="eastAsia" w:hAnsi="宋体" w:cs="宋体"/>
                <w:bCs/>
                <w:color w:val="auto"/>
                <w:kern w:val="2"/>
                <w:sz w:val="21"/>
                <w:highlight w:val="none"/>
              </w:rPr>
              <w:t>。</w:t>
            </w:r>
          </w:p>
        </w:tc>
        <w:tc>
          <w:tcPr>
            <w:tcW w:w="851" w:type="dxa"/>
            <w:noWrap w:val="0"/>
            <w:vAlign w:val="center"/>
          </w:tcPr>
          <w:p w14:paraId="09D09EED">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5分</w:t>
            </w:r>
          </w:p>
        </w:tc>
      </w:tr>
      <w:tr w14:paraId="22E98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239" w:type="dxa"/>
            <w:gridSpan w:val="3"/>
            <w:noWrap w:val="0"/>
            <w:vAlign w:val="top"/>
          </w:tcPr>
          <w:p w14:paraId="67C0DBFF">
            <w:pPr>
              <w:pStyle w:val="25"/>
              <w:spacing w:line="360" w:lineRule="auto"/>
              <w:ind w:firstLine="420" w:firstLineChars="200"/>
              <w:rPr>
                <w:rFonts w:hint="eastAsia" w:hAnsi="宋体" w:cs="宋体"/>
                <w:bCs/>
                <w:color w:val="auto"/>
                <w:kern w:val="2"/>
                <w:sz w:val="21"/>
                <w:highlight w:val="none"/>
              </w:rPr>
            </w:pPr>
            <w:r>
              <w:rPr>
                <w:rFonts w:hint="eastAsia" w:hAnsi="宋体" w:cs="宋体"/>
                <w:bCs/>
                <w:color w:val="auto"/>
                <w:kern w:val="2"/>
                <w:sz w:val="21"/>
                <w:highlight w:val="none"/>
              </w:rPr>
              <w:t>总得分＝1＋2＋3</w:t>
            </w:r>
          </w:p>
        </w:tc>
        <w:tc>
          <w:tcPr>
            <w:tcW w:w="851" w:type="dxa"/>
            <w:noWrap w:val="0"/>
            <w:vAlign w:val="center"/>
          </w:tcPr>
          <w:p w14:paraId="703503EF">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100分</w:t>
            </w:r>
          </w:p>
        </w:tc>
      </w:tr>
    </w:tbl>
    <w:p w14:paraId="0232669D">
      <w:pPr>
        <w:pStyle w:val="3"/>
        <w:jc w:val="center"/>
        <w:rPr>
          <w:rFonts w:hint="eastAsia" w:ascii="宋体" w:hAnsi="宋体" w:cs="宋体"/>
          <w:color w:val="auto"/>
          <w:highlight w:val="none"/>
        </w:rPr>
      </w:pPr>
      <w:r>
        <w:rPr>
          <w:rFonts w:ascii="宋体" w:hAnsi="宋体" w:cs="宋体"/>
          <w:color w:val="auto"/>
          <w:highlight w:val="none"/>
        </w:rPr>
        <w:br w:type="page"/>
      </w:r>
    </w:p>
    <w:p w14:paraId="62974AE8">
      <w:pPr>
        <w:pStyle w:val="3"/>
        <w:jc w:val="center"/>
        <w:rPr>
          <w:rFonts w:hint="eastAsia" w:ascii="宋体" w:hAnsi="宋体" w:cs="宋体"/>
          <w:color w:val="auto"/>
          <w:highlight w:val="none"/>
        </w:rPr>
      </w:pPr>
    </w:p>
    <w:p w14:paraId="61219720">
      <w:pPr>
        <w:pStyle w:val="3"/>
        <w:jc w:val="center"/>
        <w:rPr>
          <w:color w:val="auto"/>
          <w:highlight w:val="none"/>
        </w:rPr>
      </w:pPr>
      <w:r>
        <w:rPr>
          <w:rFonts w:hint="eastAsia"/>
          <w:color w:val="auto"/>
          <w:highlight w:val="none"/>
        </w:rPr>
        <w:t>第五章</w:t>
      </w:r>
      <w:r>
        <w:rPr>
          <w:rFonts w:hint="eastAsia"/>
          <w:color w:val="auto"/>
          <w:highlight w:val="none"/>
          <w:lang w:val="en-US" w:eastAsia="zh-CN"/>
        </w:rPr>
        <w:t xml:space="preserve"> </w:t>
      </w:r>
      <w:r>
        <w:rPr>
          <w:rFonts w:hint="eastAsia"/>
          <w:color w:val="auto"/>
          <w:highlight w:val="none"/>
        </w:rPr>
        <w:t>工程量清单及图纸</w:t>
      </w:r>
    </w:p>
    <w:p w14:paraId="48BD7CF2">
      <w:pPr>
        <w:pStyle w:val="3"/>
        <w:spacing w:before="0" w:after="0" w:line="360" w:lineRule="auto"/>
        <w:jc w:val="center"/>
        <w:rPr>
          <w:rFonts w:hint="eastAsia" w:ascii="宋体" w:hAnsi="宋体" w:cs="宋体"/>
          <w:color w:val="auto"/>
          <w:sz w:val="32"/>
          <w:szCs w:val="32"/>
          <w:highlight w:val="none"/>
        </w:rPr>
      </w:pPr>
      <w:r>
        <w:rPr>
          <w:color w:val="auto"/>
          <w:highlight w:val="none"/>
        </w:rPr>
        <w:br w:type="page"/>
      </w:r>
    </w:p>
    <w:p w14:paraId="470DBDEA">
      <w:pPr>
        <w:pStyle w:val="4"/>
        <w:spacing w:before="0" w:after="0" w:line="360" w:lineRule="auto"/>
        <w:rPr>
          <w:color w:val="auto"/>
          <w:kern w:val="44"/>
          <w:highlight w:val="none"/>
        </w:rPr>
      </w:pPr>
      <w:r>
        <w:rPr>
          <w:color w:val="auto"/>
          <w:highlight w:val="none"/>
        </w:rPr>
        <w:t>1</w:t>
      </w:r>
      <w:r>
        <w:rPr>
          <w:rFonts w:hint="eastAsia"/>
          <w:color w:val="auto"/>
          <w:highlight w:val="none"/>
        </w:rPr>
        <w:t>.</w:t>
      </w:r>
      <w:r>
        <w:rPr>
          <w:rFonts w:hint="eastAsia" w:cs="黑体"/>
          <w:color w:val="auto"/>
          <w:highlight w:val="none"/>
        </w:rPr>
        <w:t>工程量清单编制说明</w:t>
      </w:r>
    </w:p>
    <w:p w14:paraId="43838E17">
      <w:pPr>
        <w:spacing w:line="360" w:lineRule="auto"/>
        <w:ind w:firstLine="420" w:firstLineChars="200"/>
        <w:rPr>
          <w:color w:val="auto"/>
          <w:highlight w:val="none"/>
        </w:rPr>
      </w:pPr>
      <w:r>
        <w:rPr>
          <w:color w:val="auto"/>
          <w:highlight w:val="none"/>
        </w:rPr>
        <w:t>1.1</w:t>
      </w:r>
      <w:r>
        <w:rPr>
          <w:rFonts w:hint="eastAsia" w:hAnsi="宋体" w:cs="宋体"/>
          <w:color w:val="auto"/>
          <w:highlight w:val="none"/>
        </w:rPr>
        <w:t>本工程量清单依据《建设工程工程量清单计价规范</w:t>
      </w:r>
      <w:r>
        <w:rPr>
          <w:rFonts w:hint="eastAsia" w:cs="宋体"/>
          <w:color w:val="auto"/>
          <w:highlight w:val="none"/>
        </w:rPr>
        <w:t>（</w:t>
      </w:r>
      <w:r>
        <w:rPr>
          <w:color w:val="auto"/>
          <w:highlight w:val="none"/>
        </w:rPr>
        <w:t>GB50500-2013</w:t>
      </w:r>
      <w:r>
        <w:rPr>
          <w:rFonts w:hint="eastAsia" w:cs="宋体"/>
          <w:color w:val="auto"/>
          <w:highlight w:val="none"/>
        </w:rPr>
        <w:t>）</w:t>
      </w:r>
      <w:r>
        <w:rPr>
          <w:rFonts w:hint="eastAsia" w:hAnsi="宋体" w:cs="宋体"/>
          <w:color w:val="auto"/>
          <w:highlight w:val="none"/>
        </w:rPr>
        <w:t>广西实施细则》（以下简称</w:t>
      </w:r>
      <w:r>
        <w:rPr>
          <w:color w:val="auto"/>
          <w:highlight w:val="none"/>
        </w:rPr>
        <w:t>“</w:t>
      </w:r>
      <w:r>
        <w:rPr>
          <w:rFonts w:hint="eastAsia" w:hAnsi="宋体" w:cs="宋体"/>
          <w:color w:val="auto"/>
          <w:highlight w:val="none"/>
        </w:rPr>
        <w:t>《计价规范》</w:t>
      </w:r>
      <w:r>
        <w:rPr>
          <w:color w:val="auto"/>
          <w:highlight w:val="none"/>
        </w:rPr>
        <w:t>”</w:t>
      </w:r>
      <w:r>
        <w:rPr>
          <w:rFonts w:hint="eastAsia" w:cs="宋体"/>
          <w:color w:val="auto"/>
          <w:highlight w:val="none"/>
        </w:rPr>
        <w:t>）</w:t>
      </w:r>
      <w:r>
        <w:rPr>
          <w:rFonts w:hint="eastAsia" w:hAnsi="宋体" w:cs="宋体"/>
          <w:color w:val="auto"/>
          <w:highlight w:val="none"/>
        </w:rPr>
        <w:t>、《工程量清单计算规范（</w:t>
      </w:r>
      <w:r>
        <w:rPr>
          <w:color w:val="auto"/>
          <w:highlight w:val="none"/>
        </w:rPr>
        <w:t>GB50854~50862-2013</w:t>
      </w:r>
      <w:r>
        <w:rPr>
          <w:rFonts w:hint="eastAsia" w:hAnsi="宋体" w:cs="宋体"/>
          <w:color w:val="auto"/>
          <w:highlight w:val="none"/>
        </w:rPr>
        <w:t>）》及广西实施细则（修订本）（以下简称</w:t>
      </w:r>
      <w:r>
        <w:rPr>
          <w:color w:val="auto"/>
          <w:highlight w:val="none"/>
        </w:rPr>
        <w:t>“</w:t>
      </w:r>
      <w:r>
        <w:rPr>
          <w:rFonts w:hint="eastAsia" w:hAnsi="宋体" w:cs="宋体"/>
          <w:color w:val="auto"/>
          <w:highlight w:val="none"/>
        </w:rPr>
        <w:t>《计算规范》</w:t>
      </w:r>
      <w:r>
        <w:rPr>
          <w:color w:val="auto"/>
          <w:highlight w:val="none"/>
        </w:rPr>
        <w:t>”</w:t>
      </w:r>
      <w:r>
        <w:rPr>
          <w:rFonts w:hint="eastAsia" w:hAnsi="宋体" w:cs="宋体"/>
          <w:color w:val="auto"/>
          <w:highlight w:val="none"/>
        </w:rPr>
        <w:t>）、</w:t>
      </w:r>
      <w:r>
        <w:rPr>
          <w:rFonts w:hint="eastAsia" w:hAnsi="宋体" w:cs="宋体"/>
          <w:color w:val="auto"/>
          <w:kern w:val="0"/>
          <w:highlight w:val="none"/>
        </w:rPr>
        <w:t>《关于建筑业实施营业税改征增值税后广西壮族自治区建设工程计价依据调整的通知》（桂建标〔</w:t>
      </w:r>
      <w:r>
        <w:rPr>
          <w:rFonts w:hAnsi="宋体"/>
          <w:color w:val="auto"/>
          <w:kern w:val="0"/>
          <w:highlight w:val="none"/>
        </w:rPr>
        <w:t>2016</w:t>
      </w:r>
      <w:r>
        <w:rPr>
          <w:rFonts w:hint="eastAsia" w:hAnsi="宋体" w:cs="宋体"/>
          <w:color w:val="auto"/>
          <w:kern w:val="0"/>
          <w:highlight w:val="none"/>
        </w:rPr>
        <w:t>〕</w:t>
      </w:r>
      <w:r>
        <w:rPr>
          <w:rFonts w:hAnsi="宋体"/>
          <w:color w:val="auto"/>
          <w:kern w:val="0"/>
          <w:highlight w:val="none"/>
        </w:rPr>
        <w:t>17</w:t>
      </w:r>
      <w:r>
        <w:rPr>
          <w:rFonts w:hint="eastAsia" w:hAnsi="宋体" w:cs="宋体"/>
          <w:color w:val="auto"/>
          <w:kern w:val="0"/>
          <w:highlight w:val="none"/>
        </w:rPr>
        <w:t>号）、磋商文件</w:t>
      </w:r>
      <w:r>
        <w:rPr>
          <w:rFonts w:hint="eastAsia" w:hAnsi="宋体" w:cs="宋体"/>
          <w:color w:val="auto"/>
          <w:highlight w:val="none"/>
        </w:rPr>
        <w:t>、施工图等编制。计算规范中没有的清单项目，应在本章第</w:t>
      </w:r>
      <w:r>
        <w:rPr>
          <w:color w:val="auto"/>
          <w:highlight w:val="none"/>
        </w:rPr>
        <w:t>1.4</w:t>
      </w:r>
      <w:r>
        <w:rPr>
          <w:rFonts w:hint="eastAsia" w:hAnsi="宋体" w:cs="宋体"/>
          <w:color w:val="auto"/>
          <w:highlight w:val="none"/>
        </w:rPr>
        <w:t>款约定。</w:t>
      </w:r>
    </w:p>
    <w:p w14:paraId="00D09328">
      <w:pPr>
        <w:spacing w:line="360" w:lineRule="auto"/>
        <w:ind w:firstLine="420" w:firstLineChars="200"/>
        <w:rPr>
          <w:color w:val="auto"/>
          <w:highlight w:val="none"/>
        </w:rPr>
      </w:pPr>
      <w:r>
        <w:rPr>
          <w:color w:val="auto"/>
          <w:highlight w:val="none"/>
        </w:rPr>
        <w:t xml:space="preserve">1.2 </w:t>
      </w:r>
      <w:r>
        <w:rPr>
          <w:rFonts w:hint="eastAsia"/>
          <w:color w:val="auto"/>
          <w:highlight w:val="none"/>
        </w:rPr>
        <w:t>工程量清单应与供应商须知、合同协议条款、合同的通用条款、合同专用条款、技术规范及图纸等文件一起结合使用。</w:t>
      </w:r>
    </w:p>
    <w:p w14:paraId="680128C3">
      <w:pPr>
        <w:spacing w:line="360" w:lineRule="auto"/>
        <w:ind w:firstLine="420" w:firstLineChars="200"/>
        <w:rPr>
          <w:color w:val="auto"/>
          <w:highlight w:val="none"/>
        </w:rPr>
      </w:pPr>
      <w:r>
        <w:rPr>
          <w:color w:val="auto"/>
          <w:highlight w:val="none"/>
        </w:rPr>
        <w:t xml:space="preserve">1.3 </w:t>
      </w:r>
      <w:r>
        <w:rPr>
          <w:rFonts w:hint="eastAsia" w:cs="宋体"/>
          <w:color w:val="auto"/>
          <w:highlight w:val="none"/>
        </w:rPr>
        <w:t>工程量清单是磋商文件的组成部分，是工程量清单计价的基础，作为编制招标控制价、竞标报价、计算或调整工程量、索赔等的依据之一。</w:t>
      </w:r>
    </w:p>
    <w:p w14:paraId="041D0D05">
      <w:pPr>
        <w:spacing w:line="360" w:lineRule="auto"/>
        <w:ind w:firstLine="420" w:firstLineChars="200"/>
        <w:rPr>
          <w:color w:val="auto"/>
          <w:highlight w:val="none"/>
        </w:rPr>
      </w:pPr>
      <w:r>
        <w:rPr>
          <w:color w:val="auto"/>
          <w:highlight w:val="none"/>
        </w:rPr>
        <w:t xml:space="preserve">1.4 </w:t>
      </w:r>
      <w:r>
        <w:rPr>
          <w:rFonts w:hint="eastAsia" w:cs="宋体"/>
          <w:color w:val="auto"/>
          <w:highlight w:val="none"/>
        </w:rPr>
        <w:t>补充清单项目的特征、计量单位、工程量计算规则及工作内容说明如下：</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18846F3F">
      <w:pPr>
        <w:pStyle w:val="25"/>
        <w:spacing w:line="360" w:lineRule="auto"/>
        <w:ind w:firstLine="420" w:firstLineChars="200"/>
        <w:rPr>
          <w:rFonts w:ascii="Times New Roman" w:hAnsi="Times New Roman"/>
          <w:color w:val="auto"/>
          <w:sz w:val="21"/>
          <w:highlight w:val="none"/>
        </w:rPr>
      </w:pPr>
      <w:r>
        <w:rPr>
          <w:rFonts w:ascii="Times New Roman" w:hAnsi="Times New Roman"/>
          <w:color w:val="auto"/>
          <w:sz w:val="21"/>
          <w:highlight w:val="none"/>
        </w:rPr>
        <w:t xml:space="preserve">1.5 </w:t>
      </w:r>
      <w:r>
        <w:rPr>
          <w:rFonts w:hint="eastAsia" w:ascii="Times New Roman" w:hAnsi="Times New Roman"/>
          <w:color w:val="auto"/>
          <w:sz w:val="21"/>
          <w:highlight w:val="none"/>
        </w:rPr>
        <w:t>《允许调整主要材料和工程设备一览表》（表</w:t>
      </w:r>
      <w:r>
        <w:rPr>
          <w:rFonts w:ascii="Times New Roman" w:hAnsi="Times New Roman"/>
          <w:color w:val="auto"/>
          <w:sz w:val="21"/>
          <w:highlight w:val="none"/>
        </w:rPr>
        <w:t>-22</w:t>
      </w:r>
      <w:r>
        <w:rPr>
          <w:rFonts w:hint="eastAsia" w:ascii="Times New Roman" w:hAnsi="Times New Roman"/>
          <w:color w:val="auto"/>
          <w:sz w:val="21"/>
          <w:highlight w:val="none"/>
        </w:rPr>
        <w:t>，表格编号为计价规范相应表格编号，下同）作为项目实施过程中材料和设备价格风险调整依据。</w:t>
      </w:r>
    </w:p>
    <w:p w14:paraId="2DCD3309">
      <w:pPr>
        <w:pStyle w:val="25"/>
        <w:spacing w:line="360" w:lineRule="auto"/>
        <w:ind w:firstLine="420" w:firstLineChars="200"/>
        <w:rPr>
          <w:rFonts w:ascii="Times New Roman" w:hAnsi="Times New Roman"/>
          <w:color w:val="auto"/>
          <w:sz w:val="21"/>
          <w:highlight w:val="none"/>
        </w:rPr>
      </w:pPr>
      <w:r>
        <w:rPr>
          <w:rFonts w:ascii="Times New Roman" w:hAnsi="Times New Roman"/>
          <w:color w:val="auto"/>
          <w:sz w:val="21"/>
          <w:highlight w:val="none"/>
        </w:rPr>
        <w:t xml:space="preserve">1.6 </w:t>
      </w:r>
      <w:r>
        <w:rPr>
          <w:rFonts w:hint="eastAsia" w:ascii="Times New Roman" w:hAnsi="Times New Roman"/>
          <w:color w:val="auto"/>
          <w:sz w:val="21"/>
          <w:highlight w:val="none"/>
        </w:rPr>
        <w:t>本工程暂列金额（约按合同造价</w:t>
      </w:r>
      <w:r>
        <w:rPr>
          <w:rFonts w:ascii="Times New Roman" w:hAnsi="Times New Roman"/>
          <w:color w:val="auto"/>
          <w:sz w:val="21"/>
          <w:highlight w:val="none"/>
          <w:u w:val="single"/>
        </w:rPr>
        <w:t xml:space="preserve">   </w:t>
      </w:r>
      <w:r>
        <w:rPr>
          <w:rFonts w:hint="eastAsia" w:ascii="Times New Roman" w:hAnsi="Times New Roman"/>
          <w:color w:val="auto"/>
          <w:sz w:val="21"/>
          <w:highlight w:val="none"/>
          <w:u w:val="single"/>
        </w:rPr>
        <w:t>/</w:t>
      </w:r>
      <w:r>
        <w:rPr>
          <w:rFonts w:ascii="Times New Roman" w:hAnsi="Times New Roman"/>
          <w:color w:val="auto"/>
          <w:sz w:val="21"/>
          <w:highlight w:val="none"/>
          <w:u w:val="single"/>
        </w:rPr>
        <w:t xml:space="preserve">   </w:t>
      </w:r>
      <w:r>
        <w:rPr>
          <w:rFonts w:ascii="Times New Roman" w:hAnsi="Times New Roman"/>
          <w:color w:val="auto"/>
          <w:sz w:val="21"/>
          <w:highlight w:val="none"/>
        </w:rPr>
        <w:t>%</w:t>
      </w:r>
      <w:r>
        <w:rPr>
          <w:rFonts w:hint="eastAsia" w:ascii="Times New Roman" w:hAnsi="Times New Roman"/>
          <w:color w:val="auto"/>
          <w:sz w:val="21"/>
          <w:highlight w:val="none"/>
        </w:rPr>
        <w:t>计算），共</w:t>
      </w:r>
      <w:r>
        <w:rPr>
          <w:rFonts w:ascii="Times New Roman" w:hAnsi="Times New Roman"/>
          <w:color w:val="auto"/>
          <w:sz w:val="21"/>
          <w:highlight w:val="none"/>
          <w:u w:val="single"/>
        </w:rPr>
        <w:t xml:space="preserve">   </w:t>
      </w:r>
      <w:r>
        <w:rPr>
          <w:rFonts w:hint="eastAsia" w:ascii="Times New Roman" w:hAnsi="Times New Roman"/>
          <w:color w:val="auto"/>
          <w:sz w:val="21"/>
          <w:highlight w:val="none"/>
          <w:u w:val="single"/>
        </w:rPr>
        <w:t>/</w:t>
      </w:r>
      <w:r>
        <w:rPr>
          <w:rFonts w:ascii="Times New Roman" w:hAnsi="Times New Roman"/>
          <w:color w:val="auto"/>
          <w:sz w:val="21"/>
          <w:highlight w:val="none"/>
          <w:u w:val="single"/>
        </w:rPr>
        <w:t xml:space="preserve">  </w:t>
      </w:r>
      <w:r>
        <w:rPr>
          <w:rFonts w:hint="eastAsia" w:ascii="Times New Roman" w:hAnsi="Times New Roman"/>
          <w:color w:val="auto"/>
          <w:sz w:val="21"/>
          <w:highlight w:val="none"/>
        </w:rPr>
        <w:t>元，作为合同签订时尚未确定或者不可预见但施工中可能发生的费用。</w:t>
      </w:r>
    </w:p>
    <w:p w14:paraId="6BE2E86C">
      <w:pPr>
        <w:pStyle w:val="25"/>
        <w:spacing w:line="360" w:lineRule="auto"/>
        <w:ind w:firstLine="420" w:firstLineChars="200"/>
        <w:rPr>
          <w:rFonts w:ascii="Times New Roman" w:hAnsi="Times New Roman"/>
          <w:color w:val="auto"/>
          <w:sz w:val="21"/>
          <w:highlight w:val="none"/>
        </w:rPr>
      </w:pPr>
      <w:r>
        <w:rPr>
          <w:rFonts w:ascii="Times New Roman" w:hAnsi="Times New Roman"/>
          <w:color w:val="auto"/>
          <w:sz w:val="21"/>
          <w:highlight w:val="none"/>
        </w:rPr>
        <w:t xml:space="preserve">1.7 </w:t>
      </w:r>
      <w:r>
        <w:rPr>
          <w:rFonts w:hint="eastAsia" w:ascii="Times New Roman" w:hAnsi="Times New Roman"/>
          <w:color w:val="auto"/>
          <w:sz w:val="21"/>
          <w:highlight w:val="none"/>
        </w:rPr>
        <w:t>本工程发包人提供的材料和设备详见《发包人提供的主要材料和工程设备一览表》（表</w:t>
      </w:r>
      <w:r>
        <w:rPr>
          <w:rFonts w:ascii="Times New Roman" w:hAnsi="Times New Roman"/>
          <w:color w:val="auto"/>
          <w:sz w:val="21"/>
          <w:highlight w:val="none"/>
        </w:rPr>
        <w:t>-21</w:t>
      </w:r>
      <w:r>
        <w:rPr>
          <w:rFonts w:hint="eastAsia" w:ascii="Times New Roman" w:hAnsi="Times New Roman"/>
          <w:color w:val="auto"/>
          <w:sz w:val="21"/>
          <w:highlight w:val="none"/>
        </w:rPr>
        <w:t>）。</w:t>
      </w:r>
    </w:p>
    <w:p w14:paraId="1CF65960">
      <w:pPr>
        <w:spacing w:line="360" w:lineRule="auto"/>
        <w:ind w:firstLine="420" w:firstLineChars="200"/>
        <w:rPr>
          <w:color w:val="auto"/>
          <w:highlight w:val="none"/>
        </w:rPr>
      </w:pPr>
      <w:r>
        <w:rPr>
          <w:color w:val="auto"/>
          <w:highlight w:val="none"/>
        </w:rPr>
        <w:t xml:space="preserve">1.8 </w:t>
      </w:r>
      <w:r>
        <w:rPr>
          <w:rFonts w:hint="eastAsia" w:cs="宋体"/>
          <w:color w:val="auto"/>
          <w:highlight w:val="none"/>
        </w:rPr>
        <w:t>本工程部分材料和设备在招标时作为暂估价计列，结算按实调整，具体内容详见《材料（工程设备）暂估单价及调整表》（表</w:t>
      </w:r>
      <w:r>
        <w:rPr>
          <w:color w:val="auto"/>
          <w:highlight w:val="none"/>
        </w:rPr>
        <w:t>12-2</w:t>
      </w:r>
      <w:r>
        <w:rPr>
          <w:rFonts w:hint="eastAsia" w:cs="宋体"/>
          <w:color w:val="auto"/>
          <w:highlight w:val="none"/>
        </w:rPr>
        <w:t>）。</w:t>
      </w:r>
    </w:p>
    <w:p w14:paraId="5967E653">
      <w:pPr>
        <w:spacing w:line="360" w:lineRule="auto"/>
        <w:ind w:firstLine="420" w:firstLineChars="200"/>
        <w:rPr>
          <w:color w:val="auto"/>
          <w:highlight w:val="none"/>
        </w:rPr>
      </w:pPr>
      <w:r>
        <w:rPr>
          <w:color w:val="auto"/>
          <w:highlight w:val="none"/>
        </w:rPr>
        <w:t xml:space="preserve">1.9 </w:t>
      </w:r>
      <w:r>
        <w:rPr>
          <w:rFonts w:hint="eastAsia" w:cs="宋体"/>
          <w:color w:val="auto"/>
          <w:highlight w:val="none"/>
        </w:rPr>
        <w:t>招标时暂估专业工程的价款属于暂估价，结算按实调整，具体内容详见《专业工程暂估价及结算价表》（表</w:t>
      </w:r>
      <w:r>
        <w:rPr>
          <w:color w:val="auto"/>
          <w:highlight w:val="none"/>
        </w:rPr>
        <w:t>12-3</w:t>
      </w:r>
      <w:r>
        <w:rPr>
          <w:rFonts w:hint="eastAsia" w:cs="宋体"/>
          <w:color w:val="auto"/>
          <w:highlight w:val="none"/>
        </w:rPr>
        <w:t>）。</w:t>
      </w:r>
    </w:p>
    <w:p w14:paraId="49E5BBD8">
      <w:pPr>
        <w:spacing w:line="360" w:lineRule="auto"/>
        <w:ind w:firstLine="420" w:firstLineChars="200"/>
        <w:rPr>
          <w:color w:val="auto"/>
          <w:highlight w:val="none"/>
        </w:rPr>
      </w:pPr>
      <w:r>
        <w:rPr>
          <w:color w:val="auto"/>
          <w:highlight w:val="none"/>
        </w:rPr>
        <w:t xml:space="preserve">1.10 </w:t>
      </w:r>
      <w:r>
        <w:rPr>
          <w:rFonts w:hint="eastAsia" w:cs="宋体"/>
          <w:color w:val="auto"/>
          <w:highlight w:val="none"/>
        </w:rPr>
        <w:t>本工程量清单编码处标注</w:t>
      </w:r>
      <w:r>
        <w:rPr>
          <w:color w:val="auto"/>
          <w:highlight w:val="none"/>
        </w:rPr>
        <w:t>“*”</w:t>
      </w:r>
      <w:r>
        <w:rPr>
          <w:rFonts w:hint="eastAsia" w:cs="宋体"/>
          <w:color w:val="auto"/>
          <w:highlight w:val="none"/>
        </w:rPr>
        <w:t>号的清单项目作为主要清单项目，需要供应商提供</w:t>
      </w:r>
      <w:r>
        <w:rPr>
          <w:rFonts w:hint="eastAsia" w:hAnsi="宋体" w:cs="宋体"/>
          <w:color w:val="auto"/>
          <w:highlight w:val="none"/>
        </w:rPr>
        <w:t>《主要清单项目工料机分析表》（表</w:t>
      </w:r>
      <w:r>
        <w:rPr>
          <w:color w:val="auto"/>
          <w:highlight w:val="none"/>
        </w:rPr>
        <w:t>-10</w:t>
      </w:r>
      <w:r>
        <w:rPr>
          <w:rFonts w:hint="eastAsia" w:hAnsi="宋体" w:cs="宋体"/>
          <w:color w:val="auto"/>
          <w:highlight w:val="none"/>
        </w:rPr>
        <w:t>）</w:t>
      </w:r>
      <w:r>
        <w:rPr>
          <w:rFonts w:hint="eastAsia" w:cs="宋体"/>
          <w:color w:val="auto"/>
          <w:highlight w:val="none"/>
        </w:rPr>
        <w:t>。</w:t>
      </w:r>
    </w:p>
    <w:p w14:paraId="790BA11C">
      <w:pPr>
        <w:spacing w:line="360" w:lineRule="auto"/>
        <w:rPr>
          <w:color w:val="auto"/>
          <w:highlight w:val="none"/>
        </w:rPr>
      </w:pPr>
      <w:r>
        <w:rPr>
          <w:color w:val="auto"/>
          <w:highlight w:val="none"/>
        </w:rPr>
        <w:t xml:space="preserve">1.11 </w:t>
      </w:r>
      <w:r>
        <w:rPr>
          <w:rFonts w:hint="eastAsia" w:cs="宋体"/>
          <w:color w:val="auto"/>
          <w:highlight w:val="none"/>
        </w:rPr>
        <w:t>其它需要说明的问题：</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cs="宋体"/>
          <w:color w:val="auto"/>
          <w:highlight w:val="none"/>
        </w:rPr>
        <w:t>。</w:t>
      </w:r>
    </w:p>
    <w:p w14:paraId="6EAAC7B1">
      <w:pPr>
        <w:spacing w:line="360" w:lineRule="auto"/>
        <w:ind w:firstLine="420" w:firstLineChars="200"/>
        <w:jc w:val="left"/>
        <w:rPr>
          <w:color w:val="auto"/>
          <w:highlight w:val="none"/>
        </w:rPr>
      </w:pPr>
      <w:r>
        <w:rPr>
          <w:color w:val="auto"/>
          <w:highlight w:val="none"/>
        </w:rPr>
        <w:t xml:space="preserve">1.12 </w:t>
      </w:r>
      <w:r>
        <w:rPr>
          <w:rFonts w:hint="eastAsia" w:cs="宋体"/>
          <w:color w:val="auto"/>
          <w:highlight w:val="none"/>
        </w:rPr>
        <w:t>工程量清单与磋商文件同时发布。</w:t>
      </w:r>
      <w:r>
        <w:rPr>
          <w:color w:val="auto"/>
          <w:highlight w:val="none"/>
        </w:rPr>
        <w:t xml:space="preserve"> </w:t>
      </w:r>
      <w:r>
        <w:rPr>
          <w:rFonts w:hint="eastAsia" w:cs="宋体"/>
          <w:color w:val="auto"/>
          <w:highlight w:val="none"/>
        </w:rPr>
        <w:t>一般计税法建设工程的工程量清单表格按</w:t>
      </w:r>
      <w:r>
        <w:rPr>
          <w:rFonts w:hint="eastAsia" w:hAnsi="宋体" w:cs="宋体"/>
          <w:color w:val="auto"/>
          <w:kern w:val="0"/>
          <w:highlight w:val="none"/>
        </w:rPr>
        <w:t>《关于建筑业实施营业税改征增值税后广西壮族自治区建设工程计价依据调整的通知》（桂建标〔</w:t>
      </w:r>
      <w:r>
        <w:rPr>
          <w:rFonts w:hAnsi="宋体"/>
          <w:color w:val="auto"/>
          <w:kern w:val="0"/>
          <w:highlight w:val="none"/>
        </w:rPr>
        <w:t>2016</w:t>
      </w:r>
      <w:r>
        <w:rPr>
          <w:rFonts w:hint="eastAsia" w:hAnsi="宋体" w:cs="宋体"/>
          <w:color w:val="auto"/>
          <w:kern w:val="0"/>
          <w:highlight w:val="none"/>
        </w:rPr>
        <w:t>〕</w:t>
      </w:r>
      <w:r>
        <w:rPr>
          <w:rFonts w:hAnsi="宋体"/>
          <w:color w:val="auto"/>
          <w:kern w:val="0"/>
          <w:highlight w:val="none"/>
        </w:rPr>
        <w:t>17</w:t>
      </w:r>
      <w:r>
        <w:rPr>
          <w:rFonts w:hint="eastAsia" w:hAnsi="宋体" w:cs="宋体"/>
          <w:color w:val="auto"/>
          <w:kern w:val="0"/>
          <w:highlight w:val="none"/>
        </w:rPr>
        <w:t>号）</w:t>
      </w:r>
      <w:r>
        <w:rPr>
          <w:rFonts w:hint="eastAsia" w:ascii="宋体" w:hAnsi="宋体" w:cs="宋体"/>
          <w:color w:val="auto"/>
          <w:highlight w:val="none"/>
        </w:rPr>
        <w:t>附件“增值税一般计税方法工程计价表”要求提供；简易计税法建设工程按照《计价规范》要求的</w:t>
      </w:r>
      <w:r>
        <w:rPr>
          <w:rFonts w:hint="eastAsia" w:cs="宋体"/>
          <w:color w:val="auto"/>
          <w:highlight w:val="none"/>
        </w:rPr>
        <w:t>表格提供，但规费和税费要按照《关于建筑业实施营业税改征增值税后广西壮族自治区建设工程计价依据调整的通知》（桂建标〔</w:t>
      </w:r>
      <w:r>
        <w:rPr>
          <w:color w:val="auto"/>
          <w:highlight w:val="none"/>
        </w:rPr>
        <w:t>2016</w:t>
      </w:r>
      <w:r>
        <w:rPr>
          <w:rFonts w:hint="eastAsia" w:cs="宋体"/>
          <w:color w:val="auto"/>
          <w:highlight w:val="none"/>
        </w:rPr>
        <w:t>〕</w:t>
      </w:r>
      <w:r>
        <w:rPr>
          <w:color w:val="auto"/>
          <w:highlight w:val="none"/>
        </w:rPr>
        <w:t>17</w:t>
      </w:r>
      <w:r>
        <w:rPr>
          <w:rFonts w:hint="eastAsia" w:cs="宋体"/>
          <w:color w:val="auto"/>
          <w:highlight w:val="none"/>
        </w:rPr>
        <w:t>号）</w:t>
      </w:r>
      <w:r>
        <w:rPr>
          <w:rFonts w:hint="eastAsia" w:ascii="宋体" w:hAnsi="宋体" w:cs="宋体"/>
          <w:color w:val="auto"/>
          <w:highlight w:val="none"/>
        </w:rPr>
        <w:t>要求调整，具体</w:t>
      </w:r>
      <w:r>
        <w:rPr>
          <w:rFonts w:hint="eastAsia" w:cs="宋体"/>
          <w:color w:val="auto"/>
          <w:highlight w:val="none"/>
        </w:rPr>
        <w:t>包括：</w:t>
      </w:r>
    </w:p>
    <w:p w14:paraId="79D5EF37">
      <w:pPr>
        <w:spacing w:line="360" w:lineRule="auto"/>
        <w:ind w:firstLine="630" w:firstLineChars="300"/>
        <w:jc w:val="left"/>
        <w:rPr>
          <w:color w:val="auto"/>
          <w:highlight w:val="none"/>
        </w:rPr>
      </w:pPr>
      <w:r>
        <w:rPr>
          <w:color w:val="auto"/>
          <w:highlight w:val="none"/>
        </w:rPr>
        <w:t xml:space="preserve">1.1 </w:t>
      </w:r>
      <w:r>
        <w:rPr>
          <w:rFonts w:hint="eastAsia" w:cs="宋体"/>
          <w:color w:val="auto"/>
          <w:highlight w:val="none"/>
        </w:rPr>
        <w:t>招标工程量清单（封</w:t>
      </w:r>
      <w:r>
        <w:rPr>
          <w:color w:val="auto"/>
          <w:highlight w:val="none"/>
        </w:rPr>
        <w:t>-1</w:t>
      </w:r>
      <w:r>
        <w:rPr>
          <w:rFonts w:hint="eastAsia" w:cs="宋体"/>
          <w:color w:val="auto"/>
          <w:highlight w:val="none"/>
        </w:rPr>
        <w:t>）</w:t>
      </w:r>
    </w:p>
    <w:p w14:paraId="736F9CF6">
      <w:pPr>
        <w:spacing w:line="360" w:lineRule="auto"/>
        <w:ind w:firstLine="630" w:firstLineChars="300"/>
        <w:jc w:val="left"/>
        <w:rPr>
          <w:color w:val="auto"/>
          <w:highlight w:val="none"/>
        </w:rPr>
      </w:pPr>
      <w:r>
        <w:rPr>
          <w:color w:val="auto"/>
          <w:highlight w:val="none"/>
        </w:rPr>
        <w:t xml:space="preserve">1.2 </w:t>
      </w:r>
      <w:r>
        <w:rPr>
          <w:rFonts w:hint="eastAsia" w:cs="宋体"/>
          <w:color w:val="auto"/>
          <w:highlight w:val="none"/>
        </w:rPr>
        <w:t>招标工程量清单（封扉</w:t>
      </w:r>
      <w:r>
        <w:rPr>
          <w:color w:val="auto"/>
          <w:highlight w:val="none"/>
        </w:rPr>
        <w:t>-1</w:t>
      </w:r>
      <w:r>
        <w:rPr>
          <w:rFonts w:hint="eastAsia" w:cs="宋体"/>
          <w:color w:val="auto"/>
          <w:highlight w:val="none"/>
        </w:rPr>
        <w:t>）</w:t>
      </w:r>
    </w:p>
    <w:p w14:paraId="0A779504">
      <w:pPr>
        <w:spacing w:line="360" w:lineRule="auto"/>
        <w:ind w:firstLine="630" w:firstLineChars="300"/>
        <w:jc w:val="left"/>
        <w:rPr>
          <w:color w:val="auto"/>
          <w:highlight w:val="none"/>
        </w:rPr>
      </w:pPr>
      <w:r>
        <w:rPr>
          <w:color w:val="auto"/>
          <w:highlight w:val="none"/>
        </w:rPr>
        <w:t xml:space="preserve">1.3 </w:t>
      </w:r>
      <w:r>
        <w:rPr>
          <w:rFonts w:hint="eastAsia" w:cs="宋体"/>
          <w:color w:val="auto"/>
          <w:highlight w:val="none"/>
        </w:rPr>
        <w:t>总说明（表</w:t>
      </w:r>
      <w:r>
        <w:rPr>
          <w:color w:val="auto"/>
          <w:highlight w:val="none"/>
        </w:rPr>
        <w:t>-01</w:t>
      </w:r>
      <w:r>
        <w:rPr>
          <w:rFonts w:hint="eastAsia" w:cs="宋体"/>
          <w:color w:val="auto"/>
          <w:highlight w:val="none"/>
        </w:rPr>
        <w:t>）</w:t>
      </w:r>
    </w:p>
    <w:p w14:paraId="7381EC79">
      <w:pPr>
        <w:spacing w:line="360" w:lineRule="auto"/>
        <w:ind w:firstLine="630" w:firstLineChars="300"/>
        <w:jc w:val="left"/>
        <w:rPr>
          <w:color w:val="auto"/>
          <w:highlight w:val="none"/>
        </w:rPr>
      </w:pPr>
      <w:r>
        <w:rPr>
          <w:color w:val="auto"/>
          <w:highlight w:val="none"/>
        </w:rPr>
        <w:t xml:space="preserve">1.4 </w:t>
      </w:r>
      <w:r>
        <w:rPr>
          <w:rFonts w:hint="eastAsia" w:cs="宋体"/>
          <w:color w:val="auto"/>
          <w:highlight w:val="none"/>
        </w:rPr>
        <w:t>建设项目投标报价汇总表（表</w:t>
      </w:r>
      <w:r>
        <w:rPr>
          <w:color w:val="auto"/>
          <w:highlight w:val="none"/>
        </w:rPr>
        <w:t>-02</w:t>
      </w:r>
      <w:r>
        <w:rPr>
          <w:rFonts w:hint="eastAsia" w:cs="宋体"/>
          <w:color w:val="auto"/>
          <w:highlight w:val="none"/>
        </w:rPr>
        <w:t>）</w:t>
      </w:r>
    </w:p>
    <w:p w14:paraId="2C0C2ADD">
      <w:pPr>
        <w:spacing w:line="360" w:lineRule="auto"/>
        <w:ind w:firstLine="630" w:firstLineChars="300"/>
        <w:jc w:val="left"/>
        <w:rPr>
          <w:color w:val="auto"/>
          <w:highlight w:val="none"/>
        </w:rPr>
      </w:pPr>
      <w:r>
        <w:rPr>
          <w:color w:val="auto"/>
          <w:highlight w:val="none"/>
        </w:rPr>
        <w:t xml:space="preserve">1.5 </w:t>
      </w:r>
      <w:r>
        <w:rPr>
          <w:rFonts w:hint="eastAsia" w:cs="宋体"/>
          <w:color w:val="auto"/>
          <w:highlight w:val="none"/>
        </w:rPr>
        <w:t>单项工程投标报价汇总表（表</w:t>
      </w:r>
      <w:r>
        <w:rPr>
          <w:color w:val="auto"/>
          <w:highlight w:val="none"/>
        </w:rPr>
        <w:t>-03</w:t>
      </w:r>
      <w:r>
        <w:rPr>
          <w:rFonts w:hint="eastAsia" w:cs="宋体"/>
          <w:color w:val="auto"/>
          <w:highlight w:val="none"/>
        </w:rPr>
        <w:t>）</w:t>
      </w:r>
    </w:p>
    <w:p w14:paraId="1B0D28D9">
      <w:pPr>
        <w:spacing w:line="360" w:lineRule="auto"/>
        <w:ind w:firstLine="630" w:firstLineChars="300"/>
        <w:jc w:val="left"/>
        <w:rPr>
          <w:color w:val="auto"/>
          <w:highlight w:val="none"/>
        </w:rPr>
      </w:pPr>
      <w:r>
        <w:rPr>
          <w:color w:val="auto"/>
          <w:highlight w:val="none"/>
        </w:rPr>
        <w:t xml:space="preserve">1.6 </w:t>
      </w:r>
      <w:r>
        <w:rPr>
          <w:rFonts w:hint="eastAsia" w:cs="宋体"/>
          <w:color w:val="auto"/>
          <w:highlight w:val="none"/>
        </w:rPr>
        <w:t>单位工程投标报价汇总表（表</w:t>
      </w:r>
      <w:r>
        <w:rPr>
          <w:color w:val="auto"/>
          <w:highlight w:val="none"/>
        </w:rPr>
        <w:t>-04</w:t>
      </w:r>
      <w:r>
        <w:rPr>
          <w:rFonts w:hint="eastAsia" w:cs="宋体"/>
          <w:color w:val="auto"/>
          <w:highlight w:val="none"/>
        </w:rPr>
        <w:t>）</w:t>
      </w:r>
    </w:p>
    <w:p w14:paraId="070650DE">
      <w:pPr>
        <w:spacing w:line="360" w:lineRule="auto"/>
        <w:ind w:firstLine="630" w:firstLineChars="300"/>
        <w:jc w:val="left"/>
        <w:rPr>
          <w:color w:val="auto"/>
          <w:highlight w:val="none"/>
        </w:rPr>
      </w:pPr>
      <w:r>
        <w:rPr>
          <w:color w:val="auto"/>
          <w:highlight w:val="none"/>
        </w:rPr>
        <w:t xml:space="preserve">1.7 </w:t>
      </w:r>
      <w:r>
        <w:rPr>
          <w:rFonts w:hint="eastAsia" w:cs="宋体"/>
          <w:color w:val="auto"/>
          <w:highlight w:val="none"/>
        </w:rPr>
        <w:t>分部分项工程和单价措施项目清单与计价表（表</w:t>
      </w:r>
      <w:r>
        <w:rPr>
          <w:color w:val="auto"/>
          <w:highlight w:val="none"/>
        </w:rPr>
        <w:t>-08</w:t>
      </w:r>
      <w:r>
        <w:rPr>
          <w:rFonts w:hint="eastAsia" w:cs="宋体"/>
          <w:color w:val="auto"/>
          <w:highlight w:val="none"/>
        </w:rPr>
        <w:t>）</w:t>
      </w:r>
    </w:p>
    <w:p w14:paraId="36F5B19F">
      <w:pPr>
        <w:spacing w:line="360" w:lineRule="auto"/>
        <w:ind w:firstLine="630" w:firstLineChars="300"/>
        <w:jc w:val="left"/>
        <w:rPr>
          <w:color w:val="auto"/>
          <w:highlight w:val="none"/>
        </w:rPr>
      </w:pPr>
      <w:r>
        <w:rPr>
          <w:color w:val="auto"/>
          <w:highlight w:val="none"/>
        </w:rPr>
        <w:t xml:space="preserve">1.8 </w:t>
      </w:r>
      <w:r>
        <w:rPr>
          <w:rFonts w:hint="eastAsia" w:cs="宋体"/>
          <w:color w:val="auto"/>
          <w:highlight w:val="none"/>
        </w:rPr>
        <w:t>总价措施项目清单与计价表（表</w:t>
      </w:r>
      <w:r>
        <w:rPr>
          <w:color w:val="auto"/>
          <w:highlight w:val="none"/>
        </w:rPr>
        <w:t>-11</w:t>
      </w:r>
      <w:r>
        <w:rPr>
          <w:rFonts w:hint="eastAsia" w:cs="宋体"/>
          <w:color w:val="auto"/>
          <w:highlight w:val="none"/>
        </w:rPr>
        <w:t>）</w:t>
      </w:r>
    </w:p>
    <w:p w14:paraId="198CBB1C">
      <w:pPr>
        <w:spacing w:line="360" w:lineRule="auto"/>
        <w:ind w:firstLine="630" w:firstLineChars="300"/>
        <w:jc w:val="left"/>
        <w:rPr>
          <w:color w:val="auto"/>
          <w:highlight w:val="none"/>
        </w:rPr>
      </w:pPr>
      <w:r>
        <w:rPr>
          <w:color w:val="auto"/>
          <w:highlight w:val="none"/>
        </w:rPr>
        <w:t xml:space="preserve">1.9 </w:t>
      </w:r>
      <w:r>
        <w:rPr>
          <w:rFonts w:hint="eastAsia" w:cs="宋体"/>
          <w:color w:val="auto"/>
          <w:highlight w:val="none"/>
        </w:rPr>
        <w:t>其他项目清单与计价汇总表（表</w:t>
      </w:r>
      <w:r>
        <w:rPr>
          <w:color w:val="auto"/>
          <w:highlight w:val="none"/>
        </w:rPr>
        <w:t>-12</w:t>
      </w:r>
      <w:r>
        <w:rPr>
          <w:rFonts w:hint="eastAsia" w:cs="宋体"/>
          <w:color w:val="auto"/>
          <w:highlight w:val="none"/>
        </w:rPr>
        <w:t>）</w:t>
      </w:r>
    </w:p>
    <w:p w14:paraId="4112B147">
      <w:pPr>
        <w:spacing w:line="360" w:lineRule="auto"/>
        <w:ind w:firstLine="630" w:firstLineChars="300"/>
        <w:jc w:val="left"/>
        <w:rPr>
          <w:color w:val="auto"/>
          <w:highlight w:val="none"/>
        </w:rPr>
      </w:pPr>
      <w:r>
        <w:rPr>
          <w:color w:val="auto"/>
          <w:highlight w:val="none"/>
        </w:rPr>
        <w:t xml:space="preserve">1.10 </w:t>
      </w:r>
      <w:r>
        <w:rPr>
          <w:rFonts w:hint="eastAsia" w:cs="宋体"/>
          <w:color w:val="auto"/>
          <w:highlight w:val="none"/>
        </w:rPr>
        <w:t>暂列金额明细表（表</w:t>
      </w:r>
      <w:r>
        <w:rPr>
          <w:color w:val="auto"/>
          <w:highlight w:val="none"/>
        </w:rPr>
        <w:t>12-1</w:t>
      </w:r>
      <w:r>
        <w:rPr>
          <w:rFonts w:hint="eastAsia" w:cs="宋体"/>
          <w:color w:val="auto"/>
          <w:highlight w:val="none"/>
        </w:rPr>
        <w:t>）</w:t>
      </w:r>
    </w:p>
    <w:p w14:paraId="073B2A79">
      <w:pPr>
        <w:spacing w:line="360" w:lineRule="auto"/>
        <w:ind w:firstLine="630" w:firstLineChars="300"/>
        <w:jc w:val="left"/>
        <w:rPr>
          <w:color w:val="auto"/>
          <w:highlight w:val="none"/>
        </w:rPr>
      </w:pPr>
      <w:r>
        <w:rPr>
          <w:color w:val="auto"/>
          <w:highlight w:val="none"/>
        </w:rPr>
        <w:t xml:space="preserve">1.11 </w:t>
      </w:r>
      <w:r>
        <w:rPr>
          <w:rFonts w:hint="eastAsia" w:cs="宋体"/>
          <w:color w:val="auto"/>
          <w:highlight w:val="none"/>
        </w:rPr>
        <w:t>材料（工程设备）暂估单价及调整表（表</w:t>
      </w:r>
      <w:r>
        <w:rPr>
          <w:color w:val="auto"/>
          <w:highlight w:val="none"/>
        </w:rPr>
        <w:t>12-2</w:t>
      </w:r>
      <w:r>
        <w:rPr>
          <w:rFonts w:hint="eastAsia" w:cs="宋体"/>
          <w:color w:val="auto"/>
          <w:highlight w:val="none"/>
        </w:rPr>
        <w:t>）</w:t>
      </w:r>
    </w:p>
    <w:p w14:paraId="60C26C1A">
      <w:pPr>
        <w:spacing w:line="360" w:lineRule="auto"/>
        <w:ind w:firstLine="630" w:firstLineChars="300"/>
        <w:jc w:val="left"/>
        <w:rPr>
          <w:color w:val="auto"/>
          <w:highlight w:val="none"/>
        </w:rPr>
      </w:pPr>
      <w:r>
        <w:rPr>
          <w:color w:val="auto"/>
          <w:highlight w:val="none"/>
        </w:rPr>
        <w:t xml:space="preserve">1.12 </w:t>
      </w:r>
      <w:r>
        <w:rPr>
          <w:rFonts w:hint="eastAsia" w:cs="宋体"/>
          <w:color w:val="auto"/>
          <w:highlight w:val="none"/>
        </w:rPr>
        <w:t>专业工程暂估价</w:t>
      </w:r>
      <w:r>
        <w:rPr>
          <w:rFonts w:hint="eastAsia"/>
          <w:color w:val="auto"/>
          <w:highlight w:val="none"/>
        </w:rPr>
        <w:t>及结算价</w:t>
      </w:r>
      <w:r>
        <w:rPr>
          <w:rFonts w:hint="eastAsia" w:cs="宋体"/>
          <w:color w:val="auto"/>
          <w:highlight w:val="none"/>
        </w:rPr>
        <w:t>表（表</w:t>
      </w:r>
      <w:r>
        <w:rPr>
          <w:color w:val="auto"/>
          <w:highlight w:val="none"/>
        </w:rPr>
        <w:t>12-3</w:t>
      </w:r>
      <w:r>
        <w:rPr>
          <w:rFonts w:hint="eastAsia" w:cs="宋体"/>
          <w:color w:val="auto"/>
          <w:highlight w:val="none"/>
        </w:rPr>
        <w:t>）</w:t>
      </w:r>
    </w:p>
    <w:p w14:paraId="124BEC7B">
      <w:pPr>
        <w:spacing w:line="360" w:lineRule="auto"/>
        <w:ind w:firstLine="630" w:firstLineChars="300"/>
        <w:jc w:val="left"/>
        <w:rPr>
          <w:color w:val="auto"/>
          <w:highlight w:val="none"/>
        </w:rPr>
      </w:pPr>
      <w:r>
        <w:rPr>
          <w:color w:val="auto"/>
          <w:highlight w:val="none"/>
        </w:rPr>
        <w:t xml:space="preserve">1.13 </w:t>
      </w:r>
      <w:r>
        <w:rPr>
          <w:rFonts w:hint="eastAsia" w:cs="宋体"/>
          <w:color w:val="auto"/>
          <w:highlight w:val="none"/>
        </w:rPr>
        <w:t>计日工表（表</w:t>
      </w:r>
      <w:r>
        <w:rPr>
          <w:color w:val="auto"/>
          <w:highlight w:val="none"/>
        </w:rPr>
        <w:t>12-4</w:t>
      </w:r>
      <w:r>
        <w:rPr>
          <w:rFonts w:hint="eastAsia" w:cs="宋体"/>
          <w:color w:val="auto"/>
          <w:highlight w:val="none"/>
        </w:rPr>
        <w:t>）</w:t>
      </w:r>
    </w:p>
    <w:p w14:paraId="4FFD94C1">
      <w:pPr>
        <w:spacing w:line="360" w:lineRule="auto"/>
        <w:ind w:firstLine="630" w:firstLineChars="300"/>
        <w:jc w:val="left"/>
        <w:rPr>
          <w:color w:val="auto"/>
          <w:highlight w:val="none"/>
        </w:rPr>
      </w:pPr>
      <w:r>
        <w:rPr>
          <w:color w:val="auto"/>
          <w:highlight w:val="none"/>
        </w:rPr>
        <w:t xml:space="preserve">1.14 </w:t>
      </w:r>
      <w:r>
        <w:rPr>
          <w:rFonts w:hint="eastAsia" w:cs="宋体"/>
          <w:color w:val="auto"/>
          <w:highlight w:val="none"/>
        </w:rPr>
        <w:t>总承包服务费计价表（表</w:t>
      </w:r>
      <w:r>
        <w:rPr>
          <w:color w:val="auto"/>
          <w:highlight w:val="none"/>
        </w:rPr>
        <w:t>12-5</w:t>
      </w:r>
      <w:r>
        <w:rPr>
          <w:rFonts w:hint="eastAsia" w:cs="宋体"/>
          <w:color w:val="auto"/>
          <w:highlight w:val="none"/>
        </w:rPr>
        <w:t>）</w:t>
      </w:r>
    </w:p>
    <w:p w14:paraId="550D7076">
      <w:pPr>
        <w:spacing w:line="360" w:lineRule="auto"/>
        <w:ind w:firstLine="630" w:firstLineChars="300"/>
        <w:jc w:val="left"/>
        <w:rPr>
          <w:color w:val="auto"/>
          <w:highlight w:val="none"/>
        </w:rPr>
      </w:pPr>
      <w:r>
        <w:rPr>
          <w:color w:val="auto"/>
          <w:highlight w:val="none"/>
        </w:rPr>
        <w:t xml:space="preserve">1.15 </w:t>
      </w:r>
      <w:r>
        <w:rPr>
          <w:rFonts w:hint="eastAsia" w:cs="宋体"/>
          <w:color w:val="auto"/>
          <w:highlight w:val="none"/>
        </w:rPr>
        <w:t>税前项目清单与计价表（表</w:t>
      </w:r>
      <w:r>
        <w:rPr>
          <w:color w:val="auto"/>
          <w:highlight w:val="none"/>
        </w:rPr>
        <w:t>-14</w:t>
      </w:r>
      <w:r>
        <w:rPr>
          <w:rFonts w:hint="eastAsia" w:cs="宋体"/>
          <w:color w:val="auto"/>
          <w:highlight w:val="none"/>
        </w:rPr>
        <w:t>）</w:t>
      </w:r>
    </w:p>
    <w:p w14:paraId="7687EC24">
      <w:pPr>
        <w:spacing w:line="360" w:lineRule="auto"/>
        <w:ind w:firstLine="630" w:firstLineChars="300"/>
        <w:jc w:val="left"/>
        <w:rPr>
          <w:color w:val="auto"/>
          <w:highlight w:val="none"/>
        </w:rPr>
      </w:pPr>
      <w:r>
        <w:rPr>
          <w:color w:val="auto"/>
          <w:highlight w:val="none"/>
        </w:rPr>
        <w:t xml:space="preserve">1.16 </w:t>
      </w:r>
      <w:r>
        <w:rPr>
          <w:rFonts w:hint="eastAsia" w:cs="宋体"/>
          <w:color w:val="auto"/>
          <w:highlight w:val="none"/>
        </w:rPr>
        <w:t>规费、增值税计价表（表</w:t>
      </w:r>
      <w:r>
        <w:rPr>
          <w:color w:val="auto"/>
          <w:highlight w:val="none"/>
        </w:rPr>
        <w:t>-15</w:t>
      </w:r>
      <w:r>
        <w:rPr>
          <w:rFonts w:hint="eastAsia" w:cs="宋体"/>
          <w:color w:val="auto"/>
          <w:highlight w:val="none"/>
        </w:rPr>
        <w:t>）</w:t>
      </w:r>
    </w:p>
    <w:p w14:paraId="4937A5BD">
      <w:pPr>
        <w:spacing w:line="360" w:lineRule="auto"/>
        <w:ind w:firstLine="630" w:firstLineChars="300"/>
        <w:jc w:val="left"/>
        <w:rPr>
          <w:color w:val="auto"/>
          <w:highlight w:val="none"/>
        </w:rPr>
      </w:pPr>
      <w:r>
        <w:rPr>
          <w:color w:val="auto"/>
          <w:highlight w:val="none"/>
        </w:rPr>
        <w:t xml:space="preserve">1.17 </w:t>
      </w:r>
      <w:r>
        <w:rPr>
          <w:rFonts w:hint="eastAsia" w:cs="宋体"/>
          <w:color w:val="auto"/>
          <w:highlight w:val="none"/>
        </w:rPr>
        <w:t>发包人提供主要材料和工程设备一览表（表</w:t>
      </w:r>
      <w:r>
        <w:rPr>
          <w:color w:val="auto"/>
          <w:highlight w:val="none"/>
        </w:rPr>
        <w:t>-21</w:t>
      </w:r>
      <w:r>
        <w:rPr>
          <w:rFonts w:hint="eastAsia" w:cs="宋体"/>
          <w:color w:val="auto"/>
          <w:highlight w:val="none"/>
        </w:rPr>
        <w:t>）</w:t>
      </w:r>
    </w:p>
    <w:p w14:paraId="2FEF27AC">
      <w:pPr>
        <w:spacing w:line="360" w:lineRule="auto"/>
        <w:ind w:firstLine="630" w:firstLineChars="300"/>
        <w:jc w:val="left"/>
        <w:rPr>
          <w:color w:val="auto"/>
          <w:highlight w:val="none"/>
        </w:rPr>
      </w:pPr>
      <w:r>
        <w:rPr>
          <w:color w:val="auto"/>
          <w:highlight w:val="none"/>
        </w:rPr>
        <w:t xml:space="preserve">1.18 </w:t>
      </w:r>
      <w:r>
        <w:rPr>
          <w:rFonts w:hint="eastAsia" w:cs="宋体"/>
          <w:color w:val="auto"/>
          <w:highlight w:val="none"/>
        </w:rPr>
        <w:t>允许调整主要材料和工程设备一览表（适用于造价信息差额调整法）（表</w:t>
      </w:r>
      <w:r>
        <w:rPr>
          <w:color w:val="auto"/>
          <w:highlight w:val="none"/>
        </w:rPr>
        <w:t>-22</w:t>
      </w:r>
      <w:r>
        <w:rPr>
          <w:rFonts w:hint="eastAsia" w:cs="宋体"/>
          <w:color w:val="auto"/>
          <w:highlight w:val="none"/>
        </w:rPr>
        <w:t>）</w:t>
      </w:r>
    </w:p>
    <w:p w14:paraId="6E340349">
      <w:pPr>
        <w:spacing w:line="360" w:lineRule="auto"/>
        <w:ind w:firstLine="630" w:firstLineChars="300"/>
        <w:jc w:val="left"/>
        <w:rPr>
          <w:rFonts w:hint="eastAsia" w:cs="宋体"/>
          <w:color w:val="auto"/>
          <w:highlight w:val="none"/>
        </w:rPr>
      </w:pPr>
      <w:r>
        <w:rPr>
          <w:color w:val="auto"/>
          <w:highlight w:val="none"/>
        </w:rPr>
        <w:t>1.19</w:t>
      </w:r>
      <w:r>
        <w:rPr>
          <w:rFonts w:hint="eastAsia" w:cs="宋体"/>
          <w:color w:val="auto"/>
          <w:highlight w:val="none"/>
        </w:rPr>
        <w:t>允许调整主要材料和工程设备一览表（适用于价格指数差额调整法）（表</w:t>
      </w:r>
      <w:r>
        <w:rPr>
          <w:color w:val="auto"/>
          <w:highlight w:val="none"/>
        </w:rPr>
        <w:t>-23</w:t>
      </w:r>
      <w:r>
        <w:rPr>
          <w:rFonts w:hint="eastAsia" w:cs="宋体"/>
          <w:color w:val="auto"/>
          <w:highlight w:val="none"/>
        </w:rPr>
        <w:t>）</w:t>
      </w:r>
    </w:p>
    <w:p w14:paraId="26A15F80">
      <w:pPr>
        <w:spacing w:line="360" w:lineRule="auto"/>
        <w:ind w:firstLine="630" w:firstLineChars="300"/>
        <w:jc w:val="left"/>
        <w:rPr>
          <w:rFonts w:hint="eastAsia" w:cs="宋体"/>
          <w:color w:val="auto"/>
          <w:highlight w:val="none"/>
        </w:rPr>
      </w:pPr>
      <w:r>
        <w:rPr>
          <w:rFonts w:hint="eastAsia" w:cs="宋体"/>
          <w:color w:val="auto"/>
          <w:highlight w:val="none"/>
        </w:rPr>
        <w:t>1.20本工程</w:t>
      </w:r>
      <w:r>
        <w:rPr>
          <w:rFonts w:cs="宋体"/>
          <w:color w:val="auto"/>
          <w:highlight w:val="none"/>
          <w:lang w:val="en"/>
        </w:rPr>
        <w:t>材料和工程设备</w:t>
      </w:r>
      <w:r>
        <w:rPr>
          <w:rFonts w:hint="eastAsia" w:cs="宋体"/>
          <w:color w:val="auto"/>
          <w:highlight w:val="none"/>
        </w:rPr>
        <w:t>一览表（表-24）</w:t>
      </w:r>
    </w:p>
    <w:p w14:paraId="556C46EC">
      <w:pPr>
        <w:spacing w:line="360" w:lineRule="auto"/>
        <w:ind w:firstLine="630" w:firstLineChars="300"/>
        <w:jc w:val="left"/>
        <w:rPr>
          <w:rFonts w:cs="宋体"/>
          <w:color w:val="auto"/>
          <w:highlight w:val="none"/>
        </w:rPr>
      </w:pPr>
      <w:r>
        <w:rPr>
          <w:rFonts w:hint="eastAsia" w:cs="宋体"/>
          <w:color w:val="auto"/>
          <w:highlight w:val="none"/>
        </w:rPr>
        <w:t>注：如本工程在合同中约定采用造价信息价差调整法，1.</w:t>
      </w:r>
      <w:r>
        <w:rPr>
          <w:color w:val="auto"/>
          <w:highlight w:val="none"/>
        </w:rPr>
        <w:t xml:space="preserve">18 </w:t>
      </w:r>
      <w:r>
        <w:rPr>
          <w:rFonts w:cs="宋体"/>
          <w:color w:val="auto"/>
          <w:highlight w:val="none"/>
          <w:lang w:val="en"/>
        </w:rPr>
        <w:t>允许调整</w:t>
      </w:r>
      <w:r>
        <w:rPr>
          <w:rFonts w:hint="eastAsia" w:cs="宋体"/>
          <w:color w:val="auto"/>
          <w:highlight w:val="none"/>
        </w:rPr>
        <w:t>主要材料和工程设备一览表（适用于造价信息差额调整法）（表</w:t>
      </w:r>
      <w:r>
        <w:rPr>
          <w:color w:val="auto"/>
          <w:highlight w:val="none"/>
        </w:rPr>
        <w:t>-22</w:t>
      </w:r>
      <w:r>
        <w:rPr>
          <w:rFonts w:hint="eastAsia" w:cs="宋体"/>
          <w:color w:val="auto"/>
          <w:highlight w:val="none"/>
        </w:rPr>
        <w:t>）载明的主要材料和工程设备为本工程允许调整材料和工程设备，工程量清单必须提供该表格，并应载明允许调整材料和工程设备名称型号规格、单位、风险系数、基准单价等内容，且不能提供空白表。</w:t>
      </w:r>
    </w:p>
    <w:p w14:paraId="647B1D6A">
      <w:pPr>
        <w:spacing w:line="360" w:lineRule="auto"/>
        <w:ind w:firstLine="630" w:firstLineChars="300"/>
        <w:jc w:val="left"/>
        <w:rPr>
          <w:color w:val="auto"/>
          <w:highlight w:val="none"/>
        </w:rPr>
      </w:pPr>
      <w:r>
        <w:rPr>
          <w:rFonts w:hint="eastAsia" w:cs="宋体"/>
          <w:color w:val="auto"/>
          <w:highlight w:val="none"/>
        </w:rPr>
        <w:t>以下表格视工程实际需要选用，如该工程不发生如下表格相关项目和费用，所编制工程量清单则不需列入相应表格：</w:t>
      </w:r>
    </w:p>
    <w:p w14:paraId="22C2C754">
      <w:pPr>
        <w:spacing w:line="360" w:lineRule="auto"/>
        <w:ind w:firstLine="630" w:firstLineChars="300"/>
        <w:jc w:val="left"/>
        <w:rPr>
          <w:color w:val="auto"/>
          <w:highlight w:val="none"/>
        </w:rPr>
      </w:pPr>
      <w:r>
        <w:rPr>
          <w:rFonts w:hint="eastAsia" w:ascii="宋体" w:hAnsi="宋体" w:cs="宋体"/>
          <w:color w:val="auto"/>
          <w:highlight w:val="none"/>
        </w:rPr>
        <w:t>①</w:t>
      </w:r>
      <w:r>
        <w:rPr>
          <w:rFonts w:hint="eastAsia" w:cs="宋体"/>
          <w:color w:val="auto"/>
          <w:highlight w:val="none"/>
        </w:rPr>
        <w:t>建设项目投标报价汇总表（表</w:t>
      </w:r>
      <w:r>
        <w:rPr>
          <w:color w:val="auto"/>
          <w:highlight w:val="none"/>
        </w:rPr>
        <w:t>-02</w:t>
      </w:r>
      <w:r>
        <w:rPr>
          <w:rFonts w:hint="eastAsia" w:cs="宋体"/>
          <w:color w:val="auto"/>
          <w:highlight w:val="none"/>
        </w:rPr>
        <w:t>）</w:t>
      </w:r>
    </w:p>
    <w:p w14:paraId="5D22C17A">
      <w:pPr>
        <w:spacing w:line="360" w:lineRule="auto"/>
        <w:ind w:firstLine="630" w:firstLineChars="300"/>
        <w:jc w:val="left"/>
        <w:rPr>
          <w:color w:val="auto"/>
          <w:highlight w:val="none"/>
        </w:rPr>
      </w:pPr>
      <w:r>
        <w:rPr>
          <w:rFonts w:hint="eastAsia" w:cs="宋体"/>
          <w:color w:val="auto"/>
          <w:highlight w:val="none"/>
        </w:rPr>
        <w:t>②暂列金额明细表（表</w:t>
      </w:r>
      <w:r>
        <w:rPr>
          <w:color w:val="auto"/>
          <w:highlight w:val="none"/>
        </w:rPr>
        <w:t>12-1</w:t>
      </w:r>
      <w:r>
        <w:rPr>
          <w:rFonts w:hint="eastAsia" w:cs="宋体"/>
          <w:color w:val="auto"/>
          <w:highlight w:val="none"/>
        </w:rPr>
        <w:t>）</w:t>
      </w:r>
    </w:p>
    <w:p w14:paraId="33822D0A">
      <w:pPr>
        <w:spacing w:line="360" w:lineRule="auto"/>
        <w:ind w:firstLine="630" w:firstLineChars="300"/>
        <w:jc w:val="left"/>
        <w:rPr>
          <w:color w:val="auto"/>
          <w:highlight w:val="none"/>
        </w:rPr>
      </w:pPr>
      <w:r>
        <w:rPr>
          <w:rFonts w:hint="eastAsia" w:cs="宋体"/>
          <w:color w:val="auto"/>
          <w:highlight w:val="none"/>
        </w:rPr>
        <w:t>③材料（工程设备）暂估单价及调整表（表</w:t>
      </w:r>
      <w:r>
        <w:rPr>
          <w:color w:val="auto"/>
          <w:highlight w:val="none"/>
        </w:rPr>
        <w:t>12-2</w:t>
      </w:r>
      <w:r>
        <w:rPr>
          <w:rFonts w:hint="eastAsia" w:cs="宋体"/>
          <w:color w:val="auto"/>
          <w:highlight w:val="none"/>
        </w:rPr>
        <w:t>）</w:t>
      </w:r>
    </w:p>
    <w:p w14:paraId="1F592FF4">
      <w:pPr>
        <w:spacing w:line="360" w:lineRule="auto"/>
        <w:ind w:firstLine="630" w:firstLineChars="300"/>
        <w:jc w:val="left"/>
        <w:rPr>
          <w:color w:val="auto"/>
          <w:highlight w:val="none"/>
        </w:rPr>
      </w:pPr>
      <w:r>
        <w:rPr>
          <w:rFonts w:hint="eastAsia" w:cs="宋体"/>
          <w:color w:val="auto"/>
          <w:highlight w:val="none"/>
        </w:rPr>
        <w:t>④专业工程暂估价表（表</w:t>
      </w:r>
      <w:r>
        <w:rPr>
          <w:color w:val="auto"/>
          <w:highlight w:val="none"/>
        </w:rPr>
        <w:t>12-3</w:t>
      </w:r>
      <w:r>
        <w:rPr>
          <w:rFonts w:hint="eastAsia" w:cs="宋体"/>
          <w:color w:val="auto"/>
          <w:highlight w:val="none"/>
        </w:rPr>
        <w:t>）</w:t>
      </w:r>
    </w:p>
    <w:p w14:paraId="78F6CE20">
      <w:pPr>
        <w:spacing w:line="360" w:lineRule="auto"/>
        <w:ind w:firstLine="630" w:firstLineChars="300"/>
        <w:jc w:val="left"/>
        <w:rPr>
          <w:color w:val="auto"/>
          <w:highlight w:val="none"/>
        </w:rPr>
      </w:pPr>
      <w:r>
        <w:rPr>
          <w:rFonts w:hint="eastAsia" w:cs="宋体"/>
          <w:color w:val="auto"/>
          <w:highlight w:val="none"/>
        </w:rPr>
        <w:t>⑤计日工表（表</w:t>
      </w:r>
      <w:r>
        <w:rPr>
          <w:color w:val="auto"/>
          <w:highlight w:val="none"/>
        </w:rPr>
        <w:t>12-4</w:t>
      </w:r>
      <w:r>
        <w:rPr>
          <w:rFonts w:hint="eastAsia" w:cs="宋体"/>
          <w:color w:val="auto"/>
          <w:highlight w:val="none"/>
        </w:rPr>
        <w:t>）</w:t>
      </w:r>
    </w:p>
    <w:p w14:paraId="3C858897">
      <w:pPr>
        <w:spacing w:line="360" w:lineRule="auto"/>
        <w:ind w:firstLine="630" w:firstLineChars="300"/>
        <w:jc w:val="left"/>
        <w:rPr>
          <w:color w:val="auto"/>
          <w:highlight w:val="none"/>
        </w:rPr>
      </w:pPr>
      <w:r>
        <w:rPr>
          <w:rFonts w:hint="eastAsia" w:cs="宋体"/>
          <w:color w:val="auto"/>
          <w:highlight w:val="none"/>
        </w:rPr>
        <w:t>⑥总承包服务费计价表（表</w:t>
      </w:r>
      <w:r>
        <w:rPr>
          <w:color w:val="auto"/>
          <w:highlight w:val="none"/>
        </w:rPr>
        <w:t>12-5</w:t>
      </w:r>
      <w:r>
        <w:rPr>
          <w:rFonts w:hint="eastAsia" w:cs="宋体"/>
          <w:color w:val="auto"/>
          <w:highlight w:val="none"/>
        </w:rPr>
        <w:t>）</w:t>
      </w:r>
    </w:p>
    <w:p w14:paraId="54AC52B5">
      <w:pPr>
        <w:spacing w:line="360" w:lineRule="auto"/>
        <w:ind w:firstLine="630" w:firstLineChars="300"/>
        <w:jc w:val="left"/>
        <w:rPr>
          <w:rFonts w:cs="宋体"/>
          <w:color w:val="auto"/>
          <w:highlight w:val="none"/>
        </w:rPr>
      </w:pPr>
      <w:r>
        <w:rPr>
          <w:rFonts w:hint="eastAsia" w:cs="宋体"/>
          <w:color w:val="auto"/>
          <w:highlight w:val="none"/>
        </w:rPr>
        <w:t>⑦税前项目清单与计价表（表</w:t>
      </w:r>
      <w:r>
        <w:rPr>
          <w:color w:val="auto"/>
          <w:highlight w:val="none"/>
        </w:rPr>
        <w:t>-14</w:t>
      </w:r>
      <w:r>
        <w:rPr>
          <w:rFonts w:hint="eastAsia" w:cs="宋体"/>
          <w:color w:val="auto"/>
          <w:highlight w:val="none"/>
        </w:rPr>
        <w:t>）</w:t>
      </w:r>
    </w:p>
    <w:p w14:paraId="15CA5E12">
      <w:pPr>
        <w:spacing w:line="360" w:lineRule="auto"/>
        <w:ind w:firstLine="630" w:firstLineChars="300"/>
        <w:rPr>
          <w:rFonts w:hint="eastAsia"/>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8 \* GB3</w:instrText>
      </w:r>
      <w:r>
        <w:rPr>
          <w:color w:val="auto"/>
          <w:highlight w:val="none"/>
        </w:rPr>
        <w:instrText xml:space="preserve"> </w:instrText>
      </w:r>
      <w:r>
        <w:rPr>
          <w:color w:val="auto"/>
          <w:highlight w:val="none"/>
        </w:rPr>
        <w:fldChar w:fldCharType="separate"/>
      </w:r>
      <w:r>
        <w:rPr>
          <w:rFonts w:hint="eastAsia"/>
          <w:color w:val="auto"/>
          <w:highlight w:val="none"/>
        </w:rPr>
        <w:t>⑧</w:t>
      </w:r>
      <w:r>
        <w:rPr>
          <w:color w:val="auto"/>
          <w:highlight w:val="none"/>
        </w:rPr>
        <w:fldChar w:fldCharType="end"/>
      </w:r>
      <w:r>
        <w:rPr>
          <w:color w:val="auto"/>
          <w:highlight w:val="none"/>
        </w:rPr>
        <w:t xml:space="preserve"> </w:t>
      </w:r>
      <w:r>
        <w:rPr>
          <w:rFonts w:hint="eastAsia" w:cs="宋体"/>
          <w:color w:val="auto"/>
          <w:highlight w:val="none"/>
        </w:rPr>
        <w:t>允许调整主要材料和工程设备一览表（适用于价格指数差额调整法）（表</w:t>
      </w:r>
      <w:r>
        <w:rPr>
          <w:color w:val="auto"/>
          <w:highlight w:val="none"/>
        </w:rPr>
        <w:t>-23</w:t>
      </w:r>
      <w:r>
        <w:rPr>
          <w:rFonts w:hint="eastAsia" w:cs="宋体"/>
          <w:color w:val="auto"/>
          <w:highlight w:val="none"/>
        </w:rPr>
        <w:t>）</w:t>
      </w:r>
    </w:p>
    <w:p w14:paraId="7B51BA2B">
      <w:pPr>
        <w:pStyle w:val="4"/>
        <w:spacing w:before="0" w:after="0" w:line="360" w:lineRule="auto"/>
        <w:rPr>
          <w:color w:val="auto"/>
          <w:highlight w:val="none"/>
        </w:rPr>
      </w:pPr>
      <w:bookmarkStart w:id="78" w:name="_Toc122424251"/>
      <w:bookmarkStart w:id="79" w:name="_Toc990933621"/>
      <w:bookmarkStart w:id="80" w:name="_Toc78449870"/>
      <w:bookmarkStart w:id="81" w:name="_Toc122424002"/>
      <w:bookmarkStart w:id="82" w:name="_Toc407135285"/>
      <w:bookmarkStart w:id="83" w:name="_Toc347872619"/>
      <w:r>
        <w:rPr>
          <w:color w:val="auto"/>
          <w:highlight w:val="none"/>
        </w:rPr>
        <w:t>2</w:t>
      </w:r>
      <w:r>
        <w:rPr>
          <w:rFonts w:hint="eastAsia"/>
          <w:color w:val="auto"/>
          <w:highlight w:val="none"/>
        </w:rPr>
        <w:t>.</w:t>
      </w:r>
      <w:r>
        <w:rPr>
          <w:rFonts w:hint="eastAsia" w:cs="黑体"/>
          <w:color w:val="auto"/>
          <w:highlight w:val="none"/>
        </w:rPr>
        <w:t>招标控制价编制说明</w:t>
      </w:r>
      <w:bookmarkEnd w:id="78"/>
      <w:bookmarkEnd w:id="79"/>
      <w:bookmarkEnd w:id="80"/>
      <w:bookmarkEnd w:id="81"/>
      <w:bookmarkEnd w:id="82"/>
      <w:bookmarkEnd w:id="83"/>
    </w:p>
    <w:p w14:paraId="590EB394">
      <w:pPr>
        <w:spacing w:line="360" w:lineRule="auto"/>
        <w:ind w:firstLine="420" w:firstLineChars="200"/>
        <w:rPr>
          <w:color w:val="auto"/>
          <w:highlight w:val="none"/>
        </w:rPr>
      </w:pPr>
      <w:r>
        <w:rPr>
          <w:color w:val="auto"/>
          <w:highlight w:val="none"/>
        </w:rPr>
        <w:t xml:space="preserve">2.1 </w:t>
      </w:r>
      <w:r>
        <w:rPr>
          <w:rFonts w:hint="eastAsia" w:hAnsi="宋体" w:cs="宋体"/>
          <w:color w:val="auto"/>
          <w:highlight w:val="none"/>
        </w:rPr>
        <w:t>招标控制价编制依据：</w:t>
      </w:r>
    </w:p>
    <w:p w14:paraId="0492351A">
      <w:pPr>
        <w:spacing w:line="360" w:lineRule="auto"/>
        <w:ind w:firstLine="420" w:firstLineChars="200"/>
        <w:rPr>
          <w:rFonts w:hAnsi="宋体"/>
          <w:color w:val="auto"/>
          <w:highlight w:val="none"/>
        </w:rPr>
      </w:pPr>
      <w:r>
        <w:rPr>
          <w:rFonts w:hint="eastAsia" w:cs="宋体"/>
          <w:color w:val="auto"/>
          <w:highlight w:val="none"/>
        </w:rPr>
        <w:t>（</w:t>
      </w:r>
      <w:r>
        <w:rPr>
          <w:color w:val="auto"/>
          <w:highlight w:val="none"/>
        </w:rPr>
        <w:t>1</w:t>
      </w:r>
      <w:r>
        <w:rPr>
          <w:rFonts w:hint="eastAsia" w:cs="宋体"/>
          <w:color w:val="auto"/>
          <w:highlight w:val="none"/>
        </w:rPr>
        <w:t>）</w:t>
      </w:r>
      <w:r>
        <w:rPr>
          <w:rFonts w:hint="eastAsia" w:hAnsi="宋体" w:cs="宋体"/>
          <w:color w:val="auto"/>
          <w:highlight w:val="none"/>
        </w:rPr>
        <w:t>《计价规范》及《计算规范》、</w:t>
      </w:r>
      <w:r>
        <w:rPr>
          <w:rFonts w:hint="eastAsia" w:hAnsi="宋体" w:cs="宋体"/>
          <w:color w:val="auto"/>
          <w:kern w:val="0"/>
          <w:highlight w:val="none"/>
        </w:rPr>
        <w:t>《关于建筑业实施营业税改征增值税后广西壮族自治区建设工程计价依据调整的通知》 （桂建标〔</w:t>
      </w:r>
      <w:r>
        <w:rPr>
          <w:rFonts w:hAnsi="宋体"/>
          <w:color w:val="auto"/>
          <w:kern w:val="0"/>
          <w:highlight w:val="none"/>
        </w:rPr>
        <w:t>2016</w:t>
      </w:r>
      <w:r>
        <w:rPr>
          <w:rFonts w:hint="eastAsia" w:hAnsi="宋体" w:cs="宋体"/>
          <w:color w:val="auto"/>
          <w:kern w:val="0"/>
          <w:highlight w:val="none"/>
        </w:rPr>
        <w:t>〕</w:t>
      </w:r>
      <w:r>
        <w:rPr>
          <w:rFonts w:hAnsi="宋体"/>
          <w:color w:val="auto"/>
          <w:kern w:val="0"/>
          <w:highlight w:val="none"/>
        </w:rPr>
        <w:t>17</w:t>
      </w:r>
      <w:r>
        <w:rPr>
          <w:rFonts w:hint="eastAsia" w:hAnsi="宋体" w:cs="宋体"/>
          <w:color w:val="auto"/>
          <w:kern w:val="0"/>
          <w:highlight w:val="none"/>
        </w:rPr>
        <w:t>号）等</w:t>
      </w:r>
      <w:r>
        <w:rPr>
          <w:rFonts w:hint="eastAsia" w:hAnsi="宋体" w:cs="宋体"/>
          <w:color w:val="auto"/>
          <w:highlight w:val="none"/>
        </w:rPr>
        <w:t>；</w:t>
      </w:r>
    </w:p>
    <w:p w14:paraId="263E6091">
      <w:pPr>
        <w:spacing w:line="360" w:lineRule="auto"/>
        <w:rPr>
          <w:rFonts w:hint="eastAsia" w:ascii="宋体" w:hAnsi="宋体" w:eastAsia="宋体" w:cs="宋体"/>
          <w:b/>
          <w:bCs/>
          <w:color w:val="auto"/>
          <w:highlight w:val="none"/>
        </w:rPr>
      </w:pPr>
      <w:r>
        <w:rPr>
          <w:rFonts w:hint="eastAsia" w:cs="宋体"/>
          <w:color w:val="auto"/>
          <w:highlight w:val="none"/>
        </w:rPr>
        <w:t>（</w:t>
      </w:r>
      <w:r>
        <w:rPr>
          <w:color w:val="auto"/>
          <w:highlight w:val="none"/>
        </w:rPr>
        <w:t>2</w:t>
      </w:r>
      <w:r>
        <w:rPr>
          <w:rFonts w:hint="eastAsia" w:cs="宋体"/>
          <w:color w:val="auto"/>
          <w:highlight w:val="none"/>
        </w:rPr>
        <w:t>）自治区住房城乡建设行政主管部门颁发的计价定额及有关规定</w:t>
      </w:r>
      <w:r>
        <w:rPr>
          <w:rFonts w:hint="eastAsia" w:ascii="宋体" w:hAnsi="宋体" w:eastAsia="宋体" w:cs="宋体"/>
          <w:b/>
          <w:bCs/>
          <w:color w:val="auto"/>
          <w:highlight w:val="none"/>
        </w:rPr>
        <w:t>：《建设工程工程量清单计价规范》(GB50500-2013)和《&lt;建设工程工程量清单计价规范&gt;广西壮族自治区实施细则》、《建设工程工程量计算规范》广西壮族自治区实施细则（GB50854～50862-2013）（修订本）、2024年版《广西壮族自治区建筑工程拆除消耗量定额》、2024年版《广西壮族自治区建筑装饰装修工程消耗量定额》、2023年《广西壮族自治区安装工程消耗量定额》、2022年《广西壮族自治区市政工程消耗定额》、根据《关于调整建设工程定额人工费及有关费率的通知》(桂建标字[2023]7号)、《自治区住房城乡建设厅关于调整建设工程计价增值税税率的通知》（桂建标〔2019〕12号）、自治区住房城乡建设厅关于颁布2016年《广西壮族自治区建设工程费用定额》的通知(桂建标〔2016〕16号)</w:t>
      </w:r>
    </w:p>
    <w:p w14:paraId="3C04FFA5">
      <w:pPr>
        <w:spacing w:line="360" w:lineRule="auto"/>
        <w:ind w:firstLine="420" w:firstLineChars="200"/>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）建设工程设计文件及相关资料：</w:t>
      </w:r>
      <w:r>
        <w:rPr>
          <w:color w:val="auto"/>
          <w:highlight w:val="none"/>
          <w:u w:val="single"/>
        </w:rPr>
        <w:t xml:space="preserve">       </w:t>
      </w:r>
      <w:r>
        <w:rPr>
          <w:rFonts w:hint="eastAsia"/>
          <w:color w:val="auto"/>
          <w:highlight w:val="none"/>
          <w:u w:val="single"/>
        </w:rPr>
        <w:t>本项目施工图</w:t>
      </w:r>
      <w:r>
        <w:rPr>
          <w:color w:val="auto"/>
          <w:highlight w:val="none"/>
          <w:u w:val="single"/>
        </w:rPr>
        <w:t xml:space="preserve">        </w:t>
      </w:r>
      <w:r>
        <w:rPr>
          <w:rFonts w:hint="eastAsia" w:cs="宋体"/>
          <w:color w:val="auto"/>
          <w:highlight w:val="none"/>
        </w:rPr>
        <w:t>。</w:t>
      </w:r>
      <w:r>
        <w:rPr>
          <w:color w:val="auto"/>
          <w:highlight w:val="none"/>
        </w:rPr>
        <w:t xml:space="preserve"> </w:t>
      </w:r>
    </w:p>
    <w:p w14:paraId="4E22A537">
      <w:pPr>
        <w:spacing w:line="360" w:lineRule="auto"/>
        <w:ind w:firstLine="420" w:firstLineChars="200"/>
        <w:rPr>
          <w:color w:val="auto"/>
          <w:highlight w:val="none"/>
        </w:rPr>
      </w:pPr>
      <w:r>
        <w:rPr>
          <w:rFonts w:hint="eastAsia" w:cs="宋体"/>
          <w:color w:val="auto"/>
          <w:highlight w:val="none"/>
        </w:rPr>
        <w:t>（</w:t>
      </w:r>
      <w:r>
        <w:rPr>
          <w:color w:val="auto"/>
          <w:highlight w:val="none"/>
        </w:rPr>
        <w:t>4</w:t>
      </w:r>
      <w:r>
        <w:rPr>
          <w:rFonts w:hint="eastAsia" w:cs="宋体"/>
          <w:color w:val="auto"/>
          <w:highlight w:val="none"/>
        </w:rPr>
        <w:t>）本工程磋商文件及工程量清单；</w:t>
      </w:r>
    </w:p>
    <w:p w14:paraId="302CD3CE">
      <w:pPr>
        <w:spacing w:line="360" w:lineRule="auto"/>
        <w:ind w:firstLine="420" w:firstLineChars="200"/>
        <w:rPr>
          <w:color w:val="auto"/>
          <w:highlight w:val="none"/>
        </w:rPr>
      </w:pPr>
      <w:r>
        <w:rPr>
          <w:rFonts w:hint="eastAsia" w:cs="宋体"/>
          <w:color w:val="auto"/>
          <w:highlight w:val="none"/>
        </w:rPr>
        <w:t>（</w:t>
      </w:r>
      <w:r>
        <w:rPr>
          <w:color w:val="auto"/>
          <w:highlight w:val="none"/>
        </w:rPr>
        <w:t>5</w:t>
      </w:r>
      <w:r>
        <w:rPr>
          <w:rFonts w:hint="eastAsia" w:cs="宋体"/>
          <w:color w:val="auto"/>
          <w:highlight w:val="none"/>
        </w:rPr>
        <w:t>）与建设项目相关的标准、规范、技术资料；</w:t>
      </w:r>
    </w:p>
    <w:p w14:paraId="1DB90468">
      <w:pPr>
        <w:spacing w:line="360" w:lineRule="auto"/>
        <w:ind w:firstLine="420" w:firstLineChars="200"/>
        <w:rPr>
          <w:color w:val="auto"/>
          <w:highlight w:val="none"/>
        </w:rPr>
      </w:pPr>
      <w:r>
        <w:rPr>
          <w:rFonts w:hint="eastAsia" w:cs="宋体"/>
          <w:color w:val="auto"/>
          <w:highlight w:val="none"/>
        </w:rPr>
        <w:t>（</w:t>
      </w:r>
      <w:r>
        <w:rPr>
          <w:color w:val="auto"/>
          <w:highlight w:val="none"/>
        </w:rPr>
        <w:t>6</w:t>
      </w:r>
      <w:r>
        <w:rPr>
          <w:rFonts w:hint="eastAsia" w:cs="宋体"/>
          <w:color w:val="auto"/>
          <w:highlight w:val="none"/>
        </w:rPr>
        <w:t>）施工现场情况、工程特点及常规施工方案；</w:t>
      </w:r>
    </w:p>
    <w:p w14:paraId="4B195C86">
      <w:pPr>
        <w:spacing w:line="360" w:lineRule="auto"/>
        <w:ind w:firstLine="420" w:firstLineChars="200"/>
        <w:rPr>
          <w:rFonts w:hAnsi="宋体"/>
          <w:color w:val="auto"/>
          <w:highlight w:val="none"/>
        </w:rPr>
      </w:pPr>
      <w:r>
        <w:rPr>
          <w:rFonts w:hint="eastAsia" w:cs="宋体"/>
          <w:color w:val="auto"/>
          <w:highlight w:val="none"/>
        </w:rPr>
        <w:t>（</w:t>
      </w:r>
      <w:r>
        <w:rPr>
          <w:color w:val="auto"/>
          <w:highlight w:val="none"/>
        </w:rPr>
        <w:t>7</w:t>
      </w:r>
      <w:r>
        <w:rPr>
          <w:rFonts w:hint="eastAsia" w:cs="宋体"/>
          <w:color w:val="auto"/>
          <w:highlight w:val="none"/>
        </w:rPr>
        <w:t>）材料价格信息</w:t>
      </w:r>
      <w:r>
        <w:rPr>
          <w:rFonts w:hint="eastAsia" w:hAnsi="宋体" w:cs="宋体"/>
          <w:color w:val="auto"/>
          <w:highlight w:val="none"/>
        </w:rPr>
        <w:t>：材料价格主要按照</w:t>
      </w:r>
      <w:r>
        <w:rPr>
          <w:color w:val="auto"/>
          <w:highlight w:val="none"/>
          <w:u w:val="single"/>
        </w:rPr>
        <w:t xml:space="preserve"> </w:t>
      </w:r>
      <w:r>
        <w:rPr>
          <w:rFonts w:hint="eastAsia"/>
          <w:color w:val="auto"/>
          <w:highlight w:val="none"/>
          <w:u w:val="single"/>
        </w:rPr>
        <w:t>贵港</w:t>
      </w:r>
      <w:r>
        <w:rPr>
          <w:color w:val="auto"/>
          <w:highlight w:val="none"/>
          <w:u w:val="single"/>
        </w:rPr>
        <w:t xml:space="preserve"> </w:t>
      </w:r>
      <w:r>
        <w:rPr>
          <w:rFonts w:hint="eastAsia" w:cs="宋体"/>
          <w:color w:val="auto"/>
          <w:highlight w:val="none"/>
        </w:rPr>
        <w:t>市建设工程造价管理机构发布的工程造价信息</w:t>
      </w:r>
      <w:r>
        <w:rPr>
          <w:rFonts w:hint="eastAsia" w:ascii="宋体" w:hAnsi="宋体" w:eastAsia="宋体" w:cs="宋体"/>
          <w:b/>
          <w:bCs/>
          <w:color w:val="auto"/>
          <w:highlight w:val="none"/>
          <w:u w:val="single"/>
        </w:rPr>
        <w:t xml:space="preserve"> 2025 </w:t>
      </w:r>
      <w:r>
        <w:rPr>
          <w:rFonts w:hint="eastAsia" w:ascii="宋体" w:hAnsi="宋体" w:eastAsia="宋体" w:cs="宋体"/>
          <w:b/>
          <w:bCs/>
          <w:color w:val="auto"/>
          <w:highlight w:val="none"/>
        </w:rPr>
        <w:t>年第</w:t>
      </w:r>
      <w:r>
        <w:rPr>
          <w:rFonts w:hint="eastAsia" w:ascii="宋体" w:hAnsi="宋体" w:eastAsia="宋体" w:cs="宋体"/>
          <w:b/>
          <w:bCs/>
          <w:color w:val="auto"/>
          <w:highlight w:val="none"/>
          <w:u w:val="single"/>
        </w:rPr>
        <w:t xml:space="preserve"> </w:t>
      </w:r>
      <w:r>
        <w:rPr>
          <w:rFonts w:hint="eastAsia" w:ascii="宋体" w:hAnsi="宋体" w:cs="宋体"/>
          <w:b/>
          <w:bCs/>
          <w:color w:val="auto"/>
          <w:highlight w:val="none"/>
          <w:u w:val="single"/>
          <w:lang w:val="en-US" w:eastAsia="zh-CN"/>
        </w:rPr>
        <w:t>7</w:t>
      </w:r>
      <w:r>
        <w:rPr>
          <w:rFonts w:hint="eastAsia" w:ascii="宋体" w:hAnsi="宋体" w:eastAsia="宋体" w:cs="宋体"/>
          <w:b/>
          <w:bCs/>
          <w:color w:val="auto"/>
          <w:highlight w:val="none"/>
          <w:u w:val="single"/>
        </w:rPr>
        <w:t xml:space="preserve"> </w:t>
      </w:r>
      <w:r>
        <w:rPr>
          <w:rFonts w:hint="eastAsia" w:ascii="宋体" w:hAnsi="宋体" w:eastAsia="宋体" w:cs="宋体"/>
          <w:b/>
          <w:bCs/>
          <w:color w:val="auto"/>
          <w:highlight w:val="none"/>
        </w:rPr>
        <w:t>期</w:t>
      </w:r>
      <w:r>
        <w:rPr>
          <w:rFonts w:hint="eastAsia" w:ascii="宋体" w:hAnsi="宋体" w:eastAsia="宋体" w:cs="宋体"/>
          <w:color w:val="auto"/>
          <w:highlight w:val="none"/>
        </w:rPr>
        <w:t>，</w:t>
      </w:r>
      <w:r>
        <w:rPr>
          <w:rFonts w:hint="eastAsia" w:cs="宋体"/>
          <w:color w:val="auto"/>
          <w:highlight w:val="none"/>
        </w:rPr>
        <w:t>不足部分参考市场定价</w:t>
      </w:r>
      <w:r>
        <w:rPr>
          <w:rFonts w:hint="eastAsia" w:hAnsi="宋体" w:cs="宋体"/>
          <w:color w:val="auto"/>
          <w:highlight w:val="none"/>
        </w:rPr>
        <w:t>。</w:t>
      </w:r>
    </w:p>
    <w:p w14:paraId="5653043D">
      <w:pPr>
        <w:spacing w:line="360" w:lineRule="auto"/>
        <w:ind w:firstLine="420" w:firstLineChars="200"/>
        <w:rPr>
          <w:color w:val="auto"/>
          <w:highlight w:val="none"/>
        </w:rPr>
      </w:pPr>
      <w:r>
        <w:rPr>
          <w:color w:val="auto"/>
          <w:highlight w:val="none"/>
        </w:rPr>
        <w:t xml:space="preserve">2.2 </w:t>
      </w:r>
      <w:r>
        <w:rPr>
          <w:rFonts w:hint="eastAsia" w:hAnsi="宋体" w:cs="宋体"/>
          <w:color w:val="auto"/>
          <w:highlight w:val="none"/>
        </w:rPr>
        <w:t>分部分项及单价措施项目综合单价应包括磋商文件中采购人要求供应商所承担的风险内容及其范围（幅度）产生的风险费用。</w:t>
      </w:r>
    </w:p>
    <w:p w14:paraId="47AF0765">
      <w:pPr>
        <w:spacing w:line="360" w:lineRule="auto"/>
        <w:ind w:firstLine="420"/>
        <w:rPr>
          <w:color w:val="auto"/>
          <w:highlight w:val="none"/>
        </w:rPr>
      </w:pPr>
      <w:r>
        <w:rPr>
          <w:color w:val="auto"/>
          <w:highlight w:val="none"/>
        </w:rPr>
        <w:t xml:space="preserve">2.3 </w:t>
      </w:r>
      <w:r>
        <w:rPr>
          <w:rFonts w:hint="eastAsia" w:hAnsi="宋体" w:cs="宋体"/>
          <w:color w:val="auto"/>
          <w:highlight w:val="none"/>
        </w:rPr>
        <w:t>总价措施项目应根据拟定的磋商文件和常规施工方案按《计价规范》和《计算规范》规定编制。</w:t>
      </w:r>
    </w:p>
    <w:p w14:paraId="4507B1E0">
      <w:pPr>
        <w:spacing w:line="360" w:lineRule="auto"/>
        <w:ind w:firstLine="420" w:firstLineChars="200"/>
        <w:rPr>
          <w:color w:val="auto"/>
          <w:highlight w:val="none"/>
        </w:rPr>
      </w:pPr>
      <w:r>
        <w:rPr>
          <w:color w:val="auto"/>
          <w:highlight w:val="none"/>
        </w:rPr>
        <w:t xml:space="preserve">2.4 </w:t>
      </w:r>
      <w:r>
        <w:rPr>
          <w:rFonts w:hint="eastAsia" w:cs="宋体"/>
          <w:color w:val="auto"/>
          <w:highlight w:val="none"/>
        </w:rPr>
        <w:t>其他项目费应按下列规定报价：</w:t>
      </w:r>
    </w:p>
    <w:p w14:paraId="5008B797">
      <w:pPr>
        <w:spacing w:line="360" w:lineRule="auto"/>
        <w:ind w:firstLine="420" w:firstLineChars="200"/>
        <w:rPr>
          <w:color w:val="auto"/>
          <w:highlight w:val="none"/>
        </w:rPr>
      </w:pPr>
      <w:r>
        <w:rPr>
          <w:rFonts w:hint="eastAsia" w:cs="宋体"/>
          <w:color w:val="auto"/>
          <w:highlight w:val="none"/>
        </w:rPr>
        <w:t>（</w:t>
      </w:r>
      <w:r>
        <w:rPr>
          <w:color w:val="auto"/>
          <w:highlight w:val="none"/>
        </w:rPr>
        <w:t>1</w:t>
      </w:r>
      <w:r>
        <w:rPr>
          <w:rFonts w:hint="eastAsia" w:cs="宋体"/>
          <w:color w:val="auto"/>
          <w:highlight w:val="none"/>
        </w:rPr>
        <w:t>）暂列金额应按工程量清单中列出的金额填写；</w:t>
      </w:r>
    </w:p>
    <w:p w14:paraId="2425D7D1">
      <w:pPr>
        <w:pStyle w:val="195"/>
        <w:spacing w:line="360" w:lineRule="auto"/>
        <w:ind w:firstLine="420" w:firstLineChars="200"/>
        <w:rPr>
          <w:color w:val="auto"/>
          <w:highlight w:val="none"/>
        </w:rPr>
      </w:pPr>
      <w:r>
        <w:rPr>
          <w:rFonts w:hint="eastAsia" w:cs="宋体"/>
          <w:color w:val="auto"/>
          <w:highlight w:val="none"/>
        </w:rPr>
        <w:t>（</w:t>
      </w:r>
      <w:r>
        <w:rPr>
          <w:color w:val="auto"/>
          <w:highlight w:val="none"/>
        </w:rPr>
        <w:t>2</w:t>
      </w:r>
      <w:r>
        <w:rPr>
          <w:rFonts w:hint="eastAsia" w:cs="宋体"/>
          <w:color w:val="auto"/>
          <w:highlight w:val="none"/>
        </w:rPr>
        <w:t>）材料、工程设备暂估价应按工程量清单中列出的单价计入综合单价；</w:t>
      </w:r>
    </w:p>
    <w:p w14:paraId="24F28927">
      <w:pPr>
        <w:spacing w:line="360" w:lineRule="auto"/>
        <w:ind w:firstLine="420" w:firstLineChars="200"/>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）专业工程暂估价应按工程量清单中列出的金额填写；</w:t>
      </w:r>
    </w:p>
    <w:p w14:paraId="3800ED71">
      <w:pPr>
        <w:spacing w:line="360" w:lineRule="auto"/>
        <w:ind w:firstLine="420" w:firstLineChars="200"/>
        <w:rPr>
          <w:color w:val="auto"/>
          <w:highlight w:val="none"/>
        </w:rPr>
      </w:pPr>
      <w:r>
        <w:rPr>
          <w:rFonts w:hint="eastAsia" w:cs="宋体"/>
          <w:color w:val="auto"/>
          <w:highlight w:val="none"/>
        </w:rPr>
        <w:t>（</w:t>
      </w:r>
      <w:r>
        <w:rPr>
          <w:color w:val="auto"/>
          <w:highlight w:val="none"/>
        </w:rPr>
        <w:t>4</w:t>
      </w:r>
      <w:r>
        <w:rPr>
          <w:rFonts w:hint="eastAsia" w:cs="宋体"/>
          <w:color w:val="auto"/>
          <w:highlight w:val="none"/>
        </w:rPr>
        <w:t>）计日工应按工程量清单中列出的项目和数量，根据工程特点和有关计价依据确定的综合单价计算；</w:t>
      </w:r>
    </w:p>
    <w:p w14:paraId="0697B3F2">
      <w:pPr>
        <w:spacing w:line="360" w:lineRule="auto"/>
        <w:ind w:firstLine="420" w:firstLineChars="200"/>
        <w:rPr>
          <w:rFonts w:cs="宋体"/>
          <w:color w:val="auto"/>
          <w:highlight w:val="none"/>
        </w:rPr>
      </w:pPr>
      <w:r>
        <w:rPr>
          <w:rFonts w:hint="eastAsia" w:cs="宋体"/>
          <w:color w:val="auto"/>
          <w:highlight w:val="none"/>
        </w:rPr>
        <w:t>（</w:t>
      </w:r>
      <w:r>
        <w:rPr>
          <w:color w:val="auto"/>
          <w:highlight w:val="none"/>
        </w:rPr>
        <w:t>5</w:t>
      </w:r>
      <w:r>
        <w:rPr>
          <w:rFonts w:hint="eastAsia" w:cs="宋体"/>
          <w:color w:val="auto"/>
          <w:highlight w:val="none"/>
        </w:rPr>
        <w:t>）总承包服务费应根据工程量清单列出的内容</w:t>
      </w:r>
      <w:r>
        <w:rPr>
          <w:rFonts w:hint="eastAsia" w:hAnsi="宋体" w:cs="宋体"/>
          <w:color w:val="auto"/>
          <w:highlight w:val="none"/>
        </w:rPr>
        <w:t>和要求，按自治区住房城乡建设行政主管部门颁发的计价定额及有关规定计算</w:t>
      </w:r>
      <w:r>
        <w:rPr>
          <w:rFonts w:hint="eastAsia" w:cs="宋体"/>
          <w:color w:val="auto"/>
          <w:highlight w:val="none"/>
        </w:rPr>
        <w:t>。</w:t>
      </w:r>
    </w:p>
    <w:p w14:paraId="3A81F60E">
      <w:pPr>
        <w:spacing w:line="360" w:lineRule="auto"/>
        <w:ind w:firstLine="420" w:firstLineChars="200"/>
        <w:rPr>
          <w:rFonts w:hint="eastAsia"/>
          <w:color w:val="auto"/>
          <w:highlight w:val="none"/>
        </w:rPr>
      </w:pPr>
      <w:r>
        <w:rPr>
          <w:rFonts w:hint="eastAsia"/>
          <w:color w:val="auto"/>
          <w:highlight w:val="none"/>
        </w:rPr>
        <w:t>（6）对建设单位创建优质工程的，鼓励在招标控制价和预算中按广西区工程建设定额规定计列工程优质费，并明确工程优质费不可竞争。</w:t>
      </w:r>
    </w:p>
    <w:p w14:paraId="4BF83AFA">
      <w:pPr>
        <w:spacing w:line="360" w:lineRule="auto"/>
        <w:ind w:firstLine="420" w:firstLineChars="200"/>
        <w:rPr>
          <w:color w:val="auto"/>
          <w:highlight w:val="none"/>
        </w:rPr>
      </w:pPr>
      <w:r>
        <w:rPr>
          <w:color w:val="auto"/>
          <w:highlight w:val="none"/>
        </w:rPr>
        <w:t xml:space="preserve">2.5 </w:t>
      </w:r>
      <w:r>
        <w:rPr>
          <w:rFonts w:hint="eastAsia" w:cs="宋体"/>
          <w:color w:val="auto"/>
          <w:highlight w:val="none"/>
        </w:rPr>
        <w:t>规费和增值税应按规定确定，作为不可竞争费用。</w:t>
      </w:r>
    </w:p>
    <w:p w14:paraId="0D124E45">
      <w:pPr>
        <w:spacing w:line="360" w:lineRule="auto"/>
        <w:rPr>
          <w:rFonts w:hAnsi="宋体"/>
          <w:color w:val="auto"/>
          <w:highlight w:val="none"/>
        </w:rPr>
      </w:pPr>
      <w:r>
        <w:rPr>
          <w:color w:val="auto"/>
          <w:highlight w:val="none"/>
        </w:rPr>
        <w:t xml:space="preserve">2.6 </w:t>
      </w:r>
      <w:r>
        <w:rPr>
          <w:rFonts w:hint="eastAsia" w:hAnsi="宋体" w:cs="宋体"/>
          <w:color w:val="auto"/>
          <w:highlight w:val="none"/>
        </w:rPr>
        <w:t>其它需要说明的问题：</w:t>
      </w:r>
      <w:r>
        <w:rPr>
          <w:color w:val="auto"/>
          <w:highlight w:val="none"/>
          <w:u w:val="single"/>
        </w:rPr>
        <w:t xml:space="preserve">   </w:t>
      </w:r>
      <w:r>
        <w:rPr>
          <w:rFonts w:hint="eastAsia"/>
          <w:color w:val="auto"/>
          <w:highlight w:val="none"/>
          <w:u w:val="single"/>
        </w:rPr>
        <w:t xml:space="preserve">/   </w:t>
      </w:r>
      <w:r>
        <w:rPr>
          <w:rFonts w:hint="eastAsia" w:hAnsi="宋体" w:cs="宋体"/>
          <w:color w:val="auto"/>
          <w:highlight w:val="none"/>
        </w:rPr>
        <w:t>。</w:t>
      </w:r>
    </w:p>
    <w:p w14:paraId="46762A13">
      <w:pPr>
        <w:pStyle w:val="4"/>
        <w:spacing w:before="0" w:after="0" w:line="360" w:lineRule="auto"/>
        <w:rPr>
          <w:color w:val="auto"/>
          <w:highlight w:val="none"/>
        </w:rPr>
      </w:pPr>
      <w:bookmarkStart w:id="84" w:name="_Toc78449871"/>
      <w:bookmarkStart w:id="85" w:name="_Toc122424003"/>
      <w:bookmarkStart w:id="86" w:name="_Toc122424252"/>
      <w:bookmarkStart w:id="87" w:name="_Toc378483916"/>
      <w:bookmarkStart w:id="88" w:name="_Toc879821176"/>
      <w:bookmarkStart w:id="89" w:name="_Toc407135286"/>
      <w:r>
        <w:rPr>
          <w:color w:val="auto"/>
          <w:highlight w:val="none"/>
        </w:rPr>
        <w:t>3</w:t>
      </w:r>
      <w:r>
        <w:rPr>
          <w:rFonts w:hint="eastAsia"/>
          <w:color w:val="auto"/>
          <w:highlight w:val="none"/>
        </w:rPr>
        <w:t>.</w:t>
      </w:r>
      <w:r>
        <w:rPr>
          <w:rFonts w:hint="eastAsia" w:cs="黑体"/>
          <w:color w:val="auto"/>
          <w:highlight w:val="none"/>
        </w:rPr>
        <w:t>竞标报价（已标价工程量清单）编制说明</w:t>
      </w:r>
      <w:bookmarkEnd w:id="84"/>
      <w:bookmarkEnd w:id="85"/>
      <w:bookmarkEnd w:id="86"/>
      <w:bookmarkEnd w:id="87"/>
      <w:bookmarkEnd w:id="88"/>
      <w:bookmarkEnd w:id="89"/>
    </w:p>
    <w:p w14:paraId="17AF4AE7">
      <w:pPr>
        <w:spacing w:line="360" w:lineRule="auto"/>
        <w:ind w:firstLine="420" w:firstLineChars="200"/>
        <w:rPr>
          <w:color w:val="auto"/>
          <w:highlight w:val="none"/>
        </w:rPr>
      </w:pPr>
      <w:r>
        <w:rPr>
          <w:color w:val="auto"/>
          <w:highlight w:val="none"/>
        </w:rPr>
        <w:t xml:space="preserve">3.1 </w:t>
      </w:r>
      <w:r>
        <w:rPr>
          <w:rFonts w:hint="eastAsia" w:cs="宋体"/>
          <w:color w:val="auto"/>
          <w:highlight w:val="none"/>
        </w:rPr>
        <w:t>供应商应依据磋商文件、工程量清单以及《计价规范》、《计算规范》自主报价，自主报价</w:t>
      </w:r>
      <w:r>
        <w:rPr>
          <w:rFonts w:hint="eastAsia" w:hAnsi="宋体" w:cs="宋体"/>
          <w:color w:val="auto"/>
          <w:highlight w:val="none"/>
        </w:rPr>
        <w:t>不得违反计价规范强制性条文规定。</w:t>
      </w:r>
      <w:r>
        <w:rPr>
          <w:rFonts w:hint="eastAsia" w:cs="宋体"/>
          <w:color w:val="auto"/>
          <w:highlight w:val="none"/>
        </w:rPr>
        <w:t>供应商不得采用总价让利或以百分比让利等形式进行报价，任何优惠（或降价、让利）均应反映在相应清单项目的综合单价中。同时，不得出现任意一项单价重大让利，</w:t>
      </w:r>
      <w:r>
        <w:rPr>
          <w:rFonts w:hint="eastAsia" w:hAnsi="宋体" w:cs="宋体"/>
          <w:color w:val="auto"/>
          <w:highlight w:val="none"/>
        </w:rPr>
        <w:t>不得以自有机械闲置、自有材料等不计成本为由</w:t>
      </w:r>
      <w:r>
        <w:rPr>
          <w:rFonts w:hint="eastAsia" w:cs="宋体"/>
          <w:color w:val="auto"/>
          <w:highlight w:val="none"/>
        </w:rPr>
        <w:t>低于工程成本报价。</w:t>
      </w:r>
    </w:p>
    <w:p w14:paraId="053AFC0F">
      <w:pPr>
        <w:spacing w:line="360" w:lineRule="auto"/>
        <w:ind w:firstLine="420" w:firstLineChars="200"/>
        <w:rPr>
          <w:rFonts w:hAnsi="宋体"/>
          <w:color w:val="auto"/>
          <w:highlight w:val="none"/>
        </w:rPr>
      </w:pPr>
      <w:r>
        <w:rPr>
          <w:color w:val="auto"/>
          <w:highlight w:val="none"/>
        </w:rPr>
        <w:t xml:space="preserve">3.2 </w:t>
      </w:r>
      <w:r>
        <w:rPr>
          <w:rFonts w:hint="eastAsia" w:cs="宋体"/>
          <w:color w:val="auto"/>
          <w:highlight w:val="none"/>
        </w:rPr>
        <w:t>供应商应按工程量清单填报价格。项目编码、项目名称、项目特征、计量单位、工程量必须与工程量清单一致，</w:t>
      </w:r>
      <w:r>
        <w:rPr>
          <w:rFonts w:hint="eastAsia" w:hAnsi="宋体" w:cs="宋体"/>
          <w:color w:val="auto"/>
          <w:highlight w:val="none"/>
        </w:rPr>
        <w:t>供应商不得对工程量清单项目进行增减调整。</w:t>
      </w:r>
    </w:p>
    <w:p w14:paraId="7A343231">
      <w:pPr>
        <w:spacing w:line="360" w:lineRule="auto"/>
        <w:ind w:firstLine="420" w:firstLineChars="200"/>
        <w:rPr>
          <w:color w:val="auto"/>
          <w:highlight w:val="none"/>
        </w:rPr>
      </w:pPr>
      <w:r>
        <w:rPr>
          <w:color w:val="auto"/>
          <w:highlight w:val="none"/>
        </w:rPr>
        <w:t xml:space="preserve">3.3 </w:t>
      </w:r>
      <w:r>
        <w:rPr>
          <w:rFonts w:hint="eastAsia" w:cs="宋体"/>
          <w:color w:val="auto"/>
          <w:highlight w:val="none"/>
        </w:rPr>
        <w:t>综合单价中应包含磋商文件中划分的应由供应商承担的风险范围及其费用。</w:t>
      </w:r>
    </w:p>
    <w:p w14:paraId="6344766A">
      <w:pPr>
        <w:spacing w:line="360" w:lineRule="auto"/>
        <w:ind w:firstLine="420" w:firstLineChars="200"/>
        <w:rPr>
          <w:rFonts w:hAnsi="宋体"/>
          <w:color w:val="auto"/>
          <w:highlight w:val="none"/>
        </w:rPr>
      </w:pPr>
      <w:r>
        <w:rPr>
          <w:color w:val="auto"/>
          <w:highlight w:val="none"/>
        </w:rPr>
        <w:t xml:space="preserve">3.4 </w:t>
      </w:r>
      <w:r>
        <w:rPr>
          <w:rFonts w:hint="eastAsia" w:hAnsi="宋体" w:cs="宋体"/>
          <w:color w:val="auto"/>
          <w:highlight w:val="none"/>
        </w:rPr>
        <w:t>分部分项工程项目和单价措施项目，应根据磋商文件和工程量清单项目中的特征描述确定综合单价计算。如出现工程量清单特征描述与设计图纸不符时，供应商应以工程量清单的项目特征描述为准，确定竞标报价的综合单价。</w:t>
      </w:r>
    </w:p>
    <w:p w14:paraId="2570F4BF">
      <w:pPr>
        <w:spacing w:line="360" w:lineRule="auto"/>
        <w:ind w:firstLine="420" w:firstLineChars="200"/>
        <w:rPr>
          <w:color w:val="auto"/>
          <w:highlight w:val="none"/>
        </w:rPr>
      </w:pPr>
      <w:r>
        <w:rPr>
          <w:color w:val="auto"/>
          <w:highlight w:val="none"/>
        </w:rPr>
        <w:t xml:space="preserve">3.5 </w:t>
      </w:r>
      <w:r>
        <w:rPr>
          <w:rFonts w:hint="eastAsia" w:hAnsi="宋体" w:cs="宋体"/>
          <w:color w:val="auto"/>
          <w:highlight w:val="none"/>
        </w:rPr>
        <w:t>总价措施项目的金额应根据磋商文件及竞标时拟定的施工组织设计或施工方案，按计价规范的规定自主确定。但</w:t>
      </w:r>
      <w:r>
        <w:rPr>
          <w:rFonts w:hint="eastAsia" w:cs="宋体"/>
          <w:color w:val="auto"/>
          <w:highlight w:val="none"/>
        </w:rPr>
        <w:t>安全文明施工费按国家、省级或行业建设主管部门的有关规定执行，作为不竞争费用单列。</w:t>
      </w:r>
    </w:p>
    <w:p w14:paraId="2E6E0AFD">
      <w:pPr>
        <w:spacing w:line="360" w:lineRule="auto"/>
        <w:ind w:firstLine="420" w:firstLineChars="200"/>
        <w:rPr>
          <w:color w:val="auto"/>
          <w:highlight w:val="none"/>
        </w:rPr>
      </w:pPr>
      <w:r>
        <w:rPr>
          <w:color w:val="auto"/>
          <w:highlight w:val="none"/>
        </w:rPr>
        <w:t xml:space="preserve">3.6 </w:t>
      </w:r>
      <w:r>
        <w:rPr>
          <w:rFonts w:hint="eastAsia" w:cs="宋体"/>
          <w:color w:val="auto"/>
          <w:highlight w:val="none"/>
        </w:rPr>
        <w:t>其他项目费应按下列规定报价：</w:t>
      </w:r>
    </w:p>
    <w:p w14:paraId="4406259C">
      <w:pPr>
        <w:spacing w:line="360" w:lineRule="auto"/>
        <w:ind w:firstLine="420" w:firstLineChars="200"/>
        <w:rPr>
          <w:color w:val="auto"/>
          <w:highlight w:val="none"/>
        </w:rPr>
      </w:pPr>
      <w:r>
        <w:rPr>
          <w:rFonts w:hint="eastAsia" w:cs="宋体"/>
          <w:color w:val="auto"/>
          <w:highlight w:val="none"/>
        </w:rPr>
        <w:t>（</w:t>
      </w:r>
      <w:r>
        <w:rPr>
          <w:color w:val="auto"/>
          <w:highlight w:val="none"/>
        </w:rPr>
        <w:t>1</w:t>
      </w:r>
      <w:r>
        <w:rPr>
          <w:rFonts w:hint="eastAsia" w:cs="宋体"/>
          <w:color w:val="auto"/>
          <w:highlight w:val="none"/>
        </w:rPr>
        <w:t>）暂列金额应按工程量清单中列出的金额填写；</w:t>
      </w:r>
    </w:p>
    <w:p w14:paraId="7BEFBE8E">
      <w:pPr>
        <w:pStyle w:val="195"/>
        <w:spacing w:line="360" w:lineRule="auto"/>
        <w:ind w:firstLine="420" w:firstLineChars="200"/>
        <w:rPr>
          <w:color w:val="auto"/>
          <w:highlight w:val="none"/>
        </w:rPr>
      </w:pPr>
      <w:r>
        <w:rPr>
          <w:rFonts w:hint="eastAsia" w:cs="宋体"/>
          <w:color w:val="auto"/>
          <w:highlight w:val="none"/>
        </w:rPr>
        <w:t>（</w:t>
      </w:r>
      <w:r>
        <w:rPr>
          <w:color w:val="auto"/>
          <w:highlight w:val="none"/>
        </w:rPr>
        <w:t>2</w:t>
      </w:r>
      <w:r>
        <w:rPr>
          <w:rFonts w:hint="eastAsia" w:cs="宋体"/>
          <w:color w:val="auto"/>
          <w:highlight w:val="none"/>
        </w:rPr>
        <w:t>）材料、工程设备暂估价应按工程量清单中列出的单价计入综合单价；</w:t>
      </w:r>
    </w:p>
    <w:p w14:paraId="0CE8E76D">
      <w:pPr>
        <w:spacing w:line="360" w:lineRule="auto"/>
        <w:ind w:firstLine="420" w:firstLineChars="200"/>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）专业工程暂估价应按工程量清单中列出的金额填写；</w:t>
      </w:r>
    </w:p>
    <w:p w14:paraId="777375CA">
      <w:pPr>
        <w:spacing w:line="360" w:lineRule="auto"/>
        <w:ind w:firstLine="420" w:firstLineChars="200"/>
        <w:rPr>
          <w:color w:val="auto"/>
          <w:highlight w:val="none"/>
        </w:rPr>
      </w:pPr>
      <w:r>
        <w:rPr>
          <w:rFonts w:hint="eastAsia" w:cs="宋体"/>
          <w:color w:val="auto"/>
          <w:highlight w:val="none"/>
        </w:rPr>
        <w:t>（</w:t>
      </w:r>
      <w:r>
        <w:rPr>
          <w:color w:val="auto"/>
          <w:highlight w:val="none"/>
        </w:rPr>
        <w:t>4</w:t>
      </w:r>
      <w:r>
        <w:rPr>
          <w:rFonts w:hint="eastAsia" w:cs="宋体"/>
          <w:color w:val="auto"/>
          <w:highlight w:val="none"/>
        </w:rPr>
        <w:t>）计日工应按工程量清单中列出的项目和估算数量，自主确定综合单价并计算计日工总额；计日工单价均不含规费和税金；</w:t>
      </w:r>
    </w:p>
    <w:p w14:paraId="33462DD2">
      <w:pPr>
        <w:spacing w:line="360" w:lineRule="auto"/>
        <w:ind w:firstLine="420" w:firstLineChars="200"/>
        <w:rPr>
          <w:rFonts w:cs="宋体"/>
          <w:color w:val="auto"/>
          <w:highlight w:val="none"/>
        </w:rPr>
      </w:pPr>
      <w:r>
        <w:rPr>
          <w:rFonts w:hint="eastAsia" w:cs="宋体"/>
          <w:color w:val="auto"/>
          <w:highlight w:val="none"/>
        </w:rPr>
        <w:t>（</w:t>
      </w:r>
      <w:r>
        <w:rPr>
          <w:color w:val="auto"/>
          <w:highlight w:val="none"/>
        </w:rPr>
        <w:t>5</w:t>
      </w:r>
      <w:r>
        <w:rPr>
          <w:rFonts w:hint="eastAsia" w:cs="宋体"/>
          <w:color w:val="auto"/>
          <w:highlight w:val="none"/>
        </w:rPr>
        <w:t>）总承包服务费应根据工程量清单中列出的内容</w:t>
      </w:r>
      <w:r>
        <w:rPr>
          <w:rFonts w:hint="eastAsia" w:hAnsi="宋体" w:cs="宋体"/>
          <w:color w:val="auto"/>
          <w:highlight w:val="none"/>
        </w:rPr>
        <w:t>和供应材料、设备情况，按照采购人提出的协调、配合与服务要求和施工现场管理需要</w:t>
      </w:r>
      <w:r>
        <w:rPr>
          <w:rFonts w:hint="eastAsia" w:cs="宋体"/>
          <w:color w:val="auto"/>
          <w:highlight w:val="none"/>
        </w:rPr>
        <w:t>自主确定。</w:t>
      </w:r>
    </w:p>
    <w:p w14:paraId="779AF30B">
      <w:pPr>
        <w:spacing w:line="360" w:lineRule="auto"/>
        <w:ind w:firstLine="420" w:firstLineChars="200"/>
        <w:rPr>
          <w:rFonts w:hint="eastAsia"/>
          <w:color w:val="auto"/>
          <w:highlight w:val="none"/>
        </w:rPr>
      </w:pPr>
      <w:r>
        <w:rPr>
          <w:rFonts w:hint="eastAsia"/>
          <w:color w:val="auto"/>
          <w:highlight w:val="none"/>
        </w:rPr>
        <w:t>（6）对建设单位创建优质工程的，鼓励在招标控制价和预算中按我区工程建设定额规定计列工程优质费，并明确工程优质费不可竞争。</w:t>
      </w:r>
    </w:p>
    <w:p w14:paraId="7A563EBE">
      <w:pPr>
        <w:spacing w:line="360" w:lineRule="auto"/>
        <w:ind w:firstLine="420" w:firstLineChars="200"/>
        <w:rPr>
          <w:color w:val="auto"/>
          <w:highlight w:val="none"/>
        </w:rPr>
      </w:pPr>
      <w:r>
        <w:rPr>
          <w:color w:val="auto"/>
          <w:highlight w:val="none"/>
        </w:rPr>
        <w:t xml:space="preserve">3.7 </w:t>
      </w:r>
      <w:r>
        <w:rPr>
          <w:rFonts w:hint="eastAsia" w:cs="宋体"/>
          <w:color w:val="auto"/>
          <w:highlight w:val="none"/>
        </w:rPr>
        <w:t>规费和增值税应按规定确定，作为不可竞争费用。</w:t>
      </w:r>
    </w:p>
    <w:p w14:paraId="6C71CBA6">
      <w:pPr>
        <w:spacing w:line="360" w:lineRule="auto"/>
        <w:ind w:firstLine="420" w:firstLineChars="200"/>
        <w:rPr>
          <w:color w:val="auto"/>
          <w:highlight w:val="none"/>
        </w:rPr>
      </w:pPr>
      <w:r>
        <w:rPr>
          <w:color w:val="auto"/>
          <w:highlight w:val="none"/>
        </w:rPr>
        <w:t xml:space="preserve">3.8 </w:t>
      </w:r>
      <w:r>
        <w:rPr>
          <w:rFonts w:hint="eastAsia" w:cs="宋体"/>
          <w:color w:val="auto"/>
          <w:highlight w:val="none"/>
        </w:rPr>
        <w:t>工程量清单与计价表中列明的所有需要填写的单价和合价的项目，供应商均应填写且只允许有一个报价。未填写单价和合价的项目，视为此项费用已包含在已标价工程量清单中其他项目的单价和合价之中。竣工结算时，此项目不得重新组价予以调整。</w:t>
      </w:r>
    </w:p>
    <w:p w14:paraId="647FF1A0">
      <w:pPr>
        <w:spacing w:line="360" w:lineRule="auto"/>
        <w:ind w:firstLine="420" w:firstLineChars="200"/>
        <w:rPr>
          <w:color w:val="auto"/>
          <w:highlight w:val="none"/>
        </w:rPr>
      </w:pPr>
      <w:r>
        <w:rPr>
          <w:color w:val="auto"/>
          <w:highlight w:val="none"/>
        </w:rPr>
        <w:t xml:space="preserve">3.9 </w:t>
      </w:r>
      <w:r>
        <w:rPr>
          <w:rFonts w:hint="eastAsia" w:cs="宋体"/>
          <w:color w:val="auto"/>
          <w:highlight w:val="none"/>
        </w:rPr>
        <w:t>投标总价应当与分部分项工程费、措施项目费、其他项目费和规费、增值税的合计金额一致。</w:t>
      </w:r>
    </w:p>
    <w:p w14:paraId="42270975">
      <w:pPr>
        <w:spacing w:line="360" w:lineRule="auto"/>
        <w:ind w:firstLine="420" w:firstLineChars="200"/>
        <w:rPr>
          <w:color w:val="auto"/>
          <w:highlight w:val="none"/>
        </w:rPr>
      </w:pPr>
      <w:r>
        <w:rPr>
          <w:color w:val="auto"/>
          <w:highlight w:val="none"/>
        </w:rPr>
        <w:t>3.1</w:t>
      </w:r>
      <w:r>
        <w:rPr>
          <w:rFonts w:hint="eastAsia"/>
          <w:color w:val="auto"/>
          <w:highlight w:val="none"/>
        </w:rPr>
        <w:t>0</w:t>
      </w:r>
      <w:r>
        <w:rPr>
          <w:color w:val="auto"/>
          <w:highlight w:val="none"/>
        </w:rPr>
        <w:t xml:space="preserve"> </w:t>
      </w:r>
      <w:r>
        <w:rPr>
          <w:rFonts w:hint="eastAsia" w:cs="宋体"/>
          <w:color w:val="auto"/>
          <w:highlight w:val="none"/>
        </w:rPr>
        <w:t>供应商应按《允许调整主要材料和工程设备一览表》的内容填报，不得擅自调整材料和设备名称型号规格、单位、风险系数、基准单价。</w:t>
      </w:r>
    </w:p>
    <w:p w14:paraId="5A704AE9">
      <w:pPr>
        <w:spacing w:line="360" w:lineRule="auto"/>
        <w:ind w:firstLine="420" w:firstLineChars="200"/>
        <w:rPr>
          <w:rFonts w:hAnsi="宋体"/>
          <w:color w:val="auto"/>
          <w:highlight w:val="none"/>
        </w:rPr>
      </w:pPr>
      <w:r>
        <w:rPr>
          <w:color w:val="auto"/>
          <w:highlight w:val="none"/>
        </w:rPr>
        <w:t>3.1</w:t>
      </w:r>
      <w:r>
        <w:rPr>
          <w:rFonts w:hint="eastAsia"/>
          <w:color w:val="auto"/>
          <w:highlight w:val="none"/>
        </w:rPr>
        <w:t>1</w:t>
      </w:r>
      <w:r>
        <w:rPr>
          <w:rFonts w:hint="eastAsia" w:hAnsi="宋体" w:cs="宋体"/>
          <w:color w:val="auto"/>
          <w:highlight w:val="none"/>
        </w:rPr>
        <w:t>竞标报价</w:t>
      </w:r>
      <w:r>
        <w:rPr>
          <w:rFonts w:hint="eastAsia" w:cs="宋体"/>
          <w:color w:val="auto"/>
          <w:highlight w:val="none"/>
        </w:rPr>
        <w:t>表格按本工程工程量清单表格要求填写，并</w:t>
      </w:r>
      <w:r>
        <w:rPr>
          <w:rFonts w:hint="eastAsia" w:hAnsi="宋体" w:cs="宋体"/>
          <w:color w:val="auto"/>
          <w:highlight w:val="none"/>
        </w:rPr>
        <w:t>应按磋商文件的要求，附上《工程量清单综合单价分析表》（表</w:t>
      </w:r>
      <w:r>
        <w:rPr>
          <w:color w:val="auto"/>
          <w:highlight w:val="none"/>
        </w:rPr>
        <w:t>-09</w:t>
      </w:r>
      <w:r>
        <w:rPr>
          <w:rFonts w:hint="eastAsia" w:hAnsi="宋体" w:cs="宋体"/>
          <w:color w:val="auto"/>
          <w:highlight w:val="none"/>
        </w:rPr>
        <w:t>）和《主要清单项目工料机分析表》（表</w:t>
      </w:r>
      <w:r>
        <w:rPr>
          <w:color w:val="auto"/>
          <w:highlight w:val="none"/>
        </w:rPr>
        <w:t>-10</w:t>
      </w:r>
      <w:r>
        <w:rPr>
          <w:rFonts w:hint="eastAsia" w:hAnsi="宋体" w:cs="宋体"/>
          <w:color w:val="auto"/>
          <w:highlight w:val="none"/>
        </w:rPr>
        <w:t>）。</w:t>
      </w:r>
    </w:p>
    <w:p w14:paraId="7B4CA5A7">
      <w:pPr>
        <w:spacing w:line="360" w:lineRule="auto"/>
        <w:ind w:firstLine="420" w:firstLineChars="200"/>
        <w:rPr>
          <w:color w:val="auto"/>
          <w:highlight w:val="none"/>
          <w:u w:val="single"/>
        </w:rPr>
      </w:pPr>
      <w:r>
        <w:rPr>
          <w:rFonts w:hint="eastAsia" w:cs="宋体"/>
          <w:color w:val="auto"/>
          <w:highlight w:val="none"/>
        </w:rPr>
        <w:t>未尽事宜详见本工程工程量清单、招标控制价编制说明以及现行《计价规范》等有关规定执行。</w:t>
      </w:r>
    </w:p>
    <w:p w14:paraId="7C84F2E9">
      <w:pPr>
        <w:spacing w:line="360" w:lineRule="auto"/>
        <w:ind w:firstLine="420" w:firstLineChars="200"/>
        <w:rPr>
          <w:rFonts w:hint="eastAsia" w:cs="宋体"/>
          <w:color w:val="auto"/>
          <w:highlight w:val="none"/>
        </w:rPr>
      </w:pPr>
      <w:r>
        <w:rPr>
          <w:rFonts w:hint="eastAsia" w:cs="宋体"/>
          <w:color w:val="auto"/>
          <w:highlight w:val="none"/>
        </w:rPr>
        <w:t>注：因2021年《广西壮族自治区园林绿化及仿古建筑工程费用定额》采用全费用综合单价形式，故园林绿化及仿古建筑工程的工程量清单及计价采用《自治区住房和城乡建设厅关于建设工程造价改革试点项目招投标及计价规定调整的通知》（桂建标〔2021〕6号）中附件1《建设工程工程量清单计价规范（GB50500-2013）广西壮族自治区实施细则》（适用于工程造价改革试点项目）相关表格，具体以采购人另册发放的工程量清单及相关说明为准。</w:t>
      </w:r>
    </w:p>
    <w:p w14:paraId="0FC077D1">
      <w:pPr>
        <w:pStyle w:val="4"/>
        <w:spacing w:before="0" w:after="0" w:line="360" w:lineRule="auto"/>
        <w:rPr>
          <w:rFonts w:hint="eastAsia" w:cs="黑体"/>
          <w:color w:val="auto"/>
          <w:highlight w:val="none"/>
        </w:rPr>
      </w:pPr>
      <w:bookmarkStart w:id="90" w:name="_Toc122424004"/>
      <w:bookmarkStart w:id="91" w:name="_Toc122424253"/>
      <w:r>
        <w:rPr>
          <w:rFonts w:hint="eastAsia" w:cs="黑体"/>
          <w:color w:val="auto"/>
          <w:highlight w:val="none"/>
        </w:rPr>
        <w:t>4.图纸（另册）</w:t>
      </w:r>
      <w:bookmarkEnd w:id="90"/>
      <w:bookmarkEnd w:id="91"/>
    </w:p>
    <w:p w14:paraId="5E02A705">
      <w:pPr>
        <w:pStyle w:val="5"/>
        <w:spacing w:before="0" w:after="0" w:line="360" w:lineRule="auto"/>
        <w:rPr>
          <w:color w:val="auto"/>
          <w:highlight w:val="none"/>
        </w:rPr>
      </w:pPr>
    </w:p>
    <w:p w14:paraId="4A00D589">
      <w:pPr>
        <w:rPr>
          <w:color w:val="auto"/>
          <w:highlight w:val="none"/>
        </w:rPr>
      </w:pPr>
    </w:p>
    <w:p w14:paraId="1D0CD844">
      <w:pPr>
        <w:rPr>
          <w:color w:val="auto"/>
          <w:highlight w:val="none"/>
        </w:rPr>
      </w:pPr>
    </w:p>
    <w:p w14:paraId="10D166F9">
      <w:pPr>
        <w:rPr>
          <w:color w:val="auto"/>
          <w:highlight w:val="none"/>
        </w:rPr>
      </w:pPr>
    </w:p>
    <w:p w14:paraId="4C680FC2">
      <w:pPr>
        <w:rPr>
          <w:color w:val="auto"/>
          <w:highlight w:val="none"/>
        </w:rPr>
      </w:pPr>
    </w:p>
    <w:p w14:paraId="4F31733F">
      <w:pPr>
        <w:rPr>
          <w:color w:val="auto"/>
          <w:highlight w:val="none"/>
        </w:rPr>
      </w:pPr>
    </w:p>
    <w:p w14:paraId="371F15B3">
      <w:pPr>
        <w:rPr>
          <w:color w:val="auto"/>
          <w:highlight w:val="none"/>
        </w:rPr>
      </w:pPr>
    </w:p>
    <w:p w14:paraId="3E903763">
      <w:pPr>
        <w:rPr>
          <w:color w:val="auto"/>
          <w:highlight w:val="none"/>
        </w:rPr>
      </w:pPr>
    </w:p>
    <w:p w14:paraId="3DA9B61E">
      <w:pPr>
        <w:rPr>
          <w:color w:val="auto"/>
          <w:highlight w:val="none"/>
        </w:rPr>
      </w:pPr>
    </w:p>
    <w:p w14:paraId="32BC7EFB">
      <w:pPr>
        <w:rPr>
          <w:color w:val="auto"/>
          <w:highlight w:val="none"/>
        </w:rPr>
      </w:pPr>
    </w:p>
    <w:p w14:paraId="0460341C">
      <w:pPr>
        <w:rPr>
          <w:color w:val="auto"/>
          <w:highlight w:val="none"/>
        </w:rPr>
      </w:pPr>
    </w:p>
    <w:p w14:paraId="79BBD03D">
      <w:pPr>
        <w:rPr>
          <w:color w:val="auto"/>
          <w:highlight w:val="none"/>
        </w:rPr>
      </w:pPr>
    </w:p>
    <w:p w14:paraId="3530AB99">
      <w:pPr>
        <w:rPr>
          <w:color w:val="auto"/>
          <w:highlight w:val="none"/>
        </w:rPr>
      </w:pPr>
    </w:p>
    <w:p w14:paraId="2733D4BD">
      <w:pPr>
        <w:rPr>
          <w:color w:val="auto"/>
          <w:highlight w:val="none"/>
        </w:rPr>
      </w:pPr>
    </w:p>
    <w:p w14:paraId="012F13DE">
      <w:pPr>
        <w:rPr>
          <w:rFonts w:hint="eastAsia"/>
          <w:color w:val="auto"/>
          <w:highlight w:val="none"/>
        </w:rPr>
      </w:pPr>
      <w:bookmarkStart w:id="92" w:name="_Toc74323460"/>
      <w:r>
        <w:rPr>
          <w:rFonts w:hint="eastAsia"/>
          <w:color w:val="auto"/>
          <w:highlight w:val="none"/>
        </w:rPr>
        <w:br w:type="page"/>
      </w:r>
    </w:p>
    <w:p w14:paraId="694C219D">
      <w:pPr>
        <w:pStyle w:val="3"/>
        <w:jc w:val="center"/>
        <w:rPr>
          <w:rFonts w:hint="eastAsia"/>
          <w:color w:val="auto"/>
          <w:highlight w:val="none"/>
        </w:rPr>
      </w:pPr>
    </w:p>
    <w:p w14:paraId="5C74A8CD">
      <w:pPr>
        <w:pStyle w:val="3"/>
        <w:jc w:val="center"/>
        <w:rPr>
          <w:rFonts w:hint="eastAsia"/>
          <w:color w:val="auto"/>
          <w:highlight w:val="none"/>
        </w:rPr>
      </w:pPr>
    </w:p>
    <w:p w14:paraId="44D8A12C">
      <w:pPr>
        <w:pStyle w:val="3"/>
        <w:jc w:val="center"/>
        <w:rPr>
          <w:rFonts w:hint="eastAsia"/>
          <w:color w:val="auto"/>
          <w:highlight w:val="none"/>
        </w:rPr>
      </w:pPr>
    </w:p>
    <w:p w14:paraId="7A59BB3C">
      <w:pPr>
        <w:pStyle w:val="3"/>
        <w:jc w:val="both"/>
        <w:rPr>
          <w:rFonts w:hint="eastAsia"/>
          <w:color w:val="auto"/>
          <w:highlight w:val="none"/>
        </w:rPr>
      </w:pPr>
    </w:p>
    <w:p w14:paraId="15AF2F1D">
      <w:pPr>
        <w:pStyle w:val="3"/>
        <w:jc w:val="both"/>
        <w:rPr>
          <w:rFonts w:hint="eastAsia"/>
          <w:color w:val="auto"/>
          <w:highlight w:val="none"/>
        </w:rPr>
      </w:pPr>
    </w:p>
    <w:p w14:paraId="0A752D6E">
      <w:pPr>
        <w:pStyle w:val="3"/>
        <w:jc w:val="center"/>
        <w:rPr>
          <w:color w:val="auto"/>
          <w:highlight w:val="none"/>
        </w:rPr>
      </w:pPr>
      <w:r>
        <w:rPr>
          <w:rFonts w:hint="eastAsia"/>
          <w:color w:val="auto"/>
          <w:highlight w:val="none"/>
        </w:rPr>
        <w:t>第六章</w:t>
      </w:r>
      <w:r>
        <w:rPr>
          <w:rFonts w:hint="eastAsia"/>
          <w:color w:val="auto"/>
          <w:highlight w:val="none"/>
          <w:lang w:val="en-US" w:eastAsia="zh-CN"/>
        </w:rPr>
        <w:t xml:space="preserve"> </w:t>
      </w:r>
      <w:r>
        <w:rPr>
          <w:rFonts w:hint="eastAsia"/>
          <w:color w:val="auto"/>
          <w:highlight w:val="none"/>
        </w:rPr>
        <w:t>响应文件格式</w:t>
      </w:r>
      <w:bookmarkEnd w:id="92"/>
    </w:p>
    <w:p w14:paraId="4C5C9579">
      <w:pPr>
        <w:spacing w:line="240" w:lineRule="atLeast"/>
        <w:rPr>
          <w:rFonts w:hint="eastAsia" w:ascii="宋体" w:hAnsi="宋体"/>
          <w:b/>
          <w:color w:val="auto"/>
          <w:sz w:val="32"/>
          <w:szCs w:val="32"/>
          <w:highlight w:val="none"/>
        </w:rPr>
      </w:pPr>
    </w:p>
    <w:p w14:paraId="16DF2BDC">
      <w:pPr>
        <w:spacing w:line="240" w:lineRule="atLeast"/>
        <w:rPr>
          <w:rFonts w:hint="eastAsia" w:ascii="宋体" w:hAnsi="宋体"/>
          <w:b/>
          <w:color w:val="auto"/>
          <w:sz w:val="32"/>
          <w:szCs w:val="32"/>
          <w:highlight w:val="none"/>
        </w:rPr>
      </w:pPr>
    </w:p>
    <w:p w14:paraId="0AA255CA">
      <w:pPr>
        <w:spacing w:line="240" w:lineRule="atLeast"/>
        <w:rPr>
          <w:rFonts w:hint="eastAsia" w:ascii="宋体" w:hAnsi="宋体"/>
          <w:b/>
          <w:color w:val="auto"/>
          <w:sz w:val="32"/>
          <w:szCs w:val="32"/>
          <w:highlight w:val="none"/>
        </w:rPr>
      </w:pPr>
    </w:p>
    <w:p w14:paraId="10C1E912">
      <w:pPr>
        <w:spacing w:line="240" w:lineRule="atLeast"/>
        <w:rPr>
          <w:rFonts w:hint="eastAsia" w:ascii="宋体" w:hAnsi="宋体"/>
          <w:b/>
          <w:color w:val="auto"/>
          <w:sz w:val="32"/>
          <w:szCs w:val="32"/>
          <w:highlight w:val="none"/>
        </w:rPr>
      </w:pPr>
    </w:p>
    <w:p w14:paraId="7A172456">
      <w:pPr>
        <w:spacing w:line="240" w:lineRule="atLeast"/>
        <w:rPr>
          <w:rFonts w:hint="eastAsia" w:ascii="宋体" w:hAnsi="宋体"/>
          <w:b/>
          <w:color w:val="auto"/>
          <w:sz w:val="32"/>
          <w:szCs w:val="32"/>
          <w:highlight w:val="none"/>
        </w:rPr>
      </w:pPr>
    </w:p>
    <w:p w14:paraId="64D9FE69">
      <w:pPr>
        <w:spacing w:line="240" w:lineRule="atLeast"/>
        <w:rPr>
          <w:rFonts w:hint="eastAsia" w:ascii="宋体" w:hAnsi="宋体"/>
          <w:b/>
          <w:color w:val="auto"/>
          <w:sz w:val="32"/>
          <w:szCs w:val="32"/>
          <w:highlight w:val="none"/>
        </w:rPr>
      </w:pPr>
    </w:p>
    <w:p w14:paraId="1A01F610">
      <w:pPr>
        <w:spacing w:line="240" w:lineRule="atLeast"/>
        <w:rPr>
          <w:rFonts w:hint="eastAsia" w:ascii="宋体" w:hAnsi="宋体"/>
          <w:b/>
          <w:color w:val="auto"/>
          <w:sz w:val="32"/>
          <w:szCs w:val="32"/>
          <w:highlight w:val="none"/>
        </w:rPr>
      </w:pPr>
    </w:p>
    <w:p w14:paraId="58497736">
      <w:pPr>
        <w:spacing w:line="240" w:lineRule="atLeast"/>
        <w:rPr>
          <w:rFonts w:hint="eastAsia" w:ascii="宋体" w:hAnsi="宋体"/>
          <w:b/>
          <w:color w:val="auto"/>
          <w:sz w:val="32"/>
          <w:szCs w:val="32"/>
          <w:highlight w:val="none"/>
        </w:rPr>
      </w:pPr>
    </w:p>
    <w:p w14:paraId="156F43B0">
      <w:pPr>
        <w:spacing w:line="240" w:lineRule="atLeast"/>
        <w:rPr>
          <w:rFonts w:hint="eastAsia" w:ascii="宋体" w:hAnsi="宋体"/>
          <w:b/>
          <w:color w:val="auto"/>
          <w:sz w:val="32"/>
          <w:szCs w:val="32"/>
          <w:highlight w:val="none"/>
        </w:rPr>
      </w:pPr>
    </w:p>
    <w:p w14:paraId="3AECA0BE">
      <w:pPr>
        <w:snapToGrid w:val="0"/>
        <w:spacing w:before="50" w:after="50"/>
        <w:outlineLvl w:val="1"/>
        <w:rPr>
          <w:rFonts w:hint="eastAsia" w:ascii="宋体" w:hAnsi="宋体"/>
          <w:b/>
          <w:bCs/>
          <w:color w:val="auto"/>
          <w:sz w:val="24"/>
          <w:highlight w:val="none"/>
        </w:rPr>
      </w:pPr>
    </w:p>
    <w:p w14:paraId="22DF799C">
      <w:pPr>
        <w:snapToGrid w:val="0"/>
        <w:spacing w:before="120" w:beforeLines="50" w:after="50"/>
        <w:jc w:val="center"/>
        <w:rPr>
          <w:rFonts w:hint="eastAsia" w:ascii="仿宋_GB2312" w:hAnsi="仿宋_GB2312" w:eastAsia="仿宋_GB2312" w:cs="仿宋_GB2312"/>
          <w:bCs/>
          <w:color w:val="auto"/>
          <w:sz w:val="32"/>
          <w:szCs w:val="32"/>
          <w:highlight w:val="none"/>
        </w:rPr>
      </w:pPr>
      <w:r>
        <w:rPr>
          <w:rFonts w:ascii="仿宋_GB2312" w:hAnsi="仿宋_GB2312" w:eastAsia="仿宋_GB2312" w:cs="仿宋_GB2312"/>
          <w:bCs/>
          <w:color w:val="auto"/>
          <w:sz w:val="32"/>
          <w:szCs w:val="32"/>
          <w:highlight w:val="none"/>
        </w:rPr>
        <w:br w:type="page"/>
      </w:r>
    </w:p>
    <w:p w14:paraId="72490E51">
      <w:pPr>
        <w:rPr>
          <w:b/>
          <w:color w:val="auto"/>
          <w:sz w:val="32"/>
          <w:szCs w:val="32"/>
          <w:highlight w:val="none"/>
        </w:rPr>
      </w:pPr>
      <w:bookmarkStart w:id="93" w:name="_Toc31723070"/>
      <w:bookmarkStart w:id="94" w:name="_Toc44229899"/>
      <w:bookmarkStart w:id="95" w:name="_Toc31728084"/>
      <w:bookmarkStart w:id="96" w:name="_Toc35611516"/>
      <w:bookmarkStart w:id="97" w:name="_Toc35611438"/>
      <w:bookmarkStart w:id="98" w:name="_Toc71366186"/>
      <w:r>
        <w:rPr>
          <w:rFonts w:hint="eastAsia"/>
          <w:b/>
          <w:color w:val="auto"/>
          <w:sz w:val="32"/>
          <w:szCs w:val="32"/>
          <w:highlight w:val="none"/>
        </w:rPr>
        <w:t>一、资格证明文件格式</w:t>
      </w:r>
      <w:bookmarkEnd w:id="93"/>
      <w:bookmarkEnd w:id="94"/>
      <w:bookmarkEnd w:id="95"/>
      <w:bookmarkEnd w:id="96"/>
      <w:bookmarkEnd w:id="97"/>
      <w:bookmarkEnd w:id="98"/>
    </w:p>
    <w:p w14:paraId="77B71F8D">
      <w:pPr>
        <w:snapToGrid w:val="0"/>
        <w:spacing w:before="120" w:beforeLines="50" w:after="50" w:line="360" w:lineRule="auto"/>
        <w:jc w:val="left"/>
        <w:rPr>
          <w:rFonts w:hint="eastAsia" w:ascii="宋体" w:hAnsi="宋体"/>
          <w:b/>
          <w:color w:val="auto"/>
          <w:sz w:val="24"/>
          <w:highlight w:val="none"/>
        </w:rPr>
      </w:pPr>
      <w:r>
        <w:rPr>
          <w:rFonts w:hint="eastAsia" w:ascii="宋体" w:hAnsi="宋体"/>
          <w:b/>
          <w:color w:val="auto"/>
          <w:sz w:val="32"/>
          <w:szCs w:val="32"/>
          <w:highlight w:val="none"/>
        </w:rPr>
        <w:t>1.资格证明文件封面格式：</w:t>
      </w:r>
    </w:p>
    <w:p w14:paraId="4742543E">
      <w:pPr>
        <w:snapToGrid w:val="0"/>
        <w:spacing w:before="120" w:beforeLines="50" w:after="50"/>
        <w:jc w:val="center"/>
        <w:rPr>
          <w:rFonts w:hint="eastAsia" w:ascii="宋体" w:hAnsi="宋体"/>
          <w:color w:val="auto"/>
          <w:sz w:val="44"/>
          <w:szCs w:val="44"/>
          <w:highlight w:val="none"/>
        </w:rPr>
      </w:pPr>
    </w:p>
    <w:p w14:paraId="56A69747">
      <w:pPr>
        <w:snapToGrid w:val="0"/>
        <w:spacing w:before="120" w:beforeLines="50" w:after="50"/>
        <w:jc w:val="center"/>
        <w:rPr>
          <w:rFonts w:hint="eastAsia" w:ascii="宋体" w:hAnsi="宋体"/>
          <w:color w:val="auto"/>
          <w:sz w:val="44"/>
          <w:szCs w:val="44"/>
          <w:highlight w:val="none"/>
        </w:rPr>
      </w:pPr>
      <w:r>
        <w:rPr>
          <w:rFonts w:hint="eastAsia" w:ascii="宋体" w:hAnsi="宋体"/>
          <w:color w:val="auto"/>
          <w:sz w:val="44"/>
          <w:szCs w:val="44"/>
          <w:highlight w:val="none"/>
        </w:rPr>
        <w:t>电 子 响 应 文 件</w:t>
      </w:r>
    </w:p>
    <w:p w14:paraId="500666F1">
      <w:pPr>
        <w:snapToGrid w:val="0"/>
        <w:spacing w:before="120" w:beforeLines="50" w:after="50"/>
        <w:rPr>
          <w:rFonts w:hint="eastAsia" w:ascii="宋体" w:hAnsi="宋体"/>
          <w:color w:val="auto"/>
          <w:sz w:val="24"/>
          <w:szCs w:val="20"/>
          <w:highlight w:val="none"/>
        </w:rPr>
      </w:pPr>
    </w:p>
    <w:p w14:paraId="20A817D3">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6BA6BF2F">
      <w:pPr>
        <w:snapToGrid w:val="0"/>
        <w:spacing w:before="120" w:beforeLines="50" w:after="50"/>
        <w:rPr>
          <w:rFonts w:hint="eastAsia" w:ascii="宋体" w:hAnsi="宋体"/>
          <w:bCs/>
          <w:color w:val="auto"/>
          <w:sz w:val="24"/>
          <w:szCs w:val="20"/>
          <w:highlight w:val="none"/>
        </w:rPr>
      </w:pPr>
    </w:p>
    <w:p w14:paraId="77015D7D">
      <w:pPr>
        <w:snapToGrid w:val="0"/>
        <w:spacing w:before="120" w:beforeLines="50" w:after="50"/>
        <w:rPr>
          <w:rFonts w:hint="eastAsia" w:ascii="宋体" w:hAnsi="宋体"/>
          <w:bCs/>
          <w:color w:val="auto"/>
          <w:sz w:val="24"/>
          <w:szCs w:val="20"/>
          <w:highlight w:val="none"/>
        </w:rPr>
      </w:pPr>
    </w:p>
    <w:p w14:paraId="0A6C8883">
      <w:pPr>
        <w:snapToGrid w:val="0"/>
        <w:spacing w:before="120" w:beforeLines="50" w:after="50"/>
        <w:rPr>
          <w:rFonts w:hint="eastAsia" w:ascii="宋体" w:hAnsi="宋体"/>
          <w:bCs/>
          <w:color w:val="auto"/>
          <w:sz w:val="24"/>
          <w:szCs w:val="20"/>
          <w:highlight w:val="none"/>
        </w:rPr>
      </w:pPr>
    </w:p>
    <w:p w14:paraId="00BDC610">
      <w:pPr>
        <w:snapToGrid w:val="0"/>
        <w:spacing w:before="120" w:beforeLines="50" w:after="50"/>
        <w:rPr>
          <w:rFonts w:hint="eastAsia" w:ascii="宋体" w:hAnsi="宋体"/>
          <w:bCs/>
          <w:color w:val="auto"/>
          <w:sz w:val="24"/>
          <w:szCs w:val="20"/>
          <w:highlight w:val="none"/>
        </w:rPr>
      </w:pPr>
    </w:p>
    <w:p w14:paraId="0B63F755">
      <w:pPr>
        <w:snapToGrid w:val="0"/>
        <w:spacing w:before="120" w:beforeLines="50" w:after="50"/>
        <w:rPr>
          <w:rFonts w:hint="eastAsia" w:ascii="宋体" w:hAnsi="宋体"/>
          <w:bCs/>
          <w:color w:val="auto"/>
          <w:sz w:val="24"/>
          <w:szCs w:val="20"/>
          <w:highlight w:val="none"/>
        </w:rPr>
      </w:pPr>
    </w:p>
    <w:p w14:paraId="15142F1B">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425FD8C4">
      <w:pPr>
        <w:snapToGrid w:val="0"/>
        <w:spacing w:before="120" w:beforeLines="50" w:after="50"/>
        <w:ind w:firstLine="720" w:firstLineChars="225"/>
        <w:rPr>
          <w:rFonts w:hint="eastAsia" w:ascii="宋体" w:hAnsi="宋体" w:cs="仿宋_GB2312"/>
          <w:bCs/>
          <w:color w:val="auto"/>
          <w:sz w:val="32"/>
          <w:szCs w:val="32"/>
          <w:highlight w:val="none"/>
        </w:rPr>
      </w:pPr>
    </w:p>
    <w:p w14:paraId="720BB101">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459254C5">
      <w:pPr>
        <w:snapToGrid w:val="0"/>
        <w:spacing w:before="120" w:beforeLines="50" w:after="50"/>
        <w:rPr>
          <w:rFonts w:hint="eastAsia" w:ascii="宋体" w:hAnsi="宋体" w:cs="仿宋_GB2312"/>
          <w:bCs/>
          <w:color w:val="auto"/>
          <w:sz w:val="32"/>
          <w:szCs w:val="32"/>
          <w:highlight w:val="none"/>
        </w:rPr>
      </w:pPr>
    </w:p>
    <w:p w14:paraId="19CAE881">
      <w:pPr>
        <w:pStyle w:val="8"/>
        <w:snapToGrid w:val="0"/>
        <w:spacing w:before="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184655A9">
      <w:pPr>
        <w:snapToGrid w:val="0"/>
        <w:spacing w:before="120" w:beforeLines="50" w:after="50"/>
        <w:ind w:firstLine="640" w:firstLineChars="200"/>
        <w:rPr>
          <w:rFonts w:hint="eastAsia" w:ascii="宋体" w:hAnsi="宋体" w:cs="仿宋_GB2312"/>
          <w:bCs/>
          <w:color w:val="auto"/>
          <w:sz w:val="32"/>
          <w:szCs w:val="32"/>
          <w:highlight w:val="none"/>
        </w:rPr>
      </w:pPr>
    </w:p>
    <w:p w14:paraId="5D510218">
      <w:pPr>
        <w:pStyle w:val="8"/>
        <w:snapToGrid w:val="0"/>
        <w:spacing w:before="50" w:after="50"/>
        <w:ind w:firstLine="720" w:firstLineChars="225"/>
        <w:rPr>
          <w:rFonts w:hint="eastAsia" w:ascii="宋体" w:hAnsi="宋体" w:cs="仿宋_GB2312"/>
          <w:bCs/>
          <w:color w:val="auto"/>
          <w:sz w:val="32"/>
          <w:szCs w:val="32"/>
          <w:highlight w:val="none"/>
        </w:rPr>
      </w:pPr>
    </w:p>
    <w:p w14:paraId="07CA3A6C">
      <w:pPr>
        <w:pStyle w:val="8"/>
        <w:snapToGrid w:val="0"/>
        <w:spacing w:before="50" w:after="50"/>
        <w:ind w:firstLine="720" w:firstLineChars="225"/>
        <w:rPr>
          <w:rFonts w:hint="eastAsia" w:ascii="宋体" w:hAnsi="宋体" w:cs="仿宋_GB2312"/>
          <w:bCs/>
          <w:color w:val="auto"/>
          <w:sz w:val="32"/>
          <w:szCs w:val="32"/>
          <w:highlight w:val="none"/>
        </w:rPr>
      </w:pPr>
    </w:p>
    <w:p w14:paraId="743003B1">
      <w:pPr>
        <w:pStyle w:val="8"/>
        <w:snapToGrid w:val="0"/>
        <w:spacing w:before="50" w:after="50"/>
        <w:ind w:firstLine="1280" w:firstLineChars="400"/>
        <w:rPr>
          <w:rFonts w:hint="eastAsia" w:ascii="宋体" w:hAnsi="宋体" w:cs="仿宋_GB2312"/>
          <w:bCs/>
          <w:color w:val="auto"/>
          <w:sz w:val="32"/>
          <w:szCs w:val="32"/>
          <w:highlight w:val="none"/>
        </w:rPr>
      </w:pPr>
    </w:p>
    <w:p w14:paraId="710AA1EC">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3FF2C80E">
      <w:pPr>
        <w:snapToGrid w:val="0"/>
        <w:spacing w:before="120" w:beforeLines="50" w:after="50" w:line="360" w:lineRule="auto"/>
        <w:ind w:left="142"/>
        <w:jc w:val="left"/>
        <w:rPr>
          <w:rFonts w:hint="eastAsia"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5FF19B86">
      <w:pPr>
        <w:snapToGrid w:val="0"/>
        <w:spacing w:before="120" w:beforeLines="50" w:after="50" w:line="360" w:lineRule="auto"/>
        <w:ind w:firstLine="645"/>
        <w:rPr>
          <w:rFonts w:hint="eastAsia"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52E846BC">
      <w:pPr>
        <w:snapToGrid w:val="0"/>
        <w:spacing w:before="120" w:beforeLines="50" w:after="50"/>
        <w:rPr>
          <w:rFonts w:hint="eastAsia" w:ascii="宋体" w:hAnsi="宋体"/>
          <w:color w:val="auto"/>
          <w:sz w:val="24"/>
          <w:szCs w:val="20"/>
          <w:highlight w:val="none"/>
        </w:rPr>
      </w:pPr>
    </w:p>
    <w:p w14:paraId="33EE7915">
      <w:pPr>
        <w:spacing w:line="300" w:lineRule="auto"/>
        <w:rPr>
          <w:rFonts w:hint="eastAsia" w:ascii="宋体" w:hAnsi="宋体"/>
          <w:color w:val="auto"/>
          <w:szCs w:val="21"/>
          <w:highlight w:val="none"/>
        </w:rPr>
      </w:pPr>
    </w:p>
    <w:p w14:paraId="5EA7EBDA">
      <w:pPr>
        <w:spacing w:line="300" w:lineRule="auto"/>
        <w:rPr>
          <w:rFonts w:hint="eastAsia" w:ascii="宋体" w:hAnsi="宋体"/>
          <w:color w:val="auto"/>
          <w:szCs w:val="21"/>
          <w:highlight w:val="none"/>
        </w:rPr>
      </w:pPr>
    </w:p>
    <w:p w14:paraId="6B0FE023">
      <w:pPr>
        <w:spacing w:line="300" w:lineRule="auto"/>
        <w:rPr>
          <w:rFonts w:hint="eastAsia" w:ascii="宋体" w:hAnsi="宋体"/>
          <w:color w:val="auto"/>
          <w:szCs w:val="21"/>
          <w:highlight w:val="none"/>
        </w:rPr>
      </w:pPr>
    </w:p>
    <w:p w14:paraId="5B1685AA">
      <w:pPr>
        <w:spacing w:line="300" w:lineRule="auto"/>
        <w:rPr>
          <w:rFonts w:hint="eastAsia" w:ascii="宋体" w:hAnsi="宋体"/>
          <w:color w:val="auto"/>
          <w:szCs w:val="21"/>
          <w:highlight w:val="none"/>
        </w:rPr>
      </w:pPr>
    </w:p>
    <w:p w14:paraId="0A12BAC7">
      <w:pPr>
        <w:spacing w:line="300" w:lineRule="auto"/>
        <w:rPr>
          <w:rFonts w:hint="eastAsia" w:ascii="宋体" w:hAnsi="宋体"/>
          <w:color w:val="auto"/>
          <w:szCs w:val="21"/>
          <w:highlight w:val="none"/>
        </w:rPr>
      </w:pPr>
    </w:p>
    <w:p w14:paraId="0B942CFA">
      <w:pPr>
        <w:spacing w:line="300" w:lineRule="auto"/>
        <w:rPr>
          <w:rFonts w:hint="eastAsia" w:ascii="宋体" w:hAnsi="宋体"/>
          <w:color w:val="auto"/>
          <w:szCs w:val="21"/>
          <w:highlight w:val="none"/>
        </w:rPr>
      </w:pPr>
    </w:p>
    <w:p w14:paraId="4E8E2DA3">
      <w:pPr>
        <w:spacing w:line="300" w:lineRule="auto"/>
        <w:rPr>
          <w:rFonts w:hint="eastAsia" w:ascii="宋体" w:hAnsi="宋体"/>
          <w:color w:val="auto"/>
          <w:szCs w:val="21"/>
          <w:highlight w:val="none"/>
        </w:rPr>
      </w:pPr>
    </w:p>
    <w:p w14:paraId="3F79B69C">
      <w:pPr>
        <w:spacing w:line="300" w:lineRule="auto"/>
        <w:rPr>
          <w:rFonts w:hint="eastAsia" w:ascii="宋体" w:hAnsi="宋体"/>
          <w:color w:val="auto"/>
          <w:szCs w:val="21"/>
          <w:highlight w:val="none"/>
        </w:rPr>
      </w:pPr>
    </w:p>
    <w:p w14:paraId="3B5F43D5">
      <w:pPr>
        <w:spacing w:line="300" w:lineRule="auto"/>
        <w:rPr>
          <w:rFonts w:hint="eastAsia" w:ascii="宋体" w:hAnsi="宋体"/>
          <w:color w:val="auto"/>
          <w:szCs w:val="21"/>
          <w:highlight w:val="none"/>
        </w:rPr>
      </w:pPr>
    </w:p>
    <w:p w14:paraId="50BA0EF4">
      <w:pPr>
        <w:spacing w:line="300" w:lineRule="auto"/>
        <w:rPr>
          <w:rFonts w:hint="eastAsia" w:ascii="宋体" w:hAnsi="宋体"/>
          <w:color w:val="auto"/>
          <w:szCs w:val="21"/>
          <w:highlight w:val="none"/>
        </w:rPr>
      </w:pPr>
    </w:p>
    <w:p w14:paraId="0CDC98E9">
      <w:pPr>
        <w:spacing w:line="300" w:lineRule="auto"/>
        <w:rPr>
          <w:rFonts w:hint="eastAsia" w:ascii="宋体" w:hAnsi="宋体"/>
          <w:color w:val="auto"/>
          <w:szCs w:val="21"/>
          <w:highlight w:val="none"/>
        </w:rPr>
      </w:pPr>
    </w:p>
    <w:p w14:paraId="05E2D633">
      <w:pPr>
        <w:spacing w:line="300" w:lineRule="auto"/>
        <w:rPr>
          <w:rFonts w:hint="eastAsia" w:ascii="宋体" w:hAnsi="宋体"/>
          <w:color w:val="auto"/>
          <w:szCs w:val="21"/>
          <w:highlight w:val="none"/>
        </w:rPr>
      </w:pPr>
    </w:p>
    <w:p w14:paraId="6A4014CD">
      <w:pPr>
        <w:spacing w:line="300" w:lineRule="auto"/>
        <w:rPr>
          <w:rFonts w:hint="eastAsia" w:ascii="宋体" w:hAnsi="宋体"/>
          <w:color w:val="auto"/>
          <w:szCs w:val="21"/>
          <w:highlight w:val="none"/>
        </w:rPr>
      </w:pPr>
    </w:p>
    <w:p w14:paraId="376AF81B">
      <w:pPr>
        <w:spacing w:line="300" w:lineRule="auto"/>
        <w:rPr>
          <w:rFonts w:hint="eastAsia" w:ascii="宋体" w:hAnsi="宋体"/>
          <w:color w:val="auto"/>
          <w:szCs w:val="21"/>
          <w:highlight w:val="none"/>
        </w:rPr>
      </w:pPr>
    </w:p>
    <w:p w14:paraId="1DBCF269">
      <w:pPr>
        <w:spacing w:line="300" w:lineRule="auto"/>
        <w:rPr>
          <w:rFonts w:hint="eastAsia" w:ascii="宋体" w:hAnsi="宋体"/>
          <w:color w:val="auto"/>
          <w:szCs w:val="21"/>
          <w:highlight w:val="none"/>
        </w:rPr>
      </w:pPr>
    </w:p>
    <w:p w14:paraId="74AC6E5F">
      <w:pPr>
        <w:spacing w:line="320" w:lineRule="exact"/>
        <w:jc w:val="left"/>
        <w:rPr>
          <w:rFonts w:hint="eastAsia" w:ascii="宋体" w:hAnsi="宋体"/>
          <w:color w:val="auto"/>
          <w:szCs w:val="21"/>
          <w:highlight w:val="none"/>
        </w:rPr>
      </w:pPr>
      <w:r>
        <w:rPr>
          <w:rFonts w:ascii="宋体" w:hAnsi="宋体"/>
          <w:color w:val="auto"/>
          <w:szCs w:val="21"/>
          <w:highlight w:val="none"/>
        </w:rPr>
        <w:br w:type="page"/>
      </w:r>
    </w:p>
    <w:p w14:paraId="1613369D">
      <w:pPr>
        <w:wordWrap w:val="0"/>
        <w:spacing w:before="120" w:beforeLines="50" w:after="50" w:line="320" w:lineRule="exact"/>
        <w:ind w:right="482" w:firstLine="210" w:firstLineChars="100"/>
        <w:contextualSpacing/>
        <w:jc w:val="center"/>
        <w:rPr>
          <w:rFonts w:hint="eastAsia" w:ascii="宋体" w:hAnsi="宋体"/>
          <w:color w:val="auto"/>
          <w:szCs w:val="21"/>
          <w:highlight w:val="none"/>
        </w:rPr>
      </w:pPr>
    </w:p>
    <w:p w14:paraId="7A22E180">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供应商直接控股、管理关系信息表</w:t>
      </w:r>
    </w:p>
    <w:p w14:paraId="2731DBBF">
      <w:pPr>
        <w:snapToGrid w:val="0"/>
        <w:spacing w:before="120" w:beforeLines="50" w:after="50" w:line="360" w:lineRule="auto"/>
        <w:jc w:val="center"/>
        <w:rPr>
          <w:rFonts w:hint="eastAsia" w:ascii="宋体" w:hAnsi="宋体"/>
          <w:b/>
          <w:color w:val="auto"/>
          <w:sz w:val="24"/>
          <w:highlight w:val="none"/>
        </w:rPr>
      </w:pPr>
    </w:p>
    <w:p w14:paraId="3EC7E5C2">
      <w:pPr>
        <w:spacing w:line="360" w:lineRule="auto"/>
        <w:contextualSpacing/>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15C6263C">
      <w:pPr>
        <w:spacing w:line="360" w:lineRule="auto"/>
        <w:contextualSpacing/>
        <w:jc w:val="center"/>
        <w:rPr>
          <w:rFonts w:hint="eastAsia" w:ascii="宋体" w:hAnsi="宋体"/>
          <w:b/>
          <w:color w:val="auto"/>
          <w:sz w:val="24"/>
          <w:highlight w:val="none"/>
        </w:rPr>
      </w:pPr>
    </w:p>
    <w:tbl>
      <w:tblPr>
        <w:tblStyle w:val="43"/>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41B80789">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DB58EB5">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9309775">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82F5E51">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C41F1BD">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8E3AEDC">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182AF9D4">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C05F5E6">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BB75E4F">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4A9C9CC">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0AF93CA">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AC58FD0">
            <w:pPr>
              <w:widowControl/>
              <w:spacing w:line="360" w:lineRule="auto"/>
              <w:contextualSpacing/>
              <w:jc w:val="center"/>
              <w:rPr>
                <w:rFonts w:hint="eastAsia" w:ascii="宋体" w:hAnsi="宋体" w:cs="宋体"/>
                <w:color w:val="auto"/>
                <w:kern w:val="0"/>
                <w:sz w:val="24"/>
                <w:highlight w:val="none"/>
              </w:rPr>
            </w:pPr>
          </w:p>
        </w:tc>
      </w:tr>
      <w:tr w14:paraId="35E63D3D">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3BEF6A2">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0087CAC">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0A38177">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BAA87CD">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8288796">
            <w:pPr>
              <w:widowControl/>
              <w:spacing w:line="360" w:lineRule="auto"/>
              <w:contextualSpacing/>
              <w:jc w:val="center"/>
              <w:rPr>
                <w:rFonts w:hint="eastAsia" w:ascii="宋体" w:hAnsi="宋体" w:cs="宋体"/>
                <w:color w:val="auto"/>
                <w:kern w:val="0"/>
                <w:sz w:val="24"/>
                <w:highlight w:val="none"/>
              </w:rPr>
            </w:pPr>
          </w:p>
        </w:tc>
      </w:tr>
      <w:tr w14:paraId="1E0EE14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CC82C65">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65BF35D">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093F401">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7048D34">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4A9B844">
            <w:pPr>
              <w:widowControl/>
              <w:spacing w:line="360" w:lineRule="auto"/>
              <w:contextualSpacing/>
              <w:jc w:val="center"/>
              <w:rPr>
                <w:rFonts w:hint="eastAsia" w:ascii="宋体" w:hAnsi="宋体" w:cs="宋体"/>
                <w:color w:val="auto"/>
                <w:kern w:val="0"/>
                <w:sz w:val="24"/>
                <w:highlight w:val="none"/>
              </w:rPr>
            </w:pPr>
          </w:p>
        </w:tc>
      </w:tr>
      <w:tr w14:paraId="7D2E5531">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BE4E25E">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6CD02DE">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1F3ECDF">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5D2E1E8">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6315248">
            <w:pPr>
              <w:widowControl/>
              <w:spacing w:line="360" w:lineRule="auto"/>
              <w:contextualSpacing/>
              <w:jc w:val="center"/>
              <w:rPr>
                <w:rFonts w:hint="eastAsia" w:ascii="宋体" w:hAnsi="宋体" w:cs="宋体"/>
                <w:color w:val="auto"/>
                <w:kern w:val="0"/>
                <w:sz w:val="24"/>
                <w:highlight w:val="none"/>
              </w:rPr>
            </w:pPr>
          </w:p>
        </w:tc>
      </w:tr>
    </w:tbl>
    <w:p w14:paraId="75872C1D">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5DB4435A">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788C669">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05308782">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31CB4624">
      <w:pPr>
        <w:spacing w:line="360" w:lineRule="auto"/>
        <w:ind w:firstLine="420" w:firstLineChars="200"/>
        <w:contextualSpacing/>
        <w:jc w:val="left"/>
        <w:rPr>
          <w:rFonts w:hint="eastAsia" w:ascii="宋体" w:hAnsi="宋体" w:cs="宋体"/>
          <w:color w:val="auto"/>
          <w:szCs w:val="21"/>
          <w:highlight w:val="none"/>
        </w:rPr>
      </w:pPr>
    </w:p>
    <w:p w14:paraId="5E4EAA98">
      <w:pPr>
        <w:spacing w:line="360" w:lineRule="auto"/>
        <w:ind w:firstLine="560" w:firstLineChars="200"/>
        <w:contextualSpacing/>
        <w:jc w:val="left"/>
        <w:rPr>
          <w:rFonts w:hint="eastAsia" w:ascii="宋体" w:hAnsi="宋体" w:cs="宋体"/>
          <w:color w:val="auto"/>
          <w:sz w:val="28"/>
          <w:szCs w:val="28"/>
          <w:highlight w:val="none"/>
        </w:rPr>
      </w:pPr>
    </w:p>
    <w:p w14:paraId="0AF3690E">
      <w:pPr>
        <w:spacing w:line="360" w:lineRule="auto"/>
        <w:ind w:right="480"/>
        <w:contextualSpacing/>
        <w:jc w:val="center"/>
        <w:rPr>
          <w:rFonts w:hint="eastAsia" w:ascii="宋体" w:hAnsi="宋体" w:cs="宋体"/>
          <w:color w:val="auto"/>
          <w:sz w:val="24"/>
          <w:highlight w:val="none"/>
          <w:u w:val="single"/>
        </w:rPr>
      </w:pP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（签字或者盖章或者电子签名）</w:t>
      </w:r>
      <w:r>
        <w:rPr>
          <w:rFonts w:hint="eastAsia" w:ascii="宋体" w:hAnsi="宋体" w:cs="宋体"/>
          <w:color w:val="auto"/>
          <w:sz w:val="24"/>
          <w:highlight w:val="none"/>
        </w:rPr>
        <w:t>：</w:t>
      </w:r>
    </w:p>
    <w:p w14:paraId="3711FDC7">
      <w:pPr>
        <w:spacing w:line="360" w:lineRule="auto"/>
        <w:ind w:right="480" w:firstLine="3000" w:firstLineChars="1250"/>
        <w:contextualSpacing/>
        <w:rPr>
          <w:rFonts w:hint="eastAsia"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p>
    <w:p w14:paraId="48417DE7">
      <w:pPr>
        <w:spacing w:line="360" w:lineRule="auto"/>
        <w:ind w:firstLine="480" w:firstLineChars="200"/>
        <w:contextualSpacing/>
        <w:jc w:val="right"/>
        <w:rPr>
          <w:rFonts w:hint="eastAsia" w:ascii="宋体" w:hAnsi="宋体" w:cs="宋体"/>
          <w:color w:val="auto"/>
          <w:sz w:val="28"/>
          <w:szCs w:val="28"/>
          <w:highlight w:val="none"/>
        </w:rPr>
      </w:pPr>
      <w:r>
        <w:rPr>
          <w:rFonts w:hint="eastAsia" w:ascii="宋体" w:hAnsi="宋体" w:cs="宋体"/>
          <w:color w:val="auto"/>
          <w:sz w:val="24"/>
          <w:highlight w:val="none"/>
        </w:rPr>
        <w:t>年    月    日</w:t>
      </w:r>
    </w:p>
    <w:p w14:paraId="1387F31E">
      <w:pPr>
        <w:snapToGrid w:val="0"/>
        <w:jc w:val="center"/>
        <w:rPr>
          <w:rFonts w:hint="eastAsia" w:ascii="宋体" w:hAnsi="宋体"/>
          <w:b/>
          <w:color w:val="auto"/>
          <w:sz w:val="28"/>
          <w:szCs w:val="28"/>
          <w:highlight w:val="none"/>
        </w:rPr>
      </w:pPr>
      <w:r>
        <w:rPr>
          <w:rFonts w:ascii="宋体" w:hAnsi="宋体"/>
          <w:b/>
          <w:color w:val="auto"/>
          <w:sz w:val="28"/>
          <w:szCs w:val="28"/>
          <w:highlight w:val="none"/>
        </w:rPr>
        <w:br w:type="page"/>
      </w:r>
    </w:p>
    <w:p w14:paraId="61868476">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00949669">
      <w:pPr>
        <w:snapToGrid w:val="0"/>
        <w:spacing w:line="360" w:lineRule="auto"/>
        <w:jc w:val="center"/>
        <w:rPr>
          <w:rFonts w:hint="eastAsia" w:ascii="宋体" w:hAnsi="宋体"/>
          <w:b/>
          <w:color w:val="auto"/>
          <w:sz w:val="24"/>
          <w:highlight w:val="none"/>
        </w:rPr>
      </w:pPr>
    </w:p>
    <w:tbl>
      <w:tblPr>
        <w:tblStyle w:val="43"/>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138742C1">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F5AF111">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EDEF87C">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AEF9427">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4134D3F">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相互关系</w:t>
            </w:r>
          </w:p>
        </w:tc>
      </w:tr>
      <w:tr w14:paraId="5C8CDA6A">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718A9EC">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83BAB56">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428CB99">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C177FC0">
            <w:pPr>
              <w:widowControl/>
              <w:spacing w:line="360" w:lineRule="auto"/>
              <w:contextualSpacing/>
              <w:jc w:val="center"/>
              <w:rPr>
                <w:rFonts w:hint="eastAsia" w:ascii="宋体" w:hAnsi="宋体" w:cs="宋体"/>
                <w:color w:val="auto"/>
                <w:kern w:val="0"/>
                <w:sz w:val="24"/>
                <w:highlight w:val="none"/>
              </w:rPr>
            </w:pPr>
          </w:p>
        </w:tc>
      </w:tr>
      <w:tr w14:paraId="79DCF26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2A4037B">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926398A">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A7A0AEC">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701C484">
            <w:pPr>
              <w:widowControl/>
              <w:spacing w:line="360" w:lineRule="auto"/>
              <w:contextualSpacing/>
              <w:jc w:val="center"/>
              <w:rPr>
                <w:rFonts w:hint="eastAsia" w:ascii="宋体" w:hAnsi="宋体" w:cs="宋体"/>
                <w:color w:val="auto"/>
                <w:kern w:val="0"/>
                <w:sz w:val="24"/>
                <w:highlight w:val="none"/>
              </w:rPr>
            </w:pPr>
          </w:p>
        </w:tc>
      </w:tr>
      <w:tr w14:paraId="3F60CC3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C4CAD04">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4964A7F">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4B4AE05">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284E564">
            <w:pPr>
              <w:widowControl/>
              <w:spacing w:line="360" w:lineRule="auto"/>
              <w:contextualSpacing/>
              <w:jc w:val="center"/>
              <w:rPr>
                <w:rFonts w:hint="eastAsia" w:ascii="宋体" w:hAnsi="宋体" w:cs="宋体"/>
                <w:color w:val="auto"/>
                <w:kern w:val="0"/>
                <w:sz w:val="24"/>
                <w:highlight w:val="none"/>
              </w:rPr>
            </w:pPr>
          </w:p>
        </w:tc>
      </w:tr>
      <w:tr w14:paraId="6618149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869412">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8EB7BAF">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CF4E03C">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94B3AB5">
            <w:pPr>
              <w:widowControl/>
              <w:spacing w:line="360" w:lineRule="auto"/>
              <w:contextualSpacing/>
              <w:jc w:val="center"/>
              <w:rPr>
                <w:rFonts w:hint="eastAsia" w:ascii="宋体" w:hAnsi="宋体" w:cs="宋体"/>
                <w:color w:val="auto"/>
                <w:kern w:val="0"/>
                <w:sz w:val="24"/>
                <w:highlight w:val="none"/>
              </w:rPr>
            </w:pPr>
          </w:p>
        </w:tc>
      </w:tr>
    </w:tbl>
    <w:p w14:paraId="44DA885F">
      <w:pPr>
        <w:spacing w:line="360" w:lineRule="auto"/>
        <w:contextualSpacing/>
        <w:jc w:val="left"/>
        <w:rPr>
          <w:rFonts w:hint="eastAsia" w:ascii="宋体" w:hAnsi="宋体"/>
          <w:color w:val="auto"/>
          <w:sz w:val="24"/>
          <w:highlight w:val="none"/>
        </w:rPr>
      </w:pPr>
      <w:r>
        <w:rPr>
          <w:rFonts w:hint="eastAsia" w:ascii="宋体" w:hAnsi="宋体"/>
          <w:color w:val="auto"/>
          <w:sz w:val="24"/>
          <w:highlight w:val="none"/>
        </w:rPr>
        <w:t>注：</w:t>
      </w:r>
    </w:p>
    <w:p w14:paraId="0EAE821A">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57C1CDE6">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4104E212">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7361AD7E">
      <w:pPr>
        <w:spacing w:line="360" w:lineRule="auto"/>
        <w:contextualSpacing/>
        <w:jc w:val="left"/>
        <w:rPr>
          <w:rFonts w:hint="eastAsia" w:ascii="宋体" w:hAnsi="宋体"/>
          <w:color w:val="auto"/>
          <w:sz w:val="28"/>
          <w:szCs w:val="28"/>
          <w:highlight w:val="none"/>
        </w:rPr>
      </w:pPr>
    </w:p>
    <w:p w14:paraId="0549BCA1">
      <w:pPr>
        <w:spacing w:line="360" w:lineRule="auto"/>
        <w:contextualSpacing/>
        <w:jc w:val="left"/>
        <w:rPr>
          <w:rFonts w:hint="eastAsia" w:ascii="宋体" w:hAnsi="宋体"/>
          <w:color w:val="auto"/>
          <w:sz w:val="28"/>
          <w:szCs w:val="28"/>
          <w:highlight w:val="none"/>
        </w:rPr>
      </w:pPr>
    </w:p>
    <w:p w14:paraId="78D617B8">
      <w:pPr>
        <w:spacing w:line="360" w:lineRule="auto"/>
        <w:contextualSpacing/>
        <w:jc w:val="left"/>
        <w:rPr>
          <w:color w:val="auto"/>
          <w:sz w:val="28"/>
          <w:szCs w:val="28"/>
          <w:highlight w:val="none"/>
        </w:rPr>
      </w:pPr>
    </w:p>
    <w:p w14:paraId="4858E6A1">
      <w:pPr>
        <w:spacing w:line="360" w:lineRule="auto"/>
        <w:contextualSpacing/>
        <w:jc w:val="left"/>
        <w:rPr>
          <w:color w:val="auto"/>
          <w:sz w:val="28"/>
          <w:szCs w:val="28"/>
          <w:highlight w:val="none"/>
        </w:rPr>
      </w:pPr>
    </w:p>
    <w:p w14:paraId="159480D6">
      <w:pPr>
        <w:spacing w:line="360" w:lineRule="auto"/>
        <w:contextualSpacing/>
        <w:jc w:val="left"/>
        <w:rPr>
          <w:color w:val="auto"/>
          <w:sz w:val="28"/>
          <w:szCs w:val="28"/>
          <w:highlight w:val="none"/>
        </w:rPr>
      </w:pPr>
    </w:p>
    <w:p w14:paraId="7D1F5D1E">
      <w:pPr>
        <w:spacing w:line="360" w:lineRule="auto"/>
        <w:contextualSpacing/>
        <w:jc w:val="left"/>
        <w:rPr>
          <w:rFonts w:hint="eastAsia" w:ascii="宋体" w:hAnsi="宋体"/>
          <w:color w:val="auto"/>
          <w:sz w:val="28"/>
          <w:szCs w:val="28"/>
          <w:highlight w:val="none"/>
        </w:rPr>
      </w:pPr>
    </w:p>
    <w:p w14:paraId="37443DC3">
      <w:pPr>
        <w:spacing w:line="360" w:lineRule="auto"/>
        <w:ind w:right="480"/>
        <w:contextualSpacing/>
        <w:jc w:val="center"/>
        <w:rPr>
          <w:rFonts w:hint="eastAsia" w:ascii="宋体" w:hAnsi="宋体"/>
          <w:color w:val="auto"/>
          <w:sz w:val="24"/>
          <w:highlight w:val="none"/>
          <w:u w:val="single"/>
        </w:rPr>
      </w:pPr>
      <w:r>
        <w:rPr>
          <w:rFonts w:hint="eastAsia" w:ascii="宋体" w:hAnsi="宋体"/>
          <w:color w:val="auto"/>
          <w:sz w:val="24"/>
          <w:highlight w:val="none"/>
        </w:rPr>
        <w:t>法定代表人或者委托代理人（签字或者盖章或者电子签名）：</w:t>
      </w:r>
    </w:p>
    <w:p w14:paraId="5002310A">
      <w:pPr>
        <w:spacing w:line="360" w:lineRule="auto"/>
        <w:ind w:right="480" w:firstLine="3360" w:firstLineChars="1400"/>
        <w:contextualSpacing/>
        <w:rPr>
          <w:rFonts w:hint="eastAsia" w:ascii="宋体" w:hAnsi="宋体"/>
          <w:color w:val="auto"/>
          <w:sz w:val="24"/>
          <w:highlight w:val="none"/>
        </w:rPr>
      </w:pPr>
      <w:r>
        <w:rPr>
          <w:rFonts w:hint="eastAsia" w:ascii="宋体" w:hAnsi="宋体"/>
          <w:color w:val="auto"/>
          <w:sz w:val="24"/>
          <w:highlight w:val="none"/>
        </w:rPr>
        <w:t>供应商（电子签章）：</w:t>
      </w:r>
    </w:p>
    <w:p w14:paraId="7F20263E">
      <w:pPr>
        <w:spacing w:line="360" w:lineRule="auto"/>
        <w:ind w:firstLine="480" w:firstLineChars="200"/>
        <w:contextualSpacing/>
        <w:jc w:val="left"/>
        <w:rPr>
          <w:rFonts w:hint="eastAsia" w:ascii="宋体" w:hAnsi="宋体"/>
          <w:color w:val="auto"/>
          <w:sz w:val="28"/>
          <w:szCs w:val="28"/>
          <w:highlight w:val="none"/>
        </w:rPr>
      </w:pPr>
      <w:r>
        <w:rPr>
          <w:rFonts w:hint="eastAsia" w:ascii="宋体" w:hAnsi="宋体"/>
          <w:color w:val="auto"/>
          <w:sz w:val="24"/>
          <w:highlight w:val="none"/>
        </w:rPr>
        <w:t xml:space="preserve">                                        年    月    日</w:t>
      </w:r>
    </w:p>
    <w:p w14:paraId="0F682205">
      <w:pPr>
        <w:spacing w:line="320" w:lineRule="exact"/>
        <w:jc w:val="center"/>
        <w:rPr>
          <w:rFonts w:hint="eastAsia" w:ascii="宋体" w:hAnsi="宋体"/>
          <w:b/>
          <w:color w:val="auto"/>
          <w:sz w:val="32"/>
          <w:szCs w:val="32"/>
          <w:highlight w:val="none"/>
        </w:rPr>
      </w:pPr>
      <w:r>
        <w:rPr>
          <w:rFonts w:ascii="宋体" w:hAnsi="宋体"/>
          <w:color w:val="auto"/>
          <w:sz w:val="28"/>
          <w:szCs w:val="28"/>
          <w:highlight w:val="none"/>
        </w:rPr>
        <w:br w:type="page"/>
      </w:r>
      <w:r>
        <w:rPr>
          <w:rFonts w:hint="eastAsia" w:ascii="宋体" w:hAnsi="宋体"/>
          <w:b/>
          <w:color w:val="auto"/>
          <w:sz w:val="32"/>
          <w:szCs w:val="32"/>
          <w:highlight w:val="none"/>
        </w:rPr>
        <w:t>竞标声明</w:t>
      </w:r>
    </w:p>
    <w:p w14:paraId="28EDD948">
      <w:pPr>
        <w:spacing w:line="320" w:lineRule="exact"/>
        <w:jc w:val="center"/>
        <w:rPr>
          <w:rFonts w:hint="eastAsia" w:ascii="宋体" w:hAnsi="宋体"/>
          <w:color w:val="auto"/>
          <w:sz w:val="24"/>
          <w:szCs w:val="20"/>
          <w:highlight w:val="none"/>
        </w:rPr>
      </w:pPr>
    </w:p>
    <w:p w14:paraId="47B5733A">
      <w:pPr>
        <w:spacing w:line="360" w:lineRule="auto"/>
        <w:contextualSpacing/>
        <w:rPr>
          <w:rFonts w:hint="eastAsia" w:ascii="宋体" w:hAnsi="宋体" w:eastAsia="宋体" w:cs="宋体"/>
          <w:color w:val="auto"/>
          <w:sz w:val="24"/>
          <w:highlight w:val="none"/>
          <w:lang w:eastAsia="zh-CN"/>
        </w:rPr>
      </w:pPr>
      <w:r>
        <w:rPr>
          <w:rFonts w:hint="eastAsia" w:ascii="宋体" w:hAnsi="宋体" w:cs="宋体"/>
          <w:color w:val="auto"/>
          <w:sz w:val="24"/>
          <w:highlight w:val="none"/>
        </w:rPr>
        <w:t>致：</w:t>
      </w:r>
      <w:r>
        <w:rPr>
          <w:rFonts w:hint="eastAsia" w:ascii="宋体" w:hAnsi="宋体" w:cs="宋体"/>
          <w:color w:val="auto"/>
          <w:sz w:val="24"/>
          <w:highlight w:val="none"/>
          <w:u w:val="single"/>
          <w:lang w:eastAsia="zh-CN"/>
        </w:rPr>
        <w:t>贵港市覃塘区东龙镇人民政府</w:t>
      </w:r>
    </w:p>
    <w:p w14:paraId="17124A4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3B7F68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（项目名称）（项目编号）</w:t>
      </w:r>
      <w:r>
        <w:rPr>
          <w:rFonts w:hint="eastAsia" w:ascii="宋体" w:hAnsi="宋体" w:cs="宋体"/>
          <w:color w:val="auto"/>
          <w:sz w:val="24"/>
          <w:highlight w:val="none"/>
        </w:rPr>
        <w:t>项目的竞标，为便于贵方公正、择优地确定成交供应商及其服务，我方就本次竞标有关事项郑重声明如下：</w:t>
      </w:r>
    </w:p>
    <w:p w14:paraId="3378B0F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3829E87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3AC81D4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2A183D4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7EF2C83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42F8E65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61AA50BB">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（4）响应磋商文件规定的竞标有效期。</w:t>
      </w:r>
    </w:p>
    <w:p w14:paraId="5DE7F2B1">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26566B8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5C691F1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47D9D26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0A6888B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675288A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6451989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29584AA7">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B34A21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D3A1EE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69C0244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0B3CF058">
      <w:pPr>
        <w:pStyle w:val="25"/>
        <w:spacing w:line="360" w:lineRule="auto"/>
        <w:ind w:firstLine="480" w:firstLineChars="200"/>
        <w:contextualSpacing/>
        <w:rPr>
          <w:rFonts w:hint="eastAsia"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7.与本磋商有关的一切正式往来信函请寄：邮政编号：</w:t>
      </w:r>
    </w:p>
    <w:p w14:paraId="3BDD220E">
      <w:pPr>
        <w:pStyle w:val="25"/>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highlight w:val="none"/>
          <w:u w:val="single"/>
        </w:rPr>
        <w:t xml:space="preserve">                   </w:t>
      </w:r>
    </w:p>
    <w:p w14:paraId="2D7054DE">
      <w:pPr>
        <w:pStyle w:val="21"/>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kern w:val="0"/>
          <w:sz w:val="24"/>
          <w:highlight w:val="none"/>
          <w:u w:val="single"/>
        </w:rPr>
        <w:t xml:space="preserve">                    </w:t>
      </w:r>
      <w:r>
        <w:rPr>
          <w:rFonts w:hint="eastAsia" w:ascii="宋体" w:hAnsi="宋体" w:cs="宋体"/>
          <w:color w:val="auto"/>
          <w:sz w:val="24"/>
          <w:highlight w:val="none"/>
        </w:rPr>
        <w:t xml:space="preserve">  账号：</w:t>
      </w:r>
      <w:r>
        <w:rPr>
          <w:rFonts w:hint="eastAsia" w:ascii="宋体" w:hAnsi="宋体" w:cs="宋体"/>
          <w:color w:val="auto"/>
          <w:kern w:val="0"/>
          <w:sz w:val="24"/>
          <w:highlight w:val="none"/>
          <w:u w:val="single"/>
        </w:rPr>
        <w:t xml:space="preserve">                       </w:t>
      </w:r>
    </w:p>
    <w:p w14:paraId="4974A410">
      <w:pPr>
        <w:pStyle w:val="21"/>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1AC6C45E">
      <w:pPr>
        <w:pStyle w:val="21"/>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特此承诺。</w:t>
      </w:r>
    </w:p>
    <w:p w14:paraId="566819B9">
      <w:pPr>
        <w:spacing w:line="360" w:lineRule="auto"/>
        <w:ind w:firstLine="482" w:firstLineChars="200"/>
        <w:contextualSpacing/>
        <w:jc w:val="left"/>
        <w:rPr>
          <w:rFonts w:hint="eastAsia" w:ascii="宋体" w:hAnsi="宋体"/>
          <w:b/>
          <w:color w:val="auto"/>
          <w:sz w:val="24"/>
          <w:highlight w:val="none"/>
        </w:rPr>
      </w:pPr>
      <w:r>
        <w:rPr>
          <w:rFonts w:hint="eastAsia" w:ascii="宋体" w:hAnsi="宋体" w:cs="宋体"/>
          <w:b/>
          <w:color w:val="auto"/>
          <w:sz w:val="24"/>
          <w:highlight w:val="none"/>
        </w:rPr>
        <w:t>注：</w:t>
      </w:r>
      <w:r>
        <w:rPr>
          <w:rFonts w:hint="eastAsia" w:ascii="宋体" w:hAnsi="宋体"/>
          <w:b/>
          <w:color w:val="auto"/>
          <w:sz w:val="24"/>
          <w:highlight w:val="none"/>
        </w:rPr>
        <w:t>如为联合体竞标，盖章处须加盖联合体牵头人电子签章并由联合体牵头人法定代表人分别签字或者盖章或者电子签名，否则响应文件按无效处理。</w:t>
      </w:r>
    </w:p>
    <w:p w14:paraId="72AFA44C">
      <w:pPr>
        <w:spacing w:line="360" w:lineRule="auto"/>
        <w:contextualSpacing/>
        <w:jc w:val="left"/>
        <w:rPr>
          <w:rFonts w:hint="eastAsia" w:ascii="宋体" w:hAnsi="宋体" w:cs="宋体"/>
          <w:color w:val="auto"/>
          <w:szCs w:val="21"/>
          <w:highlight w:val="none"/>
        </w:rPr>
      </w:pPr>
    </w:p>
    <w:p w14:paraId="573EEC7F">
      <w:pPr>
        <w:spacing w:line="360" w:lineRule="auto"/>
        <w:ind w:firstLine="1800" w:firstLineChars="750"/>
        <w:contextualSpacing/>
        <w:rPr>
          <w:rFonts w:hint="eastAsia" w:ascii="宋体" w:hAnsi="宋体"/>
          <w:color w:val="auto"/>
          <w:sz w:val="24"/>
          <w:highlight w:val="none"/>
        </w:rPr>
      </w:pPr>
      <w:r>
        <w:rPr>
          <w:rFonts w:hint="eastAsia" w:ascii="宋体" w:hAnsi="宋体"/>
          <w:color w:val="auto"/>
          <w:sz w:val="24"/>
          <w:highlight w:val="none"/>
        </w:rPr>
        <w:t>法定代表人（签字或者盖章或者电子签名）：</w:t>
      </w:r>
    </w:p>
    <w:p w14:paraId="2403ABC4">
      <w:pPr>
        <w:spacing w:line="360" w:lineRule="auto"/>
        <w:ind w:firstLine="1800" w:firstLineChars="750"/>
        <w:contextualSpacing/>
        <w:rPr>
          <w:rFonts w:hint="eastAsia" w:ascii="宋体" w:hAnsi="宋体"/>
          <w:color w:val="auto"/>
          <w:sz w:val="24"/>
          <w:highlight w:val="none"/>
        </w:rPr>
      </w:pPr>
      <w:r>
        <w:rPr>
          <w:rFonts w:hint="eastAsia" w:ascii="宋体" w:hAnsi="宋体"/>
          <w:color w:val="auto"/>
          <w:sz w:val="24"/>
          <w:highlight w:val="none"/>
        </w:rPr>
        <w:t>供应商（电子签章）：</w:t>
      </w:r>
    </w:p>
    <w:p w14:paraId="3BE139B2">
      <w:pPr>
        <w:pStyle w:val="8"/>
        <w:overflowPunct w:val="0"/>
        <w:spacing w:line="360" w:lineRule="auto"/>
        <w:ind w:firstLine="0"/>
        <w:contextualSpacing/>
        <w:jc w:val="right"/>
        <w:rPr>
          <w:rFonts w:hint="eastAsia" w:ascii="宋体" w:hAnsi="宋体" w:cs="仿宋_GB2312"/>
          <w:color w:val="auto"/>
          <w:sz w:val="24"/>
          <w:szCs w:val="24"/>
          <w:highlight w:val="none"/>
        </w:rPr>
      </w:pPr>
      <w:r>
        <w:rPr>
          <w:rFonts w:hint="eastAsia" w:ascii="宋体" w:hAnsi="宋体" w:cs="宋体"/>
          <w:color w:val="auto"/>
          <w:szCs w:val="21"/>
          <w:highlight w:val="none"/>
        </w:rPr>
        <w:t xml:space="preserve"> </w:t>
      </w:r>
      <w:r>
        <w:rPr>
          <w:rFonts w:hint="eastAsia" w:ascii="宋体" w:hAnsi="宋体"/>
          <w:color w:val="auto"/>
          <w:sz w:val="24"/>
          <w:szCs w:val="24"/>
          <w:highlight w:val="none"/>
        </w:rPr>
        <w:t xml:space="preserve">   年    月    日</w:t>
      </w:r>
    </w:p>
    <w:p w14:paraId="4A6F440B">
      <w:pPr>
        <w:pStyle w:val="8"/>
        <w:overflowPunct w:val="0"/>
        <w:spacing w:line="360" w:lineRule="auto"/>
        <w:ind w:firstLine="0"/>
        <w:contextualSpacing/>
        <w:rPr>
          <w:rFonts w:hint="eastAsia" w:ascii="宋体" w:hAnsi="宋体" w:cs="仿宋_GB2312"/>
          <w:color w:val="auto"/>
          <w:sz w:val="24"/>
          <w:szCs w:val="24"/>
          <w:highlight w:val="none"/>
        </w:rPr>
      </w:pPr>
    </w:p>
    <w:p w14:paraId="299246CB">
      <w:pPr>
        <w:spacing w:line="360" w:lineRule="auto"/>
        <w:ind w:firstLine="321" w:firstLineChars="100"/>
        <w:contextualSpacing/>
        <w:jc w:val="center"/>
        <w:rPr>
          <w:rFonts w:hint="eastAsia" w:ascii="宋体" w:hAnsi="宋体"/>
          <w:b/>
          <w:bCs/>
          <w:color w:val="auto"/>
          <w:sz w:val="32"/>
          <w:szCs w:val="32"/>
          <w:highlight w:val="none"/>
        </w:rPr>
      </w:pPr>
    </w:p>
    <w:p w14:paraId="6BB2A9B1">
      <w:pPr>
        <w:spacing w:line="360" w:lineRule="auto"/>
        <w:ind w:firstLine="321" w:firstLineChars="100"/>
        <w:contextualSpacing/>
        <w:jc w:val="center"/>
        <w:rPr>
          <w:rFonts w:hint="eastAsia" w:ascii="宋体" w:hAnsi="宋体"/>
          <w:b/>
          <w:bCs/>
          <w:color w:val="auto"/>
          <w:sz w:val="32"/>
          <w:szCs w:val="32"/>
          <w:highlight w:val="none"/>
        </w:rPr>
      </w:pPr>
    </w:p>
    <w:p w14:paraId="4024E43C">
      <w:pPr>
        <w:spacing w:line="360" w:lineRule="auto"/>
        <w:ind w:firstLine="321" w:firstLineChars="100"/>
        <w:contextualSpacing/>
        <w:jc w:val="center"/>
        <w:rPr>
          <w:rFonts w:hint="eastAsia" w:ascii="宋体" w:hAnsi="宋体"/>
          <w:b/>
          <w:bCs/>
          <w:color w:val="auto"/>
          <w:sz w:val="32"/>
          <w:szCs w:val="32"/>
          <w:highlight w:val="none"/>
        </w:rPr>
      </w:pPr>
    </w:p>
    <w:p w14:paraId="6254B23A">
      <w:pPr>
        <w:spacing w:line="360" w:lineRule="auto"/>
        <w:ind w:firstLine="321" w:firstLineChars="100"/>
        <w:contextualSpacing/>
        <w:jc w:val="center"/>
        <w:rPr>
          <w:rFonts w:hint="eastAsia" w:ascii="宋体" w:hAnsi="宋体"/>
          <w:b/>
          <w:bCs/>
          <w:color w:val="auto"/>
          <w:sz w:val="32"/>
          <w:szCs w:val="32"/>
          <w:highlight w:val="none"/>
        </w:rPr>
      </w:pPr>
    </w:p>
    <w:p w14:paraId="66465281">
      <w:pPr>
        <w:spacing w:line="360" w:lineRule="auto"/>
        <w:ind w:firstLine="321" w:firstLineChars="100"/>
        <w:contextualSpacing/>
        <w:jc w:val="center"/>
        <w:rPr>
          <w:rFonts w:hint="eastAsia" w:ascii="宋体" w:hAnsi="宋体"/>
          <w:b/>
          <w:bCs/>
          <w:color w:val="auto"/>
          <w:sz w:val="32"/>
          <w:szCs w:val="32"/>
          <w:highlight w:val="none"/>
        </w:rPr>
      </w:pPr>
    </w:p>
    <w:p w14:paraId="32D80D3C">
      <w:pPr>
        <w:spacing w:line="360" w:lineRule="auto"/>
        <w:ind w:firstLine="321" w:firstLineChars="100"/>
        <w:contextualSpacing/>
        <w:jc w:val="center"/>
        <w:rPr>
          <w:rFonts w:hint="eastAsia" w:ascii="宋体" w:hAnsi="宋体"/>
          <w:b/>
          <w:bCs/>
          <w:color w:val="auto"/>
          <w:sz w:val="32"/>
          <w:szCs w:val="32"/>
          <w:highlight w:val="none"/>
        </w:rPr>
      </w:pPr>
    </w:p>
    <w:p w14:paraId="25807FA1">
      <w:pPr>
        <w:spacing w:line="360" w:lineRule="auto"/>
        <w:ind w:firstLine="321" w:firstLineChars="100"/>
        <w:contextualSpacing/>
        <w:jc w:val="center"/>
        <w:rPr>
          <w:rFonts w:hint="eastAsia" w:ascii="宋体" w:hAnsi="宋体"/>
          <w:b/>
          <w:bCs/>
          <w:color w:val="auto"/>
          <w:sz w:val="32"/>
          <w:szCs w:val="32"/>
          <w:highlight w:val="none"/>
        </w:rPr>
      </w:pPr>
    </w:p>
    <w:p w14:paraId="4DAD0C3E">
      <w:pPr>
        <w:spacing w:line="360" w:lineRule="auto"/>
        <w:ind w:firstLine="321" w:firstLineChars="100"/>
        <w:contextualSpacing/>
        <w:jc w:val="center"/>
        <w:rPr>
          <w:rFonts w:hint="eastAsia" w:ascii="宋体" w:hAnsi="宋体"/>
          <w:b/>
          <w:bCs/>
          <w:color w:val="auto"/>
          <w:sz w:val="32"/>
          <w:szCs w:val="32"/>
          <w:highlight w:val="none"/>
        </w:rPr>
      </w:pPr>
    </w:p>
    <w:p w14:paraId="02BB8EAE">
      <w:pPr>
        <w:spacing w:line="360" w:lineRule="auto"/>
        <w:ind w:firstLine="321" w:firstLineChars="100"/>
        <w:contextualSpacing/>
        <w:jc w:val="center"/>
        <w:rPr>
          <w:rFonts w:hint="eastAsia" w:ascii="宋体" w:hAnsi="宋体"/>
          <w:b/>
          <w:bCs/>
          <w:color w:val="auto"/>
          <w:sz w:val="32"/>
          <w:szCs w:val="32"/>
          <w:highlight w:val="none"/>
        </w:rPr>
      </w:pPr>
    </w:p>
    <w:p w14:paraId="705D48C1">
      <w:pPr>
        <w:spacing w:line="360" w:lineRule="auto"/>
        <w:ind w:firstLine="321" w:firstLineChars="100"/>
        <w:contextualSpacing/>
        <w:jc w:val="center"/>
        <w:rPr>
          <w:rFonts w:hint="eastAsia" w:ascii="宋体" w:hAnsi="宋体"/>
          <w:b/>
          <w:bCs/>
          <w:color w:val="auto"/>
          <w:sz w:val="32"/>
          <w:szCs w:val="32"/>
          <w:highlight w:val="none"/>
        </w:rPr>
      </w:pPr>
    </w:p>
    <w:p w14:paraId="45BD0003">
      <w:pPr>
        <w:spacing w:line="360" w:lineRule="auto"/>
        <w:ind w:firstLine="321" w:firstLineChars="100"/>
        <w:contextualSpacing/>
        <w:jc w:val="center"/>
        <w:rPr>
          <w:rFonts w:hint="eastAsia" w:ascii="宋体" w:hAnsi="宋体"/>
          <w:b/>
          <w:bCs/>
          <w:color w:val="auto"/>
          <w:sz w:val="32"/>
          <w:szCs w:val="32"/>
          <w:highlight w:val="none"/>
        </w:rPr>
      </w:pPr>
    </w:p>
    <w:p w14:paraId="7EB65338">
      <w:pPr>
        <w:widowControl/>
        <w:jc w:val="center"/>
        <w:rPr>
          <w:rFonts w:hint="eastAsia" w:ascii="宋体" w:hAnsi="宋体" w:cs="宋体"/>
          <w:b/>
          <w:color w:val="auto"/>
          <w:sz w:val="32"/>
          <w:szCs w:val="32"/>
          <w:highlight w:val="none"/>
        </w:rPr>
      </w:pPr>
    </w:p>
    <w:p w14:paraId="33A38D45">
      <w:pPr>
        <w:widowControl/>
        <w:jc w:val="center"/>
        <w:rPr>
          <w:rFonts w:hint="eastAsia" w:ascii="宋体" w:hAnsi="宋体" w:cs="宋体"/>
          <w:color w:val="auto"/>
          <w:highlight w:val="none"/>
        </w:rPr>
      </w:pPr>
      <w:r>
        <w:rPr>
          <w:rFonts w:hint="eastAsia" w:ascii="宋体" w:hAnsi="宋体" w:cs="宋体"/>
          <w:b/>
          <w:color w:val="auto"/>
          <w:sz w:val="32"/>
          <w:szCs w:val="32"/>
          <w:highlight w:val="none"/>
        </w:rPr>
        <w:t>贵港市政府采购项目投标资格承诺函</w:t>
      </w:r>
    </w:p>
    <w:p w14:paraId="246F68B5">
      <w:pPr>
        <w:widowControl/>
        <w:spacing w:line="360" w:lineRule="auto"/>
        <w:ind w:firstLine="420" w:firstLineChars="200"/>
        <w:jc w:val="left"/>
        <w:rPr>
          <w:rFonts w:hint="eastAsia" w:ascii="宋体" w:hAnsi="宋体" w:cs="宋体"/>
          <w:color w:val="auto"/>
          <w:kern w:val="0"/>
          <w:szCs w:val="21"/>
          <w:highlight w:val="none"/>
        </w:rPr>
      </w:pPr>
    </w:p>
    <w:p w14:paraId="6110BD05">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 xml:space="preserve">本公司郑重承诺，根据《中华人民共和国政府采购法》第二十二条的规定，本公司为参加政府采购活动的合格供应商。即本公司同时满足以下条件： </w:t>
      </w:r>
    </w:p>
    <w:p w14:paraId="5A305DC7">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 xml:space="preserve">1.具有独立承担民事责任的能力。 </w:t>
      </w:r>
    </w:p>
    <w:p w14:paraId="0C8A89E4">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 xml:space="preserve">2.具有良好的商业信誉和健全的财务会计制度。 </w:t>
      </w:r>
    </w:p>
    <w:p w14:paraId="39D8A733">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 xml:space="preserve">3.具有履行合同所必需的设备和专业技术能力。 </w:t>
      </w:r>
    </w:p>
    <w:p w14:paraId="47933248">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 xml:space="preserve">4.有依法缴纳税收和社会保障资金的良好记录。 </w:t>
      </w:r>
    </w:p>
    <w:p w14:paraId="74FCDD6D">
      <w:pPr>
        <w:widowControl/>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5. 提交响应文件截止日期前三年内，在经营活动中没有重大违法记录。 </w:t>
      </w:r>
    </w:p>
    <w:p w14:paraId="23C7A6AB">
      <w:pPr>
        <w:widowControl/>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本公司对上述承诺的真实性负责，并接受政府采购、税务、社会保障等监督管理部门、采购文件规定的资格审查机构、社会公众的监督和检查。如有虚假，将依法承担相应责任。</w:t>
      </w:r>
    </w:p>
    <w:p w14:paraId="3D51C291">
      <w:pPr>
        <w:spacing w:line="320" w:lineRule="exact"/>
        <w:jc w:val="center"/>
        <w:rPr>
          <w:rFonts w:hint="eastAsia" w:ascii="宋体" w:hAnsi="宋体" w:cs="宋体"/>
          <w:b/>
          <w:color w:val="auto"/>
          <w:sz w:val="24"/>
          <w:highlight w:val="none"/>
        </w:rPr>
      </w:pPr>
    </w:p>
    <w:p w14:paraId="04A2035B">
      <w:pPr>
        <w:spacing w:line="320" w:lineRule="exact"/>
        <w:jc w:val="center"/>
        <w:rPr>
          <w:rFonts w:hint="eastAsia" w:ascii="宋体" w:hAnsi="宋体" w:cs="宋体"/>
          <w:b/>
          <w:color w:val="auto"/>
          <w:sz w:val="24"/>
          <w:highlight w:val="none"/>
        </w:rPr>
      </w:pPr>
    </w:p>
    <w:p w14:paraId="566762E5">
      <w:pPr>
        <w:spacing w:line="320" w:lineRule="exact"/>
        <w:jc w:val="center"/>
        <w:rPr>
          <w:rFonts w:hint="eastAsia" w:ascii="宋体" w:hAnsi="宋体" w:cs="宋体"/>
          <w:b/>
          <w:color w:val="auto"/>
          <w:sz w:val="24"/>
          <w:highlight w:val="none"/>
        </w:rPr>
      </w:pPr>
    </w:p>
    <w:p w14:paraId="5749C4CE">
      <w:pPr>
        <w:spacing w:line="320" w:lineRule="exact"/>
        <w:jc w:val="center"/>
        <w:rPr>
          <w:rFonts w:hint="eastAsia" w:ascii="宋体" w:hAnsi="宋体" w:cs="宋体"/>
          <w:b/>
          <w:color w:val="auto"/>
          <w:sz w:val="24"/>
          <w:highlight w:val="none"/>
        </w:rPr>
      </w:pPr>
    </w:p>
    <w:p w14:paraId="440FF5F7">
      <w:pPr>
        <w:spacing w:line="360" w:lineRule="auto"/>
        <w:ind w:right="-817" w:rightChars="-389"/>
        <w:contextualSpacing/>
        <w:jc w:val="center"/>
        <w:rPr>
          <w:rFonts w:hint="eastAsia" w:ascii="宋体" w:hAnsi="宋体" w:cs="宋体"/>
          <w:color w:val="auto"/>
          <w:sz w:val="24"/>
          <w:highlight w:val="none"/>
        </w:rPr>
      </w:pPr>
      <w:r>
        <w:rPr>
          <w:rFonts w:hint="eastAsia" w:ascii="宋体" w:hAnsi="宋体" w:cs="宋体"/>
          <w:color w:val="auto"/>
          <w:sz w:val="24"/>
          <w:highlight w:val="none"/>
        </w:rPr>
        <w:t>法定代表人（签字或盖章或电子签名）：</w:t>
      </w:r>
    </w:p>
    <w:p w14:paraId="335BEA7C">
      <w:pPr>
        <w:spacing w:line="320" w:lineRule="exact"/>
        <w:jc w:val="center"/>
        <w:rPr>
          <w:rFonts w:hint="eastAsia" w:ascii="宋体" w:hAnsi="宋体" w:cs="宋体"/>
          <w:b/>
          <w:color w:val="auto"/>
          <w:sz w:val="24"/>
          <w:highlight w:val="none"/>
        </w:rPr>
      </w:pPr>
      <w:r>
        <w:rPr>
          <w:rFonts w:hint="eastAsia" w:ascii="宋体" w:hAnsi="宋体" w:cs="宋体"/>
          <w:color w:val="auto"/>
          <w:sz w:val="24"/>
          <w:highlight w:val="none"/>
        </w:rPr>
        <w:t>供应商（公章或电子签章）：</w:t>
      </w:r>
    </w:p>
    <w:p w14:paraId="683F6425">
      <w:pPr>
        <w:spacing w:line="360" w:lineRule="auto"/>
        <w:contextualSpacing/>
        <w:jc w:val="both"/>
        <w:rPr>
          <w:rFonts w:hint="eastAsia" w:ascii="宋体" w:hAnsi="宋体"/>
          <w:b/>
          <w:bCs/>
          <w:color w:val="auto"/>
          <w:sz w:val="32"/>
          <w:szCs w:val="32"/>
          <w:highlight w:val="none"/>
        </w:rPr>
      </w:pPr>
    </w:p>
    <w:p w14:paraId="62F1DC1F">
      <w:pPr>
        <w:ind w:firstLine="4800" w:firstLineChars="2000"/>
        <w:rPr>
          <w:rFonts w:hint="eastAsia" w:ascii="宋体" w:hAnsi="宋体"/>
          <w:b/>
          <w:bCs/>
          <w:color w:val="auto"/>
          <w:sz w:val="32"/>
          <w:szCs w:val="32"/>
          <w:highlight w:val="none"/>
        </w:rPr>
      </w:pPr>
      <w:r>
        <w:rPr>
          <w:rFonts w:hint="eastAsia" w:ascii="宋体" w:hAnsi="宋体"/>
          <w:color w:val="auto"/>
          <w:sz w:val="24"/>
          <w:szCs w:val="24"/>
          <w:highlight w:val="none"/>
        </w:rPr>
        <w:t xml:space="preserve"> 年    月    日</w:t>
      </w:r>
    </w:p>
    <w:p w14:paraId="739674B0">
      <w:pPr>
        <w:rPr>
          <w:rFonts w:hint="eastAsia" w:ascii="宋体" w:hAnsi="宋体"/>
          <w:b/>
          <w:bCs/>
          <w:color w:val="auto"/>
          <w:sz w:val="32"/>
          <w:szCs w:val="32"/>
          <w:highlight w:val="none"/>
        </w:rPr>
      </w:pPr>
      <w:r>
        <w:rPr>
          <w:rFonts w:hint="eastAsia" w:ascii="宋体" w:hAnsi="宋体"/>
          <w:b/>
          <w:bCs/>
          <w:color w:val="auto"/>
          <w:sz w:val="32"/>
          <w:szCs w:val="32"/>
          <w:highlight w:val="none"/>
        </w:rPr>
        <w:br w:type="page"/>
      </w:r>
    </w:p>
    <w:p w14:paraId="4638EAC6">
      <w:pPr>
        <w:widowControl/>
        <w:jc w:val="center"/>
        <w:rPr>
          <w:rFonts w:hint="eastAsia" w:ascii="宋体" w:hAnsi="宋体" w:cs="宋体"/>
          <w:b/>
          <w:color w:val="auto"/>
          <w:sz w:val="32"/>
          <w:szCs w:val="32"/>
          <w:highlight w:val="none"/>
        </w:rPr>
      </w:pPr>
    </w:p>
    <w:p w14:paraId="1CB7F978">
      <w:pPr>
        <w:widowControl/>
        <w:jc w:val="center"/>
        <w:rPr>
          <w:rFonts w:hint="eastAsia" w:ascii="宋体" w:hAnsi="宋体" w:cs="宋体"/>
          <w:b w:val="0"/>
          <w:bCs/>
          <w:color w:val="auto"/>
          <w:sz w:val="32"/>
          <w:szCs w:val="32"/>
          <w:highlight w:val="none"/>
        </w:rPr>
      </w:pPr>
    </w:p>
    <w:p w14:paraId="6DEFCF09">
      <w:pPr>
        <w:widowControl/>
        <w:jc w:val="center"/>
        <w:rPr>
          <w:rFonts w:hint="eastAsia" w:ascii="宋体" w:hAnsi="宋体" w:cs="宋体"/>
          <w:b/>
          <w:bCs w:val="0"/>
          <w:color w:val="auto"/>
          <w:sz w:val="32"/>
          <w:szCs w:val="32"/>
          <w:highlight w:val="none"/>
        </w:rPr>
      </w:pPr>
      <w:r>
        <w:rPr>
          <w:rFonts w:hint="eastAsia" w:ascii="宋体" w:hAnsi="宋体" w:cs="宋体"/>
          <w:b/>
          <w:bCs w:val="0"/>
          <w:color w:val="auto"/>
          <w:sz w:val="32"/>
          <w:szCs w:val="32"/>
          <w:highlight w:val="none"/>
        </w:rPr>
        <w:t>拟担任本项目工程项目经理</w:t>
      </w:r>
      <w:r>
        <w:rPr>
          <w:rFonts w:hint="eastAsia" w:ascii="宋体" w:hAnsi="宋体" w:cs="宋体"/>
          <w:b/>
          <w:bCs w:val="0"/>
          <w:color w:val="auto"/>
          <w:sz w:val="32"/>
          <w:szCs w:val="32"/>
          <w:highlight w:val="none"/>
          <w:lang w:eastAsia="zh-CN"/>
        </w:rPr>
        <w:t>无在建工程承诺书</w:t>
      </w:r>
    </w:p>
    <w:p w14:paraId="6E078590">
      <w:pPr>
        <w:spacing w:line="360" w:lineRule="auto"/>
        <w:ind w:firstLine="320" w:firstLineChars="100"/>
        <w:contextualSpacing/>
        <w:jc w:val="center"/>
        <w:rPr>
          <w:rFonts w:hint="eastAsia" w:ascii="宋体" w:hAnsi="宋体"/>
          <w:b w:val="0"/>
          <w:bCs/>
          <w:color w:val="auto"/>
          <w:sz w:val="32"/>
          <w:szCs w:val="32"/>
          <w:highlight w:val="none"/>
        </w:rPr>
      </w:pPr>
    </w:p>
    <w:p w14:paraId="564704FD">
      <w:pPr>
        <w:spacing w:line="480" w:lineRule="auto"/>
        <w:rPr>
          <w:rFonts w:hint="eastAsia" w:ascii="宋体" w:hAnsi="宋体"/>
          <w:b w:val="0"/>
          <w:bCs/>
          <w:color w:val="auto"/>
          <w:sz w:val="24"/>
          <w:szCs w:val="24"/>
          <w:highlight w:val="none"/>
        </w:rPr>
      </w:pPr>
      <w:r>
        <w:rPr>
          <w:rFonts w:hint="eastAsia" w:ascii="宋体" w:hAnsi="宋体"/>
          <w:b w:val="0"/>
          <w:bCs/>
          <w:color w:val="auto"/>
          <w:sz w:val="24"/>
          <w:szCs w:val="24"/>
          <w:highlight w:val="none"/>
        </w:rPr>
        <w:t>贵港市覃塘区东龙镇人民政府：</w:t>
      </w:r>
    </w:p>
    <w:p w14:paraId="56250E7B">
      <w:pPr>
        <w:spacing w:line="480" w:lineRule="auto"/>
        <w:ind w:firstLine="480" w:firstLineChars="200"/>
        <w:rPr>
          <w:rFonts w:hint="eastAsia" w:ascii="宋体" w:hAnsi="宋体" w:cs="仿宋_GB2312"/>
          <w:b w:val="0"/>
          <w:bCs/>
          <w:color w:val="auto"/>
          <w:sz w:val="24"/>
          <w:highlight w:val="none"/>
        </w:rPr>
      </w:pPr>
      <w:r>
        <w:rPr>
          <w:rFonts w:hint="eastAsia" w:ascii="宋体" w:hAnsi="宋体"/>
          <w:b w:val="0"/>
          <w:bCs/>
          <w:color w:val="auto"/>
          <w:sz w:val="24"/>
          <w:szCs w:val="24"/>
          <w:highlight w:val="none"/>
        </w:rPr>
        <w:t>我方已仔细研究了</w:t>
      </w:r>
      <w:r>
        <w:rPr>
          <w:rFonts w:hint="eastAsia" w:ascii="宋体" w:hAnsi="宋体"/>
          <w:b w:val="0"/>
          <w:bCs/>
          <w:color w:val="auto"/>
          <w:sz w:val="24"/>
          <w:szCs w:val="24"/>
          <w:highlight w:val="none"/>
          <w:u w:val="single"/>
        </w:rPr>
        <w:t xml:space="preserve"> 东龙镇乡村垃圾集中收集点项目建设（项目编号</w:t>
      </w:r>
      <w:r>
        <w:rPr>
          <w:rFonts w:hint="eastAsia" w:ascii="宋体" w:hAnsi="宋体"/>
          <w:b w:val="0"/>
          <w:bCs/>
          <w:color w:val="auto"/>
          <w:sz w:val="24"/>
          <w:szCs w:val="24"/>
          <w:highlight w:val="none"/>
          <w:u w:val="single"/>
          <w:lang w:eastAsia="zh-CN"/>
        </w:rPr>
        <w:t>：GGZC2025-C2-040193-YZLZ</w:t>
      </w:r>
      <w:r>
        <w:rPr>
          <w:rFonts w:hint="eastAsia" w:ascii="宋体" w:hAnsi="宋体"/>
          <w:b w:val="0"/>
          <w:bCs/>
          <w:color w:val="auto"/>
          <w:sz w:val="24"/>
          <w:szCs w:val="24"/>
          <w:highlight w:val="none"/>
          <w:u w:val="single"/>
        </w:rPr>
        <w:t xml:space="preserve">） </w:t>
      </w:r>
      <w:r>
        <w:rPr>
          <w:rFonts w:hint="eastAsia" w:ascii="宋体" w:hAnsi="宋体"/>
          <w:b w:val="0"/>
          <w:bCs/>
          <w:color w:val="auto"/>
          <w:sz w:val="24"/>
          <w:szCs w:val="24"/>
          <w:highlight w:val="none"/>
        </w:rPr>
        <w:t>磋商文件的全部内容，</w:t>
      </w:r>
      <w:r>
        <w:rPr>
          <w:rFonts w:hint="eastAsia" w:ascii="宋体" w:hAnsi="宋体"/>
          <w:b w:val="0"/>
          <w:bCs/>
          <w:color w:val="auto"/>
          <w:sz w:val="24"/>
          <w:szCs w:val="24"/>
          <w:highlight w:val="none"/>
          <w:lang w:eastAsia="zh-CN"/>
        </w:rPr>
        <w:t>我方承诺成交后</w:t>
      </w:r>
      <w:r>
        <w:rPr>
          <w:rFonts w:hint="eastAsia" w:ascii="宋体" w:hAnsi="宋体"/>
          <w:b w:val="0"/>
          <w:bCs/>
          <w:color w:val="auto"/>
          <w:sz w:val="24"/>
          <w:szCs w:val="24"/>
          <w:highlight w:val="none"/>
        </w:rPr>
        <w:t>拟担任本项目工程项目经理无在建工程</w:t>
      </w:r>
      <w:r>
        <w:rPr>
          <w:rFonts w:hint="eastAsia" w:ascii="宋体" w:hAnsi="宋体"/>
          <w:b w:val="0"/>
          <w:bCs/>
          <w:color w:val="auto"/>
          <w:sz w:val="24"/>
          <w:szCs w:val="24"/>
          <w:highlight w:val="none"/>
          <w:lang w:eastAsia="zh-CN"/>
        </w:rPr>
        <w:t>，因此产生的不良后果</w:t>
      </w:r>
      <w:r>
        <w:rPr>
          <w:rFonts w:hint="eastAsia" w:ascii="宋体" w:hAnsi="宋体" w:cs="仿宋_GB2312"/>
          <w:b w:val="0"/>
          <w:bCs/>
          <w:color w:val="auto"/>
          <w:sz w:val="24"/>
          <w:highlight w:val="none"/>
        </w:rPr>
        <w:t>，我方愿意承担一切后果</w:t>
      </w:r>
      <w:r>
        <w:rPr>
          <w:rFonts w:hint="eastAsia" w:ascii="宋体" w:hAnsi="宋体" w:cs="仿宋_GB2312"/>
          <w:b w:val="0"/>
          <w:bCs/>
          <w:color w:val="auto"/>
          <w:sz w:val="24"/>
          <w:highlight w:val="none"/>
          <w:lang w:eastAsia="zh-CN"/>
        </w:rPr>
        <w:t>和法律责任</w:t>
      </w:r>
      <w:r>
        <w:rPr>
          <w:rFonts w:hint="eastAsia" w:ascii="宋体" w:hAnsi="宋体" w:cs="仿宋_GB2312"/>
          <w:b w:val="0"/>
          <w:bCs/>
          <w:color w:val="auto"/>
          <w:sz w:val="24"/>
          <w:highlight w:val="none"/>
        </w:rPr>
        <w:t>。</w:t>
      </w:r>
    </w:p>
    <w:p w14:paraId="6F027CB0">
      <w:pPr>
        <w:pStyle w:val="2"/>
        <w:spacing w:line="480" w:lineRule="auto"/>
        <w:rPr>
          <w:rFonts w:hint="eastAsia" w:ascii="宋体" w:hAnsi="宋体" w:cs="仿宋_GB2312"/>
          <w:b w:val="0"/>
          <w:bCs/>
          <w:color w:val="auto"/>
          <w:sz w:val="24"/>
          <w:highlight w:val="none"/>
        </w:rPr>
      </w:pPr>
    </w:p>
    <w:p w14:paraId="41282CDA">
      <w:pPr>
        <w:pStyle w:val="2"/>
        <w:spacing w:line="480" w:lineRule="auto"/>
        <w:rPr>
          <w:rFonts w:hint="eastAsia" w:ascii="宋体" w:hAnsi="宋体" w:cs="仿宋_GB2312"/>
          <w:b w:val="0"/>
          <w:bCs/>
          <w:color w:val="auto"/>
          <w:sz w:val="24"/>
          <w:highlight w:val="none"/>
        </w:rPr>
      </w:pPr>
    </w:p>
    <w:p w14:paraId="7387709E">
      <w:pPr>
        <w:spacing w:line="480" w:lineRule="auto"/>
        <w:ind w:right="-817" w:rightChars="-389"/>
        <w:contextualSpacing/>
        <w:jc w:val="both"/>
        <w:rPr>
          <w:rFonts w:hint="eastAsia" w:ascii="宋体" w:hAnsi="宋体" w:cs="仿宋_GB2312"/>
          <w:b w:val="0"/>
          <w:bCs/>
          <w:color w:val="auto"/>
          <w:sz w:val="24"/>
          <w:highlight w:val="none"/>
        </w:rPr>
      </w:pPr>
      <w:r>
        <w:rPr>
          <w:rFonts w:hint="eastAsia" w:ascii="宋体" w:hAnsi="宋体" w:cs="仿宋_GB2312"/>
          <w:b w:val="0"/>
          <w:bCs/>
          <w:color w:val="auto"/>
          <w:sz w:val="24"/>
          <w:highlight w:val="none"/>
        </w:rPr>
        <w:t>法定代表人或者委托代理人（</w:t>
      </w:r>
      <w:r>
        <w:rPr>
          <w:rFonts w:hint="eastAsia" w:ascii="宋体" w:hAnsi="宋体" w:cs="宋体"/>
          <w:b w:val="0"/>
          <w:bCs/>
          <w:color w:val="auto"/>
          <w:sz w:val="24"/>
          <w:highlight w:val="none"/>
        </w:rPr>
        <w:t>签字或盖章或电子签名</w:t>
      </w:r>
      <w:r>
        <w:rPr>
          <w:rFonts w:hint="eastAsia" w:ascii="宋体" w:hAnsi="宋体" w:cs="仿宋_GB2312"/>
          <w:b w:val="0"/>
          <w:bCs/>
          <w:color w:val="auto"/>
          <w:sz w:val="24"/>
          <w:highlight w:val="none"/>
        </w:rPr>
        <w:t>）：</w:t>
      </w:r>
    </w:p>
    <w:p w14:paraId="14EAD68C">
      <w:pPr>
        <w:spacing w:line="480" w:lineRule="auto"/>
        <w:ind w:right="-817" w:rightChars="-389" w:firstLine="2640" w:firstLineChars="1100"/>
        <w:contextualSpacing/>
        <w:jc w:val="both"/>
        <w:rPr>
          <w:rFonts w:hint="eastAsia" w:ascii="宋体" w:hAnsi="宋体" w:cs="仿宋_GB2312"/>
          <w:b w:val="0"/>
          <w:bCs/>
          <w:color w:val="auto"/>
          <w:sz w:val="24"/>
          <w:highlight w:val="none"/>
        </w:rPr>
      </w:pPr>
      <w:r>
        <w:rPr>
          <w:rFonts w:hint="eastAsia" w:ascii="宋体" w:hAnsi="宋体" w:cs="仿宋_GB2312"/>
          <w:b w:val="0"/>
          <w:bCs/>
          <w:color w:val="auto"/>
          <w:sz w:val="24"/>
          <w:highlight w:val="none"/>
        </w:rPr>
        <w:t>供应商（电子签章）：</w:t>
      </w:r>
    </w:p>
    <w:p w14:paraId="15D278EB">
      <w:pPr>
        <w:pStyle w:val="2"/>
        <w:spacing w:line="480" w:lineRule="auto"/>
        <w:jc w:val="center"/>
        <w:rPr>
          <w:rFonts w:hint="eastAsia"/>
          <w:b w:val="0"/>
          <w:bCs/>
          <w:color w:val="auto"/>
          <w:highlight w:val="none"/>
          <w:lang w:eastAsia="zh-CN"/>
        </w:rPr>
      </w:pPr>
      <w:r>
        <w:rPr>
          <w:rFonts w:hint="eastAsia" w:ascii="宋体" w:hAnsi="宋体" w:cs="仿宋_GB2312"/>
          <w:b w:val="0"/>
          <w:bCs/>
          <w:color w:val="auto"/>
          <w:sz w:val="24"/>
          <w:highlight w:val="none"/>
          <w:lang w:val="en-US" w:eastAsia="zh-CN"/>
        </w:rPr>
        <w:t xml:space="preserve">        </w:t>
      </w:r>
      <w:r>
        <w:rPr>
          <w:rFonts w:hint="eastAsia" w:ascii="宋体" w:hAnsi="宋体" w:cs="仿宋_GB2312"/>
          <w:b w:val="0"/>
          <w:bCs/>
          <w:color w:val="auto"/>
          <w:sz w:val="24"/>
          <w:highlight w:val="none"/>
        </w:rPr>
        <w:t>日期：   年   月   日</w:t>
      </w:r>
    </w:p>
    <w:p w14:paraId="1D55B3EC">
      <w:pPr>
        <w:pStyle w:val="2"/>
        <w:rPr>
          <w:rFonts w:hint="eastAsia"/>
          <w:b w:val="0"/>
          <w:bCs/>
          <w:color w:val="auto"/>
          <w:highlight w:val="none"/>
        </w:rPr>
      </w:pPr>
    </w:p>
    <w:p w14:paraId="44F6A1AE">
      <w:pPr>
        <w:rPr>
          <w:rFonts w:hint="eastAsia" w:ascii="宋体" w:hAnsi="宋体"/>
          <w:b/>
          <w:bCs/>
          <w:color w:val="auto"/>
          <w:sz w:val="32"/>
          <w:szCs w:val="32"/>
          <w:highlight w:val="none"/>
        </w:rPr>
      </w:pPr>
      <w:r>
        <w:rPr>
          <w:rFonts w:hint="eastAsia" w:ascii="宋体" w:hAnsi="宋体"/>
          <w:b/>
          <w:bCs/>
          <w:color w:val="auto"/>
          <w:sz w:val="32"/>
          <w:szCs w:val="32"/>
          <w:highlight w:val="none"/>
        </w:rPr>
        <w:br w:type="page"/>
      </w:r>
    </w:p>
    <w:p w14:paraId="40657CE1">
      <w:pPr>
        <w:spacing w:line="360" w:lineRule="auto"/>
        <w:ind w:firstLine="321" w:firstLineChars="100"/>
        <w:contextualSpacing/>
        <w:jc w:val="center"/>
        <w:rPr>
          <w:rFonts w:hint="eastAsia" w:ascii="宋体" w:hAnsi="宋体"/>
          <w:b/>
          <w:color w:val="auto"/>
          <w:sz w:val="32"/>
          <w:szCs w:val="32"/>
          <w:highlight w:val="none"/>
        </w:rPr>
      </w:pP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107497D0">
      <w:pPr>
        <w:snapToGrid w:val="0"/>
        <w:spacing w:before="120" w:beforeLines="50" w:after="50"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t>1.报价文件封面格式</w:t>
      </w:r>
    </w:p>
    <w:p w14:paraId="63F0B265">
      <w:pPr>
        <w:snapToGrid w:val="0"/>
        <w:spacing w:before="120" w:beforeLines="50" w:after="50"/>
        <w:rPr>
          <w:rFonts w:hint="eastAsia" w:ascii="宋体" w:hAnsi="宋体"/>
          <w:bCs/>
          <w:color w:val="auto"/>
          <w:sz w:val="32"/>
          <w:szCs w:val="20"/>
          <w:highlight w:val="none"/>
        </w:rPr>
      </w:pPr>
    </w:p>
    <w:p w14:paraId="23F8B07F">
      <w:pPr>
        <w:snapToGrid w:val="0"/>
        <w:spacing w:before="120"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1697CFE1">
      <w:pPr>
        <w:snapToGrid w:val="0"/>
        <w:spacing w:before="120" w:beforeLines="50" w:after="50"/>
        <w:rPr>
          <w:rFonts w:hint="eastAsia" w:ascii="宋体" w:hAnsi="宋体"/>
          <w:color w:val="auto"/>
          <w:sz w:val="24"/>
          <w:szCs w:val="20"/>
          <w:highlight w:val="none"/>
        </w:rPr>
      </w:pPr>
    </w:p>
    <w:p w14:paraId="590EB91D">
      <w:pPr>
        <w:snapToGrid w:val="0"/>
        <w:spacing w:before="120" w:beforeLines="50" w:after="50"/>
        <w:rPr>
          <w:rFonts w:hint="eastAsia" w:ascii="宋体" w:hAnsi="宋体"/>
          <w:color w:val="auto"/>
          <w:sz w:val="24"/>
          <w:szCs w:val="20"/>
          <w:highlight w:val="none"/>
        </w:rPr>
      </w:pPr>
    </w:p>
    <w:p w14:paraId="24E0673A">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4FE4DFCE">
      <w:pPr>
        <w:snapToGrid w:val="0"/>
        <w:spacing w:before="120" w:beforeLines="50" w:after="50"/>
        <w:rPr>
          <w:rFonts w:hint="eastAsia" w:ascii="宋体" w:hAnsi="宋体"/>
          <w:bCs/>
          <w:color w:val="auto"/>
          <w:sz w:val="24"/>
          <w:szCs w:val="20"/>
          <w:highlight w:val="none"/>
        </w:rPr>
      </w:pPr>
    </w:p>
    <w:p w14:paraId="1A6AC378">
      <w:pPr>
        <w:snapToGrid w:val="0"/>
        <w:spacing w:before="120" w:beforeLines="50" w:after="50"/>
        <w:rPr>
          <w:rFonts w:hint="eastAsia" w:ascii="宋体" w:hAnsi="宋体"/>
          <w:bCs/>
          <w:color w:val="auto"/>
          <w:sz w:val="24"/>
          <w:szCs w:val="20"/>
          <w:highlight w:val="none"/>
        </w:rPr>
      </w:pPr>
    </w:p>
    <w:p w14:paraId="0CD9A013">
      <w:pPr>
        <w:snapToGrid w:val="0"/>
        <w:spacing w:before="120" w:beforeLines="50" w:after="50"/>
        <w:rPr>
          <w:rFonts w:hint="eastAsia" w:ascii="宋体" w:hAnsi="宋体"/>
          <w:bCs/>
          <w:color w:val="auto"/>
          <w:sz w:val="24"/>
          <w:szCs w:val="20"/>
          <w:highlight w:val="none"/>
        </w:rPr>
      </w:pPr>
    </w:p>
    <w:p w14:paraId="13DEA556">
      <w:pPr>
        <w:snapToGrid w:val="0"/>
        <w:spacing w:before="120" w:beforeLines="50" w:after="50"/>
        <w:rPr>
          <w:rFonts w:hint="eastAsia" w:ascii="宋体" w:hAnsi="宋体"/>
          <w:bCs/>
          <w:color w:val="auto"/>
          <w:sz w:val="24"/>
          <w:szCs w:val="20"/>
          <w:highlight w:val="none"/>
        </w:rPr>
      </w:pPr>
    </w:p>
    <w:p w14:paraId="5F79A311">
      <w:pPr>
        <w:snapToGrid w:val="0"/>
        <w:spacing w:before="120" w:beforeLines="50" w:after="50"/>
        <w:rPr>
          <w:rFonts w:hint="eastAsia" w:ascii="宋体" w:hAnsi="宋体"/>
          <w:bCs/>
          <w:color w:val="auto"/>
          <w:sz w:val="24"/>
          <w:szCs w:val="20"/>
          <w:highlight w:val="none"/>
        </w:rPr>
      </w:pPr>
    </w:p>
    <w:p w14:paraId="5871A04F">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1A1FEE70">
      <w:pPr>
        <w:snapToGrid w:val="0"/>
        <w:spacing w:before="120" w:beforeLines="50" w:after="50"/>
        <w:ind w:firstLine="720" w:firstLineChars="225"/>
        <w:rPr>
          <w:rFonts w:hint="eastAsia" w:ascii="宋体" w:hAnsi="宋体" w:cs="仿宋_GB2312"/>
          <w:bCs/>
          <w:color w:val="auto"/>
          <w:sz w:val="32"/>
          <w:szCs w:val="32"/>
          <w:highlight w:val="none"/>
        </w:rPr>
      </w:pPr>
    </w:p>
    <w:p w14:paraId="560AFC34">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7E7A3599">
      <w:pPr>
        <w:snapToGrid w:val="0"/>
        <w:spacing w:before="120" w:beforeLines="50" w:after="50"/>
        <w:ind w:firstLine="720" w:firstLineChars="225"/>
        <w:rPr>
          <w:rFonts w:hint="eastAsia" w:ascii="宋体" w:hAnsi="宋体" w:cs="仿宋_GB2312"/>
          <w:bCs/>
          <w:color w:val="auto"/>
          <w:sz w:val="32"/>
          <w:szCs w:val="32"/>
          <w:highlight w:val="none"/>
        </w:rPr>
      </w:pPr>
    </w:p>
    <w:p w14:paraId="31671F33">
      <w:pPr>
        <w:pStyle w:val="8"/>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5C24C1AA">
      <w:pPr>
        <w:pStyle w:val="8"/>
        <w:snapToGrid w:val="0"/>
        <w:spacing w:before="50" w:after="50"/>
        <w:ind w:firstLine="640" w:firstLineChars="200"/>
        <w:rPr>
          <w:rFonts w:hint="eastAsia" w:ascii="宋体" w:hAnsi="宋体" w:cs="仿宋_GB2312"/>
          <w:bCs/>
          <w:color w:val="auto"/>
          <w:sz w:val="32"/>
          <w:szCs w:val="32"/>
          <w:highlight w:val="none"/>
        </w:rPr>
      </w:pPr>
    </w:p>
    <w:p w14:paraId="0926844F">
      <w:pPr>
        <w:pStyle w:val="8"/>
        <w:snapToGrid w:val="0"/>
        <w:spacing w:before="50" w:after="50"/>
        <w:ind w:firstLine="720" w:firstLineChars="225"/>
        <w:rPr>
          <w:rFonts w:hint="eastAsia" w:ascii="宋体" w:hAnsi="宋体" w:cs="仿宋_GB2312"/>
          <w:bCs/>
          <w:color w:val="auto"/>
          <w:sz w:val="32"/>
          <w:szCs w:val="32"/>
          <w:highlight w:val="none"/>
        </w:rPr>
      </w:pPr>
    </w:p>
    <w:p w14:paraId="25AE6D3E">
      <w:pPr>
        <w:pStyle w:val="8"/>
        <w:snapToGrid w:val="0"/>
        <w:spacing w:before="50" w:after="50"/>
        <w:ind w:firstLine="0"/>
        <w:rPr>
          <w:rFonts w:hint="eastAsia" w:ascii="宋体" w:hAnsi="宋体" w:cs="仿宋_GB2312"/>
          <w:bCs/>
          <w:color w:val="auto"/>
          <w:sz w:val="32"/>
          <w:szCs w:val="32"/>
          <w:highlight w:val="none"/>
        </w:rPr>
      </w:pPr>
    </w:p>
    <w:p w14:paraId="2FA1B340">
      <w:pPr>
        <w:pStyle w:val="8"/>
        <w:snapToGrid w:val="0"/>
        <w:spacing w:before="50" w:after="50"/>
        <w:ind w:firstLine="1280" w:firstLineChars="400"/>
        <w:rPr>
          <w:rFonts w:hint="eastAsia" w:ascii="宋体" w:hAnsi="宋体" w:cs="仿宋_GB2312"/>
          <w:bCs/>
          <w:color w:val="auto"/>
          <w:sz w:val="32"/>
          <w:szCs w:val="32"/>
          <w:highlight w:val="none"/>
        </w:rPr>
      </w:pPr>
    </w:p>
    <w:p w14:paraId="69665BEA">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16E10CA8">
      <w:pPr>
        <w:snapToGrid w:val="0"/>
        <w:spacing w:before="120" w:beforeLines="50" w:after="50" w:line="360" w:lineRule="auto"/>
        <w:ind w:left="142"/>
        <w:jc w:val="left"/>
        <w:rPr>
          <w:rFonts w:hint="eastAsia" w:ascii="宋体" w:hAnsi="宋体"/>
          <w:b/>
          <w:bCs/>
          <w:color w:val="auto"/>
          <w:sz w:val="24"/>
          <w:highlight w:val="none"/>
        </w:rPr>
      </w:pPr>
      <w:r>
        <w:rPr>
          <w:rFonts w:hint="eastAsia" w:ascii="宋体" w:hAnsi="宋体"/>
          <w:color w:val="auto"/>
          <w:szCs w:val="21"/>
          <w:highlight w:val="none"/>
        </w:rPr>
        <w:br w:type="page"/>
      </w:r>
      <w:r>
        <w:rPr>
          <w:rFonts w:hint="eastAsia" w:ascii="宋体" w:hAnsi="宋体"/>
          <w:b/>
          <w:bCs/>
          <w:color w:val="auto"/>
          <w:sz w:val="32"/>
          <w:szCs w:val="32"/>
          <w:highlight w:val="none"/>
        </w:rPr>
        <w:t>2.报价文件目录</w:t>
      </w:r>
    </w:p>
    <w:p w14:paraId="52AF4B0B">
      <w:pPr>
        <w:spacing w:line="520" w:lineRule="exact"/>
        <w:jc w:val="center"/>
        <w:rPr>
          <w:rFonts w:hint="eastAsia" w:ascii="宋体" w:hAnsi="宋体" w:cs="方正小标宋简体"/>
          <w:b/>
          <w:bCs/>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r>
        <w:rPr>
          <w:rFonts w:ascii="宋体" w:hAnsi="宋体"/>
          <w:b/>
          <w:bCs/>
          <w:color w:val="auto"/>
          <w:sz w:val="32"/>
          <w:szCs w:val="32"/>
          <w:highlight w:val="none"/>
        </w:rPr>
        <w:br w:type="page"/>
      </w:r>
      <w:r>
        <w:rPr>
          <w:rFonts w:hint="eastAsia" w:ascii="宋体" w:hAnsi="宋体" w:cs="方正小标宋简体"/>
          <w:b/>
          <w:bCs/>
          <w:color w:val="auto"/>
          <w:sz w:val="32"/>
          <w:szCs w:val="32"/>
          <w:highlight w:val="none"/>
        </w:rPr>
        <w:t>竞标函及竞标函附录</w:t>
      </w:r>
    </w:p>
    <w:p w14:paraId="29DEBFD0">
      <w:pPr>
        <w:spacing w:line="520" w:lineRule="exact"/>
        <w:jc w:val="center"/>
        <w:rPr>
          <w:rFonts w:hint="eastAsia" w:ascii="宋体" w:hAnsi="宋体" w:cs="方正小标宋简体"/>
          <w:b/>
          <w:bCs/>
          <w:color w:val="auto"/>
          <w:sz w:val="32"/>
          <w:szCs w:val="32"/>
          <w:highlight w:val="none"/>
        </w:rPr>
      </w:pPr>
    </w:p>
    <w:p w14:paraId="617147BB">
      <w:pPr>
        <w:spacing w:line="520" w:lineRule="exact"/>
        <w:jc w:val="center"/>
        <w:rPr>
          <w:rFonts w:hint="eastAsia" w:ascii="宋体" w:hAnsi="宋体" w:cs="方正小标宋简体"/>
          <w:b/>
          <w:bCs/>
          <w:color w:val="auto"/>
          <w:sz w:val="32"/>
          <w:szCs w:val="32"/>
          <w:highlight w:val="none"/>
        </w:rPr>
      </w:pPr>
      <w:r>
        <w:rPr>
          <w:rFonts w:hint="eastAsia" w:ascii="宋体" w:hAnsi="宋体" w:cs="方正小标宋简体"/>
          <w:b/>
          <w:bCs/>
          <w:color w:val="auto"/>
          <w:sz w:val="32"/>
          <w:szCs w:val="32"/>
          <w:highlight w:val="none"/>
        </w:rPr>
        <w:t>（一）竞标函</w:t>
      </w:r>
    </w:p>
    <w:p w14:paraId="51D9C17A">
      <w:pPr>
        <w:spacing w:line="520" w:lineRule="exact"/>
        <w:jc w:val="center"/>
        <w:rPr>
          <w:rFonts w:hint="eastAsia" w:ascii="宋体" w:hAnsi="宋体" w:cs="方正小标宋简体"/>
          <w:b/>
          <w:bCs/>
          <w:color w:val="auto"/>
          <w:sz w:val="32"/>
          <w:szCs w:val="32"/>
          <w:highlight w:val="none"/>
        </w:rPr>
      </w:pPr>
    </w:p>
    <w:p w14:paraId="29E0386B">
      <w:pPr>
        <w:spacing w:line="360" w:lineRule="auto"/>
        <w:rPr>
          <w:color w:val="auto"/>
          <w:szCs w:val="21"/>
          <w:highlight w:val="none"/>
        </w:rPr>
      </w:pPr>
      <w:r>
        <w:rPr>
          <w:rFonts w:hint="eastAsia"/>
          <w:color w:val="auto"/>
          <w:szCs w:val="21"/>
          <w:highlight w:val="none"/>
          <w:lang w:eastAsia="zh-CN"/>
        </w:rPr>
        <w:t>贵港市覃塘区东龙镇人民政府</w:t>
      </w:r>
      <w:r>
        <w:rPr>
          <w:color w:val="auto"/>
          <w:szCs w:val="21"/>
          <w:highlight w:val="none"/>
        </w:rPr>
        <w:t>：</w:t>
      </w:r>
    </w:p>
    <w:p w14:paraId="56F0121E">
      <w:pPr>
        <w:pStyle w:val="93"/>
        <w:numPr>
          <w:ilvl w:val="0"/>
          <w:numId w:val="3"/>
        </w:numPr>
        <w:tabs>
          <w:tab w:val="left" w:pos="762"/>
          <w:tab w:val="left" w:pos="2074"/>
          <w:tab w:val="left" w:pos="3430"/>
          <w:tab w:val="left" w:pos="4687"/>
          <w:tab w:val="left" w:pos="7898"/>
        </w:tabs>
        <w:ind w:firstLine="440"/>
        <w:rPr>
          <w:rFonts w:ascii="Times New Roman" w:hAnsi="Times New Roman" w:cs="Times New Roman"/>
          <w:color w:val="auto"/>
          <w:szCs w:val="21"/>
          <w:highlight w:val="none"/>
        </w:rPr>
      </w:pPr>
      <w:bookmarkStart w:id="99" w:name="bookmark2065"/>
      <w:bookmarkEnd w:id="99"/>
      <w:r>
        <w:rPr>
          <w:rFonts w:ascii="Times New Roman" w:hAnsi="Times New Roman" w:cs="Times New Roman"/>
          <w:color w:val="auto"/>
          <w:szCs w:val="21"/>
          <w:highlight w:val="none"/>
        </w:rPr>
        <w:t>我方已仔细研究了</w:t>
      </w:r>
      <w:r>
        <w:rPr>
          <w:rFonts w:hint="eastAsia" w:ascii="Times New Roman" w:hAnsi="Times New Roman" w:cs="Times New Roman"/>
          <w:color w:val="auto"/>
          <w:szCs w:val="21"/>
          <w:highlight w:val="none"/>
          <w:u w:val="single"/>
          <w:lang w:val="en-US"/>
        </w:rPr>
        <w:t xml:space="preserve">           </w:t>
      </w:r>
      <w:r>
        <w:rPr>
          <w:rFonts w:ascii="Times New Roman" w:hAnsi="Times New Roman" w:cs="Times New Roman"/>
          <w:color w:val="auto"/>
          <w:szCs w:val="21"/>
          <w:highlight w:val="none"/>
          <w:u w:val="single"/>
        </w:rPr>
        <w:t>（项目名称</w:t>
      </w:r>
      <w:r>
        <w:rPr>
          <w:rFonts w:hint="eastAsia" w:ascii="Times New Roman" w:hAnsi="Times New Roman" w:cs="Times New Roman"/>
          <w:color w:val="auto"/>
          <w:szCs w:val="21"/>
          <w:highlight w:val="none"/>
          <w:u w:val="single"/>
        </w:rPr>
        <w:t>、项目编号</w:t>
      </w:r>
      <w:r>
        <w:rPr>
          <w:rFonts w:ascii="Times New Roman" w:hAnsi="Times New Roman" w:cs="Times New Roman"/>
          <w:color w:val="auto"/>
          <w:szCs w:val="21"/>
          <w:highlight w:val="none"/>
          <w:u w:val="single"/>
        </w:rPr>
        <w:t>）</w:t>
      </w:r>
      <w:r>
        <w:rPr>
          <w:rFonts w:hint="eastAsia" w:ascii="Times New Roman" w:hAnsi="Times New Roman" w:cs="Times New Roman"/>
          <w:color w:val="auto"/>
          <w:szCs w:val="21"/>
          <w:highlight w:val="none"/>
          <w:u w:val="single"/>
          <w:lang w:val="en-US"/>
        </w:rPr>
        <w:t xml:space="preserve">          </w:t>
      </w:r>
      <w:r>
        <w:rPr>
          <w:rFonts w:hint="eastAsia" w:ascii="Times New Roman" w:hAnsi="Times New Roman" w:cs="Times New Roman"/>
          <w:color w:val="auto"/>
          <w:szCs w:val="21"/>
          <w:highlight w:val="none"/>
        </w:rPr>
        <w:t>磋商</w:t>
      </w:r>
      <w:r>
        <w:rPr>
          <w:rFonts w:ascii="Times New Roman" w:hAnsi="Times New Roman" w:cs="Times New Roman"/>
          <w:color w:val="auto"/>
          <w:szCs w:val="21"/>
          <w:highlight w:val="none"/>
        </w:rPr>
        <w:t>文件的全部内容，愿意以人民币（大写）</w:t>
      </w:r>
      <w:r>
        <w:rPr>
          <w:rFonts w:hint="eastAsia" w:ascii="Times New Roman" w:hAnsi="Times New Roman" w:cs="Times New Roman"/>
          <w:color w:val="auto"/>
          <w:szCs w:val="21"/>
          <w:highlight w:val="none"/>
          <w:u w:val="single"/>
          <w:lang w:val="en-US"/>
        </w:rPr>
        <w:t xml:space="preserve">         </w:t>
      </w:r>
      <w:r>
        <w:rPr>
          <w:rFonts w:ascii="Times New Roman" w:hAnsi="Times New Roman" w:cs="Times New Roman"/>
          <w:color w:val="auto"/>
          <w:szCs w:val="21"/>
          <w:highlight w:val="none"/>
        </w:rPr>
        <w:t>元（¥</w:t>
      </w:r>
      <w:r>
        <w:rPr>
          <w:rFonts w:hint="eastAsia" w:ascii="Times New Roman" w:hAnsi="Times New Roman" w:cs="Times New Roman"/>
          <w:color w:val="auto"/>
          <w:szCs w:val="21"/>
          <w:highlight w:val="none"/>
          <w:u w:val="single"/>
          <w:lang w:val="en-US"/>
        </w:rPr>
        <w:t xml:space="preserve">        </w:t>
      </w:r>
      <w:r>
        <w:rPr>
          <w:rFonts w:ascii="Times New Roman" w:hAnsi="Times New Roman" w:cs="Times New Roman"/>
          <w:color w:val="auto"/>
          <w:szCs w:val="21"/>
          <w:highlight w:val="none"/>
        </w:rPr>
        <w:t>）的</w:t>
      </w:r>
      <w:r>
        <w:rPr>
          <w:rFonts w:hint="eastAsia" w:ascii="Times New Roman" w:hAnsi="Times New Roman" w:cs="Times New Roman"/>
          <w:color w:val="auto"/>
          <w:szCs w:val="21"/>
          <w:highlight w:val="none"/>
        </w:rPr>
        <w:t>竞</w:t>
      </w:r>
      <w:r>
        <w:rPr>
          <w:rFonts w:ascii="Times New Roman" w:hAnsi="Times New Roman" w:cs="Times New Roman"/>
          <w:color w:val="auto"/>
          <w:szCs w:val="21"/>
          <w:highlight w:val="none"/>
        </w:rPr>
        <w:t>标总报价，工期</w:t>
      </w:r>
      <w:r>
        <w:rPr>
          <w:rFonts w:hint="eastAsia" w:ascii="Times New Roman" w:hAnsi="Times New Roman" w:cs="Times New Roman"/>
          <w:color w:val="auto"/>
          <w:szCs w:val="21"/>
          <w:highlight w:val="none"/>
          <w:u w:val="single"/>
          <w:lang w:val="en-US"/>
        </w:rPr>
        <w:t xml:space="preserve">          </w:t>
      </w:r>
      <w:r>
        <w:rPr>
          <w:rFonts w:ascii="Times New Roman" w:hAnsi="Times New Roman" w:cs="Times New Roman"/>
          <w:color w:val="auto"/>
          <w:szCs w:val="21"/>
          <w:highlight w:val="none"/>
        </w:rPr>
        <w:t>日历天，按合同约定实施和完成承包工程，修补工程中的任何缺陷，工程质量达到</w:t>
      </w:r>
      <w:r>
        <w:rPr>
          <w:rFonts w:hint="eastAsia" w:ascii="Times New Roman" w:hAnsi="Times New Roman" w:cs="Times New Roman"/>
          <w:color w:val="auto"/>
          <w:szCs w:val="21"/>
          <w:highlight w:val="none"/>
          <w:u w:val="single"/>
          <w:lang w:val="en-US"/>
        </w:rPr>
        <w:t xml:space="preserve">           </w:t>
      </w:r>
      <w:r>
        <w:rPr>
          <w:rFonts w:ascii="Times New Roman" w:hAnsi="Times New Roman" w:cs="Times New Roman"/>
          <w:color w:val="auto"/>
          <w:szCs w:val="21"/>
          <w:highlight w:val="none"/>
          <w:u w:val="single"/>
        </w:rPr>
        <w:t xml:space="preserve"> </w:t>
      </w:r>
      <w:r>
        <w:rPr>
          <w:rFonts w:ascii="Times New Roman" w:hAnsi="Times New Roman" w:cs="Times New Roman"/>
          <w:color w:val="auto"/>
          <w:szCs w:val="21"/>
          <w:highlight w:val="none"/>
          <w:lang w:val="en-US" w:bidi="en-US"/>
        </w:rPr>
        <w:t>。</w:t>
      </w:r>
    </w:p>
    <w:p w14:paraId="4B1DE1D1">
      <w:pPr>
        <w:pStyle w:val="93"/>
        <w:numPr>
          <w:ilvl w:val="0"/>
          <w:numId w:val="3"/>
        </w:numPr>
        <w:tabs>
          <w:tab w:val="left" w:pos="762"/>
        </w:tabs>
        <w:ind w:firstLine="420"/>
        <w:rPr>
          <w:rFonts w:hint="eastAsia" w:ascii="Times New Roman" w:hAnsi="Times New Roman" w:cs="Times New Roman"/>
          <w:color w:val="auto"/>
          <w:szCs w:val="21"/>
          <w:highlight w:val="none"/>
        </w:rPr>
      </w:pPr>
      <w:bookmarkStart w:id="100" w:name="bookmark2068"/>
      <w:bookmarkEnd w:id="100"/>
      <w:bookmarkStart w:id="101" w:name="bookmark2066"/>
      <w:bookmarkEnd w:id="101"/>
      <w:bookmarkStart w:id="102" w:name="bookmark2067"/>
      <w:bookmarkEnd w:id="102"/>
      <w:r>
        <w:rPr>
          <w:rFonts w:hint="eastAsia"/>
          <w:color w:val="auto"/>
          <w:highlight w:val="none"/>
        </w:rPr>
        <w:t>我方承认竞标函附录是我方竞标函的组成部分。</w:t>
      </w:r>
    </w:p>
    <w:p w14:paraId="5A5330A9">
      <w:pPr>
        <w:pStyle w:val="93"/>
        <w:numPr>
          <w:ilvl w:val="0"/>
          <w:numId w:val="3"/>
        </w:numPr>
        <w:tabs>
          <w:tab w:val="left" w:pos="762"/>
        </w:tabs>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如我方</w:t>
      </w:r>
      <w:r>
        <w:rPr>
          <w:rFonts w:hint="eastAsia" w:ascii="Times New Roman" w:hAnsi="Times New Roman" w:cs="Times New Roman"/>
          <w:color w:val="auto"/>
          <w:szCs w:val="21"/>
          <w:highlight w:val="none"/>
        </w:rPr>
        <w:t>成交</w:t>
      </w:r>
      <w:r>
        <w:rPr>
          <w:rFonts w:ascii="Times New Roman" w:hAnsi="Times New Roman" w:cs="Times New Roman"/>
          <w:color w:val="auto"/>
          <w:szCs w:val="21"/>
          <w:highlight w:val="none"/>
        </w:rPr>
        <w:t>：</w:t>
      </w:r>
    </w:p>
    <w:p w14:paraId="7736CAF2">
      <w:pPr>
        <w:pStyle w:val="93"/>
        <w:tabs>
          <w:tab w:val="left" w:pos="903"/>
        </w:tabs>
        <w:ind w:firstLine="420"/>
        <w:rPr>
          <w:rFonts w:ascii="Times New Roman" w:hAnsi="Times New Roman" w:cs="Times New Roman"/>
          <w:color w:val="auto"/>
          <w:szCs w:val="21"/>
          <w:highlight w:val="none"/>
        </w:rPr>
      </w:pPr>
      <w:bookmarkStart w:id="103" w:name="bookmark2069"/>
      <w:r>
        <w:rPr>
          <w:rFonts w:ascii="Times New Roman" w:hAnsi="Times New Roman" w:cs="Times New Roman"/>
          <w:color w:val="auto"/>
          <w:szCs w:val="21"/>
          <w:highlight w:val="none"/>
        </w:rPr>
        <w:t>（</w:t>
      </w:r>
      <w:bookmarkEnd w:id="103"/>
      <w:r>
        <w:rPr>
          <w:rFonts w:ascii="Times New Roman" w:hAnsi="Times New Roman" w:cs="Times New Roman"/>
          <w:color w:val="auto"/>
          <w:szCs w:val="21"/>
          <w:highlight w:val="none"/>
        </w:rPr>
        <w:t>1）我方承诺在收到</w:t>
      </w:r>
      <w:r>
        <w:rPr>
          <w:rFonts w:hint="eastAsia" w:ascii="Times New Roman" w:hAnsi="Times New Roman" w:cs="Times New Roman"/>
          <w:color w:val="auto"/>
          <w:szCs w:val="21"/>
          <w:highlight w:val="none"/>
        </w:rPr>
        <w:t>成交</w:t>
      </w:r>
      <w:r>
        <w:rPr>
          <w:rFonts w:ascii="Times New Roman" w:hAnsi="Times New Roman" w:cs="Times New Roman"/>
          <w:color w:val="auto"/>
          <w:szCs w:val="21"/>
          <w:highlight w:val="none"/>
        </w:rPr>
        <w:t>通知书后，在</w:t>
      </w:r>
      <w:r>
        <w:rPr>
          <w:rFonts w:hint="eastAsia" w:ascii="Times New Roman" w:hAnsi="Times New Roman" w:cs="Times New Roman"/>
          <w:color w:val="auto"/>
          <w:szCs w:val="21"/>
          <w:highlight w:val="none"/>
        </w:rPr>
        <w:t>成交</w:t>
      </w:r>
      <w:r>
        <w:rPr>
          <w:rFonts w:ascii="Times New Roman" w:hAnsi="Times New Roman" w:cs="Times New Roman"/>
          <w:color w:val="auto"/>
          <w:szCs w:val="21"/>
          <w:highlight w:val="none"/>
        </w:rPr>
        <w:t>通知书规定的期限内与你方签订合同。</w:t>
      </w:r>
    </w:p>
    <w:p w14:paraId="558263D9">
      <w:pPr>
        <w:pStyle w:val="93"/>
        <w:tabs>
          <w:tab w:val="left" w:pos="903"/>
        </w:tabs>
        <w:ind w:firstLine="420"/>
        <w:rPr>
          <w:rFonts w:ascii="Times New Roman" w:hAnsi="Times New Roman" w:cs="Times New Roman"/>
          <w:color w:val="auto"/>
          <w:szCs w:val="21"/>
          <w:highlight w:val="none"/>
        </w:rPr>
      </w:pPr>
      <w:bookmarkStart w:id="104" w:name="bookmark2070"/>
      <w:r>
        <w:rPr>
          <w:rFonts w:ascii="Times New Roman" w:hAnsi="Times New Roman" w:cs="Times New Roman"/>
          <w:color w:val="auto"/>
          <w:szCs w:val="21"/>
          <w:highlight w:val="none"/>
        </w:rPr>
        <w:t>（</w:t>
      </w:r>
      <w:bookmarkEnd w:id="104"/>
      <w:r>
        <w:rPr>
          <w:rFonts w:ascii="Times New Roman" w:hAnsi="Times New Roman" w:cs="Times New Roman"/>
          <w:color w:val="auto"/>
          <w:szCs w:val="21"/>
          <w:highlight w:val="none"/>
        </w:rPr>
        <w:t>2）</w:t>
      </w:r>
      <w:r>
        <w:rPr>
          <w:color w:val="auto"/>
          <w:highlight w:val="none"/>
        </w:rPr>
        <w:t>在签订合同时不向你方提出附加条件</w:t>
      </w:r>
      <w:r>
        <w:rPr>
          <w:rFonts w:ascii="Times New Roman" w:hAnsi="Times New Roman" w:cs="Times New Roman"/>
          <w:color w:val="auto"/>
          <w:szCs w:val="21"/>
          <w:highlight w:val="none"/>
        </w:rPr>
        <w:t>。</w:t>
      </w:r>
    </w:p>
    <w:p w14:paraId="03CF016A">
      <w:pPr>
        <w:pStyle w:val="93"/>
        <w:tabs>
          <w:tab w:val="left" w:pos="903"/>
        </w:tabs>
        <w:ind w:firstLine="420"/>
        <w:rPr>
          <w:rFonts w:ascii="Times New Roman" w:hAnsi="Times New Roman" w:cs="Times New Roman"/>
          <w:color w:val="auto"/>
          <w:szCs w:val="21"/>
          <w:highlight w:val="none"/>
        </w:rPr>
      </w:pPr>
      <w:bookmarkStart w:id="105" w:name="bookmark2071"/>
      <w:r>
        <w:rPr>
          <w:rFonts w:ascii="Times New Roman" w:hAnsi="Times New Roman" w:cs="Times New Roman"/>
          <w:color w:val="auto"/>
          <w:szCs w:val="21"/>
          <w:highlight w:val="none"/>
        </w:rPr>
        <w:t>（</w:t>
      </w:r>
      <w:bookmarkEnd w:id="105"/>
      <w:r>
        <w:rPr>
          <w:rFonts w:ascii="Times New Roman" w:hAnsi="Times New Roman" w:cs="Times New Roman"/>
          <w:color w:val="auto"/>
          <w:szCs w:val="21"/>
          <w:highlight w:val="none"/>
        </w:rPr>
        <w:t>3）我方承诺按照</w:t>
      </w:r>
      <w:r>
        <w:rPr>
          <w:rFonts w:hint="eastAsia" w:ascii="Times New Roman" w:hAnsi="Times New Roman" w:cs="Times New Roman"/>
          <w:color w:val="auto"/>
          <w:szCs w:val="21"/>
          <w:highlight w:val="none"/>
        </w:rPr>
        <w:t>磋商</w:t>
      </w:r>
      <w:r>
        <w:rPr>
          <w:rFonts w:ascii="Times New Roman" w:hAnsi="Times New Roman" w:cs="Times New Roman"/>
          <w:color w:val="auto"/>
          <w:szCs w:val="21"/>
          <w:highlight w:val="none"/>
        </w:rPr>
        <w:t>文件规定向你方递交履约担保。</w:t>
      </w:r>
    </w:p>
    <w:p w14:paraId="6FEA8558">
      <w:pPr>
        <w:pStyle w:val="93"/>
        <w:tabs>
          <w:tab w:val="left" w:pos="903"/>
        </w:tabs>
        <w:ind w:firstLine="420"/>
        <w:rPr>
          <w:rFonts w:hint="eastAsia" w:ascii="Times New Roman" w:hAnsi="Times New Roman" w:cs="Times New Roman"/>
          <w:color w:val="auto"/>
          <w:szCs w:val="21"/>
          <w:highlight w:val="none"/>
        </w:rPr>
      </w:pPr>
      <w:bookmarkStart w:id="106" w:name="bookmark2072"/>
      <w:r>
        <w:rPr>
          <w:rFonts w:ascii="Times New Roman" w:hAnsi="Times New Roman" w:cs="Times New Roman"/>
          <w:color w:val="auto"/>
          <w:szCs w:val="21"/>
          <w:highlight w:val="none"/>
        </w:rPr>
        <w:t>（</w:t>
      </w:r>
      <w:bookmarkEnd w:id="106"/>
      <w:r>
        <w:rPr>
          <w:rFonts w:ascii="Times New Roman" w:hAnsi="Times New Roman" w:cs="Times New Roman"/>
          <w:color w:val="auto"/>
          <w:szCs w:val="21"/>
          <w:highlight w:val="none"/>
        </w:rPr>
        <w:t>4）我方承诺在合同约定的期限内完成并移交全部合同工程。</w:t>
      </w:r>
    </w:p>
    <w:p w14:paraId="6016686B">
      <w:pPr>
        <w:pStyle w:val="93"/>
        <w:numPr>
          <w:ilvl w:val="0"/>
          <w:numId w:val="3"/>
        </w:numPr>
        <w:tabs>
          <w:tab w:val="left" w:pos="762"/>
        </w:tabs>
        <w:ind w:firstLine="440"/>
        <w:rPr>
          <w:rFonts w:ascii="Times New Roman" w:hAnsi="Times New Roman" w:cs="Times New Roman"/>
          <w:color w:val="auto"/>
          <w:szCs w:val="21"/>
          <w:highlight w:val="none"/>
        </w:rPr>
      </w:pPr>
      <w:bookmarkStart w:id="107" w:name="bookmark2073"/>
      <w:bookmarkEnd w:id="107"/>
      <w:r>
        <w:rPr>
          <w:color w:val="auto"/>
          <w:highlight w:val="none"/>
        </w:rPr>
        <w:t>在合同协议书正式签署生效之前，本</w:t>
      </w:r>
      <w:r>
        <w:rPr>
          <w:rFonts w:hint="eastAsia" w:ascii="Times New Roman" w:hAnsi="Times New Roman" w:cs="Times New Roman"/>
          <w:color w:val="auto"/>
          <w:szCs w:val="21"/>
          <w:highlight w:val="none"/>
        </w:rPr>
        <w:t>竞</w:t>
      </w:r>
      <w:r>
        <w:rPr>
          <w:rFonts w:ascii="Times New Roman" w:hAnsi="Times New Roman" w:cs="Times New Roman"/>
          <w:color w:val="auto"/>
          <w:szCs w:val="21"/>
          <w:highlight w:val="none"/>
        </w:rPr>
        <w:t>标</w:t>
      </w:r>
      <w:r>
        <w:rPr>
          <w:color w:val="auto"/>
          <w:highlight w:val="none"/>
        </w:rPr>
        <w:t>函连同你方的</w:t>
      </w:r>
      <w:r>
        <w:rPr>
          <w:rFonts w:hint="eastAsia"/>
          <w:color w:val="auto"/>
          <w:highlight w:val="none"/>
        </w:rPr>
        <w:t>成交</w:t>
      </w:r>
      <w:r>
        <w:rPr>
          <w:color w:val="auto"/>
          <w:highlight w:val="none"/>
        </w:rPr>
        <w:t>通知书将构成我们双方之间共同遵守的文件，对双方具有约束力</w:t>
      </w:r>
      <w:r>
        <w:rPr>
          <w:rFonts w:ascii="Times New Roman" w:hAnsi="Times New Roman" w:cs="Times New Roman"/>
          <w:color w:val="auto"/>
          <w:szCs w:val="21"/>
          <w:highlight w:val="none"/>
        </w:rPr>
        <w:t>。</w:t>
      </w:r>
    </w:p>
    <w:p w14:paraId="71C414E2">
      <w:pPr>
        <w:spacing w:line="360" w:lineRule="auto"/>
        <w:ind w:firstLine="420" w:firstLineChars="200"/>
        <w:rPr>
          <w:rFonts w:hint="eastAsia"/>
          <w:color w:val="auto"/>
          <w:szCs w:val="21"/>
          <w:highlight w:val="none"/>
        </w:rPr>
      </w:pPr>
      <w:bookmarkStart w:id="108" w:name="bookmark2074"/>
      <w:bookmarkEnd w:id="108"/>
      <w:r>
        <w:rPr>
          <w:rFonts w:hint="eastAsia"/>
          <w:color w:val="auto"/>
          <w:szCs w:val="21"/>
          <w:highlight w:val="none"/>
        </w:rPr>
        <w:t>5.</w:t>
      </w:r>
      <w:r>
        <w:rPr>
          <w:rFonts w:hint="eastAsia"/>
          <w:color w:val="auto"/>
          <w:szCs w:val="21"/>
          <w:highlight w:val="none"/>
          <w:u w:val="single"/>
        </w:rPr>
        <w:t xml:space="preserve">                                                   </w:t>
      </w:r>
      <w:r>
        <w:rPr>
          <w:color w:val="auto"/>
          <w:szCs w:val="21"/>
          <w:highlight w:val="none"/>
        </w:rPr>
        <w:t>（其他补充说明）。</w:t>
      </w:r>
    </w:p>
    <w:p w14:paraId="67B09A55">
      <w:pPr>
        <w:spacing w:line="360" w:lineRule="auto"/>
        <w:jc w:val="center"/>
        <w:rPr>
          <w:rFonts w:hint="eastAsia" w:ascii="宋体" w:hAnsi="宋体" w:cs="方正小标宋简体"/>
          <w:b/>
          <w:bCs/>
          <w:color w:val="auto"/>
          <w:sz w:val="32"/>
          <w:szCs w:val="32"/>
          <w:highlight w:val="none"/>
        </w:rPr>
      </w:pPr>
    </w:p>
    <w:p w14:paraId="5A250DE5">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w:t>
      </w:r>
      <w:r>
        <w:rPr>
          <w:rFonts w:hint="eastAsia" w:ascii="宋体" w:hAnsi="宋体" w:cs="宋体"/>
          <w:color w:val="auto"/>
          <w:sz w:val="24"/>
          <w:highlight w:val="none"/>
        </w:rPr>
        <w:t>签字或盖章或电子签名</w:t>
      </w:r>
      <w:r>
        <w:rPr>
          <w:rFonts w:hint="eastAsia" w:ascii="宋体" w:hAnsi="宋体" w:cs="仿宋_GB2312"/>
          <w:color w:val="auto"/>
          <w:sz w:val="24"/>
          <w:highlight w:val="none"/>
        </w:rPr>
        <w:t xml:space="preserve">）：                    </w:t>
      </w:r>
    </w:p>
    <w:p w14:paraId="06FF3971">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7914E936">
      <w:pPr>
        <w:pStyle w:val="93"/>
        <w:tabs>
          <w:tab w:val="left" w:pos="903"/>
        </w:tabs>
        <w:ind w:firstLine="4800" w:firstLineChars="2000"/>
        <w:rPr>
          <w:rFonts w:hint="eastAsia" w:cs="方正小标宋简体"/>
          <w:b/>
          <w:bCs/>
          <w:color w:val="auto"/>
          <w:sz w:val="32"/>
          <w:szCs w:val="32"/>
          <w:highlight w:val="none"/>
        </w:rPr>
      </w:pPr>
      <w:r>
        <w:rPr>
          <w:rFonts w:hint="eastAsia" w:ascii="宋体" w:hAnsi="宋体" w:cs="仿宋_GB2312"/>
          <w:color w:val="auto"/>
          <w:sz w:val="24"/>
          <w:highlight w:val="none"/>
        </w:rPr>
        <w:t>日期：   年   月   日</w:t>
      </w:r>
      <w:r>
        <w:rPr>
          <w:rFonts w:ascii="宋体" w:hAnsi="宋体" w:cs="方正小标宋简体"/>
          <w:b/>
          <w:bCs/>
          <w:color w:val="auto"/>
          <w:sz w:val="32"/>
          <w:szCs w:val="32"/>
          <w:highlight w:val="none"/>
        </w:rPr>
        <w:br w:type="page"/>
      </w:r>
    </w:p>
    <w:p w14:paraId="4EE23DE4">
      <w:pPr>
        <w:spacing w:line="360" w:lineRule="auto"/>
        <w:jc w:val="center"/>
        <w:rPr>
          <w:rFonts w:hint="eastAsia" w:ascii="宋体" w:hAnsi="宋体" w:cs="方正小标宋简体"/>
          <w:b/>
          <w:bCs/>
          <w:color w:val="auto"/>
          <w:sz w:val="32"/>
          <w:szCs w:val="32"/>
          <w:highlight w:val="none"/>
        </w:rPr>
      </w:pPr>
      <w:r>
        <w:rPr>
          <w:rFonts w:hint="eastAsia" w:ascii="宋体" w:hAnsi="宋体" w:cs="方正小标宋简体"/>
          <w:b/>
          <w:bCs/>
          <w:color w:val="auto"/>
          <w:sz w:val="32"/>
          <w:szCs w:val="32"/>
          <w:highlight w:val="none"/>
        </w:rPr>
        <w:t>（二）竞标函附录</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985"/>
        <w:gridCol w:w="2126"/>
        <w:gridCol w:w="1984"/>
        <w:gridCol w:w="1843"/>
      </w:tblGrid>
      <w:tr w14:paraId="746E3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6A674FE0">
            <w:pPr>
              <w:jc w:val="center"/>
              <w:rPr>
                <w:color w:val="auto"/>
                <w:highlight w:val="none"/>
              </w:rPr>
            </w:pPr>
            <w:r>
              <w:rPr>
                <w:rFonts w:hint="eastAsia" w:cs="宋体"/>
                <w:color w:val="auto"/>
                <w:highlight w:val="none"/>
              </w:rPr>
              <w:t>序</w:t>
            </w:r>
            <w:r>
              <w:rPr>
                <w:color w:val="auto"/>
                <w:highlight w:val="none"/>
              </w:rPr>
              <w:t xml:space="preserve"> </w:t>
            </w:r>
            <w:r>
              <w:rPr>
                <w:rFonts w:hint="eastAsia" w:cs="宋体"/>
                <w:color w:val="auto"/>
                <w:highlight w:val="none"/>
              </w:rPr>
              <w:t>号</w:t>
            </w:r>
          </w:p>
        </w:tc>
        <w:tc>
          <w:tcPr>
            <w:tcW w:w="1985" w:type="dxa"/>
            <w:noWrap w:val="0"/>
            <w:vAlign w:val="center"/>
          </w:tcPr>
          <w:p w14:paraId="237AC550">
            <w:pPr>
              <w:jc w:val="center"/>
              <w:rPr>
                <w:color w:val="auto"/>
                <w:highlight w:val="none"/>
              </w:rPr>
            </w:pPr>
            <w:r>
              <w:rPr>
                <w:rFonts w:hint="eastAsia" w:cs="宋体"/>
                <w:color w:val="auto"/>
                <w:highlight w:val="none"/>
              </w:rPr>
              <w:t>条款内容</w:t>
            </w:r>
          </w:p>
        </w:tc>
        <w:tc>
          <w:tcPr>
            <w:tcW w:w="2126" w:type="dxa"/>
            <w:noWrap w:val="0"/>
            <w:vAlign w:val="center"/>
          </w:tcPr>
          <w:p w14:paraId="6A26AD50">
            <w:pPr>
              <w:jc w:val="center"/>
              <w:rPr>
                <w:color w:val="auto"/>
                <w:highlight w:val="none"/>
              </w:rPr>
            </w:pPr>
            <w:r>
              <w:rPr>
                <w:rFonts w:hint="eastAsia" w:cs="宋体"/>
                <w:color w:val="auto"/>
                <w:highlight w:val="none"/>
              </w:rPr>
              <w:t>合同条款号</w:t>
            </w:r>
          </w:p>
        </w:tc>
        <w:tc>
          <w:tcPr>
            <w:tcW w:w="1984" w:type="dxa"/>
            <w:noWrap w:val="0"/>
            <w:vAlign w:val="center"/>
          </w:tcPr>
          <w:p w14:paraId="10C7924A">
            <w:pPr>
              <w:jc w:val="center"/>
              <w:rPr>
                <w:color w:val="auto"/>
                <w:highlight w:val="none"/>
              </w:rPr>
            </w:pPr>
            <w:r>
              <w:rPr>
                <w:rFonts w:hint="eastAsia" w:cs="宋体"/>
                <w:color w:val="auto"/>
                <w:highlight w:val="none"/>
              </w:rPr>
              <w:t>约定内容</w:t>
            </w:r>
          </w:p>
        </w:tc>
        <w:tc>
          <w:tcPr>
            <w:tcW w:w="1843" w:type="dxa"/>
            <w:noWrap w:val="0"/>
            <w:vAlign w:val="center"/>
          </w:tcPr>
          <w:p w14:paraId="2DFFDC6D">
            <w:pPr>
              <w:jc w:val="center"/>
              <w:rPr>
                <w:color w:val="auto"/>
                <w:highlight w:val="none"/>
              </w:rPr>
            </w:pPr>
            <w:r>
              <w:rPr>
                <w:rFonts w:hint="eastAsia" w:cs="宋体"/>
                <w:color w:val="auto"/>
                <w:highlight w:val="none"/>
              </w:rPr>
              <w:t>供应商响应情况</w:t>
            </w:r>
          </w:p>
        </w:tc>
      </w:tr>
      <w:tr w14:paraId="263C7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5EA171F4">
            <w:pPr>
              <w:jc w:val="center"/>
              <w:rPr>
                <w:color w:val="auto"/>
                <w:highlight w:val="none"/>
              </w:rPr>
            </w:pPr>
            <w:r>
              <w:rPr>
                <w:color w:val="auto"/>
                <w:highlight w:val="none"/>
              </w:rPr>
              <w:t>1</w:t>
            </w:r>
          </w:p>
        </w:tc>
        <w:tc>
          <w:tcPr>
            <w:tcW w:w="1985" w:type="dxa"/>
            <w:noWrap w:val="0"/>
            <w:vAlign w:val="center"/>
          </w:tcPr>
          <w:p w14:paraId="454AD29D">
            <w:pPr>
              <w:rPr>
                <w:color w:val="auto"/>
                <w:highlight w:val="none"/>
              </w:rPr>
            </w:pPr>
            <w:r>
              <w:rPr>
                <w:rFonts w:hint="eastAsia" w:cs="宋体"/>
                <w:color w:val="auto"/>
                <w:highlight w:val="none"/>
              </w:rPr>
              <w:t>项目经理</w:t>
            </w:r>
          </w:p>
        </w:tc>
        <w:tc>
          <w:tcPr>
            <w:tcW w:w="2126" w:type="dxa"/>
            <w:noWrap w:val="0"/>
            <w:tcMar>
              <w:left w:w="170" w:type="dxa"/>
            </w:tcMar>
            <w:vAlign w:val="center"/>
          </w:tcPr>
          <w:p w14:paraId="4E6B56BC">
            <w:pPr>
              <w:jc w:val="center"/>
              <w:rPr>
                <w:color w:val="auto"/>
                <w:highlight w:val="none"/>
              </w:rPr>
            </w:pPr>
            <w:r>
              <w:rPr>
                <w:rFonts w:hint="eastAsia" w:cs="宋体"/>
                <w:color w:val="auto"/>
                <w:highlight w:val="none"/>
              </w:rPr>
              <w:t>专用条款</w:t>
            </w:r>
          </w:p>
        </w:tc>
        <w:tc>
          <w:tcPr>
            <w:tcW w:w="1984" w:type="dxa"/>
            <w:noWrap w:val="0"/>
            <w:vAlign w:val="center"/>
          </w:tcPr>
          <w:p w14:paraId="1E69023B">
            <w:pPr>
              <w:rPr>
                <w:color w:val="auto"/>
                <w:highlight w:val="none"/>
              </w:rPr>
            </w:pPr>
            <w:r>
              <w:rPr>
                <w:rFonts w:hint="eastAsia" w:cs="宋体"/>
                <w:color w:val="auto"/>
                <w:highlight w:val="none"/>
              </w:rPr>
              <w:t>姓名：</w:t>
            </w:r>
            <w:r>
              <w:rPr>
                <w:color w:val="auto"/>
                <w:highlight w:val="none"/>
                <w:u w:val="single"/>
              </w:rPr>
              <w:t xml:space="preserve">          </w:t>
            </w:r>
          </w:p>
        </w:tc>
        <w:tc>
          <w:tcPr>
            <w:tcW w:w="1843" w:type="dxa"/>
            <w:noWrap w:val="0"/>
            <w:vAlign w:val="center"/>
          </w:tcPr>
          <w:p w14:paraId="05B61C12">
            <w:pPr>
              <w:jc w:val="center"/>
              <w:rPr>
                <w:color w:val="auto"/>
                <w:highlight w:val="none"/>
              </w:rPr>
            </w:pPr>
          </w:p>
        </w:tc>
      </w:tr>
      <w:tr w14:paraId="0597A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2DF523BB">
            <w:pPr>
              <w:jc w:val="center"/>
              <w:rPr>
                <w:color w:val="auto"/>
                <w:highlight w:val="none"/>
              </w:rPr>
            </w:pPr>
            <w:r>
              <w:rPr>
                <w:color w:val="auto"/>
                <w:highlight w:val="none"/>
              </w:rPr>
              <w:t>2</w:t>
            </w:r>
          </w:p>
        </w:tc>
        <w:tc>
          <w:tcPr>
            <w:tcW w:w="1985" w:type="dxa"/>
            <w:noWrap w:val="0"/>
            <w:vAlign w:val="center"/>
          </w:tcPr>
          <w:p w14:paraId="3A26ED55">
            <w:pPr>
              <w:rPr>
                <w:color w:val="auto"/>
                <w:highlight w:val="none"/>
              </w:rPr>
            </w:pPr>
            <w:r>
              <w:rPr>
                <w:rFonts w:hint="eastAsia" w:cs="宋体"/>
                <w:color w:val="auto"/>
                <w:highlight w:val="none"/>
              </w:rPr>
              <w:t>竞标有效期</w:t>
            </w:r>
          </w:p>
        </w:tc>
        <w:tc>
          <w:tcPr>
            <w:tcW w:w="2126" w:type="dxa"/>
            <w:noWrap w:val="0"/>
            <w:tcMar>
              <w:left w:w="170" w:type="dxa"/>
            </w:tcMar>
            <w:vAlign w:val="center"/>
          </w:tcPr>
          <w:p w14:paraId="4F7A87E8">
            <w:pPr>
              <w:rPr>
                <w:color w:val="auto"/>
                <w:highlight w:val="none"/>
                <w:u w:val="single"/>
              </w:rPr>
            </w:pPr>
          </w:p>
        </w:tc>
        <w:tc>
          <w:tcPr>
            <w:tcW w:w="1984" w:type="dxa"/>
            <w:noWrap w:val="0"/>
            <w:vAlign w:val="center"/>
          </w:tcPr>
          <w:p w14:paraId="168C2BF5">
            <w:pPr>
              <w:jc w:val="center"/>
              <w:rPr>
                <w:color w:val="auto"/>
                <w:highlight w:val="none"/>
                <w:u w:val="single"/>
              </w:rPr>
            </w:pPr>
            <w:r>
              <w:rPr>
                <w:rFonts w:hint="eastAsia"/>
                <w:color w:val="auto"/>
                <w:highlight w:val="none"/>
              </w:rPr>
              <w:t xml:space="preserve">自首次响应文件提交截止之日起 </w:t>
            </w:r>
            <w:r>
              <w:rPr>
                <w:rFonts w:hint="eastAsia"/>
                <w:color w:val="auto"/>
                <w:highlight w:val="none"/>
                <w:u w:val="single"/>
                <w:lang w:val="en-US" w:eastAsia="zh-CN"/>
              </w:rPr>
              <w:t>90</w:t>
            </w:r>
            <w:r>
              <w:rPr>
                <w:rFonts w:hint="eastAsia"/>
                <w:color w:val="auto"/>
                <w:highlight w:val="none"/>
              </w:rPr>
              <w:t xml:space="preserve"> 日。</w:t>
            </w:r>
          </w:p>
        </w:tc>
        <w:tc>
          <w:tcPr>
            <w:tcW w:w="1843" w:type="dxa"/>
            <w:noWrap w:val="0"/>
            <w:vAlign w:val="center"/>
          </w:tcPr>
          <w:p w14:paraId="26EDB798">
            <w:pPr>
              <w:jc w:val="center"/>
              <w:rPr>
                <w:color w:val="auto"/>
                <w:highlight w:val="none"/>
              </w:rPr>
            </w:pPr>
          </w:p>
        </w:tc>
      </w:tr>
      <w:tr w14:paraId="41949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05A2A071">
            <w:pPr>
              <w:jc w:val="center"/>
              <w:rPr>
                <w:color w:val="auto"/>
                <w:highlight w:val="none"/>
              </w:rPr>
            </w:pPr>
            <w:r>
              <w:rPr>
                <w:color w:val="auto"/>
                <w:highlight w:val="none"/>
              </w:rPr>
              <w:t>3</w:t>
            </w:r>
          </w:p>
        </w:tc>
        <w:tc>
          <w:tcPr>
            <w:tcW w:w="1985" w:type="dxa"/>
            <w:noWrap w:val="0"/>
            <w:vAlign w:val="center"/>
          </w:tcPr>
          <w:p w14:paraId="7329EF84">
            <w:pPr>
              <w:rPr>
                <w:color w:val="auto"/>
                <w:highlight w:val="none"/>
              </w:rPr>
            </w:pPr>
            <w:r>
              <w:rPr>
                <w:rFonts w:hint="eastAsia" w:cs="宋体"/>
                <w:color w:val="auto"/>
                <w:highlight w:val="none"/>
              </w:rPr>
              <w:t>工期</w:t>
            </w:r>
          </w:p>
        </w:tc>
        <w:tc>
          <w:tcPr>
            <w:tcW w:w="2126" w:type="dxa"/>
            <w:noWrap w:val="0"/>
            <w:tcMar>
              <w:left w:w="170" w:type="dxa"/>
            </w:tcMar>
            <w:vAlign w:val="center"/>
          </w:tcPr>
          <w:p w14:paraId="354BCF88">
            <w:pPr>
              <w:jc w:val="center"/>
              <w:rPr>
                <w:color w:val="auto"/>
                <w:highlight w:val="none"/>
              </w:rPr>
            </w:pPr>
            <w:r>
              <w:rPr>
                <w:rFonts w:hint="eastAsia" w:cs="宋体"/>
                <w:color w:val="auto"/>
                <w:highlight w:val="none"/>
              </w:rPr>
              <w:t>专用条款</w:t>
            </w:r>
          </w:p>
        </w:tc>
        <w:tc>
          <w:tcPr>
            <w:tcW w:w="1984" w:type="dxa"/>
            <w:noWrap w:val="0"/>
            <w:vAlign w:val="center"/>
          </w:tcPr>
          <w:p w14:paraId="1C3F0D6F">
            <w:pPr>
              <w:jc w:val="center"/>
              <w:rPr>
                <w:color w:val="auto"/>
                <w:highlight w:val="none"/>
              </w:rPr>
            </w:pPr>
            <w:r>
              <w:rPr>
                <w:color w:val="auto"/>
                <w:highlight w:val="none"/>
                <w:u w:val="single"/>
              </w:rPr>
              <w:t xml:space="preserve">  </w:t>
            </w:r>
            <w:r>
              <w:rPr>
                <w:rFonts w:hint="eastAsia"/>
                <w:color w:val="auto"/>
                <w:highlight w:val="none"/>
                <w:u w:val="single"/>
                <w:lang w:val="en-US" w:eastAsia="zh-CN"/>
              </w:rPr>
              <w:t>90</w:t>
            </w:r>
            <w:r>
              <w:rPr>
                <w:color w:val="auto"/>
                <w:highlight w:val="none"/>
                <w:u w:val="single"/>
              </w:rPr>
              <w:t xml:space="preserve">  </w:t>
            </w:r>
            <w:r>
              <w:rPr>
                <w:rFonts w:hint="eastAsia" w:cs="宋体"/>
                <w:color w:val="auto"/>
                <w:highlight w:val="none"/>
              </w:rPr>
              <w:t>日历天</w:t>
            </w:r>
          </w:p>
        </w:tc>
        <w:tc>
          <w:tcPr>
            <w:tcW w:w="1843" w:type="dxa"/>
            <w:noWrap w:val="0"/>
            <w:vAlign w:val="center"/>
          </w:tcPr>
          <w:p w14:paraId="0CE42D4A">
            <w:pPr>
              <w:jc w:val="center"/>
              <w:rPr>
                <w:color w:val="auto"/>
                <w:highlight w:val="none"/>
              </w:rPr>
            </w:pPr>
          </w:p>
        </w:tc>
      </w:tr>
      <w:tr w14:paraId="0CD16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4AAB98F2">
            <w:pPr>
              <w:jc w:val="center"/>
              <w:rPr>
                <w:color w:val="auto"/>
                <w:highlight w:val="none"/>
              </w:rPr>
            </w:pPr>
            <w:r>
              <w:rPr>
                <w:color w:val="auto"/>
                <w:highlight w:val="none"/>
              </w:rPr>
              <w:t>4</w:t>
            </w:r>
          </w:p>
        </w:tc>
        <w:tc>
          <w:tcPr>
            <w:tcW w:w="1985" w:type="dxa"/>
            <w:noWrap w:val="0"/>
            <w:vAlign w:val="center"/>
          </w:tcPr>
          <w:p w14:paraId="39AEF605">
            <w:pPr>
              <w:rPr>
                <w:color w:val="auto"/>
                <w:highlight w:val="none"/>
              </w:rPr>
            </w:pPr>
            <w:r>
              <w:rPr>
                <w:rFonts w:hint="eastAsia" w:cs="宋体"/>
                <w:color w:val="auto"/>
                <w:highlight w:val="none"/>
              </w:rPr>
              <w:t>缺陷责任期</w:t>
            </w:r>
          </w:p>
        </w:tc>
        <w:tc>
          <w:tcPr>
            <w:tcW w:w="2126" w:type="dxa"/>
            <w:noWrap w:val="0"/>
            <w:tcMar>
              <w:left w:w="170" w:type="dxa"/>
            </w:tcMar>
            <w:vAlign w:val="center"/>
          </w:tcPr>
          <w:p w14:paraId="62621A54">
            <w:pPr>
              <w:jc w:val="center"/>
              <w:rPr>
                <w:color w:val="auto"/>
                <w:highlight w:val="none"/>
              </w:rPr>
            </w:pPr>
            <w:r>
              <w:rPr>
                <w:rFonts w:hint="eastAsia" w:cs="宋体"/>
                <w:color w:val="auto"/>
                <w:highlight w:val="none"/>
              </w:rPr>
              <w:t>专用条款</w:t>
            </w:r>
          </w:p>
        </w:tc>
        <w:tc>
          <w:tcPr>
            <w:tcW w:w="1984" w:type="dxa"/>
            <w:noWrap w:val="0"/>
            <w:vAlign w:val="center"/>
          </w:tcPr>
          <w:p w14:paraId="2B8D36C3">
            <w:pPr>
              <w:jc w:val="center"/>
              <w:rPr>
                <w:color w:val="auto"/>
                <w:highlight w:val="none"/>
              </w:rPr>
            </w:pPr>
            <w:r>
              <w:rPr>
                <w:rFonts w:hint="eastAsia"/>
                <w:color w:val="auto"/>
                <w:highlight w:val="none"/>
              </w:rPr>
              <w:t>2年</w:t>
            </w:r>
          </w:p>
        </w:tc>
        <w:tc>
          <w:tcPr>
            <w:tcW w:w="1843" w:type="dxa"/>
            <w:noWrap w:val="0"/>
            <w:vAlign w:val="center"/>
          </w:tcPr>
          <w:p w14:paraId="756FB839">
            <w:pPr>
              <w:jc w:val="center"/>
              <w:rPr>
                <w:color w:val="auto"/>
                <w:highlight w:val="none"/>
              </w:rPr>
            </w:pPr>
          </w:p>
        </w:tc>
      </w:tr>
      <w:tr w14:paraId="55815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5FBBAA3D">
            <w:pPr>
              <w:jc w:val="center"/>
              <w:rPr>
                <w:color w:val="auto"/>
                <w:highlight w:val="none"/>
              </w:rPr>
            </w:pPr>
            <w:r>
              <w:rPr>
                <w:color w:val="auto"/>
                <w:highlight w:val="none"/>
              </w:rPr>
              <w:t>5</w:t>
            </w:r>
          </w:p>
        </w:tc>
        <w:tc>
          <w:tcPr>
            <w:tcW w:w="1985" w:type="dxa"/>
            <w:noWrap w:val="0"/>
            <w:vAlign w:val="center"/>
          </w:tcPr>
          <w:p w14:paraId="0D5A8CDC">
            <w:pPr>
              <w:rPr>
                <w:color w:val="auto"/>
                <w:highlight w:val="none"/>
              </w:rPr>
            </w:pPr>
            <w:r>
              <w:rPr>
                <w:rFonts w:hint="eastAsia" w:cs="宋体"/>
                <w:color w:val="auto"/>
                <w:highlight w:val="none"/>
              </w:rPr>
              <w:t>发包人支付担保</w:t>
            </w:r>
          </w:p>
        </w:tc>
        <w:tc>
          <w:tcPr>
            <w:tcW w:w="2126" w:type="dxa"/>
            <w:noWrap w:val="0"/>
            <w:tcMar>
              <w:left w:w="170" w:type="dxa"/>
            </w:tcMar>
            <w:vAlign w:val="center"/>
          </w:tcPr>
          <w:p w14:paraId="55F54AB7">
            <w:pPr>
              <w:jc w:val="center"/>
              <w:rPr>
                <w:color w:val="auto"/>
                <w:highlight w:val="none"/>
              </w:rPr>
            </w:pPr>
            <w:r>
              <w:rPr>
                <w:rFonts w:hint="eastAsia" w:cs="宋体"/>
                <w:color w:val="auto"/>
                <w:highlight w:val="none"/>
              </w:rPr>
              <w:t>专用条款</w:t>
            </w:r>
          </w:p>
        </w:tc>
        <w:tc>
          <w:tcPr>
            <w:tcW w:w="1984" w:type="dxa"/>
            <w:noWrap w:val="0"/>
            <w:vAlign w:val="center"/>
          </w:tcPr>
          <w:p w14:paraId="54FDA0B4">
            <w:pPr>
              <w:jc w:val="center"/>
              <w:rPr>
                <w:color w:val="auto"/>
                <w:highlight w:val="none"/>
              </w:rPr>
            </w:pPr>
          </w:p>
        </w:tc>
        <w:tc>
          <w:tcPr>
            <w:tcW w:w="1843" w:type="dxa"/>
            <w:noWrap w:val="0"/>
            <w:vAlign w:val="center"/>
          </w:tcPr>
          <w:p w14:paraId="7DAE8716">
            <w:pPr>
              <w:jc w:val="center"/>
              <w:rPr>
                <w:color w:val="auto"/>
                <w:highlight w:val="none"/>
              </w:rPr>
            </w:pPr>
          </w:p>
        </w:tc>
      </w:tr>
      <w:tr w14:paraId="70D44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292817AF">
            <w:pPr>
              <w:jc w:val="center"/>
              <w:rPr>
                <w:color w:val="auto"/>
                <w:highlight w:val="none"/>
              </w:rPr>
            </w:pPr>
            <w:r>
              <w:rPr>
                <w:color w:val="auto"/>
                <w:highlight w:val="none"/>
              </w:rPr>
              <w:t>6</w:t>
            </w:r>
          </w:p>
        </w:tc>
        <w:tc>
          <w:tcPr>
            <w:tcW w:w="1985" w:type="dxa"/>
            <w:noWrap w:val="0"/>
            <w:vAlign w:val="center"/>
          </w:tcPr>
          <w:p w14:paraId="7C52CF83">
            <w:pPr>
              <w:rPr>
                <w:color w:val="auto"/>
                <w:highlight w:val="none"/>
              </w:rPr>
            </w:pPr>
            <w:r>
              <w:rPr>
                <w:rFonts w:hint="eastAsia" w:cs="宋体"/>
                <w:color w:val="auto"/>
                <w:highlight w:val="none"/>
              </w:rPr>
              <w:t>承包人履约担保金额</w:t>
            </w:r>
          </w:p>
        </w:tc>
        <w:tc>
          <w:tcPr>
            <w:tcW w:w="2126" w:type="dxa"/>
            <w:noWrap w:val="0"/>
            <w:tcMar>
              <w:left w:w="170" w:type="dxa"/>
            </w:tcMar>
            <w:vAlign w:val="center"/>
          </w:tcPr>
          <w:p w14:paraId="72207065">
            <w:pPr>
              <w:jc w:val="center"/>
              <w:rPr>
                <w:color w:val="auto"/>
                <w:highlight w:val="none"/>
              </w:rPr>
            </w:pPr>
            <w:r>
              <w:rPr>
                <w:rFonts w:hint="eastAsia" w:cs="宋体"/>
                <w:color w:val="auto"/>
                <w:highlight w:val="none"/>
              </w:rPr>
              <w:t>专用条款</w:t>
            </w:r>
          </w:p>
        </w:tc>
        <w:tc>
          <w:tcPr>
            <w:tcW w:w="1984" w:type="dxa"/>
            <w:noWrap w:val="0"/>
            <w:vAlign w:val="center"/>
          </w:tcPr>
          <w:p w14:paraId="18892BAE">
            <w:pPr>
              <w:jc w:val="center"/>
              <w:rPr>
                <w:color w:val="auto"/>
                <w:highlight w:val="none"/>
              </w:rPr>
            </w:pPr>
          </w:p>
        </w:tc>
        <w:tc>
          <w:tcPr>
            <w:tcW w:w="1843" w:type="dxa"/>
            <w:noWrap w:val="0"/>
            <w:vAlign w:val="center"/>
          </w:tcPr>
          <w:p w14:paraId="3698A017">
            <w:pPr>
              <w:jc w:val="center"/>
              <w:rPr>
                <w:color w:val="auto"/>
                <w:highlight w:val="none"/>
              </w:rPr>
            </w:pPr>
          </w:p>
        </w:tc>
      </w:tr>
      <w:tr w14:paraId="75DAD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4F4B89E8">
            <w:pPr>
              <w:jc w:val="center"/>
              <w:rPr>
                <w:color w:val="auto"/>
                <w:highlight w:val="none"/>
              </w:rPr>
            </w:pPr>
            <w:r>
              <w:rPr>
                <w:color w:val="auto"/>
                <w:highlight w:val="none"/>
              </w:rPr>
              <w:t>7</w:t>
            </w:r>
          </w:p>
        </w:tc>
        <w:tc>
          <w:tcPr>
            <w:tcW w:w="1985" w:type="dxa"/>
            <w:noWrap w:val="0"/>
            <w:vAlign w:val="center"/>
          </w:tcPr>
          <w:p w14:paraId="2AEABA8D">
            <w:pPr>
              <w:rPr>
                <w:color w:val="auto"/>
                <w:highlight w:val="none"/>
              </w:rPr>
            </w:pPr>
            <w:r>
              <w:rPr>
                <w:rFonts w:hint="eastAsia" w:cs="宋体"/>
                <w:color w:val="auto"/>
                <w:highlight w:val="none"/>
              </w:rPr>
              <w:t>分包</w:t>
            </w:r>
          </w:p>
        </w:tc>
        <w:tc>
          <w:tcPr>
            <w:tcW w:w="2126" w:type="dxa"/>
            <w:noWrap w:val="0"/>
            <w:tcMar>
              <w:left w:w="170" w:type="dxa"/>
            </w:tcMar>
            <w:vAlign w:val="center"/>
          </w:tcPr>
          <w:p w14:paraId="015EEA15">
            <w:pPr>
              <w:jc w:val="center"/>
              <w:rPr>
                <w:color w:val="auto"/>
                <w:highlight w:val="none"/>
              </w:rPr>
            </w:pPr>
            <w:r>
              <w:rPr>
                <w:rFonts w:hint="eastAsia" w:cs="宋体"/>
                <w:color w:val="auto"/>
                <w:highlight w:val="none"/>
              </w:rPr>
              <w:t>专用条款</w:t>
            </w:r>
          </w:p>
        </w:tc>
        <w:tc>
          <w:tcPr>
            <w:tcW w:w="1984" w:type="dxa"/>
            <w:noWrap w:val="0"/>
            <w:vAlign w:val="center"/>
          </w:tcPr>
          <w:p w14:paraId="396350AE">
            <w:pPr>
              <w:jc w:val="center"/>
              <w:rPr>
                <w:color w:val="auto"/>
                <w:highlight w:val="none"/>
              </w:rPr>
            </w:pPr>
            <w:r>
              <w:rPr>
                <w:rFonts w:hint="eastAsia" w:cs="宋体"/>
                <w:color w:val="auto"/>
                <w:highlight w:val="none"/>
              </w:rPr>
              <w:t>见分包项目情况表</w:t>
            </w:r>
          </w:p>
        </w:tc>
        <w:tc>
          <w:tcPr>
            <w:tcW w:w="1843" w:type="dxa"/>
            <w:noWrap w:val="0"/>
            <w:vAlign w:val="center"/>
          </w:tcPr>
          <w:p w14:paraId="0266D4D0">
            <w:pPr>
              <w:jc w:val="center"/>
              <w:rPr>
                <w:color w:val="auto"/>
                <w:highlight w:val="none"/>
              </w:rPr>
            </w:pPr>
          </w:p>
        </w:tc>
      </w:tr>
      <w:tr w14:paraId="1D75C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60C0D436">
            <w:pPr>
              <w:jc w:val="center"/>
              <w:rPr>
                <w:color w:val="auto"/>
                <w:highlight w:val="none"/>
              </w:rPr>
            </w:pPr>
            <w:r>
              <w:rPr>
                <w:color w:val="auto"/>
                <w:highlight w:val="none"/>
              </w:rPr>
              <w:t>8</w:t>
            </w:r>
          </w:p>
        </w:tc>
        <w:tc>
          <w:tcPr>
            <w:tcW w:w="1985" w:type="dxa"/>
            <w:noWrap w:val="0"/>
            <w:vAlign w:val="center"/>
          </w:tcPr>
          <w:p w14:paraId="33427C6B">
            <w:pPr>
              <w:rPr>
                <w:color w:val="auto"/>
                <w:highlight w:val="none"/>
              </w:rPr>
            </w:pPr>
            <w:r>
              <w:rPr>
                <w:rFonts w:hint="eastAsia" w:cs="宋体"/>
                <w:color w:val="auto"/>
                <w:highlight w:val="none"/>
              </w:rPr>
              <w:t>逾期竣工违约金</w:t>
            </w:r>
          </w:p>
        </w:tc>
        <w:tc>
          <w:tcPr>
            <w:tcW w:w="2126" w:type="dxa"/>
            <w:noWrap w:val="0"/>
            <w:tcMar>
              <w:left w:w="170" w:type="dxa"/>
            </w:tcMar>
            <w:vAlign w:val="center"/>
          </w:tcPr>
          <w:p w14:paraId="0EF17CE3">
            <w:pPr>
              <w:jc w:val="center"/>
              <w:rPr>
                <w:color w:val="auto"/>
                <w:highlight w:val="none"/>
              </w:rPr>
            </w:pPr>
            <w:r>
              <w:rPr>
                <w:rFonts w:hint="eastAsia" w:cs="宋体"/>
                <w:color w:val="auto"/>
                <w:highlight w:val="none"/>
              </w:rPr>
              <w:t>专用条款</w:t>
            </w:r>
          </w:p>
        </w:tc>
        <w:tc>
          <w:tcPr>
            <w:tcW w:w="1984" w:type="dxa"/>
            <w:noWrap w:val="0"/>
            <w:vAlign w:val="center"/>
          </w:tcPr>
          <w:p w14:paraId="031E3FCB">
            <w:pPr>
              <w:rPr>
                <w:color w:val="auto"/>
                <w:highlight w:val="none"/>
              </w:rPr>
            </w:pPr>
          </w:p>
        </w:tc>
        <w:tc>
          <w:tcPr>
            <w:tcW w:w="1843" w:type="dxa"/>
            <w:noWrap w:val="0"/>
            <w:vAlign w:val="center"/>
          </w:tcPr>
          <w:p w14:paraId="64BD06AE">
            <w:pPr>
              <w:jc w:val="center"/>
              <w:rPr>
                <w:color w:val="auto"/>
                <w:highlight w:val="none"/>
              </w:rPr>
            </w:pPr>
          </w:p>
        </w:tc>
      </w:tr>
      <w:tr w14:paraId="1CFD7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27EF112E">
            <w:pPr>
              <w:jc w:val="center"/>
              <w:rPr>
                <w:color w:val="auto"/>
                <w:highlight w:val="none"/>
              </w:rPr>
            </w:pPr>
            <w:r>
              <w:rPr>
                <w:color w:val="auto"/>
                <w:highlight w:val="none"/>
              </w:rPr>
              <w:t>9</w:t>
            </w:r>
          </w:p>
        </w:tc>
        <w:tc>
          <w:tcPr>
            <w:tcW w:w="1985" w:type="dxa"/>
            <w:noWrap w:val="0"/>
            <w:vAlign w:val="center"/>
          </w:tcPr>
          <w:p w14:paraId="569BA614">
            <w:pPr>
              <w:rPr>
                <w:color w:val="auto"/>
                <w:highlight w:val="none"/>
              </w:rPr>
            </w:pPr>
            <w:r>
              <w:rPr>
                <w:rFonts w:hint="eastAsia" w:cs="宋体"/>
                <w:color w:val="auto"/>
                <w:highlight w:val="none"/>
              </w:rPr>
              <w:t>逾期竣工违约金最高限额</w:t>
            </w:r>
          </w:p>
        </w:tc>
        <w:tc>
          <w:tcPr>
            <w:tcW w:w="2126" w:type="dxa"/>
            <w:noWrap w:val="0"/>
            <w:tcMar>
              <w:left w:w="170" w:type="dxa"/>
            </w:tcMar>
            <w:vAlign w:val="center"/>
          </w:tcPr>
          <w:p w14:paraId="4E28B307">
            <w:pPr>
              <w:jc w:val="center"/>
              <w:rPr>
                <w:color w:val="auto"/>
                <w:highlight w:val="none"/>
              </w:rPr>
            </w:pPr>
            <w:r>
              <w:rPr>
                <w:rFonts w:hint="eastAsia" w:cs="宋体"/>
                <w:color w:val="auto"/>
                <w:highlight w:val="none"/>
              </w:rPr>
              <w:t>专用条款</w:t>
            </w:r>
          </w:p>
        </w:tc>
        <w:tc>
          <w:tcPr>
            <w:tcW w:w="1984" w:type="dxa"/>
            <w:noWrap w:val="0"/>
            <w:vAlign w:val="center"/>
          </w:tcPr>
          <w:p w14:paraId="4ADAC241">
            <w:pPr>
              <w:rPr>
                <w:color w:val="auto"/>
                <w:highlight w:val="none"/>
              </w:rPr>
            </w:pPr>
          </w:p>
        </w:tc>
        <w:tc>
          <w:tcPr>
            <w:tcW w:w="1843" w:type="dxa"/>
            <w:noWrap w:val="0"/>
            <w:vAlign w:val="center"/>
          </w:tcPr>
          <w:p w14:paraId="3EF252F1">
            <w:pPr>
              <w:jc w:val="center"/>
              <w:rPr>
                <w:color w:val="auto"/>
                <w:highlight w:val="none"/>
              </w:rPr>
            </w:pPr>
          </w:p>
        </w:tc>
      </w:tr>
      <w:tr w14:paraId="7248D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239BA339">
            <w:pPr>
              <w:jc w:val="center"/>
              <w:rPr>
                <w:color w:val="auto"/>
                <w:highlight w:val="none"/>
              </w:rPr>
            </w:pPr>
            <w:r>
              <w:rPr>
                <w:color w:val="auto"/>
                <w:highlight w:val="none"/>
              </w:rPr>
              <w:t>10</w:t>
            </w:r>
          </w:p>
        </w:tc>
        <w:tc>
          <w:tcPr>
            <w:tcW w:w="1985" w:type="dxa"/>
            <w:noWrap w:val="0"/>
            <w:vAlign w:val="center"/>
          </w:tcPr>
          <w:p w14:paraId="5863054B">
            <w:pPr>
              <w:rPr>
                <w:color w:val="auto"/>
                <w:highlight w:val="none"/>
              </w:rPr>
            </w:pPr>
            <w:r>
              <w:rPr>
                <w:rFonts w:hint="eastAsia" w:cs="宋体"/>
                <w:color w:val="auto"/>
                <w:highlight w:val="none"/>
              </w:rPr>
              <w:t>质量标准</w:t>
            </w:r>
          </w:p>
        </w:tc>
        <w:tc>
          <w:tcPr>
            <w:tcW w:w="2126" w:type="dxa"/>
            <w:noWrap w:val="0"/>
            <w:tcMar>
              <w:left w:w="170" w:type="dxa"/>
            </w:tcMar>
            <w:vAlign w:val="center"/>
          </w:tcPr>
          <w:p w14:paraId="33E41FB7">
            <w:pPr>
              <w:jc w:val="center"/>
              <w:rPr>
                <w:color w:val="auto"/>
                <w:highlight w:val="none"/>
              </w:rPr>
            </w:pPr>
            <w:r>
              <w:rPr>
                <w:rFonts w:hint="eastAsia" w:cs="宋体"/>
                <w:color w:val="auto"/>
                <w:highlight w:val="none"/>
              </w:rPr>
              <w:t>专用条款</w:t>
            </w:r>
          </w:p>
        </w:tc>
        <w:tc>
          <w:tcPr>
            <w:tcW w:w="1984" w:type="dxa"/>
            <w:noWrap w:val="0"/>
            <w:vAlign w:val="center"/>
          </w:tcPr>
          <w:p w14:paraId="6790A9AB">
            <w:pPr>
              <w:jc w:val="center"/>
              <w:rPr>
                <w:color w:val="auto"/>
                <w:highlight w:val="none"/>
              </w:rPr>
            </w:pPr>
          </w:p>
        </w:tc>
        <w:tc>
          <w:tcPr>
            <w:tcW w:w="1843" w:type="dxa"/>
            <w:noWrap w:val="0"/>
            <w:vAlign w:val="center"/>
          </w:tcPr>
          <w:p w14:paraId="569F6B22">
            <w:pPr>
              <w:jc w:val="center"/>
              <w:rPr>
                <w:color w:val="auto"/>
                <w:highlight w:val="none"/>
              </w:rPr>
            </w:pPr>
          </w:p>
        </w:tc>
      </w:tr>
      <w:tr w14:paraId="66EB3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358AA549">
            <w:pPr>
              <w:jc w:val="center"/>
              <w:rPr>
                <w:color w:val="auto"/>
                <w:highlight w:val="none"/>
              </w:rPr>
            </w:pPr>
            <w:r>
              <w:rPr>
                <w:color w:val="auto"/>
                <w:highlight w:val="none"/>
              </w:rPr>
              <w:t>11</w:t>
            </w:r>
          </w:p>
        </w:tc>
        <w:tc>
          <w:tcPr>
            <w:tcW w:w="1985" w:type="dxa"/>
            <w:noWrap w:val="0"/>
            <w:vAlign w:val="center"/>
          </w:tcPr>
          <w:p w14:paraId="2457331C">
            <w:pPr>
              <w:rPr>
                <w:color w:val="auto"/>
                <w:highlight w:val="none"/>
              </w:rPr>
            </w:pPr>
            <w:r>
              <w:rPr>
                <w:rFonts w:hint="eastAsia" w:cs="宋体"/>
                <w:color w:val="auto"/>
                <w:highlight w:val="none"/>
              </w:rPr>
              <w:t>预付款额度</w:t>
            </w:r>
          </w:p>
        </w:tc>
        <w:tc>
          <w:tcPr>
            <w:tcW w:w="2126" w:type="dxa"/>
            <w:noWrap w:val="0"/>
            <w:tcMar>
              <w:left w:w="170" w:type="dxa"/>
            </w:tcMar>
            <w:vAlign w:val="center"/>
          </w:tcPr>
          <w:p w14:paraId="7724FE5A">
            <w:pPr>
              <w:jc w:val="center"/>
              <w:rPr>
                <w:color w:val="auto"/>
                <w:highlight w:val="none"/>
              </w:rPr>
            </w:pPr>
            <w:r>
              <w:rPr>
                <w:rFonts w:hint="eastAsia" w:cs="宋体"/>
                <w:color w:val="auto"/>
                <w:highlight w:val="none"/>
              </w:rPr>
              <w:t>专用条款</w:t>
            </w:r>
          </w:p>
        </w:tc>
        <w:tc>
          <w:tcPr>
            <w:tcW w:w="1984" w:type="dxa"/>
            <w:noWrap w:val="0"/>
            <w:vAlign w:val="center"/>
          </w:tcPr>
          <w:p w14:paraId="5C1A3B53">
            <w:pPr>
              <w:jc w:val="center"/>
              <w:rPr>
                <w:color w:val="auto"/>
                <w:highlight w:val="none"/>
              </w:rPr>
            </w:pPr>
          </w:p>
        </w:tc>
        <w:tc>
          <w:tcPr>
            <w:tcW w:w="1843" w:type="dxa"/>
            <w:noWrap w:val="0"/>
            <w:vAlign w:val="center"/>
          </w:tcPr>
          <w:p w14:paraId="28D02FCE">
            <w:pPr>
              <w:jc w:val="center"/>
              <w:rPr>
                <w:color w:val="auto"/>
                <w:highlight w:val="none"/>
              </w:rPr>
            </w:pPr>
          </w:p>
        </w:tc>
      </w:tr>
      <w:tr w14:paraId="7DB74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59731BCA">
            <w:pPr>
              <w:jc w:val="center"/>
              <w:rPr>
                <w:color w:val="auto"/>
                <w:highlight w:val="none"/>
              </w:rPr>
            </w:pPr>
            <w:r>
              <w:rPr>
                <w:color w:val="auto"/>
                <w:highlight w:val="none"/>
              </w:rPr>
              <w:t>12</w:t>
            </w:r>
          </w:p>
        </w:tc>
        <w:tc>
          <w:tcPr>
            <w:tcW w:w="1985" w:type="dxa"/>
            <w:noWrap w:val="0"/>
            <w:vAlign w:val="center"/>
          </w:tcPr>
          <w:p w14:paraId="0C55DA15">
            <w:pPr>
              <w:rPr>
                <w:color w:val="auto"/>
                <w:highlight w:val="none"/>
              </w:rPr>
            </w:pPr>
            <w:r>
              <w:rPr>
                <w:rFonts w:hint="eastAsia" w:cs="宋体"/>
                <w:color w:val="auto"/>
                <w:highlight w:val="none"/>
              </w:rPr>
              <w:t>预付款保函金额</w:t>
            </w:r>
          </w:p>
        </w:tc>
        <w:tc>
          <w:tcPr>
            <w:tcW w:w="2126" w:type="dxa"/>
            <w:noWrap w:val="0"/>
            <w:tcMar>
              <w:left w:w="170" w:type="dxa"/>
            </w:tcMar>
            <w:vAlign w:val="center"/>
          </w:tcPr>
          <w:p w14:paraId="17F526F9">
            <w:pPr>
              <w:jc w:val="center"/>
              <w:rPr>
                <w:color w:val="auto"/>
                <w:highlight w:val="none"/>
              </w:rPr>
            </w:pPr>
            <w:r>
              <w:rPr>
                <w:rFonts w:hint="eastAsia" w:cs="宋体"/>
                <w:color w:val="auto"/>
                <w:highlight w:val="none"/>
              </w:rPr>
              <w:t>专用条款</w:t>
            </w:r>
          </w:p>
        </w:tc>
        <w:tc>
          <w:tcPr>
            <w:tcW w:w="1984" w:type="dxa"/>
            <w:noWrap w:val="0"/>
            <w:vAlign w:val="center"/>
          </w:tcPr>
          <w:p w14:paraId="2278870C">
            <w:pPr>
              <w:jc w:val="center"/>
              <w:rPr>
                <w:color w:val="auto"/>
                <w:highlight w:val="none"/>
              </w:rPr>
            </w:pPr>
          </w:p>
        </w:tc>
        <w:tc>
          <w:tcPr>
            <w:tcW w:w="1843" w:type="dxa"/>
            <w:noWrap w:val="0"/>
            <w:vAlign w:val="center"/>
          </w:tcPr>
          <w:p w14:paraId="48F9DDE5">
            <w:pPr>
              <w:jc w:val="center"/>
              <w:rPr>
                <w:color w:val="auto"/>
                <w:highlight w:val="none"/>
              </w:rPr>
            </w:pPr>
          </w:p>
        </w:tc>
      </w:tr>
      <w:tr w14:paraId="7A5F3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4F9EC440">
            <w:pPr>
              <w:jc w:val="center"/>
              <w:rPr>
                <w:color w:val="auto"/>
                <w:highlight w:val="none"/>
              </w:rPr>
            </w:pPr>
            <w:r>
              <w:rPr>
                <w:color w:val="auto"/>
                <w:highlight w:val="none"/>
              </w:rPr>
              <w:t>13</w:t>
            </w:r>
          </w:p>
        </w:tc>
        <w:tc>
          <w:tcPr>
            <w:tcW w:w="1985" w:type="dxa"/>
            <w:noWrap w:val="0"/>
            <w:vAlign w:val="center"/>
          </w:tcPr>
          <w:p w14:paraId="34732293">
            <w:pPr>
              <w:rPr>
                <w:color w:val="auto"/>
                <w:highlight w:val="none"/>
              </w:rPr>
            </w:pPr>
            <w:r>
              <w:rPr>
                <w:rFonts w:hint="eastAsia" w:cs="宋体"/>
                <w:color w:val="auto"/>
                <w:highlight w:val="none"/>
              </w:rPr>
              <w:t>质量保证金额度</w:t>
            </w:r>
          </w:p>
        </w:tc>
        <w:tc>
          <w:tcPr>
            <w:tcW w:w="2126" w:type="dxa"/>
            <w:noWrap w:val="0"/>
            <w:tcMar>
              <w:left w:w="170" w:type="dxa"/>
            </w:tcMar>
            <w:vAlign w:val="center"/>
          </w:tcPr>
          <w:p w14:paraId="4602AA95">
            <w:pPr>
              <w:jc w:val="center"/>
              <w:rPr>
                <w:color w:val="auto"/>
                <w:highlight w:val="none"/>
              </w:rPr>
            </w:pPr>
            <w:r>
              <w:rPr>
                <w:rFonts w:hint="eastAsia" w:cs="宋体"/>
                <w:color w:val="auto"/>
                <w:highlight w:val="none"/>
              </w:rPr>
              <w:t>专用条款</w:t>
            </w:r>
          </w:p>
        </w:tc>
        <w:tc>
          <w:tcPr>
            <w:tcW w:w="1984" w:type="dxa"/>
            <w:noWrap w:val="0"/>
            <w:vAlign w:val="center"/>
          </w:tcPr>
          <w:p w14:paraId="56907465">
            <w:pPr>
              <w:jc w:val="center"/>
              <w:rPr>
                <w:color w:val="auto"/>
                <w:highlight w:val="none"/>
              </w:rPr>
            </w:pPr>
            <w:r>
              <w:rPr>
                <w:rFonts w:hint="eastAsia" w:cs="宋体"/>
                <w:color w:val="auto"/>
                <w:highlight w:val="none"/>
              </w:rPr>
              <w:t>结算价的</w:t>
            </w:r>
            <w:r>
              <w:rPr>
                <w:color w:val="auto"/>
                <w:highlight w:val="none"/>
                <w:u w:val="single"/>
              </w:rPr>
              <w:t xml:space="preserve"> </w:t>
            </w:r>
            <w:r>
              <w:rPr>
                <w:rFonts w:hint="eastAsia"/>
                <w:color w:val="auto"/>
                <w:highlight w:val="none"/>
                <w:u w:val="single"/>
              </w:rPr>
              <w:t>3</w:t>
            </w:r>
            <w:r>
              <w:rPr>
                <w:color w:val="auto"/>
                <w:highlight w:val="none"/>
                <w:u w:val="single"/>
              </w:rPr>
              <w:t xml:space="preserve">  </w:t>
            </w:r>
            <w:r>
              <w:rPr>
                <w:color w:val="auto"/>
                <w:highlight w:val="none"/>
              </w:rPr>
              <w:t xml:space="preserve">% </w:t>
            </w:r>
          </w:p>
        </w:tc>
        <w:tc>
          <w:tcPr>
            <w:tcW w:w="1843" w:type="dxa"/>
            <w:noWrap w:val="0"/>
            <w:vAlign w:val="center"/>
          </w:tcPr>
          <w:p w14:paraId="298309AB">
            <w:pPr>
              <w:jc w:val="center"/>
              <w:rPr>
                <w:color w:val="auto"/>
                <w:highlight w:val="none"/>
              </w:rPr>
            </w:pPr>
          </w:p>
        </w:tc>
      </w:tr>
      <w:tr w14:paraId="31E77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74505E17">
            <w:pPr>
              <w:jc w:val="center"/>
              <w:rPr>
                <w:color w:val="auto"/>
                <w:highlight w:val="none"/>
              </w:rPr>
            </w:pPr>
            <w:r>
              <w:rPr>
                <w:color w:val="auto"/>
                <w:highlight w:val="none"/>
              </w:rPr>
              <w:t>……</w:t>
            </w:r>
          </w:p>
        </w:tc>
        <w:tc>
          <w:tcPr>
            <w:tcW w:w="1985" w:type="dxa"/>
            <w:noWrap w:val="0"/>
            <w:vAlign w:val="center"/>
          </w:tcPr>
          <w:p w14:paraId="05051398">
            <w:pPr>
              <w:jc w:val="center"/>
              <w:rPr>
                <w:color w:val="auto"/>
                <w:highlight w:val="none"/>
              </w:rPr>
            </w:pPr>
            <w:r>
              <w:rPr>
                <w:color w:val="auto"/>
                <w:highlight w:val="none"/>
              </w:rPr>
              <w:t>……</w:t>
            </w:r>
          </w:p>
        </w:tc>
        <w:tc>
          <w:tcPr>
            <w:tcW w:w="2126" w:type="dxa"/>
            <w:noWrap w:val="0"/>
            <w:tcMar>
              <w:left w:w="170" w:type="dxa"/>
            </w:tcMar>
            <w:vAlign w:val="center"/>
          </w:tcPr>
          <w:p w14:paraId="789697C4">
            <w:pPr>
              <w:rPr>
                <w:color w:val="auto"/>
                <w:highlight w:val="none"/>
              </w:rPr>
            </w:pPr>
          </w:p>
        </w:tc>
        <w:tc>
          <w:tcPr>
            <w:tcW w:w="1984" w:type="dxa"/>
            <w:noWrap w:val="0"/>
            <w:vAlign w:val="center"/>
          </w:tcPr>
          <w:p w14:paraId="18AC4C39">
            <w:pPr>
              <w:jc w:val="center"/>
              <w:rPr>
                <w:color w:val="auto"/>
                <w:highlight w:val="none"/>
              </w:rPr>
            </w:pPr>
          </w:p>
        </w:tc>
        <w:tc>
          <w:tcPr>
            <w:tcW w:w="1843" w:type="dxa"/>
            <w:noWrap w:val="0"/>
            <w:vAlign w:val="center"/>
          </w:tcPr>
          <w:p w14:paraId="3CC93EC3">
            <w:pPr>
              <w:jc w:val="center"/>
              <w:rPr>
                <w:color w:val="auto"/>
                <w:highlight w:val="none"/>
              </w:rPr>
            </w:pPr>
          </w:p>
        </w:tc>
      </w:tr>
      <w:tr w14:paraId="1D8AE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930" w:type="dxa"/>
            <w:gridSpan w:val="5"/>
            <w:noWrap w:val="0"/>
            <w:vAlign w:val="center"/>
          </w:tcPr>
          <w:p w14:paraId="54DFE85D">
            <w:pPr>
              <w:spacing w:line="360" w:lineRule="auto"/>
              <w:rPr>
                <w:color w:val="auto"/>
                <w:highlight w:val="none"/>
              </w:rPr>
            </w:pPr>
            <w:r>
              <w:rPr>
                <w:rFonts w:hint="eastAsia" w:cs="宋体"/>
                <w:color w:val="auto"/>
                <w:highlight w:val="none"/>
              </w:rPr>
              <w:t>说明：供应商在响应磋商文件中规定的实质性要求和条件的基础上，可做出其他有利于采购人的承诺。此类承诺可在本表中予以补充填写。</w:t>
            </w:r>
          </w:p>
        </w:tc>
      </w:tr>
    </w:tbl>
    <w:p w14:paraId="59BCBD90">
      <w:pPr>
        <w:spacing w:line="360" w:lineRule="auto"/>
        <w:ind w:right="-817" w:rightChars="-389" w:firstLine="2640" w:firstLineChars="1100"/>
        <w:contextualSpacing/>
        <w:rPr>
          <w:rFonts w:hint="eastAsia" w:ascii="宋体" w:hAnsi="宋体" w:cs="仿宋_GB2312"/>
          <w:color w:val="auto"/>
          <w:sz w:val="24"/>
          <w:highlight w:val="none"/>
        </w:rPr>
      </w:pPr>
    </w:p>
    <w:p w14:paraId="2DB04791">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法定代表人或者委托代理人（签字或者</w:t>
      </w:r>
      <w:r>
        <w:rPr>
          <w:rFonts w:hint="eastAsia" w:ascii="宋体" w:hAnsi="宋体" w:cs="仿宋_GB2312"/>
          <w:color w:val="auto"/>
          <w:sz w:val="24"/>
          <w:highlight w:val="none"/>
          <w:lang w:eastAsia="zh-CN"/>
        </w:rPr>
        <w:t>盖章或者</w:t>
      </w:r>
      <w:r>
        <w:rPr>
          <w:rFonts w:hint="eastAsia" w:ascii="宋体" w:hAnsi="宋体" w:cs="仿宋_GB2312"/>
          <w:color w:val="auto"/>
          <w:sz w:val="24"/>
          <w:highlight w:val="none"/>
        </w:rPr>
        <w:t xml:space="preserve">电子签名）：                    </w:t>
      </w:r>
    </w:p>
    <w:p w14:paraId="5EEFC3F6">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630839B4">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79684D09">
      <w:pPr>
        <w:spacing w:line="360" w:lineRule="auto"/>
        <w:jc w:val="center"/>
        <w:rPr>
          <w:rFonts w:hint="eastAsia" w:ascii="方正小标宋简体" w:hAnsi="方正小标宋简体" w:eastAsia="方正小标宋简体" w:cs="方正小标宋简体"/>
          <w:bCs/>
          <w:color w:val="auto"/>
          <w:sz w:val="32"/>
          <w:szCs w:val="32"/>
          <w:highlight w:val="none"/>
        </w:rPr>
      </w:pPr>
      <w:r>
        <w:rPr>
          <w:rFonts w:ascii="宋体" w:hAnsi="宋体" w:cs="仿宋_GB2312"/>
          <w:color w:val="auto"/>
          <w:sz w:val="24"/>
          <w:highlight w:val="none"/>
        </w:rPr>
        <w:br w:type="page"/>
      </w:r>
      <w:r>
        <w:rPr>
          <w:rFonts w:hint="eastAsia" w:ascii="宋体" w:hAnsi="宋体" w:cs="方正小标宋简体"/>
          <w:b/>
          <w:bCs/>
          <w:color w:val="auto"/>
          <w:sz w:val="32"/>
          <w:szCs w:val="32"/>
          <w:highlight w:val="none"/>
        </w:rPr>
        <w:t>竞标报价表</w:t>
      </w:r>
    </w:p>
    <w:p w14:paraId="496F9BC1">
      <w:pPr>
        <w:spacing w:line="440" w:lineRule="exact"/>
        <w:jc w:val="center"/>
        <w:rPr>
          <w:rFonts w:hint="eastAsia" w:ascii="方正小标宋简体" w:hAnsi="方正小标宋简体" w:eastAsia="方正小标宋简体" w:cs="方正小标宋简体"/>
          <w:bCs/>
          <w:color w:val="auto"/>
          <w:sz w:val="32"/>
          <w:szCs w:val="32"/>
          <w:highlight w:val="none"/>
        </w:rPr>
      </w:pPr>
    </w:p>
    <w:p w14:paraId="22B84299">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406B7700">
      <w:pPr>
        <w:spacing w:line="360" w:lineRule="auto"/>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分标（如有）：</w:t>
      </w:r>
      <w:r>
        <w:rPr>
          <w:rFonts w:hint="eastAsia" w:ascii="宋体" w:hAnsi="宋体" w:cs="仿宋_GB2312"/>
          <w:color w:val="auto"/>
          <w:sz w:val="24"/>
          <w:highlight w:val="none"/>
          <w:u w:val="single"/>
        </w:rPr>
        <w:t xml:space="preserve">            </w:t>
      </w:r>
    </w:p>
    <w:p w14:paraId="71E5EFC5">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2D4D62BA">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单位：元</w:t>
      </w:r>
    </w:p>
    <w:tbl>
      <w:tblPr>
        <w:tblStyle w:val="43"/>
        <w:tblW w:w="909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01FA8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7543C934">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序号</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00A032F4">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项目</w:t>
            </w:r>
            <w:r>
              <w:rPr>
                <w:rFonts w:ascii="宋体" w:hAnsi="宋体" w:cs="仿宋_GB2312"/>
                <w:color w:val="auto"/>
                <w:sz w:val="24"/>
                <w:highlight w:val="none"/>
              </w:rPr>
              <w:t>名称</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590B687E">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数量及单位</w:t>
            </w:r>
          </w:p>
        </w:tc>
        <w:tc>
          <w:tcPr>
            <w:tcW w:w="3107" w:type="dxa"/>
            <w:tcBorders>
              <w:top w:val="single" w:color="auto" w:sz="4" w:space="0"/>
              <w:left w:val="single" w:color="auto" w:sz="4" w:space="0"/>
              <w:bottom w:val="single" w:color="auto" w:sz="4" w:space="0"/>
              <w:right w:val="single" w:color="auto" w:sz="4" w:space="0"/>
            </w:tcBorders>
            <w:noWrap w:val="0"/>
            <w:vAlign w:val="center"/>
          </w:tcPr>
          <w:p w14:paraId="7DC0B3CD">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总价</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1F3E08F4">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备注</w:t>
            </w:r>
          </w:p>
        </w:tc>
      </w:tr>
      <w:tr w14:paraId="2FED3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7BC0620A">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1</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7318D34F">
            <w:pPr>
              <w:spacing w:line="360" w:lineRule="auto"/>
              <w:contextualSpacing/>
              <w:jc w:val="center"/>
              <w:rPr>
                <w:rFonts w:ascii="宋体" w:hAnsi="宋体" w:cs="仿宋_GB2312"/>
                <w:color w:val="auto"/>
                <w:sz w:val="24"/>
                <w:highlight w:val="none"/>
              </w:rPr>
            </w:pPr>
          </w:p>
        </w:tc>
        <w:tc>
          <w:tcPr>
            <w:tcW w:w="1505" w:type="dxa"/>
            <w:tcBorders>
              <w:top w:val="single" w:color="auto" w:sz="4" w:space="0"/>
              <w:left w:val="single" w:color="auto" w:sz="4" w:space="0"/>
              <w:bottom w:val="single" w:color="auto" w:sz="4" w:space="0"/>
              <w:right w:val="single" w:color="auto" w:sz="4" w:space="0"/>
            </w:tcBorders>
            <w:noWrap w:val="0"/>
            <w:vAlign w:val="center"/>
          </w:tcPr>
          <w:p w14:paraId="0B6AAC02">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1项</w:t>
            </w:r>
          </w:p>
        </w:tc>
        <w:tc>
          <w:tcPr>
            <w:tcW w:w="3107" w:type="dxa"/>
            <w:tcBorders>
              <w:top w:val="single" w:color="auto" w:sz="4" w:space="0"/>
              <w:left w:val="single" w:color="auto" w:sz="4" w:space="0"/>
              <w:bottom w:val="single" w:color="auto" w:sz="4" w:space="0"/>
              <w:right w:val="single" w:color="auto" w:sz="4" w:space="0"/>
            </w:tcBorders>
            <w:noWrap w:val="0"/>
            <w:vAlign w:val="top"/>
          </w:tcPr>
          <w:p w14:paraId="1D84414B">
            <w:pPr>
              <w:spacing w:line="360" w:lineRule="auto"/>
              <w:contextualSpacing/>
              <w:rPr>
                <w:rFonts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369986AA">
            <w:pPr>
              <w:spacing w:line="360" w:lineRule="auto"/>
              <w:contextualSpacing/>
              <w:rPr>
                <w:rFonts w:ascii="宋体" w:hAnsi="宋体" w:cs="仿宋_GB2312"/>
                <w:color w:val="auto"/>
                <w:sz w:val="24"/>
                <w:highlight w:val="none"/>
              </w:rPr>
            </w:pPr>
          </w:p>
        </w:tc>
      </w:tr>
      <w:tr w14:paraId="3BE13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noWrap w:val="0"/>
            <w:vAlign w:val="center"/>
          </w:tcPr>
          <w:p w14:paraId="5EE1AF1B">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合计金额（人民币）</w:t>
            </w:r>
            <w:r>
              <w:rPr>
                <w:rFonts w:hint="eastAsia" w:ascii="宋体" w:hAnsi="宋体" w:cs="仿宋_GB2312"/>
                <w:color w:val="auto"/>
                <w:sz w:val="24"/>
                <w:highlight w:val="none"/>
                <w:u w:val="single"/>
              </w:rPr>
              <w:t xml:space="preserve">大写：                      </w:t>
            </w:r>
            <w:r>
              <w:rPr>
                <w:rFonts w:hint="eastAsia" w:ascii="宋体" w:hAnsi="宋体" w:cs="仿宋_GB2312"/>
                <w:color w:val="auto"/>
                <w:sz w:val="24"/>
                <w:highlight w:val="none"/>
              </w:rPr>
              <w:t xml:space="preserve"> （¥</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14:paraId="55DFA065">
      <w:pPr>
        <w:spacing w:line="360" w:lineRule="auto"/>
        <w:contextualSpacing/>
        <w:jc w:val="left"/>
        <w:rPr>
          <w:rFonts w:ascii="宋体" w:hAnsi="宋体" w:cs="仿宋_GB2312"/>
          <w:color w:val="auto"/>
          <w:sz w:val="24"/>
          <w:highlight w:val="none"/>
        </w:rPr>
      </w:pPr>
    </w:p>
    <w:p w14:paraId="72E0CE10">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 xml:space="preserve">注: </w:t>
      </w:r>
    </w:p>
    <w:p w14:paraId="62A69EDB">
      <w:pPr>
        <w:spacing w:line="360" w:lineRule="auto"/>
        <w:ind w:firstLine="480" w:firstLineChars="20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1. 供应商的报价表必须加盖供应商电子签章并由法定代表人或者委托代理人签字或者电子签名，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20D01EF8">
      <w:pPr>
        <w:spacing w:line="360" w:lineRule="auto"/>
        <w:ind w:firstLine="480" w:firstLineChars="200"/>
        <w:contextualSpacing/>
        <w:jc w:val="left"/>
        <w:rPr>
          <w:rFonts w:hint="eastAsia"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 xml:space="preserve"> 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7008C878">
      <w:pPr>
        <w:spacing w:line="360" w:lineRule="auto"/>
        <w:ind w:firstLine="480" w:firstLineChars="200"/>
        <w:contextualSpacing/>
        <w:jc w:val="left"/>
        <w:rPr>
          <w:rFonts w:ascii="宋体" w:hAnsi="宋体" w:cs="仿宋_GB2312"/>
          <w:b/>
          <w:color w:val="auto"/>
          <w:sz w:val="24"/>
          <w:highlight w:val="none"/>
        </w:rPr>
      </w:pPr>
      <w:r>
        <w:rPr>
          <w:rFonts w:ascii="宋体" w:hAnsi="宋体" w:cs="仿宋_GB2312"/>
          <w:color w:val="auto"/>
          <w:sz w:val="24"/>
          <w:highlight w:val="none"/>
        </w:rPr>
        <w:t>3</w:t>
      </w:r>
      <w:r>
        <w:rPr>
          <w:rFonts w:hint="eastAsia" w:ascii="宋体" w:hAnsi="宋体" w:cs="仿宋_GB2312"/>
          <w:color w:val="auto"/>
          <w:sz w:val="24"/>
          <w:highlight w:val="none"/>
        </w:rPr>
        <w:t>.如为联合体竞标，“供应商名称”处必须列明联合体各方名称，标注联合体牵头人名称，</w:t>
      </w:r>
      <w:r>
        <w:rPr>
          <w:rFonts w:hint="eastAsia" w:ascii="宋体" w:hAnsi="宋体" w:cs="仿宋_GB2312"/>
          <w:b/>
          <w:color w:val="auto"/>
          <w:sz w:val="24"/>
          <w:highlight w:val="none"/>
        </w:rPr>
        <w:t>否则其响应文件按无效处理。</w:t>
      </w:r>
    </w:p>
    <w:p w14:paraId="3DA6598A">
      <w:pPr>
        <w:spacing w:line="360" w:lineRule="auto"/>
        <w:ind w:firstLine="480" w:firstLineChars="200"/>
        <w:contextualSpacing/>
        <w:jc w:val="left"/>
        <w:rPr>
          <w:rFonts w:hint="eastAsia" w:ascii="宋体" w:hAnsi="宋体" w:cs="仿宋_GB2312"/>
          <w:color w:val="auto"/>
          <w:sz w:val="24"/>
          <w:highlight w:val="none"/>
        </w:rPr>
      </w:pPr>
      <w:r>
        <w:rPr>
          <w:rFonts w:ascii="宋体" w:hAnsi="宋体" w:cs="仿宋_GB2312"/>
          <w:color w:val="auto"/>
          <w:sz w:val="24"/>
          <w:highlight w:val="none"/>
        </w:rPr>
        <w:t>4</w:t>
      </w:r>
      <w:r>
        <w:rPr>
          <w:rFonts w:hint="eastAsia" w:ascii="宋体" w:hAnsi="宋体" w:cs="仿宋_GB2312"/>
          <w:color w:val="auto"/>
          <w:sz w:val="24"/>
          <w:highlight w:val="none"/>
        </w:rPr>
        <w:t>. 如为联合体竞标，</w:t>
      </w:r>
      <w:r>
        <w:rPr>
          <w:rFonts w:hint="eastAsia" w:ascii="宋体" w:hAnsi="宋体"/>
          <w:color w:val="auto"/>
          <w:spacing w:val="-6"/>
          <w:sz w:val="24"/>
          <w:highlight w:val="none"/>
        </w:rPr>
        <w:t xml:space="preserve"> 盖章处须加盖联合体牵头人电子签章</w:t>
      </w:r>
      <w:r>
        <w:rPr>
          <w:rFonts w:hint="eastAsia" w:ascii="宋体" w:hAnsi="宋体" w:cs="仿宋_GB2312"/>
          <w:color w:val="auto"/>
          <w:sz w:val="24"/>
          <w:highlight w:val="none"/>
        </w:rPr>
        <w:t>，</w:t>
      </w:r>
      <w:r>
        <w:rPr>
          <w:rFonts w:hint="eastAsia" w:ascii="宋体" w:hAnsi="宋体" w:cs="仿宋_GB2312"/>
          <w:b/>
          <w:color w:val="auto"/>
          <w:sz w:val="24"/>
          <w:highlight w:val="none"/>
        </w:rPr>
        <w:t>否则其响应文件按无效处理。</w:t>
      </w:r>
    </w:p>
    <w:p w14:paraId="283707F4">
      <w:pPr>
        <w:spacing w:line="360" w:lineRule="auto"/>
        <w:ind w:firstLine="480" w:firstLineChars="200"/>
        <w:contextualSpacing/>
        <w:rPr>
          <w:rFonts w:hint="eastAsia" w:ascii="宋体" w:hAnsi="宋体" w:cs="仿宋_GB2312"/>
          <w:color w:val="auto"/>
          <w:sz w:val="24"/>
          <w:highlight w:val="none"/>
        </w:rPr>
      </w:pPr>
      <w:r>
        <w:rPr>
          <w:rFonts w:ascii="宋体" w:hAnsi="宋体" w:cs="仿宋_GB2312"/>
          <w:color w:val="auto"/>
          <w:sz w:val="24"/>
          <w:highlight w:val="none"/>
        </w:rPr>
        <w:t>5</w:t>
      </w:r>
      <w:r>
        <w:rPr>
          <w:rFonts w:hint="eastAsia" w:ascii="宋体" w:hAnsi="宋体" w:cs="仿宋_GB2312"/>
          <w:color w:val="auto"/>
          <w:sz w:val="24"/>
          <w:highlight w:val="none"/>
        </w:rPr>
        <w:t>.</w:t>
      </w:r>
      <w:r>
        <w:rPr>
          <w:rFonts w:hint="eastAsia" w:ascii="宋体" w:hAnsi="宋体" w:cs="仿宋_GB2312"/>
          <w:color w:val="auto"/>
          <w:spacing w:val="-6"/>
          <w:sz w:val="24"/>
          <w:highlight w:val="none"/>
        </w:rPr>
        <w:t>如有多分标，分别列明各分标的报价表，</w:t>
      </w:r>
      <w:r>
        <w:rPr>
          <w:rFonts w:hint="eastAsia" w:ascii="宋体" w:hAnsi="宋体" w:cs="仿宋_GB2312"/>
          <w:b/>
          <w:color w:val="auto"/>
          <w:spacing w:val="-6"/>
          <w:sz w:val="24"/>
          <w:highlight w:val="none"/>
        </w:rPr>
        <w:t>否则其响应文件按无效处理。</w:t>
      </w:r>
    </w:p>
    <w:p w14:paraId="008A25EB">
      <w:pPr>
        <w:spacing w:line="360" w:lineRule="auto"/>
        <w:ind w:right="-817" w:rightChars="-389"/>
        <w:contextualSpacing/>
        <w:rPr>
          <w:rFonts w:hint="eastAsia" w:ascii="宋体" w:hAnsi="宋体" w:cs="仿宋_GB2312"/>
          <w:color w:val="auto"/>
          <w:sz w:val="24"/>
          <w:highlight w:val="none"/>
        </w:rPr>
      </w:pPr>
    </w:p>
    <w:p w14:paraId="0C1BD496">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2F45C9C1">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0C0F59FA">
      <w:pPr>
        <w:spacing w:line="360" w:lineRule="auto"/>
        <w:ind w:right="-817" w:rightChars="-389"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36F5056A">
      <w:pPr>
        <w:spacing w:line="360" w:lineRule="auto"/>
        <w:contextualSpacing/>
        <w:jc w:val="center"/>
        <w:rPr>
          <w:rFonts w:hint="eastAsia" w:ascii="宋体" w:hAnsi="宋体" w:cs="仿宋_GB2312"/>
          <w:b/>
          <w:color w:val="auto"/>
          <w:sz w:val="32"/>
          <w:szCs w:val="32"/>
          <w:highlight w:val="none"/>
        </w:rPr>
      </w:pPr>
      <w:r>
        <w:rPr>
          <w:rFonts w:ascii="宋体" w:hAnsi="宋体" w:cs="仿宋_GB2312"/>
          <w:color w:val="auto"/>
          <w:sz w:val="24"/>
          <w:highlight w:val="none"/>
        </w:rPr>
        <w:br w:type="page"/>
      </w:r>
      <w:r>
        <w:rPr>
          <w:rFonts w:hint="eastAsia" w:ascii="宋体" w:hAnsi="宋体" w:cs="宋体"/>
          <w:b/>
          <w:color w:val="auto"/>
          <w:sz w:val="32"/>
          <w:szCs w:val="32"/>
          <w:highlight w:val="none"/>
        </w:rPr>
        <w:t>已标价工程量清单</w:t>
      </w:r>
    </w:p>
    <w:p w14:paraId="5F1FA634">
      <w:pPr>
        <w:spacing w:line="360" w:lineRule="auto"/>
        <w:ind w:firstLine="420" w:firstLineChars="200"/>
        <w:rPr>
          <w:color w:val="auto"/>
          <w:highlight w:val="none"/>
        </w:rPr>
      </w:pPr>
      <w:r>
        <w:rPr>
          <w:color w:val="auto"/>
          <w:highlight w:val="none"/>
        </w:rPr>
        <w:t xml:space="preserve">1. </w:t>
      </w:r>
      <w:r>
        <w:rPr>
          <w:rFonts w:hint="eastAsia" w:cs="宋体"/>
          <w:color w:val="auto"/>
          <w:highlight w:val="none"/>
        </w:rPr>
        <w:t>已标价工程量清单应按第五章</w:t>
      </w:r>
      <w:r>
        <w:rPr>
          <w:rFonts w:hint="eastAsia"/>
          <w:color w:val="auto"/>
          <w:highlight w:val="none"/>
        </w:rPr>
        <w:t>“工程量清单及图纸”</w:t>
      </w:r>
      <w:r>
        <w:rPr>
          <w:rFonts w:hint="eastAsia" w:cs="宋体"/>
          <w:color w:val="auto"/>
          <w:highlight w:val="none"/>
        </w:rPr>
        <w:t>中的相关表格及竞标报价说明填写。构成合同文件的已标价工程量清单包括第五章</w:t>
      </w:r>
      <w:r>
        <w:rPr>
          <w:rFonts w:hint="eastAsia"/>
          <w:color w:val="auto"/>
          <w:highlight w:val="none"/>
        </w:rPr>
        <w:t>“工程量清单及图纸”</w:t>
      </w:r>
      <w:r>
        <w:rPr>
          <w:rFonts w:hint="eastAsia" w:cs="宋体"/>
          <w:color w:val="auto"/>
          <w:highlight w:val="none"/>
        </w:rPr>
        <w:t>有关工程量清单、竞标报价以及其他说明的内容。</w:t>
      </w:r>
    </w:p>
    <w:p w14:paraId="1BF44ECA">
      <w:pPr>
        <w:spacing w:line="360" w:lineRule="auto"/>
        <w:ind w:firstLine="420" w:firstLineChars="200"/>
        <w:rPr>
          <w:color w:val="auto"/>
          <w:highlight w:val="none"/>
        </w:rPr>
      </w:pPr>
      <w:r>
        <w:rPr>
          <w:color w:val="auto"/>
          <w:highlight w:val="none"/>
        </w:rPr>
        <w:t xml:space="preserve">2. </w:t>
      </w:r>
      <w:r>
        <w:rPr>
          <w:rFonts w:hint="eastAsia" w:cs="宋体"/>
          <w:color w:val="auto"/>
          <w:highlight w:val="none"/>
        </w:rPr>
        <w:t>一般计税法建设工程已标价工程量清单表格按</w:t>
      </w:r>
      <w:r>
        <w:rPr>
          <w:rFonts w:hint="eastAsia" w:hAnsi="宋体" w:cs="宋体"/>
          <w:color w:val="auto"/>
          <w:kern w:val="0"/>
          <w:highlight w:val="none"/>
        </w:rPr>
        <w:t>《关于建筑业实施营业税改征增值税后广西壮族自治区建设工程计价依据调整的通知》（桂建标〔</w:t>
      </w:r>
      <w:r>
        <w:rPr>
          <w:rFonts w:hAnsi="宋体"/>
          <w:color w:val="auto"/>
          <w:kern w:val="0"/>
          <w:highlight w:val="none"/>
        </w:rPr>
        <w:t>2016</w:t>
      </w:r>
      <w:r>
        <w:rPr>
          <w:rFonts w:hint="eastAsia" w:hAnsi="宋体" w:cs="宋体"/>
          <w:color w:val="auto"/>
          <w:kern w:val="0"/>
          <w:highlight w:val="none"/>
        </w:rPr>
        <w:t>〕</w:t>
      </w:r>
      <w:r>
        <w:rPr>
          <w:rFonts w:hAnsi="宋体"/>
          <w:color w:val="auto"/>
          <w:kern w:val="0"/>
          <w:highlight w:val="none"/>
        </w:rPr>
        <w:t>17</w:t>
      </w:r>
      <w:r>
        <w:rPr>
          <w:rFonts w:hint="eastAsia" w:hAnsi="宋体" w:cs="宋体"/>
          <w:color w:val="auto"/>
          <w:kern w:val="0"/>
          <w:highlight w:val="none"/>
        </w:rPr>
        <w:t>号）</w:t>
      </w:r>
      <w:r>
        <w:rPr>
          <w:rFonts w:hint="eastAsia" w:ascii="宋体" w:hAnsi="宋体" w:cs="宋体"/>
          <w:color w:val="auto"/>
          <w:highlight w:val="none"/>
        </w:rPr>
        <w:t>附件“增值税一般计税方法工程计价表”</w:t>
      </w:r>
      <w:r>
        <w:rPr>
          <w:rFonts w:hint="eastAsia" w:cs="宋体"/>
          <w:color w:val="auto"/>
          <w:highlight w:val="none"/>
        </w:rPr>
        <w:t>要求提供，简易计税法表格按《</w:t>
      </w:r>
      <w:r>
        <w:rPr>
          <w:color w:val="auto"/>
          <w:highlight w:val="none"/>
        </w:rPr>
        <w:t>&lt;</w:t>
      </w:r>
      <w:r>
        <w:rPr>
          <w:rFonts w:hint="eastAsia" w:cs="宋体"/>
          <w:color w:val="auto"/>
          <w:highlight w:val="none"/>
        </w:rPr>
        <w:t>建设工程工程量清单计价规范</w:t>
      </w:r>
      <w:r>
        <w:rPr>
          <w:color w:val="auto"/>
          <w:highlight w:val="none"/>
        </w:rPr>
        <w:t>&gt;</w:t>
      </w:r>
      <w:r>
        <w:rPr>
          <w:rFonts w:hint="eastAsia" w:cs="宋体"/>
          <w:color w:val="auto"/>
          <w:highlight w:val="none"/>
        </w:rPr>
        <w:t>（</w:t>
      </w:r>
      <w:r>
        <w:rPr>
          <w:color w:val="auto"/>
          <w:highlight w:val="none"/>
        </w:rPr>
        <w:t>GB5050-2013</w:t>
      </w:r>
      <w:r>
        <w:rPr>
          <w:rFonts w:hint="eastAsia" w:cs="宋体"/>
          <w:color w:val="auto"/>
          <w:highlight w:val="none"/>
        </w:rPr>
        <w:t>）广西壮族自治区实施细则》要求的表格提供，但规费和税费按照</w:t>
      </w:r>
      <w:r>
        <w:rPr>
          <w:rFonts w:hint="eastAsia" w:hAnsi="宋体" w:cs="宋体"/>
          <w:color w:val="auto"/>
          <w:kern w:val="0"/>
          <w:highlight w:val="none"/>
        </w:rPr>
        <w:t>《关于建筑业实施营业税改征增值税后广西壮族自治区建设工程计价依据调整的通知》（桂建标〔</w:t>
      </w:r>
      <w:r>
        <w:rPr>
          <w:rFonts w:hAnsi="宋体"/>
          <w:color w:val="auto"/>
          <w:kern w:val="0"/>
          <w:highlight w:val="none"/>
        </w:rPr>
        <w:t>2016</w:t>
      </w:r>
      <w:r>
        <w:rPr>
          <w:rFonts w:hint="eastAsia" w:hAnsi="宋体" w:cs="宋体"/>
          <w:color w:val="auto"/>
          <w:kern w:val="0"/>
          <w:highlight w:val="none"/>
        </w:rPr>
        <w:t>〕</w:t>
      </w:r>
      <w:r>
        <w:rPr>
          <w:rFonts w:hAnsi="宋体"/>
          <w:color w:val="auto"/>
          <w:kern w:val="0"/>
          <w:highlight w:val="none"/>
        </w:rPr>
        <w:t>17</w:t>
      </w:r>
      <w:r>
        <w:rPr>
          <w:rFonts w:hint="eastAsia" w:hAnsi="宋体" w:cs="宋体"/>
          <w:color w:val="auto"/>
          <w:kern w:val="0"/>
          <w:highlight w:val="none"/>
        </w:rPr>
        <w:t>号）、《自治区住房城乡建设厅关于调整建设工程计价增值税税率的通知》（桂建标〔2018〕14号）、《自治区住房城乡建设厅关于调整建设工程计价增值税税率的通知》（桂建标〔2019〕12号）</w:t>
      </w:r>
      <w:r>
        <w:rPr>
          <w:rFonts w:hint="eastAsia" w:ascii="宋体" w:hAnsi="宋体" w:cs="宋体"/>
          <w:color w:val="auto"/>
          <w:highlight w:val="none"/>
        </w:rPr>
        <w:t>调整</w:t>
      </w:r>
      <w:r>
        <w:rPr>
          <w:rFonts w:hint="eastAsia" w:cs="宋体"/>
          <w:color w:val="auto"/>
          <w:highlight w:val="none"/>
        </w:rPr>
        <w:t>，具体内容包括：</w:t>
      </w:r>
    </w:p>
    <w:p w14:paraId="3695053E">
      <w:pPr>
        <w:spacing w:line="360" w:lineRule="auto"/>
        <w:ind w:firstLine="630" w:firstLineChars="300"/>
        <w:rPr>
          <w:color w:val="auto"/>
          <w:highlight w:val="none"/>
        </w:rPr>
      </w:pPr>
      <w:r>
        <w:rPr>
          <w:color w:val="auto"/>
          <w:highlight w:val="none"/>
        </w:rPr>
        <w:t xml:space="preserve">1.1 </w:t>
      </w:r>
      <w:r>
        <w:rPr>
          <w:rFonts w:hint="eastAsia" w:cs="宋体"/>
          <w:color w:val="auto"/>
          <w:highlight w:val="none"/>
        </w:rPr>
        <w:t>投标总价（封</w:t>
      </w:r>
      <w:r>
        <w:rPr>
          <w:color w:val="auto"/>
          <w:highlight w:val="none"/>
        </w:rPr>
        <w:t>-3</w:t>
      </w:r>
      <w:r>
        <w:rPr>
          <w:rFonts w:hint="eastAsia" w:cs="宋体"/>
          <w:color w:val="auto"/>
          <w:highlight w:val="none"/>
        </w:rPr>
        <w:t>）</w:t>
      </w:r>
    </w:p>
    <w:p w14:paraId="482AF1F9">
      <w:pPr>
        <w:spacing w:line="360" w:lineRule="auto"/>
        <w:ind w:firstLine="630" w:firstLineChars="300"/>
        <w:rPr>
          <w:color w:val="auto"/>
          <w:highlight w:val="none"/>
        </w:rPr>
      </w:pPr>
      <w:r>
        <w:rPr>
          <w:color w:val="auto"/>
          <w:highlight w:val="none"/>
        </w:rPr>
        <w:t xml:space="preserve">1.2 </w:t>
      </w:r>
      <w:r>
        <w:rPr>
          <w:rFonts w:hint="eastAsia" w:cs="宋体"/>
          <w:color w:val="auto"/>
          <w:highlight w:val="none"/>
        </w:rPr>
        <w:t>投标总价（扉</w:t>
      </w:r>
      <w:r>
        <w:rPr>
          <w:color w:val="auto"/>
          <w:highlight w:val="none"/>
        </w:rPr>
        <w:t>-3</w:t>
      </w:r>
      <w:r>
        <w:rPr>
          <w:rFonts w:hint="eastAsia" w:cs="宋体"/>
          <w:color w:val="auto"/>
          <w:highlight w:val="none"/>
        </w:rPr>
        <w:t>）</w:t>
      </w:r>
    </w:p>
    <w:p w14:paraId="3BF03F07">
      <w:pPr>
        <w:spacing w:line="360" w:lineRule="auto"/>
        <w:ind w:firstLine="630" w:firstLineChars="300"/>
        <w:rPr>
          <w:color w:val="auto"/>
          <w:highlight w:val="none"/>
        </w:rPr>
      </w:pPr>
      <w:r>
        <w:rPr>
          <w:color w:val="auto"/>
          <w:highlight w:val="none"/>
        </w:rPr>
        <w:t xml:space="preserve">1.3 </w:t>
      </w:r>
      <w:r>
        <w:rPr>
          <w:rFonts w:hint="eastAsia" w:cs="宋体"/>
          <w:color w:val="auto"/>
          <w:highlight w:val="none"/>
        </w:rPr>
        <w:t>总说明（表</w:t>
      </w:r>
      <w:r>
        <w:rPr>
          <w:color w:val="auto"/>
          <w:highlight w:val="none"/>
        </w:rPr>
        <w:t>-01</w:t>
      </w:r>
      <w:r>
        <w:rPr>
          <w:rFonts w:hint="eastAsia" w:cs="宋体"/>
          <w:color w:val="auto"/>
          <w:highlight w:val="none"/>
        </w:rPr>
        <w:t>）</w:t>
      </w:r>
    </w:p>
    <w:p w14:paraId="2A1CAC97">
      <w:pPr>
        <w:spacing w:line="360" w:lineRule="auto"/>
        <w:ind w:firstLine="630" w:firstLineChars="300"/>
        <w:rPr>
          <w:color w:val="auto"/>
          <w:highlight w:val="none"/>
        </w:rPr>
      </w:pPr>
      <w:r>
        <w:rPr>
          <w:color w:val="auto"/>
          <w:highlight w:val="none"/>
        </w:rPr>
        <w:t xml:space="preserve">1.4 </w:t>
      </w:r>
      <w:r>
        <w:rPr>
          <w:rFonts w:hint="eastAsia" w:cs="宋体"/>
          <w:color w:val="auto"/>
          <w:highlight w:val="none"/>
        </w:rPr>
        <w:t>建设项目投标报价汇总表（表</w:t>
      </w:r>
      <w:r>
        <w:rPr>
          <w:color w:val="auto"/>
          <w:highlight w:val="none"/>
        </w:rPr>
        <w:t>-02</w:t>
      </w:r>
      <w:r>
        <w:rPr>
          <w:rFonts w:hint="eastAsia" w:cs="宋体"/>
          <w:color w:val="auto"/>
          <w:highlight w:val="none"/>
        </w:rPr>
        <w:t>）</w:t>
      </w:r>
    </w:p>
    <w:p w14:paraId="4506F935">
      <w:pPr>
        <w:spacing w:line="360" w:lineRule="auto"/>
        <w:ind w:firstLine="630" w:firstLineChars="300"/>
        <w:rPr>
          <w:color w:val="auto"/>
          <w:highlight w:val="none"/>
        </w:rPr>
      </w:pPr>
      <w:r>
        <w:rPr>
          <w:color w:val="auto"/>
          <w:highlight w:val="none"/>
        </w:rPr>
        <w:t xml:space="preserve">1.5 </w:t>
      </w:r>
      <w:r>
        <w:rPr>
          <w:rFonts w:hint="eastAsia" w:cs="宋体"/>
          <w:color w:val="auto"/>
          <w:highlight w:val="none"/>
        </w:rPr>
        <w:t>单项工程投标报价汇总表（表</w:t>
      </w:r>
      <w:r>
        <w:rPr>
          <w:color w:val="auto"/>
          <w:highlight w:val="none"/>
        </w:rPr>
        <w:t>-03</w:t>
      </w:r>
      <w:r>
        <w:rPr>
          <w:rFonts w:hint="eastAsia" w:cs="宋体"/>
          <w:color w:val="auto"/>
          <w:highlight w:val="none"/>
        </w:rPr>
        <w:t>）</w:t>
      </w:r>
    </w:p>
    <w:p w14:paraId="4D1E0A47">
      <w:pPr>
        <w:spacing w:line="360" w:lineRule="auto"/>
        <w:ind w:firstLine="630" w:firstLineChars="300"/>
        <w:rPr>
          <w:color w:val="auto"/>
          <w:highlight w:val="none"/>
        </w:rPr>
      </w:pPr>
      <w:r>
        <w:rPr>
          <w:color w:val="auto"/>
          <w:highlight w:val="none"/>
        </w:rPr>
        <w:t xml:space="preserve">1.6 </w:t>
      </w:r>
      <w:r>
        <w:rPr>
          <w:rFonts w:hint="eastAsia" w:cs="宋体"/>
          <w:color w:val="auto"/>
          <w:highlight w:val="none"/>
        </w:rPr>
        <w:t>单位工程投标报价汇总表（表</w:t>
      </w:r>
      <w:r>
        <w:rPr>
          <w:color w:val="auto"/>
          <w:highlight w:val="none"/>
        </w:rPr>
        <w:t>-04</w:t>
      </w:r>
      <w:r>
        <w:rPr>
          <w:rFonts w:hint="eastAsia" w:cs="宋体"/>
          <w:color w:val="auto"/>
          <w:highlight w:val="none"/>
        </w:rPr>
        <w:t>）</w:t>
      </w:r>
    </w:p>
    <w:p w14:paraId="1F197731">
      <w:pPr>
        <w:spacing w:line="360" w:lineRule="auto"/>
        <w:ind w:firstLine="630" w:firstLineChars="300"/>
        <w:rPr>
          <w:color w:val="auto"/>
          <w:highlight w:val="none"/>
        </w:rPr>
      </w:pPr>
      <w:r>
        <w:rPr>
          <w:color w:val="auto"/>
          <w:highlight w:val="none"/>
        </w:rPr>
        <w:t xml:space="preserve">1.7 </w:t>
      </w:r>
      <w:r>
        <w:rPr>
          <w:rFonts w:hint="eastAsia" w:cs="宋体"/>
          <w:color w:val="auto"/>
          <w:highlight w:val="none"/>
        </w:rPr>
        <w:t>分部分项工程和单价措施项目清单与计价表（表</w:t>
      </w:r>
      <w:r>
        <w:rPr>
          <w:color w:val="auto"/>
          <w:highlight w:val="none"/>
        </w:rPr>
        <w:t>-08</w:t>
      </w:r>
      <w:r>
        <w:rPr>
          <w:rFonts w:hint="eastAsia" w:cs="宋体"/>
          <w:color w:val="auto"/>
          <w:highlight w:val="none"/>
        </w:rPr>
        <w:t>）</w:t>
      </w:r>
    </w:p>
    <w:p w14:paraId="3E7A0CC3">
      <w:pPr>
        <w:spacing w:line="360" w:lineRule="auto"/>
        <w:ind w:firstLine="630" w:firstLineChars="300"/>
        <w:rPr>
          <w:color w:val="auto"/>
          <w:highlight w:val="none"/>
        </w:rPr>
      </w:pPr>
      <w:r>
        <w:rPr>
          <w:color w:val="auto"/>
          <w:highlight w:val="none"/>
        </w:rPr>
        <w:t xml:space="preserve">1.8 </w:t>
      </w:r>
      <w:r>
        <w:rPr>
          <w:rFonts w:hint="eastAsia" w:cs="宋体"/>
          <w:color w:val="auto"/>
          <w:highlight w:val="none"/>
        </w:rPr>
        <w:t>工程量清单综合单价分析表（表</w:t>
      </w:r>
      <w:r>
        <w:rPr>
          <w:color w:val="auto"/>
          <w:highlight w:val="none"/>
        </w:rPr>
        <w:t>-09</w:t>
      </w:r>
      <w:r>
        <w:rPr>
          <w:rFonts w:hint="eastAsia" w:cs="宋体"/>
          <w:color w:val="auto"/>
          <w:highlight w:val="none"/>
        </w:rPr>
        <w:t>）</w:t>
      </w:r>
    </w:p>
    <w:p w14:paraId="6C675FB8">
      <w:pPr>
        <w:spacing w:line="360" w:lineRule="auto"/>
        <w:ind w:firstLine="630" w:firstLineChars="300"/>
        <w:rPr>
          <w:color w:val="auto"/>
          <w:highlight w:val="none"/>
        </w:rPr>
      </w:pPr>
      <w:r>
        <w:rPr>
          <w:color w:val="auto"/>
          <w:highlight w:val="none"/>
        </w:rPr>
        <w:t xml:space="preserve">1.9 </w:t>
      </w:r>
      <w:r>
        <w:rPr>
          <w:rFonts w:hint="eastAsia" w:cs="宋体"/>
          <w:color w:val="auto"/>
          <w:highlight w:val="none"/>
        </w:rPr>
        <w:t>主要清单项目工料机分析表（表</w:t>
      </w:r>
      <w:r>
        <w:rPr>
          <w:color w:val="auto"/>
          <w:highlight w:val="none"/>
        </w:rPr>
        <w:t>-10</w:t>
      </w:r>
      <w:r>
        <w:rPr>
          <w:rFonts w:hint="eastAsia" w:cs="宋体"/>
          <w:color w:val="auto"/>
          <w:highlight w:val="none"/>
        </w:rPr>
        <w:t>）【备注：可按要求有选择的提供】</w:t>
      </w:r>
    </w:p>
    <w:p w14:paraId="74B65A71">
      <w:pPr>
        <w:spacing w:line="360" w:lineRule="auto"/>
        <w:ind w:firstLine="630" w:firstLineChars="300"/>
        <w:rPr>
          <w:color w:val="auto"/>
          <w:highlight w:val="none"/>
        </w:rPr>
      </w:pPr>
      <w:r>
        <w:rPr>
          <w:color w:val="auto"/>
          <w:highlight w:val="none"/>
        </w:rPr>
        <w:t xml:space="preserve">1.10 </w:t>
      </w:r>
      <w:r>
        <w:rPr>
          <w:rFonts w:hint="eastAsia" w:cs="宋体"/>
          <w:color w:val="auto"/>
          <w:highlight w:val="none"/>
        </w:rPr>
        <w:t>总价措施项目清单与计价表（表</w:t>
      </w:r>
      <w:r>
        <w:rPr>
          <w:color w:val="auto"/>
          <w:highlight w:val="none"/>
        </w:rPr>
        <w:t>-11</w:t>
      </w:r>
      <w:r>
        <w:rPr>
          <w:rFonts w:hint="eastAsia" w:cs="宋体"/>
          <w:color w:val="auto"/>
          <w:highlight w:val="none"/>
        </w:rPr>
        <w:t>）</w:t>
      </w:r>
    </w:p>
    <w:p w14:paraId="0FEA75CD">
      <w:pPr>
        <w:spacing w:line="360" w:lineRule="auto"/>
        <w:ind w:firstLine="630" w:firstLineChars="300"/>
        <w:rPr>
          <w:color w:val="auto"/>
          <w:highlight w:val="none"/>
        </w:rPr>
      </w:pPr>
      <w:r>
        <w:rPr>
          <w:color w:val="auto"/>
          <w:highlight w:val="none"/>
        </w:rPr>
        <w:t xml:space="preserve">1.11 </w:t>
      </w:r>
      <w:r>
        <w:rPr>
          <w:rFonts w:hint="eastAsia" w:cs="宋体"/>
          <w:color w:val="auto"/>
          <w:highlight w:val="none"/>
        </w:rPr>
        <w:t>其他项目清单与计价汇总表（表</w:t>
      </w:r>
      <w:r>
        <w:rPr>
          <w:color w:val="auto"/>
          <w:highlight w:val="none"/>
        </w:rPr>
        <w:t>-12</w:t>
      </w:r>
      <w:r>
        <w:rPr>
          <w:rFonts w:hint="eastAsia" w:cs="宋体"/>
          <w:color w:val="auto"/>
          <w:highlight w:val="none"/>
        </w:rPr>
        <w:t>）</w:t>
      </w:r>
    </w:p>
    <w:p w14:paraId="469237C4">
      <w:pPr>
        <w:spacing w:line="360" w:lineRule="auto"/>
        <w:ind w:firstLine="630" w:firstLineChars="300"/>
        <w:rPr>
          <w:color w:val="auto"/>
          <w:highlight w:val="none"/>
        </w:rPr>
      </w:pPr>
      <w:r>
        <w:rPr>
          <w:color w:val="auto"/>
          <w:highlight w:val="none"/>
        </w:rPr>
        <w:t xml:space="preserve">1.12 </w:t>
      </w:r>
      <w:r>
        <w:rPr>
          <w:rFonts w:hint="eastAsia" w:cs="宋体"/>
          <w:color w:val="auto"/>
          <w:highlight w:val="none"/>
        </w:rPr>
        <w:t>暂列金额明细表（表</w:t>
      </w:r>
      <w:r>
        <w:rPr>
          <w:color w:val="auto"/>
          <w:highlight w:val="none"/>
        </w:rPr>
        <w:t>12-1</w:t>
      </w:r>
      <w:r>
        <w:rPr>
          <w:rFonts w:hint="eastAsia" w:cs="宋体"/>
          <w:color w:val="auto"/>
          <w:highlight w:val="none"/>
        </w:rPr>
        <w:t>）</w:t>
      </w:r>
    </w:p>
    <w:p w14:paraId="4B76B138">
      <w:pPr>
        <w:spacing w:line="360" w:lineRule="auto"/>
        <w:ind w:firstLine="630" w:firstLineChars="300"/>
        <w:rPr>
          <w:color w:val="auto"/>
          <w:highlight w:val="none"/>
        </w:rPr>
      </w:pPr>
      <w:r>
        <w:rPr>
          <w:color w:val="auto"/>
          <w:highlight w:val="none"/>
        </w:rPr>
        <w:t xml:space="preserve">1.13 </w:t>
      </w:r>
      <w:r>
        <w:rPr>
          <w:rFonts w:hint="eastAsia" w:cs="宋体"/>
          <w:color w:val="auto"/>
          <w:highlight w:val="none"/>
        </w:rPr>
        <w:t>材料（工程设备）暂估单价及调整表（表</w:t>
      </w:r>
      <w:r>
        <w:rPr>
          <w:color w:val="auto"/>
          <w:highlight w:val="none"/>
        </w:rPr>
        <w:t>12-2</w:t>
      </w:r>
      <w:r>
        <w:rPr>
          <w:rFonts w:hint="eastAsia" w:cs="宋体"/>
          <w:color w:val="auto"/>
          <w:highlight w:val="none"/>
        </w:rPr>
        <w:t>）</w:t>
      </w:r>
    </w:p>
    <w:p w14:paraId="18680E63">
      <w:pPr>
        <w:spacing w:line="360" w:lineRule="auto"/>
        <w:ind w:firstLine="630" w:firstLineChars="300"/>
        <w:rPr>
          <w:color w:val="auto"/>
          <w:highlight w:val="none"/>
        </w:rPr>
      </w:pPr>
      <w:r>
        <w:rPr>
          <w:color w:val="auto"/>
          <w:highlight w:val="none"/>
        </w:rPr>
        <w:t xml:space="preserve">1.14 </w:t>
      </w:r>
      <w:r>
        <w:rPr>
          <w:rFonts w:hint="eastAsia" w:cs="宋体"/>
          <w:color w:val="auto"/>
          <w:highlight w:val="none"/>
        </w:rPr>
        <w:t>专业工程暂估价及结算价表（表</w:t>
      </w:r>
      <w:r>
        <w:rPr>
          <w:color w:val="auto"/>
          <w:highlight w:val="none"/>
        </w:rPr>
        <w:t>12-3</w:t>
      </w:r>
      <w:r>
        <w:rPr>
          <w:rFonts w:hint="eastAsia" w:cs="宋体"/>
          <w:color w:val="auto"/>
          <w:highlight w:val="none"/>
        </w:rPr>
        <w:t>）</w:t>
      </w:r>
    </w:p>
    <w:p w14:paraId="7C90AD44">
      <w:pPr>
        <w:spacing w:line="360" w:lineRule="auto"/>
        <w:ind w:firstLine="630" w:firstLineChars="300"/>
        <w:rPr>
          <w:color w:val="auto"/>
          <w:highlight w:val="none"/>
        </w:rPr>
      </w:pPr>
      <w:r>
        <w:rPr>
          <w:color w:val="auto"/>
          <w:highlight w:val="none"/>
        </w:rPr>
        <w:t>1.15</w:t>
      </w:r>
      <w:r>
        <w:rPr>
          <w:rFonts w:hint="eastAsia" w:cs="宋体"/>
          <w:color w:val="auto"/>
          <w:highlight w:val="none"/>
        </w:rPr>
        <w:t>计日工表（表</w:t>
      </w:r>
      <w:r>
        <w:rPr>
          <w:color w:val="auto"/>
          <w:highlight w:val="none"/>
        </w:rPr>
        <w:t>12-4</w:t>
      </w:r>
      <w:r>
        <w:rPr>
          <w:rFonts w:hint="eastAsia" w:cs="宋体"/>
          <w:color w:val="auto"/>
          <w:highlight w:val="none"/>
        </w:rPr>
        <w:t>）</w:t>
      </w:r>
    </w:p>
    <w:p w14:paraId="6DDAFA72">
      <w:pPr>
        <w:spacing w:line="360" w:lineRule="auto"/>
        <w:ind w:firstLine="630" w:firstLineChars="300"/>
        <w:rPr>
          <w:color w:val="auto"/>
          <w:highlight w:val="none"/>
        </w:rPr>
      </w:pPr>
      <w:r>
        <w:rPr>
          <w:color w:val="auto"/>
          <w:highlight w:val="none"/>
        </w:rPr>
        <w:t xml:space="preserve">1.16 </w:t>
      </w:r>
      <w:r>
        <w:rPr>
          <w:rFonts w:hint="eastAsia" w:cs="宋体"/>
          <w:color w:val="auto"/>
          <w:highlight w:val="none"/>
        </w:rPr>
        <w:t>总承包服务费计价表（表</w:t>
      </w:r>
      <w:r>
        <w:rPr>
          <w:color w:val="auto"/>
          <w:highlight w:val="none"/>
        </w:rPr>
        <w:t>12-5</w:t>
      </w:r>
      <w:r>
        <w:rPr>
          <w:rFonts w:hint="eastAsia" w:cs="宋体"/>
          <w:color w:val="auto"/>
          <w:highlight w:val="none"/>
        </w:rPr>
        <w:t>）</w:t>
      </w:r>
    </w:p>
    <w:p w14:paraId="04BE54C7">
      <w:pPr>
        <w:spacing w:line="360" w:lineRule="auto"/>
        <w:ind w:firstLine="630" w:firstLineChars="300"/>
        <w:rPr>
          <w:color w:val="auto"/>
          <w:highlight w:val="none"/>
        </w:rPr>
      </w:pPr>
      <w:r>
        <w:rPr>
          <w:color w:val="auto"/>
          <w:highlight w:val="none"/>
        </w:rPr>
        <w:t xml:space="preserve">1.17 </w:t>
      </w:r>
      <w:r>
        <w:rPr>
          <w:rFonts w:hint="eastAsia" w:cs="宋体"/>
          <w:color w:val="auto"/>
          <w:highlight w:val="none"/>
        </w:rPr>
        <w:t>税前项目清单与计价表（表</w:t>
      </w:r>
      <w:r>
        <w:rPr>
          <w:color w:val="auto"/>
          <w:highlight w:val="none"/>
        </w:rPr>
        <w:t>-14</w:t>
      </w:r>
      <w:r>
        <w:rPr>
          <w:rFonts w:hint="eastAsia" w:cs="宋体"/>
          <w:color w:val="auto"/>
          <w:highlight w:val="none"/>
        </w:rPr>
        <w:t>）</w:t>
      </w:r>
    </w:p>
    <w:p w14:paraId="7E7325F6">
      <w:pPr>
        <w:spacing w:line="360" w:lineRule="auto"/>
        <w:ind w:firstLine="630" w:firstLineChars="300"/>
        <w:rPr>
          <w:color w:val="auto"/>
          <w:highlight w:val="none"/>
        </w:rPr>
      </w:pPr>
      <w:r>
        <w:rPr>
          <w:color w:val="auto"/>
          <w:highlight w:val="none"/>
        </w:rPr>
        <w:t xml:space="preserve">1.18 </w:t>
      </w:r>
      <w:r>
        <w:rPr>
          <w:rFonts w:hint="eastAsia" w:cs="宋体"/>
          <w:color w:val="auto"/>
          <w:highlight w:val="none"/>
        </w:rPr>
        <w:t>规费、增值税计价表（表</w:t>
      </w:r>
      <w:r>
        <w:rPr>
          <w:color w:val="auto"/>
          <w:highlight w:val="none"/>
        </w:rPr>
        <w:t>-15</w:t>
      </w:r>
      <w:r>
        <w:rPr>
          <w:rFonts w:hint="eastAsia" w:cs="宋体"/>
          <w:color w:val="auto"/>
          <w:highlight w:val="none"/>
        </w:rPr>
        <w:t>）</w:t>
      </w:r>
    </w:p>
    <w:p w14:paraId="37AE7E8C">
      <w:pPr>
        <w:spacing w:line="360" w:lineRule="auto"/>
        <w:ind w:firstLine="630" w:firstLineChars="300"/>
        <w:rPr>
          <w:color w:val="auto"/>
          <w:highlight w:val="none"/>
        </w:rPr>
      </w:pPr>
      <w:r>
        <w:rPr>
          <w:color w:val="auto"/>
          <w:highlight w:val="none"/>
        </w:rPr>
        <w:t xml:space="preserve">1.19 </w:t>
      </w:r>
      <w:r>
        <w:rPr>
          <w:rFonts w:hint="eastAsia" w:cs="宋体"/>
          <w:color w:val="auto"/>
          <w:highlight w:val="none"/>
        </w:rPr>
        <w:t>发包人提供主要材料和工程设备一览表（表</w:t>
      </w:r>
      <w:r>
        <w:rPr>
          <w:color w:val="auto"/>
          <w:highlight w:val="none"/>
        </w:rPr>
        <w:t>-21</w:t>
      </w:r>
      <w:r>
        <w:rPr>
          <w:rFonts w:hint="eastAsia" w:cs="宋体"/>
          <w:color w:val="auto"/>
          <w:highlight w:val="none"/>
        </w:rPr>
        <w:t>）</w:t>
      </w:r>
    </w:p>
    <w:p w14:paraId="545DF40E">
      <w:pPr>
        <w:spacing w:line="360" w:lineRule="auto"/>
        <w:ind w:firstLine="630" w:firstLineChars="300"/>
        <w:rPr>
          <w:color w:val="auto"/>
          <w:highlight w:val="none"/>
        </w:rPr>
      </w:pPr>
      <w:r>
        <w:rPr>
          <w:color w:val="auto"/>
          <w:highlight w:val="none"/>
        </w:rPr>
        <w:t xml:space="preserve">1.20 </w:t>
      </w:r>
      <w:r>
        <w:rPr>
          <w:rFonts w:hint="eastAsia" w:cs="宋体"/>
          <w:color w:val="auto"/>
          <w:highlight w:val="none"/>
        </w:rPr>
        <w:t>允许调整主要材料和工程设备一览表（适用于造价信息差额调整法）（表</w:t>
      </w:r>
      <w:r>
        <w:rPr>
          <w:color w:val="auto"/>
          <w:highlight w:val="none"/>
        </w:rPr>
        <w:t>-22</w:t>
      </w:r>
      <w:r>
        <w:rPr>
          <w:rFonts w:hint="eastAsia" w:cs="宋体"/>
          <w:color w:val="auto"/>
          <w:highlight w:val="none"/>
        </w:rPr>
        <w:t>）</w:t>
      </w:r>
    </w:p>
    <w:p w14:paraId="3D2C5E78">
      <w:pPr>
        <w:spacing w:line="360" w:lineRule="auto"/>
        <w:ind w:firstLine="630" w:firstLineChars="300"/>
        <w:rPr>
          <w:color w:val="auto"/>
          <w:highlight w:val="none"/>
        </w:rPr>
      </w:pPr>
      <w:r>
        <w:rPr>
          <w:color w:val="auto"/>
          <w:highlight w:val="none"/>
        </w:rPr>
        <w:t xml:space="preserve">1.21 </w:t>
      </w:r>
      <w:r>
        <w:rPr>
          <w:rFonts w:hint="eastAsia" w:cs="宋体"/>
          <w:color w:val="auto"/>
          <w:highlight w:val="none"/>
        </w:rPr>
        <w:t>允许调整主要材料和工程设备一览表（适用于价格指数差额调整法）（表</w:t>
      </w:r>
      <w:r>
        <w:rPr>
          <w:color w:val="auto"/>
          <w:highlight w:val="none"/>
        </w:rPr>
        <w:t>-23</w:t>
      </w:r>
      <w:r>
        <w:rPr>
          <w:rFonts w:hint="eastAsia" w:cs="宋体"/>
          <w:color w:val="auto"/>
          <w:highlight w:val="none"/>
        </w:rPr>
        <w:t>）</w:t>
      </w:r>
    </w:p>
    <w:p w14:paraId="07C6880B">
      <w:pPr>
        <w:spacing w:line="360" w:lineRule="auto"/>
        <w:ind w:firstLine="630" w:firstLineChars="300"/>
        <w:rPr>
          <w:color w:val="auto"/>
          <w:highlight w:val="none"/>
        </w:rPr>
      </w:pPr>
      <w:r>
        <w:rPr>
          <w:rFonts w:hint="eastAsia"/>
          <w:color w:val="auto"/>
          <w:highlight w:val="none"/>
        </w:rPr>
        <w:t>1.22</w:t>
      </w:r>
      <w:r>
        <w:rPr>
          <w:rFonts w:hint="eastAsia" w:cs="宋体"/>
          <w:color w:val="auto"/>
          <w:highlight w:val="none"/>
        </w:rPr>
        <w:t>本工程</w:t>
      </w:r>
      <w:r>
        <w:rPr>
          <w:rFonts w:cs="宋体"/>
          <w:color w:val="auto"/>
          <w:highlight w:val="none"/>
          <w:lang w:val="en"/>
        </w:rPr>
        <w:t>材料和工程设备</w:t>
      </w:r>
      <w:r>
        <w:rPr>
          <w:rFonts w:hint="eastAsia" w:cs="宋体"/>
          <w:color w:val="auto"/>
          <w:highlight w:val="none"/>
        </w:rPr>
        <w:t>一览表（表-24）</w:t>
      </w:r>
    </w:p>
    <w:p w14:paraId="413B79DF">
      <w:pPr>
        <w:spacing w:line="360" w:lineRule="auto"/>
        <w:rPr>
          <w:color w:val="auto"/>
          <w:highlight w:val="none"/>
        </w:rPr>
      </w:pPr>
      <w:r>
        <w:rPr>
          <w:rFonts w:hint="eastAsia" w:cs="宋体"/>
          <w:color w:val="auto"/>
          <w:highlight w:val="none"/>
        </w:rPr>
        <w:t>备注：</w:t>
      </w:r>
    </w:p>
    <w:p w14:paraId="182BF096">
      <w:pPr>
        <w:spacing w:line="360" w:lineRule="auto"/>
        <w:ind w:firstLine="420" w:firstLineChars="200"/>
        <w:rPr>
          <w:color w:val="auto"/>
          <w:highlight w:val="none"/>
        </w:rPr>
      </w:pPr>
      <w:r>
        <w:rPr>
          <w:rFonts w:hint="eastAsia" w:cs="宋体"/>
          <w:color w:val="auto"/>
          <w:highlight w:val="none"/>
        </w:rPr>
        <w:t>（</w:t>
      </w:r>
      <w:r>
        <w:rPr>
          <w:color w:val="auto"/>
          <w:highlight w:val="none"/>
        </w:rPr>
        <w:t>1</w:t>
      </w:r>
      <w:r>
        <w:rPr>
          <w:rFonts w:hint="eastAsia" w:cs="宋体"/>
          <w:color w:val="auto"/>
          <w:highlight w:val="none"/>
        </w:rPr>
        <w:t>）供应商在上传竞标报价文件时应上传纸质投标总价封面的原件扫描件。</w:t>
      </w:r>
      <w:r>
        <w:rPr>
          <w:rFonts w:hint="eastAsia" w:cs="宋体"/>
          <w:color w:val="auto"/>
          <w:highlight w:val="none"/>
          <w:lang w:eastAsia="zh-CN"/>
        </w:rPr>
        <w:t>竞</w:t>
      </w:r>
      <w:r>
        <w:rPr>
          <w:rFonts w:hint="eastAsia" w:cs="宋体"/>
          <w:color w:val="auto"/>
          <w:highlight w:val="none"/>
        </w:rPr>
        <w:t>标总价封面必须经供应商盖章，并由法定代表人（或其授权人）签字（或盖章），同时由编制人签字盖专用章。</w:t>
      </w:r>
    </w:p>
    <w:p w14:paraId="32027406">
      <w:pPr>
        <w:spacing w:line="360" w:lineRule="auto"/>
        <w:ind w:firstLine="420" w:firstLineChars="200"/>
        <w:rPr>
          <w:color w:val="auto"/>
          <w:highlight w:val="none"/>
        </w:rPr>
      </w:pPr>
      <w:r>
        <w:rPr>
          <w:rFonts w:hint="eastAsia" w:cs="宋体"/>
          <w:color w:val="auto"/>
          <w:highlight w:val="none"/>
        </w:rPr>
        <w:t>（</w:t>
      </w:r>
      <w:r>
        <w:rPr>
          <w:color w:val="auto"/>
          <w:highlight w:val="none"/>
        </w:rPr>
        <w:t>2</w:t>
      </w:r>
      <w:r>
        <w:rPr>
          <w:rFonts w:hint="eastAsia" w:cs="宋体"/>
          <w:color w:val="auto"/>
          <w:highlight w:val="none"/>
        </w:rPr>
        <w:t>）</w:t>
      </w:r>
      <w:r>
        <w:rPr>
          <w:color w:val="auto"/>
          <w:highlight w:val="none"/>
        </w:rPr>
        <w:t>1.8</w:t>
      </w:r>
      <w:r>
        <w:rPr>
          <w:rFonts w:hint="eastAsia" w:cs="宋体"/>
          <w:color w:val="auto"/>
          <w:highlight w:val="none"/>
        </w:rPr>
        <w:t>工程量清单综合单价分析表和</w:t>
      </w:r>
      <w:r>
        <w:rPr>
          <w:color w:val="auto"/>
          <w:highlight w:val="none"/>
        </w:rPr>
        <w:t>1.9</w:t>
      </w:r>
      <w:r>
        <w:rPr>
          <w:rFonts w:hint="eastAsia" w:cs="宋体"/>
          <w:color w:val="auto"/>
          <w:highlight w:val="none"/>
        </w:rPr>
        <w:t>主要清单项目工料机分析表要求附上。</w:t>
      </w:r>
    </w:p>
    <w:p w14:paraId="06654BC7">
      <w:pPr>
        <w:spacing w:line="360" w:lineRule="auto"/>
        <w:ind w:firstLine="420" w:firstLineChars="200"/>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）已标价工程量清单表格要严格按照招标工程量清单给出的表格要求和内容填报。如本工程在合同中约定采用造价信息价差调整法，1.</w:t>
      </w:r>
      <w:r>
        <w:rPr>
          <w:color w:val="auto"/>
          <w:highlight w:val="none"/>
        </w:rPr>
        <w:t xml:space="preserve">18 </w:t>
      </w:r>
      <w:r>
        <w:rPr>
          <w:rFonts w:hint="eastAsia" w:cs="宋体"/>
          <w:color w:val="auto"/>
          <w:highlight w:val="none"/>
        </w:rPr>
        <w:t>允许调整主要材料和工程设备一览表（适用于造价信息差额调整法）（表</w:t>
      </w:r>
      <w:r>
        <w:rPr>
          <w:color w:val="auto"/>
          <w:highlight w:val="none"/>
        </w:rPr>
        <w:t>-22</w:t>
      </w:r>
      <w:r>
        <w:rPr>
          <w:rFonts w:hint="eastAsia" w:cs="宋体"/>
          <w:color w:val="auto"/>
          <w:highlight w:val="none"/>
        </w:rPr>
        <w:t>）载明的主要材料和工程设备为本工程允许调整的材料和工程设备，招标工程量清单必须提供该表格，且不能提供空白表。以下表格视工程实际需要选用，如该工程不发生如下表格相关项目和费用，招标工程量清单不应列入该部分表格，已标价工程量清单亦不包括这部分表格。</w:t>
      </w:r>
    </w:p>
    <w:p w14:paraId="70EA9E7B">
      <w:pPr>
        <w:spacing w:line="360" w:lineRule="auto"/>
        <w:ind w:firstLine="420" w:firstLineChars="200"/>
        <w:rPr>
          <w:color w:val="auto"/>
          <w:highlight w:val="none"/>
        </w:rPr>
      </w:pPr>
      <w:r>
        <w:rPr>
          <w:rFonts w:hint="eastAsia" w:ascii="宋体" w:hAnsi="宋体" w:cs="宋体"/>
          <w:color w:val="auto"/>
          <w:highlight w:val="none"/>
        </w:rPr>
        <w:t>①</w:t>
      </w:r>
      <w:r>
        <w:rPr>
          <w:rFonts w:hint="eastAsia" w:cs="宋体"/>
          <w:color w:val="auto"/>
          <w:highlight w:val="none"/>
        </w:rPr>
        <w:t>建设项目投标报价汇总表（表</w:t>
      </w:r>
      <w:r>
        <w:rPr>
          <w:color w:val="auto"/>
          <w:highlight w:val="none"/>
        </w:rPr>
        <w:t>-02</w:t>
      </w:r>
      <w:r>
        <w:rPr>
          <w:rFonts w:hint="eastAsia" w:cs="宋体"/>
          <w:color w:val="auto"/>
          <w:highlight w:val="none"/>
        </w:rPr>
        <w:t>）</w:t>
      </w:r>
    </w:p>
    <w:p w14:paraId="505BBC11">
      <w:pPr>
        <w:spacing w:line="360" w:lineRule="auto"/>
        <w:ind w:firstLine="420" w:firstLineChars="200"/>
        <w:rPr>
          <w:color w:val="auto"/>
          <w:highlight w:val="none"/>
        </w:rPr>
      </w:pPr>
      <w:r>
        <w:rPr>
          <w:rFonts w:hint="eastAsia" w:cs="宋体"/>
          <w:color w:val="auto"/>
          <w:highlight w:val="none"/>
        </w:rPr>
        <w:t>②暂列金额明细表（表</w:t>
      </w:r>
      <w:r>
        <w:rPr>
          <w:color w:val="auto"/>
          <w:highlight w:val="none"/>
        </w:rPr>
        <w:t>12-1</w:t>
      </w:r>
      <w:r>
        <w:rPr>
          <w:rFonts w:hint="eastAsia" w:cs="宋体"/>
          <w:color w:val="auto"/>
          <w:highlight w:val="none"/>
        </w:rPr>
        <w:t>）</w:t>
      </w:r>
    </w:p>
    <w:p w14:paraId="3A970EA8">
      <w:pPr>
        <w:spacing w:line="360" w:lineRule="auto"/>
        <w:ind w:firstLine="420" w:firstLineChars="200"/>
        <w:rPr>
          <w:color w:val="auto"/>
          <w:highlight w:val="none"/>
        </w:rPr>
      </w:pPr>
      <w:r>
        <w:rPr>
          <w:rFonts w:hint="eastAsia" w:cs="宋体"/>
          <w:color w:val="auto"/>
          <w:highlight w:val="none"/>
        </w:rPr>
        <w:t>③材料（工程设备）暂估单位及调整表（表</w:t>
      </w:r>
      <w:r>
        <w:rPr>
          <w:color w:val="auto"/>
          <w:highlight w:val="none"/>
        </w:rPr>
        <w:t>12-2</w:t>
      </w:r>
      <w:r>
        <w:rPr>
          <w:rFonts w:hint="eastAsia" w:cs="宋体"/>
          <w:color w:val="auto"/>
          <w:highlight w:val="none"/>
        </w:rPr>
        <w:t>）</w:t>
      </w:r>
    </w:p>
    <w:p w14:paraId="0B65F872">
      <w:pPr>
        <w:spacing w:line="360" w:lineRule="auto"/>
        <w:ind w:firstLine="420" w:firstLineChars="200"/>
        <w:rPr>
          <w:color w:val="auto"/>
          <w:highlight w:val="none"/>
        </w:rPr>
      </w:pPr>
      <w:r>
        <w:rPr>
          <w:rFonts w:hint="eastAsia" w:cs="宋体"/>
          <w:color w:val="auto"/>
          <w:highlight w:val="none"/>
        </w:rPr>
        <w:t>④专业工程暂估价及结算价表（表</w:t>
      </w:r>
      <w:r>
        <w:rPr>
          <w:color w:val="auto"/>
          <w:highlight w:val="none"/>
        </w:rPr>
        <w:t>12-3</w:t>
      </w:r>
      <w:r>
        <w:rPr>
          <w:rFonts w:hint="eastAsia" w:cs="宋体"/>
          <w:color w:val="auto"/>
          <w:highlight w:val="none"/>
        </w:rPr>
        <w:t>）</w:t>
      </w:r>
    </w:p>
    <w:p w14:paraId="0847AFBB">
      <w:pPr>
        <w:spacing w:line="360" w:lineRule="auto"/>
        <w:ind w:firstLine="420" w:firstLineChars="200"/>
        <w:rPr>
          <w:color w:val="auto"/>
          <w:highlight w:val="none"/>
        </w:rPr>
      </w:pPr>
      <w:r>
        <w:rPr>
          <w:rFonts w:hint="eastAsia" w:cs="宋体"/>
          <w:color w:val="auto"/>
          <w:highlight w:val="none"/>
        </w:rPr>
        <w:t>⑤计日工表表</w:t>
      </w:r>
      <w:r>
        <w:rPr>
          <w:color w:val="auto"/>
          <w:highlight w:val="none"/>
        </w:rPr>
        <w:t>12-4</w:t>
      </w:r>
      <w:r>
        <w:rPr>
          <w:rFonts w:hint="eastAsia" w:cs="宋体"/>
          <w:color w:val="auto"/>
          <w:highlight w:val="none"/>
        </w:rPr>
        <w:t>）</w:t>
      </w:r>
    </w:p>
    <w:p w14:paraId="12A35431">
      <w:pPr>
        <w:spacing w:line="360" w:lineRule="auto"/>
        <w:ind w:firstLine="420" w:firstLineChars="200"/>
        <w:rPr>
          <w:color w:val="auto"/>
          <w:highlight w:val="none"/>
        </w:rPr>
      </w:pPr>
      <w:r>
        <w:rPr>
          <w:rFonts w:hint="eastAsia" w:cs="宋体"/>
          <w:color w:val="auto"/>
          <w:highlight w:val="none"/>
        </w:rPr>
        <w:t>⑥总承包服务费计价表（表</w:t>
      </w:r>
      <w:r>
        <w:rPr>
          <w:color w:val="auto"/>
          <w:highlight w:val="none"/>
        </w:rPr>
        <w:t>12-5</w:t>
      </w:r>
      <w:r>
        <w:rPr>
          <w:rFonts w:hint="eastAsia" w:cs="宋体"/>
          <w:color w:val="auto"/>
          <w:highlight w:val="none"/>
        </w:rPr>
        <w:t>）</w:t>
      </w:r>
    </w:p>
    <w:p w14:paraId="63ED8635">
      <w:pPr>
        <w:spacing w:line="360" w:lineRule="auto"/>
        <w:ind w:firstLine="420" w:firstLineChars="200"/>
        <w:rPr>
          <w:color w:val="auto"/>
          <w:highlight w:val="none"/>
        </w:rPr>
      </w:pPr>
      <w:r>
        <w:rPr>
          <w:rFonts w:hint="eastAsia" w:cs="宋体"/>
          <w:color w:val="auto"/>
          <w:highlight w:val="none"/>
        </w:rPr>
        <w:t>⑦税前项目清单与计价表（表</w:t>
      </w:r>
      <w:r>
        <w:rPr>
          <w:color w:val="auto"/>
          <w:highlight w:val="none"/>
        </w:rPr>
        <w:t>-14</w:t>
      </w:r>
      <w:r>
        <w:rPr>
          <w:rFonts w:hint="eastAsia" w:cs="宋体"/>
          <w:color w:val="auto"/>
          <w:highlight w:val="none"/>
        </w:rPr>
        <w:t>）</w:t>
      </w:r>
    </w:p>
    <w:p w14:paraId="5AE33A3D">
      <w:pPr>
        <w:spacing w:line="360" w:lineRule="auto"/>
        <w:ind w:firstLine="420" w:firstLineChars="200"/>
        <w:rPr>
          <w:rFonts w:cs="宋体"/>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8 \* GB3</w:instrText>
      </w:r>
      <w:r>
        <w:rPr>
          <w:color w:val="auto"/>
          <w:highlight w:val="none"/>
        </w:rPr>
        <w:instrText xml:space="preserve"> </w:instrText>
      </w:r>
      <w:r>
        <w:rPr>
          <w:color w:val="auto"/>
          <w:highlight w:val="none"/>
        </w:rPr>
        <w:fldChar w:fldCharType="separate"/>
      </w:r>
      <w:r>
        <w:rPr>
          <w:rFonts w:hint="eastAsia"/>
          <w:color w:val="auto"/>
          <w:highlight w:val="none"/>
        </w:rPr>
        <w:t>⑧</w:t>
      </w:r>
      <w:r>
        <w:rPr>
          <w:color w:val="auto"/>
          <w:highlight w:val="none"/>
        </w:rPr>
        <w:fldChar w:fldCharType="end"/>
      </w:r>
      <w:r>
        <w:rPr>
          <w:color w:val="auto"/>
          <w:highlight w:val="none"/>
        </w:rPr>
        <w:t xml:space="preserve"> </w:t>
      </w:r>
      <w:r>
        <w:rPr>
          <w:rFonts w:hint="eastAsia" w:cs="宋体"/>
          <w:color w:val="auto"/>
          <w:highlight w:val="none"/>
        </w:rPr>
        <w:t>允许调整主要材料和工程设备一览表（适用于价格指数差额调整法）（表</w:t>
      </w:r>
      <w:r>
        <w:rPr>
          <w:color w:val="auto"/>
          <w:highlight w:val="none"/>
        </w:rPr>
        <w:t>-23</w:t>
      </w:r>
      <w:r>
        <w:rPr>
          <w:rFonts w:hint="eastAsia" w:cs="宋体"/>
          <w:color w:val="auto"/>
          <w:highlight w:val="none"/>
        </w:rPr>
        <w:t>）</w:t>
      </w:r>
    </w:p>
    <w:p w14:paraId="4CE87FB2">
      <w:pPr>
        <w:spacing w:line="360" w:lineRule="auto"/>
        <w:ind w:firstLine="420" w:firstLineChars="200"/>
        <w:contextualSpacing/>
        <w:jc w:val="left"/>
        <w:rPr>
          <w:rFonts w:hint="eastAsia" w:hAnsi="宋体" w:cs="宋体"/>
          <w:color w:val="auto"/>
          <w:kern w:val="0"/>
          <w:highlight w:val="none"/>
          <w:lang w:val="en"/>
        </w:rPr>
      </w:pPr>
      <w:r>
        <w:rPr>
          <w:rFonts w:hint="eastAsia" w:cs="宋体"/>
          <w:color w:val="auto"/>
          <w:highlight w:val="none"/>
        </w:rPr>
        <w:t>注：</w:t>
      </w:r>
      <w:r>
        <w:rPr>
          <w:rFonts w:hint="eastAsia" w:hAnsi="宋体" w:cs="宋体"/>
          <w:color w:val="auto"/>
          <w:kern w:val="0"/>
          <w:highlight w:val="none"/>
          <w:lang w:val="en"/>
        </w:rPr>
        <w:t>因</w:t>
      </w:r>
      <w:r>
        <w:rPr>
          <w:rFonts w:hint="eastAsia" w:hAnsi="宋体" w:cs="宋体"/>
          <w:color w:val="auto"/>
          <w:kern w:val="0"/>
          <w:highlight w:val="none"/>
        </w:rPr>
        <w:t>2021年《广西壮族自治区</w:t>
      </w:r>
      <w:r>
        <w:rPr>
          <w:rFonts w:hint="eastAsia" w:hAnsi="宋体" w:cs="宋体"/>
          <w:color w:val="auto"/>
          <w:kern w:val="0"/>
          <w:highlight w:val="none"/>
          <w:lang w:val="en"/>
        </w:rPr>
        <w:t>园林绿化及仿古建筑工程费用定额</w:t>
      </w:r>
      <w:r>
        <w:rPr>
          <w:rFonts w:hint="eastAsia" w:hAnsi="宋体" w:cs="宋体"/>
          <w:color w:val="auto"/>
          <w:kern w:val="0"/>
          <w:highlight w:val="none"/>
        </w:rPr>
        <w:t>》采用全费用综合单价形式，故园林绿化及仿古建筑工程的已标价工程量清单</w:t>
      </w:r>
      <w:r>
        <w:rPr>
          <w:rFonts w:hint="eastAsia" w:cs="黑体"/>
          <w:color w:val="auto"/>
          <w:highlight w:val="none"/>
        </w:rPr>
        <w:t>采用</w:t>
      </w:r>
      <w:r>
        <w:rPr>
          <w:rFonts w:hint="eastAsia" w:hAnsi="宋体" w:cs="宋体"/>
          <w:color w:val="auto"/>
          <w:kern w:val="0"/>
          <w:highlight w:val="none"/>
          <w:lang w:val="en"/>
        </w:rPr>
        <w:t>《自治区住房和城乡建设厅关于建设工程造价改革试点项目招投标及计价规定调整的通知》（桂建标〔2021〕6号）中附件1《建设工程工程量清单计价规范（GB50500-2013）广西壮族自治区实施细则》（适用于工程造价改革试点项目）相关表格，具体以招标人另册发放的工程量清单及相关说明为准。</w:t>
      </w:r>
    </w:p>
    <w:p w14:paraId="2D6D6C5B">
      <w:pPr>
        <w:spacing w:line="360" w:lineRule="auto"/>
        <w:contextualSpacing/>
        <w:jc w:val="center"/>
        <w:rPr>
          <w:rFonts w:hint="eastAsia" w:ascii="宋体" w:hAnsi="宋体"/>
          <w:b/>
          <w:bCs/>
          <w:color w:val="auto"/>
          <w:sz w:val="32"/>
          <w:szCs w:val="32"/>
          <w:highlight w:val="none"/>
        </w:rPr>
      </w:pPr>
      <w:r>
        <w:rPr>
          <w:rFonts w:ascii="宋体" w:hAnsi="宋体" w:cs="仿宋_GB2312"/>
          <w:color w:val="auto"/>
          <w:sz w:val="24"/>
          <w:highlight w:val="none"/>
        </w:rPr>
        <w:br w:type="page"/>
      </w:r>
    </w:p>
    <w:p w14:paraId="59E2B154">
      <w:pPr>
        <w:spacing w:line="360" w:lineRule="auto"/>
        <w:ind w:firstLine="643" w:firstLineChars="200"/>
        <w:contextualSpacing/>
        <w:jc w:val="center"/>
        <w:rPr>
          <w:rFonts w:hint="eastAsia" w:ascii="宋体" w:hAnsi="宋体"/>
          <w:b/>
          <w:color w:val="auto"/>
          <w:sz w:val="32"/>
          <w:szCs w:val="32"/>
          <w:highlight w:val="none"/>
        </w:rPr>
      </w:pPr>
      <w:r>
        <w:rPr>
          <w:rFonts w:hint="eastAsia" w:ascii="宋体" w:hAnsi="宋体"/>
          <w:b/>
          <w:bCs/>
          <w:color w:val="auto"/>
          <w:sz w:val="32"/>
          <w:szCs w:val="32"/>
          <w:highlight w:val="none"/>
        </w:rPr>
        <w:t>三、</w:t>
      </w:r>
      <w:r>
        <w:rPr>
          <w:rFonts w:hint="eastAsia" w:ascii="宋体" w:hAnsi="宋体"/>
          <w:b/>
          <w:color w:val="auto"/>
          <w:sz w:val="32"/>
          <w:szCs w:val="32"/>
          <w:highlight w:val="none"/>
        </w:rPr>
        <w:t>商务技术文件格式</w:t>
      </w:r>
    </w:p>
    <w:p w14:paraId="68B9CE49">
      <w:pPr>
        <w:snapToGrid w:val="0"/>
        <w:spacing w:before="120" w:beforeLines="50" w:after="50"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t>1.商务技术文件封面格式</w:t>
      </w:r>
    </w:p>
    <w:p w14:paraId="3B2BC081">
      <w:pPr>
        <w:snapToGrid w:val="0"/>
        <w:spacing w:before="120" w:beforeLines="50" w:after="50"/>
        <w:rPr>
          <w:rFonts w:hint="eastAsia" w:ascii="宋体" w:hAnsi="宋体"/>
          <w:bCs/>
          <w:color w:val="auto"/>
          <w:sz w:val="32"/>
          <w:szCs w:val="20"/>
          <w:highlight w:val="none"/>
        </w:rPr>
      </w:pPr>
    </w:p>
    <w:p w14:paraId="1884E39E">
      <w:pPr>
        <w:snapToGrid w:val="0"/>
        <w:spacing w:before="120"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3D1CD434">
      <w:pPr>
        <w:snapToGrid w:val="0"/>
        <w:spacing w:before="120" w:beforeLines="50" w:after="50"/>
        <w:rPr>
          <w:rFonts w:hint="eastAsia" w:ascii="宋体" w:hAnsi="宋体"/>
          <w:color w:val="auto"/>
          <w:sz w:val="24"/>
          <w:szCs w:val="20"/>
          <w:highlight w:val="none"/>
        </w:rPr>
      </w:pPr>
    </w:p>
    <w:p w14:paraId="1605A463">
      <w:pPr>
        <w:snapToGrid w:val="0"/>
        <w:spacing w:before="120" w:beforeLines="50" w:after="50"/>
        <w:rPr>
          <w:rFonts w:hint="eastAsia" w:ascii="宋体" w:hAnsi="宋体"/>
          <w:color w:val="auto"/>
          <w:sz w:val="24"/>
          <w:szCs w:val="20"/>
          <w:highlight w:val="none"/>
        </w:rPr>
      </w:pPr>
    </w:p>
    <w:p w14:paraId="7180271B">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5C69190A">
      <w:pPr>
        <w:snapToGrid w:val="0"/>
        <w:spacing w:before="120" w:beforeLines="50" w:after="50"/>
        <w:rPr>
          <w:rFonts w:hint="eastAsia" w:ascii="宋体" w:hAnsi="宋体"/>
          <w:bCs/>
          <w:color w:val="auto"/>
          <w:sz w:val="24"/>
          <w:szCs w:val="20"/>
          <w:highlight w:val="none"/>
        </w:rPr>
      </w:pPr>
    </w:p>
    <w:p w14:paraId="46F27391">
      <w:pPr>
        <w:snapToGrid w:val="0"/>
        <w:spacing w:before="120" w:beforeLines="50" w:after="50"/>
        <w:rPr>
          <w:rFonts w:hint="eastAsia" w:ascii="宋体" w:hAnsi="宋体"/>
          <w:bCs/>
          <w:color w:val="auto"/>
          <w:sz w:val="24"/>
          <w:szCs w:val="20"/>
          <w:highlight w:val="none"/>
        </w:rPr>
      </w:pPr>
    </w:p>
    <w:p w14:paraId="5E4860D5">
      <w:pPr>
        <w:snapToGrid w:val="0"/>
        <w:spacing w:before="120" w:beforeLines="50" w:after="50"/>
        <w:rPr>
          <w:rFonts w:hint="eastAsia" w:ascii="宋体" w:hAnsi="宋体"/>
          <w:bCs/>
          <w:color w:val="auto"/>
          <w:sz w:val="24"/>
          <w:szCs w:val="20"/>
          <w:highlight w:val="none"/>
        </w:rPr>
      </w:pPr>
    </w:p>
    <w:p w14:paraId="19B7BF72">
      <w:pPr>
        <w:snapToGrid w:val="0"/>
        <w:spacing w:before="120" w:beforeLines="50" w:after="50"/>
        <w:rPr>
          <w:rFonts w:hint="eastAsia" w:ascii="宋体" w:hAnsi="宋体"/>
          <w:bCs/>
          <w:color w:val="auto"/>
          <w:sz w:val="24"/>
          <w:szCs w:val="20"/>
          <w:highlight w:val="none"/>
        </w:rPr>
      </w:pPr>
    </w:p>
    <w:p w14:paraId="393839C1">
      <w:pPr>
        <w:snapToGrid w:val="0"/>
        <w:spacing w:before="120" w:beforeLines="50" w:after="50"/>
        <w:rPr>
          <w:rFonts w:hint="eastAsia" w:ascii="宋体" w:hAnsi="宋体"/>
          <w:bCs/>
          <w:color w:val="auto"/>
          <w:sz w:val="24"/>
          <w:szCs w:val="20"/>
          <w:highlight w:val="none"/>
        </w:rPr>
      </w:pPr>
    </w:p>
    <w:p w14:paraId="3D0C6393">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1F54DCAA">
      <w:pPr>
        <w:snapToGrid w:val="0"/>
        <w:spacing w:before="120" w:beforeLines="50" w:after="50"/>
        <w:ind w:firstLine="720" w:firstLineChars="225"/>
        <w:rPr>
          <w:rFonts w:hint="eastAsia" w:ascii="宋体" w:hAnsi="宋体" w:cs="仿宋_GB2312"/>
          <w:bCs/>
          <w:color w:val="auto"/>
          <w:sz w:val="32"/>
          <w:szCs w:val="32"/>
          <w:highlight w:val="none"/>
        </w:rPr>
      </w:pPr>
    </w:p>
    <w:p w14:paraId="15A22C91">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0994831B">
      <w:pPr>
        <w:snapToGrid w:val="0"/>
        <w:spacing w:before="120" w:beforeLines="50" w:after="50"/>
        <w:rPr>
          <w:rFonts w:hint="eastAsia" w:ascii="宋体" w:hAnsi="宋体" w:cs="仿宋_GB2312"/>
          <w:bCs/>
          <w:color w:val="auto"/>
          <w:sz w:val="32"/>
          <w:szCs w:val="32"/>
          <w:highlight w:val="none"/>
        </w:rPr>
      </w:pPr>
    </w:p>
    <w:p w14:paraId="217660C7">
      <w:pPr>
        <w:pStyle w:val="8"/>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556B6E16">
      <w:pPr>
        <w:pStyle w:val="8"/>
        <w:snapToGrid w:val="0"/>
        <w:spacing w:before="50" w:after="50"/>
        <w:ind w:firstLine="640" w:firstLineChars="200"/>
        <w:rPr>
          <w:rFonts w:hint="eastAsia" w:ascii="宋体" w:hAnsi="宋体" w:cs="仿宋_GB2312"/>
          <w:bCs/>
          <w:color w:val="auto"/>
          <w:sz w:val="32"/>
          <w:szCs w:val="32"/>
          <w:highlight w:val="none"/>
        </w:rPr>
      </w:pPr>
    </w:p>
    <w:p w14:paraId="156B19E3">
      <w:pPr>
        <w:pStyle w:val="8"/>
        <w:snapToGrid w:val="0"/>
        <w:spacing w:before="50" w:after="50"/>
        <w:ind w:firstLine="720" w:firstLineChars="225"/>
        <w:rPr>
          <w:rFonts w:hint="eastAsia" w:ascii="宋体" w:hAnsi="宋体" w:cs="仿宋_GB2312"/>
          <w:bCs/>
          <w:color w:val="auto"/>
          <w:sz w:val="32"/>
          <w:szCs w:val="32"/>
          <w:highlight w:val="none"/>
        </w:rPr>
      </w:pPr>
    </w:p>
    <w:p w14:paraId="48CCCF6A">
      <w:pPr>
        <w:pStyle w:val="8"/>
        <w:snapToGrid w:val="0"/>
        <w:spacing w:before="50" w:after="50"/>
        <w:ind w:firstLine="0"/>
        <w:rPr>
          <w:rFonts w:hint="eastAsia" w:ascii="宋体" w:hAnsi="宋体" w:cs="仿宋_GB2312"/>
          <w:bCs/>
          <w:color w:val="auto"/>
          <w:sz w:val="32"/>
          <w:szCs w:val="32"/>
          <w:highlight w:val="none"/>
        </w:rPr>
      </w:pPr>
    </w:p>
    <w:p w14:paraId="743DE6F4">
      <w:pPr>
        <w:pStyle w:val="8"/>
        <w:snapToGrid w:val="0"/>
        <w:spacing w:before="50" w:after="50"/>
        <w:ind w:firstLine="1280" w:firstLineChars="400"/>
        <w:rPr>
          <w:rFonts w:hint="eastAsia" w:ascii="宋体" w:hAnsi="宋体" w:cs="仿宋_GB2312"/>
          <w:bCs/>
          <w:color w:val="auto"/>
          <w:sz w:val="32"/>
          <w:szCs w:val="32"/>
          <w:highlight w:val="none"/>
        </w:rPr>
      </w:pPr>
    </w:p>
    <w:p w14:paraId="05D2097E">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65C2DB25">
      <w:pPr>
        <w:snapToGrid w:val="0"/>
        <w:spacing w:before="120" w:beforeLines="50" w:after="50" w:line="360" w:lineRule="auto"/>
        <w:ind w:right="480" w:firstLine="240" w:firstLineChars="100"/>
        <w:jc w:val="left"/>
        <w:rPr>
          <w:rFonts w:hint="eastAsia"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2.商务技术文件目录</w:t>
      </w:r>
    </w:p>
    <w:p w14:paraId="7F5E195E">
      <w:pPr>
        <w:snapToGrid w:val="0"/>
        <w:spacing w:before="120" w:beforeLines="50" w:after="50" w:line="360" w:lineRule="auto"/>
        <w:ind w:firstLine="640" w:firstLineChars="200"/>
        <w:rPr>
          <w:rFonts w:hint="eastAsia"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58001FD0">
      <w:pPr>
        <w:spacing w:line="400" w:lineRule="exact"/>
        <w:rPr>
          <w:rFonts w:hint="eastAsia" w:ascii="仿宋_GB2312" w:hAnsi="仿宋_GB2312" w:eastAsia="仿宋_GB2312" w:cs="仿宋_GB2312"/>
          <w:color w:val="auto"/>
          <w:sz w:val="32"/>
          <w:szCs w:val="32"/>
          <w:highlight w:val="none"/>
        </w:rPr>
      </w:pPr>
    </w:p>
    <w:p w14:paraId="17D1415C">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无串通竞标行为的承诺函</w:t>
      </w:r>
    </w:p>
    <w:p w14:paraId="51C5353F">
      <w:pPr>
        <w:spacing w:line="360" w:lineRule="auto"/>
        <w:ind w:firstLine="640" w:firstLineChars="200"/>
        <w:contextualSpacing/>
        <w:rPr>
          <w:rFonts w:hint="eastAsia" w:ascii="仿宋_GB2312" w:hAnsi="仿宋_GB2312" w:eastAsia="仿宋_GB2312" w:cs="仿宋_GB2312"/>
          <w:color w:val="auto"/>
          <w:sz w:val="32"/>
          <w:szCs w:val="32"/>
          <w:highlight w:val="none"/>
        </w:rPr>
      </w:pPr>
    </w:p>
    <w:p w14:paraId="15988F07">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18B3AA8E">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1.不同供应商的响应文件由同一单位或者个人编制； </w:t>
      </w:r>
    </w:p>
    <w:p w14:paraId="3FA2C71A">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62BD0F27">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09FB3BCA">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0631681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3072D435">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14:paraId="4043C248">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02811382">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2CD6236A">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2E19746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21934433">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29AC1585">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49C2639C">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41743EC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23990960">
      <w:pPr>
        <w:spacing w:line="360" w:lineRule="auto"/>
        <w:ind w:firstLine="480" w:firstLineChars="200"/>
        <w:contextualSpacing/>
        <w:rPr>
          <w:rFonts w:hint="eastAsia" w:ascii="宋体" w:hAnsi="宋体" w:cs="仿宋_GB2312"/>
          <w:color w:val="auto"/>
          <w:sz w:val="24"/>
          <w:highlight w:val="none"/>
        </w:rPr>
      </w:pPr>
    </w:p>
    <w:p w14:paraId="41095A60">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1EDCFF0D">
      <w:pPr>
        <w:spacing w:line="360" w:lineRule="auto"/>
        <w:contextualSpacing/>
        <w:rPr>
          <w:rFonts w:hint="eastAsia" w:ascii="宋体" w:hAnsi="宋体" w:cs="仿宋_GB2312"/>
          <w:color w:val="auto"/>
          <w:sz w:val="24"/>
          <w:highlight w:val="none"/>
        </w:rPr>
      </w:pPr>
    </w:p>
    <w:p w14:paraId="1F3157F6">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p>
    <w:p w14:paraId="430841B9">
      <w:pPr>
        <w:spacing w:line="360" w:lineRule="auto"/>
        <w:ind w:firstLine="480" w:firstLineChars="200"/>
        <w:contextualSpacing/>
        <w:jc w:val="center"/>
        <w:rPr>
          <w:rFonts w:hint="eastAsia"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14:paraId="2ECE2961">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法定代表人证明书</w:t>
      </w:r>
    </w:p>
    <w:p w14:paraId="3616398B">
      <w:pPr>
        <w:spacing w:line="360" w:lineRule="auto"/>
        <w:ind w:left="540"/>
        <w:contextualSpacing/>
        <w:rPr>
          <w:rFonts w:hint="eastAsia" w:ascii="仿宋_GB2312" w:hAnsi="仿宋_GB2312" w:eastAsia="仿宋_GB2312" w:cs="仿宋_GB2312"/>
          <w:color w:val="auto"/>
          <w:sz w:val="32"/>
          <w:szCs w:val="32"/>
          <w:highlight w:val="none"/>
        </w:rPr>
      </w:pPr>
    </w:p>
    <w:p w14:paraId="0DAA5208">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5A19A9C9">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25937CA8">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2621FD71">
      <w:pPr>
        <w:spacing w:line="360" w:lineRule="auto"/>
        <w:ind w:left="540"/>
        <w:contextualSpacing/>
        <w:rPr>
          <w:rFonts w:hint="eastAsia"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0104ABAD">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2B3AB43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062137F8">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特此证明。</w:t>
      </w:r>
    </w:p>
    <w:p w14:paraId="436CDFBA">
      <w:pPr>
        <w:spacing w:line="360" w:lineRule="auto"/>
        <w:ind w:left="540"/>
        <w:contextualSpacing/>
        <w:rPr>
          <w:rFonts w:hint="eastAsia" w:ascii="宋体" w:hAnsi="宋体" w:cs="仿宋_GB2312"/>
          <w:color w:val="auto"/>
          <w:sz w:val="24"/>
          <w:highlight w:val="none"/>
        </w:rPr>
      </w:pPr>
    </w:p>
    <w:p w14:paraId="42CFAE5C">
      <w:pPr>
        <w:spacing w:line="360" w:lineRule="auto"/>
        <w:ind w:left="540"/>
        <w:contextualSpacing/>
        <w:rPr>
          <w:rFonts w:hint="eastAsia" w:ascii="宋体" w:hAnsi="宋体" w:cs="仿宋_GB2312"/>
          <w:color w:val="auto"/>
          <w:sz w:val="24"/>
          <w:highlight w:val="none"/>
        </w:rPr>
      </w:pPr>
    </w:p>
    <w:p w14:paraId="3460E207">
      <w:pPr>
        <w:spacing w:line="360" w:lineRule="auto"/>
        <w:ind w:left="540"/>
        <w:contextualSpacing/>
        <w:rPr>
          <w:rFonts w:hint="eastAsia" w:ascii="宋体" w:hAnsi="宋体" w:cs="仿宋_GB2312"/>
          <w:color w:val="auto"/>
          <w:sz w:val="24"/>
          <w:highlight w:val="none"/>
        </w:rPr>
      </w:pPr>
    </w:p>
    <w:p w14:paraId="03CC01E2">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4470FEB0">
      <w:pPr>
        <w:spacing w:line="360" w:lineRule="auto"/>
        <w:ind w:left="540"/>
        <w:contextualSpacing/>
        <w:rPr>
          <w:rFonts w:hint="eastAsia" w:ascii="宋体" w:hAnsi="宋体" w:cs="仿宋_GB2312"/>
          <w:color w:val="auto"/>
          <w:sz w:val="24"/>
          <w:highlight w:val="none"/>
        </w:rPr>
      </w:pPr>
    </w:p>
    <w:p w14:paraId="3DE779A2">
      <w:pPr>
        <w:spacing w:line="360" w:lineRule="auto"/>
        <w:ind w:left="540" w:firstLine="3000" w:firstLineChars="125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p>
    <w:p w14:paraId="74321191">
      <w:pPr>
        <w:spacing w:line="360" w:lineRule="auto"/>
        <w:ind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rPr>
        <w:t>年  月  日</w:t>
      </w:r>
    </w:p>
    <w:p w14:paraId="3FD8E016">
      <w:pPr>
        <w:spacing w:line="360" w:lineRule="auto"/>
        <w:contextualSpacing/>
        <w:jc w:val="center"/>
        <w:rPr>
          <w:rFonts w:hint="eastAsia" w:ascii="宋体" w:hAnsi="宋体" w:cs="仿宋_GB2312"/>
          <w:b/>
          <w:color w:val="auto"/>
          <w:sz w:val="24"/>
          <w:highlight w:val="none"/>
        </w:rPr>
      </w:pPr>
    </w:p>
    <w:p w14:paraId="7E1981EE">
      <w:pPr>
        <w:spacing w:line="360" w:lineRule="auto"/>
        <w:contextualSpacing/>
        <w:jc w:val="left"/>
        <w:rPr>
          <w:rFonts w:hint="eastAsia" w:ascii="宋体" w:hAnsi="宋体" w:cs="仿宋_GB2312"/>
          <w:color w:val="auto"/>
          <w:sz w:val="24"/>
          <w:highlight w:val="none"/>
        </w:rPr>
      </w:pPr>
    </w:p>
    <w:p w14:paraId="339A94C7">
      <w:pPr>
        <w:adjustRightInd w:val="0"/>
        <w:snapToGrid w:val="0"/>
        <w:spacing w:line="300" w:lineRule="auto"/>
        <w:jc w:val="left"/>
        <w:rPr>
          <w:rFonts w:hint="eastAsia" w:ascii="宋体" w:hAnsi="宋体"/>
          <w:b/>
          <w:color w:val="auto"/>
          <w:szCs w:val="21"/>
          <w:highlight w:val="none"/>
        </w:rPr>
      </w:pPr>
    </w:p>
    <w:p w14:paraId="4C4A5FF2">
      <w:pPr>
        <w:spacing w:line="5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p>
    <w:p w14:paraId="5C4FB5F5">
      <w:pPr>
        <w:spacing w:line="520" w:lineRule="exact"/>
        <w:jc w:val="center"/>
        <w:rPr>
          <w:rFonts w:hint="eastAsia" w:ascii="方正小标宋简体" w:hAnsi="方正小标宋简体" w:eastAsia="方正小标宋简体" w:cs="方正小标宋简体"/>
          <w:color w:val="auto"/>
          <w:sz w:val="44"/>
          <w:szCs w:val="44"/>
          <w:highlight w:val="none"/>
        </w:rPr>
      </w:pPr>
      <w:bookmarkStart w:id="109" w:name="_Hlk65853643"/>
      <w:r>
        <w:rPr>
          <w:rFonts w:hint="eastAsia" w:ascii="方正小标宋简体" w:hAnsi="方正小标宋简体" w:eastAsia="方正小标宋简体" w:cs="方正小标宋简体"/>
          <w:color w:val="auto"/>
          <w:sz w:val="44"/>
          <w:szCs w:val="44"/>
          <w:highlight w:val="none"/>
        </w:rPr>
        <w:t>授权委托书</w:t>
      </w:r>
    </w:p>
    <w:p w14:paraId="7904592F">
      <w:pPr>
        <w:spacing w:line="520" w:lineRule="exact"/>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（非联合体竞标格式）</w:t>
      </w:r>
    </w:p>
    <w:p w14:paraId="36DE5078">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09C1D0C2">
      <w:pPr>
        <w:spacing w:line="520" w:lineRule="exact"/>
        <w:rPr>
          <w:rFonts w:hint="eastAsia" w:ascii="仿宋_GB2312" w:hAnsi="仿宋_GB2312" w:eastAsia="仿宋_GB2312" w:cs="仿宋_GB2312"/>
          <w:color w:val="auto"/>
          <w:sz w:val="32"/>
          <w:szCs w:val="32"/>
          <w:highlight w:val="none"/>
        </w:rPr>
      </w:pPr>
    </w:p>
    <w:p w14:paraId="6B7248B0">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lang w:eastAsia="zh-CN"/>
        </w:rPr>
        <w:t>贵港市覃塘区东龙镇人民政府</w:t>
      </w:r>
      <w:r>
        <w:rPr>
          <w:rFonts w:hint="eastAsia" w:ascii="宋体" w:hAnsi="宋体" w:cs="仿宋_GB2312"/>
          <w:color w:val="auto"/>
          <w:sz w:val="24"/>
          <w:highlight w:val="none"/>
        </w:rPr>
        <w:t>：</w:t>
      </w:r>
    </w:p>
    <w:p w14:paraId="1A5B7A35">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t>□法定代表人/□负责人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以我方的名义参加项目的竞标活动，并代表我方全权办理针对上述项目的所有采购程序和环节的具体事务和签署相关文件。</w:t>
      </w:r>
    </w:p>
    <w:p w14:paraId="426BF6E1">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我方对委托代理人的签字</w:t>
      </w:r>
      <w:r>
        <w:rPr>
          <w:rFonts w:hint="eastAsia" w:ascii="宋体" w:hAnsi="宋体"/>
          <w:color w:val="auto"/>
          <w:sz w:val="24"/>
          <w:highlight w:val="none"/>
        </w:rPr>
        <w:t>或者电子签名</w:t>
      </w:r>
      <w:r>
        <w:rPr>
          <w:rFonts w:hint="eastAsia" w:ascii="宋体" w:hAnsi="宋体" w:cs="仿宋_GB2312"/>
          <w:color w:val="auto"/>
          <w:sz w:val="24"/>
          <w:highlight w:val="none"/>
        </w:rPr>
        <w:t>事项负全部责任。</w:t>
      </w:r>
    </w:p>
    <w:p w14:paraId="42EAF559">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4AD3287B">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21C4C5A9">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14DFA91B">
      <w:pPr>
        <w:spacing w:line="360" w:lineRule="auto"/>
        <w:rPr>
          <w:rFonts w:hint="eastAsia" w:ascii="宋体" w:hAnsi="宋体" w:cs="仿宋_GB2312"/>
          <w:color w:val="auto"/>
          <w:sz w:val="24"/>
          <w:highlight w:val="none"/>
        </w:rPr>
      </w:pPr>
    </w:p>
    <w:p w14:paraId="4868C140">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委托代理人（签字或者盖章或者电子签名）： </w:t>
      </w:r>
    </w:p>
    <w:p w14:paraId="567C1073">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1051B9C6">
      <w:pPr>
        <w:spacing w:line="360" w:lineRule="auto"/>
        <w:contextualSpacing/>
        <w:rPr>
          <w:rFonts w:hint="eastAsia" w:ascii="宋体" w:hAnsi="宋体" w:cs="仿宋_GB2312"/>
          <w:color w:val="auto"/>
          <w:sz w:val="24"/>
          <w:highlight w:val="none"/>
        </w:rPr>
      </w:pPr>
    </w:p>
    <w:p w14:paraId="636739F0">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法定代表人（签字或者盖章或者电子签名）：                    </w:t>
      </w:r>
    </w:p>
    <w:p w14:paraId="0A2690D2">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14:paraId="048E7999">
      <w:pPr>
        <w:spacing w:line="360" w:lineRule="auto"/>
        <w:contextualSpacing/>
        <w:rPr>
          <w:rFonts w:hint="eastAsia" w:ascii="宋体" w:hAnsi="宋体" w:cs="仿宋_GB2312"/>
          <w:color w:val="auto"/>
          <w:sz w:val="24"/>
          <w:highlight w:val="none"/>
        </w:rPr>
      </w:pPr>
    </w:p>
    <w:p w14:paraId="68DB83A0">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供应商（电子签章）：                      </w:t>
      </w:r>
    </w:p>
    <w:p w14:paraId="48556EEF">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108DB08D">
      <w:pPr>
        <w:spacing w:line="360" w:lineRule="auto"/>
        <w:rPr>
          <w:rFonts w:hint="eastAsia" w:ascii="宋体" w:hAnsi="宋体" w:cs="仿宋_GB2312"/>
          <w:color w:val="auto"/>
          <w:sz w:val="24"/>
          <w:highlight w:val="none"/>
        </w:rPr>
      </w:pPr>
    </w:p>
    <w:p w14:paraId="26BAD004">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注：法定代表人必须在授权委托书上签字</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否则其响应文件按无效处理。</w:t>
      </w:r>
    </w:p>
    <w:p w14:paraId="67CAE52B">
      <w:pPr>
        <w:spacing w:line="360" w:lineRule="auto"/>
        <w:ind w:firstLine="420" w:firstLineChars="200"/>
        <w:jc w:val="left"/>
        <w:rPr>
          <w:rFonts w:hint="eastAsia" w:ascii="仿宋_GB2312" w:hAnsi="仿宋_GB2312" w:eastAsia="仿宋_GB2312" w:cs="仿宋_GB2312"/>
          <w:color w:val="auto"/>
          <w:szCs w:val="21"/>
          <w:highlight w:val="none"/>
        </w:rPr>
      </w:pPr>
    </w:p>
    <w:bookmarkEnd w:id="109"/>
    <w:p w14:paraId="3A04FDEE">
      <w:pPr>
        <w:spacing w:line="360" w:lineRule="auto"/>
        <w:contextualSpacing/>
        <w:jc w:val="center"/>
        <w:rPr>
          <w:rFonts w:hint="eastAsia" w:ascii="宋体" w:hAnsi="宋体" w:cs="方正小标宋简体"/>
          <w:b/>
          <w:bCs/>
          <w:color w:val="auto"/>
          <w:sz w:val="32"/>
          <w:szCs w:val="32"/>
          <w:highlight w:val="none"/>
        </w:rPr>
      </w:pPr>
      <w:r>
        <w:rPr>
          <w:rFonts w:hint="eastAsia" w:ascii="仿宋_GB2312" w:hAnsi="仿宋_GB2312" w:eastAsia="仿宋_GB2312" w:cs="仿宋_GB2312"/>
          <w:color w:val="auto"/>
          <w:sz w:val="32"/>
          <w:szCs w:val="32"/>
          <w:highlight w:val="none"/>
        </w:rPr>
        <w:br w:type="page"/>
      </w:r>
      <w:r>
        <w:rPr>
          <w:rFonts w:ascii="方正小标宋简体" w:hAnsi="方正小标宋简体" w:eastAsia="方正小标宋简体" w:cs="方正小标宋简体"/>
          <w:bCs/>
          <w:color w:val="auto"/>
          <w:sz w:val="44"/>
          <w:szCs w:val="44"/>
          <w:highlight w:val="none"/>
        </w:rPr>
        <w:t xml:space="preserve"> </w:t>
      </w:r>
      <w:r>
        <w:rPr>
          <w:rFonts w:hint="eastAsia" w:ascii="宋体" w:hAnsi="宋体" w:cs="方正小标宋简体"/>
          <w:b/>
          <w:bCs/>
          <w:color w:val="auto"/>
          <w:sz w:val="32"/>
          <w:szCs w:val="32"/>
          <w:highlight w:val="none"/>
        </w:rPr>
        <w:t>施工组织设计（参考格式）</w:t>
      </w:r>
    </w:p>
    <w:p w14:paraId="6E7F0DCB">
      <w:pPr>
        <w:spacing w:line="360" w:lineRule="auto"/>
        <w:ind w:firstLine="420" w:firstLineChars="200"/>
        <w:rPr>
          <w:rFonts w:cs="宋体"/>
          <w:color w:val="auto"/>
          <w:highlight w:val="none"/>
        </w:rPr>
      </w:pPr>
      <w:r>
        <w:rPr>
          <w:rFonts w:hint="eastAsia"/>
          <w:color w:val="auto"/>
          <w:highlight w:val="none"/>
        </w:rPr>
        <w:t>1.</w:t>
      </w:r>
      <w:r>
        <w:rPr>
          <w:color w:val="auto"/>
          <w:highlight w:val="none"/>
        </w:rPr>
        <w:t xml:space="preserve"> 施工组织</w:t>
      </w:r>
      <w:r>
        <w:rPr>
          <w:rFonts w:hint="eastAsia"/>
          <w:color w:val="auto"/>
          <w:highlight w:val="none"/>
        </w:rPr>
        <w:t>设计</w:t>
      </w:r>
      <w:r>
        <w:rPr>
          <w:rFonts w:hint="eastAsia" w:ascii="宋体" w:hAnsi="宋体"/>
          <w:color w:val="auto"/>
          <w:highlight w:val="none"/>
        </w:rPr>
        <w:t>应</w:t>
      </w:r>
      <w:r>
        <w:rPr>
          <w:rFonts w:hint="eastAsia"/>
          <w:color w:val="auto"/>
          <w:highlight w:val="none"/>
          <w:lang w:eastAsia="zh-CN"/>
        </w:rPr>
        <w:t>按</w:t>
      </w:r>
      <w:r>
        <w:rPr>
          <w:rFonts w:hint="eastAsia"/>
          <w:color w:val="auto"/>
          <w:highlight w:val="none"/>
        </w:rPr>
        <w:t>以下内容顺序编制，可</w:t>
      </w:r>
      <w:r>
        <w:rPr>
          <w:rFonts w:hint="eastAsia" w:ascii="宋体" w:hAnsi="宋体"/>
          <w:color w:val="auto"/>
          <w:highlight w:val="none"/>
        </w:rPr>
        <w:t>采用文字并结合图表形式说明施工方法，</w:t>
      </w:r>
      <w:r>
        <w:rPr>
          <w:color w:val="auto"/>
          <w:highlight w:val="none"/>
        </w:rPr>
        <w:t>施工组织</w:t>
      </w:r>
      <w:r>
        <w:rPr>
          <w:rFonts w:hint="eastAsia"/>
          <w:color w:val="auto"/>
          <w:highlight w:val="none"/>
        </w:rPr>
        <w:t>设计具体</w:t>
      </w:r>
      <w:r>
        <w:rPr>
          <w:color w:val="auto"/>
          <w:highlight w:val="none"/>
        </w:rPr>
        <w:t>内容</w:t>
      </w:r>
      <w:r>
        <w:rPr>
          <w:rFonts w:hint="eastAsia" w:cs="宋体"/>
          <w:color w:val="auto"/>
          <w:highlight w:val="none"/>
        </w:rPr>
        <w:t>如下：</w:t>
      </w:r>
    </w:p>
    <w:p w14:paraId="567BF3BF">
      <w:pPr>
        <w:spacing w:line="360" w:lineRule="auto"/>
        <w:ind w:firstLine="420" w:firstLineChars="200"/>
        <w:rPr>
          <w:rFonts w:hint="eastAsia"/>
          <w:color w:val="auto"/>
          <w:highlight w:val="none"/>
        </w:rPr>
      </w:pPr>
      <w:r>
        <w:rPr>
          <w:rFonts w:hint="eastAsia"/>
          <w:color w:val="auto"/>
          <w:highlight w:val="none"/>
        </w:rPr>
        <w:t>（1）概述</w:t>
      </w:r>
    </w:p>
    <w:p w14:paraId="0BF22A7F">
      <w:pPr>
        <w:spacing w:line="360" w:lineRule="auto"/>
        <w:ind w:firstLine="420" w:firstLineChars="200"/>
        <w:rPr>
          <w:rFonts w:hint="eastAsia"/>
          <w:color w:val="auto"/>
          <w:highlight w:val="none"/>
        </w:rPr>
      </w:pPr>
      <w:r>
        <w:rPr>
          <w:rFonts w:hint="eastAsia"/>
          <w:color w:val="auto"/>
          <w:highlight w:val="none"/>
        </w:rPr>
        <w:t>（2）主要施工方法；</w:t>
      </w:r>
    </w:p>
    <w:p w14:paraId="0077797B">
      <w:pPr>
        <w:spacing w:line="360" w:lineRule="auto"/>
        <w:ind w:firstLine="420" w:firstLineChars="200"/>
        <w:rPr>
          <w:color w:val="auto"/>
          <w:highlight w:val="none"/>
        </w:rPr>
      </w:pPr>
      <w:r>
        <w:rPr>
          <w:rFonts w:hint="eastAsia"/>
          <w:color w:val="auto"/>
          <w:highlight w:val="none"/>
        </w:rPr>
        <w:t>（3）拟投入的主要物资计划</w:t>
      </w:r>
    </w:p>
    <w:p w14:paraId="7C26008A">
      <w:pPr>
        <w:spacing w:line="360" w:lineRule="auto"/>
        <w:ind w:firstLine="420" w:firstLineChars="200"/>
        <w:rPr>
          <w:rFonts w:hint="eastAsia"/>
          <w:color w:val="auto"/>
          <w:highlight w:val="none"/>
        </w:rPr>
      </w:pPr>
      <w:r>
        <w:rPr>
          <w:rFonts w:hint="eastAsia"/>
          <w:color w:val="auto"/>
          <w:highlight w:val="none"/>
        </w:rPr>
        <w:t>（</w:t>
      </w:r>
      <w:r>
        <w:rPr>
          <w:color w:val="auto"/>
          <w:highlight w:val="none"/>
        </w:rPr>
        <w:t>4</w:t>
      </w:r>
      <w:r>
        <w:rPr>
          <w:rFonts w:hint="eastAsia"/>
          <w:color w:val="auto"/>
          <w:highlight w:val="none"/>
        </w:rPr>
        <w:t>）劳动力安排计划；</w:t>
      </w:r>
    </w:p>
    <w:p w14:paraId="4148F4CF">
      <w:pPr>
        <w:spacing w:line="360" w:lineRule="auto"/>
        <w:ind w:firstLine="420" w:firstLineChars="200"/>
        <w:rPr>
          <w:rFonts w:hint="eastAsia"/>
          <w:color w:val="auto"/>
          <w:highlight w:val="none"/>
        </w:rPr>
      </w:pPr>
      <w:r>
        <w:rPr>
          <w:rFonts w:hint="eastAsia"/>
          <w:color w:val="auto"/>
          <w:highlight w:val="none"/>
        </w:rPr>
        <w:t>（</w:t>
      </w:r>
      <w:r>
        <w:rPr>
          <w:color w:val="auto"/>
          <w:highlight w:val="none"/>
        </w:rPr>
        <w:t>5</w:t>
      </w:r>
      <w:r>
        <w:rPr>
          <w:rFonts w:hint="eastAsia"/>
          <w:color w:val="auto"/>
          <w:highlight w:val="none"/>
        </w:rPr>
        <w:t>）确保工程质量的技术组织措施；</w:t>
      </w:r>
    </w:p>
    <w:p w14:paraId="06B60CCC">
      <w:pPr>
        <w:spacing w:line="360" w:lineRule="auto"/>
        <w:ind w:firstLine="420" w:firstLineChars="200"/>
        <w:rPr>
          <w:rFonts w:hint="eastAsia"/>
          <w:color w:val="auto"/>
          <w:highlight w:val="none"/>
        </w:rPr>
      </w:pPr>
      <w:r>
        <w:rPr>
          <w:rFonts w:hint="eastAsia"/>
          <w:color w:val="auto"/>
          <w:highlight w:val="none"/>
        </w:rPr>
        <w:t>（</w:t>
      </w:r>
      <w:r>
        <w:rPr>
          <w:color w:val="auto"/>
          <w:highlight w:val="none"/>
        </w:rPr>
        <w:t>6</w:t>
      </w:r>
      <w:r>
        <w:rPr>
          <w:rFonts w:hint="eastAsia"/>
          <w:color w:val="auto"/>
          <w:highlight w:val="none"/>
        </w:rPr>
        <w:t>）确保安全生产的技术组织措施；</w:t>
      </w:r>
    </w:p>
    <w:p w14:paraId="14DE3571">
      <w:pPr>
        <w:spacing w:line="360" w:lineRule="auto"/>
        <w:ind w:firstLine="420" w:firstLineChars="200"/>
        <w:rPr>
          <w:rFonts w:hint="eastAsia"/>
          <w:color w:val="auto"/>
          <w:highlight w:val="none"/>
        </w:rPr>
      </w:pPr>
      <w:r>
        <w:rPr>
          <w:rFonts w:hint="eastAsia"/>
          <w:color w:val="auto"/>
          <w:highlight w:val="none"/>
        </w:rPr>
        <w:t>（</w:t>
      </w:r>
      <w:r>
        <w:rPr>
          <w:color w:val="auto"/>
          <w:highlight w:val="none"/>
        </w:rPr>
        <w:t>7</w:t>
      </w:r>
      <w:r>
        <w:rPr>
          <w:rFonts w:hint="eastAsia"/>
          <w:color w:val="auto"/>
          <w:highlight w:val="none"/>
        </w:rPr>
        <w:t>）确保工期的技术组织措施；</w:t>
      </w:r>
    </w:p>
    <w:p w14:paraId="563DCCDE">
      <w:pPr>
        <w:spacing w:line="360" w:lineRule="auto"/>
        <w:ind w:firstLine="420" w:firstLineChars="200"/>
        <w:rPr>
          <w:rFonts w:hint="eastAsia"/>
          <w:color w:val="auto"/>
          <w:highlight w:val="none"/>
        </w:rPr>
      </w:pPr>
      <w:r>
        <w:rPr>
          <w:rFonts w:hint="eastAsia"/>
          <w:color w:val="auto"/>
          <w:highlight w:val="none"/>
        </w:rPr>
        <w:t>（</w:t>
      </w:r>
      <w:r>
        <w:rPr>
          <w:color w:val="auto"/>
          <w:highlight w:val="none"/>
        </w:rPr>
        <w:t>8</w:t>
      </w:r>
      <w:r>
        <w:rPr>
          <w:rFonts w:hint="eastAsia"/>
          <w:color w:val="auto"/>
          <w:highlight w:val="none"/>
        </w:rPr>
        <w:t>）确保文明施工的技术组织措施；</w:t>
      </w:r>
    </w:p>
    <w:p w14:paraId="3A7296FB">
      <w:pPr>
        <w:spacing w:line="360" w:lineRule="auto"/>
        <w:ind w:firstLine="420" w:firstLineChars="200"/>
        <w:rPr>
          <w:rFonts w:hint="eastAsia"/>
          <w:color w:val="auto"/>
          <w:highlight w:val="none"/>
        </w:rPr>
      </w:pPr>
      <w:r>
        <w:rPr>
          <w:rFonts w:hint="eastAsia"/>
          <w:color w:val="auto"/>
          <w:highlight w:val="none"/>
        </w:rPr>
        <w:t>（</w:t>
      </w:r>
      <w:r>
        <w:rPr>
          <w:color w:val="auto"/>
          <w:highlight w:val="none"/>
        </w:rPr>
        <w:t>9</w:t>
      </w:r>
      <w:r>
        <w:rPr>
          <w:rFonts w:hint="eastAsia"/>
          <w:color w:val="auto"/>
          <w:highlight w:val="none"/>
        </w:rPr>
        <w:t>）工程施工的重点和难点及保证措施；</w:t>
      </w:r>
    </w:p>
    <w:p w14:paraId="7BE95E3E">
      <w:pPr>
        <w:spacing w:line="360" w:lineRule="auto"/>
        <w:ind w:firstLine="420" w:firstLineChars="200"/>
        <w:rPr>
          <w:color w:val="auto"/>
          <w:highlight w:val="none"/>
        </w:rPr>
      </w:pPr>
      <w:r>
        <w:rPr>
          <w:rFonts w:hint="eastAsia"/>
          <w:color w:val="auto"/>
          <w:highlight w:val="none"/>
        </w:rPr>
        <w:t>（1</w:t>
      </w:r>
      <w:r>
        <w:rPr>
          <w:color w:val="auto"/>
          <w:highlight w:val="none"/>
        </w:rPr>
        <w:t>0</w:t>
      </w:r>
      <w:r>
        <w:rPr>
          <w:rFonts w:hint="eastAsia"/>
          <w:color w:val="auto"/>
          <w:highlight w:val="none"/>
        </w:rPr>
        <w:t>）施工总平面布置图；</w:t>
      </w:r>
    </w:p>
    <w:p w14:paraId="28785A5C">
      <w:pPr>
        <w:spacing w:line="360" w:lineRule="auto"/>
        <w:ind w:firstLine="420" w:firstLineChars="200"/>
        <w:rPr>
          <w:rFonts w:hint="eastAsia"/>
          <w:color w:val="auto"/>
          <w:highlight w:val="none"/>
        </w:rPr>
      </w:pPr>
      <w:r>
        <w:rPr>
          <w:rFonts w:hint="eastAsia"/>
          <w:color w:val="auto"/>
          <w:highlight w:val="none"/>
        </w:rPr>
        <w:t>（1</w:t>
      </w:r>
      <w:r>
        <w:rPr>
          <w:color w:val="auto"/>
          <w:highlight w:val="none"/>
        </w:rPr>
        <w:t>1</w:t>
      </w:r>
      <w:r>
        <w:rPr>
          <w:rFonts w:hint="eastAsia"/>
          <w:color w:val="auto"/>
          <w:highlight w:val="none"/>
        </w:rPr>
        <w:t>）其他（</w:t>
      </w:r>
      <w:r>
        <w:rPr>
          <w:color w:val="auto"/>
          <w:highlight w:val="none"/>
        </w:rPr>
        <w:t>如有）</w:t>
      </w:r>
      <w:r>
        <w:rPr>
          <w:rFonts w:hint="eastAsia"/>
          <w:color w:val="auto"/>
          <w:highlight w:val="none"/>
        </w:rPr>
        <w:t>（与第四章“评审程序、评审方法和评审标准”中的评审</w:t>
      </w:r>
      <w:r>
        <w:rPr>
          <w:color w:val="auto"/>
          <w:highlight w:val="none"/>
        </w:rPr>
        <w:t>标准一致</w:t>
      </w:r>
      <w:r>
        <w:rPr>
          <w:rFonts w:hint="eastAsia"/>
          <w:color w:val="auto"/>
          <w:highlight w:val="none"/>
        </w:rPr>
        <w:t>）</w:t>
      </w:r>
    </w:p>
    <w:p w14:paraId="444CC327">
      <w:pPr>
        <w:spacing w:line="360" w:lineRule="auto"/>
        <w:ind w:firstLine="420" w:firstLineChars="200"/>
        <w:rPr>
          <w:color w:val="auto"/>
          <w:highlight w:val="none"/>
        </w:rPr>
      </w:pPr>
      <w:r>
        <w:rPr>
          <w:rFonts w:hint="eastAsia"/>
          <w:color w:val="auto"/>
          <w:highlight w:val="none"/>
        </w:rPr>
        <w:t>2. 技术标</w:t>
      </w:r>
      <w:r>
        <w:rPr>
          <w:color w:val="auto"/>
          <w:highlight w:val="none"/>
        </w:rPr>
        <w:t>施工组织</w:t>
      </w:r>
      <w:r>
        <w:rPr>
          <w:rFonts w:hint="eastAsia"/>
          <w:color w:val="auto"/>
          <w:highlight w:val="none"/>
        </w:rPr>
        <w:t>设计除采用文字表述外可附下列图表，图表及格式要求附后。</w:t>
      </w:r>
    </w:p>
    <w:p w14:paraId="7E40E2FE">
      <w:pPr>
        <w:spacing w:line="360" w:lineRule="auto"/>
        <w:ind w:firstLine="420" w:firstLineChars="200"/>
        <w:rPr>
          <w:color w:val="auto"/>
          <w:highlight w:val="none"/>
        </w:rPr>
      </w:pPr>
      <w:r>
        <w:rPr>
          <w:rFonts w:hint="eastAsia"/>
          <w:color w:val="auto"/>
          <w:highlight w:val="none"/>
        </w:rPr>
        <w:t>附表一</w:t>
      </w:r>
      <w:r>
        <w:rPr>
          <w:color w:val="auto"/>
          <w:highlight w:val="none"/>
        </w:rPr>
        <w:t xml:space="preserve">  </w:t>
      </w:r>
      <w:r>
        <w:rPr>
          <w:rFonts w:hint="eastAsia"/>
          <w:color w:val="auto"/>
          <w:highlight w:val="none"/>
        </w:rPr>
        <w:t>劳动力计划表</w:t>
      </w:r>
    </w:p>
    <w:p w14:paraId="6C501DB0">
      <w:pPr>
        <w:spacing w:line="360" w:lineRule="auto"/>
        <w:ind w:firstLine="420" w:firstLineChars="200"/>
        <w:rPr>
          <w:color w:val="auto"/>
          <w:highlight w:val="none"/>
        </w:rPr>
      </w:pPr>
      <w:r>
        <w:rPr>
          <w:rFonts w:hint="eastAsia"/>
          <w:color w:val="auto"/>
          <w:highlight w:val="none"/>
        </w:rPr>
        <w:t>附表二</w:t>
      </w:r>
      <w:r>
        <w:rPr>
          <w:color w:val="auto"/>
          <w:highlight w:val="none"/>
        </w:rPr>
        <w:t xml:space="preserve">  </w:t>
      </w:r>
      <w:r>
        <w:rPr>
          <w:rFonts w:hint="eastAsia"/>
          <w:color w:val="auto"/>
          <w:highlight w:val="none"/>
        </w:rPr>
        <w:t>计划开、竣工日期和施工进度计划（网络图或横道图）</w:t>
      </w:r>
    </w:p>
    <w:p w14:paraId="5D830CBB">
      <w:pPr>
        <w:spacing w:line="360" w:lineRule="auto"/>
        <w:ind w:firstLine="420" w:firstLineChars="200"/>
        <w:rPr>
          <w:color w:val="auto"/>
          <w:highlight w:val="none"/>
        </w:rPr>
      </w:pPr>
      <w:r>
        <w:rPr>
          <w:rFonts w:hint="eastAsia"/>
          <w:color w:val="auto"/>
          <w:highlight w:val="none"/>
        </w:rPr>
        <w:t>附表三</w:t>
      </w:r>
      <w:r>
        <w:rPr>
          <w:color w:val="auto"/>
          <w:highlight w:val="none"/>
        </w:rPr>
        <w:t xml:space="preserve">  </w:t>
      </w:r>
      <w:r>
        <w:rPr>
          <w:rFonts w:hint="eastAsia"/>
          <w:color w:val="auto"/>
          <w:highlight w:val="none"/>
        </w:rPr>
        <w:t>施工总平面图</w:t>
      </w:r>
    </w:p>
    <w:p w14:paraId="3AD7902A">
      <w:pPr>
        <w:spacing w:line="360" w:lineRule="auto"/>
        <w:ind w:firstLine="420" w:firstLineChars="200"/>
        <w:rPr>
          <w:rFonts w:hint="eastAsia"/>
          <w:color w:val="auto"/>
          <w:highlight w:val="none"/>
        </w:rPr>
      </w:pPr>
      <w:r>
        <w:rPr>
          <w:rFonts w:hint="eastAsia"/>
          <w:color w:val="auto"/>
          <w:highlight w:val="none"/>
        </w:rPr>
        <w:t>附表四</w:t>
      </w:r>
      <w:r>
        <w:rPr>
          <w:color w:val="auto"/>
          <w:highlight w:val="none"/>
        </w:rPr>
        <w:t xml:space="preserve">  </w:t>
      </w:r>
      <w:r>
        <w:rPr>
          <w:rFonts w:hint="eastAsia"/>
          <w:color w:val="auto"/>
          <w:highlight w:val="none"/>
        </w:rPr>
        <w:t>临时用地表</w:t>
      </w:r>
    </w:p>
    <w:p w14:paraId="551E442C">
      <w:pPr>
        <w:spacing w:line="360" w:lineRule="auto"/>
        <w:ind w:firstLine="420" w:firstLineChars="200"/>
        <w:rPr>
          <w:rFonts w:hint="eastAsia"/>
          <w:color w:val="auto"/>
          <w:highlight w:val="none"/>
        </w:rPr>
      </w:pPr>
    </w:p>
    <w:p w14:paraId="730B8D90">
      <w:pPr>
        <w:rPr>
          <w:rFonts w:hint="eastAsia" w:cs="宋体"/>
          <w:color w:val="auto"/>
          <w:highlight w:val="none"/>
        </w:rPr>
      </w:pPr>
      <w:r>
        <w:rPr>
          <w:rFonts w:hint="eastAsia" w:cs="宋体"/>
          <w:color w:val="auto"/>
          <w:highlight w:val="none"/>
        </w:rPr>
        <w:br w:type="page"/>
      </w:r>
    </w:p>
    <w:p w14:paraId="11081484">
      <w:pPr>
        <w:rPr>
          <w:rFonts w:hint="eastAsia" w:cs="宋体"/>
          <w:color w:val="auto"/>
          <w:highlight w:val="none"/>
        </w:rPr>
      </w:pPr>
      <w:r>
        <w:rPr>
          <w:rFonts w:hint="eastAsia" w:cs="宋体"/>
          <w:color w:val="auto"/>
          <w:highlight w:val="none"/>
        </w:rPr>
        <w:t>附表一：劳动力计划表</w:t>
      </w:r>
    </w:p>
    <w:p w14:paraId="64D084D0">
      <w:pPr>
        <w:rPr>
          <w:color w:val="auto"/>
          <w:highlight w:val="none"/>
        </w:rPr>
      </w:pPr>
      <w:r>
        <w:rPr>
          <w:rFonts w:hint="eastAsia" w:cs="宋体"/>
          <w:color w:val="auto"/>
          <w:highlight w:val="none"/>
        </w:rPr>
        <w:t>单位：人</w:t>
      </w:r>
    </w:p>
    <w:tbl>
      <w:tblPr>
        <w:tblStyle w:val="43"/>
        <w:tblW w:w="8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961"/>
        <w:gridCol w:w="1257"/>
        <w:gridCol w:w="1257"/>
        <w:gridCol w:w="1258"/>
        <w:gridCol w:w="1257"/>
        <w:gridCol w:w="1258"/>
      </w:tblGrid>
      <w:tr w14:paraId="4B738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noWrap w:val="0"/>
            <w:vAlign w:val="center"/>
          </w:tcPr>
          <w:p w14:paraId="4EC31325">
            <w:pPr>
              <w:spacing w:line="360" w:lineRule="auto"/>
              <w:jc w:val="center"/>
              <w:rPr>
                <w:color w:val="auto"/>
                <w:highlight w:val="none"/>
              </w:rPr>
            </w:pPr>
            <w:r>
              <w:rPr>
                <w:rFonts w:hint="eastAsia" w:cs="宋体"/>
                <w:color w:val="auto"/>
                <w:highlight w:val="none"/>
              </w:rPr>
              <w:t>工种</w:t>
            </w:r>
          </w:p>
        </w:tc>
        <w:tc>
          <w:tcPr>
            <w:tcW w:w="7248" w:type="dxa"/>
            <w:gridSpan w:val="6"/>
            <w:noWrap w:val="0"/>
            <w:vAlign w:val="center"/>
          </w:tcPr>
          <w:p w14:paraId="15E49B62">
            <w:pPr>
              <w:spacing w:line="360" w:lineRule="auto"/>
              <w:jc w:val="center"/>
              <w:rPr>
                <w:color w:val="auto"/>
                <w:highlight w:val="none"/>
              </w:rPr>
            </w:pPr>
            <w:r>
              <w:rPr>
                <w:rFonts w:hint="eastAsia" w:cs="宋体"/>
                <w:color w:val="auto"/>
                <w:highlight w:val="none"/>
              </w:rPr>
              <w:t>按工程施工阶段投入劳动力情况</w:t>
            </w:r>
          </w:p>
        </w:tc>
      </w:tr>
      <w:tr w14:paraId="1AA47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noWrap w:val="0"/>
            <w:vAlign w:val="center"/>
          </w:tcPr>
          <w:p w14:paraId="2D515775">
            <w:pPr>
              <w:spacing w:line="360" w:lineRule="auto"/>
              <w:jc w:val="center"/>
              <w:rPr>
                <w:color w:val="auto"/>
                <w:highlight w:val="none"/>
              </w:rPr>
            </w:pPr>
          </w:p>
        </w:tc>
        <w:tc>
          <w:tcPr>
            <w:tcW w:w="961" w:type="dxa"/>
            <w:noWrap w:val="0"/>
            <w:vAlign w:val="center"/>
          </w:tcPr>
          <w:p w14:paraId="2ED210C2">
            <w:pPr>
              <w:spacing w:line="360" w:lineRule="auto"/>
              <w:jc w:val="center"/>
              <w:rPr>
                <w:color w:val="auto"/>
                <w:highlight w:val="none"/>
              </w:rPr>
            </w:pPr>
          </w:p>
        </w:tc>
        <w:tc>
          <w:tcPr>
            <w:tcW w:w="1257" w:type="dxa"/>
            <w:noWrap w:val="0"/>
            <w:vAlign w:val="center"/>
          </w:tcPr>
          <w:p w14:paraId="5DE9AAB2">
            <w:pPr>
              <w:spacing w:line="360" w:lineRule="auto"/>
              <w:jc w:val="center"/>
              <w:rPr>
                <w:color w:val="auto"/>
                <w:highlight w:val="none"/>
              </w:rPr>
            </w:pPr>
          </w:p>
        </w:tc>
        <w:tc>
          <w:tcPr>
            <w:tcW w:w="1257" w:type="dxa"/>
            <w:noWrap w:val="0"/>
            <w:vAlign w:val="center"/>
          </w:tcPr>
          <w:p w14:paraId="76039A71">
            <w:pPr>
              <w:spacing w:line="360" w:lineRule="auto"/>
              <w:jc w:val="center"/>
              <w:rPr>
                <w:color w:val="auto"/>
                <w:highlight w:val="none"/>
              </w:rPr>
            </w:pPr>
          </w:p>
        </w:tc>
        <w:tc>
          <w:tcPr>
            <w:tcW w:w="1258" w:type="dxa"/>
            <w:noWrap w:val="0"/>
            <w:vAlign w:val="center"/>
          </w:tcPr>
          <w:p w14:paraId="6D74D965">
            <w:pPr>
              <w:spacing w:line="360" w:lineRule="auto"/>
              <w:jc w:val="center"/>
              <w:rPr>
                <w:color w:val="auto"/>
                <w:highlight w:val="none"/>
              </w:rPr>
            </w:pPr>
          </w:p>
        </w:tc>
        <w:tc>
          <w:tcPr>
            <w:tcW w:w="1257" w:type="dxa"/>
            <w:noWrap w:val="0"/>
            <w:vAlign w:val="center"/>
          </w:tcPr>
          <w:p w14:paraId="6C0D7B80">
            <w:pPr>
              <w:spacing w:line="360" w:lineRule="auto"/>
              <w:jc w:val="center"/>
              <w:rPr>
                <w:color w:val="auto"/>
                <w:highlight w:val="none"/>
              </w:rPr>
            </w:pPr>
          </w:p>
        </w:tc>
        <w:tc>
          <w:tcPr>
            <w:tcW w:w="1258" w:type="dxa"/>
            <w:noWrap w:val="0"/>
            <w:vAlign w:val="center"/>
          </w:tcPr>
          <w:p w14:paraId="168E8780">
            <w:pPr>
              <w:spacing w:line="360" w:lineRule="auto"/>
              <w:jc w:val="center"/>
              <w:rPr>
                <w:color w:val="auto"/>
                <w:highlight w:val="none"/>
              </w:rPr>
            </w:pPr>
          </w:p>
        </w:tc>
      </w:tr>
      <w:tr w14:paraId="496D2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noWrap w:val="0"/>
            <w:vAlign w:val="center"/>
          </w:tcPr>
          <w:p w14:paraId="1935DE74">
            <w:pPr>
              <w:spacing w:line="360" w:lineRule="auto"/>
              <w:jc w:val="center"/>
              <w:rPr>
                <w:color w:val="auto"/>
                <w:highlight w:val="none"/>
              </w:rPr>
            </w:pPr>
          </w:p>
        </w:tc>
        <w:tc>
          <w:tcPr>
            <w:tcW w:w="961" w:type="dxa"/>
            <w:noWrap w:val="0"/>
            <w:vAlign w:val="center"/>
          </w:tcPr>
          <w:p w14:paraId="6E91D7A3">
            <w:pPr>
              <w:spacing w:line="360" w:lineRule="auto"/>
              <w:jc w:val="center"/>
              <w:rPr>
                <w:color w:val="auto"/>
                <w:highlight w:val="none"/>
              </w:rPr>
            </w:pPr>
          </w:p>
        </w:tc>
        <w:tc>
          <w:tcPr>
            <w:tcW w:w="1257" w:type="dxa"/>
            <w:noWrap w:val="0"/>
            <w:vAlign w:val="center"/>
          </w:tcPr>
          <w:p w14:paraId="4314B929">
            <w:pPr>
              <w:spacing w:line="360" w:lineRule="auto"/>
              <w:jc w:val="center"/>
              <w:rPr>
                <w:color w:val="auto"/>
                <w:highlight w:val="none"/>
              </w:rPr>
            </w:pPr>
          </w:p>
        </w:tc>
        <w:tc>
          <w:tcPr>
            <w:tcW w:w="1257" w:type="dxa"/>
            <w:noWrap w:val="0"/>
            <w:vAlign w:val="center"/>
          </w:tcPr>
          <w:p w14:paraId="0FF4D7CA">
            <w:pPr>
              <w:spacing w:line="360" w:lineRule="auto"/>
              <w:jc w:val="center"/>
              <w:rPr>
                <w:color w:val="auto"/>
                <w:highlight w:val="none"/>
              </w:rPr>
            </w:pPr>
          </w:p>
        </w:tc>
        <w:tc>
          <w:tcPr>
            <w:tcW w:w="1258" w:type="dxa"/>
            <w:noWrap w:val="0"/>
            <w:vAlign w:val="center"/>
          </w:tcPr>
          <w:p w14:paraId="5135A4F8">
            <w:pPr>
              <w:spacing w:line="360" w:lineRule="auto"/>
              <w:jc w:val="center"/>
              <w:rPr>
                <w:color w:val="auto"/>
                <w:highlight w:val="none"/>
              </w:rPr>
            </w:pPr>
          </w:p>
        </w:tc>
        <w:tc>
          <w:tcPr>
            <w:tcW w:w="1257" w:type="dxa"/>
            <w:noWrap w:val="0"/>
            <w:vAlign w:val="center"/>
          </w:tcPr>
          <w:p w14:paraId="4C9BD2E6">
            <w:pPr>
              <w:spacing w:line="360" w:lineRule="auto"/>
              <w:jc w:val="center"/>
              <w:rPr>
                <w:color w:val="auto"/>
                <w:highlight w:val="none"/>
              </w:rPr>
            </w:pPr>
          </w:p>
        </w:tc>
        <w:tc>
          <w:tcPr>
            <w:tcW w:w="1258" w:type="dxa"/>
            <w:noWrap w:val="0"/>
            <w:vAlign w:val="center"/>
          </w:tcPr>
          <w:p w14:paraId="25585CC6">
            <w:pPr>
              <w:spacing w:line="360" w:lineRule="auto"/>
              <w:jc w:val="center"/>
              <w:rPr>
                <w:color w:val="auto"/>
                <w:highlight w:val="none"/>
              </w:rPr>
            </w:pPr>
          </w:p>
        </w:tc>
      </w:tr>
      <w:tr w14:paraId="047A1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noWrap w:val="0"/>
            <w:vAlign w:val="center"/>
          </w:tcPr>
          <w:p w14:paraId="62AEFDA0">
            <w:pPr>
              <w:spacing w:line="360" w:lineRule="auto"/>
              <w:jc w:val="center"/>
              <w:rPr>
                <w:color w:val="auto"/>
                <w:highlight w:val="none"/>
              </w:rPr>
            </w:pPr>
          </w:p>
        </w:tc>
        <w:tc>
          <w:tcPr>
            <w:tcW w:w="961" w:type="dxa"/>
            <w:noWrap w:val="0"/>
            <w:vAlign w:val="center"/>
          </w:tcPr>
          <w:p w14:paraId="5F9A97C2">
            <w:pPr>
              <w:spacing w:line="360" w:lineRule="auto"/>
              <w:jc w:val="center"/>
              <w:rPr>
                <w:color w:val="auto"/>
                <w:highlight w:val="none"/>
              </w:rPr>
            </w:pPr>
          </w:p>
        </w:tc>
        <w:tc>
          <w:tcPr>
            <w:tcW w:w="1257" w:type="dxa"/>
            <w:noWrap w:val="0"/>
            <w:vAlign w:val="center"/>
          </w:tcPr>
          <w:p w14:paraId="19DCB3C0">
            <w:pPr>
              <w:spacing w:line="360" w:lineRule="auto"/>
              <w:jc w:val="center"/>
              <w:rPr>
                <w:color w:val="auto"/>
                <w:highlight w:val="none"/>
              </w:rPr>
            </w:pPr>
          </w:p>
        </w:tc>
        <w:tc>
          <w:tcPr>
            <w:tcW w:w="1257" w:type="dxa"/>
            <w:noWrap w:val="0"/>
            <w:vAlign w:val="center"/>
          </w:tcPr>
          <w:p w14:paraId="64BA8190">
            <w:pPr>
              <w:spacing w:line="360" w:lineRule="auto"/>
              <w:jc w:val="center"/>
              <w:rPr>
                <w:color w:val="auto"/>
                <w:highlight w:val="none"/>
              </w:rPr>
            </w:pPr>
          </w:p>
        </w:tc>
        <w:tc>
          <w:tcPr>
            <w:tcW w:w="1258" w:type="dxa"/>
            <w:noWrap w:val="0"/>
            <w:vAlign w:val="center"/>
          </w:tcPr>
          <w:p w14:paraId="0A21FFE4">
            <w:pPr>
              <w:spacing w:line="360" w:lineRule="auto"/>
              <w:jc w:val="center"/>
              <w:rPr>
                <w:color w:val="auto"/>
                <w:highlight w:val="none"/>
              </w:rPr>
            </w:pPr>
          </w:p>
        </w:tc>
        <w:tc>
          <w:tcPr>
            <w:tcW w:w="1257" w:type="dxa"/>
            <w:noWrap w:val="0"/>
            <w:vAlign w:val="center"/>
          </w:tcPr>
          <w:p w14:paraId="27FBA693">
            <w:pPr>
              <w:spacing w:line="360" w:lineRule="auto"/>
              <w:jc w:val="center"/>
              <w:rPr>
                <w:color w:val="auto"/>
                <w:highlight w:val="none"/>
              </w:rPr>
            </w:pPr>
          </w:p>
        </w:tc>
        <w:tc>
          <w:tcPr>
            <w:tcW w:w="1258" w:type="dxa"/>
            <w:noWrap w:val="0"/>
            <w:vAlign w:val="center"/>
          </w:tcPr>
          <w:p w14:paraId="519B1181">
            <w:pPr>
              <w:spacing w:line="360" w:lineRule="auto"/>
              <w:jc w:val="center"/>
              <w:rPr>
                <w:color w:val="auto"/>
                <w:highlight w:val="none"/>
              </w:rPr>
            </w:pPr>
          </w:p>
        </w:tc>
      </w:tr>
      <w:tr w14:paraId="501C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noWrap w:val="0"/>
            <w:vAlign w:val="center"/>
          </w:tcPr>
          <w:p w14:paraId="02C68932">
            <w:pPr>
              <w:spacing w:line="360" w:lineRule="auto"/>
              <w:jc w:val="center"/>
              <w:rPr>
                <w:color w:val="auto"/>
                <w:highlight w:val="none"/>
              </w:rPr>
            </w:pPr>
          </w:p>
        </w:tc>
        <w:tc>
          <w:tcPr>
            <w:tcW w:w="961" w:type="dxa"/>
            <w:noWrap w:val="0"/>
            <w:vAlign w:val="center"/>
          </w:tcPr>
          <w:p w14:paraId="3BA1A57B">
            <w:pPr>
              <w:spacing w:line="360" w:lineRule="auto"/>
              <w:jc w:val="center"/>
              <w:rPr>
                <w:color w:val="auto"/>
                <w:highlight w:val="none"/>
              </w:rPr>
            </w:pPr>
          </w:p>
        </w:tc>
        <w:tc>
          <w:tcPr>
            <w:tcW w:w="1257" w:type="dxa"/>
            <w:noWrap w:val="0"/>
            <w:vAlign w:val="center"/>
          </w:tcPr>
          <w:p w14:paraId="2A996FF1">
            <w:pPr>
              <w:spacing w:line="360" w:lineRule="auto"/>
              <w:jc w:val="center"/>
              <w:rPr>
                <w:color w:val="auto"/>
                <w:highlight w:val="none"/>
              </w:rPr>
            </w:pPr>
          </w:p>
        </w:tc>
        <w:tc>
          <w:tcPr>
            <w:tcW w:w="1257" w:type="dxa"/>
            <w:noWrap w:val="0"/>
            <w:vAlign w:val="center"/>
          </w:tcPr>
          <w:p w14:paraId="6D1F4F66">
            <w:pPr>
              <w:spacing w:line="360" w:lineRule="auto"/>
              <w:jc w:val="center"/>
              <w:rPr>
                <w:color w:val="auto"/>
                <w:highlight w:val="none"/>
              </w:rPr>
            </w:pPr>
          </w:p>
        </w:tc>
        <w:tc>
          <w:tcPr>
            <w:tcW w:w="1258" w:type="dxa"/>
            <w:noWrap w:val="0"/>
            <w:vAlign w:val="center"/>
          </w:tcPr>
          <w:p w14:paraId="545BCECE">
            <w:pPr>
              <w:spacing w:line="360" w:lineRule="auto"/>
              <w:jc w:val="center"/>
              <w:rPr>
                <w:color w:val="auto"/>
                <w:highlight w:val="none"/>
              </w:rPr>
            </w:pPr>
          </w:p>
        </w:tc>
        <w:tc>
          <w:tcPr>
            <w:tcW w:w="1257" w:type="dxa"/>
            <w:noWrap w:val="0"/>
            <w:vAlign w:val="center"/>
          </w:tcPr>
          <w:p w14:paraId="6E753496">
            <w:pPr>
              <w:spacing w:line="360" w:lineRule="auto"/>
              <w:jc w:val="center"/>
              <w:rPr>
                <w:color w:val="auto"/>
                <w:highlight w:val="none"/>
              </w:rPr>
            </w:pPr>
          </w:p>
        </w:tc>
        <w:tc>
          <w:tcPr>
            <w:tcW w:w="1258" w:type="dxa"/>
            <w:noWrap w:val="0"/>
            <w:vAlign w:val="center"/>
          </w:tcPr>
          <w:p w14:paraId="34CD9041">
            <w:pPr>
              <w:spacing w:line="360" w:lineRule="auto"/>
              <w:jc w:val="center"/>
              <w:rPr>
                <w:color w:val="auto"/>
                <w:highlight w:val="none"/>
              </w:rPr>
            </w:pPr>
          </w:p>
        </w:tc>
      </w:tr>
      <w:tr w14:paraId="53E50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noWrap w:val="0"/>
            <w:vAlign w:val="center"/>
          </w:tcPr>
          <w:p w14:paraId="12C11277">
            <w:pPr>
              <w:spacing w:line="360" w:lineRule="auto"/>
              <w:jc w:val="center"/>
              <w:rPr>
                <w:color w:val="auto"/>
                <w:highlight w:val="none"/>
              </w:rPr>
            </w:pPr>
          </w:p>
        </w:tc>
        <w:tc>
          <w:tcPr>
            <w:tcW w:w="961" w:type="dxa"/>
            <w:noWrap w:val="0"/>
            <w:vAlign w:val="center"/>
          </w:tcPr>
          <w:p w14:paraId="560502F9">
            <w:pPr>
              <w:spacing w:line="360" w:lineRule="auto"/>
              <w:jc w:val="center"/>
              <w:rPr>
                <w:color w:val="auto"/>
                <w:highlight w:val="none"/>
              </w:rPr>
            </w:pPr>
          </w:p>
        </w:tc>
        <w:tc>
          <w:tcPr>
            <w:tcW w:w="1257" w:type="dxa"/>
            <w:noWrap w:val="0"/>
            <w:vAlign w:val="center"/>
          </w:tcPr>
          <w:p w14:paraId="3B1C0436">
            <w:pPr>
              <w:spacing w:line="360" w:lineRule="auto"/>
              <w:jc w:val="center"/>
              <w:rPr>
                <w:color w:val="auto"/>
                <w:highlight w:val="none"/>
              </w:rPr>
            </w:pPr>
          </w:p>
        </w:tc>
        <w:tc>
          <w:tcPr>
            <w:tcW w:w="1257" w:type="dxa"/>
            <w:noWrap w:val="0"/>
            <w:vAlign w:val="center"/>
          </w:tcPr>
          <w:p w14:paraId="38F965F7">
            <w:pPr>
              <w:spacing w:line="360" w:lineRule="auto"/>
              <w:jc w:val="center"/>
              <w:rPr>
                <w:color w:val="auto"/>
                <w:highlight w:val="none"/>
              </w:rPr>
            </w:pPr>
          </w:p>
        </w:tc>
        <w:tc>
          <w:tcPr>
            <w:tcW w:w="1258" w:type="dxa"/>
            <w:noWrap w:val="0"/>
            <w:vAlign w:val="center"/>
          </w:tcPr>
          <w:p w14:paraId="792A9C6E">
            <w:pPr>
              <w:spacing w:line="360" w:lineRule="auto"/>
              <w:jc w:val="center"/>
              <w:rPr>
                <w:color w:val="auto"/>
                <w:highlight w:val="none"/>
              </w:rPr>
            </w:pPr>
          </w:p>
        </w:tc>
        <w:tc>
          <w:tcPr>
            <w:tcW w:w="1257" w:type="dxa"/>
            <w:noWrap w:val="0"/>
            <w:vAlign w:val="center"/>
          </w:tcPr>
          <w:p w14:paraId="55D49921">
            <w:pPr>
              <w:spacing w:line="360" w:lineRule="auto"/>
              <w:jc w:val="center"/>
              <w:rPr>
                <w:color w:val="auto"/>
                <w:highlight w:val="none"/>
              </w:rPr>
            </w:pPr>
          </w:p>
        </w:tc>
        <w:tc>
          <w:tcPr>
            <w:tcW w:w="1258" w:type="dxa"/>
            <w:noWrap w:val="0"/>
            <w:vAlign w:val="center"/>
          </w:tcPr>
          <w:p w14:paraId="3C32EA43">
            <w:pPr>
              <w:spacing w:line="360" w:lineRule="auto"/>
              <w:jc w:val="center"/>
              <w:rPr>
                <w:color w:val="auto"/>
                <w:highlight w:val="none"/>
              </w:rPr>
            </w:pPr>
          </w:p>
        </w:tc>
      </w:tr>
      <w:tr w14:paraId="06FE9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noWrap w:val="0"/>
            <w:vAlign w:val="center"/>
          </w:tcPr>
          <w:p w14:paraId="153D34EF">
            <w:pPr>
              <w:spacing w:line="360" w:lineRule="auto"/>
              <w:jc w:val="center"/>
              <w:rPr>
                <w:color w:val="auto"/>
                <w:highlight w:val="none"/>
              </w:rPr>
            </w:pPr>
          </w:p>
        </w:tc>
        <w:tc>
          <w:tcPr>
            <w:tcW w:w="961" w:type="dxa"/>
            <w:noWrap w:val="0"/>
            <w:vAlign w:val="center"/>
          </w:tcPr>
          <w:p w14:paraId="6696CD9A">
            <w:pPr>
              <w:spacing w:line="360" w:lineRule="auto"/>
              <w:jc w:val="center"/>
              <w:rPr>
                <w:color w:val="auto"/>
                <w:highlight w:val="none"/>
              </w:rPr>
            </w:pPr>
          </w:p>
        </w:tc>
        <w:tc>
          <w:tcPr>
            <w:tcW w:w="1257" w:type="dxa"/>
            <w:noWrap w:val="0"/>
            <w:vAlign w:val="center"/>
          </w:tcPr>
          <w:p w14:paraId="02555C44">
            <w:pPr>
              <w:spacing w:line="360" w:lineRule="auto"/>
              <w:jc w:val="center"/>
              <w:rPr>
                <w:color w:val="auto"/>
                <w:highlight w:val="none"/>
              </w:rPr>
            </w:pPr>
          </w:p>
        </w:tc>
        <w:tc>
          <w:tcPr>
            <w:tcW w:w="1257" w:type="dxa"/>
            <w:noWrap w:val="0"/>
            <w:vAlign w:val="center"/>
          </w:tcPr>
          <w:p w14:paraId="5EEDFAFC">
            <w:pPr>
              <w:spacing w:line="360" w:lineRule="auto"/>
              <w:jc w:val="center"/>
              <w:rPr>
                <w:color w:val="auto"/>
                <w:highlight w:val="none"/>
              </w:rPr>
            </w:pPr>
          </w:p>
        </w:tc>
        <w:tc>
          <w:tcPr>
            <w:tcW w:w="1258" w:type="dxa"/>
            <w:noWrap w:val="0"/>
            <w:vAlign w:val="center"/>
          </w:tcPr>
          <w:p w14:paraId="67ED1345">
            <w:pPr>
              <w:spacing w:line="360" w:lineRule="auto"/>
              <w:jc w:val="center"/>
              <w:rPr>
                <w:color w:val="auto"/>
                <w:highlight w:val="none"/>
              </w:rPr>
            </w:pPr>
          </w:p>
        </w:tc>
        <w:tc>
          <w:tcPr>
            <w:tcW w:w="1257" w:type="dxa"/>
            <w:noWrap w:val="0"/>
            <w:vAlign w:val="center"/>
          </w:tcPr>
          <w:p w14:paraId="0EB235E6">
            <w:pPr>
              <w:spacing w:line="360" w:lineRule="auto"/>
              <w:jc w:val="center"/>
              <w:rPr>
                <w:color w:val="auto"/>
                <w:highlight w:val="none"/>
              </w:rPr>
            </w:pPr>
          </w:p>
        </w:tc>
        <w:tc>
          <w:tcPr>
            <w:tcW w:w="1258" w:type="dxa"/>
            <w:noWrap w:val="0"/>
            <w:vAlign w:val="center"/>
          </w:tcPr>
          <w:p w14:paraId="516EE202">
            <w:pPr>
              <w:spacing w:line="360" w:lineRule="auto"/>
              <w:jc w:val="center"/>
              <w:rPr>
                <w:color w:val="auto"/>
                <w:highlight w:val="none"/>
              </w:rPr>
            </w:pPr>
          </w:p>
        </w:tc>
      </w:tr>
    </w:tbl>
    <w:p w14:paraId="009F246D">
      <w:pPr>
        <w:rPr>
          <w:color w:val="auto"/>
          <w:highlight w:val="none"/>
        </w:rPr>
      </w:pPr>
    </w:p>
    <w:p w14:paraId="49DAF282">
      <w:pPr>
        <w:rPr>
          <w:b/>
          <w:bCs/>
          <w:color w:val="auto"/>
          <w:highlight w:val="none"/>
        </w:rPr>
      </w:pPr>
    </w:p>
    <w:p w14:paraId="2E068FBB">
      <w:pPr>
        <w:rPr>
          <w:color w:val="auto"/>
          <w:highlight w:val="none"/>
        </w:rPr>
      </w:pPr>
      <w:r>
        <w:rPr>
          <w:rFonts w:hint="eastAsia" w:cs="宋体"/>
          <w:color w:val="auto"/>
          <w:highlight w:val="none"/>
        </w:rPr>
        <w:t>附表二：计划开、竣工日期和施工进度计划（网络图或横道图）</w:t>
      </w:r>
    </w:p>
    <w:p w14:paraId="4E63D6EF">
      <w:pPr>
        <w:spacing w:line="460" w:lineRule="exact"/>
        <w:ind w:left="-6" w:firstLine="420"/>
        <w:rPr>
          <w:color w:val="auto"/>
          <w:highlight w:val="none"/>
        </w:rPr>
      </w:pPr>
      <w:r>
        <w:rPr>
          <w:color w:val="auto"/>
          <w:highlight w:val="none"/>
        </w:rPr>
        <w:t xml:space="preserve">1. </w:t>
      </w:r>
      <w:r>
        <w:rPr>
          <w:rFonts w:hint="eastAsia" w:cs="宋体"/>
          <w:color w:val="auto"/>
          <w:highlight w:val="none"/>
        </w:rPr>
        <w:t>供应商应提交施工进度计划，说明按磋商文件要求的工期进行施工的各个关键日期。成交的供应商还应按合同条件有关条款的要求提交详细的施工进度计划。</w:t>
      </w:r>
    </w:p>
    <w:p w14:paraId="6297D11D">
      <w:pPr>
        <w:spacing w:line="460" w:lineRule="exact"/>
        <w:ind w:left="-6" w:firstLine="420"/>
        <w:rPr>
          <w:color w:val="auto"/>
          <w:highlight w:val="none"/>
        </w:rPr>
      </w:pPr>
      <w:r>
        <w:rPr>
          <w:color w:val="auto"/>
          <w:highlight w:val="none"/>
        </w:rPr>
        <w:t xml:space="preserve">2. </w:t>
      </w:r>
      <w:r>
        <w:rPr>
          <w:rFonts w:hint="eastAsia" w:cs="宋体"/>
          <w:color w:val="auto"/>
          <w:highlight w:val="none"/>
        </w:rPr>
        <w:t>施工进度计划可采用网络图（或横道图）表示，说明计划开工日期和各分项工程各阶段的完工日期和分包合同签订的日期。</w:t>
      </w:r>
    </w:p>
    <w:p w14:paraId="3BF2A337">
      <w:pPr>
        <w:spacing w:line="460" w:lineRule="exact"/>
        <w:ind w:left="-6" w:firstLine="420"/>
        <w:rPr>
          <w:color w:val="auto"/>
          <w:highlight w:val="none"/>
        </w:rPr>
      </w:pPr>
      <w:r>
        <w:rPr>
          <w:color w:val="auto"/>
          <w:highlight w:val="none"/>
        </w:rPr>
        <w:t xml:space="preserve">3. </w:t>
      </w:r>
      <w:r>
        <w:rPr>
          <w:rFonts w:hint="eastAsia" w:cs="宋体"/>
          <w:color w:val="auto"/>
          <w:highlight w:val="none"/>
        </w:rPr>
        <w:t>施工进度计划应与施工组织设计相适应。</w:t>
      </w:r>
    </w:p>
    <w:p w14:paraId="24C2CC4E">
      <w:pPr>
        <w:spacing w:line="360" w:lineRule="auto"/>
        <w:ind w:left="-6" w:firstLine="420"/>
        <w:rPr>
          <w:color w:val="auto"/>
          <w:highlight w:val="none"/>
        </w:rPr>
      </w:pPr>
    </w:p>
    <w:p w14:paraId="74C328D0">
      <w:pPr>
        <w:rPr>
          <w:color w:val="auto"/>
          <w:highlight w:val="none"/>
        </w:rPr>
      </w:pPr>
    </w:p>
    <w:p w14:paraId="23186084">
      <w:pPr>
        <w:rPr>
          <w:color w:val="auto"/>
          <w:highlight w:val="none"/>
        </w:rPr>
      </w:pPr>
      <w:r>
        <w:rPr>
          <w:rFonts w:hint="eastAsia" w:cs="宋体"/>
          <w:color w:val="auto"/>
          <w:highlight w:val="none"/>
        </w:rPr>
        <w:t>附表三：施工总平面图</w:t>
      </w:r>
    </w:p>
    <w:p w14:paraId="0B7F36E1">
      <w:pPr>
        <w:spacing w:line="460" w:lineRule="exact"/>
        <w:ind w:firstLine="420" w:firstLineChars="200"/>
        <w:rPr>
          <w:color w:val="auto"/>
          <w:highlight w:val="none"/>
        </w:rPr>
      </w:pPr>
      <w:r>
        <w:rPr>
          <w:rFonts w:hint="eastAsia" w:cs="宋体"/>
          <w:color w:val="auto"/>
          <w:highlight w:val="none"/>
        </w:rPr>
        <w:t>供应商应递交一份施工总平面图，绘出现场临时设施布置图表并附文字说明，说明临时设施、加工车间、现场办公、设备及仓储、供电、供水、卫生、生活、道路、消防等设施的情况和布置。</w:t>
      </w:r>
    </w:p>
    <w:p w14:paraId="1D069F92">
      <w:pPr>
        <w:rPr>
          <w:color w:val="auto"/>
          <w:highlight w:val="none"/>
        </w:rPr>
      </w:pPr>
    </w:p>
    <w:p w14:paraId="74016A38">
      <w:pPr>
        <w:rPr>
          <w:color w:val="auto"/>
          <w:highlight w:val="none"/>
        </w:rPr>
      </w:pPr>
    </w:p>
    <w:p w14:paraId="788B56EE">
      <w:pPr>
        <w:rPr>
          <w:color w:val="auto"/>
          <w:highlight w:val="none"/>
        </w:rPr>
      </w:pPr>
      <w:r>
        <w:rPr>
          <w:rFonts w:hint="eastAsia" w:cs="宋体"/>
          <w:color w:val="auto"/>
          <w:highlight w:val="none"/>
        </w:rPr>
        <w:t>附表四：临时用地表</w:t>
      </w:r>
    </w:p>
    <w:tbl>
      <w:tblPr>
        <w:tblStyle w:val="43"/>
        <w:tblW w:w="9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136"/>
      </w:tblGrid>
      <w:tr w14:paraId="2F283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noWrap w:val="0"/>
            <w:vAlign w:val="center"/>
          </w:tcPr>
          <w:p w14:paraId="53838947">
            <w:pPr>
              <w:jc w:val="center"/>
              <w:rPr>
                <w:color w:val="auto"/>
                <w:highlight w:val="none"/>
              </w:rPr>
            </w:pPr>
            <w:r>
              <w:rPr>
                <w:rFonts w:hint="eastAsia" w:cs="宋体"/>
                <w:color w:val="auto"/>
                <w:highlight w:val="none"/>
              </w:rPr>
              <w:t>用途</w:t>
            </w:r>
          </w:p>
        </w:tc>
        <w:tc>
          <w:tcPr>
            <w:tcW w:w="2357" w:type="dxa"/>
            <w:noWrap w:val="0"/>
            <w:vAlign w:val="center"/>
          </w:tcPr>
          <w:p w14:paraId="48169D42">
            <w:pPr>
              <w:jc w:val="center"/>
              <w:rPr>
                <w:color w:val="auto"/>
                <w:highlight w:val="none"/>
              </w:rPr>
            </w:pPr>
            <w:r>
              <w:rPr>
                <w:rFonts w:hint="eastAsia" w:cs="宋体"/>
                <w:color w:val="auto"/>
                <w:highlight w:val="none"/>
              </w:rPr>
              <w:t>面积（平方米）</w:t>
            </w:r>
          </w:p>
        </w:tc>
        <w:tc>
          <w:tcPr>
            <w:tcW w:w="2356" w:type="dxa"/>
            <w:noWrap w:val="0"/>
            <w:vAlign w:val="center"/>
          </w:tcPr>
          <w:p w14:paraId="2E42DA17">
            <w:pPr>
              <w:jc w:val="center"/>
              <w:rPr>
                <w:color w:val="auto"/>
                <w:highlight w:val="none"/>
              </w:rPr>
            </w:pPr>
            <w:r>
              <w:rPr>
                <w:rFonts w:hint="eastAsia" w:cs="宋体"/>
                <w:color w:val="auto"/>
                <w:highlight w:val="none"/>
              </w:rPr>
              <w:t>位置</w:t>
            </w:r>
          </w:p>
        </w:tc>
        <w:tc>
          <w:tcPr>
            <w:tcW w:w="2136" w:type="dxa"/>
            <w:noWrap w:val="0"/>
            <w:vAlign w:val="center"/>
          </w:tcPr>
          <w:p w14:paraId="5EFD9DCE">
            <w:pPr>
              <w:jc w:val="center"/>
              <w:rPr>
                <w:color w:val="auto"/>
                <w:highlight w:val="none"/>
              </w:rPr>
            </w:pPr>
            <w:r>
              <w:rPr>
                <w:rFonts w:hint="eastAsia" w:cs="宋体"/>
                <w:color w:val="auto"/>
                <w:highlight w:val="none"/>
              </w:rPr>
              <w:t>需用时间</w:t>
            </w:r>
          </w:p>
        </w:tc>
      </w:tr>
      <w:tr w14:paraId="0B0BF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noWrap w:val="0"/>
            <w:vAlign w:val="top"/>
          </w:tcPr>
          <w:p w14:paraId="78419F7C">
            <w:pPr>
              <w:rPr>
                <w:color w:val="auto"/>
                <w:highlight w:val="none"/>
              </w:rPr>
            </w:pPr>
          </w:p>
        </w:tc>
        <w:tc>
          <w:tcPr>
            <w:tcW w:w="2357" w:type="dxa"/>
            <w:noWrap w:val="0"/>
            <w:vAlign w:val="top"/>
          </w:tcPr>
          <w:p w14:paraId="63097051">
            <w:pPr>
              <w:rPr>
                <w:color w:val="auto"/>
                <w:highlight w:val="none"/>
              </w:rPr>
            </w:pPr>
          </w:p>
        </w:tc>
        <w:tc>
          <w:tcPr>
            <w:tcW w:w="2356" w:type="dxa"/>
            <w:noWrap w:val="0"/>
            <w:vAlign w:val="top"/>
          </w:tcPr>
          <w:p w14:paraId="6D13D53C">
            <w:pPr>
              <w:rPr>
                <w:color w:val="auto"/>
                <w:highlight w:val="none"/>
              </w:rPr>
            </w:pPr>
          </w:p>
        </w:tc>
        <w:tc>
          <w:tcPr>
            <w:tcW w:w="2136" w:type="dxa"/>
            <w:noWrap w:val="0"/>
            <w:vAlign w:val="top"/>
          </w:tcPr>
          <w:p w14:paraId="428A90FB">
            <w:pPr>
              <w:rPr>
                <w:color w:val="auto"/>
                <w:highlight w:val="none"/>
              </w:rPr>
            </w:pPr>
          </w:p>
        </w:tc>
      </w:tr>
      <w:tr w14:paraId="192EE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noWrap w:val="0"/>
            <w:vAlign w:val="top"/>
          </w:tcPr>
          <w:p w14:paraId="23629E6C">
            <w:pPr>
              <w:rPr>
                <w:color w:val="auto"/>
                <w:highlight w:val="none"/>
              </w:rPr>
            </w:pPr>
          </w:p>
        </w:tc>
        <w:tc>
          <w:tcPr>
            <w:tcW w:w="2357" w:type="dxa"/>
            <w:noWrap w:val="0"/>
            <w:vAlign w:val="top"/>
          </w:tcPr>
          <w:p w14:paraId="263F906A">
            <w:pPr>
              <w:rPr>
                <w:color w:val="auto"/>
                <w:highlight w:val="none"/>
              </w:rPr>
            </w:pPr>
          </w:p>
        </w:tc>
        <w:tc>
          <w:tcPr>
            <w:tcW w:w="2356" w:type="dxa"/>
            <w:noWrap w:val="0"/>
            <w:vAlign w:val="top"/>
          </w:tcPr>
          <w:p w14:paraId="6D15529E">
            <w:pPr>
              <w:rPr>
                <w:color w:val="auto"/>
                <w:highlight w:val="none"/>
              </w:rPr>
            </w:pPr>
          </w:p>
        </w:tc>
        <w:tc>
          <w:tcPr>
            <w:tcW w:w="2136" w:type="dxa"/>
            <w:noWrap w:val="0"/>
            <w:vAlign w:val="top"/>
          </w:tcPr>
          <w:p w14:paraId="666B6749">
            <w:pPr>
              <w:rPr>
                <w:color w:val="auto"/>
                <w:highlight w:val="none"/>
              </w:rPr>
            </w:pPr>
          </w:p>
        </w:tc>
      </w:tr>
      <w:tr w14:paraId="3A7B7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noWrap w:val="0"/>
            <w:vAlign w:val="top"/>
          </w:tcPr>
          <w:p w14:paraId="5886A41D">
            <w:pPr>
              <w:rPr>
                <w:color w:val="auto"/>
                <w:highlight w:val="none"/>
              </w:rPr>
            </w:pPr>
          </w:p>
        </w:tc>
        <w:tc>
          <w:tcPr>
            <w:tcW w:w="2357" w:type="dxa"/>
            <w:noWrap w:val="0"/>
            <w:vAlign w:val="top"/>
          </w:tcPr>
          <w:p w14:paraId="048C8A4B">
            <w:pPr>
              <w:rPr>
                <w:color w:val="auto"/>
                <w:highlight w:val="none"/>
              </w:rPr>
            </w:pPr>
          </w:p>
        </w:tc>
        <w:tc>
          <w:tcPr>
            <w:tcW w:w="2356" w:type="dxa"/>
            <w:noWrap w:val="0"/>
            <w:vAlign w:val="top"/>
          </w:tcPr>
          <w:p w14:paraId="66CB1858">
            <w:pPr>
              <w:rPr>
                <w:color w:val="auto"/>
                <w:highlight w:val="none"/>
              </w:rPr>
            </w:pPr>
          </w:p>
        </w:tc>
        <w:tc>
          <w:tcPr>
            <w:tcW w:w="2136" w:type="dxa"/>
            <w:noWrap w:val="0"/>
            <w:vAlign w:val="top"/>
          </w:tcPr>
          <w:p w14:paraId="025CE9F6">
            <w:pPr>
              <w:rPr>
                <w:color w:val="auto"/>
                <w:highlight w:val="none"/>
              </w:rPr>
            </w:pPr>
          </w:p>
        </w:tc>
      </w:tr>
      <w:tr w14:paraId="5F720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noWrap w:val="0"/>
            <w:vAlign w:val="top"/>
          </w:tcPr>
          <w:p w14:paraId="58CAD3F9">
            <w:pPr>
              <w:rPr>
                <w:color w:val="auto"/>
                <w:highlight w:val="none"/>
              </w:rPr>
            </w:pPr>
          </w:p>
        </w:tc>
        <w:tc>
          <w:tcPr>
            <w:tcW w:w="2357" w:type="dxa"/>
            <w:noWrap w:val="0"/>
            <w:vAlign w:val="top"/>
          </w:tcPr>
          <w:p w14:paraId="3D8E724F">
            <w:pPr>
              <w:rPr>
                <w:color w:val="auto"/>
                <w:highlight w:val="none"/>
              </w:rPr>
            </w:pPr>
          </w:p>
        </w:tc>
        <w:tc>
          <w:tcPr>
            <w:tcW w:w="2356" w:type="dxa"/>
            <w:noWrap w:val="0"/>
            <w:vAlign w:val="top"/>
          </w:tcPr>
          <w:p w14:paraId="2572052E">
            <w:pPr>
              <w:rPr>
                <w:color w:val="auto"/>
                <w:highlight w:val="none"/>
              </w:rPr>
            </w:pPr>
          </w:p>
        </w:tc>
        <w:tc>
          <w:tcPr>
            <w:tcW w:w="2136" w:type="dxa"/>
            <w:noWrap w:val="0"/>
            <w:vAlign w:val="top"/>
          </w:tcPr>
          <w:p w14:paraId="15C0481A">
            <w:pPr>
              <w:rPr>
                <w:color w:val="auto"/>
                <w:highlight w:val="none"/>
              </w:rPr>
            </w:pPr>
          </w:p>
        </w:tc>
      </w:tr>
    </w:tbl>
    <w:p w14:paraId="3480B1B6">
      <w:pPr>
        <w:spacing w:line="360" w:lineRule="auto"/>
        <w:ind w:firstLine="880" w:firstLineChars="200"/>
        <w:rPr>
          <w:rFonts w:ascii="方正小标宋简体" w:hAnsi="方正小标宋简体" w:eastAsia="方正小标宋简体" w:cs="方正小标宋简体"/>
          <w:bCs/>
          <w:color w:val="auto"/>
          <w:sz w:val="44"/>
          <w:szCs w:val="44"/>
          <w:highlight w:val="none"/>
        </w:rPr>
      </w:pPr>
    </w:p>
    <w:p w14:paraId="1D515E35">
      <w:pPr>
        <w:pStyle w:val="10"/>
        <w:rPr>
          <w:rFonts w:hint="eastAsia" w:ascii="宋体" w:hAnsi="宋体" w:cs="宋体"/>
          <w:b w:val="0"/>
          <w:color w:val="auto"/>
          <w:sz w:val="28"/>
          <w:szCs w:val="28"/>
          <w:highlight w:val="none"/>
        </w:rPr>
      </w:pPr>
      <w:r>
        <w:rPr>
          <w:rFonts w:ascii="方正小标宋简体" w:hAnsi="方正小标宋简体" w:eastAsia="方正小标宋简体" w:cs="方正小标宋简体"/>
          <w:bCs w:val="0"/>
          <w:color w:val="auto"/>
          <w:sz w:val="44"/>
          <w:szCs w:val="44"/>
          <w:highlight w:val="none"/>
        </w:rPr>
        <w:br w:type="page"/>
      </w:r>
      <w:bookmarkStart w:id="110" w:name="bookmark2230"/>
      <w:bookmarkStart w:id="111" w:name="bookmark2229"/>
      <w:bookmarkStart w:id="112" w:name="bookmark2228"/>
      <w:r>
        <w:rPr>
          <w:rFonts w:hint="eastAsia" w:ascii="宋体" w:hAnsi="宋体" w:cs="宋体"/>
          <w:b w:val="0"/>
          <w:color w:val="auto"/>
          <w:sz w:val="28"/>
          <w:szCs w:val="28"/>
          <w:highlight w:val="none"/>
        </w:rPr>
        <w:t>附件一：拟投入本合同的主要施工设备表</w:t>
      </w:r>
      <w:bookmarkEnd w:id="110"/>
      <w:bookmarkEnd w:id="111"/>
      <w:bookmarkEnd w:id="112"/>
    </w:p>
    <w:p w14:paraId="582D524C">
      <w:pPr>
        <w:rPr>
          <w:rFonts w:hint="eastAsia"/>
          <w:color w:val="auto"/>
          <w:highlight w:val="none"/>
        </w:rPr>
      </w:pPr>
    </w:p>
    <w:p w14:paraId="6DD221E9">
      <w:pPr>
        <w:jc w:val="center"/>
        <w:rPr>
          <w:rFonts w:hint="eastAsia" w:ascii="宋体" w:hAnsi="宋体" w:cs="宋体"/>
          <w:b/>
          <w:bCs/>
          <w:color w:val="auto"/>
          <w:sz w:val="28"/>
          <w:szCs w:val="28"/>
          <w:highlight w:val="none"/>
        </w:rPr>
      </w:pPr>
      <w:bookmarkStart w:id="113" w:name="_Toc13379"/>
      <w:bookmarkStart w:id="114" w:name="bookmark2233"/>
      <w:bookmarkStart w:id="115" w:name="bookmark2231"/>
      <w:bookmarkStart w:id="116" w:name="_Toc19570"/>
      <w:bookmarkStart w:id="117" w:name="bookmark2232"/>
      <w:r>
        <w:rPr>
          <w:rFonts w:hint="eastAsia" w:ascii="宋体" w:hAnsi="宋体" w:cs="宋体"/>
          <w:b/>
          <w:bCs/>
          <w:color w:val="auto"/>
          <w:sz w:val="28"/>
          <w:szCs w:val="28"/>
          <w:highlight w:val="none"/>
        </w:rPr>
        <w:t>拟投入本合同的主要施工设备表</w:t>
      </w:r>
      <w:bookmarkEnd w:id="113"/>
      <w:bookmarkEnd w:id="114"/>
      <w:bookmarkEnd w:id="115"/>
      <w:bookmarkEnd w:id="116"/>
      <w:bookmarkEnd w:id="117"/>
    </w:p>
    <w:p w14:paraId="7B7BFA95">
      <w:pPr>
        <w:jc w:val="center"/>
        <w:rPr>
          <w:color w:val="auto"/>
          <w:highlight w:val="none"/>
        </w:rPr>
      </w:pPr>
    </w:p>
    <w:tbl>
      <w:tblPr>
        <w:tblStyle w:val="43"/>
        <w:tblW w:w="0" w:type="auto"/>
        <w:jc w:val="center"/>
        <w:tblLayout w:type="fixed"/>
        <w:tblCellMar>
          <w:top w:w="0" w:type="dxa"/>
          <w:left w:w="10" w:type="dxa"/>
          <w:bottom w:w="0" w:type="dxa"/>
          <w:right w:w="10" w:type="dxa"/>
        </w:tblCellMar>
      </w:tblPr>
      <w:tblGrid>
        <w:gridCol w:w="293"/>
        <w:gridCol w:w="1133"/>
        <w:gridCol w:w="864"/>
        <w:gridCol w:w="869"/>
        <w:gridCol w:w="864"/>
        <w:gridCol w:w="864"/>
        <w:gridCol w:w="864"/>
        <w:gridCol w:w="864"/>
        <w:gridCol w:w="864"/>
        <w:gridCol w:w="874"/>
      </w:tblGrid>
      <w:tr w14:paraId="29DE48FC">
        <w:tblPrEx>
          <w:tblCellMar>
            <w:top w:w="0" w:type="dxa"/>
            <w:left w:w="10" w:type="dxa"/>
            <w:bottom w:w="0" w:type="dxa"/>
            <w:right w:w="10" w:type="dxa"/>
          </w:tblCellMar>
        </w:tblPrEx>
        <w:trPr>
          <w:trHeight w:val="1142" w:hRule="exact"/>
          <w:jc w:val="center"/>
        </w:trPr>
        <w:tc>
          <w:tcPr>
            <w:tcW w:w="293" w:type="dxa"/>
            <w:tcBorders>
              <w:top w:val="single" w:color="auto" w:sz="4" w:space="0"/>
              <w:left w:val="single" w:color="auto" w:sz="4" w:space="0"/>
            </w:tcBorders>
            <w:noWrap w:val="0"/>
            <w:vAlign w:val="center"/>
          </w:tcPr>
          <w:p w14:paraId="166E479D">
            <w:pPr>
              <w:pStyle w:val="168"/>
              <w:spacing w:line="264" w:lineRule="exact"/>
              <w:ind w:firstLine="0"/>
              <w:jc w:val="center"/>
              <w:rPr>
                <w:color w:val="auto"/>
                <w:sz w:val="21"/>
                <w:szCs w:val="21"/>
                <w:highlight w:val="none"/>
              </w:rPr>
            </w:pPr>
            <w:r>
              <w:rPr>
                <w:color w:val="auto"/>
                <w:sz w:val="21"/>
                <w:szCs w:val="21"/>
                <w:highlight w:val="none"/>
              </w:rPr>
              <w:t>序 号</w:t>
            </w:r>
          </w:p>
        </w:tc>
        <w:tc>
          <w:tcPr>
            <w:tcW w:w="1133" w:type="dxa"/>
            <w:tcBorders>
              <w:top w:val="single" w:color="auto" w:sz="4" w:space="0"/>
              <w:left w:val="single" w:color="auto" w:sz="4" w:space="0"/>
            </w:tcBorders>
            <w:noWrap w:val="0"/>
            <w:vAlign w:val="center"/>
          </w:tcPr>
          <w:p w14:paraId="56FBDD4C">
            <w:pPr>
              <w:pStyle w:val="168"/>
              <w:spacing w:line="269" w:lineRule="exact"/>
              <w:ind w:left="180" w:firstLine="0"/>
              <w:jc w:val="center"/>
              <w:rPr>
                <w:color w:val="auto"/>
                <w:sz w:val="21"/>
                <w:szCs w:val="21"/>
                <w:highlight w:val="none"/>
              </w:rPr>
            </w:pPr>
            <w:r>
              <w:rPr>
                <w:color w:val="auto"/>
                <w:sz w:val="21"/>
                <w:szCs w:val="21"/>
                <w:highlight w:val="none"/>
              </w:rPr>
              <w:t>施工机械</w:t>
            </w:r>
          </w:p>
          <w:p w14:paraId="4AB5A946">
            <w:pPr>
              <w:pStyle w:val="168"/>
              <w:spacing w:line="269" w:lineRule="exact"/>
              <w:ind w:left="180" w:firstLine="0"/>
              <w:jc w:val="center"/>
              <w:rPr>
                <w:color w:val="auto"/>
                <w:sz w:val="21"/>
                <w:szCs w:val="21"/>
                <w:highlight w:val="none"/>
              </w:rPr>
            </w:pPr>
            <w:r>
              <w:rPr>
                <w:color w:val="auto"/>
                <w:sz w:val="21"/>
                <w:szCs w:val="21"/>
                <w:highlight w:val="none"/>
              </w:rPr>
              <w:t>名 称</w:t>
            </w:r>
          </w:p>
        </w:tc>
        <w:tc>
          <w:tcPr>
            <w:tcW w:w="864" w:type="dxa"/>
            <w:tcBorders>
              <w:top w:val="single" w:color="auto" w:sz="4" w:space="0"/>
              <w:left w:val="single" w:color="auto" w:sz="4" w:space="0"/>
            </w:tcBorders>
            <w:noWrap w:val="0"/>
            <w:vAlign w:val="center"/>
          </w:tcPr>
          <w:p w14:paraId="640C947A">
            <w:pPr>
              <w:pStyle w:val="168"/>
              <w:spacing w:after="60" w:line="240" w:lineRule="auto"/>
              <w:ind w:firstLine="0"/>
              <w:jc w:val="center"/>
              <w:rPr>
                <w:color w:val="auto"/>
                <w:sz w:val="21"/>
                <w:szCs w:val="21"/>
                <w:highlight w:val="none"/>
              </w:rPr>
            </w:pPr>
            <w:r>
              <w:rPr>
                <w:color w:val="auto"/>
                <w:sz w:val="21"/>
                <w:szCs w:val="21"/>
                <w:highlight w:val="none"/>
              </w:rPr>
              <w:t>型号</w:t>
            </w:r>
          </w:p>
          <w:p w14:paraId="0E54D7E4">
            <w:pPr>
              <w:pStyle w:val="168"/>
              <w:spacing w:line="240" w:lineRule="auto"/>
              <w:ind w:firstLine="0"/>
              <w:jc w:val="center"/>
              <w:rPr>
                <w:color w:val="auto"/>
                <w:sz w:val="21"/>
                <w:szCs w:val="21"/>
                <w:highlight w:val="none"/>
              </w:rPr>
            </w:pPr>
            <w:r>
              <w:rPr>
                <w:color w:val="auto"/>
                <w:sz w:val="21"/>
                <w:szCs w:val="21"/>
                <w:highlight w:val="none"/>
              </w:rPr>
              <w:t>规格</w:t>
            </w:r>
          </w:p>
        </w:tc>
        <w:tc>
          <w:tcPr>
            <w:tcW w:w="869" w:type="dxa"/>
            <w:tcBorders>
              <w:top w:val="single" w:color="auto" w:sz="4" w:space="0"/>
              <w:left w:val="single" w:color="auto" w:sz="4" w:space="0"/>
            </w:tcBorders>
            <w:noWrap w:val="0"/>
            <w:vAlign w:val="center"/>
          </w:tcPr>
          <w:p w14:paraId="7F7A7FEC">
            <w:pPr>
              <w:pStyle w:val="168"/>
              <w:spacing w:line="240" w:lineRule="auto"/>
              <w:ind w:firstLine="0"/>
              <w:jc w:val="center"/>
              <w:rPr>
                <w:color w:val="auto"/>
                <w:sz w:val="21"/>
                <w:szCs w:val="21"/>
                <w:highlight w:val="none"/>
              </w:rPr>
            </w:pPr>
            <w:r>
              <w:rPr>
                <w:color w:val="auto"/>
                <w:sz w:val="21"/>
                <w:szCs w:val="21"/>
                <w:highlight w:val="none"/>
              </w:rPr>
              <w:t>数量</w:t>
            </w:r>
          </w:p>
        </w:tc>
        <w:tc>
          <w:tcPr>
            <w:tcW w:w="864" w:type="dxa"/>
            <w:tcBorders>
              <w:top w:val="single" w:color="auto" w:sz="4" w:space="0"/>
              <w:left w:val="single" w:color="auto" w:sz="4" w:space="0"/>
            </w:tcBorders>
            <w:noWrap w:val="0"/>
            <w:vAlign w:val="center"/>
          </w:tcPr>
          <w:p w14:paraId="166735D8">
            <w:pPr>
              <w:pStyle w:val="168"/>
              <w:spacing w:line="266" w:lineRule="exact"/>
              <w:ind w:firstLine="0"/>
              <w:jc w:val="center"/>
              <w:rPr>
                <w:color w:val="auto"/>
                <w:sz w:val="21"/>
                <w:szCs w:val="21"/>
                <w:highlight w:val="none"/>
              </w:rPr>
            </w:pPr>
            <w:r>
              <w:rPr>
                <w:color w:val="auto"/>
                <w:sz w:val="21"/>
                <w:szCs w:val="21"/>
                <w:highlight w:val="none"/>
              </w:rPr>
              <w:t>制造 年份</w:t>
            </w:r>
          </w:p>
        </w:tc>
        <w:tc>
          <w:tcPr>
            <w:tcW w:w="864" w:type="dxa"/>
            <w:tcBorders>
              <w:top w:val="single" w:color="auto" w:sz="4" w:space="0"/>
              <w:left w:val="single" w:color="auto" w:sz="4" w:space="0"/>
            </w:tcBorders>
            <w:noWrap w:val="0"/>
            <w:vAlign w:val="center"/>
          </w:tcPr>
          <w:p w14:paraId="52DC1DAE">
            <w:pPr>
              <w:pStyle w:val="168"/>
              <w:spacing w:line="265" w:lineRule="exact"/>
              <w:ind w:firstLine="0"/>
              <w:jc w:val="center"/>
              <w:rPr>
                <w:color w:val="auto"/>
                <w:sz w:val="21"/>
                <w:szCs w:val="21"/>
                <w:highlight w:val="none"/>
              </w:rPr>
            </w:pPr>
            <w:r>
              <w:rPr>
                <w:color w:val="auto"/>
                <w:sz w:val="21"/>
                <w:szCs w:val="21"/>
                <w:highlight w:val="none"/>
              </w:rPr>
              <w:t xml:space="preserve">额定功率 </w:t>
            </w:r>
            <w:r>
              <w:rPr>
                <w:rFonts w:ascii="Times New Roman" w:hAnsi="Times New Roman" w:eastAsia="Times New Roman" w:cs="Times New Roman"/>
                <w:color w:val="auto"/>
                <w:sz w:val="21"/>
                <w:szCs w:val="21"/>
                <w:highlight w:val="none"/>
                <w:lang w:val="en-US" w:bidi="en-US"/>
              </w:rPr>
              <w:t>（KW）</w:t>
            </w:r>
            <w:r>
              <w:rPr>
                <w:color w:val="auto"/>
                <w:sz w:val="21"/>
                <w:szCs w:val="21"/>
                <w:highlight w:val="none"/>
              </w:rPr>
              <w:t>或 生产能力</w:t>
            </w:r>
          </w:p>
        </w:tc>
        <w:tc>
          <w:tcPr>
            <w:tcW w:w="864" w:type="dxa"/>
            <w:tcBorders>
              <w:top w:val="single" w:color="auto" w:sz="4" w:space="0"/>
              <w:left w:val="single" w:color="auto" w:sz="4" w:space="0"/>
            </w:tcBorders>
            <w:noWrap w:val="0"/>
            <w:vAlign w:val="center"/>
          </w:tcPr>
          <w:p w14:paraId="554E14E8">
            <w:pPr>
              <w:pStyle w:val="168"/>
              <w:spacing w:line="240" w:lineRule="auto"/>
              <w:ind w:firstLine="0"/>
              <w:jc w:val="center"/>
              <w:rPr>
                <w:color w:val="auto"/>
                <w:sz w:val="21"/>
                <w:szCs w:val="21"/>
                <w:highlight w:val="none"/>
              </w:rPr>
            </w:pPr>
            <w:r>
              <w:rPr>
                <w:color w:val="auto"/>
                <w:sz w:val="21"/>
                <w:szCs w:val="21"/>
                <w:highlight w:val="none"/>
              </w:rPr>
              <w:t>现在何处</w:t>
            </w:r>
          </w:p>
        </w:tc>
        <w:tc>
          <w:tcPr>
            <w:tcW w:w="864" w:type="dxa"/>
            <w:tcBorders>
              <w:top w:val="single" w:color="auto" w:sz="4" w:space="0"/>
              <w:left w:val="single" w:color="auto" w:sz="4" w:space="0"/>
            </w:tcBorders>
            <w:noWrap w:val="0"/>
            <w:vAlign w:val="center"/>
          </w:tcPr>
          <w:p w14:paraId="47EDE5C8">
            <w:pPr>
              <w:pStyle w:val="168"/>
              <w:spacing w:line="240" w:lineRule="auto"/>
              <w:ind w:firstLine="0"/>
              <w:jc w:val="center"/>
              <w:rPr>
                <w:color w:val="auto"/>
                <w:sz w:val="21"/>
                <w:szCs w:val="21"/>
                <w:highlight w:val="none"/>
              </w:rPr>
            </w:pPr>
            <w:r>
              <w:rPr>
                <w:color w:val="auto"/>
                <w:sz w:val="21"/>
                <w:szCs w:val="21"/>
                <w:highlight w:val="none"/>
              </w:rPr>
              <w:t>进场时间</w:t>
            </w:r>
          </w:p>
        </w:tc>
        <w:tc>
          <w:tcPr>
            <w:tcW w:w="864" w:type="dxa"/>
            <w:tcBorders>
              <w:top w:val="single" w:color="auto" w:sz="4" w:space="0"/>
              <w:left w:val="single" w:color="auto" w:sz="4" w:space="0"/>
            </w:tcBorders>
            <w:noWrap w:val="0"/>
            <w:vAlign w:val="center"/>
          </w:tcPr>
          <w:p w14:paraId="5D3DF22D">
            <w:pPr>
              <w:pStyle w:val="168"/>
              <w:spacing w:line="240" w:lineRule="auto"/>
              <w:ind w:firstLine="0"/>
              <w:jc w:val="center"/>
              <w:rPr>
                <w:color w:val="auto"/>
                <w:sz w:val="21"/>
                <w:szCs w:val="21"/>
                <w:highlight w:val="none"/>
              </w:rPr>
            </w:pPr>
            <w:r>
              <w:rPr>
                <w:color w:val="auto"/>
                <w:sz w:val="21"/>
                <w:szCs w:val="21"/>
                <w:highlight w:val="none"/>
              </w:rPr>
              <w:t>退场时间</w:t>
            </w:r>
          </w:p>
        </w:tc>
        <w:tc>
          <w:tcPr>
            <w:tcW w:w="874" w:type="dxa"/>
            <w:tcBorders>
              <w:top w:val="single" w:color="auto" w:sz="4" w:space="0"/>
              <w:left w:val="single" w:color="auto" w:sz="4" w:space="0"/>
              <w:right w:val="single" w:color="auto" w:sz="4" w:space="0"/>
            </w:tcBorders>
            <w:noWrap w:val="0"/>
            <w:vAlign w:val="center"/>
          </w:tcPr>
          <w:p w14:paraId="1E4EAB34">
            <w:pPr>
              <w:pStyle w:val="168"/>
              <w:spacing w:line="257" w:lineRule="exact"/>
              <w:ind w:firstLine="0"/>
              <w:jc w:val="center"/>
              <w:rPr>
                <w:color w:val="auto"/>
                <w:sz w:val="21"/>
                <w:szCs w:val="21"/>
                <w:highlight w:val="none"/>
              </w:rPr>
            </w:pPr>
            <w:r>
              <w:rPr>
                <w:color w:val="auto"/>
                <w:sz w:val="21"/>
                <w:szCs w:val="21"/>
                <w:highlight w:val="none"/>
              </w:rPr>
              <w:t>用于施工 部位</w:t>
            </w:r>
          </w:p>
        </w:tc>
      </w:tr>
      <w:tr w14:paraId="4779D3AF">
        <w:tblPrEx>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tcBorders>
            <w:noWrap w:val="0"/>
            <w:vAlign w:val="top"/>
          </w:tcPr>
          <w:p w14:paraId="4F38F66C">
            <w:pPr>
              <w:rPr>
                <w:color w:val="auto"/>
                <w:szCs w:val="21"/>
                <w:highlight w:val="none"/>
              </w:rPr>
            </w:pPr>
          </w:p>
        </w:tc>
        <w:tc>
          <w:tcPr>
            <w:tcW w:w="1133" w:type="dxa"/>
            <w:tcBorders>
              <w:top w:val="single" w:color="auto" w:sz="4" w:space="0"/>
              <w:left w:val="single" w:color="auto" w:sz="4" w:space="0"/>
            </w:tcBorders>
            <w:noWrap w:val="0"/>
            <w:vAlign w:val="top"/>
          </w:tcPr>
          <w:p w14:paraId="589C014B">
            <w:pPr>
              <w:rPr>
                <w:color w:val="auto"/>
                <w:szCs w:val="21"/>
                <w:highlight w:val="none"/>
              </w:rPr>
            </w:pPr>
          </w:p>
        </w:tc>
        <w:tc>
          <w:tcPr>
            <w:tcW w:w="864" w:type="dxa"/>
            <w:tcBorders>
              <w:top w:val="single" w:color="auto" w:sz="4" w:space="0"/>
              <w:left w:val="single" w:color="auto" w:sz="4" w:space="0"/>
            </w:tcBorders>
            <w:noWrap w:val="0"/>
            <w:vAlign w:val="top"/>
          </w:tcPr>
          <w:p w14:paraId="43E7472B">
            <w:pPr>
              <w:rPr>
                <w:color w:val="auto"/>
                <w:szCs w:val="21"/>
                <w:highlight w:val="none"/>
              </w:rPr>
            </w:pPr>
          </w:p>
        </w:tc>
        <w:tc>
          <w:tcPr>
            <w:tcW w:w="869" w:type="dxa"/>
            <w:tcBorders>
              <w:top w:val="single" w:color="auto" w:sz="4" w:space="0"/>
              <w:left w:val="single" w:color="auto" w:sz="4" w:space="0"/>
            </w:tcBorders>
            <w:noWrap w:val="0"/>
            <w:vAlign w:val="top"/>
          </w:tcPr>
          <w:p w14:paraId="644D52B0">
            <w:pPr>
              <w:rPr>
                <w:color w:val="auto"/>
                <w:szCs w:val="21"/>
                <w:highlight w:val="none"/>
              </w:rPr>
            </w:pPr>
          </w:p>
        </w:tc>
        <w:tc>
          <w:tcPr>
            <w:tcW w:w="864" w:type="dxa"/>
            <w:tcBorders>
              <w:top w:val="single" w:color="auto" w:sz="4" w:space="0"/>
              <w:left w:val="single" w:color="auto" w:sz="4" w:space="0"/>
            </w:tcBorders>
            <w:noWrap w:val="0"/>
            <w:vAlign w:val="top"/>
          </w:tcPr>
          <w:p w14:paraId="5F541619">
            <w:pPr>
              <w:rPr>
                <w:color w:val="auto"/>
                <w:szCs w:val="21"/>
                <w:highlight w:val="none"/>
              </w:rPr>
            </w:pPr>
          </w:p>
        </w:tc>
        <w:tc>
          <w:tcPr>
            <w:tcW w:w="864" w:type="dxa"/>
            <w:tcBorders>
              <w:top w:val="single" w:color="auto" w:sz="4" w:space="0"/>
              <w:left w:val="single" w:color="auto" w:sz="4" w:space="0"/>
            </w:tcBorders>
            <w:noWrap w:val="0"/>
            <w:vAlign w:val="top"/>
          </w:tcPr>
          <w:p w14:paraId="112FEE9F">
            <w:pPr>
              <w:rPr>
                <w:color w:val="auto"/>
                <w:szCs w:val="21"/>
                <w:highlight w:val="none"/>
              </w:rPr>
            </w:pPr>
          </w:p>
        </w:tc>
        <w:tc>
          <w:tcPr>
            <w:tcW w:w="864" w:type="dxa"/>
            <w:tcBorders>
              <w:top w:val="single" w:color="auto" w:sz="4" w:space="0"/>
              <w:left w:val="single" w:color="auto" w:sz="4" w:space="0"/>
            </w:tcBorders>
            <w:noWrap w:val="0"/>
            <w:vAlign w:val="top"/>
          </w:tcPr>
          <w:p w14:paraId="24BAB74A">
            <w:pPr>
              <w:rPr>
                <w:color w:val="auto"/>
                <w:szCs w:val="21"/>
                <w:highlight w:val="none"/>
              </w:rPr>
            </w:pPr>
          </w:p>
        </w:tc>
        <w:tc>
          <w:tcPr>
            <w:tcW w:w="864" w:type="dxa"/>
            <w:tcBorders>
              <w:top w:val="single" w:color="auto" w:sz="4" w:space="0"/>
              <w:left w:val="single" w:color="auto" w:sz="4" w:space="0"/>
            </w:tcBorders>
            <w:noWrap w:val="0"/>
            <w:vAlign w:val="top"/>
          </w:tcPr>
          <w:p w14:paraId="0F0928F3">
            <w:pPr>
              <w:rPr>
                <w:color w:val="auto"/>
                <w:szCs w:val="21"/>
                <w:highlight w:val="none"/>
              </w:rPr>
            </w:pPr>
          </w:p>
        </w:tc>
        <w:tc>
          <w:tcPr>
            <w:tcW w:w="864" w:type="dxa"/>
            <w:tcBorders>
              <w:top w:val="single" w:color="auto" w:sz="4" w:space="0"/>
              <w:left w:val="single" w:color="auto" w:sz="4" w:space="0"/>
            </w:tcBorders>
            <w:noWrap w:val="0"/>
            <w:vAlign w:val="top"/>
          </w:tcPr>
          <w:p w14:paraId="66601B9C">
            <w:pPr>
              <w:rPr>
                <w:color w:val="auto"/>
                <w:szCs w:val="21"/>
                <w:highlight w:val="none"/>
              </w:rPr>
            </w:pPr>
          </w:p>
        </w:tc>
        <w:tc>
          <w:tcPr>
            <w:tcW w:w="874" w:type="dxa"/>
            <w:tcBorders>
              <w:top w:val="single" w:color="auto" w:sz="4" w:space="0"/>
              <w:left w:val="single" w:color="auto" w:sz="4" w:space="0"/>
              <w:right w:val="single" w:color="auto" w:sz="4" w:space="0"/>
            </w:tcBorders>
            <w:noWrap w:val="0"/>
            <w:vAlign w:val="top"/>
          </w:tcPr>
          <w:p w14:paraId="62E8879E">
            <w:pPr>
              <w:rPr>
                <w:color w:val="auto"/>
                <w:szCs w:val="21"/>
                <w:highlight w:val="none"/>
              </w:rPr>
            </w:pPr>
          </w:p>
        </w:tc>
      </w:tr>
      <w:tr w14:paraId="4383027F">
        <w:tblPrEx>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tcBorders>
            <w:noWrap w:val="0"/>
            <w:vAlign w:val="top"/>
          </w:tcPr>
          <w:p w14:paraId="1D011F33">
            <w:pPr>
              <w:rPr>
                <w:color w:val="auto"/>
                <w:szCs w:val="21"/>
                <w:highlight w:val="none"/>
              </w:rPr>
            </w:pPr>
          </w:p>
        </w:tc>
        <w:tc>
          <w:tcPr>
            <w:tcW w:w="1133" w:type="dxa"/>
            <w:tcBorders>
              <w:top w:val="single" w:color="auto" w:sz="4" w:space="0"/>
              <w:left w:val="single" w:color="auto" w:sz="4" w:space="0"/>
            </w:tcBorders>
            <w:noWrap w:val="0"/>
            <w:vAlign w:val="top"/>
          </w:tcPr>
          <w:p w14:paraId="21C14357">
            <w:pPr>
              <w:rPr>
                <w:color w:val="auto"/>
                <w:szCs w:val="21"/>
                <w:highlight w:val="none"/>
              </w:rPr>
            </w:pPr>
          </w:p>
        </w:tc>
        <w:tc>
          <w:tcPr>
            <w:tcW w:w="864" w:type="dxa"/>
            <w:tcBorders>
              <w:top w:val="single" w:color="auto" w:sz="4" w:space="0"/>
              <w:left w:val="single" w:color="auto" w:sz="4" w:space="0"/>
            </w:tcBorders>
            <w:noWrap w:val="0"/>
            <w:vAlign w:val="top"/>
          </w:tcPr>
          <w:p w14:paraId="4D10D4DA">
            <w:pPr>
              <w:rPr>
                <w:color w:val="auto"/>
                <w:szCs w:val="21"/>
                <w:highlight w:val="none"/>
              </w:rPr>
            </w:pPr>
          </w:p>
        </w:tc>
        <w:tc>
          <w:tcPr>
            <w:tcW w:w="869" w:type="dxa"/>
            <w:tcBorders>
              <w:top w:val="single" w:color="auto" w:sz="4" w:space="0"/>
              <w:left w:val="single" w:color="auto" w:sz="4" w:space="0"/>
            </w:tcBorders>
            <w:noWrap w:val="0"/>
            <w:vAlign w:val="top"/>
          </w:tcPr>
          <w:p w14:paraId="4B0D8489">
            <w:pPr>
              <w:rPr>
                <w:color w:val="auto"/>
                <w:szCs w:val="21"/>
                <w:highlight w:val="none"/>
              </w:rPr>
            </w:pPr>
          </w:p>
        </w:tc>
        <w:tc>
          <w:tcPr>
            <w:tcW w:w="864" w:type="dxa"/>
            <w:tcBorders>
              <w:top w:val="single" w:color="auto" w:sz="4" w:space="0"/>
              <w:left w:val="single" w:color="auto" w:sz="4" w:space="0"/>
            </w:tcBorders>
            <w:noWrap w:val="0"/>
            <w:vAlign w:val="top"/>
          </w:tcPr>
          <w:p w14:paraId="36D04212">
            <w:pPr>
              <w:rPr>
                <w:color w:val="auto"/>
                <w:szCs w:val="21"/>
                <w:highlight w:val="none"/>
              </w:rPr>
            </w:pPr>
          </w:p>
        </w:tc>
        <w:tc>
          <w:tcPr>
            <w:tcW w:w="864" w:type="dxa"/>
            <w:tcBorders>
              <w:top w:val="single" w:color="auto" w:sz="4" w:space="0"/>
              <w:left w:val="single" w:color="auto" w:sz="4" w:space="0"/>
            </w:tcBorders>
            <w:noWrap w:val="0"/>
            <w:vAlign w:val="top"/>
          </w:tcPr>
          <w:p w14:paraId="2D96F51A">
            <w:pPr>
              <w:rPr>
                <w:color w:val="auto"/>
                <w:szCs w:val="21"/>
                <w:highlight w:val="none"/>
              </w:rPr>
            </w:pPr>
          </w:p>
        </w:tc>
        <w:tc>
          <w:tcPr>
            <w:tcW w:w="864" w:type="dxa"/>
            <w:tcBorders>
              <w:top w:val="single" w:color="auto" w:sz="4" w:space="0"/>
              <w:left w:val="single" w:color="auto" w:sz="4" w:space="0"/>
            </w:tcBorders>
            <w:noWrap w:val="0"/>
            <w:vAlign w:val="top"/>
          </w:tcPr>
          <w:p w14:paraId="39E1FDD0">
            <w:pPr>
              <w:rPr>
                <w:color w:val="auto"/>
                <w:szCs w:val="21"/>
                <w:highlight w:val="none"/>
              </w:rPr>
            </w:pPr>
          </w:p>
        </w:tc>
        <w:tc>
          <w:tcPr>
            <w:tcW w:w="864" w:type="dxa"/>
            <w:tcBorders>
              <w:top w:val="single" w:color="auto" w:sz="4" w:space="0"/>
              <w:left w:val="single" w:color="auto" w:sz="4" w:space="0"/>
            </w:tcBorders>
            <w:noWrap w:val="0"/>
            <w:vAlign w:val="top"/>
          </w:tcPr>
          <w:p w14:paraId="655DECA6">
            <w:pPr>
              <w:rPr>
                <w:color w:val="auto"/>
                <w:szCs w:val="21"/>
                <w:highlight w:val="none"/>
              </w:rPr>
            </w:pPr>
          </w:p>
        </w:tc>
        <w:tc>
          <w:tcPr>
            <w:tcW w:w="864" w:type="dxa"/>
            <w:tcBorders>
              <w:top w:val="single" w:color="auto" w:sz="4" w:space="0"/>
              <w:left w:val="single" w:color="auto" w:sz="4" w:space="0"/>
            </w:tcBorders>
            <w:noWrap w:val="0"/>
            <w:vAlign w:val="top"/>
          </w:tcPr>
          <w:p w14:paraId="04141A23">
            <w:pPr>
              <w:rPr>
                <w:color w:val="auto"/>
                <w:szCs w:val="21"/>
                <w:highlight w:val="none"/>
              </w:rPr>
            </w:pPr>
          </w:p>
        </w:tc>
        <w:tc>
          <w:tcPr>
            <w:tcW w:w="874" w:type="dxa"/>
            <w:tcBorders>
              <w:top w:val="single" w:color="auto" w:sz="4" w:space="0"/>
              <w:left w:val="single" w:color="auto" w:sz="4" w:space="0"/>
              <w:right w:val="single" w:color="auto" w:sz="4" w:space="0"/>
            </w:tcBorders>
            <w:noWrap w:val="0"/>
            <w:vAlign w:val="top"/>
          </w:tcPr>
          <w:p w14:paraId="66A742DB">
            <w:pPr>
              <w:rPr>
                <w:color w:val="auto"/>
                <w:szCs w:val="21"/>
                <w:highlight w:val="none"/>
              </w:rPr>
            </w:pPr>
          </w:p>
        </w:tc>
      </w:tr>
      <w:tr w14:paraId="57A4960C">
        <w:tblPrEx>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tcBorders>
            <w:noWrap w:val="0"/>
            <w:vAlign w:val="top"/>
          </w:tcPr>
          <w:p w14:paraId="0BF83FCB">
            <w:pPr>
              <w:rPr>
                <w:color w:val="auto"/>
                <w:szCs w:val="21"/>
                <w:highlight w:val="none"/>
              </w:rPr>
            </w:pPr>
          </w:p>
        </w:tc>
        <w:tc>
          <w:tcPr>
            <w:tcW w:w="1133" w:type="dxa"/>
            <w:tcBorders>
              <w:top w:val="single" w:color="auto" w:sz="4" w:space="0"/>
              <w:left w:val="single" w:color="auto" w:sz="4" w:space="0"/>
            </w:tcBorders>
            <w:noWrap w:val="0"/>
            <w:vAlign w:val="top"/>
          </w:tcPr>
          <w:p w14:paraId="022051BD">
            <w:pPr>
              <w:rPr>
                <w:color w:val="auto"/>
                <w:szCs w:val="21"/>
                <w:highlight w:val="none"/>
              </w:rPr>
            </w:pPr>
          </w:p>
        </w:tc>
        <w:tc>
          <w:tcPr>
            <w:tcW w:w="864" w:type="dxa"/>
            <w:tcBorders>
              <w:top w:val="single" w:color="auto" w:sz="4" w:space="0"/>
              <w:left w:val="single" w:color="auto" w:sz="4" w:space="0"/>
            </w:tcBorders>
            <w:noWrap w:val="0"/>
            <w:vAlign w:val="top"/>
          </w:tcPr>
          <w:p w14:paraId="2527BD0E">
            <w:pPr>
              <w:rPr>
                <w:color w:val="auto"/>
                <w:szCs w:val="21"/>
                <w:highlight w:val="none"/>
              </w:rPr>
            </w:pPr>
          </w:p>
        </w:tc>
        <w:tc>
          <w:tcPr>
            <w:tcW w:w="869" w:type="dxa"/>
            <w:tcBorders>
              <w:top w:val="single" w:color="auto" w:sz="4" w:space="0"/>
              <w:left w:val="single" w:color="auto" w:sz="4" w:space="0"/>
            </w:tcBorders>
            <w:noWrap w:val="0"/>
            <w:vAlign w:val="top"/>
          </w:tcPr>
          <w:p w14:paraId="7F726381">
            <w:pPr>
              <w:rPr>
                <w:color w:val="auto"/>
                <w:szCs w:val="21"/>
                <w:highlight w:val="none"/>
              </w:rPr>
            </w:pPr>
          </w:p>
        </w:tc>
        <w:tc>
          <w:tcPr>
            <w:tcW w:w="864" w:type="dxa"/>
            <w:tcBorders>
              <w:top w:val="single" w:color="auto" w:sz="4" w:space="0"/>
              <w:left w:val="single" w:color="auto" w:sz="4" w:space="0"/>
            </w:tcBorders>
            <w:noWrap w:val="0"/>
            <w:vAlign w:val="top"/>
          </w:tcPr>
          <w:p w14:paraId="1BCA3211">
            <w:pPr>
              <w:rPr>
                <w:color w:val="auto"/>
                <w:szCs w:val="21"/>
                <w:highlight w:val="none"/>
              </w:rPr>
            </w:pPr>
          </w:p>
        </w:tc>
        <w:tc>
          <w:tcPr>
            <w:tcW w:w="864" w:type="dxa"/>
            <w:tcBorders>
              <w:top w:val="single" w:color="auto" w:sz="4" w:space="0"/>
              <w:left w:val="single" w:color="auto" w:sz="4" w:space="0"/>
            </w:tcBorders>
            <w:noWrap w:val="0"/>
            <w:vAlign w:val="top"/>
          </w:tcPr>
          <w:p w14:paraId="06589AA4">
            <w:pPr>
              <w:rPr>
                <w:color w:val="auto"/>
                <w:szCs w:val="21"/>
                <w:highlight w:val="none"/>
              </w:rPr>
            </w:pPr>
          </w:p>
        </w:tc>
        <w:tc>
          <w:tcPr>
            <w:tcW w:w="864" w:type="dxa"/>
            <w:tcBorders>
              <w:top w:val="single" w:color="auto" w:sz="4" w:space="0"/>
              <w:left w:val="single" w:color="auto" w:sz="4" w:space="0"/>
            </w:tcBorders>
            <w:noWrap w:val="0"/>
            <w:vAlign w:val="top"/>
          </w:tcPr>
          <w:p w14:paraId="0459EA00">
            <w:pPr>
              <w:rPr>
                <w:color w:val="auto"/>
                <w:szCs w:val="21"/>
                <w:highlight w:val="none"/>
              </w:rPr>
            </w:pPr>
          </w:p>
        </w:tc>
        <w:tc>
          <w:tcPr>
            <w:tcW w:w="864" w:type="dxa"/>
            <w:tcBorders>
              <w:top w:val="single" w:color="auto" w:sz="4" w:space="0"/>
              <w:left w:val="single" w:color="auto" w:sz="4" w:space="0"/>
            </w:tcBorders>
            <w:noWrap w:val="0"/>
            <w:vAlign w:val="top"/>
          </w:tcPr>
          <w:p w14:paraId="51115B1D">
            <w:pPr>
              <w:rPr>
                <w:color w:val="auto"/>
                <w:szCs w:val="21"/>
                <w:highlight w:val="none"/>
              </w:rPr>
            </w:pPr>
          </w:p>
        </w:tc>
        <w:tc>
          <w:tcPr>
            <w:tcW w:w="864" w:type="dxa"/>
            <w:tcBorders>
              <w:top w:val="single" w:color="auto" w:sz="4" w:space="0"/>
              <w:left w:val="single" w:color="auto" w:sz="4" w:space="0"/>
            </w:tcBorders>
            <w:noWrap w:val="0"/>
            <w:vAlign w:val="top"/>
          </w:tcPr>
          <w:p w14:paraId="30FD0305">
            <w:pPr>
              <w:rPr>
                <w:color w:val="auto"/>
                <w:szCs w:val="21"/>
                <w:highlight w:val="none"/>
              </w:rPr>
            </w:pPr>
          </w:p>
        </w:tc>
        <w:tc>
          <w:tcPr>
            <w:tcW w:w="874" w:type="dxa"/>
            <w:tcBorders>
              <w:top w:val="single" w:color="auto" w:sz="4" w:space="0"/>
              <w:left w:val="single" w:color="auto" w:sz="4" w:space="0"/>
              <w:right w:val="single" w:color="auto" w:sz="4" w:space="0"/>
            </w:tcBorders>
            <w:noWrap w:val="0"/>
            <w:vAlign w:val="top"/>
          </w:tcPr>
          <w:p w14:paraId="71445460">
            <w:pPr>
              <w:rPr>
                <w:color w:val="auto"/>
                <w:szCs w:val="21"/>
                <w:highlight w:val="none"/>
              </w:rPr>
            </w:pPr>
          </w:p>
        </w:tc>
      </w:tr>
      <w:tr w14:paraId="37AD9517">
        <w:tblPrEx>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tcBorders>
            <w:noWrap w:val="0"/>
            <w:vAlign w:val="top"/>
          </w:tcPr>
          <w:p w14:paraId="67986510">
            <w:pPr>
              <w:rPr>
                <w:color w:val="auto"/>
                <w:szCs w:val="21"/>
                <w:highlight w:val="none"/>
              </w:rPr>
            </w:pPr>
          </w:p>
        </w:tc>
        <w:tc>
          <w:tcPr>
            <w:tcW w:w="1133" w:type="dxa"/>
            <w:tcBorders>
              <w:top w:val="single" w:color="auto" w:sz="4" w:space="0"/>
              <w:left w:val="single" w:color="auto" w:sz="4" w:space="0"/>
            </w:tcBorders>
            <w:noWrap w:val="0"/>
            <w:vAlign w:val="top"/>
          </w:tcPr>
          <w:p w14:paraId="4927523A">
            <w:pPr>
              <w:rPr>
                <w:color w:val="auto"/>
                <w:szCs w:val="21"/>
                <w:highlight w:val="none"/>
              </w:rPr>
            </w:pPr>
          </w:p>
        </w:tc>
        <w:tc>
          <w:tcPr>
            <w:tcW w:w="864" w:type="dxa"/>
            <w:tcBorders>
              <w:top w:val="single" w:color="auto" w:sz="4" w:space="0"/>
              <w:left w:val="single" w:color="auto" w:sz="4" w:space="0"/>
            </w:tcBorders>
            <w:noWrap w:val="0"/>
            <w:vAlign w:val="top"/>
          </w:tcPr>
          <w:p w14:paraId="4CE8B7D5">
            <w:pPr>
              <w:rPr>
                <w:color w:val="auto"/>
                <w:szCs w:val="21"/>
                <w:highlight w:val="none"/>
              </w:rPr>
            </w:pPr>
          </w:p>
        </w:tc>
        <w:tc>
          <w:tcPr>
            <w:tcW w:w="869" w:type="dxa"/>
            <w:tcBorders>
              <w:top w:val="single" w:color="auto" w:sz="4" w:space="0"/>
              <w:left w:val="single" w:color="auto" w:sz="4" w:space="0"/>
            </w:tcBorders>
            <w:noWrap w:val="0"/>
            <w:vAlign w:val="top"/>
          </w:tcPr>
          <w:p w14:paraId="38F17E07">
            <w:pPr>
              <w:rPr>
                <w:color w:val="auto"/>
                <w:szCs w:val="21"/>
                <w:highlight w:val="none"/>
              </w:rPr>
            </w:pPr>
          </w:p>
        </w:tc>
        <w:tc>
          <w:tcPr>
            <w:tcW w:w="864" w:type="dxa"/>
            <w:tcBorders>
              <w:top w:val="single" w:color="auto" w:sz="4" w:space="0"/>
              <w:left w:val="single" w:color="auto" w:sz="4" w:space="0"/>
            </w:tcBorders>
            <w:noWrap w:val="0"/>
            <w:vAlign w:val="top"/>
          </w:tcPr>
          <w:p w14:paraId="1C9DA0EC">
            <w:pPr>
              <w:rPr>
                <w:color w:val="auto"/>
                <w:szCs w:val="21"/>
                <w:highlight w:val="none"/>
              </w:rPr>
            </w:pPr>
          </w:p>
        </w:tc>
        <w:tc>
          <w:tcPr>
            <w:tcW w:w="864" w:type="dxa"/>
            <w:tcBorders>
              <w:top w:val="single" w:color="auto" w:sz="4" w:space="0"/>
              <w:left w:val="single" w:color="auto" w:sz="4" w:space="0"/>
            </w:tcBorders>
            <w:noWrap w:val="0"/>
            <w:vAlign w:val="top"/>
          </w:tcPr>
          <w:p w14:paraId="5B320787">
            <w:pPr>
              <w:rPr>
                <w:color w:val="auto"/>
                <w:szCs w:val="21"/>
                <w:highlight w:val="none"/>
              </w:rPr>
            </w:pPr>
          </w:p>
        </w:tc>
        <w:tc>
          <w:tcPr>
            <w:tcW w:w="864" w:type="dxa"/>
            <w:tcBorders>
              <w:top w:val="single" w:color="auto" w:sz="4" w:space="0"/>
              <w:left w:val="single" w:color="auto" w:sz="4" w:space="0"/>
            </w:tcBorders>
            <w:noWrap w:val="0"/>
            <w:vAlign w:val="top"/>
          </w:tcPr>
          <w:p w14:paraId="3BF78758">
            <w:pPr>
              <w:rPr>
                <w:color w:val="auto"/>
                <w:szCs w:val="21"/>
                <w:highlight w:val="none"/>
              </w:rPr>
            </w:pPr>
          </w:p>
        </w:tc>
        <w:tc>
          <w:tcPr>
            <w:tcW w:w="864" w:type="dxa"/>
            <w:tcBorders>
              <w:top w:val="single" w:color="auto" w:sz="4" w:space="0"/>
              <w:left w:val="single" w:color="auto" w:sz="4" w:space="0"/>
            </w:tcBorders>
            <w:noWrap w:val="0"/>
            <w:vAlign w:val="top"/>
          </w:tcPr>
          <w:p w14:paraId="2B07DAFC">
            <w:pPr>
              <w:rPr>
                <w:color w:val="auto"/>
                <w:szCs w:val="21"/>
                <w:highlight w:val="none"/>
              </w:rPr>
            </w:pPr>
          </w:p>
        </w:tc>
        <w:tc>
          <w:tcPr>
            <w:tcW w:w="864" w:type="dxa"/>
            <w:tcBorders>
              <w:top w:val="single" w:color="auto" w:sz="4" w:space="0"/>
              <w:left w:val="single" w:color="auto" w:sz="4" w:space="0"/>
            </w:tcBorders>
            <w:noWrap w:val="0"/>
            <w:vAlign w:val="top"/>
          </w:tcPr>
          <w:p w14:paraId="723884CD">
            <w:pPr>
              <w:rPr>
                <w:color w:val="auto"/>
                <w:szCs w:val="21"/>
                <w:highlight w:val="none"/>
              </w:rPr>
            </w:pPr>
          </w:p>
        </w:tc>
        <w:tc>
          <w:tcPr>
            <w:tcW w:w="874" w:type="dxa"/>
            <w:tcBorders>
              <w:top w:val="single" w:color="auto" w:sz="4" w:space="0"/>
              <w:left w:val="single" w:color="auto" w:sz="4" w:space="0"/>
              <w:right w:val="single" w:color="auto" w:sz="4" w:space="0"/>
            </w:tcBorders>
            <w:noWrap w:val="0"/>
            <w:vAlign w:val="top"/>
          </w:tcPr>
          <w:p w14:paraId="7CB30868">
            <w:pPr>
              <w:rPr>
                <w:color w:val="auto"/>
                <w:szCs w:val="21"/>
                <w:highlight w:val="none"/>
              </w:rPr>
            </w:pPr>
          </w:p>
        </w:tc>
      </w:tr>
      <w:tr w14:paraId="4485B8BA">
        <w:tblPrEx>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tcBorders>
            <w:noWrap w:val="0"/>
            <w:vAlign w:val="top"/>
          </w:tcPr>
          <w:p w14:paraId="6E72BADB">
            <w:pPr>
              <w:rPr>
                <w:color w:val="auto"/>
                <w:szCs w:val="21"/>
                <w:highlight w:val="none"/>
              </w:rPr>
            </w:pPr>
          </w:p>
        </w:tc>
        <w:tc>
          <w:tcPr>
            <w:tcW w:w="1133" w:type="dxa"/>
            <w:tcBorders>
              <w:top w:val="single" w:color="auto" w:sz="4" w:space="0"/>
              <w:left w:val="single" w:color="auto" w:sz="4" w:space="0"/>
            </w:tcBorders>
            <w:noWrap w:val="0"/>
            <w:vAlign w:val="top"/>
          </w:tcPr>
          <w:p w14:paraId="3C1B33B4">
            <w:pPr>
              <w:rPr>
                <w:color w:val="auto"/>
                <w:szCs w:val="21"/>
                <w:highlight w:val="none"/>
              </w:rPr>
            </w:pPr>
          </w:p>
        </w:tc>
        <w:tc>
          <w:tcPr>
            <w:tcW w:w="864" w:type="dxa"/>
            <w:tcBorders>
              <w:top w:val="single" w:color="auto" w:sz="4" w:space="0"/>
              <w:left w:val="single" w:color="auto" w:sz="4" w:space="0"/>
            </w:tcBorders>
            <w:noWrap w:val="0"/>
            <w:vAlign w:val="top"/>
          </w:tcPr>
          <w:p w14:paraId="1871FD41">
            <w:pPr>
              <w:rPr>
                <w:color w:val="auto"/>
                <w:szCs w:val="21"/>
                <w:highlight w:val="none"/>
              </w:rPr>
            </w:pPr>
          </w:p>
        </w:tc>
        <w:tc>
          <w:tcPr>
            <w:tcW w:w="869" w:type="dxa"/>
            <w:tcBorders>
              <w:top w:val="single" w:color="auto" w:sz="4" w:space="0"/>
              <w:left w:val="single" w:color="auto" w:sz="4" w:space="0"/>
            </w:tcBorders>
            <w:noWrap w:val="0"/>
            <w:vAlign w:val="top"/>
          </w:tcPr>
          <w:p w14:paraId="59131225">
            <w:pPr>
              <w:rPr>
                <w:color w:val="auto"/>
                <w:szCs w:val="21"/>
                <w:highlight w:val="none"/>
              </w:rPr>
            </w:pPr>
          </w:p>
        </w:tc>
        <w:tc>
          <w:tcPr>
            <w:tcW w:w="864" w:type="dxa"/>
            <w:tcBorders>
              <w:top w:val="single" w:color="auto" w:sz="4" w:space="0"/>
              <w:left w:val="single" w:color="auto" w:sz="4" w:space="0"/>
            </w:tcBorders>
            <w:noWrap w:val="0"/>
            <w:vAlign w:val="top"/>
          </w:tcPr>
          <w:p w14:paraId="29E89078">
            <w:pPr>
              <w:rPr>
                <w:color w:val="auto"/>
                <w:szCs w:val="21"/>
                <w:highlight w:val="none"/>
              </w:rPr>
            </w:pPr>
          </w:p>
        </w:tc>
        <w:tc>
          <w:tcPr>
            <w:tcW w:w="864" w:type="dxa"/>
            <w:tcBorders>
              <w:top w:val="single" w:color="auto" w:sz="4" w:space="0"/>
              <w:left w:val="single" w:color="auto" w:sz="4" w:space="0"/>
            </w:tcBorders>
            <w:noWrap w:val="0"/>
            <w:vAlign w:val="top"/>
          </w:tcPr>
          <w:p w14:paraId="3E81E698">
            <w:pPr>
              <w:rPr>
                <w:color w:val="auto"/>
                <w:szCs w:val="21"/>
                <w:highlight w:val="none"/>
              </w:rPr>
            </w:pPr>
          </w:p>
        </w:tc>
        <w:tc>
          <w:tcPr>
            <w:tcW w:w="864" w:type="dxa"/>
            <w:tcBorders>
              <w:top w:val="single" w:color="auto" w:sz="4" w:space="0"/>
              <w:left w:val="single" w:color="auto" w:sz="4" w:space="0"/>
            </w:tcBorders>
            <w:noWrap w:val="0"/>
            <w:vAlign w:val="top"/>
          </w:tcPr>
          <w:p w14:paraId="6E5E9E86">
            <w:pPr>
              <w:rPr>
                <w:color w:val="auto"/>
                <w:szCs w:val="21"/>
                <w:highlight w:val="none"/>
              </w:rPr>
            </w:pPr>
          </w:p>
        </w:tc>
        <w:tc>
          <w:tcPr>
            <w:tcW w:w="864" w:type="dxa"/>
            <w:tcBorders>
              <w:top w:val="single" w:color="auto" w:sz="4" w:space="0"/>
              <w:left w:val="single" w:color="auto" w:sz="4" w:space="0"/>
            </w:tcBorders>
            <w:noWrap w:val="0"/>
            <w:vAlign w:val="top"/>
          </w:tcPr>
          <w:p w14:paraId="2D8FDF0E">
            <w:pPr>
              <w:rPr>
                <w:color w:val="auto"/>
                <w:szCs w:val="21"/>
                <w:highlight w:val="none"/>
              </w:rPr>
            </w:pPr>
          </w:p>
        </w:tc>
        <w:tc>
          <w:tcPr>
            <w:tcW w:w="864" w:type="dxa"/>
            <w:tcBorders>
              <w:top w:val="single" w:color="auto" w:sz="4" w:space="0"/>
              <w:left w:val="single" w:color="auto" w:sz="4" w:space="0"/>
            </w:tcBorders>
            <w:noWrap w:val="0"/>
            <w:vAlign w:val="top"/>
          </w:tcPr>
          <w:p w14:paraId="7640AF95">
            <w:pPr>
              <w:rPr>
                <w:color w:val="auto"/>
                <w:szCs w:val="21"/>
                <w:highlight w:val="none"/>
              </w:rPr>
            </w:pPr>
          </w:p>
        </w:tc>
        <w:tc>
          <w:tcPr>
            <w:tcW w:w="874" w:type="dxa"/>
            <w:tcBorders>
              <w:top w:val="single" w:color="auto" w:sz="4" w:space="0"/>
              <w:left w:val="single" w:color="auto" w:sz="4" w:space="0"/>
              <w:right w:val="single" w:color="auto" w:sz="4" w:space="0"/>
            </w:tcBorders>
            <w:noWrap w:val="0"/>
            <w:vAlign w:val="top"/>
          </w:tcPr>
          <w:p w14:paraId="50463250">
            <w:pPr>
              <w:rPr>
                <w:color w:val="auto"/>
                <w:szCs w:val="21"/>
                <w:highlight w:val="none"/>
              </w:rPr>
            </w:pPr>
          </w:p>
        </w:tc>
      </w:tr>
      <w:tr w14:paraId="1D3FB71A">
        <w:tblPrEx>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tcBorders>
            <w:noWrap w:val="0"/>
            <w:vAlign w:val="top"/>
          </w:tcPr>
          <w:p w14:paraId="2C926117">
            <w:pPr>
              <w:rPr>
                <w:color w:val="auto"/>
                <w:szCs w:val="21"/>
                <w:highlight w:val="none"/>
              </w:rPr>
            </w:pPr>
          </w:p>
        </w:tc>
        <w:tc>
          <w:tcPr>
            <w:tcW w:w="1133" w:type="dxa"/>
            <w:tcBorders>
              <w:top w:val="single" w:color="auto" w:sz="4" w:space="0"/>
              <w:left w:val="single" w:color="auto" w:sz="4" w:space="0"/>
            </w:tcBorders>
            <w:noWrap w:val="0"/>
            <w:vAlign w:val="top"/>
          </w:tcPr>
          <w:p w14:paraId="6919F016">
            <w:pPr>
              <w:rPr>
                <w:color w:val="auto"/>
                <w:szCs w:val="21"/>
                <w:highlight w:val="none"/>
              </w:rPr>
            </w:pPr>
          </w:p>
        </w:tc>
        <w:tc>
          <w:tcPr>
            <w:tcW w:w="864" w:type="dxa"/>
            <w:tcBorders>
              <w:top w:val="single" w:color="auto" w:sz="4" w:space="0"/>
              <w:left w:val="single" w:color="auto" w:sz="4" w:space="0"/>
            </w:tcBorders>
            <w:noWrap w:val="0"/>
            <w:vAlign w:val="top"/>
          </w:tcPr>
          <w:p w14:paraId="7D886804">
            <w:pPr>
              <w:rPr>
                <w:color w:val="auto"/>
                <w:szCs w:val="21"/>
                <w:highlight w:val="none"/>
              </w:rPr>
            </w:pPr>
          </w:p>
        </w:tc>
        <w:tc>
          <w:tcPr>
            <w:tcW w:w="869" w:type="dxa"/>
            <w:tcBorders>
              <w:top w:val="single" w:color="auto" w:sz="4" w:space="0"/>
              <w:left w:val="single" w:color="auto" w:sz="4" w:space="0"/>
            </w:tcBorders>
            <w:noWrap w:val="0"/>
            <w:vAlign w:val="top"/>
          </w:tcPr>
          <w:p w14:paraId="092932B5">
            <w:pPr>
              <w:rPr>
                <w:color w:val="auto"/>
                <w:szCs w:val="21"/>
                <w:highlight w:val="none"/>
              </w:rPr>
            </w:pPr>
          </w:p>
        </w:tc>
        <w:tc>
          <w:tcPr>
            <w:tcW w:w="864" w:type="dxa"/>
            <w:tcBorders>
              <w:top w:val="single" w:color="auto" w:sz="4" w:space="0"/>
              <w:left w:val="single" w:color="auto" w:sz="4" w:space="0"/>
            </w:tcBorders>
            <w:noWrap w:val="0"/>
            <w:vAlign w:val="top"/>
          </w:tcPr>
          <w:p w14:paraId="5EEA13D8">
            <w:pPr>
              <w:rPr>
                <w:color w:val="auto"/>
                <w:szCs w:val="21"/>
                <w:highlight w:val="none"/>
              </w:rPr>
            </w:pPr>
          </w:p>
        </w:tc>
        <w:tc>
          <w:tcPr>
            <w:tcW w:w="864" w:type="dxa"/>
            <w:tcBorders>
              <w:top w:val="single" w:color="auto" w:sz="4" w:space="0"/>
              <w:left w:val="single" w:color="auto" w:sz="4" w:space="0"/>
            </w:tcBorders>
            <w:noWrap w:val="0"/>
            <w:vAlign w:val="top"/>
          </w:tcPr>
          <w:p w14:paraId="46D71185">
            <w:pPr>
              <w:rPr>
                <w:color w:val="auto"/>
                <w:szCs w:val="21"/>
                <w:highlight w:val="none"/>
              </w:rPr>
            </w:pPr>
          </w:p>
        </w:tc>
        <w:tc>
          <w:tcPr>
            <w:tcW w:w="864" w:type="dxa"/>
            <w:tcBorders>
              <w:top w:val="single" w:color="auto" w:sz="4" w:space="0"/>
              <w:left w:val="single" w:color="auto" w:sz="4" w:space="0"/>
            </w:tcBorders>
            <w:noWrap w:val="0"/>
            <w:vAlign w:val="top"/>
          </w:tcPr>
          <w:p w14:paraId="7C04B9FE">
            <w:pPr>
              <w:rPr>
                <w:color w:val="auto"/>
                <w:szCs w:val="21"/>
                <w:highlight w:val="none"/>
              </w:rPr>
            </w:pPr>
          </w:p>
        </w:tc>
        <w:tc>
          <w:tcPr>
            <w:tcW w:w="864" w:type="dxa"/>
            <w:tcBorders>
              <w:top w:val="single" w:color="auto" w:sz="4" w:space="0"/>
              <w:left w:val="single" w:color="auto" w:sz="4" w:space="0"/>
            </w:tcBorders>
            <w:noWrap w:val="0"/>
            <w:vAlign w:val="top"/>
          </w:tcPr>
          <w:p w14:paraId="4BB5DBD3">
            <w:pPr>
              <w:rPr>
                <w:color w:val="auto"/>
                <w:szCs w:val="21"/>
                <w:highlight w:val="none"/>
              </w:rPr>
            </w:pPr>
          </w:p>
        </w:tc>
        <w:tc>
          <w:tcPr>
            <w:tcW w:w="864" w:type="dxa"/>
            <w:tcBorders>
              <w:top w:val="single" w:color="auto" w:sz="4" w:space="0"/>
              <w:left w:val="single" w:color="auto" w:sz="4" w:space="0"/>
            </w:tcBorders>
            <w:noWrap w:val="0"/>
            <w:vAlign w:val="top"/>
          </w:tcPr>
          <w:p w14:paraId="26D3AB4F">
            <w:pPr>
              <w:rPr>
                <w:color w:val="auto"/>
                <w:szCs w:val="21"/>
                <w:highlight w:val="none"/>
              </w:rPr>
            </w:pPr>
          </w:p>
        </w:tc>
        <w:tc>
          <w:tcPr>
            <w:tcW w:w="874" w:type="dxa"/>
            <w:tcBorders>
              <w:top w:val="single" w:color="auto" w:sz="4" w:space="0"/>
              <w:left w:val="single" w:color="auto" w:sz="4" w:space="0"/>
              <w:right w:val="single" w:color="auto" w:sz="4" w:space="0"/>
            </w:tcBorders>
            <w:noWrap w:val="0"/>
            <w:vAlign w:val="top"/>
          </w:tcPr>
          <w:p w14:paraId="7303B0D3">
            <w:pPr>
              <w:rPr>
                <w:color w:val="auto"/>
                <w:szCs w:val="21"/>
                <w:highlight w:val="none"/>
              </w:rPr>
            </w:pPr>
          </w:p>
        </w:tc>
      </w:tr>
      <w:tr w14:paraId="1F9A7F86">
        <w:tblPrEx>
          <w:tblCellMar>
            <w:top w:w="0" w:type="dxa"/>
            <w:left w:w="10" w:type="dxa"/>
            <w:bottom w:w="0" w:type="dxa"/>
            <w:right w:w="10" w:type="dxa"/>
          </w:tblCellMar>
        </w:tblPrEx>
        <w:trPr>
          <w:trHeight w:val="571" w:hRule="exact"/>
          <w:jc w:val="center"/>
        </w:trPr>
        <w:tc>
          <w:tcPr>
            <w:tcW w:w="293" w:type="dxa"/>
            <w:tcBorders>
              <w:top w:val="single" w:color="auto" w:sz="4" w:space="0"/>
              <w:left w:val="single" w:color="auto" w:sz="4" w:space="0"/>
            </w:tcBorders>
            <w:noWrap w:val="0"/>
            <w:vAlign w:val="top"/>
          </w:tcPr>
          <w:p w14:paraId="6B085D5C">
            <w:pPr>
              <w:rPr>
                <w:color w:val="auto"/>
                <w:szCs w:val="21"/>
                <w:highlight w:val="none"/>
              </w:rPr>
            </w:pPr>
          </w:p>
        </w:tc>
        <w:tc>
          <w:tcPr>
            <w:tcW w:w="1133" w:type="dxa"/>
            <w:tcBorders>
              <w:top w:val="single" w:color="auto" w:sz="4" w:space="0"/>
              <w:left w:val="single" w:color="auto" w:sz="4" w:space="0"/>
            </w:tcBorders>
            <w:noWrap w:val="0"/>
            <w:vAlign w:val="top"/>
          </w:tcPr>
          <w:p w14:paraId="025E6509">
            <w:pPr>
              <w:rPr>
                <w:color w:val="auto"/>
                <w:szCs w:val="21"/>
                <w:highlight w:val="none"/>
              </w:rPr>
            </w:pPr>
          </w:p>
        </w:tc>
        <w:tc>
          <w:tcPr>
            <w:tcW w:w="864" w:type="dxa"/>
            <w:tcBorders>
              <w:top w:val="single" w:color="auto" w:sz="4" w:space="0"/>
              <w:left w:val="single" w:color="auto" w:sz="4" w:space="0"/>
            </w:tcBorders>
            <w:noWrap w:val="0"/>
            <w:vAlign w:val="top"/>
          </w:tcPr>
          <w:p w14:paraId="6B4BD97D">
            <w:pPr>
              <w:rPr>
                <w:color w:val="auto"/>
                <w:szCs w:val="21"/>
                <w:highlight w:val="none"/>
              </w:rPr>
            </w:pPr>
          </w:p>
        </w:tc>
        <w:tc>
          <w:tcPr>
            <w:tcW w:w="869" w:type="dxa"/>
            <w:tcBorders>
              <w:top w:val="single" w:color="auto" w:sz="4" w:space="0"/>
              <w:left w:val="single" w:color="auto" w:sz="4" w:space="0"/>
            </w:tcBorders>
            <w:noWrap w:val="0"/>
            <w:vAlign w:val="top"/>
          </w:tcPr>
          <w:p w14:paraId="6CA7D25C">
            <w:pPr>
              <w:rPr>
                <w:color w:val="auto"/>
                <w:szCs w:val="21"/>
                <w:highlight w:val="none"/>
              </w:rPr>
            </w:pPr>
          </w:p>
        </w:tc>
        <w:tc>
          <w:tcPr>
            <w:tcW w:w="864" w:type="dxa"/>
            <w:tcBorders>
              <w:top w:val="single" w:color="auto" w:sz="4" w:space="0"/>
              <w:left w:val="single" w:color="auto" w:sz="4" w:space="0"/>
            </w:tcBorders>
            <w:noWrap w:val="0"/>
            <w:vAlign w:val="top"/>
          </w:tcPr>
          <w:p w14:paraId="60859E7E">
            <w:pPr>
              <w:rPr>
                <w:color w:val="auto"/>
                <w:szCs w:val="21"/>
                <w:highlight w:val="none"/>
              </w:rPr>
            </w:pPr>
          </w:p>
        </w:tc>
        <w:tc>
          <w:tcPr>
            <w:tcW w:w="864" w:type="dxa"/>
            <w:tcBorders>
              <w:top w:val="single" w:color="auto" w:sz="4" w:space="0"/>
              <w:left w:val="single" w:color="auto" w:sz="4" w:space="0"/>
            </w:tcBorders>
            <w:noWrap w:val="0"/>
            <w:vAlign w:val="top"/>
          </w:tcPr>
          <w:p w14:paraId="3DA7F403">
            <w:pPr>
              <w:rPr>
                <w:color w:val="auto"/>
                <w:szCs w:val="21"/>
                <w:highlight w:val="none"/>
              </w:rPr>
            </w:pPr>
          </w:p>
        </w:tc>
        <w:tc>
          <w:tcPr>
            <w:tcW w:w="864" w:type="dxa"/>
            <w:tcBorders>
              <w:top w:val="single" w:color="auto" w:sz="4" w:space="0"/>
              <w:left w:val="single" w:color="auto" w:sz="4" w:space="0"/>
            </w:tcBorders>
            <w:noWrap w:val="0"/>
            <w:vAlign w:val="top"/>
          </w:tcPr>
          <w:p w14:paraId="4D73AD5B">
            <w:pPr>
              <w:rPr>
                <w:color w:val="auto"/>
                <w:szCs w:val="21"/>
                <w:highlight w:val="none"/>
              </w:rPr>
            </w:pPr>
          </w:p>
        </w:tc>
        <w:tc>
          <w:tcPr>
            <w:tcW w:w="864" w:type="dxa"/>
            <w:tcBorders>
              <w:top w:val="single" w:color="auto" w:sz="4" w:space="0"/>
              <w:left w:val="single" w:color="auto" w:sz="4" w:space="0"/>
            </w:tcBorders>
            <w:noWrap w:val="0"/>
            <w:vAlign w:val="top"/>
          </w:tcPr>
          <w:p w14:paraId="3BC2E17D">
            <w:pPr>
              <w:rPr>
                <w:color w:val="auto"/>
                <w:szCs w:val="21"/>
                <w:highlight w:val="none"/>
              </w:rPr>
            </w:pPr>
          </w:p>
        </w:tc>
        <w:tc>
          <w:tcPr>
            <w:tcW w:w="864" w:type="dxa"/>
            <w:tcBorders>
              <w:top w:val="single" w:color="auto" w:sz="4" w:space="0"/>
              <w:left w:val="single" w:color="auto" w:sz="4" w:space="0"/>
            </w:tcBorders>
            <w:noWrap w:val="0"/>
            <w:vAlign w:val="top"/>
          </w:tcPr>
          <w:p w14:paraId="5D6F6823">
            <w:pPr>
              <w:rPr>
                <w:color w:val="auto"/>
                <w:szCs w:val="21"/>
                <w:highlight w:val="none"/>
              </w:rPr>
            </w:pPr>
          </w:p>
        </w:tc>
        <w:tc>
          <w:tcPr>
            <w:tcW w:w="874" w:type="dxa"/>
            <w:tcBorders>
              <w:top w:val="single" w:color="auto" w:sz="4" w:space="0"/>
              <w:left w:val="single" w:color="auto" w:sz="4" w:space="0"/>
              <w:right w:val="single" w:color="auto" w:sz="4" w:space="0"/>
            </w:tcBorders>
            <w:noWrap w:val="0"/>
            <w:vAlign w:val="top"/>
          </w:tcPr>
          <w:p w14:paraId="18062BE0">
            <w:pPr>
              <w:rPr>
                <w:color w:val="auto"/>
                <w:szCs w:val="21"/>
                <w:highlight w:val="none"/>
              </w:rPr>
            </w:pPr>
          </w:p>
        </w:tc>
      </w:tr>
      <w:tr w14:paraId="30679C48">
        <w:tblPrEx>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tcBorders>
            <w:noWrap w:val="0"/>
            <w:vAlign w:val="top"/>
          </w:tcPr>
          <w:p w14:paraId="49B73EC1">
            <w:pPr>
              <w:rPr>
                <w:color w:val="auto"/>
                <w:szCs w:val="21"/>
                <w:highlight w:val="none"/>
              </w:rPr>
            </w:pPr>
          </w:p>
        </w:tc>
        <w:tc>
          <w:tcPr>
            <w:tcW w:w="1133" w:type="dxa"/>
            <w:tcBorders>
              <w:top w:val="single" w:color="auto" w:sz="4" w:space="0"/>
              <w:left w:val="single" w:color="auto" w:sz="4" w:space="0"/>
            </w:tcBorders>
            <w:noWrap w:val="0"/>
            <w:vAlign w:val="top"/>
          </w:tcPr>
          <w:p w14:paraId="1F4C0E6E">
            <w:pPr>
              <w:rPr>
                <w:color w:val="auto"/>
                <w:szCs w:val="21"/>
                <w:highlight w:val="none"/>
              </w:rPr>
            </w:pPr>
          </w:p>
        </w:tc>
        <w:tc>
          <w:tcPr>
            <w:tcW w:w="864" w:type="dxa"/>
            <w:tcBorders>
              <w:top w:val="single" w:color="auto" w:sz="4" w:space="0"/>
              <w:left w:val="single" w:color="auto" w:sz="4" w:space="0"/>
            </w:tcBorders>
            <w:noWrap w:val="0"/>
            <w:vAlign w:val="top"/>
          </w:tcPr>
          <w:p w14:paraId="1A09117F">
            <w:pPr>
              <w:rPr>
                <w:color w:val="auto"/>
                <w:szCs w:val="21"/>
                <w:highlight w:val="none"/>
              </w:rPr>
            </w:pPr>
          </w:p>
        </w:tc>
        <w:tc>
          <w:tcPr>
            <w:tcW w:w="869" w:type="dxa"/>
            <w:tcBorders>
              <w:top w:val="single" w:color="auto" w:sz="4" w:space="0"/>
              <w:left w:val="single" w:color="auto" w:sz="4" w:space="0"/>
            </w:tcBorders>
            <w:noWrap w:val="0"/>
            <w:vAlign w:val="top"/>
          </w:tcPr>
          <w:p w14:paraId="1E13288B">
            <w:pPr>
              <w:rPr>
                <w:color w:val="auto"/>
                <w:szCs w:val="21"/>
                <w:highlight w:val="none"/>
              </w:rPr>
            </w:pPr>
          </w:p>
        </w:tc>
        <w:tc>
          <w:tcPr>
            <w:tcW w:w="864" w:type="dxa"/>
            <w:tcBorders>
              <w:top w:val="single" w:color="auto" w:sz="4" w:space="0"/>
              <w:left w:val="single" w:color="auto" w:sz="4" w:space="0"/>
            </w:tcBorders>
            <w:noWrap w:val="0"/>
            <w:vAlign w:val="top"/>
          </w:tcPr>
          <w:p w14:paraId="40D60528">
            <w:pPr>
              <w:rPr>
                <w:color w:val="auto"/>
                <w:szCs w:val="21"/>
                <w:highlight w:val="none"/>
              </w:rPr>
            </w:pPr>
          </w:p>
        </w:tc>
        <w:tc>
          <w:tcPr>
            <w:tcW w:w="864" w:type="dxa"/>
            <w:tcBorders>
              <w:top w:val="single" w:color="auto" w:sz="4" w:space="0"/>
              <w:left w:val="single" w:color="auto" w:sz="4" w:space="0"/>
            </w:tcBorders>
            <w:noWrap w:val="0"/>
            <w:vAlign w:val="top"/>
          </w:tcPr>
          <w:p w14:paraId="55E0FF29">
            <w:pPr>
              <w:rPr>
                <w:color w:val="auto"/>
                <w:szCs w:val="21"/>
                <w:highlight w:val="none"/>
              </w:rPr>
            </w:pPr>
          </w:p>
        </w:tc>
        <w:tc>
          <w:tcPr>
            <w:tcW w:w="864" w:type="dxa"/>
            <w:tcBorders>
              <w:top w:val="single" w:color="auto" w:sz="4" w:space="0"/>
              <w:left w:val="single" w:color="auto" w:sz="4" w:space="0"/>
            </w:tcBorders>
            <w:noWrap w:val="0"/>
            <w:vAlign w:val="top"/>
          </w:tcPr>
          <w:p w14:paraId="17DA71E1">
            <w:pPr>
              <w:rPr>
                <w:color w:val="auto"/>
                <w:szCs w:val="21"/>
                <w:highlight w:val="none"/>
              </w:rPr>
            </w:pPr>
          </w:p>
        </w:tc>
        <w:tc>
          <w:tcPr>
            <w:tcW w:w="864" w:type="dxa"/>
            <w:tcBorders>
              <w:top w:val="single" w:color="auto" w:sz="4" w:space="0"/>
              <w:left w:val="single" w:color="auto" w:sz="4" w:space="0"/>
            </w:tcBorders>
            <w:noWrap w:val="0"/>
            <w:vAlign w:val="top"/>
          </w:tcPr>
          <w:p w14:paraId="0C5DC623">
            <w:pPr>
              <w:rPr>
                <w:color w:val="auto"/>
                <w:szCs w:val="21"/>
                <w:highlight w:val="none"/>
              </w:rPr>
            </w:pPr>
          </w:p>
        </w:tc>
        <w:tc>
          <w:tcPr>
            <w:tcW w:w="864" w:type="dxa"/>
            <w:tcBorders>
              <w:top w:val="single" w:color="auto" w:sz="4" w:space="0"/>
              <w:left w:val="single" w:color="auto" w:sz="4" w:space="0"/>
            </w:tcBorders>
            <w:noWrap w:val="0"/>
            <w:vAlign w:val="top"/>
          </w:tcPr>
          <w:p w14:paraId="613FFD9C">
            <w:pPr>
              <w:rPr>
                <w:color w:val="auto"/>
                <w:szCs w:val="21"/>
                <w:highlight w:val="none"/>
              </w:rPr>
            </w:pPr>
          </w:p>
        </w:tc>
        <w:tc>
          <w:tcPr>
            <w:tcW w:w="874" w:type="dxa"/>
            <w:tcBorders>
              <w:top w:val="single" w:color="auto" w:sz="4" w:space="0"/>
              <w:left w:val="single" w:color="auto" w:sz="4" w:space="0"/>
              <w:right w:val="single" w:color="auto" w:sz="4" w:space="0"/>
            </w:tcBorders>
            <w:noWrap w:val="0"/>
            <w:vAlign w:val="top"/>
          </w:tcPr>
          <w:p w14:paraId="413A0E87">
            <w:pPr>
              <w:rPr>
                <w:color w:val="auto"/>
                <w:szCs w:val="21"/>
                <w:highlight w:val="none"/>
              </w:rPr>
            </w:pPr>
          </w:p>
        </w:tc>
      </w:tr>
      <w:tr w14:paraId="2A230B30">
        <w:tblPrEx>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tcBorders>
            <w:noWrap w:val="0"/>
            <w:vAlign w:val="top"/>
          </w:tcPr>
          <w:p w14:paraId="484C6E85">
            <w:pPr>
              <w:rPr>
                <w:color w:val="auto"/>
                <w:szCs w:val="21"/>
                <w:highlight w:val="none"/>
              </w:rPr>
            </w:pPr>
          </w:p>
        </w:tc>
        <w:tc>
          <w:tcPr>
            <w:tcW w:w="1133" w:type="dxa"/>
            <w:tcBorders>
              <w:top w:val="single" w:color="auto" w:sz="4" w:space="0"/>
              <w:left w:val="single" w:color="auto" w:sz="4" w:space="0"/>
            </w:tcBorders>
            <w:noWrap w:val="0"/>
            <w:vAlign w:val="top"/>
          </w:tcPr>
          <w:p w14:paraId="52B1A6E6">
            <w:pPr>
              <w:rPr>
                <w:color w:val="auto"/>
                <w:szCs w:val="21"/>
                <w:highlight w:val="none"/>
              </w:rPr>
            </w:pPr>
          </w:p>
        </w:tc>
        <w:tc>
          <w:tcPr>
            <w:tcW w:w="864" w:type="dxa"/>
            <w:tcBorders>
              <w:top w:val="single" w:color="auto" w:sz="4" w:space="0"/>
              <w:left w:val="single" w:color="auto" w:sz="4" w:space="0"/>
            </w:tcBorders>
            <w:noWrap w:val="0"/>
            <w:vAlign w:val="top"/>
          </w:tcPr>
          <w:p w14:paraId="1E3160BF">
            <w:pPr>
              <w:rPr>
                <w:color w:val="auto"/>
                <w:szCs w:val="21"/>
                <w:highlight w:val="none"/>
              </w:rPr>
            </w:pPr>
          </w:p>
        </w:tc>
        <w:tc>
          <w:tcPr>
            <w:tcW w:w="869" w:type="dxa"/>
            <w:tcBorders>
              <w:top w:val="single" w:color="auto" w:sz="4" w:space="0"/>
              <w:left w:val="single" w:color="auto" w:sz="4" w:space="0"/>
            </w:tcBorders>
            <w:noWrap w:val="0"/>
            <w:vAlign w:val="top"/>
          </w:tcPr>
          <w:p w14:paraId="451BA711">
            <w:pPr>
              <w:rPr>
                <w:color w:val="auto"/>
                <w:szCs w:val="21"/>
                <w:highlight w:val="none"/>
              </w:rPr>
            </w:pPr>
          </w:p>
        </w:tc>
        <w:tc>
          <w:tcPr>
            <w:tcW w:w="864" w:type="dxa"/>
            <w:tcBorders>
              <w:top w:val="single" w:color="auto" w:sz="4" w:space="0"/>
              <w:left w:val="single" w:color="auto" w:sz="4" w:space="0"/>
            </w:tcBorders>
            <w:noWrap w:val="0"/>
            <w:vAlign w:val="top"/>
          </w:tcPr>
          <w:p w14:paraId="7F218602">
            <w:pPr>
              <w:rPr>
                <w:color w:val="auto"/>
                <w:szCs w:val="21"/>
                <w:highlight w:val="none"/>
              </w:rPr>
            </w:pPr>
          </w:p>
        </w:tc>
        <w:tc>
          <w:tcPr>
            <w:tcW w:w="864" w:type="dxa"/>
            <w:tcBorders>
              <w:top w:val="single" w:color="auto" w:sz="4" w:space="0"/>
              <w:left w:val="single" w:color="auto" w:sz="4" w:space="0"/>
            </w:tcBorders>
            <w:noWrap w:val="0"/>
            <w:vAlign w:val="top"/>
          </w:tcPr>
          <w:p w14:paraId="0E38F197">
            <w:pPr>
              <w:rPr>
                <w:color w:val="auto"/>
                <w:szCs w:val="21"/>
                <w:highlight w:val="none"/>
              </w:rPr>
            </w:pPr>
          </w:p>
        </w:tc>
        <w:tc>
          <w:tcPr>
            <w:tcW w:w="864" w:type="dxa"/>
            <w:tcBorders>
              <w:top w:val="single" w:color="auto" w:sz="4" w:space="0"/>
              <w:left w:val="single" w:color="auto" w:sz="4" w:space="0"/>
            </w:tcBorders>
            <w:noWrap w:val="0"/>
            <w:vAlign w:val="top"/>
          </w:tcPr>
          <w:p w14:paraId="4A506B2D">
            <w:pPr>
              <w:rPr>
                <w:color w:val="auto"/>
                <w:szCs w:val="21"/>
                <w:highlight w:val="none"/>
              </w:rPr>
            </w:pPr>
          </w:p>
        </w:tc>
        <w:tc>
          <w:tcPr>
            <w:tcW w:w="864" w:type="dxa"/>
            <w:tcBorders>
              <w:top w:val="single" w:color="auto" w:sz="4" w:space="0"/>
              <w:left w:val="single" w:color="auto" w:sz="4" w:space="0"/>
            </w:tcBorders>
            <w:noWrap w:val="0"/>
            <w:vAlign w:val="top"/>
          </w:tcPr>
          <w:p w14:paraId="660B51E0">
            <w:pPr>
              <w:rPr>
                <w:color w:val="auto"/>
                <w:szCs w:val="21"/>
                <w:highlight w:val="none"/>
              </w:rPr>
            </w:pPr>
          </w:p>
        </w:tc>
        <w:tc>
          <w:tcPr>
            <w:tcW w:w="864" w:type="dxa"/>
            <w:tcBorders>
              <w:top w:val="single" w:color="auto" w:sz="4" w:space="0"/>
              <w:left w:val="single" w:color="auto" w:sz="4" w:space="0"/>
            </w:tcBorders>
            <w:noWrap w:val="0"/>
            <w:vAlign w:val="top"/>
          </w:tcPr>
          <w:p w14:paraId="3E12E499">
            <w:pPr>
              <w:rPr>
                <w:color w:val="auto"/>
                <w:szCs w:val="21"/>
                <w:highlight w:val="none"/>
              </w:rPr>
            </w:pPr>
          </w:p>
        </w:tc>
        <w:tc>
          <w:tcPr>
            <w:tcW w:w="874" w:type="dxa"/>
            <w:tcBorders>
              <w:top w:val="single" w:color="auto" w:sz="4" w:space="0"/>
              <w:left w:val="single" w:color="auto" w:sz="4" w:space="0"/>
              <w:right w:val="single" w:color="auto" w:sz="4" w:space="0"/>
            </w:tcBorders>
            <w:noWrap w:val="0"/>
            <w:vAlign w:val="top"/>
          </w:tcPr>
          <w:p w14:paraId="16F5F741">
            <w:pPr>
              <w:rPr>
                <w:color w:val="auto"/>
                <w:szCs w:val="21"/>
                <w:highlight w:val="none"/>
              </w:rPr>
            </w:pPr>
          </w:p>
        </w:tc>
      </w:tr>
      <w:tr w14:paraId="38A327D1">
        <w:tblPrEx>
          <w:tblCellMar>
            <w:top w:w="0" w:type="dxa"/>
            <w:left w:w="10" w:type="dxa"/>
            <w:bottom w:w="0" w:type="dxa"/>
            <w:right w:w="10" w:type="dxa"/>
          </w:tblCellMar>
        </w:tblPrEx>
        <w:trPr>
          <w:trHeight w:val="576" w:hRule="exact"/>
          <w:jc w:val="center"/>
        </w:trPr>
        <w:tc>
          <w:tcPr>
            <w:tcW w:w="293" w:type="dxa"/>
            <w:tcBorders>
              <w:top w:val="single" w:color="auto" w:sz="4" w:space="0"/>
              <w:left w:val="single" w:color="auto" w:sz="4" w:space="0"/>
              <w:bottom w:val="single" w:color="auto" w:sz="4" w:space="0"/>
            </w:tcBorders>
            <w:noWrap w:val="0"/>
            <w:vAlign w:val="top"/>
          </w:tcPr>
          <w:p w14:paraId="3DB33F2C">
            <w:pPr>
              <w:rPr>
                <w:color w:val="auto"/>
                <w:szCs w:val="21"/>
                <w:highlight w:val="none"/>
              </w:rPr>
            </w:pPr>
          </w:p>
        </w:tc>
        <w:tc>
          <w:tcPr>
            <w:tcW w:w="1133" w:type="dxa"/>
            <w:tcBorders>
              <w:top w:val="single" w:color="auto" w:sz="4" w:space="0"/>
              <w:left w:val="single" w:color="auto" w:sz="4" w:space="0"/>
              <w:bottom w:val="single" w:color="auto" w:sz="4" w:space="0"/>
            </w:tcBorders>
            <w:noWrap w:val="0"/>
            <w:vAlign w:val="top"/>
          </w:tcPr>
          <w:p w14:paraId="1D0631D0">
            <w:pPr>
              <w:rPr>
                <w:color w:val="auto"/>
                <w:szCs w:val="21"/>
                <w:highlight w:val="none"/>
              </w:rPr>
            </w:pPr>
          </w:p>
        </w:tc>
        <w:tc>
          <w:tcPr>
            <w:tcW w:w="864" w:type="dxa"/>
            <w:tcBorders>
              <w:top w:val="single" w:color="auto" w:sz="4" w:space="0"/>
              <w:left w:val="single" w:color="auto" w:sz="4" w:space="0"/>
              <w:bottom w:val="single" w:color="auto" w:sz="4" w:space="0"/>
            </w:tcBorders>
            <w:noWrap w:val="0"/>
            <w:vAlign w:val="top"/>
          </w:tcPr>
          <w:p w14:paraId="7B0BDCE4">
            <w:pPr>
              <w:rPr>
                <w:color w:val="auto"/>
                <w:szCs w:val="21"/>
                <w:highlight w:val="none"/>
              </w:rPr>
            </w:pPr>
          </w:p>
        </w:tc>
        <w:tc>
          <w:tcPr>
            <w:tcW w:w="869" w:type="dxa"/>
            <w:tcBorders>
              <w:top w:val="single" w:color="auto" w:sz="4" w:space="0"/>
              <w:left w:val="single" w:color="auto" w:sz="4" w:space="0"/>
              <w:bottom w:val="single" w:color="auto" w:sz="4" w:space="0"/>
            </w:tcBorders>
            <w:noWrap w:val="0"/>
            <w:vAlign w:val="top"/>
          </w:tcPr>
          <w:p w14:paraId="4567D86A">
            <w:pPr>
              <w:rPr>
                <w:color w:val="auto"/>
                <w:szCs w:val="21"/>
                <w:highlight w:val="none"/>
              </w:rPr>
            </w:pPr>
          </w:p>
        </w:tc>
        <w:tc>
          <w:tcPr>
            <w:tcW w:w="864" w:type="dxa"/>
            <w:tcBorders>
              <w:top w:val="single" w:color="auto" w:sz="4" w:space="0"/>
              <w:left w:val="single" w:color="auto" w:sz="4" w:space="0"/>
              <w:bottom w:val="single" w:color="auto" w:sz="4" w:space="0"/>
            </w:tcBorders>
            <w:noWrap w:val="0"/>
            <w:vAlign w:val="top"/>
          </w:tcPr>
          <w:p w14:paraId="64DA68D4">
            <w:pPr>
              <w:rPr>
                <w:color w:val="auto"/>
                <w:szCs w:val="21"/>
                <w:highlight w:val="none"/>
              </w:rPr>
            </w:pPr>
          </w:p>
        </w:tc>
        <w:tc>
          <w:tcPr>
            <w:tcW w:w="864" w:type="dxa"/>
            <w:tcBorders>
              <w:top w:val="single" w:color="auto" w:sz="4" w:space="0"/>
              <w:left w:val="single" w:color="auto" w:sz="4" w:space="0"/>
              <w:bottom w:val="single" w:color="auto" w:sz="4" w:space="0"/>
            </w:tcBorders>
            <w:noWrap w:val="0"/>
            <w:vAlign w:val="top"/>
          </w:tcPr>
          <w:p w14:paraId="0C7A26BC">
            <w:pPr>
              <w:rPr>
                <w:color w:val="auto"/>
                <w:szCs w:val="21"/>
                <w:highlight w:val="none"/>
              </w:rPr>
            </w:pPr>
          </w:p>
        </w:tc>
        <w:tc>
          <w:tcPr>
            <w:tcW w:w="864" w:type="dxa"/>
            <w:tcBorders>
              <w:top w:val="single" w:color="auto" w:sz="4" w:space="0"/>
              <w:left w:val="single" w:color="auto" w:sz="4" w:space="0"/>
              <w:bottom w:val="single" w:color="auto" w:sz="4" w:space="0"/>
            </w:tcBorders>
            <w:noWrap w:val="0"/>
            <w:vAlign w:val="top"/>
          </w:tcPr>
          <w:p w14:paraId="1AC46303">
            <w:pPr>
              <w:rPr>
                <w:color w:val="auto"/>
                <w:szCs w:val="21"/>
                <w:highlight w:val="none"/>
              </w:rPr>
            </w:pPr>
          </w:p>
        </w:tc>
        <w:tc>
          <w:tcPr>
            <w:tcW w:w="864" w:type="dxa"/>
            <w:tcBorders>
              <w:top w:val="single" w:color="auto" w:sz="4" w:space="0"/>
              <w:left w:val="single" w:color="auto" w:sz="4" w:space="0"/>
              <w:bottom w:val="single" w:color="auto" w:sz="4" w:space="0"/>
            </w:tcBorders>
            <w:noWrap w:val="0"/>
            <w:vAlign w:val="top"/>
          </w:tcPr>
          <w:p w14:paraId="137DF36F">
            <w:pPr>
              <w:rPr>
                <w:color w:val="auto"/>
                <w:szCs w:val="21"/>
                <w:highlight w:val="none"/>
              </w:rPr>
            </w:pPr>
          </w:p>
        </w:tc>
        <w:tc>
          <w:tcPr>
            <w:tcW w:w="864" w:type="dxa"/>
            <w:tcBorders>
              <w:top w:val="single" w:color="auto" w:sz="4" w:space="0"/>
              <w:left w:val="single" w:color="auto" w:sz="4" w:space="0"/>
              <w:bottom w:val="single" w:color="auto" w:sz="4" w:space="0"/>
            </w:tcBorders>
            <w:noWrap w:val="0"/>
            <w:vAlign w:val="top"/>
          </w:tcPr>
          <w:p w14:paraId="684DA60D">
            <w:pPr>
              <w:rPr>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1DB3F829">
            <w:pPr>
              <w:rPr>
                <w:color w:val="auto"/>
                <w:szCs w:val="21"/>
                <w:highlight w:val="none"/>
              </w:rPr>
            </w:pPr>
          </w:p>
        </w:tc>
      </w:tr>
    </w:tbl>
    <w:p w14:paraId="701FBE49">
      <w:pPr>
        <w:spacing w:after="299" w:line="1" w:lineRule="exact"/>
        <w:rPr>
          <w:color w:val="auto"/>
          <w:highlight w:val="none"/>
        </w:rPr>
      </w:pPr>
    </w:p>
    <w:p w14:paraId="071AD1F6">
      <w:pPr>
        <w:pStyle w:val="93"/>
        <w:tabs>
          <w:tab w:val="left" w:pos="847"/>
          <w:tab w:val="left" w:leader="underscore" w:pos="850"/>
          <w:tab w:val="left" w:leader="underscore" w:pos="1906"/>
          <w:tab w:val="left" w:pos="1908"/>
          <w:tab w:val="left" w:pos="2964"/>
        </w:tabs>
        <w:spacing w:after="420" w:line="353" w:lineRule="exact"/>
        <w:ind w:firstLine="420" w:firstLineChars="200"/>
        <w:jc w:val="right"/>
        <w:rPr>
          <w:color w:val="auto"/>
          <w:highlight w:val="none"/>
        </w:rPr>
        <w:sectPr>
          <w:headerReference r:id="rId9" w:type="default"/>
          <w:footerReference r:id="rId11" w:type="default"/>
          <w:headerReference r:id="rId10" w:type="even"/>
          <w:footerReference r:id="rId12" w:type="even"/>
          <w:pgSz w:w="11900" w:h="16832"/>
          <w:pgMar w:top="1440" w:right="1803" w:bottom="1440" w:left="1803" w:header="851" w:footer="851" w:gutter="0"/>
          <w:pgNumType w:fmt="decimal" w:start="1"/>
          <w:cols w:space="720" w:num="1"/>
          <w:docGrid w:linePitch="360" w:charSpace="0"/>
        </w:sectPr>
      </w:pPr>
      <w:bookmarkStart w:id="118" w:name="_Toc27417"/>
      <w:bookmarkStart w:id="119" w:name="bookmark2236"/>
      <w:bookmarkStart w:id="120" w:name="_Toc3373"/>
      <w:bookmarkStart w:id="121" w:name="bookmark2235"/>
      <w:bookmarkStart w:id="122" w:name="bookmark2234"/>
    </w:p>
    <w:p w14:paraId="0A5CC60C">
      <w:pPr>
        <w:pStyle w:val="10"/>
        <w:rPr>
          <w:rFonts w:hint="eastAsia" w:ascii="宋体" w:hAnsi="宋体" w:cs="宋体"/>
          <w:b w:val="0"/>
          <w:color w:val="auto"/>
          <w:sz w:val="28"/>
          <w:szCs w:val="28"/>
          <w:highlight w:val="none"/>
        </w:rPr>
      </w:pPr>
      <w:r>
        <w:rPr>
          <w:rFonts w:hint="eastAsia" w:ascii="宋体" w:hAnsi="宋体" w:cs="宋体"/>
          <w:b w:val="0"/>
          <w:color w:val="auto"/>
          <w:sz w:val="28"/>
          <w:szCs w:val="28"/>
          <w:highlight w:val="none"/>
        </w:rPr>
        <w:t>附件二：拟投入本合同工程的试验和检测仪器设备表</w:t>
      </w:r>
      <w:bookmarkEnd w:id="118"/>
    </w:p>
    <w:p w14:paraId="5A2CB9A2">
      <w:pPr>
        <w:rPr>
          <w:rFonts w:hint="eastAsia"/>
          <w:color w:val="auto"/>
          <w:highlight w:val="none"/>
        </w:rPr>
      </w:pPr>
    </w:p>
    <w:p w14:paraId="3D69E6BC">
      <w:pPr>
        <w:jc w:val="center"/>
        <w:rPr>
          <w:rFonts w:hint="eastAsia" w:ascii="宋体" w:hAnsi="宋体" w:cs="宋体"/>
          <w:b/>
          <w:bCs/>
          <w:color w:val="auto"/>
          <w:sz w:val="28"/>
          <w:szCs w:val="28"/>
          <w:highlight w:val="none"/>
        </w:rPr>
      </w:pPr>
      <w:bookmarkStart w:id="123" w:name="_Toc24555"/>
      <w:r>
        <w:rPr>
          <w:rFonts w:hint="eastAsia" w:ascii="宋体" w:hAnsi="宋体" w:cs="宋体"/>
          <w:b/>
          <w:bCs/>
          <w:color w:val="auto"/>
          <w:sz w:val="28"/>
          <w:szCs w:val="28"/>
          <w:highlight w:val="none"/>
        </w:rPr>
        <w:t>拟投入本合同工程的试验和检测仪器设备表</w:t>
      </w:r>
      <w:bookmarkEnd w:id="119"/>
      <w:bookmarkEnd w:id="120"/>
      <w:bookmarkEnd w:id="121"/>
      <w:bookmarkEnd w:id="122"/>
      <w:bookmarkEnd w:id="123"/>
    </w:p>
    <w:p w14:paraId="092B9AF2">
      <w:pPr>
        <w:jc w:val="center"/>
        <w:rPr>
          <w:b/>
          <w:color w:val="auto"/>
          <w:highlight w:val="none"/>
        </w:rPr>
      </w:pPr>
    </w:p>
    <w:tbl>
      <w:tblPr>
        <w:tblStyle w:val="43"/>
        <w:tblW w:w="0" w:type="auto"/>
        <w:jc w:val="center"/>
        <w:tblLayout w:type="fixed"/>
        <w:tblCellMar>
          <w:top w:w="0" w:type="dxa"/>
          <w:left w:w="10" w:type="dxa"/>
          <w:bottom w:w="0" w:type="dxa"/>
          <w:right w:w="10" w:type="dxa"/>
        </w:tblCellMar>
      </w:tblPr>
      <w:tblGrid>
        <w:gridCol w:w="576"/>
        <w:gridCol w:w="1416"/>
        <w:gridCol w:w="907"/>
        <w:gridCol w:w="907"/>
        <w:gridCol w:w="907"/>
        <w:gridCol w:w="912"/>
        <w:gridCol w:w="902"/>
        <w:gridCol w:w="907"/>
        <w:gridCol w:w="917"/>
      </w:tblGrid>
      <w:tr w14:paraId="6BC37808">
        <w:tblPrEx>
          <w:tblCellMar>
            <w:top w:w="0" w:type="dxa"/>
            <w:left w:w="10" w:type="dxa"/>
            <w:bottom w:w="0" w:type="dxa"/>
            <w:right w:w="10" w:type="dxa"/>
          </w:tblCellMar>
        </w:tblPrEx>
        <w:trPr>
          <w:trHeight w:val="859" w:hRule="exact"/>
          <w:jc w:val="center"/>
        </w:trPr>
        <w:tc>
          <w:tcPr>
            <w:tcW w:w="576" w:type="dxa"/>
            <w:tcBorders>
              <w:top w:val="single" w:color="auto" w:sz="4" w:space="0"/>
              <w:left w:val="single" w:color="auto" w:sz="4" w:space="0"/>
            </w:tcBorders>
            <w:shd w:val="clear" w:color="auto" w:fill="FFFFFF"/>
            <w:noWrap w:val="0"/>
            <w:vAlign w:val="center"/>
          </w:tcPr>
          <w:p w14:paraId="36E41BFA">
            <w:pPr>
              <w:pStyle w:val="168"/>
              <w:spacing w:line="240" w:lineRule="auto"/>
              <w:ind w:firstLine="0"/>
              <w:jc w:val="center"/>
              <w:rPr>
                <w:color w:val="auto"/>
                <w:sz w:val="21"/>
                <w:szCs w:val="21"/>
                <w:highlight w:val="none"/>
              </w:rPr>
            </w:pPr>
            <w:r>
              <w:rPr>
                <w:color w:val="auto"/>
                <w:sz w:val="21"/>
                <w:szCs w:val="21"/>
                <w:highlight w:val="none"/>
              </w:rPr>
              <w:t>序号</w:t>
            </w:r>
          </w:p>
        </w:tc>
        <w:tc>
          <w:tcPr>
            <w:tcW w:w="1416" w:type="dxa"/>
            <w:tcBorders>
              <w:top w:val="single" w:color="auto" w:sz="4" w:space="0"/>
              <w:left w:val="single" w:color="auto" w:sz="4" w:space="0"/>
            </w:tcBorders>
            <w:shd w:val="clear" w:color="auto" w:fill="FFFFFF"/>
            <w:noWrap w:val="0"/>
            <w:vAlign w:val="center"/>
          </w:tcPr>
          <w:p w14:paraId="7706D7C8">
            <w:pPr>
              <w:pStyle w:val="168"/>
              <w:spacing w:line="240" w:lineRule="auto"/>
              <w:ind w:firstLine="0"/>
              <w:jc w:val="center"/>
              <w:rPr>
                <w:color w:val="auto"/>
                <w:sz w:val="21"/>
                <w:szCs w:val="21"/>
                <w:highlight w:val="none"/>
              </w:rPr>
            </w:pPr>
            <w:r>
              <w:rPr>
                <w:color w:val="auto"/>
                <w:sz w:val="21"/>
                <w:szCs w:val="21"/>
                <w:highlight w:val="none"/>
              </w:rPr>
              <w:t>仪器设备名称</w:t>
            </w:r>
          </w:p>
        </w:tc>
        <w:tc>
          <w:tcPr>
            <w:tcW w:w="907" w:type="dxa"/>
            <w:tcBorders>
              <w:top w:val="single" w:color="auto" w:sz="4" w:space="0"/>
              <w:left w:val="single" w:color="auto" w:sz="4" w:space="0"/>
            </w:tcBorders>
            <w:shd w:val="clear" w:color="auto" w:fill="FFFFFF"/>
            <w:noWrap w:val="0"/>
            <w:vAlign w:val="center"/>
          </w:tcPr>
          <w:p w14:paraId="7E443926">
            <w:pPr>
              <w:pStyle w:val="168"/>
              <w:spacing w:line="240" w:lineRule="auto"/>
              <w:ind w:firstLine="0"/>
              <w:jc w:val="center"/>
              <w:rPr>
                <w:color w:val="auto"/>
                <w:sz w:val="21"/>
                <w:szCs w:val="21"/>
                <w:highlight w:val="none"/>
              </w:rPr>
            </w:pPr>
            <w:r>
              <w:rPr>
                <w:color w:val="auto"/>
                <w:sz w:val="21"/>
                <w:szCs w:val="21"/>
                <w:highlight w:val="none"/>
              </w:rPr>
              <w:t>型号规格</w:t>
            </w:r>
          </w:p>
        </w:tc>
        <w:tc>
          <w:tcPr>
            <w:tcW w:w="907" w:type="dxa"/>
            <w:tcBorders>
              <w:top w:val="single" w:color="auto" w:sz="4" w:space="0"/>
              <w:left w:val="single" w:color="auto" w:sz="4" w:space="0"/>
            </w:tcBorders>
            <w:shd w:val="clear" w:color="auto" w:fill="FFFFFF"/>
            <w:noWrap w:val="0"/>
            <w:vAlign w:val="center"/>
          </w:tcPr>
          <w:p w14:paraId="4EF9070F">
            <w:pPr>
              <w:pStyle w:val="168"/>
              <w:spacing w:line="240" w:lineRule="auto"/>
              <w:ind w:firstLine="0"/>
              <w:jc w:val="center"/>
              <w:rPr>
                <w:color w:val="auto"/>
                <w:sz w:val="21"/>
                <w:szCs w:val="21"/>
                <w:highlight w:val="none"/>
              </w:rPr>
            </w:pPr>
            <w:r>
              <w:rPr>
                <w:color w:val="auto"/>
                <w:sz w:val="21"/>
                <w:szCs w:val="21"/>
                <w:highlight w:val="none"/>
              </w:rPr>
              <w:t>数量</w:t>
            </w:r>
          </w:p>
        </w:tc>
        <w:tc>
          <w:tcPr>
            <w:tcW w:w="907" w:type="dxa"/>
            <w:tcBorders>
              <w:top w:val="single" w:color="auto" w:sz="4" w:space="0"/>
              <w:left w:val="single" w:color="auto" w:sz="4" w:space="0"/>
            </w:tcBorders>
            <w:shd w:val="clear" w:color="auto" w:fill="FFFFFF"/>
            <w:noWrap w:val="0"/>
            <w:vAlign w:val="center"/>
          </w:tcPr>
          <w:p w14:paraId="380DC367">
            <w:pPr>
              <w:pStyle w:val="168"/>
              <w:spacing w:line="240" w:lineRule="auto"/>
              <w:ind w:firstLine="0"/>
              <w:jc w:val="center"/>
              <w:rPr>
                <w:color w:val="auto"/>
                <w:sz w:val="21"/>
                <w:szCs w:val="21"/>
                <w:highlight w:val="none"/>
              </w:rPr>
            </w:pPr>
            <w:r>
              <w:rPr>
                <w:color w:val="auto"/>
                <w:sz w:val="21"/>
                <w:szCs w:val="21"/>
                <w:highlight w:val="none"/>
              </w:rPr>
              <w:t>国别产地</w:t>
            </w:r>
          </w:p>
        </w:tc>
        <w:tc>
          <w:tcPr>
            <w:tcW w:w="912" w:type="dxa"/>
            <w:tcBorders>
              <w:top w:val="single" w:color="auto" w:sz="4" w:space="0"/>
              <w:left w:val="single" w:color="auto" w:sz="4" w:space="0"/>
            </w:tcBorders>
            <w:shd w:val="clear" w:color="auto" w:fill="FFFFFF"/>
            <w:noWrap w:val="0"/>
            <w:vAlign w:val="center"/>
          </w:tcPr>
          <w:p w14:paraId="76EB60DA">
            <w:pPr>
              <w:pStyle w:val="168"/>
              <w:spacing w:line="240" w:lineRule="auto"/>
              <w:ind w:firstLine="0"/>
              <w:jc w:val="center"/>
              <w:rPr>
                <w:color w:val="auto"/>
                <w:sz w:val="21"/>
                <w:szCs w:val="21"/>
                <w:highlight w:val="none"/>
              </w:rPr>
            </w:pPr>
            <w:r>
              <w:rPr>
                <w:color w:val="auto"/>
                <w:sz w:val="21"/>
                <w:szCs w:val="21"/>
                <w:highlight w:val="none"/>
              </w:rPr>
              <w:t>制造年份</w:t>
            </w:r>
          </w:p>
        </w:tc>
        <w:tc>
          <w:tcPr>
            <w:tcW w:w="902" w:type="dxa"/>
            <w:tcBorders>
              <w:top w:val="single" w:color="auto" w:sz="4" w:space="0"/>
              <w:left w:val="single" w:color="auto" w:sz="4" w:space="0"/>
            </w:tcBorders>
            <w:shd w:val="clear" w:color="auto" w:fill="FFFFFF"/>
            <w:noWrap w:val="0"/>
            <w:vAlign w:val="center"/>
          </w:tcPr>
          <w:p w14:paraId="2ACAC484">
            <w:pPr>
              <w:pStyle w:val="168"/>
              <w:spacing w:line="264" w:lineRule="exact"/>
              <w:ind w:firstLine="0"/>
              <w:jc w:val="center"/>
              <w:rPr>
                <w:color w:val="auto"/>
                <w:sz w:val="21"/>
                <w:szCs w:val="21"/>
                <w:highlight w:val="none"/>
              </w:rPr>
            </w:pPr>
            <w:r>
              <w:rPr>
                <w:color w:val="auto"/>
                <w:sz w:val="21"/>
                <w:szCs w:val="21"/>
                <w:highlight w:val="none"/>
              </w:rPr>
              <w:t>己使用</w:t>
            </w:r>
          </w:p>
          <w:p w14:paraId="5F14386F">
            <w:pPr>
              <w:pStyle w:val="168"/>
              <w:spacing w:line="264" w:lineRule="exact"/>
              <w:ind w:firstLine="0"/>
              <w:jc w:val="center"/>
              <w:rPr>
                <w:color w:val="auto"/>
                <w:sz w:val="21"/>
                <w:szCs w:val="21"/>
                <w:highlight w:val="none"/>
              </w:rPr>
            </w:pPr>
            <w:r>
              <w:rPr>
                <w:color w:val="auto"/>
                <w:sz w:val="21"/>
                <w:szCs w:val="21"/>
                <w:highlight w:val="none"/>
              </w:rPr>
              <w:t>台时数</w:t>
            </w:r>
          </w:p>
        </w:tc>
        <w:tc>
          <w:tcPr>
            <w:tcW w:w="907" w:type="dxa"/>
            <w:tcBorders>
              <w:top w:val="single" w:color="auto" w:sz="4" w:space="0"/>
              <w:left w:val="single" w:color="auto" w:sz="4" w:space="0"/>
            </w:tcBorders>
            <w:shd w:val="clear" w:color="auto" w:fill="FFFFFF"/>
            <w:noWrap w:val="0"/>
            <w:vAlign w:val="center"/>
          </w:tcPr>
          <w:p w14:paraId="18F309AB">
            <w:pPr>
              <w:pStyle w:val="168"/>
              <w:spacing w:line="240" w:lineRule="auto"/>
              <w:ind w:firstLine="0"/>
              <w:jc w:val="center"/>
              <w:rPr>
                <w:color w:val="auto"/>
                <w:sz w:val="21"/>
                <w:szCs w:val="21"/>
                <w:highlight w:val="none"/>
              </w:rPr>
            </w:pPr>
            <w:r>
              <w:rPr>
                <w:color w:val="auto"/>
                <w:sz w:val="21"/>
                <w:szCs w:val="21"/>
                <w:highlight w:val="none"/>
              </w:rPr>
              <w:t>用途</w:t>
            </w:r>
          </w:p>
        </w:tc>
        <w:tc>
          <w:tcPr>
            <w:tcW w:w="917" w:type="dxa"/>
            <w:tcBorders>
              <w:top w:val="single" w:color="auto" w:sz="4" w:space="0"/>
              <w:left w:val="single" w:color="auto" w:sz="4" w:space="0"/>
              <w:right w:val="single" w:color="auto" w:sz="4" w:space="0"/>
            </w:tcBorders>
            <w:shd w:val="clear" w:color="auto" w:fill="FFFFFF"/>
            <w:noWrap w:val="0"/>
            <w:vAlign w:val="center"/>
          </w:tcPr>
          <w:p w14:paraId="17610DB9">
            <w:pPr>
              <w:pStyle w:val="168"/>
              <w:spacing w:line="240" w:lineRule="auto"/>
              <w:ind w:firstLine="0"/>
              <w:jc w:val="center"/>
              <w:rPr>
                <w:color w:val="auto"/>
                <w:sz w:val="21"/>
                <w:szCs w:val="21"/>
                <w:highlight w:val="none"/>
              </w:rPr>
            </w:pPr>
            <w:r>
              <w:rPr>
                <w:color w:val="auto"/>
                <w:sz w:val="21"/>
                <w:szCs w:val="21"/>
                <w:highlight w:val="none"/>
              </w:rPr>
              <w:t>备注</w:t>
            </w:r>
          </w:p>
        </w:tc>
      </w:tr>
      <w:tr w14:paraId="7D8F2FD8">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noWrap w:val="0"/>
            <w:vAlign w:val="top"/>
          </w:tcPr>
          <w:p w14:paraId="35402B5C">
            <w:pPr>
              <w:rPr>
                <w:color w:val="auto"/>
                <w:szCs w:val="21"/>
                <w:highlight w:val="none"/>
              </w:rPr>
            </w:pPr>
          </w:p>
        </w:tc>
        <w:tc>
          <w:tcPr>
            <w:tcW w:w="1416" w:type="dxa"/>
            <w:tcBorders>
              <w:top w:val="single" w:color="auto" w:sz="4" w:space="0"/>
              <w:left w:val="single" w:color="auto" w:sz="4" w:space="0"/>
            </w:tcBorders>
            <w:shd w:val="clear" w:color="auto" w:fill="FFFFFF"/>
            <w:noWrap w:val="0"/>
            <w:vAlign w:val="top"/>
          </w:tcPr>
          <w:p w14:paraId="3ED46250">
            <w:pPr>
              <w:rPr>
                <w:color w:val="auto"/>
                <w:szCs w:val="21"/>
                <w:highlight w:val="none"/>
              </w:rPr>
            </w:pPr>
          </w:p>
        </w:tc>
        <w:tc>
          <w:tcPr>
            <w:tcW w:w="907" w:type="dxa"/>
            <w:tcBorders>
              <w:top w:val="single" w:color="auto" w:sz="4" w:space="0"/>
              <w:left w:val="single" w:color="auto" w:sz="4" w:space="0"/>
            </w:tcBorders>
            <w:shd w:val="clear" w:color="auto" w:fill="FFFFFF"/>
            <w:noWrap w:val="0"/>
            <w:vAlign w:val="top"/>
          </w:tcPr>
          <w:p w14:paraId="50B4043A">
            <w:pPr>
              <w:rPr>
                <w:color w:val="auto"/>
                <w:szCs w:val="21"/>
                <w:highlight w:val="none"/>
              </w:rPr>
            </w:pPr>
          </w:p>
        </w:tc>
        <w:tc>
          <w:tcPr>
            <w:tcW w:w="907" w:type="dxa"/>
            <w:tcBorders>
              <w:top w:val="single" w:color="auto" w:sz="4" w:space="0"/>
              <w:left w:val="single" w:color="auto" w:sz="4" w:space="0"/>
            </w:tcBorders>
            <w:shd w:val="clear" w:color="auto" w:fill="FFFFFF"/>
            <w:noWrap w:val="0"/>
            <w:vAlign w:val="top"/>
          </w:tcPr>
          <w:p w14:paraId="1F0D6BC7">
            <w:pPr>
              <w:rPr>
                <w:color w:val="auto"/>
                <w:szCs w:val="21"/>
                <w:highlight w:val="none"/>
              </w:rPr>
            </w:pPr>
          </w:p>
        </w:tc>
        <w:tc>
          <w:tcPr>
            <w:tcW w:w="907" w:type="dxa"/>
            <w:tcBorders>
              <w:top w:val="single" w:color="auto" w:sz="4" w:space="0"/>
              <w:left w:val="single" w:color="auto" w:sz="4" w:space="0"/>
            </w:tcBorders>
            <w:shd w:val="clear" w:color="auto" w:fill="FFFFFF"/>
            <w:noWrap w:val="0"/>
            <w:vAlign w:val="top"/>
          </w:tcPr>
          <w:p w14:paraId="6E71726F">
            <w:pPr>
              <w:rPr>
                <w:color w:val="auto"/>
                <w:szCs w:val="21"/>
                <w:highlight w:val="none"/>
              </w:rPr>
            </w:pPr>
          </w:p>
        </w:tc>
        <w:tc>
          <w:tcPr>
            <w:tcW w:w="912" w:type="dxa"/>
            <w:tcBorders>
              <w:top w:val="single" w:color="auto" w:sz="4" w:space="0"/>
              <w:left w:val="single" w:color="auto" w:sz="4" w:space="0"/>
            </w:tcBorders>
            <w:shd w:val="clear" w:color="auto" w:fill="FFFFFF"/>
            <w:noWrap w:val="0"/>
            <w:vAlign w:val="top"/>
          </w:tcPr>
          <w:p w14:paraId="7D7FE7E9">
            <w:pPr>
              <w:rPr>
                <w:color w:val="auto"/>
                <w:szCs w:val="21"/>
                <w:highlight w:val="none"/>
              </w:rPr>
            </w:pPr>
          </w:p>
        </w:tc>
        <w:tc>
          <w:tcPr>
            <w:tcW w:w="902" w:type="dxa"/>
            <w:tcBorders>
              <w:top w:val="single" w:color="auto" w:sz="4" w:space="0"/>
              <w:left w:val="single" w:color="auto" w:sz="4" w:space="0"/>
            </w:tcBorders>
            <w:shd w:val="clear" w:color="auto" w:fill="FFFFFF"/>
            <w:noWrap w:val="0"/>
            <w:vAlign w:val="top"/>
          </w:tcPr>
          <w:p w14:paraId="279D65D6">
            <w:pPr>
              <w:rPr>
                <w:color w:val="auto"/>
                <w:szCs w:val="21"/>
                <w:highlight w:val="none"/>
              </w:rPr>
            </w:pPr>
          </w:p>
        </w:tc>
        <w:tc>
          <w:tcPr>
            <w:tcW w:w="907" w:type="dxa"/>
            <w:tcBorders>
              <w:top w:val="single" w:color="auto" w:sz="4" w:space="0"/>
              <w:left w:val="single" w:color="auto" w:sz="4" w:space="0"/>
            </w:tcBorders>
            <w:shd w:val="clear" w:color="auto" w:fill="FFFFFF"/>
            <w:noWrap w:val="0"/>
            <w:vAlign w:val="top"/>
          </w:tcPr>
          <w:p w14:paraId="0F6B63EA">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noWrap w:val="0"/>
            <w:vAlign w:val="top"/>
          </w:tcPr>
          <w:p w14:paraId="45F985E0">
            <w:pPr>
              <w:rPr>
                <w:color w:val="auto"/>
                <w:szCs w:val="21"/>
                <w:highlight w:val="none"/>
              </w:rPr>
            </w:pPr>
          </w:p>
        </w:tc>
      </w:tr>
      <w:tr w14:paraId="1C7AC58A">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noWrap w:val="0"/>
            <w:vAlign w:val="top"/>
          </w:tcPr>
          <w:p w14:paraId="34B7F55D">
            <w:pPr>
              <w:rPr>
                <w:color w:val="auto"/>
                <w:szCs w:val="21"/>
                <w:highlight w:val="none"/>
              </w:rPr>
            </w:pPr>
          </w:p>
        </w:tc>
        <w:tc>
          <w:tcPr>
            <w:tcW w:w="1416" w:type="dxa"/>
            <w:tcBorders>
              <w:top w:val="single" w:color="auto" w:sz="4" w:space="0"/>
              <w:left w:val="single" w:color="auto" w:sz="4" w:space="0"/>
            </w:tcBorders>
            <w:shd w:val="clear" w:color="auto" w:fill="FFFFFF"/>
            <w:noWrap w:val="0"/>
            <w:vAlign w:val="top"/>
          </w:tcPr>
          <w:p w14:paraId="13B791BF">
            <w:pPr>
              <w:rPr>
                <w:color w:val="auto"/>
                <w:szCs w:val="21"/>
                <w:highlight w:val="none"/>
              </w:rPr>
            </w:pPr>
          </w:p>
        </w:tc>
        <w:tc>
          <w:tcPr>
            <w:tcW w:w="907" w:type="dxa"/>
            <w:tcBorders>
              <w:top w:val="single" w:color="auto" w:sz="4" w:space="0"/>
              <w:left w:val="single" w:color="auto" w:sz="4" w:space="0"/>
            </w:tcBorders>
            <w:shd w:val="clear" w:color="auto" w:fill="FFFFFF"/>
            <w:noWrap w:val="0"/>
            <w:vAlign w:val="top"/>
          </w:tcPr>
          <w:p w14:paraId="775E56C6">
            <w:pPr>
              <w:rPr>
                <w:color w:val="auto"/>
                <w:szCs w:val="21"/>
                <w:highlight w:val="none"/>
              </w:rPr>
            </w:pPr>
          </w:p>
        </w:tc>
        <w:tc>
          <w:tcPr>
            <w:tcW w:w="907" w:type="dxa"/>
            <w:tcBorders>
              <w:top w:val="single" w:color="auto" w:sz="4" w:space="0"/>
              <w:left w:val="single" w:color="auto" w:sz="4" w:space="0"/>
            </w:tcBorders>
            <w:shd w:val="clear" w:color="auto" w:fill="FFFFFF"/>
            <w:noWrap w:val="0"/>
            <w:vAlign w:val="top"/>
          </w:tcPr>
          <w:p w14:paraId="44720E39">
            <w:pPr>
              <w:rPr>
                <w:color w:val="auto"/>
                <w:szCs w:val="21"/>
                <w:highlight w:val="none"/>
              </w:rPr>
            </w:pPr>
          </w:p>
        </w:tc>
        <w:tc>
          <w:tcPr>
            <w:tcW w:w="907" w:type="dxa"/>
            <w:tcBorders>
              <w:top w:val="single" w:color="auto" w:sz="4" w:space="0"/>
              <w:left w:val="single" w:color="auto" w:sz="4" w:space="0"/>
            </w:tcBorders>
            <w:shd w:val="clear" w:color="auto" w:fill="FFFFFF"/>
            <w:noWrap w:val="0"/>
            <w:vAlign w:val="top"/>
          </w:tcPr>
          <w:p w14:paraId="64749490">
            <w:pPr>
              <w:rPr>
                <w:color w:val="auto"/>
                <w:szCs w:val="21"/>
                <w:highlight w:val="none"/>
              </w:rPr>
            </w:pPr>
          </w:p>
        </w:tc>
        <w:tc>
          <w:tcPr>
            <w:tcW w:w="912" w:type="dxa"/>
            <w:tcBorders>
              <w:top w:val="single" w:color="auto" w:sz="4" w:space="0"/>
              <w:left w:val="single" w:color="auto" w:sz="4" w:space="0"/>
            </w:tcBorders>
            <w:shd w:val="clear" w:color="auto" w:fill="FFFFFF"/>
            <w:noWrap w:val="0"/>
            <w:vAlign w:val="top"/>
          </w:tcPr>
          <w:p w14:paraId="2B39AF32">
            <w:pPr>
              <w:rPr>
                <w:color w:val="auto"/>
                <w:szCs w:val="21"/>
                <w:highlight w:val="none"/>
              </w:rPr>
            </w:pPr>
          </w:p>
        </w:tc>
        <w:tc>
          <w:tcPr>
            <w:tcW w:w="902" w:type="dxa"/>
            <w:tcBorders>
              <w:top w:val="single" w:color="auto" w:sz="4" w:space="0"/>
              <w:left w:val="single" w:color="auto" w:sz="4" w:space="0"/>
            </w:tcBorders>
            <w:shd w:val="clear" w:color="auto" w:fill="FFFFFF"/>
            <w:noWrap w:val="0"/>
            <w:vAlign w:val="top"/>
          </w:tcPr>
          <w:p w14:paraId="6BA1143F">
            <w:pPr>
              <w:rPr>
                <w:color w:val="auto"/>
                <w:szCs w:val="21"/>
                <w:highlight w:val="none"/>
              </w:rPr>
            </w:pPr>
          </w:p>
        </w:tc>
        <w:tc>
          <w:tcPr>
            <w:tcW w:w="907" w:type="dxa"/>
            <w:tcBorders>
              <w:top w:val="single" w:color="auto" w:sz="4" w:space="0"/>
              <w:left w:val="single" w:color="auto" w:sz="4" w:space="0"/>
            </w:tcBorders>
            <w:shd w:val="clear" w:color="auto" w:fill="FFFFFF"/>
            <w:noWrap w:val="0"/>
            <w:vAlign w:val="top"/>
          </w:tcPr>
          <w:p w14:paraId="0FB4FA5A">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noWrap w:val="0"/>
            <w:vAlign w:val="top"/>
          </w:tcPr>
          <w:p w14:paraId="3E1A005D">
            <w:pPr>
              <w:rPr>
                <w:color w:val="auto"/>
                <w:szCs w:val="21"/>
                <w:highlight w:val="none"/>
              </w:rPr>
            </w:pPr>
          </w:p>
        </w:tc>
      </w:tr>
      <w:tr w14:paraId="7661F853">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noWrap w:val="0"/>
            <w:vAlign w:val="top"/>
          </w:tcPr>
          <w:p w14:paraId="7C7261A2">
            <w:pPr>
              <w:rPr>
                <w:color w:val="auto"/>
                <w:szCs w:val="21"/>
                <w:highlight w:val="none"/>
              </w:rPr>
            </w:pPr>
          </w:p>
        </w:tc>
        <w:tc>
          <w:tcPr>
            <w:tcW w:w="1416" w:type="dxa"/>
            <w:tcBorders>
              <w:top w:val="single" w:color="auto" w:sz="4" w:space="0"/>
              <w:left w:val="single" w:color="auto" w:sz="4" w:space="0"/>
            </w:tcBorders>
            <w:shd w:val="clear" w:color="auto" w:fill="FFFFFF"/>
            <w:noWrap w:val="0"/>
            <w:vAlign w:val="top"/>
          </w:tcPr>
          <w:p w14:paraId="0A52E88C">
            <w:pPr>
              <w:rPr>
                <w:color w:val="auto"/>
                <w:szCs w:val="21"/>
                <w:highlight w:val="none"/>
              </w:rPr>
            </w:pPr>
          </w:p>
        </w:tc>
        <w:tc>
          <w:tcPr>
            <w:tcW w:w="907" w:type="dxa"/>
            <w:tcBorders>
              <w:top w:val="single" w:color="auto" w:sz="4" w:space="0"/>
              <w:left w:val="single" w:color="auto" w:sz="4" w:space="0"/>
            </w:tcBorders>
            <w:shd w:val="clear" w:color="auto" w:fill="FFFFFF"/>
            <w:noWrap w:val="0"/>
            <w:vAlign w:val="top"/>
          </w:tcPr>
          <w:p w14:paraId="38C44AC5">
            <w:pPr>
              <w:rPr>
                <w:color w:val="auto"/>
                <w:szCs w:val="21"/>
                <w:highlight w:val="none"/>
              </w:rPr>
            </w:pPr>
          </w:p>
        </w:tc>
        <w:tc>
          <w:tcPr>
            <w:tcW w:w="907" w:type="dxa"/>
            <w:tcBorders>
              <w:top w:val="single" w:color="auto" w:sz="4" w:space="0"/>
              <w:left w:val="single" w:color="auto" w:sz="4" w:space="0"/>
            </w:tcBorders>
            <w:shd w:val="clear" w:color="auto" w:fill="FFFFFF"/>
            <w:noWrap w:val="0"/>
            <w:vAlign w:val="top"/>
          </w:tcPr>
          <w:p w14:paraId="0EBC91C8">
            <w:pPr>
              <w:rPr>
                <w:color w:val="auto"/>
                <w:szCs w:val="21"/>
                <w:highlight w:val="none"/>
              </w:rPr>
            </w:pPr>
          </w:p>
        </w:tc>
        <w:tc>
          <w:tcPr>
            <w:tcW w:w="907" w:type="dxa"/>
            <w:tcBorders>
              <w:top w:val="single" w:color="auto" w:sz="4" w:space="0"/>
              <w:left w:val="single" w:color="auto" w:sz="4" w:space="0"/>
            </w:tcBorders>
            <w:shd w:val="clear" w:color="auto" w:fill="FFFFFF"/>
            <w:noWrap w:val="0"/>
            <w:vAlign w:val="top"/>
          </w:tcPr>
          <w:p w14:paraId="486DC1D7">
            <w:pPr>
              <w:rPr>
                <w:color w:val="auto"/>
                <w:szCs w:val="21"/>
                <w:highlight w:val="none"/>
              </w:rPr>
            </w:pPr>
          </w:p>
        </w:tc>
        <w:tc>
          <w:tcPr>
            <w:tcW w:w="912" w:type="dxa"/>
            <w:tcBorders>
              <w:top w:val="single" w:color="auto" w:sz="4" w:space="0"/>
              <w:left w:val="single" w:color="auto" w:sz="4" w:space="0"/>
            </w:tcBorders>
            <w:shd w:val="clear" w:color="auto" w:fill="FFFFFF"/>
            <w:noWrap w:val="0"/>
            <w:vAlign w:val="top"/>
          </w:tcPr>
          <w:p w14:paraId="1F8A807D">
            <w:pPr>
              <w:rPr>
                <w:color w:val="auto"/>
                <w:szCs w:val="21"/>
                <w:highlight w:val="none"/>
              </w:rPr>
            </w:pPr>
          </w:p>
        </w:tc>
        <w:tc>
          <w:tcPr>
            <w:tcW w:w="902" w:type="dxa"/>
            <w:tcBorders>
              <w:top w:val="single" w:color="auto" w:sz="4" w:space="0"/>
              <w:left w:val="single" w:color="auto" w:sz="4" w:space="0"/>
            </w:tcBorders>
            <w:shd w:val="clear" w:color="auto" w:fill="FFFFFF"/>
            <w:noWrap w:val="0"/>
            <w:vAlign w:val="top"/>
          </w:tcPr>
          <w:p w14:paraId="1B747499">
            <w:pPr>
              <w:rPr>
                <w:color w:val="auto"/>
                <w:szCs w:val="21"/>
                <w:highlight w:val="none"/>
              </w:rPr>
            </w:pPr>
          </w:p>
        </w:tc>
        <w:tc>
          <w:tcPr>
            <w:tcW w:w="907" w:type="dxa"/>
            <w:tcBorders>
              <w:top w:val="single" w:color="auto" w:sz="4" w:space="0"/>
              <w:left w:val="single" w:color="auto" w:sz="4" w:space="0"/>
            </w:tcBorders>
            <w:shd w:val="clear" w:color="auto" w:fill="FFFFFF"/>
            <w:noWrap w:val="0"/>
            <w:vAlign w:val="top"/>
          </w:tcPr>
          <w:p w14:paraId="140637D2">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noWrap w:val="0"/>
            <w:vAlign w:val="top"/>
          </w:tcPr>
          <w:p w14:paraId="7692600E">
            <w:pPr>
              <w:rPr>
                <w:color w:val="auto"/>
                <w:szCs w:val="21"/>
                <w:highlight w:val="none"/>
              </w:rPr>
            </w:pPr>
          </w:p>
        </w:tc>
      </w:tr>
      <w:tr w14:paraId="7E355569">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noWrap w:val="0"/>
            <w:vAlign w:val="top"/>
          </w:tcPr>
          <w:p w14:paraId="2BF68CE3">
            <w:pPr>
              <w:rPr>
                <w:color w:val="auto"/>
                <w:szCs w:val="21"/>
                <w:highlight w:val="none"/>
              </w:rPr>
            </w:pPr>
          </w:p>
        </w:tc>
        <w:tc>
          <w:tcPr>
            <w:tcW w:w="1416" w:type="dxa"/>
            <w:tcBorders>
              <w:top w:val="single" w:color="auto" w:sz="4" w:space="0"/>
              <w:left w:val="single" w:color="auto" w:sz="4" w:space="0"/>
            </w:tcBorders>
            <w:shd w:val="clear" w:color="auto" w:fill="FFFFFF"/>
            <w:noWrap w:val="0"/>
            <w:vAlign w:val="top"/>
          </w:tcPr>
          <w:p w14:paraId="5A8C5762">
            <w:pPr>
              <w:rPr>
                <w:color w:val="auto"/>
                <w:szCs w:val="21"/>
                <w:highlight w:val="none"/>
              </w:rPr>
            </w:pPr>
          </w:p>
        </w:tc>
        <w:tc>
          <w:tcPr>
            <w:tcW w:w="907" w:type="dxa"/>
            <w:tcBorders>
              <w:top w:val="single" w:color="auto" w:sz="4" w:space="0"/>
              <w:left w:val="single" w:color="auto" w:sz="4" w:space="0"/>
            </w:tcBorders>
            <w:shd w:val="clear" w:color="auto" w:fill="FFFFFF"/>
            <w:noWrap w:val="0"/>
            <w:vAlign w:val="top"/>
          </w:tcPr>
          <w:p w14:paraId="4B9750F2">
            <w:pPr>
              <w:rPr>
                <w:color w:val="auto"/>
                <w:szCs w:val="21"/>
                <w:highlight w:val="none"/>
              </w:rPr>
            </w:pPr>
          </w:p>
        </w:tc>
        <w:tc>
          <w:tcPr>
            <w:tcW w:w="907" w:type="dxa"/>
            <w:tcBorders>
              <w:top w:val="single" w:color="auto" w:sz="4" w:space="0"/>
              <w:left w:val="single" w:color="auto" w:sz="4" w:space="0"/>
            </w:tcBorders>
            <w:shd w:val="clear" w:color="auto" w:fill="FFFFFF"/>
            <w:noWrap w:val="0"/>
            <w:vAlign w:val="top"/>
          </w:tcPr>
          <w:p w14:paraId="3DA9E5EA">
            <w:pPr>
              <w:rPr>
                <w:color w:val="auto"/>
                <w:szCs w:val="21"/>
                <w:highlight w:val="none"/>
              </w:rPr>
            </w:pPr>
          </w:p>
        </w:tc>
        <w:tc>
          <w:tcPr>
            <w:tcW w:w="907" w:type="dxa"/>
            <w:tcBorders>
              <w:top w:val="single" w:color="auto" w:sz="4" w:space="0"/>
              <w:left w:val="single" w:color="auto" w:sz="4" w:space="0"/>
            </w:tcBorders>
            <w:shd w:val="clear" w:color="auto" w:fill="FFFFFF"/>
            <w:noWrap w:val="0"/>
            <w:vAlign w:val="top"/>
          </w:tcPr>
          <w:p w14:paraId="65731E25">
            <w:pPr>
              <w:rPr>
                <w:color w:val="auto"/>
                <w:szCs w:val="21"/>
                <w:highlight w:val="none"/>
              </w:rPr>
            </w:pPr>
          </w:p>
        </w:tc>
        <w:tc>
          <w:tcPr>
            <w:tcW w:w="912" w:type="dxa"/>
            <w:tcBorders>
              <w:top w:val="single" w:color="auto" w:sz="4" w:space="0"/>
              <w:left w:val="single" w:color="auto" w:sz="4" w:space="0"/>
            </w:tcBorders>
            <w:shd w:val="clear" w:color="auto" w:fill="FFFFFF"/>
            <w:noWrap w:val="0"/>
            <w:vAlign w:val="top"/>
          </w:tcPr>
          <w:p w14:paraId="436E8DFA">
            <w:pPr>
              <w:rPr>
                <w:color w:val="auto"/>
                <w:szCs w:val="21"/>
                <w:highlight w:val="none"/>
              </w:rPr>
            </w:pPr>
          </w:p>
        </w:tc>
        <w:tc>
          <w:tcPr>
            <w:tcW w:w="902" w:type="dxa"/>
            <w:tcBorders>
              <w:top w:val="single" w:color="auto" w:sz="4" w:space="0"/>
              <w:left w:val="single" w:color="auto" w:sz="4" w:space="0"/>
            </w:tcBorders>
            <w:shd w:val="clear" w:color="auto" w:fill="FFFFFF"/>
            <w:noWrap w:val="0"/>
            <w:vAlign w:val="top"/>
          </w:tcPr>
          <w:p w14:paraId="3E36C158">
            <w:pPr>
              <w:rPr>
                <w:color w:val="auto"/>
                <w:szCs w:val="21"/>
                <w:highlight w:val="none"/>
              </w:rPr>
            </w:pPr>
          </w:p>
        </w:tc>
        <w:tc>
          <w:tcPr>
            <w:tcW w:w="907" w:type="dxa"/>
            <w:tcBorders>
              <w:top w:val="single" w:color="auto" w:sz="4" w:space="0"/>
              <w:left w:val="single" w:color="auto" w:sz="4" w:space="0"/>
            </w:tcBorders>
            <w:shd w:val="clear" w:color="auto" w:fill="FFFFFF"/>
            <w:noWrap w:val="0"/>
            <w:vAlign w:val="top"/>
          </w:tcPr>
          <w:p w14:paraId="5C2D2A64">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noWrap w:val="0"/>
            <w:vAlign w:val="top"/>
          </w:tcPr>
          <w:p w14:paraId="5ECC6346">
            <w:pPr>
              <w:rPr>
                <w:color w:val="auto"/>
                <w:szCs w:val="21"/>
                <w:highlight w:val="none"/>
              </w:rPr>
            </w:pPr>
          </w:p>
        </w:tc>
      </w:tr>
      <w:tr w14:paraId="7C0DB123">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noWrap w:val="0"/>
            <w:vAlign w:val="top"/>
          </w:tcPr>
          <w:p w14:paraId="4806BF54">
            <w:pPr>
              <w:rPr>
                <w:color w:val="auto"/>
                <w:szCs w:val="21"/>
                <w:highlight w:val="none"/>
              </w:rPr>
            </w:pPr>
          </w:p>
        </w:tc>
        <w:tc>
          <w:tcPr>
            <w:tcW w:w="1416" w:type="dxa"/>
            <w:tcBorders>
              <w:top w:val="single" w:color="auto" w:sz="4" w:space="0"/>
              <w:left w:val="single" w:color="auto" w:sz="4" w:space="0"/>
            </w:tcBorders>
            <w:shd w:val="clear" w:color="auto" w:fill="FFFFFF"/>
            <w:noWrap w:val="0"/>
            <w:vAlign w:val="top"/>
          </w:tcPr>
          <w:p w14:paraId="20FC4036">
            <w:pPr>
              <w:rPr>
                <w:color w:val="auto"/>
                <w:szCs w:val="21"/>
                <w:highlight w:val="none"/>
              </w:rPr>
            </w:pPr>
          </w:p>
        </w:tc>
        <w:tc>
          <w:tcPr>
            <w:tcW w:w="907" w:type="dxa"/>
            <w:tcBorders>
              <w:top w:val="single" w:color="auto" w:sz="4" w:space="0"/>
              <w:left w:val="single" w:color="auto" w:sz="4" w:space="0"/>
            </w:tcBorders>
            <w:shd w:val="clear" w:color="auto" w:fill="FFFFFF"/>
            <w:noWrap w:val="0"/>
            <w:vAlign w:val="top"/>
          </w:tcPr>
          <w:p w14:paraId="5BA56D9F">
            <w:pPr>
              <w:rPr>
                <w:color w:val="auto"/>
                <w:szCs w:val="21"/>
                <w:highlight w:val="none"/>
              </w:rPr>
            </w:pPr>
          </w:p>
        </w:tc>
        <w:tc>
          <w:tcPr>
            <w:tcW w:w="907" w:type="dxa"/>
            <w:tcBorders>
              <w:top w:val="single" w:color="auto" w:sz="4" w:space="0"/>
              <w:left w:val="single" w:color="auto" w:sz="4" w:space="0"/>
            </w:tcBorders>
            <w:shd w:val="clear" w:color="auto" w:fill="FFFFFF"/>
            <w:noWrap w:val="0"/>
            <w:vAlign w:val="top"/>
          </w:tcPr>
          <w:p w14:paraId="07CAD018">
            <w:pPr>
              <w:rPr>
                <w:color w:val="auto"/>
                <w:szCs w:val="21"/>
                <w:highlight w:val="none"/>
              </w:rPr>
            </w:pPr>
          </w:p>
        </w:tc>
        <w:tc>
          <w:tcPr>
            <w:tcW w:w="907" w:type="dxa"/>
            <w:tcBorders>
              <w:top w:val="single" w:color="auto" w:sz="4" w:space="0"/>
              <w:left w:val="single" w:color="auto" w:sz="4" w:space="0"/>
            </w:tcBorders>
            <w:shd w:val="clear" w:color="auto" w:fill="FFFFFF"/>
            <w:noWrap w:val="0"/>
            <w:vAlign w:val="top"/>
          </w:tcPr>
          <w:p w14:paraId="24508F61">
            <w:pPr>
              <w:rPr>
                <w:color w:val="auto"/>
                <w:szCs w:val="21"/>
                <w:highlight w:val="none"/>
              </w:rPr>
            </w:pPr>
          </w:p>
        </w:tc>
        <w:tc>
          <w:tcPr>
            <w:tcW w:w="912" w:type="dxa"/>
            <w:tcBorders>
              <w:top w:val="single" w:color="auto" w:sz="4" w:space="0"/>
              <w:left w:val="single" w:color="auto" w:sz="4" w:space="0"/>
            </w:tcBorders>
            <w:shd w:val="clear" w:color="auto" w:fill="FFFFFF"/>
            <w:noWrap w:val="0"/>
            <w:vAlign w:val="top"/>
          </w:tcPr>
          <w:p w14:paraId="061C9E52">
            <w:pPr>
              <w:rPr>
                <w:color w:val="auto"/>
                <w:szCs w:val="21"/>
                <w:highlight w:val="none"/>
              </w:rPr>
            </w:pPr>
          </w:p>
        </w:tc>
        <w:tc>
          <w:tcPr>
            <w:tcW w:w="902" w:type="dxa"/>
            <w:tcBorders>
              <w:top w:val="single" w:color="auto" w:sz="4" w:space="0"/>
              <w:left w:val="single" w:color="auto" w:sz="4" w:space="0"/>
            </w:tcBorders>
            <w:shd w:val="clear" w:color="auto" w:fill="FFFFFF"/>
            <w:noWrap w:val="0"/>
            <w:vAlign w:val="top"/>
          </w:tcPr>
          <w:p w14:paraId="0444AF3D">
            <w:pPr>
              <w:rPr>
                <w:color w:val="auto"/>
                <w:szCs w:val="21"/>
                <w:highlight w:val="none"/>
              </w:rPr>
            </w:pPr>
          </w:p>
        </w:tc>
        <w:tc>
          <w:tcPr>
            <w:tcW w:w="907" w:type="dxa"/>
            <w:tcBorders>
              <w:top w:val="single" w:color="auto" w:sz="4" w:space="0"/>
              <w:left w:val="single" w:color="auto" w:sz="4" w:space="0"/>
            </w:tcBorders>
            <w:shd w:val="clear" w:color="auto" w:fill="FFFFFF"/>
            <w:noWrap w:val="0"/>
            <w:vAlign w:val="top"/>
          </w:tcPr>
          <w:p w14:paraId="703B37BD">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noWrap w:val="0"/>
            <w:vAlign w:val="top"/>
          </w:tcPr>
          <w:p w14:paraId="4C04EC32">
            <w:pPr>
              <w:rPr>
                <w:color w:val="auto"/>
                <w:szCs w:val="21"/>
                <w:highlight w:val="none"/>
              </w:rPr>
            </w:pPr>
          </w:p>
        </w:tc>
      </w:tr>
      <w:tr w14:paraId="7E86AF06">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noWrap w:val="0"/>
            <w:vAlign w:val="top"/>
          </w:tcPr>
          <w:p w14:paraId="5D08D428">
            <w:pPr>
              <w:rPr>
                <w:color w:val="auto"/>
                <w:szCs w:val="21"/>
                <w:highlight w:val="none"/>
              </w:rPr>
            </w:pPr>
          </w:p>
        </w:tc>
        <w:tc>
          <w:tcPr>
            <w:tcW w:w="1416" w:type="dxa"/>
            <w:tcBorders>
              <w:top w:val="single" w:color="auto" w:sz="4" w:space="0"/>
              <w:left w:val="single" w:color="auto" w:sz="4" w:space="0"/>
            </w:tcBorders>
            <w:shd w:val="clear" w:color="auto" w:fill="FFFFFF"/>
            <w:noWrap w:val="0"/>
            <w:vAlign w:val="top"/>
          </w:tcPr>
          <w:p w14:paraId="647956D2">
            <w:pPr>
              <w:rPr>
                <w:color w:val="auto"/>
                <w:szCs w:val="21"/>
                <w:highlight w:val="none"/>
              </w:rPr>
            </w:pPr>
          </w:p>
        </w:tc>
        <w:tc>
          <w:tcPr>
            <w:tcW w:w="907" w:type="dxa"/>
            <w:tcBorders>
              <w:top w:val="single" w:color="auto" w:sz="4" w:space="0"/>
              <w:left w:val="single" w:color="auto" w:sz="4" w:space="0"/>
            </w:tcBorders>
            <w:shd w:val="clear" w:color="auto" w:fill="FFFFFF"/>
            <w:noWrap w:val="0"/>
            <w:vAlign w:val="top"/>
          </w:tcPr>
          <w:p w14:paraId="324AD321">
            <w:pPr>
              <w:rPr>
                <w:color w:val="auto"/>
                <w:szCs w:val="21"/>
                <w:highlight w:val="none"/>
              </w:rPr>
            </w:pPr>
          </w:p>
        </w:tc>
        <w:tc>
          <w:tcPr>
            <w:tcW w:w="907" w:type="dxa"/>
            <w:tcBorders>
              <w:top w:val="single" w:color="auto" w:sz="4" w:space="0"/>
              <w:left w:val="single" w:color="auto" w:sz="4" w:space="0"/>
            </w:tcBorders>
            <w:shd w:val="clear" w:color="auto" w:fill="FFFFFF"/>
            <w:noWrap w:val="0"/>
            <w:vAlign w:val="top"/>
          </w:tcPr>
          <w:p w14:paraId="7D2BFCA0">
            <w:pPr>
              <w:rPr>
                <w:color w:val="auto"/>
                <w:szCs w:val="21"/>
                <w:highlight w:val="none"/>
              </w:rPr>
            </w:pPr>
          </w:p>
        </w:tc>
        <w:tc>
          <w:tcPr>
            <w:tcW w:w="907" w:type="dxa"/>
            <w:tcBorders>
              <w:top w:val="single" w:color="auto" w:sz="4" w:space="0"/>
              <w:left w:val="single" w:color="auto" w:sz="4" w:space="0"/>
            </w:tcBorders>
            <w:shd w:val="clear" w:color="auto" w:fill="FFFFFF"/>
            <w:noWrap w:val="0"/>
            <w:vAlign w:val="top"/>
          </w:tcPr>
          <w:p w14:paraId="0BC7F88B">
            <w:pPr>
              <w:rPr>
                <w:color w:val="auto"/>
                <w:szCs w:val="21"/>
                <w:highlight w:val="none"/>
              </w:rPr>
            </w:pPr>
          </w:p>
        </w:tc>
        <w:tc>
          <w:tcPr>
            <w:tcW w:w="912" w:type="dxa"/>
            <w:tcBorders>
              <w:top w:val="single" w:color="auto" w:sz="4" w:space="0"/>
              <w:left w:val="single" w:color="auto" w:sz="4" w:space="0"/>
            </w:tcBorders>
            <w:shd w:val="clear" w:color="auto" w:fill="FFFFFF"/>
            <w:noWrap w:val="0"/>
            <w:vAlign w:val="top"/>
          </w:tcPr>
          <w:p w14:paraId="77131A0A">
            <w:pPr>
              <w:rPr>
                <w:color w:val="auto"/>
                <w:szCs w:val="21"/>
                <w:highlight w:val="none"/>
              </w:rPr>
            </w:pPr>
          </w:p>
        </w:tc>
        <w:tc>
          <w:tcPr>
            <w:tcW w:w="902" w:type="dxa"/>
            <w:tcBorders>
              <w:top w:val="single" w:color="auto" w:sz="4" w:space="0"/>
              <w:left w:val="single" w:color="auto" w:sz="4" w:space="0"/>
            </w:tcBorders>
            <w:shd w:val="clear" w:color="auto" w:fill="FFFFFF"/>
            <w:noWrap w:val="0"/>
            <w:vAlign w:val="top"/>
          </w:tcPr>
          <w:p w14:paraId="5B62FD07">
            <w:pPr>
              <w:rPr>
                <w:color w:val="auto"/>
                <w:szCs w:val="21"/>
                <w:highlight w:val="none"/>
              </w:rPr>
            </w:pPr>
          </w:p>
        </w:tc>
        <w:tc>
          <w:tcPr>
            <w:tcW w:w="907" w:type="dxa"/>
            <w:tcBorders>
              <w:top w:val="single" w:color="auto" w:sz="4" w:space="0"/>
              <w:left w:val="single" w:color="auto" w:sz="4" w:space="0"/>
            </w:tcBorders>
            <w:shd w:val="clear" w:color="auto" w:fill="FFFFFF"/>
            <w:noWrap w:val="0"/>
            <w:vAlign w:val="top"/>
          </w:tcPr>
          <w:p w14:paraId="33A9A288">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noWrap w:val="0"/>
            <w:vAlign w:val="top"/>
          </w:tcPr>
          <w:p w14:paraId="6E6BBC3B">
            <w:pPr>
              <w:rPr>
                <w:color w:val="auto"/>
                <w:szCs w:val="21"/>
                <w:highlight w:val="none"/>
              </w:rPr>
            </w:pPr>
          </w:p>
        </w:tc>
      </w:tr>
      <w:tr w14:paraId="1C19B1F1">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noWrap w:val="0"/>
            <w:vAlign w:val="top"/>
          </w:tcPr>
          <w:p w14:paraId="7CE3C1B0">
            <w:pPr>
              <w:rPr>
                <w:color w:val="auto"/>
                <w:szCs w:val="21"/>
                <w:highlight w:val="none"/>
              </w:rPr>
            </w:pPr>
          </w:p>
        </w:tc>
        <w:tc>
          <w:tcPr>
            <w:tcW w:w="1416" w:type="dxa"/>
            <w:tcBorders>
              <w:top w:val="single" w:color="auto" w:sz="4" w:space="0"/>
              <w:left w:val="single" w:color="auto" w:sz="4" w:space="0"/>
            </w:tcBorders>
            <w:shd w:val="clear" w:color="auto" w:fill="FFFFFF"/>
            <w:noWrap w:val="0"/>
            <w:vAlign w:val="top"/>
          </w:tcPr>
          <w:p w14:paraId="036C18B4">
            <w:pPr>
              <w:rPr>
                <w:color w:val="auto"/>
                <w:szCs w:val="21"/>
                <w:highlight w:val="none"/>
              </w:rPr>
            </w:pPr>
          </w:p>
        </w:tc>
        <w:tc>
          <w:tcPr>
            <w:tcW w:w="907" w:type="dxa"/>
            <w:tcBorders>
              <w:top w:val="single" w:color="auto" w:sz="4" w:space="0"/>
              <w:left w:val="single" w:color="auto" w:sz="4" w:space="0"/>
            </w:tcBorders>
            <w:shd w:val="clear" w:color="auto" w:fill="FFFFFF"/>
            <w:noWrap w:val="0"/>
            <w:vAlign w:val="top"/>
          </w:tcPr>
          <w:p w14:paraId="30F9445D">
            <w:pPr>
              <w:rPr>
                <w:color w:val="auto"/>
                <w:szCs w:val="21"/>
                <w:highlight w:val="none"/>
              </w:rPr>
            </w:pPr>
          </w:p>
        </w:tc>
        <w:tc>
          <w:tcPr>
            <w:tcW w:w="907" w:type="dxa"/>
            <w:tcBorders>
              <w:top w:val="single" w:color="auto" w:sz="4" w:space="0"/>
              <w:left w:val="single" w:color="auto" w:sz="4" w:space="0"/>
            </w:tcBorders>
            <w:shd w:val="clear" w:color="auto" w:fill="FFFFFF"/>
            <w:noWrap w:val="0"/>
            <w:vAlign w:val="top"/>
          </w:tcPr>
          <w:p w14:paraId="71E500E6">
            <w:pPr>
              <w:rPr>
                <w:color w:val="auto"/>
                <w:szCs w:val="21"/>
                <w:highlight w:val="none"/>
              </w:rPr>
            </w:pPr>
          </w:p>
        </w:tc>
        <w:tc>
          <w:tcPr>
            <w:tcW w:w="907" w:type="dxa"/>
            <w:tcBorders>
              <w:top w:val="single" w:color="auto" w:sz="4" w:space="0"/>
              <w:left w:val="single" w:color="auto" w:sz="4" w:space="0"/>
            </w:tcBorders>
            <w:shd w:val="clear" w:color="auto" w:fill="FFFFFF"/>
            <w:noWrap w:val="0"/>
            <w:vAlign w:val="top"/>
          </w:tcPr>
          <w:p w14:paraId="38F5ACC9">
            <w:pPr>
              <w:rPr>
                <w:color w:val="auto"/>
                <w:szCs w:val="21"/>
                <w:highlight w:val="none"/>
              </w:rPr>
            </w:pPr>
          </w:p>
        </w:tc>
        <w:tc>
          <w:tcPr>
            <w:tcW w:w="912" w:type="dxa"/>
            <w:tcBorders>
              <w:top w:val="single" w:color="auto" w:sz="4" w:space="0"/>
              <w:left w:val="single" w:color="auto" w:sz="4" w:space="0"/>
            </w:tcBorders>
            <w:shd w:val="clear" w:color="auto" w:fill="FFFFFF"/>
            <w:noWrap w:val="0"/>
            <w:vAlign w:val="top"/>
          </w:tcPr>
          <w:p w14:paraId="5B54EB60">
            <w:pPr>
              <w:rPr>
                <w:color w:val="auto"/>
                <w:szCs w:val="21"/>
                <w:highlight w:val="none"/>
              </w:rPr>
            </w:pPr>
          </w:p>
        </w:tc>
        <w:tc>
          <w:tcPr>
            <w:tcW w:w="902" w:type="dxa"/>
            <w:tcBorders>
              <w:top w:val="single" w:color="auto" w:sz="4" w:space="0"/>
              <w:left w:val="single" w:color="auto" w:sz="4" w:space="0"/>
            </w:tcBorders>
            <w:shd w:val="clear" w:color="auto" w:fill="FFFFFF"/>
            <w:noWrap w:val="0"/>
            <w:vAlign w:val="top"/>
          </w:tcPr>
          <w:p w14:paraId="723E2F70">
            <w:pPr>
              <w:rPr>
                <w:color w:val="auto"/>
                <w:szCs w:val="21"/>
                <w:highlight w:val="none"/>
              </w:rPr>
            </w:pPr>
          </w:p>
        </w:tc>
        <w:tc>
          <w:tcPr>
            <w:tcW w:w="907" w:type="dxa"/>
            <w:tcBorders>
              <w:top w:val="single" w:color="auto" w:sz="4" w:space="0"/>
              <w:left w:val="single" w:color="auto" w:sz="4" w:space="0"/>
            </w:tcBorders>
            <w:shd w:val="clear" w:color="auto" w:fill="FFFFFF"/>
            <w:noWrap w:val="0"/>
            <w:vAlign w:val="top"/>
          </w:tcPr>
          <w:p w14:paraId="36CD8C2F">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noWrap w:val="0"/>
            <w:vAlign w:val="top"/>
          </w:tcPr>
          <w:p w14:paraId="1B27A748">
            <w:pPr>
              <w:rPr>
                <w:color w:val="auto"/>
                <w:szCs w:val="21"/>
                <w:highlight w:val="none"/>
              </w:rPr>
            </w:pPr>
          </w:p>
        </w:tc>
      </w:tr>
      <w:tr w14:paraId="4CA3CF49">
        <w:tblPrEx>
          <w:tblCellMar>
            <w:top w:w="0" w:type="dxa"/>
            <w:left w:w="10" w:type="dxa"/>
            <w:bottom w:w="0" w:type="dxa"/>
            <w:right w:w="10" w:type="dxa"/>
          </w:tblCellMar>
        </w:tblPrEx>
        <w:trPr>
          <w:trHeight w:val="571" w:hRule="exact"/>
          <w:jc w:val="center"/>
        </w:trPr>
        <w:tc>
          <w:tcPr>
            <w:tcW w:w="576" w:type="dxa"/>
            <w:tcBorders>
              <w:top w:val="single" w:color="auto" w:sz="4" w:space="0"/>
              <w:left w:val="single" w:color="auto" w:sz="4" w:space="0"/>
            </w:tcBorders>
            <w:shd w:val="clear" w:color="auto" w:fill="FFFFFF"/>
            <w:noWrap w:val="0"/>
            <w:vAlign w:val="top"/>
          </w:tcPr>
          <w:p w14:paraId="6DD596F8">
            <w:pPr>
              <w:rPr>
                <w:color w:val="auto"/>
                <w:szCs w:val="21"/>
                <w:highlight w:val="none"/>
              </w:rPr>
            </w:pPr>
          </w:p>
        </w:tc>
        <w:tc>
          <w:tcPr>
            <w:tcW w:w="1416" w:type="dxa"/>
            <w:tcBorders>
              <w:top w:val="single" w:color="auto" w:sz="4" w:space="0"/>
              <w:left w:val="single" w:color="auto" w:sz="4" w:space="0"/>
            </w:tcBorders>
            <w:shd w:val="clear" w:color="auto" w:fill="FFFFFF"/>
            <w:noWrap w:val="0"/>
            <w:vAlign w:val="top"/>
          </w:tcPr>
          <w:p w14:paraId="64101019">
            <w:pPr>
              <w:rPr>
                <w:color w:val="auto"/>
                <w:szCs w:val="21"/>
                <w:highlight w:val="none"/>
              </w:rPr>
            </w:pPr>
          </w:p>
        </w:tc>
        <w:tc>
          <w:tcPr>
            <w:tcW w:w="907" w:type="dxa"/>
            <w:tcBorders>
              <w:top w:val="single" w:color="auto" w:sz="4" w:space="0"/>
              <w:left w:val="single" w:color="auto" w:sz="4" w:space="0"/>
            </w:tcBorders>
            <w:shd w:val="clear" w:color="auto" w:fill="FFFFFF"/>
            <w:noWrap w:val="0"/>
            <w:vAlign w:val="top"/>
          </w:tcPr>
          <w:p w14:paraId="17DD2CD8">
            <w:pPr>
              <w:rPr>
                <w:color w:val="auto"/>
                <w:szCs w:val="21"/>
                <w:highlight w:val="none"/>
              </w:rPr>
            </w:pPr>
          </w:p>
        </w:tc>
        <w:tc>
          <w:tcPr>
            <w:tcW w:w="907" w:type="dxa"/>
            <w:tcBorders>
              <w:top w:val="single" w:color="auto" w:sz="4" w:space="0"/>
              <w:left w:val="single" w:color="auto" w:sz="4" w:space="0"/>
            </w:tcBorders>
            <w:shd w:val="clear" w:color="auto" w:fill="FFFFFF"/>
            <w:noWrap w:val="0"/>
            <w:vAlign w:val="top"/>
          </w:tcPr>
          <w:p w14:paraId="1E33117E">
            <w:pPr>
              <w:rPr>
                <w:color w:val="auto"/>
                <w:szCs w:val="21"/>
                <w:highlight w:val="none"/>
              </w:rPr>
            </w:pPr>
          </w:p>
        </w:tc>
        <w:tc>
          <w:tcPr>
            <w:tcW w:w="907" w:type="dxa"/>
            <w:tcBorders>
              <w:top w:val="single" w:color="auto" w:sz="4" w:space="0"/>
              <w:left w:val="single" w:color="auto" w:sz="4" w:space="0"/>
            </w:tcBorders>
            <w:shd w:val="clear" w:color="auto" w:fill="FFFFFF"/>
            <w:noWrap w:val="0"/>
            <w:vAlign w:val="top"/>
          </w:tcPr>
          <w:p w14:paraId="1F70D191">
            <w:pPr>
              <w:rPr>
                <w:color w:val="auto"/>
                <w:szCs w:val="21"/>
                <w:highlight w:val="none"/>
              </w:rPr>
            </w:pPr>
          </w:p>
        </w:tc>
        <w:tc>
          <w:tcPr>
            <w:tcW w:w="912" w:type="dxa"/>
            <w:tcBorders>
              <w:top w:val="single" w:color="auto" w:sz="4" w:space="0"/>
              <w:left w:val="single" w:color="auto" w:sz="4" w:space="0"/>
            </w:tcBorders>
            <w:shd w:val="clear" w:color="auto" w:fill="FFFFFF"/>
            <w:noWrap w:val="0"/>
            <w:vAlign w:val="top"/>
          </w:tcPr>
          <w:p w14:paraId="121C04CA">
            <w:pPr>
              <w:rPr>
                <w:color w:val="auto"/>
                <w:szCs w:val="21"/>
                <w:highlight w:val="none"/>
              </w:rPr>
            </w:pPr>
          </w:p>
        </w:tc>
        <w:tc>
          <w:tcPr>
            <w:tcW w:w="902" w:type="dxa"/>
            <w:tcBorders>
              <w:top w:val="single" w:color="auto" w:sz="4" w:space="0"/>
              <w:left w:val="single" w:color="auto" w:sz="4" w:space="0"/>
            </w:tcBorders>
            <w:shd w:val="clear" w:color="auto" w:fill="FFFFFF"/>
            <w:noWrap w:val="0"/>
            <w:vAlign w:val="top"/>
          </w:tcPr>
          <w:p w14:paraId="1D57AF2C">
            <w:pPr>
              <w:rPr>
                <w:color w:val="auto"/>
                <w:szCs w:val="21"/>
                <w:highlight w:val="none"/>
              </w:rPr>
            </w:pPr>
          </w:p>
        </w:tc>
        <w:tc>
          <w:tcPr>
            <w:tcW w:w="907" w:type="dxa"/>
            <w:tcBorders>
              <w:top w:val="single" w:color="auto" w:sz="4" w:space="0"/>
              <w:left w:val="single" w:color="auto" w:sz="4" w:space="0"/>
            </w:tcBorders>
            <w:shd w:val="clear" w:color="auto" w:fill="FFFFFF"/>
            <w:noWrap w:val="0"/>
            <w:vAlign w:val="top"/>
          </w:tcPr>
          <w:p w14:paraId="156E0092">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noWrap w:val="0"/>
            <w:vAlign w:val="top"/>
          </w:tcPr>
          <w:p w14:paraId="25183B23">
            <w:pPr>
              <w:rPr>
                <w:color w:val="auto"/>
                <w:szCs w:val="21"/>
                <w:highlight w:val="none"/>
              </w:rPr>
            </w:pPr>
          </w:p>
        </w:tc>
      </w:tr>
      <w:tr w14:paraId="6E00DE44">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noWrap w:val="0"/>
            <w:vAlign w:val="top"/>
          </w:tcPr>
          <w:p w14:paraId="11502CC9">
            <w:pPr>
              <w:rPr>
                <w:color w:val="auto"/>
                <w:szCs w:val="21"/>
                <w:highlight w:val="none"/>
              </w:rPr>
            </w:pPr>
          </w:p>
        </w:tc>
        <w:tc>
          <w:tcPr>
            <w:tcW w:w="1416" w:type="dxa"/>
            <w:tcBorders>
              <w:top w:val="single" w:color="auto" w:sz="4" w:space="0"/>
              <w:left w:val="single" w:color="auto" w:sz="4" w:space="0"/>
            </w:tcBorders>
            <w:shd w:val="clear" w:color="auto" w:fill="FFFFFF"/>
            <w:noWrap w:val="0"/>
            <w:vAlign w:val="top"/>
          </w:tcPr>
          <w:p w14:paraId="6EE49B5A">
            <w:pPr>
              <w:rPr>
                <w:color w:val="auto"/>
                <w:szCs w:val="21"/>
                <w:highlight w:val="none"/>
              </w:rPr>
            </w:pPr>
          </w:p>
        </w:tc>
        <w:tc>
          <w:tcPr>
            <w:tcW w:w="907" w:type="dxa"/>
            <w:tcBorders>
              <w:top w:val="single" w:color="auto" w:sz="4" w:space="0"/>
              <w:left w:val="single" w:color="auto" w:sz="4" w:space="0"/>
            </w:tcBorders>
            <w:shd w:val="clear" w:color="auto" w:fill="FFFFFF"/>
            <w:noWrap w:val="0"/>
            <w:vAlign w:val="top"/>
          </w:tcPr>
          <w:p w14:paraId="42B56442">
            <w:pPr>
              <w:rPr>
                <w:color w:val="auto"/>
                <w:szCs w:val="21"/>
                <w:highlight w:val="none"/>
              </w:rPr>
            </w:pPr>
          </w:p>
        </w:tc>
        <w:tc>
          <w:tcPr>
            <w:tcW w:w="907" w:type="dxa"/>
            <w:tcBorders>
              <w:top w:val="single" w:color="auto" w:sz="4" w:space="0"/>
              <w:left w:val="single" w:color="auto" w:sz="4" w:space="0"/>
            </w:tcBorders>
            <w:shd w:val="clear" w:color="auto" w:fill="FFFFFF"/>
            <w:noWrap w:val="0"/>
            <w:vAlign w:val="top"/>
          </w:tcPr>
          <w:p w14:paraId="2D8C7E44">
            <w:pPr>
              <w:rPr>
                <w:color w:val="auto"/>
                <w:szCs w:val="21"/>
                <w:highlight w:val="none"/>
              </w:rPr>
            </w:pPr>
          </w:p>
        </w:tc>
        <w:tc>
          <w:tcPr>
            <w:tcW w:w="907" w:type="dxa"/>
            <w:tcBorders>
              <w:top w:val="single" w:color="auto" w:sz="4" w:space="0"/>
              <w:left w:val="single" w:color="auto" w:sz="4" w:space="0"/>
            </w:tcBorders>
            <w:shd w:val="clear" w:color="auto" w:fill="FFFFFF"/>
            <w:noWrap w:val="0"/>
            <w:vAlign w:val="top"/>
          </w:tcPr>
          <w:p w14:paraId="116AAEAA">
            <w:pPr>
              <w:rPr>
                <w:color w:val="auto"/>
                <w:szCs w:val="21"/>
                <w:highlight w:val="none"/>
              </w:rPr>
            </w:pPr>
          </w:p>
        </w:tc>
        <w:tc>
          <w:tcPr>
            <w:tcW w:w="912" w:type="dxa"/>
            <w:tcBorders>
              <w:top w:val="single" w:color="auto" w:sz="4" w:space="0"/>
              <w:left w:val="single" w:color="auto" w:sz="4" w:space="0"/>
            </w:tcBorders>
            <w:shd w:val="clear" w:color="auto" w:fill="FFFFFF"/>
            <w:noWrap w:val="0"/>
            <w:vAlign w:val="top"/>
          </w:tcPr>
          <w:p w14:paraId="33B7CF72">
            <w:pPr>
              <w:rPr>
                <w:color w:val="auto"/>
                <w:szCs w:val="21"/>
                <w:highlight w:val="none"/>
              </w:rPr>
            </w:pPr>
          </w:p>
        </w:tc>
        <w:tc>
          <w:tcPr>
            <w:tcW w:w="902" w:type="dxa"/>
            <w:tcBorders>
              <w:top w:val="single" w:color="auto" w:sz="4" w:space="0"/>
              <w:left w:val="single" w:color="auto" w:sz="4" w:space="0"/>
            </w:tcBorders>
            <w:shd w:val="clear" w:color="auto" w:fill="FFFFFF"/>
            <w:noWrap w:val="0"/>
            <w:vAlign w:val="top"/>
          </w:tcPr>
          <w:p w14:paraId="3C8727BE">
            <w:pPr>
              <w:rPr>
                <w:color w:val="auto"/>
                <w:szCs w:val="21"/>
                <w:highlight w:val="none"/>
              </w:rPr>
            </w:pPr>
          </w:p>
        </w:tc>
        <w:tc>
          <w:tcPr>
            <w:tcW w:w="907" w:type="dxa"/>
            <w:tcBorders>
              <w:top w:val="single" w:color="auto" w:sz="4" w:space="0"/>
              <w:left w:val="single" w:color="auto" w:sz="4" w:space="0"/>
            </w:tcBorders>
            <w:shd w:val="clear" w:color="auto" w:fill="FFFFFF"/>
            <w:noWrap w:val="0"/>
            <w:vAlign w:val="top"/>
          </w:tcPr>
          <w:p w14:paraId="4C9DF2BA">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noWrap w:val="0"/>
            <w:vAlign w:val="top"/>
          </w:tcPr>
          <w:p w14:paraId="5C775D80">
            <w:pPr>
              <w:rPr>
                <w:color w:val="auto"/>
                <w:szCs w:val="21"/>
                <w:highlight w:val="none"/>
              </w:rPr>
            </w:pPr>
          </w:p>
        </w:tc>
      </w:tr>
      <w:tr w14:paraId="3D544262">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noWrap w:val="0"/>
            <w:vAlign w:val="top"/>
          </w:tcPr>
          <w:p w14:paraId="42EB40C4">
            <w:pPr>
              <w:rPr>
                <w:color w:val="auto"/>
                <w:szCs w:val="21"/>
                <w:highlight w:val="none"/>
              </w:rPr>
            </w:pPr>
          </w:p>
        </w:tc>
        <w:tc>
          <w:tcPr>
            <w:tcW w:w="1416" w:type="dxa"/>
            <w:tcBorders>
              <w:top w:val="single" w:color="auto" w:sz="4" w:space="0"/>
              <w:left w:val="single" w:color="auto" w:sz="4" w:space="0"/>
            </w:tcBorders>
            <w:shd w:val="clear" w:color="auto" w:fill="FFFFFF"/>
            <w:noWrap w:val="0"/>
            <w:vAlign w:val="top"/>
          </w:tcPr>
          <w:p w14:paraId="23D15594">
            <w:pPr>
              <w:rPr>
                <w:color w:val="auto"/>
                <w:szCs w:val="21"/>
                <w:highlight w:val="none"/>
              </w:rPr>
            </w:pPr>
          </w:p>
        </w:tc>
        <w:tc>
          <w:tcPr>
            <w:tcW w:w="907" w:type="dxa"/>
            <w:tcBorders>
              <w:top w:val="single" w:color="auto" w:sz="4" w:space="0"/>
              <w:left w:val="single" w:color="auto" w:sz="4" w:space="0"/>
            </w:tcBorders>
            <w:shd w:val="clear" w:color="auto" w:fill="FFFFFF"/>
            <w:noWrap w:val="0"/>
            <w:vAlign w:val="top"/>
          </w:tcPr>
          <w:p w14:paraId="5964FC69">
            <w:pPr>
              <w:rPr>
                <w:color w:val="auto"/>
                <w:szCs w:val="21"/>
                <w:highlight w:val="none"/>
              </w:rPr>
            </w:pPr>
          </w:p>
        </w:tc>
        <w:tc>
          <w:tcPr>
            <w:tcW w:w="907" w:type="dxa"/>
            <w:tcBorders>
              <w:top w:val="single" w:color="auto" w:sz="4" w:space="0"/>
              <w:left w:val="single" w:color="auto" w:sz="4" w:space="0"/>
            </w:tcBorders>
            <w:shd w:val="clear" w:color="auto" w:fill="FFFFFF"/>
            <w:noWrap w:val="0"/>
            <w:vAlign w:val="top"/>
          </w:tcPr>
          <w:p w14:paraId="2BB2A2EC">
            <w:pPr>
              <w:rPr>
                <w:color w:val="auto"/>
                <w:szCs w:val="21"/>
                <w:highlight w:val="none"/>
              </w:rPr>
            </w:pPr>
          </w:p>
        </w:tc>
        <w:tc>
          <w:tcPr>
            <w:tcW w:w="907" w:type="dxa"/>
            <w:tcBorders>
              <w:top w:val="single" w:color="auto" w:sz="4" w:space="0"/>
              <w:left w:val="single" w:color="auto" w:sz="4" w:space="0"/>
            </w:tcBorders>
            <w:shd w:val="clear" w:color="auto" w:fill="FFFFFF"/>
            <w:noWrap w:val="0"/>
            <w:vAlign w:val="top"/>
          </w:tcPr>
          <w:p w14:paraId="33684414">
            <w:pPr>
              <w:rPr>
                <w:color w:val="auto"/>
                <w:szCs w:val="21"/>
                <w:highlight w:val="none"/>
              </w:rPr>
            </w:pPr>
          </w:p>
        </w:tc>
        <w:tc>
          <w:tcPr>
            <w:tcW w:w="912" w:type="dxa"/>
            <w:tcBorders>
              <w:top w:val="single" w:color="auto" w:sz="4" w:space="0"/>
              <w:left w:val="single" w:color="auto" w:sz="4" w:space="0"/>
            </w:tcBorders>
            <w:shd w:val="clear" w:color="auto" w:fill="FFFFFF"/>
            <w:noWrap w:val="0"/>
            <w:vAlign w:val="top"/>
          </w:tcPr>
          <w:p w14:paraId="725C5064">
            <w:pPr>
              <w:rPr>
                <w:color w:val="auto"/>
                <w:szCs w:val="21"/>
                <w:highlight w:val="none"/>
              </w:rPr>
            </w:pPr>
          </w:p>
        </w:tc>
        <w:tc>
          <w:tcPr>
            <w:tcW w:w="902" w:type="dxa"/>
            <w:tcBorders>
              <w:top w:val="single" w:color="auto" w:sz="4" w:space="0"/>
              <w:left w:val="single" w:color="auto" w:sz="4" w:space="0"/>
            </w:tcBorders>
            <w:shd w:val="clear" w:color="auto" w:fill="FFFFFF"/>
            <w:noWrap w:val="0"/>
            <w:vAlign w:val="top"/>
          </w:tcPr>
          <w:p w14:paraId="0115C58D">
            <w:pPr>
              <w:rPr>
                <w:color w:val="auto"/>
                <w:szCs w:val="21"/>
                <w:highlight w:val="none"/>
              </w:rPr>
            </w:pPr>
          </w:p>
        </w:tc>
        <w:tc>
          <w:tcPr>
            <w:tcW w:w="907" w:type="dxa"/>
            <w:tcBorders>
              <w:top w:val="single" w:color="auto" w:sz="4" w:space="0"/>
              <w:left w:val="single" w:color="auto" w:sz="4" w:space="0"/>
            </w:tcBorders>
            <w:shd w:val="clear" w:color="auto" w:fill="FFFFFF"/>
            <w:noWrap w:val="0"/>
            <w:vAlign w:val="top"/>
          </w:tcPr>
          <w:p w14:paraId="182777B0">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noWrap w:val="0"/>
            <w:vAlign w:val="top"/>
          </w:tcPr>
          <w:p w14:paraId="0FE99C76">
            <w:pPr>
              <w:rPr>
                <w:color w:val="auto"/>
                <w:szCs w:val="21"/>
                <w:highlight w:val="none"/>
              </w:rPr>
            </w:pPr>
          </w:p>
        </w:tc>
      </w:tr>
      <w:tr w14:paraId="0E006B97">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noWrap w:val="0"/>
            <w:vAlign w:val="top"/>
          </w:tcPr>
          <w:p w14:paraId="4D22BBB6">
            <w:pPr>
              <w:rPr>
                <w:color w:val="auto"/>
                <w:szCs w:val="21"/>
                <w:highlight w:val="none"/>
              </w:rPr>
            </w:pPr>
          </w:p>
        </w:tc>
        <w:tc>
          <w:tcPr>
            <w:tcW w:w="1416" w:type="dxa"/>
            <w:tcBorders>
              <w:top w:val="single" w:color="auto" w:sz="4" w:space="0"/>
              <w:left w:val="single" w:color="auto" w:sz="4" w:space="0"/>
            </w:tcBorders>
            <w:shd w:val="clear" w:color="auto" w:fill="FFFFFF"/>
            <w:noWrap w:val="0"/>
            <w:vAlign w:val="top"/>
          </w:tcPr>
          <w:p w14:paraId="44F3FF07">
            <w:pPr>
              <w:rPr>
                <w:color w:val="auto"/>
                <w:szCs w:val="21"/>
                <w:highlight w:val="none"/>
              </w:rPr>
            </w:pPr>
          </w:p>
        </w:tc>
        <w:tc>
          <w:tcPr>
            <w:tcW w:w="907" w:type="dxa"/>
            <w:tcBorders>
              <w:top w:val="single" w:color="auto" w:sz="4" w:space="0"/>
              <w:left w:val="single" w:color="auto" w:sz="4" w:space="0"/>
            </w:tcBorders>
            <w:shd w:val="clear" w:color="auto" w:fill="FFFFFF"/>
            <w:noWrap w:val="0"/>
            <w:vAlign w:val="top"/>
          </w:tcPr>
          <w:p w14:paraId="4BD03AD1">
            <w:pPr>
              <w:rPr>
                <w:color w:val="auto"/>
                <w:szCs w:val="21"/>
                <w:highlight w:val="none"/>
              </w:rPr>
            </w:pPr>
          </w:p>
        </w:tc>
        <w:tc>
          <w:tcPr>
            <w:tcW w:w="907" w:type="dxa"/>
            <w:tcBorders>
              <w:top w:val="single" w:color="auto" w:sz="4" w:space="0"/>
              <w:left w:val="single" w:color="auto" w:sz="4" w:space="0"/>
            </w:tcBorders>
            <w:shd w:val="clear" w:color="auto" w:fill="FFFFFF"/>
            <w:noWrap w:val="0"/>
            <w:vAlign w:val="top"/>
          </w:tcPr>
          <w:p w14:paraId="1FD3238B">
            <w:pPr>
              <w:rPr>
                <w:color w:val="auto"/>
                <w:szCs w:val="21"/>
                <w:highlight w:val="none"/>
              </w:rPr>
            </w:pPr>
          </w:p>
        </w:tc>
        <w:tc>
          <w:tcPr>
            <w:tcW w:w="907" w:type="dxa"/>
            <w:tcBorders>
              <w:top w:val="single" w:color="auto" w:sz="4" w:space="0"/>
              <w:left w:val="single" w:color="auto" w:sz="4" w:space="0"/>
            </w:tcBorders>
            <w:shd w:val="clear" w:color="auto" w:fill="FFFFFF"/>
            <w:noWrap w:val="0"/>
            <w:vAlign w:val="top"/>
          </w:tcPr>
          <w:p w14:paraId="2A3F4C80">
            <w:pPr>
              <w:rPr>
                <w:color w:val="auto"/>
                <w:szCs w:val="21"/>
                <w:highlight w:val="none"/>
              </w:rPr>
            </w:pPr>
          </w:p>
        </w:tc>
        <w:tc>
          <w:tcPr>
            <w:tcW w:w="912" w:type="dxa"/>
            <w:tcBorders>
              <w:top w:val="single" w:color="auto" w:sz="4" w:space="0"/>
              <w:left w:val="single" w:color="auto" w:sz="4" w:space="0"/>
            </w:tcBorders>
            <w:shd w:val="clear" w:color="auto" w:fill="FFFFFF"/>
            <w:noWrap w:val="0"/>
            <w:vAlign w:val="top"/>
          </w:tcPr>
          <w:p w14:paraId="7ED782B4">
            <w:pPr>
              <w:rPr>
                <w:color w:val="auto"/>
                <w:szCs w:val="21"/>
                <w:highlight w:val="none"/>
              </w:rPr>
            </w:pPr>
          </w:p>
        </w:tc>
        <w:tc>
          <w:tcPr>
            <w:tcW w:w="902" w:type="dxa"/>
            <w:tcBorders>
              <w:top w:val="single" w:color="auto" w:sz="4" w:space="0"/>
              <w:left w:val="single" w:color="auto" w:sz="4" w:space="0"/>
            </w:tcBorders>
            <w:shd w:val="clear" w:color="auto" w:fill="FFFFFF"/>
            <w:noWrap w:val="0"/>
            <w:vAlign w:val="top"/>
          </w:tcPr>
          <w:p w14:paraId="177271E3">
            <w:pPr>
              <w:rPr>
                <w:color w:val="auto"/>
                <w:szCs w:val="21"/>
                <w:highlight w:val="none"/>
              </w:rPr>
            </w:pPr>
          </w:p>
        </w:tc>
        <w:tc>
          <w:tcPr>
            <w:tcW w:w="907" w:type="dxa"/>
            <w:tcBorders>
              <w:top w:val="single" w:color="auto" w:sz="4" w:space="0"/>
              <w:left w:val="single" w:color="auto" w:sz="4" w:space="0"/>
            </w:tcBorders>
            <w:shd w:val="clear" w:color="auto" w:fill="FFFFFF"/>
            <w:noWrap w:val="0"/>
            <w:vAlign w:val="top"/>
          </w:tcPr>
          <w:p w14:paraId="07966DEA">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noWrap w:val="0"/>
            <w:vAlign w:val="top"/>
          </w:tcPr>
          <w:p w14:paraId="6ED0DB49">
            <w:pPr>
              <w:rPr>
                <w:color w:val="auto"/>
                <w:szCs w:val="21"/>
                <w:highlight w:val="none"/>
              </w:rPr>
            </w:pPr>
          </w:p>
        </w:tc>
      </w:tr>
      <w:tr w14:paraId="57504150">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noWrap w:val="0"/>
            <w:vAlign w:val="top"/>
          </w:tcPr>
          <w:p w14:paraId="709EEA3E">
            <w:pPr>
              <w:rPr>
                <w:color w:val="auto"/>
                <w:szCs w:val="21"/>
                <w:highlight w:val="none"/>
              </w:rPr>
            </w:pPr>
          </w:p>
        </w:tc>
        <w:tc>
          <w:tcPr>
            <w:tcW w:w="1416" w:type="dxa"/>
            <w:tcBorders>
              <w:top w:val="single" w:color="auto" w:sz="4" w:space="0"/>
              <w:left w:val="single" w:color="auto" w:sz="4" w:space="0"/>
            </w:tcBorders>
            <w:shd w:val="clear" w:color="auto" w:fill="FFFFFF"/>
            <w:noWrap w:val="0"/>
            <w:vAlign w:val="top"/>
          </w:tcPr>
          <w:p w14:paraId="56918990">
            <w:pPr>
              <w:rPr>
                <w:color w:val="auto"/>
                <w:szCs w:val="21"/>
                <w:highlight w:val="none"/>
              </w:rPr>
            </w:pPr>
          </w:p>
        </w:tc>
        <w:tc>
          <w:tcPr>
            <w:tcW w:w="907" w:type="dxa"/>
            <w:tcBorders>
              <w:top w:val="single" w:color="auto" w:sz="4" w:space="0"/>
              <w:left w:val="single" w:color="auto" w:sz="4" w:space="0"/>
            </w:tcBorders>
            <w:shd w:val="clear" w:color="auto" w:fill="FFFFFF"/>
            <w:noWrap w:val="0"/>
            <w:vAlign w:val="top"/>
          </w:tcPr>
          <w:p w14:paraId="3D2E532D">
            <w:pPr>
              <w:rPr>
                <w:color w:val="auto"/>
                <w:szCs w:val="21"/>
                <w:highlight w:val="none"/>
              </w:rPr>
            </w:pPr>
          </w:p>
        </w:tc>
        <w:tc>
          <w:tcPr>
            <w:tcW w:w="907" w:type="dxa"/>
            <w:tcBorders>
              <w:top w:val="single" w:color="auto" w:sz="4" w:space="0"/>
              <w:left w:val="single" w:color="auto" w:sz="4" w:space="0"/>
            </w:tcBorders>
            <w:shd w:val="clear" w:color="auto" w:fill="FFFFFF"/>
            <w:noWrap w:val="0"/>
            <w:vAlign w:val="top"/>
          </w:tcPr>
          <w:p w14:paraId="46D8869F">
            <w:pPr>
              <w:rPr>
                <w:color w:val="auto"/>
                <w:szCs w:val="21"/>
                <w:highlight w:val="none"/>
              </w:rPr>
            </w:pPr>
          </w:p>
        </w:tc>
        <w:tc>
          <w:tcPr>
            <w:tcW w:w="907" w:type="dxa"/>
            <w:tcBorders>
              <w:top w:val="single" w:color="auto" w:sz="4" w:space="0"/>
              <w:left w:val="single" w:color="auto" w:sz="4" w:space="0"/>
            </w:tcBorders>
            <w:shd w:val="clear" w:color="auto" w:fill="FFFFFF"/>
            <w:noWrap w:val="0"/>
            <w:vAlign w:val="top"/>
          </w:tcPr>
          <w:p w14:paraId="2BE46265">
            <w:pPr>
              <w:rPr>
                <w:color w:val="auto"/>
                <w:szCs w:val="21"/>
                <w:highlight w:val="none"/>
              </w:rPr>
            </w:pPr>
          </w:p>
        </w:tc>
        <w:tc>
          <w:tcPr>
            <w:tcW w:w="912" w:type="dxa"/>
            <w:tcBorders>
              <w:top w:val="single" w:color="auto" w:sz="4" w:space="0"/>
              <w:left w:val="single" w:color="auto" w:sz="4" w:space="0"/>
            </w:tcBorders>
            <w:shd w:val="clear" w:color="auto" w:fill="FFFFFF"/>
            <w:noWrap w:val="0"/>
            <w:vAlign w:val="top"/>
          </w:tcPr>
          <w:p w14:paraId="012DD27D">
            <w:pPr>
              <w:rPr>
                <w:color w:val="auto"/>
                <w:szCs w:val="21"/>
                <w:highlight w:val="none"/>
              </w:rPr>
            </w:pPr>
          </w:p>
        </w:tc>
        <w:tc>
          <w:tcPr>
            <w:tcW w:w="902" w:type="dxa"/>
            <w:tcBorders>
              <w:top w:val="single" w:color="auto" w:sz="4" w:space="0"/>
              <w:left w:val="single" w:color="auto" w:sz="4" w:space="0"/>
            </w:tcBorders>
            <w:shd w:val="clear" w:color="auto" w:fill="FFFFFF"/>
            <w:noWrap w:val="0"/>
            <w:vAlign w:val="top"/>
          </w:tcPr>
          <w:p w14:paraId="02F7D457">
            <w:pPr>
              <w:rPr>
                <w:color w:val="auto"/>
                <w:szCs w:val="21"/>
                <w:highlight w:val="none"/>
              </w:rPr>
            </w:pPr>
          </w:p>
        </w:tc>
        <w:tc>
          <w:tcPr>
            <w:tcW w:w="907" w:type="dxa"/>
            <w:tcBorders>
              <w:top w:val="single" w:color="auto" w:sz="4" w:space="0"/>
              <w:left w:val="single" w:color="auto" w:sz="4" w:space="0"/>
            </w:tcBorders>
            <w:shd w:val="clear" w:color="auto" w:fill="FFFFFF"/>
            <w:noWrap w:val="0"/>
            <w:vAlign w:val="top"/>
          </w:tcPr>
          <w:p w14:paraId="68B7AE71">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noWrap w:val="0"/>
            <w:vAlign w:val="top"/>
          </w:tcPr>
          <w:p w14:paraId="101E3D67">
            <w:pPr>
              <w:rPr>
                <w:color w:val="auto"/>
                <w:szCs w:val="21"/>
                <w:highlight w:val="none"/>
              </w:rPr>
            </w:pPr>
          </w:p>
        </w:tc>
      </w:tr>
      <w:tr w14:paraId="70BD9A6F">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noWrap w:val="0"/>
            <w:vAlign w:val="top"/>
          </w:tcPr>
          <w:p w14:paraId="290E050D">
            <w:pPr>
              <w:rPr>
                <w:color w:val="auto"/>
                <w:szCs w:val="21"/>
                <w:highlight w:val="none"/>
              </w:rPr>
            </w:pPr>
          </w:p>
        </w:tc>
        <w:tc>
          <w:tcPr>
            <w:tcW w:w="1416" w:type="dxa"/>
            <w:tcBorders>
              <w:top w:val="single" w:color="auto" w:sz="4" w:space="0"/>
              <w:left w:val="single" w:color="auto" w:sz="4" w:space="0"/>
            </w:tcBorders>
            <w:shd w:val="clear" w:color="auto" w:fill="FFFFFF"/>
            <w:noWrap w:val="0"/>
            <w:vAlign w:val="top"/>
          </w:tcPr>
          <w:p w14:paraId="2D217311">
            <w:pPr>
              <w:rPr>
                <w:color w:val="auto"/>
                <w:szCs w:val="21"/>
                <w:highlight w:val="none"/>
              </w:rPr>
            </w:pPr>
          </w:p>
        </w:tc>
        <w:tc>
          <w:tcPr>
            <w:tcW w:w="907" w:type="dxa"/>
            <w:tcBorders>
              <w:top w:val="single" w:color="auto" w:sz="4" w:space="0"/>
              <w:left w:val="single" w:color="auto" w:sz="4" w:space="0"/>
            </w:tcBorders>
            <w:shd w:val="clear" w:color="auto" w:fill="FFFFFF"/>
            <w:noWrap w:val="0"/>
            <w:vAlign w:val="top"/>
          </w:tcPr>
          <w:p w14:paraId="0AA58711">
            <w:pPr>
              <w:rPr>
                <w:color w:val="auto"/>
                <w:szCs w:val="21"/>
                <w:highlight w:val="none"/>
              </w:rPr>
            </w:pPr>
          </w:p>
        </w:tc>
        <w:tc>
          <w:tcPr>
            <w:tcW w:w="907" w:type="dxa"/>
            <w:tcBorders>
              <w:top w:val="single" w:color="auto" w:sz="4" w:space="0"/>
              <w:left w:val="single" w:color="auto" w:sz="4" w:space="0"/>
            </w:tcBorders>
            <w:shd w:val="clear" w:color="auto" w:fill="FFFFFF"/>
            <w:noWrap w:val="0"/>
            <w:vAlign w:val="top"/>
          </w:tcPr>
          <w:p w14:paraId="5E0D1F44">
            <w:pPr>
              <w:rPr>
                <w:color w:val="auto"/>
                <w:szCs w:val="21"/>
                <w:highlight w:val="none"/>
              </w:rPr>
            </w:pPr>
          </w:p>
        </w:tc>
        <w:tc>
          <w:tcPr>
            <w:tcW w:w="907" w:type="dxa"/>
            <w:tcBorders>
              <w:top w:val="single" w:color="auto" w:sz="4" w:space="0"/>
              <w:left w:val="single" w:color="auto" w:sz="4" w:space="0"/>
            </w:tcBorders>
            <w:shd w:val="clear" w:color="auto" w:fill="FFFFFF"/>
            <w:noWrap w:val="0"/>
            <w:vAlign w:val="top"/>
          </w:tcPr>
          <w:p w14:paraId="709557CF">
            <w:pPr>
              <w:rPr>
                <w:color w:val="auto"/>
                <w:szCs w:val="21"/>
                <w:highlight w:val="none"/>
              </w:rPr>
            </w:pPr>
          </w:p>
        </w:tc>
        <w:tc>
          <w:tcPr>
            <w:tcW w:w="912" w:type="dxa"/>
            <w:tcBorders>
              <w:top w:val="single" w:color="auto" w:sz="4" w:space="0"/>
              <w:left w:val="single" w:color="auto" w:sz="4" w:space="0"/>
            </w:tcBorders>
            <w:shd w:val="clear" w:color="auto" w:fill="FFFFFF"/>
            <w:noWrap w:val="0"/>
            <w:vAlign w:val="top"/>
          </w:tcPr>
          <w:p w14:paraId="4A5D6281">
            <w:pPr>
              <w:rPr>
                <w:color w:val="auto"/>
                <w:szCs w:val="21"/>
                <w:highlight w:val="none"/>
              </w:rPr>
            </w:pPr>
          </w:p>
        </w:tc>
        <w:tc>
          <w:tcPr>
            <w:tcW w:w="902" w:type="dxa"/>
            <w:tcBorders>
              <w:top w:val="single" w:color="auto" w:sz="4" w:space="0"/>
              <w:left w:val="single" w:color="auto" w:sz="4" w:space="0"/>
            </w:tcBorders>
            <w:shd w:val="clear" w:color="auto" w:fill="FFFFFF"/>
            <w:noWrap w:val="0"/>
            <w:vAlign w:val="top"/>
          </w:tcPr>
          <w:p w14:paraId="2DE3B8B5">
            <w:pPr>
              <w:rPr>
                <w:color w:val="auto"/>
                <w:szCs w:val="21"/>
                <w:highlight w:val="none"/>
              </w:rPr>
            </w:pPr>
          </w:p>
        </w:tc>
        <w:tc>
          <w:tcPr>
            <w:tcW w:w="907" w:type="dxa"/>
            <w:tcBorders>
              <w:top w:val="single" w:color="auto" w:sz="4" w:space="0"/>
              <w:left w:val="single" w:color="auto" w:sz="4" w:space="0"/>
            </w:tcBorders>
            <w:shd w:val="clear" w:color="auto" w:fill="FFFFFF"/>
            <w:noWrap w:val="0"/>
            <w:vAlign w:val="top"/>
          </w:tcPr>
          <w:p w14:paraId="2F4A21F0">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noWrap w:val="0"/>
            <w:vAlign w:val="top"/>
          </w:tcPr>
          <w:p w14:paraId="1EECC037">
            <w:pPr>
              <w:rPr>
                <w:color w:val="auto"/>
                <w:szCs w:val="21"/>
                <w:highlight w:val="none"/>
              </w:rPr>
            </w:pPr>
          </w:p>
        </w:tc>
      </w:tr>
      <w:tr w14:paraId="4FEDA4F1">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noWrap w:val="0"/>
            <w:vAlign w:val="top"/>
          </w:tcPr>
          <w:p w14:paraId="23A60113">
            <w:pPr>
              <w:rPr>
                <w:color w:val="auto"/>
                <w:szCs w:val="21"/>
                <w:highlight w:val="none"/>
              </w:rPr>
            </w:pPr>
          </w:p>
        </w:tc>
        <w:tc>
          <w:tcPr>
            <w:tcW w:w="1416" w:type="dxa"/>
            <w:tcBorders>
              <w:top w:val="single" w:color="auto" w:sz="4" w:space="0"/>
              <w:left w:val="single" w:color="auto" w:sz="4" w:space="0"/>
            </w:tcBorders>
            <w:shd w:val="clear" w:color="auto" w:fill="FFFFFF"/>
            <w:noWrap w:val="0"/>
            <w:vAlign w:val="top"/>
          </w:tcPr>
          <w:p w14:paraId="59D1FC3E">
            <w:pPr>
              <w:rPr>
                <w:color w:val="auto"/>
                <w:szCs w:val="21"/>
                <w:highlight w:val="none"/>
              </w:rPr>
            </w:pPr>
          </w:p>
        </w:tc>
        <w:tc>
          <w:tcPr>
            <w:tcW w:w="907" w:type="dxa"/>
            <w:tcBorders>
              <w:top w:val="single" w:color="auto" w:sz="4" w:space="0"/>
              <w:left w:val="single" w:color="auto" w:sz="4" w:space="0"/>
            </w:tcBorders>
            <w:shd w:val="clear" w:color="auto" w:fill="FFFFFF"/>
            <w:noWrap w:val="0"/>
            <w:vAlign w:val="top"/>
          </w:tcPr>
          <w:p w14:paraId="4C89218A">
            <w:pPr>
              <w:rPr>
                <w:color w:val="auto"/>
                <w:szCs w:val="21"/>
                <w:highlight w:val="none"/>
              </w:rPr>
            </w:pPr>
          </w:p>
        </w:tc>
        <w:tc>
          <w:tcPr>
            <w:tcW w:w="907" w:type="dxa"/>
            <w:tcBorders>
              <w:top w:val="single" w:color="auto" w:sz="4" w:space="0"/>
              <w:left w:val="single" w:color="auto" w:sz="4" w:space="0"/>
            </w:tcBorders>
            <w:shd w:val="clear" w:color="auto" w:fill="FFFFFF"/>
            <w:noWrap w:val="0"/>
            <w:vAlign w:val="top"/>
          </w:tcPr>
          <w:p w14:paraId="506FC651">
            <w:pPr>
              <w:rPr>
                <w:color w:val="auto"/>
                <w:szCs w:val="21"/>
                <w:highlight w:val="none"/>
              </w:rPr>
            </w:pPr>
          </w:p>
        </w:tc>
        <w:tc>
          <w:tcPr>
            <w:tcW w:w="907" w:type="dxa"/>
            <w:tcBorders>
              <w:top w:val="single" w:color="auto" w:sz="4" w:space="0"/>
              <w:left w:val="single" w:color="auto" w:sz="4" w:space="0"/>
            </w:tcBorders>
            <w:shd w:val="clear" w:color="auto" w:fill="FFFFFF"/>
            <w:noWrap w:val="0"/>
            <w:vAlign w:val="top"/>
          </w:tcPr>
          <w:p w14:paraId="1F605A10">
            <w:pPr>
              <w:rPr>
                <w:color w:val="auto"/>
                <w:szCs w:val="21"/>
                <w:highlight w:val="none"/>
              </w:rPr>
            </w:pPr>
          </w:p>
        </w:tc>
        <w:tc>
          <w:tcPr>
            <w:tcW w:w="912" w:type="dxa"/>
            <w:tcBorders>
              <w:top w:val="single" w:color="auto" w:sz="4" w:space="0"/>
              <w:left w:val="single" w:color="auto" w:sz="4" w:space="0"/>
            </w:tcBorders>
            <w:shd w:val="clear" w:color="auto" w:fill="FFFFFF"/>
            <w:noWrap w:val="0"/>
            <w:vAlign w:val="top"/>
          </w:tcPr>
          <w:p w14:paraId="7EF00AC2">
            <w:pPr>
              <w:rPr>
                <w:color w:val="auto"/>
                <w:szCs w:val="21"/>
                <w:highlight w:val="none"/>
              </w:rPr>
            </w:pPr>
          </w:p>
        </w:tc>
        <w:tc>
          <w:tcPr>
            <w:tcW w:w="902" w:type="dxa"/>
            <w:tcBorders>
              <w:top w:val="single" w:color="auto" w:sz="4" w:space="0"/>
              <w:left w:val="single" w:color="auto" w:sz="4" w:space="0"/>
            </w:tcBorders>
            <w:shd w:val="clear" w:color="auto" w:fill="FFFFFF"/>
            <w:noWrap w:val="0"/>
            <w:vAlign w:val="top"/>
          </w:tcPr>
          <w:p w14:paraId="32644384">
            <w:pPr>
              <w:rPr>
                <w:color w:val="auto"/>
                <w:szCs w:val="21"/>
                <w:highlight w:val="none"/>
              </w:rPr>
            </w:pPr>
          </w:p>
        </w:tc>
        <w:tc>
          <w:tcPr>
            <w:tcW w:w="907" w:type="dxa"/>
            <w:tcBorders>
              <w:top w:val="single" w:color="auto" w:sz="4" w:space="0"/>
              <w:left w:val="single" w:color="auto" w:sz="4" w:space="0"/>
            </w:tcBorders>
            <w:shd w:val="clear" w:color="auto" w:fill="FFFFFF"/>
            <w:noWrap w:val="0"/>
            <w:vAlign w:val="top"/>
          </w:tcPr>
          <w:p w14:paraId="1F6297B3">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noWrap w:val="0"/>
            <w:vAlign w:val="top"/>
          </w:tcPr>
          <w:p w14:paraId="46F6C22E">
            <w:pPr>
              <w:rPr>
                <w:color w:val="auto"/>
                <w:szCs w:val="21"/>
                <w:highlight w:val="none"/>
              </w:rPr>
            </w:pPr>
          </w:p>
        </w:tc>
      </w:tr>
      <w:tr w14:paraId="1E57BD21">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noWrap w:val="0"/>
            <w:vAlign w:val="top"/>
          </w:tcPr>
          <w:p w14:paraId="71862DA4">
            <w:pPr>
              <w:rPr>
                <w:color w:val="auto"/>
                <w:szCs w:val="21"/>
                <w:highlight w:val="none"/>
              </w:rPr>
            </w:pPr>
          </w:p>
        </w:tc>
        <w:tc>
          <w:tcPr>
            <w:tcW w:w="1416" w:type="dxa"/>
            <w:tcBorders>
              <w:top w:val="single" w:color="auto" w:sz="4" w:space="0"/>
              <w:left w:val="single" w:color="auto" w:sz="4" w:space="0"/>
            </w:tcBorders>
            <w:shd w:val="clear" w:color="auto" w:fill="FFFFFF"/>
            <w:noWrap w:val="0"/>
            <w:vAlign w:val="top"/>
          </w:tcPr>
          <w:p w14:paraId="1E068D73">
            <w:pPr>
              <w:rPr>
                <w:color w:val="auto"/>
                <w:szCs w:val="21"/>
                <w:highlight w:val="none"/>
              </w:rPr>
            </w:pPr>
          </w:p>
        </w:tc>
        <w:tc>
          <w:tcPr>
            <w:tcW w:w="907" w:type="dxa"/>
            <w:tcBorders>
              <w:top w:val="single" w:color="auto" w:sz="4" w:space="0"/>
              <w:left w:val="single" w:color="auto" w:sz="4" w:space="0"/>
            </w:tcBorders>
            <w:shd w:val="clear" w:color="auto" w:fill="FFFFFF"/>
            <w:noWrap w:val="0"/>
            <w:vAlign w:val="top"/>
          </w:tcPr>
          <w:p w14:paraId="4321CF4E">
            <w:pPr>
              <w:rPr>
                <w:color w:val="auto"/>
                <w:szCs w:val="21"/>
                <w:highlight w:val="none"/>
              </w:rPr>
            </w:pPr>
          </w:p>
        </w:tc>
        <w:tc>
          <w:tcPr>
            <w:tcW w:w="907" w:type="dxa"/>
            <w:tcBorders>
              <w:top w:val="single" w:color="auto" w:sz="4" w:space="0"/>
              <w:left w:val="single" w:color="auto" w:sz="4" w:space="0"/>
            </w:tcBorders>
            <w:shd w:val="clear" w:color="auto" w:fill="FFFFFF"/>
            <w:noWrap w:val="0"/>
            <w:vAlign w:val="top"/>
          </w:tcPr>
          <w:p w14:paraId="2EC752A3">
            <w:pPr>
              <w:rPr>
                <w:color w:val="auto"/>
                <w:szCs w:val="21"/>
                <w:highlight w:val="none"/>
              </w:rPr>
            </w:pPr>
          </w:p>
        </w:tc>
        <w:tc>
          <w:tcPr>
            <w:tcW w:w="907" w:type="dxa"/>
            <w:tcBorders>
              <w:top w:val="single" w:color="auto" w:sz="4" w:space="0"/>
              <w:left w:val="single" w:color="auto" w:sz="4" w:space="0"/>
            </w:tcBorders>
            <w:shd w:val="clear" w:color="auto" w:fill="FFFFFF"/>
            <w:noWrap w:val="0"/>
            <w:vAlign w:val="top"/>
          </w:tcPr>
          <w:p w14:paraId="0FE34F7F">
            <w:pPr>
              <w:rPr>
                <w:color w:val="auto"/>
                <w:szCs w:val="21"/>
                <w:highlight w:val="none"/>
              </w:rPr>
            </w:pPr>
          </w:p>
        </w:tc>
        <w:tc>
          <w:tcPr>
            <w:tcW w:w="912" w:type="dxa"/>
            <w:tcBorders>
              <w:top w:val="single" w:color="auto" w:sz="4" w:space="0"/>
              <w:left w:val="single" w:color="auto" w:sz="4" w:space="0"/>
            </w:tcBorders>
            <w:shd w:val="clear" w:color="auto" w:fill="FFFFFF"/>
            <w:noWrap w:val="0"/>
            <w:vAlign w:val="top"/>
          </w:tcPr>
          <w:p w14:paraId="5A7CFC2F">
            <w:pPr>
              <w:rPr>
                <w:color w:val="auto"/>
                <w:szCs w:val="21"/>
                <w:highlight w:val="none"/>
              </w:rPr>
            </w:pPr>
          </w:p>
        </w:tc>
        <w:tc>
          <w:tcPr>
            <w:tcW w:w="902" w:type="dxa"/>
            <w:tcBorders>
              <w:top w:val="single" w:color="auto" w:sz="4" w:space="0"/>
              <w:left w:val="single" w:color="auto" w:sz="4" w:space="0"/>
            </w:tcBorders>
            <w:shd w:val="clear" w:color="auto" w:fill="FFFFFF"/>
            <w:noWrap w:val="0"/>
            <w:vAlign w:val="top"/>
          </w:tcPr>
          <w:p w14:paraId="37453201">
            <w:pPr>
              <w:rPr>
                <w:color w:val="auto"/>
                <w:szCs w:val="21"/>
                <w:highlight w:val="none"/>
              </w:rPr>
            </w:pPr>
          </w:p>
        </w:tc>
        <w:tc>
          <w:tcPr>
            <w:tcW w:w="907" w:type="dxa"/>
            <w:tcBorders>
              <w:top w:val="single" w:color="auto" w:sz="4" w:space="0"/>
              <w:left w:val="single" w:color="auto" w:sz="4" w:space="0"/>
            </w:tcBorders>
            <w:shd w:val="clear" w:color="auto" w:fill="FFFFFF"/>
            <w:noWrap w:val="0"/>
            <w:vAlign w:val="top"/>
          </w:tcPr>
          <w:p w14:paraId="39EB8C4B">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noWrap w:val="0"/>
            <w:vAlign w:val="top"/>
          </w:tcPr>
          <w:p w14:paraId="26C52D57">
            <w:pPr>
              <w:rPr>
                <w:color w:val="auto"/>
                <w:szCs w:val="21"/>
                <w:highlight w:val="none"/>
              </w:rPr>
            </w:pPr>
          </w:p>
        </w:tc>
      </w:tr>
      <w:tr w14:paraId="65730117">
        <w:tblPrEx>
          <w:tblCellMar>
            <w:top w:w="0" w:type="dxa"/>
            <w:left w:w="10" w:type="dxa"/>
            <w:bottom w:w="0" w:type="dxa"/>
            <w:right w:w="10" w:type="dxa"/>
          </w:tblCellMar>
        </w:tblPrEx>
        <w:trPr>
          <w:trHeight w:val="581" w:hRule="exact"/>
          <w:jc w:val="center"/>
        </w:trPr>
        <w:tc>
          <w:tcPr>
            <w:tcW w:w="576" w:type="dxa"/>
            <w:tcBorders>
              <w:top w:val="single" w:color="auto" w:sz="4" w:space="0"/>
              <w:left w:val="single" w:color="auto" w:sz="4" w:space="0"/>
              <w:bottom w:val="single" w:color="auto" w:sz="4" w:space="0"/>
            </w:tcBorders>
            <w:shd w:val="clear" w:color="auto" w:fill="FFFFFF"/>
            <w:noWrap w:val="0"/>
            <w:vAlign w:val="top"/>
          </w:tcPr>
          <w:p w14:paraId="69F7040C">
            <w:pPr>
              <w:rPr>
                <w:color w:val="auto"/>
                <w:szCs w:val="21"/>
                <w:highlight w:val="none"/>
              </w:rPr>
            </w:pPr>
          </w:p>
        </w:tc>
        <w:tc>
          <w:tcPr>
            <w:tcW w:w="1416" w:type="dxa"/>
            <w:tcBorders>
              <w:top w:val="single" w:color="auto" w:sz="4" w:space="0"/>
              <w:left w:val="single" w:color="auto" w:sz="4" w:space="0"/>
              <w:bottom w:val="single" w:color="auto" w:sz="4" w:space="0"/>
            </w:tcBorders>
            <w:shd w:val="clear" w:color="auto" w:fill="FFFFFF"/>
            <w:noWrap w:val="0"/>
            <w:vAlign w:val="top"/>
          </w:tcPr>
          <w:p w14:paraId="54AD6484">
            <w:pPr>
              <w:rPr>
                <w:color w:val="auto"/>
                <w:szCs w:val="21"/>
                <w:highlight w:val="none"/>
              </w:rPr>
            </w:pPr>
          </w:p>
        </w:tc>
        <w:tc>
          <w:tcPr>
            <w:tcW w:w="907" w:type="dxa"/>
            <w:tcBorders>
              <w:top w:val="single" w:color="auto" w:sz="4" w:space="0"/>
              <w:left w:val="single" w:color="auto" w:sz="4" w:space="0"/>
              <w:bottom w:val="single" w:color="auto" w:sz="4" w:space="0"/>
            </w:tcBorders>
            <w:shd w:val="clear" w:color="auto" w:fill="FFFFFF"/>
            <w:noWrap w:val="0"/>
            <w:vAlign w:val="top"/>
          </w:tcPr>
          <w:p w14:paraId="5C03CF0A">
            <w:pPr>
              <w:rPr>
                <w:color w:val="auto"/>
                <w:szCs w:val="21"/>
                <w:highlight w:val="none"/>
              </w:rPr>
            </w:pPr>
          </w:p>
        </w:tc>
        <w:tc>
          <w:tcPr>
            <w:tcW w:w="907" w:type="dxa"/>
            <w:tcBorders>
              <w:top w:val="single" w:color="auto" w:sz="4" w:space="0"/>
              <w:left w:val="single" w:color="auto" w:sz="4" w:space="0"/>
              <w:bottom w:val="single" w:color="auto" w:sz="4" w:space="0"/>
            </w:tcBorders>
            <w:shd w:val="clear" w:color="auto" w:fill="FFFFFF"/>
            <w:noWrap w:val="0"/>
            <w:vAlign w:val="top"/>
          </w:tcPr>
          <w:p w14:paraId="54B24392">
            <w:pPr>
              <w:rPr>
                <w:color w:val="auto"/>
                <w:szCs w:val="21"/>
                <w:highlight w:val="none"/>
              </w:rPr>
            </w:pPr>
          </w:p>
        </w:tc>
        <w:tc>
          <w:tcPr>
            <w:tcW w:w="907" w:type="dxa"/>
            <w:tcBorders>
              <w:top w:val="single" w:color="auto" w:sz="4" w:space="0"/>
              <w:left w:val="single" w:color="auto" w:sz="4" w:space="0"/>
              <w:bottom w:val="single" w:color="auto" w:sz="4" w:space="0"/>
            </w:tcBorders>
            <w:shd w:val="clear" w:color="auto" w:fill="FFFFFF"/>
            <w:noWrap w:val="0"/>
            <w:vAlign w:val="top"/>
          </w:tcPr>
          <w:p w14:paraId="2B534CAF">
            <w:pPr>
              <w:rPr>
                <w:color w:val="auto"/>
                <w:szCs w:val="21"/>
                <w:highlight w:val="none"/>
              </w:rPr>
            </w:pPr>
          </w:p>
        </w:tc>
        <w:tc>
          <w:tcPr>
            <w:tcW w:w="912" w:type="dxa"/>
            <w:tcBorders>
              <w:top w:val="single" w:color="auto" w:sz="4" w:space="0"/>
              <w:left w:val="single" w:color="auto" w:sz="4" w:space="0"/>
              <w:bottom w:val="single" w:color="auto" w:sz="4" w:space="0"/>
            </w:tcBorders>
            <w:shd w:val="clear" w:color="auto" w:fill="FFFFFF"/>
            <w:noWrap w:val="0"/>
            <w:vAlign w:val="top"/>
          </w:tcPr>
          <w:p w14:paraId="17D726FD">
            <w:pPr>
              <w:rPr>
                <w:color w:val="auto"/>
                <w:szCs w:val="21"/>
                <w:highlight w:val="none"/>
              </w:rPr>
            </w:pPr>
          </w:p>
        </w:tc>
        <w:tc>
          <w:tcPr>
            <w:tcW w:w="902" w:type="dxa"/>
            <w:tcBorders>
              <w:top w:val="single" w:color="auto" w:sz="4" w:space="0"/>
              <w:left w:val="single" w:color="auto" w:sz="4" w:space="0"/>
              <w:bottom w:val="single" w:color="auto" w:sz="4" w:space="0"/>
            </w:tcBorders>
            <w:shd w:val="clear" w:color="auto" w:fill="FFFFFF"/>
            <w:noWrap w:val="0"/>
            <w:vAlign w:val="top"/>
          </w:tcPr>
          <w:p w14:paraId="19CD5439">
            <w:pPr>
              <w:rPr>
                <w:color w:val="auto"/>
                <w:szCs w:val="21"/>
                <w:highlight w:val="none"/>
              </w:rPr>
            </w:pPr>
          </w:p>
        </w:tc>
        <w:tc>
          <w:tcPr>
            <w:tcW w:w="907" w:type="dxa"/>
            <w:tcBorders>
              <w:top w:val="single" w:color="auto" w:sz="4" w:space="0"/>
              <w:left w:val="single" w:color="auto" w:sz="4" w:space="0"/>
              <w:bottom w:val="single" w:color="auto" w:sz="4" w:space="0"/>
            </w:tcBorders>
            <w:shd w:val="clear" w:color="auto" w:fill="FFFFFF"/>
            <w:noWrap w:val="0"/>
            <w:vAlign w:val="top"/>
          </w:tcPr>
          <w:p w14:paraId="1EE93A1C">
            <w:pPr>
              <w:rPr>
                <w:color w:val="auto"/>
                <w:szCs w:val="21"/>
                <w:highlight w:val="none"/>
              </w:rPr>
            </w:pPr>
          </w:p>
        </w:tc>
        <w:tc>
          <w:tcPr>
            <w:tcW w:w="917"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16D27B93">
            <w:pPr>
              <w:rPr>
                <w:color w:val="auto"/>
                <w:szCs w:val="21"/>
                <w:highlight w:val="none"/>
              </w:rPr>
            </w:pPr>
          </w:p>
        </w:tc>
      </w:tr>
    </w:tbl>
    <w:p w14:paraId="769DB5ED">
      <w:pPr>
        <w:spacing w:after="299" w:line="1" w:lineRule="exact"/>
        <w:rPr>
          <w:color w:val="auto"/>
          <w:highlight w:val="none"/>
        </w:rPr>
      </w:pPr>
    </w:p>
    <w:p w14:paraId="07AE905D">
      <w:pPr>
        <w:pStyle w:val="93"/>
        <w:tabs>
          <w:tab w:val="left" w:pos="847"/>
          <w:tab w:val="left" w:leader="underscore" w:pos="850"/>
          <w:tab w:val="left" w:leader="underscore" w:pos="1906"/>
          <w:tab w:val="left" w:pos="1908"/>
          <w:tab w:val="left" w:pos="2964"/>
        </w:tabs>
        <w:spacing w:after="420" w:line="353" w:lineRule="exact"/>
        <w:ind w:firstLine="420" w:firstLineChars="200"/>
        <w:jc w:val="right"/>
        <w:rPr>
          <w:color w:val="auto"/>
          <w:highlight w:val="none"/>
        </w:rPr>
        <w:sectPr>
          <w:headerReference r:id="rId13" w:type="default"/>
          <w:footerReference r:id="rId15" w:type="default"/>
          <w:headerReference r:id="rId14" w:type="even"/>
          <w:footerReference r:id="rId16" w:type="even"/>
          <w:pgSz w:w="11900" w:h="16832"/>
          <w:pgMar w:top="1440" w:right="1803" w:bottom="1440" w:left="1803" w:header="851" w:footer="851" w:gutter="0"/>
          <w:pgNumType w:fmt="decimal"/>
          <w:cols w:space="720" w:num="1"/>
          <w:docGrid w:linePitch="360" w:charSpace="0"/>
        </w:sectPr>
      </w:pPr>
      <w:bookmarkStart w:id="124" w:name="bookmark2239"/>
      <w:bookmarkStart w:id="125" w:name="bookmark2238"/>
      <w:bookmarkStart w:id="126" w:name="bookmark2237"/>
    </w:p>
    <w:p w14:paraId="4A1B44CD">
      <w:pPr>
        <w:pStyle w:val="10"/>
        <w:rPr>
          <w:rFonts w:hint="eastAsia" w:ascii="宋体" w:hAnsi="宋体" w:cs="宋体"/>
          <w:b w:val="0"/>
          <w:color w:val="auto"/>
          <w:sz w:val="28"/>
          <w:szCs w:val="28"/>
          <w:highlight w:val="none"/>
        </w:rPr>
      </w:pPr>
      <w:r>
        <w:rPr>
          <w:rFonts w:hint="eastAsia" w:ascii="宋体" w:hAnsi="宋体" w:cs="宋体"/>
          <w:b w:val="0"/>
          <w:color w:val="auto"/>
          <w:sz w:val="28"/>
          <w:szCs w:val="28"/>
          <w:highlight w:val="none"/>
        </w:rPr>
        <w:t>附件三：拟投入本合同工程的劳动力计划表</w:t>
      </w:r>
      <w:bookmarkEnd w:id="124"/>
      <w:bookmarkEnd w:id="125"/>
      <w:bookmarkEnd w:id="126"/>
    </w:p>
    <w:p w14:paraId="4695C099">
      <w:pPr>
        <w:rPr>
          <w:rFonts w:hint="eastAsia"/>
          <w:color w:val="auto"/>
          <w:highlight w:val="none"/>
        </w:rPr>
      </w:pPr>
    </w:p>
    <w:p w14:paraId="17CB43D5">
      <w:pPr>
        <w:jc w:val="center"/>
        <w:rPr>
          <w:rFonts w:hint="eastAsia" w:ascii="宋体" w:hAnsi="宋体" w:cs="宋体"/>
          <w:b/>
          <w:bCs/>
          <w:color w:val="auto"/>
          <w:sz w:val="28"/>
          <w:szCs w:val="28"/>
          <w:highlight w:val="none"/>
        </w:rPr>
      </w:pPr>
      <w:bookmarkStart w:id="127" w:name="bookmark2241"/>
      <w:bookmarkStart w:id="128" w:name="_Toc26872"/>
      <w:bookmarkStart w:id="129" w:name="_Toc30824"/>
      <w:bookmarkStart w:id="130" w:name="bookmark2240"/>
      <w:bookmarkStart w:id="131" w:name="bookmark2242"/>
      <w:r>
        <w:rPr>
          <w:rFonts w:hint="eastAsia" w:ascii="宋体" w:hAnsi="宋体" w:cs="宋体"/>
          <w:b/>
          <w:bCs/>
          <w:color w:val="auto"/>
          <w:sz w:val="28"/>
          <w:szCs w:val="28"/>
          <w:highlight w:val="none"/>
        </w:rPr>
        <w:t>拟投入本合同工程的劳动力计划表</w:t>
      </w:r>
      <w:bookmarkEnd w:id="127"/>
      <w:bookmarkEnd w:id="128"/>
      <w:bookmarkEnd w:id="129"/>
      <w:bookmarkEnd w:id="130"/>
      <w:bookmarkEnd w:id="131"/>
    </w:p>
    <w:p w14:paraId="764FE507">
      <w:pPr>
        <w:jc w:val="center"/>
        <w:rPr>
          <w:b/>
          <w:color w:val="auto"/>
          <w:highlight w:val="none"/>
        </w:rPr>
      </w:pPr>
      <w:r>
        <w:rPr>
          <w:color w:val="auto"/>
          <w:sz w:val="18"/>
          <w:szCs w:val="18"/>
          <w:highlight w:val="none"/>
          <w:lang w:bidi="mn-Mong-CN"/>
        </w:rPr>
        <mc:AlternateContent>
          <mc:Choice Requires="wps">
            <w:drawing>
              <wp:anchor distT="0" distB="0" distL="114300" distR="114300" simplePos="0" relativeHeight="251659264" behindDoc="0" locked="0" layoutInCell="1" allowOverlap="1">
                <wp:simplePos x="0" y="0"/>
                <wp:positionH relativeFrom="column">
                  <wp:posOffset>-26035</wp:posOffset>
                </wp:positionH>
                <wp:positionV relativeFrom="paragraph">
                  <wp:posOffset>173355</wp:posOffset>
                </wp:positionV>
                <wp:extent cx="1822450" cy="366395"/>
                <wp:effectExtent l="635" t="4445" r="5715" b="10160"/>
                <wp:wrapNone/>
                <wp:docPr id="5" name="直接箭头连接符 5"/>
                <wp:cNvGraphicFramePr/>
                <a:graphic xmlns:a="http://schemas.openxmlformats.org/drawingml/2006/main">
                  <a:graphicData uri="http://schemas.microsoft.com/office/word/2010/wordprocessingShape">
                    <wps:wsp>
                      <wps:cNvCnPr/>
                      <wps:spPr>
                        <a:xfrm>
                          <a:off x="0" y="0"/>
                          <a:ext cx="1822450" cy="3663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05pt;margin-top:13.65pt;height:28.85pt;width:143.5pt;z-index:251659264;mso-width-relative:page;mso-height-relative:page;" filled="f" stroked="t" coordsize="21600,21600" o:gfxdata="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OQaGrXAAAACAEAAA8AAAAAAAAAAQAgAAAAIgAAAGRycy9k&#10;b3ducmV2LnhtbFBLAQIUABQAAAAIAIdO4kB7mkJaAwIAAPEDAAAOAAAAAAAAAAEAIAAAACYBAABk&#10;cnMvZTJvRG9jLnhtbFBLBQYAAAAABgAGAFkBAACbBQAAAAA=&#10;">
                <v:fill on="f" focussize="0,0"/>
                <v:stroke color="#000000" joinstyle="round"/>
                <v:imagedata o:title=""/>
                <o:lock v:ext="edit" aspectratio="f"/>
              </v:shape>
            </w:pict>
          </mc:Fallback>
        </mc:AlternateContent>
      </w:r>
    </w:p>
    <w:tbl>
      <w:tblPr>
        <w:tblStyle w:val="43"/>
        <w:tblW w:w="0" w:type="auto"/>
        <w:jc w:val="center"/>
        <w:tblLayout w:type="fixed"/>
        <w:tblCellMar>
          <w:top w:w="0" w:type="dxa"/>
          <w:left w:w="10" w:type="dxa"/>
          <w:bottom w:w="0" w:type="dxa"/>
          <w:right w:w="10" w:type="dxa"/>
        </w:tblCellMar>
      </w:tblPr>
      <w:tblGrid>
        <w:gridCol w:w="1426"/>
        <w:gridCol w:w="1421"/>
        <w:gridCol w:w="643"/>
        <w:gridCol w:w="648"/>
        <w:gridCol w:w="643"/>
        <w:gridCol w:w="648"/>
        <w:gridCol w:w="648"/>
        <w:gridCol w:w="1133"/>
        <w:gridCol w:w="1142"/>
      </w:tblGrid>
      <w:tr w14:paraId="1AD85F5C">
        <w:tblPrEx>
          <w:tblCellMar>
            <w:top w:w="0" w:type="dxa"/>
            <w:left w:w="10" w:type="dxa"/>
            <w:bottom w:w="0" w:type="dxa"/>
            <w:right w:w="10" w:type="dxa"/>
          </w:tblCellMar>
        </w:tblPrEx>
        <w:trPr>
          <w:trHeight w:val="576" w:hRule="exact"/>
          <w:jc w:val="center"/>
        </w:trPr>
        <w:tc>
          <w:tcPr>
            <w:tcW w:w="2847" w:type="dxa"/>
            <w:gridSpan w:val="2"/>
            <w:vMerge w:val="restart"/>
            <w:tcBorders>
              <w:top w:val="single" w:color="auto" w:sz="4" w:space="0"/>
              <w:left w:val="single" w:color="auto" w:sz="4" w:space="0"/>
            </w:tcBorders>
            <w:shd w:val="clear" w:color="auto" w:fill="FFFFFF"/>
            <w:noWrap w:val="0"/>
            <w:vAlign w:val="center"/>
          </w:tcPr>
          <w:p w14:paraId="7521FE51">
            <w:pPr>
              <w:pStyle w:val="168"/>
              <w:spacing w:line="266" w:lineRule="exact"/>
              <w:ind w:left="1060" w:firstLine="1220"/>
              <w:rPr>
                <w:color w:val="auto"/>
                <w:sz w:val="21"/>
                <w:szCs w:val="21"/>
                <w:highlight w:val="none"/>
              </w:rPr>
            </w:pPr>
            <w:r>
              <w:rPr>
                <w:color w:val="auto"/>
                <w:sz w:val="21"/>
                <w:szCs w:val="21"/>
                <w:highlight w:val="none"/>
                <w:lang w:val="en-US" w:bidi="mn-Mong-CN"/>
              </w:rPr>
              <mc:AlternateContent>
                <mc:Choice Requires="wps">
                  <w:drawing>
                    <wp:anchor distT="0" distB="0" distL="114300" distR="114300" simplePos="0" relativeHeight="251660288" behindDoc="0" locked="0" layoutInCell="1" allowOverlap="1">
                      <wp:simplePos x="0" y="0"/>
                      <wp:positionH relativeFrom="column">
                        <wp:posOffset>-13970</wp:posOffset>
                      </wp:positionH>
                      <wp:positionV relativeFrom="paragraph">
                        <wp:posOffset>-8255</wp:posOffset>
                      </wp:positionV>
                      <wp:extent cx="1139190" cy="728980"/>
                      <wp:effectExtent l="2540" t="3810" r="20320" b="10160"/>
                      <wp:wrapNone/>
                      <wp:docPr id="6" name="直接箭头连接符 6"/>
                      <wp:cNvGraphicFramePr/>
                      <a:graphic xmlns:a="http://schemas.openxmlformats.org/drawingml/2006/main">
                        <a:graphicData uri="http://schemas.microsoft.com/office/word/2010/wordprocessingShape">
                          <wps:wsp>
                            <wps:cNvCnPr/>
                            <wps:spPr>
                              <a:xfrm>
                                <a:off x="0" y="0"/>
                                <a:ext cx="1139190" cy="72898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1pt;margin-top:-0.65pt;height:57.4pt;width:89.7pt;z-index:251660288;mso-width-relative:page;mso-height-relative:page;" filled="f" stroked="t" coordsize="21600,21600" o:gfxdata="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ha+1XXAAAACQEAAA8AAAAAAAAAAQAgAAAAIgAAAGRycy9k&#10;b3ducmV2LnhtbFBLAQIUABQAAAAIAIdO4kBv6IWWAwIAAPEDAAAOAAAAAAAAAAEAIAAAACYBAABk&#10;cnMvZTJvRG9jLnhtbFBLBQYAAAAABgAGAFkBAACbBQAAAAA=&#10;">
                      <v:fill on="f" focussize="0,0"/>
                      <v:stroke color="#000000" joinstyle="round"/>
                      <v:imagedata o:title=""/>
                      <o:lock v:ext="edit" aspectratio="f"/>
                    </v:shape>
                  </w:pict>
                </mc:Fallback>
              </mc:AlternateContent>
            </w:r>
            <w:r>
              <w:rPr>
                <w:color w:val="auto"/>
                <w:sz w:val="21"/>
                <w:szCs w:val="21"/>
                <w:highlight w:val="none"/>
              </w:rPr>
              <w:t>工种 人数</w:t>
            </w:r>
          </w:p>
          <w:p w14:paraId="4D354336">
            <w:pPr>
              <w:pStyle w:val="168"/>
              <w:spacing w:line="266" w:lineRule="exact"/>
              <w:ind w:firstLine="180"/>
              <w:rPr>
                <w:color w:val="auto"/>
                <w:sz w:val="21"/>
                <w:szCs w:val="21"/>
                <w:highlight w:val="none"/>
              </w:rPr>
            </w:pPr>
            <w:r>
              <w:rPr>
                <w:color w:val="auto"/>
                <w:sz w:val="21"/>
                <w:szCs w:val="21"/>
                <w:highlight w:val="none"/>
              </w:rPr>
              <w:t>时间</w:t>
            </w:r>
          </w:p>
        </w:tc>
        <w:tc>
          <w:tcPr>
            <w:tcW w:w="643" w:type="dxa"/>
            <w:vMerge w:val="restart"/>
            <w:tcBorders>
              <w:top w:val="single" w:color="auto" w:sz="4" w:space="0"/>
              <w:left w:val="single" w:color="auto" w:sz="4" w:space="0"/>
            </w:tcBorders>
            <w:shd w:val="clear" w:color="auto" w:fill="FFFFFF"/>
            <w:noWrap w:val="0"/>
            <w:vAlign w:val="top"/>
          </w:tcPr>
          <w:p w14:paraId="54278953">
            <w:pPr>
              <w:rPr>
                <w:color w:val="auto"/>
                <w:szCs w:val="21"/>
                <w:highlight w:val="none"/>
              </w:rPr>
            </w:pPr>
          </w:p>
        </w:tc>
        <w:tc>
          <w:tcPr>
            <w:tcW w:w="648" w:type="dxa"/>
            <w:vMerge w:val="restart"/>
            <w:tcBorders>
              <w:top w:val="single" w:color="auto" w:sz="4" w:space="0"/>
              <w:left w:val="single" w:color="auto" w:sz="4" w:space="0"/>
            </w:tcBorders>
            <w:shd w:val="clear" w:color="auto" w:fill="FFFFFF"/>
            <w:noWrap w:val="0"/>
            <w:vAlign w:val="top"/>
          </w:tcPr>
          <w:p w14:paraId="1E7D0ABA">
            <w:pPr>
              <w:rPr>
                <w:color w:val="auto"/>
                <w:szCs w:val="21"/>
                <w:highlight w:val="none"/>
              </w:rPr>
            </w:pPr>
          </w:p>
        </w:tc>
        <w:tc>
          <w:tcPr>
            <w:tcW w:w="643" w:type="dxa"/>
            <w:vMerge w:val="restart"/>
            <w:tcBorders>
              <w:top w:val="single" w:color="auto" w:sz="4" w:space="0"/>
              <w:left w:val="single" w:color="auto" w:sz="4" w:space="0"/>
            </w:tcBorders>
            <w:shd w:val="clear" w:color="auto" w:fill="FFFFFF"/>
            <w:noWrap w:val="0"/>
            <w:vAlign w:val="top"/>
          </w:tcPr>
          <w:p w14:paraId="1712F146">
            <w:pPr>
              <w:rPr>
                <w:color w:val="auto"/>
                <w:szCs w:val="21"/>
                <w:highlight w:val="none"/>
              </w:rPr>
            </w:pPr>
          </w:p>
        </w:tc>
        <w:tc>
          <w:tcPr>
            <w:tcW w:w="648" w:type="dxa"/>
            <w:vMerge w:val="restart"/>
            <w:tcBorders>
              <w:top w:val="single" w:color="auto" w:sz="4" w:space="0"/>
              <w:left w:val="single" w:color="auto" w:sz="4" w:space="0"/>
            </w:tcBorders>
            <w:shd w:val="clear" w:color="auto" w:fill="FFFFFF"/>
            <w:noWrap w:val="0"/>
            <w:vAlign w:val="top"/>
          </w:tcPr>
          <w:p w14:paraId="2A3E6791">
            <w:pPr>
              <w:rPr>
                <w:color w:val="auto"/>
                <w:szCs w:val="21"/>
                <w:highlight w:val="none"/>
              </w:rPr>
            </w:pPr>
          </w:p>
        </w:tc>
        <w:tc>
          <w:tcPr>
            <w:tcW w:w="648" w:type="dxa"/>
            <w:vMerge w:val="restart"/>
            <w:tcBorders>
              <w:top w:val="single" w:color="auto" w:sz="4" w:space="0"/>
              <w:left w:val="single" w:color="auto" w:sz="4" w:space="0"/>
            </w:tcBorders>
            <w:shd w:val="clear" w:color="auto" w:fill="FFFFFF"/>
            <w:noWrap w:val="0"/>
            <w:vAlign w:val="top"/>
          </w:tcPr>
          <w:p w14:paraId="6BD6DB9A">
            <w:pPr>
              <w:rPr>
                <w:color w:val="auto"/>
                <w:szCs w:val="21"/>
                <w:highlight w:val="none"/>
              </w:rPr>
            </w:pPr>
          </w:p>
        </w:tc>
        <w:tc>
          <w:tcPr>
            <w:tcW w:w="2275" w:type="dxa"/>
            <w:gridSpan w:val="2"/>
            <w:tcBorders>
              <w:top w:val="single" w:color="auto" w:sz="4" w:space="0"/>
              <w:left w:val="single" w:color="auto" w:sz="4" w:space="0"/>
              <w:right w:val="single" w:color="auto" w:sz="4" w:space="0"/>
            </w:tcBorders>
            <w:shd w:val="clear" w:color="auto" w:fill="FFFFFF"/>
            <w:noWrap w:val="0"/>
            <w:vAlign w:val="center"/>
          </w:tcPr>
          <w:p w14:paraId="074D2DB6">
            <w:pPr>
              <w:pStyle w:val="168"/>
              <w:spacing w:line="240" w:lineRule="auto"/>
              <w:ind w:firstLine="0"/>
              <w:jc w:val="center"/>
              <w:rPr>
                <w:color w:val="auto"/>
                <w:sz w:val="21"/>
                <w:szCs w:val="21"/>
                <w:highlight w:val="none"/>
              </w:rPr>
            </w:pPr>
            <w:r>
              <w:rPr>
                <w:color w:val="auto"/>
                <w:sz w:val="21"/>
                <w:szCs w:val="21"/>
                <w:highlight w:val="none"/>
              </w:rPr>
              <w:t>合 计</w:t>
            </w:r>
          </w:p>
        </w:tc>
      </w:tr>
      <w:tr w14:paraId="2887539C">
        <w:tblPrEx>
          <w:tblCellMar>
            <w:top w:w="0" w:type="dxa"/>
            <w:left w:w="10" w:type="dxa"/>
            <w:bottom w:w="0" w:type="dxa"/>
            <w:right w:w="10" w:type="dxa"/>
          </w:tblCellMar>
        </w:tblPrEx>
        <w:trPr>
          <w:trHeight w:val="566" w:hRule="exact"/>
          <w:jc w:val="center"/>
        </w:trPr>
        <w:tc>
          <w:tcPr>
            <w:tcW w:w="2847" w:type="dxa"/>
            <w:gridSpan w:val="2"/>
            <w:vMerge w:val="continue"/>
            <w:tcBorders>
              <w:left w:val="single" w:color="auto" w:sz="4" w:space="0"/>
            </w:tcBorders>
            <w:shd w:val="clear" w:color="auto" w:fill="FFFFFF"/>
            <w:noWrap w:val="0"/>
            <w:vAlign w:val="center"/>
          </w:tcPr>
          <w:p w14:paraId="253D1870">
            <w:pPr>
              <w:rPr>
                <w:color w:val="auto"/>
                <w:szCs w:val="21"/>
                <w:highlight w:val="none"/>
              </w:rPr>
            </w:pPr>
          </w:p>
        </w:tc>
        <w:tc>
          <w:tcPr>
            <w:tcW w:w="643" w:type="dxa"/>
            <w:vMerge w:val="continue"/>
            <w:tcBorders>
              <w:left w:val="single" w:color="auto" w:sz="4" w:space="0"/>
            </w:tcBorders>
            <w:shd w:val="clear" w:color="auto" w:fill="FFFFFF"/>
            <w:noWrap w:val="0"/>
            <w:vAlign w:val="top"/>
          </w:tcPr>
          <w:p w14:paraId="12C42F6F">
            <w:pPr>
              <w:rPr>
                <w:color w:val="auto"/>
                <w:szCs w:val="21"/>
                <w:highlight w:val="none"/>
              </w:rPr>
            </w:pPr>
          </w:p>
        </w:tc>
        <w:tc>
          <w:tcPr>
            <w:tcW w:w="648" w:type="dxa"/>
            <w:vMerge w:val="continue"/>
            <w:tcBorders>
              <w:left w:val="single" w:color="auto" w:sz="4" w:space="0"/>
            </w:tcBorders>
            <w:shd w:val="clear" w:color="auto" w:fill="FFFFFF"/>
            <w:noWrap w:val="0"/>
            <w:vAlign w:val="top"/>
          </w:tcPr>
          <w:p w14:paraId="4E196C91">
            <w:pPr>
              <w:rPr>
                <w:color w:val="auto"/>
                <w:szCs w:val="21"/>
                <w:highlight w:val="none"/>
              </w:rPr>
            </w:pPr>
          </w:p>
        </w:tc>
        <w:tc>
          <w:tcPr>
            <w:tcW w:w="643" w:type="dxa"/>
            <w:vMerge w:val="continue"/>
            <w:tcBorders>
              <w:left w:val="single" w:color="auto" w:sz="4" w:space="0"/>
            </w:tcBorders>
            <w:shd w:val="clear" w:color="auto" w:fill="FFFFFF"/>
            <w:noWrap w:val="0"/>
            <w:vAlign w:val="top"/>
          </w:tcPr>
          <w:p w14:paraId="36EF136B">
            <w:pPr>
              <w:rPr>
                <w:color w:val="auto"/>
                <w:szCs w:val="21"/>
                <w:highlight w:val="none"/>
              </w:rPr>
            </w:pPr>
          </w:p>
        </w:tc>
        <w:tc>
          <w:tcPr>
            <w:tcW w:w="648" w:type="dxa"/>
            <w:vMerge w:val="continue"/>
            <w:tcBorders>
              <w:left w:val="single" w:color="auto" w:sz="4" w:space="0"/>
            </w:tcBorders>
            <w:shd w:val="clear" w:color="auto" w:fill="FFFFFF"/>
            <w:noWrap w:val="0"/>
            <w:vAlign w:val="top"/>
          </w:tcPr>
          <w:p w14:paraId="1CD907BD">
            <w:pPr>
              <w:rPr>
                <w:color w:val="auto"/>
                <w:szCs w:val="21"/>
                <w:highlight w:val="none"/>
              </w:rPr>
            </w:pPr>
          </w:p>
        </w:tc>
        <w:tc>
          <w:tcPr>
            <w:tcW w:w="648" w:type="dxa"/>
            <w:vMerge w:val="continue"/>
            <w:tcBorders>
              <w:left w:val="single" w:color="auto" w:sz="4" w:space="0"/>
            </w:tcBorders>
            <w:shd w:val="clear" w:color="auto" w:fill="FFFFFF"/>
            <w:noWrap w:val="0"/>
            <w:vAlign w:val="top"/>
          </w:tcPr>
          <w:p w14:paraId="3210F56A">
            <w:pPr>
              <w:rPr>
                <w:color w:val="auto"/>
                <w:szCs w:val="21"/>
                <w:highlight w:val="none"/>
              </w:rPr>
            </w:pPr>
          </w:p>
        </w:tc>
        <w:tc>
          <w:tcPr>
            <w:tcW w:w="1133" w:type="dxa"/>
            <w:tcBorders>
              <w:top w:val="single" w:color="auto" w:sz="4" w:space="0"/>
              <w:left w:val="single" w:color="auto" w:sz="4" w:space="0"/>
            </w:tcBorders>
            <w:shd w:val="clear" w:color="auto" w:fill="FFFFFF"/>
            <w:noWrap w:val="0"/>
            <w:vAlign w:val="center"/>
          </w:tcPr>
          <w:p w14:paraId="0059170B">
            <w:pPr>
              <w:pStyle w:val="168"/>
              <w:spacing w:line="240" w:lineRule="auto"/>
              <w:ind w:firstLine="0"/>
              <w:jc w:val="center"/>
              <w:rPr>
                <w:color w:val="auto"/>
                <w:sz w:val="21"/>
                <w:szCs w:val="21"/>
                <w:highlight w:val="none"/>
              </w:rPr>
            </w:pPr>
            <w:r>
              <w:rPr>
                <w:color w:val="auto"/>
                <w:sz w:val="21"/>
                <w:szCs w:val="21"/>
                <w:highlight w:val="none"/>
              </w:rPr>
              <w:t>人数</w:t>
            </w:r>
          </w:p>
        </w:tc>
        <w:tc>
          <w:tcPr>
            <w:tcW w:w="1142" w:type="dxa"/>
            <w:tcBorders>
              <w:top w:val="single" w:color="auto" w:sz="4" w:space="0"/>
              <w:left w:val="single" w:color="auto" w:sz="4" w:space="0"/>
              <w:right w:val="single" w:color="auto" w:sz="4" w:space="0"/>
            </w:tcBorders>
            <w:shd w:val="clear" w:color="auto" w:fill="FFFFFF"/>
            <w:noWrap w:val="0"/>
            <w:vAlign w:val="center"/>
          </w:tcPr>
          <w:p w14:paraId="085E9591">
            <w:pPr>
              <w:pStyle w:val="168"/>
              <w:spacing w:line="240" w:lineRule="auto"/>
              <w:ind w:firstLine="0"/>
              <w:jc w:val="center"/>
              <w:rPr>
                <w:color w:val="auto"/>
                <w:sz w:val="21"/>
                <w:szCs w:val="21"/>
                <w:highlight w:val="none"/>
              </w:rPr>
            </w:pPr>
            <w:r>
              <w:rPr>
                <w:color w:val="auto"/>
                <w:sz w:val="21"/>
                <w:szCs w:val="21"/>
                <w:highlight w:val="none"/>
              </w:rPr>
              <w:t>人工工日数</w:t>
            </w:r>
          </w:p>
        </w:tc>
      </w:tr>
      <w:tr w14:paraId="2ABD624B">
        <w:tblPrEx>
          <w:tblCellMar>
            <w:top w:w="0" w:type="dxa"/>
            <w:left w:w="10" w:type="dxa"/>
            <w:bottom w:w="0" w:type="dxa"/>
            <w:right w:w="10" w:type="dxa"/>
          </w:tblCellMar>
        </w:tblPrEx>
        <w:trPr>
          <w:trHeight w:val="566" w:hRule="exact"/>
          <w:jc w:val="center"/>
        </w:trPr>
        <w:tc>
          <w:tcPr>
            <w:tcW w:w="1426" w:type="dxa"/>
            <w:vMerge w:val="restart"/>
            <w:tcBorders>
              <w:top w:val="single" w:color="auto" w:sz="4" w:space="0"/>
              <w:left w:val="single" w:color="auto" w:sz="4" w:space="0"/>
            </w:tcBorders>
            <w:shd w:val="clear" w:color="auto" w:fill="FFFFFF"/>
            <w:noWrap w:val="0"/>
            <w:vAlign w:val="center"/>
          </w:tcPr>
          <w:p w14:paraId="2A45B831">
            <w:pPr>
              <w:pStyle w:val="168"/>
              <w:spacing w:line="240" w:lineRule="auto"/>
              <w:ind w:left="1120" w:firstLine="0"/>
              <w:rPr>
                <w:color w:val="auto"/>
                <w:sz w:val="21"/>
                <w:szCs w:val="21"/>
                <w:highlight w:val="none"/>
              </w:rPr>
            </w:pPr>
            <w:r>
              <w:rPr>
                <w:color w:val="auto"/>
                <w:sz w:val="21"/>
                <w:szCs w:val="21"/>
                <w:highlight w:val="none"/>
              </w:rPr>
              <w:t>年</w:t>
            </w:r>
          </w:p>
        </w:tc>
        <w:tc>
          <w:tcPr>
            <w:tcW w:w="1421" w:type="dxa"/>
            <w:tcBorders>
              <w:top w:val="single" w:color="auto" w:sz="4" w:space="0"/>
              <w:left w:val="single" w:color="auto" w:sz="4" w:space="0"/>
            </w:tcBorders>
            <w:shd w:val="clear" w:color="auto" w:fill="FFFFFF"/>
            <w:noWrap w:val="0"/>
            <w:vAlign w:val="center"/>
          </w:tcPr>
          <w:p w14:paraId="698713B5">
            <w:pPr>
              <w:pStyle w:val="168"/>
              <w:spacing w:line="240" w:lineRule="auto"/>
              <w:ind w:left="1120" w:firstLine="0"/>
              <w:rPr>
                <w:color w:val="auto"/>
                <w:sz w:val="21"/>
                <w:szCs w:val="21"/>
                <w:highlight w:val="none"/>
              </w:rPr>
            </w:pPr>
            <w:r>
              <w:rPr>
                <w:color w:val="auto"/>
                <w:sz w:val="21"/>
                <w:szCs w:val="21"/>
                <w:highlight w:val="none"/>
              </w:rPr>
              <w:t>月</w:t>
            </w:r>
          </w:p>
        </w:tc>
        <w:tc>
          <w:tcPr>
            <w:tcW w:w="643" w:type="dxa"/>
            <w:tcBorders>
              <w:top w:val="single" w:color="auto" w:sz="4" w:space="0"/>
              <w:left w:val="single" w:color="auto" w:sz="4" w:space="0"/>
            </w:tcBorders>
            <w:shd w:val="clear" w:color="auto" w:fill="FFFFFF"/>
            <w:noWrap w:val="0"/>
            <w:vAlign w:val="top"/>
          </w:tcPr>
          <w:p w14:paraId="335C4EC3">
            <w:pPr>
              <w:rPr>
                <w:color w:val="auto"/>
                <w:szCs w:val="21"/>
                <w:highlight w:val="none"/>
              </w:rPr>
            </w:pPr>
          </w:p>
        </w:tc>
        <w:tc>
          <w:tcPr>
            <w:tcW w:w="648" w:type="dxa"/>
            <w:tcBorders>
              <w:top w:val="single" w:color="auto" w:sz="4" w:space="0"/>
              <w:left w:val="single" w:color="auto" w:sz="4" w:space="0"/>
            </w:tcBorders>
            <w:shd w:val="clear" w:color="auto" w:fill="FFFFFF"/>
            <w:noWrap w:val="0"/>
            <w:vAlign w:val="top"/>
          </w:tcPr>
          <w:p w14:paraId="2E8B1FFD">
            <w:pPr>
              <w:rPr>
                <w:color w:val="auto"/>
                <w:szCs w:val="21"/>
                <w:highlight w:val="none"/>
              </w:rPr>
            </w:pPr>
          </w:p>
        </w:tc>
        <w:tc>
          <w:tcPr>
            <w:tcW w:w="643" w:type="dxa"/>
            <w:tcBorders>
              <w:top w:val="single" w:color="auto" w:sz="4" w:space="0"/>
              <w:left w:val="single" w:color="auto" w:sz="4" w:space="0"/>
            </w:tcBorders>
            <w:shd w:val="clear" w:color="auto" w:fill="FFFFFF"/>
            <w:noWrap w:val="0"/>
            <w:vAlign w:val="top"/>
          </w:tcPr>
          <w:p w14:paraId="760EA0CC">
            <w:pPr>
              <w:rPr>
                <w:color w:val="auto"/>
                <w:szCs w:val="21"/>
                <w:highlight w:val="none"/>
              </w:rPr>
            </w:pPr>
          </w:p>
        </w:tc>
        <w:tc>
          <w:tcPr>
            <w:tcW w:w="648" w:type="dxa"/>
            <w:tcBorders>
              <w:top w:val="single" w:color="auto" w:sz="4" w:space="0"/>
              <w:left w:val="single" w:color="auto" w:sz="4" w:space="0"/>
            </w:tcBorders>
            <w:shd w:val="clear" w:color="auto" w:fill="FFFFFF"/>
            <w:noWrap w:val="0"/>
            <w:vAlign w:val="top"/>
          </w:tcPr>
          <w:p w14:paraId="55C71296">
            <w:pPr>
              <w:rPr>
                <w:color w:val="auto"/>
                <w:szCs w:val="21"/>
                <w:highlight w:val="none"/>
              </w:rPr>
            </w:pPr>
          </w:p>
        </w:tc>
        <w:tc>
          <w:tcPr>
            <w:tcW w:w="648" w:type="dxa"/>
            <w:tcBorders>
              <w:top w:val="single" w:color="auto" w:sz="4" w:space="0"/>
              <w:left w:val="single" w:color="auto" w:sz="4" w:space="0"/>
            </w:tcBorders>
            <w:shd w:val="clear" w:color="auto" w:fill="FFFFFF"/>
            <w:noWrap w:val="0"/>
            <w:vAlign w:val="top"/>
          </w:tcPr>
          <w:p w14:paraId="35AC0CB5">
            <w:pPr>
              <w:rPr>
                <w:color w:val="auto"/>
                <w:szCs w:val="21"/>
                <w:highlight w:val="none"/>
              </w:rPr>
            </w:pPr>
          </w:p>
        </w:tc>
        <w:tc>
          <w:tcPr>
            <w:tcW w:w="1133" w:type="dxa"/>
            <w:tcBorders>
              <w:top w:val="single" w:color="auto" w:sz="4" w:space="0"/>
              <w:left w:val="single" w:color="auto" w:sz="4" w:space="0"/>
            </w:tcBorders>
            <w:shd w:val="clear" w:color="auto" w:fill="FFFFFF"/>
            <w:noWrap w:val="0"/>
            <w:vAlign w:val="top"/>
          </w:tcPr>
          <w:p w14:paraId="721E44A7">
            <w:pPr>
              <w:rPr>
                <w:color w:val="auto"/>
                <w:szCs w:val="21"/>
                <w:highlight w:val="none"/>
              </w:rPr>
            </w:pPr>
          </w:p>
        </w:tc>
        <w:tc>
          <w:tcPr>
            <w:tcW w:w="1142" w:type="dxa"/>
            <w:tcBorders>
              <w:top w:val="single" w:color="auto" w:sz="4" w:space="0"/>
              <w:left w:val="single" w:color="auto" w:sz="4" w:space="0"/>
              <w:right w:val="single" w:color="auto" w:sz="4" w:space="0"/>
            </w:tcBorders>
            <w:shd w:val="clear" w:color="auto" w:fill="FFFFFF"/>
            <w:noWrap w:val="0"/>
            <w:vAlign w:val="center"/>
          </w:tcPr>
          <w:p w14:paraId="1AEA55FD">
            <w:pPr>
              <w:jc w:val="center"/>
              <w:rPr>
                <w:color w:val="auto"/>
                <w:szCs w:val="21"/>
                <w:highlight w:val="none"/>
              </w:rPr>
            </w:pPr>
          </w:p>
        </w:tc>
      </w:tr>
      <w:tr w14:paraId="731CDD83">
        <w:tblPrEx>
          <w:tblCellMar>
            <w:top w:w="0" w:type="dxa"/>
            <w:left w:w="10" w:type="dxa"/>
            <w:bottom w:w="0" w:type="dxa"/>
            <w:right w:w="10" w:type="dxa"/>
          </w:tblCellMar>
        </w:tblPrEx>
        <w:trPr>
          <w:trHeight w:val="566" w:hRule="exact"/>
          <w:jc w:val="center"/>
        </w:trPr>
        <w:tc>
          <w:tcPr>
            <w:tcW w:w="1426" w:type="dxa"/>
            <w:vMerge w:val="continue"/>
            <w:tcBorders>
              <w:left w:val="single" w:color="auto" w:sz="4" w:space="0"/>
            </w:tcBorders>
            <w:shd w:val="clear" w:color="auto" w:fill="FFFFFF"/>
            <w:noWrap w:val="0"/>
            <w:vAlign w:val="center"/>
          </w:tcPr>
          <w:p w14:paraId="12EA5D14">
            <w:pPr>
              <w:rPr>
                <w:color w:val="auto"/>
                <w:szCs w:val="21"/>
                <w:highlight w:val="none"/>
              </w:rPr>
            </w:pPr>
          </w:p>
        </w:tc>
        <w:tc>
          <w:tcPr>
            <w:tcW w:w="1421" w:type="dxa"/>
            <w:tcBorders>
              <w:top w:val="single" w:color="auto" w:sz="4" w:space="0"/>
              <w:left w:val="single" w:color="auto" w:sz="4" w:space="0"/>
            </w:tcBorders>
            <w:shd w:val="clear" w:color="auto" w:fill="FFFFFF"/>
            <w:noWrap w:val="0"/>
            <w:vAlign w:val="center"/>
          </w:tcPr>
          <w:p w14:paraId="272678BE">
            <w:pPr>
              <w:pStyle w:val="168"/>
              <w:spacing w:line="240" w:lineRule="auto"/>
              <w:ind w:left="1120" w:firstLine="0"/>
              <w:rPr>
                <w:color w:val="auto"/>
                <w:sz w:val="21"/>
                <w:szCs w:val="21"/>
                <w:highlight w:val="none"/>
              </w:rPr>
            </w:pPr>
            <w:r>
              <w:rPr>
                <w:color w:val="auto"/>
                <w:sz w:val="21"/>
                <w:szCs w:val="21"/>
                <w:highlight w:val="none"/>
              </w:rPr>
              <w:t>月</w:t>
            </w:r>
          </w:p>
        </w:tc>
        <w:tc>
          <w:tcPr>
            <w:tcW w:w="643" w:type="dxa"/>
            <w:tcBorders>
              <w:top w:val="single" w:color="auto" w:sz="4" w:space="0"/>
              <w:left w:val="single" w:color="auto" w:sz="4" w:space="0"/>
            </w:tcBorders>
            <w:shd w:val="clear" w:color="auto" w:fill="FFFFFF"/>
            <w:noWrap w:val="0"/>
            <w:vAlign w:val="top"/>
          </w:tcPr>
          <w:p w14:paraId="520B09DD">
            <w:pPr>
              <w:rPr>
                <w:color w:val="auto"/>
                <w:szCs w:val="21"/>
                <w:highlight w:val="none"/>
              </w:rPr>
            </w:pPr>
          </w:p>
        </w:tc>
        <w:tc>
          <w:tcPr>
            <w:tcW w:w="648" w:type="dxa"/>
            <w:tcBorders>
              <w:top w:val="single" w:color="auto" w:sz="4" w:space="0"/>
              <w:left w:val="single" w:color="auto" w:sz="4" w:space="0"/>
            </w:tcBorders>
            <w:shd w:val="clear" w:color="auto" w:fill="FFFFFF"/>
            <w:noWrap w:val="0"/>
            <w:vAlign w:val="top"/>
          </w:tcPr>
          <w:p w14:paraId="033920F2">
            <w:pPr>
              <w:rPr>
                <w:color w:val="auto"/>
                <w:szCs w:val="21"/>
                <w:highlight w:val="none"/>
              </w:rPr>
            </w:pPr>
          </w:p>
        </w:tc>
        <w:tc>
          <w:tcPr>
            <w:tcW w:w="643" w:type="dxa"/>
            <w:tcBorders>
              <w:top w:val="single" w:color="auto" w:sz="4" w:space="0"/>
              <w:left w:val="single" w:color="auto" w:sz="4" w:space="0"/>
            </w:tcBorders>
            <w:shd w:val="clear" w:color="auto" w:fill="FFFFFF"/>
            <w:noWrap w:val="0"/>
            <w:vAlign w:val="top"/>
          </w:tcPr>
          <w:p w14:paraId="287D6E04">
            <w:pPr>
              <w:rPr>
                <w:color w:val="auto"/>
                <w:szCs w:val="21"/>
                <w:highlight w:val="none"/>
              </w:rPr>
            </w:pPr>
          </w:p>
        </w:tc>
        <w:tc>
          <w:tcPr>
            <w:tcW w:w="648" w:type="dxa"/>
            <w:tcBorders>
              <w:top w:val="single" w:color="auto" w:sz="4" w:space="0"/>
              <w:left w:val="single" w:color="auto" w:sz="4" w:space="0"/>
            </w:tcBorders>
            <w:shd w:val="clear" w:color="auto" w:fill="FFFFFF"/>
            <w:noWrap w:val="0"/>
            <w:vAlign w:val="top"/>
          </w:tcPr>
          <w:p w14:paraId="21A7EB13">
            <w:pPr>
              <w:rPr>
                <w:color w:val="auto"/>
                <w:szCs w:val="21"/>
                <w:highlight w:val="none"/>
              </w:rPr>
            </w:pPr>
          </w:p>
        </w:tc>
        <w:tc>
          <w:tcPr>
            <w:tcW w:w="648" w:type="dxa"/>
            <w:tcBorders>
              <w:top w:val="single" w:color="auto" w:sz="4" w:space="0"/>
              <w:left w:val="single" w:color="auto" w:sz="4" w:space="0"/>
            </w:tcBorders>
            <w:shd w:val="clear" w:color="auto" w:fill="FFFFFF"/>
            <w:noWrap w:val="0"/>
            <w:vAlign w:val="top"/>
          </w:tcPr>
          <w:p w14:paraId="14A0868F">
            <w:pPr>
              <w:rPr>
                <w:color w:val="auto"/>
                <w:szCs w:val="21"/>
                <w:highlight w:val="none"/>
              </w:rPr>
            </w:pPr>
          </w:p>
        </w:tc>
        <w:tc>
          <w:tcPr>
            <w:tcW w:w="1133" w:type="dxa"/>
            <w:tcBorders>
              <w:top w:val="single" w:color="auto" w:sz="4" w:space="0"/>
              <w:left w:val="single" w:color="auto" w:sz="4" w:space="0"/>
            </w:tcBorders>
            <w:shd w:val="clear" w:color="auto" w:fill="FFFFFF"/>
            <w:noWrap w:val="0"/>
            <w:vAlign w:val="top"/>
          </w:tcPr>
          <w:p w14:paraId="3EF916BE">
            <w:pPr>
              <w:rPr>
                <w:color w:val="auto"/>
                <w:szCs w:val="21"/>
                <w:highlight w:val="none"/>
              </w:rPr>
            </w:pPr>
          </w:p>
        </w:tc>
        <w:tc>
          <w:tcPr>
            <w:tcW w:w="1142" w:type="dxa"/>
            <w:tcBorders>
              <w:top w:val="single" w:color="auto" w:sz="4" w:space="0"/>
              <w:left w:val="single" w:color="auto" w:sz="4" w:space="0"/>
              <w:right w:val="single" w:color="auto" w:sz="4" w:space="0"/>
            </w:tcBorders>
            <w:shd w:val="clear" w:color="auto" w:fill="FFFFFF"/>
            <w:noWrap w:val="0"/>
            <w:vAlign w:val="center"/>
          </w:tcPr>
          <w:p w14:paraId="50D75B6E">
            <w:pPr>
              <w:jc w:val="center"/>
              <w:rPr>
                <w:color w:val="auto"/>
                <w:szCs w:val="21"/>
                <w:highlight w:val="none"/>
              </w:rPr>
            </w:pPr>
          </w:p>
        </w:tc>
      </w:tr>
      <w:tr w14:paraId="5C8CCE15">
        <w:tblPrEx>
          <w:tblCellMar>
            <w:top w:w="0" w:type="dxa"/>
            <w:left w:w="10" w:type="dxa"/>
            <w:bottom w:w="0" w:type="dxa"/>
            <w:right w:w="10" w:type="dxa"/>
          </w:tblCellMar>
        </w:tblPrEx>
        <w:trPr>
          <w:trHeight w:val="566" w:hRule="exact"/>
          <w:jc w:val="center"/>
        </w:trPr>
        <w:tc>
          <w:tcPr>
            <w:tcW w:w="1426" w:type="dxa"/>
            <w:vMerge w:val="continue"/>
            <w:tcBorders>
              <w:left w:val="single" w:color="auto" w:sz="4" w:space="0"/>
            </w:tcBorders>
            <w:shd w:val="clear" w:color="auto" w:fill="FFFFFF"/>
            <w:noWrap w:val="0"/>
            <w:vAlign w:val="center"/>
          </w:tcPr>
          <w:p w14:paraId="3A38EDC9">
            <w:pPr>
              <w:rPr>
                <w:color w:val="auto"/>
                <w:szCs w:val="21"/>
                <w:highlight w:val="none"/>
              </w:rPr>
            </w:pPr>
          </w:p>
        </w:tc>
        <w:tc>
          <w:tcPr>
            <w:tcW w:w="1421" w:type="dxa"/>
            <w:tcBorders>
              <w:top w:val="single" w:color="auto" w:sz="4" w:space="0"/>
              <w:left w:val="single" w:color="auto" w:sz="4" w:space="0"/>
            </w:tcBorders>
            <w:shd w:val="clear" w:color="auto" w:fill="FFFFFF"/>
            <w:noWrap w:val="0"/>
            <w:vAlign w:val="center"/>
          </w:tcPr>
          <w:p w14:paraId="27C030C3">
            <w:pPr>
              <w:pStyle w:val="168"/>
              <w:spacing w:line="240" w:lineRule="auto"/>
              <w:ind w:left="1120" w:firstLine="0"/>
              <w:rPr>
                <w:color w:val="auto"/>
                <w:sz w:val="21"/>
                <w:szCs w:val="21"/>
                <w:highlight w:val="none"/>
              </w:rPr>
            </w:pPr>
            <w:r>
              <w:rPr>
                <w:color w:val="auto"/>
                <w:sz w:val="21"/>
                <w:szCs w:val="21"/>
                <w:highlight w:val="none"/>
              </w:rPr>
              <w:t>月</w:t>
            </w:r>
          </w:p>
        </w:tc>
        <w:tc>
          <w:tcPr>
            <w:tcW w:w="643" w:type="dxa"/>
            <w:tcBorders>
              <w:top w:val="single" w:color="auto" w:sz="4" w:space="0"/>
              <w:left w:val="single" w:color="auto" w:sz="4" w:space="0"/>
            </w:tcBorders>
            <w:shd w:val="clear" w:color="auto" w:fill="FFFFFF"/>
            <w:noWrap w:val="0"/>
            <w:vAlign w:val="top"/>
          </w:tcPr>
          <w:p w14:paraId="29A8FF63">
            <w:pPr>
              <w:rPr>
                <w:color w:val="auto"/>
                <w:szCs w:val="21"/>
                <w:highlight w:val="none"/>
              </w:rPr>
            </w:pPr>
          </w:p>
        </w:tc>
        <w:tc>
          <w:tcPr>
            <w:tcW w:w="648" w:type="dxa"/>
            <w:tcBorders>
              <w:top w:val="single" w:color="auto" w:sz="4" w:space="0"/>
              <w:left w:val="single" w:color="auto" w:sz="4" w:space="0"/>
            </w:tcBorders>
            <w:shd w:val="clear" w:color="auto" w:fill="FFFFFF"/>
            <w:noWrap w:val="0"/>
            <w:vAlign w:val="top"/>
          </w:tcPr>
          <w:p w14:paraId="3F009806">
            <w:pPr>
              <w:rPr>
                <w:color w:val="auto"/>
                <w:szCs w:val="21"/>
                <w:highlight w:val="none"/>
              </w:rPr>
            </w:pPr>
          </w:p>
        </w:tc>
        <w:tc>
          <w:tcPr>
            <w:tcW w:w="643" w:type="dxa"/>
            <w:tcBorders>
              <w:top w:val="single" w:color="auto" w:sz="4" w:space="0"/>
              <w:left w:val="single" w:color="auto" w:sz="4" w:space="0"/>
            </w:tcBorders>
            <w:shd w:val="clear" w:color="auto" w:fill="FFFFFF"/>
            <w:noWrap w:val="0"/>
            <w:vAlign w:val="top"/>
          </w:tcPr>
          <w:p w14:paraId="7D06FB94">
            <w:pPr>
              <w:rPr>
                <w:color w:val="auto"/>
                <w:szCs w:val="21"/>
                <w:highlight w:val="none"/>
              </w:rPr>
            </w:pPr>
          </w:p>
        </w:tc>
        <w:tc>
          <w:tcPr>
            <w:tcW w:w="648" w:type="dxa"/>
            <w:tcBorders>
              <w:top w:val="single" w:color="auto" w:sz="4" w:space="0"/>
              <w:left w:val="single" w:color="auto" w:sz="4" w:space="0"/>
            </w:tcBorders>
            <w:shd w:val="clear" w:color="auto" w:fill="FFFFFF"/>
            <w:noWrap w:val="0"/>
            <w:vAlign w:val="top"/>
          </w:tcPr>
          <w:p w14:paraId="19C09143">
            <w:pPr>
              <w:rPr>
                <w:color w:val="auto"/>
                <w:szCs w:val="21"/>
                <w:highlight w:val="none"/>
              </w:rPr>
            </w:pPr>
          </w:p>
        </w:tc>
        <w:tc>
          <w:tcPr>
            <w:tcW w:w="648" w:type="dxa"/>
            <w:tcBorders>
              <w:top w:val="single" w:color="auto" w:sz="4" w:space="0"/>
              <w:left w:val="single" w:color="auto" w:sz="4" w:space="0"/>
            </w:tcBorders>
            <w:shd w:val="clear" w:color="auto" w:fill="FFFFFF"/>
            <w:noWrap w:val="0"/>
            <w:vAlign w:val="top"/>
          </w:tcPr>
          <w:p w14:paraId="45DDF844">
            <w:pPr>
              <w:rPr>
                <w:color w:val="auto"/>
                <w:szCs w:val="21"/>
                <w:highlight w:val="none"/>
              </w:rPr>
            </w:pPr>
          </w:p>
        </w:tc>
        <w:tc>
          <w:tcPr>
            <w:tcW w:w="1133" w:type="dxa"/>
            <w:tcBorders>
              <w:top w:val="single" w:color="auto" w:sz="4" w:space="0"/>
              <w:left w:val="single" w:color="auto" w:sz="4" w:space="0"/>
            </w:tcBorders>
            <w:shd w:val="clear" w:color="auto" w:fill="FFFFFF"/>
            <w:noWrap w:val="0"/>
            <w:vAlign w:val="top"/>
          </w:tcPr>
          <w:p w14:paraId="22ACE072">
            <w:pPr>
              <w:rPr>
                <w:color w:val="auto"/>
                <w:szCs w:val="21"/>
                <w:highlight w:val="none"/>
              </w:rPr>
            </w:pPr>
          </w:p>
        </w:tc>
        <w:tc>
          <w:tcPr>
            <w:tcW w:w="1142" w:type="dxa"/>
            <w:tcBorders>
              <w:top w:val="single" w:color="auto" w:sz="4" w:space="0"/>
              <w:left w:val="single" w:color="auto" w:sz="4" w:space="0"/>
              <w:right w:val="single" w:color="auto" w:sz="4" w:space="0"/>
            </w:tcBorders>
            <w:shd w:val="clear" w:color="auto" w:fill="FFFFFF"/>
            <w:noWrap w:val="0"/>
            <w:vAlign w:val="top"/>
          </w:tcPr>
          <w:p w14:paraId="04753390">
            <w:pPr>
              <w:rPr>
                <w:color w:val="auto"/>
                <w:szCs w:val="21"/>
                <w:highlight w:val="none"/>
              </w:rPr>
            </w:pPr>
          </w:p>
        </w:tc>
      </w:tr>
      <w:tr w14:paraId="754152CF">
        <w:tblPrEx>
          <w:tblCellMar>
            <w:top w:w="0" w:type="dxa"/>
            <w:left w:w="10" w:type="dxa"/>
            <w:bottom w:w="0" w:type="dxa"/>
            <w:right w:w="10" w:type="dxa"/>
          </w:tblCellMar>
        </w:tblPrEx>
        <w:trPr>
          <w:trHeight w:val="566" w:hRule="exact"/>
          <w:jc w:val="center"/>
        </w:trPr>
        <w:tc>
          <w:tcPr>
            <w:tcW w:w="1426" w:type="dxa"/>
            <w:vMerge w:val="continue"/>
            <w:tcBorders>
              <w:left w:val="single" w:color="auto" w:sz="4" w:space="0"/>
            </w:tcBorders>
            <w:shd w:val="clear" w:color="auto" w:fill="FFFFFF"/>
            <w:noWrap w:val="0"/>
            <w:vAlign w:val="center"/>
          </w:tcPr>
          <w:p w14:paraId="192E5243">
            <w:pPr>
              <w:rPr>
                <w:color w:val="auto"/>
                <w:szCs w:val="21"/>
                <w:highlight w:val="none"/>
              </w:rPr>
            </w:pPr>
          </w:p>
        </w:tc>
        <w:tc>
          <w:tcPr>
            <w:tcW w:w="1421" w:type="dxa"/>
            <w:tcBorders>
              <w:top w:val="single" w:color="auto" w:sz="4" w:space="0"/>
              <w:left w:val="single" w:color="auto" w:sz="4" w:space="0"/>
            </w:tcBorders>
            <w:shd w:val="clear" w:color="auto" w:fill="FFFFFF"/>
            <w:noWrap w:val="0"/>
            <w:vAlign w:val="center"/>
          </w:tcPr>
          <w:p w14:paraId="3F5219ED">
            <w:pPr>
              <w:pStyle w:val="168"/>
              <w:spacing w:line="240" w:lineRule="auto"/>
              <w:ind w:left="1120" w:firstLine="0"/>
              <w:rPr>
                <w:color w:val="auto"/>
                <w:sz w:val="21"/>
                <w:szCs w:val="21"/>
                <w:highlight w:val="none"/>
              </w:rPr>
            </w:pPr>
            <w:r>
              <w:rPr>
                <w:color w:val="auto"/>
                <w:sz w:val="21"/>
                <w:szCs w:val="21"/>
                <w:highlight w:val="none"/>
              </w:rPr>
              <w:t>月</w:t>
            </w:r>
          </w:p>
        </w:tc>
        <w:tc>
          <w:tcPr>
            <w:tcW w:w="643" w:type="dxa"/>
            <w:tcBorders>
              <w:top w:val="single" w:color="auto" w:sz="4" w:space="0"/>
              <w:left w:val="single" w:color="auto" w:sz="4" w:space="0"/>
            </w:tcBorders>
            <w:shd w:val="clear" w:color="auto" w:fill="FFFFFF"/>
            <w:noWrap w:val="0"/>
            <w:vAlign w:val="top"/>
          </w:tcPr>
          <w:p w14:paraId="062EFD96">
            <w:pPr>
              <w:rPr>
                <w:color w:val="auto"/>
                <w:szCs w:val="21"/>
                <w:highlight w:val="none"/>
              </w:rPr>
            </w:pPr>
          </w:p>
        </w:tc>
        <w:tc>
          <w:tcPr>
            <w:tcW w:w="648" w:type="dxa"/>
            <w:tcBorders>
              <w:top w:val="single" w:color="auto" w:sz="4" w:space="0"/>
              <w:left w:val="single" w:color="auto" w:sz="4" w:space="0"/>
            </w:tcBorders>
            <w:shd w:val="clear" w:color="auto" w:fill="FFFFFF"/>
            <w:noWrap w:val="0"/>
            <w:vAlign w:val="top"/>
          </w:tcPr>
          <w:p w14:paraId="49CCE3F1">
            <w:pPr>
              <w:rPr>
                <w:color w:val="auto"/>
                <w:szCs w:val="21"/>
                <w:highlight w:val="none"/>
              </w:rPr>
            </w:pPr>
          </w:p>
        </w:tc>
        <w:tc>
          <w:tcPr>
            <w:tcW w:w="643" w:type="dxa"/>
            <w:tcBorders>
              <w:top w:val="single" w:color="auto" w:sz="4" w:space="0"/>
              <w:left w:val="single" w:color="auto" w:sz="4" w:space="0"/>
            </w:tcBorders>
            <w:shd w:val="clear" w:color="auto" w:fill="FFFFFF"/>
            <w:noWrap w:val="0"/>
            <w:vAlign w:val="top"/>
          </w:tcPr>
          <w:p w14:paraId="077DA2E2">
            <w:pPr>
              <w:rPr>
                <w:color w:val="auto"/>
                <w:szCs w:val="21"/>
                <w:highlight w:val="none"/>
              </w:rPr>
            </w:pPr>
          </w:p>
        </w:tc>
        <w:tc>
          <w:tcPr>
            <w:tcW w:w="648" w:type="dxa"/>
            <w:tcBorders>
              <w:top w:val="single" w:color="auto" w:sz="4" w:space="0"/>
              <w:left w:val="single" w:color="auto" w:sz="4" w:space="0"/>
            </w:tcBorders>
            <w:shd w:val="clear" w:color="auto" w:fill="FFFFFF"/>
            <w:noWrap w:val="0"/>
            <w:vAlign w:val="top"/>
          </w:tcPr>
          <w:p w14:paraId="2D9D8C7D">
            <w:pPr>
              <w:rPr>
                <w:color w:val="auto"/>
                <w:szCs w:val="21"/>
                <w:highlight w:val="none"/>
              </w:rPr>
            </w:pPr>
          </w:p>
        </w:tc>
        <w:tc>
          <w:tcPr>
            <w:tcW w:w="648" w:type="dxa"/>
            <w:tcBorders>
              <w:top w:val="single" w:color="auto" w:sz="4" w:space="0"/>
              <w:left w:val="single" w:color="auto" w:sz="4" w:space="0"/>
            </w:tcBorders>
            <w:shd w:val="clear" w:color="auto" w:fill="FFFFFF"/>
            <w:noWrap w:val="0"/>
            <w:vAlign w:val="top"/>
          </w:tcPr>
          <w:p w14:paraId="4F8CAA18">
            <w:pPr>
              <w:rPr>
                <w:color w:val="auto"/>
                <w:szCs w:val="21"/>
                <w:highlight w:val="none"/>
              </w:rPr>
            </w:pPr>
          </w:p>
        </w:tc>
        <w:tc>
          <w:tcPr>
            <w:tcW w:w="1133" w:type="dxa"/>
            <w:tcBorders>
              <w:top w:val="single" w:color="auto" w:sz="4" w:space="0"/>
              <w:left w:val="single" w:color="auto" w:sz="4" w:space="0"/>
            </w:tcBorders>
            <w:shd w:val="clear" w:color="auto" w:fill="FFFFFF"/>
            <w:noWrap w:val="0"/>
            <w:vAlign w:val="top"/>
          </w:tcPr>
          <w:p w14:paraId="1C1270A9">
            <w:pPr>
              <w:rPr>
                <w:color w:val="auto"/>
                <w:szCs w:val="21"/>
                <w:highlight w:val="none"/>
              </w:rPr>
            </w:pPr>
          </w:p>
        </w:tc>
        <w:tc>
          <w:tcPr>
            <w:tcW w:w="1142" w:type="dxa"/>
            <w:tcBorders>
              <w:top w:val="single" w:color="auto" w:sz="4" w:space="0"/>
              <w:left w:val="single" w:color="auto" w:sz="4" w:space="0"/>
              <w:right w:val="single" w:color="auto" w:sz="4" w:space="0"/>
            </w:tcBorders>
            <w:shd w:val="clear" w:color="auto" w:fill="FFFFFF"/>
            <w:noWrap w:val="0"/>
            <w:vAlign w:val="top"/>
          </w:tcPr>
          <w:p w14:paraId="399F4741">
            <w:pPr>
              <w:rPr>
                <w:color w:val="auto"/>
                <w:szCs w:val="21"/>
                <w:highlight w:val="none"/>
              </w:rPr>
            </w:pPr>
          </w:p>
        </w:tc>
      </w:tr>
      <w:tr w14:paraId="6282B173">
        <w:tblPrEx>
          <w:tblCellMar>
            <w:top w:w="0" w:type="dxa"/>
            <w:left w:w="10" w:type="dxa"/>
            <w:bottom w:w="0" w:type="dxa"/>
            <w:right w:w="10" w:type="dxa"/>
          </w:tblCellMar>
        </w:tblPrEx>
        <w:trPr>
          <w:trHeight w:val="566" w:hRule="exact"/>
          <w:jc w:val="center"/>
        </w:trPr>
        <w:tc>
          <w:tcPr>
            <w:tcW w:w="1426" w:type="dxa"/>
            <w:vMerge w:val="continue"/>
            <w:tcBorders>
              <w:left w:val="single" w:color="auto" w:sz="4" w:space="0"/>
            </w:tcBorders>
            <w:shd w:val="clear" w:color="auto" w:fill="FFFFFF"/>
            <w:noWrap w:val="0"/>
            <w:vAlign w:val="center"/>
          </w:tcPr>
          <w:p w14:paraId="51610BD3">
            <w:pPr>
              <w:rPr>
                <w:color w:val="auto"/>
                <w:szCs w:val="21"/>
                <w:highlight w:val="none"/>
              </w:rPr>
            </w:pPr>
          </w:p>
        </w:tc>
        <w:tc>
          <w:tcPr>
            <w:tcW w:w="1421" w:type="dxa"/>
            <w:tcBorders>
              <w:top w:val="single" w:color="auto" w:sz="4" w:space="0"/>
              <w:left w:val="single" w:color="auto" w:sz="4" w:space="0"/>
            </w:tcBorders>
            <w:shd w:val="clear" w:color="auto" w:fill="FFFFFF"/>
            <w:noWrap w:val="0"/>
            <w:vAlign w:val="center"/>
          </w:tcPr>
          <w:p w14:paraId="716EBDFB">
            <w:pPr>
              <w:pStyle w:val="168"/>
              <w:spacing w:line="240" w:lineRule="auto"/>
              <w:ind w:left="1120" w:firstLine="0"/>
              <w:rPr>
                <w:color w:val="auto"/>
                <w:sz w:val="21"/>
                <w:szCs w:val="21"/>
                <w:highlight w:val="none"/>
              </w:rPr>
            </w:pPr>
            <w:r>
              <w:rPr>
                <w:color w:val="auto"/>
                <w:sz w:val="21"/>
                <w:szCs w:val="21"/>
                <w:highlight w:val="none"/>
              </w:rPr>
              <w:t>月</w:t>
            </w:r>
          </w:p>
        </w:tc>
        <w:tc>
          <w:tcPr>
            <w:tcW w:w="643" w:type="dxa"/>
            <w:tcBorders>
              <w:top w:val="single" w:color="auto" w:sz="4" w:space="0"/>
              <w:left w:val="single" w:color="auto" w:sz="4" w:space="0"/>
            </w:tcBorders>
            <w:shd w:val="clear" w:color="auto" w:fill="FFFFFF"/>
            <w:noWrap w:val="0"/>
            <w:vAlign w:val="top"/>
          </w:tcPr>
          <w:p w14:paraId="64E0D471">
            <w:pPr>
              <w:rPr>
                <w:color w:val="auto"/>
                <w:szCs w:val="21"/>
                <w:highlight w:val="none"/>
              </w:rPr>
            </w:pPr>
          </w:p>
        </w:tc>
        <w:tc>
          <w:tcPr>
            <w:tcW w:w="648" w:type="dxa"/>
            <w:tcBorders>
              <w:top w:val="single" w:color="auto" w:sz="4" w:space="0"/>
              <w:left w:val="single" w:color="auto" w:sz="4" w:space="0"/>
            </w:tcBorders>
            <w:shd w:val="clear" w:color="auto" w:fill="FFFFFF"/>
            <w:noWrap w:val="0"/>
            <w:vAlign w:val="top"/>
          </w:tcPr>
          <w:p w14:paraId="153C10A3">
            <w:pPr>
              <w:rPr>
                <w:color w:val="auto"/>
                <w:szCs w:val="21"/>
                <w:highlight w:val="none"/>
              </w:rPr>
            </w:pPr>
          </w:p>
        </w:tc>
        <w:tc>
          <w:tcPr>
            <w:tcW w:w="643" w:type="dxa"/>
            <w:tcBorders>
              <w:top w:val="single" w:color="auto" w:sz="4" w:space="0"/>
              <w:left w:val="single" w:color="auto" w:sz="4" w:space="0"/>
            </w:tcBorders>
            <w:shd w:val="clear" w:color="auto" w:fill="FFFFFF"/>
            <w:noWrap w:val="0"/>
            <w:vAlign w:val="top"/>
          </w:tcPr>
          <w:p w14:paraId="18FD53C3">
            <w:pPr>
              <w:rPr>
                <w:color w:val="auto"/>
                <w:szCs w:val="21"/>
                <w:highlight w:val="none"/>
              </w:rPr>
            </w:pPr>
          </w:p>
        </w:tc>
        <w:tc>
          <w:tcPr>
            <w:tcW w:w="648" w:type="dxa"/>
            <w:tcBorders>
              <w:top w:val="single" w:color="auto" w:sz="4" w:space="0"/>
              <w:left w:val="single" w:color="auto" w:sz="4" w:space="0"/>
            </w:tcBorders>
            <w:shd w:val="clear" w:color="auto" w:fill="FFFFFF"/>
            <w:noWrap w:val="0"/>
            <w:vAlign w:val="top"/>
          </w:tcPr>
          <w:p w14:paraId="571FA6B9">
            <w:pPr>
              <w:rPr>
                <w:color w:val="auto"/>
                <w:szCs w:val="21"/>
                <w:highlight w:val="none"/>
              </w:rPr>
            </w:pPr>
          </w:p>
        </w:tc>
        <w:tc>
          <w:tcPr>
            <w:tcW w:w="648" w:type="dxa"/>
            <w:tcBorders>
              <w:top w:val="single" w:color="auto" w:sz="4" w:space="0"/>
              <w:left w:val="single" w:color="auto" w:sz="4" w:space="0"/>
            </w:tcBorders>
            <w:shd w:val="clear" w:color="auto" w:fill="FFFFFF"/>
            <w:noWrap w:val="0"/>
            <w:vAlign w:val="top"/>
          </w:tcPr>
          <w:p w14:paraId="4B2E21F9">
            <w:pPr>
              <w:rPr>
                <w:color w:val="auto"/>
                <w:szCs w:val="21"/>
                <w:highlight w:val="none"/>
              </w:rPr>
            </w:pPr>
          </w:p>
        </w:tc>
        <w:tc>
          <w:tcPr>
            <w:tcW w:w="1133" w:type="dxa"/>
            <w:tcBorders>
              <w:top w:val="single" w:color="auto" w:sz="4" w:space="0"/>
              <w:left w:val="single" w:color="auto" w:sz="4" w:space="0"/>
            </w:tcBorders>
            <w:shd w:val="clear" w:color="auto" w:fill="FFFFFF"/>
            <w:noWrap w:val="0"/>
            <w:vAlign w:val="top"/>
          </w:tcPr>
          <w:p w14:paraId="51CD7658">
            <w:pPr>
              <w:rPr>
                <w:color w:val="auto"/>
                <w:szCs w:val="21"/>
                <w:highlight w:val="none"/>
              </w:rPr>
            </w:pPr>
          </w:p>
        </w:tc>
        <w:tc>
          <w:tcPr>
            <w:tcW w:w="1142" w:type="dxa"/>
            <w:tcBorders>
              <w:top w:val="single" w:color="auto" w:sz="4" w:space="0"/>
              <w:left w:val="single" w:color="auto" w:sz="4" w:space="0"/>
              <w:right w:val="single" w:color="auto" w:sz="4" w:space="0"/>
            </w:tcBorders>
            <w:shd w:val="clear" w:color="auto" w:fill="FFFFFF"/>
            <w:noWrap w:val="0"/>
            <w:vAlign w:val="top"/>
          </w:tcPr>
          <w:p w14:paraId="3C5C9CBF">
            <w:pPr>
              <w:rPr>
                <w:color w:val="auto"/>
                <w:szCs w:val="21"/>
                <w:highlight w:val="none"/>
              </w:rPr>
            </w:pPr>
          </w:p>
        </w:tc>
      </w:tr>
      <w:tr w14:paraId="7C527B8E">
        <w:tblPrEx>
          <w:tblCellMar>
            <w:top w:w="0" w:type="dxa"/>
            <w:left w:w="10" w:type="dxa"/>
            <w:bottom w:w="0" w:type="dxa"/>
            <w:right w:w="10" w:type="dxa"/>
          </w:tblCellMar>
        </w:tblPrEx>
        <w:trPr>
          <w:trHeight w:val="566" w:hRule="exact"/>
          <w:jc w:val="center"/>
        </w:trPr>
        <w:tc>
          <w:tcPr>
            <w:tcW w:w="1426" w:type="dxa"/>
            <w:vMerge w:val="continue"/>
            <w:tcBorders>
              <w:left w:val="single" w:color="auto" w:sz="4" w:space="0"/>
            </w:tcBorders>
            <w:shd w:val="clear" w:color="auto" w:fill="FFFFFF"/>
            <w:noWrap w:val="0"/>
            <w:vAlign w:val="center"/>
          </w:tcPr>
          <w:p w14:paraId="455B2BD5">
            <w:pPr>
              <w:rPr>
                <w:color w:val="auto"/>
                <w:szCs w:val="21"/>
                <w:highlight w:val="none"/>
              </w:rPr>
            </w:pPr>
          </w:p>
        </w:tc>
        <w:tc>
          <w:tcPr>
            <w:tcW w:w="1421" w:type="dxa"/>
            <w:tcBorders>
              <w:top w:val="single" w:color="auto" w:sz="4" w:space="0"/>
              <w:left w:val="single" w:color="auto" w:sz="4" w:space="0"/>
            </w:tcBorders>
            <w:shd w:val="clear" w:color="auto" w:fill="FFFFFF"/>
            <w:noWrap w:val="0"/>
            <w:vAlign w:val="center"/>
          </w:tcPr>
          <w:p w14:paraId="3570A9E4">
            <w:pPr>
              <w:pStyle w:val="168"/>
              <w:spacing w:line="240" w:lineRule="auto"/>
              <w:ind w:left="1120" w:firstLine="0"/>
              <w:rPr>
                <w:color w:val="auto"/>
                <w:sz w:val="21"/>
                <w:szCs w:val="21"/>
                <w:highlight w:val="none"/>
              </w:rPr>
            </w:pPr>
            <w:r>
              <w:rPr>
                <w:color w:val="auto"/>
                <w:sz w:val="21"/>
                <w:szCs w:val="21"/>
                <w:highlight w:val="none"/>
              </w:rPr>
              <w:t>月</w:t>
            </w:r>
          </w:p>
        </w:tc>
        <w:tc>
          <w:tcPr>
            <w:tcW w:w="643" w:type="dxa"/>
            <w:tcBorders>
              <w:top w:val="single" w:color="auto" w:sz="4" w:space="0"/>
              <w:left w:val="single" w:color="auto" w:sz="4" w:space="0"/>
            </w:tcBorders>
            <w:shd w:val="clear" w:color="auto" w:fill="FFFFFF"/>
            <w:noWrap w:val="0"/>
            <w:vAlign w:val="top"/>
          </w:tcPr>
          <w:p w14:paraId="306D1D72">
            <w:pPr>
              <w:rPr>
                <w:color w:val="auto"/>
                <w:szCs w:val="21"/>
                <w:highlight w:val="none"/>
              </w:rPr>
            </w:pPr>
          </w:p>
        </w:tc>
        <w:tc>
          <w:tcPr>
            <w:tcW w:w="648" w:type="dxa"/>
            <w:tcBorders>
              <w:top w:val="single" w:color="auto" w:sz="4" w:space="0"/>
              <w:left w:val="single" w:color="auto" w:sz="4" w:space="0"/>
            </w:tcBorders>
            <w:shd w:val="clear" w:color="auto" w:fill="FFFFFF"/>
            <w:noWrap w:val="0"/>
            <w:vAlign w:val="top"/>
          </w:tcPr>
          <w:p w14:paraId="0F0F5BFE">
            <w:pPr>
              <w:rPr>
                <w:color w:val="auto"/>
                <w:szCs w:val="21"/>
                <w:highlight w:val="none"/>
              </w:rPr>
            </w:pPr>
          </w:p>
        </w:tc>
        <w:tc>
          <w:tcPr>
            <w:tcW w:w="643" w:type="dxa"/>
            <w:tcBorders>
              <w:top w:val="single" w:color="auto" w:sz="4" w:space="0"/>
              <w:left w:val="single" w:color="auto" w:sz="4" w:space="0"/>
            </w:tcBorders>
            <w:shd w:val="clear" w:color="auto" w:fill="FFFFFF"/>
            <w:noWrap w:val="0"/>
            <w:vAlign w:val="top"/>
          </w:tcPr>
          <w:p w14:paraId="2BBFA217">
            <w:pPr>
              <w:rPr>
                <w:color w:val="auto"/>
                <w:szCs w:val="21"/>
                <w:highlight w:val="none"/>
              </w:rPr>
            </w:pPr>
          </w:p>
        </w:tc>
        <w:tc>
          <w:tcPr>
            <w:tcW w:w="648" w:type="dxa"/>
            <w:tcBorders>
              <w:top w:val="single" w:color="auto" w:sz="4" w:space="0"/>
              <w:left w:val="single" w:color="auto" w:sz="4" w:space="0"/>
            </w:tcBorders>
            <w:shd w:val="clear" w:color="auto" w:fill="FFFFFF"/>
            <w:noWrap w:val="0"/>
            <w:vAlign w:val="top"/>
          </w:tcPr>
          <w:p w14:paraId="4E73A666">
            <w:pPr>
              <w:rPr>
                <w:color w:val="auto"/>
                <w:szCs w:val="21"/>
                <w:highlight w:val="none"/>
              </w:rPr>
            </w:pPr>
          </w:p>
        </w:tc>
        <w:tc>
          <w:tcPr>
            <w:tcW w:w="648" w:type="dxa"/>
            <w:tcBorders>
              <w:top w:val="single" w:color="auto" w:sz="4" w:space="0"/>
              <w:left w:val="single" w:color="auto" w:sz="4" w:space="0"/>
            </w:tcBorders>
            <w:shd w:val="clear" w:color="auto" w:fill="FFFFFF"/>
            <w:noWrap w:val="0"/>
            <w:vAlign w:val="top"/>
          </w:tcPr>
          <w:p w14:paraId="46FB1A7B">
            <w:pPr>
              <w:rPr>
                <w:color w:val="auto"/>
                <w:szCs w:val="21"/>
                <w:highlight w:val="none"/>
              </w:rPr>
            </w:pPr>
          </w:p>
        </w:tc>
        <w:tc>
          <w:tcPr>
            <w:tcW w:w="1133" w:type="dxa"/>
            <w:tcBorders>
              <w:top w:val="single" w:color="auto" w:sz="4" w:space="0"/>
              <w:left w:val="single" w:color="auto" w:sz="4" w:space="0"/>
            </w:tcBorders>
            <w:shd w:val="clear" w:color="auto" w:fill="FFFFFF"/>
            <w:noWrap w:val="0"/>
            <w:vAlign w:val="top"/>
          </w:tcPr>
          <w:p w14:paraId="4C739777">
            <w:pPr>
              <w:rPr>
                <w:color w:val="auto"/>
                <w:szCs w:val="21"/>
                <w:highlight w:val="none"/>
              </w:rPr>
            </w:pPr>
          </w:p>
        </w:tc>
        <w:tc>
          <w:tcPr>
            <w:tcW w:w="1142" w:type="dxa"/>
            <w:tcBorders>
              <w:top w:val="single" w:color="auto" w:sz="4" w:space="0"/>
              <w:left w:val="single" w:color="auto" w:sz="4" w:space="0"/>
              <w:right w:val="single" w:color="auto" w:sz="4" w:space="0"/>
            </w:tcBorders>
            <w:shd w:val="clear" w:color="auto" w:fill="FFFFFF"/>
            <w:noWrap w:val="0"/>
            <w:vAlign w:val="top"/>
          </w:tcPr>
          <w:p w14:paraId="1566E97F">
            <w:pPr>
              <w:rPr>
                <w:color w:val="auto"/>
                <w:szCs w:val="21"/>
                <w:highlight w:val="none"/>
              </w:rPr>
            </w:pPr>
          </w:p>
        </w:tc>
      </w:tr>
      <w:tr w14:paraId="62B5E375">
        <w:tblPrEx>
          <w:tblCellMar>
            <w:top w:w="0" w:type="dxa"/>
            <w:left w:w="10" w:type="dxa"/>
            <w:bottom w:w="0" w:type="dxa"/>
            <w:right w:w="10" w:type="dxa"/>
          </w:tblCellMar>
        </w:tblPrEx>
        <w:trPr>
          <w:trHeight w:val="571" w:hRule="exact"/>
          <w:jc w:val="center"/>
        </w:trPr>
        <w:tc>
          <w:tcPr>
            <w:tcW w:w="1426" w:type="dxa"/>
            <w:vMerge w:val="continue"/>
            <w:tcBorders>
              <w:left w:val="single" w:color="auto" w:sz="4" w:space="0"/>
            </w:tcBorders>
            <w:shd w:val="clear" w:color="auto" w:fill="FFFFFF"/>
            <w:noWrap w:val="0"/>
            <w:vAlign w:val="center"/>
          </w:tcPr>
          <w:p w14:paraId="6EBCB9AF">
            <w:pPr>
              <w:rPr>
                <w:color w:val="auto"/>
                <w:szCs w:val="21"/>
                <w:highlight w:val="none"/>
              </w:rPr>
            </w:pPr>
          </w:p>
        </w:tc>
        <w:tc>
          <w:tcPr>
            <w:tcW w:w="1421" w:type="dxa"/>
            <w:tcBorders>
              <w:top w:val="single" w:color="auto" w:sz="4" w:space="0"/>
              <w:left w:val="single" w:color="auto" w:sz="4" w:space="0"/>
            </w:tcBorders>
            <w:shd w:val="clear" w:color="auto" w:fill="FFFFFF"/>
            <w:noWrap w:val="0"/>
            <w:vAlign w:val="center"/>
          </w:tcPr>
          <w:p w14:paraId="736EAFC6">
            <w:pPr>
              <w:pStyle w:val="168"/>
              <w:tabs>
                <w:tab w:val="left" w:leader="dot" w:pos="326"/>
              </w:tabs>
              <w:spacing w:line="240" w:lineRule="auto"/>
              <w:ind w:firstLine="0"/>
              <w:jc w:val="right"/>
              <w:rPr>
                <w:color w:val="auto"/>
                <w:sz w:val="21"/>
                <w:szCs w:val="21"/>
                <w:highlight w:val="none"/>
              </w:rPr>
            </w:pPr>
            <w:r>
              <w:rPr>
                <w:rFonts w:ascii="Arial" w:hAnsi="Arial" w:eastAsia="Arial" w:cs="Arial"/>
                <w:color w:val="auto"/>
                <w:sz w:val="21"/>
                <w:szCs w:val="21"/>
                <w:highlight w:val="none"/>
                <w:lang w:val="en-US" w:eastAsia="en-US" w:bidi="en-US"/>
              </w:rPr>
              <w:tab/>
            </w:r>
          </w:p>
        </w:tc>
        <w:tc>
          <w:tcPr>
            <w:tcW w:w="643" w:type="dxa"/>
            <w:tcBorders>
              <w:top w:val="single" w:color="auto" w:sz="4" w:space="0"/>
              <w:left w:val="single" w:color="auto" w:sz="4" w:space="0"/>
            </w:tcBorders>
            <w:shd w:val="clear" w:color="auto" w:fill="FFFFFF"/>
            <w:noWrap w:val="0"/>
            <w:vAlign w:val="top"/>
          </w:tcPr>
          <w:p w14:paraId="397C156B">
            <w:pPr>
              <w:rPr>
                <w:color w:val="auto"/>
                <w:szCs w:val="21"/>
                <w:highlight w:val="none"/>
              </w:rPr>
            </w:pPr>
          </w:p>
        </w:tc>
        <w:tc>
          <w:tcPr>
            <w:tcW w:w="648" w:type="dxa"/>
            <w:tcBorders>
              <w:top w:val="single" w:color="auto" w:sz="4" w:space="0"/>
              <w:left w:val="single" w:color="auto" w:sz="4" w:space="0"/>
            </w:tcBorders>
            <w:shd w:val="clear" w:color="auto" w:fill="FFFFFF"/>
            <w:noWrap w:val="0"/>
            <w:vAlign w:val="top"/>
          </w:tcPr>
          <w:p w14:paraId="20699A5D">
            <w:pPr>
              <w:rPr>
                <w:color w:val="auto"/>
                <w:szCs w:val="21"/>
                <w:highlight w:val="none"/>
              </w:rPr>
            </w:pPr>
          </w:p>
        </w:tc>
        <w:tc>
          <w:tcPr>
            <w:tcW w:w="643" w:type="dxa"/>
            <w:tcBorders>
              <w:top w:val="single" w:color="auto" w:sz="4" w:space="0"/>
              <w:left w:val="single" w:color="auto" w:sz="4" w:space="0"/>
            </w:tcBorders>
            <w:shd w:val="clear" w:color="auto" w:fill="FFFFFF"/>
            <w:noWrap w:val="0"/>
            <w:vAlign w:val="top"/>
          </w:tcPr>
          <w:p w14:paraId="59C13024">
            <w:pPr>
              <w:rPr>
                <w:color w:val="auto"/>
                <w:szCs w:val="21"/>
                <w:highlight w:val="none"/>
              </w:rPr>
            </w:pPr>
          </w:p>
        </w:tc>
        <w:tc>
          <w:tcPr>
            <w:tcW w:w="648" w:type="dxa"/>
            <w:tcBorders>
              <w:top w:val="single" w:color="auto" w:sz="4" w:space="0"/>
              <w:left w:val="single" w:color="auto" w:sz="4" w:space="0"/>
            </w:tcBorders>
            <w:shd w:val="clear" w:color="auto" w:fill="FFFFFF"/>
            <w:noWrap w:val="0"/>
            <w:vAlign w:val="top"/>
          </w:tcPr>
          <w:p w14:paraId="01A0BEE0">
            <w:pPr>
              <w:rPr>
                <w:color w:val="auto"/>
                <w:szCs w:val="21"/>
                <w:highlight w:val="none"/>
              </w:rPr>
            </w:pPr>
          </w:p>
        </w:tc>
        <w:tc>
          <w:tcPr>
            <w:tcW w:w="648" w:type="dxa"/>
            <w:tcBorders>
              <w:top w:val="single" w:color="auto" w:sz="4" w:space="0"/>
              <w:left w:val="single" w:color="auto" w:sz="4" w:space="0"/>
            </w:tcBorders>
            <w:shd w:val="clear" w:color="auto" w:fill="FFFFFF"/>
            <w:noWrap w:val="0"/>
            <w:vAlign w:val="top"/>
          </w:tcPr>
          <w:p w14:paraId="355A3A25">
            <w:pPr>
              <w:rPr>
                <w:color w:val="auto"/>
                <w:szCs w:val="21"/>
                <w:highlight w:val="none"/>
              </w:rPr>
            </w:pPr>
          </w:p>
        </w:tc>
        <w:tc>
          <w:tcPr>
            <w:tcW w:w="1133" w:type="dxa"/>
            <w:tcBorders>
              <w:top w:val="single" w:color="auto" w:sz="4" w:space="0"/>
              <w:left w:val="single" w:color="auto" w:sz="4" w:space="0"/>
            </w:tcBorders>
            <w:shd w:val="clear" w:color="auto" w:fill="FFFFFF"/>
            <w:noWrap w:val="0"/>
            <w:vAlign w:val="top"/>
          </w:tcPr>
          <w:p w14:paraId="47A5ED60">
            <w:pPr>
              <w:rPr>
                <w:color w:val="auto"/>
                <w:szCs w:val="21"/>
                <w:highlight w:val="none"/>
              </w:rPr>
            </w:pPr>
          </w:p>
        </w:tc>
        <w:tc>
          <w:tcPr>
            <w:tcW w:w="1142" w:type="dxa"/>
            <w:tcBorders>
              <w:top w:val="single" w:color="auto" w:sz="4" w:space="0"/>
              <w:left w:val="single" w:color="auto" w:sz="4" w:space="0"/>
              <w:right w:val="single" w:color="auto" w:sz="4" w:space="0"/>
            </w:tcBorders>
            <w:shd w:val="clear" w:color="auto" w:fill="FFFFFF"/>
            <w:noWrap w:val="0"/>
            <w:vAlign w:val="top"/>
          </w:tcPr>
          <w:p w14:paraId="00C5906C">
            <w:pPr>
              <w:rPr>
                <w:color w:val="auto"/>
                <w:szCs w:val="21"/>
                <w:highlight w:val="none"/>
              </w:rPr>
            </w:pPr>
          </w:p>
        </w:tc>
      </w:tr>
      <w:tr w14:paraId="77F3BF35">
        <w:tblPrEx>
          <w:tblCellMar>
            <w:top w:w="0" w:type="dxa"/>
            <w:left w:w="10" w:type="dxa"/>
            <w:bottom w:w="0" w:type="dxa"/>
            <w:right w:w="10" w:type="dxa"/>
          </w:tblCellMar>
        </w:tblPrEx>
        <w:trPr>
          <w:trHeight w:val="576" w:hRule="exact"/>
          <w:jc w:val="center"/>
        </w:trPr>
        <w:tc>
          <w:tcPr>
            <w:tcW w:w="6077" w:type="dxa"/>
            <w:gridSpan w:val="7"/>
            <w:tcBorders>
              <w:top w:val="single" w:color="auto" w:sz="4" w:space="0"/>
              <w:left w:val="single" w:color="auto" w:sz="4" w:space="0"/>
              <w:bottom w:val="single" w:color="auto" w:sz="4" w:space="0"/>
            </w:tcBorders>
            <w:shd w:val="clear" w:color="auto" w:fill="FFFFFF"/>
            <w:noWrap w:val="0"/>
            <w:vAlign w:val="center"/>
          </w:tcPr>
          <w:p w14:paraId="5F6F6C2A">
            <w:pPr>
              <w:pStyle w:val="168"/>
              <w:spacing w:line="240" w:lineRule="auto"/>
              <w:ind w:firstLine="0"/>
              <w:jc w:val="center"/>
              <w:rPr>
                <w:color w:val="auto"/>
                <w:sz w:val="21"/>
                <w:szCs w:val="21"/>
                <w:highlight w:val="none"/>
              </w:rPr>
            </w:pPr>
            <w:r>
              <w:rPr>
                <w:color w:val="auto"/>
                <w:sz w:val="21"/>
                <w:szCs w:val="21"/>
                <w:highlight w:val="none"/>
              </w:rPr>
              <w:t>总 计</w:t>
            </w:r>
          </w:p>
        </w:tc>
        <w:tc>
          <w:tcPr>
            <w:tcW w:w="1133" w:type="dxa"/>
            <w:tcBorders>
              <w:top w:val="single" w:color="auto" w:sz="4" w:space="0"/>
              <w:left w:val="single" w:color="auto" w:sz="4" w:space="0"/>
              <w:bottom w:val="single" w:color="auto" w:sz="4" w:space="0"/>
            </w:tcBorders>
            <w:shd w:val="clear" w:color="auto" w:fill="FFFFFF"/>
            <w:noWrap w:val="0"/>
            <w:vAlign w:val="top"/>
          </w:tcPr>
          <w:p w14:paraId="09CBB2D6">
            <w:pPr>
              <w:rPr>
                <w:color w:val="auto"/>
                <w:szCs w:val="21"/>
                <w:highlight w:val="none"/>
              </w:rPr>
            </w:pPr>
          </w:p>
        </w:tc>
        <w:tc>
          <w:tcPr>
            <w:tcW w:w="1142"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2A1FBEDB">
            <w:pPr>
              <w:rPr>
                <w:color w:val="auto"/>
                <w:szCs w:val="21"/>
                <w:highlight w:val="none"/>
              </w:rPr>
            </w:pPr>
          </w:p>
        </w:tc>
      </w:tr>
    </w:tbl>
    <w:p w14:paraId="05441989">
      <w:pPr>
        <w:spacing w:after="299" w:line="1" w:lineRule="exact"/>
        <w:rPr>
          <w:color w:val="auto"/>
          <w:highlight w:val="none"/>
        </w:rPr>
      </w:pPr>
    </w:p>
    <w:p w14:paraId="551D4EAE">
      <w:pPr>
        <w:pStyle w:val="93"/>
        <w:tabs>
          <w:tab w:val="left" w:pos="847"/>
          <w:tab w:val="left" w:leader="underscore" w:pos="850"/>
          <w:tab w:val="left" w:leader="underscore" w:pos="1906"/>
          <w:tab w:val="left" w:pos="1908"/>
          <w:tab w:val="left" w:pos="2964"/>
        </w:tabs>
        <w:spacing w:after="420" w:line="350" w:lineRule="exact"/>
        <w:ind w:firstLine="0"/>
        <w:rPr>
          <w:b/>
          <w:color w:val="auto"/>
          <w:sz w:val="28"/>
          <w:szCs w:val="28"/>
          <w:highlight w:val="none"/>
        </w:rPr>
      </w:pPr>
      <w:bookmarkStart w:id="132" w:name="bookmark2245"/>
      <w:bookmarkStart w:id="133" w:name="bookmark2243"/>
      <w:bookmarkStart w:id="134" w:name="bookmark2244"/>
      <w:r>
        <w:rPr>
          <w:rStyle w:val="69"/>
          <w:rFonts w:hint="eastAsia"/>
          <w:b w:val="0"/>
          <w:bCs w:val="0"/>
          <w:color w:val="auto"/>
          <w:sz w:val="28"/>
          <w:szCs w:val="28"/>
          <w:highlight w:val="none"/>
          <w:lang w:val="en-US"/>
        </w:rPr>
        <w:br w:type="page"/>
      </w:r>
      <w:r>
        <w:rPr>
          <w:rStyle w:val="69"/>
          <w:rFonts w:hint="eastAsia"/>
          <w:b w:val="0"/>
          <w:bCs w:val="0"/>
          <w:color w:val="auto"/>
          <w:sz w:val="28"/>
          <w:szCs w:val="28"/>
          <w:highlight w:val="none"/>
          <w:lang w:val="en-US"/>
        </w:rPr>
        <w:t>附件四：拟投入本合同工程的材料进场计划表</w:t>
      </w:r>
      <w:bookmarkEnd w:id="132"/>
      <w:bookmarkEnd w:id="133"/>
      <w:bookmarkEnd w:id="134"/>
    </w:p>
    <w:p w14:paraId="55DF93A2">
      <w:pPr>
        <w:jc w:val="center"/>
        <w:rPr>
          <w:rFonts w:hint="eastAsia" w:ascii="宋体" w:hAnsi="宋体" w:cs="宋体"/>
          <w:b/>
          <w:bCs/>
          <w:color w:val="auto"/>
          <w:sz w:val="28"/>
          <w:szCs w:val="28"/>
          <w:highlight w:val="none"/>
        </w:rPr>
      </w:pPr>
      <w:bookmarkStart w:id="135" w:name="_Toc16708"/>
      <w:bookmarkStart w:id="136" w:name="bookmark2248"/>
      <w:bookmarkStart w:id="137" w:name="bookmark2247"/>
      <w:bookmarkStart w:id="138" w:name="_Toc16851"/>
      <w:bookmarkStart w:id="139" w:name="bookmark2246"/>
      <w:r>
        <w:rPr>
          <w:rFonts w:hint="eastAsia" w:ascii="宋体" w:hAnsi="宋体" w:cs="宋体"/>
          <w:b/>
          <w:bCs/>
          <w:color w:val="auto"/>
          <w:sz w:val="28"/>
          <w:szCs w:val="28"/>
          <w:highlight w:val="none"/>
        </w:rPr>
        <w:t>拟投入本合同工程的材料进场计划表</w:t>
      </w:r>
      <w:bookmarkEnd w:id="135"/>
      <w:bookmarkEnd w:id="136"/>
      <w:bookmarkEnd w:id="137"/>
      <w:bookmarkEnd w:id="138"/>
      <w:bookmarkEnd w:id="139"/>
    </w:p>
    <w:p w14:paraId="7A6E5579">
      <w:pPr>
        <w:jc w:val="center"/>
        <w:rPr>
          <w:b/>
          <w:color w:val="auto"/>
          <w:highlight w:val="none"/>
        </w:rPr>
      </w:pPr>
    </w:p>
    <w:tbl>
      <w:tblPr>
        <w:tblStyle w:val="43"/>
        <w:tblW w:w="0" w:type="auto"/>
        <w:jc w:val="center"/>
        <w:tblLayout w:type="fixed"/>
        <w:tblCellMar>
          <w:top w:w="0" w:type="dxa"/>
          <w:left w:w="10" w:type="dxa"/>
          <w:bottom w:w="0" w:type="dxa"/>
          <w:right w:w="10" w:type="dxa"/>
        </w:tblCellMar>
      </w:tblPr>
      <w:tblGrid>
        <w:gridCol w:w="1090"/>
        <w:gridCol w:w="902"/>
        <w:gridCol w:w="907"/>
        <w:gridCol w:w="907"/>
        <w:gridCol w:w="907"/>
        <w:gridCol w:w="912"/>
        <w:gridCol w:w="902"/>
        <w:gridCol w:w="907"/>
        <w:gridCol w:w="917"/>
      </w:tblGrid>
      <w:tr w14:paraId="0667CEF5">
        <w:tblPrEx>
          <w:tblCellMar>
            <w:top w:w="0" w:type="dxa"/>
            <w:left w:w="10" w:type="dxa"/>
            <w:bottom w:w="0" w:type="dxa"/>
            <w:right w:w="10" w:type="dxa"/>
          </w:tblCellMar>
        </w:tblPrEx>
        <w:trPr>
          <w:trHeight w:val="576" w:hRule="exact"/>
          <w:jc w:val="center"/>
        </w:trPr>
        <w:tc>
          <w:tcPr>
            <w:tcW w:w="1090" w:type="dxa"/>
            <w:vMerge w:val="restart"/>
            <w:tcBorders>
              <w:top w:val="single" w:color="auto" w:sz="4" w:space="0"/>
              <w:left w:val="single" w:color="auto" w:sz="4" w:space="0"/>
            </w:tcBorders>
            <w:shd w:val="clear" w:color="auto" w:fill="FFFFFF"/>
            <w:noWrap w:val="0"/>
            <w:vAlign w:val="center"/>
          </w:tcPr>
          <w:p w14:paraId="3577B014">
            <w:pPr>
              <w:pStyle w:val="168"/>
              <w:spacing w:line="240" w:lineRule="auto"/>
              <w:ind w:firstLine="0"/>
              <w:jc w:val="center"/>
              <w:rPr>
                <w:color w:val="auto"/>
                <w:sz w:val="21"/>
                <w:szCs w:val="21"/>
                <w:highlight w:val="none"/>
              </w:rPr>
            </w:pPr>
            <w:r>
              <w:rPr>
                <w:color w:val="auto"/>
                <w:sz w:val="21"/>
                <w:szCs w:val="21"/>
                <w:highlight w:val="none"/>
              </w:rPr>
              <w:t>名称</w:t>
            </w:r>
          </w:p>
        </w:tc>
        <w:tc>
          <w:tcPr>
            <w:tcW w:w="902" w:type="dxa"/>
            <w:vMerge w:val="restart"/>
            <w:tcBorders>
              <w:top w:val="single" w:color="auto" w:sz="4" w:space="0"/>
              <w:left w:val="single" w:color="auto" w:sz="4" w:space="0"/>
            </w:tcBorders>
            <w:shd w:val="clear" w:color="auto" w:fill="FFFFFF"/>
            <w:noWrap w:val="0"/>
            <w:vAlign w:val="center"/>
          </w:tcPr>
          <w:p w14:paraId="029E1260">
            <w:pPr>
              <w:pStyle w:val="168"/>
              <w:spacing w:line="240" w:lineRule="auto"/>
              <w:ind w:firstLine="0"/>
              <w:jc w:val="center"/>
              <w:rPr>
                <w:color w:val="auto"/>
                <w:sz w:val="21"/>
                <w:szCs w:val="21"/>
                <w:highlight w:val="none"/>
              </w:rPr>
            </w:pPr>
            <w:r>
              <w:rPr>
                <w:color w:val="auto"/>
                <w:sz w:val="21"/>
                <w:szCs w:val="21"/>
                <w:highlight w:val="none"/>
              </w:rPr>
              <w:t>规格</w:t>
            </w:r>
          </w:p>
        </w:tc>
        <w:tc>
          <w:tcPr>
            <w:tcW w:w="907" w:type="dxa"/>
            <w:vMerge w:val="restart"/>
            <w:tcBorders>
              <w:top w:val="single" w:color="auto" w:sz="4" w:space="0"/>
              <w:left w:val="single" w:color="auto" w:sz="4" w:space="0"/>
            </w:tcBorders>
            <w:shd w:val="clear" w:color="auto" w:fill="FFFFFF"/>
            <w:noWrap w:val="0"/>
            <w:vAlign w:val="center"/>
          </w:tcPr>
          <w:p w14:paraId="6B04E5ED">
            <w:pPr>
              <w:pStyle w:val="168"/>
              <w:spacing w:line="269" w:lineRule="exact"/>
              <w:ind w:firstLine="0"/>
              <w:jc w:val="center"/>
              <w:rPr>
                <w:color w:val="auto"/>
                <w:sz w:val="21"/>
                <w:szCs w:val="21"/>
                <w:highlight w:val="none"/>
              </w:rPr>
            </w:pPr>
            <w:r>
              <w:rPr>
                <w:color w:val="auto"/>
                <w:sz w:val="21"/>
                <w:szCs w:val="21"/>
                <w:highlight w:val="none"/>
              </w:rPr>
              <w:t>计量 单位</w:t>
            </w:r>
          </w:p>
        </w:tc>
        <w:tc>
          <w:tcPr>
            <w:tcW w:w="4535" w:type="dxa"/>
            <w:gridSpan w:val="5"/>
            <w:tcBorders>
              <w:top w:val="single" w:color="auto" w:sz="4" w:space="0"/>
              <w:left w:val="single" w:color="auto" w:sz="4" w:space="0"/>
            </w:tcBorders>
            <w:shd w:val="clear" w:color="auto" w:fill="FFFFFF"/>
            <w:noWrap w:val="0"/>
            <w:vAlign w:val="center"/>
          </w:tcPr>
          <w:p w14:paraId="288C68DD">
            <w:pPr>
              <w:pStyle w:val="168"/>
              <w:spacing w:line="240" w:lineRule="auto"/>
              <w:ind w:firstLine="0"/>
              <w:jc w:val="center"/>
              <w:rPr>
                <w:color w:val="auto"/>
                <w:sz w:val="21"/>
                <w:szCs w:val="21"/>
                <w:highlight w:val="none"/>
              </w:rPr>
            </w:pPr>
            <w:r>
              <w:rPr>
                <w:color w:val="auto"/>
                <w:sz w:val="21"/>
                <w:szCs w:val="21"/>
                <w:highlight w:val="none"/>
              </w:rPr>
              <w:t>数 量</w:t>
            </w:r>
          </w:p>
        </w:tc>
        <w:tc>
          <w:tcPr>
            <w:tcW w:w="917" w:type="dxa"/>
            <w:vMerge w:val="restart"/>
            <w:tcBorders>
              <w:top w:val="single" w:color="auto" w:sz="4" w:space="0"/>
              <w:left w:val="single" w:color="auto" w:sz="4" w:space="0"/>
              <w:right w:val="single" w:color="auto" w:sz="4" w:space="0"/>
            </w:tcBorders>
            <w:shd w:val="clear" w:color="auto" w:fill="FFFFFF"/>
            <w:noWrap w:val="0"/>
            <w:vAlign w:val="center"/>
          </w:tcPr>
          <w:p w14:paraId="074C5271">
            <w:pPr>
              <w:pStyle w:val="168"/>
              <w:spacing w:line="240" w:lineRule="auto"/>
              <w:ind w:firstLine="0"/>
              <w:jc w:val="center"/>
              <w:rPr>
                <w:color w:val="auto"/>
                <w:sz w:val="21"/>
                <w:szCs w:val="21"/>
                <w:highlight w:val="none"/>
              </w:rPr>
            </w:pPr>
            <w:r>
              <w:rPr>
                <w:color w:val="auto"/>
                <w:sz w:val="21"/>
                <w:szCs w:val="21"/>
                <w:highlight w:val="none"/>
              </w:rPr>
              <w:t>备注</w:t>
            </w:r>
          </w:p>
        </w:tc>
      </w:tr>
      <w:tr w14:paraId="23945376">
        <w:tblPrEx>
          <w:tblCellMar>
            <w:top w:w="0" w:type="dxa"/>
            <w:left w:w="10" w:type="dxa"/>
            <w:bottom w:w="0" w:type="dxa"/>
            <w:right w:w="10" w:type="dxa"/>
          </w:tblCellMar>
        </w:tblPrEx>
        <w:trPr>
          <w:trHeight w:val="566" w:hRule="exact"/>
          <w:jc w:val="center"/>
        </w:trPr>
        <w:tc>
          <w:tcPr>
            <w:tcW w:w="1090" w:type="dxa"/>
            <w:vMerge w:val="continue"/>
            <w:tcBorders>
              <w:left w:val="single" w:color="auto" w:sz="4" w:space="0"/>
            </w:tcBorders>
            <w:shd w:val="clear" w:color="auto" w:fill="FFFFFF"/>
            <w:noWrap w:val="0"/>
            <w:vAlign w:val="center"/>
          </w:tcPr>
          <w:p w14:paraId="3E2DCA41">
            <w:pPr>
              <w:jc w:val="center"/>
              <w:rPr>
                <w:color w:val="auto"/>
                <w:szCs w:val="21"/>
                <w:highlight w:val="none"/>
              </w:rPr>
            </w:pPr>
          </w:p>
        </w:tc>
        <w:tc>
          <w:tcPr>
            <w:tcW w:w="902" w:type="dxa"/>
            <w:vMerge w:val="continue"/>
            <w:tcBorders>
              <w:left w:val="single" w:color="auto" w:sz="4" w:space="0"/>
            </w:tcBorders>
            <w:shd w:val="clear" w:color="auto" w:fill="FFFFFF"/>
            <w:noWrap w:val="0"/>
            <w:vAlign w:val="center"/>
          </w:tcPr>
          <w:p w14:paraId="4A86BA3A">
            <w:pPr>
              <w:jc w:val="center"/>
              <w:rPr>
                <w:color w:val="auto"/>
                <w:szCs w:val="21"/>
                <w:highlight w:val="none"/>
              </w:rPr>
            </w:pPr>
          </w:p>
        </w:tc>
        <w:tc>
          <w:tcPr>
            <w:tcW w:w="907" w:type="dxa"/>
            <w:vMerge w:val="continue"/>
            <w:tcBorders>
              <w:left w:val="single" w:color="auto" w:sz="4" w:space="0"/>
            </w:tcBorders>
            <w:shd w:val="clear" w:color="auto" w:fill="FFFFFF"/>
            <w:noWrap w:val="0"/>
            <w:vAlign w:val="center"/>
          </w:tcPr>
          <w:p w14:paraId="351EABE2">
            <w:pPr>
              <w:jc w:val="center"/>
              <w:rPr>
                <w:color w:val="auto"/>
                <w:szCs w:val="21"/>
                <w:highlight w:val="none"/>
              </w:rPr>
            </w:pPr>
          </w:p>
        </w:tc>
        <w:tc>
          <w:tcPr>
            <w:tcW w:w="907" w:type="dxa"/>
            <w:tcBorders>
              <w:top w:val="single" w:color="auto" w:sz="4" w:space="0"/>
              <w:left w:val="single" w:color="auto" w:sz="4" w:space="0"/>
            </w:tcBorders>
            <w:shd w:val="clear" w:color="auto" w:fill="FFFFFF"/>
            <w:noWrap w:val="0"/>
            <w:vAlign w:val="center"/>
          </w:tcPr>
          <w:p w14:paraId="0EC213DC">
            <w:pPr>
              <w:pStyle w:val="168"/>
              <w:spacing w:line="240" w:lineRule="auto"/>
              <w:ind w:firstLine="0"/>
              <w:jc w:val="center"/>
              <w:rPr>
                <w:color w:val="auto"/>
                <w:sz w:val="21"/>
                <w:szCs w:val="21"/>
                <w:highlight w:val="none"/>
              </w:rPr>
            </w:pPr>
            <w:r>
              <w:rPr>
                <w:color w:val="auto"/>
                <w:sz w:val="21"/>
                <w:szCs w:val="21"/>
                <w:highlight w:val="none"/>
              </w:rPr>
              <w:t>总量</w:t>
            </w:r>
          </w:p>
        </w:tc>
        <w:tc>
          <w:tcPr>
            <w:tcW w:w="907" w:type="dxa"/>
            <w:tcBorders>
              <w:top w:val="single" w:color="auto" w:sz="4" w:space="0"/>
              <w:left w:val="single" w:color="auto" w:sz="4" w:space="0"/>
            </w:tcBorders>
            <w:shd w:val="clear" w:color="auto" w:fill="FFFFFF"/>
            <w:noWrap w:val="0"/>
            <w:vAlign w:val="center"/>
          </w:tcPr>
          <w:p w14:paraId="7EB6DF78">
            <w:pPr>
              <w:pStyle w:val="168"/>
              <w:spacing w:line="240" w:lineRule="auto"/>
              <w:ind w:firstLine="0"/>
              <w:jc w:val="center"/>
              <w:rPr>
                <w:color w:val="auto"/>
                <w:sz w:val="21"/>
                <w:szCs w:val="21"/>
                <w:highlight w:val="none"/>
              </w:rPr>
            </w:pPr>
            <w:r>
              <w:rPr>
                <w:color w:val="auto"/>
                <w:sz w:val="21"/>
                <w:szCs w:val="21"/>
                <w:highlight w:val="none"/>
              </w:rPr>
              <w:t>月</w:t>
            </w:r>
          </w:p>
        </w:tc>
        <w:tc>
          <w:tcPr>
            <w:tcW w:w="912" w:type="dxa"/>
            <w:tcBorders>
              <w:top w:val="single" w:color="auto" w:sz="4" w:space="0"/>
              <w:left w:val="single" w:color="auto" w:sz="4" w:space="0"/>
            </w:tcBorders>
            <w:shd w:val="clear" w:color="auto" w:fill="FFFFFF"/>
            <w:noWrap w:val="0"/>
            <w:vAlign w:val="center"/>
          </w:tcPr>
          <w:p w14:paraId="5F5FB63D">
            <w:pPr>
              <w:pStyle w:val="168"/>
              <w:spacing w:line="240" w:lineRule="auto"/>
              <w:ind w:firstLine="0"/>
              <w:jc w:val="center"/>
              <w:rPr>
                <w:color w:val="auto"/>
                <w:sz w:val="21"/>
                <w:szCs w:val="21"/>
                <w:highlight w:val="none"/>
              </w:rPr>
            </w:pPr>
            <w:r>
              <w:rPr>
                <w:color w:val="auto"/>
                <w:sz w:val="21"/>
                <w:szCs w:val="21"/>
                <w:highlight w:val="none"/>
              </w:rPr>
              <w:t>月</w:t>
            </w:r>
          </w:p>
        </w:tc>
        <w:tc>
          <w:tcPr>
            <w:tcW w:w="902" w:type="dxa"/>
            <w:tcBorders>
              <w:top w:val="single" w:color="auto" w:sz="4" w:space="0"/>
              <w:left w:val="single" w:color="auto" w:sz="4" w:space="0"/>
            </w:tcBorders>
            <w:shd w:val="clear" w:color="auto" w:fill="FFFFFF"/>
            <w:noWrap w:val="0"/>
            <w:vAlign w:val="center"/>
          </w:tcPr>
          <w:p w14:paraId="1235C5DD">
            <w:pPr>
              <w:pStyle w:val="168"/>
              <w:spacing w:line="240" w:lineRule="auto"/>
              <w:ind w:firstLine="0"/>
              <w:jc w:val="center"/>
              <w:rPr>
                <w:color w:val="auto"/>
                <w:sz w:val="21"/>
                <w:szCs w:val="21"/>
                <w:highlight w:val="none"/>
              </w:rPr>
            </w:pPr>
            <w:r>
              <w:rPr>
                <w:color w:val="auto"/>
                <w:sz w:val="21"/>
                <w:szCs w:val="21"/>
                <w:highlight w:val="none"/>
              </w:rPr>
              <w:t>月</w:t>
            </w:r>
          </w:p>
        </w:tc>
        <w:tc>
          <w:tcPr>
            <w:tcW w:w="907" w:type="dxa"/>
            <w:tcBorders>
              <w:top w:val="single" w:color="auto" w:sz="4" w:space="0"/>
              <w:left w:val="single" w:color="auto" w:sz="4" w:space="0"/>
            </w:tcBorders>
            <w:shd w:val="clear" w:color="auto" w:fill="FFFFFF"/>
            <w:noWrap w:val="0"/>
            <w:vAlign w:val="center"/>
          </w:tcPr>
          <w:p w14:paraId="1DB9072C">
            <w:pPr>
              <w:pStyle w:val="168"/>
              <w:spacing w:line="240" w:lineRule="auto"/>
              <w:ind w:right="380" w:firstLine="0"/>
              <w:jc w:val="center"/>
              <w:rPr>
                <w:color w:val="auto"/>
                <w:sz w:val="21"/>
                <w:szCs w:val="21"/>
                <w:highlight w:val="none"/>
              </w:rPr>
            </w:pPr>
            <w:r>
              <w:rPr>
                <w:color w:val="auto"/>
                <w:sz w:val="21"/>
                <w:szCs w:val="21"/>
                <w:highlight w:val="none"/>
              </w:rPr>
              <w:t>月</w:t>
            </w:r>
          </w:p>
        </w:tc>
        <w:tc>
          <w:tcPr>
            <w:tcW w:w="917" w:type="dxa"/>
            <w:vMerge w:val="continue"/>
            <w:tcBorders>
              <w:left w:val="single" w:color="auto" w:sz="4" w:space="0"/>
              <w:right w:val="single" w:color="auto" w:sz="4" w:space="0"/>
            </w:tcBorders>
            <w:shd w:val="clear" w:color="auto" w:fill="FFFFFF"/>
            <w:noWrap w:val="0"/>
            <w:vAlign w:val="center"/>
          </w:tcPr>
          <w:p w14:paraId="4B21E39D">
            <w:pPr>
              <w:jc w:val="center"/>
              <w:rPr>
                <w:color w:val="auto"/>
                <w:szCs w:val="21"/>
                <w:highlight w:val="none"/>
              </w:rPr>
            </w:pPr>
          </w:p>
        </w:tc>
      </w:tr>
      <w:tr w14:paraId="07BDFCD7">
        <w:tblPrEx>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tcBorders>
            <w:shd w:val="clear" w:color="auto" w:fill="FFFFFF"/>
            <w:noWrap w:val="0"/>
            <w:vAlign w:val="center"/>
          </w:tcPr>
          <w:p w14:paraId="16D5FB5A">
            <w:pPr>
              <w:jc w:val="center"/>
              <w:rPr>
                <w:color w:val="auto"/>
                <w:szCs w:val="21"/>
                <w:highlight w:val="none"/>
              </w:rPr>
            </w:pPr>
          </w:p>
        </w:tc>
        <w:tc>
          <w:tcPr>
            <w:tcW w:w="902" w:type="dxa"/>
            <w:tcBorders>
              <w:top w:val="single" w:color="auto" w:sz="4" w:space="0"/>
              <w:left w:val="single" w:color="auto" w:sz="4" w:space="0"/>
            </w:tcBorders>
            <w:shd w:val="clear" w:color="auto" w:fill="FFFFFF"/>
            <w:noWrap w:val="0"/>
            <w:vAlign w:val="center"/>
          </w:tcPr>
          <w:p w14:paraId="15E791E4">
            <w:pPr>
              <w:jc w:val="center"/>
              <w:rPr>
                <w:color w:val="auto"/>
                <w:szCs w:val="21"/>
                <w:highlight w:val="none"/>
              </w:rPr>
            </w:pPr>
          </w:p>
        </w:tc>
        <w:tc>
          <w:tcPr>
            <w:tcW w:w="907" w:type="dxa"/>
            <w:tcBorders>
              <w:top w:val="single" w:color="auto" w:sz="4" w:space="0"/>
              <w:left w:val="single" w:color="auto" w:sz="4" w:space="0"/>
            </w:tcBorders>
            <w:shd w:val="clear" w:color="auto" w:fill="FFFFFF"/>
            <w:noWrap w:val="0"/>
            <w:vAlign w:val="center"/>
          </w:tcPr>
          <w:p w14:paraId="5EA35463">
            <w:pPr>
              <w:jc w:val="center"/>
              <w:rPr>
                <w:color w:val="auto"/>
                <w:szCs w:val="21"/>
                <w:highlight w:val="none"/>
              </w:rPr>
            </w:pPr>
          </w:p>
        </w:tc>
        <w:tc>
          <w:tcPr>
            <w:tcW w:w="907" w:type="dxa"/>
            <w:tcBorders>
              <w:top w:val="single" w:color="auto" w:sz="4" w:space="0"/>
              <w:left w:val="single" w:color="auto" w:sz="4" w:space="0"/>
            </w:tcBorders>
            <w:shd w:val="clear" w:color="auto" w:fill="FFFFFF"/>
            <w:noWrap w:val="0"/>
            <w:vAlign w:val="center"/>
          </w:tcPr>
          <w:p w14:paraId="0837F92F">
            <w:pPr>
              <w:jc w:val="center"/>
              <w:rPr>
                <w:color w:val="auto"/>
                <w:szCs w:val="21"/>
                <w:highlight w:val="none"/>
              </w:rPr>
            </w:pPr>
          </w:p>
        </w:tc>
        <w:tc>
          <w:tcPr>
            <w:tcW w:w="907" w:type="dxa"/>
            <w:tcBorders>
              <w:top w:val="single" w:color="auto" w:sz="4" w:space="0"/>
              <w:left w:val="single" w:color="auto" w:sz="4" w:space="0"/>
            </w:tcBorders>
            <w:shd w:val="clear" w:color="auto" w:fill="FFFFFF"/>
            <w:noWrap w:val="0"/>
            <w:vAlign w:val="center"/>
          </w:tcPr>
          <w:p w14:paraId="22188C95">
            <w:pPr>
              <w:jc w:val="center"/>
              <w:rPr>
                <w:color w:val="auto"/>
                <w:szCs w:val="21"/>
                <w:highlight w:val="none"/>
              </w:rPr>
            </w:pPr>
          </w:p>
        </w:tc>
        <w:tc>
          <w:tcPr>
            <w:tcW w:w="912" w:type="dxa"/>
            <w:tcBorders>
              <w:top w:val="single" w:color="auto" w:sz="4" w:space="0"/>
              <w:left w:val="single" w:color="auto" w:sz="4" w:space="0"/>
            </w:tcBorders>
            <w:shd w:val="clear" w:color="auto" w:fill="FFFFFF"/>
            <w:noWrap w:val="0"/>
            <w:vAlign w:val="center"/>
          </w:tcPr>
          <w:p w14:paraId="4EDA83A9">
            <w:pPr>
              <w:jc w:val="center"/>
              <w:rPr>
                <w:color w:val="auto"/>
                <w:szCs w:val="21"/>
                <w:highlight w:val="none"/>
              </w:rPr>
            </w:pPr>
          </w:p>
        </w:tc>
        <w:tc>
          <w:tcPr>
            <w:tcW w:w="902" w:type="dxa"/>
            <w:tcBorders>
              <w:top w:val="single" w:color="auto" w:sz="4" w:space="0"/>
              <w:left w:val="single" w:color="auto" w:sz="4" w:space="0"/>
            </w:tcBorders>
            <w:shd w:val="clear" w:color="auto" w:fill="FFFFFF"/>
            <w:noWrap w:val="0"/>
            <w:vAlign w:val="center"/>
          </w:tcPr>
          <w:p w14:paraId="4B8AF446">
            <w:pPr>
              <w:jc w:val="center"/>
              <w:rPr>
                <w:color w:val="auto"/>
                <w:szCs w:val="21"/>
                <w:highlight w:val="none"/>
              </w:rPr>
            </w:pPr>
          </w:p>
        </w:tc>
        <w:tc>
          <w:tcPr>
            <w:tcW w:w="907" w:type="dxa"/>
            <w:tcBorders>
              <w:top w:val="single" w:color="auto" w:sz="4" w:space="0"/>
              <w:left w:val="single" w:color="auto" w:sz="4" w:space="0"/>
            </w:tcBorders>
            <w:shd w:val="clear" w:color="auto" w:fill="FFFFFF"/>
            <w:noWrap w:val="0"/>
            <w:vAlign w:val="center"/>
          </w:tcPr>
          <w:p w14:paraId="26A4617E">
            <w:pPr>
              <w:jc w:val="cente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noWrap w:val="0"/>
            <w:vAlign w:val="center"/>
          </w:tcPr>
          <w:p w14:paraId="7DE0A6D2">
            <w:pPr>
              <w:jc w:val="center"/>
              <w:rPr>
                <w:color w:val="auto"/>
                <w:szCs w:val="21"/>
                <w:highlight w:val="none"/>
              </w:rPr>
            </w:pPr>
          </w:p>
        </w:tc>
      </w:tr>
      <w:tr w14:paraId="219FC8D0">
        <w:tblPrEx>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tcBorders>
            <w:shd w:val="clear" w:color="auto" w:fill="FFFFFF"/>
            <w:noWrap w:val="0"/>
            <w:vAlign w:val="center"/>
          </w:tcPr>
          <w:p w14:paraId="26D05487">
            <w:pPr>
              <w:jc w:val="center"/>
              <w:rPr>
                <w:color w:val="auto"/>
                <w:szCs w:val="21"/>
                <w:highlight w:val="none"/>
              </w:rPr>
            </w:pPr>
          </w:p>
        </w:tc>
        <w:tc>
          <w:tcPr>
            <w:tcW w:w="902" w:type="dxa"/>
            <w:tcBorders>
              <w:top w:val="single" w:color="auto" w:sz="4" w:space="0"/>
              <w:left w:val="single" w:color="auto" w:sz="4" w:space="0"/>
            </w:tcBorders>
            <w:shd w:val="clear" w:color="auto" w:fill="FFFFFF"/>
            <w:noWrap w:val="0"/>
            <w:vAlign w:val="center"/>
          </w:tcPr>
          <w:p w14:paraId="5E090D62">
            <w:pPr>
              <w:jc w:val="center"/>
              <w:rPr>
                <w:color w:val="auto"/>
                <w:szCs w:val="21"/>
                <w:highlight w:val="none"/>
              </w:rPr>
            </w:pPr>
          </w:p>
        </w:tc>
        <w:tc>
          <w:tcPr>
            <w:tcW w:w="907" w:type="dxa"/>
            <w:tcBorders>
              <w:top w:val="single" w:color="auto" w:sz="4" w:space="0"/>
              <w:left w:val="single" w:color="auto" w:sz="4" w:space="0"/>
            </w:tcBorders>
            <w:shd w:val="clear" w:color="auto" w:fill="FFFFFF"/>
            <w:noWrap w:val="0"/>
            <w:vAlign w:val="center"/>
          </w:tcPr>
          <w:p w14:paraId="381FD7FE">
            <w:pPr>
              <w:jc w:val="center"/>
              <w:rPr>
                <w:color w:val="auto"/>
                <w:szCs w:val="21"/>
                <w:highlight w:val="none"/>
              </w:rPr>
            </w:pPr>
          </w:p>
        </w:tc>
        <w:tc>
          <w:tcPr>
            <w:tcW w:w="907" w:type="dxa"/>
            <w:tcBorders>
              <w:top w:val="single" w:color="auto" w:sz="4" w:space="0"/>
              <w:left w:val="single" w:color="auto" w:sz="4" w:space="0"/>
            </w:tcBorders>
            <w:shd w:val="clear" w:color="auto" w:fill="FFFFFF"/>
            <w:noWrap w:val="0"/>
            <w:vAlign w:val="center"/>
          </w:tcPr>
          <w:p w14:paraId="3E6C8977">
            <w:pPr>
              <w:jc w:val="center"/>
              <w:rPr>
                <w:color w:val="auto"/>
                <w:szCs w:val="21"/>
                <w:highlight w:val="none"/>
              </w:rPr>
            </w:pPr>
          </w:p>
        </w:tc>
        <w:tc>
          <w:tcPr>
            <w:tcW w:w="907" w:type="dxa"/>
            <w:tcBorders>
              <w:top w:val="single" w:color="auto" w:sz="4" w:space="0"/>
              <w:left w:val="single" w:color="auto" w:sz="4" w:space="0"/>
            </w:tcBorders>
            <w:shd w:val="clear" w:color="auto" w:fill="FFFFFF"/>
            <w:noWrap w:val="0"/>
            <w:vAlign w:val="center"/>
          </w:tcPr>
          <w:p w14:paraId="3051DA70">
            <w:pPr>
              <w:jc w:val="center"/>
              <w:rPr>
                <w:color w:val="auto"/>
                <w:szCs w:val="21"/>
                <w:highlight w:val="none"/>
              </w:rPr>
            </w:pPr>
          </w:p>
        </w:tc>
        <w:tc>
          <w:tcPr>
            <w:tcW w:w="912" w:type="dxa"/>
            <w:tcBorders>
              <w:top w:val="single" w:color="auto" w:sz="4" w:space="0"/>
              <w:left w:val="single" w:color="auto" w:sz="4" w:space="0"/>
            </w:tcBorders>
            <w:shd w:val="clear" w:color="auto" w:fill="FFFFFF"/>
            <w:noWrap w:val="0"/>
            <w:vAlign w:val="center"/>
          </w:tcPr>
          <w:p w14:paraId="5FE93F1C">
            <w:pPr>
              <w:jc w:val="center"/>
              <w:rPr>
                <w:color w:val="auto"/>
                <w:szCs w:val="21"/>
                <w:highlight w:val="none"/>
              </w:rPr>
            </w:pPr>
          </w:p>
        </w:tc>
        <w:tc>
          <w:tcPr>
            <w:tcW w:w="902" w:type="dxa"/>
            <w:tcBorders>
              <w:top w:val="single" w:color="auto" w:sz="4" w:space="0"/>
              <w:left w:val="single" w:color="auto" w:sz="4" w:space="0"/>
            </w:tcBorders>
            <w:shd w:val="clear" w:color="auto" w:fill="FFFFFF"/>
            <w:noWrap w:val="0"/>
            <w:vAlign w:val="center"/>
          </w:tcPr>
          <w:p w14:paraId="71509E78">
            <w:pPr>
              <w:jc w:val="center"/>
              <w:rPr>
                <w:color w:val="auto"/>
                <w:szCs w:val="21"/>
                <w:highlight w:val="none"/>
              </w:rPr>
            </w:pPr>
          </w:p>
        </w:tc>
        <w:tc>
          <w:tcPr>
            <w:tcW w:w="907" w:type="dxa"/>
            <w:tcBorders>
              <w:top w:val="single" w:color="auto" w:sz="4" w:space="0"/>
              <w:left w:val="single" w:color="auto" w:sz="4" w:space="0"/>
            </w:tcBorders>
            <w:shd w:val="clear" w:color="auto" w:fill="FFFFFF"/>
            <w:noWrap w:val="0"/>
            <w:vAlign w:val="center"/>
          </w:tcPr>
          <w:p w14:paraId="793E5BAA">
            <w:pPr>
              <w:jc w:val="cente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noWrap w:val="0"/>
            <w:vAlign w:val="center"/>
          </w:tcPr>
          <w:p w14:paraId="655BB941">
            <w:pPr>
              <w:jc w:val="center"/>
              <w:rPr>
                <w:color w:val="auto"/>
                <w:szCs w:val="21"/>
                <w:highlight w:val="none"/>
              </w:rPr>
            </w:pPr>
          </w:p>
        </w:tc>
      </w:tr>
      <w:tr w14:paraId="44F8C9B8">
        <w:tblPrEx>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tcBorders>
            <w:shd w:val="clear" w:color="auto" w:fill="FFFFFF"/>
            <w:noWrap w:val="0"/>
            <w:vAlign w:val="center"/>
          </w:tcPr>
          <w:p w14:paraId="030FD863">
            <w:pPr>
              <w:jc w:val="center"/>
              <w:rPr>
                <w:color w:val="auto"/>
                <w:szCs w:val="21"/>
                <w:highlight w:val="none"/>
              </w:rPr>
            </w:pPr>
          </w:p>
        </w:tc>
        <w:tc>
          <w:tcPr>
            <w:tcW w:w="902" w:type="dxa"/>
            <w:tcBorders>
              <w:top w:val="single" w:color="auto" w:sz="4" w:space="0"/>
              <w:left w:val="single" w:color="auto" w:sz="4" w:space="0"/>
            </w:tcBorders>
            <w:shd w:val="clear" w:color="auto" w:fill="FFFFFF"/>
            <w:noWrap w:val="0"/>
            <w:vAlign w:val="center"/>
          </w:tcPr>
          <w:p w14:paraId="6C5D2396">
            <w:pPr>
              <w:jc w:val="center"/>
              <w:rPr>
                <w:color w:val="auto"/>
                <w:szCs w:val="21"/>
                <w:highlight w:val="none"/>
              </w:rPr>
            </w:pPr>
          </w:p>
        </w:tc>
        <w:tc>
          <w:tcPr>
            <w:tcW w:w="907" w:type="dxa"/>
            <w:tcBorders>
              <w:top w:val="single" w:color="auto" w:sz="4" w:space="0"/>
              <w:left w:val="single" w:color="auto" w:sz="4" w:space="0"/>
            </w:tcBorders>
            <w:shd w:val="clear" w:color="auto" w:fill="FFFFFF"/>
            <w:noWrap w:val="0"/>
            <w:vAlign w:val="center"/>
          </w:tcPr>
          <w:p w14:paraId="14610C60">
            <w:pPr>
              <w:jc w:val="center"/>
              <w:rPr>
                <w:color w:val="auto"/>
                <w:szCs w:val="21"/>
                <w:highlight w:val="none"/>
              </w:rPr>
            </w:pPr>
          </w:p>
        </w:tc>
        <w:tc>
          <w:tcPr>
            <w:tcW w:w="907" w:type="dxa"/>
            <w:tcBorders>
              <w:top w:val="single" w:color="auto" w:sz="4" w:space="0"/>
              <w:left w:val="single" w:color="auto" w:sz="4" w:space="0"/>
            </w:tcBorders>
            <w:shd w:val="clear" w:color="auto" w:fill="FFFFFF"/>
            <w:noWrap w:val="0"/>
            <w:vAlign w:val="center"/>
          </w:tcPr>
          <w:p w14:paraId="6FF151BD">
            <w:pPr>
              <w:jc w:val="center"/>
              <w:rPr>
                <w:color w:val="auto"/>
                <w:szCs w:val="21"/>
                <w:highlight w:val="none"/>
              </w:rPr>
            </w:pPr>
          </w:p>
        </w:tc>
        <w:tc>
          <w:tcPr>
            <w:tcW w:w="907" w:type="dxa"/>
            <w:tcBorders>
              <w:top w:val="single" w:color="auto" w:sz="4" w:space="0"/>
              <w:left w:val="single" w:color="auto" w:sz="4" w:space="0"/>
            </w:tcBorders>
            <w:shd w:val="clear" w:color="auto" w:fill="FFFFFF"/>
            <w:noWrap w:val="0"/>
            <w:vAlign w:val="center"/>
          </w:tcPr>
          <w:p w14:paraId="75F42C62">
            <w:pPr>
              <w:jc w:val="center"/>
              <w:rPr>
                <w:color w:val="auto"/>
                <w:szCs w:val="21"/>
                <w:highlight w:val="none"/>
              </w:rPr>
            </w:pPr>
          </w:p>
        </w:tc>
        <w:tc>
          <w:tcPr>
            <w:tcW w:w="912" w:type="dxa"/>
            <w:tcBorders>
              <w:top w:val="single" w:color="auto" w:sz="4" w:space="0"/>
              <w:left w:val="single" w:color="auto" w:sz="4" w:space="0"/>
            </w:tcBorders>
            <w:shd w:val="clear" w:color="auto" w:fill="FFFFFF"/>
            <w:noWrap w:val="0"/>
            <w:vAlign w:val="center"/>
          </w:tcPr>
          <w:p w14:paraId="6D3AAA73">
            <w:pPr>
              <w:jc w:val="center"/>
              <w:rPr>
                <w:color w:val="auto"/>
                <w:szCs w:val="21"/>
                <w:highlight w:val="none"/>
              </w:rPr>
            </w:pPr>
          </w:p>
        </w:tc>
        <w:tc>
          <w:tcPr>
            <w:tcW w:w="902" w:type="dxa"/>
            <w:tcBorders>
              <w:top w:val="single" w:color="auto" w:sz="4" w:space="0"/>
              <w:left w:val="single" w:color="auto" w:sz="4" w:space="0"/>
            </w:tcBorders>
            <w:shd w:val="clear" w:color="auto" w:fill="FFFFFF"/>
            <w:noWrap w:val="0"/>
            <w:vAlign w:val="center"/>
          </w:tcPr>
          <w:p w14:paraId="439E27DF">
            <w:pPr>
              <w:jc w:val="center"/>
              <w:rPr>
                <w:color w:val="auto"/>
                <w:szCs w:val="21"/>
                <w:highlight w:val="none"/>
              </w:rPr>
            </w:pPr>
          </w:p>
        </w:tc>
        <w:tc>
          <w:tcPr>
            <w:tcW w:w="907" w:type="dxa"/>
            <w:tcBorders>
              <w:top w:val="single" w:color="auto" w:sz="4" w:space="0"/>
              <w:left w:val="single" w:color="auto" w:sz="4" w:space="0"/>
            </w:tcBorders>
            <w:shd w:val="clear" w:color="auto" w:fill="FFFFFF"/>
            <w:noWrap w:val="0"/>
            <w:vAlign w:val="center"/>
          </w:tcPr>
          <w:p w14:paraId="32374126">
            <w:pPr>
              <w:jc w:val="cente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noWrap w:val="0"/>
            <w:vAlign w:val="center"/>
          </w:tcPr>
          <w:p w14:paraId="7E1DB95D">
            <w:pPr>
              <w:jc w:val="center"/>
              <w:rPr>
                <w:color w:val="auto"/>
                <w:szCs w:val="21"/>
                <w:highlight w:val="none"/>
              </w:rPr>
            </w:pPr>
          </w:p>
        </w:tc>
      </w:tr>
      <w:tr w14:paraId="31EE2885">
        <w:tblPrEx>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tcBorders>
            <w:shd w:val="clear" w:color="auto" w:fill="FFFFFF"/>
            <w:noWrap w:val="0"/>
            <w:vAlign w:val="center"/>
          </w:tcPr>
          <w:p w14:paraId="301C3D63">
            <w:pPr>
              <w:jc w:val="center"/>
              <w:rPr>
                <w:color w:val="auto"/>
                <w:szCs w:val="21"/>
                <w:highlight w:val="none"/>
              </w:rPr>
            </w:pPr>
          </w:p>
        </w:tc>
        <w:tc>
          <w:tcPr>
            <w:tcW w:w="902" w:type="dxa"/>
            <w:tcBorders>
              <w:top w:val="single" w:color="auto" w:sz="4" w:space="0"/>
              <w:left w:val="single" w:color="auto" w:sz="4" w:space="0"/>
            </w:tcBorders>
            <w:shd w:val="clear" w:color="auto" w:fill="FFFFFF"/>
            <w:noWrap w:val="0"/>
            <w:vAlign w:val="center"/>
          </w:tcPr>
          <w:p w14:paraId="15CDEB27">
            <w:pPr>
              <w:jc w:val="center"/>
              <w:rPr>
                <w:color w:val="auto"/>
                <w:szCs w:val="21"/>
                <w:highlight w:val="none"/>
              </w:rPr>
            </w:pPr>
          </w:p>
        </w:tc>
        <w:tc>
          <w:tcPr>
            <w:tcW w:w="907" w:type="dxa"/>
            <w:tcBorders>
              <w:top w:val="single" w:color="auto" w:sz="4" w:space="0"/>
              <w:left w:val="single" w:color="auto" w:sz="4" w:space="0"/>
            </w:tcBorders>
            <w:shd w:val="clear" w:color="auto" w:fill="FFFFFF"/>
            <w:noWrap w:val="0"/>
            <w:vAlign w:val="center"/>
          </w:tcPr>
          <w:p w14:paraId="1D63628B">
            <w:pPr>
              <w:jc w:val="center"/>
              <w:rPr>
                <w:color w:val="auto"/>
                <w:szCs w:val="21"/>
                <w:highlight w:val="none"/>
              </w:rPr>
            </w:pPr>
          </w:p>
        </w:tc>
        <w:tc>
          <w:tcPr>
            <w:tcW w:w="907" w:type="dxa"/>
            <w:tcBorders>
              <w:top w:val="single" w:color="auto" w:sz="4" w:space="0"/>
              <w:left w:val="single" w:color="auto" w:sz="4" w:space="0"/>
            </w:tcBorders>
            <w:shd w:val="clear" w:color="auto" w:fill="FFFFFF"/>
            <w:noWrap w:val="0"/>
            <w:vAlign w:val="center"/>
          </w:tcPr>
          <w:p w14:paraId="1893F75D">
            <w:pPr>
              <w:jc w:val="center"/>
              <w:rPr>
                <w:color w:val="auto"/>
                <w:szCs w:val="21"/>
                <w:highlight w:val="none"/>
              </w:rPr>
            </w:pPr>
          </w:p>
        </w:tc>
        <w:tc>
          <w:tcPr>
            <w:tcW w:w="907" w:type="dxa"/>
            <w:tcBorders>
              <w:top w:val="single" w:color="auto" w:sz="4" w:space="0"/>
              <w:left w:val="single" w:color="auto" w:sz="4" w:space="0"/>
            </w:tcBorders>
            <w:shd w:val="clear" w:color="auto" w:fill="FFFFFF"/>
            <w:noWrap w:val="0"/>
            <w:vAlign w:val="center"/>
          </w:tcPr>
          <w:p w14:paraId="62BB805A">
            <w:pPr>
              <w:jc w:val="center"/>
              <w:rPr>
                <w:color w:val="auto"/>
                <w:szCs w:val="21"/>
                <w:highlight w:val="none"/>
              </w:rPr>
            </w:pPr>
          </w:p>
        </w:tc>
        <w:tc>
          <w:tcPr>
            <w:tcW w:w="912" w:type="dxa"/>
            <w:tcBorders>
              <w:top w:val="single" w:color="auto" w:sz="4" w:space="0"/>
              <w:left w:val="single" w:color="auto" w:sz="4" w:space="0"/>
            </w:tcBorders>
            <w:shd w:val="clear" w:color="auto" w:fill="FFFFFF"/>
            <w:noWrap w:val="0"/>
            <w:vAlign w:val="center"/>
          </w:tcPr>
          <w:p w14:paraId="06FB9912">
            <w:pPr>
              <w:jc w:val="center"/>
              <w:rPr>
                <w:color w:val="auto"/>
                <w:szCs w:val="21"/>
                <w:highlight w:val="none"/>
              </w:rPr>
            </w:pPr>
          </w:p>
        </w:tc>
        <w:tc>
          <w:tcPr>
            <w:tcW w:w="902" w:type="dxa"/>
            <w:tcBorders>
              <w:top w:val="single" w:color="auto" w:sz="4" w:space="0"/>
              <w:left w:val="single" w:color="auto" w:sz="4" w:space="0"/>
            </w:tcBorders>
            <w:shd w:val="clear" w:color="auto" w:fill="FFFFFF"/>
            <w:noWrap w:val="0"/>
            <w:vAlign w:val="center"/>
          </w:tcPr>
          <w:p w14:paraId="7AC0A186">
            <w:pPr>
              <w:jc w:val="center"/>
              <w:rPr>
                <w:color w:val="auto"/>
                <w:szCs w:val="21"/>
                <w:highlight w:val="none"/>
              </w:rPr>
            </w:pPr>
          </w:p>
        </w:tc>
        <w:tc>
          <w:tcPr>
            <w:tcW w:w="907" w:type="dxa"/>
            <w:tcBorders>
              <w:top w:val="single" w:color="auto" w:sz="4" w:space="0"/>
              <w:left w:val="single" w:color="auto" w:sz="4" w:space="0"/>
            </w:tcBorders>
            <w:shd w:val="clear" w:color="auto" w:fill="FFFFFF"/>
            <w:noWrap w:val="0"/>
            <w:vAlign w:val="center"/>
          </w:tcPr>
          <w:p w14:paraId="696B291B">
            <w:pPr>
              <w:jc w:val="cente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noWrap w:val="0"/>
            <w:vAlign w:val="center"/>
          </w:tcPr>
          <w:p w14:paraId="29616E9F">
            <w:pPr>
              <w:jc w:val="center"/>
              <w:rPr>
                <w:color w:val="auto"/>
                <w:szCs w:val="21"/>
                <w:highlight w:val="none"/>
              </w:rPr>
            </w:pPr>
          </w:p>
        </w:tc>
      </w:tr>
      <w:tr w14:paraId="21C2C24D">
        <w:tblPrEx>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tcBorders>
            <w:shd w:val="clear" w:color="auto" w:fill="FFFFFF"/>
            <w:noWrap w:val="0"/>
            <w:vAlign w:val="center"/>
          </w:tcPr>
          <w:p w14:paraId="61EB3DE1">
            <w:pPr>
              <w:jc w:val="center"/>
              <w:rPr>
                <w:color w:val="auto"/>
                <w:szCs w:val="21"/>
                <w:highlight w:val="none"/>
              </w:rPr>
            </w:pPr>
          </w:p>
        </w:tc>
        <w:tc>
          <w:tcPr>
            <w:tcW w:w="902" w:type="dxa"/>
            <w:tcBorders>
              <w:top w:val="single" w:color="auto" w:sz="4" w:space="0"/>
              <w:left w:val="single" w:color="auto" w:sz="4" w:space="0"/>
            </w:tcBorders>
            <w:shd w:val="clear" w:color="auto" w:fill="FFFFFF"/>
            <w:noWrap w:val="0"/>
            <w:vAlign w:val="center"/>
          </w:tcPr>
          <w:p w14:paraId="7014EB1A">
            <w:pPr>
              <w:jc w:val="center"/>
              <w:rPr>
                <w:color w:val="auto"/>
                <w:szCs w:val="21"/>
                <w:highlight w:val="none"/>
              </w:rPr>
            </w:pPr>
          </w:p>
        </w:tc>
        <w:tc>
          <w:tcPr>
            <w:tcW w:w="907" w:type="dxa"/>
            <w:tcBorders>
              <w:top w:val="single" w:color="auto" w:sz="4" w:space="0"/>
              <w:left w:val="single" w:color="auto" w:sz="4" w:space="0"/>
            </w:tcBorders>
            <w:shd w:val="clear" w:color="auto" w:fill="FFFFFF"/>
            <w:noWrap w:val="0"/>
            <w:vAlign w:val="center"/>
          </w:tcPr>
          <w:p w14:paraId="1B593933">
            <w:pPr>
              <w:jc w:val="center"/>
              <w:rPr>
                <w:color w:val="auto"/>
                <w:szCs w:val="21"/>
                <w:highlight w:val="none"/>
              </w:rPr>
            </w:pPr>
          </w:p>
        </w:tc>
        <w:tc>
          <w:tcPr>
            <w:tcW w:w="907" w:type="dxa"/>
            <w:tcBorders>
              <w:top w:val="single" w:color="auto" w:sz="4" w:space="0"/>
              <w:left w:val="single" w:color="auto" w:sz="4" w:space="0"/>
            </w:tcBorders>
            <w:shd w:val="clear" w:color="auto" w:fill="FFFFFF"/>
            <w:noWrap w:val="0"/>
            <w:vAlign w:val="center"/>
          </w:tcPr>
          <w:p w14:paraId="18E5CD7C">
            <w:pPr>
              <w:jc w:val="center"/>
              <w:rPr>
                <w:color w:val="auto"/>
                <w:szCs w:val="21"/>
                <w:highlight w:val="none"/>
              </w:rPr>
            </w:pPr>
          </w:p>
        </w:tc>
        <w:tc>
          <w:tcPr>
            <w:tcW w:w="907" w:type="dxa"/>
            <w:tcBorders>
              <w:top w:val="single" w:color="auto" w:sz="4" w:space="0"/>
              <w:left w:val="single" w:color="auto" w:sz="4" w:space="0"/>
            </w:tcBorders>
            <w:shd w:val="clear" w:color="auto" w:fill="FFFFFF"/>
            <w:noWrap w:val="0"/>
            <w:vAlign w:val="center"/>
          </w:tcPr>
          <w:p w14:paraId="5B6D48F0">
            <w:pPr>
              <w:jc w:val="center"/>
              <w:rPr>
                <w:color w:val="auto"/>
                <w:szCs w:val="21"/>
                <w:highlight w:val="none"/>
              </w:rPr>
            </w:pPr>
          </w:p>
        </w:tc>
        <w:tc>
          <w:tcPr>
            <w:tcW w:w="912" w:type="dxa"/>
            <w:tcBorders>
              <w:top w:val="single" w:color="auto" w:sz="4" w:space="0"/>
              <w:left w:val="single" w:color="auto" w:sz="4" w:space="0"/>
            </w:tcBorders>
            <w:shd w:val="clear" w:color="auto" w:fill="FFFFFF"/>
            <w:noWrap w:val="0"/>
            <w:vAlign w:val="center"/>
          </w:tcPr>
          <w:p w14:paraId="7E123EAF">
            <w:pPr>
              <w:jc w:val="center"/>
              <w:rPr>
                <w:color w:val="auto"/>
                <w:szCs w:val="21"/>
                <w:highlight w:val="none"/>
              </w:rPr>
            </w:pPr>
          </w:p>
        </w:tc>
        <w:tc>
          <w:tcPr>
            <w:tcW w:w="902" w:type="dxa"/>
            <w:tcBorders>
              <w:top w:val="single" w:color="auto" w:sz="4" w:space="0"/>
              <w:left w:val="single" w:color="auto" w:sz="4" w:space="0"/>
            </w:tcBorders>
            <w:shd w:val="clear" w:color="auto" w:fill="FFFFFF"/>
            <w:noWrap w:val="0"/>
            <w:vAlign w:val="center"/>
          </w:tcPr>
          <w:p w14:paraId="140FB876">
            <w:pPr>
              <w:jc w:val="center"/>
              <w:rPr>
                <w:color w:val="auto"/>
                <w:szCs w:val="21"/>
                <w:highlight w:val="none"/>
              </w:rPr>
            </w:pPr>
          </w:p>
        </w:tc>
        <w:tc>
          <w:tcPr>
            <w:tcW w:w="907" w:type="dxa"/>
            <w:tcBorders>
              <w:top w:val="single" w:color="auto" w:sz="4" w:space="0"/>
              <w:left w:val="single" w:color="auto" w:sz="4" w:space="0"/>
            </w:tcBorders>
            <w:shd w:val="clear" w:color="auto" w:fill="FFFFFF"/>
            <w:noWrap w:val="0"/>
            <w:vAlign w:val="center"/>
          </w:tcPr>
          <w:p w14:paraId="3E85DFFF">
            <w:pPr>
              <w:jc w:val="cente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noWrap w:val="0"/>
            <w:vAlign w:val="center"/>
          </w:tcPr>
          <w:p w14:paraId="6DA6E16B">
            <w:pPr>
              <w:jc w:val="center"/>
              <w:rPr>
                <w:color w:val="auto"/>
                <w:szCs w:val="21"/>
                <w:highlight w:val="none"/>
              </w:rPr>
            </w:pPr>
          </w:p>
        </w:tc>
      </w:tr>
      <w:tr w14:paraId="1924BED7">
        <w:tblPrEx>
          <w:tblCellMar>
            <w:top w:w="0" w:type="dxa"/>
            <w:left w:w="10" w:type="dxa"/>
            <w:bottom w:w="0" w:type="dxa"/>
            <w:right w:w="10" w:type="dxa"/>
          </w:tblCellMar>
        </w:tblPrEx>
        <w:trPr>
          <w:trHeight w:val="581" w:hRule="exact"/>
          <w:jc w:val="center"/>
        </w:trPr>
        <w:tc>
          <w:tcPr>
            <w:tcW w:w="1090" w:type="dxa"/>
            <w:tcBorders>
              <w:top w:val="single" w:color="auto" w:sz="4" w:space="0"/>
              <w:left w:val="single" w:color="auto" w:sz="4" w:space="0"/>
              <w:bottom w:val="single" w:color="auto" w:sz="4" w:space="0"/>
            </w:tcBorders>
            <w:shd w:val="clear" w:color="auto" w:fill="FFFFFF"/>
            <w:noWrap w:val="0"/>
            <w:vAlign w:val="center"/>
          </w:tcPr>
          <w:p w14:paraId="6B3E04B7">
            <w:pPr>
              <w:jc w:val="center"/>
              <w:rPr>
                <w:color w:val="auto"/>
                <w:szCs w:val="21"/>
                <w:highlight w:val="none"/>
              </w:rPr>
            </w:pPr>
          </w:p>
        </w:tc>
        <w:tc>
          <w:tcPr>
            <w:tcW w:w="902" w:type="dxa"/>
            <w:tcBorders>
              <w:top w:val="single" w:color="auto" w:sz="4" w:space="0"/>
              <w:left w:val="single" w:color="auto" w:sz="4" w:space="0"/>
              <w:bottom w:val="single" w:color="auto" w:sz="4" w:space="0"/>
            </w:tcBorders>
            <w:shd w:val="clear" w:color="auto" w:fill="FFFFFF"/>
            <w:noWrap w:val="0"/>
            <w:vAlign w:val="center"/>
          </w:tcPr>
          <w:p w14:paraId="29FD7A8D">
            <w:pPr>
              <w:jc w:val="center"/>
              <w:rPr>
                <w:color w:val="auto"/>
                <w:szCs w:val="21"/>
                <w:highlight w:val="none"/>
              </w:rPr>
            </w:pPr>
          </w:p>
        </w:tc>
        <w:tc>
          <w:tcPr>
            <w:tcW w:w="907" w:type="dxa"/>
            <w:tcBorders>
              <w:top w:val="single" w:color="auto" w:sz="4" w:space="0"/>
              <w:left w:val="single" w:color="auto" w:sz="4" w:space="0"/>
              <w:bottom w:val="single" w:color="auto" w:sz="4" w:space="0"/>
            </w:tcBorders>
            <w:shd w:val="clear" w:color="auto" w:fill="FFFFFF"/>
            <w:noWrap w:val="0"/>
            <w:vAlign w:val="center"/>
          </w:tcPr>
          <w:p w14:paraId="35772CFE">
            <w:pPr>
              <w:jc w:val="center"/>
              <w:rPr>
                <w:color w:val="auto"/>
                <w:szCs w:val="21"/>
                <w:highlight w:val="none"/>
              </w:rPr>
            </w:pPr>
          </w:p>
        </w:tc>
        <w:tc>
          <w:tcPr>
            <w:tcW w:w="907" w:type="dxa"/>
            <w:tcBorders>
              <w:top w:val="single" w:color="auto" w:sz="4" w:space="0"/>
              <w:left w:val="single" w:color="auto" w:sz="4" w:space="0"/>
              <w:bottom w:val="single" w:color="auto" w:sz="4" w:space="0"/>
            </w:tcBorders>
            <w:shd w:val="clear" w:color="auto" w:fill="FFFFFF"/>
            <w:noWrap w:val="0"/>
            <w:vAlign w:val="center"/>
          </w:tcPr>
          <w:p w14:paraId="5AF1187E">
            <w:pPr>
              <w:jc w:val="center"/>
              <w:rPr>
                <w:color w:val="auto"/>
                <w:szCs w:val="21"/>
                <w:highlight w:val="none"/>
              </w:rPr>
            </w:pPr>
          </w:p>
        </w:tc>
        <w:tc>
          <w:tcPr>
            <w:tcW w:w="907" w:type="dxa"/>
            <w:tcBorders>
              <w:top w:val="single" w:color="auto" w:sz="4" w:space="0"/>
              <w:left w:val="single" w:color="auto" w:sz="4" w:space="0"/>
              <w:bottom w:val="single" w:color="auto" w:sz="4" w:space="0"/>
            </w:tcBorders>
            <w:shd w:val="clear" w:color="auto" w:fill="FFFFFF"/>
            <w:noWrap w:val="0"/>
            <w:vAlign w:val="center"/>
          </w:tcPr>
          <w:p w14:paraId="08FA3932">
            <w:pPr>
              <w:jc w:val="center"/>
              <w:rPr>
                <w:color w:val="auto"/>
                <w:szCs w:val="21"/>
                <w:highlight w:val="none"/>
              </w:rPr>
            </w:pPr>
          </w:p>
        </w:tc>
        <w:tc>
          <w:tcPr>
            <w:tcW w:w="912" w:type="dxa"/>
            <w:tcBorders>
              <w:top w:val="single" w:color="auto" w:sz="4" w:space="0"/>
              <w:left w:val="single" w:color="auto" w:sz="4" w:space="0"/>
              <w:bottom w:val="single" w:color="auto" w:sz="4" w:space="0"/>
            </w:tcBorders>
            <w:shd w:val="clear" w:color="auto" w:fill="FFFFFF"/>
            <w:noWrap w:val="0"/>
            <w:vAlign w:val="center"/>
          </w:tcPr>
          <w:p w14:paraId="03902FE8">
            <w:pPr>
              <w:jc w:val="center"/>
              <w:rPr>
                <w:color w:val="auto"/>
                <w:szCs w:val="21"/>
                <w:highlight w:val="none"/>
              </w:rPr>
            </w:pPr>
          </w:p>
        </w:tc>
        <w:tc>
          <w:tcPr>
            <w:tcW w:w="902" w:type="dxa"/>
            <w:tcBorders>
              <w:top w:val="single" w:color="auto" w:sz="4" w:space="0"/>
              <w:left w:val="single" w:color="auto" w:sz="4" w:space="0"/>
              <w:bottom w:val="single" w:color="auto" w:sz="4" w:space="0"/>
            </w:tcBorders>
            <w:shd w:val="clear" w:color="auto" w:fill="FFFFFF"/>
            <w:noWrap w:val="0"/>
            <w:vAlign w:val="center"/>
          </w:tcPr>
          <w:p w14:paraId="21EB4631">
            <w:pPr>
              <w:jc w:val="center"/>
              <w:rPr>
                <w:color w:val="auto"/>
                <w:szCs w:val="21"/>
                <w:highlight w:val="none"/>
              </w:rPr>
            </w:pPr>
          </w:p>
        </w:tc>
        <w:tc>
          <w:tcPr>
            <w:tcW w:w="907" w:type="dxa"/>
            <w:tcBorders>
              <w:top w:val="single" w:color="auto" w:sz="4" w:space="0"/>
              <w:left w:val="single" w:color="auto" w:sz="4" w:space="0"/>
              <w:bottom w:val="single" w:color="auto" w:sz="4" w:space="0"/>
            </w:tcBorders>
            <w:shd w:val="clear" w:color="auto" w:fill="FFFFFF"/>
            <w:noWrap w:val="0"/>
            <w:vAlign w:val="center"/>
          </w:tcPr>
          <w:p w14:paraId="55C7C251">
            <w:pPr>
              <w:jc w:val="center"/>
              <w:rPr>
                <w:color w:val="auto"/>
                <w:szCs w:val="21"/>
                <w:highlight w:val="none"/>
              </w:rPr>
            </w:pPr>
          </w:p>
        </w:tc>
        <w:tc>
          <w:tcPr>
            <w:tcW w:w="9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37F0C52">
            <w:pPr>
              <w:jc w:val="center"/>
              <w:rPr>
                <w:color w:val="auto"/>
                <w:szCs w:val="21"/>
                <w:highlight w:val="none"/>
              </w:rPr>
            </w:pPr>
          </w:p>
        </w:tc>
      </w:tr>
    </w:tbl>
    <w:p w14:paraId="7E4C2A80">
      <w:pPr>
        <w:spacing w:after="299" w:line="1" w:lineRule="exact"/>
        <w:rPr>
          <w:color w:val="auto"/>
          <w:highlight w:val="none"/>
        </w:rPr>
      </w:pPr>
    </w:p>
    <w:p w14:paraId="6D7DC294">
      <w:pPr>
        <w:pStyle w:val="93"/>
        <w:tabs>
          <w:tab w:val="left" w:pos="847"/>
          <w:tab w:val="left" w:leader="underscore" w:pos="850"/>
          <w:tab w:val="left" w:leader="underscore" w:pos="1906"/>
          <w:tab w:val="left" w:pos="1908"/>
          <w:tab w:val="left" w:pos="2964"/>
        </w:tabs>
        <w:spacing w:after="420" w:line="353" w:lineRule="exact"/>
        <w:ind w:firstLine="420" w:firstLineChars="200"/>
        <w:jc w:val="right"/>
        <w:rPr>
          <w:color w:val="auto"/>
          <w:highlight w:val="none"/>
        </w:rPr>
        <w:sectPr>
          <w:headerReference r:id="rId17" w:type="default"/>
          <w:footerReference r:id="rId19" w:type="default"/>
          <w:headerReference r:id="rId18" w:type="even"/>
          <w:footerReference r:id="rId20" w:type="even"/>
          <w:pgSz w:w="11900" w:h="16832"/>
          <w:pgMar w:top="1440" w:right="1803" w:bottom="1440" w:left="1803" w:header="851" w:footer="851" w:gutter="0"/>
          <w:pgNumType w:fmt="decimal"/>
          <w:cols w:space="720" w:num="1"/>
          <w:docGrid w:linePitch="360" w:charSpace="0"/>
        </w:sectPr>
      </w:pPr>
    </w:p>
    <w:p w14:paraId="1E7C27F8">
      <w:pPr>
        <w:pStyle w:val="10"/>
        <w:rPr>
          <w:rFonts w:hint="eastAsia"/>
          <w:b w:val="0"/>
          <w:bCs w:val="0"/>
          <w:color w:val="auto"/>
          <w:sz w:val="28"/>
          <w:szCs w:val="28"/>
          <w:highlight w:val="none"/>
        </w:rPr>
      </w:pPr>
      <w:bookmarkStart w:id="140" w:name="bookmark2251"/>
      <w:bookmarkStart w:id="141" w:name="bookmark2250"/>
      <w:bookmarkStart w:id="142" w:name="bookmark2249"/>
      <w:r>
        <w:rPr>
          <w:rFonts w:hint="eastAsia"/>
          <w:b w:val="0"/>
          <w:bCs w:val="0"/>
          <w:color w:val="auto"/>
          <w:sz w:val="28"/>
          <w:szCs w:val="28"/>
          <w:highlight w:val="none"/>
        </w:rPr>
        <w:t>附件五：计划开工日期、完工日期和施工进度网络图（或横道图）</w:t>
      </w:r>
      <w:bookmarkEnd w:id="140"/>
      <w:bookmarkEnd w:id="141"/>
      <w:bookmarkEnd w:id="142"/>
    </w:p>
    <w:p w14:paraId="040DFB58">
      <w:pPr>
        <w:rPr>
          <w:rFonts w:hint="eastAsia"/>
          <w:color w:val="auto"/>
          <w:highlight w:val="none"/>
        </w:rPr>
      </w:pPr>
    </w:p>
    <w:p w14:paraId="4E939A08">
      <w:pPr>
        <w:jc w:val="center"/>
        <w:rPr>
          <w:rFonts w:hint="eastAsia" w:ascii="宋体" w:hAnsi="宋体" w:cs="宋体"/>
          <w:b/>
          <w:bCs/>
          <w:color w:val="auto"/>
          <w:sz w:val="28"/>
          <w:szCs w:val="28"/>
          <w:highlight w:val="none"/>
        </w:rPr>
      </w:pPr>
      <w:bookmarkStart w:id="143" w:name="bookmark2252"/>
      <w:bookmarkStart w:id="144" w:name="bookmark2253"/>
      <w:bookmarkStart w:id="145" w:name="bookmark2254"/>
      <w:bookmarkStart w:id="146" w:name="_Toc24573"/>
      <w:bookmarkStart w:id="147" w:name="_Toc2597"/>
      <w:r>
        <w:rPr>
          <w:rFonts w:hint="eastAsia" w:ascii="宋体" w:hAnsi="宋体" w:cs="宋体"/>
          <w:b/>
          <w:bCs/>
          <w:color w:val="auto"/>
          <w:sz w:val="28"/>
          <w:szCs w:val="28"/>
          <w:highlight w:val="none"/>
        </w:rPr>
        <w:t>计划开工日期、完工日期和施工进度网络图（或横道图）</w:t>
      </w:r>
      <w:bookmarkEnd w:id="143"/>
      <w:bookmarkEnd w:id="144"/>
      <w:bookmarkEnd w:id="145"/>
      <w:bookmarkEnd w:id="146"/>
      <w:bookmarkEnd w:id="147"/>
    </w:p>
    <w:p w14:paraId="356F3BCD">
      <w:pPr>
        <w:jc w:val="center"/>
        <w:rPr>
          <w:b/>
          <w:color w:val="auto"/>
          <w:highlight w:val="none"/>
        </w:rPr>
      </w:pPr>
    </w:p>
    <w:p w14:paraId="02488992">
      <w:pPr>
        <w:pStyle w:val="93"/>
        <w:tabs>
          <w:tab w:val="left" w:pos="747"/>
        </w:tabs>
        <w:ind w:firstLine="420" w:firstLineChars="200"/>
        <w:rPr>
          <w:color w:val="auto"/>
          <w:highlight w:val="none"/>
        </w:rPr>
      </w:pPr>
      <w:bookmarkStart w:id="148" w:name="bookmark2255"/>
      <w:bookmarkEnd w:id="148"/>
      <w:r>
        <w:rPr>
          <w:rFonts w:hint="eastAsia"/>
          <w:color w:val="auto"/>
          <w:highlight w:val="none"/>
        </w:rPr>
        <w:t>供应商</w:t>
      </w:r>
      <w:r>
        <w:rPr>
          <w:color w:val="auto"/>
          <w:highlight w:val="none"/>
        </w:rPr>
        <w:t>应递交施工进度网络图或施工进度表，说明按</w:t>
      </w:r>
      <w:r>
        <w:rPr>
          <w:rFonts w:hint="eastAsia"/>
          <w:color w:val="auto"/>
          <w:highlight w:val="none"/>
        </w:rPr>
        <w:t>磋商</w:t>
      </w:r>
      <w:r>
        <w:rPr>
          <w:color w:val="auto"/>
          <w:highlight w:val="none"/>
        </w:rPr>
        <w:t>文件要求的计划工期进行施工的各个关键日期。</w:t>
      </w:r>
    </w:p>
    <w:p w14:paraId="60996A03">
      <w:pPr>
        <w:spacing w:line="360" w:lineRule="auto"/>
        <w:ind w:firstLine="420" w:firstLineChars="200"/>
        <w:rPr>
          <w:color w:val="auto"/>
          <w:highlight w:val="none"/>
        </w:rPr>
        <w:sectPr>
          <w:headerReference r:id="rId21" w:type="default"/>
          <w:footerReference r:id="rId23" w:type="default"/>
          <w:headerReference r:id="rId22" w:type="even"/>
          <w:footerReference r:id="rId24" w:type="even"/>
          <w:pgSz w:w="11900" w:h="16832"/>
          <w:pgMar w:top="1440" w:right="1803" w:bottom="1440" w:left="1803" w:header="851" w:footer="851" w:gutter="0"/>
          <w:pgNumType w:fmt="decimal"/>
          <w:cols w:space="720" w:num="1"/>
          <w:docGrid w:linePitch="360" w:charSpace="0"/>
        </w:sectPr>
      </w:pPr>
      <w:bookmarkStart w:id="149" w:name="bookmark2256"/>
      <w:bookmarkEnd w:id="149"/>
      <w:r>
        <w:rPr>
          <w:color w:val="auto"/>
          <w:highlight w:val="none"/>
        </w:rPr>
        <w:t>施工进度表可采用网络图（或横道图）表示。</w:t>
      </w:r>
    </w:p>
    <w:p w14:paraId="0422F9A3">
      <w:pPr>
        <w:pStyle w:val="10"/>
        <w:rPr>
          <w:b w:val="0"/>
          <w:bCs w:val="0"/>
          <w:color w:val="auto"/>
          <w:sz w:val="28"/>
          <w:szCs w:val="28"/>
          <w:highlight w:val="none"/>
        </w:rPr>
      </w:pPr>
      <w:bookmarkStart w:id="150" w:name="bookmark2258"/>
      <w:bookmarkStart w:id="151" w:name="bookmark2259"/>
      <w:bookmarkStart w:id="152" w:name="bookmark2257"/>
      <w:r>
        <w:rPr>
          <w:rFonts w:hint="eastAsia"/>
          <w:b w:val="0"/>
          <w:bCs w:val="0"/>
          <w:color w:val="auto"/>
          <w:sz w:val="28"/>
          <w:szCs w:val="28"/>
          <w:highlight w:val="none"/>
        </w:rPr>
        <w:t>附件六：施工总平面图</w:t>
      </w:r>
      <w:bookmarkEnd w:id="150"/>
      <w:bookmarkEnd w:id="151"/>
      <w:bookmarkEnd w:id="152"/>
    </w:p>
    <w:p w14:paraId="180047D6">
      <w:pPr>
        <w:jc w:val="center"/>
        <w:rPr>
          <w:rFonts w:hint="eastAsia" w:ascii="宋体" w:hAnsi="宋体" w:cs="宋体"/>
          <w:b/>
          <w:bCs/>
          <w:color w:val="auto"/>
          <w:sz w:val="28"/>
          <w:szCs w:val="28"/>
          <w:highlight w:val="none"/>
        </w:rPr>
      </w:pPr>
      <w:bookmarkStart w:id="153" w:name="_Toc768"/>
      <w:bookmarkStart w:id="154" w:name="bookmark2260"/>
      <w:bookmarkStart w:id="155" w:name="bookmark2262"/>
      <w:bookmarkStart w:id="156" w:name="_Toc30163"/>
      <w:bookmarkStart w:id="157" w:name="bookmark2261"/>
    </w:p>
    <w:p w14:paraId="4D9E5BBB">
      <w:pPr>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施工总平面图</w:t>
      </w:r>
      <w:bookmarkEnd w:id="153"/>
      <w:bookmarkEnd w:id="154"/>
      <w:bookmarkEnd w:id="155"/>
      <w:bookmarkEnd w:id="156"/>
      <w:bookmarkEnd w:id="157"/>
    </w:p>
    <w:p w14:paraId="22F91805">
      <w:pPr>
        <w:jc w:val="center"/>
        <w:rPr>
          <w:b/>
          <w:color w:val="auto"/>
          <w:highlight w:val="none"/>
        </w:rPr>
      </w:pPr>
    </w:p>
    <w:p w14:paraId="414ABDE2">
      <w:pPr>
        <w:pStyle w:val="93"/>
        <w:ind w:firstLine="420"/>
        <w:rPr>
          <w:color w:val="auto"/>
          <w:highlight w:val="none"/>
        </w:rPr>
      </w:pPr>
      <w:r>
        <w:rPr>
          <w:rFonts w:hint="eastAsia"/>
          <w:color w:val="auto"/>
          <w:highlight w:val="none"/>
        </w:rPr>
        <w:t>供应商</w:t>
      </w:r>
      <w:r>
        <w:rPr>
          <w:color w:val="auto"/>
          <w:highlight w:val="none"/>
        </w:rPr>
        <w:t>应递交一份施工总平面图，绘出现场临时设施布置图及表并附文字说明，说明临时设施、加工车间、现场办公、设备及仓储、供电、供水、卫生、生活、道路、消防等设施的情况和布置。</w:t>
      </w:r>
    </w:p>
    <w:p w14:paraId="7853968B">
      <w:pPr>
        <w:adjustRightInd w:val="0"/>
        <w:snapToGrid w:val="0"/>
        <w:spacing w:line="360" w:lineRule="auto"/>
        <w:jc w:val="center"/>
        <w:rPr>
          <w:rFonts w:hint="eastAsia" w:ascii="宋体" w:hAnsi="宋体"/>
          <w:b/>
          <w:color w:val="auto"/>
          <w:sz w:val="32"/>
          <w:szCs w:val="32"/>
          <w:highlight w:val="none"/>
        </w:rPr>
      </w:pPr>
      <w:r>
        <w:rPr>
          <w:rFonts w:hint="eastAsia"/>
          <w:color w:val="auto"/>
          <w:highlight w:val="none"/>
        </w:rPr>
        <w:t>其他平面图由供应商根据需要制作。</w:t>
      </w:r>
      <w:r>
        <w:rPr>
          <w:color w:val="auto"/>
          <w:highlight w:val="none"/>
        </w:rPr>
        <w:br w:type="page"/>
      </w:r>
      <w:r>
        <w:rPr>
          <w:rFonts w:hint="eastAsia" w:ascii="宋体" w:hAnsi="宋体" w:cs="方正小标宋简体"/>
          <w:b/>
          <w:bCs/>
          <w:color w:val="auto"/>
          <w:sz w:val="32"/>
          <w:szCs w:val="32"/>
          <w:highlight w:val="none"/>
        </w:rPr>
        <w:t>项目管理机构配备情况表及主要人员简历表</w:t>
      </w:r>
    </w:p>
    <w:p w14:paraId="560761A2">
      <w:pPr>
        <w:snapToGrid w:val="0"/>
        <w:spacing w:before="156" w:beforeLines="50" w:after="50" w:line="360" w:lineRule="auto"/>
        <w:jc w:val="center"/>
        <w:rPr>
          <w:rFonts w:hint="eastAsia" w:ascii="宋体" w:hAnsi="宋体"/>
          <w:b/>
          <w:color w:val="auto"/>
          <w:sz w:val="28"/>
          <w:szCs w:val="28"/>
          <w:highlight w:val="none"/>
        </w:rPr>
      </w:pPr>
      <w:r>
        <w:rPr>
          <w:rFonts w:hint="eastAsia" w:ascii="宋体" w:hAnsi="宋体"/>
          <w:b/>
          <w:color w:val="auto"/>
          <w:sz w:val="28"/>
          <w:szCs w:val="28"/>
          <w:highlight w:val="none"/>
        </w:rPr>
        <w:t>（一）项目管理机构配备情况表</w:t>
      </w:r>
    </w:p>
    <w:p w14:paraId="24C48560">
      <w:pPr>
        <w:pStyle w:val="25"/>
        <w:spacing w:line="360" w:lineRule="auto"/>
        <w:contextualSpacing/>
        <w:rPr>
          <w:rFonts w:hint="eastAsia"/>
          <w:color w:val="auto"/>
          <w:sz w:val="24"/>
          <w:szCs w:val="24"/>
          <w:highlight w:val="none"/>
        </w:rPr>
      </w:pPr>
      <w:r>
        <w:rPr>
          <w:rFonts w:hint="eastAsia" w:hAnsi="宋体" w:cs="仿宋_GB2312"/>
          <w:color w:val="auto"/>
          <w:sz w:val="24"/>
          <w:highlight w:val="none"/>
        </w:rPr>
        <w:t>分标（如有）</w:t>
      </w:r>
      <w:r>
        <w:rPr>
          <w:rFonts w:hint="eastAsia"/>
          <w:color w:val="auto"/>
          <w:sz w:val="24"/>
          <w:szCs w:val="24"/>
          <w:highlight w:val="none"/>
        </w:rPr>
        <w:t>：</w:t>
      </w:r>
      <w:r>
        <w:rPr>
          <w:rFonts w:hint="eastAsia"/>
          <w:color w:val="auto"/>
          <w:sz w:val="24"/>
          <w:szCs w:val="24"/>
          <w:highlight w:val="none"/>
          <w:u w:val="single"/>
        </w:rPr>
        <w:t xml:space="preserve">         </w:t>
      </w:r>
    </w:p>
    <w:tbl>
      <w:tblPr>
        <w:tblStyle w:val="43"/>
        <w:tblW w:w="9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14:paraId="5F858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noWrap w:val="0"/>
            <w:vAlign w:val="center"/>
          </w:tcPr>
          <w:p w14:paraId="3405119F">
            <w:pPr>
              <w:ind w:left="223" w:hanging="222" w:hangingChars="106"/>
              <w:jc w:val="center"/>
              <w:rPr>
                <w:color w:val="auto"/>
                <w:highlight w:val="none"/>
              </w:rPr>
            </w:pPr>
            <w:r>
              <w:rPr>
                <w:color w:val="auto"/>
                <w:highlight w:val="none"/>
              </w:rPr>
              <w:t>岗位</w:t>
            </w:r>
          </w:p>
        </w:tc>
        <w:tc>
          <w:tcPr>
            <w:tcW w:w="670" w:type="dxa"/>
            <w:vMerge w:val="restart"/>
            <w:noWrap w:val="0"/>
            <w:vAlign w:val="center"/>
          </w:tcPr>
          <w:p w14:paraId="0FF4BF10">
            <w:pPr>
              <w:ind w:left="223" w:hanging="222" w:hangingChars="106"/>
              <w:jc w:val="center"/>
              <w:rPr>
                <w:color w:val="auto"/>
                <w:highlight w:val="none"/>
              </w:rPr>
            </w:pPr>
            <w:r>
              <w:rPr>
                <w:color w:val="auto"/>
                <w:highlight w:val="none"/>
              </w:rPr>
              <w:t>姓名</w:t>
            </w:r>
          </w:p>
        </w:tc>
        <w:tc>
          <w:tcPr>
            <w:tcW w:w="829" w:type="dxa"/>
            <w:vMerge w:val="restart"/>
            <w:noWrap w:val="0"/>
            <w:vAlign w:val="center"/>
          </w:tcPr>
          <w:p w14:paraId="32F804D9">
            <w:pPr>
              <w:jc w:val="center"/>
              <w:rPr>
                <w:color w:val="auto"/>
                <w:highlight w:val="none"/>
              </w:rPr>
            </w:pPr>
            <w:r>
              <w:rPr>
                <w:color w:val="auto"/>
                <w:highlight w:val="none"/>
              </w:rPr>
              <w:t>身份证号</w:t>
            </w:r>
          </w:p>
        </w:tc>
        <w:tc>
          <w:tcPr>
            <w:tcW w:w="816" w:type="dxa"/>
            <w:vMerge w:val="restart"/>
            <w:noWrap w:val="0"/>
            <w:vAlign w:val="center"/>
          </w:tcPr>
          <w:p w14:paraId="152294EB">
            <w:pPr>
              <w:ind w:left="223" w:hanging="222" w:hangingChars="106"/>
              <w:jc w:val="center"/>
              <w:rPr>
                <w:color w:val="auto"/>
                <w:highlight w:val="none"/>
              </w:rPr>
            </w:pPr>
            <w:r>
              <w:rPr>
                <w:color w:val="auto"/>
                <w:highlight w:val="none"/>
              </w:rPr>
              <w:t>职称</w:t>
            </w:r>
          </w:p>
        </w:tc>
        <w:tc>
          <w:tcPr>
            <w:tcW w:w="4188" w:type="dxa"/>
            <w:gridSpan w:val="4"/>
            <w:noWrap w:val="0"/>
            <w:vAlign w:val="center"/>
          </w:tcPr>
          <w:p w14:paraId="1939347A">
            <w:pPr>
              <w:ind w:left="223" w:hanging="222" w:hangingChars="106"/>
              <w:jc w:val="center"/>
              <w:rPr>
                <w:color w:val="auto"/>
                <w:highlight w:val="none"/>
              </w:rPr>
            </w:pPr>
            <w:r>
              <w:rPr>
                <w:color w:val="auto"/>
                <w:highlight w:val="none"/>
              </w:rPr>
              <w:t>执业或职业资格</w:t>
            </w:r>
          </w:p>
        </w:tc>
        <w:tc>
          <w:tcPr>
            <w:tcW w:w="2443" w:type="dxa"/>
            <w:gridSpan w:val="2"/>
            <w:noWrap w:val="0"/>
            <w:vAlign w:val="center"/>
          </w:tcPr>
          <w:p w14:paraId="09BB8C8C">
            <w:pPr>
              <w:jc w:val="left"/>
              <w:rPr>
                <w:color w:val="auto"/>
                <w:highlight w:val="none"/>
              </w:rPr>
            </w:pPr>
            <w:r>
              <w:rPr>
                <w:color w:val="auto"/>
                <w:highlight w:val="none"/>
              </w:rPr>
              <w:t>承担完工</w:t>
            </w:r>
            <w:r>
              <w:rPr>
                <w:rFonts w:hint="eastAsia"/>
                <w:color w:val="auto"/>
                <w:highlight w:val="none"/>
              </w:rPr>
              <w:t>、</w:t>
            </w:r>
            <w:r>
              <w:rPr>
                <w:color w:val="auto"/>
                <w:highlight w:val="none"/>
              </w:rPr>
              <w:t>在建工程情况</w:t>
            </w:r>
          </w:p>
        </w:tc>
      </w:tr>
      <w:tr w14:paraId="65924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noWrap w:val="0"/>
            <w:vAlign w:val="center"/>
          </w:tcPr>
          <w:p w14:paraId="03258401">
            <w:pPr>
              <w:ind w:left="223" w:hanging="222" w:hangingChars="106"/>
              <w:jc w:val="center"/>
              <w:rPr>
                <w:color w:val="auto"/>
                <w:highlight w:val="none"/>
              </w:rPr>
            </w:pPr>
          </w:p>
        </w:tc>
        <w:tc>
          <w:tcPr>
            <w:tcW w:w="670" w:type="dxa"/>
            <w:vMerge w:val="continue"/>
            <w:noWrap w:val="0"/>
            <w:vAlign w:val="center"/>
          </w:tcPr>
          <w:p w14:paraId="3BFD6E75">
            <w:pPr>
              <w:ind w:left="223" w:hanging="222" w:hangingChars="106"/>
              <w:jc w:val="center"/>
              <w:rPr>
                <w:color w:val="auto"/>
                <w:highlight w:val="none"/>
              </w:rPr>
            </w:pPr>
          </w:p>
        </w:tc>
        <w:tc>
          <w:tcPr>
            <w:tcW w:w="829" w:type="dxa"/>
            <w:vMerge w:val="continue"/>
            <w:noWrap w:val="0"/>
            <w:vAlign w:val="center"/>
          </w:tcPr>
          <w:p w14:paraId="66AE7E90">
            <w:pPr>
              <w:ind w:left="223" w:hanging="222" w:hangingChars="106"/>
              <w:jc w:val="center"/>
              <w:rPr>
                <w:color w:val="auto"/>
                <w:highlight w:val="none"/>
              </w:rPr>
            </w:pPr>
          </w:p>
        </w:tc>
        <w:tc>
          <w:tcPr>
            <w:tcW w:w="816" w:type="dxa"/>
            <w:vMerge w:val="continue"/>
            <w:noWrap w:val="0"/>
            <w:vAlign w:val="center"/>
          </w:tcPr>
          <w:p w14:paraId="7FEB0A2D">
            <w:pPr>
              <w:ind w:left="223" w:hanging="222" w:hangingChars="106"/>
              <w:jc w:val="center"/>
              <w:rPr>
                <w:color w:val="auto"/>
                <w:highlight w:val="none"/>
              </w:rPr>
            </w:pPr>
          </w:p>
        </w:tc>
        <w:tc>
          <w:tcPr>
            <w:tcW w:w="1148" w:type="dxa"/>
            <w:noWrap w:val="0"/>
            <w:vAlign w:val="center"/>
          </w:tcPr>
          <w:p w14:paraId="17E4C1D0">
            <w:pPr>
              <w:ind w:left="223" w:hanging="222" w:hangingChars="106"/>
              <w:jc w:val="center"/>
              <w:rPr>
                <w:color w:val="auto"/>
                <w:highlight w:val="none"/>
              </w:rPr>
            </w:pPr>
            <w:r>
              <w:rPr>
                <w:color w:val="auto"/>
                <w:highlight w:val="none"/>
              </w:rPr>
              <w:t>证书名称</w:t>
            </w:r>
          </w:p>
        </w:tc>
        <w:tc>
          <w:tcPr>
            <w:tcW w:w="1148" w:type="dxa"/>
            <w:noWrap w:val="0"/>
            <w:vAlign w:val="center"/>
          </w:tcPr>
          <w:p w14:paraId="06B5B3E5">
            <w:pPr>
              <w:ind w:left="223" w:hanging="222" w:hangingChars="106"/>
              <w:jc w:val="center"/>
              <w:rPr>
                <w:color w:val="auto"/>
                <w:highlight w:val="none"/>
              </w:rPr>
            </w:pPr>
            <w:r>
              <w:rPr>
                <w:color w:val="auto"/>
                <w:highlight w:val="none"/>
              </w:rPr>
              <w:t>级别</w:t>
            </w:r>
          </w:p>
        </w:tc>
        <w:tc>
          <w:tcPr>
            <w:tcW w:w="1148" w:type="dxa"/>
            <w:noWrap w:val="0"/>
            <w:vAlign w:val="center"/>
          </w:tcPr>
          <w:p w14:paraId="5220F340">
            <w:pPr>
              <w:ind w:left="223" w:hanging="222" w:hangingChars="106"/>
              <w:jc w:val="center"/>
              <w:rPr>
                <w:color w:val="auto"/>
                <w:highlight w:val="none"/>
              </w:rPr>
            </w:pPr>
            <w:r>
              <w:rPr>
                <w:color w:val="auto"/>
                <w:highlight w:val="none"/>
              </w:rPr>
              <w:t>证号</w:t>
            </w:r>
          </w:p>
        </w:tc>
        <w:tc>
          <w:tcPr>
            <w:tcW w:w="744" w:type="dxa"/>
            <w:noWrap w:val="0"/>
            <w:vAlign w:val="center"/>
          </w:tcPr>
          <w:p w14:paraId="4A288367">
            <w:pPr>
              <w:ind w:left="223" w:hanging="222" w:hangingChars="106"/>
              <w:jc w:val="center"/>
              <w:rPr>
                <w:color w:val="auto"/>
                <w:highlight w:val="none"/>
              </w:rPr>
            </w:pPr>
            <w:r>
              <w:rPr>
                <w:color w:val="auto"/>
                <w:highlight w:val="none"/>
              </w:rPr>
              <w:t>专业</w:t>
            </w:r>
          </w:p>
        </w:tc>
        <w:tc>
          <w:tcPr>
            <w:tcW w:w="1167" w:type="dxa"/>
            <w:noWrap w:val="0"/>
            <w:vAlign w:val="center"/>
          </w:tcPr>
          <w:p w14:paraId="26565524">
            <w:pPr>
              <w:jc w:val="center"/>
              <w:rPr>
                <w:color w:val="auto"/>
                <w:highlight w:val="none"/>
              </w:rPr>
            </w:pPr>
            <w:r>
              <w:rPr>
                <w:rFonts w:hint="eastAsia"/>
                <w:color w:val="auto"/>
                <w:highlight w:val="none"/>
              </w:rPr>
              <w:t>完工/在建</w:t>
            </w:r>
          </w:p>
        </w:tc>
        <w:tc>
          <w:tcPr>
            <w:tcW w:w="1276" w:type="dxa"/>
            <w:noWrap w:val="0"/>
            <w:vAlign w:val="center"/>
          </w:tcPr>
          <w:p w14:paraId="037051EF">
            <w:pPr>
              <w:jc w:val="center"/>
              <w:rPr>
                <w:color w:val="auto"/>
                <w:highlight w:val="none"/>
              </w:rPr>
            </w:pPr>
            <w:r>
              <w:rPr>
                <w:color w:val="auto"/>
                <w:highlight w:val="none"/>
              </w:rPr>
              <w:t>主要项目</w:t>
            </w:r>
          </w:p>
          <w:p w14:paraId="5D47FBAF">
            <w:pPr>
              <w:jc w:val="center"/>
              <w:rPr>
                <w:color w:val="auto"/>
                <w:highlight w:val="none"/>
              </w:rPr>
            </w:pPr>
            <w:r>
              <w:rPr>
                <w:color w:val="auto"/>
                <w:highlight w:val="none"/>
              </w:rPr>
              <w:t>名称</w:t>
            </w:r>
          </w:p>
        </w:tc>
      </w:tr>
      <w:tr w14:paraId="465BF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670C7F86">
            <w:pPr>
              <w:pStyle w:val="168"/>
              <w:spacing w:line="240" w:lineRule="auto"/>
              <w:ind w:firstLine="0"/>
              <w:rPr>
                <w:color w:val="auto"/>
                <w:sz w:val="21"/>
                <w:szCs w:val="21"/>
                <w:highlight w:val="none"/>
              </w:rPr>
            </w:pPr>
            <w:r>
              <w:rPr>
                <w:rFonts w:ascii="Times New Roman" w:hAnsi="Times New Roman" w:eastAsia="Times New Roman" w:cs="Times New Roman"/>
                <w:color w:val="auto"/>
                <w:sz w:val="21"/>
                <w:szCs w:val="21"/>
                <w:highlight w:val="none"/>
                <w:lang w:val="en-US" w:eastAsia="en-US" w:bidi="en-US"/>
              </w:rPr>
              <w:t>1.</w:t>
            </w:r>
            <w:r>
              <w:rPr>
                <w:color w:val="auto"/>
                <w:sz w:val="21"/>
                <w:szCs w:val="21"/>
                <w:highlight w:val="none"/>
              </w:rPr>
              <w:t>项目经理</w:t>
            </w:r>
          </w:p>
        </w:tc>
        <w:tc>
          <w:tcPr>
            <w:tcW w:w="670" w:type="dxa"/>
            <w:noWrap w:val="0"/>
            <w:vAlign w:val="center"/>
          </w:tcPr>
          <w:p w14:paraId="7F060181">
            <w:pPr>
              <w:ind w:left="223" w:hanging="222" w:hangingChars="106"/>
              <w:jc w:val="center"/>
              <w:rPr>
                <w:color w:val="auto"/>
                <w:szCs w:val="21"/>
                <w:highlight w:val="none"/>
              </w:rPr>
            </w:pPr>
          </w:p>
        </w:tc>
        <w:tc>
          <w:tcPr>
            <w:tcW w:w="829" w:type="dxa"/>
            <w:noWrap w:val="0"/>
            <w:vAlign w:val="center"/>
          </w:tcPr>
          <w:p w14:paraId="76826335">
            <w:pPr>
              <w:ind w:left="223" w:hanging="222" w:hangingChars="106"/>
              <w:jc w:val="center"/>
              <w:rPr>
                <w:color w:val="auto"/>
                <w:szCs w:val="21"/>
                <w:highlight w:val="none"/>
              </w:rPr>
            </w:pPr>
          </w:p>
        </w:tc>
        <w:tc>
          <w:tcPr>
            <w:tcW w:w="816" w:type="dxa"/>
            <w:noWrap w:val="0"/>
            <w:vAlign w:val="center"/>
          </w:tcPr>
          <w:p w14:paraId="0F20FE92">
            <w:pPr>
              <w:ind w:left="223" w:hanging="222" w:hangingChars="106"/>
              <w:jc w:val="center"/>
              <w:rPr>
                <w:color w:val="auto"/>
                <w:szCs w:val="21"/>
                <w:highlight w:val="none"/>
              </w:rPr>
            </w:pPr>
          </w:p>
        </w:tc>
        <w:tc>
          <w:tcPr>
            <w:tcW w:w="1148" w:type="dxa"/>
            <w:noWrap w:val="0"/>
            <w:vAlign w:val="center"/>
          </w:tcPr>
          <w:p w14:paraId="2FA6EC62">
            <w:pPr>
              <w:ind w:left="223" w:hanging="222" w:hangingChars="106"/>
              <w:jc w:val="center"/>
              <w:rPr>
                <w:color w:val="auto"/>
                <w:szCs w:val="21"/>
                <w:highlight w:val="none"/>
              </w:rPr>
            </w:pPr>
          </w:p>
        </w:tc>
        <w:tc>
          <w:tcPr>
            <w:tcW w:w="1148" w:type="dxa"/>
            <w:noWrap w:val="0"/>
            <w:vAlign w:val="center"/>
          </w:tcPr>
          <w:p w14:paraId="25C36B40">
            <w:pPr>
              <w:ind w:left="223" w:hanging="222" w:hangingChars="106"/>
              <w:jc w:val="center"/>
              <w:rPr>
                <w:color w:val="auto"/>
                <w:szCs w:val="21"/>
                <w:highlight w:val="none"/>
              </w:rPr>
            </w:pPr>
          </w:p>
        </w:tc>
        <w:tc>
          <w:tcPr>
            <w:tcW w:w="1148" w:type="dxa"/>
            <w:noWrap w:val="0"/>
            <w:vAlign w:val="center"/>
          </w:tcPr>
          <w:p w14:paraId="2B34F819">
            <w:pPr>
              <w:ind w:left="223" w:hanging="222" w:hangingChars="106"/>
              <w:jc w:val="center"/>
              <w:rPr>
                <w:color w:val="auto"/>
                <w:szCs w:val="21"/>
                <w:highlight w:val="none"/>
              </w:rPr>
            </w:pPr>
          </w:p>
        </w:tc>
        <w:tc>
          <w:tcPr>
            <w:tcW w:w="744" w:type="dxa"/>
            <w:noWrap w:val="0"/>
            <w:vAlign w:val="center"/>
          </w:tcPr>
          <w:p w14:paraId="670322EB">
            <w:pPr>
              <w:ind w:left="223" w:hanging="222" w:hangingChars="106"/>
              <w:jc w:val="center"/>
              <w:rPr>
                <w:color w:val="auto"/>
                <w:szCs w:val="21"/>
                <w:highlight w:val="none"/>
              </w:rPr>
            </w:pPr>
          </w:p>
        </w:tc>
        <w:tc>
          <w:tcPr>
            <w:tcW w:w="1167" w:type="dxa"/>
            <w:noWrap w:val="0"/>
            <w:vAlign w:val="center"/>
          </w:tcPr>
          <w:p w14:paraId="0EC1A246">
            <w:pPr>
              <w:ind w:left="223" w:hanging="222" w:hangingChars="106"/>
              <w:jc w:val="center"/>
              <w:rPr>
                <w:color w:val="auto"/>
                <w:szCs w:val="21"/>
                <w:highlight w:val="none"/>
              </w:rPr>
            </w:pPr>
          </w:p>
        </w:tc>
        <w:tc>
          <w:tcPr>
            <w:tcW w:w="1276" w:type="dxa"/>
            <w:noWrap w:val="0"/>
            <w:vAlign w:val="center"/>
          </w:tcPr>
          <w:p w14:paraId="1D2D559A">
            <w:pPr>
              <w:ind w:left="223" w:hanging="222" w:hangingChars="106"/>
              <w:jc w:val="center"/>
              <w:rPr>
                <w:color w:val="auto"/>
                <w:szCs w:val="21"/>
                <w:highlight w:val="none"/>
              </w:rPr>
            </w:pPr>
          </w:p>
        </w:tc>
      </w:tr>
      <w:tr w14:paraId="023C1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6A1495A6">
            <w:pPr>
              <w:pStyle w:val="168"/>
              <w:spacing w:line="240" w:lineRule="auto"/>
              <w:ind w:firstLine="0"/>
              <w:rPr>
                <w:color w:val="auto"/>
                <w:sz w:val="21"/>
                <w:szCs w:val="21"/>
                <w:highlight w:val="none"/>
              </w:rPr>
            </w:pPr>
            <w:r>
              <w:rPr>
                <w:rFonts w:ascii="Times New Roman" w:hAnsi="Times New Roman" w:eastAsia="Times New Roman" w:cs="Times New Roman"/>
                <w:color w:val="auto"/>
                <w:sz w:val="21"/>
                <w:szCs w:val="21"/>
                <w:highlight w:val="none"/>
                <w:lang w:val="en-US" w:bidi="en-US"/>
              </w:rPr>
              <w:t>2.</w:t>
            </w:r>
            <w:r>
              <w:rPr>
                <w:color w:val="auto"/>
                <w:sz w:val="21"/>
                <w:szCs w:val="21"/>
                <w:highlight w:val="none"/>
              </w:rPr>
              <w:t>技术负责人</w:t>
            </w:r>
            <w:r>
              <w:rPr>
                <w:rFonts w:hint="eastAsia"/>
                <w:color w:val="auto"/>
                <w:sz w:val="21"/>
                <w:szCs w:val="21"/>
                <w:highlight w:val="none"/>
              </w:rPr>
              <w:t>（项目总工）</w:t>
            </w:r>
          </w:p>
        </w:tc>
        <w:tc>
          <w:tcPr>
            <w:tcW w:w="670" w:type="dxa"/>
            <w:noWrap w:val="0"/>
            <w:vAlign w:val="center"/>
          </w:tcPr>
          <w:p w14:paraId="7722BE0A">
            <w:pPr>
              <w:ind w:left="223" w:hanging="222" w:hangingChars="106"/>
              <w:jc w:val="center"/>
              <w:rPr>
                <w:color w:val="auto"/>
                <w:szCs w:val="21"/>
                <w:highlight w:val="none"/>
              </w:rPr>
            </w:pPr>
          </w:p>
        </w:tc>
        <w:tc>
          <w:tcPr>
            <w:tcW w:w="829" w:type="dxa"/>
            <w:noWrap w:val="0"/>
            <w:vAlign w:val="center"/>
          </w:tcPr>
          <w:p w14:paraId="008516F5">
            <w:pPr>
              <w:ind w:left="223" w:hanging="222" w:hangingChars="106"/>
              <w:jc w:val="center"/>
              <w:rPr>
                <w:color w:val="auto"/>
                <w:szCs w:val="21"/>
                <w:highlight w:val="none"/>
              </w:rPr>
            </w:pPr>
          </w:p>
        </w:tc>
        <w:tc>
          <w:tcPr>
            <w:tcW w:w="816" w:type="dxa"/>
            <w:noWrap w:val="0"/>
            <w:vAlign w:val="center"/>
          </w:tcPr>
          <w:p w14:paraId="7E8D1768">
            <w:pPr>
              <w:ind w:left="223" w:hanging="222" w:hangingChars="106"/>
              <w:jc w:val="center"/>
              <w:rPr>
                <w:color w:val="auto"/>
                <w:szCs w:val="21"/>
                <w:highlight w:val="none"/>
              </w:rPr>
            </w:pPr>
          </w:p>
        </w:tc>
        <w:tc>
          <w:tcPr>
            <w:tcW w:w="1148" w:type="dxa"/>
            <w:noWrap w:val="0"/>
            <w:vAlign w:val="center"/>
          </w:tcPr>
          <w:p w14:paraId="35A52040">
            <w:pPr>
              <w:ind w:left="223" w:hanging="222" w:hangingChars="106"/>
              <w:jc w:val="center"/>
              <w:rPr>
                <w:color w:val="auto"/>
                <w:szCs w:val="21"/>
                <w:highlight w:val="none"/>
              </w:rPr>
            </w:pPr>
          </w:p>
        </w:tc>
        <w:tc>
          <w:tcPr>
            <w:tcW w:w="1148" w:type="dxa"/>
            <w:noWrap w:val="0"/>
            <w:vAlign w:val="center"/>
          </w:tcPr>
          <w:p w14:paraId="799C16C4">
            <w:pPr>
              <w:ind w:left="223" w:hanging="222" w:hangingChars="106"/>
              <w:jc w:val="center"/>
              <w:rPr>
                <w:color w:val="auto"/>
                <w:szCs w:val="21"/>
                <w:highlight w:val="none"/>
              </w:rPr>
            </w:pPr>
          </w:p>
        </w:tc>
        <w:tc>
          <w:tcPr>
            <w:tcW w:w="1148" w:type="dxa"/>
            <w:noWrap w:val="0"/>
            <w:vAlign w:val="center"/>
          </w:tcPr>
          <w:p w14:paraId="11D5CA78">
            <w:pPr>
              <w:ind w:left="223" w:hanging="222" w:hangingChars="106"/>
              <w:jc w:val="center"/>
              <w:rPr>
                <w:color w:val="auto"/>
                <w:szCs w:val="21"/>
                <w:highlight w:val="none"/>
              </w:rPr>
            </w:pPr>
          </w:p>
        </w:tc>
        <w:tc>
          <w:tcPr>
            <w:tcW w:w="744" w:type="dxa"/>
            <w:noWrap w:val="0"/>
            <w:vAlign w:val="center"/>
          </w:tcPr>
          <w:p w14:paraId="57246FF6">
            <w:pPr>
              <w:ind w:left="223" w:hanging="222" w:hangingChars="106"/>
              <w:jc w:val="center"/>
              <w:rPr>
                <w:color w:val="auto"/>
                <w:szCs w:val="21"/>
                <w:highlight w:val="none"/>
              </w:rPr>
            </w:pPr>
          </w:p>
        </w:tc>
        <w:tc>
          <w:tcPr>
            <w:tcW w:w="1167" w:type="dxa"/>
            <w:noWrap w:val="0"/>
            <w:vAlign w:val="center"/>
          </w:tcPr>
          <w:p w14:paraId="24A719FE">
            <w:pPr>
              <w:ind w:left="223" w:hanging="222" w:hangingChars="106"/>
              <w:jc w:val="center"/>
              <w:rPr>
                <w:color w:val="auto"/>
                <w:szCs w:val="21"/>
                <w:highlight w:val="none"/>
              </w:rPr>
            </w:pPr>
          </w:p>
        </w:tc>
        <w:tc>
          <w:tcPr>
            <w:tcW w:w="1276" w:type="dxa"/>
            <w:noWrap w:val="0"/>
            <w:vAlign w:val="center"/>
          </w:tcPr>
          <w:p w14:paraId="3B681A6E">
            <w:pPr>
              <w:ind w:left="223" w:hanging="222" w:hangingChars="106"/>
              <w:jc w:val="center"/>
              <w:rPr>
                <w:color w:val="auto"/>
                <w:szCs w:val="21"/>
                <w:highlight w:val="none"/>
              </w:rPr>
            </w:pPr>
          </w:p>
        </w:tc>
      </w:tr>
      <w:tr w14:paraId="1F4D9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48747F06">
            <w:pPr>
              <w:pStyle w:val="168"/>
              <w:spacing w:line="240" w:lineRule="auto"/>
              <w:ind w:firstLine="0"/>
              <w:rPr>
                <w:color w:val="auto"/>
                <w:sz w:val="21"/>
                <w:szCs w:val="21"/>
                <w:highlight w:val="none"/>
              </w:rPr>
            </w:pPr>
            <w:r>
              <w:rPr>
                <w:rFonts w:ascii="Times New Roman" w:hAnsi="Times New Roman" w:eastAsia="Times New Roman" w:cs="Times New Roman"/>
                <w:color w:val="auto"/>
                <w:sz w:val="21"/>
                <w:szCs w:val="21"/>
                <w:highlight w:val="none"/>
                <w:lang w:val="en-US" w:eastAsia="en-US" w:bidi="en-US"/>
              </w:rPr>
              <w:t>3.</w:t>
            </w:r>
            <w:r>
              <w:rPr>
                <w:rFonts w:hint="eastAsia"/>
                <w:color w:val="auto"/>
                <w:sz w:val="21"/>
                <w:szCs w:val="21"/>
                <w:highlight w:val="none"/>
              </w:rPr>
              <w:t xml:space="preserve"> 施工员</w:t>
            </w:r>
          </w:p>
        </w:tc>
        <w:tc>
          <w:tcPr>
            <w:tcW w:w="670" w:type="dxa"/>
            <w:noWrap w:val="0"/>
            <w:vAlign w:val="center"/>
          </w:tcPr>
          <w:p w14:paraId="78A75593">
            <w:pPr>
              <w:ind w:left="223" w:hanging="222" w:hangingChars="106"/>
              <w:jc w:val="center"/>
              <w:rPr>
                <w:color w:val="auto"/>
                <w:szCs w:val="21"/>
                <w:highlight w:val="none"/>
              </w:rPr>
            </w:pPr>
          </w:p>
        </w:tc>
        <w:tc>
          <w:tcPr>
            <w:tcW w:w="829" w:type="dxa"/>
            <w:noWrap w:val="0"/>
            <w:vAlign w:val="center"/>
          </w:tcPr>
          <w:p w14:paraId="3B6412A0">
            <w:pPr>
              <w:ind w:left="223" w:hanging="222" w:hangingChars="106"/>
              <w:jc w:val="center"/>
              <w:rPr>
                <w:color w:val="auto"/>
                <w:szCs w:val="21"/>
                <w:highlight w:val="none"/>
              </w:rPr>
            </w:pPr>
          </w:p>
        </w:tc>
        <w:tc>
          <w:tcPr>
            <w:tcW w:w="816" w:type="dxa"/>
            <w:noWrap w:val="0"/>
            <w:vAlign w:val="center"/>
          </w:tcPr>
          <w:p w14:paraId="21F76E1F">
            <w:pPr>
              <w:ind w:left="223" w:hanging="222" w:hangingChars="106"/>
              <w:jc w:val="center"/>
              <w:rPr>
                <w:color w:val="auto"/>
                <w:szCs w:val="21"/>
                <w:highlight w:val="none"/>
              </w:rPr>
            </w:pPr>
          </w:p>
        </w:tc>
        <w:tc>
          <w:tcPr>
            <w:tcW w:w="1148" w:type="dxa"/>
            <w:noWrap w:val="0"/>
            <w:vAlign w:val="center"/>
          </w:tcPr>
          <w:p w14:paraId="0FD185B2">
            <w:pPr>
              <w:ind w:left="223" w:hanging="222" w:hangingChars="106"/>
              <w:jc w:val="center"/>
              <w:rPr>
                <w:color w:val="auto"/>
                <w:szCs w:val="21"/>
                <w:highlight w:val="none"/>
              </w:rPr>
            </w:pPr>
          </w:p>
        </w:tc>
        <w:tc>
          <w:tcPr>
            <w:tcW w:w="1148" w:type="dxa"/>
            <w:noWrap w:val="0"/>
            <w:vAlign w:val="center"/>
          </w:tcPr>
          <w:p w14:paraId="0CF63370">
            <w:pPr>
              <w:ind w:left="223" w:hanging="222" w:hangingChars="106"/>
              <w:jc w:val="center"/>
              <w:rPr>
                <w:color w:val="auto"/>
                <w:szCs w:val="21"/>
                <w:highlight w:val="none"/>
              </w:rPr>
            </w:pPr>
          </w:p>
        </w:tc>
        <w:tc>
          <w:tcPr>
            <w:tcW w:w="1148" w:type="dxa"/>
            <w:noWrap w:val="0"/>
            <w:vAlign w:val="center"/>
          </w:tcPr>
          <w:p w14:paraId="1556CB8B">
            <w:pPr>
              <w:ind w:left="223" w:hanging="222" w:hangingChars="106"/>
              <w:jc w:val="center"/>
              <w:rPr>
                <w:color w:val="auto"/>
                <w:szCs w:val="21"/>
                <w:highlight w:val="none"/>
              </w:rPr>
            </w:pPr>
          </w:p>
        </w:tc>
        <w:tc>
          <w:tcPr>
            <w:tcW w:w="744" w:type="dxa"/>
            <w:noWrap w:val="0"/>
            <w:vAlign w:val="center"/>
          </w:tcPr>
          <w:p w14:paraId="33649A14">
            <w:pPr>
              <w:ind w:left="223" w:hanging="222" w:hangingChars="106"/>
              <w:jc w:val="center"/>
              <w:rPr>
                <w:color w:val="auto"/>
                <w:szCs w:val="21"/>
                <w:highlight w:val="none"/>
              </w:rPr>
            </w:pPr>
          </w:p>
        </w:tc>
        <w:tc>
          <w:tcPr>
            <w:tcW w:w="1167" w:type="dxa"/>
            <w:noWrap w:val="0"/>
            <w:vAlign w:val="center"/>
          </w:tcPr>
          <w:p w14:paraId="3A17881E">
            <w:pPr>
              <w:ind w:left="223" w:hanging="222" w:hangingChars="106"/>
              <w:jc w:val="center"/>
              <w:rPr>
                <w:color w:val="auto"/>
                <w:szCs w:val="21"/>
                <w:highlight w:val="none"/>
              </w:rPr>
            </w:pPr>
          </w:p>
        </w:tc>
        <w:tc>
          <w:tcPr>
            <w:tcW w:w="1276" w:type="dxa"/>
            <w:noWrap w:val="0"/>
            <w:vAlign w:val="center"/>
          </w:tcPr>
          <w:p w14:paraId="61AE5831">
            <w:pPr>
              <w:ind w:left="223" w:hanging="222" w:hangingChars="106"/>
              <w:jc w:val="center"/>
              <w:rPr>
                <w:color w:val="auto"/>
                <w:szCs w:val="21"/>
                <w:highlight w:val="none"/>
              </w:rPr>
            </w:pPr>
          </w:p>
        </w:tc>
      </w:tr>
      <w:tr w14:paraId="4EFF9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70222D8F">
            <w:pPr>
              <w:pStyle w:val="168"/>
              <w:spacing w:line="240" w:lineRule="auto"/>
              <w:ind w:firstLine="0"/>
              <w:rPr>
                <w:color w:val="auto"/>
                <w:sz w:val="21"/>
                <w:szCs w:val="21"/>
                <w:highlight w:val="none"/>
              </w:rPr>
            </w:pPr>
            <w:r>
              <w:rPr>
                <w:rFonts w:ascii="Times New Roman" w:hAnsi="Times New Roman" w:eastAsia="Times New Roman" w:cs="Times New Roman"/>
                <w:color w:val="auto"/>
                <w:sz w:val="21"/>
                <w:szCs w:val="21"/>
                <w:highlight w:val="none"/>
                <w:lang w:val="en-US" w:eastAsia="en-US" w:bidi="en-US"/>
              </w:rPr>
              <w:t>4.</w:t>
            </w:r>
            <w:r>
              <w:rPr>
                <w:rFonts w:hint="eastAsia" w:ascii="Times New Roman" w:hAnsi="Times New Roman" w:eastAsia="Times New Roman" w:cs="Times New Roman"/>
                <w:color w:val="auto"/>
                <w:sz w:val="21"/>
                <w:szCs w:val="21"/>
                <w:highlight w:val="none"/>
                <w:lang w:val="en-US" w:eastAsia="en-US" w:bidi="en-US"/>
              </w:rPr>
              <w:t>专职安全生产管理人员</w:t>
            </w:r>
          </w:p>
        </w:tc>
        <w:tc>
          <w:tcPr>
            <w:tcW w:w="670" w:type="dxa"/>
            <w:noWrap w:val="0"/>
            <w:vAlign w:val="center"/>
          </w:tcPr>
          <w:p w14:paraId="2B5F3B3E">
            <w:pPr>
              <w:ind w:left="223" w:hanging="222" w:hangingChars="106"/>
              <w:jc w:val="center"/>
              <w:rPr>
                <w:color w:val="auto"/>
                <w:szCs w:val="21"/>
                <w:highlight w:val="none"/>
              </w:rPr>
            </w:pPr>
          </w:p>
        </w:tc>
        <w:tc>
          <w:tcPr>
            <w:tcW w:w="829" w:type="dxa"/>
            <w:noWrap w:val="0"/>
            <w:vAlign w:val="center"/>
          </w:tcPr>
          <w:p w14:paraId="401B02DA">
            <w:pPr>
              <w:ind w:left="223" w:hanging="222" w:hangingChars="106"/>
              <w:jc w:val="center"/>
              <w:rPr>
                <w:color w:val="auto"/>
                <w:szCs w:val="21"/>
                <w:highlight w:val="none"/>
              </w:rPr>
            </w:pPr>
          </w:p>
        </w:tc>
        <w:tc>
          <w:tcPr>
            <w:tcW w:w="816" w:type="dxa"/>
            <w:noWrap w:val="0"/>
            <w:vAlign w:val="center"/>
          </w:tcPr>
          <w:p w14:paraId="1DF033F6">
            <w:pPr>
              <w:ind w:left="223" w:hanging="222" w:hangingChars="106"/>
              <w:jc w:val="center"/>
              <w:rPr>
                <w:color w:val="auto"/>
                <w:szCs w:val="21"/>
                <w:highlight w:val="none"/>
              </w:rPr>
            </w:pPr>
          </w:p>
        </w:tc>
        <w:tc>
          <w:tcPr>
            <w:tcW w:w="1148" w:type="dxa"/>
            <w:noWrap w:val="0"/>
            <w:vAlign w:val="center"/>
          </w:tcPr>
          <w:p w14:paraId="2F99DD89">
            <w:pPr>
              <w:ind w:left="223" w:hanging="222" w:hangingChars="106"/>
              <w:jc w:val="center"/>
              <w:rPr>
                <w:color w:val="auto"/>
                <w:szCs w:val="21"/>
                <w:highlight w:val="none"/>
              </w:rPr>
            </w:pPr>
          </w:p>
        </w:tc>
        <w:tc>
          <w:tcPr>
            <w:tcW w:w="1148" w:type="dxa"/>
            <w:noWrap w:val="0"/>
            <w:vAlign w:val="center"/>
          </w:tcPr>
          <w:p w14:paraId="2F198840">
            <w:pPr>
              <w:ind w:left="223" w:hanging="222" w:hangingChars="106"/>
              <w:jc w:val="center"/>
              <w:rPr>
                <w:color w:val="auto"/>
                <w:szCs w:val="21"/>
                <w:highlight w:val="none"/>
              </w:rPr>
            </w:pPr>
          </w:p>
        </w:tc>
        <w:tc>
          <w:tcPr>
            <w:tcW w:w="1148" w:type="dxa"/>
            <w:noWrap w:val="0"/>
            <w:vAlign w:val="center"/>
          </w:tcPr>
          <w:p w14:paraId="0827DFE1">
            <w:pPr>
              <w:ind w:left="223" w:hanging="222" w:hangingChars="106"/>
              <w:jc w:val="center"/>
              <w:rPr>
                <w:color w:val="auto"/>
                <w:szCs w:val="21"/>
                <w:highlight w:val="none"/>
              </w:rPr>
            </w:pPr>
          </w:p>
        </w:tc>
        <w:tc>
          <w:tcPr>
            <w:tcW w:w="744" w:type="dxa"/>
            <w:noWrap w:val="0"/>
            <w:vAlign w:val="center"/>
          </w:tcPr>
          <w:p w14:paraId="7CDDD2B8">
            <w:pPr>
              <w:ind w:left="223" w:hanging="222" w:hangingChars="106"/>
              <w:jc w:val="center"/>
              <w:rPr>
                <w:color w:val="auto"/>
                <w:szCs w:val="21"/>
                <w:highlight w:val="none"/>
              </w:rPr>
            </w:pPr>
          </w:p>
        </w:tc>
        <w:tc>
          <w:tcPr>
            <w:tcW w:w="1167" w:type="dxa"/>
            <w:noWrap w:val="0"/>
            <w:vAlign w:val="center"/>
          </w:tcPr>
          <w:p w14:paraId="46499657">
            <w:pPr>
              <w:ind w:left="223" w:hanging="222" w:hangingChars="106"/>
              <w:jc w:val="center"/>
              <w:rPr>
                <w:color w:val="auto"/>
                <w:szCs w:val="21"/>
                <w:highlight w:val="none"/>
              </w:rPr>
            </w:pPr>
          </w:p>
        </w:tc>
        <w:tc>
          <w:tcPr>
            <w:tcW w:w="1276" w:type="dxa"/>
            <w:noWrap w:val="0"/>
            <w:vAlign w:val="center"/>
          </w:tcPr>
          <w:p w14:paraId="5971B640">
            <w:pPr>
              <w:ind w:left="223" w:hanging="222" w:hangingChars="106"/>
              <w:jc w:val="center"/>
              <w:rPr>
                <w:color w:val="auto"/>
                <w:szCs w:val="21"/>
                <w:highlight w:val="none"/>
              </w:rPr>
            </w:pPr>
          </w:p>
        </w:tc>
      </w:tr>
      <w:tr w14:paraId="6FAA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1EBB59F2">
            <w:pPr>
              <w:jc w:val="left"/>
              <w:rPr>
                <w:color w:val="auto"/>
                <w:szCs w:val="21"/>
                <w:highlight w:val="none"/>
              </w:rPr>
            </w:pPr>
            <w:r>
              <w:rPr>
                <w:rFonts w:hint="eastAsia"/>
                <w:color w:val="auto"/>
                <w:szCs w:val="21"/>
                <w:highlight w:val="none"/>
              </w:rPr>
              <w:t>5.</w:t>
            </w:r>
            <w:r>
              <w:rPr>
                <w:color w:val="auto"/>
                <w:szCs w:val="21"/>
                <w:highlight w:val="none"/>
              </w:rPr>
              <w:t xml:space="preserve"> 质量员</w:t>
            </w:r>
          </w:p>
        </w:tc>
        <w:tc>
          <w:tcPr>
            <w:tcW w:w="670" w:type="dxa"/>
            <w:noWrap w:val="0"/>
            <w:vAlign w:val="center"/>
          </w:tcPr>
          <w:p w14:paraId="1D907A60">
            <w:pPr>
              <w:ind w:left="223" w:hanging="222" w:hangingChars="106"/>
              <w:jc w:val="center"/>
              <w:rPr>
                <w:color w:val="auto"/>
                <w:szCs w:val="21"/>
                <w:highlight w:val="none"/>
              </w:rPr>
            </w:pPr>
          </w:p>
        </w:tc>
        <w:tc>
          <w:tcPr>
            <w:tcW w:w="829" w:type="dxa"/>
            <w:noWrap w:val="0"/>
            <w:vAlign w:val="center"/>
          </w:tcPr>
          <w:p w14:paraId="54531B0B">
            <w:pPr>
              <w:ind w:left="223" w:hanging="222" w:hangingChars="106"/>
              <w:jc w:val="center"/>
              <w:rPr>
                <w:color w:val="auto"/>
                <w:szCs w:val="21"/>
                <w:highlight w:val="none"/>
              </w:rPr>
            </w:pPr>
          </w:p>
        </w:tc>
        <w:tc>
          <w:tcPr>
            <w:tcW w:w="816" w:type="dxa"/>
            <w:noWrap w:val="0"/>
            <w:vAlign w:val="center"/>
          </w:tcPr>
          <w:p w14:paraId="1DB09806">
            <w:pPr>
              <w:ind w:left="223" w:hanging="222" w:hangingChars="106"/>
              <w:jc w:val="center"/>
              <w:rPr>
                <w:color w:val="auto"/>
                <w:szCs w:val="21"/>
                <w:highlight w:val="none"/>
              </w:rPr>
            </w:pPr>
          </w:p>
        </w:tc>
        <w:tc>
          <w:tcPr>
            <w:tcW w:w="1148" w:type="dxa"/>
            <w:noWrap w:val="0"/>
            <w:vAlign w:val="center"/>
          </w:tcPr>
          <w:p w14:paraId="429FF76B">
            <w:pPr>
              <w:ind w:left="223" w:hanging="222" w:hangingChars="106"/>
              <w:jc w:val="center"/>
              <w:rPr>
                <w:color w:val="auto"/>
                <w:szCs w:val="21"/>
                <w:highlight w:val="none"/>
              </w:rPr>
            </w:pPr>
          </w:p>
        </w:tc>
        <w:tc>
          <w:tcPr>
            <w:tcW w:w="1148" w:type="dxa"/>
            <w:noWrap w:val="0"/>
            <w:vAlign w:val="center"/>
          </w:tcPr>
          <w:p w14:paraId="72A309D5">
            <w:pPr>
              <w:ind w:left="223" w:hanging="222" w:hangingChars="106"/>
              <w:jc w:val="center"/>
              <w:rPr>
                <w:color w:val="auto"/>
                <w:szCs w:val="21"/>
                <w:highlight w:val="none"/>
              </w:rPr>
            </w:pPr>
          </w:p>
        </w:tc>
        <w:tc>
          <w:tcPr>
            <w:tcW w:w="1148" w:type="dxa"/>
            <w:noWrap w:val="0"/>
            <w:vAlign w:val="center"/>
          </w:tcPr>
          <w:p w14:paraId="117E2FC2">
            <w:pPr>
              <w:ind w:left="223" w:hanging="222" w:hangingChars="106"/>
              <w:jc w:val="center"/>
              <w:rPr>
                <w:color w:val="auto"/>
                <w:szCs w:val="21"/>
                <w:highlight w:val="none"/>
              </w:rPr>
            </w:pPr>
          </w:p>
        </w:tc>
        <w:tc>
          <w:tcPr>
            <w:tcW w:w="744" w:type="dxa"/>
            <w:noWrap w:val="0"/>
            <w:vAlign w:val="center"/>
          </w:tcPr>
          <w:p w14:paraId="29F638C8">
            <w:pPr>
              <w:ind w:left="223" w:hanging="222" w:hangingChars="106"/>
              <w:jc w:val="center"/>
              <w:rPr>
                <w:color w:val="auto"/>
                <w:szCs w:val="21"/>
                <w:highlight w:val="none"/>
              </w:rPr>
            </w:pPr>
          </w:p>
        </w:tc>
        <w:tc>
          <w:tcPr>
            <w:tcW w:w="1167" w:type="dxa"/>
            <w:noWrap w:val="0"/>
            <w:vAlign w:val="center"/>
          </w:tcPr>
          <w:p w14:paraId="40D0BC18">
            <w:pPr>
              <w:ind w:left="223" w:hanging="222" w:hangingChars="106"/>
              <w:jc w:val="center"/>
              <w:rPr>
                <w:color w:val="auto"/>
                <w:szCs w:val="21"/>
                <w:highlight w:val="none"/>
              </w:rPr>
            </w:pPr>
          </w:p>
        </w:tc>
        <w:tc>
          <w:tcPr>
            <w:tcW w:w="1276" w:type="dxa"/>
            <w:noWrap w:val="0"/>
            <w:vAlign w:val="center"/>
          </w:tcPr>
          <w:p w14:paraId="25298BF2">
            <w:pPr>
              <w:ind w:left="223" w:hanging="222" w:hangingChars="106"/>
              <w:jc w:val="center"/>
              <w:rPr>
                <w:color w:val="auto"/>
                <w:szCs w:val="21"/>
                <w:highlight w:val="none"/>
              </w:rPr>
            </w:pPr>
          </w:p>
        </w:tc>
      </w:tr>
      <w:tr w14:paraId="67BF0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3B93E358">
            <w:pPr>
              <w:jc w:val="left"/>
              <w:rPr>
                <w:color w:val="auto"/>
                <w:szCs w:val="21"/>
                <w:highlight w:val="none"/>
              </w:rPr>
            </w:pPr>
            <w:r>
              <w:rPr>
                <w:rFonts w:hint="eastAsia"/>
                <w:color w:val="auto"/>
                <w:szCs w:val="21"/>
                <w:highlight w:val="none"/>
              </w:rPr>
              <w:t>6.材料员</w:t>
            </w:r>
          </w:p>
        </w:tc>
        <w:tc>
          <w:tcPr>
            <w:tcW w:w="670" w:type="dxa"/>
            <w:noWrap w:val="0"/>
            <w:vAlign w:val="center"/>
          </w:tcPr>
          <w:p w14:paraId="05AE7542">
            <w:pPr>
              <w:ind w:left="223" w:hanging="222" w:hangingChars="106"/>
              <w:jc w:val="center"/>
              <w:rPr>
                <w:color w:val="auto"/>
                <w:szCs w:val="21"/>
                <w:highlight w:val="none"/>
              </w:rPr>
            </w:pPr>
          </w:p>
        </w:tc>
        <w:tc>
          <w:tcPr>
            <w:tcW w:w="829" w:type="dxa"/>
            <w:noWrap w:val="0"/>
            <w:vAlign w:val="center"/>
          </w:tcPr>
          <w:p w14:paraId="1E07968B">
            <w:pPr>
              <w:ind w:left="223" w:hanging="222" w:hangingChars="106"/>
              <w:jc w:val="center"/>
              <w:rPr>
                <w:color w:val="auto"/>
                <w:szCs w:val="21"/>
                <w:highlight w:val="none"/>
              </w:rPr>
            </w:pPr>
          </w:p>
        </w:tc>
        <w:tc>
          <w:tcPr>
            <w:tcW w:w="816" w:type="dxa"/>
            <w:noWrap w:val="0"/>
            <w:vAlign w:val="center"/>
          </w:tcPr>
          <w:p w14:paraId="3761D1B1">
            <w:pPr>
              <w:ind w:left="223" w:hanging="222" w:hangingChars="106"/>
              <w:jc w:val="center"/>
              <w:rPr>
                <w:color w:val="auto"/>
                <w:szCs w:val="21"/>
                <w:highlight w:val="none"/>
              </w:rPr>
            </w:pPr>
          </w:p>
        </w:tc>
        <w:tc>
          <w:tcPr>
            <w:tcW w:w="1148" w:type="dxa"/>
            <w:noWrap w:val="0"/>
            <w:vAlign w:val="center"/>
          </w:tcPr>
          <w:p w14:paraId="3A2A5FD8">
            <w:pPr>
              <w:ind w:left="223" w:hanging="222" w:hangingChars="106"/>
              <w:jc w:val="center"/>
              <w:rPr>
                <w:color w:val="auto"/>
                <w:szCs w:val="21"/>
                <w:highlight w:val="none"/>
              </w:rPr>
            </w:pPr>
          </w:p>
        </w:tc>
        <w:tc>
          <w:tcPr>
            <w:tcW w:w="1148" w:type="dxa"/>
            <w:noWrap w:val="0"/>
            <w:vAlign w:val="center"/>
          </w:tcPr>
          <w:p w14:paraId="4B42B362">
            <w:pPr>
              <w:ind w:left="223" w:hanging="222" w:hangingChars="106"/>
              <w:jc w:val="center"/>
              <w:rPr>
                <w:color w:val="auto"/>
                <w:szCs w:val="21"/>
                <w:highlight w:val="none"/>
              </w:rPr>
            </w:pPr>
          </w:p>
        </w:tc>
        <w:tc>
          <w:tcPr>
            <w:tcW w:w="1148" w:type="dxa"/>
            <w:noWrap w:val="0"/>
            <w:vAlign w:val="center"/>
          </w:tcPr>
          <w:p w14:paraId="318FFC28">
            <w:pPr>
              <w:ind w:left="223" w:hanging="222" w:hangingChars="106"/>
              <w:jc w:val="center"/>
              <w:rPr>
                <w:color w:val="auto"/>
                <w:szCs w:val="21"/>
                <w:highlight w:val="none"/>
              </w:rPr>
            </w:pPr>
          </w:p>
        </w:tc>
        <w:tc>
          <w:tcPr>
            <w:tcW w:w="744" w:type="dxa"/>
            <w:noWrap w:val="0"/>
            <w:vAlign w:val="center"/>
          </w:tcPr>
          <w:p w14:paraId="49D9DA12">
            <w:pPr>
              <w:ind w:left="223" w:hanging="222" w:hangingChars="106"/>
              <w:jc w:val="center"/>
              <w:rPr>
                <w:color w:val="auto"/>
                <w:szCs w:val="21"/>
                <w:highlight w:val="none"/>
              </w:rPr>
            </w:pPr>
          </w:p>
        </w:tc>
        <w:tc>
          <w:tcPr>
            <w:tcW w:w="1167" w:type="dxa"/>
            <w:noWrap w:val="0"/>
            <w:vAlign w:val="center"/>
          </w:tcPr>
          <w:p w14:paraId="6AD46E60">
            <w:pPr>
              <w:ind w:left="223" w:hanging="222" w:hangingChars="106"/>
              <w:jc w:val="center"/>
              <w:rPr>
                <w:color w:val="auto"/>
                <w:szCs w:val="21"/>
                <w:highlight w:val="none"/>
              </w:rPr>
            </w:pPr>
          </w:p>
        </w:tc>
        <w:tc>
          <w:tcPr>
            <w:tcW w:w="1276" w:type="dxa"/>
            <w:noWrap w:val="0"/>
            <w:vAlign w:val="center"/>
          </w:tcPr>
          <w:p w14:paraId="4EB98D25">
            <w:pPr>
              <w:ind w:left="223" w:hanging="222" w:hangingChars="106"/>
              <w:jc w:val="center"/>
              <w:rPr>
                <w:color w:val="auto"/>
                <w:szCs w:val="21"/>
                <w:highlight w:val="none"/>
              </w:rPr>
            </w:pPr>
          </w:p>
        </w:tc>
      </w:tr>
      <w:tr w14:paraId="02CA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3423CBCF">
            <w:pPr>
              <w:ind w:left="223" w:hanging="222" w:hangingChars="106"/>
              <w:jc w:val="center"/>
              <w:rPr>
                <w:color w:val="auto"/>
                <w:szCs w:val="21"/>
                <w:highlight w:val="none"/>
              </w:rPr>
            </w:pPr>
          </w:p>
        </w:tc>
        <w:tc>
          <w:tcPr>
            <w:tcW w:w="670" w:type="dxa"/>
            <w:noWrap w:val="0"/>
            <w:vAlign w:val="center"/>
          </w:tcPr>
          <w:p w14:paraId="55D8DD0B">
            <w:pPr>
              <w:ind w:left="223" w:hanging="222" w:hangingChars="106"/>
              <w:jc w:val="center"/>
              <w:rPr>
                <w:color w:val="auto"/>
                <w:szCs w:val="21"/>
                <w:highlight w:val="none"/>
              </w:rPr>
            </w:pPr>
          </w:p>
        </w:tc>
        <w:tc>
          <w:tcPr>
            <w:tcW w:w="829" w:type="dxa"/>
            <w:noWrap w:val="0"/>
            <w:vAlign w:val="center"/>
          </w:tcPr>
          <w:p w14:paraId="15295B96">
            <w:pPr>
              <w:ind w:left="223" w:hanging="222" w:hangingChars="106"/>
              <w:jc w:val="center"/>
              <w:rPr>
                <w:color w:val="auto"/>
                <w:szCs w:val="21"/>
                <w:highlight w:val="none"/>
              </w:rPr>
            </w:pPr>
          </w:p>
        </w:tc>
        <w:tc>
          <w:tcPr>
            <w:tcW w:w="816" w:type="dxa"/>
            <w:noWrap w:val="0"/>
            <w:vAlign w:val="center"/>
          </w:tcPr>
          <w:p w14:paraId="4D51398D">
            <w:pPr>
              <w:ind w:left="223" w:hanging="222" w:hangingChars="106"/>
              <w:jc w:val="center"/>
              <w:rPr>
                <w:color w:val="auto"/>
                <w:szCs w:val="21"/>
                <w:highlight w:val="none"/>
              </w:rPr>
            </w:pPr>
          </w:p>
        </w:tc>
        <w:tc>
          <w:tcPr>
            <w:tcW w:w="1148" w:type="dxa"/>
            <w:noWrap w:val="0"/>
            <w:vAlign w:val="center"/>
          </w:tcPr>
          <w:p w14:paraId="003CC043">
            <w:pPr>
              <w:ind w:left="223" w:hanging="222" w:hangingChars="106"/>
              <w:jc w:val="center"/>
              <w:rPr>
                <w:color w:val="auto"/>
                <w:szCs w:val="21"/>
                <w:highlight w:val="none"/>
              </w:rPr>
            </w:pPr>
          </w:p>
        </w:tc>
        <w:tc>
          <w:tcPr>
            <w:tcW w:w="1148" w:type="dxa"/>
            <w:noWrap w:val="0"/>
            <w:vAlign w:val="center"/>
          </w:tcPr>
          <w:p w14:paraId="755C11EC">
            <w:pPr>
              <w:ind w:left="223" w:hanging="222" w:hangingChars="106"/>
              <w:jc w:val="center"/>
              <w:rPr>
                <w:color w:val="auto"/>
                <w:szCs w:val="21"/>
                <w:highlight w:val="none"/>
              </w:rPr>
            </w:pPr>
          </w:p>
        </w:tc>
        <w:tc>
          <w:tcPr>
            <w:tcW w:w="1148" w:type="dxa"/>
            <w:noWrap w:val="0"/>
            <w:vAlign w:val="center"/>
          </w:tcPr>
          <w:p w14:paraId="77465D3E">
            <w:pPr>
              <w:ind w:left="223" w:hanging="222" w:hangingChars="106"/>
              <w:jc w:val="center"/>
              <w:rPr>
                <w:color w:val="auto"/>
                <w:szCs w:val="21"/>
                <w:highlight w:val="none"/>
              </w:rPr>
            </w:pPr>
          </w:p>
        </w:tc>
        <w:tc>
          <w:tcPr>
            <w:tcW w:w="744" w:type="dxa"/>
            <w:noWrap w:val="0"/>
            <w:vAlign w:val="center"/>
          </w:tcPr>
          <w:p w14:paraId="3225A510">
            <w:pPr>
              <w:ind w:left="223" w:hanging="222" w:hangingChars="106"/>
              <w:jc w:val="center"/>
              <w:rPr>
                <w:color w:val="auto"/>
                <w:szCs w:val="21"/>
                <w:highlight w:val="none"/>
              </w:rPr>
            </w:pPr>
          </w:p>
        </w:tc>
        <w:tc>
          <w:tcPr>
            <w:tcW w:w="1167" w:type="dxa"/>
            <w:noWrap w:val="0"/>
            <w:vAlign w:val="center"/>
          </w:tcPr>
          <w:p w14:paraId="1EE8EFBB">
            <w:pPr>
              <w:ind w:left="223" w:hanging="222" w:hangingChars="106"/>
              <w:jc w:val="center"/>
              <w:rPr>
                <w:color w:val="auto"/>
                <w:szCs w:val="21"/>
                <w:highlight w:val="none"/>
              </w:rPr>
            </w:pPr>
          </w:p>
        </w:tc>
        <w:tc>
          <w:tcPr>
            <w:tcW w:w="1276" w:type="dxa"/>
            <w:noWrap w:val="0"/>
            <w:vAlign w:val="center"/>
          </w:tcPr>
          <w:p w14:paraId="7B126F8C">
            <w:pPr>
              <w:ind w:left="223" w:hanging="222" w:hangingChars="106"/>
              <w:jc w:val="center"/>
              <w:rPr>
                <w:color w:val="auto"/>
                <w:szCs w:val="21"/>
                <w:highlight w:val="none"/>
              </w:rPr>
            </w:pPr>
          </w:p>
        </w:tc>
      </w:tr>
      <w:tr w14:paraId="0873B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66" w:type="dxa"/>
            <w:gridSpan w:val="10"/>
            <w:noWrap w:val="0"/>
            <w:vAlign w:val="center"/>
          </w:tcPr>
          <w:p w14:paraId="214969B8">
            <w:pPr>
              <w:spacing w:line="360" w:lineRule="auto"/>
              <w:ind w:left="223" w:hanging="222" w:hangingChars="106"/>
              <w:jc w:val="center"/>
              <w:rPr>
                <w:color w:val="auto"/>
                <w:highlight w:val="none"/>
              </w:rPr>
            </w:pPr>
            <w:r>
              <w:rPr>
                <w:rFonts w:hint="eastAsia"/>
                <w:color w:val="auto"/>
                <w:highlight w:val="none"/>
              </w:rPr>
              <w:t>一旦我单位成交，将实行项目经理负责制，我方保证并配备上述项目管理机构。上述填报内容真实，若不真实，愿按有关规定接受处理。项目管理班子机构设置、职责分工等情况另附资料说明。</w:t>
            </w:r>
          </w:p>
        </w:tc>
      </w:tr>
    </w:tbl>
    <w:p w14:paraId="7C2A91D7">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备注：</w:t>
      </w:r>
    </w:p>
    <w:p w14:paraId="7A259B1F">
      <w:pPr>
        <w:spacing w:line="360" w:lineRule="auto"/>
        <w:ind w:firstLine="480" w:firstLineChars="200"/>
        <w:contextualSpacing/>
        <w:jc w:val="left"/>
        <w:rPr>
          <w:rFonts w:hint="eastAsia"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本表所列岗位的所有管理人员的情况均应如实填写。可按以上格式扩展为多页填写。</w:t>
      </w:r>
    </w:p>
    <w:p w14:paraId="4BB0AB9D">
      <w:pPr>
        <w:spacing w:line="360" w:lineRule="auto"/>
        <w:ind w:firstLine="480" w:firstLineChars="200"/>
        <w:contextualSpacing/>
        <w:jc w:val="left"/>
        <w:rPr>
          <w:rFonts w:hint="eastAsia" w:ascii="宋体" w:hAnsi="宋体"/>
          <w:color w:val="auto"/>
          <w:sz w:val="24"/>
          <w:szCs w:val="20"/>
          <w:highlight w:val="none"/>
        </w:rPr>
      </w:pPr>
      <w:r>
        <w:rPr>
          <w:rFonts w:hint="eastAsia" w:ascii="宋体" w:hAnsi="宋体"/>
          <w:color w:val="auto"/>
          <w:sz w:val="24"/>
          <w:szCs w:val="20"/>
          <w:highlight w:val="none"/>
        </w:rPr>
        <w:t>2</w:t>
      </w:r>
      <w:r>
        <w:rPr>
          <w:rFonts w:ascii="宋体" w:hAnsi="宋体"/>
          <w:color w:val="auto"/>
          <w:sz w:val="24"/>
          <w:szCs w:val="20"/>
          <w:highlight w:val="none"/>
        </w:rPr>
        <w:t>.</w:t>
      </w:r>
      <w:r>
        <w:rPr>
          <w:rFonts w:hint="eastAsia" w:ascii="宋体" w:hAnsi="宋体"/>
          <w:color w:val="auto"/>
          <w:sz w:val="24"/>
          <w:szCs w:val="20"/>
          <w:highlight w:val="none"/>
        </w:rPr>
        <w:t>供应商应当在本表后附所有管理人员的身份证、职称证、执业或职业资格证书的复印件并加盖供应商电子签章。</w:t>
      </w:r>
    </w:p>
    <w:p w14:paraId="1D4B8147">
      <w:pPr>
        <w:spacing w:line="360" w:lineRule="auto"/>
        <w:ind w:firstLine="480" w:firstLineChars="200"/>
        <w:contextualSpacing/>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r>
        <w:rPr>
          <w:rFonts w:hint="eastAsia" w:ascii="宋体" w:hAnsi="宋体"/>
          <w:color w:val="auto"/>
          <w:spacing w:val="20"/>
          <w:sz w:val="24"/>
          <w:highlight w:val="none"/>
          <w:u w:val="single"/>
        </w:rPr>
        <w:t xml:space="preserve">        </w:t>
      </w:r>
    </w:p>
    <w:p w14:paraId="55F25F5B">
      <w:pPr>
        <w:spacing w:line="360" w:lineRule="auto"/>
        <w:ind w:firstLine="560" w:firstLineChars="200"/>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供应商（电子签章）：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日 期：</w:t>
      </w:r>
      <w:r>
        <w:rPr>
          <w:rFonts w:hint="eastAsia" w:ascii="宋体" w:hAnsi="宋体"/>
          <w:color w:val="auto"/>
          <w:spacing w:val="20"/>
          <w:sz w:val="24"/>
          <w:highlight w:val="none"/>
          <w:u w:val="single"/>
        </w:rPr>
        <w:t xml:space="preserve">         </w:t>
      </w:r>
    </w:p>
    <w:p w14:paraId="7B1DAF16">
      <w:pPr>
        <w:spacing w:line="360" w:lineRule="auto"/>
        <w:jc w:val="center"/>
        <w:rPr>
          <w:rFonts w:hint="eastAsia" w:ascii="宋体" w:hAnsi="宋体"/>
          <w:b/>
          <w:color w:val="auto"/>
          <w:sz w:val="28"/>
          <w:szCs w:val="28"/>
          <w:highlight w:val="none"/>
        </w:rPr>
      </w:pPr>
      <w:r>
        <w:rPr>
          <w:rFonts w:ascii="宋体" w:hAnsi="宋体"/>
          <w:b/>
          <w:color w:val="auto"/>
          <w:sz w:val="32"/>
          <w:szCs w:val="32"/>
          <w:highlight w:val="none"/>
        </w:rPr>
        <w:br w:type="page"/>
      </w:r>
      <w:r>
        <w:rPr>
          <w:rFonts w:hint="eastAsia" w:ascii="宋体" w:hAnsi="宋体"/>
          <w:b/>
          <w:color w:val="auto"/>
          <w:sz w:val="28"/>
          <w:szCs w:val="28"/>
          <w:highlight w:val="none"/>
        </w:rPr>
        <w:t>（二）拟投入的主要人员简历表</w:t>
      </w:r>
    </w:p>
    <w:p w14:paraId="605F3A81">
      <w:pPr>
        <w:spacing w:line="360" w:lineRule="auto"/>
        <w:ind w:firstLine="562" w:firstLineChars="200"/>
        <w:jc w:val="center"/>
        <w:rPr>
          <w:color w:val="auto"/>
          <w:sz w:val="28"/>
          <w:szCs w:val="28"/>
          <w:highlight w:val="none"/>
          <w:u w:val="single"/>
        </w:rPr>
      </w:pPr>
      <w:r>
        <w:rPr>
          <w:rFonts w:hint="eastAsia" w:cs="宋体"/>
          <w:b/>
          <w:color w:val="auto"/>
          <w:sz w:val="28"/>
          <w:szCs w:val="28"/>
          <w:highlight w:val="none"/>
        </w:rPr>
        <w:t>项目经理简历表</w:t>
      </w:r>
    </w:p>
    <w:tbl>
      <w:tblPr>
        <w:tblStyle w:val="43"/>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76"/>
        <w:gridCol w:w="55"/>
        <w:gridCol w:w="387"/>
        <w:gridCol w:w="888"/>
        <w:gridCol w:w="660"/>
        <w:gridCol w:w="328"/>
        <w:gridCol w:w="234"/>
        <w:gridCol w:w="1417"/>
        <w:gridCol w:w="242"/>
        <w:gridCol w:w="1088"/>
        <w:gridCol w:w="88"/>
        <w:gridCol w:w="409"/>
        <w:gridCol w:w="1108"/>
        <w:gridCol w:w="36"/>
        <w:gridCol w:w="79"/>
        <w:gridCol w:w="1405"/>
        <w:gridCol w:w="11"/>
      </w:tblGrid>
      <w:tr w14:paraId="16429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76" w:type="dxa"/>
            <w:noWrap w:val="0"/>
            <w:vAlign w:val="center"/>
          </w:tcPr>
          <w:p w14:paraId="2755B970">
            <w:pPr>
              <w:jc w:val="center"/>
              <w:rPr>
                <w:color w:val="auto"/>
                <w:highlight w:val="none"/>
              </w:rPr>
            </w:pPr>
            <w:r>
              <w:rPr>
                <w:rFonts w:hint="eastAsia" w:cs="宋体"/>
                <w:color w:val="auto"/>
                <w:highlight w:val="none"/>
              </w:rPr>
              <w:t>姓名</w:t>
            </w:r>
          </w:p>
        </w:tc>
        <w:tc>
          <w:tcPr>
            <w:tcW w:w="2318" w:type="dxa"/>
            <w:gridSpan w:val="5"/>
            <w:noWrap w:val="0"/>
            <w:vAlign w:val="center"/>
          </w:tcPr>
          <w:p w14:paraId="218C7254">
            <w:pPr>
              <w:jc w:val="center"/>
              <w:rPr>
                <w:color w:val="auto"/>
                <w:highlight w:val="none"/>
              </w:rPr>
            </w:pPr>
          </w:p>
        </w:tc>
        <w:tc>
          <w:tcPr>
            <w:tcW w:w="1893" w:type="dxa"/>
            <w:gridSpan w:val="3"/>
            <w:noWrap w:val="0"/>
            <w:vAlign w:val="center"/>
          </w:tcPr>
          <w:p w14:paraId="387ED4F1">
            <w:pPr>
              <w:jc w:val="center"/>
              <w:rPr>
                <w:color w:val="auto"/>
                <w:highlight w:val="none"/>
              </w:rPr>
            </w:pPr>
            <w:r>
              <w:rPr>
                <w:rFonts w:hint="eastAsia" w:cs="宋体"/>
                <w:color w:val="auto"/>
                <w:highlight w:val="none"/>
              </w:rPr>
              <w:t>性别</w:t>
            </w:r>
          </w:p>
        </w:tc>
        <w:tc>
          <w:tcPr>
            <w:tcW w:w="1585" w:type="dxa"/>
            <w:gridSpan w:val="3"/>
            <w:noWrap w:val="0"/>
            <w:vAlign w:val="center"/>
          </w:tcPr>
          <w:p w14:paraId="496F4179">
            <w:pPr>
              <w:jc w:val="center"/>
              <w:rPr>
                <w:color w:val="auto"/>
                <w:highlight w:val="none"/>
              </w:rPr>
            </w:pPr>
          </w:p>
        </w:tc>
        <w:tc>
          <w:tcPr>
            <w:tcW w:w="1108" w:type="dxa"/>
            <w:noWrap w:val="0"/>
            <w:vAlign w:val="center"/>
          </w:tcPr>
          <w:p w14:paraId="5305837E">
            <w:pPr>
              <w:jc w:val="center"/>
              <w:rPr>
                <w:color w:val="auto"/>
                <w:highlight w:val="none"/>
              </w:rPr>
            </w:pPr>
            <w:r>
              <w:rPr>
                <w:rFonts w:hint="eastAsia" w:cs="宋体"/>
                <w:color w:val="auto"/>
                <w:highlight w:val="none"/>
              </w:rPr>
              <w:t>年龄</w:t>
            </w:r>
          </w:p>
        </w:tc>
        <w:tc>
          <w:tcPr>
            <w:tcW w:w="1531" w:type="dxa"/>
            <w:gridSpan w:val="4"/>
            <w:noWrap w:val="0"/>
            <w:vAlign w:val="center"/>
          </w:tcPr>
          <w:p w14:paraId="026F01EB">
            <w:pPr>
              <w:jc w:val="center"/>
              <w:rPr>
                <w:color w:val="auto"/>
                <w:highlight w:val="none"/>
              </w:rPr>
            </w:pPr>
          </w:p>
        </w:tc>
      </w:tr>
      <w:tr w14:paraId="3FC7A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76" w:type="dxa"/>
            <w:noWrap w:val="0"/>
            <w:vAlign w:val="center"/>
          </w:tcPr>
          <w:p w14:paraId="57E0FE71">
            <w:pPr>
              <w:jc w:val="center"/>
              <w:rPr>
                <w:color w:val="auto"/>
                <w:highlight w:val="none"/>
              </w:rPr>
            </w:pPr>
            <w:r>
              <w:rPr>
                <w:rFonts w:hint="eastAsia" w:cs="宋体"/>
                <w:color w:val="auto"/>
                <w:highlight w:val="none"/>
              </w:rPr>
              <w:t>岗位</w:t>
            </w:r>
          </w:p>
        </w:tc>
        <w:tc>
          <w:tcPr>
            <w:tcW w:w="2318" w:type="dxa"/>
            <w:gridSpan w:val="5"/>
            <w:noWrap w:val="0"/>
            <w:vAlign w:val="center"/>
          </w:tcPr>
          <w:p w14:paraId="1CA816C0">
            <w:pPr>
              <w:jc w:val="center"/>
              <w:rPr>
                <w:color w:val="auto"/>
                <w:highlight w:val="none"/>
              </w:rPr>
            </w:pPr>
            <w:r>
              <w:rPr>
                <w:rFonts w:hint="eastAsia"/>
                <w:color w:val="auto"/>
                <w:highlight w:val="none"/>
              </w:rPr>
              <w:t>项目经理</w:t>
            </w:r>
          </w:p>
        </w:tc>
        <w:tc>
          <w:tcPr>
            <w:tcW w:w="1893" w:type="dxa"/>
            <w:gridSpan w:val="3"/>
            <w:noWrap w:val="0"/>
            <w:vAlign w:val="center"/>
          </w:tcPr>
          <w:p w14:paraId="0A0DE0FD">
            <w:pPr>
              <w:jc w:val="center"/>
              <w:rPr>
                <w:color w:val="auto"/>
                <w:highlight w:val="none"/>
              </w:rPr>
            </w:pPr>
            <w:r>
              <w:rPr>
                <w:rFonts w:hint="eastAsia" w:cs="宋体"/>
                <w:color w:val="auto"/>
                <w:highlight w:val="none"/>
              </w:rPr>
              <w:t>职称</w:t>
            </w:r>
          </w:p>
        </w:tc>
        <w:tc>
          <w:tcPr>
            <w:tcW w:w="1585" w:type="dxa"/>
            <w:gridSpan w:val="3"/>
            <w:noWrap w:val="0"/>
            <w:vAlign w:val="center"/>
          </w:tcPr>
          <w:p w14:paraId="0AFBE482">
            <w:pPr>
              <w:jc w:val="center"/>
              <w:rPr>
                <w:color w:val="auto"/>
                <w:highlight w:val="none"/>
              </w:rPr>
            </w:pPr>
          </w:p>
        </w:tc>
        <w:tc>
          <w:tcPr>
            <w:tcW w:w="1108" w:type="dxa"/>
            <w:noWrap w:val="0"/>
            <w:vAlign w:val="center"/>
          </w:tcPr>
          <w:p w14:paraId="5C368178">
            <w:pPr>
              <w:jc w:val="center"/>
              <w:rPr>
                <w:color w:val="auto"/>
                <w:highlight w:val="none"/>
              </w:rPr>
            </w:pPr>
            <w:r>
              <w:rPr>
                <w:rFonts w:hint="eastAsia" w:cs="宋体"/>
                <w:color w:val="auto"/>
                <w:highlight w:val="none"/>
              </w:rPr>
              <w:t>学历</w:t>
            </w:r>
          </w:p>
        </w:tc>
        <w:tc>
          <w:tcPr>
            <w:tcW w:w="1531" w:type="dxa"/>
            <w:gridSpan w:val="4"/>
            <w:noWrap w:val="0"/>
            <w:vAlign w:val="center"/>
          </w:tcPr>
          <w:p w14:paraId="1294308C">
            <w:pPr>
              <w:jc w:val="center"/>
              <w:rPr>
                <w:color w:val="auto"/>
                <w:highlight w:val="none"/>
              </w:rPr>
            </w:pPr>
          </w:p>
        </w:tc>
      </w:tr>
      <w:tr w14:paraId="5D91F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76" w:type="dxa"/>
            <w:noWrap w:val="0"/>
            <w:vAlign w:val="center"/>
          </w:tcPr>
          <w:p w14:paraId="37E222EC">
            <w:pPr>
              <w:jc w:val="center"/>
              <w:rPr>
                <w:rFonts w:hint="eastAsia" w:cs="宋体"/>
                <w:color w:val="auto"/>
                <w:highlight w:val="none"/>
              </w:rPr>
            </w:pPr>
            <w:r>
              <w:rPr>
                <w:rFonts w:hint="eastAsia" w:cs="宋体"/>
                <w:color w:val="auto"/>
                <w:highlight w:val="none"/>
              </w:rPr>
              <w:t>从业开始时间</w:t>
            </w:r>
          </w:p>
        </w:tc>
        <w:tc>
          <w:tcPr>
            <w:tcW w:w="2318" w:type="dxa"/>
            <w:gridSpan w:val="5"/>
            <w:noWrap w:val="0"/>
            <w:vAlign w:val="center"/>
          </w:tcPr>
          <w:p w14:paraId="0594C8BF">
            <w:pPr>
              <w:jc w:val="center"/>
              <w:rPr>
                <w:color w:val="auto"/>
                <w:highlight w:val="none"/>
              </w:rPr>
            </w:pPr>
          </w:p>
        </w:tc>
        <w:tc>
          <w:tcPr>
            <w:tcW w:w="1893" w:type="dxa"/>
            <w:gridSpan w:val="3"/>
            <w:noWrap w:val="0"/>
            <w:vAlign w:val="center"/>
          </w:tcPr>
          <w:p w14:paraId="1C795A2E">
            <w:pPr>
              <w:jc w:val="center"/>
              <w:rPr>
                <w:rFonts w:hint="eastAsia" w:cs="宋体"/>
                <w:color w:val="auto"/>
                <w:highlight w:val="none"/>
              </w:rPr>
            </w:pPr>
            <w:r>
              <w:rPr>
                <w:rFonts w:hint="eastAsia" w:cs="宋体"/>
                <w:color w:val="auto"/>
                <w:highlight w:val="none"/>
              </w:rPr>
              <w:t>职称</w:t>
            </w:r>
            <w:r>
              <w:rPr>
                <w:rFonts w:cs="宋体"/>
                <w:color w:val="auto"/>
                <w:highlight w:val="none"/>
              </w:rPr>
              <w:t>获</w:t>
            </w:r>
            <w:r>
              <w:rPr>
                <w:rFonts w:hint="eastAsia" w:cs="宋体"/>
                <w:color w:val="auto"/>
                <w:highlight w:val="none"/>
              </w:rPr>
              <w:t>得</w:t>
            </w:r>
            <w:r>
              <w:rPr>
                <w:rFonts w:cs="宋体"/>
                <w:color w:val="auto"/>
                <w:highlight w:val="none"/>
              </w:rPr>
              <w:t>时间</w:t>
            </w:r>
          </w:p>
        </w:tc>
        <w:tc>
          <w:tcPr>
            <w:tcW w:w="1585" w:type="dxa"/>
            <w:gridSpan w:val="3"/>
            <w:noWrap w:val="0"/>
            <w:vAlign w:val="center"/>
          </w:tcPr>
          <w:p w14:paraId="6174F857">
            <w:pPr>
              <w:jc w:val="center"/>
              <w:rPr>
                <w:color w:val="auto"/>
                <w:highlight w:val="none"/>
              </w:rPr>
            </w:pPr>
          </w:p>
        </w:tc>
        <w:tc>
          <w:tcPr>
            <w:tcW w:w="1108" w:type="dxa"/>
            <w:noWrap w:val="0"/>
            <w:vAlign w:val="center"/>
          </w:tcPr>
          <w:p w14:paraId="13ED090B">
            <w:pPr>
              <w:jc w:val="center"/>
              <w:rPr>
                <w:rFonts w:hint="eastAsia" w:cs="宋体"/>
                <w:color w:val="auto"/>
                <w:highlight w:val="none"/>
              </w:rPr>
            </w:pPr>
            <w:r>
              <w:rPr>
                <w:rFonts w:hint="eastAsia" w:cs="宋体"/>
                <w:color w:val="auto"/>
                <w:highlight w:val="none"/>
              </w:rPr>
              <w:t>毕业时间</w:t>
            </w:r>
          </w:p>
        </w:tc>
        <w:tc>
          <w:tcPr>
            <w:tcW w:w="1531" w:type="dxa"/>
            <w:gridSpan w:val="4"/>
            <w:noWrap w:val="0"/>
            <w:vAlign w:val="center"/>
          </w:tcPr>
          <w:p w14:paraId="70FFB961">
            <w:pPr>
              <w:jc w:val="center"/>
              <w:rPr>
                <w:color w:val="auto"/>
                <w:highlight w:val="none"/>
              </w:rPr>
            </w:pPr>
          </w:p>
        </w:tc>
      </w:tr>
      <w:tr w14:paraId="562B7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0"/>
            <w:vAlign w:val="center"/>
          </w:tcPr>
          <w:p w14:paraId="43DF7E10">
            <w:pPr>
              <w:jc w:val="center"/>
              <w:rPr>
                <w:color w:val="auto"/>
                <w:highlight w:val="none"/>
              </w:rPr>
            </w:pPr>
            <w:r>
              <w:rPr>
                <w:rFonts w:hint="eastAsia" w:cs="宋体"/>
                <w:color w:val="auto"/>
                <w:highlight w:val="none"/>
              </w:rPr>
              <w:t>担任项目经理年限</w:t>
            </w:r>
          </w:p>
        </w:tc>
        <w:tc>
          <w:tcPr>
            <w:tcW w:w="2497" w:type="dxa"/>
            <w:gridSpan w:val="5"/>
            <w:noWrap w:val="0"/>
            <w:vAlign w:val="center"/>
          </w:tcPr>
          <w:p w14:paraId="23AEECA2">
            <w:pPr>
              <w:jc w:val="center"/>
              <w:rPr>
                <w:color w:val="auto"/>
                <w:highlight w:val="none"/>
              </w:rPr>
            </w:pPr>
          </w:p>
        </w:tc>
        <w:tc>
          <w:tcPr>
            <w:tcW w:w="1417" w:type="dxa"/>
            <w:noWrap w:val="0"/>
            <w:vAlign w:val="center"/>
          </w:tcPr>
          <w:p w14:paraId="00BB8840">
            <w:pPr>
              <w:jc w:val="center"/>
              <w:rPr>
                <w:color w:val="auto"/>
                <w:highlight w:val="none"/>
              </w:rPr>
            </w:pPr>
            <w:r>
              <w:rPr>
                <w:rFonts w:hint="eastAsia"/>
                <w:color w:val="auto"/>
                <w:highlight w:val="none"/>
              </w:rPr>
              <w:t>身份</w:t>
            </w:r>
            <w:r>
              <w:rPr>
                <w:color w:val="auto"/>
                <w:highlight w:val="none"/>
              </w:rPr>
              <w:t>证号码</w:t>
            </w:r>
          </w:p>
        </w:tc>
        <w:tc>
          <w:tcPr>
            <w:tcW w:w="4466" w:type="dxa"/>
            <w:gridSpan w:val="9"/>
            <w:noWrap w:val="0"/>
            <w:vAlign w:val="center"/>
          </w:tcPr>
          <w:p w14:paraId="5C04166A">
            <w:pPr>
              <w:jc w:val="center"/>
              <w:rPr>
                <w:color w:val="auto"/>
                <w:highlight w:val="none"/>
              </w:rPr>
            </w:pPr>
          </w:p>
        </w:tc>
      </w:tr>
      <w:tr w14:paraId="4DED3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0"/>
            <w:vAlign w:val="center"/>
          </w:tcPr>
          <w:p w14:paraId="2CD4C756">
            <w:pPr>
              <w:jc w:val="center"/>
              <w:rPr>
                <w:color w:val="auto"/>
                <w:highlight w:val="none"/>
              </w:rPr>
            </w:pPr>
            <w:r>
              <w:rPr>
                <w:rFonts w:hint="eastAsia"/>
                <w:color w:val="auto"/>
                <w:highlight w:val="none"/>
              </w:rPr>
              <w:t>证书名称</w:t>
            </w:r>
          </w:p>
        </w:tc>
        <w:tc>
          <w:tcPr>
            <w:tcW w:w="1275" w:type="dxa"/>
            <w:gridSpan w:val="2"/>
            <w:noWrap w:val="0"/>
            <w:vAlign w:val="center"/>
          </w:tcPr>
          <w:p w14:paraId="26D8026E">
            <w:pPr>
              <w:jc w:val="center"/>
              <w:rPr>
                <w:color w:val="auto"/>
                <w:highlight w:val="none"/>
              </w:rPr>
            </w:pPr>
            <w:r>
              <w:rPr>
                <w:rFonts w:hint="eastAsia"/>
                <w:color w:val="auto"/>
                <w:highlight w:val="none"/>
              </w:rPr>
              <w:t>注册专业</w:t>
            </w:r>
          </w:p>
        </w:tc>
        <w:tc>
          <w:tcPr>
            <w:tcW w:w="1222" w:type="dxa"/>
            <w:gridSpan w:val="3"/>
            <w:noWrap w:val="0"/>
            <w:vAlign w:val="center"/>
          </w:tcPr>
          <w:p w14:paraId="6447E131">
            <w:pPr>
              <w:jc w:val="center"/>
              <w:rPr>
                <w:color w:val="auto"/>
                <w:highlight w:val="none"/>
              </w:rPr>
            </w:pPr>
            <w:r>
              <w:rPr>
                <w:color w:val="auto"/>
                <w:highlight w:val="none"/>
              </w:rPr>
              <w:t>级别</w:t>
            </w:r>
          </w:p>
        </w:tc>
        <w:tc>
          <w:tcPr>
            <w:tcW w:w="1417" w:type="dxa"/>
            <w:noWrap w:val="0"/>
            <w:vAlign w:val="center"/>
          </w:tcPr>
          <w:p w14:paraId="61CACA67">
            <w:pPr>
              <w:jc w:val="center"/>
              <w:rPr>
                <w:color w:val="auto"/>
                <w:highlight w:val="none"/>
              </w:rPr>
            </w:pPr>
            <w:r>
              <w:rPr>
                <w:rFonts w:hint="eastAsia" w:cs="宋体"/>
                <w:color w:val="auto"/>
                <w:highlight w:val="none"/>
              </w:rPr>
              <w:t>证书编号</w:t>
            </w:r>
          </w:p>
        </w:tc>
        <w:tc>
          <w:tcPr>
            <w:tcW w:w="1418" w:type="dxa"/>
            <w:gridSpan w:val="3"/>
            <w:noWrap w:val="0"/>
            <w:vAlign w:val="center"/>
          </w:tcPr>
          <w:p w14:paraId="40DB18F8">
            <w:pPr>
              <w:jc w:val="center"/>
              <w:rPr>
                <w:color w:val="auto"/>
                <w:highlight w:val="none"/>
              </w:rPr>
            </w:pPr>
            <w:r>
              <w:rPr>
                <w:rFonts w:hint="eastAsia"/>
                <w:color w:val="auto"/>
                <w:highlight w:val="none"/>
              </w:rPr>
              <w:t>注册时间</w:t>
            </w:r>
          </w:p>
        </w:tc>
        <w:tc>
          <w:tcPr>
            <w:tcW w:w="1632" w:type="dxa"/>
            <w:gridSpan w:val="4"/>
            <w:noWrap w:val="0"/>
            <w:vAlign w:val="center"/>
          </w:tcPr>
          <w:p w14:paraId="2EDAA08C">
            <w:pPr>
              <w:jc w:val="center"/>
              <w:rPr>
                <w:color w:val="auto"/>
                <w:highlight w:val="none"/>
              </w:rPr>
            </w:pPr>
            <w:r>
              <w:rPr>
                <w:rFonts w:hint="eastAsia"/>
                <w:color w:val="auto"/>
                <w:highlight w:val="none"/>
              </w:rPr>
              <w:t>注册单位</w:t>
            </w:r>
          </w:p>
        </w:tc>
        <w:tc>
          <w:tcPr>
            <w:tcW w:w="1416" w:type="dxa"/>
            <w:gridSpan w:val="2"/>
            <w:noWrap w:val="0"/>
            <w:vAlign w:val="center"/>
          </w:tcPr>
          <w:p w14:paraId="0FEB75B4">
            <w:pPr>
              <w:jc w:val="center"/>
              <w:rPr>
                <w:color w:val="auto"/>
                <w:highlight w:val="none"/>
              </w:rPr>
            </w:pPr>
            <w:r>
              <w:rPr>
                <w:rFonts w:hint="eastAsia"/>
                <w:color w:val="auto"/>
                <w:highlight w:val="none"/>
              </w:rPr>
              <w:t>注册有效期</w:t>
            </w:r>
          </w:p>
        </w:tc>
      </w:tr>
      <w:tr w14:paraId="1CA44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0"/>
            <w:vAlign w:val="center"/>
          </w:tcPr>
          <w:p w14:paraId="2661917F">
            <w:pPr>
              <w:jc w:val="center"/>
              <w:rPr>
                <w:rFonts w:hint="eastAsia"/>
                <w:color w:val="auto"/>
                <w:highlight w:val="none"/>
              </w:rPr>
            </w:pPr>
          </w:p>
        </w:tc>
        <w:tc>
          <w:tcPr>
            <w:tcW w:w="1275" w:type="dxa"/>
            <w:gridSpan w:val="2"/>
            <w:noWrap w:val="0"/>
            <w:vAlign w:val="center"/>
          </w:tcPr>
          <w:p w14:paraId="26284DC2">
            <w:pPr>
              <w:jc w:val="center"/>
              <w:rPr>
                <w:rFonts w:hint="eastAsia"/>
                <w:color w:val="auto"/>
                <w:highlight w:val="none"/>
              </w:rPr>
            </w:pPr>
          </w:p>
        </w:tc>
        <w:tc>
          <w:tcPr>
            <w:tcW w:w="1222" w:type="dxa"/>
            <w:gridSpan w:val="3"/>
            <w:noWrap w:val="0"/>
            <w:vAlign w:val="center"/>
          </w:tcPr>
          <w:p w14:paraId="33BAC65A">
            <w:pPr>
              <w:jc w:val="center"/>
              <w:rPr>
                <w:rFonts w:hint="eastAsia" w:cs="宋体"/>
                <w:color w:val="auto"/>
                <w:highlight w:val="none"/>
              </w:rPr>
            </w:pPr>
          </w:p>
        </w:tc>
        <w:tc>
          <w:tcPr>
            <w:tcW w:w="1417" w:type="dxa"/>
            <w:noWrap w:val="0"/>
            <w:vAlign w:val="center"/>
          </w:tcPr>
          <w:p w14:paraId="10500CB6">
            <w:pPr>
              <w:jc w:val="center"/>
              <w:rPr>
                <w:rFonts w:hint="eastAsia"/>
                <w:color w:val="auto"/>
                <w:highlight w:val="none"/>
              </w:rPr>
            </w:pPr>
          </w:p>
        </w:tc>
        <w:tc>
          <w:tcPr>
            <w:tcW w:w="1418" w:type="dxa"/>
            <w:gridSpan w:val="3"/>
            <w:noWrap w:val="0"/>
            <w:vAlign w:val="center"/>
          </w:tcPr>
          <w:p w14:paraId="0F259EA0">
            <w:pPr>
              <w:jc w:val="center"/>
              <w:rPr>
                <w:rFonts w:hint="eastAsia"/>
                <w:color w:val="auto"/>
                <w:highlight w:val="none"/>
              </w:rPr>
            </w:pPr>
          </w:p>
        </w:tc>
        <w:tc>
          <w:tcPr>
            <w:tcW w:w="1632" w:type="dxa"/>
            <w:gridSpan w:val="4"/>
            <w:noWrap w:val="0"/>
            <w:vAlign w:val="center"/>
          </w:tcPr>
          <w:p w14:paraId="237178DC">
            <w:pPr>
              <w:jc w:val="center"/>
              <w:rPr>
                <w:rFonts w:hint="eastAsia"/>
                <w:color w:val="auto"/>
                <w:highlight w:val="none"/>
              </w:rPr>
            </w:pPr>
          </w:p>
        </w:tc>
        <w:tc>
          <w:tcPr>
            <w:tcW w:w="1416" w:type="dxa"/>
            <w:gridSpan w:val="2"/>
            <w:noWrap w:val="0"/>
            <w:vAlign w:val="center"/>
          </w:tcPr>
          <w:p w14:paraId="505E872A">
            <w:pPr>
              <w:jc w:val="center"/>
              <w:rPr>
                <w:rFonts w:hint="eastAsia"/>
                <w:color w:val="auto"/>
                <w:highlight w:val="none"/>
              </w:rPr>
            </w:pPr>
          </w:p>
        </w:tc>
      </w:tr>
      <w:tr w14:paraId="4F09A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0"/>
            <w:vAlign w:val="center"/>
          </w:tcPr>
          <w:p w14:paraId="39EABD08">
            <w:pPr>
              <w:jc w:val="center"/>
              <w:rPr>
                <w:rFonts w:hint="eastAsia"/>
                <w:color w:val="auto"/>
                <w:highlight w:val="none"/>
              </w:rPr>
            </w:pPr>
            <w:r>
              <w:rPr>
                <w:rFonts w:hint="eastAsia"/>
                <w:color w:val="auto"/>
                <w:highlight w:val="none"/>
              </w:rPr>
              <w:t>安全生产考核合格证书</w:t>
            </w:r>
          </w:p>
        </w:tc>
        <w:tc>
          <w:tcPr>
            <w:tcW w:w="1275" w:type="dxa"/>
            <w:gridSpan w:val="2"/>
            <w:noWrap w:val="0"/>
            <w:vAlign w:val="center"/>
          </w:tcPr>
          <w:p w14:paraId="438799FF">
            <w:pPr>
              <w:jc w:val="center"/>
              <w:rPr>
                <w:rFonts w:hint="eastAsia"/>
                <w:color w:val="auto"/>
                <w:highlight w:val="none"/>
              </w:rPr>
            </w:pPr>
          </w:p>
        </w:tc>
        <w:tc>
          <w:tcPr>
            <w:tcW w:w="1222" w:type="dxa"/>
            <w:gridSpan w:val="3"/>
            <w:noWrap w:val="0"/>
            <w:vAlign w:val="center"/>
          </w:tcPr>
          <w:p w14:paraId="22FA3DC0">
            <w:pPr>
              <w:jc w:val="center"/>
              <w:rPr>
                <w:rFonts w:hint="eastAsia" w:cs="宋体"/>
                <w:color w:val="auto"/>
                <w:highlight w:val="none"/>
              </w:rPr>
            </w:pPr>
            <w:r>
              <w:rPr>
                <w:rFonts w:hint="eastAsia"/>
                <w:color w:val="auto"/>
                <w:highlight w:val="none"/>
              </w:rPr>
              <w:t>B类</w:t>
            </w:r>
          </w:p>
        </w:tc>
        <w:tc>
          <w:tcPr>
            <w:tcW w:w="1417" w:type="dxa"/>
            <w:noWrap w:val="0"/>
            <w:vAlign w:val="center"/>
          </w:tcPr>
          <w:p w14:paraId="1E9E408C">
            <w:pPr>
              <w:jc w:val="center"/>
              <w:rPr>
                <w:rFonts w:hint="eastAsia"/>
                <w:color w:val="auto"/>
                <w:highlight w:val="none"/>
              </w:rPr>
            </w:pPr>
          </w:p>
        </w:tc>
        <w:tc>
          <w:tcPr>
            <w:tcW w:w="1418" w:type="dxa"/>
            <w:gridSpan w:val="3"/>
            <w:noWrap w:val="0"/>
            <w:vAlign w:val="center"/>
          </w:tcPr>
          <w:p w14:paraId="04C9ECA1">
            <w:pPr>
              <w:jc w:val="center"/>
              <w:rPr>
                <w:rFonts w:hint="eastAsia"/>
                <w:color w:val="auto"/>
                <w:highlight w:val="none"/>
              </w:rPr>
            </w:pPr>
          </w:p>
        </w:tc>
        <w:tc>
          <w:tcPr>
            <w:tcW w:w="1632" w:type="dxa"/>
            <w:gridSpan w:val="4"/>
            <w:noWrap w:val="0"/>
            <w:vAlign w:val="center"/>
          </w:tcPr>
          <w:p w14:paraId="6AFB5F86">
            <w:pPr>
              <w:jc w:val="center"/>
              <w:rPr>
                <w:rFonts w:hint="eastAsia"/>
                <w:color w:val="auto"/>
                <w:highlight w:val="none"/>
              </w:rPr>
            </w:pPr>
          </w:p>
        </w:tc>
        <w:tc>
          <w:tcPr>
            <w:tcW w:w="1416" w:type="dxa"/>
            <w:gridSpan w:val="2"/>
            <w:noWrap w:val="0"/>
            <w:vAlign w:val="center"/>
          </w:tcPr>
          <w:p w14:paraId="6C952519">
            <w:pPr>
              <w:jc w:val="center"/>
              <w:rPr>
                <w:rFonts w:hint="eastAsia"/>
                <w:color w:val="auto"/>
                <w:highlight w:val="none"/>
              </w:rPr>
            </w:pPr>
          </w:p>
        </w:tc>
      </w:tr>
      <w:tr w14:paraId="0BACC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7"/>
            <w:noWrap w:val="0"/>
            <w:vAlign w:val="center"/>
          </w:tcPr>
          <w:p w14:paraId="10CA99FD">
            <w:pPr>
              <w:jc w:val="center"/>
              <w:rPr>
                <w:color w:val="auto"/>
                <w:highlight w:val="none"/>
              </w:rPr>
            </w:pPr>
            <w:r>
              <w:rPr>
                <w:rFonts w:hint="eastAsia" w:cs="宋体"/>
                <w:color w:val="auto"/>
                <w:highlight w:val="none"/>
              </w:rPr>
              <w:t>在建和已完工程项目情况</w:t>
            </w:r>
          </w:p>
        </w:tc>
      </w:tr>
      <w:tr w14:paraId="0D255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0"/>
            <w:vAlign w:val="center"/>
          </w:tcPr>
          <w:p w14:paraId="5758CE1C">
            <w:pPr>
              <w:jc w:val="center"/>
              <w:rPr>
                <w:color w:val="auto"/>
                <w:highlight w:val="none"/>
              </w:rPr>
            </w:pPr>
          </w:p>
        </w:tc>
        <w:tc>
          <w:tcPr>
            <w:tcW w:w="1548" w:type="dxa"/>
            <w:gridSpan w:val="2"/>
            <w:noWrap w:val="0"/>
            <w:vAlign w:val="center"/>
          </w:tcPr>
          <w:p w14:paraId="079F8C4C">
            <w:pPr>
              <w:jc w:val="center"/>
              <w:rPr>
                <w:rFonts w:hint="eastAsia"/>
                <w:color w:val="auto"/>
                <w:highlight w:val="none"/>
              </w:rPr>
            </w:pPr>
            <w:r>
              <w:rPr>
                <w:rFonts w:hint="eastAsia"/>
                <w:color w:val="auto"/>
                <w:highlight w:val="none"/>
              </w:rPr>
              <w:t>项目1</w:t>
            </w:r>
          </w:p>
        </w:tc>
        <w:tc>
          <w:tcPr>
            <w:tcW w:w="1979" w:type="dxa"/>
            <w:gridSpan w:val="3"/>
            <w:noWrap w:val="0"/>
            <w:vAlign w:val="center"/>
          </w:tcPr>
          <w:p w14:paraId="62AD11C5">
            <w:pPr>
              <w:jc w:val="center"/>
              <w:rPr>
                <w:color w:val="auto"/>
                <w:highlight w:val="none"/>
              </w:rPr>
            </w:pPr>
            <w:r>
              <w:rPr>
                <w:rFonts w:hint="eastAsia"/>
                <w:color w:val="auto"/>
                <w:highlight w:val="none"/>
              </w:rPr>
              <w:t>项目2</w:t>
            </w:r>
          </w:p>
        </w:tc>
        <w:tc>
          <w:tcPr>
            <w:tcW w:w="1330" w:type="dxa"/>
            <w:gridSpan w:val="2"/>
            <w:noWrap w:val="0"/>
            <w:vAlign w:val="center"/>
          </w:tcPr>
          <w:p w14:paraId="75CAE725">
            <w:pPr>
              <w:jc w:val="center"/>
              <w:rPr>
                <w:color w:val="auto"/>
                <w:highlight w:val="none"/>
              </w:rPr>
            </w:pPr>
            <w:r>
              <w:rPr>
                <w:rFonts w:hint="eastAsia"/>
                <w:color w:val="auto"/>
                <w:highlight w:val="none"/>
              </w:rPr>
              <w:t>项目3</w:t>
            </w:r>
          </w:p>
        </w:tc>
        <w:tc>
          <w:tcPr>
            <w:tcW w:w="1641" w:type="dxa"/>
            <w:gridSpan w:val="4"/>
            <w:noWrap w:val="0"/>
            <w:vAlign w:val="center"/>
          </w:tcPr>
          <w:p w14:paraId="39A9B352">
            <w:pPr>
              <w:jc w:val="center"/>
              <w:rPr>
                <w:color w:val="auto"/>
                <w:highlight w:val="none"/>
              </w:rPr>
            </w:pPr>
            <w:r>
              <w:rPr>
                <w:rFonts w:hint="eastAsia"/>
                <w:color w:val="auto"/>
                <w:highlight w:val="none"/>
              </w:rPr>
              <w:t>项目4</w:t>
            </w:r>
          </w:p>
        </w:tc>
        <w:tc>
          <w:tcPr>
            <w:tcW w:w="1484" w:type="dxa"/>
            <w:gridSpan w:val="2"/>
            <w:noWrap w:val="0"/>
            <w:vAlign w:val="center"/>
          </w:tcPr>
          <w:p w14:paraId="30CAB9D5">
            <w:pPr>
              <w:jc w:val="center"/>
              <w:rPr>
                <w:color w:val="auto"/>
                <w:highlight w:val="none"/>
              </w:rPr>
            </w:pPr>
            <w:r>
              <w:rPr>
                <w:rFonts w:hint="eastAsia"/>
                <w:color w:val="auto"/>
                <w:highlight w:val="none"/>
              </w:rPr>
              <w:t>……</w:t>
            </w:r>
          </w:p>
        </w:tc>
      </w:tr>
      <w:tr w14:paraId="40CD7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0"/>
            <w:vAlign w:val="center"/>
          </w:tcPr>
          <w:p w14:paraId="181FA5A9">
            <w:pPr>
              <w:jc w:val="center"/>
              <w:rPr>
                <w:color w:val="auto"/>
                <w:highlight w:val="none"/>
              </w:rPr>
            </w:pPr>
            <w:r>
              <w:rPr>
                <w:rFonts w:hint="eastAsia"/>
                <w:color w:val="auto"/>
                <w:highlight w:val="none"/>
              </w:rPr>
              <w:t>项目名称</w:t>
            </w:r>
          </w:p>
        </w:tc>
        <w:tc>
          <w:tcPr>
            <w:tcW w:w="1548" w:type="dxa"/>
            <w:gridSpan w:val="2"/>
            <w:noWrap w:val="0"/>
            <w:vAlign w:val="center"/>
          </w:tcPr>
          <w:p w14:paraId="20FD149C">
            <w:pPr>
              <w:jc w:val="center"/>
              <w:rPr>
                <w:color w:val="auto"/>
                <w:highlight w:val="none"/>
              </w:rPr>
            </w:pPr>
          </w:p>
        </w:tc>
        <w:tc>
          <w:tcPr>
            <w:tcW w:w="1979" w:type="dxa"/>
            <w:gridSpan w:val="3"/>
            <w:noWrap w:val="0"/>
            <w:vAlign w:val="center"/>
          </w:tcPr>
          <w:p w14:paraId="3DB13D8E">
            <w:pPr>
              <w:jc w:val="center"/>
              <w:rPr>
                <w:color w:val="auto"/>
                <w:highlight w:val="none"/>
              </w:rPr>
            </w:pPr>
          </w:p>
        </w:tc>
        <w:tc>
          <w:tcPr>
            <w:tcW w:w="1330" w:type="dxa"/>
            <w:gridSpan w:val="2"/>
            <w:noWrap w:val="0"/>
            <w:vAlign w:val="center"/>
          </w:tcPr>
          <w:p w14:paraId="709D6D9D">
            <w:pPr>
              <w:jc w:val="center"/>
              <w:rPr>
                <w:color w:val="auto"/>
                <w:highlight w:val="none"/>
              </w:rPr>
            </w:pPr>
          </w:p>
        </w:tc>
        <w:tc>
          <w:tcPr>
            <w:tcW w:w="1641" w:type="dxa"/>
            <w:gridSpan w:val="4"/>
            <w:noWrap w:val="0"/>
            <w:vAlign w:val="center"/>
          </w:tcPr>
          <w:p w14:paraId="0B5820FC">
            <w:pPr>
              <w:jc w:val="center"/>
              <w:rPr>
                <w:color w:val="auto"/>
                <w:highlight w:val="none"/>
              </w:rPr>
            </w:pPr>
          </w:p>
        </w:tc>
        <w:tc>
          <w:tcPr>
            <w:tcW w:w="1484" w:type="dxa"/>
            <w:gridSpan w:val="2"/>
            <w:noWrap w:val="0"/>
            <w:vAlign w:val="center"/>
          </w:tcPr>
          <w:p w14:paraId="451E5BCB">
            <w:pPr>
              <w:jc w:val="center"/>
              <w:rPr>
                <w:color w:val="auto"/>
                <w:highlight w:val="none"/>
              </w:rPr>
            </w:pPr>
          </w:p>
        </w:tc>
      </w:tr>
      <w:tr w14:paraId="25635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16549242">
            <w:pPr>
              <w:jc w:val="center"/>
              <w:rPr>
                <w:color w:val="auto"/>
                <w:highlight w:val="none"/>
              </w:rPr>
            </w:pPr>
            <w:r>
              <w:rPr>
                <w:rFonts w:hint="eastAsia" w:cs="宋体"/>
                <w:color w:val="auto"/>
                <w:highlight w:val="none"/>
              </w:rPr>
              <w:t>建设单位</w:t>
            </w:r>
          </w:p>
        </w:tc>
        <w:tc>
          <w:tcPr>
            <w:tcW w:w="1548" w:type="dxa"/>
            <w:gridSpan w:val="2"/>
            <w:noWrap w:val="0"/>
            <w:vAlign w:val="center"/>
          </w:tcPr>
          <w:p w14:paraId="145E210D">
            <w:pPr>
              <w:jc w:val="center"/>
              <w:rPr>
                <w:color w:val="auto"/>
                <w:highlight w:val="none"/>
              </w:rPr>
            </w:pPr>
          </w:p>
        </w:tc>
        <w:tc>
          <w:tcPr>
            <w:tcW w:w="1979" w:type="dxa"/>
            <w:gridSpan w:val="3"/>
            <w:noWrap w:val="0"/>
            <w:vAlign w:val="center"/>
          </w:tcPr>
          <w:p w14:paraId="78343A49">
            <w:pPr>
              <w:jc w:val="center"/>
              <w:rPr>
                <w:color w:val="auto"/>
                <w:highlight w:val="none"/>
              </w:rPr>
            </w:pPr>
          </w:p>
        </w:tc>
        <w:tc>
          <w:tcPr>
            <w:tcW w:w="1330" w:type="dxa"/>
            <w:gridSpan w:val="2"/>
            <w:noWrap w:val="0"/>
            <w:vAlign w:val="center"/>
          </w:tcPr>
          <w:p w14:paraId="03B58C8D">
            <w:pPr>
              <w:jc w:val="center"/>
              <w:rPr>
                <w:color w:val="auto"/>
                <w:highlight w:val="none"/>
              </w:rPr>
            </w:pPr>
          </w:p>
        </w:tc>
        <w:tc>
          <w:tcPr>
            <w:tcW w:w="1641" w:type="dxa"/>
            <w:gridSpan w:val="4"/>
            <w:noWrap w:val="0"/>
            <w:vAlign w:val="center"/>
          </w:tcPr>
          <w:p w14:paraId="67270A5C">
            <w:pPr>
              <w:jc w:val="center"/>
              <w:rPr>
                <w:color w:val="auto"/>
                <w:highlight w:val="none"/>
              </w:rPr>
            </w:pPr>
          </w:p>
        </w:tc>
        <w:tc>
          <w:tcPr>
            <w:tcW w:w="1484" w:type="dxa"/>
            <w:gridSpan w:val="2"/>
            <w:noWrap w:val="0"/>
            <w:vAlign w:val="center"/>
          </w:tcPr>
          <w:p w14:paraId="15387D06">
            <w:pPr>
              <w:jc w:val="center"/>
              <w:rPr>
                <w:color w:val="auto"/>
                <w:highlight w:val="none"/>
              </w:rPr>
            </w:pPr>
          </w:p>
        </w:tc>
      </w:tr>
      <w:tr w14:paraId="537E4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58A0526A">
            <w:pPr>
              <w:jc w:val="center"/>
              <w:rPr>
                <w:color w:val="auto"/>
                <w:highlight w:val="none"/>
              </w:rPr>
            </w:pPr>
            <w:r>
              <w:rPr>
                <w:rFonts w:hint="eastAsia" w:cs="宋体"/>
                <w:color w:val="auto"/>
                <w:highlight w:val="none"/>
              </w:rPr>
              <w:t>建设规模</w:t>
            </w:r>
          </w:p>
        </w:tc>
        <w:tc>
          <w:tcPr>
            <w:tcW w:w="1548" w:type="dxa"/>
            <w:gridSpan w:val="2"/>
            <w:noWrap w:val="0"/>
            <w:vAlign w:val="center"/>
          </w:tcPr>
          <w:p w14:paraId="522DAA54">
            <w:pPr>
              <w:jc w:val="center"/>
              <w:rPr>
                <w:color w:val="auto"/>
                <w:highlight w:val="none"/>
              </w:rPr>
            </w:pPr>
          </w:p>
        </w:tc>
        <w:tc>
          <w:tcPr>
            <w:tcW w:w="1979" w:type="dxa"/>
            <w:gridSpan w:val="3"/>
            <w:noWrap w:val="0"/>
            <w:vAlign w:val="center"/>
          </w:tcPr>
          <w:p w14:paraId="68D54ADC">
            <w:pPr>
              <w:jc w:val="center"/>
              <w:rPr>
                <w:color w:val="auto"/>
                <w:highlight w:val="none"/>
              </w:rPr>
            </w:pPr>
          </w:p>
        </w:tc>
        <w:tc>
          <w:tcPr>
            <w:tcW w:w="1330" w:type="dxa"/>
            <w:gridSpan w:val="2"/>
            <w:noWrap w:val="0"/>
            <w:vAlign w:val="center"/>
          </w:tcPr>
          <w:p w14:paraId="35BD79BF">
            <w:pPr>
              <w:jc w:val="center"/>
              <w:rPr>
                <w:color w:val="auto"/>
                <w:highlight w:val="none"/>
              </w:rPr>
            </w:pPr>
          </w:p>
        </w:tc>
        <w:tc>
          <w:tcPr>
            <w:tcW w:w="1641" w:type="dxa"/>
            <w:gridSpan w:val="4"/>
            <w:noWrap w:val="0"/>
            <w:vAlign w:val="center"/>
          </w:tcPr>
          <w:p w14:paraId="0EAB0FDE">
            <w:pPr>
              <w:jc w:val="center"/>
              <w:rPr>
                <w:color w:val="auto"/>
                <w:highlight w:val="none"/>
              </w:rPr>
            </w:pPr>
          </w:p>
        </w:tc>
        <w:tc>
          <w:tcPr>
            <w:tcW w:w="1484" w:type="dxa"/>
            <w:gridSpan w:val="2"/>
            <w:noWrap w:val="0"/>
            <w:vAlign w:val="center"/>
          </w:tcPr>
          <w:p w14:paraId="5E7D80B7">
            <w:pPr>
              <w:jc w:val="center"/>
              <w:rPr>
                <w:color w:val="auto"/>
                <w:highlight w:val="none"/>
              </w:rPr>
            </w:pPr>
          </w:p>
        </w:tc>
      </w:tr>
      <w:tr w14:paraId="0DA07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153CC56C">
            <w:pPr>
              <w:jc w:val="center"/>
              <w:rPr>
                <w:rFonts w:hint="eastAsia" w:ascii="宋体" w:hAnsi="宋体" w:cs="宋体"/>
                <w:color w:val="auto"/>
                <w:sz w:val="27"/>
                <w:szCs w:val="27"/>
                <w:highlight w:val="none"/>
                <w:lang w:bidi="ar"/>
              </w:rPr>
            </w:pPr>
            <w:r>
              <w:rPr>
                <w:rFonts w:hint="eastAsia" w:cs="宋体"/>
                <w:color w:val="auto"/>
                <w:highlight w:val="none"/>
              </w:rPr>
              <w:t>开工日期</w:t>
            </w:r>
          </w:p>
        </w:tc>
        <w:tc>
          <w:tcPr>
            <w:tcW w:w="1548" w:type="dxa"/>
            <w:gridSpan w:val="2"/>
            <w:noWrap w:val="0"/>
            <w:vAlign w:val="center"/>
          </w:tcPr>
          <w:p w14:paraId="2D33523E">
            <w:pPr>
              <w:jc w:val="center"/>
              <w:rPr>
                <w:color w:val="auto"/>
                <w:highlight w:val="none"/>
              </w:rPr>
            </w:pPr>
          </w:p>
        </w:tc>
        <w:tc>
          <w:tcPr>
            <w:tcW w:w="1979" w:type="dxa"/>
            <w:gridSpan w:val="3"/>
            <w:noWrap w:val="0"/>
            <w:vAlign w:val="center"/>
          </w:tcPr>
          <w:p w14:paraId="2088E4A6">
            <w:pPr>
              <w:jc w:val="center"/>
              <w:rPr>
                <w:color w:val="auto"/>
                <w:highlight w:val="none"/>
              </w:rPr>
            </w:pPr>
          </w:p>
        </w:tc>
        <w:tc>
          <w:tcPr>
            <w:tcW w:w="1330" w:type="dxa"/>
            <w:gridSpan w:val="2"/>
            <w:noWrap w:val="0"/>
            <w:vAlign w:val="center"/>
          </w:tcPr>
          <w:p w14:paraId="0F068F75">
            <w:pPr>
              <w:jc w:val="center"/>
              <w:rPr>
                <w:color w:val="auto"/>
                <w:highlight w:val="none"/>
              </w:rPr>
            </w:pPr>
          </w:p>
        </w:tc>
        <w:tc>
          <w:tcPr>
            <w:tcW w:w="1641" w:type="dxa"/>
            <w:gridSpan w:val="4"/>
            <w:noWrap w:val="0"/>
            <w:vAlign w:val="center"/>
          </w:tcPr>
          <w:p w14:paraId="5D74B904">
            <w:pPr>
              <w:jc w:val="center"/>
              <w:rPr>
                <w:color w:val="auto"/>
                <w:highlight w:val="none"/>
              </w:rPr>
            </w:pPr>
          </w:p>
        </w:tc>
        <w:tc>
          <w:tcPr>
            <w:tcW w:w="1484" w:type="dxa"/>
            <w:gridSpan w:val="2"/>
            <w:noWrap w:val="0"/>
            <w:vAlign w:val="center"/>
          </w:tcPr>
          <w:p w14:paraId="63DBF44A">
            <w:pPr>
              <w:jc w:val="center"/>
              <w:rPr>
                <w:color w:val="auto"/>
                <w:highlight w:val="none"/>
              </w:rPr>
            </w:pPr>
          </w:p>
        </w:tc>
      </w:tr>
      <w:tr w14:paraId="02352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3F4E544F">
            <w:pPr>
              <w:jc w:val="center"/>
              <w:rPr>
                <w:color w:val="auto"/>
                <w:highlight w:val="none"/>
              </w:rPr>
            </w:pPr>
            <w:r>
              <w:rPr>
                <w:rFonts w:hint="eastAsia" w:cs="宋体"/>
                <w:color w:val="auto"/>
                <w:highlight w:val="none"/>
              </w:rPr>
              <w:t>竣工日期</w:t>
            </w:r>
          </w:p>
        </w:tc>
        <w:tc>
          <w:tcPr>
            <w:tcW w:w="1548" w:type="dxa"/>
            <w:gridSpan w:val="2"/>
            <w:noWrap w:val="0"/>
            <w:vAlign w:val="center"/>
          </w:tcPr>
          <w:p w14:paraId="0B304294">
            <w:pPr>
              <w:jc w:val="center"/>
              <w:rPr>
                <w:color w:val="auto"/>
                <w:highlight w:val="none"/>
              </w:rPr>
            </w:pPr>
          </w:p>
        </w:tc>
        <w:tc>
          <w:tcPr>
            <w:tcW w:w="1979" w:type="dxa"/>
            <w:gridSpan w:val="3"/>
            <w:noWrap w:val="0"/>
            <w:vAlign w:val="center"/>
          </w:tcPr>
          <w:p w14:paraId="4FAF9F27">
            <w:pPr>
              <w:jc w:val="center"/>
              <w:rPr>
                <w:color w:val="auto"/>
                <w:highlight w:val="none"/>
              </w:rPr>
            </w:pPr>
          </w:p>
        </w:tc>
        <w:tc>
          <w:tcPr>
            <w:tcW w:w="1330" w:type="dxa"/>
            <w:gridSpan w:val="2"/>
            <w:noWrap w:val="0"/>
            <w:vAlign w:val="center"/>
          </w:tcPr>
          <w:p w14:paraId="18D81B31">
            <w:pPr>
              <w:jc w:val="center"/>
              <w:rPr>
                <w:color w:val="auto"/>
                <w:highlight w:val="none"/>
              </w:rPr>
            </w:pPr>
          </w:p>
        </w:tc>
        <w:tc>
          <w:tcPr>
            <w:tcW w:w="1641" w:type="dxa"/>
            <w:gridSpan w:val="4"/>
            <w:noWrap w:val="0"/>
            <w:vAlign w:val="center"/>
          </w:tcPr>
          <w:p w14:paraId="7EB1D3D8">
            <w:pPr>
              <w:jc w:val="center"/>
              <w:rPr>
                <w:color w:val="auto"/>
                <w:highlight w:val="none"/>
              </w:rPr>
            </w:pPr>
          </w:p>
        </w:tc>
        <w:tc>
          <w:tcPr>
            <w:tcW w:w="1484" w:type="dxa"/>
            <w:gridSpan w:val="2"/>
            <w:noWrap w:val="0"/>
            <w:vAlign w:val="center"/>
          </w:tcPr>
          <w:p w14:paraId="25E83D45">
            <w:pPr>
              <w:jc w:val="center"/>
              <w:rPr>
                <w:color w:val="auto"/>
                <w:highlight w:val="none"/>
              </w:rPr>
            </w:pPr>
          </w:p>
        </w:tc>
      </w:tr>
      <w:tr w14:paraId="1FEDC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402C7BC4">
            <w:pPr>
              <w:jc w:val="center"/>
              <w:rPr>
                <w:rFonts w:hint="eastAsia" w:cs="宋体"/>
                <w:color w:val="auto"/>
                <w:highlight w:val="none"/>
              </w:rPr>
            </w:pPr>
            <w:r>
              <w:rPr>
                <w:rFonts w:hint="eastAsia" w:cs="宋体"/>
                <w:color w:val="auto"/>
                <w:highlight w:val="none"/>
              </w:rPr>
              <w:t>人员角色</w:t>
            </w:r>
          </w:p>
        </w:tc>
        <w:tc>
          <w:tcPr>
            <w:tcW w:w="1548" w:type="dxa"/>
            <w:gridSpan w:val="2"/>
            <w:noWrap w:val="0"/>
            <w:vAlign w:val="center"/>
          </w:tcPr>
          <w:p w14:paraId="4F147B91">
            <w:pPr>
              <w:jc w:val="center"/>
              <w:rPr>
                <w:color w:val="auto"/>
                <w:highlight w:val="none"/>
              </w:rPr>
            </w:pPr>
          </w:p>
        </w:tc>
        <w:tc>
          <w:tcPr>
            <w:tcW w:w="1979" w:type="dxa"/>
            <w:gridSpan w:val="3"/>
            <w:noWrap w:val="0"/>
            <w:vAlign w:val="center"/>
          </w:tcPr>
          <w:p w14:paraId="5663FF07">
            <w:pPr>
              <w:jc w:val="center"/>
              <w:rPr>
                <w:color w:val="auto"/>
                <w:highlight w:val="none"/>
              </w:rPr>
            </w:pPr>
          </w:p>
        </w:tc>
        <w:tc>
          <w:tcPr>
            <w:tcW w:w="1330" w:type="dxa"/>
            <w:gridSpan w:val="2"/>
            <w:noWrap w:val="0"/>
            <w:vAlign w:val="center"/>
          </w:tcPr>
          <w:p w14:paraId="6BDC9E1E">
            <w:pPr>
              <w:jc w:val="center"/>
              <w:rPr>
                <w:color w:val="auto"/>
                <w:highlight w:val="none"/>
              </w:rPr>
            </w:pPr>
          </w:p>
        </w:tc>
        <w:tc>
          <w:tcPr>
            <w:tcW w:w="1641" w:type="dxa"/>
            <w:gridSpan w:val="4"/>
            <w:noWrap w:val="0"/>
            <w:vAlign w:val="center"/>
          </w:tcPr>
          <w:p w14:paraId="4502304F">
            <w:pPr>
              <w:jc w:val="center"/>
              <w:rPr>
                <w:color w:val="auto"/>
                <w:highlight w:val="none"/>
              </w:rPr>
            </w:pPr>
          </w:p>
        </w:tc>
        <w:tc>
          <w:tcPr>
            <w:tcW w:w="1484" w:type="dxa"/>
            <w:gridSpan w:val="2"/>
            <w:noWrap w:val="0"/>
            <w:vAlign w:val="center"/>
          </w:tcPr>
          <w:p w14:paraId="42783D84">
            <w:pPr>
              <w:jc w:val="center"/>
              <w:rPr>
                <w:color w:val="auto"/>
                <w:highlight w:val="none"/>
              </w:rPr>
            </w:pPr>
          </w:p>
        </w:tc>
      </w:tr>
      <w:tr w14:paraId="61856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52082169">
            <w:pPr>
              <w:jc w:val="center"/>
              <w:rPr>
                <w:rFonts w:hint="eastAsia" w:cs="宋体"/>
                <w:color w:val="auto"/>
                <w:highlight w:val="none"/>
              </w:rPr>
            </w:pPr>
            <w:r>
              <w:rPr>
                <w:rFonts w:hint="eastAsia" w:cs="宋体"/>
                <w:color w:val="auto"/>
                <w:highlight w:val="none"/>
              </w:rPr>
              <w:t>在建或已完</w:t>
            </w:r>
          </w:p>
        </w:tc>
        <w:tc>
          <w:tcPr>
            <w:tcW w:w="1548" w:type="dxa"/>
            <w:gridSpan w:val="2"/>
            <w:noWrap w:val="0"/>
            <w:vAlign w:val="center"/>
          </w:tcPr>
          <w:p w14:paraId="173153FC">
            <w:pPr>
              <w:jc w:val="center"/>
              <w:rPr>
                <w:color w:val="auto"/>
                <w:highlight w:val="none"/>
              </w:rPr>
            </w:pPr>
          </w:p>
        </w:tc>
        <w:tc>
          <w:tcPr>
            <w:tcW w:w="1979" w:type="dxa"/>
            <w:gridSpan w:val="3"/>
            <w:noWrap w:val="0"/>
            <w:vAlign w:val="center"/>
          </w:tcPr>
          <w:p w14:paraId="3311F66C">
            <w:pPr>
              <w:jc w:val="center"/>
              <w:rPr>
                <w:color w:val="auto"/>
                <w:highlight w:val="none"/>
              </w:rPr>
            </w:pPr>
          </w:p>
        </w:tc>
        <w:tc>
          <w:tcPr>
            <w:tcW w:w="1330" w:type="dxa"/>
            <w:gridSpan w:val="2"/>
            <w:noWrap w:val="0"/>
            <w:vAlign w:val="center"/>
          </w:tcPr>
          <w:p w14:paraId="02C6A6FD">
            <w:pPr>
              <w:jc w:val="center"/>
              <w:rPr>
                <w:color w:val="auto"/>
                <w:highlight w:val="none"/>
              </w:rPr>
            </w:pPr>
          </w:p>
        </w:tc>
        <w:tc>
          <w:tcPr>
            <w:tcW w:w="1641" w:type="dxa"/>
            <w:gridSpan w:val="4"/>
            <w:noWrap w:val="0"/>
            <w:vAlign w:val="center"/>
          </w:tcPr>
          <w:p w14:paraId="15779E25">
            <w:pPr>
              <w:jc w:val="center"/>
              <w:rPr>
                <w:color w:val="auto"/>
                <w:highlight w:val="none"/>
              </w:rPr>
            </w:pPr>
          </w:p>
        </w:tc>
        <w:tc>
          <w:tcPr>
            <w:tcW w:w="1484" w:type="dxa"/>
            <w:gridSpan w:val="2"/>
            <w:noWrap w:val="0"/>
            <w:vAlign w:val="center"/>
          </w:tcPr>
          <w:p w14:paraId="29D46B46">
            <w:pPr>
              <w:jc w:val="center"/>
              <w:rPr>
                <w:color w:val="auto"/>
                <w:highlight w:val="none"/>
              </w:rPr>
            </w:pPr>
          </w:p>
        </w:tc>
      </w:tr>
      <w:tr w14:paraId="1252D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6140E0C2">
            <w:pPr>
              <w:jc w:val="center"/>
              <w:rPr>
                <w:rFonts w:hint="eastAsia" w:cs="宋体"/>
                <w:color w:val="auto"/>
                <w:highlight w:val="none"/>
              </w:rPr>
            </w:pPr>
            <w:r>
              <w:rPr>
                <w:rFonts w:hint="eastAsia" w:cs="宋体"/>
                <w:color w:val="auto"/>
                <w:highlight w:val="none"/>
              </w:rPr>
              <w:t>工程质量</w:t>
            </w:r>
          </w:p>
        </w:tc>
        <w:tc>
          <w:tcPr>
            <w:tcW w:w="1548" w:type="dxa"/>
            <w:gridSpan w:val="2"/>
            <w:noWrap w:val="0"/>
            <w:vAlign w:val="center"/>
          </w:tcPr>
          <w:p w14:paraId="016DCAD5">
            <w:pPr>
              <w:jc w:val="center"/>
              <w:rPr>
                <w:color w:val="auto"/>
                <w:highlight w:val="none"/>
              </w:rPr>
            </w:pPr>
          </w:p>
        </w:tc>
        <w:tc>
          <w:tcPr>
            <w:tcW w:w="1979" w:type="dxa"/>
            <w:gridSpan w:val="3"/>
            <w:noWrap w:val="0"/>
            <w:vAlign w:val="center"/>
          </w:tcPr>
          <w:p w14:paraId="75F34A6B">
            <w:pPr>
              <w:jc w:val="center"/>
              <w:rPr>
                <w:color w:val="auto"/>
                <w:highlight w:val="none"/>
              </w:rPr>
            </w:pPr>
          </w:p>
        </w:tc>
        <w:tc>
          <w:tcPr>
            <w:tcW w:w="1330" w:type="dxa"/>
            <w:gridSpan w:val="2"/>
            <w:noWrap w:val="0"/>
            <w:vAlign w:val="center"/>
          </w:tcPr>
          <w:p w14:paraId="62A2C4F2">
            <w:pPr>
              <w:jc w:val="center"/>
              <w:rPr>
                <w:color w:val="auto"/>
                <w:highlight w:val="none"/>
              </w:rPr>
            </w:pPr>
          </w:p>
        </w:tc>
        <w:tc>
          <w:tcPr>
            <w:tcW w:w="1641" w:type="dxa"/>
            <w:gridSpan w:val="4"/>
            <w:noWrap w:val="0"/>
            <w:vAlign w:val="center"/>
          </w:tcPr>
          <w:p w14:paraId="32D78C6D">
            <w:pPr>
              <w:jc w:val="center"/>
              <w:rPr>
                <w:color w:val="auto"/>
                <w:highlight w:val="none"/>
              </w:rPr>
            </w:pPr>
          </w:p>
        </w:tc>
        <w:tc>
          <w:tcPr>
            <w:tcW w:w="1484" w:type="dxa"/>
            <w:gridSpan w:val="2"/>
            <w:noWrap w:val="0"/>
            <w:vAlign w:val="center"/>
          </w:tcPr>
          <w:p w14:paraId="1E7D5DB4">
            <w:pPr>
              <w:jc w:val="center"/>
              <w:rPr>
                <w:color w:val="auto"/>
                <w:highlight w:val="none"/>
              </w:rPr>
            </w:pPr>
          </w:p>
        </w:tc>
      </w:tr>
      <w:tr w14:paraId="4375E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28E56753">
            <w:pPr>
              <w:jc w:val="center"/>
              <w:rPr>
                <w:rFonts w:hint="eastAsia" w:cs="宋体"/>
                <w:color w:val="auto"/>
                <w:highlight w:val="none"/>
              </w:rPr>
            </w:pPr>
            <w:r>
              <w:rPr>
                <w:rFonts w:hint="eastAsia" w:cs="宋体"/>
                <w:color w:val="auto"/>
                <w:highlight w:val="none"/>
              </w:rPr>
              <w:t>受奖情况</w:t>
            </w:r>
          </w:p>
        </w:tc>
        <w:tc>
          <w:tcPr>
            <w:tcW w:w="1548" w:type="dxa"/>
            <w:gridSpan w:val="2"/>
            <w:noWrap w:val="0"/>
            <w:vAlign w:val="center"/>
          </w:tcPr>
          <w:p w14:paraId="71E39862">
            <w:pPr>
              <w:jc w:val="center"/>
              <w:rPr>
                <w:color w:val="auto"/>
                <w:highlight w:val="none"/>
              </w:rPr>
            </w:pPr>
          </w:p>
        </w:tc>
        <w:tc>
          <w:tcPr>
            <w:tcW w:w="1979" w:type="dxa"/>
            <w:gridSpan w:val="3"/>
            <w:noWrap w:val="0"/>
            <w:vAlign w:val="center"/>
          </w:tcPr>
          <w:p w14:paraId="6914C0C4">
            <w:pPr>
              <w:jc w:val="center"/>
              <w:rPr>
                <w:color w:val="auto"/>
                <w:highlight w:val="none"/>
              </w:rPr>
            </w:pPr>
          </w:p>
        </w:tc>
        <w:tc>
          <w:tcPr>
            <w:tcW w:w="1330" w:type="dxa"/>
            <w:gridSpan w:val="2"/>
            <w:noWrap w:val="0"/>
            <w:vAlign w:val="center"/>
          </w:tcPr>
          <w:p w14:paraId="7320AD3C">
            <w:pPr>
              <w:jc w:val="center"/>
              <w:rPr>
                <w:color w:val="auto"/>
                <w:highlight w:val="none"/>
              </w:rPr>
            </w:pPr>
          </w:p>
        </w:tc>
        <w:tc>
          <w:tcPr>
            <w:tcW w:w="1641" w:type="dxa"/>
            <w:gridSpan w:val="4"/>
            <w:noWrap w:val="0"/>
            <w:vAlign w:val="center"/>
          </w:tcPr>
          <w:p w14:paraId="2D3B6CB7">
            <w:pPr>
              <w:jc w:val="center"/>
              <w:rPr>
                <w:color w:val="auto"/>
                <w:highlight w:val="none"/>
              </w:rPr>
            </w:pPr>
          </w:p>
        </w:tc>
        <w:tc>
          <w:tcPr>
            <w:tcW w:w="1484" w:type="dxa"/>
            <w:gridSpan w:val="2"/>
            <w:noWrap w:val="0"/>
            <w:vAlign w:val="center"/>
          </w:tcPr>
          <w:p w14:paraId="4C39D168">
            <w:pPr>
              <w:jc w:val="center"/>
              <w:rPr>
                <w:color w:val="auto"/>
                <w:highlight w:val="none"/>
              </w:rPr>
            </w:pPr>
          </w:p>
        </w:tc>
      </w:tr>
    </w:tbl>
    <w:p w14:paraId="6CF51719">
      <w:pPr>
        <w:rPr>
          <w:rFonts w:ascii="宋体" w:hAnsi="宋体"/>
          <w:color w:val="auto"/>
          <w:szCs w:val="21"/>
          <w:highlight w:val="none"/>
        </w:rPr>
      </w:pPr>
      <w:r>
        <w:rPr>
          <w:rFonts w:hint="eastAsia" w:ascii="宋体" w:hAnsi="宋体" w:cs="楷体_GB2312"/>
          <w:color w:val="auto"/>
          <w:szCs w:val="21"/>
          <w:highlight w:val="none"/>
        </w:rPr>
        <w:t>备注：</w:t>
      </w:r>
    </w:p>
    <w:p w14:paraId="5D1647B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1.项目</w:t>
      </w:r>
      <w:r>
        <w:rPr>
          <w:rFonts w:ascii="宋体" w:hAnsi="宋体"/>
          <w:color w:val="auto"/>
          <w:szCs w:val="21"/>
          <w:highlight w:val="none"/>
        </w:rPr>
        <w:t>数</w:t>
      </w:r>
      <w:r>
        <w:rPr>
          <w:rFonts w:hint="eastAsia" w:ascii="宋体" w:hAnsi="宋体"/>
          <w:color w:val="auto"/>
          <w:szCs w:val="21"/>
          <w:highlight w:val="none"/>
        </w:rPr>
        <w:t>可</w:t>
      </w:r>
      <w:r>
        <w:rPr>
          <w:rFonts w:ascii="宋体" w:hAnsi="宋体"/>
          <w:color w:val="auto"/>
          <w:szCs w:val="21"/>
          <w:highlight w:val="none"/>
        </w:rPr>
        <w:t>以根据需要增加</w:t>
      </w:r>
      <w:r>
        <w:rPr>
          <w:rFonts w:hint="eastAsia" w:ascii="宋体" w:hAnsi="宋体"/>
          <w:color w:val="auto"/>
          <w:szCs w:val="21"/>
          <w:highlight w:val="none"/>
        </w:rPr>
        <w:t>。</w:t>
      </w:r>
    </w:p>
    <w:p w14:paraId="0E8AFD4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2.本表后附项目经理的学历证、安全生产考核合格证（B类）、本表所列证书复印件并加盖供应商电子签章。</w:t>
      </w:r>
    </w:p>
    <w:p w14:paraId="549A8133">
      <w:pPr>
        <w:spacing w:before="156" w:beforeLines="50"/>
        <w:ind w:firstLine="643" w:firstLineChars="200"/>
        <w:jc w:val="center"/>
        <w:rPr>
          <w:color w:val="auto"/>
          <w:sz w:val="28"/>
          <w:szCs w:val="28"/>
          <w:highlight w:val="none"/>
          <w:u w:val="single"/>
        </w:rPr>
      </w:pPr>
      <w:r>
        <w:rPr>
          <w:rFonts w:cs="宋体"/>
          <w:b/>
          <w:color w:val="auto"/>
          <w:sz w:val="32"/>
          <w:szCs w:val="32"/>
          <w:highlight w:val="none"/>
        </w:rPr>
        <w:br w:type="page"/>
      </w:r>
      <w:r>
        <w:rPr>
          <w:rFonts w:hint="eastAsia" w:cs="宋体"/>
          <w:b/>
          <w:color w:val="auto"/>
          <w:sz w:val="28"/>
          <w:szCs w:val="28"/>
          <w:highlight w:val="none"/>
        </w:rPr>
        <w:t>项目技术负责人（项目总工）简历表</w:t>
      </w:r>
    </w:p>
    <w:tbl>
      <w:tblPr>
        <w:tblStyle w:val="43"/>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54"/>
        <w:gridCol w:w="164"/>
        <w:gridCol w:w="300"/>
        <w:gridCol w:w="888"/>
        <w:gridCol w:w="660"/>
        <w:gridCol w:w="328"/>
        <w:gridCol w:w="234"/>
        <w:gridCol w:w="1417"/>
        <w:gridCol w:w="242"/>
        <w:gridCol w:w="1088"/>
        <w:gridCol w:w="88"/>
        <w:gridCol w:w="409"/>
        <w:gridCol w:w="1108"/>
        <w:gridCol w:w="36"/>
        <w:gridCol w:w="79"/>
        <w:gridCol w:w="1405"/>
        <w:gridCol w:w="11"/>
      </w:tblGrid>
      <w:tr w14:paraId="41648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noWrap w:val="0"/>
            <w:vAlign w:val="center"/>
          </w:tcPr>
          <w:p w14:paraId="564354FF">
            <w:pPr>
              <w:jc w:val="center"/>
              <w:rPr>
                <w:color w:val="auto"/>
                <w:highlight w:val="none"/>
              </w:rPr>
            </w:pPr>
            <w:r>
              <w:rPr>
                <w:rFonts w:hint="eastAsia" w:cs="宋体"/>
                <w:color w:val="auto"/>
                <w:highlight w:val="none"/>
              </w:rPr>
              <w:t>姓名</w:t>
            </w:r>
          </w:p>
        </w:tc>
        <w:tc>
          <w:tcPr>
            <w:tcW w:w="2340" w:type="dxa"/>
            <w:gridSpan w:val="5"/>
            <w:noWrap w:val="0"/>
            <w:vAlign w:val="center"/>
          </w:tcPr>
          <w:p w14:paraId="4132A903">
            <w:pPr>
              <w:jc w:val="center"/>
              <w:rPr>
                <w:color w:val="auto"/>
                <w:highlight w:val="none"/>
              </w:rPr>
            </w:pPr>
          </w:p>
        </w:tc>
        <w:tc>
          <w:tcPr>
            <w:tcW w:w="1893" w:type="dxa"/>
            <w:gridSpan w:val="3"/>
            <w:noWrap w:val="0"/>
            <w:vAlign w:val="center"/>
          </w:tcPr>
          <w:p w14:paraId="03678A03">
            <w:pPr>
              <w:jc w:val="center"/>
              <w:rPr>
                <w:color w:val="auto"/>
                <w:highlight w:val="none"/>
              </w:rPr>
            </w:pPr>
            <w:r>
              <w:rPr>
                <w:rFonts w:hint="eastAsia" w:cs="宋体"/>
                <w:color w:val="auto"/>
                <w:highlight w:val="none"/>
              </w:rPr>
              <w:t>性别</w:t>
            </w:r>
          </w:p>
        </w:tc>
        <w:tc>
          <w:tcPr>
            <w:tcW w:w="1585" w:type="dxa"/>
            <w:gridSpan w:val="3"/>
            <w:noWrap w:val="0"/>
            <w:vAlign w:val="center"/>
          </w:tcPr>
          <w:p w14:paraId="2D211192">
            <w:pPr>
              <w:jc w:val="center"/>
              <w:rPr>
                <w:color w:val="auto"/>
                <w:highlight w:val="none"/>
              </w:rPr>
            </w:pPr>
          </w:p>
        </w:tc>
        <w:tc>
          <w:tcPr>
            <w:tcW w:w="1108" w:type="dxa"/>
            <w:noWrap w:val="0"/>
            <w:vAlign w:val="center"/>
          </w:tcPr>
          <w:p w14:paraId="1AA611B2">
            <w:pPr>
              <w:jc w:val="center"/>
              <w:rPr>
                <w:color w:val="auto"/>
                <w:highlight w:val="none"/>
              </w:rPr>
            </w:pPr>
            <w:r>
              <w:rPr>
                <w:rFonts w:hint="eastAsia" w:cs="宋体"/>
                <w:color w:val="auto"/>
                <w:highlight w:val="none"/>
              </w:rPr>
              <w:t>年龄</w:t>
            </w:r>
          </w:p>
        </w:tc>
        <w:tc>
          <w:tcPr>
            <w:tcW w:w="1531" w:type="dxa"/>
            <w:gridSpan w:val="4"/>
            <w:noWrap w:val="0"/>
            <w:vAlign w:val="center"/>
          </w:tcPr>
          <w:p w14:paraId="788E5429">
            <w:pPr>
              <w:jc w:val="center"/>
              <w:rPr>
                <w:color w:val="auto"/>
                <w:highlight w:val="none"/>
              </w:rPr>
            </w:pPr>
          </w:p>
        </w:tc>
      </w:tr>
      <w:tr w14:paraId="40FD9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noWrap w:val="0"/>
            <w:vAlign w:val="center"/>
          </w:tcPr>
          <w:p w14:paraId="3429C20C">
            <w:pPr>
              <w:jc w:val="center"/>
              <w:rPr>
                <w:color w:val="auto"/>
                <w:highlight w:val="none"/>
              </w:rPr>
            </w:pPr>
            <w:r>
              <w:rPr>
                <w:rFonts w:hint="eastAsia" w:cs="宋体"/>
                <w:color w:val="auto"/>
                <w:highlight w:val="none"/>
              </w:rPr>
              <w:t>岗位</w:t>
            </w:r>
          </w:p>
        </w:tc>
        <w:tc>
          <w:tcPr>
            <w:tcW w:w="2340" w:type="dxa"/>
            <w:gridSpan w:val="5"/>
            <w:noWrap w:val="0"/>
            <w:vAlign w:val="center"/>
          </w:tcPr>
          <w:p w14:paraId="5839A5E6">
            <w:pPr>
              <w:jc w:val="center"/>
              <w:rPr>
                <w:color w:val="auto"/>
                <w:highlight w:val="none"/>
              </w:rPr>
            </w:pPr>
            <w:r>
              <w:rPr>
                <w:rFonts w:hint="eastAsia"/>
                <w:color w:val="auto"/>
                <w:highlight w:val="none"/>
              </w:rPr>
              <w:t>项目技术负责人（项目总工）</w:t>
            </w:r>
          </w:p>
        </w:tc>
        <w:tc>
          <w:tcPr>
            <w:tcW w:w="1893" w:type="dxa"/>
            <w:gridSpan w:val="3"/>
            <w:noWrap w:val="0"/>
            <w:vAlign w:val="center"/>
          </w:tcPr>
          <w:p w14:paraId="33FCD0A0">
            <w:pPr>
              <w:jc w:val="center"/>
              <w:rPr>
                <w:color w:val="auto"/>
                <w:highlight w:val="none"/>
              </w:rPr>
            </w:pPr>
            <w:r>
              <w:rPr>
                <w:rFonts w:hint="eastAsia" w:cs="宋体"/>
                <w:color w:val="auto"/>
                <w:highlight w:val="none"/>
              </w:rPr>
              <w:t>职称</w:t>
            </w:r>
          </w:p>
        </w:tc>
        <w:tc>
          <w:tcPr>
            <w:tcW w:w="1585" w:type="dxa"/>
            <w:gridSpan w:val="3"/>
            <w:noWrap w:val="0"/>
            <w:vAlign w:val="center"/>
          </w:tcPr>
          <w:p w14:paraId="50A7C591">
            <w:pPr>
              <w:jc w:val="center"/>
              <w:rPr>
                <w:color w:val="auto"/>
                <w:highlight w:val="none"/>
              </w:rPr>
            </w:pPr>
          </w:p>
        </w:tc>
        <w:tc>
          <w:tcPr>
            <w:tcW w:w="1108" w:type="dxa"/>
            <w:noWrap w:val="0"/>
            <w:vAlign w:val="center"/>
          </w:tcPr>
          <w:p w14:paraId="6B2999E6">
            <w:pPr>
              <w:jc w:val="center"/>
              <w:rPr>
                <w:color w:val="auto"/>
                <w:highlight w:val="none"/>
              </w:rPr>
            </w:pPr>
            <w:r>
              <w:rPr>
                <w:rFonts w:hint="eastAsia" w:cs="宋体"/>
                <w:color w:val="auto"/>
                <w:highlight w:val="none"/>
              </w:rPr>
              <w:t>学历</w:t>
            </w:r>
          </w:p>
        </w:tc>
        <w:tc>
          <w:tcPr>
            <w:tcW w:w="1531" w:type="dxa"/>
            <w:gridSpan w:val="4"/>
            <w:noWrap w:val="0"/>
            <w:vAlign w:val="center"/>
          </w:tcPr>
          <w:p w14:paraId="4AB06F82">
            <w:pPr>
              <w:jc w:val="center"/>
              <w:rPr>
                <w:color w:val="auto"/>
                <w:highlight w:val="none"/>
              </w:rPr>
            </w:pPr>
          </w:p>
        </w:tc>
      </w:tr>
      <w:tr w14:paraId="21C44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noWrap w:val="0"/>
            <w:vAlign w:val="center"/>
          </w:tcPr>
          <w:p w14:paraId="7493A627">
            <w:pPr>
              <w:jc w:val="center"/>
              <w:rPr>
                <w:rFonts w:hint="eastAsia" w:cs="宋体"/>
                <w:color w:val="auto"/>
                <w:highlight w:val="none"/>
              </w:rPr>
            </w:pPr>
            <w:r>
              <w:rPr>
                <w:rFonts w:hint="eastAsia" w:cs="宋体"/>
                <w:color w:val="auto"/>
                <w:highlight w:val="none"/>
              </w:rPr>
              <w:t>从业开始时间</w:t>
            </w:r>
          </w:p>
        </w:tc>
        <w:tc>
          <w:tcPr>
            <w:tcW w:w="2340" w:type="dxa"/>
            <w:gridSpan w:val="5"/>
            <w:noWrap w:val="0"/>
            <w:vAlign w:val="center"/>
          </w:tcPr>
          <w:p w14:paraId="2D2787A2">
            <w:pPr>
              <w:jc w:val="center"/>
              <w:rPr>
                <w:color w:val="auto"/>
                <w:highlight w:val="none"/>
              </w:rPr>
            </w:pPr>
          </w:p>
        </w:tc>
        <w:tc>
          <w:tcPr>
            <w:tcW w:w="1893" w:type="dxa"/>
            <w:gridSpan w:val="3"/>
            <w:noWrap w:val="0"/>
            <w:vAlign w:val="center"/>
          </w:tcPr>
          <w:p w14:paraId="58F232BF">
            <w:pPr>
              <w:jc w:val="center"/>
              <w:rPr>
                <w:rFonts w:hint="eastAsia" w:cs="宋体"/>
                <w:color w:val="auto"/>
                <w:highlight w:val="none"/>
              </w:rPr>
            </w:pPr>
            <w:r>
              <w:rPr>
                <w:rFonts w:hint="eastAsia" w:cs="宋体"/>
                <w:color w:val="auto"/>
                <w:highlight w:val="none"/>
              </w:rPr>
              <w:t>职称</w:t>
            </w:r>
            <w:r>
              <w:rPr>
                <w:rFonts w:cs="宋体"/>
                <w:color w:val="auto"/>
                <w:highlight w:val="none"/>
              </w:rPr>
              <w:t>获</w:t>
            </w:r>
            <w:r>
              <w:rPr>
                <w:rFonts w:hint="eastAsia" w:cs="宋体"/>
                <w:color w:val="auto"/>
                <w:highlight w:val="none"/>
              </w:rPr>
              <w:t>得</w:t>
            </w:r>
            <w:r>
              <w:rPr>
                <w:rFonts w:cs="宋体"/>
                <w:color w:val="auto"/>
                <w:highlight w:val="none"/>
              </w:rPr>
              <w:t>时间</w:t>
            </w:r>
          </w:p>
        </w:tc>
        <w:tc>
          <w:tcPr>
            <w:tcW w:w="1585" w:type="dxa"/>
            <w:gridSpan w:val="3"/>
            <w:noWrap w:val="0"/>
            <w:vAlign w:val="center"/>
          </w:tcPr>
          <w:p w14:paraId="20734D3E">
            <w:pPr>
              <w:jc w:val="center"/>
              <w:rPr>
                <w:color w:val="auto"/>
                <w:highlight w:val="none"/>
              </w:rPr>
            </w:pPr>
          </w:p>
        </w:tc>
        <w:tc>
          <w:tcPr>
            <w:tcW w:w="1108" w:type="dxa"/>
            <w:noWrap w:val="0"/>
            <w:vAlign w:val="center"/>
          </w:tcPr>
          <w:p w14:paraId="0DD66A68">
            <w:pPr>
              <w:jc w:val="center"/>
              <w:rPr>
                <w:rFonts w:hint="eastAsia" w:cs="宋体"/>
                <w:color w:val="auto"/>
                <w:highlight w:val="none"/>
              </w:rPr>
            </w:pPr>
            <w:r>
              <w:rPr>
                <w:rFonts w:hint="eastAsia" w:cs="宋体"/>
                <w:color w:val="auto"/>
                <w:highlight w:val="none"/>
              </w:rPr>
              <w:t>毕业时间</w:t>
            </w:r>
          </w:p>
        </w:tc>
        <w:tc>
          <w:tcPr>
            <w:tcW w:w="1531" w:type="dxa"/>
            <w:gridSpan w:val="4"/>
            <w:noWrap w:val="0"/>
            <w:vAlign w:val="center"/>
          </w:tcPr>
          <w:p w14:paraId="5A6CC2BF">
            <w:pPr>
              <w:jc w:val="center"/>
              <w:rPr>
                <w:color w:val="auto"/>
                <w:highlight w:val="none"/>
              </w:rPr>
            </w:pPr>
          </w:p>
        </w:tc>
      </w:tr>
      <w:tr w14:paraId="77194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noWrap w:val="0"/>
            <w:vAlign w:val="center"/>
          </w:tcPr>
          <w:p w14:paraId="492B2C2E">
            <w:pPr>
              <w:jc w:val="center"/>
              <w:rPr>
                <w:color w:val="auto"/>
                <w:highlight w:val="none"/>
              </w:rPr>
            </w:pPr>
            <w:r>
              <w:rPr>
                <w:rFonts w:hint="eastAsia" w:cs="宋体"/>
                <w:color w:val="auto"/>
                <w:highlight w:val="none"/>
              </w:rPr>
              <w:t>担任</w:t>
            </w:r>
            <w:r>
              <w:rPr>
                <w:rFonts w:hint="eastAsia"/>
                <w:color w:val="auto"/>
                <w:highlight w:val="none"/>
              </w:rPr>
              <w:t>……</w:t>
            </w:r>
            <w:r>
              <w:rPr>
                <w:rFonts w:hint="eastAsia" w:cs="宋体"/>
                <w:color w:val="auto"/>
                <w:highlight w:val="none"/>
              </w:rPr>
              <w:t>年限</w:t>
            </w:r>
          </w:p>
        </w:tc>
        <w:tc>
          <w:tcPr>
            <w:tcW w:w="2410" w:type="dxa"/>
            <w:gridSpan w:val="5"/>
            <w:noWrap w:val="0"/>
            <w:vAlign w:val="center"/>
          </w:tcPr>
          <w:p w14:paraId="609123E2">
            <w:pPr>
              <w:jc w:val="center"/>
              <w:rPr>
                <w:color w:val="auto"/>
                <w:highlight w:val="none"/>
              </w:rPr>
            </w:pPr>
          </w:p>
        </w:tc>
        <w:tc>
          <w:tcPr>
            <w:tcW w:w="1417" w:type="dxa"/>
            <w:noWrap w:val="0"/>
            <w:vAlign w:val="center"/>
          </w:tcPr>
          <w:p w14:paraId="5215B33F">
            <w:pPr>
              <w:jc w:val="center"/>
              <w:rPr>
                <w:color w:val="auto"/>
                <w:highlight w:val="none"/>
              </w:rPr>
            </w:pPr>
            <w:r>
              <w:rPr>
                <w:rFonts w:hint="eastAsia"/>
                <w:color w:val="auto"/>
                <w:highlight w:val="none"/>
              </w:rPr>
              <w:t>身份</w:t>
            </w:r>
            <w:r>
              <w:rPr>
                <w:color w:val="auto"/>
                <w:highlight w:val="none"/>
              </w:rPr>
              <w:t>证号码</w:t>
            </w:r>
          </w:p>
        </w:tc>
        <w:tc>
          <w:tcPr>
            <w:tcW w:w="4466" w:type="dxa"/>
            <w:gridSpan w:val="9"/>
            <w:noWrap w:val="0"/>
            <w:vAlign w:val="center"/>
          </w:tcPr>
          <w:p w14:paraId="5B14F1A2">
            <w:pPr>
              <w:jc w:val="center"/>
              <w:rPr>
                <w:color w:val="auto"/>
                <w:highlight w:val="none"/>
              </w:rPr>
            </w:pPr>
          </w:p>
        </w:tc>
      </w:tr>
      <w:tr w14:paraId="41D12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noWrap w:val="0"/>
            <w:vAlign w:val="center"/>
          </w:tcPr>
          <w:p w14:paraId="7CFFFD50">
            <w:pPr>
              <w:jc w:val="center"/>
              <w:rPr>
                <w:color w:val="auto"/>
                <w:highlight w:val="none"/>
              </w:rPr>
            </w:pPr>
            <w:r>
              <w:rPr>
                <w:rFonts w:hint="eastAsia"/>
                <w:color w:val="auto"/>
                <w:highlight w:val="none"/>
              </w:rPr>
              <w:t>证书名称</w:t>
            </w:r>
          </w:p>
        </w:tc>
        <w:tc>
          <w:tcPr>
            <w:tcW w:w="1188" w:type="dxa"/>
            <w:gridSpan w:val="2"/>
            <w:noWrap w:val="0"/>
            <w:vAlign w:val="center"/>
          </w:tcPr>
          <w:p w14:paraId="21BB2378">
            <w:pPr>
              <w:jc w:val="center"/>
              <w:rPr>
                <w:color w:val="auto"/>
                <w:highlight w:val="none"/>
              </w:rPr>
            </w:pPr>
            <w:r>
              <w:rPr>
                <w:rFonts w:hint="eastAsia"/>
                <w:color w:val="auto"/>
                <w:highlight w:val="none"/>
              </w:rPr>
              <w:t>注册专业</w:t>
            </w:r>
          </w:p>
        </w:tc>
        <w:tc>
          <w:tcPr>
            <w:tcW w:w="1222" w:type="dxa"/>
            <w:gridSpan w:val="3"/>
            <w:noWrap w:val="0"/>
            <w:vAlign w:val="center"/>
          </w:tcPr>
          <w:p w14:paraId="190A4C31">
            <w:pPr>
              <w:jc w:val="center"/>
              <w:rPr>
                <w:color w:val="auto"/>
                <w:highlight w:val="none"/>
              </w:rPr>
            </w:pPr>
            <w:r>
              <w:rPr>
                <w:color w:val="auto"/>
                <w:highlight w:val="none"/>
              </w:rPr>
              <w:t>级别</w:t>
            </w:r>
          </w:p>
        </w:tc>
        <w:tc>
          <w:tcPr>
            <w:tcW w:w="1417" w:type="dxa"/>
            <w:noWrap w:val="0"/>
            <w:vAlign w:val="center"/>
          </w:tcPr>
          <w:p w14:paraId="673FBFDC">
            <w:pPr>
              <w:jc w:val="center"/>
              <w:rPr>
                <w:color w:val="auto"/>
                <w:highlight w:val="none"/>
              </w:rPr>
            </w:pPr>
            <w:r>
              <w:rPr>
                <w:rFonts w:hint="eastAsia" w:cs="宋体"/>
                <w:color w:val="auto"/>
                <w:highlight w:val="none"/>
              </w:rPr>
              <w:t>证书编号</w:t>
            </w:r>
          </w:p>
        </w:tc>
        <w:tc>
          <w:tcPr>
            <w:tcW w:w="1418" w:type="dxa"/>
            <w:gridSpan w:val="3"/>
            <w:noWrap w:val="0"/>
            <w:vAlign w:val="center"/>
          </w:tcPr>
          <w:p w14:paraId="728A4A7F">
            <w:pPr>
              <w:jc w:val="center"/>
              <w:rPr>
                <w:color w:val="auto"/>
                <w:highlight w:val="none"/>
              </w:rPr>
            </w:pPr>
            <w:r>
              <w:rPr>
                <w:rFonts w:hint="eastAsia"/>
                <w:color w:val="auto"/>
                <w:highlight w:val="none"/>
              </w:rPr>
              <w:t>注册时间</w:t>
            </w:r>
          </w:p>
        </w:tc>
        <w:tc>
          <w:tcPr>
            <w:tcW w:w="1632" w:type="dxa"/>
            <w:gridSpan w:val="4"/>
            <w:noWrap w:val="0"/>
            <w:vAlign w:val="center"/>
          </w:tcPr>
          <w:p w14:paraId="2D496EFC">
            <w:pPr>
              <w:jc w:val="center"/>
              <w:rPr>
                <w:color w:val="auto"/>
                <w:highlight w:val="none"/>
              </w:rPr>
            </w:pPr>
            <w:r>
              <w:rPr>
                <w:rFonts w:hint="eastAsia"/>
                <w:color w:val="auto"/>
                <w:highlight w:val="none"/>
              </w:rPr>
              <w:t>注册单位</w:t>
            </w:r>
          </w:p>
        </w:tc>
        <w:tc>
          <w:tcPr>
            <w:tcW w:w="1416" w:type="dxa"/>
            <w:gridSpan w:val="2"/>
            <w:noWrap w:val="0"/>
            <w:vAlign w:val="center"/>
          </w:tcPr>
          <w:p w14:paraId="34898C42">
            <w:pPr>
              <w:jc w:val="center"/>
              <w:rPr>
                <w:color w:val="auto"/>
                <w:highlight w:val="none"/>
              </w:rPr>
            </w:pPr>
            <w:r>
              <w:rPr>
                <w:rFonts w:hint="eastAsia"/>
                <w:color w:val="auto"/>
                <w:highlight w:val="none"/>
              </w:rPr>
              <w:t>注册有效期</w:t>
            </w:r>
          </w:p>
        </w:tc>
      </w:tr>
      <w:tr w14:paraId="36680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noWrap w:val="0"/>
            <w:vAlign w:val="center"/>
          </w:tcPr>
          <w:p w14:paraId="7875D0C2">
            <w:pPr>
              <w:jc w:val="center"/>
              <w:rPr>
                <w:rFonts w:hint="eastAsia"/>
                <w:color w:val="auto"/>
                <w:highlight w:val="none"/>
              </w:rPr>
            </w:pPr>
          </w:p>
        </w:tc>
        <w:tc>
          <w:tcPr>
            <w:tcW w:w="1188" w:type="dxa"/>
            <w:gridSpan w:val="2"/>
            <w:noWrap w:val="0"/>
            <w:vAlign w:val="center"/>
          </w:tcPr>
          <w:p w14:paraId="275B5EF5">
            <w:pPr>
              <w:jc w:val="center"/>
              <w:rPr>
                <w:rFonts w:hint="eastAsia"/>
                <w:color w:val="auto"/>
                <w:highlight w:val="none"/>
              </w:rPr>
            </w:pPr>
          </w:p>
        </w:tc>
        <w:tc>
          <w:tcPr>
            <w:tcW w:w="1222" w:type="dxa"/>
            <w:gridSpan w:val="3"/>
            <w:noWrap w:val="0"/>
            <w:vAlign w:val="center"/>
          </w:tcPr>
          <w:p w14:paraId="7C60331A">
            <w:pPr>
              <w:jc w:val="center"/>
              <w:rPr>
                <w:rFonts w:hint="eastAsia" w:cs="宋体"/>
                <w:color w:val="auto"/>
                <w:highlight w:val="none"/>
              </w:rPr>
            </w:pPr>
          </w:p>
        </w:tc>
        <w:tc>
          <w:tcPr>
            <w:tcW w:w="1417" w:type="dxa"/>
            <w:noWrap w:val="0"/>
            <w:vAlign w:val="center"/>
          </w:tcPr>
          <w:p w14:paraId="16AB1BC5">
            <w:pPr>
              <w:jc w:val="center"/>
              <w:rPr>
                <w:rFonts w:hint="eastAsia"/>
                <w:color w:val="auto"/>
                <w:highlight w:val="none"/>
              </w:rPr>
            </w:pPr>
          </w:p>
        </w:tc>
        <w:tc>
          <w:tcPr>
            <w:tcW w:w="1418" w:type="dxa"/>
            <w:gridSpan w:val="3"/>
            <w:noWrap w:val="0"/>
            <w:vAlign w:val="center"/>
          </w:tcPr>
          <w:p w14:paraId="70FC5A1F">
            <w:pPr>
              <w:jc w:val="center"/>
              <w:rPr>
                <w:rFonts w:hint="eastAsia"/>
                <w:color w:val="auto"/>
                <w:highlight w:val="none"/>
              </w:rPr>
            </w:pPr>
          </w:p>
        </w:tc>
        <w:tc>
          <w:tcPr>
            <w:tcW w:w="1632" w:type="dxa"/>
            <w:gridSpan w:val="4"/>
            <w:noWrap w:val="0"/>
            <w:vAlign w:val="center"/>
          </w:tcPr>
          <w:p w14:paraId="33F7094D">
            <w:pPr>
              <w:jc w:val="center"/>
              <w:rPr>
                <w:rFonts w:hint="eastAsia"/>
                <w:color w:val="auto"/>
                <w:highlight w:val="none"/>
              </w:rPr>
            </w:pPr>
          </w:p>
        </w:tc>
        <w:tc>
          <w:tcPr>
            <w:tcW w:w="1416" w:type="dxa"/>
            <w:gridSpan w:val="2"/>
            <w:noWrap w:val="0"/>
            <w:vAlign w:val="center"/>
          </w:tcPr>
          <w:p w14:paraId="6EB2A1FE">
            <w:pPr>
              <w:jc w:val="center"/>
              <w:rPr>
                <w:rFonts w:hint="eastAsia"/>
                <w:color w:val="auto"/>
                <w:highlight w:val="none"/>
              </w:rPr>
            </w:pPr>
          </w:p>
        </w:tc>
      </w:tr>
      <w:tr w14:paraId="2022C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noWrap w:val="0"/>
            <w:vAlign w:val="center"/>
          </w:tcPr>
          <w:p w14:paraId="494CFF3A">
            <w:pPr>
              <w:jc w:val="center"/>
              <w:rPr>
                <w:rFonts w:hint="eastAsia"/>
                <w:color w:val="auto"/>
                <w:highlight w:val="none"/>
              </w:rPr>
            </w:pPr>
          </w:p>
        </w:tc>
        <w:tc>
          <w:tcPr>
            <w:tcW w:w="1188" w:type="dxa"/>
            <w:gridSpan w:val="2"/>
            <w:noWrap w:val="0"/>
            <w:vAlign w:val="center"/>
          </w:tcPr>
          <w:p w14:paraId="0CCB4588">
            <w:pPr>
              <w:jc w:val="center"/>
              <w:rPr>
                <w:rFonts w:hint="eastAsia"/>
                <w:color w:val="auto"/>
                <w:highlight w:val="none"/>
              </w:rPr>
            </w:pPr>
          </w:p>
        </w:tc>
        <w:tc>
          <w:tcPr>
            <w:tcW w:w="1222" w:type="dxa"/>
            <w:gridSpan w:val="3"/>
            <w:noWrap w:val="0"/>
            <w:vAlign w:val="center"/>
          </w:tcPr>
          <w:p w14:paraId="7E136789">
            <w:pPr>
              <w:jc w:val="center"/>
              <w:rPr>
                <w:rFonts w:hint="eastAsia" w:cs="宋体"/>
                <w:color w:val="auto"/>
                <w:highlight w:val="none"/>
              </w:rPr>
            </w:pPr>
          </w:p>
        </w:tc>
        <w:tc>
          <w:tcPr>
            <w:tcW w:w="1417" w:type="dxa"/>
            <w:noWrap w:val="0"/>
            <w:vAlign w:val="center"/>
          </w:tcPr>
          <w:p w14:paraId="60331F70">
            <w:pPr>
              <w:jc w:val="center"/>
              <w:rPr>
                <w:rFonts w:hint="eastAsia"/>
                <w:color w:val="auto"/>
                <w:highlight w:val="none"/>
              </w:rPr>
            </w:pPr>
          </w:p>
        </w:tc>
        <w:tc>
          <w:tcPr>
            <w:tcW w:w="1418" w:type="dxa"/>
            <w:gridSpan w:val="3"/>
            <w:noWrap w:val="0"/>
            <w:vAlign w:val="center"/>
          </w:tcPr>
          <w:p w14:paraId="14DEB483">
            <w:pPr>
              <w:jc w:val="center"/>
              <w:rPr>
                <w:rFonts w:hint="eastAsia"/>
                <w:color w:val="auto"/>
                <w:highlight w:val="none"/>
              </w:rPr>
            </w:pPr>
          </w:p>
        </w:tc>
        <w:tc>
          <w:tcPr>
            <w:tcW w:w="1632" w:type="dxa"/>
            <w:gridSpan w:val="4"/>
            <w:noWrap w:val="0"/>
            <w:vAlign w:val="center"/>
          </w:tcPr>
          <w:p w14:paraId="448C24A5">
            <w:pPr>
              <w:jc w:val="center"/>
              <w:rPr>
                <w:rFonts w:hint="eastAsia"/>
                <w:color w:val="auto"/>
                <w:highlight w:val="none"/>
              </w:rPr>
            </w:pPr>
          </w:p>
        </w:tc>
        <w:tc>
          <w:tcPr>
            <w:tcW w:w="1416" w:type="dxa"/>
            <w:gridSpan w:val="2"/>
            <w:noWrap w:val="0"/>
            <w:vAlign w:val="center"/>
          </w:tcPr>
          <w:p w14:paraId="362E9582">
            <w:pPr>
              <w:jc w:val="center"/>
              <w:rPr>
                <w:rFonts w:hint="eastAsia"/>
                <w:color w:val="auto"/>
                <w:highlight w:val="none"/>
              </w:rPr>
            </w:pPr>
          </w:p>
        </w:tc>
      </w:tr>
      <w:tr w14:paraId="140B9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7"/>
            <w:noWrap w:val="0"/>
            <w:vAlign w:val="center"/>
          </w:tcPr>
          <w:p w14:paraId="26F03AD6">
            <w:pPr>
              <w:jc w:val="center"/>
              <w:rPr>
                <w:color w:val="auto"/>
                <w:highlight w:val="none"/>
              </w:rPr>
            </w:pPr>
            <w:r>
              <w:rPr>
                <w:rFonts w:hint="eastAsia" w:cs="宋体"/>
                <w:color w:val="auto"/>
                <w:highlight w:val="none"/>
              </w:rPr>
              <w:t>在建和已完工程项目情况</w:t>
            </w:r>
          </w:p>
        </w:tc>
      </w:tr>
      <w:tr w14:paraId="5A233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0"/>
            <w:vAlign w:val="center"/>
          </w:tcPr>
          <w:p w14:paraId="09213D9F">
            <w:pPr>
              <w:jc w:val="center"/>
              <w:rPr>
                <w:color w:val="auto"/>
                <w:highlight w:val="none"/>
              </w:rPr>
            </w:pPr>
          </w:p>
        </w:tc>
        <w:tc>
          <w:tcPr>
            <w:tcW w:w="1548" w:type="dxa"/>
            <w:gridSpan w:val="2"/>
            <w:noWrap w:val="0"/>
            <w:vAlign w:val="center"/>
          </w:tcPr>
          <w:p w14:paraId="77B2C9BA">
            <w:pPr>
              <w:jc w:val="center"/>
              <w:rPr>
                <w:rFonts w:hint="eastAsia"/>
                <w:color w:val="auto"/>
                <w:highlight w:val="none"/>
              </w:rPr>
            </w:pPr>
            <w:r>
              <w:rPr>
                <w:rFonts w:hint="eastAsia"/>
                <w:color w:val="auto"/>
                <w:highlight w:val="none"/>
              </w:rPr>
              <w:t>项目1</w:t>
            </w:r>
          </w:p>
        </w:tc>
        <w:tc>
          <w:tcPr>
            <w:tcW w:w="1979" w:type="dxa"/>
            <w:gridSpan w:val="3"/>
            <w:noWrap w:val="0"/>
            <w:vAlign w:val="center"/>
          </w:tcPr>
          <w:p w14:paraId="1513A306">
            <w:pPr>
              <w:jc w:val="center"/>
              <w:rPr>
                <w:color w:val="auto"/>
                <w:highlight w:val="none"/>
              </w:rPr>
            </w:pPr>
            <w:r>
              <w:rPr>
                <w:rFonts w:hint="eastAsia"/>
                <w:color w:val="auto"/>
                <w:highlight w:val="none"/>
              </w:rPr>
              <w:t>项目2</w:t>
            </w:r>
          </w:p>
        </w:tc>
        <w:tc>
          <w:tcPr>
            <w:tcW w:w="1330" w:type="dxa"/>
            <w:gridSpan w:val="2"/>
            <w:noWrap w:val="0"/>
            <w:vAlign w:val="center"/>
          </w:tcPr>
          <w:p w14:paraId="282F056E">
            <w:pPr>
              <w:jc w:val="center"/>
              <w:rPr>
                <w:color w:val="auto"/>
                <w:highlight w:val="none"/>
              </w:rPr>
            </w:pPr>
            <w:r>
              <w:rPr>
                <w:rFonts w:hint="eastAsia"/>
                <w:color w:val="auto"/>
                <w:highlight w:val="none"/>
              </w:rPr>
              <w:t>项目3</w:t>
            </w:r>
          </w:p>
        </w:tc>
        <w:tc>
          <w:tcPr>
            <w:tcW w:w="1641" w:type="dxa"/>
            <w:gridSpan w:val="4"/>
            <w:noWrap w:val="0"/>
            <w:vAlign w:val="center"/>
          </w:tcPr>
          <w:p w14:paraId="430A6500">
            <w:pPr>
              <w:jc w:val="center"/>
              <w:rPr>
                <w:color w:val="auto"/>
                <w:highlight w:val="none"/>
              </w:rPr>
            </w:pPr>
            <w:r>
              <w:rPr>
                <w:rFonts w:hint="eastAsia"/>
                <w:color w:val="auto"/>
                <w:highlight w:val="none"/>
              </w:rPr>
              <w:t>项目4</w:t>
            </w:r>
          </w:p>
        </w:tc>
        <w:tc>
          <w:tcPr>
            <w:tcW w:w="1484" w:type="dxa"/>
            <w:gridSpan w:val="2"/>
            <w:noWrap w:val="0"/>
            <w:vAlign w:val="center"/>
          </w:tcPr>
          <w:p w14:paraId="1A36AB55">
            <w:pPr>
              <w:jc w:val="center"/>
              <w:rPr>
                <w:color w:val="auto"/>
                <w:highlight w:val="none"/>
              </w:rPr>
            </w:pPr>
            <w:r>
              <w:rPr>
                <w:rFonts w:hint="eastAsia"/>
                <w:color w:val="auto"/>
                <w:highlight w:val="none"/>
              </w:rPr>
              <w:t>……</w:t>
            </w:r>
          </w:p>
        </w:tc>
      </w:tr>
      <w:tr w14:paraId="7A4F5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0"/>
            <w:vAlign w:val="center"/>
          </w:tcPr>
          <w:p w14:paraId="78949E47">
            <w:pPr>
              <w:jc w:val="center"/>
              <w:rPr>
                <w:color w:val="auto"/>
                <w:highlight w:val="none"/>
              </w:rPr>
            </w:pPr>
            <w:r>
              <w:rPr>
                <w:rFonts w:hint="eastAsia"/>
                <w:color w:val="auto"/>
                <w:highlight w:val="none"/>
              </w:rPr>
              <w:t>项目名称</w:t>
            </w:r>
          </w:p>
        </w:tc>
        <w:tc>
          <w:tcPr>
            <w:tcW w:w="1548" w:type="dxa"/>
            <w:gridSpan w:val="2"/>
            <w:noWrap w:val="0"/>
            <w:vAlign w:val="center"/>
          </w:tcPr>
          <w:p w14:paraId="268540DE">
            <w:pPr>
              <w:jc w:val="center"/>
              <w:rPr>
                <w:color w:val="auto"/>
                <w:highlight w:val="none"/>
              </w:rPr>
            </w:pPr>
          </w:p>
        </w:tc>
        <w:tc>
          <w:tcPr>
            <w:tcW w:w="1979" w:type="dxa"/>
            <w:gridSpan w:val="3"/>
            <w:noWrap w:val="0"/>
            <w:vAlign w:val="center"/>
          </w:tcPr>
          <w:p w14:paraId="5A849964">
            <w:pPr>
              <w:jc w:val="center"/>
              <w:rPr>
                <w:color w:val="auto"/>
                <w:highlight w:val="none"/>
              </w:rPr>
            </w:pPr>
          </w:p>
        </w:tc>
        <w:tc>
          <w:tcPr>
            <w:tcW w:w="1330" w:type="dxa"/>
            <w:gridSpan w:val="2"/>
            <w:noWrap w:val="0"/>
            <w:vAlign w:val="center"/>
          </w:tcPr>
          <w:p w14:paraId="0198FF24">
            <w:pPr>
              <w:jc w:val="center"/>
              <w:rPr>
                <w:color w:val="auto"/>
                <w:highlight w:val="none"/>
              </w:rPr>
            </w:pPr>
          </w:p>
        </w:tc>
        <w:tc>
          <w:tcPr>
            <w:tcW w:w="1641" w:type="dxa"/>
            <w:gridSpan w:val="4"/>
            <w:noWrap w:val="0"/>
            <w:vAlign w:val="center"/>
          </w:tcPr>
          <w:p w14:paraId="2C3B5197">
            <w:pPr>
              <w:jc w:val="center"/>
              <w:rPr>
                <w:color w:val="auto"/>
                <w:highlight w:val="none"/>
              </w:rPr>
            </w:pPr>
          </w:p>
        </w:tc>
        <w:tc>
          <w:tcPr>
            <w:tcW w:w="1484" w:type="dxa"/>
            <w:gridSpan w:val="2"/>
            <w:noWrap w:val="0"/>
            <w:vAlign w:val="center"/>
          </w:tcPr>
          <w:p w14:paraId="7C040DA7">
            <w:pPr>
              <w:jc w:val="center"/>
              <w:rPr>
                <w:color w:val="auto"/>
                <w:highlight w:val="none"/>
              </w:rPr>
            </w:pPr>
          </w:p>
        </w:tc>
      </w:tr>
      <w:tr w14:paraId="17247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158674D3">
            <w:pPr>
              <w:jc w:val="center"/>
              <w:rPr>
                <w:color w:val="auto"/>
                <w:highlight w:val="none"/>
              </w:rPr>
            </w:pPr>
            <w:r>
              <w:rPr>
                <w:rFonts w:hint="eastAsia" w:cs="宋体"/>
                <w:color w:val="auto"/>
                <w:highlight w:val="none"/>
              </w:rPr>
              <w:t>建设单位</w:t>
            </w:r>
          </w:p>
        </w:tc>
        <w:tc>
          <w:tcPr>
            <w:tcW w:w="1548" w:type="dxa"/>
            <w:gridSpan w:val="2"/>
            <w:noWrap w:val="0"/>
            <w:vAlign w:val="center"/>
          </w:tcPr>
          <w:p w14:paraId="78C4F05C">
            <w:pPr>
              <w:jc w:val="center"/>
              <w:rPr>
                <w:color w:val="auto"/>
                <w:highlight w:val="none"/>
              </w:rPr>
            </w:pPr>
          </w:p>
        </w:tc>
        <w:tc>
          <w:tcPr>
            <w:tcW w:w="1979" w:type="dxa"/>
            <w:gridSpan w:val="3"/>
            <w:noWrap w:val="0"/>
            <w:vAlign w:val="center"/>
          </w:tcPr>
          <w:p w14:paraId="373F9FDC">
            <w:pPr>
              <w:jc w:val="center"/>
              <w:rPr>
                <w:color w:val="auto"/>
                <w:highlight w:val="none"/>
              </w:rPr>
            </w:pPr>
          </w:p>
        </w:tc>
        <w:tc>
          <w:tcPr>
            <w:tcW w:w="1330" w:type="dxa"/>
            <w:gridSpan w:val="2"/>
            <w:noWrap w:val="0"/>
            <w:vAlign w:val="center"/>
          </w:tcPr>
          <w:p w14:paraId="0F090502">
            <w:pPr>
              <w:jc w:val="center"/>
              <w:rPr>
                <w:color w:val="auto"/>
                <w:highlight w:val="none"/>
              </w:rPr>
            </w:pPr>
          </w:p>
        </w:tc>
        <w:tc>
          <w:tcPr>
            <w:tcW w:w="1641" w:type="dxa"/>
            <w:gridSpan w:val="4"/>
            <w:noWrap w:val="0"/>
            <w:vAlign w:val="center"/>
          </w:tcPr>
          <w:p w14:paraId="4401A618">
            <w:pPr>
              <w:jc w:val="center"/>
              <w:rPr>
                <w:color w:val="auto"/>
                <w:highlight w:val="none"/>
              </w:rPr>
            </w:pPr>
          </w:p>
        </w:tc>
        <w:tc>
          <w:tcPr>
            <w:tcW w:w="1484" w:type="dxa"/>
            <w:gridSpan w:val="2"/>
            <w:noWrap w:val="0"/>
            <w:vAlign w:val="center"/>
          </w:tcPr>
          <w:p w14:paraId="03949A40">
            <w:pPr>
              <w:jc w:val="center"/>
              <w:rPr>
                <w:color w:val="auto"/>
                <w:highlight w:val="none"/>
              </w:rPr>
            </w:pPr>
          </w:p>
        </w:tc>
      </w:tr>
      <w:tr w14:paraId="28C18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0AC590FD">
            <w:pPr>
              <w:jc w:val="center"/>
              <w:rPr>
                <w:color w:val="auto"/>
                <w:highlight w:val="none"/>
              </w:rPr>
            </w:pPr>
            <w:r>
              <w:rPr>
                <w:rFonts w:hint="eastAsia" w:cs="宋体"/>
                <w:color w:val="auto"/>
                <w:highlight w:val="none"/>
              </w:rPr>
              <w:t>建设规模</w:t>
            </w:r>
          </w:p>
        </w:tc>
        <w:tc>
          <w:tcPr>
            <w:tcW w:w="1548" w:type="dxa"/>
            <w:gridSpan w:val="2"/>
            <w:noWrap w:val="0"/>
            <w:vAlign w:val="center"/>
          </w:tcPr>
          <w:p w14:paraId="70213074">
            <w:pPr>
              <w:jc w:val="center"/>
              <w:rPr>
                <w:color w:val="auto"/>
                <w:highlight w:val="none"/>
              </w:rPr>
            </w:pPr>
          </w:p>
        </w:tc>
        <w:tc>
          <w:tcPr>
            <w:tcW w:w="1979" w:type="dxa"/>
            <w:gridSpan w:val="3"/>
            <w:noWrap w:val="0"/>
            <w:vAlign w:val="center"/>
          </w:tcPr>
          <w:p w14:paraId="076970A7">
            <w:pPr>
              <w:jc w:val="center"/>
              <w:rPr>
                <w:color w:val="auto"/>
                <w:highlight w:val="none"/>
              </w:rPr>
            </w:pPr>
          </w:p>
        </w:tc>
        <w:tc>
          <w:tcPr>
            <w:tcW w:w="1330" w:type="dxa"/>
            <w:gridSpan w:val="2"/>
            <w:noWrap w:val="0"/>
            <w:vAlign w:val="center"/>
          </w:tcPr>
          <w:p w14:paraId="189403D2">
            <w:pPr>
              <w:jc w:val="center"/>
              <w:rPr>
                <w:color w:val="auto"/>
                <w:highlight w:val="none"/>
              </w:rPr>
            </w:pPr>
          </w:p>
        </w:tc>
        <w:tc>
          <w:tcPr>
            <w:tcW w:w="1641" w:type="dxa"/>
            <w:gridSpan w:val="4"/>
            <w:noWrap w:val="0"/>
            <w:vAlign w:val="center"/>
          </w:tcPr>
          <w:p w14:paraId="5F8F0A31">
            <w:pPr>
              <w:jc w:val="center"/>
              <w:rPr>
                <w:color w:val="auto"/>
                <w:highlight w:val="none"/>
              </w:rPr>
            </w:pPr>
          </w:p>
        </w:tc>
        <w:tc>
          <w:tcPr>
            <w:tcW w:w="1484" w:type="dxa"/>
            <w:gridSpan w:val="2"/>
            <w:noWrap w:val="0"/>
            <w:vAlign w:val="center"/>
          </w:tcPr>
          <w:p w14:paraId="00891770">
            <w:pPr>
              <w:jc w:val="center"/>
              <w:rPr>
                <w:color w:val="auto"/>
                <w:highlight w:val="none"/>
              </w:rPr>
            </w:pPr>
          </w:p>
        </w:tc>
      </w:tr>
      <w:tr w14:paraId="220D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5B9294B8">
            <w:pPr>
              <w:jc w:val="center"/>
              <w:rPr>
                <w:rFonts w:hint="eastAsia" w:ascii="宋体" w:hAnsi="宋体" w:cs="宋体"/>
                <w:color w:val="auto"/>
                <w:sz w:val="27"/>
                <w:szCs w:val="27"/>
                <w:highlight w:val="none"/>
                <w:lang w:bidi="ar"/>
              </w:rPr>
            </w:pPr>
            <w:r>
              <w:rPr>
                <w:rFonts w:hint="eastAsia" w:cs="宋体"/>
                <w:color w:val="auto"/>
                <w:highlight w:val="none"/>
              </w:rPr>
              <w:t>开工日期</w:t>
            </w:r>
          </w:p>
        </w:tc>
        <w:tc>
          <w:tcPr>
            <w:tcW w:w="1548" w:type="dxa"/>
            <w:gridSpan w:val="2"/>
            <w:noWrap w:val="0"/>
            <w:vAlign w:val="center"/>
          </w:tcPr>
          <w:p w14:paraId="0058A600">
            <w:pPr>
              <w:jc w:val="center"/>
              <w:rPr>
                <w:color w:val="auto"/>
                <w:highlight w:val="none"/>
              </w:rPr>
            </w:pPr>
          </w:p>
        </w:tc>
        <w:tc>
          <w:tcPr>
            <w:tcW w:w="1979" w:type="dxa"/>
            <w:gridSpan w:val="3"/>
            <w:noWrap w:val="0"/>
            <w:vAlign w:val="center"/>
          </w:tcPr>
          <w:p w14:paraId="2E9E550F">
            <w:pPr>
              <w:jc w:val="center"/>
              <w:rPr>
                <w:color w:val="auto"/>
                <w:highlight w:val="none"/>
              </w:rPr>
            </w:pPr>
          </w:p>
        </w:tc>
        <w:tc>
          <w:tcPr>
            <w:tcW w:w="1330" w:type="dxa"/>
            <w:gridSpan w:val="2"/>
            <w:noWrap w:val="0"/>
            <w:vAlign w:val="center"/>
          </w:tcPr>
          <w:p w14:paraId="78769916">
            <w:pPr>
              <w:jc w:val="center"/>
              <w:rPr>
                <w:color w:val="auto"/>
                <w:highlight w:val="none"/>
              </w:rPr>
            </w:pPr>
          </w:p>
        </w:tc>
        <w:tc>
          <w:tcPr>
            <w:tcW w:w="1641" w:type="dxa"/>
            <w:gridSpan w:val="4"/>
            <w:noWrap w:val="0"/>
            <w:vAlign w:val="center"/>
          </w:tcPr>
          <w:p w14:paraId="717067B1">
            <w:pPr>
              <w:jc w:val="center"/>
              <w:rPr>
                <w:color w:val="auto"/>
                <w:highlight w:val="none"/>
              </w:rPr>
            </w:pPr>
          </w:p>
        </w:tc>
        <w:tc>
          <w:tcPr>
            <w:tcW w:w="1484" w:type="dxa"/>
            <w:gridSpan w:val="2"/>
            <w:noWrap w:val="0"/>
            <w:vAlign w:val="center"/>
          </w:tcPr>
          <w:p w14:paraId="6227271D">
            <w:pPr>
              <w:jc w:val="center"/>
              <w:rPr>
                <w:color w:val="auto"/>
                <w:highlight w:val="none"/>
              </w:rPr>
            </w:pPr>
          </w:p>
        </w:tc>
      </w:tr>
      <w:tr w14:paraId="74C8C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551908D2">
            <w:pPr>
              <w:jc w:val="center"/>
              <w:rPr>
                <w:color w:val="auto"/>
                <w:highlight w:val="none"/>
              </w:rPr>
            </w:pPr>
            <w:r>
              <w:rPr>
                <w:rFonts w:hint="eastAsia" w:cs="宋体"/>
                <w:color w:val="auto"/>
                <w:highlight w:val="none"/>
              </w:rPr>
              <w:t>竣工日期</w:t>
            </w:r>
          </w:p>
        </w:tc>
        <w:tc>
          <w:tcPr>
            <w:tcW w:w="1548" w:type="dxa"/>
            <w:gridSpan w:val="2"/>
            <w:noWrap w:val="0"/>
            <w:vAlign w:val="center"/>
          </w:tcPr>
          <w:p w14:paraId="2FD0081E">
            <w:pPr>
              <w:jc w:val="center"/>
              <w:rPr>
                <w:color w:val="auto"/>
                <w:highlight w:val="none"/>
              </w:rPr>
            </w:pPr>
          </w:p>
        </w:tc>
        <w:tc>
          <w:tcPr>
            <w:tcW w:w="1979" w:type="dxa"/>
            <w:gridSpan w:val="3"/>
            <w:noWrap w:val="0"/>
            <w:vAlign w:val="center"/>
          </w:tcPr>
          <w:p w14:paraId="60D759AF">
            <w:pPr>
              <w:jc w:val="center"/>
              <w:rPr>
                <w:color w:val="auto"/>
                <w:highlight w:val="none"/>
              </w:rPr>
            </w:pPr>
          </w:p>
        </w:tc>
        <w:tc>
          <w:tcPr>
            <w:tcW w:w="1330" w:type="dxa"/>
            <w:gridSpan w:val="2"/>
            <w:noWrap w:val="0"/>
            <w:vAlign w:val="center"/>
          </w:tcPr>
          <w:p w14:paraId="53416117">
            <w:pPr>
              <w:jc w:val="center"/>
              <w:rPr>
                <w:color w:val="auto"/>
                <w:highlight w:val="none"/>
              </w:rPr>
            </w:pPr>
          </w:p>
        </w:tc>
        <w:tc>
          <w:tcPr>
            <w:tcW w:w="1641" w:type="dxa"/>
            <w:gridSpan w:val="4"/>
            <w:noWrap w:val="0"/>
            <w:vAlign w:val="center"/>
          </w:tcPr>
          <w:p w14:paraId="3A1CDA98">
            <w:pPr>
              <w:jc w:val="center"/>
              <w:rPr>
                <w:color w:val="auto"/>
                <w:highlight w:val="none"/>
              </w:rPr>
            </w:pPr>
          </w:p>
        </w:tc>
        <w:tc>
          <w:tcPr>
            <w:tcW w:w="1484" w:type="dxa"/>
            <w:gridSpan w:val="2"/>
            <w:noWrap w:val="0"/>
            <w:vAlign w:val="center"/>
          </w:tcPr>
          <w:p w14:paraId="5CE6181E">
            <w:pPr>
              <w:jc w:val="center"/>
              <w:rPr>
                <w:color w:val="auto"/>
                <w:highlight w:val="none"/>
              </w:rPr>
            </w:pPr>
          </w:p>
        </w:tc>
      </w:tr>
      <w:tr w14:paraId="13CC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36487FE9">
            <w:pPr>
              <w:jc w:val="center"/>
              <w:rPr>
                <w:rFonts w:hint="eastAsia" w:cs="宋体"/>
                <w:color w:val="auto"/>
                <w:highlight w:val="none"/>
              </w:rPr>
            </w:pPr>
            <w:r>
              <w:rPr>
                <w:rFonts w:hint="eastAsia" w:cs="宋体"/>
                <w:color w:val="auto"/>
                <w:highlight w:val="none"/>
              </w:rPr>
              <w:t>人员角色</w:t>
            </w:r>
          </w:p>
        </w:tc>
        <w:tc>
          <w:tcPr>
            <w:tcW w:w="1548" w:type="dxa"/>
            <w:gridSpan w:val="2"/>
            <w:noWrap w:val="0"/>
            <w:vAlign w:val="center"/>
          </w:tcPr>
          <w:p w14:paraId="15801032">
            <w:pPr>
              <w:jc w:val="center"/>
              <w:rPr>
                <w:color w:val="auto"/>
                <w:highlight w:val="none"/>
              </w:rPr>
            </w:pPr>
          </w:p>
        </w:tc>
        <w:tc>
          <w:tcPr>
            <w:tcW w:w="1979" w:type="dxa"/>
            <w:gridSpan w:val="3"/>
            <w:noWrap w:val="0"/>
            <w:vAlign w:val="center"/>
          </w:tcPr>
          <w:p w14:paraId="16623837">
            <w:pPr>
              <w:jc w:val="center"/>
              <w:rPr>
                <w:color w:val="auto"/>
                <w:highlight w:val="none"/>
              </w:rPr>
            </w:pPr>
          </w:p>
        </w:tc>
        <w:tc>
          <w:tcPr>
            <w:tcW w:w="1330" w:type="dxa"/>
            <w:gridSpan w:val="2"/>
            <w:noWrap w:val="0"/>
            <w:vAlign w:val="center"/>
          </w:tcPr>
          <w:p w14:paraId="14CDF1C6">
            <w:pPr>
              <w:jc w:val="center"/>
              <w:rPr>
                <w:color w:val="auto"/>
                <w:highlight w:val="none"/>
              </w:rPr>
            </w:pPr>
          </w:p>
        </w:tc>
        <w:tc>
          <w:tcPr>
            <w:tcW w:w="1641" w:type="dxa"/>
            <w:gridSpan w:val="4"/>
            <w:noWrap w:val="0"/>
            <w:vAlign w:val="center"/>
          </w:tcPr>
          <w:p w14:paraId="738B3C1A">
            <w:pPr>
              <w:jc w:val="center"/>
              <w:rPr>
                <w:color w:val="auto"/>
                <w:highlight w:val="none"/>
              </w:rPr>
            </w:pPr>
          </w:p>
        </w:tc>
        <w:tc>
          <w:tcPr>
            <w:tcW w:w="1484" w:type="dxa"/>
            <w:gridSpan w:val="2"/>
            <w:noWrap w:val="0"/>
            <w:vAlign w:val="center"/>
          </w:tcPr>
          <w:p w14:paraId="70BE1575">
            <w:pPr>
              <w:jc w:val="center"/>
              <w:rPr>
                <w:color w:val="auto"/>
                <w:highlight w:val="none"/>
              </w:rPr>
            </w:pPr>
          </w:p>
        </w:tc>
      </w:tr>
      <w:tr w14:paraId="2BCE0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36FB44B4">
            <w:pPr>
              <w:jc w:val="center"/>
              <w:rPr>
                <w:rFonts w:hint="eastAsia" w:cs="宋体"/>
                <w:color w:val="auto"/>
                <w:highlight w:val="none"/>
              </w:rPr>
            </w:pPr>
            <w:r>
              <w:rPr>
                <w:rFonts w:hint="eastAsia" w:cs="宋体"/>
                <w:color w:val="auto"/>
                <w:highlight w:val="none"/>
              </w:rPr>
              <w:t>在建或已完</w:t>
            </w:r>
          </w:p>
        </w:tc>
        <w:tc>
          <w:tcPr>
            <w:tcW w:w="1548" w:type="dxa"/>
            <w:gridSpan w:val="2"/>
            <w:noWrap w:val="0"/>
            <w:vAlign w:val="center"/>
          </w:tcPr>
          <w:p w14:paraId="1919B5BF">
            <w:pPr>
              <w:jc w:val="center"/>
              <w:rPr>
                <w:color w:val="auto"/>
                <w:highlight w:val="none"/>
              </w:rPr>
            </w:pPr>
          </w:p>
        </w:tc>
        <w:tc>
          <w:tcPr>
            <w:tcW w:w="1979" w:type="dxa"/>
            <w:gridSpan w:val="3"/>
            <w:noWrap w:val="0"/>
            <w:vAlign w:val="center"/>
          </w:tcPr>
          <w:p w14:paraId="6777B48F">
            <w:pPr>
              <w:jc w:val="center"/>
              <w:rPr>
                <w:color w:val="auto"/>
                <w:highlight w:val="none"/>
              </w:rPr>
            </w:pPr>
          </w:p>
        </w:tc>
        <w:tc>
          <w:tcPr>
            <w:tcW w:w="1330" w:type="dxa"/>
            <w:gridSpan w:val="2"/>
            <w:noWrap w:val="0"/>
            <w:vAlign w:val="center"/>
          </w:tcPr>
          <w:p w14:paraId="19EA747E">
            <w:pPr>
              <w:jc w:val="center"/>
              <w:rPr>
                <w:color w:val="auto"/>
                <w:highlight w:val="none"/>
              </w:rPr>
            </w:pPr>
          </w:p>
        </w:tc>
        <w:tc>
          <w:tcPr>
            <w:tcW w:w="1641" w:type="dxa"/>
            <w:gridSpan w:val="4"/>
            <w:noWrap w:val="0"/>
            <w:vAlign w:val="center"/>
          </w:tcPr>
          <w:p w14:paraId="2AA752F0">
            <w:pPr>
              <w:jc w:val="center"/>
              <w:rPr>
                <w:color w:val="auto"/>
                <w:highlight w:val="none"/>
              </w:rPr>
            </w:pPr>
          </w:p>
        </w:tc>
        <w:tc>
          <w:tcPr>
            <w:tcW w:w="1484" w:type="dxa"/>
            <w:gridSpan w:val="2"/>
            <w:noWrap w:val="0"/>
            <w:vAlign w:val="center"/>
          </w:tcPr>
          <w:p w14:paraId="36D8E88D">
            <w:pPr>
              <w:jc w:val="center"/>
              <w:rPr>
                <w:color w:val="auto"/>
                <w:highlight w:val="none"/>
              </w:rPr>
            </w:pPr>
          </w:p>
        </w:tc>
      </w:tr>
      <w:tr w14:paraId="46A8E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52FC0B38">
            <w:pPr>
              <w:jc w:val="center"/>
              <w:rPr>
                <w:rFonts w:hint="eastAsia" w:cs="宋体"/>
                <w:color w:val="auto"/>
                <w:highlight w:val="none"/>
              </w:rPr>
            </w:pPr>
            <w:r>
              <w:rPr>
                <w:rFonts w:hint="eastAsia" w:cs="宋体"/>
                <w:color w:val="auto"/>
                <w:highlight w:val="none"/>
              </w:rPr>
              <w:t>工程质量</w:t>
            </w:r>
          </w:p>
        </w:tc>
        <w:tc>
          <w:tcPr>
            <w:tcW w:w="1548" w:type="dxa"/>
            <w:gridSpan w:val="2"/>
            <w:noWrap w:val="0"/>
            <w:vAlign w:val="center"/>
          </w:tcPr>
          <w:p w14:paraId="64DD0AD2">
            <w:pPr>
              <w:jc w:val="center"/>
              <w:rPr>
                <w:color w:val="auto"/>
                <w:highlight w:val="none"/>
              </w:rPr>
            </w:pPr>
          </w:p>
        </w:tc>
        <w:tc>
          <w:tcPr>
            <w:tcW w:w="1979" w:type="dxa"/>
            <w:gridSpan w:val="3"/>
            <w:noWrap w:val="0"/>
            <w:vAlign w:val="center"/>
          </w:tcPr>
          <w:p w14:paraId="011C687E">
            <w:pPr>
              <w:jc w:val="center"/>
              <w:rPr>
                <w:color w:val="auto"/>
                <w:highlight w:val="none"/>
              </w:rPr>
            </w:pPr>
          </w:p>
        </w:tc>
        <w:tc>
          <w:tcPr>
            <w:tcW w:w="1330" w:type="dxa"/>
            <w:gridSpan w:val="2"/>
            <w:noWrap w:val="0"/>
            <w:vAlign w:val="center"/>
          </w:tcPr>
          <w:p w14:paraId="20597888">
            <w:pPr>
              <w:jc w:val="center"/>
              <w:rPr>
                <w:color w:val="auto"/>
                <w:highlight w:val="none"/>
              </w:rPr>
            </w:pPr>
          </w:p>
        </w:tc>
        <w:tc>
          <w:tcPr>
            <w:tcW w:w="1641" w:type="dxa"/>
            <w:gridSpan w:val="4"/>
            <w:noWrap w:val="0"/>
            <w:vAlign w:val="center"/>
          </w:tcPr>
          <w:p w14:paraId="08051167">
            <w:pPr>
              <w:jc w:val="center"/>
              <w:rPr>
                <w:color w:val="auto"/>
                <w:highlight w:val="none"/>
              </w:rPr>
            </w:pPr>
          </w:p>
        </w:tc>
        <w:tc>
          <w:tcPr>
            <w:tcW w:w="1484" w:type="dxa"/>
            <w:gridSpan w:val="2"/>
            <w:noWrap w:val="0"/>
            <w:vAlign w:val="center"/>
          </w:tcPr>
          <w:p w14:paraId="64E14EAC">
            <w:pPr>
              <w:jc w:val="center"/>
              <w:rPr>
                <w:color w:val="auto"/>
                <w:highlight w:val="none"/>
              </w:rPr>
            </w:pPr>
          </w:p>
        </w:tc>
      </w:tr>
      <w:tr w14:paraId="359F7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3F88384C">
            <w:pPr>
              <w:jc w:val="center"/>
              <w:rPr>
                <w:rFonts w:hint="eastAsia" w:cs="宋体"/>
                <w:color w:val="auto"/>
                <w:highlight w:val="none"/>
              </w:rPr>
            </w:pPr>
            <w:r>
              <w:rPr>
                <w:rFonts w:hint="eastAsia" w:cs="宋体"/>
                <w:color w:val="auto"/>
                <w:highlight w:val="none"/>
              </w:rPr>
              <w:t>受奖情况</w:t>
            </w:r>
          </w:p>
        </w:tc>
        <w:tc>
          <w:tcPr>
            <w:tcW w:w="1548" w:type="dxa"/>
            <w:gridSpan w:val="2"/>
            <w:noWrap w:val="0"/>
            <w:vAlign w:val="center"/>
          </w:tcPr>
          <w:p w14:paraId="52EA653B">
            <w:pPr>
              <w:jc w:val="center"/>
              <w:rPr>
                <w:color w:val="auto"/>
                <w:highlight w:val="none"/>
              </w:rPr>
            </w:pPr>
          </w:p>
        </w:tc>
        <w:tc>
          <w:tcPr>
            <w:tcW w:w="1979" w:type="dxa"/>
            <w:gridSpan w:val="3"/>
            <w:noWrap w:val="0"/>
            <w:vAlign w:val="center"/>
          </w:tcPr>
          <w:p w14:paraId="2C76D1E5">
            <w:pPr>
              <w:jc w:val="center"/>
              <w:rPr>
                <w:color w:val="auto"/>
                <w:highlight w:val="none"/>
              </w:rPr>
            </w:pPr>
          </w:p>
        </w:tc>
        <w:tc>
          <w:tcPr>
            <w:tcW w:w="1330" w:type="dxa"/>
            <w:gridSpan w:val="2"/>
            <w:noWrap w:val="0"/>
            <w:vAlign w:val="center"/>
          </w:tcPr>
          <w:p w14:paraId="37E80680">
            <w:pPr>
              <w:jc w:val="center"/>
              <w:rPr>
                <w:color w:val="auto"/>
                <w:highlight w:val="none"/>
              </w:rPr>
            </w:pPr>
          </w:p>
        </w:tc>
        <w:tc>
          <w:tcPr>
            <w:tcW w:w="1641" w:type="dxa"/>
            <w:gridSpan w:val="4"/>
            <w:noWrap w:val="0"/>
            <w:vAlign w:val="center"/>
          </w:tcPr>
          <w:p w14:paraId="70B1FA4A">
            <w:pPr>
              <w:jc w:val="center"/>
              <w:rPr>
                <w:color w:val="auto"/>
                <w:highlight w:val="none"/>
              </w:rPr>
            </w:pPr>
          </w:p>
        </w:tc>
        <w:tc>
          <w:tcPr>
            <w:tcW w:w="1484" w:type="dxa"/>
            <w:gridSpan w:val="2"/>
            <w:noWrap w:val="0"/>
            <w:vAlign w:val="center"/>
          </w:tcPr>
          <w:p w14:paraId="20F6E872">
            <w:pPr>
              <w:jc w:val="center"/>
              <w:rPr>
                <w:color w:val="auto"/>
                <w:highlight w:val="none"/>
              </w:rPr>
            </w:pPr>
          </w:p>
        </w:tc>
      </w:tr>
    </w:tbl>
    <w:p w14:paraId="31AA1A28">
      <w:pPr>
        <w:spacing w:line="360" w:lineRule="auto"/>
        <w:rPr>
          <w:rFonts w:ascii="宋体" w:hAnsi="宋体"/>
          <w:color w:val="auto"/>
          <w:szCs w:val="21"/>
          <w:highlight w:val="none"/>
        </w:rPr>
      </w:pPr>
      <w:r>
        <w:rPr>
          <w:rFonts w:hint="eastAsia" w:ascii="宋体" w:hAnsi="宋体" w:cs="楷体_GB2312"/>
          <w:color w:val="auto"/>
          <w:szCs w:val="21"/>
          <w:highlight w:val="none"/>
        </w:rPr>
        <w:t>备注：</w:t>
      </w:r>
    </w:p>
    <w:p w14:paraId="059DE15D">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.项目</w:t>
      </w:r>
      <w:r>
        <w:rPr>
          <w:rFonts w:ascii="宋体" w:hAnsi="宋体"/>
          <w:color w:val="auto"/>
          <w:szCs w:val="21"/>
          <w:highlight w:val="none"/>
        </w:rPr>
        <w:t>数</w:t>
      </w:r>
      <w:r>
        <w:rPr>
          <w:rFonts w:hint="eastAsia" w:ascii="宋体" w:hAnsi="宋体"/>
          <w:color w:val="auto"/>
          <w:szCs w:val="21"/>
          <w:highlight w:val="none"/>
        </w:rPr>
        <w:t>可</w:t>
      </w:r>
      <w:r>
        <w:rPr>
          <w:rFonts w:ascii="宋体" w:hAnsi="宋体"/>
          <w:color w:val="auto"/>
          <w:szCs w:val="21"/>
          <w:highlight w:val="none"/>
        </w:rPr>
        <w:t>以根据需要增加。</w:t>
      </w:r>
    </w:p>
    <w:p w14:paraId="4558AD0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2.本表后附项目技术负责人（项目总工）的学历证、本表所列证书复印件并加盖供应商电子签章。</w:t>
      </w:r>
    </w:p>
    <w:p w14:paraId="0AF70C62">
      <w:pPr>
        <w:spacing w:line="360" w:lineRule="auto"/>
        <w:rPr>
          <w:rFonts w:hint="eastAsia" w:eastAsia="楷体_GB2312"/>
          <w:color w:val="auto"/>
          <w:highlight w:val="none"/>
        </w:rPr>
      </w:pPr>
    </w:p>
    <w:p w14:paraId="445463B7">
      <w:pPr>
        <w:pStyle w:val="195"/>
        <w:spacing w:line="360" w:lineRule="auto"/>
        <w:jc w:val="center"/>
        <w:outlineLvl w:val="0"/>
        <w:rPr>
          <w:color w:val="auto"/>
          <w:sz w:val="28"/>
          <w:szCs w:val="28"/>
          <w:highlight w:val="none"/>
          <w:u w:val="single"/>
        </w:rPr>
      </w:pPr>
      <w:r>
        <w:rPr>
          <w:rFonts w:cs="宋体"/>
          <w:b/>
          <w:bCs/>
          <w:color w:val="auto"/>
          <w:sz w:val="28"/>
          <w:szCs w:val="28"/>
          <w:highlight w:val="none"/>
        </w:rPr>
        <w:br w:type="page"/>
      </w:r>
      <w:bookmarkStart w:id="158" w:name="_Toc122424017"/>
      <w:bookmarkStart w:id="159" w:name="_Toc122424266"/>
      <w:r>
        <w:rPr>
          <w:rFonts w:hint="eastAsia" w:cs="宋体"/>
          <w:b/>
          <w:color w:val="auto"/>
          <w:sz w:val="28"/>
          <w:szCs w:val="28"/>
          <w:highlight w:val="none"/>
        </w:rPr>
        <w:t>专职安全生产管理人员</w:t>
      </w:r>
      <w:bookmarkEnd w:id="158"/>
      <w:bookmarkEnd w:id="159"/>
    </w:p>
    <w:tbl>
      <w:tblPr>
        <w:tblStyle w:val="43"/>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54"/>
        <w:gridCol w:w="77"/>
        <w:gridCol w:w="387"/>
        <w:gridCol w:w="888"/>
        <w:gridCol w:w="660"/>
        <w:gridCol w:w="328"/>
        <w:gridCol w:w="234"/>
        <w:gridCol w:w="66"/>
        <w:gridCol w:w="1209"/>
        <w:gridCol w:w="142"/>
        <w:gridCol w:w="242"/>
        <w:gridCol w:w="1088"/>
        <w:gridCol w:w="88"/>
        <w:gridCol w:w="409"/>
        <w:gridCol w:w="1108"/>
        <w:gridCol w:w="36"/>
        <w:gridCol w:w="79"/>
        <w:gridCol w:w="1405"/>
        <w:gridCol w:w="11"/>
      </w:tblGrid>
      <w:tr w14:paraId="099F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noWrap w:val="0"/>
            <w:vAlign w:val="center"/>
          </w:tcPr>
          <w:p w14:paraId="3DD26098">
            <w:pPr>
              <w:jc w:val="center"/>
              <w:rPr>
                <w:color w:val="auto"/>
                <w:highlight w:val="none"/>
              </w:rPr>
            </w:pPr>
            <w:r>
              <w:rPr>
                <w:rFonts w:hint="eastAsia" w:cs="宋体"/>
                <w:color w:val="auto"/>
                <w:highlight w:val="none"/>
              </w:rPr>
              <w:t>姓名</w:t>
            </w:r>
          </w:p>
        </w:tc>
        <w:tc>
          <w:tcPr>
            <w:tcW w:w="2340" w:type="dxa"/>
            <w:gridSpan w:val="5"/>
            <w:noWrap w:val="0"/>
            <w:vAlign w:val="center"/>
          </w:tcPr>
          <w:p w14:paraId="2A9A796A">
            <w:pPr>
              <w:jc w:val="center"/>
              <w:rPr>
                <w:color w:val="auto"/>
                <w:highlight w:val="none"/>
              </w:rPr>
            </w:pPr>
          </w:p>
        </w:tc>
        <w:tc>
          <w:tcPr>
            <w:tcW w:w="1893" w:type="dxa"/>
            <w:gridSpan w:val="5"/>
            <w:noWrap w:val="0"/>
            <w:vAlign w:val="center"/>
          </w:tcPr>
          <w:p w14:paraId="7FFB0416">
            <w:pPr>
              <w:jc w:val="center"/>
              <w:rPr>
                <w:color w:val="auto"/>
                <w:highlight w:val="none"/>
              </w:rPr>
            </w:pPr>
            <w:r>
              <w:rPr>
                <w:rFonts w:hint="eastAsia" w:cs="宋体"/>
                <w:color w:val="auto"/>
                <w:highlight w:val="none"/>
              </w:rPr>
              <w:t>性别</w:t>
            </w:r>
          </w:p>
        </w:tc>
        <w:tc>
          <w:tcPr>
            <w:tcW w:w="1585" w:type="dxa"/>
            <w:gridSpan w:val="3"/>
            <w:noWrap w:val="0"/>
            <w:vAlign w:val="center"/>
          </w:tcPr>
          <w:p w14:paraId="7BA3138C">
            <w:pPr>
              <w:jc w:val="center"/>
              <w:rPr>
                <w:color w:val="auto"/>
                <w:highlight w:val="none"/>
              </w:rPr>
            </w:pPr>
          </w:p>
        </w:tc>
        <w:tc>
          <w:tcPr>
            <w:tcW w:w="1108" w:type="dxa"/>
            <w:noWrap w:val="0"/>
            <w:vAlign w:val="center"/>
          </w:tcPr>
          <w:p w14:paraId="702C3A3F">
            <w:pPr>
              <w:jc w:val="center"/>
              <w:rPr>
                <w:color w:val="auto"/>
                <w:highlight w:val="none"/>
              </w:rPr>
            </w:pPr>
            <w:r>
              <w:rPr>
                <w:rFonts w:hint="eastAsia" w:cs="宋体"/>
                <w:color w:val="auto"/>
                <w:highlight w:val="none"/>
              </w:rPr>
              <w:t>年龄</w:t>
            </w:r>
          </w:p>
        </w:tc>
        <w:tc>
          <w:tcPr>
            <w:tcW w:w="1531" w:type="dxa"/>
            <w:gridSpan w:val="4"/>
            <w:noWrap w:val="0"/>
            <w:vAlign w:val="center"/>
          </w:tcPr>
          <w:p w14:paraId="76FDADF7">
            <w:pPr>
              <w:jc w:val="center"/>
              <w:rPr>
                <w:color w:val="auto"/>
                <w:highlight w:val="none"/>
              </w:rPr>
            </w:pPr>
          </w:p>
        </w:tc>
      </w:tr>
      <w:tr w14:paraId="10862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noWrap w:val="0"/>
            <w:vAlign w:val="center"/>
          </w:tcPr>
          <w:p w14:paraId="32815AE4">
            <w:pPr>
              <w:jc w:val="center"/>
              <w:rPr>
                <w:color w:val="auto"/>
                <w:highlight w:val="none"/>
              </w:rPr>
            </w:pPr>
            <w:r>
              <w:rPr>
                <w:rFonts w:hint="eastAsia" w:cs="宋体"/>
                <w:color w:val="auto"/>
                <w:highlight w:val="none"/>
              </w:rPr>
              <w:t>岗位</w:t>
            </w:r>
          </w:p>
        </w:tc>
        <w:tc>
          <w:tcPr>
            <w:tcW w:w="2340" w:type="dxa"/>
            <w:gridSpan w:val="5"/>
            <w:noWrap w:val="0"/>
            <w:vAlign w:val="center"/>
          </w:tcPr>
          <w:p w14:paraId="29121465">
            <w:pPr>
              <w:jc w:val="center"/>
              <w:rPr>
                <w:color w:val="auto"/>
                <w:highlight w:val="none"/>
              </w:rPr>
            </w:pPr>
            <w:r>
              <w:rPr>
                <w:rFonts w:hint="eastAsia"/>
                <w:color w:val="auto"/>
                <w:highlight w:val="none"/>
              </w:rPr>
              <w:t>专职安全生产管理人员</w:t>
            </w:r>
          </w:p>
        </w:tc>
        <w:tc>
          <w:tcPr>
            <w:tcW w:w="1893" w:type="dxa"/>
            <w:gridSpan w:val="5"/>
            <w:noWrap w:val="0"/>
            <w:vAlign w:val="center"/>
          </w:tcPr>
          <w:p w14:paraId="3E179AD4">
            <w:pPr>
              <w:jc w:val="center"/>
              <w:rPr>
                <w:color w:val="auto"/>
                <w:highlight w:val="none"/>
              </w:rPr>
            </w:pPr>
            <w:r>
              <w:rPr>
                <w:rFonts w:hint="eastAsia" w:cs="宋体"/>
                <w:color w:val="auto"/>
                <w:highlight w:val="none"/>
              </w:rPr>
              <w:t>职称</w:t>
            </w:r>
          </w:p>
        </w:tc>
        <w:tc>
          <w:tcPr>
            <w:tcW w:w="1585" w:type="dxa"/>
            <w:gridSpan w:val="3"/>
            <w:noWrap w:val="0"/>
            <w:vAlign w:val="center"/>
          </w:tcPr>
          <w:p w14:paraId="56135979">
            <w:pPr>
              <w:jc w:val="center"/>
              <w:rPr>
                <w:color w:val="auto"/>
                <w:highlight w:val="none"/>
              </w:rPr>
            </w:pPr>
          </w:p>
        </w:tc>
        <w:tc>
          <w:tcPr>
            <w:tcW w:w="1108" w:type="dxa"/>
            <w:noWrap w:val="0"/>
            <w:vAlign w:val="center"/>
          </w:tcPr>
          <w:p w14:paraId="5970762C">
            <w:pPr>
              <w:jc w:val="center"/>
              <w:rPr>
                <w:color w:val="auto"/>
                <w:highlight w:val="none"/>
              </w:rPr>
            </w:pPr>
            <w:r>
              <w:rPr>
                <w:rFonts w:hint="eastAsia" w:cs="宋体"/>
                <w:color w:val="auto"/>
                <w:highlight w:val="none"/>
              </w:rPr>
              <w:t>学历</w:t>
            </w:r>
          </w:p>
        </w:tc>
        <w:tc>
          <w:tcPr>
            <w:tcW w:w="1531" w:type="dxa"/>
            <w:gridSpan w:val="4"/>
            <w:noWrap w:val="0"/>
            <w:vAlign w:val="center"/>
          </w:tcPr>
          <w:p w14:paraId="3DD8643C">
            <w:pPr>
              <w:jc w:val="center"/>
              <w:rPr>
                <w:color w:val="auto"/>
                <w:highlight w:val="none"/>
              </w:rPr>
            </w:pPr>
          </w:p>
        </w:tc>
      </w:tr>
      <w:tr w14:paraId="73572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noWrap w:val="0"/>
            <w:vAlign w:val="center"/>
          </w:tcPr>
          <w:p w14:paraId="08D31A16">
            <w:pPr>
              <w:jc w:val="center"/>
              <w:rPr>
                <w:rFonts w:hint="eastAsia" w:cs="宋体"/>
                <w:color w:val="auto"/>
                <w:highlight w:val="none"/>
              </w:rPr>
            </w:pPr>
            <w:r>
              <w:rPr>
                <w:rFonts w:hint="eastAsia" w:cs="宋体"/>
                <w:color w:val="auto"/>
                <w:highlight w:val="none"/>
              </w:rPr>
              <w:t>从业开始时间</w:t>
            </w:r>
          </w:p>
        </w:tc>
        <w:tc>
          <w:tcPr>
            <w:tcW w:w="2340" w:type="dxa"/>
            <w:gridSpan w:val="5"/>
            <w:noWrap w:val="0"/>
            <w:vAlign w:val="center"/>
          </w:tcPr>
          <w:p w14:paraId="651FE587">
            <w:pPr>
              <w:jc w:val="center"/>
              <w:rPr>
                <w:color w:val="auto"/>
                <w:highlight w:val="none"/>
              </w:rPr>
            </w:pPr>
          </w:p>
        </w:tc>
        <w:tc>
          <w:tcPr>
            <w:tcW w:w="1893" w:type="dxa"/>
            <w:gridSpan w:val="5"/>
            <w:noWrap w:val="0"/>
            <w:vAlign w:val="center"/>
          </w:tcPr>
          <w:p w14:paraId="302E3CF9">
            <w:pPr>
              <w:jc w:val="center"/>
              <w:rPr>
                <w:rFonts w:hint="eastAsia" w:cs="宋体"/>
                <w:color w:val="auto"/>
                <w:highlight w:val="none"/>
              </w:rPr>
            </w:pPr>
            <w:r>
              <w:rPr>
                <w:rFonts w:hint="eastAsia" w:cs="宋体"/>
                <w:color w:val="auto"/>
                <w:highlight w:val="none"/>
              </w:rPr>
              <w:t>职称</w:t>
            </w:r>
            <w:r>
              <w:rPr>
                <w:rFonts w:cs="宋体"/>
                <w:color w:val="auto"/>
                <w:highlight w:val="none"/>
              </w:rPr>
              <w:t>获</w:t>
            </w:r>
            <w:r>
              <w:rPr>
                <w:rFonts w:hint="eastAsia" w:cs="宋体"/>
                <w:color w:val="auto"/>
                <w:highlight w:val="none"/>
              </w:rPr>
              <w:t>得</w:t>
            </w:r>
            <w:r>
              <w:rPr>
                <w:rFonts w:cs="宋体"/>
                <w:color w:val="auto"/>
                <w:highlight w:val="none"/>
              </w:rPr>
              <w:t>时间</w:t>
            </w:r>
          </w:p>
        </w:tc>
        <w:tc>
          <w:tcPr>
            <w:tcW w:w="1585" w:type="dxa"/>
            <w:gridSpan w:val="3"/>
            <w:noWrap w:val="0"/>
            <w:vAlign w:val="center"/>
          </w:tcPr>
          <w:p w14:paraId="74D2C3E9">
            <w:pPr>
              <w:jc w:val="center"/>
              <w:rPr>
                <w:color w:val="auto"/>
                <w:highlight w:val="none"/>
              </w:rPr>
            </w:pPr>
          </w:p>
        </w:tc>
        <w:tc>
          <w:tcPr>
            <w:tcW w:w="1108" w:type="dxa"/>
            <w:noWrap w:val="0"/>
            <w:vAlign w:val="center"/>
          </w:tcPr>
          <w:p w14:paraId="790F4A85">
            <w:pPr>
              <w:jc w:val="center"/>
              <w:rPr>
                <w:rFonts w:hint="eastAsia" w:cs="宋体"/>
                <w:color w:val="auto"/>
                <w:highlight w:val="none"/>
              </w:rPr>
            </w:pPr>
            <w:r>
              <w:rPr>
                <w:rFonts w:hint="eastAsia" w:cs="宋体"/>
                <w:color w:val="auto"/>
                <w:highlight w:val="none"/>
              </w:rPr>
              <w:t>毕业时间</w:t>
            </w:r>
          </w:p>
        </w:tc>
        <w:tc>
          <w:tcPr>
            <w:tcW w:w="1531" w:type="dxa"/>
            <w:gridSpan w:val="4"/>
            <w:noWrap w:val="0"/>
            <w:vAlign w:val="center"/>
          </w:tcPr>
          <w:p w14:paraId="76C5BB59">
            <w:pPr>
              <w:jc w:val="center"/>
              <w:rPr>
                <w:color w:val="auto"/>
                <w:highlight w:val="none"/>
              </w:rPr>
            </w:pPr>
          </w:p>
        </w:tc>
      </w:tr>
      <w:tr w14:paraId="092F9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0"/>
            <w:vAlign w:val="center"/>
          </w:tcPr>
          <w:p w14:paraId="281FC0B0">
            <w:pPr>
              <w:jc w:val="center"/>
              <w:rPr>
                <w:color w:val="auto"/>
                <w:highlight w:val="none"/>
              </w:rPr>
            </w:pPr>
            <w:r>
              <w:rPr>
                <w:rFonts w:hint="eastAsia" w:cs="宋体"/>
                <w:color w:val="auto"/>
                <w:highlight w:val="none"/>
              </w:rPr>
              <w:t>担任……年限</w:t>
            </w:r>
          </w:p>
        </w:tc>
        <w:tc>
          <w:tcPr>
            <w:tcW w:w="2563" w:type="dxa"/>
            <w:gridSpan w:val="6"/>
            <w:noWrap w:val="0"/>
            <w:vAlign w:val="center"/>
          </w:tcPr>
          <w:p w14:paraId="2E3C70B0">
            <w:pPr>
              <w:jc w:val="center"/>
              <w:rPr>
                <w:color w:val="auto"/>
                <w:highlight w:val="none"/>
              </w:rPr>
            </w:pPr>
          </w:p>
        </w:tc>
        <w:tc>
          <w:tcPr>
            <w:tcW w:w="1209" w:type="dxa"/>
            <w:noWrap w:val="0"/>
            <w:vAlign w:val="center"/>
          </w:tcPr>
          <w:p w14:paraId="225BC315">
            <w:pPr>
              <w:jc w:val="center"/>
              <w:rPr>
                <w:color w:val="auto"/>
                <w:highlight w:val="none"/>
              </w:rPr>
            </w:pPr>
            <w:r>
              <w:rPr>
                <w:rFonts w:hint="eastAsia"/>
                <w:color w:val="auto"/>
                <w:highlight w:val="none"/>
              </w:rPr>
              <w:t>身份</w:t>
            </w:r>
            <w:r>
              <w:rPr>
                <w:color w:val="auto"/>
                <w:highlight w:val="none"/>
              </w:rPr>
              <w:t>证号码</w:t>
            </w:r>
          </w:p>
        </w:tc>
        <w:tc>
          <w:tcPr>
            <w:tcW w:w="4608" w:type="dxa"/>
            <w:gridSpan w:val="10"/>
            <w:noWrap w:val="0"/>
            <w:vAlign w:val="center"/>
          </w:tcPr>
          <w:p w14:paraId="2ACA4CD0">
            <w:pPr>
              <w:jc w:val="center"/>
              <w:rPr>
                <w:color w:val="auto"/>
                <w:highlight w:val="none"/>
              </w:rPr>
            </w:pPr>
          </w:p>
        </w:tc>
      </w:tr>
      <w:tr w14:paraId="44EBC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0"/>
            <w:vAlign w:val="center"/>
          </w:tcPr>
          <w:p w14:paraId="7487EC1E">
            <w:pPr>
              <w:jc w:val="center"/>
              <w:rPr>
                <w:color w:val="auto"/>
                <w:highlight w:val="none"/>
              </w:rPr>
            </w:pPr>
            <w:r>
              <w:rPr>
                <w:rFonts w:hint="eastAsia"/>
                <w:color w:val="auto"/>
                <w:highlight w:val="none"/>
              </w:rPr>
              <w:t>证书名称</w:t>
            </w:r>
          </w:p>
        </w:tc>
        <w:tc>
          <w:tcPr>
            <w:tcW w:w="1275" w:type="dxa"/>
            <w:gridSpan w:val="2"/>
            <w:noWrap w:val="0"/>
            <w:vAlign w:val="center"/>
          </w:tcPr>
          <w:p w14:paraId="36AA1A5D">
            <w:pPr>
              <w:jc w:val="center"/>
              <w:rPr>
                <w:color w:val="auto"/>
                <w:highlight w:val="none"/>
              </w:rPr>
            </w:pPr>
            <w:r>
              <w:rPr>
                <w:rFonts w:hint="eastAsia"/>
                <w:color w:val="auto"/>
                <w:highlight w:val="none"/>
              </w:rPr>
              <w:t>注册专业</w:t>
            </w:r>
          </w:p>
        </w:tc>
        <w:tc>
          <w:tcPr>
            <w:tcW w:w="1222" w:type="dxa"/>
            <w:gridSpan w:val="3"/>
            <w:noWrap w:val="0"/>
            <w:vAlign w:val="center"/>
          </w:tcPr>
          <w:p w14:paraId="66916055">
            <w:pPr>
              <w:jc w:val="center"/>
              <w:rPr>
                <w:color w:val="auto"/>
                <w:highlight w:val="none"/>
              </w:rPr>
            </w:pPr>
            <w:r>
              <w:rPr>
                <w:color w:val="auto"/>
                <w:highlight w:val="none"/>
              </w:rPr>
              <w:t>级别</w:t>
            </w:r>
          </w:p>
        </w:tc>
        <w:tc>
          <w:tcPr>
            <w:tcW w:w="1417" w:type="dxa"/>
            <w:gridSpan w:val="3"/>
            <w:noWrap w:val="0"/>
            <w:vAlign w:val="center"/>
          </w:tcPr>
          <w:p w14:paraId="7C2099FB">
            <w:pPr>
              <w:jc w:val="center"/>
              <w:rPr>
                <w:color w:val="auto"/>
                <w:highlight w:val="none"/>
              </w:rPr>
            </w:pPr>
            <w:r>
              <w:rPr>
                <w:rFonts w:hint="eastAsia" w:cs="宋体"/>
                <w:color w:val="auto"/>
                <w:highlight w:val="none"/>
              </w:rPr>
              <w:t>证书编号</w:t>
            </w:r>
          </w:p>
        </w:tc>
        <w:tc>
          <w:tcPr>
            <w:tcW w:w="1418" w:type="dxa"/>
            <w:gridSpan w:val="3"/>
            <w:noWrap w:val="0"/>
            <w:vAlign w:val="center"/>
          </w:tcPr>
          <w:p w14:paraId="63A07E48">
            <w:pPr>
              <w:jc w:val="center"/>
              <w:rPr>
                <w:color w:val="auto"/>
                <w:highlight w:val="none"/>
              </w:rPr>
            </w:pPr>
            <w:r>
              <w:rPr>
                <w:rFonts w:hint="eastAsia"/>
                <w:color w:val="auto"/>
                <w:highlight w:val="none"/>
              </w:rPr>
              <w:t>注册时间</w:t>
            </w:r>
          </w:p>
        </w:tc>
        <w:tc>
          <w:tcPr>
            <w:tcW w:w="1632" w:type="dxa"/>
            <w:gridSpan w:val="4"/>
            <w:noWrap w:val="0"/>
            <w:vAlign w:val="center"/>
          </w:tcPr>
          <w:p w14:paraId="29B11A2B">
            <w:pPr>
              <w:jc w:val="center"/>
              <w:rPr>
                <w:color w:val="auto"/>
                <w:highlight w:val="none"/>
              </w:rPr>
            </w:pPr>
            <w:r>
              <w:rPr>
                <w:rFonts w:hint="eastAsia"/>
                <w:color w:val="auto"/>
                <w:highlight w:val="none"/>
              </w:rPr>
              <w:t>注册单位</w:t>
            </w:r>
          </w:p>
        </w:tc>
        <w:tc>
          <w:tcPr>
            <w:tcW w:w="1416" w:type="dxa"/>
            <w:gridSpan w:val="2"/>
            <w:noWrap w:val="0"/>
            <w:vAlign w:val="center"/>
          </w:tcPr>
          <w:p w14:paraId="602D64E8">
            <w:pPr>
              <w:jc w:val="center"/>
              <w:rPr>
                <w:color w:val="auto"/>
                <w:highlight w:val="none"/>
              </w:rPr>
            </w:pPr>
            <w:r>
              <w:rPr>
                <w:rFonts w:hint="eastAsia"/>
                <w:color w:val="auto"/>
                <w:highlight w:val="none"/>
              </w:rPr>
              <w:t>注册有效期</w:t>
            </w:r>
          </w:p>
        </w:tc>
      </w:tr>
      <w:tr w14:paraId="099E2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0"/>
            <w:vAlign w:val="center"/>
          </w:tcPr>
          <w:p w14:paraId="717BFA02">
            <w:pPr>
              <w:jc w:val="center"/>
              <w:rPr>
                <w:rFonts w:hint="eastAsia"/>
                <w:color w:val="auto"/>
                <w:highlight w:val="none"/>
              </w:rPr>
            </w:pPr>
            <w:r>
              <w:rPr>
                <w:rFonts w:hint="eastAsia"/>
                <w:color w:val="auto"/>
                <w:highlight w:val="none"/>
              </w:rPr>
              <w:t>安全生产考核合格证书</w:t>
            </w:r>
          </w:p>
        </w:tc>
        <w:tc>
          <w:tcPr>
            <w:tcW w:w="1275" w:type="dxa"/>
            <w:gridSpan w:val="2"/>
            <w:noWrap w:val="0"/>
            <w:vAlign w:val="center"/>
          </w:tcPr>
          <w:p w14:paraId="7317EB72">
            <w:pPr>
              <w:jc w:val="center"/>
              <w:rPr>
                <w:rFonts w:hint="eastAsia"/>
                <w:color w:val="auto"/>
                <w:highlight w:val="none"/>
              </w:rPr>
            </w:pPr>
          </w:p>
        </w:tc>
        <w:tc>
          <w:tcPr>
            <w:tcW w:w="1222" w:type="dxa"/>
            <w:gridSpan w:val="3"/>
            <w:noWrap w:val="0"/>
            <w:vAlign w:val="center"/>
          </w:tcPr>
          <w:p w14:paraId="6EB3A595">
            <w:pPr>
              <w:jc w:val="center"/>
              <w:rPr>
                <w:rFonts w:hint="eastAsia" w:cs="宋体"/>
                <w:color w:val="auto"/>
                <w:highlight w:val="none"/>
              </w:rPr>
            </w:pPr>
            <w:r>
              <w:rPr>
                <w:rFonts w:hint="eastAsia" w:cs="宋体"/>
                <w:color w:val="auto"/>
                <w:highlight w:val="none"/>
              </w:rPr>
              <w:t>C类</w:t>
            </w:r>
          </w:p>
        </w:tc>
        <w:tc>
          <w:tcPr>
            <w:tcW w:w="1417" w:type="dxa"/>
            <w:gridSpan w:val="3"/>
            <w:noWrap w:val="0"/>
            <w:vAlign w:val="center"/>
          </w:tcPr>
          <w:p w14:paraId="0299C311">
            <w:pPr>
              <w:jc w:val="center"/>
              <w:rPr>
                <w:rFonts w:hint="eastAsia"/>
                <w:color w:val="auto"/>
                <w:highlight w:val="none"/>
              </w:rPr>
            </w:pPr>
          </w:p>
        </w:tc>
        <w:tc>
          <w:tcPr>
            <w:tcW w:w="1418" w:type="dxa"/>
            <w:gridSpan w:val="3"/>
            <w:noWrap w:val="0"/>
            <w:vAlign w:val="center"/>
          </w:tcPr>
          <w:p w14:paraId="045EBB7F">
            <w:pPr>
              <w:jc w:val="center"/>
              <w:rPr>
                <w:rFonts w:hint="eastAsia"/>
                <w:color w:val="auto"/>
                <w:highlight w:val="none"/>
              </w:rPr>
            </w:pPr>
          </w:p>
        </w:tc>
        <w:tc>
          <w:tcPr>
            <w:tcW w:w="1632" w:type="dxa"/>
            <w:gridSpan w:val="4"/>
            <w:noWrap w:val="0"/>
            <w:vAlign w:val="center"/>
          </w:tcPr>
          <w:p w14:paraId="1D5A3578">
            <w:pPr>
              <w:jc w:val="center"/>
              <w:rPr>
                <w:rFonts w:hint="eastAsia"/>
                <w:color w:val="auto"/>
                <w:highlight w:val="none"/>
              </w:rPr>
            </w:pPr>
          </w:p>
        </w:tc>
        <w:tc>
          <w:tcPr>
            <w:tcW w:w="1416" w:type="dxa"/>
            <w:gridSpan w:val="2"/>
            <w:noWrap w:val="0"/>
            <w:vAlign w:val="center"/>
          </w:tcPr>
          <w:p w14:paraId="0736649F">
            <w:pPr>
              <w:jc w:val="center"/>
              <w:rPr>
                <w:rFonts w:hint="eastAsia"/>
                <w:color w:val="auto"/>
                <w:highlight w:val="none"/>
              </w:rPr>
            </w:pPr>
          </w:p>
        </w:tc>
      </w:tr>
      <w:tr w14:paraId="7B05B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0"/>
            <w:vAlign w:val="center"/>
          </w:tcPr>
          <w:p w14:paraId="7B63B46C">
            <w:pPr>
              <w:jc w:val="center"/>
              <w:rPr>
                <w:rFonts w:hint="eastAsia"/>
                <w:color w:val="auto"/>
                <w:highlight w:val="none"/>
              </w:rPr>
            </w:pPr>
          </w:p>
        </w:tc>
        <w:tc>
          <w:tcPr>
            <w:tcW w:w="1275" w:type="dxa"/>
            <w:gridSpan w:val="2"/>
            <w:noWrap w:val="0"/>
            <w:vAlign w:val="center"/>
          </w:tcPr>
          <w:p w14:paraId="281E2D45">
            <w:pPr>
              <w:jc w:val="center"/>
              <w:rPr>
                <w:rFonts w:hint="eastAsia"/>
                <w:color w:val="auto"/>
                <w:highlight w:val="none"/>
              </w:rPr>
            </w:pPr>
          </w:p>
        </w:tc>
        <w:tc>
          <w:tcPr>
            <w:tcW w:w="1222" w:type="dxa"/>
            <w:gridSpan w:val="3"/>
            <w:noWrap w:val="0"/>
            <w:vAlign w:val="center"/>
          </w:tcPr>
          <w:p w14:paraId="71E91A78">
            <w:pPr>
              <w:jc w:val="center"/>
              <w:rPr>
                <w:rFonts w:hint="eastAsia" w:cs="宋体"/>
                <w:color w:val="auto"/>
                <w:highlight w:val="none"/>
              </w:rPr>
            </w:pPr>
          </w:p>
        </w:tc>
        <w:tc>
          <w:tcPr>
            <w:tcW w:w="1417" w:type="dxa"/>
            <w:gridSpan w:val="3"/>
            <w:noWrap w:val="0"/>
            <w:vAlign w:val="center"/>
          </w:tcPr>
          <w:p w14:paraId="6CDF4B01">
            <w:pPr>
              <w:jc w:val="center"/>
              <w:rPr>
                <w:rFonts w:hint="eastAsia"/>
                <w:color w:val="auto"/>
                <w:highlight w:val="none"/>
              </w:rPr>
            </w:pPr>
          </w:p>
        </w:tc>
        <w:tc>
          <w:tcPr>
            <w:tcW w:w="1418" w:type="dxa"/>
            <w:gridSpan w:val="3"/>
            <w:noWrap w:val="0"/>
            <w:vAlign w:val="center"/>
          </w:tcPr>
          <w:p w14:paraId="73260D0E">
            <w:pPr>
              <w:jc w:val="center"/>
              <w:rPr>
                <w:rFonts w:hint="eastAsia"/>
                <w:color w:val="auto"/>
                <w:highlight w:val="none"/>
              </w:rPr>
            </w:pPr>
          </w:p>
        </w:tc>
        <w:tc>
          <w:tcPr>
            <w:tcW w:w="1632" w:type="dxa"/>
            <w:gridSpan w:val="4"/>
            <w:noWrap w:val="0"/>
            <w:vAlign w:val="center"/>
          </w:tcPr>
          <w:p w14:paraId="0F109B8A">
            <w:pPr>
              <w:jc w:val="center"/>
              <w:rPr>
                <w:rFonts w:hint="eastAsia"/>
                <w:color w:val="auto"/>
                <w:highlight w:val="none"/>
              </w:rPr>
            </w:pPr>
          </w:p>
        </w:tc>
        <w:tc>
          <w:tcPr>
            <w:tcW w:w="1416" w:type="dxa"/>
            <w:gridSpan w:val="2"/>
            <w:noWrap w:val="0"/>
            <w:vAlign w:val="center"/>
          </w:tcPr>
          <w:p w14:paraId="2AA9DCFA">
            <w:pPr>
              <w:jc w:val="center"/>
              <w:rPr>
                <w:rFonts w:hint="eastAsia"/>
                <w:color w:val="auto"/>
                <w:highlight w:val="none"/>
              </w:rPr>
            </w:pPr>
          </w:p>
        </w:tc>
      </w:tr>
      <w:tr w14:paraId="514DC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9"/>
            <w:noWrap w:val="0"/>
            <w:vAlign w:val="center"/>
          </w:tcPr>
          <w:p w14:paraId="244F4417">
            <w:pPr>
              <w:jc w:val="center"/>
              <w:rPr>
                <w:color w:val="auto"/>
                <w:highlight w:val="none"/>
              </w:rPr>
            </w:pPr>
            <w:r>
              <w:rPr>
                <w:rFonts w:hint="eastAsia" w:cs="宋体"/>
                <w:color w:val="auto"/>
                <w:highlight w:val="none"/>
              </w:rPr>
              <w:t>在建和已完工程项目情况</w:t>
            </w:r>
          </w:p>
        </w:tc>
      </w:tr>
      <w:tr w14:paraId="04E8A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0"/>
            <w:vAlign w:val="center"/>
          </w:tcPr>
          <w:p w14:paraId="712B98F3">
            <w:pPr>
              <w:jc w:val="center"/>
              <w:rPr>
                <w:color w:val="auto"/>
                <w:highlight w:val="none"/>
              </w:rPr>
            </w:pPr>
          </w:p>
        </w:tc>
        <w:tc>
          <w:tcPr>
            <w:tcW w:w="1548" w:type="dxa"/>
            <w:gridSpan w:val="2"/>
            <w:noWrap w:val="0"/>
            <w:vAlign w:val="center"/>
          </w:tcPr>
          <w:p w14:paraId="0E6B89CF">
            <w:pPr>
              <w:jc w:val="center"/>
              <w:rPr>
                <w:rFonts w:hint="eastAsia"/>
                <w:color w:val="auto"/>
                <w:highlight w:val="none"/>
              </w:rPr>
            </w:pPr>
            <w:r>
              <w:rPr>
                <w:rFonts w:hint="eastAsia"/>
                <w:color w:val="auto"/>
                <w:highlight w:val="none"/>
              </w:rPr>
              <w:t>项目1</w:t>
            </w:r>
          </w:p>
        </w:tc>
        <w:tc>
          <w:tcPr>
            <w:tcW w:w="1837" w:type="dxa"/>
            <w:gridSpan w:val="4"/>
            <w:noWrap w:val="0"/>
            <w:vAlign w:val="center"/>
          </w:tcPr>
          <w:p w14:paraId="49DD82BD">
            <w:pPr>
              <w:jc w:val="center"/>
              <w:rPr>
                <w:color w:val="auto"/>
                <w:highlight w:val="none"/>
              </w:rPr>
            </w:pPr>
            <w:r>
              <w:rPr>
                <w:rFonts w:hint="eastAsia"/>
                <w:color w:val="auto"/>
                <w:highlight w:val="none"/>
              </w:rPr>
              <w:t>项目2</w:t>
            </w:r>
          </w:p>
        </w:tc>
        <w:tc>
          <w:tcPr>
            <w:tcW w:w="1472" w:type="dxa"/>
            <w:gridSpan w:val="3"/>
            <w:noWrap w:val="0"/>
            <w:vAlign w:val="center"/>
          </w:tcPr>
          <w:p w14:paraId="2FE6C818">
            <w:pPr>
              <w:jc w:val="center"/>
              <w:rPr>
                <w:color w:val="auto"/>
                <w:highlight w:val="none"/>
              </w:rPr>
            </w:pPr>
            <w:r>
              <w:rPr>
                <w:rFonts w:hint="eastAsia"/>
                <w:color w:val="auto"/>
                <w:highlight w:val="none"/>
              </w:rPr>
              <w:t>项目3</w:t>
            </w:r>
          </w:p>
        </w:tc>
        <w:tc>
          <w:tcPr>
            <w:tcW w:w="1641" w:type="dxa"/>
            <w:gridSpan w:val="4"/>
            <w:noWrap w:val="0"/>
            <w:vAlign w:val="center"/>
          </w:tcPr>
          <w:p w14:paraId="3E16AE18">
            <w:pPr>
              <w:jc w:val="center"/>
              <w:rPr>
                <w:color w:val="auto"/>
                <w:highlight w:val="none"/>
              </w:rPr>
            </w:pPr>
            <w:r>
              <w:rPr>
                <w:rFonts w:hint="eastAsia"/>
                <w:color w:val="auto"/>
                <w:highlight w:val="none"/>
              </w:rPr>
              <w:t>项目4</w:t>
            </w:r>
          </w:p>
        </w:tc>
        <w:tc>
          <w:tcPr>
            <w:tcW w:w="1484" w:type="dxa"/>
            <w:gridSpan w:val="2"/>
            <w:noWrap w:val="0"/>
            <w:vAlign w:val="center"/>
          </w:tcPr>
          <w:p w14:paraId="46673DA4">
            <w:pPr>
              <w:jc w:val="center"/>
              <w:rPr>
                <w:color w:val="auto"/>
                <w:highlight w:val="none"/>
              </w:rPr>
            </w:pPr>
            <w:r>
              <w:rPr>
                <w:rFonts w:hint="eastAsia"/>
                <w:color w:val="auto"/>
                <w:highlight w:val="none"/>
              </w:rPr>
              <w:t>……</w:t>
            </w:r>
          </w:p>
        </w:tc>
      </w:tr>
      <w:tr w14:paraId="48D14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0"/>
            <w:vAlign w:val="center"/>
          </w:tcPr>
          <w:p w14:paraId="50C180DE">
            <w:pPr>
              <w:jc w:val="center"/>
              <w:rPr>
                <w:color w:val="auto"/>
                <w:highlight w:val="none"/>
              </w:rPr>
            </w:pPr>
            <w:r>
              <w:rPr>
                <w:rFonts w:hint="eastAsia"/>
                <w:color w:val="auto"/>
                <w:highlight w:val="none"/>
              </w:rPr>
              <w:t>项目名称</w:t>
            </w:r>
          </w:p>
        </w:tc>
        <w:tc>
          <w:tcPr>
            <w:tcW w:w="1548" w:type="dxa"/>
            <w:gridSpan w:val="2"/>
            <w:noWrap w:val="0"/>
            <w:vAlign w:val="center"/>
          </w:tcPr>
          <w:p w14:paraId="7CCD3EF6">
            <w:pPr>
              <w:jc w:val="center"/>
              <w:rPr>
                <w:color w:val="auto"/>
                <w:highlight w:val="none"/>
              </w:rPr>
            </w:pPr>
          </w:p>
        </w:tc>
        <w:tc>
          <w:tcPr>
            <w:tcW w:w="1837" w:type="dxa"/>
            <w:gridSpan w:val="4"/>
            <w:noWrap w:val="0"/>
            <w:vAlign w:val="center"/>
          </w:tcPr>
          <w:p w14:paraId="306B0C4F">
            <w:pPr>
              <w:jc w:val="center"/>
              <w:rPr>
                <w:color w:val="auto"/>
                <w:highlight w:val="none"/>
              </w:rPr>
            </w:pPr>
          </w:p>
        </w:tc>
        <w:tc>
          <w:tcPr>
            <w:tcW w:w="1472" w:type="dxa"/>
            <w:gridSpan w:val="3"/>
            <w:noWrap w:val="0"/>
            <w:vAlign w:val="center"/>
          </w:tcPr>
          <w:p w14:paraId="7F0AB71B">
            <w:pPr>
              <w:jc w:val="center"/>
              <w:rPr>
                <w:color w:val="auto"/>
                <w:highlight w:val="none"/>
              </w:rPr>
            </w:pPr>
          </w:p>
        </w:tc>
        <w:tc>
          <w:tcPr>
            <w:tcW w:w="1641" w:type="dxa"/>
            <w:gridSpan w:val="4"/>
            <w:noWrap w:val="0"/>
            <w:vAlign w:val="center"/>
          </w:tcPr>
          <w:p w14:paraId="269951EF">
            <w:pPr>
              <w:jc w:val="center"/>
              <w:rPr>
                <w:color w:val="auto"/>
                <w:highlight w:val="none"/>
              </w:rPr>
            </w:pPr>
          </w:p>
        </w:tc>
        <w:tc>
          <w:tcPr>
            <w:tcW w:w="1484" w:type="dxa"/>
            <w:gridSpan w:val="2"/>
            <w:noWrap w:val="0"/>
            <w:vAlign w:val="center"/>
          </w:tcPr>
          <w:p w14:paraId="0656C553">
            <w:pPr>
              <w:jc w:val="center"/>
              <w:rPr>
                <w:color w:val="auto"/>
                <w:highlight w:val="none"/>
              </w:rPr>
            </w:pPr>
          </w:p>
        </w:tc>
      </w:tr>
      <w:tr w14:paraId="35678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32ADD85F">
            <w:pPr>
              <w:jc w:val="center"/>
              <w:rPr>
                <w:color w:val="auto"/>
                <w:highlight w:val="none"/>
              </w:rPr>
            </w:pPr>
            <w:r>
              <w:rPr>
                <w:rFonts w:hint="eastAsia" w:cs="宋体"/>
                <w:color w:val="auto"/>
                <w:highlight w:val="none"/>
              </w:rPr>
              <w:t>建设单位</w:t>
            </w:r>
          </w:p>
        </w:tc>
        <w:tc>
          <w:tcPr>
            <w:tcW w:w="1548" w:type="dxa"/>
            <w:gridSpan w:val="2"/>
            <w:noWrap w:val="0"/>
            <w:vAlign w:val="center"/>
          </w:tcPr>
          <w:p w14:paraId="4D2CEF64">
            <w:pPr>
              <w:jc w:val="center"/>
              <w:rPr>
                <w:color w:val="auto"/>
                <w:highlight w:val="none"/>
              </w:rPr>
            </w:pPr>
          </w:p>
        </w:tc>
        <w:tc>
          <w:tcPr>
            <w:tcW w:w="1837" w:type="dxa"/>
            <w:gridSpan w:val="4"/>
            <w:noWrap w:val="0"/>
            <w:vAlign w:val="center"/>
          </w:tcPr>
          <w:p w14:paraId="60D691D8">
            <w:pPr>
              <w:jc w:val="center"/>
              <w:rPr>
                <w:color w:val="auto"/>
                <w:highlight w:val="none"/>
              </w:rPr>
            </w:pPr>
          </w:p>
        </w:tc>
        <w:tc>
          <w:tcPr>
            <w:tcW w:w="1472" w:type="dxa"/>
            <w:gridSpan w:val="3"/>
            <w:noWrap w:val="0"/>
            <w:vAlign w:val="center"/>
          </w:tcPr>
          <w:p w14:paraId="2963C34B">
            <w:pPr>
              <w:jc w:val="center"/>
              <w:rPr>
                <w:color w:val="auto"/>
                <w:highlight w:val="none"/>
              </w:rPr>
            </w:pPr>
          </w:p>
        </w:tc>
        <w:tc>
          <w:tcPr>
            <w:tcW w:w="1641" w:type="dxa"/>
            <w:gridSpan w:val="4"/>
            <w:noWrap w:val="0"/>
            <w:vAlign w:val="center"/>
          </w:tcPr>
          <w:p w14:paraId="798E9A9B">
            <w:pPr>
              <w:jc w:val="center"/>
              <w:rPr>
                <w:color w:val="auto"/>
                <w:highlight w:val="none"/>
              </w:rPr>
            </w:pPr>
          </w:p>
        </w:tc>
        <w:tc>
          <w:tcPr>
            <w:tcW w:w="1484" w:type="dxa"/>
            <w:gridSpan w:val="2"/>
            <w:noWrap w:val="0"/>
            <w:vAlign w:val="center"/>
          </w:tcPr>
          <w:p w14:paraId="6922E87E">
            <w:pPr>
              <w:jc w:val="center"/>
              <w:rPr>
                <w:color w:val="auto"/>
                <w:highlight w:val="none"/>
              </w:rPr>
            </w:pPr>
          </w:p>
        </w:tc>
      </w:tr>
      <w:tr w14:paraId="5431C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72AA861B">
            <w:pPr>
              <w:jc w:val="center"/>
              <w:rPr>
                <w:color w:val="auto"/>
                <w:highlight w:val="none"/>
              </w:rPr>
            </w:pPr>
            <w:r>
              <w:rPr>
                <w:rFonts w:hint="eastAsia" w:cs="宋体"/>
                <w:color w:val="auto"/>
                <w:highlight w:val="none"/>
              </w:rPr>
              <w:t>建设规模</w:t>
            </w:r>
          </w:p>
        </w:tc>
        <w:tc>
          <w:tcPr>
            <w:tcW w:w="1548" w:type="dxa"/>
            <w:gridSpan w:val="2"/>
            <w:noWrap w:val="0"/>
            <w:vAlign w:val="center"/>
          </w:tcPr>
          <w:p w14:paraId="683EB083">
            <w:pPr>
              <w:jc w:val="center"/>
              <w:rPr>
                <w:color w:val="auto"/>
                <w:highlight w:val="none"/>
              </w:rPr>
            </w:pPr>
          </w:p>
        </w:tc>
        <w:tc>
          <w:tcPr>
            <w:tcW w:w="1837" w:type="dxa"/>
            <w:gridSpan w:val="4"/>
            <w:noWrap w:val="0"/>
            <w:vAlign w:val="center"/>
          </w:tcPr>
          <w:p w14:paraId="1F40A66C">
            <w:pPr>
              <w:jc w:val="center"/>
              <w:rPr>
                <w:color w:val="auto"/>
                <w:highlight w:val="none"/>
              </w:rPr>
            </w:pPr>
          </w:p>
        </w:tc>
        <w:tc>
          <w:tcPr>
            <w:tcW w:w="1472" w:type="dxa"/>
            <w:gridSpan w:val="3"/>
            <w:noWrap w:val="0"/>
            <w:vAlign w:val="center"/>
          </w:tcPr>
          <w:p w14:paraId="5A1F6174">
            <w:pPr>
              <w:jc w:val="center"/>
              <w:rPr>
                <w:color w:val="auto"/>
                <w:highlight w:val="none"/>
              </w:rPr>
            </w:pPr>
          </w:p>
        </w:tc>
        <w:tc>
          <w:tcPr>
            <w:tcW w:w="1641" w:type="dxa"/>
            <w:gridSpan w:val="4"/>
            <w:noWrap w:val="0"/>
            <w:vAlign w:val="center"/>
          </w:tcPr>
          <w:p w14:paraId="4E9B8CD1">
            <w:pPr>
              <w:jc w:val="center"/>
              <w:rPr>
                <w:color w:val="auto"/>
                <w:highlight w:val="none"/>
              </w:rPr>
            </w:pPr>
          </w:p>
        </w:tc>
        <w:tc>
          <w:tcPr>
            <w:tcW w:w="1484" w:type="dxa"/>
            <w:gridSpan w:val="2"/>
            <w:noWrap w:val="0"/>
            <w:vAlign w:val="center"/>
          </w:tcPr>
          <w:p w14:paraId="75F274CF">
            <w:pPr>
              <w:jc w:val="center"/>
              <w:rPr>
                <w:color w:val="auto"/>
                <w:highlight w:val="none"/>
              </w:rPr>
            </w:pPr>
          </w:p>
        </w:tc>
      </w:tr>
      <w:tr w14:paraId="1A32B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5FCC2B21">
            <w:pPr>
              <w:jc w:val="center"/>
              <w:rPr>
                <w:rFonts w:hint="eastAsia" w:ascii="宋体" w:hAnsi="宋体" w:cs="宋体"/>
                <w:color w:val="auto"/>
                <w:sz w:val="27"/>
                <w:szCs w:val="27"/>
                <w:highlight w:val="none"/>
                <w:lang w:bidi="ar"/>
              </w:rPr>
            </w:pPr>
            <w:r>
              <w:rPr>
                <w:rFonts w:hint="eastAsia" w:cs="宋体"/>
                <w:color w:val="auto"/>
                <w:highlight w:val="none"/>
              </w:rPr>
              <w:t>开工日期</w:t>
            </w:r>
          </w:p>
        </w:tc>
        <w:tc>
          <w:tcPr>
            <w:tcW w:w="1548" w:type="dxa"/>
            <w:gridSpan w:val="2"/>
            <w:noWrap w:val="0"/>
            <w:vAlign w:val="center"/>
          </w:tcPr>
          <w:p w14:paraId="405CDBDD">
            <w:pPr>
              <w:jc w:val="center"/>
              <w:rPr>
                <w:color w:val="auto"/>
                <w:highlight w:val="none"/>
              </w:rPr>
            </w:pPr>
          </w:p>
        </w:tc>
        <w:tc>
          <w:tcPr>
            <w:tcW w:w="1837" w:type="dxa"/>
            <w:gridSpan w:val="4"/>
            <w:noWrap w:val="0"/>
            <w:vAlign w:val="center"/>
          </w:tcPr>
          <w:p w14:paraId="6C8DFC37">
            <w:pPr>
              <w:jc w:val="center"/>
              <w:rPr>
                <w:color w:val="auto"/>
                <w:highlight w:val="none"/>
              </w:rPr>
            </w:pPr>
          </w:p>
        </w:tc>
        <w:tc>
          <w:tcPr>
            <w:tcW w:w="1472" w:type="dxa"/>
            <w:gridSpan w:val="3"/>
            <w:noWrap w:val="0"/>
            <w:vAlign w:val="center"/>
          </w:tcPr>
          <w:p w14:paraId="5C9C1B4C">
            <w:pPr>
              <w:jc w:val="center"/>
              <w:rPr>
                <w:color w:val="auto"/>
                <w:highlight w:val="none"/>
              </w:rPr>
            </w:pPr>
          </w:p>
        </w:tc>
        <w:tc>
          <w:tcPr>
            <w:tcW w:w="1641" w:type="dxa"/>
            <w:gridSpan w:val="4"/>
            <w:noWrap w:val="0"/>
            <w:vAlign w:val="center"/>
          </w:tcPr>
          <w:p w14:paraId="79259521">
            <w:pPr>
              <w:jc w:val="center"/>
              <w:rPr>
                <w:color w:val="auto"/>
                <w:highlight w:val="none"/>
              </w:rPr>
            </w:pPr>
          </w:p>
        </w:tc>
        <w:tc>
          <w:tcPr>
            <w:tcW w:w="1484" w:type="dxa"/>
            <w:gridSpan w:val="2"/>
            <w:noWrap w:val="0"/>
            <w:vAlign w:val="center"/>
          </w:tcPr>
          <w:p w14:paraId="6DAF25C1">
            <w:pPr>
              <w:jc w:val="center"/>
              <w:rPr>
                <w:color w:val="auto"/>
                <w:highlight w:val="none"/>
              </w:rPr>
            </w:pPr>
          </w:p>
        </w:tc>
      </w:tr>
      <w:tr w14:paraId="482D8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05181B1B">
            <w:pPr>
              <w:jc w:val="center"/>
              <w:rPr>
                <w:color w:val="auto"/>
                <w:highlight w:val="none"/>
              </w:rPr>
            </w:pPr>
            <w:r>
              <w:rPr>
                <w:rFonts w:hint="eastAsia" w:cs="宋体"/>
                <w:color w:val="auto"/>
                <w:highlight w:val="none"/>
              </w:rPr>
              <w:t>竣工日期</w:t>
            </w:r>
          </w:p>
        </w:tc>
        <w:tc>
          <w:tcPr>
            <w:tcW w:w="1548" w:type="dxa"/>
            <w:gridSpan w:val="2"/>
            <w:noWrap w:val="0"/>
            <w:vAlign w:val="center"/>
          </w:tcPr>
          <w:p w14:paraId="0B438898">
            <w:pPr>
              <w:jc w:val="center"/>
              <w:rPr>
                <w:color w:val="auto"/>
                <w:highlight w:val="none"/>
              </w:rPr>
            </w:pPr>
          </w:p>
        </w:tc>
        <w:tc>
          <w:tcPr>
            <w:tcW w:w="1837" w:type="dxa"/>
            <w:gridSpan w:val="4"/>
            <w:noWrap w:val="0"/>
            <w:vAlign w:val="center"/>
          </w:tcPr>
          <w:p w14:paraId="461CA882">
            <w:pPr>
              <w:jc w:val="center"/>
              <w:rPr>
                <w:color w:val="auto"/>
                <w:highlight w:val="none"/>
              </w:rPr>
            </w:pPr>
          </w:p>
        </w:tc>
        <w:tc>
          <w:tcPr>
            <w:tcW w:w="1472" w:type="dxa"/>
            <w:gridSpan w:val="3"/>
            <w:noWrap w:val="0"/>
            <w:vAlign w:val="center"/>
          </w:tcPr>
          <w:p w14:paraId="573359C6">
            <w:pPr>
              <w:jc w:val="center"/>
              <w:rPr>
                <w:color w:val="auto"/>
                <w:highlight w:val="none"/>
              </w:rPr>
            </w:pPr>
          </w:p>
        </w:tc>
        <w:tc>
          <w:tcPr>
            <w:tcW w:w="1641" w:type="dxa"/>
            <w:gridSpan w:val="4"/>
            <w:noWrap w:val="0"/>
            <w:vAlign w:val="center"/>
          </w:tcPr>
          <w:p w14:paraId="7AB3CECD">
            <w:pPr>
              <w:jc w:val="center"/>
              <w:rPr>
                <w:color w:val="auto"/>
                <w:highlight w:val="none"/>
              </w:rPr>
            </w:pPr>
          </w:p>
        </w:tc>
        <w:tc>
          <w:tcPr>
            <w:tcW w:w="1484" w:type="dxa"/>
            <w:gridSpan w:val="2"/>
            <w:noWrap w:val="0"/>
            <w:vAlign w:val="center"/>
          </w:tcPr>
          <w:p w14:paraId="3FBD3567">
            <w:pPr>
              <w:jc w:val="center"/>
              <w:rPr>
                <w:color w:val="auto"/>
                <w:highlight w:val="none"/>
              </w:rPr>
            </w:pPr>
          </w:p>
        </w:tc>
      </w:tr>
      <w:tr w14:paraId="0A241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0A4A4B5F">
            <w:pPr>
              <w:jc w:val="center"/>
              <w:rPr>
                <w:rFonts w:hint="eastAsia" w:cs="宋体"/>
                <w:color w:val="auto"/>
                <w:highlight w:val="none"/>
              </w:rPr>
            </w:pPr>
            <w:r>
              <w:rPr>
                <w:rFonts w:hint="eastAsia" w:cs="宋体"/>
                <w:color w:val="auto"/>
                <w:highlight w:val="none"/>
              </w:rPr>
              <w:t>人员角色</w:t>
            </w:r>
          </w:p>
        </w:tc>
        <w:tc>
          <w:tcPr>
            <w:tcW w:w="1548" w:type="dxa"/>
            <w:gridSpan w:val="2"/>
            <w:noWrap w:val="0"/>
            <w:vAlign w:val="center"/>
          </w:tcPr>
          <w:p w14:paraId="437CBDD1">
            <w:pPr>
              <w:jc w:val="center"/>
              <w:rPr>
                <w:color w:val="auto"/>
                <w:highlight w:val="none"/>
              </w:rPr>
            </w:pPr>
          </w:p>
        </w:tc>
        <w:tc>
          <w:tcPr>
            <w:tcW w:w="1837" w:type="dxa"/>
            <w:gridSpan w:val="4"/>
            <w:noWrap w:val="0"/>
            <w:vAlign w:val="center"/>
          </w:tcPr>
          <w:p w14:paraId="2A811B7B">
            <w:pPr>
              <w:jc w:val="center"/>
              <w:rPr>
                <w:color w:val="auto"/>
                <w:highlight w:val="none"/>
              </w:rPr>
            </w:pPr>
          </w:p>
        </w:tc>
        <w:tc>
          <w:tcPr>
            <w:tcW w:w="1472" w:type="dxa"/>
            <w:gridSpan w:val="3"/>
            <w:noWrap w:val="0"/>
            <w:vAlign w:val="center"/>
          </w:tcPr>
          <w:p w14:paraId="592E1C82">
            <w:pPr>
              <w:jc w:val="center"/>
              <w:rPr>
                <w:color w:val="auto"/>
                <w:highlight w:val="none"/>
              </w:rPr>
            </w:pPr>
          </w:p>
        </w:tc>
        <w:tc>
          <w:tcPr>
            <w:tcW w:w="1641" w:type="dxa"/>
            <w:gridSpan w:val="4"/>
            <w:noWrap w:val="0"/>
            <w:vAlign w:val="center"/>
          </w:tcPr>
          <w:p w14:paraId="0D377415">
            <w:pPr>
              <w:jc w:val="center"/>
              <w:rPr>
                <w:color w:val="auto"/>
                <w:highlight w:val="none"/>
              </w:rPr>
            </w:pPr>
          </w:p>
        </w:tc>
        <w:tc>
          <w:tcPr>
            <w:tcW w:w="1484" w:type="dxa"/>
            <w:gridSpan w:val="2"/>
            <w:noWrap w:val="0"/>
            <w:vAlign w:val="center"/>
          </w:tcPr>
          <w:p w14:paraId="3A9D0499">
            <w:pPr>
              <w:jc w:val="center"/>
              <w:rPr>
                <w:color w:val="auto"/>
                <w:highlight w:val="none"/>
              </w:rPr>
            </w:pPr>
          </w:p>
        </w:tc>
      </w:tr>
      <w:tr w14:paraId="4EB22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66B098DC">
            <w:pPr>
              <w:jc w:val="center"/>
              <w:rPr>
                <w:rFonts w:hint="eastAsia" w:cs="宋体"/>
                <w:color w:val="auto"/>
                <w:highlight w:val="none"/>
              </w:rPr>
            </w:pPr>
            <w:r>
              <w:rPr>
                <w:rFonts w:hint="eastAsia" w:cs="宋体"/>
                <w:color w:val="auto"/>
                <w:highlight w:val="none"/>
              </w:rPr>
              <w:t>在建或已完</w:t>
            </w:r>
          </w:p>
        </w:tc>
        <w:tc>
          <w:tcPr>
            <w:tcW w:w="1548" w:type="dxa"/>
            <w:gridSpan w:val="2"/>
            <w:noWrap w:val="0"/>
            <w:vAlign w:val="center"/>
          </w:tcPr>
          <w:p w14:paraId="5AAE443E">
            <w:pPr>
              <w:jc w:val="center"/>
              <w:rPr>
                <w:color w:val="auto"/>
                <w:highlight w:val="none"/>
              </w:rPr>
            </w:pPr>
          </w:p>
        </w:tc>
        <w:tc>
          <w:tcPr>
            <w:tcW w:w="1837" w:type="dxa"/>
            <w:gridSpan w:val="4"/>
            <w:noWrap w:val="0"/>
            <w:vAlign w:val="center"/>
          </w:tcPr>
          <w:p w14:paraId="45CDE358">
            <w:pPr>
              <w:jc w:val="center"/>
              <w:rPr>
                <w:color w:val="auto"/>
                <w:highlight w:val="none"/>
              </w:rPr>
            </w:pPr>
          </w:p>
        </w:tc>
        <w:tc>
          <w:tcPr>
            <w:tcW w:w="1472" w:type="dxa"/>
            <w:gridSpan w:val="3"/>
            <w:noWrap w:val="0"/>
            <w:vAlign w:val="center"/>
          </w:tcPr>
          <w:p w14:paraId="39C5877C">
            <w:pPr>
              <w:jc w:val="center"/>
              <w:rPr>
                <w:color w:val="auto"/>
                <w:highlight w:val="none"/>
              </w:rPr>
            </w:pPr>
          </w:p>
        </w:tc>
        <w:tc>
          <w:tcPr>
            <w:tcW w:w="1641" w:type="dxa"/>
            <w:gridSpan w:val="4"/>
            <w:noWrap w:val="0"/>
            <w:vAlign w:val="center"/>
          </w:tcPr>
          <w:p w14:paraId="44B456FF">
            <w:pPr>
              <w:jc w:val="center"/>
              <w:rPr>
                <w:color w:val="auto"/>
                <w:highlight w:val="none"/>
              </w:rPr>
            </w:pPr>
          </w:p>
        </w:tc>
        <w:tc>
          <w:tcPr>
            <w:tcW w:w="1484" w:type="dxa"/>
            <w:gridSpan w:val="2"/>
            <w:noWrap w:val="0"/>
            <w:vAlign w:val="center"/>
          </w:tcPr>
          <w:p w14:paraId="522CD026">
            <w:pPr>
              <w:jc w:val="center"/>
              <w:rPr>
                <w:color w:val="auto"/>
                <w:highlight w:val="none"/>
              </w:rPr>
            </w:pPr>
          </w:p>
        </w:tc>
      </w:tr>
      <w:tr w14:paraId="4EDA7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30506B83">
            <w:pPr>
              <w:jc w:val="center"/>
              <w:rPr>
                <w:rFonts w:hint="eastAsia" w:cs="宋体"/>
                <w:color w:val="auto"/>
                <w:highlight w:val="none"/>
              </w:rPr>
            </w:pPr>
            <w:r>
              <w:rPr>
                <w:rFonts w:hint="eastAsia" w:cs="宋体"/>
                <w:color w:val="auto"/>
                <w:highlight w:val="none"/>
              </w:rPr>
              <w:t>工程质量</w:t>
            </w:r>
          </w:p>
        </w:tc>
        <w:tc>
          <w:tcPr>
            <w:tcW w:w="1548" w:type="dxa"/>
            <w:gridSpan w:val="2"/>
            <w:noWrap w:val="0"/>
            <w:vAlign w:val="center"/>
          </w:tcPr>
          <w:p w14:paraId="2FCF337B">
            <w:pPr>
              <w:jc w:val="center"/>
              <w:rPr>
                <w:color w:val="auto"/>
                <w:highlight w:val="none"/>
              </w:rPr>
            </w:pPr>
          </w:p>
        </w:tc>
        <w:tc>
          <w:tcPr>
            <w:tcW w:w="1837" w:type="dxa"/>
            <w:gridSpan w:val="4"/>
            <w:noWrap w:val="0"/>
            <w:vAlign w:val="center"/>
          </w:tcPr>
          <w:p w14:paraId="52250D1D">
            <w:pPr>
              <w:jc w:val="center"/>
              <w:rPr>
                <w:color w:val="auto"/>
                <w:highlight w:val="none"/>
              </w:rPr>
            </w:pPr>
          </w:p>
        </w:tc>
        <w:tc>
          <w:tcPr>
            <w:tcW w:w="1472" w:type="dxa"/>
            <w:gridSpan w:val="3"/>
            <w:noWrap w:val="0"/>
            <w:vAlign w:val="center"/>
          </w:tcPr>
          <w:p w14:paraId="14B2840A">
            <w:pPr>
              <w:jc w:val="center"/>
              <w:rPr>
                <w:color w:val="auto"/>
                <w:highlight w:val="none"/>
              </w:rPr>
            </w:pPr>
          </w:p>
        </w:tc>
        <w:tc>
          <w:tcPr>
            <w:tcW w:w="1641" w:type="dxa"/>
            <w:gridSpan w:val="4"/>
            <w:noWrap w:val="0"/>
            <w:vAlign w:val="center"/>
          </w:tcPr>
          <w:p w14:paraId="697E2F07">
            <w:pPr>
              <w:jc w:val="center"/>
              <w:rPr>
                <w:color w:val="auto"/>
                <w:highlight w:val="none"/>
              </w:rPr>
            </w:pPr>
          </w:p>
        </w:tc>
        <w:tc>
          <w:tcPr>
            <w:tcW w:w="1484" w:type="dxa"/>
            <w:gridSpan w:val="2"/>
            <w:noWrap w:val="0"/>
            <w:vAlign w:val="center"/>
          </w:tcPr>
          <w:p w14:paraId="5E56BA55">
            <w:pPr>
              <w:jc w:val="center"/>
              <w:rPr>
                <w:color w:val="auto"/>
                <w:highlight w:val="none"/>
              </w:rPr>
            </w:pPr>
          </w:p>
        </w:tc>
      </w:tr>
      <w:tr w14:paraId="14F36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04D7E058">
            <w:pPr>
              <w:jc w:val="center"/>
              <w:rPr>
                <w:rFonts w:hint="eastAsia" w:cs="宋体"/>
                <w:color w:val="auto"/>
                <w:highlight w:val="none"/>
              </w:rPr>
            </w:pPr>
            <w:r>
              <w:rPr>
                <w:rFonts w:hint="eastAsia" w:cs="宋体"/>
                <w:color w:val="auto"/>
                <w:highlight w:val="none"/>
              </w:rPr>
              <w:t>受奖情况</w:t>
            </w:r>
          </w:p>
        </w:tc>
        <w:tc>
          <w:tcPr>
            <w:tcW w:w="1548" w:type="dxa"/>
            <w:gridSpan w:val="2"/>
            <w:noWrap w:val="0"/>
            <w:vAlign w:val="center"/>
          </w:tcPr>
          <w:p w14:paraId="30119F1E">
            <w:pPr>
              <w:jc w:val="center"/>
              <w:rPr>
                <w:color w:val="auto"/>
                <w:highlight w:val="none"/>
              </w:rPr>
            </w:pPr>
          </w:p>
        </w:tc>
        <w:tc>
          <w:tcPr>
            <w:tcW w:w="1837" w:type="dxa"/>
            <w:gridSpan w:val="4"/>
            <w:noWrap w:val="0"/>
            <w:vAlign w:val="center"/>
          </w:tcPr>
          <w:p w14:paraId="4C0FB460">
            <w:pPr>
              <w:jc w:val="center"/>
              <w:rPr>
                <w:color w:val="auto"/>
                <w:highlight w:val="none"/>
              </w:rPr>
            </w:pPr>
          </w:p>
        </w:tc>
        <w:tc>
          <w:tcPr>
            <w:tcW w:w="1472" w:type="dxa"/>
            <w:gridSpan w:val="3"/>
            <w:noWrap w:val="0"/>
            <w:vAlign w:val="center"/>
          </w:tcPr>
          <w:p w14:paraId="460BBDDB">
            <w:pPr>
              <w:jc w:val="center"/>
              <w:rPr>
                <w:color w:val="auto"/>
                <w:highlight w:val="none"/>
              </w:rPr>
            </w:pPr>
          </w:p>
        </w:tc>
        <w:tc>
          <w:tcPr>
            <w:tcW w:w="1641" w:type="dxa"/>
            <w:gridSpan w:val="4"/>
            <w:noWrap w:val="0"/>
            <w:vAlign w:val="center"/>
          </w:tcPr>
          <w:p w14:paraId="5798FEFC">
            <w:pPr>
              <w:jc w:val="center"/>
              <w:rPr>
                <w:color w:val="auto"/>
                <w:highlight w:val="none"/>
              </w:rPr>
            </w:pPr>
          </w:p>
        </w:tc>
        <w:tc>
          <w:tcPr>
            <w:tcW w:w="1484" w:type="dxa"/>
            <w:gridSpan w:val="2"/>
            <w:noWrap w:val="0"/>
            <w:vAlign w:val="center"/>
          </w:tcPr>
          <w:p w14:paraId="3B2ABD44">
            <w:pPr>
              <w:jc w:val="center"/>
              <w:rPr>
                <w:color w:val="auto"/>
                <w:highlight w:val="none"/>
              </w:rPr>
            </w:pPr>
          </w:p>
        </w:tc>
      </w:tr>
    </w:tbl>
    <w:p w14:paraId="00E2828B">
      <w:pPr>
        <w:spacing w:line="360" w:lineRule="auto"/>
        <w:rPr>
          <w:rFonts w:ascii="宋体" w:hAnsi="宋体"/>
          <w:color w:val="auto"/>
          <w:highlight w:val="none"/>
        </w:rPr>
      </w:pPr>
      <w:r>
        <w:rPr>
          <w:rFonts w:hint="eastAsia" w:ascii="宋体" w:hAnsi="宋体" w:cs="楷体_GB2312"/>
          <w:color w:val="auto"/>
          <w:highlight w:val="none"/>
        </w:rPr>
        <w:t>备注：</w:t>
      </w:r>
    </w:p>
    <w:p w14:paraId="7D6DBAAC">
      <w:pPr>
        <w:spacing w:line="360" w:lineRule="auto"/>
        <w:ind w:firstLine="420" w:firstLineChars="200"/>
        <w:rPr>
          <w:rFonts w:hint="eastAsia" w:ascii="宋体" w:hAnsi="宋体"/>
          <w:color w:val="auto"/>
          <w:highlight w:val="none"/>
        </w:rPr>
      </w:pPr>
      <w:r>
        <w:rPr>
          <w:rFonts w:hint="eastAsia" w:ascii="宋体" w:hAnsi="宋体"/>
          <w:color w:val="auto"/>
          <w:highlight w:val="none"/>
        </w:rPr>
        <w:t>1.供应商可以根据项目情况增减表格内容，项目数可以根据需要增加。</w:t>
      </w:r>
    </w:p>
    <w:p w14:paraId="26861EAA">
      <w:pPr>
        <w:spacing w:line="360" w:lineRule="auto"/>
        <w:ind w:firstLine="420" w:firstLineChars="200"/>
        <w:rPr>
          <w:rFonts w:hint="eastAsia" w:ascii="宋体" w:hAnsi="宋体"/>
          <w:color w:val="auto"/>
          <w:szCs w:val="21"/>
          <w:highlight w:val="none"/>
        </w:rPr>
      </w:pPr>
      <w:r>
        <w:rPr>
          <w:rFonts w:hint="eastAsia" w:ascii="宋体" w:hAnsi="宋体"/>
          <w:color w:val="auto"/>
          <w:highlight w:val="none"/>
        </w:rPr>
        <w:t>2.</w:t>
      </w:r>
      <w:r>
        <w:rPr>
          <w:rFonts w:hint="eastAsia" w:ascii="宋体" w:hAnsi="宋体"/>
          <w:color w:val="auto"/>
          <w:szCs w:val="21"/>
          <w:highlight w:val="none"/>
        </w:rPr>
        <w:t>本表后附专职安全生产管理人员的学历证、安全生产考核合格证（C类）、本表所列证书复印件并加盖供应商电子签章。</w:t>
      </w:r>
    </w:p>
    <w:p w14:paraId="38D4D55E">
      <w:pPr>
        <w:spacing w:line="360" w:lineRule="auto"/>
        <w:rPr>
          <w:rFonts w:hint="eastAsia" w:ascii="宋体" w:hAnsi="宋体"/>
          <w:color w:val="auto"/>
          <w:szCs w:val="21"/>
          <w:highlight w:val="none"/>
        </w:rPr>
      </w:pPr>
      <w:r>
        <w:rPr>
          <w:rFonts w:ascii="宋体" w:hAnsi="宋体"/>
          <w:b/>
          <w:bCs/>
          <w:color w:val="auto"/>
          <w:sz w:val="24"/>
          <w:highlight w:val="none"/>
        </w:rPr>
        <w:br w:type="page"/>
      </w:r>
      <w:r>
        <w:rPr>
          <w:rFonts w:hint="eastAsia" w:ascii="宋体" w:hAnsi="宋体"/>
          <w:b/>
          <w:bCs/>
          <w:color w:val="auto"/>
          <w:sz w:val="24"/>
          <w:highlight w:val="none"/>
        </w:rPr>
        <w:t>其他文书、文件格式</w:t>
      </w:r>
    </w:p>
    <w:p w14:paraId="580A5196">
      <w:pPr>
        <w:jc w:val="center"/>
        <w:rPr>
          <w:rFonts w:hint="eastAsia" w:ascii="方正小标宋简体" w:hAnsi="方正小标宋简体" w:eastAsia="方正小标宋简体" w:cs="方正小标宋简体"/>
          <w:color w:val="auto"/>
          <w:sz w:val="44"/>
          <w:szCs w:val="44"/>
          <w:highlight w:val="none"/>
        </w:rPr>
      </w:pPr>
      <w:bookmarkStart w:id="160" w:name="_Toc71365926"/>
      <w:r>
        <w:rPr>
          <w:rFonts w:hint="eastAsia" w:ascii="方正小标宋简体" w:hAnsi="方正小标宋简体" w:eastAsia="方正小标宋简体" w:cs="方正小标宋简体"/>
          <w:color w:val="auto"/>
          <w:sz w:val="44"/>
          <w:szCs w:val="44"/>
          <w:highlight w:val="none"/>
        </w:rPr>
        <w:t>中小企业声明函（工程）</w:t>
      </w:r>
      <w:bookmarkEnd w:id="160"/>
    </w:p>
    <w:p w14:paraId="1EE8CA8D">
      <w:pPr>
        <w:spacing w:before="2" w:line="500" w:lineRule="exact"/>
        <w:ind w:firstLine="708" w:firstLineChars="294"/>
        <w:rPr>
          <w:rFonts w:hint="eastAsia" w:ascii="宋体" w:hAnsi="宋体" w:cs="宋体"/>
          <w:b/>
          <w:bCs/>
          <w:color w:val="auto"/>
          <w:sz w:val="24"/>
          <w:highlight w:val="none"/>
        </w:rPr>
      </w:pPr>
    </w:p>
    <w:p w14:paraId="63AF3BA4">
      <w:pPr>
        <w:pStyle w:val="19"/>
        <w:spacing w:line="500" w:lineRule="exact"/>
        <w:ind w:right="142" w:firstLine="705" w:firstLineChars="294"/>
        <w:rPr>
          <w:rFonts w:hint="eastAsia"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工程的施工单位全部为符合政策要求的中小企业。相关企业（含联合体中的中小企业、签订分包意向协议的中小企业）的具体情况如下：</w:t>
      </w:r>
    </w:p>
    <w:p w14:paraId="548FFA2A">
      <w:pPr>
        <w:tabs>
          <w:tab w:val="left" w:pos="1384"/>
          <w:tab w:val="left" w:pos="4562"/>
          <w:tab w:val="left" w:pos="6803"/>
        </w:tabs>
        <w:spacing w:before="13" w:line="500" w:lineRule="exact"/>
        <w:ind w:right="142" w:firstLine="772" w:firstLineChars="322"/>
        <w:rPr>
          <w:rFonts w:hint="eastAsia"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承建企业为</w:t>
      </w:r>
      <w:r>
        <w:rPr>
          <w:rFonts w:hint="eastAsia" w:ascii="宋体" w:hAnsi="宋体"/>
          <w:color w:val="auto"/>
          <w:sz w:val="24"/>
          <w:highlight w:val="none"/>
          <w:u w:val="single"/>
        </w:rPr>
        <w:t>（企业名称）</w:t>
      </w:r>
      <w:r>
        <w:rPr>
          <w:rFonts w:hint="eastAsia" w:ascii="宋体" w:hAnsi="宋体"/>
          <w:color w:val="auto"/>
          <w:sz w:val="24"/>
          <w:highlight w:val="none"/>
        </w:rPr>
        <w:t>，从业人员人，营业收入为万元，资产总额为万元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327CF334">
      <w:pPr>
        <w:tabs>
          <w:tab w:val="left" w:pos="1065"/>
          <w:tab w:val="left" w:pos="4262"/>
          <w:tab w:val="left" w:pos="6477"/>
        </w:tabs>
        <w:spacing w:before="20" w:line="500" w:lineRule="exact"/>
        <w:ind w:right="84" w:firstLine="772" w:firstLineChars="322"/>
        <w:rPr>
          <w:rFonts w:hint="eastAsia"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承建企业为</w:t>
      </w:r>
      <w:r>
        <w:rPr>
          <w:rFonts w:hint="eastAsia" w:ascii="宋体" w:hAnsi="宋体"/>
          <w:color w:val="auto"/>
          <w:sz w:val="24"/>
          <w:highlight w:val="none"/>
          <w:u w:val="single"/>
        </w:rPr>
        <w:t>（企业名称）</w:t>
      </w:r>
      <w:r>
        <w:rPr>
          <w:rFonts w:hint="eastAsia" w:ascii="宋体" w:hAnsi="宋体"/>
          <w:color w:val="auto"/>
          <w:sz w:val="24"/>
          <w:highlight w:val="none"/>
        </w:rPr>
        <w:t>，从业人员人，营业收入为万元，资产总额为万元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7E8AD27A">
      <w:pPr>
        <w:pStyle w:val="19"/>
        <w:spacing w:before="34" w:line="500" w:lineRule="exact"/>
        <w:ind w:right="142" w:firstLine="705" w:firstLineChars="294"/>
        <w:rPr>
          <w:rFonts w:hint="eastAsia" w:ascii="宋体" w:hAnsi="宋体"/>
          <w:color w:val="auto"/>
          <w:sz w:val="24"/>
          <w:highlight w:val="none"/>
        </w:rPr>
      </w:pPr>
      <w:r>
        <w:rPr>
          <w:rFonts w:ascii="宋体" w:hAnsi="宋体"/>
          <w:color w:val="auto"/>
          <w:sz w:val="24"/>
          <w:highlight w:val="none"/>
        </w:rPr>
        <w:t xml:space="preserve">…… </w:t>
      </w:r>
    </w:p>
    <w:p w14:paraId="2EB98231">
      <w:pPr>
        <w:pStyle w:val="19"/>
        <w:spacing w:before="34" w:line="500" w:lineRule="exact"/>
        <w:ind w:right="142" w:firstLine="705" w:firstLineChars="294"/>
        <w:rPr>
          <w:rFonts w:hint="eastAsia"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1DC44C9F">
      <w:pPr>
        <w:pStyle w:val="19"/>
        <w:spacing w:before="25" w:line="500" w:lineRule="exact"/>
        <w:ind w:right="142" w:firstLine="705" w:firstLineChars="294"/>
        <w:rPr>
          <w:rFonts w:hint="eastAsia"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0EBC39CB">
      <w:pPr>
        <w:pStyle w:val="19"/>
        <w:spacing w:before="56" w:line="500" w:lineRule="exact"/>
        <w:ind w:right="1808" w:firstLine="705" w:firstLineChars="294"/>
        <w:rPr>
          <w:rFonts w:hint="eastAsia" w:ascii="宋体" w:hAnsi="宋体"/>
          <w:color w:val="auto"/>
          <w:sz w:val="24"/>
          <w:highlight w:val="none"/>
        </w:rPr>
      </w:pPr>
    </w:p>
    <w:p w14:paraId="6601E5E7">
      <w:pPr>
        <w:pStyle w:val="19"/>
        <w:spacing w:before="56" w:line="500" w:lineRule="exact"/>
        <w:ind w:right="650" w:firstLine="5625" w:firstLineChars="2344"/>
        <w:rPr>
          <w:rFonts w:hint="eastAsia" w:ascii="宋体" w:hAnsi="宋体"/>
          <w:color w:val="auto"/>
          <w:sz w:val="24"/>
          <w:highlight w:val="none"/>
        </w:rPr>
      </w:pPr>
      <w:r>
        <w:rPr>
          <w:rFonts w:ascii="宋体" w:hAnsi="宋体"/>
          <w:color w:val="auto"/>
          <w:sz w:val="24"/>
          <w:highlight w:val="none"/>
        </w:rPr>
        <w:t xml:space="preserve">企业名称（章）： </w:t>
      </w:r>
    </w:p>
    <w:p w14:paraId="71DDC1DB">
      <w:pPr>
        <w:pStyle w:val="19"/>
        <w:spacing w:before="56" w:line="500" w:lineRule="exact"/>
        <w:ind w:right="1808" w:firstLine="5625" w:firstLineChars="2344"/>
        <w:rPr>
          <w:rFonts w:hint="eastAsia" w:ascii="宋体" w:hAnsi="宋体"/>
          <w:color w:val="auto"/>
          <w:sz w:val="24"/>
          <w:highlight w:val="none"/>
        </w:rPr>
      </w:pPr>
      <w:r>
        <w:rPr>
          <w:rFonts w:ascii="宋体" w:hAnsi="宋体"/>
          <w:color w:val="auto"/>
          <w:sz w:val="24"/>
          <w:highlight w:val="none"/>
        </w:rPr>
        <w:t>日 期：</w:t>
      </w:r>
    </w:p>
    <w:p w14:paraId="6362E0D3">
      <w:pPr>
        <w:spacing w:line="520" w:lineRule="exact"/>
        <w:jc w:val="left"/>
        <w:rPr>
          <w:rFonts w:hint="eastAsia"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6357D8A4">
      <w:pPr>
        <w:spacing w:line="520" w:lineRule="exact"/>
        <w:jc w:val="center"/>
        <w:rPr>
          <w:rFonts w:hint="eastAsia" w:ascii="仿宋_GB2312" w:hAnsi="仿宋_GB2312" w:eastAsia="仿宋_GB2312" w:cs="仿宋_GB2312"/>
          <w:color w:val="auto"/>
          <w:sz w:val="32"/>
          <w:szCs w:val="32"/>
          <w:highlight w:val="none"/>
        </w:rPr>
      </w:pPr>
      <w:r>
        <w:rPr>
          <w:rFonts w:ascii="宋体" w:hAnsi="宋体"/>
          <w:color w:val="auto"/>
          <w:sz w:val="24"/>
          <w:highlight w:val="none"/>
        </w:rPr>
        <w:br w:type="page"/>
      </w:r>
      <w:r>
        <w:rPr>
          <w:rFonts w:hint="eastAsia" w:ascii="方正小标宋简体" w:hAnsi="方正小标宋简体" w:eastAsia="方正小标宋简体" w:cs="方正小标宋简体"/>
          <w:color w:val="auto"/>
          <w:sz w:val="44"/>
          <w:szCs w:val="44"/>
          <w:highlight w:val="none"/>
        </w:rPr>
        <w:t>残疾人福利性单位声明函</w:t>
      </w:r>
    </w:p>
    <w:p w14:paraId="3C1EEB30">
      <w:pPr>
        <w:spacing w:line="360" w:lineRule="auto"/>
        <w:contextualSpacing/>
        <w:rPr>
          <w:rFonts w:hint="eastAsia" w:ascii="仿宋_GB2312" w:hAnsi="仿宋_GB2312" w:eastAsia="仿宋_GB2312" w:cs="仿宋_GB2312"/>
          <w:color w:val="auto"/>
          <w:sz w:val="32"/>
          <w:szCs w:val="32"/>
          <w:highlight w:val="none"/>
        </w:rPr>
      </w:pPr>
    </w:p>
    <w:p w14:paraId="09316197">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46798677">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3F286E4E">
      <w:pPr>
        <w:spacing w:line="360" w:lineRule="auto"/>
        <w:contextualSpacing/>
        <w:rPr>
          <w:rFonts w:hint="eastAsia" w:ascii="宋体" w:hAnsi="宋体" w:cs="仿宋_GB2312"/>
          <w:color w:val="auto"/>
          <w:sz w:val="24"/>
          <w:highlight w:val="none"/>
        </w:rPr>
      </w:pPr>
    </w:p>
    <w:p w14:paraId="0D1C6F78">
      <w:pPr>
        <w:spacing w:line="360" w:lineRule="auto"/>
        <w:contextualSpacing/>
        <w:rPr>
          <w:rFonts w:hint="eastAsia" w:ascii="宋体" w:hAnsi="宋体" w:cs="仿宋_GB2312"/>
          <w:color w:val="auto"/>
          <w:sz w:val="24"/>
          <w:highlight w:val="none"/>
        </w:rPr>
      </w:pPr>
    </w:p>
    <w:p w14:paraId="16ED0CDD">
      <w:pPr>
        <w:spacing w:line="360" w:lineRule="auto"/>
        <w:contextualSpacing/>
        <w:rPr>
          <w:rFonts w:hint="eastAsia" w:ascii="宋体" w:hAnsi="宋体" w:cs="仿宋_GB2312"/>
          <w:color w:val="auto"/>
          <w:sz w:val="24"/>
          <w:highlight w:val="none"/>
        </w:rPr>
      </w:pPr>
    </w:p>
    <w:p w14:paraId="1F132B97">
      <w:pPr>
        <w:spacing w:line="360" w:lineRule="auto"/>
        <w:ind w:firstLine="2400" w:firstLineChars="1000"/>
        <w:contextualSpacing/>
        <w:rPr>
          <w:rFonts w:hint="eastAsia" w:ascii="宋体" w:hAnsi="宋体" w:cs="仿宋_GB2312"/>
          <w:color w:val="auto"/>
          <w:sz w:val="24"/>
          <w:highlight w:val="none"/>
        </w:rPr>
      </w:pPr>
      <w:r>
        <w:rPr>
          <w:rFonts w:hint="eastAsia" w:ascii="宋体" w:hAnsi="宋体" w:cs="仿宋_GB2312"/>
          <w:color w:val="auto"/>
          <w:sz w:val="24"/>
          <w:highlight w:val="none"/>
        </w:rPr>
        <w:t>单位名称（盖章）：</w:t>
      </w:r>
    </w:p>
    <w:p w14:paraId="3D7C0743">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日  期：</w:t>
      </w:r>
    </w:p>
    <w:p w14:paraId="5A2F7326">
      <w:pPr>
        <w:spacing w:line="360" w:lineRule="auto"/>
        <w:contextualSpacing/>
        <w:rPr>
          <w:rFonts w:hint="eastAsia" w:ascii="宋体" w:hAnsi="宋体" w:cs="仿宋_GB2312"/>
          <w:color w:val="auto"/>
          <w:sz w:val="24"/>
          <w:highlight w:val="none"/>
        </w:rPr>
      </w:pPr>
    </w:p>
    <w:p w14:paraId="69616287">
      <w:pPr>
        <w:spacing w:line="360" w:lineRule="auto"/>
        <w:contextualSpacing/>
        <w:rPr>
          <w:rFonts w:hint="eastAsia" w:ascii="宋体" w:hAnsi="宋体" w:cs="仿宋_GB2312"/>
          <w:color w:val="auto"/>
          <w:sz w:val="24"/>
          <w:highlight w:val="none"/>
        </w:rPr>
      </w:pPr>
    </w:p>
    <w:p w14:paraId="580DBA32">
      <w:pPr>
        <w:spacing w:line="360" w:lineRule="auto"/>
        <w:contextualSpacing/>
        <w:rPr>
          <w:rFonts w:hint="eastAsia" w:ascii="宋体" w:hAnsi="宋体" w:cs="仿宋_GB2312"/>
          <w:color w:val="auto"/>
          <w:sz w:val="24"/>
          <w:highlight w:val="none"/>
        </w:rPr>
      </w:pPr>
    </w:p>
    <w:p w14:paraId="21ACF23F">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02D62BD0">
      <w:pPr>
        <w:spacing w:line="360" w:lineRule="auto"/>
        <w:jc w:val="center"/>
        <w:rPr>
          <w:rFonts w:hint="eastAsia" w:ascii="宋体" w:hAnsi="宋体" w:cs="仿宋_GB2312"/>
          <w:color w:val="auto"/>
          <w:sz w:val="24"/>
          <w:highlight w:val="none"/>
        </w:rPr>
      </w:pPr>
      <w:r>
        <w:rPr>
          <w:rFonts w:ascii="宋体" w:hAnsi="宋体" w:cs="仿宋_GB2312"/>
          <w:color w:val="auto"/>
          <w:sz w:val="24"/>
          <w:highlight w:val="none"/>
        </w:rPr>
        <w:br w:type="page"/>
      </w:r>
    </w:p>
    <w:p w14:paraId="3AD6B97E">
      <w:pPr>
        <w:spacing w:line="360" w:lineRule="auto"/>
        <w:jc w:val="center"/>
        <w:rPr>
          <w:rFonts w:hint="eastAsia" w:ascii="宋体" w:hAnsi="宋体"/>
          <w:b/>
          <w:bCs/>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质疑函（格式）</w:t>
      </w:r>
    </w:p>
    <w:p w14:paraId="5C9AC383">
      <w:pPr>
        <w:pStyle w:val="25"/>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一、质疑供应商基本信息：</w:t>
      </w:r>
    </w:p>
    <w:p w14:paraId="45DC5DAC">
      <w:pPr>
        <w:pStyle w:val="25"/>
        <w:spacing w:line="360" w:lineRule="auto"/>
        <w:ind w:firstLine="480" w:firstLineChars="200"/>
        <w:contextualSpacing/>
        <w:rPr>
          <w:rFonts w:hint="eastAsia"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7BD08F4">
      <w:pPr>
        <w:pStyle w:val="25"/>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20E1E8E">
      <w:pPr>
        <w:pStyle w:val="25"/>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2EEE8EE4">
      <w:pPr>
        <w:pStyle w:val="25"/>
        <w:spacing w:line="360" w:lineRule="auto"/>
        <w:ind w:firstLine="480" w:firstLineChars="200"/>
        <w:contextualSpacing/>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7632B5F7">
      <w:pPr>
        <w:pStyle w:val="25"/>
        <w:spacing w:line="360" w:lineRule="auto"/>
        <w:ind w:firstLine="480" w:firstLineChars="200"/>
        <w:contextualSpacing/>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20F23262">
      <w:pPr>
        <w:pStyle w:val="25"/>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3DDD300">
      <w:pPr>
        <w:pStyle w:val="25"/>
        <w:spacing w:line="360" w:lineRule="auto"/>
        <w:ind w:firstLine="482" w:firstLineChars="200"/>
        <w:contextualSpacing/>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730B738F">
      <w:pPr>
        <w:pStyle w:val="25"/>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6D982164">
      <w:pPr>
        <w:pStyle w:val="25"/>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027AF6DB">
      <w:pPr>
        <w:pStyle w:val="2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42342A33">
      <w:pPr>
        <w:pStyle w:val="2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w:t>
      </w:r>
    </w:p>
    <w:p w14:paraId="69A41638">
      <w:pPr>
        <w:pStyle w:val="25"/>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41B16796">
      <w:pPr>
        <w:pStyle w:val="25"/>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 xml:space="preserve">□采购过程   </w:t>
      </w:r>
    </w:p>
    <w:p w14:paraId="75A877ED">
      <w:pPr>
        <w:pStyle w:val="25"/>
        <w:spacing w:line="360" w:lineRule="auto"/>
        <w:ind w:left="25" w:leftChars="12" w:firstLine="352" w:firstLineChars="147"/>
        <w:contextualSpacing/>
        <w:rPr>
          <w:rFonts w:hint="eastAsia" w:hAnsi="宋体"/>
          <w:bCs/>
          <w:color w:val="auto"/>
          <w:sz w:val="24"/>
          <w:szCs w:val="24"/>
          <w:highlight w:val="none"/>
          <w:u w:val="single"/>
        </w:rPr>
      </w:pPr>
      <w:r>
        <w:rPr>
          <w:rFonts w:hint="eastAsia" w:hAnsi="宋体"/>
          <w:color w:val="auto"/>
          <w:sz w:val="24"/>
          <w:szCs w:val="24"/>
          <w:highlight w:val="none"/>
        </w:rPr>
        <w:t xml:space="preserve">□成交结果   </w:t>
      </w:r>
    </w:p>
    <w:p w14:paraId="11B7C91E">
      <w:pPr>
        <w:pStyle w:val="25"/>
        <w:spacing w:line="360" w:lineRule="auto"/>
        <w:ind w:left="25" w:leftChars="12" w:firstLine="472" w:firstLineChars="196"/>
        <w:contextualSpacing/>
        <w:rPr>
          <w:rFonts w:hint="eastAsia" w:hAnsi="宋体"/>
          <w:b/>
          <w:color w:val="auto"/>
          <w:sz w:val="24"/>
          <w:szCs w:val="24"/>
          <w:highlight w:val="none"/>
        </w:rPr>
      </w:pPr>
      <w:r>
        <w:rPr>
          <w:rFonts w:hint="eastAsia" w:hAnsi="宋体"/>
          <w:b/>
          <w:color w:val="auto"/>
          <w:sz w:val="24"/>
          <w:szCs w:val="24"/>
          <w:highlight w:val="none"/>
        </w:rPr>
        <w:t>三、质疑事项具体内容</w:t>
      </w:r>
    </w:p>
    <w:p w14:paraId="5BBBD191">
      <w:pPr>
        <w:pStyle w:val="2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5F0809B2">
      <w:pPr>
        <w:pStyle w:val="2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1B61AB4D">
      <w:pPr>
        <w:pStyle w:val="2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1FCD9685">
      <w:pPr>
        <w:pStyle w:val="2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质疑事项2</w:t>
      </w:r>
    </w:p>
    <w:p w14:paraId="3AFDB5A4">
      <w:pPr>
        <w:pStyle w:val="25"/>
        <w:spacing w:line="360" w:lineRule="auto"/>
        <w:ind w:left="25" w:leftChars="12" w:firstLine="472" w:firstLineChars="197"/>
        <w:contextualSpacing/>
        <w:rPr>
          <w:rFonts w:hint="eastAsia" w:hAnsi="宋体"/>
          <w:color w:val="auto"/>
          <w:sz w:val="24"/>
          <w:szCs w:val="24"/>
          <w:highlight w:val="none"/>
        </w:rPr>
      </w:pPr>
      <w:r>
        <w:rPr>
          <w:rFonts w:hAnsi="宋体"/>
          <w:color w:val="auto"/>
          <w:sz w:val="24"/>
          <w:szCs w:val="24"/>
          <w:highlight w:val="none"/>
        </w:rPr>
        <w:t>……</w:t>
      </w:r>
    </w:p>
    <w:p w14:paraId="6B327C79">
      <w:pPr>
        <w:pStyle w:val="2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7C438CE9">
      <w:pPr>
        <w:pStyle w:val="2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3AC3B07D">
      <w:pPr>
        <w:pStyle w:val="25"/>
        <w:spacing w:line="360" w:lineRule="auto"/>
        <w:ind w:left="25" w:leftChars="12" w:firstLine="352" w:firstLineChars="147"/>
        <w:contextualSpacing/>
        <w:rPr>
          <w:rFonts w:hint="eastAsia" w:hAnsi="宋体"/>
          <w:color w:val="auto"/>
          <w:sz w:val="24"/>
          <w:szCs w:val="24"/>
          <w:highlight w:val="none"/>
        </w:rPr>
      </w:pPr>
    </w:p>
    <w:p w14:paraId="0A69D98E">
      <w:pPr>
        <w:pStyle w:val="2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签字（签章）：                                       公章：</w:t>
      </w:r>
    </w:p>
    <w:p w14:paraId="62B7DB13">
      <w:pPr>
        <w:pStyle w:val="25"/>
        <w:spacing w:line="360" w:lineRule="auto"/>
        <w:ind w:firstLine="480" w:firstLineChars="200"/>
        <w:contextualSpacing/>
        <w:rPr>
          <w:rFonts w:hint="eastAsia" w:hAnsi="宋体"/>
          <w:b/>
          <w:color w:val="auto"/>
          <w:sz w:val="24"/>
          <w:szCs w:val="24"/>
          <w:highlight w:val="none"/>
        </w:rPr>
      </w:pPr>
      <w:r>
        <w:rPr>
          <w:rFonts w:hint="eastAsia" w:hAnsi="宋体"/>
          <w:color w:val="auto"/>
          <w:sz w:val="24"/>
          <w:szCs w:val="24"/>
          <w:highlight w:val="none"/>
        </w:rPr>
        <w:t>日期：</w:t>
      </w:r>
    </w:p>
    <w:p w14:paraId="3D0F7A30">
      <w:pPr>
        <w:pStyle w:val="25"/>
        <w:spacing w:line="360" w:lineRule="auto"/>
        <w:contextualSpacing/>
        <w:rPr>
          <w:rFonts w:hint="eastAsia" w:hAnsi="宋体"/>
          <w:b/>
          <w:color w:val="auto"/>
          <w:sz w:val="24"/>
          <w:szCs w:val="24"/>
          <w:highlight w:val="none"/>
        </w:rPr>
      </w:pPr>
      <w:r>
        <w:rPr>
          <w:rFonts w:hint="eastAsia" w:hAnsi="宋体"/>
          <w:b/>
          <w:color w:val="auto"/>
          <w:sz w:val="24"/>
          <w:szCs w:val="24"/>
          <w:highlight w:val="none"/>
        </w:rPr>
        <w:t>说明：</w:t>
      </w:r>
    </w:p>
    <w:p w14:paraId="3C6BF036">
      <w:pPr>
        <w:pStyle w:val="25"/>
        <w:spacing w:line="360" w:lineRule="auto"/>
        <w:ind w:left="25" w:leftChars="12" w:firstLine="354" w:firstLineChars="147"/>
        <w:contextualSpacing/>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3B01219B">
      <w:pPr>
        <w:pStyle w:val="25"/>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BAF63BC">
      <w:pPr>
        <w:pStyle w:val="25"/>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57E71139">
      <w:pPr>
        <w:pStyle w:val="25"/>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7B566B17">
      <w:pPr>
        <w:pStyle w:val="25"/>
        <w:spacing w:line="360" w:lineRule="auto"/>
        <w:ind w:left="25" w:leftChars="12" w:firstLine="354" w:firstLineChars="147"/>
        <w:contextualSpacing/>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261BBF92">
      <w:pPr>
        <w:pStyle w:val="25"/>
        <w:snapToGrid w:val="0"/>
        <w:rPr>
          <w:rFonts w:hint="eastAsia"/>
          <w:b/>
          <w:color w:val="auto"/>
          <w:sz w:val="24"/>
          <w:szCs w:val="24"/>
          <w:highlight w:val="none"/>
        </w:rPr>
      </w:pPr>
    </w:p>
    <w:p w14:paraId="651FB5F9">
      <w:pPr>
        <w:rPr>
          <w:rFonts w:hint="eastAsia"/>
          <w:color w:val="auto"/>
          <w:sz w:val="32"/>
          <w:szCs w:val="40"/>
          <w:highlight w:val="none"/>
        </w:rPr>
      </w:pPr>
    </w:p>
    <w:p w14:paraId="3A589AA2">
      <w:pPr>
        <w:rPr>
          <w:rFonts w:hint="eastAsia"/>
          <w:color w:val="auto"/>
          <w:sz w:val="32"/>
          <w:szCs w:val="40"/>
          <w:highlight w:val="none"/>
        </w:rPr>
      </w:pPr>
    </w:p>
    <w:p w14:paraId="6C97E45F">
      <w:pPr>
        <w:rPr>
          <w:rFonts w:hint="eastAsia"/>
          <w:color w:val="auto"/>
          <w:sz w:val="32"/>
          <w:szCs w:val="40"/>
          <w:highlight w:val="none"/>
        </w:rPr>
      </w:pPr>
    </w:p>
    <w:p w14:paraId="653D1084">
      <w:pPr>
        <w:rPr>
          <w:rFonts w:hint="eastAsia"/>
          <w:color w:val="auto"/>
          <w:sz w:val="32"/>
          <w:szCs w:val="40"/>
          <w:highlight w:val="none"/>
        </w:rPr>
      </w:pPr>
    </w:p>
    <w:p w14:paraId="10B608DD">
      <w:pPr>
        <w:rPr>
          <w:rFonts w:hint="eastAsia"/>
          <w:color w:val="auto"/>
          <w:sz w:val="32"/>
          <w:szCs w:val="40"/>
          <w:highlight w:val="none"/>
        </w:rPr>
      </w:pPr>
    </w:p>
    <w:p w14:paraId="404BF66A">
      <w:pPr>
        <w:rPr>
          <w:rFonts w:hint="eastAsia"/>
          <w:color w:val="auto"/>
          <w:sz w:val="32"/>
          <w:szCs w:val="40"/>
          <w:highlight w:val="none"/>
        </w:rPr>
      </w:pPr>
    </w:p>
    <w:p w14:paraId="7D6F381D">
      <w:pPr>
        <w:rPr>
          <w:rFonts w:hint="eastAsia"/>
          <w:color w:val="auto"/>
          <w:sz w:val="32"/>
          <w:szCs w:val="40"/>
          <w:highlight w:val="none"/>
        </w:rPr>
      </w:pPr>
    </w:p>
    <w:p w14:paraId="05C9D004">
      <w:pPr>
        <w:rPr>
          <w:rFonts w:hint="eastAsia"/>
          <w:color w:val="auto"/>
          <w:sz w:val="32"/>
          <w:szCs w:val="40"/>
          <w:highlight w:val="none"/>
        </w:rPr>
      </w:pPr>
    </w:p>
    <w:p w14:paraId="53B3BE2B">
      <w:pPr>
        <w:rPr>
          <w:rFonts w:hint="eastAsia"/>
          <w:color w:val="auto"/>
          <w:sz w:val="32"/>
          <w:szCs w:val="40"/>
          <w:highlight w:val="none"/>
        </w:rPr>
      </w:pPr>
    </w:p>
    <w:p w14:paraId="08C0335A">
      <w:pPr>
        <w:rPr>
          <w:rFonts w:hint="eastAsia"/>
          <w:color w:val="auto"/>
          <w:sz w:val="32"/>
          <w:szCs w:val="40"/>
          <w:highlight w:val="none"/>
        </w:rPr>
      </w:pPr>
    </w:p>
    <w:p w14:paraId="38E549A9">
      <w:pPr>
        <w:rPr>
          <w:rFonts w:hint="eastAsia"/>
          <w:color w:val="auto"/>
          <w:sz w:val="32"/>
          <w:szCs w:val="40"/>
          <w:highlight w:val="none"/>
        </w:rPr>
      </w:pPr>
    </w:p>
    <w:p w14:paraId="30ED238B">
      <w:pPr>
        <w:rPr>
          <w:rFonts w:hint="eastAsia"/>
          <w:color w:val="auto"/>
          <w:sz w:val="32"/>
          <w:szCs w:val="40"/>
          <w:highlight w:val="none"/>
        </w:rPr>
      </w:pPr>
    </w:p>
    <w:p w14:paraId="681B61C5">
      <w:pPr>
        <w:rPr>
          <w:rFonts w:hint="eastAsia"/>
          <w:color w:val="auto"/>
          <w:sz w:val="32"/>
          <w:szCs w:val="40"/>
          <w:highlight w:val="none"/>
        </w:rPr>
      </w:pPr>
    </w:p>
    <w:p w14:paraId="0FA34874">
      <w:pPr>
        <w:rPr>
          <w:rFonts w:hint="eastAsia"/>
          <w:color w:val="auto"/>
          <w:sz w:val="32"/>
          <w:szCs w:val="40"/>
          <w:highlight w:val="none"/>
        </w:rPr>
      </w:pPr>
    </w:p>
    <w:p w14:paraId="3815BD9C">
      <w:pPr>
        <w:spacing w:line="360" w:lineRule="auto"/>
        <w:jc w:val="center"/>
        <w:rPr>
          <w:rFonts w:hint="eastAsia" w:ascii="方正小标宋简体" w:hAnsi="方正小标宋简体" w:eastAsia="方正小标宋简体" w:cs="方正小标宋简体"/>
          <w:color w:val="auto"/>
          <w:sz w:val="44"/>
          <w:szCs w:val="44"/>
          <w:highlight w:val="none"/>
        </w:rPr>
      </w:pPr>
      <w:r>
        <w:rPr>
          <w:rFonts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投诉书（格式）</w:t>
      </w:r>
    </w:p>
    <w:p w14:paraId="0A4B8AE6">
      <w:pPr>
        <w:pStyle w:val="25"/>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3A1B48A2">
      <w:pPr>
        <w:pStyle w:val="2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6EDF12D">
      <w:pPr>
        <w:pStyle w:val="25"/>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0002385">
      <w:pPr>
        <w:pStyle w:val="2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3A795611">
      <w:pPr>
        <w:pStyle w:val="25"/>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4FD17ED5">
      <w:pPr>
        <w:pStyle w:val="2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6A0E50D7">
      <w:pPr>
        <w:pStyle w:val="25"/>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3FECBA8C">
      <w:pPr>
        <w:pStyle w:val="25"/>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DFC0AE4">
      <w:pPr>
        <w:pStyle w:val="25"/>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被投诉人1：</w:t>
      </w:r>
    </w:p>
    <w:p w14:paraId="2C507339">
      <w:pPr>
        <w:pStyle w:val="2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68B30980">
      <w:pPr>
        <w:pStyle w:val="25"/>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4DC2F00">
      <w:pPr>
        <w:pStyle w:val="2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20A6432F">
      <w:pPr>
        <w:pStyle w:val="25"/>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被投诉人2：</w:t>
      </w:r>
    </w:p>
    <w:p w14:paraId="40152396">
      <w:pPr>
        <w:pStyle w:val="25"/>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w:t>
      </w:r>
    </w:p>
    <w:p w14:paraId="504F107F">
      <w:pPr>
        <w:pStyle w:val="2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28D04F2F">
      <w:pPr>
        <w:pStyle w:val="25"/>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4E14AAF8">
      <w:pPr>
        <w:pStyle w:val="25"/>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EB29992">
      <w:pPr>
        <w:pStyle w:val="25"/>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1E7C36A2">
      <w:pPr>
        <w:pStyle w:val="25"/>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2CE1FB4A">
      <w:pPr>
        <w:pStyle w:val="25"/>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6ED10BB9">
      <w:pPr>
        <w:pStyle w:val="25"/>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22F53F7A">
      <w:pPr>
        <w:pStyle w:val="25"/>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65927B3B">
      <w:pPr>
        <w:pStyle w:val="25"/>
        <w:spacing w:line="360" w:lineRule="auto"/>
        <w:ind w:left="25" w:leftChars="12" w:firstLine="472" w:firstLineChars="197"/>
        <w:rPr>
          <w:rFonts w:hint="eastAsia"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4E43779D">
      <w:pPr>
        <w:pStyle w:val="25"/>
        <w:spacing w:line="360"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00309B34">
      <w:pPr>
        <w:pStyle w:val="25"/>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三、质疑基本情况</w:t>
      </w:r>
    </w:p>
    <w:p w14:paraId="59E98F7A">
      <w:pPr>
        <w:pStyle w:val="25"/>
        <w:spacing w:line="360" w:lineRule="auto"/>
        <w:ind w:firstLine="480" w:firstLineChars="200"/>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12012928">
      <w:pPr>
        <w:pStyle w:val="25"/>
        <w:spacing w:line="360" w:lineRule="auto"/>
        <w:ind w:firstLine="241"/>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6D2BF54D">
      <w:pPr>
        <w:pStyle w:val="25"/>
        <w:spacing w:line="360" w:lineRule="auto"/>
        <w:ind w:firstLine="241"/>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419665ED">
      <w:pPr>
        <w:pStyle w:val="25"/>
        <w:spacing w:line="360" w:lineRule="auto"/>
        <w:ind w:firstLine="480" w:firstLineChars="20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176FB356">
      <w:pPr>
        <w:pStyle w:val="25"/>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四、投诉事项具体内容</w:t>
      </w:r>
    </w:p>
    <w:p w14:paraId="1E9A9CC4">
      <w:pPr>
        <w:pStyle w:val="25"/>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5F7D5821">
      <w:pPr>
        <w:pStyle w:val="25"/>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29A11816">
      <w:pPr>
        <w:pStyle w:val="25"/>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u w:val="single"/>
        </w:rPr>
        <w:t xml:space="preserve">                                                                                        </w:t>
      </w:r>
    </w:p>
    <w:p w14:paraId="08DD9C8A">
      <w:pPr>
        <w:pStyle w:val="25"/>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4DC4645C">
      <w:pPr>
        <w:pStyle w:val="25"/>
        <w:spacing w:line="360" w:lineRule="auto"/>
        <w:ind w:left="25" w:leftChars="12" w:firstLine="352" w:firstLineChars="147"/>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2036B169">
      <w:pPr>
        <w:pStyle w:val="25"/>
        <w:spacing w:line="360" w:lineRule="auto"/>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14762AD4">
      <w:pPr>
        <w:pStyle w:val="25"/>
        <w:spacing w:line="360" w:lineRule="auto"/>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14:paraId="671F4F6F">
      <w:pPr>
        <w:pStyle w:val="25"/>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48192FC7">
      <w:pPr>
        <w:pStyle w:val="2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4230D25C">
      <w:pPr>
        <w:pStyle w:val="25"/>
        <w:spacing w:line="360" w:lineRule="auto"/>
        <w:ind w:left="25" w:leftChars="12" w:firstLine="352" w:firstLineChars="147"/>
        <w:rPr>
          <w:rFonts w:hint="eastAsia" w:hAnsi="宋体"/>
          <w:color w:val="auto"/>
          <w:sz w:val="24"/>
          <w:szCs w:val="24"/>
          <w:highlight w:val="none"/>
        </w:rPr>
      </w:pPr>
    </w:p>
    <w:p w14:paraId="4C6824D9">
      <w:pPr>
        <w:pStyle w:val="2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30F2A630">
      <w:pPr>
        <w:pStyle w:val="25"/>
        <w:spacing w:line="360" w:lineRule="auto"/>
        <w:ind w:left="25" w:leftChars="12" w:firstLine="352" w:firstLineChars="147"/>
        <w:rPr>
          <w:rFonts w:hint="eastAsia" w:hAnsi="宋体"/>
          <w:color w:val="auto"/>
          <w:sz w:val="24"/>
          <w:szCs w:val="24"/>
          <w:highlight w:val="none"/>
        </w:rPr>
      </w:pPr>
    </w:p>
    <w:p w14:paraId="51D81741">
      <w:pPr>
        <w:pStyle w:val="2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0DC79058">
      <w:pPr>
        <w:pStyle w:val="25"/>
        <w:spacing w:line="360"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 xml:space="preserve">                                                                                 </w:t>
      </w:r>
    </w:p>
    <w:p w14:paraId="6CDB3559">
      <w:pPr>
        <w:pStyle w:val="25"/>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7808C454">
      <w:pPr>
        <w:pStyle w:val="25"/>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047C579E">
      <w:pPr>
        <w:pStyle w:val="2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62E1FDF">
      <w:pPr>
        <w:pStyle w:val="2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4C38B375">
      <w:pPr>
        <w:pStyle w:val="2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7DD1C1DC">
      <w:pPr>
        <w:pStyle w:val="2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46405F62">
      <w:pPr>
        <w:pStyle w:val="25"/>
        <w:spacing w:line="360" w:lineRule="auto"/>
        <w:ind w:left="25" w:leftChars="12" w:firstLine="354" w:firstLineChars="147"/>
        <w:rPr>
          <w:rFonts w:hint="eastAsia"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705F528C">
      <w:pPr>
        <w:pStyle w:val="25"/>
        <w:spacing w:line="360" w:lineRule="auto"/>
        <w:ind w:left="25" w:leftChars="12" w:firstLine="295" w:firstLineChars="147"/>
        <w:rPr>
          <w:rFonts w:hint="eastAsia" w:hAnsi="宋体"/>
          <w:b/>
          <w:color w:val="auto"/>
          <w:highlight w:val="none"/>
        </w:rPr>
      </w:pPr>
    </w:p>
    <w:p w14:paraId="02D333F6">
      <w:pPr>
        <w:pStyle w:val="3"/>
        <w:jc w:val="center"/>
        <w:rPr>
          <w:color w:val="auto"/>
          <w:highlight w:val="none"/>
        </w:rPr>
      </w:pPr>
      <w:bookmarkStart w:id="161" w:name="_Toc74323461"/>
    </w:p>
    <w:p w14:paraId="7B7D1584">
      <w:pPr>
        <w:pStyle w:val="3"/>
        <w:rPr>
          <w:color w:val="auto"/>
          <w:highlight w:val="none"/>
        </w:rPr>
      </w:pPr>
    </w:p>
    <w:p w14:paraId="08AF6F28">
      <w:pPr>
        <w:pStyle w:val="3"/>
        <w:jc w:val="center"/>
        <w:rPr>
          <w:color w:val="auto"/>
          <w:highlight w:val="none"/>
        </w:rPr>
      </w:pPr>
    </w:p>
    <w:p w14:paraId="4D4801DC">
      <w:pPr>
        <w:pStyle w:val="3"/>
        <w:jc w:val="center"/>
        <w:rPr>
          <w:color w:val="auto"/>
          <w:highlight w:val="none"/>
        </w:rPr>
      </w:pPr>
      <w:r>
        <w:rPr>
          <w:rFonts w:hint="eastAsia"/>
          <w:color w:val="auto"/>
          <w:highlight w:val="none"/>
        </w:rPr>
        <w:t>第七章合同文本</w:t>
      </w:r>
      <w:bookmarkEnd w:id="161"/>
    </w:p>
    <w:p w14:paraId="5E7C34D4">
      <w:pPr>
        <w:spacing w:line="520" w:lineRule="exact"/>
        <w:rPr>
          <w:rFonts w:hint="eastAsia" w:ascii="宋体" w:hAnsi="宋体" w:cs="Courier New"/>
          <w:b/>
          <w:color w:val="auto"/>
          <w:sz w:val="32"/>
          <w:szCs w:val="32"/>
          <w:highlight w:val="none"/>
        </w:rPr>
      </w:pPr>
    </w:p>
    <w:p w14:paraId="6ADFF14B">
      <w:pPr>
        <w:widowControl/>
        <w:jc w:val="center"/>
        <w:rPr>
          <w:rFonts w:ascii="宋体" w:hAnsi="宋体" w:cs="宋体"/>
          <w:color w:val="auto"/>
          <w:highlight w:val="none"/>
        </w:rPr>
      </w:pPr>
      <w:r>
        <w:rPr>
          <w:rFonts w:ascii="宋体" w:hAnsi="宋体" w:cs="宋体"/>
          <w:color w:val="auto"/>
          <w:highlight w:val="none"/>
        </w:rPr>
        <w:br w:type="page"/>
      </w:r>
    </w:p>
    <w:p w14:paraId="0E2B8150">
      <w:pPr>
        <w:widowControl/>
        <w:jc w:val="center"/>
        <w:rPr>
          <w:rFonts w:ascii="宋体" w:hAnsi="宋体" w:cs="宋体"/>
          <w:color w:val="auto"/>
          <w:highlight w:val="none"/>
        </w:rPr>
      </w:pPr>
    </w:p>
    <w:p w14:paraId="33E374BF">
      <w:pPr>
        <w:widowControl/>
        <w:jc w:val="center"/>
        <w:rPr>
          <w:rFonts w:ascii="宋体" w:hAnsi="宋体" w:cs="宋体"/>
          <w:color w:val="auto"/>
          <w:highlight w:val="none"/>
        </w:rPr>
      </w:pPr>
    </w:p>
    <w:p w14:paraId="26817FF7">
      <w:pPr>
        <w:widowControl/>
        <w:jc w:val="center"/>
        <w:rPr>
          <w:rFonts w:ascii="宋体" w:hAnsi="宋体" w:cs="宋体"/>
          <w:color w:val="auto"/>
          <w:highlight w:val="none"/>
        </w:rPr>
      </w:pPr>
    </w:p>
    <w:p w14:paraId="62241E23">
      <w:pPr>
        <w:widowControl/>
        <w:jc w:val="center"/>
        <w:rPr>
          <w:rFonts w:ascii="宋体" w:hAnsi="宋体" w:cs="宋体"/>
          <w:color w:val="auto"/>
          <w:highlight w:val="none"/>
        </w:rPr>
      </w:pPr>
    </w:p>
    <w:p w14:paraId="51FC93B3">
      <w:pPr>
        <w:widowControl/>
        <w:jc w:val="center"/>
        <w:rPr>
          <w:rFonts w:ascii="宋体" w:hAnsi="宋体" w:cs="宋体"/>
          <w:color w:val="auto"/>
          <w:highlight w:val="none"/>
        </w:rPr>
      </w:pPr>
    </w:p>
    <w:p w14:paraId="0FD76AFC">
      <w:pPr>
        <w:widowControl/>
        <w:jc w:val="center"/>
        <w:rPr>
          <w:rFonts w:ascii="宋体" w:hAnsi="宋体" w:cs="宋体"/>
          <w:color w:val="auto"/>
          <w:highlight w:val="none"/>
        </w:rPr>
      </w:pPr>
    </w:p>
    <w:p w14:paraId="4AA8D445">
      <w:pPr>
        <w:widowControl/>
        <w:jc w:val="center"/>
        <w:rPr>
          <w:rFonts w:ascii="宋体" w:hAnsi="宋体" w:cs="宋体"/>
          <w:color w:val="auto"/>
          <w:highlight w:val="none"/>
        </w:rPr>
      </w:pPr>
    </w:p>
    <w:p w14:paraId="5645ABF7">
      <w:pPr>
        <w:widowControl/>
        <w:jc w:val="center"/>
        <w:rPr>
          <w:rFonts w:ascii="宋体" w:hAnsi="宋体" w:cs="宋体"/>
          <w:color w:val="auto"/>
          <w:highlight w:val="none"/>
        </w:rPr>
      </w:pPr>
    </w:p>
    <w:p w14:paraId="6B83A59F">
      <w:pPr>
        <w:widowControl/>
        <w:jc w:val="center"/>
        <w:rPr>
          <w:rFonts w:ascii="宋体" w:hAnsi="宋体" w:cs="宋体"/>
          <w:color w:val="auto"/>
          <w:highlight w:val="none"/>
        </w:rPr>
      </w:pPr>
    </w:p>
    <w:p w14:paraId="1D3B1844">
      <w:pPr>
        <w:widowControl/>
        <w:jc w:val="center"/>
        <w:rPr>
          <w:rFonts w:ascii="宋体" w:hAnsi="宋体" w:cs="宋体"/>
          <w:color w:val="auto"/>
          <w:highlight w:val="none"/>
        </w:rPr>
      </w:pPr>
    </w:p>
    <w:p w14:paraId="01D0D91B">
      <w:pPr>
        <w:widowControl/>
        <w:jc w:val="center"/>
        <w:rPr>
          <w:rFonts w:ascii="宋体" w:hAnsi="宋体" w:cs="宋体"/>
          <w:color w:val="auto"/>
          <w:highlight w:val="none"/>
        </w:rPr>
      </w:pPr>
    </w:p>
    <w:p w14:paraId="3089B26C">
      <w:pPr>
        <w:widowControl/>
        <w:jc w:val="center"/>
        <w:rPr>
          <w:rFonts w:ascii="宋体" w:hAnsi="宋体" w:cs="宋体"/>
          <w:color w:val="auto"/>
          <w:highlight w:val="none"/>
        </w:rPr>
      </w:pPr>
    </w:p>
    <w:p w14:paraId="33744990">
      <w:pPr>
        <w:widowControl/>
        <w:jc w:val="center"/>
        <w:rPr>
          <w:rFonts w:ascii="宋体" w:hAnsi="宋体" w:cs="宋体"/>
          <w:color w:val="auto"/>
          <w:highlight w:val="none"/>
        </w:rPr>
      </w:pPr>
    </w:p>
    <w:p w14:paraId="4728F386">
      <w:pPr>
        <w:widowControl/>
        <w:jc w:val="center"/>
        <w:rPr>
          <w:rFonts w:ascii="宋体" w:hAnsi="宋体" w:cs="宋体"/>
          <w:color w:val="auto"/>
          <w:highlight w:val="none"/>
        </w:rPr>
      </w:pPr>
    </w:p>
    <w:p w14:paraId="250E44A0">
      <w:pPr>
        <w:widowControl/>
        <w:jc w:val="center"/>
        <w:rPr>
          <w:rFonts w:ascii="宋体" w:hAnsi="宋体" w:cs="宋体"/>
          <w:color w:val="auto"/>
          <w:highlight w:val="none"/>
        </w:rPr>
      </w:pPr>
    </w:p>
    <w:p w14:paraId="1E97E0EA">
      <w:pPr>
        <w:widowControl/>
        <w:jc w:val="center"/>
        <w:rPr>
          <w:rFonts w:ascii="宋体" w:hAnsi="宋体" w:cs="宋体"/>
          <w:color w:val="auto"/>
          <w:highlight w:val="none"/>
        </w:rPr>
      </w:pPr>
    </w:p>
    <w:p w14:paraId="6FE65CB2">
      <w:pPr>
        <w:widowControl/>
        <w:jc w:val="center"/>
        <w:rPr>
          <w:rFonts w:ascii="宋体" w:hAnsi="宋体" w:cs="宋体"/>
          <w:color w:val="auto"/>
          <w:highlight w:val="none"/>
        </w:rPr>
      </w:pPr>
    </w:p>
    <w:p w14:paraId="45ADAF6A">
      <w:pPr>
        <w:widowControl/>
        <w:jc w:val="center"/>
        <w:rPr>
          <w:rFonts w:ascii="宋体" w:hAnsi="宋体" w:cs="宋体"/>
          <w:color w:val="auto"/>
          <w:highlight w:val="none"/>
        </w:rPr>
      </w:pPr>
    </w:p>
    <w:p w14:paraId="0A017DD9">
      <w:pPr>
        <w:widowControl/>
        <w:jc w:val="center"/>
        <w:rPr>
          <w:rFonts w:ascii="宋体" w:hAnsi="宋体" w:cs="宋体"/>
          <w:color w:val="auto"/>
          <w:highlight w:val="none"/>
        </w:rPr>
      </w:pPr>
    </w:p>
    <w:p w14:paraId="26E1F00D">
      <w:pPr>
        <w:widowControl/>
        <w:jc w:val="center"/>
        <w:rPr>
          <w:rFonts w:ascii="宋体" w:hAnsi="宋体" w:cs="宋体"/>
          <w:color w:val="auto"/>
          <w:highlight w:val="none"/>
        </w:rPr>
      </w:pPr>
    </w:p>
    <w:p w14:paraId="1211C48C">
      <w:pPr>
        <w:widowControl/>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一、建设工程施工合同</w:t>
      </w:r>
    </w:p>
    <w:p w14:paraId="02AC0825">
      <w:pPr>
        <w:pStyle w:val="3"/>
        <w:jc w:val="center"/>
        <w:rPr>
          <w:color w:val="auto"/>
          <w:highlight w:val="none"/>
        </w:rPr>
      </w:pPr>
      <w:bookmarkStart w:id="162" w:name="_Toc389065255"/>
      <w:bookmarkStart w:id="163" w:name="_Toc296890982"/>
      <w:bookmarkStart w:id="164" w:name="_Toc407135191"/>
      <w:bookmarkStart w:id="165" w:name="_Toc296503025"/>
      <w:bookmarkStart w:id="166" w:name="_Toc724920571"/>
      <w:bookmarkStart w:id="167" w:name="_Toc373227552"/>
      <w:bookmarkStart w:id="168" w:name="_Toc373478199"/>
      <w:bookmarkStart w:id="169" w:name="_Toc351203480"/>
      <w:bookmarkStart w:id="170" w:name="_Toc1756478213"/>
      <w:bookmarkStart w:id="171" w:name="_Toc78449777"/>
      <w:r>
        <w:rPr>
          <w:rFonts w:cs="黑体"/>
          <w:color w:val="auto"/>
          <w:highlight w:val="none"/>
        </w:rPr>
        <w:br w:type="page"/>
      </w:r>
      <w:bookmarkStart w:id="172" w:name="_Toc122424019"/>
      <w:bookmarkStart w:id="173" w:name="_Toc122424268"/>
      <w:r>
        <w:rPr>
          <w:rFonts w:hint="eastAsia" w:cs="黑体"/>
          <w:color w:val="auto"/>
          <w:highlight w:val="none"/>
        </w:rPr>
        <w:t>第一部分</w:t>
      </w:r>
      <w:r>
        <w:rPr>
          <w:color w:val="auto"/>
          <w:highlight w:val="none"/>
        </w:rPr>
        <w:t xml:space="preserve"> </w:t>
      </w:r>
      <w:r>
        <w:rPr>
          <w:rFonts w:hint="eastAsia" w:cs="黑体"/>
          <w:color w:val="auto"/>
          <w:highlight w:val="none"/>
        </w:rPr>
        <w:t>合同协议书</w:t>
      </w:r>
      <w:bookmarkEnd w:id="162"/>
      <w:bookmarkEnd w:id="163"/>
      <w:bookmarkEnd w:id="164"/>
      <w:bookmarkEnd w:id="165"/>
      <w:bookmarkEnd w:id="166"/>
      <w:bookmarkEnd w:id="167"/>
      <w:bookmarkEnd w:id="168"/>
      <w:bookmarkEnd w:id="169"/>
      <w:bookmarkEnd w:id="170"/>
      <w:bookmarkEnd w:id="171"/>
      <w:bookmarkEnd w:id="172"/>
      <w:bookmarkEnd w:id="173"/>
    </w:p>
    <w:p w14:paraId="5B56C4F7">
      <w:pPr>
        <w:spacing w:line="360" w:lineRule="auto"/>
        <w:rPr>
          <w:color w:val="auto"/>
          <w:highlight w:val="none"/>
          <w:u w:val="single"/>
        </w:rPr>
      </w:pPr>
      <w:r>
        <w:rPr>
          <w:rFonts w:hint="eastAsia" w:hAnsi="宋体" w:cs="宋体"/>
          <w:color w:val="auto"/>
          <w:highlight w:val="none"/>
        </w:rPr>
        <w:t>发包人（全称）：</w:t>
      </w:r>
      <w:r>
        <w:rPr>
          <w:rFonts w:hAnsi="宋体"/>
          <w:color w:val="auto"/>
          <w:highlight w:val="none"/>
          <w:u w:val="single"/>
        </w:rPr>
        <w:t xml:space="preserve">                              </w:t>
      </w:r>
    </w:p>
    <w:p w14:paraId="4F3A9B85">
      <w:pPr>
        <w:spacing w:line="360" w:lineRule="auto"/>
        <w:rPr>
          <w:color w:val="auto"/>
          <w:highlight w:val="none"/>
          <w:u w:val="single"/>
        </w:rPr>
      </w:pPr>
      <w:r>
        <w:rPr>
          <w:rFonts w:hint="eastAsia" w:hAnsi="宋体" w:cs="宋体"/>
          <w:color w:val="auto"/>
          <w:highlight w:val="none"/>
        </w:rPr>
        <w:t>承包人（全称）：</w:t>
      </w:r>
      <w:r>
        <w:rPr>
          <w:rFonts w:hAnsi="宋体"/>
          <w:color w:val="auto"/>
          <w:highlight w:val="none"/>
          <w:u w:val="single"/>
        </w:rPr>
        <w:t xml:space="preserve">                              </w:t>
      </w:r>
    </w:p>
    <w:p w14:paraId="1908CD0C">
      <w:pPr>
        <w:spacing w:line="360" w:lineRule="auto"/>
        <w:ind w:firstLine="420" w:firstLineChars="200"/>
        <w:rPr>
          <w:rFonts w:hAnsi="宋体"/>
          <w:color w:val="auto"/>
          <w:highlight w:val="none"/>
        </w:rPr>
      </w:pPr>
      <w:r>
        <w:rPr>
          <w:rFonts w:hint="eastAsia" w:hAnsi="宋体" w:cs="宋体"/>
          <w:color w:val="auto"/>
          <w:highlight w:val="none"/>
        </w:rPr>
        <w:t>根据《中华人民共和国民法典》、《中华人民共和国建筑法》及有关法律规定，遵循平等、自愿、公平和诚实信用的原则，双方就</w:t>
      </w:r>
      <w:r>
        <w:rPr>
          <w:color w:val="auto"/>
          <w:highlight w:val="none"/>
          <w:u w:val="single"/>
        </w:rPr>
        <w:t xml:space="preserve"> </w:t>
      </w:r>
      <w:r>
        <w:rPr>
          <w:rFonts w:hint="eastAsia"/>
          <w:color w:val="auto"/>
          <w:highlight w:val="none"/>
          <w:u w:val="single"/>
        </w:rPr>
        <w:t>东龙镇乡村垃圾集中收集点项目建设</w:t>
      </w:r>
      <w:r>
        <w:rPr>
          <w:color w:val="auto"/>
          <w:highlight w:val="none"/>
          <w:u w:val="single"/>
        </w:rPr>
        <w:t xml:space="preserve"> </w:t>
      </w:r>
      <w:r>
        <w:rPr>
          <w:rFonts w:hint="eastAsia" w:hAnsi="宋体" w:cs="宋体"/>
          <w:color w:val="auto"/>
          <w:highlight w:val="none"/>
        </w:rPr>
        <w:t>施工及有关事项协商一致，共同达成如下协议：</w:t>
      </w:r>
      <w:bookmarkStart w:id="174" w:name="_Toc351203481"/>
    </w:p>
    <w:p w14:paraId="53E3F9F1">
      <w:pPr>
        <w:spacing w:line="360" w:lineRule="auto"/>
        <w:ind w:firstLine="422" w:firstLineChars="200"/>
        <w:outlineLvl w:val="0"/>
        <w:rPr>
          <w:b/>
          <w:bCs/>
          <w:color w:val="auto"/>
          <w:highlight w:val="none"/>
        </w:rPr>
      </w:pPr>
      <w:bookmarkStart w:id="175" w:name="_Toc122424020"/>
      <w:bookmarkStart w:id="176" w:name="_Toc122424269"/>
      <w:r>
        <w:rPr>
          <w:rFonts w:hint="eastAsia" w:hAnsi="宋体" w:cs="宋体"/>
          <w:b/>
          <w:bCs/>
          <w:color w:val="auto"/>
          <w:highlight w:val="none"/>
        </w:rPr>
        <w:t>一、工程概况</w:t>
      </w:r>
      <w:bookmarkEnd w:id="174"/>
      <w:bookmarkEnd w:id="175"/>
      <w:bookmarkEnd w:id="176"/>
    </w:p>
    <w:p w14:paraId="0695929B">
      <w:pPr>
        <w:spacing w:line="360" w:lineRule="auto"/>
        <w:ind w:firstLine="411" w:firstLineChars="196"/>
        <w:rPr>
          <w:color w:val="auto"/>
          <w:highlight w:val="none"/>
          <w:u w:val="single"/>
        </w:rPr>
      </w:pPr>
      <w:r>
        <w:rPr>
          <w:color w:val="auto"/>
          <w:highlight w:val="none"/>
        </w:rPr>
        <w:t xml:space="preserve">1. </w:t>
      </w:r>
      <w:r>
        <w:rPr>
          <w:rFonts w:hint="eastAsia" w:hAnsi="宋体" w:cs="宋体"/>
          <w:color w:val="auto"/>
          <w:highlight w:val="none"/>
        </w:rPr>
        <w:t>工程名称：</w:t>
      </w:r>
      <w:r>
        <w:rPr>
          <w:color w:val="auto"/>
          <w:highlight w:val="none"/>
          <w:u w:val="single"/>
        </w:rPr>
        <w:t xml:space="preserve"> </w:t>
      </w:r>
      <w:r>
        <w:rPr>
          <w:rFonts w:hint="eastAsia"/>
          <w:color w:val="auto"/>
          <w:highlight w:val="none"/>
          <w:u w:val="single"/>
        </w:rPr>
        <w:t>东龙镇乡村垃圾集中收集点项目建设</w:t>
      </w:r>
      <w:r>
        <w:rPr>
          <w:color w:val="auto"/>
          <w:highlight w:val="none"/>
          <w:u w:val="single"/>
        </w:rPr>
        <w:t xml:space="preserve"> </w:t>
      </w:r>
      <w:r>
        <w:rPr>
          <w:rFonts w:hint="eastAsia" w:hAnsi="宋体" w:cs="宋体"/>
          <w:color w:val="auto"/>
          <w:highlight w:val="none"/>
        </w:rPr>
        <w:t>。</w:t>
      </w:r>
    </w:p>
    <w:p w14:paraId="3CDBBB32">
      <w:pPr>
        <w:spacing w:line="360" w:lineRule="auto"/>
        <w:ind w:firstLine="411" w:firstLineChars="196"/>
        <w:rPr>
          <w:color w:val="auto"/>
          <w:highlight w:val="none"/>
        </w:rPr>
      </w:pPr>
      <w:r>
        <w:rPr>
          <w:color w:val="auto"/>
          <w:highlight w:val="none"/>
        </w:rPr>
        <w:t xml:space="preserve">2. </w:t>
      </w:r>
      <w:r>
        <w:rPr>
          <w:rFonts w:hint="eastAsia" w:hAnsi="宋体" w:cs="宋体"/>
          <w:color w:val="auto"/>
          <w:highlight w:val="none"/>
        </w:rPr>
        <w:t>工程地点：</w:t>
      </w:r>
      <w:r>
        <w:rPr>
          <w:color w:val="auto"/>
          <w:highlight w:val="none"/>
          <w:u w:val="single"/>
        </w:rPr>
        <w:t xml:space="preserve">  </w:t>
      </w:r>
      <w:r>
        <w:rPr>
          <w:rFonts w:hint="eastAsia"/>
          <w:color w:val="auto"/>
          <w:highlight w:val="none"/>
          <w:u w:val="single"/>
        </w:rPr>
        <w:t xml:space="preserve">  东龙镇                   </w:t>
      </w:r>
      <w:r>
        <w:rPr>
          <w:color w:val="auto"/>
          <w:highlight w:val="none"/>
          <w:u w:val="single"/>
        </w:rPr>
        <w:t xml:space="preserve">    </w:t>
      </w:r>
      <w:r>
        <w:rPr>
          <w:rFonts w:hint="eastAsia" w:hAnsi="宋体" w:cs="宋体"/>
          <w:color w:val="auto"/>
          <w:highlight w:val="none"/>
        </w:rPr>
        <w:t>。</w:t>
      </w:r>
    </w:p>
    <w:p w14:paraId="3E2DD17E">
      <w:pPr>
        <w:spacing w:line="360" w:lineRule="auto"/>
        <w:ind w:firstLine="411" w:firstLineChars="196"/>
        <w:rPr>
          <w:color w:val="auto"/>
          <w:highlight w:val="none"/>
        </w:rPr>
      </w:pPr>
      <w:r>
        <w:rPr>
          <w:color w:val="auto"/>
          <w:highlight w:val="none"/>
        </w:rPr>
        <w:t xml:space="preserve">3. </w:t>
      </w:r>
      <w:r>
        <w:rPr>
          <w:rFonts w:hint="eastAsia" w:hAnsi="宋体" w:cs="宋体"/>
          <w:color w:val="auto"/>
          <w:highlight w:val="none"/>
        </w:rPr>
        <w:t>工程立项批准文号：</w:t>
      </w:r>
      <w:r>
        <w:rPr>
          <w:color w:val="auto"/>
          <w:highlight w:val="none"/>
          <w:u w:val="single"/>
        </w:rPr>
        <w:t xml:space="preserve">   </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highlight w:val="none"/>
        </w:rPr>
        <w:t>。</w:t>
      </w:r>
    </w:p>
    <w:p w14:paraId="08CDA77A">
      <w:pPr>
        <w:spacing w:line="360" w:lineRule="auto"/>
        <w:ind w:firstLine="411" w:firstLineChars="196"/>
        <w:rPr>
          <w:color w:val="auto"/>
          <w:highlight w:val="none"/>
        </w:rPr>
      </w:pPr>
      <w:r>
        <w:rPr>
          <w:color w:val="auto"/>
          <w:highlight w:val="none"/>
        </w:rPr>
        <w:t xml:space="preserve">4. </w:t>
      </w:r>
      <w:r>
        <w:rPr>
          <w:rFonts w:hint="eastAsia" w:hAnsi="宋体" w:cs="宋体"/>
          <w:color w:val="auto"/>
          <w:highlight w:val="none"/>
        </w:rPr>
        <w:t>资金来源：</w:t>
      </w:r>
      <w:r>
        <w:rPr>
          <w:color w:val="auto"/>
          <w:highlight w:val="none"/>
          <w:u w:val="single"/>
        </w:rPr>
        <w:t xml:space="preserve">    </w:t>
      </w:r>
      <w:r>
        <w:rPr>
          <w:rFonts w:hint="eastAsia"/>
          <w:color w:val="auto"/>
          <w:highlight w:val="none"/>
          <w:u w:val="single"/>
        </w:rPr>
        <w:t xml:space="preserve"> </w:t>
      </w:r>
      <w:r>
        <w:rPr>
          <w:rFonts w:hint="eastAsia"/>
          <w:color w:val="auto"/>
          <w:highlight w:val="none"/>
          <w:u w:val="single"/>
          <w:lang w:eastAsia="zh-CN"/>
        </w:rPr>
        <w:t>财政资金</w:t>
      </w:r>
      <w:r>
        <w:rPr>
          <w:rFonts w:hint="eastAsia"/>
          <w:color w:val="auto"/>
          <w:highlight w:val="none"/>
          <w:u w:val="single"/>
          <w:lang w:val="en-US" w:eastAsia="zh-CN"/>
        </w:rPr>
        <w:t xml:space="preserve">              </w:t>
      </w:r>
      <w:r>
        <w:rPr>
          <w:color w:val="auto"/>
          <w:highlight w:val="none"/>
          <w:u w:val="single"/>
        </w:rPr>
        <w:t xml:space="preserve">   </w:t>
      </w:r>
      <w:r>
        <w:rPr>
          <w:rFonts w:hint="eastAsia" w:hAnsi="宋体" w:cs="宋体"/>
          <w:color w:val="auto"/>
          <w:highlight w:val="none"/>
        </w:rPr>
        <w:t>。</w:t>
      </w:r>
    </w:p>
    <w:p w14:paraId="28180376">
      <w:pPr>
        <w:spacing w:line="360" w:lineRule="auto"/>
        <w:ind w:firstLine="411" w:firstLineChars="196"/>
        <w:rPr>
          <w:color w:val="auto"/>
          <w:highlight w:val="none"/>
        </w:rPr>
      </w:pPr>
      <w:r>
        <w:rPr>
          <w:color w:val="auto"/>
          <w:highlight w:val="none"/>
        </w:rPr>
        <w:t xml:space="preserve">5. </w:t>
      </w:r>
      <w:r>
        <w:rPr>
          <w:rFonts w:hint="eastAsia" w:hAnsi="宋体" w:cs="宋体"/>
          <w:color w:val="auto"/>
          <w:highlight w:val="none"/>
        </w:rPr>
        <w:t>工程内容：</w:t>
      </w:r>
      <w:r>
        <w:rPr>
          <w:color w:val="auto"/>
          <w:highlight w:val="none"/>
          <w:u w:val="single"/>
        </w:rPr>
        <w:t xml:space="preserve"> </w:t>
      </w:r>
      <w:r>
        <w:rPr>
          <w:rFonts w:hint="eastAsia"/>
          <w:color w:val="auto"/>
          <w:highlight w:val="none"/>
          <w:u w:val="single"/>
        </w:rPr>
        <w:t>东龙镇乡村垃圾集中收集点项目建设1项，用地总面积1050㎡，工程总建筑面积106.64㎡，建筑高度6.65m</w:t>
      </w:r>
      <w:r>
        <w:rPr>
          <w:color w:val="auto"/>
          <w:highlight w:val="none"/>
          <w:u w:val="single"/>
        </w:rPr>
        <w:t xml:space="preserve"> </w:t>
      </w:r>
      <w:r>
        <w:rPr>
          <w:rFonts w:hint="eastAsia" w:hAnsi="宋体" w:cs="宋体"/>
          <w:color w:val="auto"/>
          <w:highlight w:val="none"/>
        </w:rPr>
        <w:t>。</w:t>
      </w:r>
    </w:p>
    <w:p w14:paraId="4AF1A876">
      <w:pPr>
        <w:spacing w:line="360" w:lineRule="auto"/>
        <w:ind w:firstLine="411" w:firstLineChars="196"/>
        <w:rPr>
          <w:color w:val="auto"/>
          <w:highlight w:val="none"/>
        </w:rPr>
      </w:pPr>
      <w:r>
        <w:rPr>
          <w:color w:val="auto"/>
          <w:highlight w:val="none"/>
        </w:rPr>
        <w:t xml:space="preserve">6. </w:t>
      </w:r>
      <w:r>
        <w:rPr>
          <w:rFonts w:hint="eastAsia" w:hAnsi="宋体" w:cs="宋体"/>
          <w:color w:val="auto"/>
          <w:highlight w:val="none"/>
        </w:rPr>
        <w:t>工程承包范围：</w:t>
      </w:r>
    </w:p>
    <w:p w14:paraId="425AD299">
      <w:pPr>
        <w:spacing w:line="360" w:lineRule="auto"/>
        <w:ind w:firstLine="405" w:firstLineChars="193"/>
        <w:rPr>
          <w:rFonts w:hAnsi="宋体"/>
          <w:color w:val="auto"/>
          <w:highlight w:val="none"/>
        </w:rPr>
      </w:pPr>
      <w:r>
        <w:rPr>
          <w:color w:val="auto"/>
          <w:highlight w:val="none"/>
          <w:u w:val="single"/>
        </w:rPr>
        <w:t xml:space="preserve">  </w:t>
      </w:r>
      <w:r>
        <w:rPr>
          <w:rFonts w:hint="eastAsia"/>
          <w:color w:val="auto"/>
          <w:highlight w:val="none"/>
          <w:u w:val="single"/>
        </w:rPr>
        <w:t xml:space="preserve">东龙镇乡村垃圾集中收集点项目建设1项，用地总面积1050㎡，工程总建筑面积106.64㎡，建筑高度6.65m  </w:t>
      </w:r>
      <w:r>
        <w:rPr>
          <w:color w:val="auto"/>
          <w:highlight w:val="none"/>
          <w:u w:val="single"/>
        </w:rPr>
        <w:t xml:space="preserve">  </w:t>
      </w:r>
      <w:r>
        <w:rPr>
          <w:rFonts w:hint="eastAsia" w:hAnsi="宋体" w:cs="宋体"/>
          <w:color w:val="auto"/>
          <w:highlight w:val="none"/>
        </w:rPr>
        <w:t>。</w:t>
      </w:r>
    </w:p>
    <w:p w14:paraId="0F899E2E">
      <w:pPr>
        <w:spacing w:line="360" w:lineRule="auto"/>
        <w:ind w:firstLine="407" w:firstLineChars="193"/>
        <w:outlineLvl w:val="0"/>
        <w:rPr>
          <w:b/>
          <w:bCs/>
          <w:color w:val="auto"/>
          <w:highlight w:val="none"/>
        </w:rPr>
      </w:pPr>
      <w:bookmarkStart w:id="177" w:name="_Toc122424021"/>
      <w:bookmarkStart w:id="178" w:name="_Toc122424270"/>
      <w:bookmarkStart w:id="179" w:name="_Toc351203482"/>
      <w:r>
        <w:rPr>
          <w:rFonts w:hint="eastAsia" w:hAnsi="宋体" w:cs="宋体"/>
          <w:b/>
          <w:bCs/>
          <w:color w:val="auto"/>
          <w:highlight w:val="none"/>
        </w:rPr>
        <w:t>二、合同工期</w:t>
      </w:r>
      <w:bookmarkEnd w:id="177"/>
      <w:bookmarkEnd w:id="178"/>
      <w:bookmarkEnd w:id="179"/>
    </w:p>
    <w:p w14:paraId="23AE4DB7">
      <w:pPr>
        <w:spacing w:line="360" w:lineRule="auto"/>
        <w:ind w:firstLine="459"/>
        <w:rPr>
          <w:color w:val="auto"/>
          <w:highlight w:val="none"/>
        </w:rPr>
      </w:pPr>
      <w:r>
        <w:rPr>
          <w:rFonts w:hint="eastAsia" w:hAnsi="宋体" w:cs="宋体"/>
          <w:color w:val="auto"/>
          <w:highlight w:val="none"/>
        </w:rPr>
        <w:t>计划开工日期：</w:t>
      </w:r>
      <w:r>
        <w:rPr>
          <w:rFonts w:hAnsi="宋体"/>
          <w:color w:val="auto"/>
          <w:highlight w:val="none"/>
          <w:u w:val="single"/>
        </w:rPr>
        <w:t></w:t>
      </w:r>
      <w:r>
        <w:rPr>
          <w:rFonts w:hAnsi="宋体"/>
          <w:color w:val="auto"/>
          <w:highlight w:val="none"/>
        </w:rPr>
        <w:t>年</w:t>
      </w:r>
      <w:r>
        <w:rPr>
          <w:rFonts w:hAnsi="宋体"/>
          <w:color w:val="auto"/>
          <w:highlight w:val="none"/>
          <w:u w:val="single"/>
        </w:rPr>
        <w:t></w:t>
      </w:r>
      <w:r>
        <w:rPr>
          <w:rFonts w:hAnsi="宋体"/>
          <w:color w:val="auto"/>
          <w:highlight w:val="none"/>
        </w:rPr>
        <w:t>月</w:t>
      </w:r>
      <w:r>
        <w:rPr>
          <w:rFonts w:hAnsi="宋体"/>
          <w:color w:val="auto"/>
          <w:highlight w:val="none"/>
          <w:u w:val="single"/>
        </w:rPr>
        <w:t></w:t>
      </w:r>
      <w:r>
        <w:rPr>
          <w:rFonts w:hAnsi="宋体"/>
          <w:color w:val="auto"/>
          <w:highlight w:val="none"/>
        </w:rPr>
        <w:t>日。</w:t>
      </w:r>
      <w:r>
        <w:rPr>
          <w:rFonts w:hint="eastAsia" w:hAnsi="宋体" w:cs="宋体"/>
          <w:color w:val="auto"/>
          <w:highlight w:val="none"/>
        </w:rPr>
        <w:t>（具体以发包人书面通知为准）</w:t>
      </w:r>
    </w:p>
    <w:p w14:paraId="01437EF4">
      <w:pPr>
        <w:spacing w:line="360" w:lineRule="auto"/>
        <w:ind w:firstLine="459"/>
        <w:rPr>
          <w:color w:val="auto"/>
          <w:highlight w:val="none"/>
        </w:rPr>
      </w:pPr>
      <w:r>
        <w:rPr>
          <w:rFonts w:hint="eastAsia" w:hAnsi="宋体" w:cs="宋体"/>
          <w:color w:val="auto"/>
          <w:highlight w:val="none"/>
        </w:rPr>
        <w:t>计划竣工日期：</w:t>
      </w:r>
      <w:r>
        <w:rPr>
          <w:rFonts w:hAnsi="宋体"/>
          <w:color w:val="auto"/>
          <w:highlight w:val="none"/>
          <w:u w:val="single"/>
        </w:rPr>
        <w:t></w:t>
      </w:r>
      <w:r>
        <w:rPr>
          <w:rFonts w:hAnsi="宋体"/>
          <w:color w:val="auto"/>
          <w:highlight w:val="none"/>
        </w:rPr>
        <w:t>年</w:t>
      </w:r>
      <w:r>
        <w:rPr>
          <w:rFonts w:hAnsi="宋体"/>
          <w:color w:val="auto"/>
          <w:highlight w:val="none"/>
          <w:u w:val="single"/>
        </w:rPr>
        <w:t></w:t>
      </w:r>
      <w:r>
        <w:rPr>
          <w:rFonts w:hAnsi="宋体"/>
          <w:color w:val="auto"/>
          <w:highlight w:val="none"/>
        </w:rPr>
        <w:t>月</w:t>
      </w:r>
      <w:r>
        <w:rPr>
          <w:rFonts w:hAnsi="宋体"/>
          <w:color w:val="auto"/>
          <w:highlight w:val="none"/>
          <w:u w:val="single"/>
        </w:rPr>
        <w:t></w:t>
      </w:r>
      <w:r>
        <w:rPr>
          <w:rFonts w:hAnsi="宋体"/>
          <w:color w:val="auto"/>
          <w:highlight w:val="none"/>
        </w:rPr>
        <w:t>日</w:t>
      </w:r>
      <w:r>
        <w:rPr>
          <w:rFonts w:hint="eastAsia" w:hAnsi="宋体" w:cs="宋体"/>
          <w:color w:val="auto"/>
          <w:highlight w:val="none"/>
        </w:rPr>
        <w:t>。</w:t>
      </w:r>
    </w:p>
    <w:p w14:paraId="73DC1076">
      <w:pPr>
        <w:spacing w:line="360" w:lineRule="auto"/>
        <w:ind w:firstLine="459"/>
        <w:rPr>
          <w:rFonts w:hAnsi="宋体"/>
          <w:color w:val="auto"/>
          <w:highlight w:val="none"/>
        </w:rPr>
      </w:pPr>
      <w:r>
        <w:rPr>
          <w:rFonts w:hint="eastAsia" w:hAnsi="宋体" w:cs="宋体"/>
          <w:color w:val="auto"/>
          <w:highlight w:val="none"/>
        </w:rPr>
        <w:t>工期总日历天数：</w:t>
      </w:r>
      <w:r>
        <w:rPr>
          <w:rFonts w:hint="eastAsia" w:hAnsi="宋体" w:cs="宋体"/>
          <w:color w:val="auto"/>
          <w:highlight w:val="none"/>
          <w:u w:val="single"/>
        </w:rPr>
        <w:t xml:space="preserve"> </w:t>
      </w:r>
      <w:r>
        <w:rPr>
          <w:rFonts w:hint="eastAsia" w:hAnsi="宋体" w:cs="宋体"/>
          <w:color w:val="auto"/>
          <w:highlight w:val="none"/>
          <w:u w:val="single"/>
          <w:lang w:val="en-US" w:eastAsia="zh-CN"/>
        </w:rPr>
        <w:t>90</w:t>
      </w:r>
      <w:r>
        <w:rPr>
          <w:rFonts w:hint="eastAsia" w:hAnsi="宋体" w:cs="宋体"/>
          <w:color w:val="auto"/>
          <w:highlight w:val="none"/>
          <w:u w:val="single"/>
        </w:rPr>
        <w:t xml:space="preserve"> </w:t>
      </w:r>
      <w:r>
        <w:rPr>
          <w:rFonts w:hint="eastAsia" w:hAnsi="宋体" w:cs="宋体"/>
          <w:color w:val="auto"/>
          <w:highlight w:val="none"/>
        </w:rPr>
        <w:t>天。工期总日历天数与根据前述计划开竣工日期计算的工期天数不一致的，以工期总日历天数为准。</w:t>
      </w:r>
    </w:p>
    <w:p w14:paraId="1FDE737A">
      <w:pPr>
        <w:spacing w:line="360" w:lineRule="auto"/>
        <w:ind w:firstLine="459"/>
        <w:outlineLvl w:val="0"/>
        <w:rPr>
          <w:b/>
          <w:bCs/>
          <w:color w:val="auto"/>
          <w:highlight w:val="none"/>
        </w:rPr>
      </w:pPr>
      <w:bookmarkStart w:id="180" w:name="_Toc122424022"/>
      <w:bookmarkStart w:id="181" w:name="_Toc122424271"/>
      <w:bookmarkStart w:id="182" w:name="_Toc351203483"/>
      <w:r>
        <w:rPr>
          <w:rFonts w:hint="eastAsia" w:hAnsi="宋体" w:cs="宋体"/>
          <w:b/>
          <w:bCs/>
          <w:color w:val="auto"/>
          <w:highlight w:val="none"/>
        </w:rPr>
        <w:t>三、质量标准</w:t>
      </w:r>
      <w:bookmarkEnd w:id="180"/>
      <w:bookmarkEnd w:id="181"/>
      <w:bookmarkEnd w:id="182"/>
    </w:p>
    <w:p w14:paraId="042FB6DA">
      <w:pPr>
        <w:spacing w:line="360" w:lineRule="auto"/>
        <w:ind w:firstLine="459"/>
        <w:rPr>
          <w:rFonts w:hAnsi="宋体"/>
          <w:color w:val="auto"/>
          <w:highlight w:val="none"/>
        </w:rPr>
      </w:pPr>
      <w:r>
        <w:rPr>
          <w:rFonts w:hint="eastAsia" w:hAnsi="宋体" w:cs="宋体"/>
          <w:color w:val="auto"/>
          <w:highlight w:val="none"/>
        </w:rPr>
        <w:t>工程质量符合</w:t>
      </w:r>
      <w:r>
        <w:rPr>
          <w:rFonts w:eastAsia="仿宋_GB2312"/>
          <w:color w:val="auto"/>
          <w:highlight w:val="none"/>
          <w:u w:val="single"/>
        </w:rPr>
        <w:t></w:t>
      </w:r>
      <w:r>
        <w:rPr>
          <w:rFonts w:hint="eastAsia" w:eastAsia="仿宋_GB2312"/>
          <w:color w:val="auto"/>
          <w:highlight w:val="none"/>
          <w:u w:val="single"/>
        </w:rPr>
        <w:t xml:space="preserve">           </w:t>
      </w:r>
      <w:r>
        <w:rPr>
          <w:rFonts w:eastAsia="仿宋_GB2312"/>
          <w:color w:val="auto"/>
          <w:highlight w:val="none"/>
          <w:u w:val="single"/>
        </w:rPr>
        <w:t></w:t>
      </w:r>
      <w:r>
        <w:rPr>
          <w:rFonts w:hint="eastAsia" w:hAnsi="宋体" w:cs="宋体"/>
          <w:color w:val="auto"/>
          <w:highlight w:val="none"/>
        </w:rPr>
        <w:t>标准。</w:t>
      </w:r>
    </w:p>
    <w:p w14:paraId="1A59E3BD">
      <w:pPr>
        <w:spacing w:line="360" w:lineRule="auto"/>
        <w:ind w:firstLine="459"/>
        <w:outlineLvl w:val="0"/>
        <w:rPr>
          <w:rFonts w:hAnsi="宋体"/>
          <w:b/>
          <w:bCs/>
          <w:color w:val="auto"/>
          <w:highlight w:val="none"/>
        </w:rPr>
      </w:pPr>
      <w:bookmarkStart w:id="183" w:name="_Toc122424272"/>
      <w:bookmarkStart w:id="184" w:name="_Toc351203484"/>
      <w:bookmarkStart w:id="185" w:name="_Toc122424023"/>
      <w:r>
        <w:rPr>
          <w:rFonts w:hint="eastAsia" w:hAnsi="宋体" w:cs="宋体"/>
          <w:b/>
          <w:bCs/>
          <w:color w:val="auto"/>
          <w:highlight w:val="none"/>
        </w:rPr>
        <w:t>四、签约合同价与合同价格形式</w:t>
      </w:r>
      <w:bookmarkEnd w:id="183"/>
      <w:bookmarkEnd w:id="184"/>
      <w:bookmarkEnd w:id="185"/>
    </w:p>
    <w:p w14:paraId="07EB3CE5">
      <w:pPr>
        <w:spacing w:line="360" w:lineRule="auto"/>
        <w:ind w:firstLine="459"/>
        <w:rPr>
          <w:color w:val="auto"/>
          <w:highlight w:val="none"/>
        </w:rPr>
      </w:pPr>
      <w:r>
        <w:rPr>
          <w:color w:val="auto"/>
          <w:highlight w:val="none"/>
        </w:rPr>
        <w:t xml:space="preserve">1. </w:t>
      </w:r>
      <w:r>
        <w:rPr>
          <w:rFonts w:hint="eastAsia" w:hAnsi="宋体" w:cs="宋体"/>
          <w:color w:val="auto"/>
          <w:highlight w:val="none"/>
        </w:rPr>
        <w:t>签约合同价为：</w:t>
      </w:r>
    </w:p>
    <w:p w14:paraId="32CDC306">
      <w:pPr>
        <w:spacing w:line="360" w:lineRule="auto"/>
        <w:ind w:firstLine="525" w:firstLineChars="250"/>
        <w:rPr>
          <w:rFonts w:hAnsi="宋体"/>
          <w:color w:val="auto"/>
          <w:highlight w:val="none"/>
        </w:rPr>
      </w:pPr>
      <w:r>
        <w:rPr>
          <w:rFonts w:hint="eastAsia" w:hAnsi="宋体" w:cs="宋体"/>
          <w:color w:val="auto"/>
          <w:highlight w:val="none"/>
        </w:rPr>
        <w:t>人民币（大写）</w:t>
      </w:r>
      <w:r>
        <w:rPr>
          <w:color w:val="auto"/>
          <w:highlight w:val="none"/>
          <w:u w:val="single"/>
        </w:rPr>
        <w:t xml:space="preserve">                 </w:t>
      </w:r>
      <w:r>
        <w:rPr>
          <w:rFonts w:hint="eastAsia" w:cs="宋体"/>
          <w:color w:val="auto"/>
          <w:highlight w:val="none"/>
        </w:rPr>
        <w:t>（</w:t>
      </w:r>
      <w:r>
        <w:rPr>
          <w:color w:val="auto"/>
          <w:highlight w:val="none"/>
        </w:rPr>
        <w:t>¥</w:t>
      </w:r>
      <w:r>
        <w:rPr>
          <w:color w:val="auto"/>
          <w:highlight w:val="none"/>
          <w:u w:val="single"/>
        </w:rPr>
        <w:t xml:space="preserve">            </w:t>
      </w:r>
      <w:r>
        <w:rPr>
          <w:rFonts w:hint="eastAsia" w:hAnsi="宋体" w:cs="宋体"/>
          <w:color w:val="auto"/>
          <w:highlight w:val="none"/>
        </w:rPr>
        <w:t>元</w:t>
      </w:r>
      <w:r>
        <w:rPr>
          <w:rFonts w:hint="eastAsia" w:cs="宋体"/>
          <w:color w:val="auto"/>
          <w:highlight w:val="none"/>
        </w:rPr>
        <w:t>）</w:t>
      </w:r>
      <w:r>
        <w:rPr>
          <w:rFonts w:hint="eastAsia" w:hAnsi="宋体" w:cs="宋体"/>
          <w:color w:val="auto"/>
          <w:highlight w:val="none"/>
        </w:rPr>
        <w:t>；</w:t>
      </w:r>
    </w:p>
    <w:p w14:paraId="74477009">
      <w:pPr>
        <w:spacing w:line="360" w:lineRule="auto"/>
        <w:ind w:firstLine="525" w:firstLineChars="250"/>
        <w:rPr>
          <w:rFonts w:hAnsi="宋体"/>
          <w:color w:val="auto"/>
          <w:highlight w:val="none"/>
        </w:rPr>
      </w:pPr>
      <w:r>
        <w:rPr>
          <w:rFonts w:hint="eastAsia" w:hAnsi="宋体" w:cs="宋体"/>
          <w:color w:val="auto"/>
          <w:highlight w:val="none"/>
        </w:rPr>
        <w:t>其中：</w:t>
      </w:r>
    </w:p>
    <w:p w14:paraId="2970C39D">
      <w:pPr>
        <w:spacing w:line="360" w:lineRule="auto"/>
        <w:ind w:firstLine="420" w:firstLineChars="200"/>
        <w:rPr>
          <w:color w:val="auto"/>
          <w:highlight w:val="none"/>
        </w:rPr>
      </w:pPr>
      <w:r>
        <w:rPr>
          <w:rFonts w:hint="eastAsia" w:hAnsi="宋体" w:cs="宋体"/>
          <w:color w:val="auto"/>
          <w:highlight w:val="none"/>
        </w:rPr>
        <w:t>（</w:t>
      </w:r>
      <w:r>
        <w:rPr>
          <w:rFonts w:hAnsi="宋体"/>
          <w:color w:val="auto"/>
          <w:highlight w:val="none"/>
        </w:rPr>
        <w:t>1</w:t>
      </w:r>
      <w:r>
        <w:rPr>
          <w:rFonts w:hint="eastAsia" w:hAnsi="宋体" w:cs="宋体"/>
          <w:color w:val="auto"/>
          <w:highlight w:val="none"/>
        </w:rPr>
        <w:t>）安全文明施工费：</w:t>
      </w:r>
    </w:p>
    <w:p w14:paraId="0254F535">
      <w:pPr>
        <w:spacing w:line="360" w:lineRule="auto"/>
        <w:ind w:left="420" w:leftChars="200" w:firstLine="525" w:firstLineChars="250"/>
        <w:rPr>
          <w:rFonts w:hAnsi="宋体"/>
          <w:color w:val="auto"/>
          <w:highlight w:val="none"/>
        </w:rPr>
      </w:pPr>
      <w:r>
        <w:rPr>
          <w:rFonts w:hint="eastAsia" w:hAnsi="宋体" w:cs="宋体"/>
          <w:color w:val="auto"/>
          <w:highlight w:val="none"/>
        </w:rPr>
        <w:t>人民币（大写）</w:t>
      </w:r>
      <w:r>
        <w:rPr>
          <w:color w:val="auto"/>
          <w:highlight w:val="none"/>
          <w:u w:val="single"/>
        </w:rPr>
        <w:t xml:space="preserve">              </w:t>
      </w:r>
      <w:r>
        <w:rPr>
          <w:color w:val="auto"/>
          <w:highlight w:val="none"/>
        </w:rPr>
        <w:t xml:space="preserve"> </w:t>
      </w:r>
      <w:r>
        <w:rPr>
          <w:rFonts w:hint="eastAsia" w:cs="宋体"/>
          <w:color w:val="auto"/>
          <w:highlight w:val="none"/>
        </w:rPr>
        <w:t>（</w:t>
      </w:r>
      <w:r>
        <w:rPr>
          <w:color w:val="auto"/>
          <w:highlight w:val="none"/>
        </w:rPr>
        <w:t>¥</w:t>
      </w:r>
      <w:r>
        <w:rPr>
          <w:color w:val="auto"/>
          <w:highlight w:val="none"/>
          <w:u w:val="single"/>
        </w:rPr>
        <w:t xml:space="preserve">          </w:t>
      </w:r>
      <w:r>
        <w:rPr>
          <w:rFonts w:hint="eastAsia" w:hAnsi="宋体" w:cs="宋体"/>
          <w:color w:val="auto"/>
          <w:highlight w:val="none"/>
        </w:rPr>
        <w:t>元</w:t>
      </w:r>
      <w:r>
        <w:rPr>
          <w:rFonts w:hint="eastAsia" w:cs="宋体"/>
          <w:color w:val="auto"/>
          <w:highlight w:val="none"/>
        </w:rPr>
        <w:t>）</w:t>
      </w:r>
      <w:r>
        <w:rPr>
          <w:rFonts w:hint="eastAsia" w:hAnsi="宋体" w:cs="宋体"/>
          <w:color w:val="auto"/>
          <w:highlight w:val="none"/>
        </w:rPr>
        <w:t>；</w:t>
      </w:r>
    </w:p>
    <w:p w14:paraId="1461C824">
      <w:pPr>
        <w:spacing w:line="360" w:lineRule="auto"/>
        <w:ind w:firstLine="420" w:firstLineChars="200"/>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）材料和工程设备暂估价金额：</w:t>
      </w:r>
    </w:p>
    <w:p w14:paraId="48AF1CB9">
      <w:pPr>
        <w:spacing w:line="360" w:lineRule="auto"/>
        <w:ind w:firstLine="945" w:firstLineChars="450"/>
        <w:rPr>
          <w:color w:val="auto"/>
          <w:highlight w:val="none"/>
        </w:rPr>
      </w:pPr>
      <w:r>
        <w:rPr>
          <w:rFonts w:hint="eastAsia" w:hAnsi="宋体" w:cs="宋体"/>
          <w:color w:val="auto"/>
          <w:highlight w:val="none"/>
        </w:rPr>
        <w:t>人民币（大写）</w:t>
      </w:r>
      <w:r>
        <w:rPr>
          <w:color w:val="auto"/>
          <w:highlight w:val="none"/>
          <w:u w:val="single"/>
        </w:rPr>
        <w:t xml:space="preserve">              </w:t>
      </w:r>
      <w:r>
        <w:rPr>
          <w:color w:val="auto"/>
          <w:highlight w:val="none"/>
        </w:rPr>
        <w:t xml:space="preserve"> </w:t>
      </w:r>
      <w:r>
        <w:rPr>
          <w:rFonts w:hint="eastAsia" w:cs="宋体"/>
          <w:color w:val="auto"/>
          <w:highlight w:val="none"/>
        </w:rPr>
        <w:t>（</w:t>
      </w:r>
      <w:r>
        <w:rPr>
          <w:color w:val="auto"/>
          <w:highlight w:val="none"/>
        </w:rPr>
        <w:t>¥</w:t>
      </w:r>
      <w:r>
        <w:rPr>
          <w:color w:val="auto"/>
          <w:highlight w:val="none"/>
          <w:u w:val="single"/>
        </w:rPr>
        <w:t xml:space="preserve">          </w:t>
      </w:r>
      <w:r>
        <w:rPr>
          <w:rFonts w:hint="eastAsia" w:hAnsi="宋体" w:cs="宋体"/>
          <w:color w:val="auto"/>
          <w:highlight w:val="none"/>
        </w:rPr>
        <w:t>元</w:t>
      </w:r>
      <w:r>
        <w:rPr>
          <w:rFonts w:hint="eastAsia" w:cs="宋体"/>
          <w:color w:val="auto"/>
          <w:highlight w:val="none"/>
        </w:rPr>
        <w:t>）</w:t>
      </w:r>
      <w:r>
        <w:rPr>
          <w:rFonts w:hint="eastAsia" w:hAnsi="宋体" w:cs="宋体"/>
          <w:color w:val="auto"/>
          <w:highlight w:val="none"/>
        </w:rPr>
        <w:t>；</w:t>
      </w:r>
    </w:p>
    <w:p w14:paraId="0CA1A56E">
      <w:pPr>
        <w:spacing w:line="360" w:lineRule="auto"/>
        <w:ind w:firstLine="420" w:firstLineChars="200"/>
        <w:rPr>
          <w:color w:val="auto"/>
          <w:highlight w:val="none"/>
        </w:rPr>
      </w:pPr>
      <w:r>
        <w:rPr>
          <w:rFonts w:hint="eastAsia" w:hAnsi="宋体" w:cs="宋体"/>
          <w:color w:val="auto"/>
          <w:highlight w:val="none"/>
        </w:rPr>
        <w:t>（</w:t>
      </w:r>
      <w:r>
        <w:rPr>
          <w:color w:val="auto"/>
          <w:highlight w:val="none"/>
        </w:rPr>
        <w:t>3</w:t>
      </w:r>
      <w:r>
        <w:rPr>
          <w:rFonts w:hint="eastAsia" w:hAnsi="宋体" w:cs="宋体"/>
          <w:color w:val="auto"/>
          <w:highlight w:val="none"/>
        </w:rPr>
        <w:t>）专业工程暂估价金额：</w:t>
      </w:r>
    </w:p>
    <w:p w14:paraId="02F068EE">
      <w:pPr>
        <w:spacing w:line="360" w:lineRule="auto"/>
        <w:ind w:firstLine="945" w:firstLineChars="450"/>
        <w:rPr>
          <w:color w:val="auto"/>
          <w:highlight w:val="none"/>
        </w:rPr>
      </w:pPr>
      <w:r>
        <w:rPr>
          <w:rFonts w:hint="eastAsia" w:hAnsi="宋体" w:cs="宋体"/>
          <w:color w:val="auto"/>
          <w:highlight w:val="none"/>
        </w:rPr>
        <w:t>人民币（大写）</w:t>
      </w:r>
      <w:r>
        <w:rPr>
          <w:color w:val="auto"/>
          <w:highlight w:val="none"/>
          <w:u w:val="single"/>
        </w:rPr>
        <w:t xml:space="preserve">              </w:t>
      </w:r>
      <w:r>
        <w:rPr>
          <w:color w:val="auto"/>
          <w:highlight w:val="none"/>
        </w:rPr>
        <w:t xml:space="preserve"> </w:t>
      </w:r>
      <w:r>
        <w:rPr>
          <w:rFonts w:hint="eastAsia" w:cs="宋体"/>
          <w:color w:val="auto"/>
          <w:highlight w:val="none"/>
        </w:rPr>
        <w:t>（</w:t>
      </w:r>
      <w:r>
        <w:rPr>
          <w:color w:val="auto"/>
          <w:highlight w:val="none"/>
        </w:rPr>
        <w:t>¥</w:t>
      </w:r>
      <w:r>
        <w:rPr>
          <w:color w:val="auto"/>
          <w:highlight w:val="none"/>
          <w:u w:val="single"/>
        </w:rPr>
        <w:t xml:space="preserve">          </w:t>
      </w:r>
      <w:r>
        <w:rPr>
          <w:rFonts w:hint="eastAsia" w:hAnsi="宋体" w:cs="宋体"/>
          <w:color w:val="auto"/>
          <w:highlight w:val="none"/>
        </w:rPr>
        <w:t>元</w:t>
      </w:r>
      <w:r>
        <w:rPr>
          <w:rFonts w:hint="eastAsia" w:cs="宋体"/>
          <w:color w:val="auto"/>
          <w:highlight w:val="none"/>
        </w:rPr>
        <w:t>）</w:t>
      </w:r>
      <w:r>
        <w:rPr>
          <w:rFonts w:hint="eastAsia" w:hAnsi="宋体" w:cs="宋体"/>
          <w:color w:val="auto"/>
          <w:highlight w:val="none"/>
        </w:rPr>
        <w:t>；</w:t>
      </w:r>
    </w:p>
    <w:p w14:paraId="1CF565A3">
      <w:pPr>
        <w:spacing w:line="360" w:lineRule="auto"/>
        <w:ind w:firstLine="420" w:firstLineChars="200"/>
        <w:rPr>
          <w:color w:val="auto"/>
          <w:highlight w:val="none"/>
        </w:rPr>
      </w:pPr>
      <w:r>
        <w:rPr>
          <w:rFonts w:hint="eastAsia" w:hAnsi="宋体" w:cs="宋体"/>
          <w:color w:val="auto"/>
          <w:highlight w:val="none"/>
        </w:rPr>
        <w:t>（</w:t>
      </w:r>
      <w:r>
        <w:rPr>
          <w:color w:val="auto"/>
          <w:highlight w:val="none"/>
        </w:rPr>
        <w:t>4</w:t>
      </w:r>
      <w:r>
        <w:rPr>
          <w:rFonts w:hint="eastAsia" w:hAnsi="宋体" w:cs="宋体"/>
          <w:color w:val="auto"/>
          <w:highlight w:val="none"/>
        </w:rPr>
        <w:t>）暂列金额：</w:t>
      </w:r>
    </w:p>
    <w:p w14:paraId="5EBBDDD5">
      <w:pPr>
        <w:spacing w:line="360" w:lineRule="auto"/>
        <w:ind w:firstLine="945" w:firstLineChars="450"/>
        <w:rPr>
          <w:rFonts w:hAnsi="宋体"/>
          <w:color w:val="auto"/>
          <w:highlight w:val="none"/>
        </w:rPr>
      </w:pPr>
      <w:r>
        <w:rPr>
          <w:rFonts w:hint="eastAsia" w:hAnsi="宋体" w:cs="宋体"/>
          <w:color w:val="auto"/>
          <w:highlight w:val="none"/>
        </w:rPr>
        <w:t>人民币（大写）</w:t>
      </w:r>
      <w:r>
        <w:rPr>
          <w:color w:val="auto"/>
          <w:highlight w:val="none"/>
          <w:u w:val="single"/>
        </w:rPr>
        <w:t xml:space="preserve">              </w:t>
      </w:r>
      <w:r>
        <w:rPr>
          <w:color w:val="auto"/>
          <w:highlight w:val="none"/>
        </w:rPr>
        <w:t xml:space="preserve"> </w:t>
      </w:r>
      <w:r>
        <w:rPr>
          <w:rFonts w:hint="eastAsia" w:cs="宋体"/>
          <w:color w:val="auto"/>
          <w:highlight w:val="none"/>
        </w:rPr>
        <w:t>（</w:t>
      </w:r>
      <w:r>
        <w:rPr>
          <w:color w:val="auto"/>
          <w:highlight w:val="none"/>
        </w:rPr>
        <w:t>¥</w:t>
      </w:r>
      <w:r>
        <w:rPr>
          <w:color w:val="auto"/>
          <w:highlight w:val="none"/>
          <w:u w:val="single"/>
        </w:rPr>
        <w:t xml:space="preserve">          </w:t>
      </w:r>
      <w:r>
        <w:rPr>
          <w:rFonts w:hint="eastAsia" w:hAnsi="宋体" w:cs="宋体"/>
          <w:color w:val="auto"/>
          <w:highlight w:val="none"/>
        </w:rPr>
        <w:t>元</w:t>
      </w:r>
      <w:r>
        <w:rPr>
          <w:rFonts w:hint="eastAsia" w:cs="宋体"/>
          <w:color w:val="auto"/>
          <w:highlight w:val="none"/>
        </w:rPr>
        <w:t>）</w:t>
      </w:r>
      <w:r>
        <w:rPr>
          <w:rFonts w:hint="eastAsia" w:hAnsi="宋体" w:cs="宋体"/>
          <w:color w:val="auto"/>
          <w:highlight w:val="none"/>
        </w:rPr>
        <w:t>。</w:t>
      </w:r>
    </w:p>
    <w:p w14:paraId="181658C8">
      <w:pPr>
        <w:spacing w:line="360" w:lineRule="auto"/>
        <w:ind w:firstLine="420" w:firstLineChars="200"/>
        <w:rPr>
          <w:rFonts w:hint="eastAsia" w:hAnsi="宋体"/>
          <w:color w:val="auto"/>
          <w:highlight w:val="none"/>
        </w:rPr>
      </w:pPr>
      <w:r>
        <w:rPr>
          <w:color w:val="auto"/>
          <w:highlight w:val="none"/>
        </w:rPr>
        <w:t xml:space="preserve">2. </w:t>
      </w:r>
      <w:r>
        <w:rPr>
          <w:rFonts w:hint="eastAsia" w:hAnsi="宋体" w:cs="宋体"/>
          <w:color w:val="auto"/>
          <w:highlight w:val="none"/>
        </w:rPr>
        <w:t>合同价格形式：</w:t>
      </w:r>
      <w:r>
        <w:rPr>
          <w:color w:val="auto"/>
          <w:highlight w:val="none"/>
        </w:rPr>
        <w:t xml:space="preserve">   </w:t>
      </w:r>
      <w:r>
        <w:rPr>
          <w:color w:val="auto"/>
          <w:highlight w:val="none"/>
          <w:u w:val="single"/>
        </w:rPr>
        <w:t xml:space="preserve">               </w:t>
      </w:r>
      <w:r>
        <w:rPr>
          <w:rFonts w:hint="eastAsia" w:hAnsi="宋体" w:cs="宋体"/>
          <w:color w:val="auto"/>
          <w:highlight w:val="none"/>
        </w:rPr>
        <w:t>。</w:t>
      </w:r>
    </w:p>
    <w:p w14:paraId="48069CBB">
      <w:pPr>
        <w:spacing w:line="360" w:lineRule="auto"/>
        <w:ind w:firstLine="422" w:firstLineChars="200"/>
        <w:outlineLvl w:val="0"/>
        <w:rPr>
          <w:b/>
          <w:bCs/>
          <w:color w:val="auto"/>
          <w:highlight w:val="none"/>
        </w:rPr>
      </w:pPr>
      <w:bookmarkStart w:id="186" w:name="_Toc351203485"/>
      <w:bookmarkStart w:id="187" w:name="_Toc122424273"/>
      <w:bookmarkStart w:id="188" w:name="_Toc122424024"/>
      <w:r>
        <w:rPr>
          <w:rFonts w:hint="eastAsia" w:hAnsi="宋体" w:cs="宋体"/>
          <w:b/>
          <w:bCs/>
          <w:color w:val="auto"/>
          <w:highlight w:val="none"/>
        </w:rPr>
        <w:t>五、</w:t>
      </w:r>
      <w:bookmarkEnd w:id="186"/>
      <w:r>
        <w:rPr>
          <w:rFonts w:hint="eastAsia" w:hAnsi="宋体" w:cs="宋体"/>
          <w:b/>
          <w:bCs/>
          <w:color w:val="auto"/>
          <w:highlight w:val="none"/>
        </w:rPr>
        <w:t>项目经理</w:t>
      </w:r>
      <w:bookmarkEnd w:id="187"/>
      <w:bookmarkEnd w:id="188"/>
    </w:p>
    <w:p w14:paraId="1A078888">
      <w:pPr>
        <w:spacing w:line="360" w:lineRule="auto"/>
        <w:ind w:firstLine="420" w:firstLineChars="200"/>
        <w:rPr>
          <w:rFonts w:hAnsi="宋体"/>
          <w:color w:val="auto"/>
          <w:highlight w:val="none"/>
        </w:rPr>
      </w:pPr>
      <w:r>
        <w:rPr>
          <w:rFonts w:hint="eastAsia" w:hAnsi="宋体" w:cs="宋体"/>
          <w:color w:val="auto"/>
          <w:highlight w:val="none"/>
        </w:rPr>
        <w:t>承包人项目经理：</w:t>
      </w:r>
      <w:r>
        <w:rPr>
          <w:color w:val="auto"/>
          <w:highlight w:val="none"/>
          <w:u w:val="single"/>
        </w:rPr>
        <w:t xml:space="preserve">                     </w:t>
      </w:r>
      <w:r>
        <w:rPr>
          <w:rFonts w:hint="eastAsia" w:hAnsi="宋体" w:cs="宋体"/>
          <w:color w:val="auto"/>
          <w:highlight w:val="none"/>
        </w:rPr>
        <w:t>。</w:t>
      </w:r>
    </w:p>
    <w:p w14:paraId="634C0C7D">
      <w:pPr>
        <w:spacing w:line="360" w:lineRule="auto"/>
        <w:ind w:firstLine="422" w:firstLineChars="200"/>
        <w:outlineLvl w:val="0"/>
        <w:rPr>
          <w:b/>
          <w:bCs/>
          <w:color w:val="auto"/>
          <w:highlight w:val="none"/>
        </w:rPr>
      </w:pPr>
      <w:bookmarkStart w:id="189" w:name="_Toc122424025"/>
      <w:bookmarkStart w:id="190" w:name="_Toc122424274"/>
      <w:bookmarkStart w:id="191" w:name="_Toc351203486"/>
      <w:r>
        <w:rPr>
          <w:rFonts w:hint="eastAsia" w:hAnsi="宋体" w:cs="宋体"/>
          <w:b/>
          <w:bCs/>
          <w:color w:val="auto"/>
          <w:highlight w:val="none"/>
        </w:rPr>
        <w:t>六、合同文件构成</w:t>
      </w:r>
      <w:bookmarkEnd w:id="189"/>
      <w:bookmarkEnd w:id="190"/>
      <w:bookmarkEnd w:id="191"/>
    </w:p>
    <w:p w14:paraId="65921E4D">
      <w:pPr>
        <w:spacing w:line="360" w:lineRule="auto"/>
        <w:ind w:firstLine="420" w:firstLineChars="200"/>
        <w:rPr>
          <w:color w:val="auto"/>
          <w:highlight w:val="none"/>
        </w:rPr>
      </w:pPr>
      <w:r>
        <w:rPr>
          <w:rFonts w:hint="eastAsia" w:hAnsi="宋体" w:cs="宋体"/>
          <w:color w:val="auto"/>
          <w:highlight w:val="none"/>
        </w:rPr>
        <w:t>本协议书与下列文件一起构成合同文件：</w:t>
      </w:r>
    </w:p>
    <w:p w14:paraId="1E0FE73E">
      <w:pPr>
        <w:autoSpaceDE w:val="0"/>
        <w:autoSpaceDN w:val="0"/>
        <w:adjustRightInd w:val="0"/>
        <w:spacing w:line="360" w:lineRule="auto"/>
        <w:ind w:firstLine="420" w:firstLineChars="200"/>
        <w:jc w:val="left"/>
        <w:rPr>
          <w:rFonts w:hint="eastAsia" w:hAnsi="宋体" w:cs="宋体"/>
          <w:color w:val="auto"/>
          <w:highlight w:val="none"/>
        </w:rPr>
      </w:pPr>
      <w:r>
        <w:rPr>
          <w:rFonts w:hint="eastAsia" w:hAnsi="宋体" w:cs="宋体"/>
          <w:color w:val="auto"/>
          <w:highlight w:val="none"/>
        </w:rPr>
        <w:t>（1）中标</w:t>
      </w:r>
      <w:r>
        <w:rPr>
          <w:rFonts w:hint="eastAsia" w:hAnsi="宋体" w:cs="宋体"/>
          <w:color w:val="auto"/>
          <w:highlight w:val="none"/>
          <w:lang w:eastAsia="zh-CN"/>
        </w:rPr>
        <w:t>（成交）</w:t>
      </w:r>
      <w:r>
        <w:rPr>
          <w:rFonts w:hint="eastAsia" w:hAnsi="宋体" w:cs="宋体"/>
          <w:color w:val="auto"/>
          <w:highlight w:val="none"/>
        </w:rPr>
        <w:t>通知书（如果有）；</w:t>
      </w:r>
    </w:p>
    <w:p w14:paraId="7D326AE1">
      <w:pPr>
        <w:autoSpaceDE w:val="0"/>
        <w:autoSpaceDN w:val="0"/>
        <w:adjustRightInd w:val="0"/>
        <w:spacing w:line="360" w:lineRule="auto"/>
        <w:ind w:firstLine="420" w:firstLineChars="200"/>
        <w:jc w:val="left"/>
        <w:rPr>
          <w:rFonts w:hint="eastAsia" w:hAnsi="宋体" w:cs="宋体"/>
          <w:color w:val="auto"/>
          <w:highlight w:val="none"/>
        </w:rPr>
      </w:pPr>
      <w:r>
        <w:rPr>
          <w:rFonts w:hint="eastAsia" w:hAnsi="宋体" w:cs="宋体"/>
          <w:color w:val="auto"/>
          <w:highlight w:val="none"/>
        </w:rPr>
        <w:t xml:space="preserve">（2）投标函及其附录（如果有）； </w:t>
      </w:r>
    </w:p>
    <w:p w14:paraId="6EDE6466">
      <w:pPr>
        <w:autoSpaceDE w:val="0"/>
        <w:autoSpaceDN w:val="0"/>
        <w:adjustRightInd w:val="0"/>
        <w:spacing w:line="360" w:lineRule="auto"/>
        <w:ind w:firstLine="420" w:firstLineChars="200"/>
        <w:jc w:val="left"/>
        <w:rPr>
          <w:rFonts w:hint="eastAsia" w:hAnsi="宋体" w:cs="宋体"/>
          <w:color w:val="auto"/>
          <w:highlight w:val="none"/>
        </w:rPr>
      </w:pPr>
      <w:r>
        <w:rPr>
          <w:rFonts w:hint="eastAsia" w:hAnsi="宋体" w:cs="宋体"/>
          <w:color w:val="auto"/>
          <w:highlight w:val="none"/>
        </w:rPr>
        <w:t>（3）专用合同条款及其附件；</w:t>
      </w:r>
    </w:p>
    <w:p w14:paraId="20F5B5FF">
      <w:pPr>
        <w:autoSpaceDE w:val="0"/>
        <w:autoSpaceDN w:val="0"/>
        <w:adjustRightInd w:val="0"/>
        <w:spacing w:line="360" w:lineRule="auto"/>
        <w:ind w:firstLine="420" w:firstLineChars="200"/>
        <w:jc w:val="left"/>
        <w:rPr>
          <w:rFonts w:hint="eastAsia" w:hAnsi="宋体" w:cs="宋体"/>
          <w:color w:val="auto"/>
          <w:highlight w:val="none"/>
        </w:rPr>
      </w:pPr>
      <w:r>
        <w:rPr>
          <w:rFonts w:hint="eastAsia" w:hAnsi="宋体" w:cs="宋体"/>
          <w:color w:val="auto"/>
          <w:highlight w:val="none"/>
        </w:rPr>
        <w:t>（4）通用合同条款；</w:t>
      </w:r>
    </w:p>
    <w:p w14:paraId="517623FE">
      <w:pPr>
        <w:autoSpaceDE w:val="0"/>
        <w:autoSpaceDN w:val="0"/>
        <w:adjustRightInd w:val="0"/>
        <w:spacing w:line="360" w:lineRule="auto"/>
        <w:ind w:firstLine="420" w:firstLineChars="200"/>
        <w:jc w:val="left"/>
        <w:rPr>
          <w:rFonts w:hint="eastAsia" w:hAnsi="宋体" w:cs="宋体"/>
          <w:color w:val="auto"/>
          <w:highlight w:val="none"/>
        </w:rPr>
      </w:pPr>
      <w:r>
        <w:rPr>
          <w:rFonts w:hint="eastAsia" w:hAnsi="宋体" w:cs="宋体"/>
          <w:color w:val="auto"/>
          <w:highlight w:val="none"/>
        </w:rPr>
        <w:t>（5）技术标准和要求；</w:t>
      </w:r>
    </w:p>
    <w:p w14:paraId="12F06E05">
      <w:pPr>
        <w:autoSpaceDE w:val="0"/>
        <w:autoSpaceDN w:val="0"/>
        <w:adjustRightInd w:val="0"/>
        <w:spacing w:line="360" w:lineRule="auto"/>
        <w:ind w:firstLine="420" w:firstLineChars="200"/>
        <w:jc w:val="left"/>
        <w:rPr>
          <w:rFonts w:hint="eastAsia" w:hAnsi="宋体" w:cs="宋体"/>
          <w:color w:val="auto"/>
          <w:highlight w:val="none"/>
        </w:rPr>
      </w:pPr>
      <w:r>
        <w:rPr>
          <w:rFonts w:hint="eastAsia" w:hAnsi="宋体" w:cs="宋体"/>
          <w:color w:val="auto"/>
          <w:highlight w:val="none"/>
        </w:rPr>
        <w:t>（</w:t>
      </w:r>
      <w:r>
        <w:rPr>
          <w:rFonts w:hint="eastAsia" w:hAnsi="宋体" w:cs="宋体"/>
          <w:color w:val="auto"/>
          <w:highlight w:val="none"/>
          <w:lang w:val="en-US" w:eastAsia="zh-CN"/>
        </w:rPr>
        <w:t>6</w:t>
      </w:r>
      <w:r>
        <w:rPr>
          <w:rFonts w:hint="eastAsia" w:hAnsi="宋体" w:cs="宋体"/>
          <w:color w:val="auto"/>
          <w:highlight w:val="none"/>
        </w:rPr>
        <w:t>）图纸；</w:t>
      </w:r>
    </w:p>
    <w:p w14:paraId="6144403D">
      <w:pPr>
        <w:autoSpaceDE w:val="0"/>
        <w:autoSpaceDN w:val="0"/>
        <w:adjustRightInd w:val="0"/>
        <w:spacing w:line="360" w:lineRule="auto"/>
        <w:ind w:firstLine="420" w:firstLineChars="200"/>
        <w:jc w:val="left"/>
        <w:rPr>
          <w:rFonts w:hint="eastAsia" w:hAnsi="宋体" w:cs="宋体"/>
          <w:color w:val="auto"/>
          <w:highlight w:val="none"/>
        </w:rPr>
      </w:pPr>
      <w:r>
        <w:rPr>
          <w:rFonts w:hint="eastAsia" w:hAnsi="宋体" w:cs="宋体"/>
          <w:color w:val="auto"/>
          <w:highlight w:val="none"/>
        </w:rPr>
        <w:t>（</w:t>
      </w:r>
      <w:r>
        <w:rPr>
          <w:rFonts w:hint="eastAsia" w:hAnsi="宋体" w:cs="宋体"/>
          <w:color w:val="auto"/>
          <w:highlight w:val="none"/>
          <w:lang w:val="en-US" w:eastAsia="zh-CN"/>
        </w:rPr>
        <w:t>7</w:t>
      </w:r>
      <w:r>
        <w:rPr>
          <w:rFonts w:hint="eastAsia" w:hAnsi="宋体" w:cs="宋体"/>
          <w:color w:val="auto"/>
          <w:highlight w:val="none"/>
        </w:rPr>
        <w:t>）已标价工程量清单或预算书；</w:t>
      </w:r>
    </w:p>
    <w:p w14:paraId="65EFDA3E">
      <w:pPr>
        <w:autoSpaceDE w:val="0"/>
        <w:autoSpaceDN w:val="0"/>
        <w:adjustRightInd w:val="0"/>
        <w:spacing w:line="360" w:lineRule="auto"/>
        <w:ind w:firstLine="420" w:firstLineChars="200"/>
        <w:jc w:val="left"/>
        <w:rPr>
          <w:rFonts w:hint="eastAsia" w:hAnsi="宋体" w:eastAsia="宋体" w:cs="宋体"/>
          <w:color w:val="auto"/>
          <w:highlight w:val="none"/>
          <w:lang w:eastAsia="zh-CN"/>
        </w:rPr>
      </w:pPr>
      <w:r>
        <w:rPr>
          <w:rFonts w:hint="eastAsia" w:hAnsi="宋体" w:cs="宋体"/>
          <w:color w:val="auto"/>
          <w:highlight w:val="none"/>
          <w:lang w:val="en-US" w:eastAsia="zh-CN"/>
        </w:rPr>
        <w:t>（8）竞争性磋商</w:t>
      </w:r>
      <w:r>
        <w:rPr>
          <w:rFonts w:hint="eastAsia" w:hAnsi="宋体" w:cs="宋体"/>
          <w:color w:val="auto"/>
          <w:highlight w:val="none"/>
        </w:rPr>
        <w:t>文件及其附件（含所有补遗通知书和答疑）</w:t>
      </w:r>
      <w:r>
        <w:rPr>
          <w:rFonts w:hint="eastAsia" w:hAnsi="宋体" w:cs="宋体"/>
          <w:color w:val="auto"/>
          <w:highlight w:val="none"/>
          <w:lang w:eastAsia="zh-CN"/>
        </w:rPr>
        <w:t>；</w:t>
      </w:r>
    </w:p>
    <w:p w14:paraId="49CE6860">
      <w:pPr>
        <w:autoSpaceDE w:val="0"/>
        <w:autoSpaceDN w:val="0"/>
        <w:adjustRightInd w:val="0"/>
        <w:spacing w:line="360" w:lineRule="auto"/>
        <w:ind w:firstLine="420" w:firstLineChars="200"/>
        <w:jc w:val="left"/>
        <w:rPr>
          <w:rFonts w:hint="eastAsia" w:hAnsi="宋体" w:cs="宋体"/>
          <w:color w:val="auto"/>
          <w:highlight w:val="none"/>
        </w:rPr>
      </w:pPr>
      <w:r>
        <w:rPr>
          <w:rFonts w:hint="eastAsia" w:hAnsi="宋体" w:cs="宋体"/>
          <w:color w:val="auto"/>
          <w:highlight w:val="none"/>
        </w:rPr>
        <w:t>（</w:t>
      </w:r>
      <w:r>
        <w:rPr>
          <w:rFonts w:hint="eastAsia" w:hAnsi="宋体" w:cs="宋体"/>
          <w:color w:val="auto"/>
          <w:highlight w:val="none"/>
          <w:lang w:val="en-US" w:eastAsia="zh-CN"/>
        </w:rPr>
        <w:t>9</w:t>
      </w:r>
      <w:r>
        <w:rPr>
          <w:rFonts w:hint="eastAsia" w:hAnsi="宋体" w:cs="宋体"/>
          <w:color w:val="auto"/>
          <w:highlight w:val="none"/>
        </w:rPr>
        <w:t>）其他合同文件。</w:t>
      </w:r>
    </w:p>
    <w:p w14:paraId="37CB3905">
      <w:pPr>
        <w:autoSpaceDE w:val="0"/>
        <w:autoSpaceDN w:val="0"/>
        <w:adjustRightInd w:val="0"/>
        <w:spacing w:line="360" w:lineRule="auto"/>
        <w:ind w:firstLine="420" w:firstLineChars="200"/>
        <w:jc w:val="left"/>
        <w:rPr>
          <w:rFonts w:hAnsi="宋体"/>
          <w:color w:val="auto"/>
          <w:highlight w:val="none"/>
        </w:rPr>
      </w:pPr>
      <w:r>
        <w:rPr>
          <w:rFonts w:hint="eastAsia" w:hAnsi="宋体" w:cs="宋体"/>
          <w:color w:val="auto"/>
          <w:highlight w:val="none"/>
        </w:rPr>
        <w:t>上述各项合同文件包括合同当事人就该项合同文件所作出的补充和修改，属于同一类内容的文件，应以最新签署的为准（违反磋商文件</w:t>
      </w:r>
      <w:r>
        <w:rPr>
          <w:rFonts w:hAnsi="宋体" w:cs="宋体"/>
          <w:color w:val="auto"/>
          <w:highlight w:val="none"/>
        </w:rPr>
        <w:t>实质性内容的约定除外</w:t>
      </w:r>
      <w:r>
        <w:rPr>
          <w:rFonts w:hint="eastAsia" w:hAnsi="宋体" w:cs="宋体"/>
          <w:color w:val="auto"/>
          <w:highlight w:val="none"/>
        </w:rPr>
        <w:t>）。专用合同条款及其附件须经合同当事人签字或盖章。</w:t>
      </w:r>
    </w:p>
    <w:p w14:paraId="29055A68">
      <w:pPr>
        <w:autoSpaceDE w:val="0"/>
        <w:autoSpaceDN w:val="0"/>
        <w:adjustRightInd w:val="0"/>
        <w:spacing w:line="360" w:lineRule="auto"/>
        <w:ind w:firstLine="422" w:firstLineChars="200"/>
        <w:jc w:val="left"/>
        <w:outlineLvl w:val="0"/>
        <w:rPr>
          <w:b/>
          <w:bCs/>
          <w:color w:val="auto"/>
          <w:highlight w:val="none"/>
        </w:rPr>
      </w:pPr>
      <w:bookmarkStart w:id="192" w:name="_Toc351203487"/>
      <w:bookmarkStart w:id="193" w:name="_Toc122424026"/>
      <w:bookmarkStart w:id="194" w:name="_Toc122424275"/>
      <w:r>
        <w:rPr>
          <w:rFonts w:hint="eastAsia" w:hAnsi="宋体" w:cs="宋体"/>
          <w:b/>
          <w:bCs/>
          <w:color w:val="auto"/>
          <w:highlight w:val="none"/>
        </w:rPr>
        <w:t>七、承诺</w:t>
      </w:r>
      <w:bookmarkEnd w:id="192"/>
      <w:bookmarkEnd w:id="193"/>
      <w:bookmarkEnd w:id="194"/>
    </w:p>
    <w:p w14:paraId="55B09BD2">
      <w:pPr>
        <w:spacing w:line="360" w:lineRule="auto"/>
        <w:ind w:firstLine="420" w:firstLineChars="200"/>
        <w:rPr>
          <w:color w:val="auto"/>
          <w:highlight w:val="none"/>
        </w:rPr>
      </w:pPr>
      <w:r>
        <w:rPr>
          <w:color w:val="auto"/>
          <w:highlight w:val="none"/>
        </w:rPr>
        <w:t xml:space="preserve">1. </w:t>
      </w:r>
      <w:r>
        <w:rPr>
          <w:rFonts w:hint="eastAsia" w:hAnsi="宋体" w:cs="宋体"/>
          <w:color w:val="auto"/>
          <w:highlight w:val="none"/>
        </w:rPr>
        <w:t>发包人承诺按照法律规定履行项目审批手续、筹集工程建设资金并按照合同约定的期限和方式支付合同价款。</w:t>
      </w:r>
    </w:p>
    <w:p w14:paraId="0D88B034">
      <w:pPr>
        <w:spacing w:line="360" w:lineRule="auto"/>
        <w:ind w:firstLine="420" w:firstLineChars="200"/>
        <w:rPr>
          <w:color w:val="auto"/>
          <w:highlight w:val="none"/>
        </w:rPr>
      </w:pPr>
      <w:r>
        <w:rPr>
          <w:color w:val="auto"/>
          <w:highlight w:val="none"/>
        </w:rPr>
        <w:t xml:space="preserve">2. </w:t>
      </w:r>
      <w:r>
        <w:rPr>
          <w:rFonts w:hint="eastAsia" w:hAnsi="宋体" w:cs="宋体"/>
          <w:color w:val="auto"/>
          <w:highlight w:val="none"/>
        </w:rPr>
        <w:t>承包人承诺按照法律规定及合同约定组织完成工程施工，确保工程质量和安全，不进行转包及违法分包，并在缺陷责任期及保修期内承担相应的工程维修责任。</w:t>
      </w:r>
    </w:p>
    <w:p w14:paraId="28143AEB">
      <w:pPr>
        <w:spacing w:line="360" w:lineRule="auto"/>
        <w:ind w:firstLine="420" w:firstLineChars="200"/>
        <w:rPr>
          <w:rFonts w:hAnsi="宋体"/>
          <w:color w:val="auto"/>
          <w:highlight w:val="none"/>
        </w:rPr>
      </w:pPr>
      <w:r>
        <w:rPr>
          <w:color w:val="auto"/>
          <w:highlight w:val="none"/>
        </w:rPr>
        <w:t xml:space="preserve">3. </w:t>
      </w:r>
      <w:r>
        <w:rPr>
          <w:rFonts w:hint="eastAsia" w:hAnsi="宋体" w:cs="宋体"/>
          <w:color w:val="auto"/>
          <w:highlight w:val="none"/>
        </w:rPr>
        <w:t>发包人和承包人通过招投标形式签订合同的，双方理解并承诺不再就同一工程另行签订与合同实质性内容相背离的协议。</w:t>
      </w:r>
      <w:bookmarkStart w:id="195" w:name="_Toc351203488"/>
    </w:p>
    <w:p w14:paraId="09AEBABD">
      <w:pPr>
        <w:spacing w:line="360" w:lineRule="auto"/>
        <w:ind w:firstLine="422" w:firstLineChars="200"/>
        <w:outlineLvl w:val="0"/>
        <w:rPr>
          <w:b/>
          <w:bCs/>
          <w:color w:val="auto"/>
          <w:highlight w:val="none"/>
        </w:rPr>
      </w:pPr>
      <w:bookmarkStart w:id="196" w:name="_Toc122424027"/>
      <w:bookmarkStart w:id="197" w:name="_Toc122424276"/>
      <w:r>
        <w:rPr>
          <w:rFonts w:hint="eastAsia" w:hAnsi="宋体" w:cs="宋体"/>
          <w:b/>
          <w:bCs/>
          <w:color w:val="auto"/>
          <w:highlight w:val="none"/>
        </w:rPr>
        <w:t>八、词语含义</w:t>
      </w:r>
      <w:bookmarkEnd w:id="195"/>
      <w:bookmarkEnd w:id="196"/>
      <w:bookmarkEnd w:id="197"/>
    </w:p>
    <w:p w14:paraId="73A5B978">
      <w:pPr>
        <w:spacing w:line="360" w:lineRule="auto"/>
        <w:ind w:firstLine="420" w:firstLineChars="200"/>
        <w:rPr>
          <w:rFonts w:hAnsi="宋体"/>
          <w:color w:val="auto"/>
          <w:highlight w:val="none"/>
        </w:rPr>
      </w:pPr>
      <w:r>
        <w:rPr>
          <w:rFonts w:hint="eastAsia" w:hAnsi="宋体" w:cs="宋体"/>
          <w:color w:val="auto"/>
          <w:highlight w:val="none"/>
        </w:rPr>
        <w:t>本协议书中词语含义与第二部分通用合同条款中赋予的含义相同。</w:t>
      </w:r>
    </w:p>
    <w:p w14:paraId="224818E6">
      <w:pPr>
        <w:spacing w:line="360" w:lineRule="auto"/>
        <w:ind w:firstLine="422" w:firstLineChars="200"/>
        <w:outlineLvl w:val="0"/>
        <w:rPr>
          <w:b/>
          <w:bCs/>
          <w:color w:val="auto"/>
          <w:highlight w:val="none"/>
        </w:rPr>
      </w:pPr>
      <w:bookmarkStart w:id="198" w:name="_Toc122424028"/>
      <w:bookmarkStart w:id="199" w:name="_Toc122424277"/>
      <w:bookmarkStart w:id="200" w:name="_Toc351203489"/>
      <w:r>
        <w:rPr>
          <w:rFonts w:hint="eastAsia" w:hAnsi="宋体" w:cs="宋体"/>
          <w:b/>
          <w:bCs/>
          <w:color w:val="auto"/>
          <w:highlight w:val="none"/>
        </w:rPr>
        <w:t>九、签订时间</w:t>
      </w:r>
      <w:bookmarkEnd w:id="198"/>
      <w:bookmarkEnd w:id="199"/>
      <w:bookmarkEnd w:id="200"/>
    </w:p>
    <w:p w14:paraId="3465CC54">
      <w:pPr>
        <w:spacing w:line="360" w:lineRule="auto"/>
        <w:ind w:firstLine="420" w:firstLineChars="200"/>
        <w:rPr>
          <w:rFonts w:hAnsi="宋体"/>
          <w:color w:val="auto"/>
          <w:highlight w:val="none"/>
        </w:rPr>
      </w:pPr>
      <w:r>
        <w:rPr>
          <w:rFonts w:hint="eastAsia" w:hAnsi="宋体" w:cs="宋体"/>
          <w:color w:val="auto"/>
          <w:highlight w:val="none"/>
        </w:rPr>
        <w:t>本合同于</w:t>
      </w:r>
      <w:r>
        <w:rPr>
          <w:color w:val="auto"/>
          <w:highlight w:val="none"/>
          <w:u w:val="single"/>
        </w:rPr>
        <w:t xml:space="preserve">         </w:t>
      </w:r>
      <w:r>
        <w:rPr>
          <w:rFonts w:hint="eastAsia" w:hAnsi="宋体" w:cs="宋体"/>
          <w:color w:val="auto"/>
          <w:highlight w:val="none"/>
        </w:rPr>
        <w:t>年</w:t>
      </w:r>
      <w:r>
        <w:rPr>
          <w:color w:val="auto"/>
          <w:highlight w:val="none"/>
          <w:u w:val="single"/>
        </w:rPr>
        <w:t xml:space="preserve">    </w:t>
      </w:r>
      <w:r>
        <w:rPr>
          <w:rFonts w:hint="eastAsia" w:hAnsi="宋体" w:cs="宋体"/>
          <w:color w:val="auto"/>
          <w:highlight w:val="none"/>
        </w:rPr>
        <w:t>月</w:t>
      </w:r>
      <w:r>
        <w:rPr>
          <w:color w:val="auto"/>
          <w:highlight w:val="none"/>
          <w:u w:val="single"/>
        </w:rPr>
        <w:t xml:space="preserve">    </w:t>
      </w:r>
      <w:r>
        <w:rPr>
          <w:rFonts w:hint="eastAsia" w:hAnsi="宋体" w:cs="宋体"/>
          <w:color w:val="auto"/>
          <w:highlight w:val="none"/>
        </w:rPr>
        <w:t>日签订。</w:t>
      </w:r>
    </w:p>
    <w:p w14:paraId="0AF555F7">
      <w:pPr>
        <w:spacing w:line="360" w:lineRule="auto"/>
        <w:ind w:firstLine="422" w:firstLineChars="200"/>
        <w:outlineLvl w:val="0"/>
        <w:rPr>
          <w:b/>
          <w:bCs/>
          <w:color w:val="auto"/>
          <w:highlight w:val="none"/>
        </w:rPr>
      </w:pPr>
      <w:bookmarkStart w:id="201" w:name="_Toc351203490"/>
      <w:bookmarkStart w:id="202" w:name="_Toc122424278"/>
      <w:bookmarkStart w:id="203" w:name="_Toc122424029"/>
      <w:r>
        <w:rPr>
          <w:rFonts w:hint="eastAsia" w:hAnsi="宋体" w:cs="宋体"/>
          <w:b/>
          <w:bCs/>
          <w:color w:val="auto"/>
          <w:highlight w:val="none"/>
        </w:rPr>
        <w:t>十、签订地点</w:t>
      </w:r>
      <w:bookmarkEnd w:id="201"/>
      <w:bookmarkEnd w:id="202"/>
      <w:bookmarkEnd w:id="203"/>
    </w:p>
    <w:p w14:paraId="48805743">
      <w:pPr>
        <w:spacing w:line="360" w:lineRule="auto"/>
        <w:ind w:firstLine="420" w:firstLineChars="200"/>
        <w:rPr>
          <w:rFonts w:hAnsi="宋体"/>
          <w:color w:val="auto"/>
          <w:highlight w:val="none"/>
        </w:rPr>
      </w:pPr>
      <w:r>
        <w:rPr>
          <w:rFonts w:hint="eastAsia" w:hAnsi="宋体" w:cs="宋体"/>
          <w:color w:val="auto"/>
          <w:highlight w:val="none"/>
        </w:rPr>
        <w:t>本合同在</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rFonts w:hint="eastAsia" w:hAnsi="宋体" w:cs="宋体"/>
          <w:color w:val="auto"/>
          <w:highlight w:val="none"/>
        </w:rPr>
        <w:t>签订。</w:t>
      </w:r>
    </w:p>
    <w:p w14:paraId="7AA10D82">
      <w:pPr>
        <w:spacing w:line="360" w:lineRule="auto"/>
        <w:ind w:firstLine="422" w:firstLineChars="200"/>
        <w:outlineLvl w:val="0"/>
        <w:rPr>
          <w:b/>
          <w:bCs/>
          <w:color w:val="auto"/>
          <w:highlight w:val="none"/>
        </w:rPr>
      </w:pPr>
      <w:bookmarkStart w:id="204" w:name="_Toc122424030"/>
      <w:bookmarkStart w:id="205" w:name="_Toc351203491"/>
      <w:bookmarkStart w:id="206" w:name="_Toc122424279"/>
      <w:r>
        <w:rPr>
          <w:rFonts w:hint="eastAsia" w:hAnsi="宋体" w:cs="宋体"/>
          <w:b/>
          <w:bCs/>
          <w:color w:val="auto"/>
          <w:highlight w:val="none"/>
        </w:rPr>
        <w:t>十一、补充协议</w:t>
      </w:r>
      <w:bookmarkEnd w:id="204"/>
      <w:bookmarkEnd w:id="205"/>
      <w:bookmarkEnd w:id="206"/>
    </w:p>
    <w:p w14:paraId="515F4CCB">
      <w:pPr>
        <w:spacing w:line="360" w:lineRule="auto"/>
        <w:ind w:firstLine="420" w:firstLineChars="200"/>
        <w:rPr>
          <w:rFonts w:hAnsi="宋体"/>
          <w:color w:val="auto"/>
          <w:highlight w:val="none"/>
        </w:rPr>
      </w:pPr>
      <w:r>
        <w:rPr>
          <w:rFonts w:hint="eastAsia" w:hAnsi="宋体" w:cs="宋体"/>
          <w:color w:val="auto"/>
          <w:highlight w:val="none"/>
        </w:rPr>
        <w:t>合同未尽事宜，合同当事人另行签订补充协议，补充协议是合同的组成部分。</w:t>
      </w:r>
    </w:p>
    <w:p w14:paraId="42730ABC">
      <w:pPr>
        <w:spacing w:line="360" w:lineRule="auto"/>
        <w:ind w:firstLine="422" w:firstLineChars="200"/>
        <w:outlineLvl w:val="0"/>
        <w:rPr>
          <w:b/>
          <w:bCs/>
          <w:color w:val="auto"/>
          <w:highlight w:val="none"/>
        </w:rPr>
      </w:pPr>
      <w:bookmarkStart w:id="207" w:name="_Toc351203492"/>
      <w:bookmarkStart w:id="208" w:name="_Toc122424031"/>
      <w:bookmarkStart w:id="209" w:name="_Toc122424280"/>
      <w:r>
        <w:rPr>
          <w:rFonts w:hint="eastAsia" w:hAnsi="宋体" w:cs="宋体"/>
          <w:b/>
          <w:bCs/>
          <w:color w:val="auto"/>
          <w:highlight w:val="none"/>
        </w:rPr>
        <w:t>十二、合同生效</w:t>
      </w:r>
      <w:bookmarkEnd w:id="207"/>
      <w:bookmarkEnd w:id="208"/>
      <w:bookmarkEnd w:id="209"/>
    </w:p>
    <w:p w14:paraId="2B6D2539">
      <w:pPr>
        <w:spacing w:line="360" w:lineRule="auto"/>
        <w:ind w:firstLine="420" w:firstLineChars="200"/>
        <w:rPr>
          <w:rFonts w:hAnsi="宋体"/>
          <w:color w:val="auto"/>
          <w:highlight w:val="none"/>
        </w:rPr>
      </w:pPr>
      <w:r>
        <w:rPr>
          <w:rFonts w:hint="eastAsia" w:hAnsi="宋体" w:cs="宋体"/>
          <w:color w:val="auto"/>
          <w:highlight w:val="none"/>
        </w:rPr>
        <w:t>本合同自</w:t>
      </w:r>
      <w:r>
        <w:rPr>
          <w:color w:val="auto"/>
          <w:highlight w:val="none"/>
          <w:u w:val="single"/>
        </w:rPr>
        <w:t xml:space="preserve"> </w:t>
      </w:r>
      <w:r>
        <w:rPr>
          <w:rFonts w:hint="eastAsia"/>
          <w:color w:val="auto"/>
          <w:highlight w:val="none"/>
          <w:u w:val="single"/>
        </w:rPr>
        <w:t>双方签字盖章后</w:t>
      </w:r>
      <w:r>
        <w:rPr>
          <w:color w:val="auto"/>
          <w:highlight w:val="none"/>
          <w:u w:val="single"/>
        </w:rPr>
        <w:t xml:space="preserve">   </w:t>
      </w:r>
      <w:r>
        <w:rPr>
          <w:rFonts w:hint="eastAsia" w:hAnsi="宋体" w:cs="宋体"/>
          <w:color w:val="auto"/>
          <w:highlight w:val="none"/>
        </w:rPr>
        <w:t>生效。</w:t>
      </w:r>
    </w:p>
    <w:p w14:paraId="453FC688">
      <w:pPr>
        <w:spacing w:line="360" w:lineRule="auto"/>
        <w:ind w:firstLine="422" w:firstLineChars="200"/>
        <w:outlineLvl w:val="0"/>
        <w:rPr>
          <w:b/>
          <w:bCs/>
          <w:color w:val="auto"/>
          <w:highlight w:val="none"/>
        </w:rPr>
      </w:pPr>
      <w:bookmarkStart w:id="210" w:name="_Toc122424032"/>
      <w:bookmarkStart w:id="211" w:name="_Toc122424281"/>
      <w:bookmarkStart w:id="212" w:name="_Toc351203493"/>
      <w:r>
        <w:rPr>
          <w:rFonts w:hint="eastAsia" w:hAnsi="宋体" w:cs="宋体"/>
          <w:b/>
          <w:bCs/>
          <w:color w:val="auto"/>
          <w:highlight w:val="none"/>
        </w:rPr>
        <w:t>十三、合同份数</w:t>
      </w:r>
      <w:bookmarkEnd w:id="210"/>
      <w:bookmarkEnd w:id="211"/>
      <w:bookmarkEnd w:id="212"/>
    </w:p>
    <w:p w14:paraId="1D1B931D">
      <w:pPr>
        <w:spacing w:line="360" w:lineRule="auto"/>
        <w:ind w:firstLine="420" w:firstLineChars="200"/>
        <w:rPr>
          <w:color w:val="auto"/>
          <w:highlight w:val="none"/>
        </w:rPr>
      </w:pPr>
      <w:r>
        <w:rPr>
          <w:rFonts w:hint="eastAsia" w:hAnsi="宋体" w:cs="宋体"/>
          <w:color w:val="auto"/>
          <w:highlight w:val="none"/>
        </w:rPr>
        <w:t>本合同一式拾贰份，均具有同等法律效力，发包人执陆份，承包人执陆份。</w:t>
      </w:r>
    </w:p>
    <w:p w14:paraId="631BFFAA">
      <w:pPr>
        <w:spacing w:line="360" w:lineRule="auto"/>
        <w:rPr>
          <w:color w:val="auto"/>
          <w:highlight w:val="none"/>
        </w:rPr>
      </w:pPr>
    </w:p>
    <w:p w14:paraId="5F2B4898">
      <w:pPr>
        <w:spacing w:line="360" w:lineRule="auto"/>
        <w:rPr>
          <w:color w:val="auto"/>
          <w:highlight w:val="none"/>
        </w:rPr>
      </w:pPr>
      <w:r>
        <w:rPr>
          <w:rFonts w:hint="eastAsia" w:hAnsi="宋体" w:cs="宋体"/>
          <w:color w:val="auto"/>
          <w:highlight w:val="none"/>
        </w:rPr>
        <w:t>发包人：</w:t>
      </w:r>
      <w:r>
        <w:rPr>
          <w:color w:val="auto"/>
          <w:highlight w:val="none"/>
        </w:rPr>
        <w:t xml:space="preserve">  </w:t>
      </w:r>
      <w:r>
        <w:rPr>
          <w:rFonts w:hint="eastAsia" w:cs="宋体"/>
          <w:color w:val="auto"/>
          <w:highlight w:val="none"/>
        </w:rPr>
        <w:t>（</w:t>
      </w:r>
      <w:r>
        <w:rPr>
          <w:rFonts w:hint="eastAsia" w:hAnsi="宋体" w:cs="宋体"/>
          <w:color w:val="auto"/>
          <w:highlight w:val="none"/>
        </w:rPr>
        <w:t>公章</w:t>
      </w:r>
      <w:r>
        <w:rPr>
          <w:rFonts w:hint="eastAsia" w:cs="宋体"/>
          <w:color w:val="auto"/>
          <w:highlight w:val="none"/>
        </w:rPr>
        <w:t>）</w:t>
      </w:r>
      <w:r>
        <w:rPr>
          <w:color w:val="auto"/>
          <w:highlight w:val="none"/>
        </w:rPr>
        <w:t xml:space="preserve">                              </w:t>
      </w:r>
      <w:r>
        <w:rPr>
          <w:rFonts w:hint="eastAsia" w:hAnsi="宋体" w:cs="宋体"/>
          <w:color w:val="auto"/>
          <w:highlight w:val="none"/>
        </w:rPr>
        <w:t>承包人：</w:t>
      </w:r>
      <w:r>
        <w:rPr>
          <w:color w:val="auto"/>
          <w:highlight w:val="none"/>
        </w:rPr>
        <w:t xml:space="preserve">  </w:t>
      </w:r>
      <w:r>
        <w:rPr>
          <w:rFonts w:hint="eastAsia" w:cs="宋体"/>
          <w:color w:val="auto"/>
          <w:highlight w:val="none"/>
        </w:rPr>
        <w:t>（</w:t>
      </w:r>
      <w:r>
        <w:rPr>
          <w:rFonts w:hint="eastAsia" w:hAnsi="宋体" w:cs="宋体"/>
          <w:color w:val="auto"/>
          <w:highlight w:val="none"/>
        </w:rPr>
        <w:t>公章</w:t>
      </w:r>
      <w:r>
        <w:rPr>
          <w:rFonts w:hint="eastAsia" w:cs="宋体"/>
          <w:color w:val="auto"/>
          <w:highlight w:val="none"/>
        </w:rPr>
        <w:t>）</w:t>
      </w:r>
    </w:p>
    <w:p w14:paraId="1082D124">
      <w:pPr>
        <w:spacing w:line="360" w:lineRule="auto"/>
        <w:rPr>
          <w:color w:val="auto"/>
          <w:highlight w:val="none"/>
          <w:u w:val="single"/>
        </w:rPr>
      </w:pPr>
      <w:r>
        <w:rPr>
          <w:color w:val="auto"/>
          <w:highlight w:val="none"/>
        </w:rPr>
        <w:t xml:space="preserve">                                 </w:t>
      </w:r>
    </w:p>
    <w:p w14:paraId="3B0B2911">
      <w:pPr>
        <w:spacing w:line="360" w:lineRule="auto"/>
        <w:rPr>
          <w:color w:val="auto"/>
          <w:highlight w:val="none"/>
        </w:rPr>
      </w:pPr>
      <w:r>
        <w:rPr>
          <w:rFonts w:hint="eastAsia" w:hAnsi="宋体" w:cs="宋体"/>
          <w:color w:val="auto"/>
          <w:highlight w:val="none"/>
        </w:rPr>
        <w:t>法定代表人或其委托代理人：</w:t>
      </w:r>
      <w:r>
        <w:rPr>
          <w:color w:val="auto"/>
          <w:highlight w:val="none"/>
        </w:rPr>
        <w:t xml:space="preserve">                    </w:t>
      </w:r>
      <w:r>
        <w:rPr>
          <w:rFonts w:hint="eastAsia" w:hAnsi="宋体" w:cs="宋体"/>
          <w:color w:val="auto"/>
          <w:highlight w:val="none"/>
        </w:rPr>
        <w:t>法定代表人或其委托代理人：</w:t>
      </w:r>
    </w:p>
    <w:p w14:paraId="43669F4F">
      <w:pPr>
        <w:spacing w:line="360" w:lineRule="auto"/>
        <w:rPr>
          <w:color w:val="auto"/>
          <w:highlight w:val="none"/>
        </w:rPr>
      </w:pPr>
      <w:r>
        <w:rPr>
          <w:rFonts w:hint="eastAsia" w:hAnsi="宋体" w:cs="宋体"/>
          <w:color w:val="auto"/>
          <w:highlight w:val="none"/>
        </w:rPr>
        <w:t>（签字）</w:t>
      </w:r>
      <w:r>
        <w:rPr>
          <w:color w:val="auto"/>
          <w:highlight w:val="none"/>
        </w:rPr>
        <w:t xml:space="preserve">                                     </w:t>
      </w:r>
      <w:r>
        <w:rPr>
          <w:rFonts w:hint="eastAsia" w:hAnsi="宋体" w:cs="宋体"/>
          <w:color w:val="auto"/>
          <w:highlight w:val="none"/>
        </w:rPr>
        <w:t>（签字）</w:t>
      </w:r>
    </w:p>
    <w:p w14:paraId="59CF05F3">
      <w:pPr>
        <w:spacing w:line="360" w:lineRule="auto"/>
        <w:rPr>
          <w:color w:val="auto"/>
          <w:highlight w:val="none"/>
          <w:u w:val="single"/>
        </w:rPr>
      </w:pPr>
    </w:p>
    <w:p w14:paraId="0E144C1D">
      <w:pPr>
        <w:tabs>
          <w:tab w:val="left" w:pos="4410"/>
        </w:tabs>
        <w:spacing w:line="360" w:lineRule="auto"/>
        <w:rPr>
          <w:color w:val="auto"/>
          <w:highlight w:val="none"/>
        </w:rPr>
      </w:pPr>
      <w:r>
        <w:rPr>
          <w:rFonts w:hint="eastAsia" w:hAnsi="宋体" w:cs="宋体"/>
          <w:color w:val="auto"/>
          <w:highlight w:val="none"/>
        </w:rPr>
        <w:t>统一社会信用代码：</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cs="宋体"/>
          <w:color w:val="auto"/>
          <w:highlight w:val="none"/>
        </w:rPr>
        <w:t>统一</w:t>
      </w:r>
      <w:r>
        <w:rPr>
          <w:rFonts w:hint="eastAsia" w:hAnsi="宋体" w:cs="宋体"/>
          <w:color w:val="auto"/>
          <w:highlight w:val="none"/>
        </w:rPr>
        <w:t>社会信用代码：</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p>
    <w:p w14:paraId="39F1D9A3">
      <w:pPr>
        <w:spacing w:line="360" w:lineRule="auto"/>
        <w:rPr>
          <w:color w:val="auto"/>
          <w:highlight w:val="none"/>
        </w:rPr>
      </w:pPr>
      <w:r>
        <w:rPr>
          <w:rFonts w:hint="eastAsia" w:hAnsi="宋体" w:cs="宋体"/>
          <w:color w:val="auto"/>
          <w:highlight w:val="none"/>
        </w:rPr>
        <w:t>地</w:t>
      </w:r>
      <w:r>
        <w:rPr>
          <w:color w:val="auto"/>
          <w:highlight w:val="none"/>
        </w:rPr>
        <w:t xml:space="preserve">  </w:t>
      </w:r>
      <w:r>
        <w:rPr>
          <w:rFonts w:hint="eastAsia" w:hAnsi="宋体" w:cs="宋体"/>
          <w:color w:val="auto"/>
          <w:highlight w:val="none"/>
        </w:rPr>
        <w:t>址：</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地</w:t>
      </w:r>
      <w:r>
        <w:rPr>
          <w:color w:val="auto"/>
          <w:highlight w:val="none"/>
        </w:rPr>
        <w:t xml:space="preserve">  </w:t>
      </w:r>
      <w:r>
        <w:rPr>
          <w:rFonts w:hint="eastAsia" w:hAnsi="宋体" w:cs="宋体"/>
          <w:color w:val="auto"/>
          <w:highlight w:val="none"/>
        </w:rPr>
        <w:t>址：</w:t>
      </w:r>
      <w:r>
        <w:rPr>
          <w:color w:val="auto"/>
          <w:highlight w:val="none"/>
          <w:u w:val="single"/>
        </w:rPr>
        <w:t xml:space="preserve">        </w:t>
      </w:r>
      <w:r>
        <w:rPr>
          <w:rFonts w:hint="eastAsia"/>
          <w:color w:val="auto"/>
          <w:highlight w:val="none"/>
          <w:u w:val="single"/>
        </w:rPr>
        <w:t xml:space="preserve">                    </w:t>
      </w:r>
    </w:p>
    <w:p w14:paraId="598E9CD9">
      <w:pPr>
        <w:spacing w:line="360" w:lineRule="auto"/>
        <w:rPr>
          <w:color w:val="auto"/>
          <w:highlight w:val="none"/>
        </w:rPr>
      </w:pPr>
      <w:r>
        <w:rPr>
          <w:rFonts w:hint="eastAsia" w:hAnsi="宋体" w:cs="宋体"/>
          <w:color w:val="auto"/>
          <w:highlight w:val="none"/>
        </w:rPr>
        <w:t>邮政编码：</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color w:val="auto"/>
          <w:highlight w:val="none"/>
        </w:rPr>
        <w:t xml:space="preserve"> </w:t>
      </w:r>
      <w:r>
        <w:rPr>
          <w:rFonts w:hint="eastAsia" w:hAnsi="宋体" w:cs="宋体"/>
          <w:color w:val="auto"/>
          <w:highlight w:val="none"/>
        </w:rPr>
        <w:t>邮政编码：</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6D252D3C">
      <w:pPr>
        <w:spacing w:line="360" w:lineRule="auto"/>
        <w:rPr>
          <w:color w:val="auto"/>
          <w:highlight w:val="none"/>
        </w:rPr>
      </w:pPr>
      <w:r>
        <w:rPr>
          <w:rFonts w:hint="eastAsia" w:hAnsi="宋体" w:cs="宋体"/>
          <w:color w:val="auto"/>
          <w:highlight w:val="none"/>
        </w:rPr>
        <w:t>法定代表人：</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法定代表人：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0A560051">
      <w:pPr>
        <w:spacing w:line="360" w:lineRule="auto"/>
        <w:rPr>
          <w:color w:val="auto"/>
          <w:highlight w:val="none"/>
        </w:rPr>
      </w:pPr>
      <w:r>
        <w:rPr>
          <w:rFonts w:hint="eastAsia" w:hAnsi="宋体" w:cs="宋体"/>
          <w:color w:val="auto"/>
          <w:highlight w:val="none"/>
        </w:rPr>
        <w:t>委托代理人：</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委托代理人：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5C328556">
      <w:pPr>
        <w:spacing w:line="360" w:lineRule="auto"/>
        <w:rPr>
          <w:color w:val="auto"/>
          <w:highlight w:val="none"/>
        </w:rPr>
      </w:pPr>
      <w:r>
        <w:rPr>
          <w:rFonts w:hint="eastAsia" w:hAnsi="宋体" w:cs="宋体"/>
          <w:color w:val="auto"/>
          <w:highlight w:val="none"/>
        </w:rPr>
        <w:t>电</w:t>
      </w:r>
      <w:r>
        <w:rPr>
          <w:color w:val="auto"/>
          <w:highlight w:val="none"/>
        </w:rPr>
        <w:t xml:space="preserve">  </w:t>
      </w:r>
      <w:r>
        <w:rPr>
          <w:rFonts w:hint="eastAsia" w:hAnsi="宋体" w:cs="宋体"/>
          <w:color w:val="auto"/>
          <w:highlight w:val="none"/>
        </w:rPr>
        <w:t>话：</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hAnsi="宋体" w:cs="宋体"/>
          <w:color w:val="auto"/>
          <w:highlight w:val="none"/>
        </w:rPr>
        <w:t>电</w:t>
      </w:r>
      <w:r>
        <w:rPr>
          <w:color w:val="auto"/>
          <w:highlight w:val="none"/>
        </w:rPr>
        <w:t xml:space="preserve">  </w:t>
      </w:r>
      <w:r>
        <w:rPr>
          <w:rFonts w:hint="eastAsia" w:hAnsi="宋体" w:cs="宋体"/>
          <w:color w:val="auto"/>
          <w:highlight w:val="none"/>
        </w:rPr>
        <w:t>话：</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41A15855">
      <w:pPr>
        <w:spacing w:line="360" w:lineRule="auto"/>
        <w:rPr>
          <w:color w:val="auto"/>
          <w:highlight w:val="none"/>
        </w:rPr>
      </w:pPr>
      <w:r>
        <w:rPr>
          <w:rFonts w:hint="eastAsia" w:hAnsi="宋体" w:cs="宋体"/>
          <w:color w:val="auto"/>
          <w:highlight w:val="none"/>
        </w:rPr>
        <w:t>传</w:t>
      </w:r>
      <w:r>
        <w:rPr>
          <w:color w:val="auto"/>
          <w:highlight w:val="none"/>
        </w:rPr>
        <w:t xml:space="preserve">  </w:t>
      </w:r>
      <w:r>
        <w:rPr>
          <w:rFonts w:hint="eastAsia" w:hAnsi="宋体" w:cs="宋体"/>
          <w:color w:val="auto"/>
          <w:highlight w:val="none"/>
        </w:rPr>
        <w:t>真：</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传</w:t>
      </w:r>
      <w:r>
        <w:rPr>
          <w:color w:val="auto"/>
          <w:highlight w:val="none"/>
        </w:rPr>
        <w:t xml:space="preserve">  </w:t>
      </w:r>
      <w:r>
        <w:rPr>
          <w:rFonts w:hint="eastAsia" w:hAnsi="宋体" w:cs="宋体"/>
          <w:color w:val="auto"/>
          <w:highlight w:val="none"/>
        </w:rPr>
        <w:t>真：</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50D820F8">
      <w:pPr>
        <w:spacing w:line="360" w:lineRule="auto"/>
        <w:rPr>
          <w:color w:val="auto"/>
          <w:highlight w:val="none"/>
        </w:rPr>
      </w:pPr>
      <w:r>
        <w:rPr>
          <w:rFonts w:hint="eastAsia" w:hAnsi="宋体" w:cs="宋体"/>
          <w:color w:val="auto"/>
          <w:highlight w:val="none"/>
        </w:rPr>
        <w:t>电子信箱：</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电子信箱：</w:t>
      </w:r>
      <w:r>
        <w:rPr>
          <w:color w:val="auto"/>
          <w:highlight w:val="none"/>
          <w:u w:val="single"/>
        </w:rPr>
        <w:t xml:space="preserve">   </w:t>
      </w:r>
      <w:r>
        <w:rPr>
          <w:rFonts w:hint="eastAsia"/>
          <w:color w:val="auto"/>
          <w:highlight w:val="none"/>
          <w:u w:val="single"/>
        </w:rPr>
        <w:t xml:space="preserve">                      </w:t>
      </w:r>
    </w:p>
    <w:p w14:paraId="4E19B040">
      <w:pPr>
        <w:spacing w:line="360" w:lineRule="auto"/>
        <w:rPr>
          <w:color w:val="auto"/>
          <w:highlight w:val="none"/>
        </w:rPr>
      </w:pPr>
      <w:r>
        <w:rPr>
          <w:rFonts w:hint="eastAsia" w:hAnsi="宋体" w:cs="宋体"/>
          <w:color w:val="auto"/>
          <w:highlight w:val="none"/>
        </w:rPr>
        <w:t>开户银行：</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开户银行：</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2FD01153">
      <w:pPr>
        <w:rPr>
          <w:color w:val="auto"/>
          <w:highlight w:val="none"/>
          <w:u w:val="single"/>
        </w:rPr>
      </w:pPr>
      <w:r>
        <w:rPr>
          <w:rFonts w:hint="eastAsia" w:hAnsi="宋体" w:cs="宋体"/>
          <w:color w:val="auto"/>
          <w:highlight w:val="none"/>
        </w:rPr>
        <w:t>账</w:t>
      </w:r>
      <w:r>
        <w:rPr>
          <w:color w:val="auto"/>
          <w:highlight w:val="none"/>
        </w:rPr>
        <w:t xml:space="preserve">  </w:t>
      </w:r>
      <w:r>
        <w:rPr>
          <w:rFonts w:hint="eastAsia" w:hAnsi="宋体" w:cs="宋体"/>
          <w:color w:val="auto"/>
          <w:highlight w:val="none"/>
        </w:rPr>
        <w:t>号：</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账</w:t>
      </w:r>
      <w:r>
        <w:rPr>
          <w:color w:val="auto"/>
          <w:highlight w:val="none"/>
        </w:rPr>
        <w:t xml:space="preserve">  </w:t>
      </w:r>
      <w:r>
        <w:rPr>
          <w:rFonts w:hint="eastAsia" w:hAnsi="宋体" w:cs="宋体"/>
          <w:color w:val="auto"/>
          <w:highlight w:val="none"/>
        </w:rPr>
        <w:t>号：</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66499614">
      <w:pPr>
        <w:pStyle w:val="3"/>
        <w:jc w:val="center"/>
        <w:rPr>
          <w:color w:val="auto"/>
          <w:highlight w:val="none"/>
        </w:rPr>
      </w:pPr>
      <w:r>
        <w:rPr>
          <w:rFonts w:ascii="宋体" w:hAnsi="宋体" w:cs="宋体"/>
          <w:color w:val="auto"/>
          <w:sz w:val="24"/>
          <w:highlight w:val="none"/>
        </w:rPr>
        <w:br w:type="page"/>
      </w:r>
      <w:bookmarkStart w:id="213" w:name="_Toc1714491818"/>
      <w:bookmarkStart w:id="214" w:name="_Toc122424033"/>
      <w:bookmarkStart w:id="215" w:name="_Toc78449778"/>
      <w:bookmarkStart w:id="216" w:name="_Toc122424282"/>
      <w:bookmarkStart w:id="217" w:name="_Toc389065256"/>
      <w:bookmarkStart w:id="218" w:name="_Toc407135192"/>
      <w:bookmarkStart w:id="219" w:name="_Toc86847323"/>
      <w:bookmarkStart w:id="220" w:name="_Toc351203632"/>
      <w:bookmarkStart w:id="221" w:name="_Toc373227691"/>
      <w:bookmarkStart w:id="222" w:name="_Toc373478338"/>
      <w:r>
        <w:rPr>
          <w:rFonts w:hint="eastAsia" w:cs="黑体"/>
          <w:color w:val="auto"/>
          <w:highlight w:val="none"/>
        </w:rPr>
        <w:t>第二部分</w:t>
      </w:r>
      <w:r>
        <w:rPr>
          <w:color w:val="auto"/>
          <w:highlight w:val="none"/>
        </w:rPr>
        <w:t xml:space="preserve"> </w:t>
      </w:r>
      <w:r>
        <w:rPr>
          <w:rFonts w:hint="eastAsia" w:cs="黑体"/>
          <w:color w:val="auto"/>
          <w:highlight w:val="none"/>
        </w:rPr>
        <w:t>通用合同条款</w:t>
      </w:r>
      <w:bookmarkEnd w:id="213"/>
      <w:bookmarkEnd w:id="214"/>
      <w:bookmarkEnd w:id="215"/>
      <w:bookmarkEnd w:id="216"/>
      <w:bookmarkEnd w:id="217"/>
      <w:bookmarkEnd w:id="218"/>
      <w:bookmarkEnd w:id="219"/>
    </w:p>
    <w:p w14:paraId="2867DE7B">
      <w:pPr>
        <w:spacing w:line="360" w:lineRule="auto"/>
        <w:ind w:firstLine="420" w:firstLineChars="200"/>
        <w:rPr>
          <w:rFonts w:hAnsi="宋体"/>
          <w:color w:val="auto"/>
          <w:kern w:val="0"/>
          <w:highlight w:val="none"/>
        </w:rPr>
      </w:pPr>
    </w:p>
    <w:p w14:paraId="11F861E8">
      <w:pPr>
        <w:spacing w:line="360" w:lineRule="auto"/>
        <w:ind w:firstLine="422" w:firstLineChars="200"/>
        <w:rPr>
          <w:rFonts w:hAnsi="宋体"/>
          <w:b/>
          <w:bCs/>
          <w:color w:val="auto"/>
          <w:kern w:val="0"/>
          <w:highlight w:val="none"/>
        </w:rPr>
      </w:pPr>
      <w:r>
        <w:rPr>
          <w:rFonts w:hint="eastAsia" w:hAnsi="宋体" w:cs="宋体"/>
          <w:b/>
          <w:bCs/>
          <w:color w:val="auto"/>
          <w:kern w:val="0"/>
          <w:highlight w:val="none"/>
        </w:rPr>
        <w:t>采用《建设工程施工合同（示范文本）》（</w:t>
      </w:r>
      <w:r>
        <w:rPr>
          <w:rFonts w:hAnsi="宋体"/>
          <w:b/>
          <w:bCs/>
          <w:color w:val="auto"/>
          <w:kern w:val="0"/>
          <w:highlight w:val="none"/>
        </w:rPr>
        <w:t>GF</w:t>
      </w:r>
      <w:r>
        <w:rPr>
          <w:rFonts w:hAnsi="宋体" w:cs="宋体"/>
          <w:b/>
          <w:bCs/>
          <w:color w:val="auto"/>
          <w:kern w:val="0"/>
          <w:highlight w:val="none"/>
        </w:rPr>
        <w:t>—</w:t>
      </w:r>
      <w:r>
        <w:rPr>
          <w:rFonts w:hAnsi="宋体"/>
          <w:b/>
          <w:bCs/>
          <w:color w:val="auto"/>
          <w:kern w:val="0"/>
          <w:highlight w:val="none"/>
        </w:rPr>
        <w:t>201</w:t>
      </w:r>
      <w:r>
        <w:rPr>
          <w:rFonts w:hint="eastAsia" w:hAnsi="宋体"/>
          <w:b/>
          <w:bCs/>
          <w:color w:val="auto"/>
          <w:kern w:val="0"/>
          <w:highlight w:val="none"/>
        </w:rPr>
        <w:t>7</w:t>
      </w:r>
      <w:r>
        <w:rPr>
          <w:rFonts w:hAnsi="宋体" w:cs="宋体"/>
          <w:b/>
          <w:bCs/>
          <w:color w:val="auto"/>
          <w:kern w:val="0"/>
          <w:highlight w:val="none"/>
        </w:rPr>
        <w:t>—</w:t>
      </w:r>
      <w:r>
        <w:rPr>
          <w:rFonts w:hAnsi="宋体"/>
          <w:b/>
          <w:bCs/>
          <w:color w:val="auto"/>
          <w:kern w:val="0"/>
          <w:highlight w:val="none"/>
        </w:rPr>
        <w:t>0201</w:t>
      </w:r>
      <w:r>
        <w:rPr>
          <w:rFonts w:hint="eastAsia" w:hAnsi="宋体" w:cs="宋体"/>
          <w:b/>
          <w:bCs/>
          <w:color w:val="auto"/>
          <w:kern w:val="0"/>
          <w:highlight w:val="none"/>
        </w:rPr>
        <w:t>）。</w:t>
      </w:r>
    </w:p>
    <w:p w14:paraId="093E2ED4">
      <w:pPr>
        <w:pStyle w:val="3"/>
        <w:keepNext w:val="0"/>
        <w:keepLines w:val="0"/>
        <w:jc w:val="center"/>
        <w:rPr>
          <w:rFonts w:hAnsi="宋体"/>
          <w:color w:val="auto"/>
          <w:sz w:val="30"/>
          <w:szCs w:val="30"/>
          <w:highlight w:val="none"/>
        </w:rPr>
      </w:pPr>
      <w:bookmarkStart w:id="223" w:name="_Toc122424034"/>
      <w:bookmarkStart w:id="224" w:name="_Toc704444909"/>
      <w:bookmarkStart w:id="225" w:name="_Toc407135193"/>
      <w:bookmarkStart w:id="226" w:name="_Toc1204138598"/>
      <w:bookmarkStart w:id="227" w:name="_Toc389065257"/>
      <w:bookmarkStart w:id="228" w:name="_Toc122424283"/>
      <w:bookmarkStart w:id="229" w:name="_Toc78449779"/>
      <w:r>
        <w:rPr>
          <w:rFonts w:hint="eastAsia" w:hAnsi="宋体" w:cs="黑体"/>
          <w:color w:val="auto"/>
          <w:sz w:val="30"/>
          <w:szCs w:val="30"/>
          <w:highlight w:val="none"/>
        </w:rPr>
        <w:t>第三部分</w:t>
      </w:r>
      <w:r>
        <w:rPr>
          <w:color w:val="auto"/>
          <w:sz w:val="30"/>
          <w:szCs w:val="30"/>
          <w:highlight w:val="none"/>
        </w:rPr>
        <w:t xml:space="preserve"> </w:t>
      </w:r>
      <w:r>
        <w:rPr>
          <w:rFonts w:hint="eastAsia" w:hAnsi="宋体" w:cs="黑体"/>
          <w:color w:val="auto"/>
          <w:sz w:val="30"/>
          <w:szCs w:val="30"/>
          <w:highlight w:val="none"/>
        </w:rPr>
        <w:t>专用合同条款</w:t>
      </w:r>
      <w:bookmarkEnd w:id="220"/>
      <w:bookmarkEnd w:id="221"/>
      <w:bookmarkEnd w:id="222"/>
      <w:bookmarkEnd w:id="223"/>
      <w:bookmarkEnd w:id="224"/>
      <w:bookmarkEnd w:id="225"/>
      <w:bookmarkEnd w:id="226"/>
      <w:bookmarkEnd w:id="227"/>
      <w:bookmarkEnd w:id="228"/>
      <w:bookmarkEnd w:id="229"/>
    </w:p>
    <w:p w14:paraId="43C6CA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 一般约定</w:t>
      </w:r>
    </w:p>
    <w:p w14:paraId="544CF112">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1.1 词语定义</w:t>
      </w:r>
    </w:p>
    <w:p w14:paraId="6EC71C6A">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1.1.1 合同</w:t>
      </w:r>
    </w:p>
    <w:p w14:paraId="05F536FD">
      <w:pPr>
        <w:spacing w:line="360" w:lineRule="auto"/>
        <w:ind w:firstLine="600"/>
        <w:rPr>
          <w:rFonts w:hint="eastAsia" w:ascii="宋体" w:hAnsi="宋体" w:cs="宋体"/>
          <w:color w:val="auto"/>
          <w:sz w:val="24"/>
          <w:highlight w:val="none"/>
          <w:u w:val="single"/>
        </w:rPr>
      </w:pPr>
      <w:r>
        <w:rPr>
          <w:rFonts w:hint="eastAsia" w:ascii="宋体" w:hAnsi="宋体" w:cs="宋体"/>
          <w:color w:val="auto"/>
          <w:kern w:val="0"/>
          <w:sz w:val="24"/>
          <w:highlight w:val="none"/>
        </w:rPr>
        <w:t>1.1.1.10 其他合同文件包括：</w:t>
      </w:r>
      <w:r>
        <w:rPr>
          <w:rFonts w:hint="eastAsia" w:ascii="宋体" w:hAnsi="宋体" w:cs="宋体"/>
          <w:color w:val="auto"/>
          <w:sz w:val="24"/>
          <w:highlight w:val="none"/>
          <w:u w:val="single"/>
        </w:rPr>
        <w:t>双方在履行合同过程中形成的双方授权代表签署的会议纪要、备忘录、补充文件、变更和洽商等书面形式的文件构成本合同的组成部分。</w:t>
      </w:r>
    </w:p>
    <w:p w14:paraId="3EC0E4D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1.1.2 合同当事人及其他相关方</w:t>
      </w:r>
    </w:p>
    <w:p w14:paraId="29135328">
      <w:pPr>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rPr>
        <w:t>1.1.2.4 监理人：</w:t>
      </w:r>
    </w:p>
    <w:p w14:paraId="2A646E1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u w:val="single"/>
        </w:rPr>
        <w:t xml:space="preserve"> 详见监理合同  </w:t>
      </w:r>
      <w:r>
        <w:rPr>
          <w:rFonts w:hint="eastAsia" w:ascii="宋体" w:hAnsi="宋体" w:cs="宋体"/>
          <w:color w:val="auto"/>
          <w:sz w:val="24"/>
          <w:highlight w:val="none"/>
        </w:rPr>
        <w:t>；</w:t>
      </w:r>
    </w:p>
    <w:p w14:paraId="1DDAE05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资质类别和等级：</w:t>
      </w:r>
      <w:r>
        <w:rPr>
          <w:rFonts w:hint="eastAsia" w:ascii="宋体" w:hAnsi="宋体" w:cs="宋体"/>
          <w:color w:val="auto"/>
          <w:sz w:val="24"/>
          <w:highlight w:val="none"/>
          <w:u w:val="single"/>
        </w:rPr>
        <w:t xml:space="preserve">  详见监理合同  </w:t>
      </w:r>
      <w:r>
        <w:rPr>
          <w:rFonts w:hint="eastAsia" w:ascii="宋体" w:hAnsi="宋体" w:cs="宋体"/>
          <w:color w:val="auto"/>
          <w:sz w:val="24"/>
          <w:highlight w:val="none"/>
        </w:rPr>
        <w:t>；</w:t>
      </w:r>
    </w:p>
    <w:p w14:paraId="277B2DC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 xml:space="preserve"> 详见监理合同  </w:t>
      </w:r>
      <w:r>
        <w:rPr>
          <w:rFonts w:hint="eastAsia" w:ascii="宋体" w:hAnsi="宋体" w:cs="宋体"/>
          <w:color w:val="auto"/>
          <w:sz w:val="24"/>
          <w:highlight w:val="none"/>
        </w:rPr>
        <w:t>；</w:t>
      </w:r>
    </w:p>
    <w:p w14:paraId="21F5671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电子信箱：</w:t>
      </w:r>
      <w:r>
        <w:rPr>
          <w:rFonts w:hint="eastAsia" w:ascii="宋体" w:hAnsi="宋体" w:cs="宋体"/>
          <w:color w:val="auto"/>
          <w:sz w:val="24"/>
          <w:highlight w:val="none"/>
          <w:u w:val="single"/>
        </w:rPr>
        <w:t xml:space="preserve"> 详见监理合同  </w:t>
      </w:r>
      <w:r>
        <w:rPr>
          <w:rFonts w:hint="eastAsia" w:ascii="宋体" w:hAnsi="宋体" w:cs="宋体"/>
          <w:color w:val="auto"/>
          <w:sz w:val="24"/>
          <w:highlight w:val="none"/>
        </w:rPr>
        <w:t>；</w:t>
      </w:r>
    </w:p>
    <w:p w14:paraId="69BE450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通信地址：</w:t>
      </w:r>
      <w:r>
        <w:rPr>
          <w:rFonts w:hint="eastAsia" w:ascii="宋体" w:hAnsi="宋体" w:cs="宋体"/>
          <w:color w:val="auto"/>
          <w:sz w:val="24"/>
          <w:highlight w:val="none"/>
          <w:u w:val="single"/>
        </w:rPr>
        <w:t xml:space="preserve">  详见监理合同  </w:t>
      </w:r>
      <w:r>
        <w:rPr>
          <w:rFonts w:hint="eastAsia" w:ascii="宋体" w:hAnsi="宋体" w:cs="宋体"/>
          <w:color w:val="auto"/>
          <w:sz w:val="24"/>
          <w:highlight w:val="none"/>
        </w:rPr>
        <w:t>。</w:t>
      </w:r>
    </w:p>
    <w:p w14:paraId="5596480E">
      <w:pPr>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rPr>
        <w:t>1.1.2.5 设计人：</w:t>
      </w:r>
    </w:p>
    <w:p w14:paraId="7412176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u w:val="single"/>
        </w:rPr>
        <w:t xml:space="preserve">  详见设计合同   </w:t>
      </w:r>
      <w:r>
        <w:rPr>
          <w:rFonts w:hint="eastAsia" w:ascii="宋体" w:hAnsi="宋体" w:cs="宋体"/>
          <w:color w:val="auto"/>
          <w:sz w:val="24"/>
          <w:highlight w:val="none"/>
        </w:rPr>
        <w:t>；</w:t>
      </w:r>
    </w:p>
    <w:p w14:paraId="38BA477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资质类别和等级：</w:t>
      </w:r>
      <w:r>
        <w:rPr>
          <w:rFonts w:hint="eastAsia" w:ascii="宋体" w:hAnsi="宋体" w:cs="宋体"/>
          <w:color w:val="auto"/>
          <w:sz w:val="24"/>
          <w:highlight w:val="none"/>
          <w:u w:val="single"/>
        </w:rPr>
        <w:t xml:space="preserve">  详见设计合同  </w:t>
      </w:r>
      <w:r>
        <w:rPr>
          <w:rFonts w:hint="eastAsia" w:ascii="宋体" w:hAnsi="宋体" w:cs="宋体"/>
          <w:color w:val="auto"/>
          <w:sz w:val="24"/>
          <w:highlight w:val="none"/>
        </w:rPr>
        <w:t>；</w:t>
      </w:r>
    </w:p>
    <w:p w14:paraId="2C19831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 xml:space="preserve">   详见设计合同   </w:t>
      </w:r>
      <w:r>
        <w:rPr>
          <w:rFonts w:hint="eastAsia" w:ascii="宋体" w:hAnsi="宋体" w:cs="宋体"/>
          <w:color w:val="auto"/>
          <w:sz w:val="24"/>
          <w:highlight w:val="none"/>
        </w:rPr>
        <w:t>；</w:t>
      </w:r>
    </w:p>
    <w:p w14:paraId="43CD32A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电子信箱：</w:t>
      </w:r>
      <w:r>
        <w:rPr>
          <w:rFonts w:hint="eastAsia" w:ascii="宋体" w:hAnsi="宋体" w:cs="宋体"/>
          <w:color w:val="auto"/>
          <w:sz w:val="24"/>
          <w:highlight w:val="none"/>
          <w:u w:val="single"/>
        </w:rPr>
        <w:t xml:space="preserve">   详见设计合同  </w:t>
      </w:r>
      <w:r>
        <w:rPr>
          <w:rFonts w:hint="eastAsia" w:ascii="宋体" w:hAnsi="宋体" w:cs="宋体"/>
          <w:color w:val="auto"/>
          <w:sz w:val="24"/>
          <w:highlight w:val="none"/>
        </w:rPr>
        <w:t>；</w:t>
      </w:r>
    </w:p>
    <w:p w14:paraId="36BFE5A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通信地址：</w:t>
      </w:r>
      <w:r>
        <w:rPr>
          <w:rFonts w:hint="eastAsia" w:ascii="宋体" w:hAnsi="宋体" w:cs="宋体"/>
          <w:color w:val="auto"/>
          <w:sz w:val="24"/>
          <w:highlight w:val="none"/>
          <w:u w:val="single"/>
        </w:rPr>
        <w:t xml:space="preserve">   详见设计合同   </w:t>
      </w:r>
      <w:r>
        <w:rPr>
          <w:rFonts w:hint="eastAsia" w:ascii="宋体" w:hAnsi="宋体" w:cs="宋体"/>
          <w:color w:val="auto"/>
          <w:sz w:val="24"/>
          <w:highlight w:val="none"/>
        </w:rPr>
        <w:t>。</w:t>
      </w:r>
    </w:p>
    <w:p w14:paraId="21EA7B0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1.1.3 工程和设备</w:t>
      </w:r>
    </w:p>
    <w:p w14:paraId="72DC5FF3">
      <w:pPr>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rPr>
        <w:t>1.1.3.7 作为施工现场组成部分的其他场所包括：</w:t>
      </w:r>
      <w:r>
        <w:rPr>
          <w:rFonts w:hint="eastAsia" w:ascii="宋体" w:hAnsi="宋体" w:cs="宋体"/>
          <w:color w:val="auto"/>
          <w:sz w:val="24"/>
          <w:highlight w:val="none"/>
          <w:u w:val="single"/>
        </w:rPr>
        <w:t xml:space="preserve">项目部等    </w:t>
      </w:r>
      <w:r>
        <w:rPr>
          <w:rFonts w:hint="eastAsia" w:ascii="宋体" w:hAnsi="宋体" w:cs="宋体"/>
          <w:color w:val="auto"/>
          <w:sz w:val="24"/>
          <w:highlight w:val="none"/>
        </w:rPr>
        <w:t>。</w:t>
      </w:r>
    </w:p>
    <w:p w14:paraId="03F61C93">
      <w:pPr>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1.1.3.9 永久占地包括：</w:t>
      </w:r>
      <w:r>
        <w:rPr>
          <w:rFonts w:hint="eastAsia" w:ascii="宋体" w:hAnsi="宋体" w:cs="宋体"/>
          <w:color w:val="auto"/>
          <w:sz w:val="24"/>
          <w:highlight w:val="none"/>
          <w:u w:val="single"/>
        </w:rPr>
        <w:t xml:space="preserve">本工程规划红线内需占用的土地    </w:t>
      </w:r>
      <w:r>
        <w:rPr>
          <w:rFonts w:hint="eastAsia" w:ascii="宋体" w:hAnsi="宋体" w:cs="宋体"/>
          <w:color w:val="auto"/>
          <w:sz w:val="24"/>
          <w:highlight w:val="none"/>
        </w:rPr>
        <w:t>。</w:t>
      </w:r>
    </w:p>
    <w:p w14:paraId="49B999B8">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1.1.3.10 临时占地包括：</w:t>
      </w:r>
      <w:r>
        <w:rPr>
          <w:rFonts w:hint="eastAsia" w:ascii="宋体" w:hAnsi="宋体" w:cs="宋体"/>
          <w:color w:val="auto"/>
          <w:sz w:val="24"/>
          <w:highlight w:val="none"/>
          <w:u w:val="single"/>
        </w:rPr>
        <w:t xml:space="preserve">临时工人宿舍、实验室、材料堆放场、材料加工场及施工便道用地等 </w:t>
      </w:r>
      <w:r>
        <w:rPr>
          <w:rFonts w:hint="eastAsia" w:ascii="宋体" w:hAnsi="宋体" w:cs="宋体"/>
          <w:color w:val="auto"/>
          <w:kern w:val="0"/>
          <w:sz w:val="24"/>
          <w:highlight w:val="none"/>
        </w:rPr>
        <w:t>。</w:t>
      </w:r>
    </w:p>
    <w:p w14:paraId="2523FC9B">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1.3 法律</w:t>
      </w:r>
    </w:p>
    <w:p w14:paraId="7B1D346C">
      <w:pPr>
        <w:pStyle w:val="230"/>
        <w:autoSpaceDE w:val="0"/>
        <w:autoSpaceDN w:val="0"/>
        <w:adjustRightIn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适用于合同的其他规范性文件：</w:t>
      </w:r>
      <w:r>
        <w:rPr>
          <w:rFonts w:hint="eastAsia" w:ascii="宋体" w:hAnsi="宋体" w:cs="宋体"/>
          <w:color w:val="auto"/>
          <w:sz w:val="24"/>
          <w:szCs w:val="24"/>
          <w:highlight w:val="none"/>
          <w:u w:val="single"/>
        </w:rPr>
        <w:t xml:space="preserve">现行《中华人民共和国建筑法》、《中华人民共和国民法典》、《中华人民共和国招标投标法》、《建设工程质量管理条例》、《建筑施工合同管理办法》《建设工程安全生产管理条例》及省市地方建设工程的法律、法规等 </w:t>
      </w:r>
      <w:r>
        <w:rPr>
          <w:rFonts w:hint="eastAsia" w:ascii="宋体" w:hAnsi="宋体" w:cs="宋体"/>
          <w:color w:val="auto"/>
          <w:sz w:val="24"/>
          <w:szCs w:val="24"/>
          <w:highlight w:val="none"/>
        </w:rPr>
        <w:t>。</w:t>
      </w:r>
    </w:p>
    <w:p w14:paraId="766672DA">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1.4 标准和规范</w:t>
      </w:r>
    </w:p>
    <w:p w14:paraId="415FC24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1.4.1 适用于工程的标准规范包括：</w:t>
      </w:r>
      <w:r>
        <w:rPr>
          <w:rFonts w:hint="eastAsia" w:ascii="宋体" w:hAnsi="宋体" w:cs="宋体"/>
          <w:color w:val="auto"/>
          <w:sz w:val="24"/>
          <w:highlight w:val="none"/>
          <w:u w:val="single"/>
        </w:rPr>
        <w:t>国家现行有效的有关建设项目管理、施工、验收及保修等规范和标准，以及项目主管部门批准的文件。发包人根据本工程具体情况，依照国家有关标准制订的施工技术规定及验收办法。</w:t>
      </w:r>
    </w:p>
    <w:p w14:paraId="1F328902">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kern w:val="0"/>
          <w:sz w:val="24"/>
          <w:highlight w:val="none"/>
        </w:rPr>
        <w:t>1.4.2 发包人提供国外标准、规范的名称：</w:t>
      </w:r>
      <w:r>
        <w:rPr>
          <w:rFonts w:hint="eastAsia" w:ascii="宋体" w:hAnsi="宋体" w:cs="宋体"/>
          <w:color w:val="auto"/>
          <w:sz w:val="24"/>
          <w:highlight w:val="none"/>
          <w:u w:val="single"/>
        </w:rPr>
        <w:t xml:space="preserve">            无            </w:t>
      </w:r>
    </w:p>
    <w:p w14:paraId="0F80F95B">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发包人提供国外标准、规范的份数：</w:t>
      </w:r>
      <w:r>
        <w:rPr>
          <w:rFonts w:hint="eastAsia" w:ascii="宋体" w:hAnsi="宋体" w:cs="宋体"/>
          <w:color w:val="auto"/>
          <w:kern w:val="0"/>
          <w:sz w:val="24"/>
          <w:highlight w:val="none"/>
          <w:u w:val="single"/>
        </w:rPr>
        <w:t xml:space="preserve">             </w:t>
      </w:r>
      <w:r>
        <w:rPr>
          <w:rFonts w:hint="eastAsia" w:ascii="宋体" w:hAnsi="宋体" w:cs="宋体"/>
          <w:color w:val="auto"/>
          <w:sz w:val="24"/>
          <w:highlight w:val="none"/>
          <w:u w:val="single"/>
        </w:rPr>
        <w:t xml:space="preserve">  无</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2580BFA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发包人提供国外标准、规范的名称：</w:t>
      </w:r>
      <w:r>
        <w:rPr>
          <w:rFonts w:hint="eastAsia" w:ascii="宋体" w:hAnsi="宋体" w:cs="宋体"/>
          <w:color w:val="auto"/>
          <w:kern w:val="0"/>
          <w:sz w:val="24"/>
          <w:highlight w:val="none"/>
          <w:u w:val="single"/>
        </w:rPr>
        <w:t xml:space="preserve">          </w:t>
      </w:r>
      <w:r>
        <w:rPr>
          <w:rFonts w:hint="eastAsia" w:ascii="宋体" w:hAnsi="宋体" w:cs="宋体"/>
          <w:color w:val="auto"/>
          <w:sz w:val="24"/>
          <w:highlight w:val="none"/>
          <w:u w:val="single"/>
        </w:rPr>
        <w:t xml:space="preserve">  无</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4A4737D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1.4.3 发包人对工程的技术标准和功能要求的特殊要求：</w:t>
      </w:r>
      <w:r>
        <w:rPr>
          <w:rFonts w:hint="eastAsia" w:ascii="宋体" w:hAnsi="宋体" w:cs="宋体"/>
          <w:color w:val="auto"/>
          <w:kern w:val="0"/>
          <w:sz w:val="24"/>
          <w:highlight w:val="none"/>
          <w:u w:val="single"/>
        </w:rPr>
        <w:t xml:space="preserve">    </w:t>
      </w:r>
      <w:r>
        <w:rPr>
          <w:rFonts w:hint="eastAsia" w:ascii="宋体" w:hAnsi="宋体" w:cs="宋体"/>
          <w:color w:val="auto"/>
          <w:sz w:val="24"/>
          <w:highlight w:val="none"/>
          <w:u w:val="single"/>
        </w:rPr>
        <w:t xml:space="preserve">  无</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73BBF40C">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1.5 合同文件的优先顺序</w:t>
      </w:r>
    </w:p>
    <w:p w14:paraId="6A145C2E">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sz w:val="24"/>
          <w:highlight w:val="none"/>
        </w:rPr>
        <w:t>合同文件组成及优先顺序为：</w:t>
      </w:r>
    </w:p>
    <w:p w14:paraId="6CA31256">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（1）中标（成交）通知书（如果有）；</w:t>
      </w:r>
    </w:p>
    <w:p w14:paraId="5F540143">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（2）投标函及其附录（如果有）； </w:t>
      </w:r>
    </w:p>
    <w:p w14:paraId="61282FDE">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（3）专用合同条款及其附件；</w:t>
      </w:r>
    </w:p>
    <w:p w14:paraId="2CAE3E21">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（4）通用合同条款；</w:t>
      </w:r>
    </w:p>
    <w:p w14:paraId="7C025617">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（5）技术标准和要求；</w:t>
      </w:r>
    </w:p>
    <w:p w14:paraId="30BA1D5C">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（6）图纸；</w:t>
      </w:r>
    </w:p>
    <w:p w14:paraId="0AFC3021">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（7）已标价工程量清单或预算书；</w:t>
      </w:r>
    </w:p>
    <w:p w14:paraId="6D7D45D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（8）竞争性磋商文件及其附件（含所有补遗通知书和答疑）</w:t>
      </w:r>
    </w:p>
    <w:p w14:paraId="0C72E790">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（9）其他合同文件。</w:t>
      </w:r>
    </w:p>
    <w:p w14:paraId="5CF242A9">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417D39FA">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1.6 图纸和承包人文件</w:t>
      </w:r>
      <w:r>
        <w:rPr>
          <w:rFonts w:hint="eastAsia" w:ascii="宋体" w:hAnsi="宋体" w:cs="宋体"/>
          <w:color w:val="auto"/>
          <w:sz w:val="24"/>
          <w:szCs w:val="24"/>
          <w:highlight w:val="none"/>
        </w:rPr>
        <w:tab/>
      </w:r>
    </w:p>
    <w:p w14:paraId="60E352C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1.6.1 图纸的提供</w:t>
      </w:r>
    </w:p>
    <w:p w14:paraId="48442AE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发包人向承包人提供图纸的期限：</w:t>
      </w:r>
      <w:r>
        <w:rPr>
          <w:rFonts w:hint="eastAsia" w:ascii="宋体" w:hAnsi="宋体" w:cs="宋体"/>
          <w:color w:val="auto"/>
          <w:sz w:val="24"/>
          <w:highlight w:val="none"/>
          <w:u w:val="single"/>
        </w:rPr>
        <w:t xml:space="preserve">   签订合同后三天内      </w:t>
      </w:r>
      <w:r>
        <w:rPr>
          <w:rFonts w:hint="eastAsia" w:ascii="宋体" w:hAnsi="宋体" w:cs="宋体"/>
          <w:color w:val="auto"/>
          <w:sz w:val="24"/>
          <w:highlight w:val="none"/>
        </w:rPr>
        <w:t>；</w:t>
      </w:r>
    </w:p>
    <w:p w14:paraId="1499905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发包人向承包人提供图纸的数量：</w:t>
      </w:r>
      <w:r>
        <w:rPr>
          <w:rFonts w:hint="eastAsia" w:ascii="宋体" w:hAnsi="宋体" w:cs="宋体"/>
          <w:color w:val="auto"/>
          <w:sz w:val="24"/>
          <w:highlight w:val="none"/>
          <w:u w:val="single"/>
        </w:rPr>
        <w:t xml:space="preserve">  1  </w:t>
      </w:r>
      <w:r>
        <w:rPr>
          <w:rFonts w:hint="eastAsia" w:ascii="宋体" w:hAnsi="宋体" w:cs="宋体"/>
          <w:color w:val="auto"/>
          <w:sz w:val="24"/>
          <w:highlight w:val="none"/>
        </w:rPr>
        <w:t>套（承包人需要增加图纸套数的，自行复制）；</w:t>
      </w:r>
    </w:p>
    <w:p w14:paraId="2897A38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发包人向承包人提供图纸的内容：</w:t>
      </w:r>
      <w:r>
        <w:rPr>
          <w:rFonts w:hint="eastAsia" w:ascii="宋体" w:hAnsi="宋体" w:cs="宋体"/>
          <w:color w:val="auto"/>
          <w:sz w:val="24"/>
          <w:highlight w:val="none"/>
          <w:u w:val="single"/>
        </w:rPr>
        <w:t xml:space="preserve">   本合同发包内容中的全部图纸      </w:t>
      </w:r>
      <w:r>
        <w:rPr>
          <w:rFonts w:hint="eastAsia" w:ascii="宋体" w:hAnsi="宋体" w:cs="宋体"/>
          <w:color w:val="auto"/>
          <w:sz w:val="24"/>
          <w:highlight w:val="none"/>
        </w:rPr>
        <w:t>。</w:t>
      </w:r>
    </w:p>
    <w:p w14:paraId="07A0B75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1.6.4 承包人文件</w:t>
      </w:r>
    </w:p>
    <w:p w14:paraId="1217BA51">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需要由承包人提供的文件，包括：</w:t>
      </w:r>
      <w:r>
        <w:rPr>
          <w:rFonts w:hint="eastAsia" w:ascii="宋体" w:hAnsi="宋体" w:cs="宋体"/>
          <w:color w:val="auto"/>
          <w:sz w:val="24"/>
          <w:highlight w:val="none"/>
          <w:u w:val="single"/>
        </w:rPr>
        <w:t xml:space="preserve">   施工组织设计、进度计划书        </w:t>
      </w:r>
      <w:r>
        <w:rPr>
          <w:rFonts w:hint="eastAsia" w:ascii="宋体" w:hAnsi="宋体" w:cs="宋体"/>
          <w:color w:val="auto"/>
          <w:sz w:val="24"/>
          <w:highlight w:val="none"/>
        </w:rPr>
        <w:t>；</w:t>
      </w:r>
    </w:p>
    <w:p w14:paraId="4C53605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承包人提供的文件的期限为：</w:t>
      </w:r>
      <w:r>
        <w:rPr>
          <w:rFonts w:hint="eastAsia" w:ascii="宋体" w:hAnsi="宋体" w:cs="宋体"/>
          <w:color w:val="auto"/>
          <w:sz w:val="24"/>
          <w:highlight w:val="none"/>
          <w:u w:val="single"/>
        </w:rPr>
        <w:t xml:space="preserve">         构件开始施工前 14 天内         </w:t>
      </w:r>
      <w:r>
        <w:rPr>
          <w:rFonts w:hint="eastAsia" w:ascii="宋体" w:hAnsi="宋体" w:cs="宋体"/>
          <w:color w:val="auto"/>
          <w:sz w:val="24"/>
          <w:highlight w:val="none"/>
        </w:rPr>
        <w:t>；</w:t>
      </w:r>
    </w:p>
    <w:p w14:paraId="236A2E2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承包人提供的文件的数量为：</w:t>
      </w:r>
      <w:r>
        <w:rPr>
          <w:rFonts w:hint="eastAsia" w:ascii="宋体" w:hAnsi="宋体" w:cs="宋体"/>
          <w:color w:val="auto"/>
          <w:sz w:val="24"/>
          <w:highlight w:val="none"/>
          <w:u w:val="single"/>
        </w:rPr>
        <w:t xml:space="preserve">             6份               </w:t>
      </w:r>
      <w:r>
        <w:rPr>
          <w:rFonts w:hint="eastAsia" w:ascii="宋体" w:hAnsi="宋体" w:cs="宋体"/>
          <w:color w:val="auto"/>
          <w:sz w:val="24"/>
          <w:highlight w:val="none"/>
        </w:rPr>
        <w:t>；</w:t>
      </w:r>
    </w:p>
    <w:p w14:paraId="0251B45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承包人提供的文件的形式为：</w:t>
      </w:r>
      <w:r>
        <w:rPr>
          <w:rFonts w:hint="eastAsia" w:ascii="宋体" w:hAnsi="宋体" w:cs="宋体"/>
          <w:color w:val="auto"/>
          <w:sz w:val="24"/>
          <w:highlight w:val="none"/>
          <w:u w:val="single"/>
        </w:rPr>
        <w:t xml:space="preserve">                书面              </w:t>
      </w:r>
      <w:r>
        <w:rPr>
          <w:rFonts w:hint="eastAsia" w:ascii="宋体" w:hAnsi="宋体" w:cs="宋体"/>
          <w:color w:val="auto"/>
          <w:sz w:val="24"/>
          <w:highlight w:val="none"/>
        </w:rPr>
        <w:t>；</w:t>
      </w:r>
    </w:p>
    <w:p w14:paraId="52306F9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发包人审批承包人文件的期限：</w:t>
      </w:r>
      <w:r>
        <w:rPr>
          <w:rFonts w:hint="eastAsia" w:ascii="宋体" w:hAnsi="宋体" w:cs="宋体"/>
          <w:color w:val="auto"/>
          <w:sz w:val="24"/>
          <w:highlight w:val="none"/>
          <w:u w:val="single"/>
        </w:rPr>
        <w:t xml:space="preserve">   在承包人提供文件后7天内审定完毕    </w:t>
      </w:r>
      <w:r>
        <w:rPr>
          <w:rFonts w:hint="eastAsia" w:ascii="宋体" w:hAnsi="宋体" w:cs="宋体"/>
          <w:color w:val="auto"/>
          <w:sz w:val="24"/>
          <w:highlight w:val="none"/>
        </w:rPr>
        <w:t>。</w:t>
      </w:r>
    </w:p>
    <w:p w14:paraId="4D0AC98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1.6.5 现场图纸准备</w:t>
      </w:r>
    </w:p>
    <w:p w14:paraId="0BA2EF09">
      <w:pPr>
        <w:pStyle w:val="23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关于现场图纸准备的约定：</w:t>
      </w:r>
      <w:r>
        <w:rPr>
          <w:rFonts w:hint="eastAsia" w:ascii="宋体" w:hAnsi="宋体" w:cs="宋体"/>
          <w:color w:val="auto"/>
          <w:sz w:val="24"/>
          <w:szCs w:val="24"/>
          <w:highlight w:val="none"/>
          <w:u w:val="single"/>
        </w:rPr>
        <w:t xml:space="preserve">承包人应在施工现场另外保存一套完整的图纸和承包人文件，供发包人、监理人及有关人员进行工程检查时使用 </w:t>
      </w:r>
      <w:r>
        <w:rPr>
          <w:rFonts w:hint="eastAsia" w:ascii="宋体" w:hAnsi="宋体" w:cs="宋体"/>
          <w:color w:val="auto"/>
          <w:sz w:val="24"/>
          <w:szCs w:val="24"/>
          <w:highlight w:val="none"/>
        </w:rPr>
        <w:t>。</w:t>
      </w:r>
    </w:p>
    <w:p w14:paraId="1B8785B8">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1.7 联络</w:t>
      </w:r>
    </w:p>
    <w:p w14:paraId="1C4F88A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1.7.1发包人和承包人应当在</w:t>
      </w:r>
      <w:r>
        <w:rPr>
          <w:rFonts w:hint="eastAsia" w:ascii="宋体" w:hAnsi="宋体" w:cs="宋体"/>
          <w:color w:val="auto"/>
          <w:sz w:val="24"/>
          <w:highlight w:val="none"/>
          <w:u w:val="single"/>
        </w:rPr>
        <w:t xml:space="preserve">  3  </w:t>
      </w:r>
      <w:r>
        <w:rPr>
          <w:rFonts w:hint="eastAsia" w:ascii="宋体" w:hAnsi="宋体" w:cs="宋体"/>
          <w:color w:val="auto"/>
          <w:kern w:val="0"/>
          <w:sz w:val="24"/>
          <w:highlight w:val="none"/>
        </w:rPr>
        <w:t>天内将与合同有关的通知、批准、证明、证书、指示、指令、要求、请求、同意、意见、确定和决定等书面函件送达对方当事人。</w:t>
      </w:r>
    </w:p>
    <w:p w14:paraId="283B7F72">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1.7.2 发包人接收文件的地点：</w:t>
      </w:r>
      <w:r>
        <w:rPr>
          <w:rFonts w:hint="eastAsia" w:ascii="宋体" w:hAnsi="宋体" w:cs="宋体"/>
          <w:color w:val="auto"/>
          <w:sz w:val="24"/>
          <w:highlight w:val="none"/>
          <w:u w:val="single"/>
        </w:rPr>
        <w:t xml:space="preserve">       发包人办公室      </w:t>
      </w:r>
      <w:r>
        <w:rPr>
          <w:rFonts w:hint="eastAsia" w:ascii="宋体" w:hAnsi="宋体" w:cs="宋体"/>
          <w:color w:val="auto"/>
          <w:kern w:val="0"/>
          <w:sz w:val="24"/>
          <w:highlight w:val="none"/>
        </w:rPr>
        <w:t>；</w:t>
      </w:r>
    </w:p>
    <w:p w14:paraId="0D2DD11B">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发包人指定的接收人为：</w:t>
      </w:r>
      <w:r>
        <w:rPr>
          <w:rFonts w:hint="eastAsia" w:ascii="宋体" w:hAnsi="宋体" w:cs="宋体"/>
          <w:color w:val="auto"/>
          <w:sz w:val="24"/>
          <w:highlight w:val="none"/>
          <w:u w:val="single"/>
        </w:rPr>
        <w:t xml:space="preserve">           委派工程师            </w:t>
      </w:r>
      <w:r>
        <w:rPr>
          <w:rFonts w:hint="eastAsia" w:ascii="宋体" w:hAnsi="宋体" w:cs="宋体"/>
          <w:color w:val="auto"/>
          <w:kern w:val="0"/>
          <w:sz w:val="24"/>
          <w:highlight w:val="none"/>
        </w:rPr>
        <w:t>。</w:t>
      </w:r>
    </w:p>
    <w:p w14:paraId="2EA0D115">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承包人接收文件的地点：</w:t>
      </w:r>
      <w:r>
        <w:rPr>
          <w:rFonts w:hint="eastAsia" w:ascii="宋体" w:hAnsi="宋体" w:cs="宋体"/>
          <w:color w:val="auto"/>
          <w:sz w:val="24"/>
          <w:highlight w:val="none"/>
          <w:u w:val="single"/>
        </w:rPr>
        <w:t xml:space="preserve">          项目部办公室            </w:t>
      </w:r>
      <w:r>
        <w:rPr>
          <w:rFonts w:hint="eastAsia" w:ascii="宋体" w:hAnsi="宋体" w:cs="宋体"/>
          <w:color w:val="auto"/>
          <w:kern w:val="0"/>
          <w:sz w:val="24"/>
          <w:highlight w:val="none"/>
        </w:rPr>
        <w:t>；</w:t>
      </w:r>
    </w:p>
    <w:p w14:paraId="0300F480">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承包人指定的接收人为：</w:t>
      </w:r>
      <w:r>
        <w:rPr>
          <w:rFonts w:hint="eastAsia" w:ascii="宋体" w:hAnsi="宋体" w:cs="宋体"/>
          <w:color w:val="auto"/>
          <w:sz w:val="24"/>
          <w:highlight w:val="none"/>
          <w:u w:val="single"/>
        </w:rPr>
        <w:t xml:space="preserve">           项目经理             </w:t>
      </w:r>
      <w:r>
        <w:rPr>
          <w:rFonts w:hint="eastAsia" w:ascii="宋体" w:hAnsi="宋体" w:cs="宋体"/>
          <w:color w:val="auto"/>
          <w:kern w:val="0"/>
          <w:sz w:val="24"/>
          <w:highlight w:val="none"/>
        </w:rPr>
        <w:t>。</w:t>
      </w:r>
    </w:p>
    <w:p w14:paraId="347CAE6B">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监理人接收文件的地点：</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1D89EC4A">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监理人指定的接收人为：</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03E43B2E">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1.10 交通运输</w:t>
      </w:r>
    </w:p>
    <w:p w14:paraId="1458743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1.10.1 出入现场的权利</w:t>
      </w:r>
    </w:p>
    <w:p w14:paraId="7525563A">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关于出入现场的权利的约定：</w:t>
      </w:r>
      <w:r>
        <w:rPr>
          <w:rFonts w:hint="eastAsia" w:ascii="宋体" w:hAnsi="宋体" w:cs="宋体"/>
          <w:color w:val="auto"/>
          <w:sz w:val="24"/>
          <w:highlight w:val="none"/>
          <w:u w:val="single"/>
        </w:rPr>
        <w:t xml:space="preserve">发包人协助承包人取得出入施工现场所需的批准手续和全部权利，以及取得因施工所需修建道路、桥梁以及其他基础设施的权利，承包人承担相关手续费用和修建道路、桥梁以及其他基础设施的建设费用，此等费用无论承包人是否在投标报价中单独列支，发包人均认为此项费用包含在投标报价中，由承包人承担此等费用 </w:t>
      </w:r>
      <w:r>
        <w:rPr>
          <w:rFonts w:hint="eastAsia" w:ascii="宋体" w:hAnsi="宋体" w:cs="宋体"/>
          <w:color w:val="auto"/>
          <w:sz w:val="24"/>
          <w:highlight w:val="none"/>
        </w:rPr>
        <w:t>。</w:t>
      </w:r>
    </w:p>
    <w:p w14:paraId="17D8D7C1">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1.10.3 场内交通</w:t>
      </w:r>
    </w:p>
    <w:p w14:paraId="7BA33934">
      <w:pPr>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关于场外交通和场内交通的边界的约定：</w:t>
      </w:r>
      <w:r>
        <w:rPr>
          <w:rFonts w:hint="eastAsia" w:ascii="宋体" w:hAnsi="宋体" w:cs="宋体"/>
          <w:color w:val="auto"/>
          <w:sz w:val="24"/>
          <w:highlight w:val="none"/>
          <w:u w:val="single"/>
        </w:rPr>
        <w:t xml:space="preserve">     以设计红线范围为界     </w:t>
      </w:r>
      <w:r>
        <w:rPr>
          <w:rFonts w:hint="eastAsia" w:ascii="宋体" w:hAnsi="宋体" w:cs="宋体"/>
          <w:color w:val="auto"/>
          <w:sz w:val="24"/>
          <w:highlight w:val="none"/>
        </w:rPr>
        <w:t>。</w:t>
      </w:r>
    </w:p>
    <w:p w14:paraId="281E2E61">
      <w:pPr>
        <w:pStyle w:val="23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关于发包人向承包人免费提供满足工程施工需要的场内道路和交通设施的约定：</w:t>
      </w:r>
      <w:r>
        <w:rPr>
          <w:rFonts w:hint="eastAsia" w:ascii="宋体" w:hAnsi="宋体" w:cs="宋体"/>
          <w:color w:val="auto"/>
          <w:sz w:val="24"/>
          <w:szCs w:val="24"/>
          <w:highlight w:val="none"/>
          <w:u w:val="single"/>
        </w:rPr>
        <w:t xml:space="preserve">由承包人负责并承担相应费用  </w:t>
      </w:r>
      <w:r>
        <w:rPr>
          <w:rFonts w:hint="eastAsia" w:ascii="宋体" w:hAnsi="宋体" w:cs="宋体"/>
          <w:color w:val="auto"/>
          <w:sz w:val="24"/>
          <w:szCs w:val="24"/>
          <w:highlight w:val="none"/>
        </w:rPr>
        <w:t>。</w:t>
      </w:r>
    </w:p>
    <w:p w14:paraId="13EAE31C">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1.10.4 超大件和超重件的运输</w:t>
      </w:r>
    </w:p>
    <w:p w14:paraId="742E0196">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运输超大件或超重件所需的道路和桥梁临时加固改造费用和其他有关费用由</w:t>
      </w:r>
      <w:r>
        <w:rPr>
          <w:rFonts w:hint="eastAsia" w:ascii="宋体" w:hAnsi="宋体" w:cs="宋体"/>
          <w:color w:val="auto"/>
          <w:sz w:val="24"/>
          <w:highlight w:val="none"/>
          <w:u w:val="single"/>
        </w:rPr>
        <w:t xml:space="preserve">  承包人 </w:t>
      </w:r>
      <w:r>
        <w:rPr>
          <w:rFonts w:hint="eastAsia" w:ascii="宋体" w:hAnsi="宋体" w:cs="宋体"/>
          <w:color w:val="auto"/>
          <w:sz w:val="24"/>
          <w:highlight w:val="none"/>
        </w:rPr>
        <w:t>承担。</w:t>
      </w:r>
    </w:p>
    <w:p w14:paraId="5F1E365D">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1.11 知识产权</w:t>
      </w:r>
    </w:p>
    <w:p w14:paraId="2A172D8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auto"/>
          <w:sz w:val="24"/>
          <w:highlight w:val="none"/>
          <w:u w:val="single"/>
        </w:rPr>
        <w:t xml:space="preserve"> 发包人 </w:t>
      </w:r>
      <w:r>
        <w:rPr>
          <w:rFonts w:hint="eastAsia" w:ascii="宋体" w:hAnsi="宋体" w:cs="宋体"/>
          <w:color w:val="auto"/>
          <w:sz w:val="24"/>
          <w:highlight w:val="none"/>
        </w:rPr>
        <w:t>。</w:t>
      </w:r>
    </w:p>
    <w:p w14:paraId="71D2450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关于发包人提供的上述文件的使用限制的要求：</w:t>
      </w:r>
      <w:r>
        <w:rPr>
          <w:rFonts w:hint="eastAsia" w:ascii="宋体" w:hAnsi="宋体" w:cs="宋体"/>
          <w:color w:val="auto"/>
          <w:sz w:val="24"/>
          <w:highlight w:val="none"/>
          <w:u w:val="single"/>
        </w:rPr>
        <w:t xml:space="preserve"> 按《通用合同条款》1.11.1 条执行 </w:t>
      </w:r>
      <w:r>
        <w:rPr>
          <w:rFonts w:hint="eastAsia" w:ascii="宋体" w:hAnsi="宋体" w:cs="宋体"/>
          <w:color w:val="auto"/>
          <w:sz w:val="24"/>
          <w:highlight w:val="none"/>
        </w:rPr>
        <w:t>。</w:t>
      </w:r>
    </w:p>
    <w:p w14:paraId="1FC4916A">
      <w:pPr>
        <w:pStyle w:val="23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1.11.2 关于承包人为实施工程所编制文件的著作权的归属：</w:t>
      </w:r>
      <w:r>
        <w:rPr>
          <w:rFonts w:hint="eastAsia" w:ascii="宋体" w:hAnsi="宋体" w:cs="宋体"/>
          <w:color w:val="auto"/>
          <w:sz w:val="24"/>
          <w:szCs w:val="24"/>
          <w:highlight w:val="none"/>
          <w:u w:val="single"/>
        </w:rPr>
        <w:t xml:space="preserve">  除署名权以外的著作权属于发包人  </w:t>
      </w:r>
      <w:r>
        <w:rPr>
          <w:rFonts w:hint="eastAsia" w:ascii="宋体" w:hAnsi="宋体" w:cs="宋体"/>
          <w:color w:val="auto"/>
          <w:sz w:val="24"/>
          <w:szCs w:val="24"/>
          <w:highlight w:val="none"/>
        </w:rPr>
        <w:t>。</w:t>
      </w:r>
    </w:p>
    <w:p w14:paraId="422E5FA8">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关于承包人提供的上述文件的使用限制的要求：</w:t>
      </w:r>
      <w:r>
        <w:rPr>
          <w:rFonts w:hint="eastAsia" w:ascii="宋体" w:hAnsi="宋体" w:cs="宋体"/>
          <w:color w:val="auto"/>
          <w:sz w:val="24"/>
          <w:highlight w:val="none"/>
          <w:u w:val="single"/>
        </w:rPr>
        <w:t xml:space="preserve">  按《通用合同条款》1.11.2 条执行 </w:t>
      </w:r>
      <w:r>
        <w:rPr>
          <w:rFonts w:hint="eastAsia" w:ascii="宋体" w:hAnsi="宋体" w:cs="宋体"/>
          <w:color w:val="auto"/>
          <w:sz w:val="24"/>
          <w:highlight w:val="none"/>
        </w:rPr>
        <w:t>。</w:t>
      </w:r>
    </w:p>
    <w:p w14:paraId="0A76A6EB">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1.11.4 承包人在施工过程中所采用的专利、专有技术、技术秘密的使用费的承担方式：</w:t>
      </w:r>
    </w:p>
    <w:p w14:paraId="37391A07">
      <w:pPr>
        <w:spacing w:line="360" w:lineRule="auto"/>
        <w:rPr>
          <w:rFonts w:hint="eastAsia" w:ascii="宋体" w:hAnsi="宋体" w:cs="宋体"/>
          <w:color w:val="auto"/>
          <w:kern w:val="0"/>
          <w:sz w:val="24"/>
          <w:highlight w:val="none"/>
        </w:rPr>
      </w:pPr>
      <w:r>
        <w:rPr>
          <w:rFonts w:hint="eastAsia" w:ascii="宋体" w:hAnsi="宋体" w:cs="宋体"/>
          <w:color w:val="auto"/>
          <w:sz w:val="24"/>
          <w:highlight w:val="none"/>
          <w:u w:val="single"/>
        </w:rPr>
        <w:t xml:space="preserve">承包人在合同签订前和签订时已确定采用的专利、专有技术、技术秘密的使用费已包含在签约合同价中 </w:t>
      </w:r>
      <w:r>
        <w:rPr>
          <w:rFonts w:hint="eastAsia" w:ascii="宋体" w:hAnsi="宋体" w:cs="宋体"/>
          <w:color w:val="auto"/>
          <w:kern w:val="0"/>
          <w:sz w:val="24"/>
          <w:highlight w:val="none"/>
        </w:rPr>
        <w:t>。</w:t>
      </w:r>
    </w:p>
    <w:p w14:paraId="03D87FD6">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1.13工程量清单错误的修正</w:t>
      </w:r>
    </w:p>
    <w:p w14:paraId="6B56EBE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出现工程量清单工程量偏差时，是否调整合同价格：</w:t>
      </w:r>
      <w:r>
        <w:rPr>
          <w:rFonts w:hint="eastAsia" w:ascii="宋体" w:hAnsi="宋体" w:cs="宋体"/>
          <w:color w:val="auto"/>
          <w:sz w:val="24"/>
          <w:highlight w:val="none"/>
          <w:u w:val="single"/>
        </w:rPr>
        <w:t>☑是  □否</w:t>
      </w:r>
      <w:r>
        <w:rPr>
          <w:rFonts w:hint="eastAsia" w:ascii="宋体" w:hAnsi="宋体" w:cs="宋体"/>
          <w:color w:val="auto"/>
          <w:kern w:val="0"/>
          <w:sz w:val="24"/>
          <w:highlight w:val="none"/>
        </w:rPr>
        <w:t>。</w:t>
      </w:r>
    </w:p>
    <w:p w14:paraId="1DDF33E5">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允许调整合同价格的工程量偏差范围及其调整办法：</w:t>
      </w:r>
      <w:r>
        <w:rPr>
          <w:rFonts w:hint="eastAsia" w:ascii="宋体" w:hAnsi="宋体" w:cs="宋体"/>
          <w:color w:val="auto"/>
          <w:sz w:val="24"/>
          <w:highlight w:val="none"/>
          <w:u w:val="single"/>
        </w:rPr>
        <w:t>本工程采用固定综合单价合同，工程量按实际工程量，价格调整按照专用条款11.1执行</w:t>
      </w:r>
    </w:p>
    <w:p w14:paraId="50C670E1">
      <w:pPr>
        <w:pStyle w:val="4"/>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 发包人</w:t>
      </w:r>
    </w:p>
    <w:p w14:paraId="3788EB2C">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2.2 发包人代表</w:t>
      </w:r>
    </w:p>
    <w:p w14:paraId="23D55D5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发包人代表：</w:t>
      </w:r>
    </w:p>
    <w:p w14:paraId="3BFB579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    </w:t>
      </w:r>
      <w:r>
        <w:rPr>
          <w:rFonts w:hint="eastAsia" w:ascii="宋体" w:hAnsi="宋体" w:cs="宋体"/>
          <w:color w:val="auto"/>
          <w:sz w:val="24"/>
          <w:highlight w:val="none"/>
        </w:rPr>
        <w:t>；</w:t>
      </w:r>
    </w:p>
    <w:p w14:paraId="08CBDFD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身份证号：</w:t>
      </w:r>
      <w:r>
        <w:rPr>
          <w:rFonts w:hint="eastAsia" w:ascii="宋体" w:hAnsi="宋体" w:cs="宋体"/>
          <w:color w:val="auto"/>
          <w:sz w:val="24"/>
          <w:highlight w:val="none"/>
          <w:u w:val="single"/>
        </w:rPr>
        <w:t>      </w:t>
      </w:r>
      <w:r>
        <w:rPr>
          <w:rFonts w:hint="eastAsia" w:ascii="宋体" w:hAnsi="宋体" w:cs="宋体"/>
          <w:color w:val="auto"/>
          <w:sz w:val="24"/>
          <w:highlight w:val="none"/>
        </w:rPr>
        <w:t>；</w:t>
      </w:r>
    </w:p>
    <w:p w14:paraId="33CCB39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职    务：</w:t>
      </w:r>
      <w:r>
        <w:rPr>
          <w:rFonts w:hint="eastAsia" w:ascii="宋体" w:hAnsi="宋体" w:cs="宋体"/>
          <w:color w:val="auto"/>
          <w:sz w:val="24"/>
          <w:highlight w:val="none"/>
          <w:u w:val="single"/>
        </w:rPr>
        <w:t>    </w:t>
      </w:r>
      <w:r>
        <w:rPr>
          <w:rFonts w:hint="eastAsia" w:ascii="宋体" w:hAnsi="宋体" w:cs="宋体"/>
          <w:color w:val="auto"/>
          <w:sz w:val="24"/>
          <w:highlight w:val="none"/>
        </w:rPr>
        <w:t>；</w:t>
      </w:r>
    </w:p>
    <w:p w14:paraId="584DBE1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     </w:t>
      </w:r>
      <w:r>
        <w:rPr>
          <w:rFonts w:hint="eastAsia" w:ascii="宋体" w:hAnsi="宋体" w:cs="宋体"/>
          <w:color w:val="auto"/>
          <w:sz w:val="24"/>
          <w:highlight w:val="none"/>
        </w:rPr>
        <w:t>；</w:t>
      </w:r>
    </w:p>
    <w:p w14:paraId="4D3145D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电子信箱：</w:t>
      </w:r>
      <w:r>
        <w:rPr>
          <w:rFonts w:hint="eastAsia" w:ascii="宋体" w:hAnsi="宋体" w:cs="宋体"/>
          <w:color w:val="auto"/>
          <w:sz w:val="24"/>
          <w:highlight w:val="none"/>
          <w:u w:val="single"/>
        </w:rPr>
        <w:t>     </w:t>
      </w:r>
      <w:r>
        <w:rPr>
          <w:rFonts w:hint="eastAsia" w:ascii="宋体" w:hAnsi="宋体" w:cs="宋体"/>
          <w:color w:val="auto"/>
          <w:sz w:val="24"/>
          <w:highlight w:val="none"/>
        </w:rPr>
        <w:t>；</w:t>
      </w:r>
    </w:p>
    <w:p w14:paraId="6BBBCB7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通信地址：</w:t>
      </w:r>
      <w:r>
        <w:rPr>
          <w:rFonts w:hint="eastAsia" w:ascii="宋体" w:hAnsi="宋体" w:cs="宋体"/>
          <w:color w:val="auto"/>
          <w:sz w:val="24"/>
          <w:highlight w:val="none"/>
          <w:u w:val="single"/>
        </w:rPr>
        <w:t>    </w:t>
      </w:r>
      <w:r>
        <w:rPr>
          <w:rFonts w:hint="eastAsia" w:ascii="宋体" w:hAnsi="宋体" w:cs="宋体"/>
          <w:color w:val="auto"/>
          <w:sz w:val="24"/>
          <w:highlight w:val="none"/>
        </w:rPr>
        <w:t>。</w:t>
      </w:r>
    </w:p>
    <w:p w14:paraId="44A28081">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发包人对发包人代表的授权范围如下：</w:t>
      </w:r>
      <w:r>
        <w:rPr>
          <w:rFonts w:hint="eastAsia" w:ascii="宋体" w:hAnsi="宋体" w:cs="宋体"/>
          <w:color w:val="auto"/>
          <w:sz w:val="24"/>
          <w:highlight w:val="none"/>
          <w:u w:val="single"/>
        </w:rPr>
        <w:t xml:space="preserve">（1）对承包人的工作进行监督、检查；（2）按照合同约定，代表发包人履行其权利和义务；（3）协调有关政府主管部门。 </w:t>
      </w:r>
    </w:p>
    <w:p w14:paraId="6240D9B5">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2.4 施工现场、施工条件和基础资料的提供</w:t>
      </w:r>
    </w:p>
    <w:p w14:paraId="2E2FB2A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2.4.1 提供施工现场</w:t>
      </w:r>
    </w:p>
    <w:p w14:paraId="7ED4BE21">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关于发包人移交施工现场的期限要求：</w:t>
      </w:r>
      <w:r>
        <w:rPr>
          <w:rFonts w:hint="eastAsia" w:ascii="宋体" w:hAnsi="宋体" w:cs="宋体"/>
          <w:color w:val="auto"/>
          <w:sz w:val="24"/>
          <w:highlight w:val="none"/>
          <w:u w:val="single"/>
        </w:rPr>
        <w:t xml:space="preserve">     开工7日前移交         </w:t>
      </w:r>
      <w:r>
        <w:rPr>
          <w:rFonts w:hint="eastAsia" w:ascii="宋体" w:hAnsi="宋体" w:cs="宋体"/>
          <w:color w:val="auto"/>
          <w:sz w:val="24"/>
          <w:highlight w:val="none"/>
        </w:rPr>
        <w:t>。</w:t>
      </w:r>
    </w:p>
    <w:p w14:paraId="219E998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2.4.2 提供施工条件</w:t>
      </w:r>
    </w:p>
    <w:p w14:paraId="5A68CDCE">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关于发包人应负责提供施工所需要的条件，包括：</w:t>
      </w:r>
      <w:r>
        <w:rPr>
          <w:rFonts w:hint="eastAsia" w:ascii="宋体" w:hAnsi="宋体" w:cs="宋体"/>
          <w:color w:val="auto"/>
          <w:sz w:val="24"/>
          <w:highlight w:val="none"/>
          <w:u w:val="single"/>
        </w:rPr>
        <w:t xml:space="preserve">   施工所需电接点和水接点由发包人提供，接点至施工现场段管道/管线、计量设备由承包人自行解决，电讯线路的开通由承包人自行解决并承担费用；承包人使用的水、电、通讯费用由承包人负责。若供电部门的原因造成停电，承包人必须自行解决施工用电，费用由承包人负责 </w:t>
      </w:r>
      <w:r>
        <w:rPr>
          <w:rFonts w:hint="eastAsia" w:ascii="宋体" w:hAnsi="宋体" w:cs="宋体"/>
          <w:color w:val="auto"/>
          <w:sz w:val="24"/>
          <w:highlight w:val="none"/>
        </w:rPr>
        <w:t>。</w:t>
      </w:r>
    </w:p>
    <w:p w14:paraId="10DF778F">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2.5 资金来源证明及支付担保</w:t>
      </w:r>
    </w:p>
    <w:p w14:paraId="18EE19C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发包人提供资金来源证明的期限要求：</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484E9830">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发包人是否提供支付担保：</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078C5F5E">
      <w:pPr>
        <w:pStyle w:val="4"/>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 承包人</w:t>
      </w:r>
    </w:p>
    <w:p w14:paraId="2C98DE75">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3.1 承包人的一般义务</w:t>
      </w:r>
    </w:p>
    <w:p w14:paraId="29980924">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（9）</w:t>
      </w:r>
      <w:r>
        <w:rPr>
          <w:rFonts w:hint="eastAsia" w:ascii="宋体" w:hAnsi="宋体" w:cs="宋体"/>
          <w:color w:val="auto"/>
          <w:sz w:val="24"/>
          <w:highlight w:val="none"/>
        </w:rPr>
        <w:t>承包人提交的竣工资料的内容：</w:t>
      </w:r>
    </w:p>
    <w:p w14:paraId="3B02F8D4">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u w:val="single"/>
        </w:rPr>
        <w:t xml:space="preserve"> 提供符合法律规定和合同约定及工程所在地行政质检监督部门要求的竣工图及竣工资料  </w:t>
      </w:r>
      <w:r>
        <w:rPr>
          <w:rFonts w:hint="eastAsia" w:ascii="宋体" w:hAnsi="宋体" w:cs="宋体"/>
          <w:color w:val="auto"/>
          <w:sz w:val="24"/>
          <w:highlight w:val="none"/>
        </w:rPr>
        <w:t>。</w:t>
      </w:r>
    </w:p>
    <w:p w14:paraId="1DB687D5">
      <w:pPr>
        <w:pStyle w:val="23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承包人需要提交的竣工资料套数：</w:t>
      </w:r>
      <w:r>
        <w:rPr>
          <w:rFonts w:hint="eastAsia" w:ascii="宋体" w:hAnsi="宋体" w:cs="宋体"/>
          <w:color w:val="auto"/>
          <w:sz w:val="24"/>
          <w:szCs w:val="24"/>
          <w:highlight w:val="none"/>
          <w:u w:val="single"/>
        </w:rPr>
        <w:t xml:space="preserve"> 六套竣工图、六套竣工资料和电子版竣工图及资料光盘贰张</w:t>
      </w:r>
      <w:r>
        <w:rPr>
          <w:rFonts w:hint="eastAsia" w:ascii="宋体" w:hAnsi="宋体" w:cs="宋体"/>
          <w:color w:val="auto"/>
          <w:sz w:val="24"/>
          <w:szCs w:val="24"/>
          <w:highlight w:val="none"/>
        </w:rPr>
        <w:t>。</w:t>
      </w:r>
    </w:p>
    <w:p w14:paraId="71307BD5">
      <w:pPr>
        <w:spacing w:line="360" w:lineRule="auto"/>
        <w:ind w:left="424" w:leftChars="202"/>
        <w:jc w:val="left"/>
        <w:rPr>
          <w:rFonts w:hint="eastAsia" w:ascii="宋体" w:hAnsi="宋体" w:cs="宋体"/>
          <w:color w:val="auto"/>
          <w:sz w:val="24"/>
          <w:highlight w:val="none"/>
        </w:rPr>
      </w:pPr>
      <w:r>
        <w:rPr>
          <w:rFonts w:hint="eastAsia" w:ascii="宋体" w:hAnsi="宋体" w:cs="宋体"/>
          <w:color w:val="auto"/>
          <w:sz w:val="24"/>
          <w:highlight w:val="none"/>
        </w:rPr>
        <w:t>承包人提交的竣工资料的费用承担：</w:t>
      </w:r>
      <w:r>
        <w:rPr>
          <w:rFonts w:hint="eastAsia" w:ascii="宋体" w:hAnsi="宋体" w:cs="宋体"/>
          <w:color w:val="auto"/>
          <w:sz w:val="24"/>
          <w:highlight w:val="none"/>
          <w:u w:val="single"/>
        </w:rPr>
        <w:t xml:space="preserve">  由承包人承担 </w:t>
      </w:r>
      <w:r>
        <w:rPr>
          <w:rFonts w:hint="eastAsia" w:ascii="宋体" w:hAnsi="宋体" w:cs="宋体"/>
          <w:color w:val="auto"/>
          <w:sz w:val="24"/>
          <w:highlight w:val="none"/>
        </w:rPr>
        <w:t>。</w:t>
      </w:r>
    </w:p>
    <w:p w14:paraId="52C0E2EC">
      <w:pPr>
        <w:spacing w:line="360" w:lineRule="auto"/>
        <w:ind w:left="424" w:leftChars="202"/>
        <w:jc w:val="left"/>
        <w:rPr>
          <w:rFonts w:hint="eastAsia" w:ascii="宋体" w:hAnsi="宋体" w:cs="宋体"/>
          <w:color w:val="auto"/>
          <w:sz w:val="24"/>
          <w:highlight w:val="none"/>
        </w:rPr>
      </w:pPr>
      <w:r>
        <w:rPr>
          <w:rFonts w:hint="eastAsia" w:ascii="宋体" w:hAnsi="宋体" w:cs="宋体"/>
          <w:color w:val="auto"/>
          <w:sz w:val="24"/>
          <w:highlight w:val="none"/>
        </w:rPr>
        <w:t>承包人提交的竣工资料移交时间：</w:t>
      </w:r>
      <w:r>
        <w:rPr>
          <w:rFonts w:hint="eastAsia" w:ascii="宋体" w:hAnsi="宋体" w:cs="宋体"/>
          <w:color w:val="auto"/>
          <w:sz w:val="24"/>
          <w:highlight w:val="none"/>
          <w:u w:val="single"/>
        </w:rPr>
        <w:t xml:space="preserve">    竣工验收前   </w:t>
      </w:r>
      <w:r>
        <w:rPr>
          <w:rFonts w:hint="eastAsia" w:ascii="宋体" w:hAnsi="宋体" w:cs="宋体"/>
          <w:color w:val="auto"/>
          <w:sz w:val="24"/>
          <w:highlight w:val="none"/>
        </w:rPr>
        <w:t>。</w:t>
      </w:r>
    </w:p>
    <w:p w14:paraId="0E75A01B">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承包人提交的竣工资料形式要求：</w:t>
      </w:r>
      <w:r>
        <w:rPr>
          <w:rFonts w:hint="eastAsia" w:ascii="宋体" w:hAnsi="宋体" w:cs="宋体"/>
          <w:color w:val="auto"/>
          <w:sz w:val="24"/>
          <w:highlight w:val="none"/>
          <w:u w:val="single"/>
        </w:rPr>
        <w:t xml:space="preserve">        书面形式和电子文件    </w:t>
      </w:r>
      <w:r>
        <w:rPr>
          <w:rFonts w:hint="eastAsia" w:ascii="宋体" w:hAnsi="宋体" w:cs="宋体"/>
          <w:color w:val="auto"/>
          <w:sz w:val="24"/>
          <w:highlight w:val="none"/>
        </w:rPr>
        <w:t>。</w:t>
      </w:r>
    </w:p>
    <w:p w14:paraId="02C0CB9D">
      <w:pPr>
        <w:pStyle w:val="230"/>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kern w:val="0"/>
          <w:sz w:val="24"/>
          <w:szCs w:val="24"/>
          <w:highlight w:val="none"/>
        </w:rPr>
        <w:t>（10）承包人应履行的其他义务：</w:t>
      </w:r>
      <w:r>
        <w:rPr>
          <w:rFonts w:hint="eastAsia" w:ascii="宋体" w:hAnsi="宋体" w:cs="宋体"/>
          <w:color w:val="auto"/>
          <w:sz w:val="24"/>
          <w:szCs w:val="24"/>
          <w:highlight w:val="none"/>
          <w:u w:val="single"/>
        </w:rPr>
        <w:t xml:space="preserve"> ①承包人应按发包人的指令，完成发包人要求的对工程内容的任何增加和删减。③承包人应按照政府相关规定，建立健全的雇员工资发放和劳动保障制度。如因雇员的工资发放和劳动保障制度不健全而引发纠纷，导致民工围堵发包人等的，发包人有权解除合同，并要求承包人退场并赔偿发包人的经济损失。④承包人使用的临时用水、临时用电等设施在合同执行期间，如发包人要求为与本合同相关的其他承包人提供分表接口的，承包人应予无条件同意。⑤如承包人进入居民住宅区施工，做好现场安全文明施工及已有成品保护工作。现场运输材料、堆放材料等造成的路面的污染，承包人应该有专人负责跟踪打扫；居民住宅区的绿化、市政等公用设施做好施工期间的保护工作；现场施工及生活产生的垃圾应该每天有人清除；不允许在园区道路上搅拌砼及砂浆。⑥必须遵守居民社区的相关制度,服从工程所在地行业行政主管部门对施工现场生活区、作业区、办公区的市政管理、施工现场管理、卫生管理等规定。</w:t>
      </w:r>
    </w:p>
    <w:p w14:paraId="08763466">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3.2 项目经理</w:t>
      </w:r>
    </w:p>
    <w:p w14:paraId="73E3DBE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 xml:space="preserve">3.2.1 </w:t>
      </w:r>
      <w:r>
        <w:rPr>
          <w:rFonts w:hint="eastAsia" w:ascii="宋体" w:hAnsi="宋体" w:cs="宋体"/>
          <w:color w:val="auto"/>
          <w:sz w:val="24"/>
          <w:highlight w:val="none"/>
        </w:rPr>
        <w:t>项目经理：</w:t>
      </w:r>
    </w:p>
    <w:p w14:paraId="0BCF189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w:t>
      </w:r>
      <w:r>
        <w:rPr>
          <w:rFonts w:hint="eastAsia" w:ascii="宋体" w:hAnsi="宋体" w:cs="宋体"/>
          <w:color w:val="auto"/>
          <w:sz w:val="24"/>
          <w:highlight w:val="none"/>
        </w:rPr>
        <w:t>；</w:t>
      </w:r>
    </w:p>
    <w:p w14:paraId="020EFC1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身份证号：</w:t>
      </w:r>
      <w:r>
        <w:rPr>
          <w:rFonts w:hint="eastAsia" w:ascii="宋体" w:hAnsi="宋体" w:cs="宋体"/>
          <w:color w:val="auto"/>
          <w:sz w:val="24"/>
          <w:highlight w:val="none"/>
          <w:u w:val="single"/>
        </w:rPr>
        <w:t> </w:t>
      </w:r>
      <w:r>
        <w:rPr>
          <w:rFonts w:hint="eastAsia" w:ascii="宋体" w:hAnsi="宋体" w:cs="宋体"/>
          <w:color w:val="auto"/>
          <w:sz w:val="24"/>
          <w:highlight w:val="none"/>
        </w:rPr>
        <w:t>；</w:t>
      </w:r>
    </w:p>
    <w:p w14:paraId="07FDC96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建造师执业资格等级：</w:t>
      </w:r>
      <w:r>
        <w:rPr>
          <w:rFonts w:hint="eastAsia" w:ascii="宋体" w:hAnsi="宋体" w:cs="宋体"/>
          <w:color w:val="auto"/>
          <w:sz w:val="24"/>
          <w:highlight w:val="none"/>
          <w:u w:val="single"/>
        </w:rPr>
        <w:t> </w:t>
      </w:r>
      <w:r>
        <w:rPr>
          <w:rFonts w:hint="eastAsia" w:ascii="宋体" w:hAnsi="宋体" w:cs="宋体"/>
          <w:color w:val="auto"/>
          <w:sz w:val="24"/>
          <w:highlight w:val="none"/>
        </w:rPr>
        <w:t>；</w:t>
      </w:r>
    </w:p>
    <w:p w14:paraId="2364B98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建造师注册证书号：</w:t>
      </w:r>
      <w:r>
        <w:rPr>
          <w:rFonts w:hint="eastAsia" w:ascii="宋体" w:hAnsi="宋体" w:cs="宋体"/>
          <w:color w:val="auto"/>
          <w:sz w:val="24"/>
          <w:highlight w:val="none"/>
          <w:u w:val="single"/>
        </w:rPr>
        <w:t> </w:t>
      </w:r>
      <w:r>
        <w:rPr>
          <w:rFonts w:hint="eastAsia" w:ascii="宋体" w:hAnsi="宋体" w:cs="宋体"/>
          <w:color w:val="auto"/>
          <w:sz w:val="24"/>
          <w:highlight w:val="none"/>
        </w:rPr>
        <w:t>；</w:t>
      </w:r>
    </w:p>
    <w:p w14:paraId="560B068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安全生产考核合格证书号：</w:t>
      </w:r>
      <w:r>
        <w:rPr>
          <w:rFonts w:hint="eastAsia" w:ascii="宋体" w:hAnsi="宋体" w:cs="宋体"/>
          <w:color w:val="auto"/>
          <w:sz w:val="24"/>
          <w:highlight w:val="none"/>
          <w:u w:val="single"/>
        </w:rPr>
        <w:t> </w:t>
      </w:r>
      <w:r>
        <w:rPr>
          <w:rFonts w:hint="eastAsia" w:ascii="宋体" w:hAnsi="宋体" w:cs="宋体"/>
          <w:color w:val="auto"/>
          <w:sz w:val="24"/>
          <w:highlight w:val="none"/>
        </w:rPr>
        <w:t>；</w:t>
      </w:r>
    </w:p>
    <w:p w14:paraId="17E45B79">
      <w:pPr>
        <w:pStyle w:val="244"/>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联系电话：</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w:t>
      </w:r>
    </w:p>
    <w:p w14:paraId="59B3E7A9">
      <w:pPr>
        <w:pStyle w:val="244"/>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电子信箱：</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w:t>
      </w:r>
    </w:p>
    <w:p w14:paraId="65528383">
      <w:pPr>
        <w:pStyle w:val="23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通信地址：</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w:t>
      </w:r>
    </w:p>
    <w:p w14:paraId="1EF8F7DE">
      <w:pPr>
        <w:pStyle w:val="23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承包人对项目经理的授权范围如下：  </w:t>
      </w:r>
      <w:r>
        <w:rPr>
          <w:rFonts w:hint="eastAsia" w:ascii="宋体" w:hAnsi="宋体" w:cs="宋体"/>
          <w:color w:val="auto"/>
          <w:sz w:val="24"/>
          <w:szCs w:val="24"/>
          <w:highlight w:val="none"/>
          <w:u w:val="single"/>
        </w:rPr>
        <w:t xml:space="preserve">项目经理为承包人法定代表人在该项目上的代表人，负责本工程施工过程的一切事务，项目经理仅限于本工程的现场施工管理，未经承包人签字盖章同意不得以承包人名义代收工程款、变更合同约定、向外采购材料设备、租用建筑周围材料、雇佣劳动力、签订分包合同等一切为承包人设立义务或责任的行为 </w:t>
      </w:r>
      <w:r>
        <w:rPr>
          <w:rFonts w:hint="eastAsia" w:ascii="宋体" w:hAnsi="宋体" w:cs="宋体"/>
          <w:color w:val="auto"/>
          <w:sz w:val="24"/>
          <w:szCs w:val="24"/>
          <w:highlight w:val="none"/>
        </w:rPr>
        <w:t>。</w:t>
      </w:r>
    </w:p>
    <w:p w14:paraId="2FBCF357">
      <w:pPr>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关于项目经理每月在施工现场的时间要求：</w:t>
      </w:r>
      <w:r>
        <w:rPr>
          <w:rFonts w:hint="eastAsia" w:ascii="宋体" w:hAnsi="宋体" w:cs="宋体"/>
          <w:color w:val="auto"/>
          <w:sz w:val="24"/>
          <w:highlight w:val="none"/>
          <w:u w:val="single"/>
        </w:rPr>
        <w:t>项目经理不少于 24 日历天，未达到的每少一天罚1000元，按月考核， 发包人可从应向承包人支付的款项中扣除此项违约金或其他方式回收此款；项目经理不到位累计达 5 天的，发包人及监理人给予警告，累计达 10 天及以上的，发包人有权终止合同，由此引起的损失由承包人承担</w:t>
      </w:r>
      <w:r>
        <w:rPr>
          <w:rFonts w:hint="eastAsia" w:ascii="宋体" w:hAnsi="宋体" w:cs="宋体"/>
          <w:color w:val="auto"/>
          <w:sz w:val="24"/>
          <w:highlight w:val="none"/>
        </w:rPr>
        <w:t>。</w:t>
      </w:r>
    </w:p>
    <w:p w14:paraId="68790C5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承包人未提交劳动合同，以及没有为项目经理缴纳社会保险证明的违约责任：</w:t>
      </w:r>
      <w:r>
        <w:rPr>
          <w:rFonts w:hint="eastAsia" w:ascii="宋体" w:hAnsi="宋体" w:cs="宋体"/>
          <w:color w:val="auto"/>
          <w:sz w:val="24"/>
          <w:highlight w:val="none"/>
          <w:u w:val="single"/>
        </w:rPr>
        <w:t xml:space="preserve"> 由承包人自行承担相关责任</w:t>
      </w:r>
      <w:r>
        <w:rPr>
          <w:rFonts w:hint="eastAsia" w:ascii="宋体" w:hAnsi="宋体" w:cs="宋体"/>
          <w:color w:val="auto"/>
          <w:sz w:val="24"/>
          <w:highlight w:val="none"/>
        </w:rPr>
        <w:t>。</w:t>
      </w:r>
    </w:p>
    <w:p w14:paraId="386354B8">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kern w:val="0"/>
          <w:sz w:val="24"/>
          <w:highlight w:val="none"/>
        </w:rPr>
        <w:t>项目经理未经批准，擅自离开施工现场的违约责任：</w:t>
      </w:r>
      <w:r>
        <w:rPr>
          <w:rFonts w:hint="eastAsia" w:ascii="宋体" w:hAnsi="宋体" w:cs="宋体"/>
          <w:color w:val="auto"/>
          <w:sz w:val="24"/>
          <w:highlight w:val="none"/>
          <w:u w:val="single"/>
        </w:rPr>
        <w:t xml:space="preserve">项目经理每月在岗带班时间不得少于当月施工时间的80%。未经发包人同意或正当理由，项目经理每月在岗带班时间少于当月施工时间80%的，少在岗带班一天，发包人有权处违约金1000元/日（人民币）  </w:t>
      </w:r>
      <w:r>
        <w:rPr>
          <w:rFonts w:hint="eastAsia" w:ascii="宋体" w:hAnsi="宋体" w:cs="宋体"/>
          <w:color w:val="auto"/>
          <w:sz w:val="24"/>
          <w:highlight w:val="none"/>
        </w:rPr>
        <w:t>。</w:t>
      </w:r>
    </w:p>
    <w:p w14:paraId="36C1C402">
      <w:pPr>
        <w:adjustRightInd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3.2.3 承包人擅自更换项目经理的违约责任：</w:t>
      </w:r>
      <w:r>
        <w:rPr>
          <w:rFonts w:hint="eastAsia" w:ascii="宋体" w:hAnsi="宋体" w:cs="宋体"/>
          <w:color w:val="auto"/>
          <w:sz w:val="24"/>
          <w:highlight w:val="none"/>
          <w:u w:val="single"/>
        </w:rPr>
        <w:t>承包人项目经理必须与承包人投标时所承诺的人员一致，并在开工日期前到</w:t>
      </w:r>
      <w:r>
        <w:rPr>
          <w:rFonts w:hint="eastAsia" w:ascii="宋体" w:hAnsi="宋体" w:cs="宋体"/>
          <w:color w:val="auto"/>
          <w:sz w:val="24"/>
          <w:highlight w:val="none"/>
        </w:rPr>
        <w:t xml:space="preserve">任。在监理人向承包人颁发 </w:t>
      </w:r>
      <w:r>
        <w:rPr>
          <w:rFonts w:hint="eastAsia" w:ascii="宋体" w:hAnsi="宋体" w:cs="宋体"/>
          <w:color w:val="auto"/>
          <w:sz w:val="24"/>
          <w:highlight w:val="none"/>
          <w:u w:val="single"/>
        </w:rPr>
        <w:t xml:space="preserve">   （竣工证明材料名称）   </w:t>
      </w:r>
      <w:r>
        <w:rPr>
          <w:rFonts w:hint="eastAsia" w:ascii="宋体" w:hAnsi="宋体" w:cs="宋体"/>
          <w:color w:val="auto"/>
          <w:sz w:val="24"/>
          <w:highlight w:val="none"/>
        </w:rPr>
        <w:t xml:space="preserve"> 前，项目经理不得同时兼任其他任何项目的项目经理（符合《广西壮族自治区建筑市场诚信卡管理暂行办法》第十六条第一款及桂建管﹝2016﹞70号、桂建管〔2020〕11号文除外）。未经发包人书面同意，承包人擅自更换项目经理的视为违约，违约金处</w:t>
      </w:r>
      <w:r>
        <w:rPr>
          <w:rFonts w:hint="eastAsia" w:ascii="宋体" w:hAnsi="宋体" w:cs="宋体"/>
          <w:color w:val="auto"/>
          <w:sz w:val="24"/>
          <w:highlight w:val="none"/>
          <w:u w:val="single"/>
        </w:rPr>
        <w:t xml:space="preserve"> 1000</w:t>
      </w:r>
      <w:r>
        <w:rPr>
          <w:rFonts w:hint="eastAsia" w:ascii="宋体" w:hAnsi="宋体" w:cs="宋体"/>
          <w:color w:val="auto"/>
          <w:sz w:val="24"/>
          <w:highlight w:val="none"/>
        </w:rPr>
        <w:t>元/人•次（人民币）。</w:t>
      </w:r>
    </w:p>
    <w:p w14:paraId="21D48DC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3.2.4 承包人无正当理由拒绝更换项目经理的违约责任：</w:t>
      </w:r>
      <w:r>
        <w:rPr>
          <w:rFonts w:hint="eastAsia" w:ascii="宋体" w:hAnsi="宋体" w:cs="宋体"/>
          <w:color w:val="auto"/>
          <w:sz w:val="24"/>
          <w:highlight w:val="none"/>
          <w:u w:val="single"/>
        </w:rPr>
        <w:t>因承包人项目经理不称职，发包人要求调换而未及时调换的（超过5天不更换到位），视为承包人违约，必须向发包人交纳处罚金1000元/人•次（人民币）</w:t>
      </w:r>
      <w:r>
        <w:rPr>
          <w:rFonts w:hint="eastAsia" w:ascii="宋体" w:hAnsi="宋体" w:cs="宋体"/>
          <w:color w:val="auto"/>
          <w:sz w:val="24"/>
          <w:highlight w:val="none"/>
        </w:rPr>
        <w:t>。</w:t>
      </w:r>
    </w:p>
    <w:p w14:paraId="1E8FC3A3">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3.3 承包人人员</w:t>
      </w:r>
    </w:p>
    <w:p w14:paraId="6026B8D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3.3.1 承包人提交项目管理机构及施工现场管理人员安排报告（格式见合同附件5）的期限：</w:t>
      </w:r>
      <w:r>
        <w:rPr>
          <w:rFonts w:hint="eastAsia" w:ascii="宋体" w:hAnsi="宋体" w:cs="宋体"/>
          <w:color w:val="auto"/>
          <w:sz w:val="24"/>
          <w:highlight w:val="none"/>
          <w:u w:val="single"/>
        </w:rPr>
        <w:t xml:space="preserve"> 开工日期前 7 天   </w:t>
      </w:r>
      <w:r>
        <w:rPr>
          <w:rFonts w:hint="eastAsia" w:ascii="宋体" w:hAnsi="宋体" w:cs="宋体"/>
          <w:color w:val="auto"/>
          <w:sz w:val="24"/>
          <w:highlight w:val="none"/>
        </w:rPr>
        <w:t>。</w:t>
      </w:r>
    </w:p>
    <w:p w14:paraId="7C2AF6D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3.3.3 承包人无正当理由拒绝撤换主要施工管理人员的违约责任：</w:t>
      </w:r>
      <w:r>
        <w:rPr>
          <w:rFonts w:hint="eastAsia" w:ascii="宋体" w:hAnsi="宋体" w:cs="宋体"/>
          <w:color w:val="auto"/>
          <w:sz w:val="24"/>
          <w:highlight w:val="none"/>
          <w:u w:val="single"/>
        </w:rPr>
        <w:t>因承包人主要施工管理人员不称职，发包人要求调换而无正当理由拒绝撤换或未及时调换的，视为承包人违约，必须向发包人交纳处罚金，处罚标准：技术负责人 1000元/人•次（人民币）；专业工程师 1000 元/人•次（人民币）</w:t>
      </w:r>
      <w:r>
        <w:rPr>
          <w:rFonts w:hint="eastAsia" w:ascii="宋体" w:hAnsi="宋体" w:cs="宋体"/>
          <w:color w:val="auto"/>
          <w:sz w:val="24"/>
          <w:highlight w:val="none"/>
        </w:rPr>
        <w:t>。</w:t>
      </w:r>
    </w:p>
    <w:p w14:paraId="75B3AC40">
      <w:pPr>
        <w:pStyle w:val="230"/>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3.3.4 承包人主要施工管理人员离开施工现场的批准要求：</w:t>
      </w:r>
      <w:r>
        <w:rPr>
          <w:rFonts w:hint="eastAsia" w:ascii="宋体" w:hAnsi="宋体" w:cs="宋体"/>
          <w:color w:val="auto"/>
          <w:sz w:val="24"/>
          <w:szCs w:val="24"/>
          <w:highlight w:val="none"/>
          <w:u w:val="single"/>
        </w:rPr>
        <w:t xml:space="preserve">承包人的主要施工管理人员（五大员）每人每月到位率不少于 24 日历天，未经发包人同意或正当理由，少在岗一天，发包人有权处违约金1000元/日（人民币） </w:t>
      </w:r>
      <w:r>
        <w:rPr>
          <w:rFonts w:hint="eastAsia" w:ascii="宋体" w:hAnsi="宋体" w:cs="宋体"/>
          <w:color w:val="auto"/>
          <w:sz w:val="24"/>
          <w:szCs w:val="24"/>
          <w:highlight w:val="none"/>
        </w:rPr>
        <w:t>。</w:t>
      </w:r>
    </w:p>
    <w:p w14:paraId="1C5C97B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3.3.5 承包人擅自更换主要施工管理人员的违约责任：</w:t>
      </w:r>
      <w:r>
        <w:rPr>
          <w:rFonts w:hint="eastAsia" w:ascii="宋体" w:hAnsi="宋体" w:cs="宋体"/>
          <w:color w:val="auto"/>
          <w:sz w:val="24"/>
          <w:highlight w:val="none"/>
          <w:u w:val="single"/>
        </w:rPr>
        <w:t>项目技术负责人、专职安全生产管理人员及其承诺的其它在场管理人员未经发包人书面同意不准擅自更换，擅自更换项目技术负责人处1000元/人•次（人民币）违约金；擅自更换专职安全生产管理人员处 1000   元/人•次（人民币）违约金；擅自更换其它在场管理人员处 1000元/人•次（人民币）违约金</w:t>
      </w:r>
      <w:r>
        <w:rPr>
          <w:rFonts w:hint="eastAsia" w:ascii="宋体" w:hAnsi="宋体" w:cs="宋体"/>
          <w:color w:val="auto"/>
          <w:sz w:val="24"/>
          <w:highlight w:val="none"/>
        </w:rPr>
        <w:t>。</w:t>
      </w:r>
    </w:p>
    <w:p w14:paraId="5D98E01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承包人主要施工管理人员擅自离开施工现场的违约责任：</w:t>
      </w:r>
      <w:r>
        <w:rPr>
          <w:rFonts w:hint="eastAsia" w:ascii="宋体" w:hAnsi="宋体" w:cs="宋体"/>
          <w:color w:val="auto"/>
          <w:sz w:val="24"/>
          <w:highlight w:val="none"/>
          <w:u w:val="single"/>
        </w:rPr>
        <w:t>未经发包人同意，项目技术负责人擅自离岗的，视为承包人违约，发包人有权处违约金500元/人•次（人民币）；未经发包人同意，专职安全生产管理人员擅自离岗的，视为承包人违约，发包人有权处违约金 500元/人•次（人民币）；其它在场管理人员擅自离岗的，视为承包人违约，发包人有权处违约金500 元/人•次（人民币）</w:t>
      </w:r>
      <w:r>
        <w:rPr>
          <w:rFonts w:hint="eastAsia" w:ascii="宋体" w:hAnsi="宋体" w:cs="宋体"/>
          <w:color w:val="auto"/>
          <w:sz w:val="24"/>
          <w:highlight w:val="none"/>
        </w:rPr>
        <w:t>。</w:t>
      </w:r>
    </w:p>
    <w:p w14:paraId="75C6403E">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3.5 分包</w:t>
      </w:r>
    </w:p>
    <w:p w14:paraId="1B338BDE">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lang w:eastAsia="zh-CN"/>
        </w:rPr>
        <w:t>本项目不允许分包</w:t>
      </w:r>
    </w:p>
    <w:p w14:paraId="5BF1A613">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3.6 工程照管与成品、半成品保护</w:t>
      </w:r>
    </w:p>
    <w:p w14:paraId="726B2A25">
      <w:pPr>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承包人负责照管工程及工程相关的材料、工程设备的起始时间：</w:t>
      </w:r>
      <w:r>
        <w:rPr>
          <w:rFonts w:hint="eastAsia" w:ascii="宋体" w:hAnsi="宋体" w:cs="宋体"/>
          <w:color w:val="auto"/>
          <w:kern w:val="0"/>
          <w:sz w:val="24"/>
          <w:highlight w:val="none"/>
          <w:u w:val="single"/>
        </w:rPr>
        <w:t>自发包人向承包人移交施工现场之日起，至承包人向发包人交付工程之日止</w:t>
      </w:r>
      <w:r>
        <w:rPr>
          <w:rFonts w:hint="eastAsia" w:ascii="宋体" w:hAnsi="宋体" w:cs="宋体"/>
          <w:color w:val="auto"/>
          <w:kern w:val="0"/>
          <w:sz w:val="24"/>
          <w:highlight w:val="none"/>
        </w:rPr>
        <w:t>。</w:t>
      </w:r>
    </w:p>
    <w:p w14:paraId="07A7F895">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3.7 履约保证金</w:t>
      </w:r>
    </w:p>
    <w:p w14:paraId="40DE5992">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承包人是否提供履约担保：</w:t>
      </w:r>
      <w:r>
        <w:rPr>
          <w:rFonts w:hint="eastAsia" w:ascii="宋体" w:hAnsi="宋体" w:cs="宋体"/>
          <w:color w:val="auto"/>
          <w:sz w:val="24"/>
          <w:highlight w:val="none"/>
          <w:u w:val="single"/>
        </w:rPr>
        <w:t xml:space="preserve"> 否 </w:t>
      </w:r>
      <w:r>
        <w:rPr>
          <w:rFonts w:hint="eastAsia" w:ascii="宋体" w:hAnsi="宋体" w:cs="宋体"/>
          <w:color w:val="auto"/>
          <w:sz w:val="24"/>
          <w:highlight w:val="none"/>
        </w:rPr>
        <w:t>。</w:t>
      </w:r>
    </w:p>
    <w:p w14:paraId="2F4DBD44">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承包人提供履约担保的金额及期限的：</w:t>
      </w:r>
      <w:r>
        <w:rPr>
          <w:rFonts w:hint="eastAsia" w:ascii="宋体" w:hAnsi="宋体" w:cs="宋体"/>
          <w:color w:val="auto"/>
          <w:sz w:val="24"/>
          <w:highlight w:val="none"/>
          <w:u w:val="single"/>
        </w:rPr>
        <w:t>无。</w:t>
      </w:r>
    </w:p>
    <w:p w14:paraId="685C636B">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承包人提供履约担保的形式：</w:t>
      </w:r>
      <w:r>
        <w:rPr>
          <w:rFonts w:hint="eastAsia" w:ascii="宋体" w:hAnsi="宋体" w:cs="宋体"/>
          <w:color w:val="auto"/>
          <w:sz w:val="24"/>
          <w:highlight w:val="none"/>
          <w:u w:val="single"/>
        </w:rPr>
        <w:t>无</w:t>
      </w:r>
      <w:r>
        <w:rPr>
          <w:rFonts w:hint="eastAsia" w:ascii="宋体" w:hAnsi="宋体" w:cs="宋体"/>
          <w:color w:val="auto"/>
          <w:sz w:val="24"/>
          <w:highlight w:val="none"/>
        </w:rPr>
        <w:t>。</w:t>
      </w:r>
    </w:p>
    <w:p w14:paraId="002C506D">
      <w:pPr>
        <w:pStyle w:val="4"/>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 监理人</w:t>
      </w:r>
    </w:p>
    <w:p w14:paraId="458D904C">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4.1 监理人的一般规定</w:t>
      </w:r>
    </w:p>
    <w:p w14:paraId="1E48E2A4">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关于监理人的监理内容：</w:t>
      </w:r>
      <w:r>
        <w:rPr>
          <w:rFonts w:hint="eastAsia" w:ascii="宋体" w:hAnsi="宋体" w:cs="宋体"/>
          <w:color w:val="auto"/>
          <w:sz w:val="24"/>
          <w:highlight w:val="none"/>
          <w:u w:val="single"/>
        </w:rPr>
        <w:t>根据发包人与监理人签订的《监理合同》及工程实际需要确定</w:t>
      </w:r>
      <w:r>
        <w:rPr>
          <w:rFonts w:hint="eastAsia" w:ascii="宋体" w:hAnsi="宋体" w:cs="宋体"/>
          <w:color w:val="auto"/>
          <w:sz w:val="24"/>
          <w:highlight w:val="none"/>
        </w:rPr>
        <w:t>。关于监理人的监理权限：</w:t>
      </w:r>
      <w:r>
        <w:rPr>
          <w:rFonts w:hint="eastAsia" w:ascii="宋体" w:hAnsi="宋体" w:cs="宋体"/>
          <w:color w:val="auto"/>
          <w:sz w:val="24"/>
          <w:highlight w:val="none"/>
          <w:u w:val="single"/>
        </w:rPr>
        <w:t xml:space="preserve">根据监理合同、施工承包合同和法律法规规定的事项代表发包人进行工程前期协调、施工现场协调、工程监理      </w:t>
      </w:r>
      <w:r>
        <w:rPr>
          <w:rFonts w:hint="eastAsia" w:ascii="宋体" w:hAnsi="宋体" w:cs="宋体"/>
          <w:color w:val="auto"/>
          <w:sz w:val="24"/>
          <w:highlight w:val="none"/>
        </w:rPr>
        <w:t xml:space="preserve">。 </w:t>
      </w:r>
    </w:p>
    <w:p w14:paraId="339D34A8">
      <w:pPr>
        <w:pStyle w:val="230"/>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关于监理人在施工现场的办公场所、生活场所的提供和费用承担的约定：</w:t>
      </w:r>
      <w:r>
        <w:rPr>
          <w:rFonts w:hint="eastAsia" w:ascii="宋体" w:hAnsi="宋体" w:cs="宋体"/>
          <w:color w:val="auto"/>
          <w:sz w:val="24"/>
          <w:szCs w:val="24"/>
          <w:highlight w:val="none"/>
          <w:u w:val="single"/>
        </w:rPr>
        <w:t xml:space="preserve"> 监理人在施工现</w:t>
      </w:r>
    </w:p>
    <w:p w14:paraId="2F397A19">
      <w:pPr>
        <w:spacing w:line="360" w:lineRule="auto"/>
        <w:rPr>
          <w:rFonts w:hint="eastAsia" w:ascii="宋体" w:hAnsi="宋体" w:cs="宋体"/>
          <w:color w:val="auto"/>
          <w:sz w:val="24"/>
          <w:highlight w:val="none"/>
        </w:rPr>
      </w:pPr>
      <w:r>
        <w:rPr>
          <w:rFonts w:hint="eastAsia" w:ascii="宋体" w:hAnsi="宋体" w:cs="宋体"/>
          <w:color w:val="auto"/>
          <w:sz w:val="24"/>
          <w:highlight w:val="none"/>
          <w:u w:val="single"/>
        </w:rPr>
        <w:t xml:space="preserve">场的办公场所、生活场所由承包人提供，所发生的费用由承包人承担  </w:t>
      </w:r>
      <w:r>
        <w:rPr>
          <w:rFonts w:hint="eastAsia" w:ascii="宋体" w:hAnsi="宋体" w:cs="宋体"/>
          <w:color w:val="auto"/>
          <w:sz w:val="24"/>
          <w:highlight w:val="none"/>
        </w:rPr>
        <w:t>。</w:t>
      </w:r>
    </w:p>
    <w:p w14:paraId="4C773D8A">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4.2 监理人员</w:t>
      </w:r>
    </w:p>
    <w:p w14:paraId="666199A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总监理工程师：</w:t>
      </w:r>
    </w:p>
    <w:p w14:paraId="53E9241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详见监理合同 </w:t>
      </w:r>
      <w:r>
        <w:rPr>
          <w:rFonts w:hint="eastAsia" w:ascii="宋体" w:hAnsi="宋体" w:cs="宋体"/>
          <w:color w:val="auto"/>
          <w:sz w:val="24"/>
          <w:highlight w:val="none"/>
        </w:rPr>
        <w:t>；</w:t>
      </w:r>
    </w:p>
    <w:p w14:paraId="0979487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职    务：</w:t>
      </w:r>
      <w:r>
        <w:rPr>
          <w:rFonts w:hint="eastAsia" w:ascii="宋体" w:hAnsi="宋体" w:cs="宋体"/>
          <w:color w:val="auto"/>
          <w:sz w:val="24"/>
          <w:highlight w:val="none"/>
          <w:u w:val="single"/>
        </w:rPr>
        <w:t>详见监理合同 </w:t>
      </w:r>
      <w:r>
        <w:rPr>
          <w:rFonts w:hint="eastAsia" w:ascii="宋体" w:hAnsi="宋体" w:cs="宋体"/>
          <w:color w:val="auto"/>
          <w:sz w:val="24"/>
          <w:highlight w:val="none"/>
        </w:rPr>
        <w:t>；</w:t>
      </w:r>
    </w:p>
    <w:p w14:paraId="7BC5A35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监理工程师注册证书号：</w:t>
      </w:r>
      <w:r>
        <w:rPr>
          <w:rFonts w:hint="eastAsia" w:ascii="宋体" w:hAnsi="宋体" w:cs="宋体"/>
          <w:color w:val="auto"/>
          <w:sz w:val="24"/>
          <w:highlight w:val="none"/>
          <w:u w:val="single"/>
        </w:rPr>
        <w:t>详见监理合同</w:t>
      </w:r>
      <w:r>
        <w:rPr>
          <w:rFonts w:hint="eastAsia" w:ascii="宋体" w:hAnsi="宋体" w:cs="宋体"/>
          <w:color w:val="auto"/>
          <w:sz w:val="24"/>
          <w:highlight w:val="none"/>
        </w:rPr>
        <w:t>；</w:t>
      </w:r>
    </w:p>
    <w:p w14:paraId="6537490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详见监理合同 </w:t>
      </w:r>
      <w:r>
        <w:rPr>
          <w:rFonts w:hint="eastAsia" w:ascii="宋体" w:hAnsi="宋体" w:cs="宋体"/>
          <w:color w:val="auto"/>
          <w:sz w:val="24"/>
          <w:highlight w:val="none"/>
        </w:rPr>
        <w:t>；</w:t>
      </w:r>
    </w:p>
    <w:p w14:paraId="7EB26B4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电子信箱：</w:t>
      </w:r>
      <w:r>
        <w:rPr>
          <w:rFonts w:hint="eastAsia" w:ascii="宋体" w:hAnsi="宋体" w:cs="宋体"/>
          <w:color w:val="auto"/>
          <w:sz w:val="24"/>
          <w:highlight w:val="none"/>
          <w:u w:val="single"/>
        </w:rPr>
        <w:t>详见监理合同</w:t>
      </w:r>
      <w:r>
        <w:rPr>
          <w:rFonts w:hint="eastAsia" w:ascii="宋体" w:hAnsi="宋体" w:cs="宋体"/>
          <w:color w:val="auto"/>
          <w:sz w:val="24"/>
          <w:highlight w:val="none"/>
        </w:rPr>
        <w:t>；</w:t>
      </w:r>
    </w:p>
    <w:p w14:paraId="3DEAEDE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通信地址：</w:t>
      </w:r>
      <w:r>
        <w:rPr>
          <w:rFonts w:hint="eastAsia" w:ascii="宋体" w:hAnsi="宋体" w:cs="宋体"/>
          <w:color w:val="auto"/>
          <w:sz w:val="24"/>
          <w:highlight w:val="none"/>
          <w:u w:val="single"/>
        </w:rPr>
        <w:t>详见监理合同</w:t>
      </w:r>
      <w:r>
        <w:rPr>
          <w:rFonts w:hint="eastAsia" w:ascii="宋体" w:hAnsi="宋体" w:cs="宋体"/>
          <w:color w:val="auto"/>
          <w:sz w:val="24"/>
          <w:highlight w:val="none"/>
        </w:rPr>
        <w:t>；</w:t>
      </w:r>
    </w:p>
    <w:p w14:paraId="3CB0359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关于监理人的其他约定：</w:t>
      </w:r>
      <w:r>
        <w:rPr>
          <w:rFonts w:hint="eastAsia" w:ascii="宋体" w:hAnsi="宋体" w:cs="宋体"/>
          <w:color w:val="auto"/>
          <w:sz w:val="24"/>
          <w:highlight w:val="none"/>
          <w:u w:val="single"/>
        </w:rPr>
        <w:t>按《通用合同条款》执行</w:t>
      </w:r>
      <w:r>
        <w:rPr>
          <w:rFonts w:hint="eastAsia" w:ascii="宋体" w:hAnsi="宋体" w:cs="宋体"/>
          <w:color w:val="auto"/>
          <w:sz w:val="24"/>
          <w:highlight w:val="none"/>
        </w:rPr>
        <w:t>。</w:t>
      </w:r>
    </w:p>
    <w:p w14:paraId="431BF85F">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4.4 商定或确定</w:t>
      </w:r>
    </w:p>
    <w:p w14:paraId="73D3C987">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在发包人和承包人不能通过协商达成一致意见时，发包人授权监理人对以下事项进行确定：</w:t>
      </w:r>
      <w:r>
        <w:rPr>
          <w:rFonts w:hint="eastAsia" w:ascii="宋体" w:hAnsi="宋体" w:cs="宋体"/>
          <w:color w:val="auto"/>
          <w:sz w:val="24"/>
          <w:highlight w:val="none"/>
          <w:u w:val="single"/>
        </w:rPr>
        <w:t>/。</w:t>
      </w:r>
    </w:p>
    <w:p w14:paraId="09556061">
      <w:pPr>
        <w:pStyle w:val="4"/>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 工程质量</w:t>
      </w:r>
    </w:p>
    <w:p w14:paraId="0D3550E0">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5.1 质量要求</w:t>
      </w:r>
    </w:p>
    <w:p w14:paraId="7E2EA2A3">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5.1.1 特殊质量标准和要求：</w:t>
      </w:r>
      <w:r>
        <w:rPr>
          <w:rFonts w:hint="eastAsia" w:ascii="宋体" w:hAnsi="宋体" w:cs="宋体"/>
          <w:color w:val="auto"/>
          <w:sz w:val="24"/>
          <w:highlight w:val="none"/>
          <w:u w:val="single"/>
        </w:rPr>
        <w:t>严格执行广西住房和城乡自治区住建厅《关于严格实行房屋建筑和市政基础设施工程质量终身责任承诺、永久性质量责任标牌、终身责任信息档案等制度 的通知》（桂建管【2014】96 号），落实建设工程质量终身责任</w:t>
      </w:r>
      <w:r>
        <w:rPr>
          <w:rFonts w:hint="eastAsia" w:ascii="宋体" w:hAnsi="宋体" w:cs="宋体"/>
          <w:color w:val="auto"/>
          <w:sz w:val="24"/>
          <w:highlight w:val="none"/>
        </w:rPr>
        <w:t>。</w:t>
      </w:r>
    </w:p>
    <w:p w14:paraId="69F4B5A5">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关于工程奖项的约定： 如果工程获得</w:t>
      </w:r>
      <w:r>
        <w:rPr>
          <w:rFonts w:hint="eastAsia" w:ascii="宋体" w:hAnsi="宋体" w:cs="宋体"/>
          <w:color w:val="auto"/>
          <w:sz w:val="24"/>
          <w:highlight w:val="none"/>
          <w:u w:val="single"/>
        </w:rPr>
        <w:t xml:space="preserve">     /        （奖项名称）</w:t>
      </w:r>
      <w:r>
        <w:rPr>
          <w:rFonts w:hint="eastAsia" w:ascii="宋体" w:hAnsi="宋体" w:cs="宋体"/>
          <w:color w:val="auto"/>
          <w:sz w:val="24"/>
          <w:highlight w:val="none"/>
        </w:rPr>
        <w:t>，给予承包人合同价</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%的奖励。（建设单位创建优质工程的，鼓励在招标控制价和预算中按我区工程建设定额规定计列工程优质费，并在招标文件中明确工程优质费不可竞争。）</w:t>
      </w:r>
    </w:p>
    <w:p w14:paraId="1A1EA1AA">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5.3 隐蔽工程检查</w:t>
      </w:r>
    </w:p>
    <w:p w14:paraId="08B2F9A0">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如验收不合格,双方商订时限内整改后按上述顺序重新验收,并视隐蔽工程或中间验收的关键部位和重要性处500元至20000元的罚款，并有权拒绝支付该部分工程款。</w:t>
      </w:r>
    </w:p>
    <w:p w14:paraId="1015BC31">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监理人不能按时进行检查时，应提前</w:t>
      </w:r>
      <w:r>
        <w:rPr>
          <w:rFonts w:hint="eastAsia" w:ascii="宋体" w:hAnsi="宋体" w:cs="宋体"/>
          <w:color w:val="auto"/>
          <w:sz w:val="24"/>
          <w:highlight w:val="none"/>
          <w:u w:val="single"/>
        </w:rPr>
        <w:t xml:space="preserve">    12   </w:t>
      </w:r>
      <w:r>
        <w:rPr>
          <w:rFonts w:hint="eastAsia" w:ascii="宋体" w:hAnsi="宋体" w:cs="宋体"/>
          <w:color w:val="auto"/>
          <w:sz w:val="24"/>
          <w:highlight w:val="none"/>
        </w:rPr>
        <w:t>小时提交书面延期要求。</w:t>
      </w:r>
    </w:p>
    <w:p w14:paraId="252C6B23">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关于延期最长不得超过：</w:t>
      </w:r>
      <w:r>
        <w:rPr>
          <w:rFonts w:hint="eastAsia" w:ascii="宋体" w:hAnsi="宋体" w:cs="宋体"/>
          <w:color w:val="auto"/>
          <w:sz w:val="24"/>
          <w:highlight w:val="none"/>
          <w:u w:val="single"/>
        </w:rPr>
        <w:t xml:space="preserve">    24     </w:t>
      </w:r>
      <w:r>
        <w:rPr>
          <w:rFonts w:hint="eastAsia" w:ascii="宋体" w:hAnsi="宋体" w:cs="宋体"/>
          <w:color w:val="auto"/>
          <w:sz w:val="24"/>
          <w:highlight w:val="none"/>
        </w:rPr>
        <w:t>小时。</w:t>
      </w:r>
    </w:p>
    <w:p w14:paraId="7F2C4CE1">
      <w:pPr>
        <w:pStyle w:val="4"/>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 安全文明施工与环境保护</w:t>
      </w:r>
    </w:p>
    <w:p w14:paraId="0E455AC7">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6.1 安全文明施工</w:t>
      </w:r>
    </w:p>
    <w:p w14:paraId="614A3FAC">
      <w:pPr>
        <w:widowControl/>
        <w:wordWrap w:val="0"/>
        <w:snapToGrid w:val="0"/>
        <w:spacing w:line="360" w:lineRule="auto"/>
        <w:ind w:firstLine="420"/>
        <w:jc w:val="left"/>
        <w:rPr>
          <w:rFonts w:hint="eastAsia" w:ascii="宋体" w:hAnsi="宋体" w:cs="宋体"/>
          <w:color w:val="auto"/>
          <w:sz w:val="24"/>
          <w:highlight w:val="none"/>
        </w:rPr>
      </w:pPr>
      <w:r>
        <w:rPr>
          <w:rFonts w:hint="eastAsia" w:ascii="宋体" w:hAnsi="宋体" w:cs="宋体"/>
          <w:color w:val="auto"/>
          <w:sz w:val="24"/>
          <w:highlight w:val="none"/>
        </w:rPr>
        <w:t>6.1.1 项目安全生产的达标目标及相应事项的约定：</w:t>
      </w:r>
      <w:r>
        <w:rPr>
          <w:rFonts w:hint="eastAsia" w:ascii="宋体" w:hAnsi="宋体" w:cs="宋体"/>
          <w:color w:val="auto"/>
          <w:sz w:val="24"/>
          <w:highlight w:val="none"/>
          <w:u w:val="single"/>
        </w:rPr>
        <w:t xml:space="preserve">承包人应遵守国家安全生产法律、法规的规定及国家和工程所在地工程建设安全生产有关管理规定，严格按现行安全标准组织施工，并随时服从和接受发包人、监理人和行业安全检查人员依法实施的监督检查，采取必要的安全防护措施，消除事故隐患。其安全施工防护费用已经含在合同价款内。本工程在整个施工期间杜绝一切人身伤亡和重大质量安全事故，如发生上述事故，则发包人视为承包人违约，在施工期间每发生一起人身损害（不包括死亡）事故，承包人除了接受政府相关部门处罚外，承包人须向发包人支付违约金 2 万元，每发生一起人身死亡事故，承包人除了接受政府相关部门处罚外，承包人须向发包人支付违约金 3 万元。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如经政府相关部门调查发现因承包人过失造成事故的发生，发包人有权解除合同，由此造成的一切经济损失和法律责任由承包人承担 。未尽事宜按《通用合同条款》6.1.1 条执行 </w:t>
      </w:r>
      <w:r>
        <w:rPr>
          <w:rFonts w:hint="eastAsia" w:ascii="宋体" w:hAnsi="宋体" w:cs="宋体"/>
          <w:color w:val="auto"/>
          <w:sz w:val="24"/>
          <w:highlight w:val="none"/>
        </w:rPr>
        <w:t>。</w:t>
      </w:r>
    </w:p>
    <w:p w14:paraId="638AED43">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关于安全文明施工奖项的约定：</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1AAC3214">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6.1.4 关于治安保卫的特别约定：</w:t>
      </w:r>
      <w:r>
        <w:rPr>
          <w:rFonts w:hint="eastAsia" w:ascii="宋体" w:hAnsi="宋体" w:cs="宋体"/>
          <w:color w:val="auto"/>
          <w:sz w:val="24"/>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32F80110">
      <w:pPr>
        <w:pStyle w:val="23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关于编制施工场地治安管理计划的约定：</w:t>
      </w:r>
      <w:r>
        <w:rPr>
          <w:rFonts w:hint="eastAsia" w:ascii="宋体" w:hAnsi="宋体" w:cs="宋体"/>
          <w:color w:val="auto"/>
          <w:sz w:val="24"/>
          <w:szCs w:val="24"/>
          <w:highlight w:val="none"/>
          <w:u w:val="single"/>
        </w:rPr>
        <w:t xml:space="preserve"> 承包人应在工程开工后 7 天内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r>
        <w:rPr>
          <w:rFonts w:hint="eastAsia" w:ascii="宋体" w:hAnsi="宋体" w:cs="宋体"/>
          <w:color w:val="auto"/>
          <w:sz w:val="24"/>
          <w:szCs w:val="24"/>
          <w:highlight w:val="none"/>
        </w:rPr>
        <w:t>。</w:t>
      </w:r>
    </w:p>
    <w:p w14:paraId="6D8886B8">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6.1.5 文明施工</w:t>
      </w:r>
    </w:p>
    <w:p w14:paraId="36B4137D">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合同当事人对文明施工的要求：</w:t>
      </w:r>
      <w:r>
        <w:rPr>
          <w:rFonts w:hint="eastAsia" w:ascii="宋体" w:hAnsi="宋体" w:cs="宋体"/>
          <w:color w:val="auto"/>
          <w:sz w:val="24"/>
          <w:highlight w:val="none"/>
          <w:u w:val="single"/>
        </w:rPr>
        <w:t xml:space="preserve">  </w:t>
      </w:r>
      <w:r>
        <w:rPr>
          <w:rFonts w:hint="eastAsia" w:ascii="宋体" w:hAnsi="宋体" w:cs="宋体"/>
          <w:bCs/>
          <w:color w:val="auto"/>
          <w:sz w:val="24"/>
          <w:highlight w:val="none"/>
          <w:u w:val="single"/>
        </w:rPr>
        <w:t>严格执行《中华人民共和国大气污染防治法》（主席令第三十一号）的有关规定确保建设工程各项安全防护、文明施工措施及其费用在工地一线按标准落实到位。</w:t>
      </w:r>
      <w:r>
        <w:rPr>
          <w:rFonts w:hint="eastAsia" w:ascii="宋体" w:hAnsi="宋体" w:cs="宋体"/>
          <w:color w:val="auto"/>
          <w:sz w:val="24"/>
          <w:highlight w:val="none"/>
          <w:u w:val="single"/>
        </w:rPr>
        <w:t xml:space="preserve"> </w:t>
      </w:r>
    </w:p>
    <w:p w14:paraId="2945CB05">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6.1.6</w:t>
      </w:r>
      <w:r>
        <w:rPr>
          <w:rFonts w:hint="eastAsia" w:ascii="宋体" w:hAnsi="宋体" w:cs="宋体"/>
          <w:color w:val="auto"/>
          <w:kern w:val="0"/>
          <w:sz w:val="24"/>
          <w:highlight w:val="none"/>
        </w:rPr>
        <w:t>关于安全生产费总额、支付比例、支付期限、转入和结余收回的约定：</w:t>
      </w:r>
    </w:p>
    <w:p w14:paraId="7EC89A9A">
      <w:pPr>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（1）本合同价款已包含安全文明施工费</w:t>
      </w:r>
      <w:r>
        <w:rPr>
          <w:rFonts w:hint="eastAsia" w:ascii="宋体" w:hAnsi="宋体" w:cs="宋体"/>
          <w:color w:val="auto"/>
          <w:kern w:val="0"/>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2E93A45">
      <w:pPr>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（2）使用要求：专款专用，不得用于其他用途。具体按</w:t>
      </w:r>
      <w:r>
        <w:rPr>
          <w:rFonts w:hint="eastAsia" w:ascii="宋体" w:hAnsi="宋体" w:cs="宋体"/>
          <w:color w:val="auto"/>
          <w:kern w:val="0"/>
          <w:sz w:val="24"/>
          <w:highlight w:val="none"/>
          <w:u w:val="single"/>
        </w:rPr>
        <w:t>《广西壮族自治区建设工程安全文明施工费使用管理细则》（桂建质〔2015〕16号）</w:t>
      </w:r>
      <w:r>
        <w:rPr>
          <w:rFonts w:hint="eastAsia" w:ascii="宋体" w:hAnsi="宋体" w:cs="宋体"/>
          <w:color w:val="auto"/>
          <w:kern w:val="0"/>
          <w:sz w:val="24"/>
          <w:highlight w:val="none"/>
        </w:rPr>
        <w:t>相关规定执行。</w:t>
      </w:r>
    </w:p>
    <w:p w14:paraId="2C90096E">
      <w:pPr>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（3）支付约定：在本合同签订后</w:t>
      </w:r>
      <w:r>
        <w:rPr>
          <w:rFonts w:hint="eastAsia" w:ascii="宋体" w:hAnsi="宋体" w:cs="宋体"/>
          <w:color w:val="auto"/>
          <w:kern w:val="0"/>
          <w:sz w:val="24"/>
          <w:highlight w:val="none"/>
          <w:u w:val="single"/>
        </w:rPr>
        <w:t xml:space="preserve">  30 </w:t>
      </w:r>
      <w:r>
        <w:rPr>
          <w:rFonts w:hint="eastAsia" w:ascii="宋体" w:hAnsi="宋体" w:cs="宋体"/>
          <w:color w:val="auto"/>
          <w:kern w:val="0"/>
          <w:sz w:val="24"/>
          <w:highlight w:val="none"/>
        </w:rPr>
        <w:t>个工作日内，预付安全文明施工费总额的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5</w:t>
      </w:r>
      <w:r>
        <w:rPr>
          <w:rFonts w:hint="eastAsia" w:ascii="宋体" w:hAnsi="宋体" w:cs="宋体"/>
          <w:color w:val="auto"/>
          <w:kern w:val="0"/>
          <w:sz w:val="24"/>
          <w:highlight w:val="none"/>
          <w:u w:val="single"/>
        </w:rPr>
        <w:t xml:space="preserve">0 </w:t>
      </w:r>
      <w:r>
        <w:rPr>
          <w:rFonts w:hint="eastAsia" w:ascii="宋体" w:hAnsi="宋体" w:cs="宋体"/>
          <w:color w:val="auto"/>
          <w:kern w:val="0"/>
          <w:sz w:val="24"/>
          <w:highlight w:val="none"/>
        </w:rPr>
        <w:t xml:space="preserve"> %，其余部分待检查合格后与进度款同期支付，安全文明施工费预付款在工程进度款累计金额超过合同价的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5</w:t>
      </w:r>
      <w:r>
        <w:rPr>
          <w:rFonts w:hint="eastAsia" w:ascii="宋体" w:hAnsi="宋体" w:cs="宋体"/>
          <w:color w:val="auto"/>
          <w:kern w:val="0"/>
          <w:sz w:val="24"/>
          <w:highlight w:val="none"/>
          <w:u w:val="single"/>
        </w:rPr>
        <w:t>0 %</w:t>
      </w:r>
      <w:r>
        <w:rPr>
          <w:rFonts w:hint="eastAsia" w:ascii="宋体" w:hAnsi="宋体" w:cs="宋体"/>
          <w:color w:val="auto"/>
          <w:kern w:val="0"/>
          <w:sz w:val="24"/>
          <w:highlight w:val="none"/>
        </w:rPr>
        <w:t>时开始起扣，每月从支付给承包商的工程款内按安全文明预付款占合同总价的同一百分比扣回。</w:t>
      </w:r>
    </w:p>
    <w:p w14:paraId="62010A75">
      <w:pPr>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（4）建设单位按规定将安全生产费用转入施工单位设立的安全生产费用专户。</w:t>
      </w:r>
    </w:p>
    <w:p w14:paraId="7E139B00">
      <w:pPr>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（5）施工单位将安全生产费用使用情况定期报告建设单位和监理单位，并提供相应的材料接受建设行政主管部门对此事项监管。</w:t>
      </w:r>
    </w:p>
    <w:p w14:paraId="1FB91145">
      <w:pPr>
        <w:spacing w:line="360" w:lineRule="auto"/>
        <w:ind w:firstLine="480" w:firstLineChars="200"/>
        <w:rPr>
          <w:rFonts w:hint="eastAsia" w:ascii="宋体" w:hAnsi="宋体" w:cs="宋体"/>
          <w:b/>
          <w:bCs/>
          <w:color w:val="auto"/>
          <w:sz w:val="24"/>
          <w:highlight w:val="none"/>
        </w:rPr>
      </w:pPr>
      <w:r>
        <w:rPr>
          <w:rFonts w:hint="eastAsia" w:ascii="宋体" w:hAnsi="宋体" w:cs="宋体"/>
          <w:color w:val="auto"/>
          <w:kern w:val="0"/>
          <w:sz w:val="24"/>
          <w:highlight w:val="none"/>
        </w:rPr>
        <w:t>（6）</w:t>
      </w:r>
      <w:r>
        <w:rPr>
          <w:rFonts w:hint="eastAsia" w:ascii="宋体" w:hAnsi="宋体" w:cs="宋体"/>
          <w:b/>
          <w:bCs/>
          <w:color w:val="auto"/>
          <w:kern w:val="0"/>
          <w:sz w:val="24"/>
          <w:highlight w:val="none"/>
        </w:rPr>
        <w:t>安全生产费用专户</w:t>
      </w:r>
      <w:r>
        <w:rPr>
          <w:rFonts w:hint="eastAsia" w:ascii="宋体" w:hAnsi="宋体" w:cs="宋体"/>
          <w:color w:val="auto"/>
          <w:kern w:val="0"/>
          <w:sz w:val="24"/>
          <w:highlight w:val="none"/>
        </w:rPr>
        <w:t>：</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w:t>
      </w:r>
    </w:p>
    <w:p w14:paraId="01B3C3B5">
      <w:pPr>
        <w:spacing w:line="360" w:lineRule="auto"/>
        <w:ind w:firstLine="2409" w:firstLineChars="1000"/>
        <w:jc w:val="left"/>
        <w:rPr>
          <w:rFonts w:hint="eastAsia" w:ascii="宋体" w:hAnsi="宋体" w:cs="宋体"/>
          <w:b/>
          <w:bCs/>
          <w:color w:val="auto"/>
          <w:sz w:val="24"/>
          <w:highlight w:val="none"/>
        </w:rPr>
      </w:pPr>
      <w:r>
        <w:rPr>
          <w:rFonts w:hint="eastAsia" w:ascii="宋体" w:hAnsi="宋体" w:cs="宋体"/>
          <w:b/>
          <w:bCs/>
          <w:color w:val="auto"/>
          <w:sz w:val="24"/>
          <w:highlight w:val="none"/>
        </w:rPr>
        <w:t>账号:</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w:t>
      </w:r>
    </w:p>
    <w:p w14:paraId="5E361EB7">
      <w:pPr>
        <w:autoSpaceDE w:val="0"/>
        <w:autoSpaceDN w:val="0"/>
        <w:adjustRightInd w:val="0"/>
        <w:spacing w:line="360" w:lineRule="auto"/>
        <w:ind w:firstLine="1928" w:firstLineChars="800"/>
        <w:jc w:val="left"/>
        <w:rPr>
          <w:rFonts w:hint="eastAsia" w:ascii="宋体" w:hAnsi="宋体" w:cs="宋体"/>
          <w:color w:val="auto"/>
          <w:kern w:val="0"/>
          <w:sz w:val="24"/>
          <w:highlight w:val="none"/>
        </w:rPr>
      </w:pPr>
      <w:r>
        <w:rPr>
          <w:rFonts w:hint="eastAsia" w:ascii="宋体" w:hAnsi="宋体" w:cs="宋体"/>
          <w:b/>
          <w:bCs/>
          <w:color w:val="auto"/>
          <w:sz w:val="24"/>
          <w:highlight w:val="none"/>
        </w:rPr>
        <w:t>开户银行：</w:t>
      </w:r>
      <w:r>
        <w:rPr>
          <w:rFonts w:hint="eastAsia" w:ascii="宋体" w:hAnsi="宋体" w:cs="宋体"/>
          <w:b/>
          <w:bCs/>
          <w:color w:val="auto"/>
          <w:sz w:val="24"/>
          <w:highlight w:val="none"/>
          <w:u w:val="single"/>
        </w:rPr>
        <w:t xml:space="preserve">       </w:t>
      </w:r>
      <w:r>
        <w:rPr>
          <w:rFonts w:hint="eastAsia" w:ascii="宋体" w:hAnsi="宋体" w:cs="宋体"/>
          <w:color w:val="auto"/>
          <w:kern w:val="0"/>
          <w:sz w:val="24"/>
          <w:highlight w:val="none"/>
        </w:rPr>
        <w:t>。</w:t>
      </w:r>
    </w:p>
    <w:p w14:paraId="7EF78BE6">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6.3 环境保护</w:t>
      </w:r>
    </w:p>
    <w:p w14:paraId="7B9E31C8">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u w:val="single"/>
        </w:rPr>
        <w:t>因施工需要，经发包人批准，由承包人办理有关施工场地交通、环卫和施工噪音管理等手续，费用由承包人负责。</w:t>
      </w:r>
    </w:p>
    <w:p w14:paraId="43EFAB62">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u w:val="single"/>
        </w:rPr>
        <w:t>经过城市道路的施工车辆，必须按交警、城管、运输等部门相关规定执行。由于施工车辆造成的道路、环境等污染，其责任和费用均由承包人承担。</w:t>
      </w:r>
    </w:p>
    <w:p w14:paraId="025F2C67">
      <w:pPr>
        <w:pStyle w:val="4"/>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7. 工期和进度</w:t>
      </w:r>
    </w:p>
    <w:p w14:paraId="660B4C85">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7.1 施工组织设计</w:t>
      </w:r>
    </w:p>
    <w:p w14:paraId="3111AC7D">
      <w:pPr>
        <w:pStyle w:val="230"/>
        <w:autoSpaceDE w:val="0"/>
        <w:autoSpaceDN w:val="0"/>
        <w:adjustRightInd w:val="0"/>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7.1.1 合</w:t>
      </w:r>
      <w:r>
        <w:rPr>
          <w:rFonts w:hint="eastAsia" w:ascii="宋体" w:hAnsi="宋体" w:cs="宋体"/>
          <w:color w:val="auto"/>
          <w:kern w:val="0"/>
          <w:sz w:val="24"/>
          <w:szCs w:val="24"/>
          <w:highlight w:val="none"/>
        </w:rPr>
        <w:t>同当事人约定的施工组织设计应包括的其他内容：</w:t>
      </w:r>
      <w:r>
        <w:rPr>
          <w:rFonts w:hint="eastAsia" w:ascii="宋体" w:hAnsi="宋体" w:cs="宋体"/>
          <w:color w:val="auto"/>
          <w:sz w:val="24"/>
          <w:szCs w:val="24"/>
          <w:highlight w:val="none"/>
          <w:u w:val="single"/>
        </w:rPr>
        <w:t xml:space="preserve">按《通用合同条款》7.1.1条执行 </w:t>
      </w:r>
      <w:r>
        <w:rPr>
          <w:rFonts w:hint="eastAsia" w:ascii="宋体" w:hAnsi="宋体" w:cs="宋体"/>
          <w:color w:val="auto"/>
          <w:sz w:val="24"/>
          <w:szCs w:val="24"/>
          <w:highlight w:val="none"/>
        </w:rPr>
        <w:t>。</w:t>
      </w:r>
    </w:p>
    <w:p w14:paraId="69AB16CC">
      <w:pPr>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 xml:space="preserve">7.1.2 </w:t>
      </w:r>
      <w:r>
        <w:rPr>
          <w:rFonts w:hint="eastAsia" w:ascii="宋体" w:hAnsi="宋体" w:cs="宋体"/>
          <w:color w:val="auto"/>
          <w:kern w:val="0"/>
          <w:sz w:val="24"/>
          <w:highlight w:val="none"/>
        </w:rPr>
        <w:t>施工组织设计的提交和修改</w:t>
      </w:r>
    </w:p>
    <w:p w14:paraId="0D89D3D9">
      <w:pPr>
        <w:autoSpaceDE w:val="0"/>
        <w:autoSpaceDN w:val="0"/>
        <w:adjustRightInd w:val="0"/>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kern w:val="0"/>
          <w:sz w:val="24"/>
          <w:highlight w:val="none"/>
        </w:rPr>
        <w:t>承包人提交详细施工组织设计的期限的约定：</w:t>
      </w:r>
      <w:r>
        <w:rPr>
          <w:rFonts w:hint="eastAsia" w:ascii="宋体" w:hAnsi="宋体" w:cs="宋体"/>
          <w:color w:val="auto"/>
          <w:sz w:val="24"/>
          <w:highlight w:val="none"/>
          <w:u w:val="single"/>
        </w:rPr>
        <w:t xml:space="preserve">   承包人应在合同签订后3天内   </w:t>
      </w:r>
      <w:r>
        <w:rPr>
          <w:rFonts w:hint="eastAsia" w:ascii="宋体" w:hAnsi="宋体" w:cs="宋体"/>
          <w:color w:val="auto"/>
          <w:sz w:val="24"/>
          <w:highlight w:val="none"/>
        </w:rPr>
        <w:t>。</w:t>
      </w:r>
    </w:p>
    <w:p w14:paraId="5A74EA52">
      <w:pPr>
        <w:pStyle w:val="23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发包人和监理人在收到详细的施工组织设计后确认或提出修改意见的期限：</w:t>
      </w:r>
      <w:r>
        <w:rPr>
          <w:rFonts w:hint="eastAsia" w:ascii="宋体" w:hAnsi="宋体" w:cs="宋体"/>
          <w:color w:val="auto"/>
          <w:sz w:val="24"/>
          <w:szCs w:val="24"/>
          <w:highlight w:val="none"/>
          <w:u w:val="single"/>
        </w:rPr>
        <w:t xml:space="preserve"> 收到施工组织设计后 2 天内确认或提出修改意见</w:t>
      </w:r>
      <w:r>
        <w:rPr>
          <w:rFonts w:hint="eastAsia" w:ascii="宋体" w:hAnsi="宋体" w:cs="宋体"/>
          <w:color w:val="auto"/>
          <w:sz w:val="24"/>
          <w:szCs w:val="24"/>
          <w:highlight w:val="none"/>
        </w:rPr>
        <w:t>。</w:t>
      </w:r>
    </w:p>
    <w:p w14:paraId="2589709C">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7.2 施工进度计划</w:t>
      </w:r>
    </w:p>
    <w:p w14:paraId="584FE01F">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7.2.2 施工进度计划的修订</w:t>
      </w:r>
    </w:p>
    <w:p w14:paraId="0C778532">
      <w:pPr>
        <w:pStyle w:val="23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发包人和监理人在收到修订的施工进度计划后确认或提出修改意见的期限：</w:t>
      </w:r>
      <w:r>
        <w:rPr>
          <w:rFonts w:hint="eastAsia" w:ascii="宋体" w:hAnsi="宋体" w:cs="宋体"/>
          <w:color w:val="auto"/>
          <w:sz w:val="24"/>
          <w:szCs w:val="24"/>
          <w:highlight w:val="none"/>
          <w:u w:val="single"/>
        </w:rPr>
        <w:t xml:space="preserve">到修订的施工进度计划后 2 天内确认或提出修改意见 </w:t>
      </w:r>
      <w:r>
        <w:rPr>
          <w:rFonts w:hint="eastAsia" w:ascii="宋体" w:hAnsi="宋体" w:cs="宋体"/>
          <w:color w:val="auto"/>
          <w:sz w:val="24"/>
          <w:szCs w:val="24"/>
          <w:highlight w:val="none"/>
        </w:rPr>
        <w:t>。</w:t>
      </w:r>
    </w:p>
    <w:p w14:paraId="41CBEE57">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7.3 开工</w:t>
      </w:r>
    </w:p>
    <w:p w14:paraId="635EA352">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7.3.1 开工准备</w:t>
      </w:r>
    </w:p>
    <w:p w14:paraId="77913C9F">
      <w:pPr>
        <w:spacing w:line="360" w:lineRule="auto"/>
        <w:ind w:firstLine="426"/>
        <w:jc w:val="left"/>
        <w:rPr>
          <w:rFonts w:hint="eastAsia" w:ascii="宋体" w:hAnsi="宋体" w:cs="宋体"/>
          <w:color w:val="auto"/>
          <w:sz w:val="24"/>
          <w:highlight w:val="none"/>
          <w:u w:val="single"/>
        </w:rPr>
      </w:pPr>
      <w:r>
        <w:rPr>
          <w:rFonts w:hint="eastAsia" w:ascii="宋体" w:hAnsi="宋体" w:cs="宋体"/>
          <w:color w:val="auto"/>
          <w:sz w:val="24"/>
          <w:highlight w:val="none"/>
        </w:rPr>
        <w:t>关于承包人提交</w:t>
      </w:r>
      <w:r>
        <w:rPr>
          <w:rFonts w:hint="eastAsia" w:ascii="宋体" w:hAnsi="宋体" w:cs="宋体"/>
          <w:color w:val="auto"/>
          <w:kern w:val="0"/>
          <w:sz w:val="24"/>
          <w:highlight w:val="none"/>
        </w:rPr>
        <w:t>工程开工报审表的期限：</w:t>
      </w:r>
      <w:r>
        <w:rPr>
          <w:rFonts w:hint="eastAsia" w:ascii="宋体" w:hAnsi="宋体" w:cs="宋体"/>
          <w:color w:val="auto"/>
          <w:sz w:val="24"/>
          <w:highlight w:val="none"/>
          <w:u w:val="single"/>
        </w:rPr>
        <w:t xml:space="preserve">   开工日期前 7 天    </w:t>
      </w:r>
      <w:r>
        <w:rPr>
          <w:rFonts w:hint="eastAsia" w:ascii="宋体" w:hAnsi="宋体" w:cs="宋体"/>
          <w:color w:val="auto"/>
          <w:sz w:val="24"/>
          <w:highlight w:val="none"/>
        </w:rPr>
        <w:t>。</w:t>
      </w:r>
    </w:p>
    <w:p w14:paraId="7E08A12B">
      <w:pPr>
        <w:spacing w:line="360" w:lineRule="auto"/>
        <w:ind w:firstLine="426"/>
        <w:jc w:val="left"/>
        <w:rPr>
          <w:rFonts w:hint="eastAsia" w:ascii="宋体" w:hAnsi="宋体" w:cs="宋体"/>
          <w:color w:val="auto"/>
          <w:sz w:val="24"/>
          <w:highlight w:val="none"/>
          <w:u w:val="single"/>
        </w:rPr>
      </w:pPr>
      <w:r>
        <w:rPr>
          <w:rFonts w:hint="eastAsia" w:ascii="宋体" w:hAnsi="宋体" w:cs="宋体"/>
          <w:color w:val="auto"/>
          <w:sz w:val="24"/>
          <w:highlight w:val="none"/>
        </w:rPr>
        <w:t>关于发包人应完成的其他开工准备工作及期限：</w:t>
      </w:r>
      <w:r>
        <w:rPr>
          <w:rFonts w:hint="eastAsia" w:ascii="宋体" w:hAnsi="宋体" w:cs="宋体"/>
          <w:color w:val="auto"/>
          <w:sz w:val="24"/>
          <w:highlight w:val="none"/>
          <w:u w:val="single"/>
        </w:rPr>
        <w:t xml:space="preserve">  按《通用合同条款》执行</w:t>
      </w:r>
      <w:r>
        <w:rPr>
          <w:rFonts w:hint="eastAsia" w:ascii="宋体" w:hAnsi="宋体" w:cs="宋体"/>
          <w:color w:val="auto"/>
          <w:sz w:val="24"/>
          <w:highlight w:val="none"/>
        </w:rPr>
        <w:t>。</w:t>
      </w:r>
    </w:p>
    <w:p w14:paraId="6FD2D94E">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关于承包人应完成的其他开工准备工作及期限：</w:t>
      </w:r>
      <w:r>
        <w:rPr>
          <w:rFonts w:hint="eastAsia" w:ascii="宋体" w:hAnsi="宋体" w:cs="宋体"/>
          <w:color w:val="auto"/>
          <w:sz w:val="24"/>
          <w:highlight w:val="none"/>
          <w:u w:val="single"/>
        </w:rPr>
        <w:t xml:space="preserve">   开工日期前 7 天 </w:t>
      </w:r>
      <w:r>
        <w:rPr>
          <w:rFonts w:hint="eastAsia" w:ascii="宋体" w:hAnsi="宋体" w:cs="宋体"/>
          <w:color w:val="auto"/>
          <w:sz w:val="24"/>
          <w:highlight w:val="none"/>
        </w:rPr>
        <w:t>。</w:t>
      </w:r>
    </w:p>
    <w:p w14:paraId="45141A63">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7.3.2 开工通知</w:t>
      </w:r>
    </w:p>
    <w:p w14:paraId="28C5CE65">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因发包人原因造成监理人未能在计划开工日期之日起</w:t>
      </w:r>
      <w:r>
        <w:rPr>
          <w:rFonts w:hint="eastAsia" w:ascii="宋体" w:hAnsi="宋体" w:cs="宋体"/>
          <w:color w:val="auto"/>
          <w:sz w:val="24"/>
          <w:highlight w:val="none"/>
          <w:u w:val="single"/>
        </w:rPr>
        <w:t xml:space="preserve">   90  </w:t>
      </w:r>
      <w:r>
        <w:rPr>
          <w:rFonts w:hint="eastAsia" w:ascii="宋体" w:hAnsi="宋体" w:cs="宋体"/>
          <w:color w:val="auto"/>
          <w:sz w:val="24"/>
          <w:highlight w:val="none"/>
        </w:rPr>
        <w:t>天内发出开工通知的，承包人有权提出价格调整要求，或者解除合同。</w:t>
      </w:r>
    </w:p>
    <w:p w14:paraId="76EDE8D1">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7.4 测量放线</w:t>
      </w:r>
    </w:p>
    <w:p w14:paraId="38C20F3E">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7.4.1发包人通过监理人向承包人提供测量基准点、基准线和水准点及其书面资料的期限：</w:t>
      </w:r>
      <w:r>
        <w:rPr>
          <w:rFonts w:hint="eastAsia" w:ascii="宋体" w:hAnsi="宋体" w:cs="宋体"/>
          <w:color w:val="auto"/>
          <w:sz w:val="24"/>
          <w:highlight w:val="none"/>
          <w:u w:val="single"/>
        </w:rPr>
        <w:t xml:space="preserve">        开工前7天        </w:t>
      </w:r>
      <w:r>
        <w:rPr>
          <w:rFonts w:hint="eastAsia" w:ascii="宋体" w:hAnsi="宋体" w:cs="宋体"/>
          <w:color w:val="auto"/>
          <w:sz w:val="24"/>
          <w:highlight w:val="none"/>
        </w:rPr>
        <w:t>。</w:t>
      </w:r>
    </w:p>
    <w:p w14:paraId="4CB4467C">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7.5 工期延误</w:t>
      </w:r>
    </w:p>
    <w:p w14:paraId="5F4A32C3">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7.5.1 因发包人原因导致工期延误</w:t>
      </w:r>
    </w:p>
    <w:p w14:paraId="11D93D03">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（7）因发包人原因导致工期延误的其他情形：</w:t>
      </w:r>
      <w:r>
        <w:rPr>
          <w:rFonts w:hint="eastAsia" w:ascii="宋体" w:hAnsi="宋体" w:cs="宋体"/>
          <w:color w:val="auto"/>
          <w:sz w:val="24"/>
          <w:highlight w:val="none"/>
          <w:u w:val="single"/>
        </w:rPr>
        <w:t>①重大图纸变更影响</w:t>
      </w:r>
      <w:r>
        <w:rPr>
          <w:rFonts w:hint="eastAsia" w:ascii="宋体" w:hAnsi="宋体" w:cs="宋体"/>
          <w:color w:val="auto"/>
          <w:sz w:val="24"/>
          <w:highlight w:val="none"/>
          <w:u w:val="single"/>
          <w:lang w:eastAsia="zh-CN"/>
        </w:rPr>
        <w:t>关键</w:t>
      </w:r>
      <w:r>
        <w:rPr>
          <w:rFonts w:hint="eastAsia" w:ascii="宋体" w:hAnsi="宋体" w:cs="宋体"/>
          <w:color w:val="auto"/>
          <w:sz w:val="24"/>
          <w:highlight w:val="none"/>
          <w:u w:val="single"/>
        </w:rPr>
        <w:t>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int="eastAsia" w:ascii="宋体" w:hAnsi="宋体" w:cs="宋体"/>
          <w:color w:val="auto"/>
          <w:sz w:val="24"/>
          <w:highlight w:val="none"/>
        </w:rPr>
        <w:t xml:space="preserve"> 。</w:t>
      </w:r>
    </w:p>
    <w:p w14:paraId="478A67FC">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7.5.2 因承包人原因导致工期延误</w:t>
      </w:r>
    </w:p>
    <w:p w14:paraId="614971FE">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因承包人原因造成工期延误，逾期竣工违约金的计算方法为：</w:t>
      </w:r>
      <w:r>
        <w:rPr>
          <w:rFonts w:hint="eastAsia" w:ascii="宋体" w:hAnsi="宋体" w:cs="宋体"/>
          <w:color w:val="auto"/>
          <w:sz w:val="24"/>
          <w:highlight w:val="none"/>
          <w:u w:val="single"/>
        </w:rPr>
        <w:t>按逾期竣工的单项工程罚款，每延误一天,按单项工程应支付给承包人的结算造价的万分之一处罚,罚款直接从结算款中扣除。误期时间从规定竣工日期起直到实际竣工日期的天数（扣除发包人批准顺延的工期）。</w:t>
      </w:r>
      <w:r>
        <w:rPr>
          <w:rFonts w:hint="eastAsia" w:ascii="宋体" w:hAnsi="宋体" w:cs="宋体"/>
          <w:color w:val="auto"/>
          <w:sz w:val="24"/>
          <w:highlight w:val="none"/>
        </w:rPr>
        <w:t>因承包人原因造成工期延误，逾期竣工违约金的上限：</w:t>
      </w:r>
      <w:r>
        <w:rPr>
          <w:rFonts w:hint="eastAsia" w:ascii="宋体" w:hAnsi="宋体" w:cs="宋体"/>
          <w:color w:val="auto"/>
          <w:sz w:val="24"/>
          <w:highlight w:val="none"/>
          <w:u w:val="single"/>
        </w:rPr>
        <w:t>合同价的1%</w:t>
      </w:r>
      <w:r>
        <w:rPr>
          <w:rFonts w:hint="eastAsia" w:ascii="宋体" w:hAnsi="宋体" w:cs="宋体"/>
          <w:color w:val="auto"/>
          <w:sz w:val="24"/>
          <w:highlight w:val="none"/>
        </w:rPr>
        <w:t>。</w:t>
      </w:r>
    </w:p>
    <w:p w14:paraId="1BB45BA5">
      <w:pPr>
        <w:pStyle w:val="226"/>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7.5.3因其他原因导致的工期延误</w:t>
      </w:r>
    </w:p>
    <w:p w14:paraId="69FC34F3">
      <w:pPr>
        <w:pStyle w:val="245"/>
        <w:spacing w:before="0" w:after="0" w:line="360" w:lineRule="auto"/>
        <w:ind w:firstLine="480" w:firstLineChars="200"/>
        <w:jc w:val="both"/>
        <w:rPr>
          <w:rFonts w:hint="eastAsia" w:hAnsi="宋体"/>
          <w:color w:val="auto"/>
          <w:highlight w:val="none"/>
          <w:u w:val="single"/>
        </w:rPr>
      </w:pPr>
      <w:r>
        <w:rPr>
          <w:rFonts w:hint="eastAsia" w:hAnsi="宋体"/>
          <w:color w:val="auto"/>
          <w:highlight w:val="none"/>
        </w:rPr>
        <w:t>由于以下原因之一在施工关键节点线路上及控制工期推迟的延误，工期顺延：</w:t>
      </w:r>
    </w:p>
    <w:p w14:paraId="36025FF5">
      <w:pPr>
        <w:pStyle w:val="226"/>
        <w:spacing w:line="360" w:lineRule="auto"/>
        <w:ind w:firstLine="480" w:firstLineChars="20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（1）因政府指令性要求停工的（国家法定节假日、“三月三”、中考、高考及“两会一节”等能合理</w:t>
      </w:r>
      <w:r>
        <w:rPr>
          <w:rFonts w:hint="eastAsia" w:ascii="宋体" w:hAnsi="宋体" w:cs="宋体"/>
          <w:color w:val="auto"/>
          <w:kern w:val="0"/>
          <w:sz w:val="24"/>
          <w:szCs w:val="24"/>
          <w:highlight w:val="none"/>
          <w:u w:val="single"/>
          <w:lang w:eastAsia="zh-CN"/>
        </w:rPr>
        <w:t>预见</w:t>
      </w:r>
      <w:r>
        <w:rPr>
          <w:rFonts w:hint="eastAsia" w:ascii="宋体" w:hAnsi="宋体" w:cs="宋体"/>
          <w:color w:val="auto"/>
          <w:kern w:val="0"/>
          <w:sz w:val="24"/>
          <w:szCs w:val="24"/>
          <w:highlight w:val="none"/>
          <w:u w:val="single"/>
        </w:rPr>
        <w:t>的情形除外）。</w:t>
      </w:r>
    </w:p>
    <w:p w14:paraId="12FB1F33">
      <w:pPr>
        <w:pStyle w:val="226"/>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（2）非承包人的责任造成的工期延误或承包人提供证据证明的可顺延工期且经发包人同意的其他情况。</w:t>
      </w:r>
    </w:p>
    <w:p w14:paraId="75998760">
      <w:pPr>
        <w:pStyle w:val="226"/>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7.5.4 工期延误签证程序</w:t>
      </w:r>
    </w:p>
    <w:p w14:paraId="69766D76">
      <w:pPr>
        <w:pStyle w:val="226"/>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承包人在关键节点延误事件发生之日起2天内，应就工期以书面形式向发包人提出意向，并在此延误事件结束之日起5天内提出报告。发包人在收到报告之日起14天内予以确认或答复，</w:t>
      </w:r>
      <w:r>
        <w:rPr>
          <w:rFonts w:hint="eastAsia" w:ascii="宋体" w:hAnsi="宋体" w:cs="宋体"/>
          <w:color w:val="auto"/>
          <w:sz w:val="24"/>
          <w:szCs w:val="24"/>
          <w:highlight w:val="none"/>
          <w:u w:val="single"/>
        </w:rPr>
        <w:t>逾期不批复确认也不提出书面意见的，视为同意。</w:t>
      </w:r>
      <w:r>
        <w:rPr>
          <w:rFonts w:hint="eastAsia" w:ascii="宋体" w:hAnsi="宋体" w:cs="宋体"/>
          <w:color w:val="auto"/>
          <w:sz w:val="24"/>
          <w:szCs w:val="24"/>
          <w:highlight w:val="none"/>
        </w:rPr>
        <w:t>如承包人未在上述时间内提出申请，视为工期不受影响。</w:t>
      </w:r>
    </w:p>
    <w:p w14:paraId="4B51AED7">
      <w:pPr>
        <w:pStyle w:val="226"/>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双方约定本工程属下列情况者，工期不予顺延：</w:t>
      </w:r>
    </w:p>
    <w:p w14:paraId="5E37A618">
      <w:pPr>
        <w:pStyle w:val="226"/>
        <w:spacing w:line="360" w:lineRule="auto"/>
        <w:ind w:firstLine="480" w:firstLineChars="20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（1） 因承包人违反规范或任何工程质量不合格而进行返工、重建、修建的施工工期、或以伪劣材料充抵合同规定的品牌、型号、质量等级、或没有按投标时报送样品进行采购供货或不按本合同规定的人员进行配置时，经发包人代表或监理工程师下达停工令的停工日期的；</w:t>
      </w:r>
    </w:p>
    <w:p w14:paraId="35DDEF56">
      <w:pPr>
        <w:pStyle w:val="226"/>
        <w:spacing w:line="360" w:lineRule="auto"/>
        <w:ind w:firstLine="480" w:firstLineChars="20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（2）承包人未按设计要求进行施工、或因施工组织方案不可行导致发包人未能按时审批影响开工的；</w:t>
      </w:r>
    </w:p>
    <w:p w14:paraId="69D95E05">
      <w:pPr>
        <w:pStyle w:val="226"/>
        <w:spacing w:line="360" w:lineRule="auto"/>
        <w:ind w:firstLine="480" w:firstLineChars="20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 xml:space="preserve">（3）工程实施期间或完工后接受有关部门检查发现存在质量问题、或技术问题需作整改的； </w:t>
      </w:r>
    </w:p>
    <w:p w14:paraId="754AC74D">
      <w:pPr>
        <w:pStyle w:val="226"/>
        <w:spacing w:line="360" w:lineRule="auto"/>
        <w:ind w:firstLine="480" w:firstLineChars="20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（4）承包人自身原因的待工待料的；</w:t>
      </w:r>
    </w:p>
    <w:p w14:paraId="1B08D97E">
      <w:pPr>
        <w:pStyle w:val="226"/>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（5）工程质量未达到等级标准要求，发包人要求承包人返工的。</w:t>
      </w:r>
    </w:p>
    <w:p w14:paraId="52FFB487">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7.6 不利物质条件</w:t>
      </w:r>
    </w:p>
    <w:p w14:paraId="4E42A4C8">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不利物质条件的其他情形和有关约定：</w:t>
      </w:r>
      <w:r>
        <w:rPr>
          <w:rFonts w:hint="eastAsia" w:ascii="宋体" w:hAnsi="宋体" w:cs="宋体"/>
          <w:color w:val="auto"/>
          <w:sz w:val="24"/>
          <w:highlight w:val="none"/>
          <w:u w:val="single"/>
        </w:rPr>
        <w:t xml:space="preserve">  按《通用合同条款》7.6 条执行    </w:t>
      </w:r>
      <w:r>
        <w:rPr>
          <w:rFonts w:hint="eastAsia" w:ascii="宋体" w:hAnsi="宋体" w:cs="宋体"/>
          <w:color w:val="auto"/>
          <w:sz w:val="24"/>
          <w:highlight w:val="none"/>
        </w:rPr>
        <w:t>。</w:t>
      </w:r>
    </w:p>
    <w:p w14:paraId="3C517146">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7.7 异常恶劣的气候条件</w:t>
      </w:r>
    </w:p>
    <w:p w14:paraId="531B96DC">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发包人和承包人同意以下情形视为异常恶劣的气候条件：</w:t>
      </w:r>
    </w:p>
    <w:p w14:paraId="0D91CFEB">
      <w:pPr>
        <w:pStyle w:val="23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 xml:space="preserve">  5 年一遇强度的降水   </w:t>
      </w:r>
      <w:r>
        <w:rPr>
          <w:rFonts w:hint="eastAsia" w:ascii="宋体" w:hAnsi="宋体" w:cs="宋体"/>
          <w:color w:val="auto"/>
          <w:sz w:val="24"/>
          <w:szCs w:val="24"/>
          <w:highlight w:val="none"/>
        </w:rPr>
        <w:t>；</w:t>
      </w:r>
    </w:p>
    <w:p w14:paraId="67022E98">
      <w:pPr>
        <w:pStyle w:val="23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u w:val="single"/>
        </w:rPr>
        <w:t xml:space="preserve">    6 级以上大风     </w:t>
      </w:r>
      <w:r>
        <w:rPr>
          <w:rFonts w:hint="eastAsia" w:ascii="宋体" w:hAnsi="宋体" w:cs="宋体"/>
          <w:color w:val="auto"/>
          <w:sz w:val="24"/>
          <w:szCs w:val="24"/>
          <w:highlight w:val="none"/>
        </w:rPr>
        <w:t>；</w:t>
      </w:r>
    </w:p>
    <w:p w14:paraId="780F4866">
      <w:pPr>
        <w:pStyle w:val="23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u w:val="single"/>
        </w:rPr>
        <w:t xml:space="preserve">   室内气温 40℃及以上</w:t>
      </w:r>
      <w:r>
        <w:rPr>
          <w:rFonts w:hint="eastAsia" w:ascii="宋体" w:hAnsi="宋体" w:cs="宋体"/>
          <w:color w:val="auto"/>
          <w:sz w:val="24"/>
          <w:szCs w:val="24"/>
          <w:highlight w:val="none"/>
        </w:rPr>
        <w:t>。</w:t>
      </w:r>
    </w:p>
    <w:p w14:paraId="50075FF7">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7.9 提前竣工</w:t>
      </w:r>
    </w:p>
    <w:p w14:paraId="58701A57">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7.9.2提前竣工（赶工）增加费的计算方法：</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548FCEF6">
      <w:pPr>
        <w:pStyle w:val="4"/>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8. 材料与设备</w:t>
      </w:r>
    </w:p>
    <w:p w14:paraId="74D13F3C">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8.2 承包人采购材料与工程设备</w:t>
      </w:r>
    </w:p>
    <w:p w14:paraId="2046FD31">
      <w:pPr>
        <w:autoSpaceDE w:val="0"/>
        <w:autoSpaceDN w:val="0"/>
        <w:adjustRightIn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除已标价工程量清单《发包人提供主要材料和工程设备一览表》（表-21）中明确的材料、工程设备外，由承包人负责材料和工程设备的采购、运输和保管。</w:t>
      </w:r>
    </w:p>
    <w:p w14:paraId="6D05351E">
      <w:pPr>
        <w:pStyle w:val="228"/>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承包人负责采购材料、工程设备的，应按照设计和有关标准要求采购，并提供产品合格证明及出厂证明，对材料、工程设备质量负责。</w:t>
      </w:r>
    </w:p>
    <w:p w14:paraId="47EE1433">
      <w:pPr>
        <w:pStyle w:val="226"/>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建筑、装修及安装的材料，承包人应选择相当于或优于工程量清单描述品牌。如实际采购与其不符，承包人收集有关材料上报，报发包人项目管理部及监理工程师确定后方可采购。严禁承包人采购小型钢厂且不符合冶金类行业标准的钢筋。在施工前，承包人须将材料样板送监理单位及发包人确认封板后方可使用。施工期间该部分材料或设备如未超过招标约定的风险幅度的，结算时按投标单价支付，不得调整。</w:t>
      </w:r>
    </w:p>
    <w:p w14:paraId="2B70F6F5">
      <w:pPr>
        <w:autoSpaceDE w:val="0"/>
        <w:autoSpaceDN w:val="0"/>
        <w:adjustRightIn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对发包人在招标时有“参照或相当于**品牌、级别”约定的材料或设备，承包人采购时必须按类似于或优于所约定品牌、等级进行采购，施工期间该部分材料或设备如未超过招标约定的风险幅度的，结算时按投标单价支付，不得调整。</w:t>
      </w:r>
    </w:p>
    <w:p w14:paraId="00893FDF">
      <w:pPr>
        <w:autoSpaceDE w:val="0"/>
        <w:autoSpaceDN w:val="0"/>
        <w:adjustRightIn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禁止使用松木、松木包装材料设备、种子、苗木、花卉及繁殖材料。</w:t>
      </w:r>
    </w:p>
    <w:p w14:paraId="7F1502E6">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8.4 材料与工程设备的保管与使用</w:t>
      </w:r>
    </w:p>
    <w:p w14:paraId="6F5B51E7">
      <w:pPr>
        <w:pStyle w:val="230"/>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8.4.1发包人供应的材料设备的保管费用的承担：</w:t>
      </w:r>
      <w:r>
        <w:rPr>
          <w:rFonts w:hint="eastAsia" w:ascii="宋体" w:hAnsi="宋体" w:cs="宋体"/>
          <w:color w:val="auto"/>
          <w:sz w:val="24"/>
          <w:szCs w:val="24"/>
          <w:highlight w:val="none"/>
          <w:u w:val="single"/>
        </w:rPr>
        <w:t xml:space="preserve">由承包人在投标报价中考虑并承担相应费用  </w:t>
      </w:r>
      <w:r>
        <w:rPr>
          <w:rFonts w:hint="eastAsia" w:ascii="宋体" w:hAnsi="宋体" w:cs="宋体"/>
          <w:color w:val="auto"/>
          <w:sz w:val="24"/>
          <w:szCs w:val="24"/>
          <w:highlight w:val="none"/>
        </w:rPr>
        <w:t>。</w:t>
      </w:r>
    </w:p>
    <w:p w14:paraId="62D64B59">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8.6 样品</w:t>
      </w:r>
    </w:p>
    <w:p w14:paraId="40EC7B92">
      <w:pPr>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8.6.1 样品的报送与封存</w:t>
      </w:r>
    </w:p>
    <w:p w14:paraId="2288F59C">
      <w:pPr>
        <w:autoSpaceDE w:val="0"/>
        <w:autoSpaceDN w:val="0"/>
        <w:adjustRightInd w:val="0"/>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kern w:val="0"/>
          <w:sz w:val="24"/>
          <w:highlight w:val="none"/>
        </w:rPr>
        <w:t>需要承包人报送样品的材料或工程设备，样品的种类、名称、规格、数量要求：</w:t>
      </w:r>
      <w:r>
        <w:rPr>
          <w:rFonts w:hint="eastAsia" w:ascii="宋体" w:hAnsi="宋体" w:cs="宋体"/>
          <w:color w:val="auto"/>
          <w:sz w:val="24"/>
          <w:highlight w:val="none"/>
          <w:u w:val="single"/>
        </w:rPr>
        <w:t>主要材料涉及品种、款式、颜色等方面内容的，承包人应提交准备合格的材料样品送发包人选定。</w:t>
      </w:r>
    </w:p>
    <w:p w14:paraId="5685CD6D">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8.8 施工设备和临时设施</w:t>
      </w:r>
    </w:p>
    <w:p w14:paraId="53E7B6E2">
      <w:pPr>
        <w:autoSpaceDE w:val="0"/>
        <w:autoSpaceDN w:val="0"/>
        <w:adjustRightIn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8.8.1 承包人提供的施工设备和临时设施</w:t>
      </w:r>
    </w:p>
    <w:p w14:paraId="3DBB3C9E">
      <w:pPr>
        <w:autoSpaceDE w:val="0"/>
        <w:autoSpaceDN w:val="0"/>
        <w:adjustRightIn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4。</w:t>
      </w:r>
    </w:p>
    <w:p w14:paraId="5A7F19FB">
      <w:pPr>
        <w:autoSpaceDE w:val="0"/>
        <w:autoSpaceDN w:val="0"/>
        <w:adjustRightIn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关于修建临时设施费用承担的约定：</w:t>
      </w:r>
    </w:p>
    <w:p w14:paraId="191593E9">
      <w:pPr>
        <w:pStyle w:val="230"/>
        <w:autoSpaceDE w:val="0"/>
        <w:autoSpaceDN w:val="0"/>
        <w:adjustRightInd w:val="0"/>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 ①承包人的临时用地（含项目部驻地等）租用费（含拆迁补偿）、临时用地的环保、恢复、临时用地的青苗补偿及地面附着物拆除等费用均由承包人负责，以上费用在投标报价中综合考虑。</w:t>
      </w:r>
    </w:p>
    <w:p w14:paraId="129F0A71">
      <w:pPr>
        <w:pStyle w:val="230"/>
        <w:autoSpaceDE w:val="0"/>
        <w:autoSpaceDN w:val="0"/>
        <w:adjustRightInd w:val="0"/>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②承包人负责合同实施期间其合同段内临时交通道路（含场内外连接公共交通道路）和交通设施的修建、维修、养护和交通管理工作，并承担一切费用。</w:t>
      </w:r>
    </w:p>
    <w:p w14:paraId="0A1FBC1F">
      <w:pPr>
        <w:pStyle w:val="230"/>
        <w:autoSpaceDE w:val="0"/>
        <w:autoSpaceDN w:val="0"/>
        <w:adjustRightInd w:val="0"/>
        <w:spacing w:line="360" w:lineRule="auto"/>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③承包人修建的临时道路和交通设施，应免费提供给发包人、监理工程师使用。</w:t>
      </w:r>
    </w:p>
    <w:p w14:paraId="12350B2E">
      <w:pPr>
        <w:autoSpaceDE w:val="0"/>
        <w:autoSpaceDN w:val="0"/>
        <w:adjustRightIn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8.8.2 发包人提供的施工设备和临时设施</w:t>
      </w:r>
    </w:p>
    <w:p w14:paraId="3C5448B5">
      <w:pPr>
        <w:autoSpaceDE w:val="0"/>
        <w:autoSpaceDN w:val="0"/>
        <w:adjustRightIn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发包人提供的施工设备和临时设施：</w:t>
      </w:r>
      <w:r>
        <w:rPr>
          <w:rFonts w:hint="eastAsia" w:ascii="宋体" w:hAnsi="宋体" w:cs="宋体"/>
          <w:color w:val="auto"/>
          <w:sz w:val="24"/>
          <w:highlight w:val="none"/>
          <w:u w:val="single"/>
        </w:rPr>
        <w:t xml:space="preserve">      按《通用合同合同条款》条执行     </w:t>
      </w:r>
      <w:r>
        <w:rPr>
          <w:rFonts w:hint="eastAsia" w:ascii="宋体" w:hAnsi="宋体" w:cs="宋体"/>
          <w:color w:val="auto"/>
          <w:sz w:val="24"/>
          <w:highlight w:val="none"/>
        </w:rPr>
        <w:t>。</w:t>
      </w:r>
    </w:p>
    <w:p w14:paraId="31303371">
      <w:pPr>
        <w:autoSpaceDE w:val="0"/>
        <w:autoSpaceDN w:val="0"/>
        <w:adjustRightIn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发包人提供的施工设备和临时设施的运行、维护、拆除、清运费用的承担人：</w:t>
      </w:r>
      <w:r>
        <w:rPr>
          <w:rFonts w:hint="eastAsia" w:ascii="宋体" w:hAnsi="宋体" w:cs="宋体"/>
          <w:color w:val="auto"/>
          <w:sz w:val="24"/>
          <w:highlight w:val="none"/>
          <w:u w:val="single"/>
        </w:rPr>
        <w:t xml:space="preserve"> 由承包人承担相应费用</w:t>
      </w:r>
      <w:r>
        <w:rPr>
          <w:rFonts w:hint="eastAsia" w:ascii="宋体" w:hAnsi="宋体" w:cs="宋体"/>
          <w:color w:val="auto"/>
          <w:sz w:val="24"/>
          <w:highlight w:val="none"/>
        </w:rPr>
        <w:t>。</w:t>
      </w:r>
    </w:p>
    <w:p w14:paraId="03019DC4">
      <w:pPr>
        <w:pStyle w:val="4"/>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9. 试验与检验</w:t>
      </w:r>
    </w:p>
    <w:p w14:paraId="1AD7A877">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9.1 试验设备与试验人员</w:t>
      </w:r>
    </w:p>
    <w:p w14:paraId="6E50C635">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9.1.2 试验设备</w:t>
      </w:r>
    </w:p>
    <w:p w14:paraId="254F8492">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施工现场需要配置的试验场所：</w:t>
      </w:r>
      <w:r>
        <w:rPr>
          <w:rFonts w:hint="eastAsia" w:ascii="宋体" w:hAnsi="宋体" w:cs="宋体"/>
          <w:color w:val="auto"/>
          <w:sz w:val="24"/>
          <w:highlight w:val="none"/>
          <w:u w:val="single"/>
        </w:rPr>
        <w:t xml:space="preserve">  按相关规定执行，由承包人提供   </w:t>
      </w:r>
      <w:r>
        <w:rPr>
          <w:rFonts w:hint="eastAsia" w:ascii="宋体" w:hAnsi="宋体" w:cs="宋体"/>
          <w:color w:val="auto"/>
          <w:sz w:val="24"/>
          <w:highlight w:val="none"/>
        </w:rPr>
        <w:t>。</w:t>
      </w:r>
    </w:p>
    <w:p w14:paraId="584A2AFF">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施工现场需要配备的试验设备：</w:t>
      </w:r>
      <w:r>
        <w:rPr>
          <w:rFonts w:hint="eastAsia" w:ascii="宋体" w:hAnsi="宋体" w:cs="宋体"/>
          <w:color w:val="auto"/>
          <w:sz w:val="24"/>
          <w:highlight w:val="none"/>
          <w:u w:val="single"/>
        </w:rPr>
        <w:t xml:space="preserve">    按相关规定执行，由承包人提供    </w:t>
      </w:r>
      <w:r>
        <w:rPr>
          <w:rFonts w:hint="eastAsia" w:ascii="宋体" w:hAnsi="宋体" w:cs="宋体"/>
          <w:color w:val="auto"/>
          <w:sz w:val="24"/>
          <w:highlight w:val="none"/>
        </w:rPr>
        <w:t>。</w:t>
      </w:r>
    </w:p>
    <w:p w14:paraId="77188765">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施工现场需要具备的其他试验条件：</w:t>
      </w:r>
      <w:r>
        <w:rPr>
          <w:rFonts w:hint="eastAsia" w:ascii="宋体" w:hAnsi="宋体" w:cs="宋体"/>
          <w:color w:val="auto"/>
          <w:sz w:val="24"/>
          <w:highlight w:val="none"/>
          <w:u w:val="single"/>
        </w:rPr>
        <w:t xml:space="preserve">   按相关规定执行，由承包人提供    </w:t>
      </w:r>
      <w:r>
        <w:rPr>
          <w:rFonts w:hint="eastAsia" w:ascii="宋体" w:hAnsi="宋体" w:cs="宋体"/>
          <w:color w:val="auto"/>
          <w:sz w:val="24"/>
          <w:highlight w:val="none"/>
        </w:rPr>
        <w:t>。</w:t>
      </w:r>
    </w:p>
    <w:p w14:paraId="48B60CC7">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9.4 现场工艺试验 </w:t>
      </w:r>
    </w:p>
    <w:p w14:paraId="23346643">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现场工艺试验的有关约定：</w:t>
      </w:r>
      <w:r>
        <w:rPr>
          <w:rFonts w:hint="eastAsia" w:ascii="宋体" w:hAnsi="宋体" w:cs="宋体"/>
          <w:color w:val="auto"/>
          <w:sz w:val="24"/>
          <w:highlight w:val="none"/>
          <w:u w:val="single"/>
        </w:rPr>
        <w:t xml:space="preserve">    按《通用合同条款》9.4 条执行 </w:t>
      </w:r>
      <w:r>
        <w:rPr>
          <w:rFonts w:hint="eastAsia" w:ascii="宋体" w:hAnsi="宋体" w:cs="宋体"/>
          <w:color w:val="auto"/>
          <w:sz w:val="24"/>
          <w:highlight w:val="none"/>
        </w:rPr>
        <w:t>。</w:t>
      </w:r>
    </w:p>
    <w:p w14:paraId="7881CE9D">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9.5 检验费用</w:t>
      </w:r>
    </w:p>
    <w:p w14:paraId="4E7EDF56">
      <w:pPr>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根据《建设工程质量检测管理办法》（中华人民共和国住房和城乡建设部令第57号）规定，工程质量检测业务由发包人委托有相应资质的检测机构检测。费用从发包人的项目建设经费中支出并直接支付给检测机构，不计入合同价款内。</w:t>
      </w:r>
    </w:p>
    <w:p w14:paraId="44916E58">
      <w:pPr>
        <w:pStyle w:val="4"/>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10. 变更</w:t>
      </w:r>
    </w:p>
    <w:p w14:paraId="40AB4E19">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10.1 变更的范围</w:t>
      </w:r>
    </w:p>
    <w:p w14:paraId="661443F4">
      <w:pPr>
        <w:pStyle w:val="246"/>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关于变更的范围的约定：包括工程设计变更和其他变更。</w:t>
      </w:r>
    </w:p>
    <w:p w14:paraId="3BE563CC">
      <w:pPr>
        <w:pStyle w:val="226"/>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（1）增加或减少合同中任何工作，或追加额外的工作；</w:t>
      </w:r>
    </w:p>
    <w:p w14:paraId="4F4B68C7">
      <w:pPr>
        <w:pStyle w:val="226"/>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（2）取消合同中任何工作，但转由他人实施的工作除外；</w:t>
      </w:r>
    </w:p>
    <w:p w14:paraId="33D859FA">
      <w:pPr>
        <w:pStyle w:val="226"/>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（3）改变合同中任何工作的质量标准或其他特性；</w:t>
      </w:r>
    </w:p>
    <w:p w14:paraId="6A205275">
      <w:pPr>
        <w:pStyle w:val="226"/>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（4）改变工程的基线、标高、位置和尺寸；</w:t>
      </w:r>
    </w:p>
    <w:p w14:paraId="47EC2D44">
      <w:pPr>
        <w:pStyle w:val="228"/>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rPr>
        <w:t>（5）改变工程的时间安排或实施顺序。</w:t>
      </w:r>
    </w:p>
    <w:p w14:paraId="7219532B">
      <w:pPr>
        <w:pStyle w:val="247"/>
        <w:spacing w:before="0" w:after="0" w:line="360" w:lineRule="auto"/>
        <w:outlineLvl w:val="0"/>
        <w:rPr>
          <w:rFonts w:hint="eastAsia" w:ascii="宋体" w:hAnsi="宋体" w:cs="宋体"/>
          <w:color w:val="auto"/>
          <w:sz w:val="24"/>
          <w:szCs w:val="24"/>
          <w:highlight w:val="none"/>
        </w:rPr>
      </w:pPr>
      <w:bookmarkStart w:id="230" w:name="_Toc373478389"/>
      <w:bookmarkStart w:id="231" w:name="_Toc12609400"/>
      <w:bookmarkStart w:id="232" w:name="_Toc389065308"/>
      <w:bookmarkStart w:id="233" w:name="_Toc373227742"/>
      <w:bookmarkStart w:id="234" w:name="_Toc407135245"/>
      <w:r>
        <w:rPr>
          <w:rFonts w:hint="eastAsia" w:ascii="宋体" w:hAnsi="宋体" w:cs="宋体"/>
          <w:color w:val="auto"/>
          <w:sz w:val="24"/>
          <w:szCs w:val="24"/>
          <w:highlight w:val="none"/>
        </w:rPr>
        <w:t>10.2 变更估价</w:t>
      </w:r>
      <w:bookmarkEnd w:id="230"/>
      <w:bookmarkEnd w:id="231"/>
      <w:bookmarkEnd w:id="232"/>
      <w:bookmarkEnd w:id="233"/>
      <w:bookmarkEnd w:id="234"/>
    </w:p>
    <w:p w14:paraId="08A08FBE">
      <w:pPr>
        <w:pStyle w:val="228"/>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变更估价原则</w:t>
      </w:r>
    </w:p>
    <w:p w14:paraId="5F527B6E">
      <w:pPr>
        <w:pStyle w:val="226"/>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关于变更估价按本款约定处理: </w:t>
      </w:r>
    </w:p>
    <w:p w14:paraId="7998E7C7">
      <w:pPr>
        <w:pStyle w:val="226"/>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sz w:val="24"/>
          <w:szCs w:val="24"/>
          <w:highlight w:val="none"/>
        </w:rPr>
        <w:t>合同工程量清单中有相同细目的，按该相同细目合同综合单价计算；</w:t>
      </w:r>
    </w:p>
    <w:p w14:paraId="497AEB40">
      <w:pPr>
        <w:pStyle w:val="226"/>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（2）如无相同细目，但合同工程量清单中有类似细目的，参照类似细目合同综合单价计算；</w:t>
      </w:r>
    </w:p>
    <w:p w14:paraId="5C32BD3A">
      <w:pPr>
        <w:pStyle w:val="226"/>
        <w:autoSpaceDE w:val="0"/>
        <w:autoSpaceDN w:val="0"/>
        <w:adjustRightIn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无类似细目的新增项目，有定额的套定额，并乘以下浮系数计算，下浮系数为投标报价/招标控制价。其中材料价格按施工期《贵港市建设工程造价信息》相应材料除税信息价计取，无信息价的，由发包人、承包人、监理单位共同根据市场调查确定；无定额可套的，根据市场价格协商确定，单价按市场价格结算。新增项目的单价必须经发包人审定。</w:t>
      </w:r>
    </w:p>
    <w:p w14:paraId="440FB23A">
      <w:pPr>
        <w:pStyle w:val="226"/>
        <w:keepNext/>
        <w:keepLines/>
        <w:spacing w:line="360" w:lineRule="auto"/>
        <w:ind w:firstLine="480" w:firstLineChars="200"/>
        <w:outlineLvl w:val="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工程变更必须经监理人代表、发包人代表共同签字并经发包人确认后方可实施，否则所发生的费用和相关责任均由承包人自行承担。任何未经发包人确认的工程变更均视为无效，发包人有权不予支付。</w:t>
      </w:r>
    </w:p>
    <w:p w14:paraId="0BD1349D">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10.3 变更程序</w:t>
      </w:r>
    </w:p>
    <w:p w14:paraId="7803A00D">
      <w:pPr>
        <w:pStyle w:val="25"/>
        <w:spacing w:line="360" w:lineRule="auto"/>
        <w:ind w:firstLine="504" w:firstLineChars="210"/>
        <w:rPr>
          <w:rFonts w:hint="eastAsia" w:hAnsi="宋体" w:cs="宋体"/>
          <w:color w:val="auto"/>
          <w:sz w:val="24"/>
          <w:szCs w:val="24"/>
          <w:highlight w:val="none"/>
        </w:rPr>
      </w:pPr>
      <w:r>
        <w:rPr>
          <w:rFonts w:hint="eastAsia" w:hAnsi="宋体" w:cs="宋体"/>
          <w:color w:val="auto"/>
          <w:sz w:val="24"/>
          <w:szCs w:val="24"/>
          <w:highlight w:val="none"/>
        </w:rPr>
        <w:t>10.3.1国有投资项目：</w:t>
      </w:r>
    </w:p>
    <w:p w14:paraId="5F987146">
      <w:pPr>
        <w:pStyle w:val="25"/>
        <w:spacing w:line="360" w:lineRule="auto"/>
        <w:ind w:firstLine="504" w:firstLineChars="210"/>
        <w:rPr>
          <w:rFonts w:hint="eastAsia" w:hAnsi="宋体" w:cs="宋体"/>
          <w:bCs/>
          <w:color w:val="auto"/>
          <w:sz w:val="24"/>
          <w:szCs w:val="24"/>
          <w:highlight w:val="none"/>
        </w:rPr>
      </w:pPr>
      <w:r>
        <w:rPr>
          <w:rFonts w:hint="eastAsia" w:hAnsi="宋体" w:cs="宋体"/>
          <w:bCs/>
          <w:color w:val="auto"/>
          <w:sz w:val="24"/>
          <w:szCs w:val="24"/>
          <w:highlight w:val="none"/>
        </w:rPr>
        <w:t>⑴设计变更和工程签证，按各市政府或相关部门的规定办理。属不可抗力（自然灾害、突发事件等）造成变更的，按特事特办原则予以办理。</w:t>
      </w:r>
    </w:p>
    <w:p w14:paraId="4071B3ED">
      <w:pPr>
        <w:pStyle w:val="25"/>
        <w:spacing w:line="360" w:lineRule="auto"/>
        <w:ind w:firstLine="504" w:firstLineChars="210"/>
        <w:rPr>
          <w:rFonts w:hint="eastAsia" w:hAnsi="宋体" w:cs="宋体"/>
          <w:bCs/>
          <w:color w:val="auto"/>
          <w:sz w:val="24"/>
          <w:szCs w:val="24"/>
          <w:highlight w:val="none"/>
        </w:rPr>
      </w:pPr>
      <w:r>
        <w:rPr>
          <w:rFonts w:hint="eastAsia" w:hAnsi="宋体" w:cs="宋体"/>
          <w:bCs/>
          <w:color w:val="auto"/>
          <w:sz w:val="24"/>
          <w:szCs w:val="24"/>
          <w:highlight w:val="none"/>
        </w:rPr>
        <w:t>⑵建设单位在实施项目过程中，若发生单价变动，由发包人、承包人、监理或造价咨询等单位共同商定并签字确认。</w:t>
      </w:r>
    </w:p>
    <w:p w14:paraId="1A76BA2E">
      <w:pPr>
        <w:pStyle w:val="25"/>
        <w:spacing w:line="360" w:lineRule="auto"/>
        <w:ind w:firstLine="504" w:firstLineChars="210"/>
        <w:rPr>
          <w:rFonts w:hint="eastAsia" w:hAnsi="宋体" w:cs="宋体"/>
          <w:bCs/>
          <w:color w:val="auto"/>
          <w:sz w:val="24"/>
          <w:szCs w:val="24"/>
          <w:highlight w:val="none"/>
        </w:rPr>
      </w:pPr>
      <w:r>
        <w:rPr>
          <w:rFonts w:hint="eastAsia" w:hAnsi="宋体" w:cs="宋体"/>
          <w:bCs/>
          <w:color w:val="auto"/>
          <w:sz w:val="24"/>
          <w:szCs w:val="24"/>
          <w:highlight w:val="none"/>
        </w:rPr>
        <w:t>⑶ 当合同规定的合同价款调整情况发生后，承包人未在规定时间内通知发包人，或者未在规定时间内提出调整报告，发包人可以根据有关资料，决定是否调整和调整的金额，并书面通知承包人。</w:t>
      </w:r>
    </w:p>
    <w:p w14:paraId="356480E8">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10.4 变更估价</w:t>
      </w:r>
    </w:p>
    <w:p w14:paraId="1FCEA2FC">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10.4.1 变更估价原则</w:t>
      </w:r>
    </w:p>
    <w:p w14:paraId="21BB4C75">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关于变更估价的约定: </w:t>
      </w:r>
      <w:r>
        <w:rPr>
          <w:rFonts w:hint="eastAsia" w:ascii="宋体" w:hAnsi="宋体" w:cs="宋体"/>
          <w:color w:val="auto"/>
          <w:sz w:val="24"/>
          <w:highlight w:val="none"/>
          <w:u w:val="single"/>
        </w:rPr>
        <w:t>工程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w:t>
      </w:r>
      <w:r>
        <w:rPr>
          <w:rFonts w:hint="eastAsia" w:ascii="宋体" w:hAnsi="宋体" w:cs="宋体"/>
          <w:b/>
          <w:bCs/>
          <w:color w:val="auto"/>
          <w:sz w:val="24"/>
          <w:highlight w:val="none"/>
        </w:rPr>
        <w:t>☑</w:t>
      </w:r>
      <w:r>
        <w:rPr>
          <w:rFonts w:hint="eastAsia" w:ascii="宋体" w:hAnsi="宋体" w:cs="宋体"/>
          <w:color w:val="auto"/>
          <w:sz w:val="24"/>
          <w:highlight w:val="none"/>
          <w:u w:val="single"/>
        </w:rPr>
        <w:t>乘以中标下浮系数      %，</w:t>
      </w:r>
      <w:r>
        <w:rPr>
          <w:rFonts w:hint="eastAsia" w:ascii="宋体" w:hAnsi="宋体" w:cs="宋体"/>
          <w:b/>
          <w:bCs/>
          <w:color w:val="auto"/>
          <w:sz w:val="24"/>
          <w:highlight w:val="none"/>
        </w:rPr>
        <w:t>□</w:t>
      </w:r>
      <w:r>
        <w:rPr>
          <w:rFonts w:hint="eastAsia" w:ascii="宋体" w:hAnsi="宋体" w:cs="宋体"/>
          <w:color w:val="auto"/>
          <w:sz w:val="24"/>
          <w:highlight w:val="none"/>
          <w:u w:val="single"/>
        </w:rPr>
        <w:t>不乘下浮系数）计算，其中：材料设备价格按施工期间的《贵港 市建设工程造价信息》相应信息价的加权平均值计算，《贵港市建设工程造价信息》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r>
        <w:rPr>
          <w:rFonts w:hint="eastAsia" w:ascii="宋体" w:hAnsi="宋体" w:cs="宋体"/>
          <w:color w:val="auto"/>
          <w:sz w:val="24"/>
          <w:highlight w:val="none"/>
        </w:rPr>
        <w:t>。以上约定同时适用于招标工程量清单缺项以及工程量清单项目特征与图纸不符时的价款确定。</w:t>
      </w:r>
    </w:p>
    <w:p w14:paraId="6F179D6C">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u w:val="single"/>
        </w:rPr>
        <w:t>工程变更导致实际完成的变更工程量与已标价清单或预算书中列明的该项目工程量有偏差时，其综合单价的确定按专用条款“11.1工程量清单错误的修正”执行。</w:t>
      </w:r>
    </w:p>
    <w:p w14:paraId="4FCBC571">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10.5 承包人的合理化建议</w:t>
      </w:r>
    </w:p>
    <w:p w14:paraId="31A74929">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监理人审查承包人合理化建议的期限：</w:t>
      </w:r>
      <w:r>
        <w:rPr>
          <w:rFonts w:hint="eastAsia" w:ascii="宋体" w:hAnsi="宋体" w:cs="宋体"/>
          <w:color w:val="auto"/>
          <w:sz w:val="24"/>
          <w:highlight w:val="none"/>
          <w:u w:val="single"/>
        </w:rPr>
        <w:t xml:space="preserve">  3 天内审查完毕并报发包人</w:t>
      </w:r>
      <w:r>
        <w:rPr>
          <w:rFonts w:hint="eastAsia" w:ascii="宋体" w:hAnsi="宋体" w:cs="宋体"/>
          <w:color w:val="auto"/>
          <w:sz w:val="24"/>
          <w:highlight w:val="none"/>
        </w:rPr>
        <w:t>。</w:t>
      </w:r>
    </w:p>
    <w:p w14:paraId="6CEADAA6">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发包人审批承包人合理化建议的期限：</w:t>
      </w:r>
      <w:r>
        <w:rPr>
          <w:rFonts w:hint="eastAsia" w:ascii="宋体" w:hAnsi="宋体" w:cs="宋体"/>
          <w:color w:val="auto"/>
          <w:sz w:val="24"/>
          <w:highlight w:val="none"/>
          <w:u w:val="single"/>
        </w:rPr>
        <w:t xml:space="preserve">  收到监理人报送的合理化建议后 7 天内审批完毕 </w:t>
      </w:r>
      <w:r>
        <w:rPr>
          <w:rFonts w:hint="eastAsia" w:ascii="宋体" w:hAnsi="宋体" w:cs="宋体"/>
          <w:color w:val="auto"/>
          <w:sz w:val="24"/>
          <w:highlight w:val="none"/>
        </w:rPr>
        <w:t>。</w:t>
      </w:r>
    </w:p>
    <w:p w14:paraId="7669850F">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承包人提出的合理化建议降低了合同价格或者提高了工程经济效益的奖励的方法和金额为：</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368B8F1B">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10.7 暂估价</w:t>
      </w:r>
    </w:p>
    <w:p w14:paraId="13741785">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暂估价材料和工程设备的明细详见已标价工程量清单《</w:t>
      </w:r>
      <w:r>
        <w:rPr>
          <w:rFonts w:hint="eastAsia" w:ascii="宋体" w:hAnsi="宋体" w:cs="宋体"/>
          <w:color w:val="auto"/>
          <w:sz w:val="24"/>
          <w:highlight w:val="none"/>
        </w:rPr>
        <w:t>材料（工程设备）暂估价格及调整表》</w:t>
      </w:r>
      <w:r>
        <w:rPr>
          <w:rFonts w:hint="eastAsia" w:ascii="宋体" w:hAnsi="宋体" w:cs="宋体"/>
          <w:color w:val="auto"/>
          <w:kern w:val="0"/>
          <w:sz w:val="24"/>
          <w:highlight w:val="none"/>
        </w:rPr>
        <w:t>（表12-2）和《</w:t>
      </w:r>
      <w:r>
        <w:rPr>
          <w:rFonts w:hint="eastAsia" w:ascii="宋体" w:hAnsi="宋体" w:cs="宋体"/>
          <w:color w:val="auto"/>
          <w:sz w:val="24"/>
          <w:highlight w:val="none"/>
        </w:rPr>
        <w:t>专业工程暂估价表》（</w:t>
      </w:r>
      <w:r>
        <w:rPr>
          <w:rFonts w:hint="eastAsia" w:ascii="宋体" w:hAnsi="宋体" w:cs="宋体"/>
          <w:color w:val="auto"/>
          <w:kern w:val="0"/>
          <w:sz w:val="24"/>
          <w:highlight w:val="none"/>
        </w:rPr>
        <w:t>表12-3）。</w:t>
      </w:r>
    </w:p>
    <w:p w14:paraId="57E66734">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10.7.1 依法必须招标的暂估价项目</w:t>
      </w:r>
    </w:p>
    <w:p w14:paraId="1887DFD1">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对于依法必须招标的暂估价项目的确认和批准采取第</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种方式确定。</w:t>
      </w:r>
    </w:p>
    <w:p w14:paraId="3A4028D5">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10.7.2 不属于依法必须招标的暂估价项目</w:t>
      </w:r>
    </w:p>
    <w:p w14:paraId="13661820">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对于不属于依法必须招标的暂估价项目的确认和批准采取第</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 xml:space="preserve"> 种方式确定。</w:t>
      </w:r>
    </w:p>
    <w:p w14:paraId="024427B8">
      <w:pPr>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第3种方式：</w:t>
      </w:r>
      <w:r>
        <w:rPr>
          <w:rFonts w:hint="eastAsia" w:ascii="宋体" w:hAnsi="宋体" w:cs="宋体"/>
          <w:color w:val="auto"/>
          <w:kern w:val="0"/>
          <w:sz w:val="24"/>
          <w:highlight w:val="none"/>
        </w:rPr>
        <w:t>承包人直接实施的暂估价项目</w:t>
      </w:r>
    </w:p>
    <w:p w14:paraId="440D3710">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承包人直接实施的暂估价项目的约定：</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2E0E1F9E">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10.8 暂列金额</w:t>
      </w:r>
    </w:p>
    <w:p w14:paraId="7FADBF00">
      <w:pPr>
        <w:autoSpaceDE w:val="0"/>
        <w:autoSpaceDN w:val="0"/>
        <w:adjustRightInd w:val="0"/>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kern w:val="0"/>
          <w:sz w:val="24"/>
          <w:highlight w:val="none"/>
        </w:rPr>
        <w:t>合同当事人关于暂列金额使用的约定：</w:t>
      </w:r>
      <w:r>
        <w:rPr>
          <w:rFonts w:hint="eastAsia" w:ascii="宋体" w:hAnsi="宋体" w:cs="宋体"/>
          <w:color w:val="auto"/>
          <w:sz w:val="24"/>
          <w:highlight w:val="none"/>
          <w:u w:val="single"/>
        </w:rPr>
        <w:t xml:space="preserve">     调整       </w:t>
      </w:r>
      <w:r>
        <w:rPr>
          <w:rFonts w:hint="eastAsia" w:ascii="宋体" w:hAnsi="宋体" w:cs="宋体"/>
          <w:color w:val="auto"/>
          <w:kern w:val="0"/>
          <w:sz w:val="24"/>
          <w:highlight w:val="none"/>
        </w:rPr>
        <w:t>。</w:t>
      </w:r>
    </w:p>
    <w:p w14:paraId="198A7050">
      <w:pPr>
        <w:pStyle w:val="4"/>
        <w:numPr>
          <w:ilvl w:val="0"/>
          <w:numId w:val="4"/>
        </w:numPr>
        <w:spacing w:line="360" w:lineRule="auto"/>
        <w:ind w:left="885" w:hanging="360"/>
        <w:rPr>
          <w:rFonts w:hint="eastAsia" w:ascii="宋体" w:hAnsi="宋体" w:cs="宋体"/>
          <w:color w:val="auto"/>
          <w:sz w:val="24"/>
          <w:szCs w:val="24"/>
          <w:highlight w:val="none"/>
        </w:rPr>
      </w:pPr>
      <w:r>
        <w:rPr>
          <w:rFonts w:hint="eastAsia" w:ascii="宋体" w:hAnsi="宋体" w:cs="宋体"/>
          <w:color w:val="auto"/>
          <w:sz w:val="24"/>
          <w:szCs w:val="24"/>
          <w:highlight w:val="none"/>
        </w:rPr>
        <w:t>价格调整</w:t>
      </w:r>
    </w:p>
    <w:p w14:paraId="30AECC9C">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11.1 市场价格波动引起的调整</w:t>
      </w:r>
    </w:p>
    <w:p w14:paraId="32E0DE09">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市场价格波动是否调整合同价格的约定：</w:t>
      </w:r>
      <w:r>
        <w:rPr>
          <w:rFonts w:hint="eastAsia" w:ascii="宋体" w:hAnsi="宋体" w:cs="宋体"/>
          <w:color w:val="auto"/>
          <w:sz w:val="24"/>
          <w:highlight w:val="none"/>
          <w:u w:val="single"/>
        </w:rPr>
        <w:t>钢筋、钢材、商品混凝土、沥青、商品砂浆、水泥、砂、石、砖、砌块、电线电缆主要材料市场价格涨跌超过5%予以调整</w:t>
      </w:r>
      <w:r>
        <w:rPr>
          <w:rFonts w:hint="eastAsia" w:ascii="宋体" w:hAnsi="宋体" w:cs="宋体"/>
          <w:color w:val="auto"/>
          <w:sz w:val="24"/>
          <w:highlight w:val="none"/>
        </w:rPr>
        <w:t>。</w:t>
      </w:r>
    </w:p>
    <w:p w14:paraId="61D50721">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因市场价格波动调整合同价格，采用以下第</w:t>
      </w:r>
      <w:r>
        <w:rPr>
          <w:rFonts w:hint="eastAsia" w:ascii="宋体" w:hAnsi="宋体" w:cs="宋体"/>
          <w:color w:val="auto"/>
          <w:sz w:val="24"/>
          <w:highlight w:val="none"/>
          <w:u w:val="single"/>
        </w:rPr>
        <w:t xml:space="preserve">  2  </w:t>
      </w:r>
      <w:r>
        <w:rPr>
          <w:rFonts w:hint="eastAsia" w:ascii="宋体" w:hAnsi="宋体" w:cs="宋体"/>
          <w:color w:val="auto"/>
          <w:sz w:val="24"/>
          <w:highlight w:val="none"/>
        </w:rPr>
        <w:t>种方式对合同价格进行调整：</w:t>
      </w:r>
    </w:p>
    <w:p w14:paraId="7D055FC5">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第1种方式：采用价格指数进行价格调整。</w:t>
      </w:r>
    </w:p>
    <w:p w14:paraId="0B58E7C2">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关于各可调因子、定值和变值权重，以及基本价格指数及其来源的约定：</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 xml:space="preserve">；  </w:t>
      </w:r>
    </w:p>
    <w:p w14:paraId="4CC582CE">
      <w:pPr>
        <w:pStyle w:val="226"/>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关于基准价格的约定：</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w:t>
      </w:r>
    </w:p>
    <w:p w14:paraId="2E7D0CF3">
      <w:pPr>
        <w:spacing w:line="360" w:lineRule="auto"/>
        <w:ind w:firstLine="456" w:firstLineChars="200"/>
        <w:jc w:val="left"/>
        <w:rPr>
          <w:rFonts w:hAnsi="宋体"/>
          <w:color w:val="auto"/>
          <w:sz w:val="24"/>
          <w:highlight w:val="none"/>
        </w:rPr>
      </w:pPr>
      <w:r>
        <w:rPr>
          <w:rFonts w:hint="eastAsia" w:ascii="宋体" w:hAnsi="宋体" w:cs="宋体"/>
          <w:color w:val="auto"/>
          <w:spacing w:val="-6"/>
          <w:sz w:val="24"/>
          <w:highlight w:val="none"/>
        </w:rPr>
        <w:t>第2种方式：</w:t>
      </w:r>
      <w:r>
        <w:rPr>
          <w:rFonts w:hint="eastAsia" w:hAnsi="宋体" w:cs="宋体"/>
          <w:color w:val="auto"/>
          <w:sz w:val="24"/>
          <w:highlight w:val="none"/>
        </w:rPr>
        <w:t>采用造价信息进行价格调整。</w:t>
      </w:r>
    </w:p>
    <w:p w14:paraId="1EE10847">
      <w:pPr>
        <w:spacing w:line="360" w:lineRule="auto"/>
        <w:ind w:firstLine="480" w:firstLineChars="200"/>
        <w:jc w:val="left"/>
        <w:rPr>
          <w:rFonts w:hAnsi="宋体"/>
          <w:color w:val="auto"/>
          <w:sz w:val="24"/>
          <w:highlight w:val="none"/>
        </w:rPr>
      </w:pPr>
      <w:r>
        <w:rPr>
          <w:rFonts w:hint="eastAsia" w:hAnsi="宋体" w:cs="宋体"/>
          <w:color w:val="auto"/>
          <w:sz w:val="24"/>
          <w:highlight w:val="none"/>
        </w:rPr>
        <w:t>（</w:t>
      </w:r>
      <w:r>
        <w:rPr>
          <w:color w:val="auto"/>
          <w:sz w:val="24"/>
          <w:highlight w:val="none"/>
        </w:rPr>
        <w:t>1</w:t>
      </w:r>
      <w:r>
        <w:rPr>
          <w:rFonts w:hint="eastAsia" w:hAnsi="宋体" w:cs="宋体"/>
          <w:color w:val="auto"/>
          <w:sz w:val="24"/>
          <w:highlight w:val="none"/>
        </w:rPr>
        <w:t>）允许调整主要材料和</w:t>
      </w:r>
      <w:r>
        <w:rPr>
          <w:rFonts w:hAnsi="宋体" w:cs="宋体"/>
          <w:color w:val="auto"/>
          <w:sz w:val="24"/>
          <w:highlight w:val="none"/>
          <w:lang w:val="en"/>
        </w:rPr>
        <w:t>工程</w:t>
      </w:r>
      <w:r>
        <w:rPr>
          <w:rFonts w:hint="eastAsia" w:hAnsi="宋体" w:cs="宋体"/>
          <w:color w:val="auto"/>
          <w:sz w:val="24"/>
          <w:highlight w:val="none"/>
        </w:rPr>
        <w:t>设备、基期价格、风险系数、投标报价详见《</w:t>
      </w:r>
      <w:r>
        <w:rPr>
          <w:rFonts w:hAnsi="宋体" w:cs="宋体"/>
          <w:color w:val="auto"/>
          <w:sz w:val="24"/>
          <w:highlight w:val="none"/>
          <w:lang w:val="en"/>
        </w:rPr>
        <w:t>允许调整</w:t>
      </w:r>
      <w:r>
        <w:rPr>
          <w:rFonts w:hint="eastAsia" w:hAnsi="宋体" w:cs="宋体"/>
          <w:color w:val="auto"/>
          <w:sz w:val="24"/>
          <w:highlight w:val="none"/>
        </w:rPr>
        <w:t>主要材料和</w:t>
      </w:r>
      <w:r>
        <w:rPr>
          <w:rFonts w:hAnsi="宋体" w:cs="宋体"/>
          <w:color w:val="auto"/>
          <w:sz w:val="24"/>
          <w:highlight w:val="none"/>
          <w:lang w:val="en"/>
        </w:rPr>
        <w:t>工程</w:t>
      </w:r>
      <w:r>
        <w:rPr>
          <w:rFonts w:hint="eastAsia" w:hAnsi="宋体" w:cs="宋体"/>
          <w:color w:val="auto"/>
          <w:sz w:val="24"/>
          <w:highlight w:val="none"/>
        </w:rPr>
        <w:t>设备一览表》</w:t>
      </w:r>
      <w:r>
        <w:rPr>
          <w:rFonts w:hint="eastAsia" w:ascii="宋体" w:hAnsi="宋体"/>
          <w:color w:val="auto"/>
          <w:kern w:val="0"/>
          <w:sz w:val="24"/>
          <w:highlight w:val="none"/>
        </w:rPr>
        <w:t>（表</w:t>
      </w:r>
      <w:r>
        <w:rPr>
          <w:rFonts w:ascii="宋体" w:hAnsi="宋体"/>
          <w:color w:val="auto"/>
          <w:kern w:val="0"/>
          <w:sz w:val="24"/>
          <w:highlight w:val="none"/>
        </w:rPr>
        <w:t>-22</w:t>
      </w:r>
      <w:r>
        <w:rPr>
          <w:rFonts w:hint="eastAsia" w:ascii="宋体" w:hAnsi="宋体"/>
          <w:color w:val="auto"/>
          <w:kern w:val="0"/>
          <w:sz w:val="24"/>
          <w:highlight w:val="none"/>
        </w:rPr>
        <w:t>）</w:t>
      </w:r>
      <w:r>
        <w:rPr>
          <w:rFonts w:hint="eastAsia" w:hAnsi="宋体" w:cs="宋体"/>
          <w:color w:val="auto"/>
          <w:sz w:val="24"/>
          <w:highlight w:val="none"/>
        </w:rPr>
        <w:t>,价</w:t>
      </w:r>
      <w:r>
        <w:rPr>
          <w:rFonts w:hAnsi="宋体" w:cs="宋体"/>
          <w:color w:val="auto"/>
          <w:sz w:val="24"/>
          <w:highlight w:val="none"/>
        </w:rPr>
        <w:t>差</w:t>
      </w:r>
      <w:r>
        <w:rPr>
          <w:rFonts w:hint="eastAsia" w:ascii="Calibri" w:hAnsi="宋体" w:cs="宋体"/>
          <w:color w:val="auto"/>
          <w:sz w:val="24"/>
          <w:highlight w:val="none"/>
        </w:rPr>
        <w:t>调整部分仅计算税金，除此表列明的材料、设备外，其余材料设备价差原则上不予调整。</w:t>
      </w:r>
    </w:p>
    <w:p w14:paraId="4211EE35">
      <w:pPr>
        <w:spacing w:line="360" w:lineRule="auto"/>
        <w:ind w:firstLine="480" w:firstLineChars="200"/>
        <w:jc w:val="left"/>
        <w:rPr>
          <w:rFonts w:hAnsi="宋体"/>
          <w:color w:val="auto"/>
          <w:sz w:val="24"/>
          <w:highlight w:val="none"/>
        </w:rPr>
      </w:pPr>
      <w:r>
        <w:rPr>
          <w:rFonts w:hint="eastAsia" w:hAnsi="宋体" w:cs="宋体"/>
          <w:color w:val="auto"/>
          <w:sz w:val="24"/>
          <w:highlight w:val="none"/>
        </w:rPr>
        <w:t>（</w:t>
      </w:r>
      <w:r>
        <w:rPr>
          <w:color w:val="auto"/>
          <w:sz w:val="24"/>
          <w:highlight w:val="none"/>
        </w:rPr>
        <w:t>2</w:t>
      </w:r>
      <w:r>
        <w:rPr>
          <w:rFonts w:hint="eastAsia" w:hAnsi="宋体" w:cs="宋体"/>
          <w:color w:val="auto"/>
          <w:sz w:val="24"/>
          <w:highlight w:val="none"/>
        </w:rPr>
        <w:t>）主要材料和</w:t>
      </w:r>
      <w:r>
        <w:rPr>
          <w:rFonts w:hAnsi="宋体" w:cs="宋体"/>
          <w:color w:val="auto"/>
          <w:sz w:val="24"/>
          <w:highlight w:val="none"/>
          <w:lang w:val="en"/>
        </w:rPr>
        <w:t>工程</w:t>
      </w:r>
      <w:r>
        <w:rPr>
          <w:rFonts w:hint="eastAsia" w:hAnsi="宋体" w:cs="宋体"/>
          <w:color w:val="auto"/>
          <w:sz w:val="24"/>
          <w:highlight w:val="none"/>
        </w:rPr>
        <w:t>设备确认价：</w:t>
      </w:r>
    </w:p>
    <w:p w14:paraId="1F71CCCE">
      <w:pPr>
        <w:spacing w:line="360" w:lineRule="auto"/>
        <w:ind w:firstLine="480" w:firstLineChars="200"/>
        <w:jc w:val="left"/>
        <w:rPr>
          <w:color w:val="auto"/>
          <w:sz w:val="24"/>
          <w:highlight w:val="none"/>
        </w:rPr>
      </w:pPr>
      <w:r>
        <w:rPr>
          <w:rFonts w:hint="eastAsia" w:hAnsi="宋体" w:cs="宋体"/>
          <w:color w:val="auto"/>
          <w:sz w:val="24"/>
          <w:highlight w:val="none"/>
        </w:rPr>
        <w:t>按施工期间《</w:t>
      </w:r>
      <w:r>
        <w:rPr>
          <w:color w:val="auto"/>
          <w:sz w:val="24"/>
          <w:highlight w:val="none"/>
          <w:u w:val="single"/>
        </w:rPr>
        <w:t xml:space="preserve"> </w:t>
      </w:r>
      <w:r>
        <w:rPr>
          <w:rFonts w:hint="eastAsia"/>
          <w:color w:val="auto"/>
          <w:sz w:val="24"/>
          <w:highlight w:val="none"/>
          <w:u w:val="single"/>
        </w:rPr>
        <w:t>贵港</w:t>
      </w:r>
      <w:r>
        <w:rPr>
          <w:color w:val="auto"/>
          <w:sz w:val="24"/>
          <w:highlight w:val="none"/>
          <w:u w:val="single"/>
        </w:rPr>
        <w:t xml:space="preserve"> </w:t>
      </w:r>
      <w:r>
        <w:rPr>
          <w:rFonts w:hint="eastAsia" w:hAnsi="宋体" w:cs="宋体"/>
          <w:color w:val="auto"/>
          <w:sz w:val="24"/>
          <w:highlight w:val="none"/>
        </w:rPr>
        <w:t>市建设工程造价信息》材料信息价的加权平均价计算，信息价没有的按通用条款规定确定。</w:t>
      </w:r>
    </w:p>
    <w:p w14:paraId="62C783FF">
      <w:pPr>
        <w:spacing w:line="360" w:lineRule="auto"/>
        <w:ind w:firstLine="480" w:firstLineChars="200"/>
        <w:jc w:val="left"/>
        <w:rPr>
          <w:rFonts w:hAnsi="宋体"/>
          <w:color w:val="auto"/>
          <w:sz w:val="24"/>
          <w:highlight w:val="none"/>
        </w:rPr>
      </w:pPr>
      <w:r>
        <w:rPr>
          <w:rFonts w:hint="eastAsia" w:hAnsi="宋体" w:cs="宋体"/>
          <w:color w:val="auto"/>
          <w:sz w:val="24"/>
          <w:highlight w:val="none"/>
        </w:rPr>
        <w:t>（</w:t>
      </w:r>
      <w:r>
        <w:rPr>
          <w:color w:val="auto"/>
          <w:sz w:val="24"/>
          <w:highlight w:val="none"/>
        </w:rPr>
        <w:t>3</w:t>
      </w:r>
      <w:r>
        <w:rPr>
          <w:rFonts w:hint="eastAsia" w:hAnsi="宋体" w:cs="宋体"/>
          <w:color w:val="auto"/>
          <w:sz w:val="24"/>
          <w:highlight w:val="none"/>
        </w:rPr>
        <w:t>）价差计算方法：</w:t>
      </w:r>
    </w:p>
    <w:p w14:paraId="53A20918">
      <w:pPr>
        <w:spacing w:line="360" w:lineRule="auto"/>
        <w:ind w:firstLine="480" w:firstLineChars="200"/>
        <w:jc w:val="left"/>
        <w:rPr>
          <w:rFonts w:hAnsi="宋体"/>
          <w:color w:val="auto"/>
          <w:sz w:val="24"/>
          <w:highlight w:val="none"/>
        </w:rPr>
      </w:pPr>
      <w:r>
        <w:rPr>
          <w:rFonts w:hint="eastAsia" w:hAnsi="宋体" w:cs="宋体"/>
          <w:color w:val="auto"/>
          <w:sz w:val="24"/>
          <w:highlight w:val="none"/>
        </w:rPr>
        <w:t>①《</w:t>
      </w:r>
      <w:r>
        <w:rPr>
          <w:rFonts w:hAnsi="宋体" w:cs="宋体"/>
          <w:color w:val="auto"/>
          <w:sz w:val="24"/>
          <w:highlight w:val="none"/>
          <w:lang w:val="en"/>
        </w:rPr>
        <w:t>允许调整</w:t>
      </w:r>
      <w:r>
        <w:rPr>
          <w:rFonts w:hint="eastAsia" w:hAnsi="宋体" w:cs="宋体"/>
          <w:color w:val="auto"/>
          <w:sz w:val="24"/>
          <w:highlight w:val="none"/>
        </w:rPr>
        <w:t>主要材料和工程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14:paraId="6163B97E">
      <w:pPr>
        <w:spacing w:line="360" w:lineRule="auto"/>
        <w:ind w:firstLine="480" w:firstLineChars="200"/>
        <w:jc w:val="left"/>
        <w:rPr>
          <w:rFonts w:hAnsi="宋体"/>
          <w:color w:val="auto"/>
          <w:sz w:val="24"/>
          <w:highlight w:val="none"/>
        </w:rPr>
      </w:pPr>
      <w:r>
        <w:rPr>
          <w:rFonts w:hint="eastAsia" w:hAnsi="宋体" w:cs="宋体"/>
          <w:color w:val="auto"/>
          <w:sz w:val="24"/>
          <w:highlight w:val="none"/>
        </w:rPr>
        <w:t>②承包人在《</w:t>
      </w:r>
      <w:r>
        <w:rPr>
          <w:rFonts w:hAnsi="宋体" w:cs="宋体"/>
          <w:color w:val="auto"/>
          <w:sz w:val="24"/>
          <w:highlight w:val="none"/>
          <w:lang w:val="en"/>
        </w:rPr>
        <w:t>允许调整</w:t>
      </w:r>
      <w:r>
        <w:rPr>
          <w:rFonts w:hint="eastAsia" w:hAnsi="宋体" w:cs="宋体"/>
          <w:color w:val="auto"/>
          <w:sz w:val="24"/>
          <w:highlight w:val="none"/>
        </w:rPr>
        <w:t>主要材料和工程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3BE4D216">
      <w:pPr>
        <w:spacing w:line="360" w:lineRule="auto"/>
        <w:ind w:firstLine="480" w:firstLineChars="200"/>
        <w:jc w:val="left"/>
        <w:rPr>
          <w:rFonts w:hint="eastAsia" w:ascii="宋体" w:hAnsi="宋体" w:cs="宋体"/>
          <w:color w:val="auto"/>
          <w:sz w:val="24"/>
          <w:highlight w:val="none"/>
        </w:rPr>
      </w:pPr>
      <w:r>
        <w:rPr>
          <w:rFonts w:hint="eastAsia" w:hAnsi="宋体" w:cs="宋体"/>
          <w:color w:val="auto"/>
          <w:sz w:val="24"/>
          <w:highlight w:val="none"/>
        </w:rPr>
        <w:t>③承包人在《</w:t>
      </w:r>
      <w:r>
        <w:rPr>
          <w:rFonts w:hAnsi="宋体" w:cs="宋体"/>
          <w:color w:val="auto"/>
          <w:sz w:val="24"/>
          <w:highlight w:val="none"/>
          <w:lang w:val="en"/>
        </w:rPr>
        <w:t>允许调整</w:t>
      </w:r>
      <w:r>
        <w:rPr>
          <w:rFonts w:hint="eastAsia" w:hAnsi="宋体" w:cs="宋体"/>
          <w:color w:val="auto"/>
          <w:sz w:val="24"/>
          <w:highlight w:val="none"/>
        </w:rPr>
        <w:t>主要材料和工程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7EFF9608">
      <w:pPr>
        <w:pStyle w:val="4"/>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12. 合同价格、计量与支付</w:t>
      </w:r>
    </w:p>
    <w:p w14:paraId="5CF106EA">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12.1 合同价格形式</w:t>
      </w:r>
    </w:p>
    <w:p w14:paraId="0B8DC6A7">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本工程采用</w:t>
      </w:r>
      <w:r>
        <w:rPr>
          <w:rFonts w:hint="eastAsia" w:ascii="宋体" w:hAnsi="宋体" w:cs="宋体"/>
          <w:color w:val="auto"/>
          <w:sz w:val="24"/>
          <w:highlight w:val="none"/>
          <w:u w:val="single"/>
        </w:rPr>
        <w:t xml:space="preserve">  固定综合单价    </w:t>
      </w:r>
      <w:r>
        <w:rPr>
          <w:rFonts w:hint="eastAsia" w:ascii="宋体" w:hAnsi="宋体" w:cs="宋体"/>
          <w:color w:val="auto"/>
          <w:sz w:val="24"/>
          <w:highlight w:val="none"/>
        </w:rPr>
        <w:t>合同价格形式，合同价格包含增值税，本工程计价时采用的增值税计税方法为：</w:t>
      </w:r>
      <w:r>
        <w:rPr>
          <w:rFonts w:hint="eastAsia" w:ascii="宋体" w:hAnsi="宋体" w:cs="宋体"/>
          <w:color w:val="auto"/>
          <w:sz w:val="24"/>
          <w:highlight w:val="none"/>
        </w:rPr>
        <w:sym w:font="Wingdings 2" w:char="00A3"/>
      </w:r>
      <w:r>
        <w:rPr>
          <w:rFonts w:hint="eastAsia" w:ascii="宋体" w:hAnsi="宋体" w:cs="宋体"/>
          <w:color w:val="auto"/>
          <w:sz w:val="24"/>
          <w:highlight w:val="none"/>
        </w:rPr>
        <w:t xml:space="preserve">一般计税法   </w:t>
      </w:r>
      <w:r>
        <w:rPr>
          <w:rFonts w:hint="eastAsia" w:ascii="宋体" w:hAnsi="宋体" w:cs="宋体"/>
          <w:color w:val="auto"/>
          <w:sz w:val="24"/>
          <w:highlight w:val="none"/>
        </w:rPr>
        <w:sym w:font="Wingdings 2" w:char="0052"/>
      </w:r>
      <w:r>
        <w:rPr>
          <w:rFonts w:hint="eastAsia" w:ascii="宋体" w:hAnsi="宋体" w:cs="宋体"/>
          <w:color w:val="auto"/>
          <w:sz w:val="24"/>
          <w:highlight w:val="none"/>
        </w:rPr>
        <w:t>简易计税法。</w:t>
      </w:r>
    </w:p>
    <w:p w14:paraId="747BCA3A">
      <w:pPr>
        <w:spacing w:line="360" w:lineRule="auto"/>
        <w:ind w:firstLine="480" w:firstLineChars="200"/>
        <w:jc w:val="left"/>
        <w:rPr>
          <w:rFonts w:hAnsi="宋体"/>
          <w:color w:val="auto"/>
          <w:sz w:val="24"/>
          <w:highlight w:val="none"/>
        </w:rPr>
      </w:pPr>
      <w:r>
        <w:rPr>
          <w:rFonts w:hint="eastAsia" w:hAnsi="宋体" w:cs="宋体"/>
          <w:color w:val="auto"/>
          <w:sz w:val="24"/>
          <w:highlight w:val="none"/>
        </w:rPr>
        <w:t>（</w:t>
      </w:r>
      <w:r>
        <w:rPr>
          <w:rFonts w:hAnsi="宋体"/>
          <w:color w:val="auto"/>
          <w:sz w:val="24"/>
          <w:highlight w:val="none"/>
        </w:rPr>
        <w:t>1</w:t>
      </w:r>
      <w:r>
        <w:rPr>
          <w:rFonts w:hint="eastAsia" w:hAnsi="宋体" w:cs="宋体"/>
          <w:color w:val="auto"/>
          <w:sz w:val="24"/>
          <w:highlight w:val="none"/>
        </w:rPr>
        <w:t>）单价合同。</w:t>
      </w:r>
    </w:p>
    <w:p w14:paraId="6359474C">
      <w:pPr>
        <w:spacing w:line="360" w:lineRule="auto"/>
        <w:ind w:firstLine="480" w:firstLineChars="200"/>
        <w:jc w:val="left"/>
        <w:rPr>
          <w:rFonts w:hAnsi="宋体"/>
          <w:color w:val="auto"/>
          <w:sz w:val="24"/>
          <w:highlight w:val="none"/>
        </w:rPr>
      </w:pPr>
      <w:r>
        <w:rPr>
          <w:rFonts w:hint="eastAsia" w:hAnsi="宋体" w:cs="宋体"/>
          <w:color w:val="auto"/>
          <w:sz w:val="24"/>
          <w:highlight w:val="none"/>
        </w:rPr>
        <w:t>采用综合单价合同方式时，工程量按建设单位、监理单位、施工单位三方确认的竣工图结算。</w:t>
      </w:r>
    </w:p>
    <w:p w14:paraId="017EB9BF">
      <w:pPr>
        <w:spacing w:line="360" w:lineRule="auto"/>
        <w:ind w:firstLine="480" w:firstLineChars="200"/>
        <w:jc w:val="left"/>
        <w:rPr>
          <w:rFonts w:hAnsi="宋体"/>
          <w:color w:val="auto"/>
          <w:sz w:val="24"/>
          <w:highlight w:val="none"/>
        </w:rPr>
      </w:pPr>
      <w:r>
        <w:rPr>
          <w:rFonts w:hint="eastAsia" w:hAnsi="宋体" w:cs="宋体"/>
          <w:color w:val="auto"/>
          <w:sz w:val="24"/>
          <w:highlight w:val="none"/>
        </w:rPr>
        <w:t>综合单价包含的风险范围：</w:t>
      </w:r>
      <w:r>
        <w:rPr>
          <w:rFonts w:hint="eastAsia" w:hAnsi="宋体" w:cs="宋体"/>
          <w:color w:val="auto"/>
          <w:sz w:val="24"/>
          <w:highlight w:val="none"/>
          <w:u w:val="single"/>
        </w:rPr>
        <w:t>除工程变更、项目特征不符、工程量清单缺项、工程量偏差、政策性调整、市场价格波动。</w:t>
      </w:r>
    </w:p>
    <w:p w14:paraId="527DE949">
      <w:pPr>
        <w:spacing w:line="360" w:lineRule="auto"/>
        <w:ind w:firstLine="480" w:firstLineChars="200"/>
        <w:jc w:val="left"/>
        <w:rPr>
          <w:rFonts w:hAnsi="宋体" w:cs="宋体"/>
          <w:color w:val="auto"/>
          <w:sz w:val="24"/>
          <w:highlight w:val="none"/>
        </w:rPr>
      </w:pPr>
      <w:r>
        <w:rPr>
          <w:rFonts w:hint="eastAsia" w:hAnsi="宋体" w:cs="宋体"/>
          <w:color w:val="auto"/>
          <w:sz w:val="24"/>
          <w:highlight w:val="none"/>
        </w:rPr>
        <w:t>风险范围以外合同价格的调整方法：</w:t>
      </w:r>
    </w:p>
    <w:p w14:paraId="2495B3AA">
      <w:pPr>
        <w:spacing w:line="360" w:lineRule="auto"/>
        <w:ind w:firstLine="480" w:firstLineChars="200"/>
        <w:jc w:val="left"/>
        <w:rPr>
          <w:rFonts w:hint="eastAsia" w:hAnsi="宋体" w:cs="宋体"/>
          <w:color w:val="auto"/>
          <w:sz w:val="24"/>
          <w:highlight w:val="none"/>
        </w:rPr>
      </w:pPr>
      <w:r>
        <w:rPr>
          <w:rFonts w:hint="eastAsia" w:hAnsi="宋体" w:cs="宋体"/>
          <w:color w:val="auto"/>
          <w:sz w:val="24"/>
          <w:highlight w:val="none"/>
        </w:rPr>
        <w:t>①工程变更</w:t>
      </w:r>
      <w:r>
        <w:rPr>
          <w:rFonts w:hint="eastAsia" w:ascii="Calibri" w:hAnsi="宋体" w:cs="宋体"/>
          <w:color w:val="auto"/>
          <w:sz w:val="24"/>
          <w:highlight w:val="none"/>
        </w:rPr>
        <w:t>、项目特征不符、工程量清单缺项</w:t>
      </w:r>
      <w:r>
        <w:rPr>
          <w:rFonts w:hint="eastAsia" w:hAnsi="宋体" w:cs="宋体"/>
          <w:color w:val="auto"/>
          <w:sz w:val="24"/>
          <w:highlight w:val="none"/>
        </w:rPr>
        <w:t>：按</w:t>
      </w:r>
      <w:r>
        <w:rPr>
          <w:rFonts w:hAnsi="宋体" w:cs="宋体"/>
          <w:color w:val="auto"/>
          <w:sz w:val="24"/>
          <w:highlight w:val="none"/>
        </w:rPr>
        <w:t>10.4.1</w:t>
      </w:r>
      <w:r>
        <w:rPr>
          <w:rFonts w:hint="eastAsia" w:hAnsi="宋体" w:cs="宋体"/>
          <w:color w:val="auto"/>
          <w:sz w:val="24"/>
          <w:highlight w:val="none"/>
        </w:rPr>
        <w:t>变更估价原则的约定调整。</w:t>
      </w:r>
    </w:p>
    <w:p w14:paraId="4FB98D09">
      <w:pPr>
        <w:spacing w:line="360" w:lineRule="auto"/>
        <w:ind w:firstLine="480" w:firstLineChars="200"/>
        <w:jc w:val="left"/>
        <w:rPr>
          <w:rFonts w:hint="eastAsia" w:hAnsi="宋体" w:cs="宋体"/>
          <w:color w:val="auto"/>
          <w:sz w:val="24"/>
          <w:highlight w:val="none"/>
        </w:rPr>
      </w:pPr>
      <w:r>
        <w:rPr>
          <w:rFonts w:hint="eastAsia" w:hAnsi="宋体" w:cs="宋体"/>
          <w:color w:val="auto"/>
          <w:sz w:val="24"/>
          <w:highlight w:val="none"/>
        </w:rPr>
        <w:t>②</w:t>
      </w:r>
      <w:r>
        <w:rPr>
          <w:rFonts w:hint="eastAsia" w:ascii="Calibri" w:hAnsi="宋体" w:cs="宋体"/>
          <w:color w:val="auto"/>
          <w:sz w:val="24"/>
          <w:highlight w:val="none"/>
        </w:rPr>
        <w:t>工程量偏差：按1.13工程量清单错误修正的约定调整。</w:t>
      </w:r>
    </w:p>
    <w:p w14:paraId="217804AF">
      <w:pPr>
        <w:spacing w:line="360" w:lineRule="auto"/>
        <w:ind w:firstLine="480" w:firstLineChars="200"/>
        <w:jc w:val="left"/>
        <w:rPr>
          <w:rFonts w:hAnsi="宋体" w:cs="宋体"/>
          <w:color w:val="auto"/>
          <w:sz w:val="24"/>
          <w:highlight w:val="none"/>
        </w:rPr>
      </w:pPr>
      <w:r>
        <w:rPr>
          <w:rFonts w:hint="eastAsia" w:hAnsi="宋体" w:cs="宋体"/>
          <w:color w:val="auto"/>
          <w:sz w:val="24"/>
          <w:highlight w:val="none"/>
        </w:rPr>
        <w:t>③政策性调整：</w:t>
      </w:r>
      <w:r>
        <w:rPr>
          <w:rFonts w:hint="eastAsia" w:ascii="仿宋_GB2312" w:hAnsi="宋体"/>
          <w:color w:val="auto"/>
          <w:sz w:val="24"/>
          <w:highlight w:val="none"/>
        </w:rPr>
        <w:t>按国家、自治区住房城乡建设厅或工程所在地市级住房城乡建设主管部门颁布的文件执行</w:t>
      </w:r>
      <w:r>
        <w:rPr>
          <w:rFonts w:hint="eastAsia" w:hAnsi="宋体" w:cs="宋体"/>
          <w:color w:val="auto"/>
          <w:sz w:val="24"/>
          <w:highlight w:val="none"/>
        </w:rPr>
        <w:t>。</w:t>
      </w:r>
    </w:p>
    <w:p w14:paraId="31F32B41">
      <w:pPr>
        <w:spacing w:line="360" w:lineRule="auto"/>
        <w:ind w:firstLine="480" w:firstLineChars="200"/>
        <w:jc w:val="left"/>
        <w:rPr>
          <w:rFonts w:hAnsi="宋体" w:cs="宋体"/>
          <w:color w:val="auto"/>
          <w:sz w:val="24"/>
          <w:highlight w:val="none"/>
        </w:rPr>
      </w:pPr>
      <w:r>
        <w:rPr>
          <w:rFonts w:hint="eastAsia" w:hAnsi="宋体" w:cs="宋体"/>
          <w:color w:val="auto"/>
          <w:sz w:val="24"/>
          <w:highlight w:val="none"/>
        </w:rPr>
        <w:t>④市场波动引起的调整：按</w:t>
      </w:r>
      <w:r>
        <w:rPr>
          <w:rFonts w:hAnsi="宋体" w:cs="宋体"/>
          <w:color w:val="auto"/>
          <w:sz w:val="24"/>
          <w:highlight w:val="none"/>
        </w:rPr>
        <w:t>11.1</w:t>
      </w:r>
      <w:r>
        <w:rPr>
          <w:rFonts w:hint="eastAsia" w:hAnsi="宋体" w:cs="宋体"/>
          <w:color w:val="auto"/>
          <w:sz w:val="24"/>
          <w:highlight w:val="none"/>
        </w:rPr>
        <w:t>的约定调整。</w:t>
      </w:r>
    </w:p>
    <w:p w14:paraId="77B086E1">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12.2 预付款</w:t>
      </w:r>
    </w:p>
    <w:p w14:paraId="69DB1B80">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12.2.1 预付款的支付</w:t>
      </w:r>
    </w:p>
    <w:p w14:paraId="712C1B18">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预付款支付比例或金额：</w:t>
      </w:r>
      <w:r>
        <w:rPr>
          <w:rFonts w:hint="eastAsia" w:ascii="宋体" w:hAnsi="宋体" w:cs="宋体"/>
          <w:color w:val="auto"/>
          <w:sz w:val="24"/>
          <w:highlight w:val="none"/>
          <w:u w:val="single"/>
        </w:rPr>
        <w:t xml:space="preserve"> 支付合同价款的30%作为工程预付款（扣除安全文明施工费）</w:t>
      </w:r>
    </w:p>
    <w:p w14:paraId="23A3E0E2">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预付款支付期限：</w:t>
      </w:r>
      <w:r>
        <w:rPr>
          <w:rFonts w:hint="eastAsia" w:ascii="宋体" w:hAnsi="宋体" w:cs="宋体"/>
          <w:color w:val="auto"/>
          <w:sz w:val="24"/>
          <w:highlight w:val="none"/>
          <w:u w:val="single"/>
        </w:rPr>
        <w:t xml:space="preserve"> 合同签订后 30天之内  </w:t>
      </w:r>
      <w:r>
        <w:rPr>
          <w:rFonts w:hint="eastAsia" w:ascii="宋体" w:hAnsi="宋体" w:cs="宋体"/>
          <w:color w:val="auto"/>
          <w:sz w:val="24"/>
          <w:highlight w:val="none"/>
        </w:rPr>
        <w:t>。</w:t>
      </w:r>
    </w:p>
    <w:p w14:paraId="71CB275D">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预付款扣回的方式：</w:t>
      </w:r>
      <w:r>
        <w:rPr>
          <w:rFonts w:hint="eastAsia" w:ascii="宋体" w:hAnsi="宋体" w:cs="宋体"/>
          <w:color w:val="auto"/>
          <w:sz w:val="24"/>
          <w:highlight w:val="none"/>
          <w:u w:val="single"/>
        </w:rPr>
        <w:t>工程量达到60%时工程进度款一次性拨付至合同价款的50%（扣除前期支付的30%工程预付款，本次实际支付进度款为合同金额的20%）。</w:t>
      </w:r>
    </w:p>
    <w:p w14:paraId="378E4988">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12.2.2 预付款担保</w:t>
      </w:r>
    </w:p>
    <w:p w14:paraId="66265E59">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承包人提交预付款担保的期限：</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0999EC80">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12.3 计量</w:t>
      </w:r>
    </w:p>
    <w:p w14:paraId="2C19598E">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12.3.1 计量原则</w:t>
      </w:r>
    </w:p>
    <w:p w14:paraId="70A80D05">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工程量计算规则：</w:t>
      </w:r>
      <w:r>
        <w:rPr>
          <w:rFonts w:hint="eastAsia" w:ascii="宋体" w:hAnsi="宋体" w:cs="宋体"/>
          <w:color w:val="auto"/>
          <w:sz w:val="24"/>
          <w:highlight w:val="none"/>
          <w:u w:val="single"/>
        </w:rPr>
        <w:t>工程的计量均以《建设工程工程量清单计价规范》（GB50500－2013）及广西壮族自治区实施细则、《建设工程工程量清单计算规范》（GB50854~50862－2013）及广西实施细则、本工程补充项目清单为准。</w:t>
      </w:r>
    </w:p>
    <w:p w14:paraId="020E938A">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12.3.2 计量周期</w:t>
      </w:r>
    </w:p>
    <w:p w14:paraId="082C4F91">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关于计量周期的约定：</w:t>
      </w:r>
      <w:r>
        <w:rPr>
          <w:rFonts w:hint="eastAsia" w:ascii="宋体" w:hAnsi="宋体" w:cs="宋体"/>
          <w:color w:val="auto"/>
          <w:sz w:val="24"/>
          <w:highlight w:val="none"/>
          <w:u w:val="single"/>
        </w:rPr>
        <w:t>每月25日前</w:t>
      </w:r>
      <w:r>
        <w:rPr>
          <w:rFonts w:hint="eastAsia" w:ascii="宋体" w:hAnsi="宋体" w:cs="宋体"/>
          <w:color w:val="auto"/>
          <w:sz w:val="24"/>
          <w:highlight w:val="none"/>
        </w:rPr>
        <w:t>。</w:t>
      </w:r>
    </w:p>
    <w:p w14:paraId="4E3941F2">
      <w:pPr>
        <w:spacing w:line="360" w:lineRule="auto"/>
        <w:ind w:firstLine="480" w:firstLineChars="200"/>
        <w:jc w:val="left"/>
        <w:outlineLvl w:val="0"/>
        <w:rPr>
          <w:rFonts w:hint="eastAsia" w:ascii="宋体" w:hAnsi="宋体" w:cs="宋体"/>
          <w:color w:val="auto"/>
          <w:sz w:val="24"/>
          <w:highlight w:val="none"/>
        </w:rPr>
      </w:pPr>
      <w:r>
        <w:rPr>
          <w:rFonts w:hint="eastAsia" w:ascii="宋体" w:hAnsi="宋体" w:cs="宋体"/>
          <w:color w:val="auto"/>
          <w:sz w:val="24"/>
          <w:highlight w:val="none"/>
        </w:rPr>
        <w:t>12.3.3 单价合同的计量</w:t>
      </w:r>
    </w:p>
    <w:p w14:paraId="595C2BAC">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关于单价合同计量的约定：</w:t>
      </w:r>
    </w:p>
    <w:p w14:paraId="622C1904">
      <w:pPr>
        <w:spacing w:line="360" w:lineRule="auto"/>
        <w:ind w:firstLine="504" w:firstLineChars="210"/>
        <w:rPr>
          <w:rFonts w:hint="eastAsia" w:ascii="宋体" w:hAnsi="宋体" w:cs="宋体"/>
          <w:color w:val="auto"/>
          <w:sz w:val="24"/>
          <w:highlight w:val="none"/>
        </w:rPr>
      </w:pPr>
      <w:r>
        <w:rPr>
          <w:rFonts w:hint="eastAsia" w:ascii="宋体" w:hAnsi="宋体" w:cs="宋体"/>
          <w:color w:val="auto"/>
          <w:sz w:val="24"/>
          <w:highlight w:val="none"/>
        </w:rPr>
        <w:t>(1) 工程量清单所列的工程量，不能作为承包人按合同履行其责任依据，实际施工中发生的工程量增加或减少并不影响承包人履行合同的责任，工程结算以完成的实际工程量为准。</w:t>
      </w:r>
    </w:p>
    <w:p w14:paraId="622FB310">
      <w:pPr>
        <w:spacing w:line="360" w:lineRule="auto"/>
        <w:ind w:firstLine="504" w:firstLineChars="210"/>
        <w:rPr>
          <w:rFonts w:hint="eastAsia" w:ascii="宋体" w:hAnsi="宋体" w:cs="宋体"/>
          <w:color w:val="auto"/>
          <w:sz w:val="24"/>
          <w:highlight w:val="none"/>
        </w:rPr>
      </w:pPr>
      <w:r>
        <w:rPr>
          <w:rFonts w:hint="eastAsia" w:ascii="宋体" w:hAnsi="宋体" w:cs="宋体"/>
          <w:color w:val="auto"/>
          <w:sz w:val="24"/>
          <w:highlight w:val="none"/>
        </w:rPr>
        <w:t>(2) 除另有规定外，工程师应按照合同通过计量来核实确定已完成的工程量和价款，承包人应得到该价款扣除保留金后的金额。当工程师要对已完工的工程量进行计量时，应适时地通知承包人参加。</w:t>
      </w:r>
    </w:p>
    <w:p w14:paraId="7DA5B12E">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12.3.4 总价合同的计量</w:t>
      </w:r>
    </w:p>
    <w:p w14:paraId="258CF7EE">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（1）总价合同计量约定：进度款按支付分解表支付</w:t>
      </w:r>
      <w:r>
        <w:rPr>
          <w:rFonts w:hint="eastAsia" w:ascii="宋体" w:hAnsi="宋体" w:cs="宋体"/>
          <w:color w:val="auto"/>
          <w:kern w:val="0"/>
          <w:sz w:val="24"/>
          <w:highlight w:val="none"/>
        </w:rPr>
        <w:t>，</w:t>
      </w:r>
      <w:r>
        <w:rPr>
          <w:rFonts w:hint="eastAsia" w:ascii="宋体" w:hAnsi="宋体" w:cs="宋体"/>
          <w:color w:val="auto"/>
          <w:sz w:val="24"/>
          <w:highlight w:val="none"/>
        </w:rPr>
        <w:t>支付分解表在招标完成后签合同之前制定，具体详见本专用合同条款12.4.6。</w:t>
      </w:r>
    </w:p>
    <w:p w14:paraId="6CB51641">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12.3.6 其他价格形式合同的计量</w:t>
      </w:r>
    </w:p>
    <w:p w14:paraId="26E735FF">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其他价格形式的计量方式和程序：</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256A79AF">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12.4 工程进度款支付</w:t>
      </w:r>
    </w:p>
    <w:p w14:paraId="37B5B3F3">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12.4.1 付款周期</w:t>
      </w:r>
    </w:p>
    <w:p w14:paraId="6ACEA67F">
      <w:pPr>
        <w:spacing w:line="360" w:lineRule="auto"/>
        <w:ind w:firstLine="480" w:firstLineChars="200"/>
        <w:jc w:val="left"/>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u w:val="single"/>
        </w:rPr>
        <w:t>①合同签订后，按工程进度拨付工程进度款，工程量达到60%时工程进度款拨付至合同价款的50%（扣除前期支付的30%工程预付款，本次实际支付进度款为合同金额的20%），工程完工后支付至合同价款的</w:t>
      </w:r>
      <w:r>
        <w:rPr>
          <w:rFonts w:hint="eastAsia" w:ascii="宋体" w:hAnsi="宋体" w:cs="宋体"/>
          <w:color w:val="auto"/>
          <w:sz w:val="24"/>
          <w:highlight w:val="none"/>
          <w:u w:val="single"/>
          <w:lang w:eastAsia="zh-CN"/>
        </w:rPr>
        <w:t>80%</w:t>
      </w:r>
      <w:r>
        <w:rPr>
          <w:rFonts w:hint="eastAsia" w:ascii="宋体" w:hAnsi="宋体" w:cs="宋体"/>
          <w:color w:val="auto"/>
          <w:sz w:val="24"/>
          <w:highlight w:val="none"/>
          <w:u w:val="single"/>
        </w:rPr>
        <w:t>，经结算审计后支付至</w:t>
      </w:r>
      <w:r>
        <w:rPr>
          <w:rFonts w:hint="eastAsia" w:ascii="宋体" w:hAnsi="宋体" w:cs="宋体"/>
          <w:color w:val="auto"/>
          <w:sz w:val="24"/>
          <w:highlight w:val="none"/>
          <w:u w:val="single"/>
          <w:lang w:eastAsia="zh-CN"/>
        </w:rPr>
        <w:t>结算总价</w:t>
      </w:r>
      <w:r>
        <w:rPr>
          <w:rFonts w:hint="eastAsia" w:ascii="宋体" w:hAnsi="宋体" w:eastAsia="宋体" w:cs="宋体"/>
          <w:color w:val="auto"/>
          <w:sz w:val="24"/>
          <w:highlight w:val="none"/>
          <w:u w:val="single"/>
          <w:lang w:eastAsia="zh-CN"/>
        </w:rPr>
        <w:t>的100%。质量保证金总额为结算总价的3%，承包人可按照结算总价的3%提供质保保函或缴纳质量保证金到发包人指定的账户后工程款可支付至100%，质量保证金待工程缺陷责任期满后承包人无违约行为发生的情况下，由承包人提出申请，发包人在7个工作日内无息返还。</w:t>
      </w:r>
    </w:p>
    <w:p w14:paraId="6AD67FA9">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u w:val="single"/>
        </w:rPr>
        <w:t xml:space="preserve">②合同约定的工程质量缺陷责任期（最长不超过 2 年）满后由承包人向发包人提出返还保证金的申请，发包人在接到承包人返还保证金申请后，于 14 天内会同承包人按照合同约定的内容进行核实。如无异议，发包人在核实后 </w:t>
      </w:r>
      <w:r>
        <w:rPr>
          <w:rFonts w:hint="eastAsia" w:ascii="宋体" w:hAnsi="宋体" w:eastAsia="宋体" w:cs="宋体"/>
          <w:color w:val="auto"/>
          <w:sz w:val="24"/>
          <w:highlight w:val="none"/>
          <w:u w:val="single"/>
          <w:lang w:eastAsia="zh-CN"/>
        </w:rPr>
        <w:t>7个工作日内将</w:t>
      </w:r>
      <w:r>
        <w:rPr>
          <w:rFonts w:hint="eastAsia" w:ascii="宋体" w:hAnsi="宋体" w:cs="宋体"/>
          <w:color w:val="auto"/>
          <w:sz w:val="24"/>
          <w:highlight w:val="none"/>
          <w:u w:val="single"/>
        </w:rPr>
        <w:t xml:space="preserve">保证金返还承包人，逾期未返还的，依法承担违约责任。发包人在接到承包人返还保证金申请后 14 天内不予答复，经催告后 14 天内仍不予答复，视同认可承包人的返还保证金申请。 </w:t>
      </w:r>
    </w:p>
    <w:p w14:paraId="2E3DFBD6">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u w:val="single"/>
        </w:rPr>
        <w:fldChar w:fldCharType="begin"/>
      </w:r>
      <w:r>
        <w:rPr>
          <w:rFonts w:hint="eastAsia" w:ascii="宋体" w:hAnsi="宋体" w:cs="宋体"/>
          <w:color w:val="auto"/>
          <w:sz w:val="24"/>
          <w:highlight w:val="none"/>
          <w:u w:val="single"/>
        </w:rPr>
        <w:instrText xml:space="preserve"> = 3 \* GB3 </w:instrText>
      </w:r>
      <w:r>
        <w:rPr>
          <w:rFonts w:hint="eastAsia" w:ascii="宋体" w:hAnsi="宋体" w:cs="宋体"/>
          <w:color w:val="auto"/>
          <w:sz w:val="24"/>
          <w:highlight w:val="none"/>
          <w:u w:val="single"/>
        </w:rPr>
        <w:fldChar w:fldCharType="separate"/>
      </w:r>
      <w:r>
        <w:rPr>
          <w:rFonts w:hint="eastAsia" w:ascii="宋体" w:hAnsi="宋体" w:cs="宋体"/>
          <w:color w:val="auto"/>
          <w:sz w:val="24"/>
          <w:highlight w:val="none"/>
          <w:u w:val="single"/>
        </w:rPr>
        <w:t>③</w:t>
      </w:r>
      <w:r>
        <w:rPr>
          <w:rFonts w:hint="eastAsia" w:ascii="宋体" w:hAnsi="宋体" w:cs="宋体"/>
          <w:color w:val="auto"/>
          <w:sz w:val="24"/>
          <w:highlight w:val="none"/>
          <w:u w:val="single"/>
        </w:rPr>
        <w:fldChar w:fldCharType="end"/>
      </w:r>
      <w:r>
        <w:rPr>
          <w:rFonts w:hint="eastAsia" w:ascii="宋体" w:hAnsi="宋体" w:cs="宋体"/>
          <w:color w:val="auto"/>
          <w:sz w:val="24"/>
          <w:highlight w:val="none"/>
          <w:u w:val="single"/>
        </w:rPr>
        <w:t>合同约定的工程质量缺陷责任期（最长不超过2年）满后由承包人向发包人提出返还保证金的申请，发包人在接到承包人返还保证金申请后，于14天内会同承包人按照合同约定的内容进行核实。如无异议，发包人在核实后14天内将保证金返还承包人，逾期未返还的，依法承担违约责任。发包人在接到承包人返还保证金申请后14天内不予答复，经催告后14天内仍不予答复，视同认可承包人的返还保证金申请。</w:t>
      </w:r>
    </w:p>
    <w:p w14:paraId="6282CB4F">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12.4.2 进度付款申请单的编制</w:t>
      </w:r>
    </w:p>
    <w:p w14:paraId="682AB444">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关于进度付款申请单编制的约定：</w:t>
      </w:r>
      <w:r>
        <w:rPr>
          <w:rFonts w:hint="eastAsia" w:ascii="宋体" w:hAnsi="宋体" w:cs="宋体"/>
          <w:color w:val="auto"/>
          <w:sz w:val="24"/>
          <w:highlight w:val="none"/>
          <w:u w:val="single"/>
        </w:rPr>
        <w:t xml:space="preserve">      每月 25 日前     </w:t>
      </w:r>
      <w:r>
        <w:rPr>
          <w:rFonts w:hint="eastAsia" w:ascii="宋体" w:hAnsi="宋体" w:cs="宋体"/>
          <w:color w:val="auto"/>
          <w:sz w:val="24"/>
          <w:highlight w:val="none"/>
        </w:rPr>
        <w:t>。</w:t>
      </w:r>
    </w:p>
    <w:p w14:paraId="56E9CCF4">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12.4.3 进度付款申请单的提交</w:t>
      </w:r>
    </w:p>
    <w:p w14:paraId="217FA80D">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（1）单价合同进度付款申请单提交的约定：</w:t>
      </w:r>
      <w:r>
        <w:rPr>
          <w:rFonts w:hint="eastAsia" w:ascii="宋体" w:hAnsi="宋体" w:cs="宋体"/>
          <w:color w:val="auto"/>
          <w:sz w:val="24"/>
          <w:highlight w:val="none"/>
          <w:u w:val="single"/>
        </w:rPr>
        <w:t xml:space="preserve">   承包人每月 25 日，向发包人递交当月已完工程量工程进度款申请，并附已完成工程量报表   </w:t>
      </w:r>
      <w:r>
        <w:rPr>
          <w:rFonts w:hint="eastAsia" w:ascii="宋体" w:hAnsi="宋体" w:cs="宋体"/>
          <w:color w:val="auto"/>
          <w:sz w:val="24"/>
          <w:highlight w:val="none"/>
        </w:rPr>
        <w:t>。</w:t>
      </w:r>
    </w:p>
    <w:p w14:paraId="11B52544">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（2）总价合同进度付款申请单提交的约定：</w:t>
      </w:r>
      <w:r>
        <w:rPr>
          <w:rFonts w:hint="eastAsia" w:ascii="宋体" w:hAnsi="宋体" w:cs="宋体"/>
          <w:color w:val="auto"/>
          <w:sz w:val="24"/>
          <w:highlight w:val="none"/>
          <w:u w:val="single"/>
        </w:rPr>
        <w:t xml:space="preserve"> 承包人应在每个计量周期到期后的 7 天内向发包人提交已完工程进度款支付申请一式六份，详细说明此周期自己认为有权得到的款额，包括分包人已完工程的价款   </w:t>
      </w:r>
      <w:r>
        <w:rPr>
          <w:rFonts w:hint="eastAsia" w:ascii="宋体" w:hAnsi="宋体" w:cs="宋体"/>
          <w:color w:val="auto"/>
          <w:sz w:val="24"/>
          <w:highlight w:val="none"/>
        </w:rPr>
        <w:t>。</w:t>
      </w:r>
    </w:p>
    <w:p w14:paraId="1980CD88">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（3）其他价格形式合同进度付款申请单提交的约定：</w:t>
      </w:r>
      <w:r>
        <w:rPr>
          <w:rFonts w:hint="eastAsia" w:ascii="宋体" w:hAnsi="宋体" w:cs="宋体"/>
          <w:color w:val="auto"/>
          <w:sz w:val="24"/>
          <w:highlight w:val="none"/>
          <w:u w:val="single"/>
        </w:rPr>
        <w:t xml:space="preserve">     每月 25 日前    </w:t>
      </w:r>
      <w:r>
        <w:rPr>
          <w:rFonts w:hint="eastAsia" w:ascii="宋体" w:hAnsi="宋体" w:cs="宋体"/>
          <w:color w:val="auto"/>
          <w:sz w:val="24"/>
          <w:highlight w:val="none"/>
        </w:rPr>
        <w:t>。</w:t>
      </w:r>
    </w:p>
    <w:p w14:paraId="18CEDBA1">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12.4.4 进度款审核和支付</w:t>
      </w:r>
    </w:p>
    <w:p w14:paraId="19500C79">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（1）监理人审查并报送发包人的期限：</w:t>
      </w:r>
      <w:r>
        <w:rPr>
          <w:rFonts w:hint="eastAsia" w:ascii="宋体" w:hAnsi="宋体" w:cs="宋体"/>
          <w:color w:val="auto"/>
          <w:sz w:val="24"/>
          <w:highlight w:val="none"/>
          <w:u w:val="single"/>
        </w:rPr>
        <w:t xml:space="preserve"> 监理人应在收到承包人进度付款申请单以及相关资料后 7 天内完成审查并报送发包人   </w:t>
      </w:r>
      <w:r>
        <w:rPr>
          <w:rFonts w:hint="eastAsia" w:ascii="宋体" w:hAnsi="宋体" w:cs="宋体"/>
          <w:color w:val="auto"/>
          <w:sz w:val="24"/>
          <w:highlight w:val="none"/>
        </w:rPr>
        <w:t>。</w:t>
      </w:r>
    </w:p>
    <w:p w14:paraId="4964CD3A">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发包人完成审批并签发进度款支付证书的期限：</w:t>
      </w:r>
      <w:r>
        <w:rPr>
          <w:rFonts w:hint="eastAsia" w:ascii="宋体" w:hAnsi="宋体" w:cs="宋体"/>
          <w:color w:val="auto"/>
          <w:sz w:val="24"/>
          <w:highlight w:val="none"/>
          <w:u w:val="single"/>
        </w:rPr>
        <w:t xml:space="preserve">发包人应在收到后 7 天内完成审批并签发进度款支付证书       </w:t>
      </w:r>
      <w:r>
        <w:rPr>
          <w:rFonts w:hint="eastAsia" w:ascii="宋体" w:hAnsi="宋体" w:cs="宋体"/>
          <w:color w:val="auto"/>
          <w:sz w:val="24"/>
          <w:highlight w:val="none"/>
        </w:rPr>
        <w:t>。</w:t>
      </w:r>
    </w:p>
    <w:p w14:paraId="11D91FE6">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（2）发包人支付进度款的期限：</w:t>
      </w:r>
      <w:r>
        <w:rPr>
          <w:rFonts w:hint="eastAsia" w:ascii="宋体" w:hAnsi="宋体" w:cs="宋体"/>
          <w:color w:val="auto"/>
          <w:sz w:val="24"/>
          <w:highlight w:val="none"/>
          <w:u w:val="single"/>
        </w:rPr>
        <w:t xml:space="preserve">  进度款支付证书签发后 7 天内  </w:t>
      </w:r>
      <w:r>
        <w:rPr>
          <w:rFonts w:hint="eastAsia" w:ascii="宋体" w:hAnsi="宋体" w:cs="宋体"/>
          <w:color w:val="auto"/>
          <w:sz w:val="24"/>
          <w:highlight w:val="none"/>
        </w:rPr>
        <w:t>。</w:t>
      </w:r>
    </w:p>
    <w:p w14:paraId="3D0443BE">
      <w:pPr>
        <w:spacing w:line="360" w:lineRule="auto"/>
        <w:ind w:firstLine="600" w:firstLineChars="250"/>
        <w:jc w:val="left"/>
        <w:rPr>
          <w:rFonts w:hint="eastAsia" w:ascii="宋体" w:hAnsi="宋体" w:cs="宋体"/>
          <w:color w:val="auto"/>
          <w:sz w:val="24"/>
          <w:highlight w:val="none"/>
        </w:rPr>
      </w:pPr>
      <w:r>
        <w:rPr>
          <w:rFonts w:hint="eastAsia" w:ascii="宋体" w:hAnsi="宋体" w:cs="宋体"/>
          <w:color w:val="auto"/>
          <w:sz w:val="24"/>
          <w:highlight w:val="none"/>
        </w:rPr>
        <w:t>发包人逾期支付进度款的违约金的计算方式：</w:t>
      </w:r>
      <w:r>
        <w:rPr>
          <w:rFonts w:hint="eastAsia" w:ascii="宋体" w:hAnsi="宋体" w:cs="宋体"/>
          <w:color w:val="auto"/>
          <w:sz w:val="24"/>
          <w:highlight w:val="none"/>
          <w:u w:val="single"/>
        </w:rPr>
        <w:t xml:space="preserve">   按《通用合同条款》执行 </w:t>
      </w:r>
      <w:r>
        <w:rPr>
          <w:rFonts w:hint="eastAsia" w:ascii="宋体" w:hAnsi="宋体" w:cs="宋体"/>
          <w:color w:val="auto"/>
          <w:sz w:val="24"/>
          <w:highlight w:val="none"/>
        </w:rPr>
        <w:t>。</w:t>
      </w:r>
    </w:p>
    <w:p w14:paraId="1BA4C0F9">
      <w:pPr>
        <w:spacing w:line="360" w:lineRule="auto"/>
        <w:ind w:firstLine="720" w:firstLineChars="300"/>
        <w:rPr>
          <w:rFonts w:hint="eastAsia" w:ascii="宋体" w:hAnsi="宋体" w:cs="宋体"/>
          <w:color w:val="auto"/>
          <w:sz w:val="24"/>
          <w:highlight w:val="none"/>
        </w:rPr>
      </w:pPr>
      <w:r>
        <w:rPr>
          <w:rFonts w:hint="eastAsia" w:ascii="宋体" w:hAnsi="宋体" w:cs="宋体"/>
          <w:color w:val="auto"/>
          <w:sz w:val="24"/>
          <w:highlight w:val="none"/>
        </w:rPr>
        <w:t>进度款支付方式：</w:t>
      </w:r>
      <w:r>
        <w:rPr>
          <w:rFonts w:hint="eastAsia" w:ascii="宋体" w:hAnsi="宋体" w:cs="宋体"/>
          <w:color w:val="auto"/>
          <w:sz w:val="24"/>
          <w:highlight w:val="none"/>
          <w:u w:val="single"/>
        </w:rPr>
        <w:t>银行转账</w:t>
      </w:r>
      <w:r>
        <w:rPr>
          <w:rFonts w:hint="eastAsia" w:ascii="宋体" w:hAnsi="宋体" w:cs="宋体"/>
          <w:color w:val="auto"/>
          <w:sz w:val="24"/>
          <w:highlight w:val="none"/>
        </w:rPr>
        <w:t>。进度款支付申请（核准）表见合同附件11。</w:t>
      </w:r>
    </w:p>
    <w:p w14:paraId="1F1B2B5A">
      <w:pPr>
        <w:spacing w:line="360" w:lineRule="auto"/>
        <w:ind w:firstLine="600" w:firstLineChars="250"/>
        <w:jc w:val="left"/>
        <w:rPr>
          <w:rFonts w:hint="eastAsia" w:ascii="宋体" w:hAnsi="宋体" w:cs="宋体"/>
          <w:color w:val="auto"/>
          <w:sz w:val="24"/>
          <w:highlight w:val="none"/>
        </w:rPr>
      </w:pPr>
      <w:r>
        <w:rPr>
          <w:rFonts w:hint="eastAsia" w:ascii="宋体" w:hAnsi="宋体" w:cs="宋体"/>
          <w:color w:val="auto"/>
          <w:sz w:val="24"/>
          <w:highlight w:val="none"/>
        </w:rPr>
        <w:t>（3） 农民工工资支付</w:t>
      </w:r>
    </w:p>
    <w:p w14:paraId="7931DACA">
      <w:pPr>
        <w:spacing w:line="360" w:lineRule="auto"/>
        <w:ind w:firstLine="600" w:firstLineChars="2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14:paraId="459C2A6F">
      <w:pPr>
        <w:spacing w:line="360" w:lineRule="auto"/>
        <w:ind w:firstLine="600" w:firstLineChars="2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2）人工费应与工程进度款分</w:t>
      </w:r>
      <w:r>
        <w:rPr>
          <w:rFonts w:hint="eastAsia" w:ascii="宋体" w:hAnsi="宋体" w:cs="宋体"/>
          <w:color w:val="auto"/>
          <w:kern w:val="0"/>
          <w:sz w:val="24"/>
          <w:highlight w:val="none"/>
          <w:lang w:eastAsia="zh-CN"/>
        </w:rPr>
        <w:t>账</w:t>
      </w:r>
      <w:r>
        <w:rPr>
          <w:rFonts w:hint="eastAsia" w:ascii="宋体" w:hAnsi="宋体" w:cs="宋体"/>
          <w:color w:val="auto"/>
          <w:kern w:val="0"/>
          <w:sz w:val="24"/>
          <w:highlight w:val="none"/>
        </w:rPr>
        <w:t>管理。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w:t>
      </w:r>
      <w:r>
        <w:rPr>
          <w:rFonts w:hint="eastAsia" w:ascii="宋体" w:hAnsi="宋体" w:cs="宋体"/>
          <w:color w:val="auto"/>
          <w:kern w:val="0"/>
          <w:sz w:val="24"/>
          <w:highlight w:val="none"/>
          <w:lang w:eastAsia="zh-CN"/>
        </w:rPr>
        <w:t>账</w:t>
      </w:r>
      <w:r>
        <w:rPr>
          <w:rFonts w:hint="eastAsia" w:ascii="宋体" w:hAnsi="宋体" w:cs="宋体"/>
          <w:color w:val="auto"/>
          <w:kern w:val="0"/>
          <w:sz w:val="24"/>
          <w:highlight w:val="none"/>
        </w:rPr>
        <w:t>出来的人工费转入承包人农民工工资支付专用账户，转入农民工工资支付专用账户环节必须有银行流水凭证。</w:t>
      </w:r>
    </w:p>
    <w:p w14:paraId="354D3E8D">
      <w:pPr>
        <w:spacing w:line="360" w:lineRule="auto"/>
        <w:ind w:firstLine="600" w:firstLineChars="2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3）发包人依据工程进度，审核承包人申报的工程进度款，按照与承包人约定的人工费支付比例</w:t>
      </w:r>
      <w:r>
        <w:rPr>
          <w:rFonts w:hint="eastAsia" w:ascii="宋体" w:hAnsi="宋体" w:cs="宋体"/>
          <w:color w:val="auto"/>
          <w:kern w:val="0"/>
          <w:sz w:val="24"/>
          <w:highlight w:val="none"/>
          <w:u w:val="single"/>
        </w:rPr>
        <w:t xml:space="preserve"> 15 </w:t>
      </w:r>
      <w:r>
        <w:rPr>
          <w:rFonts w:hint="eastAsia" w:ascii="宋体" w:hAnsi="宋体" w:cs="宋体"/>
          <w:color w:val="auto"/>
          <w:kern w:val="0"/>
          <w:sz w:val="24"/>
          <w:highlight w:val="none"/>
        </w:rPr>
        <w:t>%（房建项目不少于20%，市政项目不少于15%），将人工费及时足额拨付至承包人的农民工工资专用账户，其余工程进度款项由发包人支付到承包人的单位基本户。</w:t>
      </w:r>
    </w:p>
    <w:p w14:paraId="4A5D682D">
      <w:pPr>
        <w:spacing w:line="360" w:lineRule="auto"/>
        <w:ind w:firstLine="600" w:firstLineChars="2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4）工程建设领域总包单位对农民工工资支付负总责，推行分包单位农民工工资委托总包单位代发制度（以下简称总包代发制度）。工程建设项目施行总包代发制度的，总包单位与分包单位签订委托工资支付协议。 </w:t>
      </w:r>
    </w:p>
    <w:p w14:paraId="0ECC5EAC">
      <w:pPr>
        <w:spacing w:line="360" w:lineRule="auto"/>
        <w:ind w:firstLine="600" w:firstLineChars="2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5）凡未向付款单位提供农民工工资专用账户的，或者请款单位在申请工程进度款时未将人工费单列的，付款单位有权拒绝支付工程进度款。</w:t>
      </w:r>
    </w:p>
    <w:p w14:paraId="37DCB487">
      <w:pPr>
        <w:spacing w:line="360" w:lineRule="auto"/>
        <w:ind w:firstLine="600" w:firstLineChars="2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6）人工费使用要求：专款专用，除发放农民工工资外，不得用于其他用途。</w:t>
      </w:r>
    </w:p>
    <w:p w14:paraId="2D3EFEDC">
      <w:pPr>
        <w:spacing w:line="360" w:lineRule="auto"/>
        <w:ind w:firstLine="600" w:firstLineChars="2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7）承包人将人工费支付情况定期报告发包人和监理单位，并提供相应的材料接受建设行政主管部门和劳动保障行政主管部门对此事项监管。</w:t>
      </w:r>
    </w:p>
    <w:p w14:paraId="7880BF43">
      <w:pPr>
        <w:autoSpaceDE w:val="0"/>
        <w:autoSpaceDN w:val="0"/>
        <w:adjustRightInd w:val="0"/>
        <w:spacing w:line="360" w:lineRule="auto"/>
        <w:ind w:firstLine="480" w:firstLineChars="200"/>
        <w:jc w:val="left"/>
        <w:rPr>
          <w:rFonts w:hint="eastAsia" w:ascii="宋体" w:hAnsi="宋体" w:cs="宋体"/>
          <w:b/>
          <w:bCs/>
          <w:color w:val="auto"/>
          <w:sz w:val="24"/>
          <w:highlight w:val="none"/>
          <w:u w:val="single"/>
        </w:rPr>
      </w:pPr>
      <w:r>
        <w:rPr>
          <w:rFonts w:hint="eastAsia" w:ascii="宋体" w:hAnsi="宋体" w:cs="宋体"/>
          <w:color w:val="auto"/>
          <w:kern w:val="0"/>
          <w:sz w:val="24"/>
          <w:highlight w:val="none"/>
        </w:rPr>
        <w:t>8）</w:t>
      </w:r>
      <w:r>
        <w:rPr>
          <w:rFonts w:hint="eastAsia" w:ascii="宋体" w:hAnsi="宋体" w:cs="宋体"/>
          <w:b/>
          <w:bCs/>
          <w:color w:val="auto"/>
          <w:sz w:val="24"/>
          <w:highlight w:val="none"/>
        </w:rPr>
        <w:t>人工费支付专用账户</w:t>
      </w:r>
      <w:r>
        <w:rPr>
          <w:rFonts w:hint="eastAsia" w:ascii="宋体" w:hAnsi="宋体" w:cs="宋体"/>
          <w:b/>
          <w:bCs/>
          <w:color w:val="auto"/>
          <w:spacing w:val="-6"/>
          <w:sz w:val="24"/>
          <w:highlight w:val="none"/>
        </w:rPr>
        <w:t>：</w:t>
      </w:r>
      <w:r>
        <w:rPr>
          <w:rFonts w:hint="eastAsia" w:ascii="宋体" w:hAnsi="宋体" w:cs="宋体"/>
          <w:b/>
          <w:bCs/>
          <w:color w:val="auto"/>
          <w:spacing w:val="-6"/>
          <w:sz w:val="24"/>
          <w:highlight w:val="none"/>
          <w:u w:val="single"/>
        </w:rPr>
        <w:t xml:space="preserve">      </w:t>
      </w:r>
      <w:r>
        <w:rPr>
          <w:rFonts w:hint="eastAsia" w:ascii="宋体" w:hAnsi="宋体" w:cs="宋体"/>
          <w:b/>
          <w:bCs/>
          <w:color w:val="auto"/>
          <w:spacing w:val="-6"/>
          <w:sz w:val="24"/>
          <w:highlight w:val="none"/>
        </w:rPr>
        <w:t>。</w:t>
      </w:r>
    </w:p>
    <w:p w14:paraId="5D1F769E">
      <w:pPr>
        <w:spacing w:line="360" w:lineRule="auto"/>
        <w:ind w:firstLine="723" w:firstLineChars="300"/>
        <w:rPr>
          <w:rFonts w:hint="eastAsia" w:ascii="宋体" w:hAnsi="宋体" w:cs="宋体"/>
          <w:b/>
          <w:bCs/>
          <w:color w:val="auto"/>
          <w:sz w:val="24"/>
          <w:highlight w:val="none"/>
        </w:rPr>
      </w:pPr>
      <w:r>
        <w:rPr>
          <w:rFonts w:hint="eastAsia" w:ascii="宋体" w:hAnsi="宋体" w:cs="宋体"/>
          <w:b/>
          <w:bCs/>
          <w:color w:val="auto"/>
          <w:sz w:val="24"/>
          <w:highlight w:val="none"/>
        </w:rPr>
        <w:t>账号：</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w:t>
      </w:r>
    </w:p>
    <w:p w14:paraId="3179B331">
      <w:pPr>
        <w:pStyle w:val="230"/>
        <w:spacing w:line="360" w:lineRule="auto"/>
        <w:ind w:firstLine="723" w:firstLineChars="300"/>
        <w:rPr>
          <w:rFonts w:hint="eastAsia" w:ascii="宋体" w:hAnsi="宋体" w:cs="宋体"/>
          <w:color w:val="auto"/>
          <w:sz w:val="24"/>
          <w:szCs w:val="24"/>
          <w:highlight w:val="none"/>
        </w:rPr>
      </w:pPr>
      <w:r>
        <w:rPr>
          <w:rFonts w:hint="eastAsia" w:ascii="宋体" w:hAnsi="宋体" w:cs="宋体"/>
          <w:b/>
          <w:bCs/>
          <w:color w:val="auto"/>
          <w:sz w:val="24"/>
          <w:szCs w:val="24"/>
          <w:highlight w:val="none"/>
        </w:rPr>
        <w:t>开户银行：</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w:t>
      </w:r>
    </w:p>
    <w:p w14:paraId="02FC0655">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（4）农民工工资保证金：</w:t>
      </w:r>
    </w:p>
    <w:p w14:paraId="6CA87CD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农民工工资</w:t>
      </w:r>
      <w:r>
        <w:rPr>
          <w:rFonts w:hint="eastAsia" w:ascii="宋体" w:hAnsi="宋体" w:cs="宋体"/>
          <w:color w:val="auto"/>
          <w:sz w:val="24"/>
          <w:highlight w:val="none"/>
        </w:rPr>
        <w:t>保证金的方式、金额及期限:</w:t>
      </w:r>
    </w:p>
    <w:p w14:paraId="7D588C2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根据《工程建设领域农民工工资保证金规定》第二章工资保证金存储、第六条规定“施工总承包单位应当在工程所在地的银行存储工资保证金或申请开立银行保函”，</w:t>
      </w:r>
      <w:r>
        <w:rPr>
          <w:rFonts w:hint="eastAsia" w:ascii="宋体" w:hAnsi="宋体" w:cs="宋体"/>
          <w:color w:val="auto"/>
          <w:sz w:val="24"/>
          <w:highlight w:val="none"/>
          <w:lang w:eastAsia="zh-CN"/>
        </w:rPr>
        <w:t>农民工工资</w:t>
      </w:r>
      <w:r>
        <w:rPr>
          <w:rFonts w:hint="eastAsia" w:ascii="宋体" w:hAnsi="宋体" w:cs="宋体"/>
          <w:color w:val="auto"/>
          <w:sz w:val="24"/>
          <w:highlight w:val="none"/>
        </w:rPr>
        <w:t>保证金的提交形式为银行保函、现金、工程担保或保证保险等形式，金额为中标建筑安装工程费合同价的1.5% 。中标后30日内向发包人提交</w:t>
      </w:r>
      <w:r>
        <w:rPr>
          <w:rFonts w:hint="eastAsia" w:ascii="宋体" w:hAnsi="宋体" w:cs="宋体"/>
          <w:color w:val="auto"/>
          <w:sz w:val="24"/>
          <w:highlight w:val="none"/>
          <w:lang w:eastAsia="zh-CN"/>
        </w:rPr>
        <w:t>农民工工资</w:t>
      </w:r>
      <w:r>
        <w:rPr>
          <w:rFonts w:hint="eastAsia" w:ascii="宋体" w:hAnsi="宋体" w:cs="宋体"/>
          <w:color w:val="auto"/>
          <w:sz w:val="24"/>
          <w:highlight w:val="none"/>
        </w:rPr>
        <w:t>保证金，</w:t>
      </w:r>
      <w:r>
        <w:rPr>
          <w:rFonts w:hint="eastAsia" w:ascii="宋体" w:hAnsi="宋体" w:cs="宋体"/>
          <w:color w:val="auto"/>
          <w:sz w:val="24"/>
          <w:highlight w:val="none"/>
          <w:lang w:eastAsia="zh-CN"/>
        </w:rPr>
        <w:t>农民工工资</w:t>
      </w:r>
      <w:r>
        <w:rPr>
          <w:rFonts w:hint="eastAsia" w:ascii="宋体" w:hAnsi="宋体" w:cs="宋体"/>
          <w:color w:val="auto"/>
          <w:sz w:val="24"/>
          <w:highlight w:val="none"/>
        </w:rPr>
        <w:t>保证金的有效期必须涵盖工程竣工验收合格并对验收发现的问题完成整改后且承包人向发包人完成竣工资料手续时间内。</w:t>
      </w:r>
    </w:p>
    <w:p w14:paraId="08760927">
      <w:pPr>
        <w:spacing w:line="360" w:lineRule="auto"/>
        <w:ind w:firstLine="600" w:firstLineChars="250"/>
        <w:jc w:val="left"/>
        <w:rPr>
          <w:rFonts w:hint="eastAsia" w:ascii="宋体" w:hAnsi="宋体" w:cs="宋体"/>
          <w:color w:val="auto"/>
          <w:sz w:val="24"/>
          <w:highlight w:val="none"/>
        </w:rPr>
      </w:pPr>
      <w:r>
        <w:rPr>
          <w:rFonts w:hint="eastAsia" w:ascii="宋体" w:hAnsi="宋体" w:cs="宋体"/>
          <w:color w:val="auto"/>
          <w:sz w:val="24"/>
          <w:highlight w:val="none"/>
        </w:rPr>
        <w:t>工程竣工验收合格并对验收发现的问题完成整改且承包人向发包人完成竣工资料移交手续后，经发包人同意，承包人可申请退还</w:t>
      </w:r>
      <w:r>
        <w:rPr>
          <w:rFonts w:hint="eastAsia" w:ascii="宋体" w:hAnsi="宋体" w:cs="宋体"/>
          <w:color w:val="auto"/>
          <w:sz w:val="24"/>
          <w:highlight w:val="none"/>
          <w:lang w:eastAsia="zh-CN"/>
        </w:rPr>
        <w:t>农民工工资</w:t>
      </w:r>
      <w:r>
        <w:rPr>
          <w:rFonts w:hint="eastAsia" w:ascii="宋体" w:hAnsi="宋体" w:cs="宋体"/>
          <w:color w:val="auto"/>
          <w:sz w:val="24"/>
          <w:highlight w:val="none"/>
        </w:rPr>
        <w:t>保证金，发包人在收到承包人的申请之日起28个日历天内将农民工工资保证金退还给承包人（无息）。</w:t>
      </w:r>
    </w:p>
    <w:p w14:paraId="3900B017">
      <w:pPr>
        <w:spacing w:line="360" w:lineRule="auto"/>
        <w:ind w:firstLine="600" w:firstLineChars="250"/>
        <w:jc w:val="left"/>
        <w:rPr>
          <w:rFonts w:hint="eastAsia" w:ascii="宋体" w:hAnsi="宋体" w:cs="宋体"/>
          <w:color w:val="auto"/>
          <w:sz w:val="24"/>
          <w:highlight w:val="none"/>
        </w:rPr>
      </w:pPr>
      <w:r>
        <w:rPr>
          <w:rFonts w:hint="eastAsia" w:ascii="宋体" w:hAnsi="宋体" w:cs="宋体"/>
          <w:color w:val="auto"/>
          <w:sz w:val="24"/>
          <w:highlight w:val="none"/>
        </w:rPr>
        <w:t>12.4.6 支付分解表的编制</w:t>
      </w:r>
    </w:p>
    <w:p w14:paraId="309E949D">
      <w:pPr>
        <w:spacing w:line="360" w:lineRule="auto"/>
        <w:ind w:firstLine="600" w:firstLineChars="250"/>
        <w:jc w:val="left"/>
        <w:rPr>
          <w:rFonts w:hint="eastAsia" w:ascii="宋体" w:hAnsi="宋体" w:cs="宋体"/>
          <w:color w:val="auto"/>
          <w:sz w:val="24"/>
          <w:highlight w:val="none"/>
          <w:u w:val="single"/>
        </w:rPr>
      </w:pPr>
      <w:r>
        <w:rPr>
          <w:rFonts w:hint="eastAsia" w:ascii="宋体" w:hAnsi="宋体" w:cs="宋体"/>
          <w:color w:val="auto"/>
          <w:sz w:val="24"/>
          <w:highlight w:val="none"/>
        </w:rPr>
        <w:t>（1） 总价合同支付分解表的编制与审批：</w:t>
      </w:r>
      <w:r>
        <w:rPr>
          <w:rFonts w:hint="eastAsia" w:ascii="宋体" w:hAnsi="宋体" w:cs="宋体"/>
          <w:color w:val="auto"/>
          <w:sz w:val="24"/>
          <w:highlight w:val="none"/>
          <w:u w:val="single"/>
        </w:rPr>
        <w:t xml:space="preserve"> 总价合同支付分分解表在招标完成后由发包人和承包人共同编制，发包人审批，并作为本合同内容，具体详见合同附件14。</w:t>
      </w:r>
    </w:p>
    <w:p w14:paraId="5434EA85">
      <w:pPr>
        <w:spacing w:line="360" w:lineRule="auto"/>
        <w:ind w:firstLine="600" w:firstLineChars="250"/>
        <w:jc w:val="left"/>
        <w:rPr>
          <w:rFonts w:hint="eastAsia" w:ascii="宋体" w:hAnsi="宋体" w:cs="宋体"/>
          <w:color w:val="auto"/>
          <w:sz w:val="24"/>
          <w:highlight w:val="none"/>
          <w:u w:val="single"/>
        </w:rPr>
      </w:pPr>
      <w:r>
        <w:rPr>
          <w:rFonts w:hint="eastAsia" w:ascii="宋体" w:hAnsi="宋体" w:cs="宋体"/>
          <w:color w:val="auto"/>
          <w:sz w:val="24"/>
          <w:highlight w:val="none"/>
        </w:rPr>
        <w:t>（2）单价合同的总价项目支付分解表的编制与审批：总价项目不采用支付分解表的方式计算，而按《建设工程工程量清单计价规范（GB50500-2013）广西壮族自治区实施细则》的规定执行。</w:t>
      </w:r>
    </w:p>
    <w:p w14:paraId="167AD3DD">
      <w:pPr>
        <w:pStyle w:val="4"/>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13. 验收和工程试车</w:t>
      </w:r>
    </w:p>
    <w:p w14:paraId="61EF7810">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13.1 分部分项工程验收</w:t>
      </w:r>
    </w:p>
    <w:p w14:paraId="5A1A7336">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13.1.2监理人不能按时进行验收时，应提前</w:t>
      </w:r>
      <w:r>
        <w:rPr>
          <w:rFonts w:hint="eastAsia" w:ascii="宋体" w:hAnsi="宋体" w:cs="宋体"/>
          <w:color w:val="auto"/>
          <w:sz w:val="24"/>
          <w:highlight w:val="none"/>
          <w:u w:val="single"/>
        </w:rPr>
        <w:t xml:space="preserve">  24  </w:t>
      </w:r>
      <w:r>
        <w:rPr>
          <w:rFonts w:hint="eastAsia" w:ascii="宋体" w:hAnsi="宋体" w:cs="宋体"/>
          <w:color w:val="auto"/>
          <w:sz w:val="24"/>
          <w:highlight w:val="none"/>
        </w:rPr>
        <w:t>小时提交书面延期要求。</w:t>
      </w:r>
    </w:p>
    <w:p w14:paraId="387C693F">
      <w:pPr>
        <w:spacing w:line="360" w:lineRule="auto"/>
        <w:ind w:firstLine="480" w:firstLineChars="200"/>
        <w:jc w:val="left"/>
        <w:rPr>
          <w:rFonts w:hint="eastAsia" w:ascii="宋体" w:hAnsi="宋体" w:cs="宋体"/>
          <w:b/>
          <w:bCs/>
          <w:color w:val="auto"/>
          <w:sz w:val="24"/>
          <w:highlight w:val="none"/>
        </w:rPr>
      </w:pPr>
      <w:r>
        <w:rPr>
          <w:rFonts w:hint="eastAsia" w:ascii="宋体" w:hAnsi="宋体" w:cs="宋体"/>
          <w:color w:val="auto"/>
          <w:sz w:val="24"/>
          <w:highlight w:val="none"/>
        </w:rPr>
        <w:t>关于延期最长不得超过：</w:t>
      </w:r>
      <w:r>
        <w:rPr>
          <w:rFonts w:hint="eastAsia" w:ascii="宋体" w:hAnsi="宋体" w:cs="宋体"/>
          <w:color w:val="auto"/>
          <w:sz w:val="24"/>
          <w:highlight w:val="none"/>
          <w:u w:val="single"/>
        </w:rPr>
        <w:t xml:space="preserve">   48   </w:t>
      </w:r>
      <w:r>
        <w:rPr>
          <w:rFonts w:hint="eastAsia" w:ascii="宋体" w:hAnsi="宋体" w:cs="宋体"/>
          <w:color w:val="auto"/>
          <w:sz w:val="24"/>
          <w:highlight w:val="none"/>
        </w:rPr>
        <w:t>小时。</w:t>
      </w:r>
    </w:p>
    <w:p w14:paraId="74AD23E2">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13.2 竣工验收</w:t>
      </w:r>
    </w:p>
    <w:p w14:paraId="40E42535">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13.2.1竣工验收条件</w:t>
      </w:r>
    </w:p>
    <w:p w14:paraId="606E282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（3）承包人负责整理和提交的竣工验收资料应当符合工程所在地建设行政主管部门和(或)城市建设档案管理机构有关施工资料的要求，具体内容包括：</w:t>
      </w:r>
      <w:r>
        <w:rPr>
          <w:rFonts w:hint="eastAsia" w:ascii="宋体" w:hAnsi="宋体" w:cs="宋体"/>
          <w:color w:val="auto"/>
          <w:sz w:val="24"/>
          <w:highlight w:val="none"/>
          <w:u w:val="single"/>
        </w:rPr>
        <w:t xml:space="preserve"> 工程竣工报验单、施工单位工程竣工报告、建设工程竣工验收报告、监理单位工程竣工质量评价报告、市政基础设施工程质量保修书、竣工图等工程所在地建设行政主管部门和城市建设档案管理机构要求提交竣工验收资料  </w:t>
      </w:r>
      <w:r>
        <w:rPr>
          <w:rFonts w:hint="eastAsia" w:ascii="宋体" w:hAnsi="宋体" w:cs="宋体"/>
          <w:color w:val="auto"/>
          <w:sz w:val="24"/>
          <w:highlight w:val="none"/>
        </w:rPr>
        <w:t>。</w:t>
      </w:r>
    </w:p>
    <w:p w14:paraId="1523FD5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竣工验收资料的份数：</w:t>
      </w:r>
      <w:r>
        <w:rPr>
          <w:rFonts w:hint="eastAsia" w:ascii="宋体" w:hAnsi="宋体" w:cs="宋体"/>
          <w:color w:val="auto"/>
          <w:sz w:val="24"/>
          <w:highlight w:val="none"/>
          <w:u w:val="single"/>
        </w:rPr>
        <w:t xml:space="preserve"> 一式陆份及电子版贰份 </w:t>
      </w:r>
      <w:r>
        <w:rPr>
          <w:rFonts w:hint="eastAsia" w:ascii="宋体" w:hAnsi="宋体" w:cs="宋体"/>
          <w:color w:val="auto"/>
          <w:sz w:val="24"/>
          <w:highlight w:val="none"/>
        </w:rPr>
        <w:t>。</w:t>
      </w:r>
    </w:p>
    <w:p w14:paraId="607212A2">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承包人提供竣工图的约定：</w:t>
      </w:r>
      <w:r>
        <w:rPr>
          <w:rFonts w:hint="eastAsia" w:ascii="宋体" w:hAnsi="宋体" w:cs="宋体"/>
          <w:color w:val="auto"/>
          <w:sz w:val="24"/>
          <w:highlight w:val="none"/>
          <w:u w:val="single"/>
        </w:rPr>
        <w:t>竣工验收正式通过后5天（工程造价在500万元以下含500万元）、10天（工程造价在500万元至1000万元之间含1000万元）、15天（工程造价在1000万元以上），提供竣工图的数量分别为2套、4套、6套。</w:t>
      </w:r>
    </w:p>
    <w:p w14:paraId="175AB924">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13.2.2竣工验收程序</w:t>
      </w:r>
    </w:p>
    <w:p w14:paraId="084BB281">
      <w:pPr>
        <w:pStyle w:val="230"/>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kern w:val="0"/>
          <w:sz w:val="24"/>
          <w:szCs w:val="24"/>
          <w:highlight w:val="none"/>
        </w:rPr>
        <w:t>关于竣工验收程序的约定：</w:t>
      </w:r>
      <w:r>
        <w:rPr>
          <w:rFonts w:hint="eastAsia" w:ascii="宋体" w:hAnsi="宋体" w:cs="宋体"/>
          <w:color w:val="auto"/>
          <w:sz w:val="24"/>
          <w:szCs w:val="24"/>
          <w:highlight w:val="none"/>
          <w:u w:val="single"/>
        </w:rPr>
        <w:t>按工程所在地建设行政主管部门和城市建设档案管理机构有关验收程序的要求进行</w:t>
      </w:r>
      <w:r>
        <w:rPr>
          <w:rFonts w:hint="eastAsia" w:ascii="宋体" w:hAnsi="宋体" w:cs="宋体"/>
          <w:color w:val="auto"/>
          <w:sz w:val="24"/>
          <w:szCs w:val="24"/>
          <w:highlight w:val="none"/>
        </w:rPr>
        <w:t>。</w:t>
      </w:r>
    </w:p>
    <w:p w14:paraId="5A683EAE">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发包人不按照本项约定组织竣工验收、颁发工程接收证书的违约金的计算方法：</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4E53D527">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13.2.5移交、接收全部与部分工程</w:t>
      </w:r>
    </w:p>
    <w:p w14:paraId="6E44C572">
      <w:pPr>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承包人向发包人移交工程的期限：</w:t>
      </w:r>
      <w:r>
        <w:rPr>
          <w:rFonts w:hint="eastAsia" w:ascii="宋体" w:hAnsi="宋体" w:cs="宋体"/>
          <w:color w:val="auto"/>
          <w:sz w:val="24"/>
          <w:highlight w:val="none"/>
          <w:u w:val="single"/>
        </w:rPr>
        <w:t xml:space="preserve"> 颁发工程接收证书后 14 天内完成工程的移交 </w:t>
      </w:r>
      <w:r>
        <w:rPr>
          <w:rFonts w:hint="eastAsia" w:ascii="宋体" w:hAnsi="宋体" w:cs="宋体"/>
          <w:color w:val="auto"/>
          <w:sz w:val="24"/>
          <w:highlight w:val="none"/>
        </w:rPr>
        <w:t>。</w:t>
      </w:r>
    </w:p>
    <w:p w14:paraId="52CDE5C6">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kern w:val="0"/>
          <w:sz w:val="24"/>
          <w:highlight w:val="none"/>
        </w:rPr>
        <w:t>发包人未按本合同约定接收全部或部分工程的，违约金的计算方法为：</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53E07A92">
      <w:pPr>
        <w:pStyle w:val="230"/>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承包人未按时移交工程的，违约金的计算方法为：</w:t>
      </w:r>
      <w:r>
        <w:rPr>
          <w:rFonts w:hint="eastAsia" w:ascii="宋体" w:hAnsi="宋体" w:cs="宋体"/>
          <w:color w:val="auto"/>
          <w:sz w:val="24"/>
          <w:szCs w:val="24"/>
          <w:highlight w:val="none"/>
          <w:u w:val="single"/>
        </w:rPr>
        <w:t xml:space="preserve">    因承包人原因未按时移交工程的，承包人应采取措施确保相关工程的正常使用，承包人应承担工程照管、成品保护、保管等与工程有关的各项费用，且每延误一天，扣除 150 元/天的质保金</w:t>
      </w:r>
      <w:r>
        <w:rPr>
          <w:rFonts w:hint="eastAsia" w:ascii="宋体" w:hAnsi="宋体" w:cs="宋体"/>
          <w:color w:val="auto"/>
          <w:sz w:val="24"/>
          <w:szCs w:val="24"/>
          <w:highlight w:val="none"/>
        </w:rPr>
        <w:t>。</w:t>
      </w:r>
    </w:p>
    <w:p w14:paraId="4E144E51">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13.3 工程试车</w:t>
      </w:r>
    </w:p>
    <w:p w14:paraId="527786E0">
      <w:pPr>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13.3.1 试车程序</w:t>
      </w:r>
    </w:p>
    <w:p w14:paraId="0989094B">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kern w:val="0"/>
          <w:sz w:val="24"/>
          <w:highlight w:val="none"/>
        </w:rPr>
        <w:t>工程试车内容：</w:t>
      </w:r>
      <w:r>
        <w:rPr>
          <w:rFonts w:hint="eastAsia" w:ascii="宋体" w:hAnsi="宋体" w:cs="宋体"/>
          <w:color w:val="auto"/>
          <w:sz w:val="24"/>
          <w:highlight w:val="none"/>
          <w:u w:val="single"/>
        </w:rPr>
        <w:t xml:space="preserve">     按《通用合同条款》执行     </w:t>
      </w:r>
      <w:r>
        <w:rPr>
          <w:rFonts w:hint="eastAsia" w:ascii="宋体" w:hAnsi="宋体" w:cs="宋体"/>
          <w:color w:val="auto"/>
          <w:sz w:val="24"/>
          <w:highlight w:val="none"/>
        </w:rPr>
        <w:t>。</w:t>
      </w:r>
    </w:p>
    <w:p w14:paraId="5D54383F">
      <w:pPr>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（1）单机无负荷试车费用由</w:t>
      </w:r>
      <w:r>
        <w:rPr>
          <w:rFonts w:hint="eastAsia" w:ascii="宋体" w:hAnsi="宋体" w:cs="宋体"/>
          <w:color w:val="auto"/>
          <w:sz w:val="24"/>
          <w:highlight w:val="none"/>
          <w:u w:val="single"/>
        </w:rPr>
        <w:t xml:space="preserve">   按《通用合同条款》执行   </w:t>
      </w:r>
      <w:r>
        <w:rPr>
          <w:rFonts w:hint="eastAsia" w:ascii="宋体" w:hAnsi="宋体" w:cs="宋体"/>
          <w:color w:val="auto"/>
          <w:kern w:val="0"/>
          <w:sz w:val="24"/>
          <w:highlight w:val="none"/>
        </w:rPr>
        <w:t>承担；</w:t>
      </w:r>
    </w:p>
    <w:p w14:paraId="27F1CF96">
      <w:pPr>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（2）无负荷联动试车费用由</w:t>
      </w:r>
      <w:r>
        <w:rPr>
          <w:rFonts w:hint="eastAsia" w:ascii="宋体" w:hAnsi="宋体" w:cs="宋体"/>
          <w:color w:val="auto"/>
          <w:sz w:val="24"/>
          <w:highlight w:val="none"/>
          <w:u w:val="single"/>
        </w:rPr>
        <w:t xml:space="preserve">   按《通用合同条款》执行  </w:t>
      </w:r>
      <w:r>
        <w:rPr>
          <w:rFonts w:hint="eastAsia" w:ascii="宋体" w:hAnsi="宋体" w:cs="宋体"/>
          <w:color w:val="auto"/>
          <w:kern w:val="0"/>
          <w:sz w:val="24"/>
          <w:highlight w:val="none"/>
        </w:rPr>
        <w:t>承担。</w:t>
      </w:r>
    </w:p>
    <w:p w14:paraId="0C0EDE8B">
      <w:pPr>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13.3.3 投料试车</w:t>
      </w:r>
    </w:p>
    <w:p w14:paraId="2CB323D0">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kern w:val="0"/>
          <w:sz w:val="24"/>
          <w:highlight w:val="none"/>
        </w:rPr>
        <w:t>关于投料试车相关事项的约定：</w:t>
      </w:r>
      <w:r>
        <w:rPr>
          <w:rFonts w:hint="eastAsia" w:ascii="宋体" w:hAnsi="宋体" w:cs="宋体"/>
          <w:color w:val="auto"/>
          <w:sz w:val="24"/>
          <w:highlight w:val="none"/>
          <w:u w:val="single"/>
        </w:rPr>
        <w:t xml:space="preserve">    按《通用合同条款》执行   </w:t>
      </w:r>
      <w:r>
        <w:rPr>
          <w:rFonts w:hint="eastAsia" w:ascii="宋体" w:hAnsi="宋体" w:cs="宋体"/>
          <w:color w:val="auto"/>
          <w:sz w:val="24"/>
          <w:highlight w:val="none"/>
        </w:rPr>
        <w:t>。</w:t>
      </w:r>
    </w:p>
    <w:p w14:paraId="21A85AF8">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13.6 竣工退场</w:t>
      </w:r>
    </w:p>
    <w:p w14:paraId="533EF6DE">
      <w:pPr>
        <w:spacing w:line="360" w:lineRule="auto"/>
        <w:ind w:firstLine="480" w:firstLineChars="200"/>
        <w:jc w:val="left"/>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13.6.1 竣工退场</w:t>
      </w:r>
    </w:p>
    <w:p w14:paraId="2333F268">
      <w:pPr>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承包人完成竣工退场的期限：</w:t>
      </w:r>
      <w:r>
        <w:rPr>
          <w:rFonts w:hint="eastAsia" w:ascii="宋体" w:hAnsi="宋体" w:cs="宋体"/>
          <w:color w:val="auto"/>
          <w:sz w:val="24"/>
          <w:highlight w:val="none"/>
          <w:u w:val="single"/>
        </w:rPr>
        <w:t xml:space="preserve">   颁发工程接收证书后 7 天内完成工程的移交   </w:t>
      </w:r>
      <w:r>
        <w:rPr>
          <w:rFonts w:hint="eastAsia" w:ascii="宋体" w:hAnsi="宋体" w:cs="宋体"/>
          <w:color w:val="auto"/>
          <w:kern w:val="0"/>
          <w:sz w:val="24"/>
          <w:highlight w:val="none"/>
        </w:rPr>
        <w:t>。</w:t>
      </w:r>
    </w:p>
    <w:p w14:paraId="271A6C27">
      <w:pPr>
        <w:pStyle w:val="4"/>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14. 竣工结算</w:t>
      </w:r>
    </w:p>
    <w:p w14:paraId="1783AD08">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14.1 竣工付款申请</w:t>
      </w:r>
    </w:p>
    <w:p w14:paraId="0C6060AB">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承包人提交竣工付款申请单的期限：</w:t>
      </w:r>
      <w:r>
        <w:rPr>
          <w:rFonts w:hint="eastAsia" w:ascii="宋体" w:hAnsi="宋体" w:cs="宋体"/>
          <w:color w:val="auto"/>
          <w:sz w:val="24"/>
          <w:highlight w:val="none"/>
          <w:u w:val="single"/>
        </w:rPr>
        <w:t xml:space="preserve">竣工结算按照港市人民政府文件贵政办通〔2018〕70号规定执行，在工程竣工验收合格后 28 天内向发包人和监理人提交竣工结算申请单及相关材料。 无正当理由延期或经发包人催促 14 天内仍未提供或明确答复的，发包人有权根据已有资料进行结算审核，责任由承包人自负。承包人应及时提供竣工结算过程中所需补充的资料  </w:t>
      </w:r>
      <w:r>
        <w:rPr>
          <w:rFonts w:hint="eastAsia" w:ascii="宋体" w:hAnsi="宋体" w:cs="宋体"/>
          <w:color w:val="auto"/>
          <w:sz w:val="24"/>
          <w:highlight w:val="none"/>
        </w:rPr>
        <w:t>。</w:t>
      </w:r>
    </w:p>
    <w:p w14:paraId="366C896D">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竣工付款申请单应包括的内容：</w:t>
      </w:r>
      <w:r>
        <w:rPr>
          <w:rFonts w:hint="eastAsia" w:ascii="宋体" w:hAnsi="宋体" w:cs="宋体"/>
          <w:color w:val="auto"/>
          <w:sz w:val="24"/>
          <w:highlight w:val="none"/>
          <w:u w:val="single"/>
        </w:rPr>
        <w:t xml:space="preserve"> 竣工付款申请单须符合贵港市人民政府相关文件规定，竣工付款申请单编制内容按发包人工程款支付管理规定执行，其它按《通用合同条款》14.1 条执行  </w:t>
      </w:r>
      <w:r>
        <w:rPr>
          <w:rFonts w:hint="eastAsia" w:ascii="宋体" w:hAnsi="宋体" w:cs="宋体"/>
          <w:color w:val="auto"/>
          <w:sz w:val="24"/>
          <w:highlight w:val="none"/>
        </w:rPr>
        <w:t>。竣工结算款支付申请（核准）表见合同附件12。</w:t>
      </w:r>
    </w:p>
    <w:p w14:paraId="78E64AC7">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14.2 竣工结算审核</w:t>
      </w:r>
    </w:p>
    <w:p w14:paraId="5C87F63A">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发包人审批竣工付款申请单的期限：</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2A15F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6B7E090">
            <w:pPr>
              <w:spacing w:line="360" w:lineRule="auto"/>
              <w:rPr>
                <w:rFonts w:hint="eastAsia" w:ascii="宋体" w:hAnsi="宋体" w:cs="宋体"/>
                <w:color w:val="auto"/>
                <w:sz w:val="24"/>
                <w:highlight w:val="none"/>
              </w:rPr>
            </w:pPr>
          </w:p>
        </w:tc>
        <w:tc>
          <w:tcPr>
            <w:tcW w:w="2466" w:type="dxa"/>
            <w:noWrap w:val="0"/>
            <w:vAlign w:val="center"/>
          </w:tcPr>
          <w:p w14:paraId="7AB87235">
            <w:pPr>
              <w:spacing w:line="360" w:lineRule="auto"/>
              <w:ind w:firstLine="31" w:firstLineChars="13"/>
              <w:jc w:val="center"/>
              <w:rPr>
                <w:rFonts w:hint="eastAsia" w:ascii="宋体" w:hAnsi="宋体" w:cs="宋体"/>
                <w:color w:val="auto"/>
                <w:sz w:val="24"/>
                <w:highlight w:val="none"/>
              </w:rPr>
            </w:pPr>
            <w:r>
              <w:rPr>
                <w:rFonts w:hint="eastAsia" w:ascii="宋体" w:hAnsi="宋体" w:cs="宋体"/>
                <w:color w:val="auto"/>
                <w:sz w:val="24"/>
                <w:highlight w:val="none"/>
              </w:rPr>
              <w:t>工程竣工结算报告金额</w:t>
            </w:r>
          </w:p>
        </w:tc>
        <w:tc>
          <w:tcPr>
            <w:tcW w:w="5967" w:type="dxa"/>
            <w:noWrap w:val="0"/>
            <w:vAlign w:val="center"/>
          </w:tcPr>
          <w:p w14:paraId="4E16E406">
            <w:pPr>
              <w:spacing w:line="360" w:lineRule="auto"/>
              <w:ind w:firstLine="504" w:firstLineChars="210"/>
              <w:jc w:val="center"/>
              <w:rPr>
                <w:rFonts w:hint="eastAsia" w:ascii="宋体" w:hAnsi="宋体" w:cs="宋体"/>
                <w:color w:val="auto"/>
                <w:sz w:val="24"/>
                <w:highlight w:val="none"/>
              </w:rPr>
            </w:pPr>
            <w:r>
              <w:rPr>
                <w:rFonts w:hint="eastAsia" w:ascii="宋体" w:hAnsi="宋体" w:cs="宋体"/>
                <w:color w:val="auto"/>
                <w:sz w:val="24"/>
                <w:highlight w:val="none"/>
              </w:rPr>
              <w:t>发包人审查时间</w:t>
            </w:r>
          </w:p>
        </w:tc>
      </w:tr>
      <w:tr w14:paraId="4EEC6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27F79CF">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2466" w:type="dxa"/>
            <w:noWrap w:val="0"/>
            <w:vAlign w:val="center"/>
          </w:tcPr>
          <w:p w14:paraId="7C3FEC0B">
            <w:pPr>
              <w:spacing w:line="360" w:lineRule="auto"/>
              <w:ind w:firstLine="31" w:firstLineChars="13"/>
              <w:jc w:val="center"/>
              <w:rPr>
                <w:rFonts w:hint="eastAsia" w:ascii="宋体" w:hAnsi="宋体" w:cs="宋体"/>
                <w:color w:val="auto"/>
                <w:sz w:val="24"/>
                <w:highlight w:val="none"/>
              </w:rPr>
            </w:pPr>
            <w:r>
              <w:rPr>
                <w:rFonts w:hint="eastAsia" w:ascii="宋体" w:hAnsi="宋体" w:cs="宋体"/>
                <w:color w:val="auto"/>
                <w:sz w:val="24"/>
                <w:highlight w:val="none"/>
              </w:rPr>
              <w:t>500万元以下</w:t>
            </w:r>
          </w:p>
        </w:tc>
        <w:tc>
          <w:tcPr>
            <w:tcW w:w="5967" w:type="dxa"/>
            <w:noWrap w:val="0"/>
            <w:vAlign w:val="center"/>
          </w:tcPr>
          <w:p w14:paraId="6DCE9FE7">
            <w:pPr>
              <w:spacing w:line="360" w:lineRule="auto"/>
              <w:ind w:firstLine="504" w:firstLineChars="210"/>
              <w:jc w:val="center"/>
              <w:rPr>
                <w:rFonts w:hint="eastAsia" w:ascii="宋体" w:hAnsi="宋体" w:cs="宋体"/>
                <w:color w:val="auto"/>
                <w:sz w:val="24"/>
                <w:highlight w:val="none"/>
              </w:rPr>
            </w:pPr>
            <w:r>
              <w:rPr>
                <w:rFonts w:hint="eastAsia" w:ascii="宋体" w:hAnsi="宋体" w:cs="宋体"/>
                <w:color w:val="auto"/>
                <w:sz w:val="24"/>
                <w:highlight w:val="none"/>
              </w:rPr>
              <w:t>从接到竣工结算报告和完整的竣工结算资料之日起20天</w:t>
            </w:r>
          </w:p>
        </w:tc>
      </w:tr>
      <w:tr w14:paraId="4BD7B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0691ECE4">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2466" w:type="dxa"/>
            <w:noWrap w:val="0"/>
            <w:vAlign w:val="center"/>
          </w:tcPr>
          <w:p w14:paraId="3A7E0AEA">
            <w:pPr>
              <w:spacing w:line="360" w:lineRule="auto"/>
              <w:ind w:firstLine="31" w:firstLineChars="13"/>
              <w:jc w:val="center"/>
              <w:rPr>
                <w:rFonts w:hint="eastAsia" w:ascii="宋体" w:hAnsi="宋体" w:cs="宋体"/>
                <w:color w:val="auto"/>
                <w:sz w:val="24"/>
                <w:highlight w:val="none"/>
              </w:rPr>
            </w:pPr>
            <w:r>
              <w:rPr>
                <w:rFonts w:hint="eastAsia" w:ascii="宋体" w:hAnsi="宋体" w:cs="宋体"/>
                <w:color w:val="auto"/>
                <w:sz w:val="24"/>
                <w:highlight w:val="none"/>
              </w:rPr>
              <w:t>500万元-2000万元</w:t>
            </w:r>
          </w:p>
        </w:tc>
        <w:tc>
          <w:tcPr>
            <w:tcW w:w="5967" w:type="dxa"/>
            <w:noWrap w:val="0"/>
            <w:vAlign w:val="center"/>
          </w:tcPr>
          <w:p w14:paraId="07745436">
            <w:pPr>
              <w:spacing w:line="360" w:lineRule="auto"/>
              <w:ind w:firstLine="504" w:firstLineChars="210"/>
              <w:jc w:val="center"/>
              <w:rPr>
                <w:rFonts w:hint="eastAsia" w:ascii="宋体" w:hAnsi="宋体" w:cs="宋体"/>
                <w:color w:val="auto"/>
                <w:sz w:val="24"/>
                <w:highlight w:val="none"/>
              </w:rPr>
            </w:pPr>
            <w:r>
              <w:rPr>
                <w:rFonts w:hint="eastAsia" w:ascii="宋体" w:hAnsi="宋体" w:cs="宋体"/>
                <w:color w:val="auto"/>
                <w:sz w:val="24"/>
                <w:highlight w:val="none"/>
              </w:rPr>
              <w:t>从接到竣工结算报告和完整的竣工结算资料之日起30天</w:t>
            </w:r>
          </w:p>
        </w:tc>
      </w:tr>
      <w:tr w14:paraId="00B41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CE6CB43">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2466" w:type="dxa"/>
            <w:noWrap w:val="0"/>
            <w:vAlign w:val="center"/>
          </w:tcPr>
          <w:p w14:paraId="24984673">
            <w:pPr>
              <w:spacing w:line="360" w:lineRule="auto"/>
              <w:ind w:firstLine="31" w:firstLineChars="13"/>
              <w:jc w:val="center"/>
              <w:rPr>
                <w:rFonts w:hint="eastAsia" w:ascii="宋体" w:hAnsi="宋体" w:cs="宋体"/>
                <w:color w:val="auto"/>
                <w:sz w:val="24"/>
                <w:highlight w:val="none"/>
              </w:rPr>
            </w:pPr>
            <w:r>
              <w:rPr>
                <w:rFonts w:hint="eastAsia" w:ascii="宋体" w:hAnsi="宋体" w:cs="宋体"/>
                <w:color w:val="auto"/>
                <w:sz w:val="24"/>
                <w:highlight w:val="none"/>
              </w:rPr>
              <w:t>2000万元-5000万元</w:t>
            </w:r>
          </w:p>
        </w:tc>
        <w:tc>
          <w:tcPr>
            <w:tcW w:w="5967" w:type="dxa"/>
            <w:noWrap w:val="0"/>
            <w:vAlign w:val="center"/>
          </w:tcPr>
          <w:p w14:paraId="3B4B2135">
            <w:pPr>
              <w:spacing w:line="360" w:lineRule="auto"/>
              <w:ind w:firstLine="504" w:firstLineChars="210"/>
              <w:jc w:val="center"/>
              <w:rPr>
                <w:rFonts w:hint="eastAsia" w:ascii="宋体" w:hAnsi="宋体" w:cs="宋体"/>
                <w:color w:val="auto"/>
                <w:sz w:val="24"/>
                <w:highlight w:val="none"/>
              </w:rPr>
            </w:pPr>
            <w:r>
              <w:rPr>
                <w:rFonts w:hint="eastAsia" w:ascii="宋体" w:hAnsi="宋体" w:cs="宋体"/>
                <w:color w:val="auto"/>
                <w:sz w:val="24"/>
                <w:highlight w:val="none"/>
              </w:rPr>
              <w:t>从接到竣工结算报告和完整的竣工结算资料之日起45天</w:t>
            </w:r>
          </w:p>
        </w:tc>
      </w:tr>
      <w:tr w14:paraId="6FA5B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8D8D297">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2466" w:type="dxa"/>
            <w:noWrap w:val="0"/>
            <w:vAlign w:val="center"/>
          </w:tcPr>
          <w:p w14:paraId="62598177">
            <w:pPr>
              <w:spacing w:line="360" w:lineRule="auto"/>
              <w:ind w:firstLine="31" w:firstLineChars="13"/>
              <w:jc w:val="center"/>
              <w:rPr>
                <w:rFonts w:hint="eastAsia" w:ascii="宋体" w:hAnsi="宋体" w:cs="宋体"/>
                <w:color w:val="auto"/>
                <w:sz w:val="24"/>
                <w:highlight w:val="none"/>
              </w:rPr>
            </w:pPr>
            <w:r>
              <w:rPr>
                <w:rFonts w:hint="eastAsia" w:ascii="宋体" w:hAnsi="宋体" w:cs="宋体"/>
                <w:color w:val="auto"/>
                <w:sz w:val="24"/>
                <w:highlight w:val="none"/>
              </w:rPr>
              <w:t>5000万元以上</w:t>
            </w:r>
          </w:p>
        </w:tc>
        <w:tc>
          <w:tcPr>
            <w:tcW w:w="5967" w:type="dxa"/>
            <w:noWrap w:val="0"/>
            <w:vAlign w:val="center"/>
          </w:tcPr>
          <w:p w14:paraId="7C5E2A45">
            <w:pPr>
              <w:spacing w:line="360" w:lineRule="auto"/>
              <w:ind w:firstLine="504" w:firstLineChars="210"/>
              <w:jc w:val="center"/>
              <w:rPr>
                <w:rFonts w:hint="eastAsia" w:ascii="宋体" w:hAnsi="宋体" w:cs="宋体"/>
                <w:color w:val="auto"/>
                <w:sz w:val="24"/>
                <w:highlight w:val="none"/>
              </w:rPr>
            </w:pPr>
            <w:r>
              <w:rPr>
                <w:rFonts w:hint="eastAsia" w:ascii="宋体" w:hAnsi="宋体" w:cs="宋体"/>
                <w:color w:val="auto"/>
                <w:sz w:val="24"/>
                <w:highlight w:val="none"/>
              </w:rPr>
              <w:t>从接到竣工结算报告和完整的竣工结算资料之日起60天</w:t>
            </w:r>
          </w:p>
        </w:tc>
      </w:tr>
      <w:tr w14:paraId="13B58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603388FF">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2466" w:type="dxa"/>
            <w:noWrap w:val="0"/>
            <w:vAlign w:val="center"/>
          </w:tcPr>
          <w:p w14:paraId="4C10B849">
            <w:pPr>
              <w:spacing w:line="360" w:lineRule="auto"/>
              <w:ind w:firstLine="31" w:firstLineChars="13"/>
              <w:jc w:val="center"/>
              <w:rPr>
                <w:rFonts w:hint="eastAsia" w:ascii="宋体" w:hAnsi="宋体" w:cs="宋体"/>
                <w:color w:val="auto"/>
                <w:sz w:val="24"/>
                <w:highlight w:val="none"/>
              </w:rPr>
            </w:pPr>
            <w:r>
              <w:rPr>
                <w:rFonts w:hint="eastAsia" w:ascii="宋体" w:hAnsi="宋体" w:cs="宋体"/>
                <w:color w:val="auto"/>
                <w:sz w:val="24"/>
                <w:highlight w:val="none"/>
              </w:rPr>
              <w:t>5000万以上每增加0.5亿(不足0.5亿不增加)</w:t>
            </w:r>
          </w:p>
        </w:tc>
        <w:tc>
          <w:tcPr>
            <w:tcW w:w="5967" w:type="dxa"/>
            <w:noWrap w:val="0"/>
            <w:vAlign w:val="center"/>
          </w:tcPr>
          <w:p w14:paraId="221AD781">
            <w:pPr>
              <w:spacing w:line="360" w:lineRule="auto"/>
              <w:ind w:firstLine="504" w:firstLineChars="210"/>
              <w:jc w:val="center"/>
              <w:rPr>
                <w:rFonts w:hint="eastAsia" w:ascii="宋体" w:hAnsi="宋体" w:cs="宋体"/>
                <w:color w:val="auto"/>
                <w:sz w:val="24"/>
                <w:highlight w:val="none"/>
              </w:rPr>
            </w:pPr>
            <w:r>
              <w:rPr>
                <w:rFonts w:hint="eastAsia" w:ascii="宋体" w:hAnsi="宋体" w:cs="宋体"/>
                <w:color w:val="auto"/>
                <w:sz w:val="24"/>
                <w:highlight w:val="none"/>
              </w:rPr>
              <w:t>增加10天</w:t>
            </w:r>
          </w:p>
        </w:tc>
      </w:tr>
    </w:tbl>
    <w:p w14:paraId="125A5114">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因承包人提供的结算资料 不完整而需要补充或承包人不按时对账耽误时间时，审查时间应相应顺延。</w:t>
      </w:r>
    </w:p>
    <w:p w14:paraId="001119A5">
      <w:pPr>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竣工结算审核约定：发承包双方在合同中对施工过程结算的期限应有明确约定；没有约定的，可认定其约定期限均为28天。经发承包双方签署确认的施工过程结算文件作为竣工结算文件的组成部分。未经另一方同意，一方不得就已生效的结算文件进行重复审核。对施工合同中约定竣工结算以财政评审意见为准的项目，财政部门应在施工合同约定期限内对项目过程结算文件进行审核确认。</w:t>
      </w:r>
    </w:p>
    <w:p w14:paraId="05FB1346">
      <w:pPr>
        <w:spacing w:line="360" w:lineRule="auto"/>
        <w:ind w:firstLine="470" w:firstLineChars="196"/>
        <w:rPr>
          <w:rFonts w:hint="eastAsia" w:ascii="宋体" w:hAnsi="宋体" w:cs="宋体"/>
          <w:color w:val="auto"/>
          <w:sz w:val="24"/>
          <w:highlight w:val="none"/>
        </w:rPr>
      </w:pPr>
      <w:r>
        <w:rPr>
          <w:rFonts w:hint="eastAsia" w:ascii="宋体" w:hAnsi="宋体" w:cs="宋体"/>
          <w:color w:val="auto"/>
          <w:kern w:val="0"/>
          <w:sz w:val="24"/>
          <w:highlight w:val="none"/>
          <w:lang w:bidi="ar"/>
        </w:rPr>
        <w:t>当年开工、当年不能竣工的新开工项目可以推行过程结算。发承包双方通过合同约定，将施工过程按时间或进度节点划分施工周期，对周期内已完成且无争议的工程量（含变更、签证、索赔等）进行价款计算、确认和支付，支付金额不得超出已完工部分对应的批复（预）算。经双方确认的过程结算文件作为竣工结算文件的组成部分，竣工后原则上不再重复审核。</w:t>
      </w:r>
    </w:p>
    <w:p w14:paraId="2F767E27">
      <w:pPr>
        <w:spacing w:line="360" w:lineRule="auto"/>
        <w:ind w:firstLine="470" w:firstLineChars="196"/>
        <w:rPr>
          <w:rFonts w:hint="eastAsia" w:ascii="宋体" w:hAnsi="宋体" w:cs="宋体"/>
          <w:color w:val="auto"/>
          <w:sz w:val="24"/>
          <w:highlight w:val="none"/>
          <w:u w:val="single"/>
        </w:rPr>
      </w:pPr>
      <w:r>
        <w:rPr>
          <w:rFonts w:hint="eastAsia" w:ascii="宋体" w:hAnsi="宋体" w:cs="宋体"/>
          <w:color w:val="auto"/>
          <w:sz w:val="24"/>
          <w:highlight w:val="none"/>
          <w:u w:val="single"/>
        </w:rPr>
        <w:t>1、工程竣工验收报告经发包人认可后 14  天内，承包人向发包人递交竣工验收合格资料及完整的结算资料和报告，双方按照本工程合同约定的价格形式及价款调整办法进行工程竣工结算。2、发包人收到承包人递交的竣工结算报告及结算资料之日起 21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  7 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30天内，发包人按审定后的竣工结算价款，通知经办银行向承包人支付结算价款。</w:t>
      </w:r>
    </w:p>
    <w:p w14:paraId="3C96AE3E">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14.4 最终结清</w:t>
      </w:r>
    </w:p>
    <w:p w14:paraId="5D29DAFB">
      <w:pPr>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14.4.1 最终结清申请单</w:t>
      </w:r>
    </w:p>
    <w:p w14:paraId="7BAD9C76">
      <w:pPr>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承包人提交最终结清申请单的份数：</w:t>
      </w:r>
      <w:r>
        <w:rPr>
          <w:rFonts w:hint="eastAsia" w:ascii="宋体" w:hAnsi="宋体" w:cs="宋体"/>
          <w:color w:val="auto"/>
          <w:sz w:val="24"/>
          <w:highlight w:val="none"/>
          <w:u w:val="single"/>
        </w:rPr>
        <w:t xml:space="preserve">最终结清申请单须符合工程所在地相关文件规定，提交份数按发包人工程款支付管理规定执行  </w:t>
      </w:r>
      <w:r>
        <w:rPr>
          <w:rFonts w:hint="eastAsia" w:ascii="宋体" w:hAnsi="宋体" w:cs="宋体"/>
          <w:color w:val="auto"/>
          <w:sz w:val="24"/>
          <w:highlight w:val="none"/>
        </w:rPr>
        <w:t>。</w:t>
      </w:r>
    </w:p>
    <w:p w14:paraId="452F1658">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承包人提交最终结算申请单的期限：</w:t>
      </w:r>
      <w:r>
        <w:rPr>
          <w:rFonts w:hint="eastAsia" w:ascii="宋体" w:hAnsi="宋体" w:cs="宋体"/>
          <w:color w:val="auto"/>
          <w:sz w:val="24"/>
          <w:highlight w:val="none"/>
          <w:u w:val="single"/>
        </w:rPr>
        <w:t xml:space="preserve">    缺陷责任期终止证书颁发后 7 天内   </w:t>
      </w:r>
      <w:r>
        <w:rPr>
          <w:rFonts w:hint="eastAsia" w:ascii="宋体" w:hAnsi="宋体" w:cs="宋体"/>
          <w:color w:val="auto"/>
          <w:sz w:val="24"/>
          <w:highlight w:val="none"/>
        </w:rPr>
        <w:t xml:space="preserve">。 </w:t>
      </w:r>
    </w:p>
    <w:p w14:paraId="2D3975B6">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最终结算款支付申请（核准）表见合同附件13。</w:t>
      </w:r>
    </w:p>
    <w:p w14:paraId="45AA795D">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14.4.2 最终结清证书和支付</w:t>
      </w:r>
    </w:p>
    <w:p w14:paraId="03E7BE00">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（1）发包人完成最终结清申请单的审批并颁发最终结清证书的期限：</w:t>
      </w:r>
      <w:r>
        <w:rPr>
          <w:rFonts w:hint="eastAsia" w:ascii="宋体" w:hAnsi="宋体" w:cs="宋体"/>
          <w:color w:val="auto"/>
          <w:sz w:val="24"/>
          <w:highlight w:val="none"/>
          <w:u w:val="single"/>
        </w:rPr>
        <w:t xml:space="preserve"> 收到承包人提交的最终结清申请单和完整的证明材料后 30 天内 </w:t>
      </w:r>
      <w:r>
        <w:rPr>
          <w:rFonts w:hint="eastAsia" w:ascii="宋体" w:hAnsi="宋体" w:cs="宋体"/>
          <w:color w:val="auto"/>
          <w:sz w:val="24"/>
          <w:highlight w:val="none"/>
        </w:rPr>
        <w:t>。</w:t>
      </w:r>
    </w:p>
    <w:p w14:paraId="50072847">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（2）发包人完成支付的期限：</w:t>
      </w:r>
      <w:r>
        <w:rPr>
          <w:rFonts w:hint="eastAsia" w:ascii="宋体" w:hAnsi="宋体" w:cs="宋体"/>
          <w:color w:val="auto"/>
          <w:sz w:val="24"/>
          <w:highlight w:val="none"/>
          <w:u w:val="single"/>
        </w:rPr>
        <w:t xml:space="preserve">    发包人签发颁发最终结清证书后 30 天内 </w:t>
      </w:r>
      <w:r>
        <w:rPr>
          <w:rFonts w:hint="eastAsia" w:ascii="宋体" w:hAnsi="宋体" w:cs="宋体"/>
          <w:color w:val="auto"/>
          <w:sz w:val="24"/>
          <w:highlight w:val="none"/>
        </w:rPr>
        <w:t>。</w:t>
      </w:r>
    </w:p>
    <w:p w14:paraId="33E6B65C">
      <w:pPr>
        <w:pStyle w:val="4"/>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15. 缺陷责任期与保修</w:t>
      </w:r>
    </w:p>
    <w:p w14:paraId="773CA7D6">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15.2 缺陷责任期</w:t>
      </w:r>
    </w:p>
    <w:p w14:paraId="70E272F6">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缺陷责任期的具体期限：</w:t>
      </w:r>
      <w:r>
        <w:rPr>
          <w:rFonts w:hint="eastAsia" w:ascii="宋体" w:hAnsi="宋体" w:cs="宋体"/>
          <w:color w:val="auto"/>
          <w:sz w:val="24"/>
          <w:highlight w:val="none"/>
          <w:u w:val="single"/>
        </w:rPr>
        <w:t xml:space="preserve"> 本工程缺陷责任期为24个月，以竣工验收合格之日起计算 </w:t>
      </w:r>
      <w:r>
        <w:rPr>
          <w:rFonts w:hint="eastAsia" w:ascii="宋体" w:hAnsi="宋体" w:cs="宋体"/>
          <w:color w:val="auto"/>
          <w:sz w:val="24"/>
          <w:highlight w:val="none"/>
        </w:rPr>
        <w:t>。</w:t>
      </w:r>
    </w:p>
    <w:p w14:paraId="2005FF52">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15.3 质量保证金</w:t>
      </w:r>
    </w:p>
    <w:p w14:paraId="6B6FCFA1">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关于是否扣留质量保证金的约定：</w:t>
      </w:r>
      <w:r>
        <w:rPr>
          <w:rFonts w:hint="eastAsia" w:ascii="宋体" w:hAnsi="宋体" w:cs="宋体"/>
          <w:color w:val="auto"/>
          <w:sz w:val="24"/>
          <w:highlight w:val="none"/>
          <w:u w:val="single"/>
        </w:rPr>
        <w:t xml:space="preserve">金额为工程价款结算总额的3%，提交形式为银行保函、工程担保或保证保险等形式，结算审定后15日内向发包人提交担保，担保有效期必须与工程缺陷责任期一致。质量保证金待工程缺陷责任期满后中标人无违约行为发生的情况下，由承包人提出申请，发包人在 7 个工作日内无息返还  </w:t>
      </w:r>
      <w:r>
        <w:rPr>
          <w:rFonts w:hint="eastAsia" w:ascii="宋体" w:hAnsi="宋体" w:cs="宋体"/>
          <w:color w:val="auto"/>
          <w:sz w:val="24"/>
          <w:highlight w:val="none"/>
        </w:rPr>
        <w:t>。</w:t>
      </w:r>
    </w:p>
    <w:p w14:paraId="166B2FEC">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在工程项目竣工前，承包人按专用合同条款第3.7条提供履约担保的，发包人不得同时预留工程质量保证金。</w:t>
      </w:r>
    </w:p>
    <w:p w14:paraId="13DCE07F">
      <w:pPr>
        <w:spacing w:line="360" w:lineRule="auto"/>
        <w:ind w:firstLine="480" w:firstLineChars="200"/>
        <w:jc w:val="left"/>
        <w:outlineLvl w:val="0"/>
        <w:rPr>
          <w:rFonts w:hint="eastAsia" w:ascii="宋体" w:hAnsi="宋体" w:cs="宋体"/>
          <w:color w:val="auto"/>
          <w:sz w:val="24"/>
          <w:highlight w:val="none"/>
        </w:rPr>
      </w:pPr>
      <w:r>
        <w:rPr>
          <w:rFonts w:hint="eastAsia" w:ascii="宋体" w:hAnsi="宋体" w:cs="宋体"/>
          <w:color w:val="auto"/>
          <w:sz w:val="24"/>
          <w:highlight w:val="none"/>
        </w:rPr>
        <w:t>15.3.1 承包人提供质量保证金的方式</w:t>
      </w:r>
    </w:p>
    <w:p w14:paraId="4C93EE1D">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质量保证金采用以下第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种方式：</w:t>
      </w:r>
    </w:p>
    <w:p w14:paraId="65270849">
      <w:pPr>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（1）质量保证金保函</w:t>
      </w:r>
      <w:r>
        <w:rPr>
          <w:rFonts w:hint="eastAsia" w:ascii="宋体" w:hAnsi="宋体" w:cs="宋体"/>
          <w:color w:val="auto"/>
          <w:sz w:val="24"/>
          <w:highlight w:val="none"/>
        </w:rPr>
        <w:t>（银行保函、电子保函、保证保险保函、工程担保保函，</w:t>
      </w:r>
      <w:r>
        <w:rPr>
          <w:rFonts w:hint="eastAsia" w:ascii="宋体" w:hAnsi="宋体" w:cs="宋体"/>
          <w:color w:val="auto"/>
          <w:kern w:val="0"/>
          <w:sz w:val="24"/>
          <w:highlight w:val="none"/>
        </w:rPr>
        <w:t>工程担保保证人应将出具的保函相关信息录入“广西建筑市场监管云”平台，以实现保函查询及验真功能。</w:t>
      </w:r>
      <w:r>
        <w:rPr>
          <w:rFonts w:hint="eastAsia" w:ascii="宋体" w:hAnsi="宋体" w:cs="宋体"/>
          <w:color w:val="auto"/>
          <w:sz w:val="24"/>
          <w:highlight w:val="none"/>
        </w:rPr>
        <w:t>）</w:t>
      </w:r>
      <w:r>
        <w:rPr>
          <w:rFonts w:hint="eastAsia" w:ascii="宋体" w:hAnsi="宋体" w:cs="宋体"/>
          <w:color w:val="auto"/>
          <w:kern w:val="0"/>
          <w:sz w:val="24"/>
          <w:highlight w:val="none"/>
        </w:rPr>
        <w:t>，保证金额为：</w:t>
      </w:r>
      <w:r>
        <w:rPr>
          <w:rFonts w:hint="eastAsia" w:ascii="宋体" w:hAnsi="宋体" w:cs="宋体"/>
          <w:color w:val="auto"/>
          <w:kern w:val="0"/>
          <w:sz w:val="24"/>
          <w:highlight w:val="none"/>
          <w:u w:val="single"/>
        </w:rPr>
        <w:t>工程价款结算总额的3</w:t>
      </w:r>
      <w:r>
        <w:rPr>
          <w:rFonts w:hint="eastAsia" w:ascii="宋体" w:hAnsi="宋体" w:cs="宋体"/>
          <w:color w:val="auto"/>
          <w:kern w:val="0"/>
          <w:sz w:val="24"/>
          <w:highlight w:val="none"/>
          <w:u w:val="single"/>
          <w:lang w:val="en-US" w:eastAsia="zh-CN"/>
        </w:rPr>
        <w:t>%</w:t>
      </w:r>
      <w:r>
        <w:rPr>
          <w:rFonts w:hint="eastAsia" w:ascii="宋体" w:hAnsi="宋体" w:cs="宋体"/>
          <w:color w:val="auto"/>
          <w:kern w:val="0"/>
          <w:sz w:val="24"/>
          <w:highlight w:val="none"/>
        </w:rPr>
        <w:t>；</w:t>
      </w:r>
    </w:p>
    <w:p w14:paraId="2CE0503F">
      <w:pPr>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color w:val="auto"/>
          <w:sz w:val="24"/>
          <w:highlight w:val="none"/>
        </w:rPr>
        <w:t>发包人按工程价款结算总额的</w:t>
      </w:r>
      <w:r>
        <w:rPr>
          <w:rFonts w:hint="eastAsia" w:ascii="宋体" w:hAnsi="宋体" w:cs="宋体"/>
          <w:color w:val="auto"/>
          <w:sz w:val="24"/>
          <w:highlight w:val="none"/>
          <w:u w:val="single"/>
        </w:rPr>
        <w:t xml:space="preserve">  3 </w:t>
      </w:r>
      <w:r>
        <w:rPr>
          <w:rFonts w:hint="eastAsia" w:ascii="宋体" w:hAnsi="宋体" w:cs="宋体"/>
          <w:color w:val="auto"/>
          <w:sz w:val="24"/>
          <w:highlight w:val="none"/>
        </w:rPr>
        <w:t>%（不得超过3%）预留工程质量保证金，待缺陷责任期满后返还，是否付息及利息计算方式为：</w:t>
      </w:r>
      <w:r>
        <w:rPr>
          <w:rFonts w:hint="eastAsia" w:ascii="宋体" w:hAnsi="宋体" w:cs="宋体"/>
          <w:color w:val="auto"/>
          <w:sz w:val="24"/>
          <w:highlight w:val="none"/>
          <w:u w:val="single"/>
        </w:rPr>
        <w:t xml:space="preserve">    /     </w:t>
      </w:r>
      <w:r>
        <w:rPr>
          <w:rFonts w:hint="eastAsia" w:ascii="宋体" w:hAnsi="宋体" w:cs="宋体"/>
          <w:color w:val="auto"/>
          <w:kern w:val="0"/>
          <w:sz w:val="24"/>
          <w:highlight w:val="none"/>
        </w:rPr>
        <w:t>；</w:t>
      </w:r>
    </w:p>
    <w:p w14:paraId="0995A86D">
      <w:pPr>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（3）其他方式：</w:t>
      </w:r>
      <w:r>
        <w:rPr>
          <w:rFonts w:hint="eastAsia" w:ascii="宋体" w:hAnsi="宋体" w:cs="宋体"/>
          <w:color w:val="auto"/>
          <w:sz w:val="24"/>
          <w:highlight w:val="none"/>
        </w:rPr>
        <w:t>银行转账、电汇或网上支付等形式。</w:t>
      </w:r>
    </w:p>
    <w:p w14:paraId="33D527F7">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15.3.2 质量保证金的扣留</w:t>
      </w:r>
    </w:p>
    <w:p w14:paraId="62D4E458">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质量保证金的扣留采取以下第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种方式：</w:t>
      </w:r>
    </w:p>
    <w:p w14:paraId="740F5EE4">
      <w:pPr>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（1）在不缴纳</w:t>
      </w:r>
      <w:r>
        <w:rPr>
          <w:rFonts w:hint="eastAsia" w:ascii="宋体" w:hAnsi="宋体" w:cs="宋体"/>
          <w:color w:val="auto"/>
          <w:kern w:val="0"/>
          <w:sz w:val="24"/>
          <w:highlight w:val="none"/>
          <w:lang w:eastAsia="zh-CN"/>
        </w:rPr>
        <w:t>履约</w:t>
      </w:r>
      <w:r>
        <w:rPr>
          <w:rFonts w:hint="eastAsia" w:ascii="宋体" w:hAnsi="宋体" w:cs="宋体"/>
          <w:color w:val="auto"/>
          <w:kern w:val="0"/>
          <w:sz w:val="24"/>
          <w:highlight w:val="none"/>
        </w:rPr>
        <w:t>保证金情况下，按支付工程进度款时逐次扣留，质量保证金的计算基数不包括预付款的支付、扣回以及价格调整的金额；</w:t>
      </w:r>
    </w:p>
    <w:p w14:paraId="7FEFAFBC">
      <w:pPr>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（2）工程竣工结算时，一次性扣留质量保证金，由承包人以银行保函、保证保险替代预留质量保证金，保函金额不得高于工程价款结算总额的3%；</w:t>
      </w:r>
    </w:p>
    <w:p w14:paraId="6C0BC912">
      <w:pPr>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（3）其他扣留方式:</w:t>
      </w:r>
      <w:r>
        <w:rPr>
          <w:rFonts w:hint="eastAsia" w:ascii="宋体" w:hAnsi="宋体" w:cs="宋体"/>
          <w:color w:val="auto"/>
          <w:sz w:val="24"/>
          <w:highlight w:val="none"/>
        </w:rPr>
        <w:t>银行转账、电汇或网上支付、保函（银行保函、电子保函、保证保险保函、工程担保保函）等形式</w:t>
      </w:r>
      <w:r>
        <w:rPr>
          <w:rFonts w:hint="eastAsia" w:ascii="宋体" w:hAnsi="宋体" w:cs="宋体"/>
          <w:color w:val="auto"/>
          <w:kern w:val="0"/>
          <w:sz w:val="24"/>
          <w:highlight w:val="none"/>
        </w:rPr>
        <w:t>。</w:t>
      </w:r>
    </w:p>
    <w:p w14:paraId="3C13A2B2">
      <w:pPr>
        <w:spacing w:line="360" w:lineRule="auto"/>
        <w:ind w:firstLine="480" w:firstLineChars="200"/>
        <w:jc w:val="left"/>
        <w:rPr>
          <w:rFonts w:hint="eastAsia" w:ascii="宋体" w:hAnsi="宋体" w:cs="宋体"/>
          <w:color w:val="auto"/>
          <w:kern w:val="0"/>
          <w:sz w:val="24"/>
          <w:highlight w:val="none"/>
          <w:u w:val="single"/>
        </w:rPr>
      </w:pPr>
      <w:r>
        <w:rPr>
          <w:rFonts w:hint="eastAsia" w:ascii="宋体" w:hAnsi="宋体" w:cs="宋体"/>
          <w:color w:val="auto"/>
          <w:sz w:val="24"/>
          <w:highlight w:val="none"/>
        </w:rPr>
        <w:t>关于质量保证金的补充约定：</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329D27E8">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15.4 保修</w:t>
      </w:r>
    </w:p>
    <w:p w14:paraId="6DF74119">
      <w:pPr>
        <w:spacing w:line="360" w:lineRule="auto"/>
        <w:ind w:firstLine="468" w:firstLineChars="195"/>
        <w:jc w:val="left"/>
        <w:outlineLvl w:val="0"/>
        <w:rPr>
          <w:rFonts w:hint="eastAsia" w:ascii="宋体" w:hAnsi="宋体" w:cs="宋体"/>
          <w:color w:val="auto"/>
          <w:sz w:val="24"/>
          <w:highlight w:val="none"/>
        </w:rPr>
      </w:pPr>
      <w:r>
        <w:rPr>
          <w:rFonts w:hint="eastAsia" w:ascii="宋体" w:hAnsi="宋体" w:cs="宋体"/>
          <w:color w:val="auto"/>
          <w:sz w:val="24"/>
          <w:highlight w:val="none"/>
        </w:rPr>
        <w:t>15.4.1 保修责任</w:t>
      </w:r>
    </w:p>
    <w:p w14:paraId="3BC9B5E5">
      <w:pPr>
        <w:spacing w:line="360" w:lineRule="auto"/>
        <w:ind w:firstLine="468" w:firstLineChars="195"/>
        <w:jc w:val="left"/>
        <w:rPr>
          <w:rFonts w:hint="eastAsia" w:ascii="宋体" w:hAnsi="宋体" w:cs="宋体"/>
          <w:color w:val="auto"/>
          <w:kern w:val="0"/>
          <w:sz w:val="24"/>
          <w:highlight w:val="none"/>
        </w:rPr>
      </w:pPr>
      <w:r>
        <w:rPr>
          <w:rFonts w:hint="eastAsia" w:ascii="宋体" w:hAnsi="宋体" w:cs="宋体"/>
          <w:color w:val="auto"/>
          <w:sz w:val="24"/>
          <w:highlight w:val="none"/>
        </w:rPr>
        <w:t>工程保修期为：</w:t>
      </w:r>
      <w:r>
        <w:rPr>
          <w:rFonts w:hint="eastAsia" w:ascii="宋体" w:hAnsi="宋体" w:cs="宋体"/>
          <w:color w:val="auto"/>
          <w:kern w:val="0"/>
          <w:sz w:val="24"/>
          <w:highlight w:val="none"/>
          <w:u w:val="single"/>
        </w:rPr>
        <w:t>按工程质量保修书及现行规范、标准、规程及法律法规规定的期限执行</w:t>
      </w:r>
      <w:r>
        <w:rPr>
          <w:rFonts w:hint="eastAsia" w:ascii="宋体" w:hAnsi="宋体" w:cs="宋体"/>
          <w:color w:val="auto"/>
          <w:kern w:val="0"/>
          <w:sz w:val="24"/>
          <w:highlight w:val="none"/>
        </w:rPr>
        <w:t>。</w:t>
      </w:r>
    </w:p>
    <w:p w14:paraId="0017019C">
      <w:pPr>
        <w:spacing w:line="360" w:lineRule="auto"/>
        <w:ind w:firstLine="468" w:firstLineChars="195"/>
        <w:jc w:val="left"/>
        <w:rPr>
          <w:rFonts w:hint="eastAsia" w:ascii="宋体" w:hAnsi="宋体" w:cs="宋体"/>
          <w:color w:val="auto"/>
          <w:kern w:val="0"/>
          <w:sz w:val="24"/>
          <w:highlight w:val="none"/>
          <w:u w:val="single"/>
        </w:rPr>
      </w:pPr>
      <w:r>
        <w:rPr>
          <w:rFonts w:hint="eastAsia" w:ascii="宋体" w:hAnsi="宋体" w:cs="宋体"/>
          <w:color w:val="auto"/>
          <w:sz w:val="24"/>
          <w:highlight w:val="none"/>
        </w:rPr>
        <w:t>工程保修书具体内容见合同附件2。</w:t>
      </w:r>
    </w:p>
    <w:p w14:paraId="1BAC56A7">
      <w:pPr>
        <w:spacing w:line="360" w:lineRule="auto"/>
        <w:ind w:firstLine="468" w:firstLineChars="195"/>
        <w:jc w:val="left"/>
        <w:rPr>
          <w:rFonts w:hint="eastAsia" w:ascii="宋体" w:hAnsi="宋体" w:cs="宋体"/>
          <w:color w:val="auto"/>
          <w:sz w:val="24"/>
          <w:highlight w:val="none"/>
        </w:rPr>
      </w:pPr>
      <w:r>
        <w:rPr>
          <w:rFonts w:hint="eastAsia" w:ascii="宋体" w:hAnsi="宋体" w:cs="宋体"/>
          <w:color w:val="auto"/>
          <w:sz w:val="24"/>
          <w:highlight w:val="none"/>
        </w:rPr>
        <w:t>15.4.3 修复通知</w:t>
      </w:r>
    </w:p>
    <w:p w14:paraId="739E29B2">
      <w:pPr>
        <w:spacing w:line="360" w:lineRule="auto"/>
        <w:ind w:firstLine="468" w:firstLineChars="195"/>
        <w:jc w:val="left"/>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承包人收到保修通知并到达工程现场的合理时间：</w:t>
      </w:r>
      <w:r>
        <w:rPr>
          <w:rFonts w:hint="eastAsia" w:ascii="宋体" w:hAnsi="宋体" w:cs="宋体"/>
          <w:color w:val="auto"/>
          <w:kern w:val="0"/>
          <w:sz w:val="24"/>
          <w:highlight w:val="none"/>
          <w:u w:val="single"/>
        </w:rPr>
        <w:t xml:space="preserve">24小时内 </w:t>
      </w:r>
      <w:r>
        <w:rPr>
          <w:rFonts w:hint="eastAsia" w:ascii="宋体" w:hAnsi="宋体" w:cs="宋体"/>
          <w:color w:val="auto"/>
          <w:kern w:val="0"/>
          <w:sz w:val="24"/>
          <w:highlight w:val="none"/>
        </w:rPr>
        <w:t>。</w:t>
      </w:r>
    </w:p>
    <w:p w14:paraId="6DC59431">
      <w:pPr>
        <w:pStyle w:val="4"/>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16. 违约</w:t>
      </w:r>
    </w:p>
    <w:p w14:paraId="39A3F8C0">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16.1 发包人违约</w:t>
      </w:r>
    </w:p>
    <w:p w14:paraId="17E24D3E">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16.1.1发包人违约的情形</w:t>
      </w:r>
    </w:p>
    <w:p w14:paraId="1CFBE9D9">
      <w:pPr>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发包人违约的其他情形：</w:t>
      </w:r>
      <w:r>
        <w:rPr>
          <w:rFonts w:hint="eastAsia" w:ascii="宋体" w:hAnsi="宋体" w:cs="宋体"/>
          <w:color w:val="auto"/>
          <w:kern w:val="0"/>
          <w:sz w:val="24"/>
          <w:highlight w:val="none"/>
          <w:u w:val="single"/>
        </w:rPr>
        <w:t xml:space="preserve">     按《通用合同条款》执行   </w:t>
      </w:r>
      <w:r>
        <w:rPr>
          <w:rFonts w:hint="eastAsia" w:ascii="宋体" w:hAnsi="宋体" w:cs="宋体"/>
          <w:color w:val="auto"/>
          <w:kern w:val="0"/>
          <w:sz w:val="24"/>
          <w:highlight w:val="none"/>
        </w:rPr>
        <w:t>。</w:t>
      </w:r>
    </w:p>
    <w:p w14:paraId="1BE3BB22">
      <w:pPr>
        <w:spacing w:line="360" w:lineRule="auto"/>
        <w:ind w:firstLine="480" w:firstLineChars="200"/>
        <w:jc w:val="left"/>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16.1.2 发包人违约的责任</w:t>
      </w:r>
    </w:p>
    <w:p w14:paraId="03A7CC00">
      <w:pPr>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发包人违约责任的承担方式和计算方法：</w:t>
      </w:r>
    </w:p>
    <w:p w14:paraId="220A607C">
      <w:pPr>
        <w:pStyle w:val="230"/>
        <w:spacing w:line="360" w:lineRule="auto"/>
        <w:ind w:firstLine="480" w:firstLineChars="200"/>
        <w:jc w:val="left"/>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（1）因发包人原因未能在计划开工日期前7天内下达开工通知的违约责任：</w:t>
      </w:r>
      <w:r>
        <w:rPr>
          <w:rFonts w:hint="eastAsia" w:ascii="宋体" w:hAnsi="宋体" w:cs="宋体"/>
          <w:color w:val="auto"/>
          <w:kern w:val="0"/>
          <w:sz w:val="24"/>
          <w:szCs w:val="24"/>
          <w:highlight w:val="none"/>
          <w:u w:val="single"/>
        </w:rPr>
        <w:t xml:space="preserve"> 承包人可以要求顺延工程日期 </w:t>
      </w:r>
      <w:r>
        <w:rPr>
          <w:rFonts w:hint="eastAsia" w:ascii="宋体" w:hAnsi="宋体" w:cs="宋体"/>
          <w:color w:val="auto"/>
          <w:kern w:val="0"/>
          <w:sz w:val="24"/>
          <w:szCs w:val="24"/>
          <w:highlight w:val="none"/>
        </w:rPr>
        <w:t>。</w:t>
      </w:r>
    </w:p>
    <w:p w14:paraId="61361D47">
      <w:pPr>
        <w:pStyle w:val="23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（2）因发包人原因未能按合同约定支付合同价款的违约责任：</w:t>
      </w:r>
      <w:r>
        <w:rPr>
          <w:rFonts w:hint="eastAsia" w:ascii="宋体" w:hAnsi="宋体" w:cs="宋体"/>
          <w:color w:val="auto"/>
          <w:kern w:val="0"/>
          <w:sz w:val="24"/>
          <w:szCs w:val="24"/>
          <w:highlight w:val="none"/>
          <w:u w:val="single"/>
        </w:rPr>
        <w:t xml:space="preserve"> 如发包人进度款支付延期，承包人应予以理解，承包人可以要求顺延工程日期    </w:t>
      </w:r>
      <w:r>
        <w:rPr>
          <w:rFonts w:hint="eastAsia" w:ascii="宋体" w:hAnsi="宋体" w:cs="宋体"/>
          <w:color w:val="auto"/>
          <w:kern w:val="0"/>
          <w:sz w:val="24"/>
          <w:szCs w:val="24"/>
          <w:highlight w:val="none"/>
        </w:rPr>
        <w:t>。</w:t>
      </w:r>
    </w:p>
    <w:p w14:paraId="005E5B4A">
      <w:pPr>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（3）发包人违反第10.1款〔变更的范围〕第（2）项约定，自行实施被取消的工作或转由他人实施的违约责任：</w:t>
      </w:r>
      <w:r>
        <w:rPr>
          <w:rFonts w:hint="eastAsia" w:ascii="宋体" w:hAnsi="宋体" w:cs="宋体"/>
          <w:color w:val="auto"/>
          <w:kern w:val="0"/>
          <w:sz w:val="24"/>
          <w:highlight w:val="none"/>
          <w:u w:val="single"/>
        </w:rPr>
        <w:t xml:space="preserve"> 发包人自行实施的工作或转由他人实施的工作不符合国家合格质量标准的，由发包人承担因此造成的经济损失 </w:t>
      </w:r>
      <w:r>
        <w:rPr>
          <w:rFonts w:hint="eastAsia" w:ascii="宋体" w:hAnsi="宋体" w:cs="宋体"/>
          <w:color w:val="auto"/>
          <w:kern w:val="0"/>
          <w:sz w:val="24"/>
          <w:highlight w:val="none"/>
        </w:rPr>
        <w:t>。</w:t>
      </w:r>
    </w:p>
    <w:p w14:paraId="3AFAC378">
      <w:pPr>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（4）发包人提供的材料、工程设备的规格、数量或质量不符合合同约定，或因发包人原因导致交货日期延误或交货地点变更等情况的违约责任：</w:t>
      </w:r>
      <w:r>
        <w:rPr>
          <w:rFonts w:hint="eastAsia" w:ascii="宋体" w:hAnsi="宋体" w:cs="宋体"/>
          <w:color w:val="auto"/>
          <w:kern w:val="0"/>
          <w:sz w:val="24"/>
          <w:highlight w:val="none"/>
          <w:u w:val="single"/>
        </w:rPr>
        <w:t xml:space="preserve"> 承包人可以顺延工程日期 </w:t>
      </w:r>
      <w:r>
        <w:rPr>
          <w:rFonts w:hint="eastAsia" w:ascii="宋体" w:hAnsi="宋体" w:cs="宋体"/>
          <w:color w:val="auto"/>
          <w:kern w:val="0"/>
          <w:sz w:val="24"/>
          <w:highlight w:val="none"/>
        </w:rPr>
        <w:t>。</w:t>
      </w:r>
    </w:p>
    <w:p w14:paraId="72F73A32">
      <w:pPr>
        <w:spacing w:line="360" w:lineRule="auto"/>
        <w:ind w:firstLine="480" w:firstLineChars="200"/>
        <w:jc w:val="left"/>
        <w:rPr>
          <w:rFonts w:hint="eastAsia" w:ascii="宋体" w:hAnsi="宋体" w:cs="宋体"/>
          <w:color w:val="auto"/>
          <w:kern w:val="0"/>
          <w:sz w:val="24"/>
          <w:highlight w:val="none"/>
          <w:u w:val="single"/>
        </w:rPr>
      </w:pPr>
      <w:r>
        <w:rPr>
          <w:rFonts w:hint="eastAsia" w:ascii="宋体" w:hAnsi="宋体" w:cs="宋体"/>
          <w:color w:val="auto"/>
          <w:kern w:val="0"/>
          <w:sz w:val="24"/>
          <w:highlight w:val="none"/>
        </w:rPr>
        <w:t>（5）因发包人违反合同约定造成暂停施工的违约责任：</w:t>
      </w:r>
      <w:r>
        <w:rPr>
          <w:rFonts w:hint="eastAsia" w:ascii="宋体" w:hAnsi="宋体" w:cs="宋体"/>
          <w:color w:val="auto"/>
          <w:kern w:val="0"/>
          <w:sz w:val="24"/>
          <w:highlight w:val="none"/>
          <w:u w:val="single"/>
        </w:rPr>
        <w:t xml:space="preserve"> 发包人应当采取措施弥补或者减少损失 </w:t>
      </w:r>
      <w:r>
        <w:rPr>
          <w:rFonts w:hint="eastAsia" w:ascii="宋体" w:hAnsi="宋体" w:cs="宋体"/>
          <w:color w:val="auto"/>
          <w:kern w:val="0"/>
          <w:sz w:val="24"/>
          <w:highlight w:val="none"/>
        </w:rPr>
        <w:t>。</w:t>
      </w:r>
    </w:p>
    <w:p w14:paraId="1FDD034C">
      <w:pPr>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（6）发包人无正当理由没有在约定期限内发出复工指示，导致承包人无法复工的违约责任：</w:t>
      </w:r>
      <w:r>
        <w:rPr>
          <w:rFonts w:hint="eastAsia" w:ascii="宋体" w:hAnsi="宋体" w:cs="宋体"/>
          <w:color w:val="auto"/>
          <w:kern w:val="0"/>
          <w:sz w:val="24"/>
          <w:highlight w:val="none"/>
          <w:u w:val="single"/>
        </w:rPr>
        <w:t xml:space="preserve">     承包人可以顺延工程日期    </w:t>
      </w:r>
      <w:r>
        <w:rPr>
          <w:rFonts w:hint="eastAsia" w:ascii="宋体" w:hAnsi="宋体" w:cs="宋体"/>
          <w:color w:val="auto"/>
          <w:kern w:val="0"/>
          <w:sz w:val="24"/>
          <w:highlight w:val="none"/>
        </w:rPr>
        <w:t>。</w:t>
      </w:r>
    </w:p>
    <w:p w14:paraId="0AD30CAF">
      <w:pPr>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（7）其他：</w:t>
      </w:r>
      <w:r>
        <w:rPr>
          <w:rFonts w:hint="eastAsia" w:ascii="宋体" w:hAnsi="宋体" w:cs="宋体"/>
          <w:color w:val="auto"/>
          <w:kern w:val="0"/>
          <w:sz w:val="24"/>
          <w:highlight w:val="none"/>
          <w:u w:val="single"/>
        </w:rPr>
        <w:t xml:space="preserve">     按《通用合同条款》执行      </w:t>
      </w:r>
      <w:r>
        <w:rPr>
          <w:rFonts w:hint="eastAsia" w:ascii="宋体" w:hAnsi="宋体" w:cs="宋体"/>
          <w:color w:val="auto"/>
          <w:kern w:val="0"/>
          <w:sz w:val="24"/>
          <w:highlight w:val="none"/>
        </w:rPr>
        <w:t>。</w:t>
      </w:r>
    </w:p>
    <w:p w14:paraId="6117C0A0">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16.1.3 因发包人违约解除合同</w:t>
      </w:r>
    </w:p>
    <w:p w14:paraId="7BD837B7">
      <w:pPr>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承包人按16.1.1项〔发包人违约的情形〕约定暂停施工满</w:t>
      </w:r>
      <w:r>
        <w:rPr>
          <w:rFonts w:hint="eastAsia" w:ascii="宋体" w:hAnsi="宋体" w:cs="宋体"/>
          <w:color w:val="auto"/>
          <w:kern w:val="0"/>
          <w:sz w:val="24"/>
          <w:highlight w:val="none"/>
          <w:u w:val="single"/>
        </w:rPr>
        <w:t xml:space="preserve">  90  </w:t>
      </w:r>
      <w:r>
        <w:rPr>
          <w:rFonts w:hint="eastAsia" w:ascii="宋体" w:hAnsi="宋体" w:cs="宋体"/>
          <w:color w:val="auto"/>
          <w:kern w:val="0"/>
          <w:sz w:val="24"/>
          <w:highlight w:val="none"/>
        </w:rPr>
        <w:t>天后发包人仍不纠正其违约行为并致使合同目的不能实现的，承包人有权解除合同。</w:t>
      </w:r>
    </w:p>
    <w:p w14:paraId="4AFC2194">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16.2 承包人违约</w:t>
      </w:r>
    </w:p>
    <w:p w14:paraId="2DC5ED2C">
      <w:pPr>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16.2.1 承包人违约的情形</w:t>
      </w:r>
    </w:p>
    <w:p w14:paraId="2E910D4A">
      <w:pPr>
        <w:spacing w:line="360" w:lineRule="auto"/>
        <w:ind w:firstLine="480" w:firstLineChars="200"/>
        <w:jc w:val="left"/>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承包人违约的其他情形：</w:t>
      </w:r>
      <w:r>
        <w:rPr>
          <w:rFonts w:hint="eastAsia" w:ascii="宋体" w:hAnsi="宋体" w:cs="宋体"/>
          <w:color w:val="auto"/>
          <w:kern w:val="0"/>
          <w:sz w:val="24"/>
          <w:highlight w:val="none"/>
          <w:u w:val="single"/>
        </w:rPr>
        <w:t xml:space="preserve">   按《通用合同条款》执行      </w:t>
      </w:r>
      <w:r>
        <w:rPr>
          <w:rFonts w:hint="eastAsia" w:ascii="宋体" w:hAnsi="宋体" w:cs="宋体"/>
          <w:color w:val="auto"/>
          <w:kern w:val="0"/>
          <w:sz w:val="24"/>
          <w:highlight w:val="none"/>
        </w:rPr>
        <w:t>。</w:t>
      </w:r>
    </w:p>
    <w:p w14:paraId="7615AC76">
      <w:pPr>
        <w:spacing w:line="360" w:lineRule="auto"/>
        <w:ind w:firstLine="480" w:firstLineChars="200"/>
        <w:jc w:val="left"/>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16.2.2承包人违约的责任</w:t>
      </w:r>
    </w:p>
    <w:p w14:paraId="6AF7EC19">
      <w:pPr>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承包人违约责任的承担方式和计算方法：</w:t>
      </w:r>
    </w:p>
    <w:p w14:paraId="23F9B30A">
      <w:pPr>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有本合同通用条款第16.2.1（2）、（3）条内容情形的，承包人无条件返工处理，修复至工程质量要求并承担相关费用，并在发包人规定的时间内完成返工，否则发包人有权扣罚该分项工程10%的工程款作为处罚。</w:t>
      </w:r>
    </w:p>
    <w:p w14:paraId="6864281A">
      <w:pPr>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（2）承包人有本合同通用条款第16.2.1（6）条情形的，或经监理人检验认为修复质量不合格而承包人拒绝再进行修补的，发包人将扣除承包人全部质量保证金。</w:t>
      </w:r>
    </w:p>
    <w:p w14:paraId="517DC0C1">
      <w:pPr>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28142201">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16.2.3 因承包人违约解除合同</w:t>
      </w:r>
    </w:p>
    <w:p w14:paraId="53C560CB">
      <w:pPr>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关于承包人违约解除合同的特别约定：</w:t>
      </w:r>
      <w:r>
        <w:rPr>
          <w:rFonts w:hint="eastAsia" w:ascii="宋体" w:hAnsi="宋体" w:cs="宋体"/>
          <w:color w:val="auto"/>
          <w:kern w:val="0"/>
          <w:sz w:val="24"/>
          <w:highlight w:val="none"/>
          <w:u w:val="single"/>
        </w:rPr>
        <w:t>承包人有违反以下情况之一的，发包人有权解除合同，并没收其全部履约保证金</w:t>
      </w:r>
      <w:r>
        <w:rPr>
          <w:rFonts w:hint="eastAsia" w:ascii="宋体" w:hAnsi="宋体" w:cs="宋体"/>
          <w:color w:val="auto"/>
          <w:kern w:val="0"/>
          <w:sz w:val="24"/>
          <w:highlight w:val="none"/>
        </w:rPr>
        <w:t>。</w:t>
      </w:r>
    </w:p>
    <w:p w14:paraId="77566F22">
      <w:pPr>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(1)承包人无正当理由不按开工通知的要求及时进场组织施工和不按签订协议书时商定的进度计划有效地开展施工准备，造成工期延误的；</w:t>
      </w:r>
    </w:p>
    <w:p w14:paraId="1E44DEE1">
      <w:pPr>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(2)承包人违反本合同通用条款第3.5条规定私自将合同或合同的任何部分或任何权利转让给其他人，或私自将工程或工程的一部分分包出去的；</w:t>
      </w:r>
    </w:p>
    <w:p w14:paraId="474CE735">
      <w:pPr>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(3)未经监理人批准，承包人私自将已按投标文件承诺进入工地的工程设备、施工设备、临时工程或材料撤离工地的；</w:t>
      </w:r>
    </w:p>
    <w:p w14:paraId="284AE83E">
      <w:pPr>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(4)由于承包人原因拒绝按合同进度计划及时完成合同规定的工程，而又未采取有效措施赶上进度，造成工期严重延误的；</w:t>
      </w:r>
    </w:p>
    <w:p w14:paraId="7C2B205E">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(5)承包人否认合同有效或拒绝履行合同规定的承包人义务，或由于法律、财务等原因导致承包人无法继续履行或实质上已停止履行合同的义务的；</w:t>
      </w:r>
    </w:p>
    <w:p w14:paraId="52C81BA2">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发包人继续使用承包人在施工现场的材料、设备、临时工程、承包人文件和由承包人或以其名义编制的其他文件的费用承担方式：</w:t>
      </w:r>
      <w:r>
        <w:rPr>
          <w:rFonts w:hint="eastAsia" w:ascii="宋体" w:hAnsi="宋体" w:cs="宋体"/>
          <w:color w:val="auto"/>
          <w:kern w:val="0"/>
          <w:sz w:val="24"/>
          <w:highlight w:val="none"/>
          <w:u w:val="single"/>
        </w:rPr>
        <w:t xml:space="preserve">     由承包人承担相应费用    </w:t>
      </w:r>
      <w:r>
        <w:rPr>
          <w:rFonts w:hint="eastAsia" w:ascii="宋体" w:hAnsi="宋体" w:cs="宋体"/>
          <w:color w:val="auto"/>
          <w:kern w:val="0"/>
          <w:sz w:val="24"/>
          <w:highlight w:val="none"/>
        </w:rPr>
        <w:t>。</w:t>
      </w:r>
    </w:p>
    <w:p w14:paraId="73673487">
      <w:pPr>
        <w:pStyle w:val="4"/>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17. 不可抗力 </w:t>
      </w:r>
    </w:p>
    <w:p w14:paraId="58E7201D">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17.1 不可抗力的确认</w:t>
      </w:r>
    </w:p>
    <w:p w14:paraId="19BD2A17">
      <w:pPr>
        <w:pStyle w:val="230"/>
        <w:spacing w:line="360" w:lineRule="auto"/>
        <w:ind w:firstLine="480" w:firstLineChars="200"/>
        <w:jc w:val="left"/>
        <w:rPr>
          <w:rFonts w:hint="eastAsia" w:ascii="宋体" w:hAnsi="宋体" w:cs="宋体"/>
          <w:color w:val="auto"/>
          <w:kern w:val="0"/>
          <w:sz w:val="24"/>
          <w:szCs w:val="24"/>
          <w:highlight w:val="none"/>
          <w:u w:val="single"/>
        </w:rPr>
      </w:pPr>
      <w:r>
        <w:rPr>
          <w:rFonts w:hint="eastAsia" w:ascii="宋体" w:hAnsi="宋体" w:cs="宋体"/>
          <w:color w:val="auto"/>
          <w:sz w:val="24"/>
          <w:szCs w:val="24"/>
          <w:highlight w:val="none"/>
        </w:rPr>
        <w:t>除通用合同条款约定的不可抗力事件之外，视为不可抗力的其他情形：</w:t>
      </w:r>
      <w:r>
        <w:rPr>
          <w:rFonts w:hint="eastAsia" w:ascii="宋体" w:hAnsi="宋体" w:cs="宋体"/>
          <w:color w:val="auto"/>
          <w:kern w:val="0"/>
          <w:sz w:val="24"/>
          <w:szCs w:val="24"/>
          <w:highlight w:val="none"/>
          <w:u w:val="single"/>
        </w:rPr>
        <w:t xml:space="preserve">按《通用合同条款》执行 </w:t>
      </w:r>
      <w:r>
        <w:rPr>
          <w:rFonts w:hint="eastAsia" w:ascii="宋体" w:hAnsi="宋体" w:cs="宋体"/>
          <w:color w:val="auto"/>
          <w:kern w:val="0"/>
          <w:sz w:val="24"/>
          <w:szCs w:val="24"/>
          <w:highlight w:val="none"/>
        </w:rPr>
        <w:t>。</w:t>
      </w:r>
    </w:p>
    <w:p w14:paraId="036D059B">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17.4 因不可抗力解除合同</w:t>
      </w:r>
    </w:p>
    <w:p w14:paraId="09DFA52D">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合同解除后，发包人应在商定或确定发包人应支付款项后</w:t>
      </w:r>
      <w:r>
        <w:rPr>
          <w:rFonts w:hint="eastAsia" w:ascii="宋体" w:hAnsi="宋体" w:cs="宋体"/>
          <w:color w:val="auto"/>
          <w:sz w:val="24"/>
          <w:highlight w:val="none"/>
          <w:u w:val="single"/>
        </w:rPr>
        <w:t xml:space="preserve"> 28   </w:t>
      </w:r>
      <w:r>
        <w:rPr>
          <w:rFonts w:hint="eastAsia" w:ascii="宋体" w:hAnsi="宋体" w:cs="宋体"/>
          <w:color w:val="auto"/>
          <w:sz w:val="24"/>
          <w:highlight w:val="none"/>
        </w:rPr>
        <w:t>天内完成款项的支付。</w:t>
      </w:r>
    </w:p>
    <w:p w14:paraId="5D80950C">
      <w:pPr>
        <w:pStyle w:val="4"/>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18. 保险</w:t>
      </w:r>
    </w:p>
    <w:p w14:paraId="1448EED1">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18.1 工程保险</w:t>
      </w:r>
    </w:p>
    <w:p w14:paraId="51F80D79">
      <w:pPr>
        <w:pStyle w:val="230"/>
        <w:spacing w:line="360" w:lineRule="auto"/>
        <w:ind w:firstLine="480" w:firstLineChars="200"/>
        <w:jc w:val="left"/>
        <w:rPr>
          <w:rFonts w:hint="default" w:ascii="宋体" w:hAnsi="宋体" w:cs="宋体"/>
          <w:color w:val="auto"/>
          <w:sz w:val="24"/>
          <w:highlight w:val="none"/>
          <w:lang w:val="en-US" w:eastAsia="zh-CN"/>
        </w:rPr>
      </w:pPr>
      <w:r>
        <w:rPr>
          <w:rFonts w:hint="eastAsia" w:ascii="宋体" w:hAnsi="宋体" w:cs="宋体"/>
          <w:color w:val="auto"/>
          <w:sz w:val="24"/>
          <w:szCs w:val="24"/>
          <w:highlight w:val="none"/>
        </w:rPr>
        <w:t>关于工程保险的特别约定：</w:t>
      </w:r>
      <w:r>
        <w:rPr>
          <w:rFonts w:hint="eastAsia" w:ascii="宋体" w:hAnsi="宋体" w:cs="宋体"/>
          <w:color w:val="auto"/>
          <w:kern w:val="0"/>
          <w:sz w:val="24"/>
          <w:szCs w:val="24"/>
          <w:highlight w:val="none"/>
          <w:u w:val="single"/>
        </w:rPr>
        <w:t>由承包人投保建筑工程一切险及安装工程一切险并承担相应费用，保险金不足以补偿损失的，应由承包人负责补偿</w:t>
      </w:r>
      <w:r>
        <w:rPr>
          <w:rFonts w:hint="eastAsia" w:ascii="宋体" w:hAnsi="宋体" w:cs="宋体"/>
          <w:color w:val="auto"/>
          <w:kern w:val="0"/>
          <w:sz w:val="24"/>
          <w:szCs w:val="24"/>
          <w:highlight w:val="none"/>
        </w:rPr>
        <w:t>。安全生产责任保险费按《自治区住房和城乡建设厅关于印发广西壮族自治区房屋建筑和市政基础设施工程安全生产责任保险计价规定的通知》(桂建发(2023)6号)计算，工程结算时，由发承包双方根据工程实际情况确认的安全生产责任保险费进行结算。</w:t>
      </w:r>
      <w:r>
        <w:rPr>
          <w:rFonts w:hint="eastAsia" w:ascii="宋体" w:hAnsi="宋体" w:cs="宋体"/>
          <w:color w:val="auto"/>
          <w:kern w:val="0"/>
          <w:sz w:val="24"/>
          <w:szCs w:val="24"/>
          <w:highlight w:val="none"/>
          <w:lang w:eastAsia="zh-CN"/>
        </w:rPr>
        <w:t>按</w:t>
      </w:r>
      <w:r>
        <w:rPr>
          <w:rFonts w:hint="eastAsia" w:ascii="宋体" w:hAnsi="宋体" w:cs="宋体"/>
          <w:color w:val="auto"/>
          <w:kern w:val="0"/>
          <w:sz w:val="24"/>
          <w:szCs w:val="24"/>
          <w:highlight w:val="none"/>
        </w:rPr>
        <w:t>桂建价〔2024〕2号</w:t>
      </w:r>
      <w:r>
        <w:rPr>
          <w:rFonts w:hint="eastAsia" w:ascii="宋体" w:hAnsi="宋体" w:cs="宋体"/>
          <w:color w:val="auto"/>
          <w:kern w:val="0"/>
          <w:sz w:val="24"/>
          <w:szCs w:val="24"/>
          <w:highlight w:val="none"/>
          <w:lang w:eastAsia="zh-CN"/>
        </w:rPr>
        <w:t>计算</w:t>
      </w:r>
      <w:r>
        <w:rPr>
          <w:rFonts w:hint="eastAsia" w:ascii="宋体" w:hAnsi="宋体" w:cs="宋体"/>
          <w:color w:val="auto"/>
          <w:kern w:val="0"/>
          <w:sz w:val="24"/>
          <w:szCs w:val="24"/>
          <w:highlight w:val="none"/>
        </w:rPr>
        <w:t>安全生产责任保险费</w:t>
      </w:r>
      <w:r>
        <w:rPr>
          <w:rFonts w:hint="default" w:ascii="宋体" w:hAnsi="宋体" w:cs="宋体"/>
          <w:color w:val="auto"/>
          <w:sz w:val="24"/>
          <w:highlight w:val="none"/>
          <w:lang w:val="en-US" w:eastAsia="zh-CN"/>
        </w:rPr>
        <w:t>暂估价的具体金额=[招标控制价的分部分项工程费+招标控制价的措施项目费（含单价及总价措施项目费）]×0.2%</w:t>
      </w:r>
      <w:r>
        <w:rPr>
          <w:rFonts w:hint="eastAsia" w:ascii="宋体" w:hAnsi="宋体" w:cs="宋体"/>
          <w:color w:val="auto"/>
          <w:sz w:val="24"/>
          <w:highlight w:val="none"/>
          <w:lang w:val="en-US" w:eastAsia="zh-CN"/>
        </w:rPr>
        <w:t>。</w:t>
      </w:r>
    </w:p>
    <w:p w14:paraId="5F0B993D">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18.3 其他保险</w:t>
      </w:r>
    </w:p>
    <w:p w14:paraId="28D8AF04">
      <w:pPr>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关于其他保险的约定：</w:t>
      </w:r>
      <w:r>
        <w:rPr>
          <w:rFonts w:hint="eastAsia" w:ascii="宋体" w:hAnsi="宋体" w:cs="宋体"/>
          <w:color w:val="auto"/>
          <w:sz w:val="24"/>
          <w:highlight w:val="none"/>
          <w:u w:val="single"/>
        </w:rPr>
        <w:t xml:space="preserve">发包人和承包人各自为其施工现场的全部人员办理意外伤害保险并支付保险费，包括其员工及为履行合同聘请的第三方的人员   </w:t>
      </w:r>
      <w:r>
        <w:rPr>
          <w:rFonts w:hint="eastAsia" w:ascii="宋体" w:hAnsi="宋体" w:cs="宋体"/>
          <w:color w:val="auto"/>
          <w:sz w:val="24"/>
          <w:highlight w:val="none"/>
        </w:rPr>
        <w:t>。</w:t>
      </w:r>
    </w:p>
    <w:p w14:paraId="48EB0390">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承包人是否应为其施工设备等办理财产保险：</w:t>
      </w:r>
      <w:r>
        <w:rPr>
          <w:rFonts w:hint="eastAsia" w:ascii="宋体" w:hAnsi="宋体" w:cs="宋体"/>
          <w:color w:val="auto"/>
          <w:sz w:val="24"/>
          <w:highlight w:val="none"/>
          <w:u w:val="single"/>
        </w:rPr>
        <w:t xml:space="preserve">根据需要自行办理，保险费由承包人自行承担 </w:t>
      </w:r>
      <w:r>
        <w:rPr>
          <w:rFonts w:hint="eastAsia" w:ascii="宋体" w:hAnsi="宋体" w:cs="宋体"/>
          <w:color w:val="auto"/>
          <w:sz w:val="24"/>
          <w:highlight w:val="none"/>
        </w:rPr>
        <w:t>。</w:t>
      </w:r>
    </w:p>
    <w:p w14:paraId="464F85D8">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18.7 通知义务</w:t>
      </w:r>
    </w:p>
    <w:p w14:paraId="42DA0181">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kern w:val="0"/>
          <w:sz w:val="24"/>
          <w:highlight w:val="none"/>
        </w:rPr>
        <w:t>关于变更保险合同时的通知义务的约定：</w:t>
      </w:r>
      <w:r>
        <w:rPr>
          <w:rFonts w:hint="eastAsia" w:ascii="宋体" w:hAnsi="宋体" w:cs="宋体"/>
          <w:color w:val="auto"/>
          <w:sz w:val="24"/>
          <w:highlight w:val="none"/>
          <w:u w:val="single"/>
        </w:rPr>
        <w:t xml:space="preserve">     由承包人通知发包人和监理人     </w:t>
      </w:r>
      <w:r>
        <w:rPr>
          <w:rFonts w:hint="eastAsia" w:ascii="宋体" w:hAnsi="宋体" w:cs="宋体"/>
          <w:color w:val="auto"/>
          <w:sz w:val="24"/>
          <w:highlight w:val="none"/>
        </w:rPr>
        <w:t>。</w:t>
      </w:r>
    </w:p>
    <w:p w14:paraId="32F96075">
      <w:pPr>
        <w:pStyle w:val="4"/>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20. 争议解决</w:t>
      </w:r>
    </w:p>
    <w:p w14:paraId="7F8EFB99">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20.3 争议评审</w:t>
      </w:r>
    </w:p>
    <w:p w14:paraId="27B82F4E">
      <w:pPr>
        <w:spacing w:line="360" w:lineRule="auto"/>
        <w:ind w:left="149" w:leftChars="71" w:firstLine="360" w:firstLineChars="150"/>
        <w:jc w:val="left"/>
        <w:rPr>
          <w:rFonts w:hint="eastAsia" w:ascii="宋体" w:hAnsi="宋体" w:cs="宋体"/>
          <w:color w:val="auto"/>
          <w:sz w:val="24"/>
          <w:highlight w:val="none"/>
          <w:u w:val="single"/>
        </w:rPr>
      </w:pPr>
      <w:r>
        <w:rPr>
          <w:rFonts w:hint="eastAsia" w:ascii="宋体" w:hAnsi="宋体" w:cs="宋体"/>
          <w:color w:val="auto"/>
          <w:sz w:val="24"/>
          <w:highlight w:val="none"/>
        </w:rPr>
        <w:t>合同当事人是否同意将工程争议提交争议评审小组决定：</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16DFE5FE">
      <w:pPr>
        <w:spacing w:line="360" w:lineRule="auto"/>
        <w:ind w:firstLine="480" w:firstLineChars="200"/>
        <w:jc w:val="left"/>
        <w:outlineLvl w:val="0"/>
        <w:rPr>
          <w:rFonts w:hint="eastAsia" w:ascii="宋体" w:hAnsi="宋体" w:cs="宋体"/>
          <w:color w:val="auto"/>
          <w:sz w:val="24"/>
          <w:highlight w:val="none"/>
        </w:rPr>
      </w:pPr>
      <w:r>
        <w:rPr>
          <w:rFonts w:hint="eastAsia" w:ascii="宋体" w:hAnsi="宋体" w:cs="宋体"/>
          <w:color w:val="auto"/>
          <w:sz w:val="24"/>
          <w:highlight w:val="none"/>
        </w:rPr>
        <w:t>20.3.1 争议评审小组的确定</w:t>
      </w:r>
    </w:p>
    <w:p w14:paraId="411D88E9">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争议评审小组成员的确定：</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511CD75D">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选定争议评审员的期限：</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6AD38EE7">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争议评审小组成员的报酬承担方式：</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2BD95D58">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其他事项的约定：</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4E9D4372">
      <w:pPr>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20.3.2 争议评审小组的决定</w:t>
      </w:r>
    </w:p>
    <w:p w14:paraId="5918702C">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合同当事人关于本项的约定：</w:t>
      </w:r>
      <w:r>
        <w:rPr>
          <w:rFonts w:hint="eastAsia" w:ascii="宋体" w:hAnsi="宋体" w:cs="宋体"/>
          <w:color w:val="auto"/>
          <w:sz w:val="24"/>
          <w:highlight w:val="none"/>
          <w:u w:val="single"/>
        </w:rPr>
        <w:t xml:space="preserve">  / 。</w:t>
      </w:r>
    </w:p>
    <w:p w14:paraId="03976756">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20.4 仲裁或诉讼</w:t>
      </w:r>
    </w:p>
    <w:p w14:paraId="6E86EC6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因合同及合同有关事项发生的争议，按下列第</w:t>
      </w:r>
      <w:r>
        <w:rPr>
          <w:rFonts w:hint="eastAsia" w:ascii="宋体" w:hAnsi="宋体" w:cs="宋体"/>
          <w:color w:val="auto"/>
          <w:sz w:val="24"/>
          <w:highlight w:val="none"/>
          <w:u w:val="single"/>
        </w:rPr>
        <w:t xml:space="preserve">  2   </w:t>
      </w:r>
      <w:r>
        <w:rPr>
          <w:rFonts w:hint="eastAsia" w:ascii="宋体" w:hAnsi="宋体" w:cs="宋体"/>
          <w:color w:val="auto"/>
          <w:sz w:val="24"/>
          <w:highlight w:val="none"/>
        </w:rPr>
        <w:t>种方式解决：</w:t>
      </w:r>
    </w:p>
    <w:p w14:paraId="7658C376">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（1）提请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仲裁委员会按照该会仲裁规则进行仲裁，仲裁裁决是终局的，对合同双方均有约束力。</w:t>
      </w:r>
    </w:p>
    <w:p w14:paraId="6A0796A7">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（2）向</w:t>
      </w:r>
      <w:r>
        <w:rPr>
          <w:rFonts w:hint="eastAsia" w:ascii="宋体" w:hAnsi="宋体" w:cs="宋体"/>
          <w:color w:val="auto"/>
          <w:sz w:val="24"/>
          <w:highlight w:val="none"/>
          <w:u w:val="single"/>
        </w:rPr>
        <w:t xml:space="preserve">   项目所在地    </w:t>
      </w:r>
      <w:r>
        <w:rPr>
          <w:rFonts w:hint="eastAsia" w:ascii="宋体" w:hAnsi="宋体" w:cs="宋体"/>
          <w:color w:val="auto"/>
          <w:sz w:val="24"/>
          <w:highlight w:val="none"/>
        </w:rPr>
        <w:t>人民法院起诉。</w:t>
      </w:r>
    </w:p>
    <w:p w14:paraId="1428694D">
      <w:pPr>
        <w:widowControl/>
        <w:ind w:firstLine="420" w:firstLineChars="200"/>
        <w:jc w:val="left"/>
        <w:rPr>
          <w:rFonts w:hint="eastAsia" w:hAnsi="宋体" w:cs="宋体"/>
          <w:color w:val="auto"/>
          <w:highlight w:val="none"/>
        </w:rPr>
      </w:pPr>
    </w:p>
    <w:p w14:paraId="2917531A">
      <w:pPr>
        <w:spacing w:line="440" w:lineRule="exact"/>
        <w:rPr>
          <w:color w:val="auto"/>
          <w:sz w:val="30"/>
          <w:szCs w:val="30"/>
          <w:highlight w:val="none"/>
        </w:rPr>
      </w:pPr>
      <w:r>
        <w:rPr>
          <w:rFonts w:hAnsi="宋体" w:cs="宋体"/>
          <w:color w:val="auto"/>
          <w:highlight w:val="none"/>
        </w:rPr>
        <w:br w:type="page"/>
      </w:r>
      <w:r>
        <w:rPr>
          <w:rFonts w:hint="eastAsia" w:hAnsi="宋体" w:cs="宋体"/>
          <w:color w:val="auto"/>
          <w:sz w:val="30"/>
          <w:szCs w:val="30"/>
          <w:highlight w:val="none"/>
        </w:rPr>
        <w:t>附件1：</w:t>
      </w:r>
    </w:p>
    <w:p w14:paraId="0D91F3B3">
      <w:pPr>
        <w:spacing w:before="156" w:beforeLines="50" w:after="156" w:afterLines="50" w:line="440" w:lineRule="exact"/>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工程质量保修书</w:t>
      </w:r>
    </w:p>
    <w:p w14:paraId="37BD7534">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发包人（全称）：</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p w14:paraId="69B2E7FC">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承包人（全称）：</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p w14:paraId="297D4668">
      <w:pPr>
        <w:spacing w:line="440" w:lineRule="exact"/>
        <w:rPr>
          <w:rFonts w:hint="eastAsia" w:ascii="宋体" w:hAnsi="宋体" w:cs="宋体"/>
          <w:color w:val="auto"/>
          <w:highlight w:val="none"/>
        </w:rPr>
      </w:pPr>
    </w:p>
    <w:p w14:paraId="4A6EFB6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发包人和承包人根据《中华人民共和国建筑法》和《建设工程质量管理条例》，经协商一致就</w:t>
      </w:r>
      <w:r>
        <w:rPr>
          <w:rFonts w:hint="eastAsia" w:ascii="宋体" w:hAnsi="宋体" w:cs="宋体"/>
          <w:color w:val="auto"/>
          <w:highlight w:val="none"/>
          <w:u w:val="single"/>
        </w:rPr>
        <w:t xml:space="preserve">                                   </w:t>
      </w:r>
      <w:r>
        <w:rPr>
          <w:rFonts w:hint="eastAsia" w:ascii="宋体" w:hAnsi="宋体" w:cs="宋体"/>
          <w:color w:val="auto"/>
          <w:highlight w:val="none"/>
        </w:rPr>
        <w:t>（工程全称）签订工程质量保修书。</w:t>
      </w:r>
    </w:p>
    <w:p w14:paraId="7E7EB7A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一、工程质量保修范围和内容</w:t>
      </w:r>
    </w:p>
    <w:p w14:paraId="09C185F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承包人在质量保修期内，按照有关法律规定和合同约定，承担工程质量保修责任。</w:t>
      </w:r>
    </w:p>
    <w:p w14:paraId="25922812">
      <w:pPr>
        <w:spacing w:line="360" w:lineRule="auto"/>
        <w:ind w:firstLine="420"/>
        <w:rPr>
          <w:rFonts w:hint="eastAsia" w:ascii="宋体" w:hAnsi="宋体" w:cs="宋体"/>
          <w:color w:val="auto"/>
          <w:highlight w:val="none"/>
        </w:rPr>
      </w:pPr>
      <w:r>
        <w:rPr>
          <w:rFonts w:hint="eastAsia" w:ascii="宋体" w:hAnsi="宋体" w:cs="宋体"/>
          <w:color w:val="auto"/>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183E259B">
      <w:pPr>
        <w:spacing w:line="360" w:lineRule="auto"/>
        <w:ind w:firstLine="420"/>
        <w:rPr>
          <w:rFonts w:hint="eastAsia" w:ascii="宋体" w:hAnsi="宋体" w:cs="宋体"/>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rPr>
        <w:t>。</w:t>
      </w:r>
    </w:p>
    <w:p w14:paraId="1A26880B">
      <w:pPr>
        <w:spacing w:line="360" w:lineRule="auto"/>
        <w:ind w:firstLine="420"/>
        <w:rPr>
          <w:rFonts w:hint="eastAsia" w:ascii="宋体" w:hAnsi="宋体" w:cs="宋体"/>
          <w:color w:val="auto"/>
          <w:highlight w:val="none"/>
        </w:rPr>
      </w:pPr>
      <w:r>
        <w:rPr>
          <w:rFonts w:hint="eastAsia" w:ascii="宋体" w:hAnsi="宋体" w:cs="宋体"/>
          <w:color w:val="auto"/>
          <w:highlight w:val="none"/>
        </w:rPr>
        <w:t>二、质量保修期</w:t>
      </w:r>
    </w:p>
    <w:p w14:paraId="0A51C3F0">
      <w:pPr>
        <w:spacing w:line="360" w:lineRule="auto"/>
        <w:ind w:firstLine="420"/>
        <w:rPr>
          <w:rFonts w:hint="eastAsia" w:ascii="宋体" w:hAnsi="宋体" w:cs="宋体"/>
          <w:color w:val="auto"/>
          <w:highlight w:val="none"/>
        </w:rPr>
      </w:pPr>
      <w:r>
        <w:rPr>
          <w:rFonts w:hint="eastAsia" w:ascii="宋体" w:hAnsi="宋体" w:cs="宋体"/>
          <w:color w:val="auto"/>
          <w:highlight w:val="none"/>
        </w:rPr>
        <w:t>根据《建设工程质量管理条例》及有关规定，工程的质量保修期如下：</w:t>
      </w:r>
    </w:p>
    <w:p w14:paraId="57333D1C">
      <w:pPr>
        <w:spacing w:line="360" w:lineRule="auto"/>
        <w:ind w:firstLine="420"/>
        <w:rPr>
          <w:rFonts w:ascii="宋体" w:hAnsi="宋体" w:cs="宋体"/>
          <w:color w:val="auto"/>
          <w:highlight w:val="none"/>
        </w:rPr>
      </w:pPr>
      <w:r>
        <w:rPr>
          <w:rFonts w:hint="eastAsia" w:ascii="宋体" w:hAnsi="宋体" w:cs="宋体"/>
          <w:color w:val="auto"/>
          <w:highlight w:val="none"/>
        </w:rPr>
        <w:t>1．地基基础工程和主体结构工程为设计文件规定的工程合理使用年限；</w:t>
      </w:r>
    </w:p>
    <w:p w14:paraId="15273E56">
      <w:pPr>
        <w:spacing w:line="360" w:lineRule="auto"/>
        <w:ind w:firstLine="420"/>
        <w:rPr>
          <w:rFonts w:ascii="宋体" w:hAnsi="宋体" w:cs="宋体"/>
          <w:color w:val="auto"/>
          <w:highlight w:val="none"/>
        </w:rPr>
      </w:pPr>
      <w:r>
        <w:rPr>
          <w:rFonts w:hint="eastAsia" w:ascii="宋体" w:hAnsi="宋体" w:cs="宋体"/>
          <w:color w:val="auto"/>
          <w:highlight w:val="none"/>
        </w:rPr>
        <w:t>2．屋面防水工程、有防水要求的卫生间、房间和外墙面的防渗为</w:t>
      </w:r>
      <w:r>
        <w:rPr>
          <w:rFonts w:hint="eastAsia" w:ascii="宋体" w:hAnsi="宋体" w:cs="宋体"/>
          <w:color w:val="auto"/>
          <w:highlight w:val="none"/>
          <w:u w:val="single"/>
        </w:rPr>
        <w:t xml:space="preserve">  5 </w:t>
      </w:r>
      <w:r>
        <w:rPr>
          <w:rFonts w:hint="eastAsia" w:ascii="宋体" w:hAnsi="宋体" w:cs="宋体"/>
          <w:color w:val="auto"/>
          <w:highlight w:val="none"/>
        </w:rPr>
        <w:t>年；</w:t>
      </w:r>
    </w:p>
    <w:p w14:paraId="530F362D">
      <w:pPr>
        <w:spacing w:line="360" w:lineRule="auto"/>
        <w:ind w:firstLine="420"/>
        <w:rPr>
          <w:rFonts w:ascii="宋体" w:hAnsi="宋体" w:cs="宋体"/>
          <w:color w:val="auto"/>
          <w:highlight w:val="none"/>
        </w:rPr>
      </w:pPr>
      <w:r>
        <w:rPr>
          <w:rFonts w:hint="eastAsia" w:ascii="宋体" w:hAnsi="宋体" w:cs="宋体"/>
          <w:color w:val="auto"/>
          <w:highlight w:val="none"/>
        </w:rPr>
        <w:t>3．装修工程为</w:t>
      </w:r>
      <w:r>
        <w:rPr>
          <w:rFonts w:hint="eastAsia" w:ascii="宋体" w:hAnsi="宋体" w:cs="宋体"/>
          <w:color w:val="auto"/>
          <w:highlight w:val="none"/>
          <w:u w:val="single"/>
        </w:rPr>
        <w:t xml:space="preserve">  2  </w:t>
      </w:r>
      <w:r>
        <w:rPr>
          <w:rFonts w:hint="eastAsia" w:ascii="宋体" w:hAnsi="宋体" w:cs="宋体"/>
          <w:color w:val="auto"/>
          <w:highlight w:val="none"/>
        </w:rPr>
        <w:t>年；</w:t>
      </w:r>
    </w:p>
    <w:p w14:paraId="3506FD3C">
      <w:pPr>
        <w:spacing w:line="360" w:lineRule="auto"/>
        <w:ind w:firstLine="420"/>
        <w:rPr>
          <w:rFonts w:ascii="宋体" w:hAnsi="宋体" w:cs="宋体"/>
          <w:color w:val="auto"/>
          <w:highlight w:val="none"/>
        </w:rPr>
      </w:pPr>
      <w:r>
        <w:rPr>
          <w:rFonts w:hint="eastAsia" w:ascii="宋体" w:hAnsi="宋体" w:cs="宋体"/>
          <w:color w:val="auto"/>
          <w:highlight w:val="none"/>
        </w:rPr>
        <w:t>4．电气管线、给排水管道、设备安装工程为</w:t>
      </w:r>
      <w:r>
        <w:rPr>
          <w:rFonts w:hint="eastAsia" w:ascii="宋体" w:hAnsi="宋体" w:cs="宋体"/>
          <w:color w:val="auto"/>
          <w:highlight w:val="none"/>
          <w:u w:val="single"/>
        </w:rPr>
        <w:t xml:space="preserve">  2 </w:t>
      </w:r>
      <w:r>
        <w:rPr>
          <w:rFonts w:hint="eastAsia" w:ascii="宋体" w:hAnsi="宋体" w:cs="宋体"/>
          <w:color w:val="auto"/>
          <w:highlight w:val="none"/>
        </w:rPr>
        <w:t>年；</w:t>
      </w:r>
    </w:p>
    <w:p w14:paraId="3EE68277">
      <w:pPr>
        <w:spacing w:line="360" w:lineRule="auto"/>
        <w:ind w:firstLine="426"/>
        <w:rPr>
          <w:color w:val="auto"/>
          <w:highlight w:val="none"/>
        </w:rPr>
      </w:pPr>
      <w:r>
        <w:rPr>
          <w:rFonts w:hint="eastAsia" w:ascii="宋体" w:hAnsi="宋体" w:cs="宋体"/>
          <w:color w:val="auto"/>
          <w:highlight w:val="none"/>
        </w:rPr>
        <w:t>5．</w:t>
      </w:r>
      <w:r>
        <w:rPr>
          <w:rFonts w:hint="eastAsia" w:cs="宋体"/>
          <w:color w:val="auto"/>
          <w:highlight w:val="none"/>
        </w:rPr>
        <w:t>排水（雨水）工程为</w:t>
      </w:r>
      <w:r>
        <w:rPr>
          <w:color w:val="auto"/>
          <w:highlight w:val="none"/>
          <w:u w:val="single"/>
        </w:rPr>
        <w:t xml:space="preserve"> </w:t>
      </w:r>
      <w:r>
        <w:rPr>
          <w:rFonts w:hint="eastAsia"/>
          <w:color w:val="auto"/>
          <w:highlight w:val="none"/>
          <w:u w:val="single"/>
        </w:rPr>
        <w:t>3</w:t>
      </w:r>
      <w:r>
        <w:rPr>
          <w:color w:val="auto"/>
          <w:highlight w:val="none"/>
          <w:u w:val="single"/>
        </w:rPr>
        <w:t xml:space="preserve"> </w:t>
      </w:r>
      <w:r>
        <w:rPr>
          <w:rFonts w:hint="eastAsia" w:cs="宋体"/>
          <w:color w:val="auto"/>
          <w:highlight w:val="none"/>
        </w:rPr>
        <w:t>年（建议道路工程中的排水工程为</w:t>
      </w:r>
      <w:r>
        <w:rPr>
          <w:color w:val="auto"/>
          <w:highlight w:val="none"/>
        </w:rPr>
        <w:t>3</w:t>
      </w:r>
      <w:r>
        <w:rPr>
          <w:rFonts w:hint="eastAsia" w:cs="宋体"/>
          <w:color w:val="auto"/>
          <w:highlight w:val="none"/>
        </w:rPr>
        <w:t>年）；</w:t>
      </w:r>
    </w:p>
    <w:p w14:paraId="27D3A52F">
      <w:pPr>
        <w:spacing w:line="360" w:lineRule="auto"/>
        <w:ind w:firstLine="426"/>
        <w:rPr>
          <w:color w:val="auto"/>
          <w:highlight w:val="none"/>
        </w:rPr>
      </w:pPr>
      <w:r>
        <w:rPr>
          <w:rFonts w:hint="eastAsia"/>
          <w:color w:val="auto"/>
          <w:highlight w:val="none"/>
        </w:rPr>
        <w:t>6</w:t>
      </w:r>
      <w:r>
        <w:rPr>
          <w:rFonts w:hint="eastAsia" w:ascii="宋体" w:hAnsi="宋体" w:cs="宋体"/>
          <w:color w:val="auto"/>
          <w:highlight w:val="none"/>
        </w:rPr>
        <w:t>．</w:t>
      </w:r>
      <w:r>
        <w:rPr>
          <w:rFonts w:hint="eastAsia" w:cs="宋体"/>
          <w:color w:val="auto"/>
          <w:highlight w:val="none"/>
        </w:rPr>
        <w:t>绿化工程为</w:t>
      </w:r>
      <w:r>
        <w:rPr>
          <w:color w:val="auto"/>
          <w:highlight w:val="none"/>
        </w:rPr>
        <w:t xml:space="preserve"> </w:t>
      </w:r>
      <w:r>
        <w:rPr>
          <w:rFonts w:hint="eastAsia" w:cs="宋体"/>
          <w:color w:val="auto"/>
          <w:highlight w:val="none"/>
          <w:u w:val="single"/>
        </w:rPr>
        <w:t>单位工程竣工验收合格后</w:t>
      </w:r>
      <w:r>
        <w:rPr>
          <w:color w:val="auto"/>
          <w:highlight w:val="none"/>
          <w:u w:val="single"/>
        </w:rPr>
        <w:t xml:space="preserve"> </w:t>
      </w:r>
      <w:r>
        <w:rPr>
          <w:rFonts w:hint="eastAsia"/>
          <w:color w:val="auto"/>
          <w:highlight w:val="none"/>
          <w:u w:val="single"/>
        </w:rPr>
        <w:t>2</w:t>
      </w:r>
      <w:r>
        <w:rPr>
          <w:color w:val="auto"/>
          <w:highlight w:val="none"/>
          <w:u w:val="single"/>
        </w:rPr>
        <w:t xml:space="preserve"> </w:t>
      </w:r>
      <w:r>
        <w:rPr>
          <w:rFonts w:hint="eastAsia" w:cs="宋体"/>
          <w:color w:val="auto"/>
          <w:highlight w:val="none"/>
          <w:u w:val="single"/>
        </w:rPr>
        <w:t>年</w:t>
      </w:r>
      <w:r>
        <w:rPr>
          <w:rFonts w:hint="eastAsia" w:cs="宋体"/>
          <w:color w:val="auto"/>
          <w:highlight w:val="none"/>
        </w:rPr>
        <w:t>；</w:t>
      </w:r>
    </w:p>
    <w:p w14:paraId="08F5FF24">
      <w:pPr>
        <w:spacing w:line="360" w:lineRule="auto"/>
        <w:ind w:firstLine="426"/>
        <w:rPr>
          <w:rFonts w:hint="eastAsia" w:ascii="宋体" w:hAnsi="宋体" w:cs="宋体"/>
          <w:color w:val="auto"/>
          <w:highlight w:val="none"/>
        </w:rPr>
      </w:pPr>
      <w:r>
        <w:rPr>
          <w:rFonts w:hint="eastAsia" w:ascii="宋体" w:hAnsi="宋体" w:cs="宋体"/>
          <w:color w:val="auto"/>
          <w:highlight w:val="none"/>
        </w:rPr>
        <w:t>7．其他项目保修期限约定如下：</w:t>
      </w:r>
    </w:p>
    <w:p w14:paraId="7B636A98">
      <w:pPr>
        <w:spacing w:line="360" w:lineRule="auto"/>
        <w:ind w:firstLine="420" w:firstLineChars="200"/>
        <w:rPr>
          <w:rFonts w:ascii="宋体"/>
          <w:color w:val="auto"/>
          <w:highlight w:val="none"/>
        </w:rPr>
      </w:pPr>
      <w:r>
        <w:rPr>
          <w:rFonts w:hint="eastAsia" w:ascii="宋体" w:hAnsi="宋体" w:cs="宋体"/>
          <w:color w:val="auto"/>
          <w:highlight w:val="none"/>
          <w:u w:val="single"/>
          <w:lang w:bidi="ar"/>
        </w:rPr>
        <w:t>按现行国家规定及施工图纸设计要求</w:t>
      </w:r>
      <w:r>
        <w:rPr>
          <w:rFonts w:ascii="宋体" w:hAnsi="宋体" w:cs="宋体"/>
          <w:color w:val="auto"/>
          <w:highlight w:val="none"/>
          <w:u w:val="single"/>
        </w:rPr>
        <w:t xml:space="preserve"> </w:t>
      </w:r>
      <w:r>
        <w:rPr>
          <w:rFonts w:hint="eastAsia" w:ascii="宋体" w:hAnsi="宋体" w:cs="宋体"/>
          <w:color w:val="auto"/>
          <w:highlight w:val="none"/>
        </w:rPr>
        <w:t>。</w:t>
      </w:r>
    </w:p>
    <w:p w14:paraId="2B6C8E6A">
      <w:pPr>
        <w:spacing w:line="360" w:lineRule="auto"/>
        <w:ind w:firstLine="420" w:firstLineChars="200"/>
        <w:rPr>
          <w:rFonts w:ascii="宋体"/>
          <w:color w:val="auto"/>
          <w:highlight w:val="none"/>
        </w:rPr>
      </w:pPr>
      <w:r>
        <w:rPr>
          <w:rFonts w:hint="eastAsia" w:ascii="宋体" w:hAnsi="宋体" w:cs="宋体"/>
          <w:color w:val="auto"/>
          <w:highlight w:val="none"/>
        </w:rPr>
        <w:t>质量保修期自工程竣工验收合格之日起计算。</w:t>
      </w:r>
    </w:p>
    <w:p w14:paraId="0803174F">
      <w:pPr>
        <w:spacing w:line="360" w:lineRule="auto"/>
        <w:ind w:firstLine="420"/>
        <w:rPr>
          <w:rFonts w:hint="eastAsia" w:ascii="宋体" w:hAnsi="宋体" w:cs="宋体"/>
          <w:color w:val="auto"/>
          <w:highlight w:val="none"/>
        </w:rPr>
      </w:pPr>
      <w:r>
        <w:rPr>
          <w:rFonts w:hint="eastAsia" w:ascii="宋体" w:hAnsi="宋体" w:cs="宋体"/>
          <w:color w:val="auto"/>
          <w:highlight w:val="none"/>
        </w:rPr>
        <w:t>三、缺陷责任期</w:t>
      </w:r>
    </w:p>
    <w:p w14:paraId="29400925">
      <w:pPr>
        <w:spacing w:line="360" w:lineRule="auto"/>
        <w:ind w:firstLine="420"/>
        <w:rPr>
          <w:rFonts w:hint="eastAsia" w:ascii="宋体" w:hAnsi="宋体" w:cs="宋体"/>
          <w:color w:val="auto"/>
          <w:highlight w:val="none"/>
        </w:rPr>
      </w:pPr>
      <w:r>
        <w:rPr>
          <w:rFonts w:hint="eastAsia" w:ascii="宋体" w:hAnsi="宋体" w:cs="宋体"/>
          <w:color w:val="auto"/>
          <w:highlight w:val="none"/>
        </w:rPr>
        <w:t>工程缺陷责任期为</w:t>
      </w:r>
      <w:r>
        <w:rPr>
          <w:rFonts w:hint="eastAsia" w:ascii="宋体" w:hAnsi="宋体" w:cs="宋体"/>
          <w:color w:val="auto"/>
          <w:highlight w:val="none"/>
          <w:u w:val="single"/>
        </w:rPr>
        <w:t xml:space="preserve">  24 </w:t>
      </w:r>
      <w:r>
        <w:rPr>
          <w:rFonts w:hint="eastAsia" w:ascii="宋体" w:hAnsi="宋体" w:cs="宋体"/>
          <w:color w:val="auto"/>
          <w:highlight w:val="none"/>
        </w:rPr>
        <w:t>个月（最长不超过24个月），缺陷责任期自工程竣工验收合格之日起计算。单位工程先于全部工程进行验收，单位工程缺陷责任期自单位工程验收合格之日起算。</w:t>
      </w:r>
    </w:p>
    <w:p w14:paraId="6A909E7B">
      <w:pPr>
        <w:spacing w:line="360" w:lineRule="auto"/>
        <w:ind w:firstLine="420"/>
        <w:rPr>
          <w:rFonts w:hint="eastAsia" w:ascii="宋体" w:hAnsi="宋体" w:cs="宋体"/>
          <w:color w:val="auto"/>
          <w:highlight w:val="none"/>
        </w:rPr>
      </w:pPr>
      <w:r>
        <w:rPr>
          <w:rFonts w:hint="eastAsia" w:ascii="宋体" w:hAnsi="宋体" w:cs="宋体"/>
          <w:color w:val="auto"/>
          <w:highlight w:val="none"/>
        </w:rPr>
        <w:t>缺陷责任期</w:t>
      </w:r>
      <w:r>
        <w:rPr>
          <w:rFonts w:hint="eastAsia" w:ascii="宋体" w:hAnsi="宋体" w:cs="宋体"/>
          <w:color w:val="auto"/>
          <w:highlight w:val="none"/>
          <w:u w:val="single"/>
        </w:rPr>
        <w:t>满</w:t>
      </w:r>
      <w:r>
        <w:rPr>
          <w:rFonts w:hint="eastAsia" w:ascii="宋体" w:hAnsi="宋体" w:cs="宋体"/>
          <w:color w:val="auto"/>
          <w:highlight w:val="none"/>
        </w:rPr>
        <w:t>之日起</w:t>
      </w:r>
      <w:r>
        <w:rPr>
          <w:rFonts w:hint="eastAsia" w:ascii="宋体" w:hAnsi="宋体" w:cs="宋体"/>
          <w:color w:val="auto"/>
          <w:highlight w:val="none"/>
          <w:u w:val="single"/>
        </w:rPr>
        <w:t xml:space="preserve">    </w:t>
      </w:r>
      <w:r>
        <w:rPr>
          <w:rFonts w:hint="eastAsia" w:ascii="宋体" w:hAnsi="宋体" w:cs="宋体"/>
          <w:color w:val="auto"/>
          <w:highlight w:val="none"/>
        </w:rPr>
        <w:t>天</w:t>
      </w:r>
      <w:r>
        <w:rPr>
          <w:rFonts w:hint="eastAsia" w:ascii="宋体" w:hAnsi="宋体" w:cs="宋体"/>
          <w:color w:val="auto"/>
          <w:highlight w:val="none"/>
          <w:u w:val="single"/>
        </w:rPr>
        <w:t>（按合同约定期限），</w:t>
      </w:r>
      <w:r>
        <w:rPr>
          <w:rFonts w:hint="eastAsia" w:ascii="宋体" w:hAnsi="宋体" w:cs="宋体"/>
          <w:color w:val="auto"/>
          <w:highlight w:val="none"/>
        </w:rPr>
        <w:t>发包人应退还剩余的质量保证金。</w:t>
      </w:r>
    </w:p>
    <w:p w14:paraId="65BAF981">
      <w:pPr>
        <w:spacing w:line="360" w:lineRule="auto"/>
        <w:ind w:firstLine="420"/>
        <w:rPr>
          <w:rFonts w:hint="eastAsia" w:ascii="宋体" w:hAnsi="宋体" w:cs="宋体"/>
          <w:color w:val="auto"/>
          <w:highlight w:val="none"/>
        </w:rPr>
      </w:pPr>
      <w:r>
        <w:rPr>
          <w:rFonts w:hint="eastAsia" w:ascii="宋体" w:hAnsi="宋体" w:cs="宋体"/>
          <w:color w:val="auto"/>
          <w:highlight w:val="none"/>
        </w:rPr>
        <w:t>四、质量保修责任</w:t>
      </w:r>
    </w:p>
    <w:p w14:paraId="4B5F0833">
      <w:pPr>
        <w:spacing w:line="360" w:lineRule="auto"/>
        <w:ind w:left="105" w:leftChars="50" w:firstLine="430" w:firstLineChars="205"/>
        <w:rPr>
          <w:rFonts w:hint="eastAsia" w:ascii="宋体" w:hAnsi="宋体" w:cs="宋体"/>
          <w:color w:val="auto"/>
          <w:highlight w:val="none"/>
        </w:rPr>
      </w:pPr>
      <w:r>
        <w:rPr>
          <w:rFonts w:hint="eastAsia" w:ascii="宋体" w:hAnsi="宋体" w:cs="宋体"/>
          <w:color w:val="auto"/>
          <w:highlight w:val="none"/>
        </w:rPr>
        <w:t>1．属于保修范围、内容的项目，承包人应当在接到保修通知之日起</w:t>
      </w:r>
      <w:r>
        <w:rPr>
          <w:rFonts w:hint="eastAsia" w:ascii="宋体" w:hAnsi="宋体" w:cs="宋体"/>
          <w:color w:val="auto"/>
          <w:highlight w:val="none"/>
          <w:u w:val="single"/>
        </w:rPr>
        <w:t xml:space="preserve"> </w:t>
      </w:r>
      <w:r>
        <w:rPr>
          <w:rFonts w:hint="eastAsia" w:ascii="宋体" w:hAnsi="宋体" w:cs="宋体"/>
          <w:color w:val="auto"/>
          <w:szCs w:val="21"/>
          <w:highlight w:val="none"/>
          <w:u w:val="single"/>
        </w:rPr>
        <w:t xml:space="preserve">2 </w:t>
      </w:r>
      <w:r>
        <w:rPr>
          <w:rFonts w:ascii="宋体" w:hAnsi="宋体" w:cs="宋体"/>
          <w:color w:val="auto"/>
          <w:szCs w:val="21"/>
          <w:highlight w:val="none"/>
        </w:rPr>
        <w:t>天</w:t>
      </w:r>
      <w:r>
        <w:rPr>
          <w:rFonts w:hint="eastAsia" w:ascii="宋体" w:hAnsi="宋体" w:cs="宋体"/>
          <w:color w:val="auto"/>
          <w:highlight w:val="none"/>
        </w:rPr>
        <w:t>内派人保修。承包人不在约定期限内派人保修的，发包人可以委托他人修理，修理费用从质量保证金内扣除。</w:t>
      </w:r>
    </w:p>
    <w:p w14:paraId="6B32023F">
      <w:pPr>
        <w:spacing w:line="360" w:lineRule="auto"/>
        <w:ind w:firstLine="420"/>
        <w:rPr>
          <w:rFonts w:hint="eastAsia" w:ascii="宋体" w:hAnsi="宋体" w:cs="宋体"/>
          <w:color w:val="auto"/>
          <w:highlight w:val="none"/>
        </w:rPr>
      </w:pPr>
      <w:r>
        <w:rPr>
          <w:rFonts w:hint="eastAsia" w:ascii="宋体" w:hAnsi="宋体" w:cs="宋体"/>
          <w:color w:val="auto"/>
          <w:highlight w:val="none"/>
        </w:rPr>
        <w:t>2．发生紧急事故需抢修的，承包人在接到事故通知后，应当立即到达事故现场抢修。</w:t>
      </w:r>
    </w:p>
    <w:p w14:paraId="52EAA3D1">
      <w:pPr>
        <w:spacing w:line="360" w:lineRule="auto"/>
        <w:ind w:firstLine="420"/>
        <w:rPr>
          <w:rFonts w:hint="eastAsia" w:ascii="宋体" w:hAnsi="宋体" w:cs="宋体"/>
          <w:color w:val="auto"/>
          <w:highlight w:val="none"/>
        </w:rPr>
      </w:pPr>
      <w:r>
        <w:rPr>
          <w:rFonts w:hint="eastAsia" w:ascii="宋体" w:hAnsi="宋体" w:cs="宋体"/>
          <w:color w:val="auto"/>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8F52CCD">
      <w:pPr>
        <w:spacing w:line="360" w:lineRule="auto"/>
        <w:ind w:firstLine="420"/>
        <w:rPr>
          <w:rFonts w:hint="eastAsia" w:ascii="宋体" w:hAnsi="宋体" w:cs="宋体"/>
          <w:color w:val="auto"/>
          <w:highlight w:val="none"/>
        </w:rPr>
      </w:pPr>
      <w:r>
        <w:rPr>
          <w:rFonts w:hint="eastAsia" w:ascii="宋体" w:hAnsi="宋体" w:cs="宋体"/>
          <w:color w:val="auto"/>
          <w:highlight w:val="none"/>
        </w:rPr>
        <w:t>4．质量保修完成后，由发包人组织验收。</w:t>
      </w:r>
    </w:p>
    <w:p w14:paraId="2D99BB71">
      <w:pPr>
        <w:spacing w:line="360" w:lineRule="auto"/>
        <w:ind w:firstLine="420"/>
        <w:rPr>
          <w:rFonts w:hint="eastAsia" w:ascii="宋体" w:hAnsi="宋体" w:cs="宋体"/>
          <w:color w:val="auto"/>
          <w:highlight w:val="none"/>
        </w:rPr>
      </w:pPr>
      <w:r>
        <w:rPr>
          <w:rFonts w:hint="eastAsia" w:ascii="宋体" w:hAnsi="宋体" w:cs="宋体"/>
          <w:color w:val="auto"/>
          <w:highlight w:val="none"/>
        </w:rPr>
        <w:t>五、保修费用</w:t>
      </w:r>
    </w:p>
    <w:p w14:paraId="13B35895">
      <w:pPr>
        <w:tabs>
          <w:tab w:val="left" w:pos="7380"/>
        </w:tabs>
        <w:spacing w:line="360" w:lineRule="auto"/>
        <w:ind w:firstLine="420"/>
        <w:rPr>
          <w:rFonts w:hint="eastAsia" w:ascii="宋体" w:hAnsi="宋体" w:cs="宋体"/>
          <w:color w:val="auto"/>
          <w:highlight w:val="none"/>
        </w:rPr>
      </w:pPr>
      <w:r>
        <w:rPr>
          <w:rFonts w:hint="eastAsia" w:ascii="宋体" w:hAnsi="宋体" w:cs="宋体"/>
          <w:color w:val="auto"/>
          <w:highlight w:val="none"/>
        </w:rPr>
        <w:t>保修费用由造成质量缺陷的责任方承担。</w:t>
      </w:r>
    </w:p>
    <w:p w14:paraId="1F87C25B">
      <w:pPr>
        <w:spacing w:line="360" w:lineRule="auto"/>
        <w:ind w:firstLine="420"/>
        <w:rPr>
          <w:rFonts w:hint="eastAsia" w:ascii="宋体" w:hAnsi="宋体" w:cs="宋体"/>
          <w:color w:val="auto"/>
          <w:highlight w:val="none"/>
        </w:rPr>
      </w:pPr>
      <w:r>
        <w:rPr>
          <w:rFonts w:hint="eastAsia" w:ascii="宋体" w:hAnsi="宋体" w:cs="宋体"/>
          <w:color w:val="auto"/>
          <w:highlight w:val="none"/>
        </w:rPr>
        <w:t xml:space="preserve">六、双方约定的其他工程质量保修事项： </w:t>
      </w:r>
    </w:p>
    <w:p w14:paraId="7530B810">
      <w:pPr>
        <w:spacing w:line="360" w:lineRule="auto"/>
        <w:ind w:firstLine="399" w:firstLineChars="190"/>
        <w:rPr>
          <w:rFonts w:hint="eastAsia" w:ascii="宋体" w:hAnsi="宋体" w:cs="宋体"/>
          <w:color w:val="auto"/>
          <w:szCs w:val="21"/>
          <w:highlight w:val="none"/>
        </w:rPr>
      </w:pPr>
      <w:r>
        <w:rPr>
          <w:rFonts w:hint="eastAsia" w:ascii="宋体" w:hAnsi="宋体" w:cs="宋体"/>
          <w:color w:val="auto"/>
          <w:szCs w:val="21"/>
          <w:highlight w:val="none"/>
          <w:u w:val="single"/>
        </w:rPr>
        <w:t>承包人不在约定期限内派人保修的，发包人可以委托他人修理，修理费用从质量保</w:t>
      </w:r>
      <w:r>
        <w:rPr>
          <w:rFonts w:hint="eastAsia" w:ascii="宋体" w:hAnsi="宋体" w:cs="宋体"/>
          <w:color w:val="auto"/>
          <w:szCs w:val="21"/>
          <w:highlight w:val="none"/>
          <w:u w:val="single"/>
          <w:lang w:eastAsia="zh-Hans"/>
        </w:rPr>
        <w:t>证</w:t>
      </w:r>
      <w:r>
        <w:rPr>
          <w:rFonts w:hint="eastAsia" w:ascii="宋体" w:hAnsi="宋体" w:cs="宋体"/>
          <w:color w:val="auto"/>
          <w:szCs w:val="21"/>
          <w:highlight w:val="none"/>
          <w:u w:val="single"/>
        </w:rPr>
        <w:t>金内扣除，超出保</w:t>
      </w:r>
      <w:r>
        <w:rPr>
          <w:rFonts w:hint="eastAsia" w:ascii="宋体" w:hAnsi="宋体" w:cs="宋体"/>
          <w:color w:val="auto"/>
          <w:szCs w:val="21"/>
          <w:highlight w:val="none"/>
          <w:u w:val="single"/>
          <w:lang w:eastAsia="zh-Hans"/>
        </w:rPr>
        <w:t>证</w:t>
      </w:r>
      <w:r>
        <w:rPr>
          <w:rFonts w:hint="eastAsia" w:ascii="宋体" w:hAnsi="宋体" w:cs="宋体"/>
          <w:color w:val="auto"/>
          <w:szCs w:val="21"/>
          <w:highlight w:val="none"/>
          <w:u w:val="single"/>
        </w:rPr>
        <w:t>金额部分，向承包人发出缴费通知书，承包人在收到缴费通知书之日起7天内付清，否则</w:t>
      </w:r>
      <w:r>
        <w:rPr>
          <w:rFonts w:hint="eastAsia" w:ascii="宋体" w:hAnsi="宋体" w:cs="宋体"/>
          <w:color w:val="auto"/>
          <w:szCs w:val="21"/>
          <w:highlight w:val="none"/>
          <w:u w:val="single"/>
          <w:lang w:eastAsia="zh-CN"/>
        </w:rPr>
        <w:t>每延迟一天</w:t>
      </w:r>
      <w:r>
        <w:rPr>
          <w:rFonts w:hint="eastAsia" w:ascii="宋体" w:hAnsi="宋体" w:cs="宋体"/>
          <w:color w:val="auto"/>
          <w:szCs w:val="21"/>
          <w:highlight w:val="none"/>
          <w:u w:val="single"/>
        </w:rPr>
        <w:t>按应缴款额的3%计罚，在工程缺陷责任期满后，发包人将剩余的</w:t>
      </w:r>
      <w:r>
        <w:rPr>
          <w:rFonts w:hint="eastAsia" w:ascii="宋体" w:hAnsi="宋体" w:cs="宋体"/>
          <w:color w:val="auto"/>
          <w:szCs w:val="21"/>
          <w:highlight w:val="none"/>
          <w:u w:val="single"/>
          <w:lang w:eastAsia="zh-Hans"/>
        </w:rPr>
        <w:t>质量</w:t>
      </w:r>
      <w:r>
        <w:rPr>
          <w:rFonts w:hint="eastAsia" w:ascii="宋体" w:hAnsi="宋体" w:cs="宋体"/>
          <w:color w:val="auto"/>
          <w:szCs w:val="21"/>
          <w:highlight w:val="none"/>
          <w:u w:val="single"/>
        </w:rPr>
        <w:t>保</w:t>
      </w:r>
      <w:r>
        <w:rPr>
          <w:rFonts w:hint="eastAsia" w:ascii="宋体" w:hAnsi="宋体" w:cs="宋体"/>
          <w:color w:val="auto"/>
          <w:szCs w:val="21"/>
          <w:highlight w:val="none"/>
          <w:u w:val="single"/>
          <w:lang w:eastAsia="zh-Hans"/>
        </w:rPr>
        <w:t>证</w:t>
      </w:r>
      <w:r>
        <w:rPr>
          <w:rFonts w:hint="eastAsia" w:ascii="宋体" w:hAnsi="宋体" w:cs="宋体"/>
          <w:color w:val="auto"/>
          <w:szCs w:val="21"/>
          <w:highlight w:val="none"/>
          <w:u w:val="single"/>
        </w:rPr>
        <w:t>金退还给承包人</w:t>
      </w:r>
      <w:r>
        <w:rPr>
          <w:rFonts w:hint="eastAsia" w:ascii="宋体" w:hAnsi="宋体" w:cs="宋体"/>
          <w:color w:val="auto"/>
          <w:szCs w:val="21"/>
          <w:highlight w:val="none"/>
        </w:rPr>
        <w:t>。</w:t>
      </w:r>
    </w:p>
    <w:p w14:paraId="3272B8AB">
      <w:pPr>
        <w:spacing w:line="360" w:lineRule="auto"/>
        <w:ind w:firstLine="399" w:firstLineChars="190"/>
        <w:rPr>
          <w:rFonts w:hint="eastAsia" w:ascii="宋体" w:hAnsi="宋体" w:cs="宋体"/>
          <w:color w:val="auto"/>
          <w:highlight w:val="none"/>
        </w:rPr>
      </w:pPr>
      <w:r>
        <w:rPr>
          <w:rFonts w:hint="eastAsia" w:ascii="宋体" w:hAnsi="宋体" w:cs="宋体"/>
          <w:color w:val="auto"/>
          <w:highlight w:val="none"/>
        </w:rPr>
        <w:t>工程质量保修书由发包人、承包人在工程竣工验收前共同签署，作为施工合同附件，其有效期限至保修期满。</w:t>
      </w:r>
    </w:p>
    <w:p w14:paraId="2BE6F4C3">
      <w:pPr>
        <w:spacing w:line="360" w:lineRule="auto"/>
        <w:ind w:firstLine="420"/>
        <w:rPr>
          <w:rFonts w:hint="eastAsia" w:ascii="宋体" w:hAnsi="宋体" w:cs="宋体"/>
          <w:color w:val="auto"/>
          <w:highlight w:val="none"/>
        </w:rPr>
      </w:pPr>
    </w:p>
    <w:p w14:paraId="393BA2C5">
      <w:pPr>
        <w:spacing w:line="360" w:lineRule="auto"/>
        <w:rPr>
          <w:rFonts w:hint="eastAsia" w:ascii="宋体" w:hAnsi="宋体" w:cs="宋体"/>
          <w:color w:val="auto"/>
          <w:highlight w:val="none"/>
        </w:rPr>
      </w:pPr>
      <w:r>
        <w:rPr>
          <w:rFonts w:hint="eastAsia" w:ascii="宋体" w:hAnsi="宋体" w:cs="宋体"/>
          <w:color w:val="auto"/>
          <w:highlight w:val="none"/>
        </w:rPr>
        <w:t>发包人（公章）：</w:t>
      </w:r>
      <w:r>
        <w:rPr>
          <w:rFonts w:hint="eastAsia" w:ascii="宋体" w:hAnsi="宋体" w:cs="宋体"/>
          <w:color w:val="auto"/>
          <w:highlight w:val="none"/>
          <w:u w:val="single"/>
        </w:rPr>
        <w:t xml:space="preserve">         </w:t>
      </w:r>
      <w:r>
        <w:rPr>
          <w:rFonts w:hint="eastAsia" w:ascii="宋体" w:hAnsi="宋体" w:cs="宋体"/>
          <w:color w:val="auto"/>
          <w:highlight w:val="none"/>
        </w:rPr>
        <w:t xml:space="preserve">             承包人（公章）：</w:t>
      </w:r>
      <w:r>
        <w:rPr>
          <w:rFonts w:hint="eastAsia" w:ascii="宋体" w:hAnsi="宋体" w:cs="宋体"/>
          <w:color w:val="auto"/>
          <w:highlight w:val="none"/>
          <w:u w:val="single"/>
        </w:rPr>
        <w:t>          </w:t>
      </w:r>
    </w:p>
    <w:p w14:paraId="238C3CEE">
      <w:pPr>
        <w:spacing w:line="360" w:lineRule="auto"/>
        <w:rPr>
          <w:rFonts w:hint="eastAsia" w:ascii="宋体" w:hAnsi="宋体" w:cs="宋体"/>
          <w:color w:val="auto"/>
          <w:highlight w:val="none"/>
        </w:rPr>
      </w:pPr>
      <w:r>
        <w:rPr>
          <w:rFonts w:hint="eastAsia" w:ascii="宋体" w:hAnsi="宋体" w:cs="宋体"/>
          <w:color w:val="auto"/>
          <w:highlight w:val="none"/>
        </w:rPr>
        <w:t>地  址：</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地  址：</w:t>
      </w:r>
      <w:r>
        <w:rPr>
          <w:rFonts w:hint="eastAsia" w:ascii="宋体" w:hAnsi="宋体" w:cs="宋体"/>
          <w:color w:val="auto"/>
          <w:highlight w:val="none"/>
          <w:u w:val="single"/>
        </w:rPr>
        <w:t>      </w:t>
      </w:r>
    </w:p>
    <w:p w14:paraId="5393E00C">
      <w:pPr>
        <w:spacing w:line="360" w:lineRule="auto"/>
        <w:rPr>
          <w:rFonts w:hint="eastAsia" w:ascii="宋体" w:hAnsi="宋体" w:cs="宋体"/>
          <w:color w:val="auto"/>
          <w:highlight w:val="none"/>
        </w:rPr>
      </w:pPr>
      <w:r>
        <w:rPr>
          <w:rFonts w:hint="eastAsia" w:ascii="宋体" w:hAnsi="宋体" w:cs="宋体"/>
          <w:color w:val="auto"/>
          <w:highlight w:val="none"/>
        </w:rPr>
        <w:t>法定代表人（签字）：</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法定代表人（签字）：</w:t>
      </w:r>
      <w:r>
        <w:rPr>
          <w:rFonts w:hint="eastAsia" w:ascii="宋体" w:hAnsi="宋体" w:cs="宋体"/>
          <w:color w:val="auto"/>
          <w:highlight w:val="none"/>
          <w:u w:val="single"/>
        </w:rPr>
        <w:t>     </w:t>
      </w:r>
    </w:p>
    <w:p w14:paraId="768817B5">
      <w:pPr>
        <w:spacing w:line="360" w:lineRule="auto"/>
        <w:rPr>
          <w:rFonts w:hint="eastAsia" w:ascii="宋体" w:hAnsi="宋体" w:cs="宋体"/>
          <w:color w:val="auto"/>
          <w:highlight w:val="none"/>
        </w:rPr>
      </w:pPr>
      <w:r>
        <w:rPr>
          <w:rFonts w:hint="eastAsia" w:ascii="宋体" w:hAnsi="宋体" w:cs="宋体"/>
          <w:color w:val="auto"/>
          <w:highlight w:val="none"/>
        </w:rPr>
        <w:t>委托代理人（签字）：</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委托代理人（签字）：</w:t>
      </w:r>
      <w:r>
        <w:rPr>
          <w:rFonts w:hint="eastAsia" w:ascii="宋体" w:hAnsi="宋体" w:cs="宋体"/>
          <w:color w:val="auto"/>
          <w:highlight w:val="none"/>
          <w:u w:val="single"/>
        </w:rPr>
        <w:t>     </w:t>
      </w:r>
    </w:p>
    <w:p w14:paraId="1CE5642A">
      <w:pPr>
        <w:spacing w:line="360" w:lineRule="auto"/>
        <w:rPr>
          <w:rFonts w:hint="eastAsia" w:ascii="宋体" w:hAnsi="宋体" w:cs="宋体"/>
          <w:color w:val="auto"/>
          <w:highlight w:val="none"/>
        </w:rPr>
      </w:pPr>
      <w:r>
        <w:rPr>
          <w:rFonts w:hint="eastAsia" w:ascii="宋体" w:hAnsi="宋体" w:cs="宋体"/>
          <w:color w:val="auto"/>
          <w:highlight w:val="none"/>
        </w:rPr>
        <w:t>电  话：</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电  话：</w:t>
      </w:r>
      <w:r>
        <w:rPr>
          <w:rFonts w:hint="eastAsia" w:ascii="宋体" w:hAnsi="宋体" w:cs="宋体"/>
          <w:color w:val="auto"/>
          <w:highlight w:val="none"/>
          <w:u w:val="single"/>
        </w:rPr>
        <w:t>      </w:t>
      </w:r>
    </w:p>
    <w:p w14:paraId="48B9D03B">
      <w:pPr>
        <w:spacing w:line="360" w:lineRule="auto"/>
        <w:rPr>
          <w:rFonts w:hint="eastAsia" w:ascii="宋体" w:hAnsi="宋体" w:cs="宋体"/>
          <w:color w:val="auto"/>
          <w:highlight w:val="none"/>
        </w:rPr>
      </w:pPr>
      <w:r>
        <w:rPr>
          <w:rFonts w:hint="eastAsia" w:ascii="宋体" w:hAnsi="宋体" w:cs="宋体"/>
          <w:color w:val="auto"/>
          <w:highlight w:val="none"/>
        </w:rPr>
        <w:t>传  真：</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传  真：</w:t>
      </w:r>
      <w:r>
        <w:rPr>
          <w:rFonts w:hint="eastAsia" w:ascii="宋体" w:hAnsi="宋体" w:cs="宋体"/>
          <w:color w:val="auto"/>
          <w:highlight w:val="none"/>
          <w:u w:val="single"/>
        </w:rPr>
        <w:t>    </w:t>
      </w:r>
    </w:p>
    <w:p w14:paraId="0E8CF261">
      <w:pPr>
        <w:spacing w:line="360" w:lineRule="auto"/>
        <w:rPr>
          <w:rFonts w:hint="eastAsia" w:ascii="宋体" w:hAnsi="宋体" w:cs="宋体"/>
          <w:color w:val="auto"/>
          <w:highlight w:val="none"/>
        </w:rPr>
      </w:pPr>
      <w:r>
        <w:rPr>
          <w:rFonts w:hint="eastAsia" w:ascii="宋体" w:hAnsi="宋体" w:cs="宋体"/>
          <w:color w:val="auto"/>
          <w:highlight w:val="none"/>
        </w:rPr>
        <w:t>开户银行：</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开户银行：</w:t>
      </w:r>
      <w:r>
        <w:rPr>
          <w:rFonts w:hint="eastAsia" w:ascii="宋体" w:hAnsi="宋体" w:cs="宋体"/>
          <w:color w:val="auto"/>
          <w:highlight w:val="none"/>
          <w:u w:val="single"/>
        </w:rPr>
        <w:t>  </w:t>
      </w:r>
    </w:p>
    <w:p w14:paraId="3E9C3EBB">
      <w:pPr>
        <w:tabs>
          <w:tab w:val="left" w:pos="2880"/>
          <w:tab w:val="left" w:pos="3060"/>
          <w:tab w:val="left" w:pos="4500"/>
        </w:tabs>
        <w:spacing w:line="360" w:lineRule="auto"/>
        <w:rPr>
          <w:rFonts w:hint="eastAsia" w:ascii="宋体" w:hAnsi="宋体" w:cs="宋体"/>
          <w:color w:val="auto"/>
          <w:highlight w:val="none"/>
        </w:rPr>
      </w:pPr>
      <w:r>
        <w:rPr>
          <w:rFonts w:hint="eastAsia" w:ascii="宋体" w:hAnsi="宋体" w:cs="宋体"/>
          <w:color w:val="auto"/>
          <w:highlight w:val="none"/>
        </w:rPr>
        <w:t>账  号：</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账  号：</w:t>
      </w:r>
      <w:r>
        <w:rPr>
          <w:rFonts w:hint="eastAsia" w:ascii="宋体" w:hAnsi="宋体" w:cs="宋体"/>
          <w:color w:val="auto"/>
          <w:highlight w:val="none"/>
          <w:u w:val="single"/>
        </w:rPr>
        <w:t>    </w:t>
      </w:r>
    </w:p>
    <w:p w14:paraId="00BDD7A1">
      <w:pPr>
        <w:tabs>
          <w:tab w:val="left" w:pos="7200"/>
          <w:tab w:val="left" w:pos="7380"/>
          <w:tab w:val="left" w:pos="7560"/>
        </w:tabs>
        <w:spacing w:line="360" w:lineRule="auto"/>
        <w:rPr>
          <w:rFonts w:hint="eastAsia" w:ascii="宋体" w:hAnsi="宋体" w:cs="宋体"/>
          <w:color w:val="auto"/>
          <w:highlight w:val="none"/>
        </w:rPr>
      </w:pPr>
      <w:r>
        <w:rPr>
          <w:rFonts w:hint="eastAsia" w:ascii="宋体" w:hAnsi="宋体" w:cs="宋体"/>
          <w:color w:val="auto"/>
          <w:highlight w:val="none"/>
        </w:rPr>
        <w:t>邮政编码：</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邮政编码：</w:t>
      </w:r>
      <w:r>
        <w:rPr>
          <w:rFonts w:hint="eastAsia" w:ascii="宋体" w:hAnsi="宋体" w:cs="宋体"/>
          <w:color w:val="auto"/>
          <w:highlight w:val="none"/>
          <w:u w:val="single"/>
        </w:rPr>
        <w:t>   </w:t>
      </w:r>
    </w:p>
    <w:p w14:paraId="51E35ECE">
      <w:pPr>
        <w:tabs>
          <w:tab w:val="left" w:pos="7200"/>
          <w:tab w:val="left" w:pos="7380"/>
          <w:tab w:val="left" w:pos="7560"/>
        </w:tabs>
        <w:spacing w:line="360" w:lineRule="auto"/>
        <w:rPr>
          <w:rFonts w:hint="eastAsia" w:hAnsi="宋体" w:cs="宋体"/>
          <w:color w:val="auto"/>
          <w:sz w:val="30"/>
          <w:szCs w:val="30"/>
          <w:highlight w:val="none"/>
        </w:rPr>
      </w:pPr>
      <w:r>
        <w:rPr>
          <w:rFonts w:ascii="宋体" w:hAnsi="宋体"/>
          <w:color w:val="auto"/>
          <w:highlight w:val="none"/>
          <w:u w:val="single"/>
        </w:rPr>
        <w:br w:type="page"/>
      </w:r>
      <w:r>
        <w:rPr>
          <w:rFonts w:hint="eastAsia" w:hAnsi="宋体" w:cs="宋体"/>
          <w:color w:val="auto"/>
          <w:sz w:val="30"/>
          <w:szCs w:val="30"/>
          <w:highlight w:val="none"/>
        </w:rPr>
        <w:t>附件2：</w:t>
      </w:r>
    </w:p>
    <w:p w14:paraId="58BCEFFF">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履约保函示范文本</w:t>
      </w:r>
    </w:p>
    <w:p w14:paraId="6283FEDF">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（独立保函）</w:t>
      </w:r>
    </w:p>
    <w:p w14:paraId="79A34336">
      <w:pPr>
        <w:wordWrap w:val="0"/>
        <w:spacing w:line="360" w:lineRule="auto"/>
        <w:jc w:val="right"/>
        <w:rPr>
          <w:rFonts w:hint="eastAsia" w:ascii="宋体" w:hAnsi="宋体"/>
          <w:color w:val="auto"/>
          <w:szCs w:val="21"/>
          <w:highlight w:val="none"/>
        </w:rPr>
      </w:pPr>
      <w:r>
        <w:rPr>
          <w:rFonts w:hint="eastAsia" w:ascii="宋体" w:hAnsi="宋体"/>
          <w:color w:val="auto"/>
          <w:highlight w:val="none"/>
        </w:rPr>
        <w:t xml:space="preserve">编号：           </w:t>
      </w:r>
    </w:p>
    <w:p w14:paraId="35E6D284">
      <w:pPr>
        <w:spacing w:line="360" w:lineRule="auto"/>
        <w:rPr>
          <w:rFonts w:hint="eastAsia" w:ascii="宋体" w:hAnsi="宋体"/>
          <w:color w:val="auto"/>
          <w:sz w:val="24"/>
          <w:highlight w:val="none"/>
        </w:rPr>
      </w:pPr>
      <w:r>
        <w:rPr>
          <w:rFonts w:hint="eastAsia" w:ascii="宋体" w:hAnsi="宋体"/>
          <w:color w:val="auto"/>
          <w:sz w:val="24"/>
          <w:highlight w:val="none"/>
        </w:rPr>
        <w:t>申请人：</w:t>
      </w:r>
    </w:p>
    <w:p w14:paraId="17D209BF">
      <w:pPr>
        <w:spacing w:line="360" w:lineRule="auto"/>
        <w:rPr>
          <w:rFonts w:hint="eastAsia" w:ascii="宋体" w:hAnsi="宋体"/>
          <w:color w:val="auto"/>
          <w:sz w:val="24"/>
          <w:highlight w:val="none"/>
        </w:rPr>
      </w:pPr>
      <w:r>
        <w:rPr>
          <w:rFonts w:hint="eastAsia" w:ascii="宋体" w:hAnsi="宋体"/>
          <w:color w:val="auto"/>
          <w:sz w:val="24"/>
          <w:highlight w:val="none"/>
        </w:rPr>
        <w:t xml:space="preserve">  地址：</w:t>
      </w:r>
    </w:p>
    <w:p w14:paraId="18643309">
      <w:pPr>
        <w:spacing w:line="360" w:lineRule="auto"/>
        <w:rPr>
          <w:rFonts w:hint="eastAsia" w:ascii="宋体" w:hAnsi="宋体"/>
          <w:color w:val="auto"/>
          <w:sz w:val="24"/>
          <w:highlight w:val="none"/>
        </w:rPr>
      </w:pPr>
      <w:r>
        <w:rPr>
          <w:rFonts w:hint="eastAsia" w:ascii="宋体" w:hAnsi="宋体"/>
          <w:color w:val="auto"/>
          <w:sz w:val="24"/>
          <w:highlight w:val="none"/>
        </w:rPr>
        <w:t>受益人：</w:t>
      </w:r>
    </w:p>
    <w:p w14:paraId="3EA79220">
      <w:pPr>
        <w:spacing w:line="360" w:lineRule="auto"/>
        <w:rPr>
          <w:rFonts w:hint="eastAsia" w:ascii="宋体" w:hAnsi="宋体"/>
          <w:color w:val="auto"/>
          <w:sz w:val="24"/>
          <w:highlight w:val="none"/>
        </w:rPr>
      </w:pPr>
      <w:r>
        <w:rPr>
          <w:rFonts w:hint="eastAsia" w:ascii="宋体" w:hAnsi="宋体"/>
          <w:color w:val="auto"/>
          <w:sz w:val="24"/>
          <w:highlight w:val="none"/>
        </w:rPr>
        <w:t xml:space="preserve">  地址：</w:t>
      </w:r>
    </w:p>
    <w:p w14:paraId="64952832">
      <w:pPr>
        <w:spacing w:line="360" w:lineRule="auto"/>
        <w:rPr>
          <w:rFonts w:hint="eastAsia" w:ascii="宋体" w:hAnsi="宋体"/>
          <w:color w:val="auto"/>
          <w:sz w:val="24"/>
          <w:highlight w:val="none"/>
        </w:rPr>
      </w:pPr>
      <w:r>
        <w:rPr>
          <w:rFonts w:hint="eastAsia" w:ascii="宋体" w:hAnsi="宋体"/>
          <w:color w:val="auto"/>
          <w:sz w:val="24"/>
          <w:highlight w:val="none"/>
        </w:rPr>
        <w:t>开立人：</w:t>
      </w:r>
    </w:p>
    <w:p w14:paraId="330625D8">
      <w:pPr>
        <w:spacing w:line="360" w:lineRule="auto"/>
        <w:rPr>
          <w:rFonts w:hint="eastAsia" w:ascii="宋体" w:hAnsi="宋体"/>
          <w:color w:val="auto"/>
          <w:sz w:val="24"/>
          <w:highlight w:val="none"/>
        </w:rPr>
      </w:pPr>
      <w:r>
        <w:rPr>
          <w:rFonts w:hint="eastAsia" w:ascii="宋体" w:hAnsi="宋体"/>
          <w:color w:val="auto"/>
          <w:sz w:val="24"/>
          <w:highlight w:val="none"/>
        </w:rPr>
        <w:t xml:space="preserve">  地址：</w:t>
      </w:r>
    </w:p>
    <w:p w14:paraId="3DCDC948">
      <w:pPr>
        <w:spacing w:line="360" w:lineRule="auto"/>
        <w:rPr>
          <w:rFonts w:hint="eastAsia" w:ascii="宋体" w:hAnsi="宋体"/>
          <w:color w:val="auto"/>
          <w:sz w:val="24"/>
          <w:highlight w:val="none"/>
        </w:rPr>
      </w:pPr>
      <w:r>
        <w:rPr>
          <w:rFonts w:hint="eastAsia" w:ascii="宋体" w:hAnsi="宋体"/>
          <w:color w:val="auto"/>
          <w:sz w:val="24"/>
          <w:highlight w:val="none"/>
        </w:rPr>
        <w:t xml:space="preserve"> </w:t>
      </w:r>
    </w:p>
    <w:p w14:paraId="7A45F237">
      <w:pPr>
        <w:spacing w:line="360" w:lineRule="auto"/>
        <w:rPr>
          <w:rFonts w:hint="eastAsia"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 xml:space="preserve">（受益人名称）： </w:t>
      </w:r>
    </w:p>
    <w:p w14:paraId="3D65FB1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鉴于</w:t>
      </w:r>
      <w:r>
        <w:rPr>
          <w:rFonts w:hint="eastAsia" w:ascii="宋体" w:hAnsi="宋体"/>
          <w:color w:val="auto"/>
          <w:sz w:val="24"/>
          <w:highlight w:val="none"/>
          <w:u w:val="single"/>
        </w:rPr>
        <w:t xml:space="preserve">        </w:t>
      </w:r>
      <w:r>
        <w:rPr>
          <w:rFonts w:hint="eastAsia" w:ascii="宋体" w:hAnsi="宋体"/>
          <w:color w:val="auto"/>
          <w:sz w:val="24"/>
          <w:highlight w:val="none"/>
        </w:rPr>
        <w:t>（以下简称“受益人”）与</w:t>
      </w:r>
      <w:r>
        <w:rPr>
          <w:rFonts w:hint="eastAsia" w:ascii="宋体" w:hAnsi="宋体"/>
          <w:color w:val="auto"/>
          <w:sz w:val="24"/>
          <w:highlight w:val="none"/>
          <w:u w:val="single"/>
        </w:rPr>
        <w:t xml:space="preserve">         </w:t>
      </w:r>
      <w:r>
        <w:rPr>
          <w:rFonts w:hint="eastAsia" w:ascii="宋体" w:hAnsi="宋体"/>
          <w:color w:val="auto"/>
          <w:sz w:val="24"/>
          <w:highlight w:val="none"/>
        </w:rPr>
        <w:t>（以下简称“申请人”）于</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日就</w:t>
      </w:r>
      <w:r>
        <w:rPr>
          <w:rFonts w:hint="eastAsia" w:ascii="宋体" w:hAnsi="宋体"/>
          <w:color w:val="auto"/>
          <w:sz w:val="24"/>
          <w:highlight w:val="none"/>
          <w:u w:val="single"/>
        </w:rPr>
        <w:t xml:space="preserve">           </w:t>
      </w:r>
      <w:r>
        <w:rPr>
          <w:rFonts w:hint="eastAsia" w:ascii="宋体" w:hAnsi="宋体"/>
          <w:color w:val="auto"/>
          <w:sz w:val="24"/>
          <w:highlight w:val="none"/>
        </w:rPr>
        <w:t>工程（以下简称“本工程”）施工和有关事项协商一致共同签订</w:t>
      </w:r>
      <w:r>
        <w:rPr>
          <w:rFonts w:hint="eastAsia" w:ascii="宋体" w:hAnsi="宋体"/>
          <w:color w:val="auto"/>
          <w:sz w:val="24"/>
          <w:highlight w:val="none"/>
          <w:u w:val="single"/>
        </w:rPr>
        <w:t>《        》</w:t>
      </w:r>
      <w:r>
        <w:rPr>
          <w:rFonts w:hint="eastAsia" w:ascii="宋体" w:hAnsi="宋体"/>
          <w:color w:val="auto"/>
          <w:sz w:val="24"/>
          <w:highlight w:val="none"/>
        </w:rPr>
        <w:t xml:space="preserve">（以下简称“基础合同”），我方（即“开立人”）根据基础合同了解到申请人为基础合同项下之承包人，受益人为基础合同项下之发包人，基于申请人的请求，我方同意就申请人履行与贵方签订的基础合同项下的义务，向贵方提供不可撤销、不可转让的见索即付独立保函（以下简称“本保函”）。 </w:t>
      </w:r>
    </w:p>
    <w:p w14:paraId="368BF693">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一、本保函担保范围：承包人未按照基础合同的约定履行义务，应当向贵方承担的违约责任和赔偿因此造成的损失、利息、律师费、诉讼费用等实现债权的费用。</w:t>
      </w:r>
    </w:p>
    <w:p w14:paraId="42FA32AD">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二、本保函担保金额最高不超过人民币（大写）</w:t>
      </w:r>
      <w:r>
        <w:rPr>
          <w:rFonts w:hint="eastAsia" w:ascii="宋体" w:hAnsi="宋体"/>
          <w:color w:val="auto"/>
          <w:sz w:val="24"/>
          <w:highlight w:val="none"/>
          <w:u w:val="single"/>
        </w:rPr>
        <w:t xml:space="preserve">          </w:t>
      </w:r>
      <w:r>
        <w:rPr>
          <w:rFonts w:hint="eastAsia" w:ascii="宋体" w:hAnsi="宋体"/>
          <w:color w:val="auto"/>
          <w:sz w:val="24"/>
          <w:highlight w:val="none"/>
        </w:rPr>
        <w:t>元（¥</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588A2A9C">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三、本保函有效期自开立之日起至基础合同约定的缺陷责任期后</w:t>
      </w:r>
      <w:r>
        <w:rPr>
          <w:rFonts w:hint="eastAsia" w:ascii="宋体" w:hAnsi="宋体"/>
          <w:color w:val="auto"/>
          <w:sz w:val="24"/>
          <w:highlight w:val="none"/>
          <w:u w:val="single"/>
        </w:rPr>
        <w:t xml:space="preserve">   </w:t>
      </w:r>
      <w:r>
        <w:rPr>
          <w:rFonts w:hint="eastAsia" w:ascii="宋体" w:hAnsi="宋体"/>
          <w:color w:val="auto"/>
          <w:sz w:val="24"/>
          <w:highlight w:val="none"/>
        </w:rPr>
        <w:t>日止，最迟不超过</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日。 </w:t>
      </w:r>
    </w:p>
    <w:p w14:paraId="49D08ADC">
      <w:pPr>
        <w:spacing w:line="360" w:lineRule="auto"/>
        <w:ind w:firstLine="480"/>
        <w:rPr>
          <w:rFonts w:hint="eastAsia" w:ascii="宋体" w:hAnsi="宋体"/>
          <w:color w:val="auto"/>
          <w:sz w:val="24"/>
          <w:highlight w:val="none"/>
        </w:rPr>
      </w:pPr>
      <w:r>
        <w:rPr>
          <w:rFonts w:hint="eastAsia" w:ascii="宋体" w:hAnsi="宋体"/>
          <w:color w:val="auto"/>
          <w:sz w:val="24"/>
          <w:highlight w:val="none"/>
        </w:rPr>
        <w:t>四、我方承诺，在收到受益人发来的书面付款通知后的</w:t>
      </w:r>
      <w:r>
        <w:rPr>
          <w:rFonts w:hint="eastAsia" w:ascii="宋体" w:hAnsi="宋体"/>
          <w:color w:val="auto"/>
          <w:sz w:val="24"/>
          <w:highlight w:val="none"/>
          <w:u w:val="single"/>
        </w:rPr>
        <w:t xml:space="preserve">    </w:t>
      </w:r>
      <w:r>
        <w:rPr>
          <w:rFonts w:hint="eastAsia" w:ascii="宋体" w:hAnsi="宋体"/>
          <w:color w:val="auto"/>
          <w:sz w:val="24"/>
          <w:highlight w:val="none"/>
        </w:rPr>
        <w:t>日内无条件支付，前述书面付款通知即为付款要求之单据，且应满足以下要求：</w:t>
      </w:r>
    </w:p>
    <w:p w14:paraId="7823E0BA">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（1）付款通知到达的日期在本保函的有效期内；</w:t>
      </w:r>
    </w:p>
    <w:p w14:paraId="4790262E">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（2）载明要求支付的金额；</w:t>
      </w:r>
    </w:p>
    <w:p w14:paraId="63D52BD4">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（3）载明申请人违反合同义务的条款和内容；</w:t>
      </w:r>
    </w:p>
    <w:p w14:paraId="52801F60">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（4）声明不存在合同文件约定或我国法律规定免除申请人或开立人支付责任的情形；</w:t>
      </w:r>
    </w:p>
    <w:p w14:paraId="68DC4616">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（5）付款通知应在本保函有效期内到达的地址是：</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2933CE6D">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受益人发出的书面付款通知应由其为鉴明受益人法定代表人（负责人）或授权代理人签字并加盖公章。</w:t>
      </w:r>
    </w:p>
    <w:p w14:paraId="1F396000">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五、本保函项下的权利不得转让，不得设定担保。贵方未经我方书面同意转 让本保函或其项下任何权利，对我方不发生法律效力。 </w:t>
      </w:r>
    </w:p>
    <w:p w14:paraId="13DCA1CE">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六、与本保函有关的基础合同不成立、不生效、无效、被撤销、被解除，不影响本保函的独立有效。 </w:t>
      </w:r>
    </w:p>
    <w:p w14:paraId="68C52CB7">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七、贵方应在本保函到期后的七日内将本保函正本退回我方注销，但是不论贵方是否按此要求将本保函正本退回我方，我方在本保函项下的义务和责任均在保函有效期到期后自动消灭。 </w:t>
      </w:r>
    </w:p>
    <w:p w14:paraId="5425006A">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八、本保函适用的法律为中华人民共和国法律，争议裁判管辖地为中华人民共和国</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22D8BCC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九、本保函自我方法定代表人或授权代表签字并加盖公章之日起生效。 </w:t>
      </w:r>
    </w:p>
    <w:p w14:paraId="269447C7">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开 立 人：                              （公章） </w:t>
      </w:r>
    </w:p>
    <w:p w14:paraId="4F9D83FE">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法定代表人（或授权代表）：               （签字） </w:t>
      </w:r>
    </w:p>
    <w:p w14:paraId="11E67061">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地    址：                                       </w:t>
      </w:r>
    </w:p>
    <w:p w14:paraId="387403D6">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邮政编码：                 </w:t>
      </w:r>
    </w:p>
    <w:p w14:paraId="6FEA0AFC">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电    话：                 </w:t>
      </w:r>
    </w:p>
    <w:p w14:paraId="74423AA2">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传    真：                 </w:t>
      </w:r>
    </w:p>
    <w:p w14:paraId="26B7C8AD">
      <w:pPr>
        <w:spacing w:line="360" w:lineRule="auto"/>
        <w:ind w:firstLine="480" w:firstLineChars="200"/>
        <w:rPr>
          <w:rFonts w:hint="eastAsia"/>
          <w:color w:val="auto"/>
          <w:szCs w:val="21"/>
          <w:highlight w:val="none"/>
        </w:rPr>
      </w:pPr>
      <w:r>
        <w:rPr>
          <w:rFonts w:hint="eastAsia" w:ascii="宋体" w:hAnsi="宋体"/>
          <w:color w:val="auto"/>
          <w:sz w:val="24"/>
          <w:highlight w:val="none"/>
        </w:rPr>
        <w:t xml:space="preserve">开立时间：      年      月    </w:t>
      </w:r>
    </w:p>
    <w:p w14:paraId="68764582">
      <w:pPr>
        <w:spacing w:line="360" w:lineRule="auto"/>
        <w:jc w:val="left"/>
        <w:rPr>
          <w:rFonts w:eastAsia="仿宋_GB2312"/>
          <w:color w:val="auto"/>
          <w:sz w:val="30"/>
          <w:szCs w:val="30"/>
          <w:highlight w:val="none"/>
        </w:rPr>
      </w:pPr>
    </w:p>
    <w:p w14:paraId="7E5D1A25">
      <w:pPr>
        <w:spacing w:line="360" w:lineRule="auto"/>
        <w:rPr>
          <w:rFonts w:hint="eastAsia" w:ascii="宋体" w:hAnsi="宋体"/>
          <w:b/>
          <w:bCs/>
          <w:color w:val="auto"/>
          <w:sz w:val="32"/>
          <w:szCs w:val="32"/>
          <w:highlight w:val="none"/>
        </w:rPr>
      </w:pPr>
    </w:p>
    <w:p w14:paraId="097911A6">
      <w:pPr>
        <w:spacing w:line="360" w:lineRule="auto"/>
        <w:jc w:val="center"/>
        <w:rPr>
          <w:rFonts w:hint="eastAsia" w:ascii="宋体" w:hAnsi="宋体"/>
          <w:b/>
          <w:bCs/>
          <w:color w:val="auto"/>
          <w:sz w:val="32"/>
          <w:szCs w:val="32"/>
          <w:highlight w:val="none"/>
        </w:rPr>
      </w:pPr>
      <w:r>
        <w:rPr>
          <w:rFonts w:ascii="宋体" w:hAnsi="宋体"/>
          <w:b/>
          <w:bCs/>
          <w:color w:val="auto"/>
          <w:sz w:val="32"/>
          <w:szCs w:val="32"/>
          <w:highlight w:val="none"/>
        </w:rPr>
        <w:br w:type="page"/>
      </w:r>
      <w:r>
        <w:rPr>
          <w:rFonts w:hint="eastAsia" w:ascii="宋体" w:hAnsi="宋体"/>
          <w:b/>
          <w:bCs/>
          <w:color w:val="auto"/>
          <w:sz w:val="32"/>
          <w:szCs w:val="32"/>
          <w:highlight w:val="none"/>
        </w:rPr>
        <w:t>履约保函示范文本</w:t>
      </w:r>
    </w:p>
    <w:p w14:paraId="40D3514A">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（非独立保函）</w:t>
      </w:r>
    </w:p>
    <w:p w14:paraId="221294E4">
      <w:pPr>
        <w:spacing w:line="360" w:lineRule="auto"/>
        <w:jc w:val="center"/>
        <w:rPr>
          <w:rFonts w:hint="eastAsia" w:ascii="宋体" w:hAnsi="宋体"/>
          <w:b/>
          <w:bCs/>
          <w:color w:val="auto"/>
          <w:sz w:val="32"/>
          <w:szCs w:val="32"/>
          <w:highlight w:val="none"/>
        </w:rPr>
      </w:pPr>
    </w:p>
    <w:p w14:paraId="6F7805A2">
      <w:pPr>
        <w:wordWrap w:val="0"/>
        <w:spacing w:line="360" w:lineRule="auto"/>
        <w:jc w:val="right"/>
        <w:rPr>
          <w:rFonts w:hint="eastAsia" w:ascii="宋体" w:hAnsi="宋体"/>
          <w:color w:val="auto"/>
          <w:szCs w:val="21"/>
          <w:highlight w:val="none"/>
        </w:rPr>
      </w:pPr>
      <w:r>
        <w:rPr>
          <w:rFonts w:hint="eastAsia" w:ascii="宋体" w:hAnsi="宋体"/>
          <w:color w:val="auto"/>
          <w:highlight w:val="none"/>
        </w:rPr>
        <w:t xml:space="preserve">编号：           </w:t>
      </w:r>
    </w:p>
    <w:p w14:paraId="6A4F4344">
      <w:pPr>
        <w:spacing w:line="360" w:lineRule="auto"/>
        <w:rPr>
          <w:rFonts w:hint="eastAsia" w:ascii="宋体" w:hAnsi="宋体"/>
          <w:color w:val="auto"/>
          <w:sz w:val="24"/>
          <w:highlight w:val="none"/>
        </w:rPr>
      </w:pPr>
      <w:r>
        <w:rPr>
          <w:rFonts w:hint="eastAsia" w:ascii="宋体" w:hAnsi="宋体"/>
          <w:color w:val="auto"/>
          <w:sz w:val="24"/>
          <w:highlight w:val="none"/>
        </w:rPr>
        <w:t>承包人：</w:t>
      </w:r>
    </w:p>
    <w:p w14:paraId="3079119A">
      <w:pPr>
        <w:spacing w:line="360" w:lineRule="auto"/>
        <w:rPr>
          <w:rFonts w:hint="eastAsia" w:ascii="宋体" w:hAnsi="宋体"/>
          <w:color w:val="auto"/>
          <w:sz w:val="24"/>
          <w:highlight w:val="none"/>
        </w:rPr>
      </w:pPr>
      <w:r>
        <w:rPr>
          <w:rFonts w:hint="eastAsia" w:ascii="宋体" w:hAnsi="宋体"/>
          <w:color w:val="auto"/>
          <w:sz w:val="24"/>
          <w:highlight w:val="none"/>
        </w:rPr>
        <w:t>地址：</w:t>
      </w:r>
    </w:p>
    <w:p w14:paraId="3EB5A141">
      <w:pPr>
        <w:spacing w:line="360" w:lineRule="auto"/>
        <w:rPr>
          <w:rFonts w:hint="eastAsia" w:ascii="宋体" w:hAnsi="宋体"/>
          <w:color w:val="auto"/>
          <w:sz w:val="24"/>
          <w:highlight w:val="none"/>
        </w:rPr>
      </w:pPr>
      <w:r>
        <w:rPr>
          <w:rFonts w:hint="eastAsia" w:ascii="宋体" w:hAnsi="宋体"/>
          <w:color w:val="auto"/>
          <w:sz w:val="24"/>
          <w:highlight w:val="none"/>
        </w:rPr>
        <w:t xml:space="preserve">担保权人/发包人： </w:t>
      </w:r>
    </w:p>
    <w:p w14:paraId="3E786CE8">
      <w:pPr>
        <w:spacing w:line="360" w:lineRule="auto"/>
        <w:rPr>
          <w:rFonts w:hint="eastAsia" w:ascii="宋体" w:hAnsi="宋体"/>
          <w:color w:val="auto"/>
          <w:sz w:val="24"/>
          <w:highlight w:val="none"/>
        </w:rPr>
      </w:pPr>
      <w:r>
        <w:rPr>
          <w:rFonts w:hint="eastAsia" w:ascii="宋体" w:hAnsi="宋体"/>
          <w:color w:val="auto"/>
          <w:sz w:val="24"/>
          <w:highlight w:val="none"/>
        </w:rPr>
        <w:t>地址：</w:t>
      </w:r>
    </w:p>
    <w:p w14:paraId="0D3C7B3D">
      <w:pPr>
        <w:spacing w:line="360" w:lineRule="auto"/>
        <w:rPr>
          <w:rFonts w:hint="eastAsia" w:ascii="宋体" w:hAnsi="宋体"/>
          <w:color w:val="auto"/>
          <w:sz w:val="24"/>
          <w:highlight w:val="none"/>
        </w:rPr>
      </w:pPr>
      <w:r>
        <w:rPr>
          <w:rFonts w:hint="eastAsia" w:ascii="宋体" w:hAnsi="宋体"/>
          <w:color w:val="auto"/>
          <w:sz w:val="24"/>
          <w:highlight w:val="none"/>
        </w:rPr>
        <w:t>保证人：</w:t>
      </w:r>
    </w:p>
    <w:p w14:paraId="458095F4">
      <w:pPr>
        <w:spacing w:line="360" w:lineRule="auto"/>
        <w:rPr>
          <w:rFonts w:hint="eastAsia" w:ascii="宋体" w:hAnsi="宋体"/>
          <w:color w:val="auto"/>
          <w:sz w:val="24"/>
          <w:highlight w:val="none"/>
        </w:rPr>
      </w:pPr>
      <w:r>
        <w:rPr>
          <w:rFonts w:hint="eastAsia" w:ascii="宋体" w:hAnsi="宋体"/>
          <w:color w:val="auto"/>
          <w:sz w:val="24"/>
          <w:highlight w:val="none"/>
        </w:rPr>
        <w:t>地址：</w:t>
      </w:r>
    </w:p>
    <w:p w14:paraId="72801D6E">
      <w:pPr>
        <w:spacing w:line="360" w:lineRule="auto"/>
        <w:rPr>
          <w:rFonts w:hint="eastAsia" w:ascii="宋体" w:hAnsi="宋体"/>
          <w:color w:val="auto"/>
          <w:sz w:val="24"/>
          <w:highlight w:val="none"/>
        </w:rPr>
      </w:pPr>
    </w:p>
    <w:p w14:paraId="40CA48D2">
      <w:pPr>
        <w:spacing w:line="360" w:lineRule="auto"/>
        <w:rPr>
          <w:rFonts w:hint="eastAsia"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 xml:space="preserve">（发包人名称）： </w:t>
      </w:r>
    </w:p>
    <w:p w14:paraId="7674F683">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鉴于</w:t>
      </w:r>
      <w:r>
        <w:rPr>
          <w:rFonts w:hint="eastAsia" w:ascii="宋体" w:hAnsi="宋体"/>
          <w:color w:val="auto"/>
          <w:sz w:val="24"/>
          <w:highlight w:val="none"/>
          <w:u w:val="single"/>
        </w:rPr>
        <w:t xml:space="preserve">        </w:t>
      </w:r>
      <w:r>
        <w:rPr>
          <w:rFonts w:hint="eastAsia" w:ascii="宋体" w:hAnsi="宋体"/>
          <w:color w:val="auto"/>
          <w:sz w:val="24"/>
          <w:highlight w:val="none"/>
        </w:rPr>
        <w:t>（以下简称“发包人”）与</w:t>
      </w:r>
      <w:r>
        <w:rPr>
          <w:rFonts w:hint="eastAsia" w:ascii="宋体" w:hAnsi="宋体"/>
          <w:color w:val="auto"/>
          <w:sz w:val="24"/>
          <w:highlight w:val="none"/>
          <w:u w:val="single"/>
        </w:rPr>
        <w:t xml:space="preserve">         </w:t>
      </w:r>
      <w:r>
        <w:rPr>
          <w:rFonts w:hint="eastAsia" w:ascii="宋体" w:hAnsi="宋体"/>
          <w:color w:val="auto"/>
          <w:sz w:val="24"/>
          <w:highlight w:val="none"/>
        </w:rPr>
        <w:t>（以下简称“承包人”）于</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日就</w:t>
      </w:r>
      <w:r>
        <w:rPr>
          <w:rFonts w:hint="eastAsia" w:ascii="宋体" w:hAnsi="宋体"/>
          <w:color w:val="auto"/>
          <w:sz w:val="24"/>
          <w:highlight w:val="none"/>
          <w:u w:val="single"/>
        </w:rPr>
        <w:t xml:space="preserve">           </w:t>
      </w:r>
      <w:r>
        <w:rPr>
          <w:rFonts w:hint="eastAsia" w:ascii="宋体" w:hAnsi="宋体"/>
          <w:color w:val="auto"/>
          <w:sz w:val="24"/>
          <w:highlight w:val="none"/>
        </w:rPr>
        <w:t>工程（以下简称“本工程”）施工和有关事项协商一致共同签订</w:t>
      </w:r>
      <w:r>
        <w:rPr>
          <w:rFonts w:hint="eastAsia" w:ascii="宋体" w:hAnsi="宋体"/>
          <w:color w:val="auto"/>
          <w:sz w:val="24"/>
          <w:highlight w:val="none"/>
          <w:u w:val="single"/>
        </w:rPr>
        <w:t>《        》</w:t>
      </w:r>
      <w:r>
        <w:rPr>
          <w:rFonts w:hint="eastAsia" w:ascii="宋体" w:hAnsi="宋体"/>
          <w:color w:val="auto"/>
          <w:sz w:val="24"/>
          <w:highlight w:val="none"/>
        </w:rPr>
        <w:t xml:space="preserve">（以下简称“主合同”），我方即保证人基于承包人的请求，同意就承包人履行与贵方签订的主合同项下的义务，向贵方提供如下保证担保（以下简称“本保证担保”）。 </w:t>
      </w:r>
    </w:p>
    <w:p w14:paraId="38382B0A">
      <w:pPr>
        <w:spacing w:line="360" w:lineRule="auto"/>
        <w:rPr>
          <w:rFonts w:hint="eastAsia" w:ascii="宋体" w:hAnsi="宋体"/>
          <w:b/>
          <w:bCs/>
          <w:color w:val="auto"/>
          <w:sz w:val="24"/>
          <w:highlight w:val="none"/>
        </w:rPr>
      </w:pPr>
      <w:r>
        <w:rPr>
          <w:rFonts w:hint="eastAsia" w:ascii="宋体" w:hAnsi="宋体"/>
          <w:color w:val="auto"/>
          <w:sz w:val="24"/>
          <w:highlight w:val="none"/>
        </w:rPr>
        <w:t xml:space="preserve">    </w:t>
      </w:r>
      <w:r>
        <w:rPr>
          <w:rFonts w:hint="eastAsia" w:ascii="宋体" w:hAnsi="宋体"/>
          <w:b/>
          <w:bCs/>
          <w:color w:val="auto"/>
          <w:sz w:val="24"/>
          <w:highlight w:val="none"/>
        </w:rPr>
        <w:t>一、保证担保的范围及保证担保金额</w:t>
      </w:r>
    </w:p>
    <w:p w14:paraId="5722808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1.保证担保范围：承包人未按照主合同的约定履行义务，应当向贵方承担的违约责任和赔偿因此造成的损失、利息、律师费、诉讼费用等实现债权的费用。</w:t>
      </w:r>
    </w:p>
    <w:p w14:paraId="6FAD543D">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2.保证担保金额最高不超过人民币（大写）</w:t>
      </w:r>
      <w:r>
        <w:rPr>
          <w:rFonts w:hint="eastAsia" w:ascii="宋体" w:hAnsi="宋体"/>
          <w:color w:val="auto"/>
          <w:sz w:val="24"/>
          <w:highlight w:val="none"/>
          <w:u w:val="single"/>
        </w:rPr>
        <w:t xml:space="preserve">          </w:t>
      </w:r>
      <w:r>
        <w:rPr>
          <w:rFonts w:hint="eastAsia" w:ascii="宋体" w:hAnsi="宋体"/>
          <w:color w:val="auto"/>
          <w:sz w:val="24"/>
          <w:highlight w:val="none"/>
        </w:rPr>
        <w:t>元（¥</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5E6BD31A">
      <w:pPr>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rPr>
        <w:t xml:space="preserve">二、保证担保的方式及保证期间 </w:t>
      </w:r>
    </w:p>
    <w:p w14:paraId="4DD13775">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1.保证担保方式：连带责任保证。</w:t>
      </w:r>
    </w:p>
    <w:p w14:paraId="2F1F3AE0">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2.保证期间：自出具之日起至主合同约定的缺陷责任期后</w:t>
      </w:r>
      <w:r>
        <w:rPr>
          <w:rFonts w:hint="eastAsia" w:ascii="宋体" w:hAnsi="宋体"/>
          <w:color w:val="auto"/>
          <w:sz w:val="24"/>
          <w:highlight w:val="none"/>
          <w:u w:val="single"/>
        </w:rPr>
        <w:t xml:space="preserve">   </w:t>
      </w:r>
      <w:r>
        <w:rPr>
          <w:rFonts w:hint="eastAsia" w:ascii="宋体" w:hAnsi="宋体"/>
          <w:color w:val="auto"/>
          <w:sz w:val="24"/>
          <w:highlight w:val="none"/>
        </w:rPr>
        <w:t>日止，最迟不超过</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日。 </w:t>
      </w:r>
    </w:p>
    <w:p w14:paraId="60C1EC23">
      <w:pPr>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rPr>
        <w:t>三、承担保证担保责任的形式</w:t>
      </w:r>
    </w:p>
    <w:p w14:paraId="11FC5BBC">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我方按照贵方的要求以下列方式之一承担保证担保责任： </w:t>
      </w:r>
    </w:p>
    <w:p w14:paraId="6420C017">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1.向承包人资金、设备或者技术援助，使其能继续履行合同义务；</w:t>
      </w:r>
    </w:p>
    <w:p w14:paraId="1686FED7">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2.直接接管该项工程或者委托经贵方同意的其他承包商，继续履行合同义务；</w:t>
      </w:r>
    </w:p>
    <w:p w14:paraId="7A5A47E5">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3.在保证担保金额最高限额内，按照合同约定，向贵方承担违约责任和赔偿因此造成的损失，以及利息和律师费、诉讼费用等实现债权的费用。</w:t>
      </w:r>
    </w:p>
    <w:p w14:paraId="6F3CDE58">
      <w:pPr>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rPr>
        <w:t xml:space="preserve">四、代偿的安排 </w:t>
      </w:r>
    </w:p>
    <w:p w14:paraId="76586732">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1.贵方要求我方承担保证责任的，应向我方发出书面索赔通知及承包人未履行主合同约定义务的证明材料。索赔通知应写明要求索赔的金额，支付款项应到达的</w:t>
      </w:r>
      <w:r>
        <w:rPr>
          <w:rFonts w:hint="eastAsia" w:ascii="宋体" w:hAnsi="宋体"/>
          <w:color w:val="auto"/>
          <w:sz w:val="24"/>
          <w:highlight w:val="none"/>
          <w:lang w:eastAsia="zh-CN"/>
        </w:rPr>
        <w:t>账</w:t>
      </w:r>
      <w:r>
        <w:rPr>
          <w:rFonts w:hint="eastAsia" w:ascii="宋体" w:hAnsi="宋体"/>
          <w:color w:val="auto"/>
          <w:sz w:val="24"/>
          <w:highlight w:val="none"/>
        </w:rPr>
        <w:t>号，并附有说明承包人违反主合同造成贵方损失情况的证明材料。</w:t>
      </w:r>
    </w:p>
    <w:p w14:paraId="7D3886CF">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2.贵方以工程质量不符合主合同约定标准为由，向我方提出违约索赔的，还需同时提供符合相应条件要求的工程质量检测部门出具的质量说明材料。</w:t>
      </w:r>
    </w:p>
    <w:p w14:paraId="7645BA03">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3.我方收到贵方的书面索赔通知及相应证明材料后，在</w:t>
      </w:r>
      <w:r>
        <w:rPr>
          <w:rFonts w:hint="eastAsia" w:ascii="宋体" w:hAnsi="宋体"/>
          <w:color w:val="auto"/>
          <w:sz w:val="24"/>
          <w:highlight w:val="none"/>
          <w:u w:val="single"/>
        </w:rPr>
        <w:t xml:space="preserve">   </w:t>
      </w:r>
      <w:r>
        <w:rPr>
          <w:rFonts w:hint="eastAsia" w:ascii="宋体" w:hAnsi="宋体"/>
          <w:color w:val="auto"/>
          <w:sz w:val="24"/>
          <w:highlight w:val="none"/>
        </w:rPr>
        <w:t>工作日内进行核定后按照本保函的承诺承担保证责任。</w:t>
      </w:r>
    </w:p>
    <w:p w14:paraId="40394468">
      <w:pPr>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rPr>
        <w:t xml:space="preserve">五、保证担保责任的解除 </w:t>
      </w:r>
    </w:p>
    <w:p w14:paraId="5CFFB2A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1.保证期间届满贵方未向我方书面主张保证责任的，自保证期间届满次日起，我方解除保证责任。 </w:t>
      </w:r>
    </w:p>
    <w:p w14:paraId="0B073E6E">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2.我方按照本保证担保向贵方履行了保证担保责任后，自我方向贵方支付的金额达到最高保证担保金额之日起，保证担保责任解除。 </w:t>
      </w:r>
    </w:p>
    <w:p w14:paraId="42604044">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3.按照法律法规的规定应解除我方保证担保责任的其它情形的，我方在本保证担保项下的保证担保责任亦解除。 </w:t>
      </w:r>
    </w:p>
    <w:p w14:paraId="65FF2297">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436711BA">
      <w:pPr>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rPr>
        <w:t xml:space="preserve">六、免责条款 </w:t>
      </w:r>
    </w:p>
    <w:p w14:paraId="1EE6F116">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1.因贵方原因致使承包人未按照主合同约定履行义务的，我方不承担保证担保责任。 </w:t>
      </w:r>
    </w:p>
    <w:p w14:paraId="5642358F">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2.依照法律规定或贵方与发包人的另行约定，免除承包人部分或全部义务的，我方亦免除其相应的保证担保责任。 </w:t>
      </w:r>
    </w:p>
    <w:p w14:paraId="3C5005E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3.因不可抗力造成承包人未按照主合同约定履行义务的，我方不承担保证担保责任。</w:t>
      </w:r>
    </w:p>
    <w:p w14:paraId="60F31DF0">
      <w:pPr>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rPr>
        <w:t>七、其他</w:t>
      </w:r>
    </w:p>
    <w:p w14:paraId="2CF409FB">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1.本保证担保项下的权利不得转让，不得设定担保。贵方未经我方书面同意转让本保证担保或其项下任何权利，对我方不发生法律效力。 </w:t>
      </w:r>
    </w:p>
    <w:p w14:paraId="24DBB23D">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2.本保证担保适用的法律为中华人民共和国法律，争议裁判管辖地为中华人民共和国</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1045D285">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3.本保证担保自我方法定代表人或授权代表签字并加盖公章之日起生效。 </w:t>
      </w:r>
    </w:p>
    <w:p w14:paraId="7D655C12">
      <w:pPr>
        <w:spacing w:line="360" w:lineRule="auto"/>
        <w:ind w:firstLine="480" w:firstLineChars="200"/>
        <w:rPr>
          <w:rFonts w:hint="eastAsia" w:ascii="宋体" w:hAnsi="宋体"/>
          <w:color w:val="auto"/>
          <w:sz w:val="24"/>
          <w:highlight w:val="none"/>
        </w:rPr>
      </w:pPr>
    </w:p>
    <w:p w14:paraId="6A1E8ACD">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保 证 人：                              （公章） </w:t>
      </w:r>
    </w:p>
    <w:p w14:paraId="1A676561">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法定代表人（或授权代表）：               （签字） </w:t>
      </w:r>
    </w:p>
    <w:p w14:paraId="72326C53">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地    址：                                       </w:t>
      </w:r>
    </w:p>
    <w:p w14:paraId="3D19FA5E">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邮政编码：                 </w:t>
      </w:r>
    </w:p>
    <w:p w14:paraId="4C83C150">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电    话：                 </w:t>
      </w:r>
    </w:p>
    <w:p w14:paraId="61A83524">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传    真：                 </w:t>
      </w:r>
    </w:p>
    <w:p w14:paraId="1CB70967">
      <w:pPr>
        <w:spacing w:before="156" w:beforeLines="50" w:after="156" w:afterLines="50" w:line="440" w:lineRule="exact"/>
        <w:jc w:val="center"/>
        <w:rPr>
          <w:rFonts w:ascii="黑体" w:hAnsi="宋体" w:eastAsia="黑体"/>
          <w:color w:val="auto"/>
          <w:sz w:val="32"/>
          <w:szCs w:val="32"/>
          <w:highlight w:val="none"/>
        </w:rPr>
      </w:pPr>
      <w:r>
        <w:rPr>
          <w:rFonts w:hint="eastAsia" w:ascii="宋体" w:hAnsi="宋体"/>
          <w:color w:val="auto"/>
          <w:sz w:val="24"/>
          <w:highlight w:val="none"/>
        </w:rPr>
        <w:t>时    间：      年      月        日</w:t>
      </w:r>
    </w:p>
    <w:p w14:paraId="14131E79">
      <w:pPr>
        <w:widowControl/>
        <w:rPr>
          <w:color w:val="auto"/>
          <w:highlight w:val="none"/>
        </w:rPr>
      </w:pPr>
    </w:p>
    <w:sectPr>
      <w:footerReference r:id="rId26" w:type="first"/>
      <w:footerReference r:id="rId25" w:type="default"/>
      <w:pgSz w:w="11907" w:h="16840"/>
      <w:pgMar w:top="1440" w:right="1440" w:bottom="1440" w:left="1797" w:header="851" w:footer="85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6EC815E-1870-4679-864F-A87B0F266AB8}"/>
  </w:font>
  <w:font w:name="黑体">
    <w:panose1 w:val="02010609060101010101"/>
    <w:charset w:val="86"/>
    <w:family w:val="auto"/>
    <w:pitch w:val="default"/>
    <w:sig w:usb0="800002BF" w:usb1="38CF7CFA" w:usb2="00000016" w:usb3="00000000" w:csb0="00040001" w:csb1="00000000"/>
    <w:embedRegular r:id="rId2" w:fontKey="{F3820E87-71FF-4DA9-80D7-DFDA35A94968}"/>
  </w:font>
  <w:font w:name="Courier New">
    <w:panose1 w:val="02070309020205020404"/>
    <w:charset w:val="01"/>
    <w:family w:val="modern"/>
    <w:pitch w:val="default"/>
    <w:sig w:usb0="E0002AFF" w:usb1="C0007843" w:usb2="00000009" w:usb3="00000000" w:csb0="400001FF" w:csb1="FFFF0000"/>
    <w:embedRegular r:id="rId3" w:fontKey="{B3B78F21-31FE-433D-A259-39EB5F73EEF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10673CB9-4A49-4E8D-9136-A2751CE6C1ED}"/>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embedRegular r:id="rId5" w:fontKey="{DBBBED7A-6249-4E04-A11A-468C04794B3E}"/>
  </w:font>
  <w:font w:name="仿宋">
    <w:panose1 w:val="02010609060101010101"/>
    <w:charset w:val="86"/>
    <w:family w:val="modern"/>
    <w:pitch w:val="default"/>
    <w:sig w:usb0="800002BF" w:usb1="38CF7CFA" w:usb2="00000016" w:usb3="00000000" w:csb0="00040001" w:csb1="00000000"/>
    <w:embedRegular r:id="rId6" w:fontKey="{C04CDF00-01E3-4A0A-AE7B-A90BEB74E121}"/>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imes New Roman)">
    <w:altName w:val="微软雅黑"/>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宋体正文">
    <w:altName w:val="宋体"/>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embedRegular r:id="rId7" w:fontKey="{5C2E5CD0-8B18-43A5-A485-0D08F7BE861B}"/>
  </w:font>
  <w:font w:name="华文新魏">
    <w:panose1 w:val="02010800040101010101"/>
    <w:charset w:val="86"/>
    <w:family w:val="auto"/>
    <w:pitch w:val="default"/>
    <w:sig w:usb0="00000001" w:usb1="080F0000" w:usb2="00000000" w:usb3="00000000" w:csb0="00040000" w:csb1="00000000"/>
    <w:embedRegular r:id="rId8" w:fontKey="{391FCF9F-8403-47E4-8F17-0000EED46995}"/>
  </w:font>
  <w:font w:name="Wingdings 2">
    <w:panose1 w:val="05020102010507070707"/>
    <w:charset w:val="02"/>
    <w:family w:val="roman"/>
    <w:pitch w:val="default"/>
    <w:sig w:usb0="00000000" w:usb1="00000000" w:usb2="00000000" w:usb3="00000000" w:csb0="80000000" w:csb1="00000000"/>
    <w:embedRegular r:id="rId9" w:fontKey="{29451245-CA3D-491D-8076-3B132244CD15}"/>
  </w:font>
  <w:font w:name="ˎ̥">
    <w:altName w:val="Times New Roman"/>
    <w:panose1 w:val="00000000000000000000"/>
    <w:charset w:val="00"/>
    <w:family w:val="roman"/>
    <w:pitch w:val="default"/>
    <w:sig w:usb0="00000000" w:usb1="00000000" w:usb2="00000000" w:usb3="00000000" w:csb0="00040001" w:csb1="00000000"/>
    <w:embedRegular r:id="rId10" w:fontKey="{8836DC1D-565C-4D72-B069-4A2EBB0A8FF9}"/>
  </w:font>
  <w:font w:name="楷体_GB2312">
    <w:altName w:val="楷体"/>
    <w:panose1 w:val="02010609030101010101"/>
    <w:charset w:val="86"/>
    <w:family w:val="modern"/>
    <w:pitch w:val="default"/>
    <w:sig w:usb0="00000000" w:usb1="00000000" w:usb2="00000010" w:usb3="00000000" w:csb0="00040000" w:csb1="00000000"/>
    <w:embedRegular r:id="rId11" w:fontKey="{BC5DBC38-D363-48A1-992E-D44DCFCC72CC}"/>
  </w:font>
  <w:font w:name="楷体">
    <w:panose1 w:val="02010609060101010101"/>
    <w:charset w:val="86"/>
    <w:family w:val="auto"/>
    <w:pitch w:val="default"/>
    <w:sig w:usb0="800002BF" w:usb1="38CF7CFA" w:usb2="00000016" w:usb3="00000000" w:csb0="00040001" w:csb1="00000000"/>
  </w:font>
  <w:font w:name="WPSEMBED14">
    <w:panose1 w:val="02010800040101010101"/>
    <w:charset w:val="86"/>
    <w:family w:val="auto"/>
    <w:pitch w:val="default"/>
    <w:sig w:usb0="00000001" w:usb1="080F0000" w:usb2="00000000" w:usb3="00000000" w:csb0="00040000" w:csb1="00000000"/>
  </w:font>
  <w:font w:name="MS PGothic">
    <w:panose1 w:val="020B0600070205080204"/>
    <w:charset w:val="80"/>
    <w:family w:val="auto"/>
    <w:pitch w:val="default"/>
    <w:sig w:usb0="E00002FF" w:usb1="6AC7FDFB" w:usb2="00000012" w:usb3="00000000" w:csb0="4002009F" w:csb1="DFD70000"/>
  </w:font>
  <w:font w:name="WPSEMBED15">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DE9A0">
    <w:pPr>
      <w:pStyle w:val="2"/>
      <w:tabs>
        <w:tab w:val="center" w:pos="4439"/>
        <w:tab w:val="clear" w:pos="4153"/>
      </w:tabs>
      <w:jc w:val="both"/>
    </w:pPr>
  </w:p>
  <w:p w14:paraId="43086E66">
    <w:pPr>
      <w:pStyle w:val="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ECA0D">
    <w:pPr>
      <w:spacing w:line="1" w:lineRule="exact"/>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ge">
                <wp:posOffset>9999345</wp:posOffset>
              </wp:positionV>
              <wp:extent cx="304800" cy="7937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304800" cy="79375"/>
                      </a:xfrm>
                      <a:prstGeom prst="rect">
                        <a:avLst/>
                      </a:prstGeom>
                      <a:noFill/>
                      <a:ln>
                        <a:noFill/>
                      </a:ln>
                      <a:effectLst/>
                    </wps:spPr>
                    <wps:txbx>
                      <w:txbxContent>
                        <w:p w14:paraId="433508A8">
                          <w:pPr>
                            <w:pStyle w:val="188"/>
                            <w:jc w:val="left"/>
                          </w:pPr>
                          <w:r>
                            <w:rPr>
                              <w:rFonts w:ascii="宋体" w:hAnsi="宋体" w:cs="宋体"/>
                            </w:rPr>
                            <w:t>・</w:t>
                          </w:r>
                          <w:r>
                            <w:fldChar w:fldCharType="begin"/>
                          </w:r>
                          <w:r>
                            <w:instrText xml:space="preserve"> PAGE \* MERGEFORMAT </w:instrText>
                          </w:r>
                          <w:r>
                            <w:fldChar w:fldCharType="separate"/>
                          </w:r>
                          <w:r>
                            <w:t>174</w:t>
                          </w:r>
                          <w:r>
                            <w:fldChar w:fldCharType="end"/>
                          </w:r>
                          <w:r>
                            <w:rPr>
                              <w:rFonts w:ascii="宋体" w:hAnsi="宋体" w:cs="宋体"/>
                            </w:rPr>
                            <w:t>・</w:t>
                          </w:r>
                        </w:p>
                      </w:txbxContent>
                    </wps:txbx>
                    <wps:bodyPr wrap="none" lIns="0" tIns="0" rIns="0" bIns="0">
                      <a:spAutoFit/>
                    </wps:bodyPr>
                  </wps:wsp>
                </a:graphicData>
              </a:graphic>
            </wp:anchor>
          </w:drawing>
        </mc:Choice>
        <mc:Fallback>
          <w:pict>
            <v:shape id="_x0000_s1026" o:spid="_x0000_s1026" o:spt="202" type="#_x0000_t202" style="position:absolute;left:0pt;margin-top:787.35pt;height:6.25pt;width:24pt;mso-position-horizontal:center;mso-position-horizontal-relative:margin;mso-position-vertical-relative:page;mso-wrap-style:none;z-index:251664384;mso-width-relative:page;mso-height-relative:page;" filled="f" stroked="f" coordsize="21600,21600" o:gfxdata="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b9r9DdQAAAAJAQAADwAAAAAAAAABACAAAAAiAAAAZHJzL2Rv&#10;d25yZXYueG1sUEsBAhQAFAAAAAgAh07iQJglpzHMAQAAmgMAAA4AAAAAAAAAAQAgAAAAIwEAAGRy&#10;cy9lMm9Eb2MueG1sUEsFBgAAAAAGAAYAWQEAAGEFAAAAAA==&#10;">
              <v:fill on="f" focussize="0,0"/>
              <v:stroke on="f"/>
              <v:imagedata o:title=""/>
              <o:lock v:ext="edit" aspectratio="f"/>
              <v:textbox inset="0mm,0mm,0mm,0mm" style="mso-fit-shape-to-text:t;">
                <w:txbxContent>
                  <w:p w14:paraId="433508A8">
                    <w:pPr>
                      <w:pStyle w:val="188"/>
                      <w:jc w:val="left"/>
                    </w:pPr>
                    <w:r>
                      <w:rPr>
                        <w:rFonts w:ascii="宋体" w:hAnsi="宋体" w:cs="宋体"/>
                      </w:rPr>
                      <w:t>・</w:t>
                    </w:r>
                    <w:r>
                      <w:fldChar w:fldCharType="begin"/>
                    </w:r>
                    <w:r>
                      <w:instrText xml:space="preserve"> PAGE \* MERGEFORMAT </w:instrText>
                    </w:r>
                    <w:r>
                      <w:fldChar w:fldCharType="separate"/>
                    </w:r>
                    <w:r>
                      <w:t>174</w:t>
                    </w:r>
                    <w:r>
                      <w:fldChar w:fldCharType="end"/>
                    </w:r>
                    <w:r>
                      <w:rPr>
                        <w:rFonts w:ascii="宋体" w:hAnsi="宋体" w:cs="宋体"/>
                      </w:rPr>
                      <w:t>・</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8FB17">
    <w:pPr>
      <w:spacing w:line="1" w:lineRule="exact"/>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4CC317">
                          <w:pPr>
                            <w:pStyle w:val="2"/>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A4CC317">
                    <w:pPr>
                      <w:pStyle w:val="2"/>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12DF7">
    <w:pPr>
      <w:spacing w:line="1" w:lineRule="exact"/>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ge">
                <wp:posOffset>9999345</wp:posOffset>
              </wp:positionV>
              <wp:extent cx="304800" cy="79375"/>
              <wp:effectExtent l="0" t="0" r="0" b="0"/>
              <wp:wrapNone/>
              <wp:docPr id="381" name="文本框 381"/>
              <wp:cNvGraphicFramePr/>
              <a:graphic xmlns:a="http://schemas.openxmlformats.org/drawingml/2006/main">
                <a:graphicData uri="http://schemas.microsoft.com/office/word/2010/wordprocessingShape">
                  <wps:wsp>
                    <wps:cNvSpPr txBox="1"/>
                    <wps:spPr>
                      <a:xfrm>
                        <a:off x="0" y="0"/>
                        <a:ext cx="304800" cy="79375"/>
                      </a:xfrm>
                      <a:prstGeom prst="rect">
                        <a:avLst/>
                      </a:prstGeom>
                      <a:noFill/>
                      <a:ln>
                        <a:noFill/>
                      </a:ln>
                      <a:effectLst/>
                    </wps:spPr>
                    <wps:txbx>
                      <w:txbxContent>
                        <w:p w14:paraId="3BBAD19A">
                          <w:pPr>
                            <w:pStyle w:val="188"/>
                            <w:jc w:val="left"/>
                          </w:pPr>
                          <w:r>
                            <w:rPr>
                              <w:rFonts w:ascii="宋体" w:hAnsi="宋体" w:cs="宋体"/>
                            </w:rPr>
                            <w:t>・</w:t>
                          </w:r>
                          <w:r>
                            <w:fldChar w:fldCharType="begin"/>
                          </w:r>
                          <w:r>
                            <w:instrText xml:space="preserve"> PAGE \* MERGEFORMAT </w:instrText>
                          </w:r>
                          <w:r>
                            <w:fldChar w:fldCharType="separate"/>
                          </w:r>
                          <w:r>
                            <w:t>178</w:t>
                          </w:r>
                          <w:r>
                            <w:fldChar w:fldCharType="end"/>
                          </w:r>
                          <w:r>
                            <w:rPr>
                              <w:rFonts w:ascii="宋体" w:hAnsi="宋体" w:cs="宋体"/>
                            </w:rPr>
                            <w:t>・</w:t>
                          </w:r>
                        </w:p>
                      </w:txbxContent>
                    </wps:txbx>
                    <wps:bodyPr wrap="none" lIns="0" tIns="0" rIns="0" bIns="0">
                      <a:spAutoFit/>
                    </wps:bodyPr>
                  </wps:wsp>
                </a:graphicData>
              </a:graphic>
            </wp:anchor>
          </w:drawing>
        </mc:Choice>
        <mc:Fallback>
          <w:pict>
            <v:shape id="_x0000_s1026" o:spid="_x0000_s1026" o:spt="202" type="#_x0000_t202" style="position:absolute;left:0pt;margin-top:787.35pt;height:6.25pt;width:24pt;mso-position-horizontal:center;mso-position-horizontal-relative:margin;mso-position-vertical-relative:page;mso-wrap-style:none;z-index:251663360;mso-width-relative:page;mso-height-relative:page;" filled="f" stroked="f" coordsize="21600,21600" o:gfxdata="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a/Q3UAAAACQEAAA8AAAAAAAAAAQAgAAAAIgAAAGRycy9k&#10;b3ducmV2LnhtbFBLAQIUABQAAAAIAIdO4kCT1gY4zQEAAJwDAAAOAAAAAAAAAAEAIAAAACMBAABk&#10;cnMvZTJvRG9jLnhtbFBLBQYAAAAABgAGAFkBAABiBQAAAAA=&#10;">
              <v:fill on="f" focussize="0,0"/>
              <v:stroke on="f"/>
              <v:imagedata o:title=""/>
              <o:lock v:ext="edit" aspectratio="f"/>
              <v:textbox inset="0mm,0mm,0mm,0mm" style="mso-fit-shape-to-text:t;">
                <w:txbxContent>
                  <w:p w14:paraId="3BBAD19A">
                    <w:pPr>
                      <w:pStyle w:val="188"/>
                      <w:jc w:val="left"/>
                    </w:pPr>
                    <w:r>
                      <w:rPr>
                        <w:rFonts w:ascii="宋体" w:hAnsi="宋体" w:cs="宋体"/>
                      </w:rPr>
                      <w:t>・</w:t>
                    </w:r>
                    <w:r>
                      <w:fldChar w:fldCharType="begin"/>
                    </w:r>
                    <w:r>
                      <w:instrText xml:space="preserve"> PAGE \* MERGEFORMAT </w:instrText>
                    </w:r>
                    <w:r>
                      <w:fldChar w:fldCharType="separate"/>
                    </w:r>
                    <w:r>
                      <w:t>178</w:t>
                    </w:r>
                    <w:r>
                      <w:fldChar w:fldCharType="end"/>
                    </w:r>
                    <w:r>
                      <w:rPr>
                        <w:rFonts w:ascii="宋体" w:hAnsi="宋体" w:cs="宋体"/>
                      </w:rPr>
                      <w:t>・</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07A85">
    <w:pPr>
      <w:pStyle w:val="2"/>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5D79E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4C5D79E6">
                    <w:pPr>
                      <w:pStyle w:val="2"/>
                    </w:pPr>
                    <w:r>
                      <w:fldChar w:fldCharType="begin"/>
                    </w:r>
                    <w:r>
                      <w:instrText xml:space="preserve"> PAGE  \* MERGEFORMAT </w:instrText>
                    </w:r>
                    <w:r>
                      <w:fldChar w:fldCharType="separate"/>
                    </w:r>
                    <w:r>
                      <w:t>1</w:t>
                    </w:r>
                    <w:r>
                      <w:fldChar w:fldCharType="end"/>
                    </w:r>
                  </w:p>
                </w:txbxContent>
              </v:textbox>
            </v:shape>
          </w:pict>
        </mc:Fallback>
      </mc:AlternateContent>
    </w:r>
  </w:p>
  <w:p w14:paraId="7509095E">
    <w:pPr>
      <w:pStyle w:val="2"/>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4F6EC">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0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3DF00E">
                          <w:pPr>
                            <w:pStyle w:val="2"/>
                          </w:pPr>
                          <w:r>
                            <w:fldChar w:fldCharType="begin"/>
                          </w:r>
                          <w:r>
                            <w:instrText xml:space="preserve"> PAGE  \* MERGEFORMAT </w:instrText>
                          </w:r>
                          <w:r>
                            <w:fldChar w:fldCharType="separate"/>
                          </w:r>
                          <w:r>
                            <w:t>117</w:t>
                          </w:r>
                          <w:r>
                            <w:fldChar w:fldCharType="end"/>
                          </w:r>
                        </w:p>
                      </w:txbxContent>
                    </wps:txbx>
                    <wps:bodyPr wrap="none" lIns="0" tIns="0" rIns="0" bIns="0" upright="1">
                      <a:spAutoFit/>
                    </wps:bodyPr>
                  </wps:wsp>
                </a:graphicData>
              </a:graphic>
            </wp:anchor>
          </w:drawing>
        </mc:Choice>
        <mc:Fallback>
          <w:pict>
            <v:shape id="文本框 307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C9OT2PLAQAAnAMAAA4AAAAAAAAAAQAgAAAAHgEAAGRycy9lMm9E&#10;b2MueG1sUEsFBgAAAAAGAAYAWQEAAFsFAAAAAA==&#10;">
              <v:fill on="f" focussize="0,0"/>
              <v:stroke on="f"/>
              <v:imagedata o:title=""/>
              <o:lock v:ext="edit" aspectratio="f"/>
              <v:textbox inset="0mm,0mm,0mm,0mm" style="mso-fit-shape-to-text:t;">
                <w:txbxContent>
                  <w:p w14:paraId="4F3DF00E">
                    <w:pPr>
                      <w:pStyle w:val="2"/>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3D252">
    <w:pPr>
      <w:pStyle w:val="2"/>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0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6665A6"/>
                      </w:txbxContent>
                    </wps:txbx>
                    <wps:bodyPr wrap="none" lIns="0" tIns="0" rIns="0" bIns="0" upright="1">
                      <a:spAutoFit/>
                    </wps:bodyPr>
                  </wps:wsp>
                </a:graphicData>
              </a:graphic>
            </wp:anchor>
          </w:drawing>
        </mc:Choice>
        <mc:Fallback>
          <w:pict>
            <v:shape id="文本框 307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EbwHjLAQAAnAMAAA4AAAAAAAAAAQAgAAAAHgEAAGRycy9lMm9E&#10;b2MueG1sUEsFBgAAAAAGAAYAWQEAAFsFAAAAAA==&#10;">
              <v:fill on="f" focussize="0,0"/>
              <v:stroke on="f"/>
              <v:imagedata o:title=""/>
              <o:lock v:ext="edit" aspectratio="f"/>
              <v:textbox inset="0mm,0mm,0mm,0mm" style="mso-fit-shape-to-text:t;">
                <w:txbxContent>
                  <w:p w14:paraId="7B6665A6"/>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4B296">
    <w:pPr>
      <w:pStyle w:val="2"/>
      <w:tabs>
        <w:tab w:val="center" w:pos="4439"/>
        <w:tab w:val="clear" w:pos="4153"/>
      </w:tabs>
      <w:jc w:val="both"/>
    </w:pPr>
  </w:p>
  <w:p w14:paraId="29D41483">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44E1F">
    <w:pPr>
      <w:pStyle w:val="2"/>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0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0763BA"/>
                      </w:txbxContent>
                    </wps:txbx>
                    <wps:bodyPr wrap="none" lIns="0" tIns="0" rIns="0" bIns="0" upright="1">
                      <a:spAutoFit/>
                    </wps:bodyPr>
                  </wps:wsp>
                </a:graphicData>
              </a:graphic>
            </wp:anchor>
          </w:drawing>
        </mc:Choice>
        <mc:Fallback>
          <w:pict>
            <v:shape id="文本框 307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05XlUzAEAAJwDAAAOAAAAAAAAAAEAIAAAAB4BAABkcnMvZTJv&#10;RG9jLnhtbFBLBQYAAAAABgAGAFkBAABcBQAAAAA=&#10;">
              <v:fill on="f" focussize="0,0"/>
              <v:stroke on="f"/>
              <v:imagedata o:title=""/>
              <o:lock v:ext="edit" aspectratio="f"/>
              <v:textbox inset="0mm,0mm,0mm,0mm" style="mso-fit-shape-to-text:t;">
                <w:txbxContent>
                  <w:p w14:paraId="700763BA"/>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7DB42">
    <w:pPr>
      <w:spacing w:line="1" w:lineRule="exact"/>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4C9583">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F4C9583">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699E8">
    <w:pPr>
      <w:spacing w:line="1" w:lineRule="exact"/>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ge">
                <wp:posOffset>9999345</wp:posOffset>
              </wp:positionV>
              <wp:extent cx="304800" cy="79375"/>
              <wp:effectExtent l="0" t="0" r="0" b="0"/>
              <wp:wrapNone/>
              <wp:docPr id="9" name="文本框 9"/>
              <wp:cNvGraphicFramePr/>
              <a:graphic xmlns:a="http://schemas.openxmlformats.org/drawingml/2006/main">
                <a:graphicData uri="http://schemas.microsoft.com/office/word/2010/wordprocessingShape">
                  <wps:wsp>
                    <wps:cNvSpPr txBox="1"/>
                    <wps:spPr>
                      <a:xfrm>
                        <a:off x="0" y="0"/>
                        <a:ext cx="304800" cy="79375"/>
                      </a:xfrm>
                      <a:prstGeom prst="rect">
                        <a:avLst/>
                      </a:prstGeom>
                      <a:noFill/>
                      <a:ln>
                        <a:noFill/>
                      </a:ln>
                      <a:effectLst/>
                    </wps:spPr>
                    <wps:txbx>
                      <w:txbxContent>
                        <w:p w14:paraId="6E59FC37">
                          <w:pPr>
                            <w:pStyle w:val="188"/>
                            <w:jc w:val="left"/>
                          </w:pPr>
                          <w:r>
                            <w:rPr>
                              <w:rFonts w:ascii="宋体" w:hAnsi="宋体" w:cs="宋体"/>
                            </w:rPr>
                            <w:t>・</w:t>
                          </w:r>
                          <w:r>
                            <w:fldChar w:fldCharType="begin"/>
                          </w:r>
                          <w:r>
                            <w:instrText xml:space="preserve"> PAGE \* MERGEFORMAT </w:instrText>
                          </w:r>
                          <w:r>
                            <w:fldChar w:fldCharType="separate"/>
                          </w:r>
                          <w:r>
                            <w:t>174</w:t>
                          </w:r>
                          <w:r>
                            <w:fldChar w:fldCharType="end"/>
                          </w:r>
                          <w:r>
                            <w:rPr>
                              <w:rFonts w:ascii="宋体" w:hAnsi="宋体" w:cs="宋体"/>
                            </w:rPr>
                            <w:t>・</w:t>
                          </w:r>
                        </w:p>
                      </w:txbxContent>
                    </wps:txbx>
                    <wps:bodyPr wrap="none" lIns="0" tIns="0" rIns="0" bIns="0">
                      <a:spAutoFit/>
                    </wps:bodyPr>
                  </wps:wsp>
                </a:graphicData>
              </a:graphic>
            </wp:anchor>
          </w:drawing>
        </mc:Choice>
        <mc:Fallback>
          <w:pict>
            <v:shape id="_x0000_s1026" o:spid="_x0000_s1026" o:spt="202" type="#_x0000_t202" style="position:absolute;left:0pt;margin-top:787.35pt;height:6.25pt;width:24pt;mso-position-horizontal:center;mso-position-horizontal-relative:margin;mso-position-vertical-relative:page;mso-wrap-style:none;z-index:251666432;mso-width-relative:page;mso-height-relative:page;" filled="f" stroked="f" coordsize="21600,21600" o:gfxdata="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b9r9DdQAAAAJAQAADwAAAAAAAAABACAAAAAiAAAAZHJzL2Rv&#10;d25yZXYueG1sUEsBAhQAFAAAAAgAh07iQM3maOvMAQAAmAMAAA4AAAAAAAAAAQAgAAAAIwEAAGRy&#10;cy9lMm9Eb2MueG1sUEsFBgAAAAAGAAYAWQEAAGEFAAAAAA==&#10;">
              <v:fill on="f" focussize="0,0"/>
              <v:stroke on="f"/>
              <v:imagedata o:title=""/>
              <o:lock v:ext="edit" aspectratio="f"/>
              <v:textbox inset="0mm,0mm,0mm,0mm" style="mso-fit-shape-to-text:t;">
                <w:txbxContent>
                  <w:p w14:paraId="6E59FC37">
                    <w:pPr>
                      <w:pStyle w:val="188"/>
                      <w:jc w:val="left"/>
                    </w:pPr>
                    <w:r>
                      <w:rPr>
                        <w:rFonts w:ascii="宋体" w:hAnsi="宋体" w:cs="宋体"/>
                      </w:rPr>
                      <w:t>・</w:t>
                    </w:r>
                    <w:r>
                      <w:fldChar w:fldCharType="begin"/>
                    </w:r>
                    <w:r>
                      <w:instrText xml:space="preserve"> PAGE \* MERGEFORMAT </w:instrText>
                    </w:r>
                    <w:r>
                      <w:fldChar w:fldCharType="separate"/>
                    </w:r>
                    <w:r>
                      <w:t>174</w:t>
                    </w:r>
                    <w:r>
                      <w:fldChar w:fldCharType="end"/>
                    </w:r>
                    <w:r>
                      <w:rPr>
                        <w:rFonts w:ascii="宋体" w:hAnsi="宋体" w:cs="宋体"/>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FA1C2">
    <w:pPr>
      <w:spacing w:line="1" w:lineRule="exact"/>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3F4ACD">
                          <w:pPr>
                            <w:pStyle w:val="2"/>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73F4ACD">
                    <w:pPr>
                      <w:pStyle w:val="2"/>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8BB02">
    <w:pPr>
      <w:spacing w:line="1" w:lineRule="exact"/>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ge">
                <wp:posOffset>9999345</wp:posOffset>
              </wp:positionV>
              <wp:extent cx="304800" cy="7937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304800" cy="79375"/>
                      </a:xfrm>
                      <a:prstGeom prst="rect">
                        <a:avLst/>
                      </a:prstGeom>
                      <a:noFill/>
                      <a:ln>
                        <a:noFill/>
                      </a:ln>
                      <a:effectLst/>
                    </wps:spPr>
                    <wps:txbx>
                      <w:txbxContent>
                        <w:p w14:paraId="2E14BB54">
                          <w:pPr>
                            <w:pStyle w:val="188"/>
                            <w:jc w:val="left"/>
                          </w:pPr>
                          <w:r>
                            <w:rPr>
                              <w:rFonts w:ascii="宋体" w:hAnsi="宋体" w:cs="宋体"/>
                            </w:rPr>
                            <w:t>・</w:t>
                          </w:r>
                          <w:r>
                            <w:fldChar w:fldCharType="begin"/>
                          </w:r>
                          <w:r>
                            <w:instrText xml:space="preserve"> PAGE \* MERGEFORMAT </w:instrText>
                          </w:r>
                          <w:r>
                            <w:fldChar w:fldCharType="separate"/>
                          </w:r>
                          <w:r>
                            <w:t>174</w:t>
                          </w:r>
                          <w:r>
                            <w:fldChar w:fldCharType="end"/>
                          </w:r>
                          <w:r>
                            <w:rPr>
                              <w:rFonts w:ascii="宋体" w:hAnsi="宋体" w:cs="宋体"/>
                            </w:rPr>
                            <w:t>・</w:t>
                          </w:r>
                        </w:p>
                      </w:txbxContent>
                    </wps:txbx>
                    <wps:bodyPr wrap="none" lIns="0" tIns="0" rIns="0" bIns="0">
                      <a:spAutoFit/>
                    </wps:bodyPr>
                  </wps:wsp>
                </a:graphicData>
              </a:graphic>
            </wp:anchor>
          </w:drawing>
        </mc:Choice>
        <mc:Fallback>
          <w:pict>
            <v:shape id="_x0000_s1026" o:spid="_x0000_s1026" o:spt="202" type="#_x0000_t202" style="position:absolute;left:0pt;margin-top:787.35pt;height:6.25pt;width:24pt;mso-position-horizontal:center;mso-position-horizontal-relative:margin;mso-position-vertical-relative:page;mso-wrap-style:none;z-index:251665408;mso-width-relative:page;mso-height-relative:page;" filled="f" stroked="f" coordsize="21600,21600" o:gfxdata="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b9r9DdQAAAAJAQAADwAAAAAAAAABACAAAAAiAAAAZHJzL2Rv&#10;d25yZXYueG1sUEsBAhQAFAAAAAgAh07iQElFxxLMAQAAmgMAAA4AAAAAAAAAAQAgAAAAIwEAAGRy&#10;cy9lMm9Eb2MueG1sUEsFBgAAAAAGAAYAWQEAAGEFAAAAAA==&#10;">
              <v:fill on="f" focussize="0,0"/>
              <v:stroke on="f"/>
              <v:imagedata o:title=""/>
              <o:lock v:ext="edit" aspectratio="f"/>
              <v:textbox inset="0mm,0mm,0mm,0mm" style="mso-fit-shape-to-text:t;">
                <w:txbxContent>
                  <w:p w14:paraId="2E14BB54">
                    <w:pPr>
                      <w:pStyle w:val="188"/>
                      <w:jc w:val="left"/>
                    </w:pPr>
                    <w:r>
                      <w:rPr>
                        <w:rFonts w:ascii="宋体" w:hAnsi="宋体" w:cs="宋体"/>
                      </w:rPr>
                      <w:t>・</w:t>
                    </w:r>
                    <w:r>
                      <w:fldChar w:fldCharType="begin"/>
                    </w:r>
                    <w:r>
                      <w:instrText xml:space="preserve"> PAGE \* MERGEFORMAT </w:instrText>
                    </w:r>
                    <w:r>
                      <w:fldChar w:fldCharType="separate"/>
                    </w:r>
                    <w:r>
                      <w:t>174</w:t>
                    </w:r>
                    <w:r>
                      <w:fldChar w:fldCharType="end"/>
                    </w:r>
                    <w:r>
                      <w:rPr>
                        <w:rFonts w:ascii="宋体" w:hAnsi="宋体" w:cs="宋体"/>
                      </w:rPr>
                      <w:t>・</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66C72">
    <w:pPr>
      <w:spacing w:line="1" w:lineRule="exact"/>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CFA813">
                          <w:pPr>
                            <w:pStyle w:val="2"/>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DCFA813">
                    <w:pPr>
                      <w:pStyle w:val="2"/>
                    </w:pPr>
                    <w:r>
                      <w:fldChar w:fldCharType="begin"/>
                    </w:r>
                    <w:r>
                      <w:instrText xml:space="preserve"> PAGE  \* MERGEFORMAT </w:instrText>
                    </w:r>
                    <w:r>
                      <w:fldChar w:fldCharType="separate"/>
                    </w:r>
                    <w:r>
                      <w:t>63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3A4A1">
    <w:pPr>
      <w:pStyle w:val="30"/>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B1E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A8F3A">
    <w:pPr>
      <w:pStyle w:val="3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4F31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7741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D347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70C38"/>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C70E5"/>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7CFAD"/>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8213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4499CC"/>
    <w:multiLevelType w:val="singleLevel"/>
    <w:tmpl w:val="324499CC"/>
    <w:lvl w:ilvl="0" w:tentative="0">
      <w:start w:val="2"/>
      <w:numFmt w:val="decimal"/>
      <w:suff w:val="nothing"/>
      <w:lvlText w:val="（%1）"/>
      <w:lvlJc w:val="left"/>
    </w:lvl>
  </w:abstractNum>
  <w:abstractNum w:abstractNumId="1">
    <w:nsid w:val="3C3F6902"/>
    <w:multiLevelType w:val="singleLevel"/>
    <w:tmpl w:val="3C3F6902"/>
    <w:lvl w:ilvl="0" w:tentative="0">
      <w:start w:val="2"/>
      <w:numFmt w:val="decimal"/>
      <w:suff w:val="nothing"/>
      <w:lvlText w:val="（%1）"/>
      <w:lvlJc w:val="left"/>
    </w:lvl>
  </w:abstractNum>
  <w:abstractNum w:abstractNumId="2">
    <w:nsid w:val="408860E8"/>
    <w:multiLevelType w:val="singleLevel"/>
    <w:tmpl w:val="408860E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3">
    <w:nsid w:val="5498E193"/>
    <w:multiLevelType w:val="singleLevel"/>
    <w:tmpl w:val="5498E193"/>
    <w:lvl w:ilvl="0" w:tentative="0">
      <w:start w:val="11"/>
      <w:numFmt w:val="decimal"/>
      <w:suff w:val="space"/>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lY2U2ZDZiZGE4ZjQ2YjFkZTAwM2I5NTlkOTUwMjgifQ=="/>
  </w:docVars>
  <w:rsids>
    <w:rsidRoot w:val="00F34B14"/>
    <w:rsid w:val="000002E0"/>
    <w:rsid w:val="00000672"/>
    <w:rsid w:val="00000C53"/>
    <w:rsid w:val="00000E69"/>
    <w:rsid w:val="00000FD7"/>
    <w:rsid w:val="00001013"/>
    <w:rsid w:val="00001245"/>
    <w:rsid w:val="00001799"/>
    <w:rsid w:val="00001AF2"/>
    <w:rsid w:val="00001CA1"/>
    <w:rsid w:val="00001ECA"/>
    <w:rsid w:val="00002480"/>
    <w:rsid w:val="00002D29"/>
    <w:rsid w:val="0000347E"/>
    <w:rsid w:val="00003B93"/>
    <w:rsid w:val="0000474D"/>
    <w:rsid w:val="0000529E"/>
    <w:rsid w:val="000057F8"/>
    <w:rsid w:val="00005FDF"/>
    <w:rsid w:val="0000644A"/>
    <w:rsid w:val="00006D8A"/>
    <w:rsid w:val="00007081"/>
    <w:rsid w:val="000070B3"/>
    <w:rsid w:val="000076B8"/>
    <w:rsid w:val="00007AE6"/>
    <w:rsid w:val="0001010E"/>
    <w:rsid w:val="000109DC"/>
    <w:rsid w:val="00010D39"/>
    <w:rsid w:val="0001172C"/>
    <w:rsid w:val="00011BC9"/>
    <w:rsid w:val="00012854"/>
    <w:rsid w:val="00012D72"/>
    <w:rsid w:val="00012EA6"/>
    <w:rsid w:val="00013359"/>
    <w:rsid w:val="000139CF"/>
    <w:rsid w:val="00013AA4"/>
    <w:rsid w:val="00013DFE"/>
    <w:rsid w:val="000141EA"/>
    <w:rsid w:val="00015111"/>
    <w:rsid w:val="000151DB"/>
    <w:rsid w:val="00015239"/>
    <w:rsid w:val="00015C28"/>
    <w:rsid w:val="000163AB"/>
    <w:rsid w:val="0001657F"/>
    <w:rsid w:val="00016ABC"/>
    <w:rsid w:val="00016C68"/>
    <w:rsid w:val="000177DB"/>
    <w:rsid w:val="000179C9"/>
    <w:rsid w:val="00017CCC"/>
    <w:rsid w:val="00020227"/>
    <w:rsid w:val="00020263"/>
    <w:rsid w:val="000202AC"/>
    <w:rsid w:val="00020455"/>
    <w:rsid w:val="00020813"/>
    <w:rsid w:val="00020A9E"/>
    <w:rsid w:val="00020C36"/>
    <w:rsid w:val="000215D0"/>
    <w:rsid w:val="00021F52"/>
    <w:rsid w:val="00021FCF"/>
    <w:rsid w:val="000220B2"/>
    <w:rsid w:val="0002264C"/>
    <w:rsid w:val="00022731"/>
    <w:rsid w:val="00022792"/>
    <w:rsid w:val="00023287"/>
    <w:rsid w:val="00023A6D"/>
    <w:rsid w:val="00024292"/>
    <w:rsid w:val="00024463"/>
    <w:rsid w:val="00025461"/>
    <w:rsid w:val="00025636"/>
    <w:rsid w:val="00025E36"/>
    <w:rsid w:val="000260F7"/>
    <w:rsid w:val="000260FF"/>
    <w:rsid w:val="00026855"/>
    <w:rsid w:val="00026886"/>
    <w:rsid w:val="000273DE"/>
    <w:rsid w:val="0002754F"/>
    <w:rsid w:val="0002785D"/>
    <w:rsid w:val="00030544"/>
    <w:rsid w:val="000307BE"/>
    <w:rsid w:val="000321AB"/>
    <w:rsid w:val="00032633"/>
    <w:rsid w:val="000329E0"/>
    <w:rsid w:val="00033086"/>
    <w:rsid w:val="000336D0"/>
    <w:rsid w:val="000351A2"/>
    <w:rsid w:val="000352E9"/>
    <w:rsid w:val="00035494"/>
    <w:rsid w:val="00035ECF"/>
    <w:rsid w:val="00036125"/>
    <w:rsid w:val="00036A07"/>
    <w:rsid w:val="0003780B"/>
    <w:rsid w:val="00037C41"/>
    <w:rsid w:val="00040571"/>
    <w:rsid w:val="00040973"/>
    <w:rsid w:val="0004156E"/>
    <w:rsid w:val="00041713"/>
    <w:rsid w:val="0004212E"/>
    <w:rsid w:val="00042A19"/>
    <w:rsid w:val="00042B32"/>
    <w:rsid w:val="00042EE8"/>
    <w:rsid w:val="000434FD"/>
    <w:rsid w:val="000439AA"/>
    <w:rsid w:val="0004440C"/>
    <w:rsid w:val="00046B5E"/>
    <w:rsid w:val="000470CB"/>
    <w:rsid w:val="000479D5"/>
    <w:rsid w:val="000501AA"/>
    <w:rsid w:val="000504A6"/>
    <w:rsid w:val="000506DE"/>
    <w:rsid w:val="000509D9"/>
    <w:rsid w:val="00051006"/>
    <w:rsid w:val="00051165"/>
    <w:rsid w:val="000512AF"/>
    <w:rsid w:val="000516F3"/>
    <w:rsid w:val="00051ACB"/>
    <w:rsid w:val="00052E40"/>
    <w:rsid w:val="000533E7"/>
    <w:rsid w:val="00053B29"/>
    <w:rsid w:val="00054B4B"/>
    <w:rsid w:val="000550E8"/>
    <w:rsid w:val="00055519"/>
    <w:rsid w:val="00055D41"/>
    <w:rsid w:val="000560DE"/>
    <w:rsid w:val="00056EF6"/>
    <w:rsid w:val="000575CF"/>
    <w:rsid w:val="00057CD6"/>
    <w:rsid w:val="00060D7F"/>
    <w:rsid w:val="00060DCE"/>
    <w:rsid w:val="000610E3"/>
    <w:rsid w:val="00061143"/>
    <w:rsid w:val="000614F3"/>
    <w:rsid w:val="00061A1B"/>
    <w:rsid w:val="00061EB4"/>
    <w:rsid w:val="000623B4"/>
    <w:rsid w:val="00062405"/>
    <w:rsid w:val="00062EC2"/>
    <w:rsid w:val="0006347E"/>
    <w:rsid w:val="000634A7"/>
    <w:rsid w:val="00063B0B"/>
    <w:rsid w:val="00063F81"/>
    <w:rsid w:val="00064847"/>
    <w:rsid w:val="00065E08"/>
    <w:rsid w:val="00065E2D"/>
    <w:rsid w:val="00066AD9"/>
    <w:rsid w:val="00066D2E"/>
    <w:rsid w:val="000673E2"/>
    <w:rsid w:val="00067EF1"/>
    <w:rsid w:val="00070378"/>
    <w:rsid w:val="0007037E"/>
    <w:rsid w:val="0007063F"/>
    <w:rsid w:val="000707FD"/>
    <w:rsid w:val="00070949"/>
    <w:rsid w:val="00070C0E"/>
    <w:rsid w:val="000711E4"/>
    <w:rsid w:val="00071E9B"/>
    <w:rsid w:val="000720A1"/>
    <w:rsid w:val="000724D9"/>
    <w:rsid w:val="00072AED"/>
    <w:rsid w:val="00073F47"/>
    <w:rsid w:val="0007492F"/>
    <w:rsid w:val="00074B5B"/>
    <w:rsid w:val="00074BC7"/>
    <w:rsid w:val="00074ED8"/>
    <w:rsid w:val="00075B7E"/>
    <w:rsid w:val="00076852"/>
    <w:rsid w:val="00076D70"/>
    <w:rsid w:val="00077ACA"/>
    <w:rsid w:val="00077C70"/>
    <w:rsid w:val="00080C87"/>
    <w:rsid w:val="00080CFB"/>
    <w:rsid w:val="000813B5"/>
    <w:rsid w:val="000813E7"/>
    <w:rsid w:val="0008191E"/>
    <w:rsid w:val="00081BA3"/>
    <w:rsid w:val="00081D2E"/>
    <w:rsid w:val="00081F89"/>
    <w:rsid w:val="00082619"/>
    <w:rsid w:val="00082D02"/>
    <w:rsid w:val="0008381A"/>
    <w:rsid w:val="00083871"/>
    <w:rsid w:val="00083B91"/>
    <w:rsid w:val="0008473C"/>
    <w:rsid w:val="00084E4F"/>
    <w:rsid w:val="00085193"/>
    <w:rsid w:val="0008520B"/>
    <w:rsid w:val="0008527B"/>
    <w:rsid w:val="000857DE"/>
    <w:rsid w:val="000860BD"/>
    <w:rsid w:val="000871B8"/>
    <w:rsid w:val="00087B0A"/>
    <w:rsid w:val="00090339"/>
    <w:rsid w:val="00091373"/>
    <w:rsid w:val="000916DA"/>
    <w:rsid w:val="00091AAB"/>
    <w:rsid w:val="00092442"/>
    <w:rsid w:val="000929EF"/>
    <w:rsid w:val="00092C26"/>
    <w:rsid w:val="00092EC0"/>
    <w:rsid w:val="000933BE"/>
    <w:rsid w:val="00094428"/>
    <w:rsid w:val="000944FC"/>
    <w:rsid w:val="00094F71"/>
    <w:rsid w:val="0009560F"/>
    <w:rsid w:val="0009588E"/>
    <w:rsid w:val="000959ED"/>
    <w:rsid w:val="000959EE"/>
    <w:rsid w:val="00096C2E"/>
    <w:rsid w:val="00096DB9"/>
    <w:rsid w:val="00097183"/>
    <w:rsid w:val="000972CB"/>
    <w:rsid w:val="00097608"/>
    <w:rsid w:val="000A0928"/>
    <w:rsid w:val="000A0B86"/>
    <w:rsid w:val="000A0DFC"/>
    <w:rsid w:val="000A0F35"/>
    <w:rsid w:val="000A1175"/>
    <w:rsid w:val="000A13F3"/>
    <w:rsid w:val="000A165B"/>
    <w:rsid w:val="000A1963"/>
    <w:rsid w:val="000A1C18"/>
    <w:rsid w:val="000A23B1"/>
    <w:rsid w:val="000A2818"/>
    <w:rsid w:val="000A2B0E"/>
    <w:rsid w:val="000A2D1D"/>
    <w:rsid w:val="000A3095"/>
    <w:rsid w:val="000A392D"/>
    <w:rsid w:val="000A398F"/>
    <w:rsid w:val="000A448C"/>
    <w:rsid w:val="000A4E26"/>
    <w:rsid w:val="000A509C"/>
    <w:rsid w:val="000A545A"/>
    <w:rsid w:val="000A54A7"/>
    <w:rsid w:val="000A5A17"/>
    <w:rsid w:val="000A5CC8"/>
    <w:rsid w:val="000A6007"/>
    <w:rsid w:val="000A6564"/>
    <w:rsid w:val="000A65A6"/>
    <w:rsid w:val="000A69C2"/>
    <w:rsid w:val="000A70E3"/>
    <w:rsid w:val="000A7275"/>
    <w:rsid w:val="000A7408"/>
    <w:rsid w:val="000A7A12"/>
    <w:rsid w:val="000A7A72"/>
    <w:rsid w:val="000A7DE5"/>
    <w:rsid w:val="000A7EEA"/>
    <w:rsid w:val="000B0FE0"/>
    <w:rsid w:val="000B1202"/>
    <w:rsid w:val="000B12FF"/>
    <w:rsid w:val="000B1801"/>
    <w:rsid w:val="000B187E"/>
    <w:rsid w:val="000B1D0C"/>
    <w:rsid w:val="000B2273"/>
    <w:rsid w:val="000B2563"/>
    <w:rsid w:val="000B2BC6"/>
    <w:rsid w:val="000B2D03"/>
    <w:rsid w:val="000B37F2"/>
    <w:rsid w:val="000B3815"/>
    <w:rsid w:val="000B3C7B"/>
    <w:rsid w:val="000B3E68"/>
    <w:rsid w:val="000B4321"/>
    <w:rsid w:val="000B544A"/>
    <w:rsid w:val="000B5CCB"/>
    <w:rsid w:val="000B5F6B"/>
    <w:rsid w:val="000B613A"/>
    <w:rsid w:val="000B6A6B"/>
    <w:rsid w:val="000B6C95"/>
    <w:rsid w:val="000B6F80"/>
    <w:rsid w:val="000B79FC"/>
    <w:rsid w:val="000B7E0A"/>
    <w:rsid w:val="000C0CF9"/>
    <w:rsid w:val="000C144E"/>
    <w:rsid w:val="000C1679"/>
    <w:rsid w:val="000C190E"/>
    <w:rsid w:val="000C1953"/>
    <w:rsid w:val="000C1BFE"/>
    <w:rsid w:val="000C1EE3"/>
    <w:rsid w:val="000C35D0"/>
    <w:rsid w:val="000C3AE5"/>
    <w:rsid w:val="000C3AE7"/>
    <w:rsid w:val="000C3CC9"/>
    <w:rsid w:val="000C3DBC"/>
    <w:rsid w:val="000C5823"/>
    <w:rsid w:val="000C59C6"/>
    <w:rsid w:val="000C67C7"/>
    <w:rsid w:val="000C6DE4"/>
    <w:rsid w:val="000C7202"/>
    <w:rsid w:val="000C7432"/>
    <w:rsid w:val="000C7926"/>
    <w:rsid w:val="000C7FC6"/>
    <w:rsid w:val="000D0A89"/>
    <w:rsid w:val="000D10F1"/>
    <w:rsid w:val="000D1389"/>
    <w:rsid w:val="000D1798"/>
    <w:rsid w:val="000D2626"/>
    <w:rsid w:val="000D264F"/>
    <w:rsid w:val="000D285A"/>
    <w:rsid w:val="000D2CD3"/>
    <w:rsid w:val="000D4016"/>
    <w:rsid w:val="000D411D"/>
    <w:rsid w:val="000D4589"/>
    <w:rsid w:val="000D4809"/>
    <w:rsid w:val="000D4FB6"/>
    <w:rsid w:val="000D5304"/>
    <w:rsid w:val="000D5C29"/>
    <w:rsid w:val="000D6C31"/>
    <w:rsid w:val="000D6F6B"/>
    <w:rsid w:val="000D73DD"/>
    <w:rsid w:val="000D7761"/>
    <w:rsid w:val="000E02E8"/>
    <w:rsid w:val="000E0C67"/>
    <w:rsid w:val="000E1C38"/>
    <w:rsid w:val="000E1C51"/>
    <w:rsid w:val="000E1CD0"/>
    <w:rsid w:val="000E1D3E"/>
    <w:rsid w:val="000E230A"/>
    <w:rsid w:val="000E28AB"/>
    <w:rsid w:val="000E2E3E"/>
    <w:rsid w:val="000E3583"/>
    <w:rsid w:val="000E3AF0"/>
    <w:rsid w:val="000E43EC"/>
    <w:rsid w:val="000E450F"/>
    <w:rsid w:val="000E4DC7"/>
    <w:rsid w:val="000E4E04"/>
    <w:rsid w:val="000E592E"/>
    <w:rsid w:val="000E5CCD"/>
    <w:rsid w:val="000E5D63"/>
    <w:rsid w:val="000E693B"/>
    <w:rsid w:val="000E6D5C"/>
    <w:rsid w:val="000E6DBC"/>
    <w:rsid w:val="000E6EC9"/>
    <w:rsid w:val="000E70B4"/>
    <w:rsid w:val="000E7B62"/>
    <w:rsid w:val="000E7EDC"/>
    <w:rsid w:val="000F0149"/>
    <w:rsid w:val="000F085D"/>
    <w:rsid w:val="000F0E1E"/>
    <w:rsid w:val="000F1129"/>
    <w:rsid w:val="000F1A1B"/>
    <w:rsid w:val="000F285F"/>
    <w:rsid w:val="000F2A95"/>
    <w:rsid w:val="000F2BB7"/>
    <w:rsid w:val="000F324A"/>
    <w:rsid w:val="000F3281"/>
    <w:rsid w:val="000F32FD"/>
    <w:rsid w:val="000F3733"/>
    <w:rsid w:val="000F3F1F"/>
    <w:rsid w:val="000F5B2B"/>
    <w:rsid w:val="000F5F8B"/>
    <w:rsid w:val="000F6153"/>
    <w:rsid w:val="000F649D"/>
    <w:rsid w:val="000F64AA"/>
    <w:rsid w:val="000F6C7B"/>
    <w:rsid w:val="000F7055"/>
    <w:rsid w:val="000F73AD"/>
    <w:rsid w:val="000F7AF4"/>
    <w:rsid w:val="000F7C33"/>
    <w:rsid w:val="000F7F0C"/>
    <w:rsid w:val="001004D6"/>
    <w:rsid w:val="0010176A"/>
    <w:rsid w:val="00101A30"/>
    <w:rsid w:val="00101D1B"/>
    <w:rsid w:val="00101E8E"/>
    <w:rsid w:val="00102676"/>
    <w:rsid w:val="00103646"/>
    <w:rsid w:val="00103918"/>
    <w:rsid w:val="00104897"/>
    <w:rsid w:val="00104EDE"/>
    <w:rsid w:val="00104F54"/>
    <w:rsid w:val="00105992"/>
    <w:rsid w:val="00105CDA"/>
    <w:rsid w:val="00105F97"/>
    <w:rsid w:val="00106BEE"/>
    <w:rsid w:val="0010711C"/>
    <w:rsid w:val="00107368"/>
    <w:rsid w:val="0010775D"/>
    <w:rsid w:val="001078E7"/>
    <w:rsid w:val="00107BDF"/>
    <w:rsid w:val="00107C74"/>
    <w:rsid w:val="0011091C"/>
    <w:rsid w:val="00111266"/>
    <w:rsid w:val="001112EB"/>
    <w:rsid w:val="00111FD1"/>
    <w:rsid w:val="00111FD7"/>
    <w:rsid w:val="0011220E"/>
    <w:rsid w:val="0011247D"/>
    <w:rsid w:val="0011351F"/>
    <w:rsid w:val="00113678"/>
    <w:rsid w:val="00113A7D"/>
    <w:rsid w:val="00113C3E"/>
    <w:rsid w:val="001142A8"/>
    <w:rsid w:val="00115375"/>
    <w:rsid w:val="001157F8"/>
    <w:rsid w:val="001159A5"/>
    <w:rsid w:val="00115E11"/>
    <w:rsid w:val="00115EEE"/>
    <w:rsid w:val="00115F56"/>
    <w:rsid w:val="001164ED"/>
    <w:rsid w:val="00116872"/>
    <w:rsid w:val="00116AF3"/>
    <w:rsid w:val="00116CA9"/>
    <w:rsid w:val="00116F38"/>
    <w:rsid w:val="001170A4"/>
    <w:rsid w:val="00117987"/>
    <w:rsid w:val="00117AE7"/>
    <w:rsid w:val="00117B85"/>
    <w:rsid w:val="00117CBD"/>
    <w:rsid w:val="0012006A"/>
    <w:rsid w:val="001217E7"/>
    <w:rsid w:val="00121979"/>
    <w:rsid w:val="00122064"/>
    <w:rsid w:val="0012277A"/>
    <w:rsid w:val="0012301B"/>
    <w:rsid w:val="00123428"/>
    <w:rsid w:val="00124341"/>
    <w:rsid w:val="00124492"/>
    <w:rsid w:val="00124B12"/>
    <w:rsid w:val="001250A0"/>
    <w:rsid w:val="0012535C"/>
    <w:rsid w:val="001263B8"/>
    <w:rsid w:val="001273C1"/>
    <w:rsid w:val="00127B1A"/>
    <w:rsid w:val="00127E3E"/>
    <w:rsid w:val="00130217"/>
    <w:rsid w:val="00130641"/>
    <w:rsid w:val="00130783"/>
    <w:rsid w:val="00130A47"/>
    <w:rsid w:val="00130FB0"/>
    <w:rsid w:val="00132B47"/>
    <w:rsid w:val="00132DDA"/>
    <w:rsid w:val="001331F1"/>
    <w:rsid w:val="0013346C"/>
    <w:rsid w:val="00133768"/>
    <w:rsid w:val="001337F8"/>
    <w:rsid w:val="001341B2"/>
    <w:rsid w:val="001348B4"/>
    <w:rsid w:val="001349F4"/>
    <w:rsid w:val="00134B1F"/>
    <w:rsid w:val="0013506E"/>
    <w:rsid w:val="001351CB"/>
    <w:rsid w:val="00135530"/>
    <w:rsid w:val="00135947"/>
    <w:rsid w:val="001359A2"/>
    <w:rsid w:val="00135F92"/>
    <w:rsid w:val="00136020"/>
    <w:rsid w:val="00136445"/>
    <w:rsid w:val="00136965"/>
    <w:rsid w:val="00136A9C"/>
    <w:rsid w:val="00136EA0"/>
    <w:rsid w:val="00137389"/>
    <w:rsid w:val="00140132"/>
    <w:rsid w:val="00141455"/>
    <w:rsid w:val="0014190C"/>
    <w:rsid w:val="00141C9C"/>
    <w:rsid w:val="0014277F"/>
    <w:rsid w:val="00142AD2"/>
    <w:rsid w:val="001434BE"/>
    <w:rsid w:val="00143AAD"/>
    <w:rsid w:val="00144050"/>
    <w:rsid w:val="00144369"/>
    <w:rsid w:val="0014438A"/>
    <w:rsid w:val="00144398"/>
    <w:rsid w:val="0014479F"/>
    <w:rsid w:val="00144806"/>
    <w:rsid w:val="001452B4"/>
    <w:rsid w:val="00145320"/>
    <w:rsid w:val="00145A8E"/>
    <w:rsid w:val="00145B3E"/>
    <w:rsid w:val="0014685B"/>
    <w:rsid w:val="001476D3"/>
    <w:rsid w:val="00147999"/>
    <w:rsid w:val="00147D03"/>
    <w:rsid w:val="001505DA"/>
    <w:rsid w:val="001509CF"/>
    <w:rsid w:val="00150B99"/>
    <w:rsid w:val="00150D1D"/>
    <w:rsid w:val="0015119C"/>
    <w:rsid w:val="001525AA"/>
    <w:rsid w:val="00152A87"/>
    <w:rsid w:val="00152AC1"/>
    <w:rsid w:val="00153A84"/>
    <w:rsid w:val="00153BB5"/>
    <w:rsid w:val="00154518"/>
    <w:rsid w:val="0015567E"/>
    <w:rsid w:val="001556B8"/>
    <w:rsid w:val="00155944"/>
    <w:rsid w:val="00156320"/>
    <w:rsid w:val="00156359"/>
    <w:rsid w:val="00156DD6"/>
    <w:rsid w:val="00160238"/>
    <w:rsid w:val="0016086E"/>
    <w:rsid w:val="001609B9"/>
    <w:rsid w:val="00160D0C"/>
    <w:rsid w:val="00160DC9"/>
    <w:rsid w:val="00160DD1"/>
    <w:rsid w:val="00161172"/>
    <w:rsid w:val="00161998"/>
    <w:rsid w:val="00161E65"/>
    <w:rsid w:val="00161F0E"/>
    <w:rsid w:val="00162597"/>
    <w:rsid w:val="001629AF"/>
    <w:rsid w:val="001629FD"/>
    <w:rsid w:val="0016428A"/>
    <w:rsid w:val="001646D5"/>
    <w:rsid w:val="001647C9"/>
    <w:rsid w:val="00164C94"/>
    <w:rsid w:val="0016537E"/>
    <w:rsid w:val="00165627"/>
    <w:rsid w:val="001661A3"/>
    <w:rsid w:val="00166AD5"/>
    <w:rsid w:val="00166E81"/>
    <w:rsid w:val="00167226"/>
    <w:rsid w:val="0016782B"/>
    <w:rsid w:val="0016784D"/>
    <w:rsid w:val="00167853"/>
    <w:rsid w:val="00167887"/>
    <w:rsid w:val="00167AE7"/>
    <w:rsid w:val="00167CAA"/>
    <w:rsid w:val="00170613"/>
    <w:rsid w:val="00170F0C"/>
    <w:rsid w:val="00171319"/>
    <w:rsid w:val="0017131A"/>
    <w:rsid w:val="00171B8F"/>
    <w:rsid w:val="001721F8"/>
    <w:rsid w:val="0017267A"/>
    <w:rsid w:val="00172CA8"/>
    <w:rsid w:val="00173256"/>
    <w:rsid w:val="00173B0E"/>
    <w:rsid w:val="00173D86"/>
    <w:rsid w:val="00173E03"/>
    <w:rsid w:val="0017405A"/>
    <w:rsid w:val="001741C9"/>
    <w:rsid w:val="0017461E"/>
    <w:rsid w:val="00174704"/>
    <w:rsid w:val="0017512C"/>
    <w:rsid w:val="001756AF"/>
    <w:rsid w:val="0017586A"/>
    <w:rsid w:val="00175BA6"/>
    <w:rsid w:val="00175C6F"/>
    <w:rsid w:val="00176CA7"/>
    <w:rsid w:val="00176D0C"/>
    <w:rsid w:val="00176F8E"/>
    <w:rsid w:val="00177485"/>
    <w:rsid w:val="0017789A"/>
    <w:rsid w:val="001778C5"/>
    <w:rsid w:val="00177C07"/>
    <w:rsid w:val="00177E56"/>
    <w:rsid w:val="00177F0A"/>
    <w:rsid w:val="0018090D"/>
    <w:rsid w:val="00180DA0"/>
    <w:rsid w:val="00181813"/>
    <w:rsid w:val="00181EAD"/>
    <w:rsid w:val="00182862"/>
    <w:rsid w:val="00184F57"/>
    <w:rsid w:val="00185091"/>
    <w:rsid w:val="00185544"/>
    <w:rsid w:val="001855B2"/>
    <w:rsid w:val="00185617"/>
    <w:rsid w:val="00186FE1"/>
    <w:rsid w:val="00187A14"/>
    <w:rsid w:val="00190D50"/>
    <w:rsid w:val="00190E7C"/>
    <w:rsid w:val="00191177"/>
    <w:rsid w:val="001911A5"/>
    <w:rsid w:val="0019171E"/>
    <w:rsid w:val="00192368"/>
    <w:rsid w:val="001923A0"/>
    <w:rsid w:val="001924F9"/>
    <w:rsid w:val="0019270F"/>
    <w:rsid w:val="001928B1"/>
    <w:rsid w:val="00192C38"/>
    <w:rsid w:val="00192CA1"/>
    <w:rsid w:val="00193537"/>
    <w:rsid w:val="00193808"/>
    <w:rsid w:val="00193846"/>
    <w:rsid w:val="00193F6A"/>
    <w:rsid w:val="00195117"/>
    <w:rsid w:val="00195424"/>
    <w:rsid w:val="001955FF"/>
    <w:rsid w:val="001972F8"/>
    <w:rsid w:val="00197EDD"/>
    <w:rsid w:val="001A02B3"/>
    <w:rsid w:val="001A04BB"/>
    <w:rsid w:val="001A06CC"/>
    <w:rsid w:val="001A0889"/>
    <w:rsid w:val="001A08D0"/>
    <w:rsid w:val="001A17B2"/>
    <w:rsid w:val="001A18EA"/>
    <w:rsid w:val="001A1B39"/>
    <w:rsid w:val="001A1D4A"/>
    <w:rsid w:val="001A2120"/>
    <w:rsid w:val="001A21DD"/>
    <w:rsid w:val="001A28C6"/>
    <w:rsid w:val="001A2E69"/>
    <w:rsid w:val="001A3C34"/>
    <w:rsid w:val="001A3EDE"/>
    <w:rsid w:val="001A41CD"/>
    <w:rsid w:val="001A4222"/>
    <w:rsid w:val="001A4235"/>
    <w:rsid w:val="001A43BE"/>
    <w:rsid w:val="001A48B2"/>
    <w:rsid w:val="001A4CFA"/>
    <w:rsid w:val="001A50EA"/>
    <w:rsid w:val="001A55A9"/>
    <w:rsid w:val="001A5BAA"/>
    <w:rsid w:val="001A5E24"/>
    <w:rsid w:val="001A661D"/>
    <w:rsid w:val="001A6795"/>
    <w:rsid w:val="001A6B27"/>
    <w:rsid w:val="001A6D8B"/>
    <w:rsid w:val="001A6DAA"/>
    <w:rsid w:val="001A7717"/>
    <w:rsid w:val="001A793A"/>
    <w:rsid w:val="001B035E"/>
    <w:rsid w:val="001B0464"/>
    <w:rsid w:val="001B125A"/>
    <w:rsid w:val="001B1EBA"/>
    <w:rsid w:val="001B2142"/>
    <w:rsid w:val="001B2F2B"/>
    <w:rsid w:val="001B31C2"/>
    <w:rsid w:val="001B327A"/>
    <w:rsid w:val="001B3379"/>
    <w:rsid w:val="001B35DE"/>
    <w:rsid w:val="001B3A13"/>
    <w:rsid w:val="001B3F5C"/>
    <w:rsid w:val="001B57C9"/>
    <w:rsid w:val="001B59FF"/>
    <w:rsid w:val="001B5D13"/>
    <w:rsid w:val="001B6512"/>
    <w:rsid w:val="001B65D7"/>
    <w:rsid w:val="001B6752"/>
    <w:rsid w:val="001B6768"/>
    <w:rsid w:val="001B6B39"/>
    <w:rsid w:val="001B6F1F"/>
    <w:rsid w:val="001B7ECC"/>
    <w:rsid w:val="001C025B"/>
    <w:rsid w:val="001C059D"/>
    <w:rsid w:val="001C0DD4"/>
    <w:rsid w:val="001C115F"/>
    <w:rsid w:val="001C1B1C"/>
    <w:rsid w:val="001C1DED"/>
    <w:rsid w:val="001C1EAB"/>
    <w:rsid w:val="001C25A7"/>
    <w:rsid w:val="001C2775"/>
    <w:rsid w:val="001C2895"/>
    <w:rsid w:val="001C2A1D"/>
    <w:rsid w:val="001C2CC7"/>
    <w:rsid w:val="001C318C"/>
    <w:rsid w:val="001C35C4"/>
    <w:rsid w:val="001C4287"/>
    <w:rsid w:val="001C4479"/>
    <w:rsid w:val="001C4F79"/>
    <w:rsid w:val="001C5190"/>
    <w:rsid w:val="001C5951"/>
    <w:rsid w:val="001C5A1F"/>
    <w:rsid w:val="001C6081"/>
    <w:rsid w:val="001C7284"/>
    <w:rsid w:val="001C73EB"/>
    <w:rsid w:val="001C7781"/>
    <w:rsid w:val="001C7B48"/>
    <w:rsid w:val="001D0CFB"/>
    <w:rsid w:val="001D108A"/>
    <w:rsid w:val="001D16C5"/>
    <w:rsid w:val="001D1A0D"/>
    <w:rsid w:val="001D1DD1"/>
    <w:rsid w:val="001D22CB"/>
    <w:rsid w:val="001D23DA"/>
    <w:rsid w:val="001D266C"/>
    <w:rsid w:val="001D267C"/>
    <w:rsid w:val="001D2AB8"/>
    <w:rsid w:val="001D2F77"/>
    <w:rsid w:val="001D343C"/>
    <w:rsid w:val="001D56E2"/>
    <w:rsid w:val="001D58A1"/>
    <w:rsid w:val="001D58C2"/>
    <w:rsid w:val="001D5A8A"/>
    <w:rsid w:val="001D5B64"/>
    <w:rsid w:val="001D61CA"/>
    <w:rsid w:val="001D6210"/>
    <w:rsid w:val="001D62C9"/>
    <w:rsid w:val="001D654A"/>
    <w:rsid w:val="001D6E87"/>
    <w:rsid w:val="001D735E"/>
    <w:rsid w:val="001D73C8"/>
    <w:rsid w:val="001D7BC6"/>
    <w:rsid w:val="001D7CA4"/>
    <w:rsid w:val="001E0C72"/>
    <w:rsid w:val="001E129E"/>
    <w:rsid w:val="001E175C"/>
    <w:rsid w:val="001E1B0E"/>
    <w:rsid w:val="001E2A86"/>
    <w:rsid w:val="001E308A"/>
    <w:rsid w:val="001E38EC"/>
    <w:rsid w:val="001E3B63"/>
    <w:rsid w:val="001E4996"/>
    <w:rsid w:val="001E57B2"/>
    <w:rsid w:val="001E5A94"/>
    <w:rsid w:val="001E5CBB"/>
    <w:rsid w:val="001E5CDC"/>
    <w:rsid w:val="001E6B4B"/>
    <w:rsid w:val="001E6CE9"/>
    <w:rsid w:val="001F13FD"/>
    <w:rsid w:val="001F2A2E"/>
    <w:rsid w:val="001F3180"/>
    <w:rsid w:val="001F3356"/>
    <w:rsid w:val="001F3A99"/>
    <w:rsid w:val="001F3C63"/>
    <w:rsid w:val="001F3CBC"/>
    <w:rsid w:val="001F4141"/>
    <w:rsid w:val="001F4460"/>
    <w:rsid w:val="001F4833"/>
    <w:rsid w:val="001F5869"/>
    <w:rsid w:val="001F61A6"/>
    <w:rsid w:val="001F6398"/>
    <w:rsid w:val="001F6C96"/>
    <w:rsid w:val="001F711A"/>
    <w:rsid w:val="001F75B0"/>
    <w:rsid w:val="001F7CBE"/>
    <w:rsid w:val="0020057C"/>
    <w:rsid w:val="0020083C"/>
    <w:rsid w:val="00200CE5"/>
    <w:rsid w:val="00200F7C"/>
    <w:rsid w:val="002014DB"/>
    <w:rsid w:val="0020150B"/>
    <w:rsid w:val="00201815"/>
    <w:rsid w:val="00201D51"/>
    <w:rsid w:val="00201E12"/>
    <w:rsid w:val="00202295"/>
    <w:rsid w:val="002033B5"/>
    <w:rsid w:val="0020382C"/>
    <w:rsid w:val="0020390A"/>
    <w:rsid w:val="00203EDF"/>
    <w:rsid w:val="002042E9"/>
    <w:rsid w:val="0020437A"/>
    <w:rsid w:val="0020454C"/>
    <w:rsid w:val="00204740"/>
    <w:rsid w:val="00204942"/>
    <w:rsid w:val="00204A7B"/>
    <w:rsid w:val="00204C12"/>
    <w:rsid w:val="00205129"/>
    <w:rsid w:val="0020521F"/>
    <w:rsid w:val="0020532C"/>
    <w:rsid w:val="002065D6"/>
    <w:rsid w:val="00206AE8"/>
    <w:rsid w:val="002114C7"/>
    <w:rsid w:val="00211A7B"/>
    <w:rsid w:val="0021302C"/>
    <w:rsid w:val="002131AF"/>
    <w:rsid w:val="002139F1"/>
    <w:rsid w:val="00213B18"/>
    <w:rsid w:val="00213B1C"/>
    <w:rsid w:val="00213F1E"/>
    <w:rsid w:val="00214202"/>
    <w:rsid w:val="00214530"/>
    <w:rsid w:val="002148E3"/>
    <w:rsid w:val="002148E5"/>
    <w:rsid w:val="00214C1A"/>
    <w:rsid w:val="0021552D"/>
    <w:rsid w:val="002156AE"/>
    <w:rsid w:val="0021577B"/>
    <w:rsid w:val="00215DC7"/>
    <w:rsid w:val="00215E99"/>
    <w:rsid w:val="00217B07"/>
    <w:rsid w:val="00217C26"/>
    <w:rsid w:val="00220043"/>
    <w:rsid w:val="0022054D"/>
    <w:rsid w:val="0022107B"/>
    <w:rsid w:val="00221AFB"/>
    <w:rsid w:val="002223EB"/>
    <w:rsid w:val="002238DD"/>
    <w:rsid w:val="00223DDB"/>
    <w:rsid w:val="00223FA4"/>
    <w:rsid w:val="00223FB0"/>
    <w:rsid w:val="0022405A"/>
    <w:rsid w:val="00224067"/>
    <w:rsid w:val="0022421C"/>
    <w:rsid w:val="0022454F"/>
    <w:rsid w:val="002249D1"/>
    <w:rsid w:val="00224C4A"/>
    <w:rsid w:val="00224E83"/>
    <w:rsid w:val="00225664"/>
    <w:rsid w:val="00225F84"/>
    <w:rsid w:val="0022663D"/>
    <w:rsid w:val="00226995"/>
    <w:rsid w:val="0022755B"/>
    <w:rsid w:val="00227669"/>
    <w:rsid w:val="00227682"/>
    <w:rsid w:val="002276BA"/>
    <w:rsid w:val="00227896"/>
    <w:rsid w:val="00227C56"/>
    <w:rsid w:val="00227F2D"/>
    <w:rsid w:val="00227F52"/>
    <w:rsid w:val="00230EA4"/>
    <w:rsid w:val="00231851"/>
    <w:rsid w:val="002319FB"/>
    <w:rsid w:val="00231B89"/>
    <w:rsid w:val="00231F11"/>
    <w:rsid w:val="00231F5E"/>
    <w:rsid w:val="00232E5E"/>
    <w:rsid w:val="00233395"/>
    <w:rsid w:val="002346B4"/>
    <w:rsid w:val="00234CD9"/>
    <w:rsid w:val="00234F6E"/>
    <w:rsid w:val="002351FA"/>
    <w:rsid w:val="002355BE"/>
    <w:rsid w:val="002358EA"/>
    <w:rsid w:val="0023609B"/>
    <w:rsid w:val="00236578"/>
    <w:rsid w:val="00236A10"/>
    <w:rsid w:val="00236DE9"/>
    <w:rsid w:val="00237342"/>
    <w:rsid w:val="00237D5A"/>
    <w:rsid w:val="002401BC"/>
    <w:rsid w:val="002407BA"/>
    <w:rsid w:val="00240922"/>
    <w:rsid w:val="00240D75"/>
    <w:rsid w:val="00240F92"/>
    <w:rsid w:val="00241288"/>
    <w:rsid w:val="002412E4"/>
    <w:rsid w:val="002415AE"/>
    <w:rsid w:val="00241B38"/>
    <w:rsid w:val="00241BC7"/>
    <w:rsid w:val="00241D3C"/>
    <w:rsid w:val="00242109"/>
    <w:rsid w:val="00242B6B"/>
    <w:rsid w:val="00242F31"/>
    <w:rsid w:val="00243189"/>
    <w:rsid w:val="002439AB"/>
    <w:rsid w:val="00243C19"/>
    <w:rsid w:val="00244308"/>
    <w:rsid w:val="002448E7"/>
    <w:rsid w:val="00244AE8"/>
    <w:rsid w:val="00244DC9"/>
    <w:rsid w:val="00244EF3"/>
    <w:rsid w:val="0024531F"/>
    <w:rsid w:val="00245587"/>
    <w:rsid w:val="00245F2B"/>
    <w:rsid w:val="002460E2"/>
    <w:rsid w:val="002466CD"/>
    <w:rsid w:val="0024729B"/>
    <w:rsid w:val="00247F3A"/>
    <w:rsid w:val="00250122"/>
    <w:rsid w:val="0025024D"/>
    <w:rsid w:val="00250755"/>
    <w:rsid w:val="00251043"/>
    <w:rsid w:val="00251C4A"/>
    <w:rsid w:val="0025271C"/>
    <w:rsid w:val="0025277A"/>
    <w:rsid w:val="002533CD"/>
    <w:rsid w:val="002535EA"/>
    <w:rsid w:val="00253645"/>
    <w:rsid w:val="00253A8A"/>
    <w:rsid w:val="00254EAB"/>
    <w:rsid w:val="00255794"/>
    <w:rsid w:val="002557AF"/>
    <w:rsid w:val="0025589C"/>
    <w:rsid w:val="00255B62"/>
    <w:rsid w:val="002566B1"/>
    <w:rsid w:val="002575E3"/>
    <w:rsid w:val="00257A74"/>
    <w:rsid w:val="00257C5D"/>
    <w:rsid w:val="002603C1"/>
    <w:rsid w:val="002609A1"/>
    <w:rsid w:val="002612B1"/>
    <w:rsid w:val="00261997"/>
    <w:rsid w:val="00262B14"/>
    <w:rsid w:val="00264DF8"/>
    <w:rsid w:val="00265A12"/>
    <w:rsid w:val="00266165"/>
    <w:rsid w:val="00266A48"/>
    <w:rsid w:val="00266F2C"/>
    <w:rsid w:val="00267402"/>
    <w:rsid w:val="00267DAF"/>
    <w:rsid w:val="00270122"/>
    <w:rsid w:val="00270632"/>
    <w:rsid w:val="00270744"/>
    <w:rsid w:val="00270B87"/>
    <w:rsid w:val="0027125E"/>
    <w:rsid w:val="00271767"/>
    <w:rsid w:val="00272263"/>
    <w:rsid w:val="00272293"/>
    <w:rsid w:val="002723C8"/>
    <w:rsid w:val="00273633"/>
    <w:rsid w:val="00273C2A"/>
    <w:rsid w:val="00273CBE"/>
    <w:rsid w:val="002746B1"/>
    <w:rsid w:val="00274BAD"/>
    <w:rsid w:val="0027614E"/>
    <w:rsid w:val="002763A3"/>
    <w:rsid w:val="00276EB8"/>
    <w:rsid w:val="00277099"/>
    <w:rsid w:val="002775A6"/>
    <w:rsid w:val="002776FA"/>
    <w:rsid w:val="00277786"/>
    <w:rsid w:val="00277F6B"/>
    <w:rsid w:val="002807B0"/>
    <w:rsid w:val="00281B9B"/>
    <w:rsid w:val="00282446"/>
    <w:rsid w:val="002826C2"/>
    <w:rsid w:val="0028282C"/>
    <w:rsid w:val="00282D56"/>
    <w:rsid w:val="002835B0"/>
    <w:rsid w:val="00283C74"/>
    <w:rsid w:val="0028407E"/>
    <w:rsid w:val="0028410F"/>
    <w:rsid w:val="00284572"/>
    <w:rsid w:val="002850AA"/>
    <w:rsid w:val="00285221"/>
    <w:rsid w:val="002857F2"/>
    <w:rsid w:val="00285AB7"/>
    <w:rsid w:val="00285B31"/>
    <w:rsid w:val="00286FB5"/>
    <w:rsid w:val="00287640"/>
    <w:rsid w:val="00287763"/>
    <w:rsid w:val="00290456"/>
    <w:rsid w:val="0029047D"/>
    <w:rsid w:val="00290606"/>
    <w:rsid w:val="002908D0"/>
    <w:rsid w:val="002909B2"/>
    <w:rsid w:val="00291263"/>
    <w:rsid w:val="00291D6D"/>
    <w:rsid w:val="00291E2B"/>
    <w:rsid w:val="00291FF1"/>
    <w:rsid w:val="00292AA2"/>
    <w:rsid w:val="00293361"/>
    <w:rsid w:val="00294F10"/>
    <w:rsid w:val="002952B1"/>
    <w:rsid w:val="002956E5"/>
    <w:rsid w:val="00295D11"/>
    <w:rsid w:val="0029667A"/>
    <w:rsid w:val="00296839"/>
    <w:rsid w:val="00296F09"/>
    <w:rsid w:val="00296FB6"/>
    <w:rsid w:val="0029724C"/>
    <w:rsid w:val="00297FC7"/>
    <w:rsid w:val="002A0001"/>
    <w:rsid w:val="002A036C"/>
    <w:rsid w:val="002A09CC"/>
    <w:rsid w:val="002A0BD9"/>
    <w:rsid w:val="002A0BDB"/>
    <w:rsid w:val="002A0C3A"/>
    <w:rsid w:val="002A0DF8"/>
    <w:rsid w:val="002A0E0A"/>
    <w:rsid w:val="002A0F1C"/>
    <w:rsid w:val="002A1130"/>
    <w:rsid w:val="002A1557"/>
    <w:rsid w:val="002A1880"/>
    <w:rsid w:val="002A23B7"/>
    <w:rsid w:val="002A3950"/>
    <w:rsid w:val="002A3A57"/>
    <w:rsid w:val="002A4320"/>
    <w:rsid w:val="002A46D4"/>
    <w:rsid w:val="002A4B4F"/>
    <w:rsid w:val="002A57A8"/>
    <w:rsid w:val="002A5D75"/>
    <w:rsid w:val="002A6DEF"/>
    <w:rsid w:val="002A739E"/>
    <w:rsid w:val="002A770B"/>
    <w:rsid w:val="002A7893"/>
    <w:rsid w:val="002B013E"/>
    <w:rsid w:val="002B058D"/>
    <w:rsid w:val="002B0C16"/>
    <w:rsid w:val="002B1420"/>
    <w:rsid w:val="002B1E01"/>
    <w:rsid w:val="002B1F54"/>
    <w:rsid w:val="002B21BF"/>
    <w:rsid w:val="002B2456"/>
    <w:rsid w:val="002B2AC5"/>
    <w:rsid w:val="002B3528"/>
    <w:rsid w:val="002B3539"/>
    <w:rsid w:val="002B427F"/>
    <w:rsid w:val="002B4395"/>
    <w:rsid w:val="002B4532"/>
    <w:rsid w:val="002B4C9E"/>
    <w:rsid w:val="002B4DD9"/>
    <w:rsid w:val="002B5042"/>
    <w:rsid w:val="002B57C3"/>
    <w:rsid w:val="002B5832"/>
    <w:rsid w:val="002B612E"/>
    <w:rsid w:val="002B69CC"/>
    <w:rsid w:val="002B6D71"/>
    <w:rsid w:val="002B773F"/>
    <w:rsid w:val="002B7DC4"/>
    <w:rsid w:val="002C0389"/>
    <w:rsid w:val="002C03AE"/>
    <w:rsid w:val="002C0C1C"/>
    <w:rsid w:val="002C10A7"/>
    <w:rsid w:val="002C1190"/>
    <w:rsid w:val="002C2CC9"/>
    <w:rsid w:val="002C34F1"/>
    <w:rsid w:val="002C41BF"/>
    <w:rsid w:val="002C4B7E"/>
    <w:rsid w:val="002C5023"/>
    <w:rsid w:val="002C5424"/>
    <w:rsid w:val="002C54C2"/>
    <w:rsid w:val="002C5D34"/>
    <w:rsid w:val="002C60BB"/>
    <w:rsid w:val="002C661A"/>
    <w:rsid w:val="002D06EE"/>
    <w:rsid w:val="002D073E"/>
    <w:rsid w:val="002D0A40"/>
    <w:rsid w:val="002D0D6F"/>
    <w:rsid w:val="002D1E81"/>
    <w:rsid w:val="002D253D"/>
    <w:rsid w:val="002D25FC"/>
    <w:rsid w:val="002D3E71"/>
    <w:rsid w:val="002D4AC6"/>
    <w:rsid w:val="002D59BF"/>
    <w:rsid w:val="002D5B5A"/>
    <w:rsid w:val="002D5BF5"/>
    <w:rsid w:val="002D5C5C"/>
    <w:rsid w:val="002D5EE8"/>
    <w:rsid w:val="002D63F6"/>
    <w:rsid w:val="002D7360"/>
    <w:rsid w:val="002D750C"/>
    <w:rsid w:val="002D7648"/>
    <w:rsid w:val="002D7C80"/>
    <w:rsid w:val="002E0FCE"/>
    <w:rsid w:val="002E109C"/>
    <w:rsid w:val="002E1334"/>
    <w:rsid w:val="002E13FA"/>
    <w:rsid w:val="002E193E"/>
    <w:rsid w:val="002E1A94"/>
    <w:rsid w:val="002E1D55"/>
    <w:rsid w:val="002E25FB"/>
    <w:rsid w:val="002E26C4"/>
    <w:rsid w:val="002E2734"/>
    <w:rsid w:val="002E2AA6"/>
    <w:rsid w:val="002E306A"/>
    <w:rsid w:val="002E30A5"/>
    <w:rsid w:val="002E34EA"/>
    <w:rsid w:val="002E3B96"/>
    <w:rsid w:val="002E4114"/>
    <w:rsid w:val="002E47E4"/>
    <w:rsid w:val="002E4BF9"/>
    <w:rsid w:val="002E4D61"/>
    <w:rsid w:val="002E5045"/>
    <w:rsid w:val="002E68A7"/>
    <w:rsid w:val="002E6E6C"/>
    <w:rsid w:val="002F016E"/>
    <w:rsid w:val="002F020D"/>
    <w:rsid w:val="002F03FD"/>
    <w:rsid w:val="002F0522"/>
    <w:rsid w:val="002F16DD"/>
    <w:rsid w:val="002F199D"/>
    <w:rsid w:val="002F213C"/>
    <w:rsid w:val="002F2453"/>
    <w:rsid w:val="002F2607"/>
    <w:rsid w:val="002F33D2"/>
    <w:rsid w:val="002F352D"/>
    <w:rsid w:val="002F381E"/>
    <w:rsid w:val="002F3C58"/>
    <w:rsid w:val="002F4084"/>
    <w:rsid w:val="002F4A08"/>
    <w:rsid w:val="002F4ADB"/>
    <w:rsid w:val="002F531E"/>
    <w:rsid w:val="002F548D"/>
    <w:rsid w:val="002F54FB"/>
    <w:rsid w:val="002F5ACC"/>
    <w:rsid w:val="002F66F9"/>
    <w:rsid w:val="002F6B6C"/>
    <w:rsid w:val="002F704B"/>
    <w:rsid w:val="002F72C3"/>
    <w:rsid w:val="002F768C"/>
    <w:rsid w:val="002F7D1E"/>
    <w:rsid w:val="002F7E89"/>
    <w:rsid w:val="00300201"/>
    <w:rsid w:val="0030025A"/>
    <w:rsid w:val="0030052F"/>
    <w:rsid w:val="00300A58"/>
    <w:rsid w:val="00300BF2"/>
    <w:rsid w:val="00302467"/>
    <w:rsid w:val="00302493"/>
    <w:rsid w:val="00302991"/>
    <w:rsid w:val="00302EFC"/>
    <w:rsid w:val="00303243"/>
    <w:rsid w:val="00303BCC"/>
    <w:rsid w:val="00303BEF"/>
    <w:rsid w:val="00303F2B"/>
    <w:rsid w:val="00303F8D"/>
    <w:rsid w:val="00304ACB"/>
    <w:rsid w:val="0030572D"/>
    <w:rsid w:val="0030586A"/>
    <w:rsid w:val="00305A5E"/>
    <w:rsid w:val="0030622D"/>
    <w:rsid w:val="00306811"/>
    <w:rsid w:val="00306F32"/>
    <w:rsid w:val="003074C5"/>
    <w:rsid w:val="00307A3C"/>
    <w:rsid w:val="00307FA4"/>
    <w:rsid w:val="00310178"/>
    <w:rsid w:val="00310290"/>
    <w:rsid w:val="003103B1"/>
    <w:rsid w:val="00310948"/>
    <w:rsid w:val="00310CC1"/>
    <w:rsid w:val="003118A8"/>
    <w:rsid w:val="00312504"/>
    <w:rsid w:val="00312B89"/>
    <w:rsid w:val="00313026"/>
    <w:rsid w:val="0031312C"/>
    <w:rsid w:val="00313913"/>
    <w:rsid w:val="00313DAA"/>
    <w:rsid w:val="0031421F"/>
    <w:rsid w:val="0031466A"/>
    <w:rsid w:val="00314B31"/>
    <w:rsid w:val="003151F4"/>
    <w:rsid w:val="00315569"/>
    <w:rsid w:val="00315A65"/>
    <w:rsid w:val="003165D7"/>
    <w:rsid w:val="0031666B"/>
    <w:rsid w:val="00316ABE"/>
    <w:rsid w:val="00317601"/>
    <w:rsid w:val="003179CC"/>
    <w:rsid w:val="00317BA7"/>
    <w:rsid w:val="00317EB1"/>
    <w:rsid w:val="003204AE"/>
    <w:rsid w:val="00320BE2"/>
    <w:rsid w:val="00321886"/>
    <w:rsid w:val="00321956"/>
    <w:rsid w:val="00321EDC"/>
    <w:rsid w:val="003226AC"/>
    <w:rsid w:val="003231DC"/>
    <w:rsid w:val="00323694"/>
    <w:rsid w:val="00323BE7"/>
    <w:rsid w:val="00324B26"/>
    <w:rsid w:val="00324C3A"/>
    <w:rsid w:val="00324D63"/>
    <w:rsid w:val="0032547C"/>
    <w:rsid w:val="003255AF"/>
    <w:rsid w:val="003256EB"/>
    <w:rsid w:val="003259DB"/>
    <w:rsid w:val="0032795B"/>
    <w:rsid w:val="003303CD"/>
    <w:rsid w:val="003307BE"/>
    <w:rsid w:val="003314D9"/>
    <w:rsid w:val="00331653"/>
    <w:rsid w:val="00331A48"/>
    <w:rsid w:val="00331BCC"/>
    <w:rsid w:val="00332311"/>
    <w:rsid w:val="003330C9"/>
    <w:rsid w:val="0033364C"/>
    <w:rsid w:val="00334415"/>
    <w:rsid w:val="003345DA"/>
    <w:rsid w:val="00334972"/>
    <w:rsid w:val="00335C1B"/>
    <w:rsid w:val="00335EA1"/>
    <w:rsid w:val="0033691E"/>
    <w:rsid w:val="00336A6A"/>
    <w:rsid w:val="00336CCB"/>
    <w:rsid w:val="00340B4B"/>
    <w:rsid w:val="003411D1"/>
    <w:rsid w:val="003416BA"/>
    <w:rsid w:val="00342148"/>
    <w:rsid w:val="00342658"/>
    <w:rsid w:val="003427BE"/>
    <w:rsid w:val="00342F99"/>
    <w:rsid w:val="00343016"/>
    <w:rsid w:val="003432EE"/>
    <w:rsid w:val="00343749"/>
    <w:rsid w:val="00343AEA"/>
    <w:rsid w:val="003444BF"/>
    <w:rsid w:val="00344D99"/>
    <w:rsid w:val="0034575A"/>
    <w:rsid w:val="00345F1D"/>
    <w:rsid w:val="00345F57"/>
    <w:rsid w:val="003461A7"/>
    <w:rsid w:val="00346CC8"/>
    <w:rsid w:val="00350458"/>
    <w:rsid w:val="00350E6C"/>
    <w:rsid w:val="00350F55"/>
    <w:rsid w:val="0035153C"/>
    <w:rsid w:val="003518A6"/>
    <w:rsid w:val="00351E7F"/>
    <w:rsid w:val="00352953"/>
    <w:rsid w:val="00353D83"/>
    <w:rsid w:val="00353D91"/>
    <w:rsid w:val="00354062"/>
    <w:rsid w:val="0035459E"/>
    <w:rsid w:val="00354AE9"/>
    <w:rsid w:val="00355527"/>
    <w:rsid w:val="00355C0D"/>
    <w:rsid w:val="003560A6"/>
    <w:rsid w:val="003566A9"/>
    <w:rsid w:val="00356988"/>
    <w:rsid w:val="003569D3"/>
    <w:rsid w:val="00356CE9"/>
    <w:rsid w:val="003570BB"/>
    <w:rsid w:val="00357128"/>
    <w:rsid w:val="00357377"/>
    <w:rsid w:val="0035755E"/>
    <w:rsid w:val="00357A80"/>
    <w:rsid w:val="00360116"/>
    <w:rsid w:val="00361441"/>
    <w:rsid w:val="00361B8B"/>
    <w:rsid w:val="00363F39"/>
    <w:rsid w:val="003640FC"/>
    <w:rsid w:val="0036445C"/>
    <w:rsid w:val="00364627"/>
    <w:rsid w:val="00364AB0"/>
    <w:rsid w:val="00364B13"/>
    <w:rsid w:val="00364D71"/>
    <w:rsid w:val="00365D7A"/>
    <w:rsid w:val="003667B0"/>
    <w:rsid w:val="003667DD"/>
    <w:rsid w:val="00366B48"/>
    <w:rsid w:val="00366D71"/>
    <w:rsid w:val="003674FB"/>
    <w:rsid w:val="0036774D"/>
    <w:rsid w:val="00367764"/>
    <w:rsid w:val="003678D7"/>
    <w:rsid w:val="00370316"/>
    <w:rsid w:val="003704EC"/>
    <w:rsid w:val="00370DC7"/>
    <w:rsid w:val="003713D7"/>
    <w:rsid w:val="003714AC"/>
    <w:rsid w:val="00371CBD"/>
    <w:rsid w:val="00371F20"/>
    <w:rsid w:val="003721E3"/>
    <w:rsid w:val="00372B98"/>
    <w:rsid w:val="003732DC"/>
    <w:rsid w:val="003737B7"/>
    <w:rsid w:val="003740CC"/>
    <w:rsid w:val="003745F4"/>
    <w:rsid w:val="0037491A"/>
    <w:rsid w:val="00374E79"/>
    <w:rsid w:val="0037529A"/>
    <w:rsid w:val="00375388"/>
    <w:rsid w:val="00375496"/>
    <w:rsid w:val="00375559"/>
    <w:rsid w:val="00375FB9"/>
    <w:rsid w:val="00376170"/>
    <w:rsid w:val="003762F9"/>
    <w:rsid w:val="003766DE"/>
    <w:rsid w:val="00376851"/>
    <w:rsid w:val="00376FA2"/>
    <w:rsid w:val="00377133"/>
    <w:rsid w:val="00377A3B"/>
    <w:rsid w:val="00377B8B"/>
    <w:rsid w:val="00377E3C"/>
    <w:rsid w:val="00377F89"/>
    <w:rsid w:val="00380874"/>
    <w:rsid w:val="00380878"/>
    <w:rsid w:val="003809D4"/>
    <w:rsid w:val="00380BBE"/>
    <w:rsid w:val="00380EA3"/>
    <w:rsid w:val="00381243"/>
    <w:rsid w:val="00381B1B"/>
    <w:rsid w:val="00381D70"/>
    <w:rsid w:val="00382144"/>
    <w:rsid w:val="0038235E"/>
    <w:rsid w:val="0038260A"/>
    <w:rsid w:val="003826AC"/>
    <w:rsid w:val="003829D0"/>
    <w:rsid w:val="0038326A"/>
    <w:rsid w:val="0038444F"/>
    <w:rsid w:val="00384BB9"/>
    <w:rsid w:val="0038519A"/>
    <w:rsid w:val="003861F0"/>
    <w:rsid w:val="00386EE5"/>
    <w:rsid w:val="00387051"/>
    <w:rsid w:val="003876F0"/>
    <w:rsid w:val="00387ECF"/>
    <w:rsid w:val="003901EA"/>
    <w:rsid w:val="0039021B"/>
    <w:rsid w:val="00390353"/>
    <w:rsid w:val="00390429"/>
    <w:rsid w:val="003906A0"/>
    <w:rsid w:val="00390D91"/>
    <w:rsid w:val="00390DBB"/>
    <w:rsid w:val="00390F1A"/>
    <w:rsid w:val="00391413"/>
    <w:rsid w:val="00391A48"/>
    <w:rsid w:val="003923D5"/>
    <w:rsid w:val="00392AF4"/>
    <w:rsid w:val="00392D1F"/>
    <w:rsid w:val="00392D35"/>
    <w:rsid w:val="003931AF"/>
    <w:rsid w:val="0039338D"/>
    <w:rsid w:val="0039366C"/>
    <w:rsid w:val="00393C4C"/>
    <w:rsid w:val="00393EC8"/>
    <w:rsid w:val="00394EC7"/>
    <w:rsid w:val="003951CB"/>
    <w:rsid w:val="00395E42"/>
    <w:rsid w:val="00396409"/>
    <w:rsid w:val="00396A2D"/>
    <w:rsid w:val="00396FC3"/>
    <w:rsid w:val="003972F3"/>
    <w:rsid w:val="0039779B"/>
    <w:rsid w:val="003A0291"/>
    <w:rsid w:val="003A13E2"/>
    <w:rsid w:val="003A1431"/>
    <w:rsid w:val="003A1A94"/>
    <w:rsid w:val="003A1B38"/>
    <w:rsid w:val="003A1FF5"/>
    <w:rsid w:val="003A204E"/>
    <w:rsid w:val="003A2B19"/>
    <w:rsid w:val="003A2D25"/>
    <w:rsid w:val="003A2DB1"/>
    <w:rsid w:val="003A5101"/>
    <w:rsid w:val="003A5265"/>
    <w:rsid w:val="003A5715"/>
    <w:rsid w:val="003A5728"/>
    <w:rsid w:val="003A60E7"/>
    <w:rsid w:val="003A6AE2"/>
    <w:rsid w:val="003A7092"/>
    <w:rsid w:val="003A72A1"/>
    <w:rsid w:val="003A7302"/>
    <w:rsid w:val="003A7566"/>
    <w:rsid w:val="003A7611"/>
    <w:rsid w:val="003A7A46"/>
    <w:rsid w:val="003A7D1F"/>
    <w:rsid w:val="003B0A4E"/>
    <w:rsid w:val="003B0B6A"/>
    <w:rsid w:val="003B0C41"/>
    <w:rsid w:val="003B129D"/>
    <w:rsid w:val="003B1509"/>
    <w:rsid w:val="003B22F7"/>
    <w:rsid w:val="003B2518"/>
    <w:rsid w:val="003B29CF"/>
    <w:rsid w:val="003B2A86"/>
    <w:rsid w:val="003B3A90"/>
    <w:rsid w:val="003B3D01"/>
    <w:rsid w:val="003B4003"/>
    <w:rsid w:val="003B455A"/>
    <w:rsid w:val="003B534F"/>
    <w:rsid w:val="003B6C60"/>
    <w:rsid w:val="003B7A79"/>
    <w:rsid w:val="003C0FE1"/>
    <w:rsid w:val="003C1016"/>
    <w:rsid w:val="003C151A"/>
    <w:rsid w:val="003C17F0"/>
    <w:rsid w:val="003C1D27"/>
    <w:rsid w:val="003C2A23"/>
    <w:rsid w:val="003C33A0"/>
    <w:rsid w:val="003C350C"/>
    <w:rsid w:val="003C3733"/>
    <w:rsid w:val="003C3903"/>
    <w:rsid w:val="003C3BA0"/>
    <w:rsid w:val="003C4580"/>
    <w:rsid w:val="003C51C0"/>
    <w:rsid w:val="003C553C"/>
    <w:rsid w:val="003C5C5E"/>
    <w:rsid w:val="003C65C0"/>
    <w:rsid w:val="003C65D3"/>
    <w:rsid w:val="003C6692"/>
    <w:rsid w:val="003C6746"/>
    <w:rsid w:val="003C7555"/>
    <w:rsid w:val="003C7898"/>
    <w:rsid w:val="003C7A17"/>
    <w:rsid w:val="003D0FF5"/>
    <w:rsid w:val="003D11A3"/>
    <w:rsid w:val="003D1537"/>
    <w:rsid w:val="003D183C"/>
    <w:rsid w:val="003D2D1B"/>
    <w:rsid w:val="003D2F09"/>
    <w:rsid w:val="003D3558"/>
    <w:rsid w:val="003D36C0"/>
    <w:rsid w:val="003D40E5"/>
    <w:rsid w:val="003D48C7"/>
    <w:rsid w:val="003D4C27"/>
    <w:rsid w:val="003D572F"/>
    <w:rsid w:val="003D594C"/>
    <w:rsid w:val="003D6BEB"/>
    <w:rsid w:val="003D7109"/>
    <w:rsid w:val="003D71D7"/>
    <w:rsid w:val="003D7CE8"/>
    <w:rsid w:val="003E0514"/>
    <w:rsid w:val="003E0BAA"/>
    <w:rsid w:val="003E1032"/>
    <w:rsid w:val="003E1904"/>
    <w:rsid w:val="003E25B5"/>
    <w:rsid w:val="003E285E"/>
    <w:rsid w:val="003E2BD8"/>
    <w:rsid w:val="003E3124"/>
    <w:rsid w:val="003E3300"/>
    <w:rsid w:val="003E371E"/>
    <w:rsid w:val="003E3BC7"/>
    <w:rsid w:val="003E43D3"/>
    <w:rsid w:val="003E48E1"/>
    <w:rsid w:val="003E4F68"/>
    <w:rsid w:val="003E50F4"/>
    <w:rsid w:val="003E59BB"/>
    <w:rsid w:val="003E6225"/>
    <w:rsid w:val="003E65AC"/>
    <w:rsid w:val="003E66AE"/>
    <w:rsid w:val="003E6CFE"/>
    <w:rsid w:val="003E7160"/>
    <w:rsid w:val="003E72B9"/>
    <w:rsid w:val="003E7612"/>
    <w:rsid w:val="003E7ED4"/>
    <w:rsid w:val="003F0187"/>
    <w:rsid w:val="003F0CAA"/>
    <w:rsid w:val="003F0E52"/>
    <w:rsid w:val="003F0F6B"/>
    <w:rsid w:val="003F1DCD"/>
    <w:rsid w:val="003F1FC6"/>
    <w:rsid w:val="003F1FE3"/>
    <w:rsid w:val="003F2112"/>
    <w:rsid w:val="003F2359"/>
    <w:rsid w:val="003F2457"/>
    <w:rsid w:val="003F3232"/>
    <w:rsid w:val="003F3369"/>
    <w:rsid w:val="003F359A"/>
    <w:rsid w:val="003F3865"/>
    <w:rsid w:val="003F38AC"/>
    <w:rsid w:val="003F3D55"/>
    <w:rsid w:val="003F44E2"/>
    <w:rsid w:val="003F4632"/>
    <w:rsid w:val="003F47BA"/>
    <w:rsid w:val="003F49F3"/>
    <w:rsid w:val="003F4FE6"/>
    <w:rsid w:val="003F5638"/>
    <w:rsid w:val="003F5B7B"/>
    <w:rsid w:val="003F6617"/>
    <w:rsid w:val="003F7305"/>
    <w:rsid w:val="003F7F36"/>
    <w:rsid w:val="00400A58"/>
    <w:rsid w:val="00400E70"/>
    <w:rsid w:val="00402332"/>
    <w:rsid w:val="004025C2"/>
    <w:rsid w:val="00402887"/>
    <w:rsid w:val="00402FB7"/>
    <w:rsid w:val="00403195"/>
    <w:rsid w:val="004033A9"/>
    <w:rsid w:val="00403E55"/>
    <w:rsid w:val="0040407C"/>
    <w:rsid w:val="0040416C"/>
    <w:rsid w:val="004041CA"/>
    <w:rsid w:val="004044B4"/>
    <w:rsid w:val="00404681"/>
    <w:rsid w:val="004048F9"/>
    <w:rsid w:val="00404A80"/>
    <w:rsid w:val="00404B32"/>
    <w:rsid w:val="00405445"/>
    <w:rsid w:val="0040579D"/>
    <w:rsid w:val="00405AC1"/>
    <w:rsid w:val="0040675A"/>
    <w:rsid w:val="00406923"/>
    <w:rsid w:val="00406E1E"/>
    <w:rsid w:val="0040763D"/>
    <w:rsid w:val="0041038E"/>
    <w:rsid w:val="00410D17"/>
    <w:rsid w:val="0041183A"/>
    <w:rsid w:val="00412656"/>
    <w:rsid w:val="00412AA9"/>
    <w:rsid w:val="00413442"/>
    <w:rsid w:val="00413821"/>
    <w:rsid w:val="00413BA5"/>
    <w:rsid w:val="004141A3"/>
    <w:rsid w:val="00414909"/>
    <w:rsid w:val="0041582F"/>
    <w:rsid w:val="00415AC9"/>
    <w:rsid w:val="00415CF3"/>
    <w:rsid w:val="00416112"/>
    <w:rsid w:val="004167AD"/>
    <w:rsid w:val="0041716A"/>
    <w:rsid w:val="0041745E"/>
    <w:rsid w:val="00417A18"/>
    <w:rsid w:val="00417AE0"/>
    <w:rsid w:val="00417BAA"/>
    <w:rsid w:val="00417E8E"/>
    <w:rsid w:val="0042042B"/>
    <w:rsid w:val="00420B45"/>
    <w:rsid w:val="00420D7A"/>
    <w:rsid w:val="00421257"/>
    <w:rsid w:val="00421621"/>
    <w:rsid w:val="00422193"/>
    <w:rsid w:val="004223DE"/>
    <w:rsid w:val="00422645"/>
    <w:rsid w:val="00422A10"/>
    <w:rsid w:val="0042496A"/>
    <w:rsid w:val="00424D17"/>
    <w:rsid w:val="004259FC"/>
    <w:rsid w:val="00425DFD"/>
    <w:rsid w:val="00425EA9"/>
    <w:rsid w:val="004263A3"/>
    <w:rsid w:val="0042711B"/>
    <w:rsid w:val="00427713"/>
    <w:rsid w:val="00427C77"/>
    <w:rsid w:val="00427CCC"/>
    <w:rsid w:val="0043013A"/>
    <w:rsid w:val="00430421"/>
    <w:rsid w:val="00430A36"/>
    <w:rsid w:val="00430B4F"/>
    <w:rsid w:val="00431084"/>
    <w:rsid w:val="004310D7"/>
    <w:rsid w:val="0043180D"/>
    <w:rsid w:val="00431FF2"/>
    <w:rsid w:val="004322D6"/>
    <w:rsid w:val="0043254E"/>
    <w:rsid w:val="00432589"/>
    <w:rsid w:val="00432A94"/>
    <w:rsid w:val="00432C95"/>
    <w:rsid w:val="00433359"/>
    <w:rsid w:val="00433827"/>
    <w:rsid w:val="00433A40"/>
    <w:rsid w:val="00433AEA"/>
    <w:rsid w:val="00434B70"/>
    <w:rsid w:val="004355EF"/>
    <w:rsid w:val="004360C8"/>
    <w:rsid w:val="00436823"/>
    <w:rsid w:val="004371D5"/>
    <w:rsid w:val="0043773F"/>
    <w:rsid w:val="00437FBF"/>
    <w:rsid w:val="0044006B"/>
    <w:rsid w:val="0044033F"/>
    <w:rsid w:val="00440576"/>
    <w:rsid w:val="00440630"/>
    <w:rsid w:val="00440D6B"/>
    <w:rsid w:val="00440E07"/>
    <w:rsid w:val="0044142F"/>
    <w:rsid w:val="00441F0F"/>
    <w:rsid w:val="00442965"/>
    <w:rsid w:val="004432B6"/>
    <w:rsid w:val="00444081"/>
    <w:rsid w:val="00444157"/>
    <w:rsid w:val="0044417C"/>
    <w:rsid w:val="00444DB3"/>
    <w:rsid w:val="00445617"/>
    <w:rsid w:val="00445A2F"/>
    <w:rsid w:val="004463FF"/>
    <w:rsid w:val="0044648F"/>
    <w:rsid w:val="0044680A"/>
    <w:rsid w:val="0044684E"/>
    <w:rsid w:val="00446A4F"/>
    <w:rsid w:val="00446F22"/>
    <w:rsid w:val="00447C74"/>
    <w:rsid w:val="00447E41"/>
    <w:rsid w:val="0045019F"/>
    <w:rsid w:val="004503A4"/>
    <w:rsid w:val="00450555"/>
    <w:rsid w:val="004506FA"/>
    <w:rsid w:val="004507B6"/>
    <w:rsid w:val="00450BC8"/>
    <w:rsid w:val="00450DC6"/>
    <w:rsid w:val="004516A5"/>
    <w:rsid w:val="00451E9C"/>
    <w:rsid w:val="00452145"/>
    <w:rsid w:val="004522D0"/>
    <w:rsid w:val="0045280F"/>
    <w:rsid w:val="00452E73"/>
    <w:rsid w:val="004533F6"/>
    <w:rsid w:val="004535AE"/>
    <w:rsid w:val="004537F7"/>
    <w:rsid w:val="00453C53"/>
    <w:rsid w:val="0045444D"/>
    <w:rsid w:val="0045463A"/>
    <w:rsid w:val="00454AC9"/>
    <w:rsid w:val="00455050"/>
    <w:rsid w:val="004554A3"/>
    <w:rsid w:val="00455626"/>
    <w:rsid w:val="00455A6E"/>
    <w:rsid w:val="00455AC4"/>
    <w:rsid w:val="00455EAD"/>
    <w:rsid w:val="004578EB"/>
    <w:rsid w:val="00457F74"/>
    <w:rsid w:val="004604D5"/>
    <w:rsid w:val="004605C6"/>
    <w:rsid w:val="00460697"/>
    <w:rsid w:val="0046117B"/>
    <w:rsid w:val="004619A3"/>
    <w:rsid w:val="00461FC2"/>
    <w:rsid w:val="004632B9"/>
    <w:rsid w:val="004644A4"/>
    <w:rsid w:val="00464AB7"/>
    <w:rsid w:val="00465959"/>
    <w:rsid w:val="004659D0"/>
    <w:rsid w:val="00465DE5"/>
    <w:rsid w:val="00466103"/>
    <w:rsid w:val="004676DF"/>
    <w:rsid w:val="00467A83"/>
    <w:rsid w:val="00467EF8"/>
    <w:rsid w:val="00470006"/>
    <w:rsid w:val="00470611"/>
    <w:rsid w:val="00470848"/>
    <w:rsid w:val="00470CAB"/>
    <w:rsid w:val="00471796"/>
    <w:rsid w:val="00471AC3"/>
    <w:rsid w:val="00472429"/>
    <w:rsid w:val="004725E5"/>
    <w:rsid w:val="00472751"/>
    <w:rsid w:val="00473128"/>
    <w:rsid w:val="004748A5"/>
    <w:rsid w:val="00475078"/>
    <w:rsid w:val="00475767"/>
    <w:rsid w:val="00475A4F"/>
    <w:rsid w:val="0047611A"/>
    <w:rsid w:val="00476FC2"/>
    <w:rsid w:val="004779A0"/>
    <w:rsid w:val="00477F17"/>
    <w:rsid w:val="00480362"/>
    <w:rsid w:val="00480363"/>
    <w:rsid w:val="004808E3"/>
    <w:rsid w:val="00480B7E"/>
    <w:rsid w:val="00480CFE"/>
    <w:rsid w:val="00481016"/>
    <w:rsid w:val="0048124C"/>
    <w:rsid w:val="0048204C"/>
    <w:rsid w:val="004821BB"/>
    <w:rsid w:val="0048237A"/>
    <w:rsid w:val="004826FE"/>
    <w:rsid w:val="004827D5"/>
    <w:rsid w:val="00482AF2"/>
    <w:rsid w:val="004830C9"/>
    <w:rsid w:val="00483347"/>
    <w:rsid w:val="00483E2E"/>
    <w:rsid w:val="00484B69"/>
    <w:rsid w:val="0048529F"/>
    <w:rsid w:val="00485406"/>
    <w:rsid w:val="0048590F"/>
    <w:rsid w:val="004864D4"/>
    <w:rsid w:val="00486D60"/>
    <w:rsid w:val="00486DBC"/>
    <w:rsid w:val="00487180"/>
    <w:rsid w:val="00487BA1"/>
    <w:rsid w:val="0049155D"/>
    <w:rsid w:val="00491FA1"/>
    <w:rsid w:val="00492A25"/>
    <w:rsid w:val="004938A3"/>
    <w:rsid w:val="004950A6"/>
    <w:rsid w:val="0049558B"/>
    <w:rsid w:val="00496350"/>
    <w:rsid w:val="00496F9C"/>
    <w:rsid w:val="00497357"/>
    <w:rsid w:val="0049765E"/>
    <w:rsid w:val="00497843"/>
    <w:rsid w:val="0049797C"/>
    <w:rsid w:val="004A1405"/>
    <w:rsid w:val="004A15BD"/>
    <w:rsid w:val="004A1E28"/>
    <w:rsid w:val="004A1FC6"/>
    <w:rsid w:val="004A2E5F"/>
    <w:rsid w:val="004A38C2"/>
    <w:rsid w:val="004A3968"/>
    <w:rsid w:val="004A3C03"/>
    <w:rsid w:val="004A3DB7"/>
    <w:rsid w:val="004A463B"/>
    <w:rsid w:val="004A5088"/>
    <w:rsid w:val="004A50E5"/>
    <w:rsid w:val="004A5255"/>
    <w:rsid w:val="004A61CA"/>
    <w:rsid w:val="004A6B28"/>
    <w:rsid w:val="004A6CB0"/>
    <w:rsid w:val="004A70FF"/>
    <w:rsid w:val="004A76C3"/>
    <w:rsid w:val="004A77B5"/>
    <w:rsid w:val="004A7EDE"/>
    <w:rsid w:val="004B0283"/>
    <w:rsid w:val="004B0D93"/>
    <w:rsid w:val="004B19C8"/>
    <w:rsid w:val="004B1FA4"/>
    <w:rsid w:val="004B29AC"/>
    <w:rsid w:val="004B2AD4"/>
    <w:rsid w:val="004B35DF"/>
    <w:rsid w:val="004B3627"/>
    <w:rsid w:val="004B3837"/>
    <w:rsid w:val="004B3EEA"/>
    <w:rsid w:val="004B4922"/>
    <w:rsid w:val="004B52E0"/>
    <w:rsid w:val="004B57DF"/>
    <w:rsid w:val="004B5976"/>
    <w:rsid w:val="004B6E54"/>
    <w:rsid w:val="004B722E"/>
    <w:rsid w:val="004B72E8"/>
    <w:rsid w:val="004B7661"/>
    <w:rsid w:val="004B771A"/>
    <w:rsid w:val="004C01A5"/>
    <w:rsid w:val="004C0412"/>
    <w:rsid w:val="004C0882"/>
    <w:rsid w:val="004C2138"/>
    <w:rsid w:val="004C2B69"/>
    <w:rsid w:val="004C302E"/>
    <w:rsid w:val="004C3940"/>
    <w:rsid w:val="004C51FD"/>
    <w:rsid w:val="004C5ED7"/>
    <w:rsid w:val="004C64B8"/>
    <w:rsid w:val="004C65A8"/>
    <w:rsid w:val="004C6689"/>
    <w:rsid w:val="004C6BF3"/>
    <w:rsid w:val="004C7408"/>
    <w:rsid w:val="004C7850"/>
    <w:rsid w:val="004D0479"/>
    <w:rsid w:val="004D139A"/>
    <w:rsid w:val="004D14DC"/>
    <w:rsid w:val="004D17C6"/>
    <w:rsid w:val="004D1FB2"/>
    <w:rsid w:val="004D2858"/>
    <w:rsid w:val="004D2E49"/>
    <w:rsid w:val="004D35BA"/>
    <w:rsid w:val="004D36FC"/>
    <w:rsid w:val="004D38E5"/>
    <w:rsid w:val="004D3A48"/>
    <w:rsid w:val="004D3C5A"/>
    <w:rsid w:val="004D449A"/>
    <w:rsid w:val="004D4701"/>
    <w:rsid w:val="004D47C7"/>
    <w:rsid w:val="004D4B2B"/>
    <w:rsid w:val="004D4F35"/>
    <w:rsid w:val="004D51EE"/>
    <w:rsid w:val="004D5C03"/>
    <w:rsid w:val="004D5D45"/>
    <w:rsid w:val="004D618D"/>
    <w:rsid w:val="004D62A9"/>
    <w:rsid w:val="004D6FC3"/>
    <w:rsid w:val="004D7476"/>
    <w:rsid w:val="004D7716"/>
    <w:rsid w:val="004E0167"/>
    <w:rsid w:val="004E0306"/>
    <w:rsid w:val="004E0572"/>
    <w:rsid w:val="004E07BD"/>
    <w:rsid w:val="004E086D"/>
    <w:rsid w:val="004E1641"/>
    <w:rsid w:val="004E1818"/>
    <w:rsid w:val="004E1990"/>
    <w:rsid w:val="004E2186"/>
    <w:rsid w:val="004E25A8"/>
    <w:rsid w:val="004E299B"/>
    <w:rsid w:val="004E29E6"/>
    <w:rsid w:val="004E2A77"/>
    <w:rsid w:val="004E2B53"/>
    <w:rsid w:val="004E3672"/>
    <w:rsid w:val="004E3930"/>
    <w:rsid w:val="004E3A23"/>
    <w:rsid w:val="004E3ED9"/>
    <w:rsid w:val="004E4961"/>
    <w:rsid w:val="004E5866"/>
    <w:rsid w:val="004E6097"/>
    <w:rsid w:val="004E61EF"/>
    <w:rsid w:val="004E63C6"/>
    <w:rsid w:val="004E6805"/>
    <w:rsid w:val="004E76A7"/>
    <w:rsid w:val="004E7B03"/>
    <w:rsid w:val="004E7F95"/>
    <w:rsid w:val="004F0064"/>
    <w:rsid w:val="004F06AC"/>
    <w:rsid w:val="004F0E50"/>
    <w:rsid w:val="004F1D2A"/>
    <w:rsid w:val="004F243F"/>
    <w:rsid w:val="004F252C"/>
    <w:rsid w:val="004F36A3"/>
    <w:rsid w:val="004F3E0C"/>
    <w:rsid w:val="004F4036"/>
    <w:rsid w:val="004F4308"/>
    <w:rsid w:val="004F4892"/>
    <w:rsid w:val="004F4D2C"/>
    <w:rsid w:val="004F5C3B"/>
    <w:rsid w:val="004F5DA0"/>
    <w:rsid w:val="004F7160"/>
    <w:rsid w:val="00500258"/>
    <w:rsid w:val="00500B2D"/>
    <w:rsid w:val="00500EC6"/>
    <w:rsid w:val="0050130B"/>
    <w:rsid w:val="00501A99"/>
    <w:rsid w:val="00501F1D"/>
    <w:rsid w:val="005021EB"/>
    <w:rsid w:val="005021F2"/>
    <w:rsid w:val="00502219"/>
    <w:rsid w:val="00502456"/>
    <w:rsid w:val="00503180"/>
    <w:rsid w:val="0050336B"/>
    <w:rsid w:val="005038A4"/>
    <w:rsid w:val="00503DC4"/>
    <w:rsid w:val="00504AF6"/>
    <w:rsid w:val="00504C56"/>
    <w:rsid w:val="00504CD4"/>
    <w:rsid w:val="0050524B"/>
    <w:rsid w:val="00505450"/>
    <w:rsid w:val="00505FC6"/>
    <w:rsid w:val="00506DA6"/>
    <w:rsid w:val="00507170"/>
    <w:rsid w:val="005100B7"/>
    <w:rsid w:val="005105DE"/>
    <w:rsid w:val="005113C9"/>
    <w:rsid w:val="00511ACD"/>
    <w:rsid w:val="00512050"/>
    <w:rsid w:val="00512055"/>
    <w:rsid w:val="0051280C"/>
    <w:rsid w:val="00512842"/>
    <w:rsid w:val="005128BE"/>
    <w:rsid w:val="0051356F"/>
    <w:rsid w:val="00513DEC"/>
    <w:rsid w:val="00513E7C"/>
    <w:rsid w:val="005140BB"/>
    <w:rsid w:val="00514FBE"/>
    <w:rsid w:val="00514FD9"/>
    <w:rsid w:val="005154BB"/>
    <w:rsid w:val="0051550A"/>
    <w:rsid w:val="00515B92"/>
    <w:rsid w:val="00515E31"/>
    <w:rsid w:val="0051608F"/>
    <w:rsid w:val="00516480"/>
    <w:rsid w:val="005171F4"/>
    <w:rsid w:val="005173D3"/>
    <w:rsid w:val="00517A4E"/>
    <w:rsid w:val="00520EF8"/>
    <w:rsid w:val="005210F7"/>
    <w:rsid w:val="00521753"/>
    <w:rsid w:val="00521C64"/>
    <w:rsid w:val="00522083"/>
    <w:rsid w:val="0052239D"/>
    <w:rsid w:val="005224EE"/>
    <w:rsid w:val="00522879"/>
    <w:rsid w:val="005229AD"/>
    <w:rsid w:val="00522FFE"/>
    <w:rsid w:val="0052363A"/>
    <w:rsid w:val="00523BB1"/>
    <w:rsid w:val="005241A0"/>
    <w:rsid w:val="00524B23"/>
    <w:rsid w:val="0052511C"/>
    <w:rsid w:val="00525235"/>
    <w:rsid w:val="0052570E"/>
    <w:rsid w:val="005260CD"/>
    <w:rsid w:val="00526265"/>
    <w:rsid w:val="00526332"/>
    <w:rsid w:val="0052655D"/>
    <w:rsid w:val="005265E0"/>
    <w:rsid w:val="00526BC3"/>
    <w:rsid w:val="00530064"/>
    <w:rsid w:val="00530440"/>
    <w:rsid w:val="005305D2"/>
    <w:rsid w:val="00530691"/>
    <w:rsid w:val="0053085C"/>
    <w:rsid w:val="00530FF0"/>
    <w:rsid w:val="005313CA"/>
    <w:rsid w:val="00531761"/>
    <w:rsid w:val="0053248F"/>
    <w:rsid w:val="005327AB"/>
    <w:rsid w:val="00532F9C"/>
    <w:rsid w:val="00533055"/>
    <w:rsid w:val="0053332A"/>
    <w:rsid w:val="0053358A"/>
    <w:rsid w:val="005344A5"/>
    <w:rsid w:val="00534668"/>
    <w:rsid w:val="005348CA"/>
    <w:rsid w:val="00534B28"/>
    <w:rsid w:val="00534DDD"/>
    <w:rsid w:val="00535291"/>
    <w:rsid w:val="00535A94"/>
    <w:rsid w:val="00536A40"/>
    <w:rsid w:val="00537874"/>
    <w:rsid w:val="0053795F"/>
    <w:rsid w:val="00537D3D"/>
    <w:rsid w:val="00540511"/>
    <w:rsid w:val="00540578"/>
    <w:rsid w:val="00540808"/>
    <w:rsid w:val="0054080E"/>
    <w:rsid w:val="00540D1A"/>
    <w:rsid w:val="00540DE5"/>
    <w:rsid w:val="00540EA1"/>
    <w:rsid w:val="00541E5A"/>
    <w:rsid w:val="00542769"/>
    <w:rsid w:val="0054277D"/>
    <w:rsid w:val="0054298C"/>
    <w:rsid w:val="00543066"/>
    <w:rsid w:val="0054358E"/>
    <w:rsid w:val="00543AF4"/>
    <w:rsid w:val="00543CD2"/>
    <w:rsid w:val="00543F53"/>
    <w:rsid w:val="00544191"/>
    <w:rsid w:val="0054440C"/>
    <w:rsid w:val="005448EC"/>
    <w:rsid w:val="00544C0A"/>
    <w:rsid w:val="00544F39"/>
    <w:rsid w:val="005452DC"/>
    <w:rsid w:val="005457FB"/>
    <w:rsid w:val="00545C5B"/>
    <w:rsid w:val="00546B96"/>
    <w:rsid w:val="00546F90"/>
    <w:rsid w:val="005477F7"/>
    <w:rsid w:val="00547EFB"/>
    <w:rsid w:val="00550186"/>
    <w:rsid w:val="00550192"/>
    <w:rsid w:val="0055037E"/>
    <w:rsid w:val="00550BD9"/>
    <w:rsid w:val="005522F2"/>
    <w:rsid w:val="005531DF"/>
    <w:rsid w:val="00553874"/>
    <w:rsid w:val="00553DCE"/>
    <w:rsid w:val="00553F4B"/>
    <w:rsid w:val="005541E0"/>
    <w:rsid w:val="005543B3"/>
    <w:rsid w:val="00554577"/>
    <w:rsid w:val="005545A1"/>
    <w:rsid w:val="00554AD8"/>
    <w:rsid w:val="00554F78"/>
    <w:rsid w:val="00555DA1"/>
    <w:rsid w:val="005562FB"/>
    <w:rsid w:val="00556731"/>
    <w:rsid w:val="00556BF7"/>
    <w:rsid w:val="00556C70"/>
    <w:rsid w:val="00556E53"/>
    <w:rsid w:val="00556FF1"/>
    <w:rsid w:val="0055745C"/>
    <w:rsid w:val="00557F60"/>
    <w:rsid w:val="00560D81"/>
    <w:rsid w:val="00561730"/>
    <w:rsid w:val="00561913"/>
    <w:rsid w:val="00561B97"/>
    <w:rsid w:val="00562149"/>
    <w:rsid w:val="00562285"/>
    <w:rsid w:val="0056248C"/>
    <w:rsid w:val="005640EB"/>
    <w:rsid w:val="00565559"/>
    <w:rsid w:val="005666A4"/>
    <w:rsid w:val="00567B5D"/>
    <w:rsid w:val="00570593"/>
    <w:rsid w:val="00570757"/>
    <w:rsid w:val="0057257D"/>
    <w:rsid w:val="00572DBE"/>
    <w:rsid w:val="00573293"/>
    <w:rsid w:val="00573733"/>
    <w:rsid w:val="00573DBC"/>
    <w:rsid w:val="00573E08"/>
    <w:rsid w:val="00573F8B"/>
    <w:rsid w:val="005743E0"/>
    <w:rsid w:val="00574554"/>
    <w:rsid w:val="00574E06"/>
    <w:rsid w:val="005751BB"/>
    <w:rsid w:val="00575713"/>
    <w:rsid w:val="00575837"/>
    <w:rsid w:val="00576089"/>
    <w:rsid w:val="0057619F"/>
    <w:rsid w:val="005764B1"/>
    <w:rsid w:val="00576852"/>
    <w:rsid w:val="00576D06"/>
    <w:rsid w:val="005779E4"/>
    <w:rsid w:val="00577E82"/>
    <w:rsid w:val="00580B89"/>
    <w:rsid w:val="00580EC7"/>
    <w:rsid w:val="00581EA9"/>
    <w:rsid w:val="005826D2"/>
    <w:rsid w:val="0058289C"/>
    <w:rsid w:val="005836C7"/>
    <w:rsid w:val="00583A83"/>
    <w:rsid w:val="0058408E"/>
    <w:rsid w:val="005844C3"/>
    <w:rsid w:val="005847D9"/>
    <w:rsid w:val="00584909"/>
    <w:rsid w:val="00585374"/>
    <w:rsid w:val="005854CA"/>
    <w:rsid w:val="00585FAB"/>
    <w:rsid w:val="0058607D"/>
    <w:rsid w:val="00590B77"/>
    <w:rsid w:val="00590D9A"/>
    <w:rsid w:val="005913A3"/>
    <w:rsid w:val="005919E6"/>
    <w:rsid w:val="00591A5A"/>
    <w:rsid w:val="005929D8"/>
    <w:rsid w:val="00592C40"/>
    <w:rsid w:val="00593490"/>
    <w:rsid w:val="00593B28"/>
    <w:rsid w:val="00593C06"/>
    <w:rsid w:val="005940D4"/>
    <w:rsid w:val="00594A7B"/>
    <w:rsid w:val="0059580E"/>
    <w:rsid w:val="00595D90"/>
    <w:rsid w:val="00596A6F"/>
    <w:rsid w:val="00596D11"/>
    <w:rsid w:val="00596FCE"/>
    <w:rsid w:val="00597A4D"/>
    <w:rsid w:val="005A0300"/>
    <w:rsid w:val="005A11BC"/>
    <w:rsid w:val="005A1525"/>
    <w:rsid w:val="005A16F6"/>
    <w:rsid w:val="005A188D"/>
    <w:rsid w:val="005A1A61"/>
    <w:rsid w:val="005A1E17"/>
    <w:rsid w:val="005A252B"/>
    <w:rsid w:val="005A2A8F"/>
    <w:rsid w:val="005A3008"/>
    <w:rsid w:val="005A3204"/>
    <w:rsid w:val="005A3341"/>
    <w:rsid w:val="005A3C3D"/>
    <w:rsid w:val="005A46EC"/>
    <w:rsid w:val="005A5EAE"/>
    <w:rsid w:val="005A5EB8"/>
    <w:rsid w:val="005A6407"/>
    <w:rsid w:val="005A726C"/>
    <w:rsid w:val="005A79CF"/>
    <w:rsid w:val="005A7DDF"/>
    <w:rsid w:val="005B05D8"/>
    <w:rsid w:val="005B07EC"/>
    <w:rsid w:val="005B21B0"/>
    <w:rsid w:val="005B2899"/>
    <w:rsid w:val="005B2B11"/>
    <w:rsid w:val="005B32A4"/>
    <w:rsid w:val="005B3371"/>
    <w:rsid w:val="005B338D"/>
    <w:rsid w:val="005B33A1"/>
    <w:rsid w:val="005B3852"/>
    <w:rsid w:val="005B3BAF"/>
    <w:rsid w:val="005B43D5"/>
    <w:rsid w:val="005B4470"/>
    <w:rsid w:val="005B479B"/>
    <w:rsid w:val="005B4DA3"/>
    <w:rsid w:val="005B4E69"/>
    <w:rsid w:val="005B536A"/>
    <w:rsid w:val="005B5BEE"/>
    <w:rsid w:val="005B6AA9"/>
    <w:rsid w:val="005B6FD1"/>
    <w:rsid w:val="005B77D2"/>
    <w:rsid w:val="005B7BDA"/>
    <w:rsid w:val="005C0195"/>
    <w:rsid w:val="005C019B"/>
    <w:rsid w:val="005C08D0"/>
    <w:rsid w:val="005C14A0"/>
    <w:rsid w:val="005C15A1"/>
    <w:rsid w:val="005C1AED"/>
    <w:rsid w:val="005C1FCB"/>
    <w:rsid w:val="005C2136"/>
    <w:rsid w:val="005C290E"/>
    <w:rsid w:val="005C30F5"/>
    <w:rsid w:val="005C3571"/>
    <w:rsid w:val="005C3840"/>
    <w:rsid w:val="005C3AD8"/>
    <w:rsid w:val="005C426B"/>
    <w:rsid w:val="005C519C"/>
    <w:rsid w:val="005C51A5"/>
    <w:rsid w:val="005C557A"/>
    <w:rsid w:val="005C566F"/>
    <w:rsid w:val="005C5B5C"/>
    <w:rsid w:val="005C5BF5"/>
    <w:rsid w:val="005C5C47"/>
    <w:rsid w:val="005C5D2D"/>
    <w:rsid w:val="005C5EFA"/>
    <w:rsid w:val="005C61DD"/>
    <w:rsid w:val="005C6438"/>
    <w:rsid w:val="005C66AC"/>
    <w:rsid w:val="005C6B8B"/>
    <w:rsid w:val="005C6E67"/>
    <w:rsid w:val="005C727F"/>
    <w:rsid w:val="005C7B0E"/>
    <w:rsid w:val="005C7B20"/>
    <w:rsid w:val="005D02E3"/>
    <w:rsid w:val="005D1419"/>
    <w:rsid w:val="005D1F34"/>
    <w:rsid w:val="005D251B"/>
    <w:rsid w:val="005D284B"/>
    <w:rsid w:val="005D2C1F"/>
    <w:rsid w:val="005D34B2"/>
    <w:rsid w:val="005D3B54"/>
    <w:rsid w:val="005D3BB3"/>
    <w:rsid w:val="005D3E28"/>
    <w:rsid w:val="005D40CD"/>
    <w:rsid w:val="005D6B59"/>
    <w:rsid w:val="005D71C3"/>
    <w:rsid w:val="005D74D2"/>
    <w:rsid w:val="005D784B"/>
    <w:rsid w:val="005D7B90"/>
    <w:rsid w:val="005E00AF"/>
    <w:rsid w:val="005E03E4"/>
    <w:rsid w:val="005E0454"/>
    <w:rsid w:val="005E05F6"/>
    <w:rsid w:val="005E19CF"/>
    <w:rsid w:val="005E1B9D"/>
    <w:rsid w:val="005E1BDA"/>
    <w:rsid w:val="005E1FCB"/>
    <w:rsid w:val="005E1FE5"/>
    <w:rsid w:val="005E2442"/>
    <w:rsid w:val="005E2768"/>
    <w:rsid w:val="005E3111"/>
    <w:rsid w:val="005E3B1C"/>
    <w:rsid w:val="005E3CA0"/>
    <w:rsid w:val="005E3D11"/>
    <w:rsid w:val="005E3D25"/>
    <w:rsid w:val="005E3F85"/>
    <w:rsid w:val="005E4A5F"/>
    <w:rsid w:val="005E4D86"/>
    <w:rsid w:val="005E4F8C"/>
    <w:rsid w:val="005E516A"/>
    <w:rsid w:val="005E52F5"/>
    <w:rsid w:val="005E57B0"/>
    <w:rsid w:val="005E5A0F"/>
    <w:rsid w:val="005E5B01"/>
    <w:rsid w:val="005E648D"/>
    <w:rsid w:val="005E6D3B"/>
    <w:rsid w:val="005E7EDD"/>
    <w:rsid w:val="005F009E"/>
    <w:rsid w:val="005F06A3"/>
    <w:rsid w:val="005F0BF9"/>
    <w:rsid w:val="005F0DF1"/>
    <w:rsid w:val="005F1516"/>
    <w:rsid w:val="005F1A6F"/>
    <w:rsid w:val="005F229E"/>
    <w:rsid w:val="005F2564"/>
    <w:rsid w:val="005F3822"/>
    <w:rsid w:val="005F4635"/>
    <w:rsid w:val="005F46B7"/>
    <w:rsid w:val="005F4900"/>
    <w:rsid w:val="005F4B6B"/>
    <w:rsid w:val="005F4E52"/>
    <w:rsid w:val="005F4F34"/>
    <w:rsid w:val="005F5466"/>
    <w:rsid w:val="005F6D58"/>
    <w:rsid w:val="005F7060"/>
    <w:rsid w:val="005F7383"/>
    <w:rsid w:val="005F76BD"/>
    <w:rsid w:val="005F7858"/>
    <w:rsid w:val="005F7A58"/>
    <w:rsid w:val="0060058E"/>
    <w:rsid w:val="00602A3C"/>
    <w:rsid w:val="00602A54"/>
    <w:rsid w:val="00602A60"/>
    <w:rsid w:val="0060377B"/>
    <w:rsid w:val="00603B89"/>
    <w:rsid w:val="00603EFD"/>
    <w:rsid w:val="0060475B"/>
    <w:rsid w:val="00604BED"/>
    <w:rsid w:val="00604FB6"/>
    <w:rsid w:val="00605387"/>
    <w:rsid w:val="00606302"/>
    <w:rsid w:val="006076FD"/>
    <w:rsid w:val="0061036A"/>
    <w:rsid w:val="00610470"/>
    <w:rsid w:val="006107B1"/>
    <w:rsid w:val="00610811"/>
    <w:rsid w:val="0061143F"/>
    <w:rsid w:val="006114D8"/>
    <w:rsid w:val="00611800"/>
    <w:rsid w:val="00612685"/>
    <w:rsid w:val="00613553"/>
    <w:rsid w:val="00613601"/>
    <w:rsid w:val="00613791"/>
    <w:rsid w:val="006143F9"/>
    <w:rsid w:val="00614CD4"/>
    <w:rsid w:val="006150D6"/>
    <w:rsid w:val="00615245"/>
    <w:rsid w:val="0061525A"/>
    <w:rsid w:val="0061526D"/>
    <w:rsid w:val="00615788"/>
    <w:rsid w:val="0061590D"/>
    <w:rsid w:val="00615C84"/>
    <w:rsid w:val="00617EEE"/>
    <w:rsid w:val="00620A1F"/>
    <w:rsid w:val="0062169D"/>
    <w:rsid w:val="00621737"/>
    <w:rsid w:val="0062181E"/>
    <w:rsid w:val="0062197C"/>
    <w:rsid w:val="0062211B"/>
    <w:rsid w:val="0062227E"/>
    <w:rsid w:val="00622827"/>
    <w:rsid w:val="006228D3"/>
    <w:rsid w:val="00622BB7"/>
    <w:rsid w:val="00622C1E"/>
    <w:rsid w:val="00623389"/>
    <w:rsid w:val="00623DAA"/>
    <w:rsid w:val="00623FAF"/>
    <w:rsid w:val="0062460C"/>
    <w:rsid w:val="00624B3E"/>
    <w:rsid w:val="00624D82"/>
    <w:rsid w:val="00625337"/>
    <w:rsid w:val="0062578C"/>
    <w:rsid w:val="006259B6"/>
    <w:rsid w:val="00625A24"/>
    <w:rsid w:val="006265C4"/>
    <w:rsid w:val="0062678A"/>
    <w:rsid w:val="00626AF1"/>
    <w:rsid w:val="00626FCA"/>
    <w:rsid w:val="006270AF"/>
    <w:rsid w:val="00627237"/>
    <w:rsid w:val="00631184"/>
    <w:rsid w:val="00631864"/>
    <w:rsid w:val="00632F83"/>
    <w:rsid w:val="00634367"/>
    <w:rsid w:val="006360AD"/>
    <w:rsid w:val="006364D7"/>
    <w:rsid w:val="00636554"/>
    <w:rsid w:val="006367E9"/>
    <w:rsid w:val="00636CE3"/>
    <w:rsid w:val="00640082"/>
    <w:rsid w:val="00640291"/>
    <w:rsid w:val="0064058C"/>
    <w:rsid w:val="00640EFE"/>
    <w:rsid w:val="00641D6D"/>
    <w:rsid w:val="00641E5B"/>
    <w:rsid w:val="00641FAC"/>
    <w:rsid w:val="00643664"/>
    <w:rsid w:val="006437ED"/>
    <w:rsid w:val="00643A99"/>
    <w:rsid w:val="00643CAA"/>
    <w:rsid w:val="00644F16"/>
    <w:rsid w:val="006455EB"/>
    <w:rsid w:val="006456C2"/>
    <w:rsid w:val="00645A65"/>
    <w:rsid w:val="00646959"/>
    <w:rsid w:val="006477F0"/>
    <w:rsid w:val="006478E4"/>
    <w:rsid w:val="00647FD1"/>
    <w:rsid w:val="006509EA"/>
    <w:rsid w:val="0065164D"/>
    <w:rsid w:val="0065171A"/>
    <w:rsid w:val="00652680"/>
    <w:rsid w:val="00653CDE"/>
    <w:rsid w:val="00653EDB"/>
    <w:rsid w:val="00654585"/>
    <w:rsid w:val="006548E4"/>
    <w:rsid w:val="00654AC8"/>
    <w:rsid w:val="0065566E"/>
    <w:rsid w:val="00655999"/>
    <w:rsid w:val="00655AB6"/>
    <w:rsid w:val="00655C67"/>
    <w:rsid w:val="00655E2B"/>
    <w:rsid w:val="00655EFA"/>
    <w:rsid w:val="00656061"/>
    <w:rsid w:val="00656281"/>
    <w:rsid w:val="0065636A"/>
    <w:rsid w:val="00656BFC"/>
    <w:rsid w:val="00657003"/>
    <w:rsid w:val="00657428"/>
    <w:rsid w:val="00657CE2"/>
    <w:rsid w:val="00660238"/>
    <w:rsid w:val="006602EF"/>
    <w:rsid w:val="00661277"/>
    <w:rsid w:val="006619E0"/>
    <w:rsid w:val="00662CC3"/>
    <w:rsid w:val="00663FEA"/>
    <w:rsid w:val="00664050"/>
    <w:rsid w:val="00664803"/>
    <w:rsid w:val="00664934"/>
    <w:rsid w:val="00664D53"/>
    <w:rsid w:val="00664EB7"/>
    <w:rsid w:val="006657C5"/>
    <w:rsid w:val="00665874"/>
    <w:rsid w:val="00665D75"/>
    <w:rsid w:val="00666186"/>
    <w:rsid w:val="006661A4"/>
    <w:rsid w:val="00666433"/>
    <w:rsid w:val="00666AC0"/>
    <w:rsid w:val="006670E0"/>
    <w:rsid w:val="006671B8"/>
    <w:rsid w:val="00667275"/>
    <w:rsid w:val="00667532"/>
    <w:rsid w:val="0066783E"/>
    <w:rsid w:val="00667E53"/>
    <w:rsid w:val="006704DF"/>
    <w:rsid w:val="00670A64"/>
    <w:rsid w:val="00670D03"/>
    <w:rsid w:val="006711C4"/>
    <w:rsid w:val="006713AB"/>
    <w:rsid w:val="00672680"/>
    <w:rsid w:val="00672A3A"/>
    <w:rsid w:val="00672CA5"/>
    <w:rsid w:val="00673711"/>
    <w:rsid w:val="00673CDA"/>
    <w:rsid w:val="00673F82"/>
    <w:rsid w:val="00674F74"/>
    <w:rsid w:val="0067508F"/>
    <w:rsid w:val="006752B2"/>
    <w:rsid w:val="00676B25"/>
    <w:rsid w:val="00676B3E"/>
    <w:rsid w:val="0067704E"/>
    <w:rsid w:val="00677576"/>
    <w:rsid w:val="0068051E"/>
    <w:rsid w:val="00680B9D"/>
    <w:rsid w:val="00680DF1"/>
    <w:rsid w:val="00681F13"/>
    <w:rsid w:val="0068231C"/>
    <w:rsid w:val="00682344"/>
    <w:rsid w:val="00682C87"/>
    <w:rsid w:val="00682F28"/>
    <w:rsid w:val="006834F9"/>
    <w:rsid w:val="00683515"/>
    <w:rsid w:val="00683AB2"/>
    <w:rsid w:val="00684842"/>
    <w:rsid w:val="006856CA"/>
    <w:rsid w:val="00685789"/>
    <w:rsid w:val="006859AA"/>
    <w:rsid w:val="00685BD6"/>
    <w:rsid w:val="00686A20"/>
    <w:rsid w:val="00687116"/>
    <w:rsid w:val="006872D2"/>
    <w:rsid w:val="006878A6"/>
    <w:rsid w:val="00687D5F"/>
    <w:rsid w:val="00687F2E"/>
    <w:rsid w:val="00690437"/>
    <w:rsid w:val="00690623"/>
    <w:rsid w:val="00690DC3"/>
    <w:rsid w:val="00690E65"/>
    <w:rsid w:val="006911B7"/>
    <w:rsid w:val="00691387"/>
    <w:rsid w:val="006915C2"/>
    <w:rsid w:val="0069188E"/>
    <w:rsid w:val="00691974"/>
    <w:rsid w:val="00692584"/>
    <w:rsid w:val="00692BF6"/>
    <w:rsid w:val="00692C92"/>
    <w:rsid w:val="00692CA6"/>
    <w:rsid w:val="00692CE6"/>
    <w:rsid w:val="00693186"/>
    <w:rsid w:val="00693381"/>
    <w:rsid w:val="006936E4"/>
    <w:rsid w:val="00693B6C"/>
    <w:rsid w:val="006942AE"/>
    <w:rsid w:val="0069464B"/>
    <w:rsid w:val="006947A1"/>
    <w:rsid w:val="00695421"/>
    <w:rsid w:val="00696A9C"/>
    <w:rsid w:val="00697BD3"/>
    <w:rsid w:val="00697DFA"/>
    <w:rsid w:val="006A12BA"/>
    <w:rsid w:val="006A16D5"/>
    <w:rsid w:val="006A1772"/>
    <w:rsid w:val="006A1780"/>
    <w:rsid w:val="006A1851"/>
    <w:rsid w:val="006A21DD"/>
    <w:rsid w:val="006A234F"/>
    <w:rsid w:val="006A26C6"/>
    <w:rsid w:val="006A2DCC"/>
    <w:rsid w:val="006A3302"/>
    <w:rsid w:val="006A34AF"/>
    <w:rsid w:val="006A38DA"/>
    <w:rsid w:val="006A3B28"/>
    <w:rsid w:val="006A47DC"/>
    <w:rsid w:val="006A4868"/>
    <w:rsid w:val="006A4A4B"/>
    <w:rsid w:val="006A4FEE"/>
    <w:rsid w:val="006A5522"/>
    <w:rsid w:val="006A5549"/>
    <w:rsid w:val="006A59CC"/>
    <w:rsid w:val="006A6182"/>
    <w:rsid w:val="006A6574"/>
    <w:rsid w:val="006A703E"/>
    <w:rsid w:val="006A7BE3"/>
    <w:rsid w:val="006A7D32"/>
    <w:rsid w:val="006A7E1A"/>
    <w:rsid w:val="006B01D1"/>
    <w:rsid w:val="006B0C04"/>
    <w:rsid w:val="006B0DF4"/>
    <w:rsid w:val="006B1214"/>
    <w:rsid w:val="006B16EA"/>
    <w:rsid w:val="006B1780"/>
    <w:rsid w:val="006B186B"/>
    <w:rsid w:val="006B1B60"/>
    <w:rsid w:val="006B1C80"/>
    <w:rsid w:val="006B21DC"/>
    <w:rsid w:val="006B224E"/>
    <w:rsid w:val="006B2349"/>
    <w:rsid w:val="006B25FA"/>
    <w:rsid w:val="006B2943"/>
    <w:rsid w:val="006B2C00"/>
    <w:rsid w:val="006B351F"/>
    <w:rsid w:val="006B376E"/>
    <w:rsid w:val="006B4128"/>
    <w:rsid w:val="006B4589"/>
    <w:rsid w:val="006B4CFA"/>
    <w:rsid w:val="006B5157"/>
    <w:rsid w:val="006B5E49"/>
    <w:rsid w:val="006B610E"/>
    <w:rsid w:val="006B6805"/>
    <w:rsid w:val="006B6C07"/>
    <w:rsid w:val="006B6DE0"/>
    <w:rsid w:val="006B723D"/>
    <w:rsid w:val="006B7DEE"/>
    <w:rsid w:val="006C1337"/>
    <w:rsid w:val="006C16C3"/>
    <w:rsid w:val="006C1FA6"/>
    <w:rsid w:val="006C2187"/>
    <w:rsid w:val="006C2588"/>
    <w:rsid w:val="006C27D9"/>
    <w:rsid w:val="006C32F4"/>
    <w:rsid w:val="006C3C54"/>
    <w:rsid w:val="006C3CA5"/>
    <w:rsid w:val="006C3CAA"/>
    <w:rsid w:val="006C4B6B"/>
    <w:rsid w:val="006C4CE1"/>
    <w:rsid w:val="006C4F9F"/>
    <w:rsid w:val="006C54B1"/>
    <w:rsid w:val="006C71A2"/>
    <w:rsid w:val="006C73EC"/>
    <w:rsid w:val="006D0997"/>
    <w:rsid w:val="006D0C1D"/>
    <w:rsid w:val="006D1BB1"/>
    <w:rsid w:val="006D2519"/>
    <w:rsid w:val="006D28F3"/>
    <w:rsid w:val="006D2E9D"/>
    <w:rsid w:val="006D3B48"/>
    <w:rsid w:val="006D4305"/>
    <w:rsid w:val="006D4A4E"/>
    <w:rsid w:val="006D4C42"/>
    <w:rsid w:val="006D4CF3"/>
    <w:rsid w:val="006D5067"/>
    <w:rsid w:val="006D5389"/>
    <w:rsid w:val="006D53A2"/>
    <w:rsid w:val="006D5809"/>
    <w:rsid w:val="006D607E"/>
    <w:rsid w:val="006D6E12"/>
    <w:rsid w:val="006D70CB"/>
    <w:rsid w:val="006D715C"/>
    <w:rsid w:val="006D7363"/>
    <w:rsid w:val="006D774E"/>
    <w:rsid w:val="006D7F08"/>
    <w:rsid w:val="006E0754"/>
    <w:rsid w:val="006E1481"/>
    <w:rsid w:val="006E19A4"/>
    <w:rsid w:val="006E1D1D"/>
    <w:rsid w:val="006E2668"/>
    <w:rsid w:val="006E2C88"/>
    <w:rsid w:val="006E2D39"/>
    <w:rsid w:val="006E2FE9"/>
    <w:rsid w:val="006E30A2"/>
    <w:rsid w:val="006E32B0"/>
    <w:rsid w:val="006E348E"/>
    <w:rsid w:val="006E396A"/>
    <w:rsid w:val="006E3D63"/>
    <w:rsid w:val="006E445C"/>
    <w:rsid w:val="006E4632"/>
    <w:rsid w:val="006E4998"/>
    <w:rsid w:val="006E4B31"/>
    <w:rsid w:val="006E58BF"/>
    <w:rsid w:val="006E5CE6"/>
    <w:rsid w:val="006E5DD8"/>
    <w:rsid w:val="006E5EA1"/>
    <w:rsid w:val="006E6BE5"/>
    <w:rsid w:val="006E6DEE"/>
    <w:rsid w:val="006E6F44"/>
    <w:rsid w:val="006E7D4B"/>
    <w:rsid w:val="006E7F32"/>
    <w:rsid w:val="006F018A"/>
    <w:rsid w:val="006F0760"/>
    <w:rsid w:val="006F0D30"/>
    <w:rsid w:val="006F11E2"/>
    <w:rsid w:val="006F1A50"/>
    <w:rsid w:val="006F1A67"/>
    <w:rsid w:val="006F2574"/>
    <w:rsid w:val="006F292D"/>
    <w:rsid w:val="006F3231"/>
    <w:rsid w:val="006F3DE3"/>
    <w:rsid w:val="006F4787"/>
    <w:rsid w:val="006F4B8F"/>
    <w:rsid w:val="006F57E6"/>
    <w:rsid w:val="006F5E2E"/>
    <w:rsid w:val="006F61D8"/>
    <w:rsid w:val="006F62B7"/>
    <w:rsid w:val="006F63E7"/>
    <w:rsid w:val="006F70BC"/>
    <w:rsid w:val="006F726C"/>
    <w:rsid w:val="006F7A22"/>
    <w:rsid w:val="006F7E7C"/>
    <w:rsid w:val="006F7FEA"/>
    <w:rsid w:val="00700C5B"/>
    <w:rsid w:val="0070101F"/>
    <w:rsid w:val="00701329"/>
    <w:rsid w:val="0070174E"/>
    <w:rsid w:val="007018DB"/>
    <w:rsid w:val="00701DE6"/>
    <w:rsid w:val="00702740"/>
    <w:rsid w:val="007028E3"/>
    <w:rsid w:val="00703407"/>
    <w:rsid w:val="0070381B"/>
    <w:rsid w:val="00703F81"/>
    <w:rsid w:val="007041BC"/>
    <w:rsid w:val="00704CC8"/>
    <w:rsid w:val="00706759"/>
    <w:rsid w:val="0070796C"/>
    <w:rsid w:val="007109BB"/>
    <w:rsid w:val="00710B2D"/>
    <w:rsid w:val="00710EBF"/>
    <w:rsid w:val="007110B8"/>
    <w:rsid w:val="00711A7A"/>
    <w:rsid w:val="00711CD1"/>
    <w:rsid w:val="0071209F"/>
    <w:rsid w:val="007123F0"/>
    <w:rsid w:val="007125A2"/>
    <w:rsid w:val="00712A68"/>
    <w:rsid w:val="00713DD9"/>
    <w:rsid w:val="00713F79"/>
    <w:rsid w:val="0071477B"/>
    <w:rsid w:val="007148A8"/>
    <w:rsid w:val="00714A29"/>
    <w:rsid w:val="00715C70"/>
    <w:rsid w:val="00715E44"/>
    <w:rsid w:val="007164B0"/>
    <w:rsid w:val="00716AC8"/>
    <w:rsid w:val="00716E54"/>
    <w:rsid w:val="00717280"/>
    <w:rsid w:val="007202D2"/>
    <w:rsid w:val="0072033C"/>
    <w:rsid w:val="00720B1B"/>
    <w:rsid w:val="00721062"/>
    <w:rsid w:val="00721366"/>
    <w:rsid w:val="00721454"/>
    <w:rsid w:val="00721D3D"/>
    <w:rsid w:val="00721E5D"/>
    <w:rsid w:val="007229D4"/>
    <w:rsid w:val="00722C42"/>
    <w:rsid w:val="00722E35"/>
    <w:rsid w:val="007230F8"/>
    <w:rsid w:val="007233F4"/>
    <w:rsid w:val="007235E3"/>
    <w:rsid w:val="0072381D"/>
    <w:rsid w:val="00724044"/>
    <w:rsid w:val="007240DB"/>
    <w:rsid w:val="00724120"/>
    <w:rsid w:val="007243F2"/>
    <w:rsid w:val="007248D3"/>
    <w:rsid w:val="00724B75"/>
    <w:rsid w:val="00724DF8"/>
    <w:rsid w:val="00725137"/>
    <w:rsid w:val="00725378"/>
    <w:rsid w:val="00725C31"/>
    <w:rsid w:val="00727795"/>
    <w:rsid w:val="00727A43"/>
    <w:rsid w:val="00727DBF"/>
    <w:rsid w:val="00727FF2"/>
    <w:rsid w:val="00727FFD"/>
    <w:rsid w:val="00730550"/>
    <w:rsid w:val="00730C2A"/>
    <w:rsid w:val="00730DF1"/>
    <w:rsid w:val="00731125"/>
    <w:rsid w:val="00731434"/>
    <w:rsid w:val="0073165D"/>
    <w:rsid w:val="00731E59"/>
    <w:rsid w:val="007323E0"/>
    <w:rsid w:val="00732911"/>
    <w:rsid w:val="00733721"/>
    <w:rsid w:val="00733965"/>
    <w:rsid w:val="00733DE2"/>
    <w:rsid w:val="00734142"/>
    <w:rsid w:val="00734358"/>
    <w:rsid w:val="007352AB"/>
    <w:rsid w:val="007352EA"/>
    <w:rsid w:val="007362CC"/>
    <w:rsid w:val="0073792F"/>
    <w:rsid w:val="00737CB3"/>
    <w:rsid w:val="00740C81"/>
    <w:rsid w:val="00740DA6"/>
    <w:rsid w:val="0074197B"/>
    <w:rsid w:val="00741B4B"/>
    <w:rsid w:val="00741D1E"/>
    <w:rsid w:val="00741DD6"/>
    <w:rsid w:val="00741EE2"/>
    <w:rsid w:val="0074207F"/>
    <w:rsid w:val="00742118"/>
    <w:rsid w:val="00742367"/>
    <w:rsid w:val="00742CBD"/>
    <w:rsid w:val="00742EAA"/>
    <w:rsid w:val="00743360"/>
    <w:rsid w:val="00743818"/>
    <w:rsid w:val="00743857"/>
    <w:rsid w:val="0074411D"/>
    <w:rsid w:val="007441FB"/>
    <w:rsid w:val="007444D7"/>
    <w:rsid w:val="00744517"/>
    <w:rsid w:val="0074522A"/>
    <w:rsid w:val="00745D90"/>
    <w:rsid w:val="007465D3"/>
    <w:rsid w:val="00746AED"/>
    <w:rsid w:val="00747295"/>
    <w:rsid w:val="00747346"/>
    <w:rsid w:val="00747829"/>
    <w:rsid w:val="0074789C"/>
    <w:rsid w:val="00747D46"/>
    <w:rsid w:val="00747DE2"/>
    <w:rsid w:val="00747E6D"/>
    <w:rsid w:val="007502D0"/>
    <w:rsid w:val="007504BF"/>
    <w:rsid w:val="007506CD"/>
    <w:rsid w:val="0075267F"/>
    <w:rsid w:val="007526EC"/>
    <w:rsid w:val="00753B8A"/>
    <w:rsid w:val="00753C48"/>
    <w:rsid w:val="00754250"/>
    <w:rsid w:val="00754FE4"/>
    <w:rsid w:val="00755216"/>
    <w:rsid w:val="00756236"/>
    <w:rsid w:val="00756271"/>
    <w:rsid w:val="00756348"/>
    <w:rsid w:val="00756521"/>
    <w:rsid w:val="00756AB7"/>
    <w:rsid w:val="00757975"/>
    <w:rsid w:val="00760B3A"/>
    <w:rsid w:val="0076106D"/>
    <w:rsid w:val="007610DA"/>
    <w:rsid w:val="007623FB"/>
    <w:rsid w:val="00762517"/>
    <w:rsid w:val="0076289C"/>
    <w:rsid w:val="00763191"/>
    <w:rsid w:val="00763240"/>
    <w:rsid w:val="0076376A"/>
    <w:rsid w:val="0076413A"/>
    <w:rsid w:val="007643A1"/>
    <w:rsid w:val="007648AD"/>
    <w:rsid w:val="0076504E"/>
    <w:rsid w:val="00765E8F"/>
    <w:rsid w:val="0076767E"/>
    <w:rsid w:val="00767BFD"/>
    <w:rsid w:val="00767EA0"/>
    <w:rsid w:val="0077068F"/>
    <w:rsid w:val="00771C16"/>
    <w:rsid w:val="00771CB0"/>
    <w:rsid w:val="00771EDF"/>
    <w:rsid w:val="00772530"/>
    <w:rsid w:val="00772A90"/>
    <w:rsid w:val="00772F8D"/>
    <w:rsid w:val="0077408D"/>
    <w:rsid w:val="00774270"/>
    <w:rsid w:val="007743F6"/>
    <w:rsid w:val="00775679"/>
    <w:rsid w:val="0077574F"/>
    <w:rsid w:val="00775823"/>
    <w:rsid w:val="00775AB0"/>
    <w:rsid w:val="00775B63"/>
    <w:rsid w:val="00776206"/>
    <w:rsid w:val="00777153"/>
    <w:rsid w:val="007777CC"/>
    <w:rsid w:val="00777B32"/>
    <w:rsid w:val="0078010C"/>
    <w:rsid w:val="00780250"/>
    <w:rsid w:val="0078051E"/>
    <w:rsid w:val="00780A3E"/>
    <w:rsid w:val="00781089"/>
    <w:rsid w:val="007814DD"/>
    <w:rsid w:val="00781AC3"/>
    <w:rsid w:val="00781CB6"/>
    <w:rsid w:val="00782715"/>
    <w:rsid w:val="007838F3"/>
    <w:rsid w:val="0078419B"/>
    <w:rsid w:val="007853D6"/>
    <w:rsid w:val="00785612"/>
    <w:rsid w:val="007856FE"/>
    <w:rsid w:val="00785A15"/>
    <w:rsid w:val="00785F46"/>
    <w:rsid w:val="007865F4"/>
    <w:rsid w:val="00786D5C"/>
    <w:rsid w:val="00786E96"/>
    <w:rsid w:val="00787BB6"/>
    <w:rsid w:val="00787DFF"/>
    <w:rsid w:val="00787F17"/>
    <w:rsid w:val="00787F93"/>
    <w:rsid w:val="00791E6D"/>
    <w:rsid w:val="00791EB5"/>
    <w:rsid w:val="00792377"/>
    <w:rsid w:val="0079343F"/>
    <w:rsid w:val="00793696"/>
    <w:rsid w:val="00793B8C"/>
    <w:rsid w:val="00793F13"/>
    <w:rsid w:val="007955DA"/>
    <w:rsid w:val="0079676B"/>
    <w:rsid w:val="00796A49"/>
    <w:rsid w:val="00796F65"/>
    <w:rsid w:val="007A11C2"/>
    <w:rsid w:val="007A1781"/>
    <w:rsid w:val="007A18BB"/>
    <w:rsid w:val="007A23CC"/>
    <w:rsid w:val="007A2489"/>
    <w:rsid w:val="007A27DD"/>
    <w:rsid w:val="007A2D2A"/>
    <w:rsid w:val="007A3C3F"/>
    <w:rsid w:val="007A41BF"/>
    <w:rsid w:val="007A490A"/>
    <w:rsid w:val="007A4F24"/>
    <w:rsid w:val="007A549E"/>
    <w:rsid w:val="007A54DC"/>
    <w:rsid w:val="007A5D50"/>
    <w:rsid w:val="007A6811"/>
    <w:rsid w:val="007A7289"/>
    <w:rsid w:val="007A7A78"/>
    <w:rsid w:val="007A7B95"/>
    <w:rsid w:val="007B0297"/>
    <w:rsid w:val="007B02FA"/>
    <w:rsid w:val="007B0F53"/>
    <w:rsid w:val="007B110A"/>
    <w:rsid w:val="007B1A4D"/>
    <w:rsid w:val="007B2027"/>
    <w:rsid w:val="007B21AE"/>
    <w:rsid w:val="007B2570"/>
    <w:rsid w:val="007B3113"/>
    <w:rsid w:val="007B3304"/>
    <w:rsid w:val="007B3BF0"/>
    <w:rsid w:val="007B6927"/>
    <w:rsid w:val="007B6B18"/>
    <w:rsid w:val="007B6D80"/>
    <w:rsid w:val="007B7490"/>
    <w:rsid w:val="007B7C17"/>
    <w:rsid w:val="007B7C61"/>
    <w:rsid w:val="007C00B9"/>
    <w:rsid w:val="007C0525"/>
    <w:rsid w:val="007C06DB"/>
    <w:rsid w:val="007C13F7"/>
    <w:rsid w:val="007C1D77"/>
    <w:rsid w:val="007C218D"/>
    <w:rsid w:val="007C2590"/>
    <w:rsid w:val="007C2C5B"/>
    <w:rsid w:val="007C2D28"/>
    <w:rsid w:val="007C3875"/>
    <w:rsid w:val="007C3E22"/>
    <w:rsid w:val="007C58C1"/>
    <w:rsid w:val="007C5B39"/>
    <w:rsid w:val="007C6218"/>
    <w:rsid w:val="007C6484"/>
    <w:rsid w:val="007C67C6"/>
    <w:rsid w:val="007C7356"/>
    <w:rsid w:val="007C78BE"/>
    <w:rsid w:val="007C7A5D"/>
    <w:rsid w:val="007C7E59"/>
    <w:rsid w:val="007D0476"/>
    <w:rsid w:val="007D0B91"/>
    <w:rsid w:val="007D0F24"/>
    <w:rsid w:val="007D0FE7"/>
    <w:rsid w:val="007D1197"/>
    <w:rsid w:val="007D1452"/>
    <w:rsid w:val="007D1563"/>
    <w:rsid w:val="007D1FC6"/>
    <w:rsid w:val="007D26DC"/>
    <w:rsid w:val="007D2BFE"/>
    <w:rsid w:val="007D3983"/>
    <w:rsid w:val="007D3DCB"/>
    <w:rsid w:val="007D4601"/>
    <w:rsid w:val="007D460C"/>
    <w:rsid w:val="007D4996"/>
    <w:rsid w:val="007D4AD3"/>
    <w:rsid w:val="007D4E63"/>
    <w:rsid w:val="007D5C58"/>
    <w:rsid w:val="007D5D19"/>
    <w:rsid w:val="007D5FDC"/>
    <w:rsid w:val="007D6176"/>
    <w:rsid w:val="007D641C"/>
    <w:rsid w:val="007D69CD"/>
    <w:rsid w:val="007D6D68"/>
    <w:rsid w:val="007D715E"/>
    <w:rsid w:val="007D7A0D"/>
    <w:rsid w:val="007E03B4"/>
    <w:rsid w:val="007E066C"/>
    <w:rsid w:val="007E194F"/>
    <w:rsid w:val="007E201B"/>
    <w:rsid w:val="007E250B"/>
    <w:rsid w:val="007E2724"/>
    <w:rsid w:val="007E2EE9"/>
    <w:rsid w:val="007E32DA"/>
    <w:rsid w:val="007E3B12"/>
    <w:rsid w:val="007E3B29"/>
    <w:rsid w:val="007E3B6D"/>
    <w:rsid w:val="007E4998"/>
    <w:rsid w:val="007E4A9C"/>
    <w:rsid w:val="007E4B9D"/>
    <w:rsid w:val="007E5248"/>
    <w:rsid w:val="007E5C4F"/>
    <w:rsid w:val="007E6914"/>
    <w:rsid w:val="007E70FD"/>
    <w:rsid w:val="007E7F78"/>
    <w:rsid w:val="007F0179"/>
    <w:rsid w:val="007F0FF8"/>
    <w:rsid w:val="007F148A"/>
    <w:rsid w:val="007F159F"/>
    <w:rsid w:val="007F2640"/>
    <w:rsid w:val="007F2C13"/>
    <w:rsid w:val="007F2CEC"/>
    <w:rsid w:val="007F2ED1"/>
    <w:rsid w:val="007F3435"/>
    <w:rsid w:val="007F4D57"/>
    <w:rsid w:val="007F503A"/>
    <w:rsid w:val="007F505D"/>
    <w:rsid w:val="007F531B"/>
    <w:rsid w:val="007F54CF"/>
    <w:rsid w:val="007F55DE"/>
    <w:rsid w:val="007F5BAC"/>
    <w:rsid w:val="007F6153"/>
    <w:rsid w:val="007F6ACC"/>
    <w:rsid w:val="007F718F"/>
    <w:rsid w:val="007F762D"/>
    <w:rsid w:val="007F78B8"/>
    <w:rsid w:val="007F78F0"/>
    <w:rsid w:val="007F78FF"/>
    <w:rsid w:val="007F79EC"/>
    <w:rsid w:val="008001C5"/>
    <w:rsid w:val="00800F6C"/>
    <w:rsid w:val="00801065"/>
    <w:rsid w:val="008024CA"/>
    <w:rsid w:val="00802C0B"/>
    <w:rsid w:val="00802D83"/>
    <w:rsid w:val="0080319D"/>
    <w:rsid w:val="00803ADF"/>
    <w:rsid w:val="00804206"/>
    <w:rsid w:val="0080425E"/>
    <w:rsid w:val="00805040"/>
    <w:rsid w:val="008051FC"/>
    <w:rsid w:val="008055A9"/>
    <w:rsid w:val="008056C4"/>
    <w:rsid w:val="008057FD"/>
    <w:rsid w:val="00805D8B"/>
    <w:rsid w:val="008064CF"/>
    <w:rsid w:val="00806C33"/>
    <w:rsid w:val="00806F21"/>
    <w:rsid w:val="00807BF7"/>
    <w:rsid w:val="0081010F"/>
    <w:rsid w:val="00810BB6"/>
    <w:rsid w:val="00810E8E"/>
    <w:rsid w:val="00812C44"/>
    <w:rsid w:val="008135E1"/>
    <w:rsid w:val="00813779"/>
    <w:rsid w:val="00813792"/>
    <w:rsid w:val="00813AA2"/>
    <w:rsid w:val="00813E26"/>
    <w:rsid w:val="00813EAD"/>
    <w:rsid w:val="00814321"/>
    <w:rsid w:val="0081481D"/>
    <w:rsid w:val="00814B60"/>
    <w:rsid w:val="00814BE8"/>
    <w:rsid w:val="00814D94"/>
    <w:rsid w:val="00814F6E"/>
    <w:rsid w:val="00815B84"/>
    <w:rsid w:val="00816342"/>
    <w:rsid w:val="008166F6"/>
    <w:rsid w:val="00816897"/>
    <w:rsid w:val="00816BE9"/>
    <w:rsid w:val="00817A39"/>
    <w:rsid w:val="00817D10"/>
    <w:rsid w:val="00821191"/>
    <w:rsid w:val="00822518"/>
    <w:rsid w:val="008226F5"/>
    <w:rsid w:val="00823FC6"/>
    <w:rsid w:val="00824306"/>
    <w:rsid w:val="00824B1F"/>
    <w:rsid w:val="00825C74"/>
    <w:rsid w:val="00825CFA"/>
    <w:rsid w:val="00825F10"/>
    <w:rsid w:val="00826AB9"/>
    <w:rsid w:val="00826E0E"/>
    <w:rsid w:val="00826EB7"/>
    <w:rsid w:val="00827D11"/>
    <w:rsid w:val="00827E0F"/>
    <w:rsid w:val="00827F6E"/>
    <w:rsid w:val="0083077E"/>
    <w:rsid w:val="00830E66"/>
    <w:rsid w:val="00831758"/>
    <w:rsid w:val="008317D9"/>
    <w:rsid w:val="00831AEC"/>
    <w:rsid w:val="0083279F"/>
    <w:rsid w:val="00832CE9"/>
    <w:rsid w:val="008334DB"/>
    <w:rsid w:val="00833B7F"/>
    <w:rsid w:val="00833B82"/>
    <w:rsid w:val="00833E8E"/>
    <w:rsid w:val="0083407B"/>
    <w:rsid w:val="00834906"/>
    <w:rsid w:val="00835202"/>
    <w:rsid w:val="00836075"/>
    <w:rsid w:val="00836417"/>
    <w:rsid w:val="00836BC6"/>
    <w:rsid w:val="00836D47"/>
    <w:rsid w:val="008373B7"/>
    <w:rsid w:val="00837526"/>
    <w:rsid w:val="00837BB1"/>
    <w:rsid w:val="008407A7"/>
    <w:rsid w:val="00842275"/>
    <w:rsid w:val="0084322B"/>
    <w:rsid w:val="008433A0"/>
    <w:rsid w:val="00843F81"/>
    <w:rsid w:val="00844087"/>
    <w:rsid w:val="008448F1"/>
    <w:rsid w:val="00844A56"/>
    <w:rsid w:val="0084519E"/>
    <w:rsid w:val="00845CAE"/>
    <w:rsid w:val="008462C5"/>
    <w:rsid w:val="008462FA"/>
    <w:rsid w:val="00846370"/>
    <w:rsid w:val="00846873"/>
    <w:rsid w:val="00846D33"/>
    <w:rsid w:val="00847366"/>
    <w:rsid w:val="008474A6"/>
    <w:rsid w:val="00847544"/>
    <w:rsid w:val="008477E7"/>
    <w:rsid w:val="00847C2B"/>
    <w:rsid w:val="0085020C"/>
    <w:rsid w:val="00850272"/>
    <w:rsid w:val="008506B9"/>
    <w:rsid w:val="0085086F"/>
    <w:rsid w:val="00850B42"/>
    <w:rsid w:val="00851822"/>
    <w:rsid w:val="00851C16"/>
    <w:rsid w:val="00851E20"/>
    <w:rsid w:val="00852744"/>
    <w:rsid w:val="008532BF"/>
    <w:rsid w:val="008539B2"/>
    <w:rsid w:val="00853BF4"/>
    <w:rsid w:val="00853F94"/>
    <w:rsid w:val="00854294"/>
    <w:rsid w:val="00854295"/>
    <w:rsid w:val="008545CE"/>
    <w:rsid w:val="0085572E"/>
    <w:rsid w:val="008577C8"/>
    <w:rsid w:val="0085788B"/>
    <w:rsid w:val="00857A9E"/>
    <w:rsid w:val="00857D1F"/>
    <w:rsid w:val="00857DE2"/>
    <w:rsid w:val="00857EEE"/>
    <w:rsid w:val="00857F1A"/>
    <w:rsid w:val="0086003D"/>
    <w:rsid w:val="00861D63"/>
    <w:rsid w:val="0086358C"/>
    <w:rsid w:val="00863A8E"/>
    <w:rsid w:val="0086407F"/>
    <w:rsid w:val="008640BE"/>
    <w:rsid w:val="008644DD"/>
    <w:rsid w:val="008645E3"/>
    <w:rsid w:val="0086486A"/>
    <w:rsid w:val="008648B2"/>
    <w:rsid w:val="00864E79"/>
    <w:rsid w:val="00864EC0"/>
    <w:rsid w:val="0086542D"/>
    <w:rsid w:val="0086572B"/>
    <w:rsid w:val="008665BF"/>
    <w:rsid w:val="00866615"/>
    <w:rsid w:val="0086661F"/>
    <w:rsid w:val="00866A0D"/>
    <w:rsid w:val="00866DB5"/>
    <w:rsid w:val="0086701D"/>
    <w:rsid w:val="0086702B"/>
    <w:rsid w:val="008672E2"/>
    <w:rsid w:val="0086784E"/>
    <w:rsid w:val="0087110C"/>
    <w:rsid w:val="0087121C"/>
    <w:rsid w:val="00871225"/>
    <w:rsid w:val="00871EB0"/>
    <w:rsid w:val="00871FD2"/>
    <w:rsid w:val="00872084"/>
    <w:rsid w:val="00872827"/>
    <w:rsid w:val="00872A32"/>
    <w:rsid w:val="0087321D"/>
    <w:rsid w:val="00873653"/>
    <w:rsid w:val="00873D25"/>
    <w:rsid w:val="00873E90"/>
    <w:rsid w:val="00874911"/>
    <w:rsid w:val="008754E4"/>
    <w:rsid w:val="00876EAE"/>
    <w:rsid w:val="00877305"/>
    <w:rsid w:val="0087778B"/>
    <w:rsid w:val="00877983"/>
    <w:rsid w:val="00877A02"/>
    <w:rsid w:val="00880106"/>
    <w:rsid w:val="00880F95"/>
    <w:rsid w:val="00881EE2"/>
    <w:rsid w:val="00882910"/>
    <w:rsid w:val="00882B44"/>
    <w:rsid w:val="008838AD"/>
    <w:rsid w:val="008841D3"/>
    <w:rsid w:val="008847DB"/>
    <w:rsid w:val="00884940"/>
    <w:rsid w:val="00885381"/>
    <w:rsid w:val="0088572B"/>
    <w:rsid w:val="00885BC9"/>
    <w:rsid w:val="008864B3"/>
    <w:rsid w:val="008865E5"/>
    <w:rsid w:val="0088682F"/>
    <w:rsid w:val="008871B0"/>
    <w:rsid w:val="00887A0B"/>
    <w:rsid w:val="008905A6"/>
    <w:rsid w:val="00890B57"/>
    <w:rsid w:val="008916BA"/>
    <w:rsid w:val="0089217C"/>
    <w:rsid w:val="00892476"/>
    <w:rsid w:val="00892790"/>
    <w:rsid w:val="00893671"/>
    <w:rsid w:val="0089445B"/>
    <w:rsid w:val="008945B9"/>
    <w:rsid w:val="0089493F"/>
    <w:rsid w:val="00894979"/>
    <w:rsid w:val="00895838"/>
    <w:rsid w:val="00895A1E"/>
    <w:rsid w:val="00895A72"/>
    <w:rsid w:val="00895CDF"/>
    <w:rsid w:val="00895EE3"/>
    <w:rsid w:val="00896046"/>
    <w:rsid w:val="00896679"/>
    <w:rsid w:val="00896D8C"/>
    <w:rsid w:val="00897184"/>
    <w:rsid w:val="008A0717"/>
    <w:rsid w:val="008A0FAC"/>
    <w:rsid w:val="008A0FC9"/>
    <w:rsid w:val="008A14C8"/>
    <w:rsid w:val="008A1956"/>
    <w:rsid w:val="008A1A7C"/>
    <w:rsid w:val="008A2CE2"/>
    <w:rsid w:val="008A3F0C"/>
    <w:rsid w:val="008A40D3"/>
    <w:rsid w:val="008A413F"/>
    <w:rsid w:val="008A451F"/>
    <w:rsid w:val="008A469C"/>
    <w:rsid w:val="008A50FB"/>
    <w:rsid w:val="008A51D1"/>
    <w:rsid w:val="008A5C90"/>
    <w:rsid w:val="008A5DCE"/>
    <w:rsid w:val="008A75D3"/>
    <w:rsid w:val="008A7F09"/>
    <w:rsid w:val="008B00D6"/>
    <w:rsid w:val="008B05DD"/>
    <w:rsid w:val="008B062C"/>
    <w:rsid w:val="008B07B8"/>
    <w:rsid w:val="008B17E8"/>
    <w:rsid w:val="008B1D32"/>
    <w:rsid w:val="008B2C45"/>
    <w:rsid w:val="008B2E7C"/>
    <w:rsid w:val="008B399A"/>
    <w:rsid w:val="008B3C16"/>
    <w:rsid w:val="008B45F0"/>
    <w:rsid w:val="008B4A70"/>
    <w:rsid w:val="008B502F"/>
    <w:rsid w:val="008B54FD"/>
    <w:rsid w:val="008B5692"/>
    <w:rsid w:val="008B5F31"/>
    <w:rsid w:val="008B6CE5"/>
    <w:rsid w:val="008B6DFC"/>
    <w:rsid w:val="008B7227"/>
    <w:rsid w:val="008C02FB"/>
    <w:rsid w:val="008C04E0"/>
    <w:rsid w:val="008C191C"/>
    <w:rsid w:val="008C1DA4"/>
    <w:rsid w:val="008C2138"/>
    <w:rsid w:val="008C2608"/>
    <w:rsid w:val="008C29B0"/>
    <w:rsid w:val="008C2CD5"/>
    <w:rsid w:val="008C33AE"/>
    <w:rsid w:val="008C3618"/>
    <w:rsid w:val="008C39E7"/>
    <w:rsid w:val="008C43AD"/>
    <w:rsid w:val="008C49A3"/>
    <w:rsid w:val="008C4C1E"/>
    <w:rsid w:val="008C5A63"/>
    <w:rsid w:val="008C602A"/>
    <w:rsid w:val="008C6118"/>
    <w:rsid w:val="008C6341"/>
    <w:rsid w:val="008C653D"/>
    <w:rsid w:val="008C731F"/>
    <w:rsid w:val="008C74D9"/>
    <w:rsid w:val="008C7569"/>
    <w:rsid w:val="008C7726"/>
    <w:rsid w:val="008D06EC"/>
    <w:rsid w:val="008D2050"/>
    <w:rsid w:val="008D21DD"/>
    <w:rsid w:val="008D2D79"/>
    <w:rsid w:val="008D35CA"/>
    <w:rsid w:val="008D3B2D"/>
    <w:rsid w:val="008D5433"/>
    <w:rsid w:val="008D58D9"/>
    <w:rsid w:val="008D5AD4"/>
    <w:rsid w:val="008D5E4E"/>
    <w:rsid w:val="008D5E9D"/>
    <w:rsid w:val="008D5F65"/>
    <w:rsid w:val="008D62B3"/>
    <w:rsid w:val="008D695E"/>
    <w:rsid w:val="008D6DD5"/>
    <w:rsid w:val="008D6E59"/>
    <w:rsid w:val="008D7155"/>
    <w:rsid w:val="008D76E0"/>
    <w:rsid w:val="008E03A3"/>
    <w:rsid w:val="008E079C"/>
    <w:rsid w:val="008E0B29"/>
    <w:rsid w:val="008E141A"/>
    <w:rsid w:val="008E1810"/>
    <w:rsid w:val="008E1A44"/>
    <w:rsid w:val="008E1EED"/>
    <w:rsid w:val="008E244B"/>
    <w:rsid w:val="008E26CA"/>
    <w:rsid w:val="008E2859"/>
    <w:rsid w:val="008E28E6"/>
    <w:rsid w:val="008E2C57"/>
    <w:rsid w:val="008E3232"/>
    <w:rsid w:val="008E3674"/>
    <w:rsid w:val="008E3B6C"/>
    <w:rsid w:val="008E3DE7"/>
    <w:rsid w:val="008E5227"/>
    <w:rsid w:val="008E562C"/>
    <w:rsid w:val="008E5FB9"/>
    <w:rsid w:val="008E611D"/>
    <w:rsid w:val="008E6540"/>
    <w:rsid w:val="008E6758"/>
    <w:rsid w:val="008E6A1C"/>
    <w:rsid w:val="008E6FBE"/>
    <w:rsid w:val="008E77D4"/>
    <w:rsid w:val="008E7ADD"/>
    <w:rsid w:val="008F091F"/>
    <w:rsid w:val="008F1548"/>
    <w:rsid w:val="008F17B2"/>
    <w:rsid w:val="008F22B3"/>
    <w:rsid w:val="008F241E"/>
    <w:rsid w:val="008F2F1F"/>
    <w:rsid w:val="008F312B"/>
    <w:rsid w:val="008F357B"/>
    <w:rsid w:val="008F366E"/>
    <w:rsid w:val="008F36DE"/>
    <w:rsid w:val="008F3B56"/>
    <w:rsid w:val="008F44CA"/>
    <w:rsid w:val="008F4547"/>
    <w:rsid w:val="008F49D3"/>
    <w:rsid w:val="008F51D3"/>
    <w:rsid w:val="008F5B69"/>
    <w:rsid w:val="008F6519"/>
    <w:rsid w:val="008F68C5"/>
    <w:rsid w:val="008F694F"/>
    <w:rsid w:val="008F6AC1"/>
    <w:rsid w:val="008F6B67"/>
    <w:rsid w:val="008F6F4C"/>
    <w:rsid w:val="008F7012"/>
    <w:rsid w:val="008F7576"/>
    <w:rsid w:val="008F7ADA"/>
    <w:rsid w:val="008F7B17"/>
    <w:rsid w:val="00900042"/>
    <w:rsid w:val="0090034B"/>
    <w:rsid w:val="009005D7"/>
    <w:rsid w:val="0090087C"/>
    <w:rsid w:val="00900B87"/>
    <w:rsid w:val="00900D2F"/>
    <w:rsid w:val="00901121"/>
    <w:rsid w:val="00901B50"/>
    <w:rsid w:val="00902623"/>
    <w:rsid w:val="009029CF"/>
    <w:rsid w:val="00902A67"/>
    <w:rsid w:val="00902C5E"/>
    <w:rsid w:val="009032F7"/>
    <w:rsid w:val="009035FA"/>
    <w:rsid w:val="00904BE4"/>
    <w:rsid w:val="0090504A"/>
    <w:rsid w:val="009051F5"/>
    <w:rsid w:val="00905221"/>
    <w:rsid w:val="0090530B"/>
    <w:rsid w:val="00905664"/>
    <w:rsid w:val="009058FC"/>
    <w:rsid w:val="00905A7C"/>
    <w:rsid w:val="00905D7E"/>
    <w:rsid w:val="00907037"/>
    <w:rsid w:val="00907259"/>
    <w:rsid w:val="00907929"/>
    <w:rsid w:val="00910577"/>
    <w:rsid w:val="00910C5D"/>
    <w:rsid w:val="0091112C"/>
    <w:rsid w:val="009113F2"/>
    <w:rsid w:val="0091160A"/>
    <w:rsid w:val="00911A41"/>
    <w:rsid w:val="00912A06"/>
    <w:rsid w:val="00912E04"/>
    <w:rsid w:val="00913258"/>
    <w:rsid w:val="00913851"/>
    <w:rsid w:val="00913BB0"/>
    <w:rsid w:val="0091456C"/>
    <w:rsid w:val="009145DE"/>
    <w:rsid w:val="00914C58"/>
    <w:rsid w:val="00914D78"/>
    <w:rsid w:val="009151FC"/>
    <w:rsid w:val="009153D3"/>
    <w:rsid w:val="0091564D"/>
    <w:rsid w:val="009156DA"/>
    <w:rsid w:val="00915774"/>
    <w:rsid w:val="00916BC5"/>
    <w:rsid w:val="0091726A"/>
    <w:rsid w:val="0091733B"/>
    <w:rsid w:val="00917C01"/>
    <w:rsid w:val="00920184"/>
    <w:rsid w:val="00920421"/>
    <w:rsid w:val="00920EA4"/>
    <w:rsid w:val="00921792"/>
    <w:rsid w:val="00921BEA"/>
    <w:rsid w:val="009227BE"/>
    <w:rsid w:val="00922C83"/>
    <w:rsid w:val="009238FD"/>
    <w:rsid w:val="00923998"/>
    <w:rsid w:val="00923DB4"/>
    <w:rsid w:val="0092420B"/>
    <w:rsid w:val="0092430E"/>
    <w:rsid w:val="00924451"/>
    <w:rsid w:val="00926112"/>
    <w:rsid w:val="0092625F"/>
    <w:rsid w:val="00926B28"/>
    <w:rsid w:val="00926D9C"/>
    <w:rsid w:val="00927028"/>
    <w:rsid w:val="0092708F"/>
    <w:rsid w:val="0092734A"/>
    <w:rsid w:val="00927763"/>
    <w:rsid w:val="0092798A"/>
    <w:rsid w:val="00927A2D"/>
    <w:rsid w:val="00927B37"/>
    <w:rsid w:val="009307CD"/>
    <w:rsid w:val="00930CC5"/>
    <w:rsid w:val="009314B1"/>
    <w:rsid w:val="009321B1"/>
    <w:rsid w:val="0093236E"/>
    <w:rsid w:val="009327F0"/>
    <w:rsid w:val="00932A42"/>
    <w:rsid w:val="00932ECE"/>
    <w:rsid w:val="00932ED7"/>
    <w:rsid w:val="00933278"/>
    <w:rsid w:val="00933E30"/>
    <w:rsid w:val="0093422D"/>
    <w:rsid w:val="0093483B"/>
    <w:rsid w:val="00934CF9"/>
    <w:rsid w:val="00934DD7"/>
    <w:rsid w:val="00934F9C"/>
    <w:rsid w:val="00934FEB"/>
    <w:rsid w:val="009357C9"/>
    <w:rsid w:val="00935CB2"/>
    <w:rsid w:val="00936898"/>
    <w:rsid w:val="009369A9"/>
    <w:rsid w:val="00936CF7"/>
    <w:rsid w:val="00937783"/>
    <w:rsid w:val="00937EAD"/>
    <w:rsid w:val="00937F28"/>
    <w:rsid w:val="009401F5"/>
    <w:rsid w:val="00940FE1"/>
    <w:rsid w:val="0094117A"/>
    <w:rsid w:val="00941474"/>
    <w:rsid w:val="00942306"/>
    <w:rsid w:val="009424B8"/>
    <w:rsid w:val="0094286B"/>
    <w:rsid w:val="009432E2"/>
    <w:rsid w:val="009440DD"/>
    <w:rsid w:val="00944668"/>
    <w:rsid w:val="00944DC6"/>
    <w:rsid w:val="00945829"/>
    <w:rsid w:val="009458B0"/>
    <w:rsid w:val="00945B52"/>
    <w:rsid w:val="00945B7A"/>
    <w:rsid w:val="00945F05"/>
    <w:rsid w:val="00945FE0"/>
    <w:rsid w:val="00946348"/>
    <w:rsid w:val="00946B10"/>
    <w:rsid w:val="0094708D"/>
    <w:rsid w:val="009471C2"/>
    <w:rsid w:val="00947224"/>
    <w:rsid w:val="00947797"/>
    <w:rsid w:val="009478A2"/>
    <w:rsid w:val="00947942"/>
    <w:rsid w:val="00950181"/>
    <w:rsid w:val="00950402"/>
    <w:rsid w:val="00950865"/>
    <w:rsid w:val="009533BD"/>
    <w:rsid w:val="00953557"/>
    <w:rsid w:val="009536FB"/>
    <w:rsid w:val="00953808"/>
    <w:rsid w:val="009539A6"/>
    <w:rsid w:val="00953C3A"/>
    <w:rsid w:val="00954032"/>
    <w:rsid w:val="00954537"/>
    <w:rsid w:val="0095472D"/>
    <w:rsid w:val="00954F0F"/>
    <w:rsid w:val="00955342"/>
    <w:rsid w:val="00955D57"/>
    <w:rsid w:val="00955FBB"/>
    <w:rsid w:val="00956705"/>
    <w:rsid w:val="0095694B"/>
    <w:rsid w:val="00956BD5"/>
    <w:rsid w:val="00956D84"/>
    <w:rsid w:val="00956F1E"/>
    <w:rsid w:val="009577B5"/>
    <w:rsid w:val="00957D66"/>
    <w:rsid w:val="00960491"/>
    <w:rsid w:val="009608E6"/>
    <w:rsid w:val="00960F57"/>
    <w:rsid w:val="00961669"/>
    <w:rsid w:val="009618AF"/>
    <w:rsid w:val="00961C90"/>
    <w:rsid w:val="00962A26"/>
    <w:rsid w:val="00965186"/>
    <w:rsid w:val="00965443"/>
    <w:rsid w:val="00965954"/>
    <w:rsid w:val="00965A21"/>
    <w:rsid w:val="00965C3A"/>
    <w:rsid w:val="00965E55"/>
    <w:rsid w:val="0096608E"/>
    <w:rsid w:val="00966522"/>
    <w:rsid w:val="00966926"/>
    <w:rsid w:val="00966C33"/>
    <w:rsid w:val="00967288"/>
    <w:rsid w:val="009678D3"/>
    <w:rsid w:val="00970F18"/>
    <w:rsid w:val="00971CF1"/>
    <w:rsid w:val="00971F5D"/>
    <w:rsid w:val="009721E9"/>
    <w:rsid w:val="009722B5"/>
    <w:rsid w:val="00972C2E"/>
    <w:rsid w:val="00973330"/>
    <w:rsid w:val="009733D3"/>
    <w:rsid w:val="00973772"/>
    <w:rsid w:val="00974240"/>
    <w:rsid w:val="00974610"/>
    <w:rsid w:val="00975499"/>
    <w:rsid w:val="0097560A"/>
    <w:rsid w:val="0097598F"/>
    <w:rsid w:val="00975E1E"/>
    <w:rsid w:val="00975E70"/>
    <w:rsid w:val="009761DE"/>
    <w:rsid w:val="009766D4"/>
    <w:rsid w:val="009766FA"/>
    <w:rsid w:val="00976E80"/>
    <w:rsid w:val="00977714"/>
    <w:rsid w:val="00977944"/>
    <w:rsid w:val="00977CD6"/>
    <w:rsid w:val="009803E3"/>
    <w:rsid w:val="0098048B"/>
    <w:rsid w:val="00980908"/>
    <w:rsid w:val="00980DF9"/>
    <w:rsid w:val="00981CD8"/>
    <w:rsid w:val="0098243D"/>
    <w:rsid w:val="009825EF"/>
    <w:rsid w:val="00982C19"/>
    <w:rsid w:val="00982D26"/>
    <w:rsid w:val="00983B6E"/>
    <w:rsid w:val="00983FE5"/>
    <w:rsid w:val="00984544"/>
    <w:rsid w:val="009849E9"/>
    <w:rsid w:val="00984AFF"/>
    <w:rsid w:val="00985048"/>
    <w:rsid w:val="009855AC"/>
    <w:rsid w:val="009859E4"/>
    <w:rsid w:val="00985D7F"/>
    <w:rsid w:val="00987812"/>
    <w:rsid w:val="00987A48"/>
    <w:rsid w:val="00987B39"/>
    <w:rsid w:val="009900FE"/>
    <w:rsid w:val="00990225"/>
    <w:rsid w:val="00990678"/>
    <w:rsid w:val="00991307"/>
    <w:rsid w:val="0099157D"/>
    <w:rsid w:val="00991FAA"/>
    <w:rsid w:val="00991FD2"/>
    <w:rsid w:val="00992A13"/>
    <w:rsid w:val="00993DB1"/>
    <w:rsid w:val="00994AAD"/>
    <w:rsid w:val="00995150"/>
    <w:rsid w:val="009957A6"/>
    <w:rsid w:val="00995D67"/>
    <w:rsid w:val="009968C5"/>
    <w:rsid w:val="00997613"/>
    <w:rsid w:val="009A013B"/>
    <w:rsid w:val="009A02F4"/>
    <w:rsid w:val="009A0617"/>
    <w:rsid w:val="009A06BF"/>
    <w:rsid w:val="009A09C5"/>
    <w:rsid w:val="009A0D17"/>
    <w:rsid w:val="009A12C8"/>
    <w:rsid w:val="009A2494"/>
    <w:rsid w:val="009A32B1"/>
    <w:rsid w:val="009A33A3"/>
    <w:rsid w:val="009A36F2"/>
    <w:rsid w:val="009A40C3"/>
    <w:rsid w:val="009A40D5"/>
    <w:rsid w:val="009A5268"/>
    <w:rsid w:val="009A57D0"/>
    <w:rsid w:val="009A6559"/>
    <w:rsid w:val="009A68FC"/>
    <w:rsid w:val="009A6AE6"/>
    <w:rsid w:val="009A6CE4"/>
    <w:rsid w:val="009A7514"/>
    <w:rsid w:val="009A7665"/>
    <w:rsid w:val="009A7E7A"/>
    <w:rsid w:val="009B021B"/>
    <w:rsid w:val="009B0925"/>
    <w:rsid w:val="009B1584"/>
    <w:rsid w:val="009B18F0"/>
    <w:rsid w:val="009B194E"/>
    <w:rsid w:val="009B1F4C"/>
    <w:rsid w:val="009B2203"/>
    <w:rsid w:val="009B2471"/>
    <w:rsid w:val="009B314F"/>
    <w:rsid w:val="009B439C"/>
    <w:rsid w:val="009B49A1"/>
    <w:rsid w:val="009B4A6C"/>
    <w:rsid w:val="009B4DA8"/>
    <w:rsid w:val="009B4FA6"/>
    <w:rsid w:val="009B519A"/>
    <w:rsid w:val="009B53E6"/>
    <w:rsid w:val="009B620C"/>
    <w:rsid w:val="009B6454"/>
    <w:rsid w:val="009B64CC"/>
    <w:rsid w:val="009B6753"/>
    <w:rsid w:val="009B676C"/>
    <w:rsid w:val="009B6A26"/>
    <w:rsid w:val="009C079D"/>
    <w:rsid w:val="009C0C12"/>
    <w:rsid w:val="009C0D70"/>
    <w:rsid w:val="009C1282"/>
    <w:rsid w:val="009C13D1"/>
    <w:rsid w:val="009C14A3"/>
    <w:rsid w:val="009C2913"/>
    <w:rsid w:val="009C2BD4"/>
    <w:rsid w:val="009C32F0"/>
    <w:rsid w:val="009C334C"/>
    <w:rsid w:val="009C3EED"/>
    <w:rsid w:val="009C4596"/>
    <w:rsid w:val="009C52FB"/>
    <w:rsid w:val="009C5314"/>
    <w:rsid w:val="009C5AFE"/>
    <w:rsid w:val="009C6606"/>
    <w:rsid w:val="009C6CE5"/>
    <w:rsid w:val="009C6D50"/>
    <w:rsid w:val="009C72B2"/>
    <w:rsid w:val="009C7547"/>
    <w:rsid w:val="009D05EC"/>
    <w:rsid w:val="009D18D4"/>
    <w:rsid w:val="009D1E82"/>
    <w:rsid w:val="009D1FCF"/>
    <w:rsid w:val="009D2F60"/>
    <w:rsid w:val="009D3A2E"/>
    <w:rsid w:val="009D3E61"/>
    <w:rsid w:val="009D4C2E"/>
    <w:rsid w:val="009D53C0"/>
    <w:rsid w:val="009D5912"/>
    <w:rsid w:val="009D5ADE"/>
    <w:rsid w:val="009D5BAC"/>
    <w:rsid w:val="009D5C56"/>
    <w:rsid w:val="009D6265"/>
    <w:rsid w:val="009D64BD"/>
    <w:rsid w:val="009D6CB1"/>
    <w:rsid w:val="009D799C"/>
    <w:rsid w:val="009E0286"/>
    <w:rsid w:val="009E0A4B"/>
    <w:rsid w:val="009E153F"/>
    <w:rsid w:val="009E18C5"/>
    <w:rsid w:val="009E2758"/>
    <w:rsid w:val="009E2B98"/>
    <w:rsid w:val="009E322A"/>
    <w:rsid w:val="009E32F4"/>
    <w:rsid w:val="009E3483"/>
    <w:rsid w:val="009E393E"/>
    <w:rsid w:val="009E42FD"/>
    <w:rsid w:val="009E444E"/>
    <w:rsid w:val="009E454D"/>
    <w:rsid w:val="009E4968"/>
    <w:rsid w:val="009E4E01"/>
    <w:rsid w:val="009E5676"/>
    <w:rsid w:val="009E663C"/>
    <w:rsid w:val="009E684A"/>
    <w:rsid w:val="009E6BB1"/>
    <w:rsid w:val="009E6E14"/>
    <w:rsid w:val="009E794A"/>
    <w:rsid w:val="009E7B26"/>
    <w:rsid w:val="009E7C14"/>
    <w:rsid w:val="009F0494"/>
    <w:rsid w:val="009F0CD9"/>
    <w:rsid w:val="009F1A79"/>
    <w:rsid w:val="009F1F57"/>
    <w:rsid w:val="009F249F"/>
    <w:rsid w:val="009F2DDD"/>
    <w:rsid w:val="009F32B4"/>
    <w:rsid w:val="009F3447"/>
    <w:rsid w:val="009F5847"/>
    <w:rsid w:val="009F65F4"/>
    <w:rsid w:val="009F6763"/>
    <w:rsid w:val="009F676B"/>
    <w:rsid w:val="009F6D2D"/>
    <w:rsid w:val="009F6D54"/>
    <w:rsid w:val="00A004DF"/>
    <w:rsid w:val="00A00A52"/>
    <w:rsid w:val="00A00EE6"/>
    <w:rsid w:val="00A00FD5"/>
    <w:rsid w:val="00A012C0"/>
    <w:rsid w:val="00A019A8"/>
    <w:rsid w:val="00A01B03"/>
    <w:rsid w:val="00A01B89"/>
    <w:rsid w:val="00A02C66"/>
    <w:rsid w:val="00A02C84"/>
    <w:rsid w:val="00A035E1"/>
    <w:rsid w:val="00A03842"/>
    <w:rsid w:val="00A04394"/>
    <w:rsid w:val="00A0464C"/>
    <w:rsid w:val="00A04F3F"/>
    <w:rsid w:val="00A050BB"/>
    <w:rsid w:val="00A05128"/>
    <w:rsid w:val="00A0521B"/>
    <w:rsid w:val="00A05262"/>
    <w:rsid w:val="00A054E0"/>
    <w:rsid w:val="00A05D91"/>
    <w:rsid w:val="00A06972"/>
    <w:rsid w:val="00A0734B"/>
    <w:rsid w:val="00A0740B"/>
    <w:rsid w:val="00A07ED3"/>
    <w:rsid w:val="00A10162"/>
    <w:rsid w:val="00A10CA8"/>
    <w:rsid w:val="00A10D5A"/>
    <w:rsid w:val="00A11042"/>
    <w:rsid w:val="00A12579"/>
    <w:rsid w:val="00A12CDC"/>
    <w:rsid w:val="00A12E1D"/>
    <w:rsid w:val="00A1304B"/>
    <w:rsid w:val="00A133D8"/>
    <w:rsid w:val="00A13464"/>
    <w:rsid w:val="00A13553"/>
    <w:rsid w:val="00A13F58"/>
    <w:rsid w:val="00A14382"/>
    <w:rsid w:val="00A15480"/>
    <w:rsid w:val="00A15655"/>
    <w:rsid w:val="00A160B0"/>
    <w:rsid w:val="00A1740C"/>
    <w:rsid w:val="00A17904"/>
    <w:rsid w:val="00A20069"/>
    <w:rsid w:val="00A2244D"/>
    <w:rsid w:val="00A2253D"/>
    <w:rsid w:val="00A2267F"/>
    <w:rsid w:val="00A22CDB"/>
    <w:rsid w:val="00A22D95"/>
    <w:rsid w:val="00A247B8"/>
    <w:rsid w:val="00A24914"/>
    <w:rsid w:val="00A2495A"/>
    <w:rsid w:val="00A24C7A"/>
    <w:rsid w:val="00A24D8F"/>
    <w:rsid w:val="00A25366"/>
    <w:rsid w:val="00A25B8B"/>
    <w:rsid w:val="00A2689F"/>
    <w:rsid w:val="00A26ECA"/>
    <w:rsid w:val="00A272C6"/>
    <w:rsid w:val="00A2734E"/>
    <w:rsid w:val="00A27461"/>
    <w:rsid w:val="00A27837"/>
    <w:rsid w:val="00A27AE5"/>
    <w:rsid w:val="00A27D67"/>
    <w:rsid w:val="00A27EE9"/>
    <w:rsid w:val="00A27F23"/>
    <w:rsid w:val="00A30ABC"/>
    <w:rsid w:val="00A30D1F"/>
    <w:rsid w:val="00A310FB"/>
    <w:rsid w:val="00A320F4"/>
    <w:rsid w:val="00A3267D"/>
    <w:rsid w:val="00A3354D"/>
    <w:rsid w:val="00A33B74"/>
    <w:rsid w:val="00A3467F"/>
    <w:rsid w:val="00A34B4C"/>
    <w:rsid w:val="00A35030"/>
    <w:rsid w:val="00A3551A"/>
    <w:rsid w:val="00A3588F"/>
    <w:rsid w:val="00A36015"/>
    <w:rsid w:val="00A366A0"/>
    <w:rsid w:val="00A36952"/>
    <w:rsid w:val="00A37196"/>
    <w:rsid w:val="00A37209"/>
    <w:rsid w:val="00A37381"/>
    <w:rsid w:val="00A37584"/>
    <w:rsid w:val="00A376E8"/>
    <w:rsid w:val="00A37F8E"/>
    <w:rsid w:val="00A4103C"/>
    <w:rsid w:val="00A411DA"/>
    <w:rsid w:val="00A41537"/>
    <w:rsid w:val="00A41678"/>
    <w:rsid w:val="00A41737"/>
    <w:rsid w:val="00A42AD4"/>
    <w:rsid w:val="00A42B8F"/>
    <w:rsid w:val="00A42D8E"/>
    <w:rsid w:val="00A43254"/>
    <w:rsid w:val="00A43896"/>
    <w:rsid w:val="00A43951"/>
    <w:rsid w:val="00A43A26"/>
    <w:rsid w:val="00A4429D"/>
    <w:rsid w:val="00A447A0"/>
    <w:rsid w:val="00A4505E"/>
    <w:rsid w:val="00A459F5"/>
    <w:rsid w:val="00A45FC0"/>
    <w:rsid w:val="00A467AF"/>
    <w:rsid w:val="00A468C7"/>
    <w:rsid w:val="00A46B74"/>
    <w:rsid w:val="00A47BF7"/>
    <w:rsid w:val="00A47ECC"/>
    <w:rsid w:val="00A50171"/>
    <w:rsid w:val="00A50418"/>
    <w:rsid w:val="00A504FA"/>
    <w:rsid w:val="00A50E40"/>
    <w:rsid w:val="00A5102E"/>
    <w:rsid w:val="00A5132E"/>
    <w:rsid w:val="00A51375"/>
    <w:rsid w:val="00A51533"/>
    <w:rsid w:val="00A516D4"/>
    <w:rsid w:val="00A51F1A"/>
    <w:rsid w:val="00A52E32"/>
    <w:rsid w:val="00A531D4"/>
    <w:rsid w:val="00A53622"/>
    <w:rsid w:val="00A53736"/>
    <w:rsid w:val="00A53C42"/>
    <w:rsid w:val="00A54572"/>
    <w:rsid w:val="00A559D8"/>
    <w:rsid w:val="00A575B8"/>
    <w:rsid w:val="00A6020A"/>
    <w:rsid w:val="00A60CE7"/>
    <w:rsid w:val="00A60CF8"/>
    <w:rsid w:val="00A619BB"/>
    <w:rsid w:val="00A61C60"/>
    <w:rsid w:val="00A61ECB"/>
    <w:rsid w:val="00A63D58"/>
    <w:rsid w:val="00A63FE9"/>
    <w:rsid w:val="00A6410C"/>
    <w:rsid w:val="00A647B1"/>
    <w:rsid w:val="00A64DEF"/>
    <w:rsid w:val="00A65311"/>
    <w:rsid w:val="00A654D2"/>
    <w:rsid w:val="00A665DF"/>
    <w:rsid w:val="00A67331"/>
    <w:rsid w:val="00A673F1"/>
    <w:rsid w:val="00A674DB"/>
    <w:rsid w:val="00A67625"/>
    <w:rsid w:val="00A67FCC"/>
    <w:rsid w:val="00A702C3"/>
    <w:rsid w:val="00A70AA5"/>
    <w:rsid w:val="00A70C03"/>
    <w:rsid w:val="00A70C34"/>
    <w:rsid w:val="00A71256"/>
    <w:rsid w:val="00A7147C"/>
    <w:rsid w:val="00A71CB8"/>
    <w:rsid w:val="00A72172"/>
    <w:rsid w:val="00A7217B"/>
    <w:rsid w:val="00A722D7"/>
    <w:rsid w:val="00A723A3"/>
    <w:rsid w:val="00A73861"/>
    <w:rsid w:val="00A738EE"/>
    <w:rsid w:val="00A739A6"/>
    <w:rsid w:val="00A73C97"/>
    <w:rsid w:val="00A740ED"/>
    <w:rsid w:val="00A74229"/>
    <w:rsid w:val="00A746C7"/>
    <w:rsid w:val="00A74C29"/>
    <w:rsid w:val="00A74C62"/>
    <w:rsid w:val="00A75A70"/>
    <w:rsid w:val="00A75EF9"/>
    <w:rsid w:val="00A7642C"/>
    <w:rsid w:val="00A7657C"/>
    <w:rsid w:val="00A76B5E"/>
    <w:rsid w:val="00A76BD8"/>
    <w:rsid w:val="00A76E4E"/>
    <w:rsid w:val="00A7744F"/>
    <w:rsid w:val="00A80018"/>
    <w:rsid w:val="00A80A5D"/>
    <w:rsid w:val="00A81E9C"/>
    <w:rsid w:val="00A81ECA"/>
    <w:rsid w:val="00A821D4"/>
    <w:rsid w:val="00A82764"/>
    <w:rsid w:val="00A8311C"/>
    <w:rsid w:val="00A835D0"/>
    <w:rsid w:val="00A83821"/>
    <w:rsid w:val="00A84150"/>
    <w:rsid w:val="00A84761"/>
    <w:rsid w:val="00A84C5F"/>
    <w:rsid w:val="00A85240"/>
    <w:rsid w:val="00A85930"/>
    <w:rsid w:val="00A86116"/>
    <w:rsid w:val="00A863F7"/>
    <w:rsid w:val="00A86604"/>
    <w:rsid w:val="00A86ACC"/>
    <w:rsid w:val="00A87519"/>
    <w:rsid w:val="00A90213"/>
    <w:rsid w:val="00A90870"/>
    <w:rsid w:val="00A90C73"/>
    <w:rsid w:val="00A914DA"/>
    <w:rsid w:val="00A91E71"/>
    <w:rsid w:val="00A9246D"/>
    <w:rsid w:val="00A92C64"/>
    <w:rsid w:val="00A92CCA"/>
    <w:rsid w:val="00A93BD0"/>
    <w:rsid w:val="00A93CC2"/>
    <w:rsid w:val="00A9451D"/>
    <w:rsid w:val="00A94D4B"/>
    <w:rsid w:val="00A951EE"/>
    <w:rsid w:val="00A95320"/>
    <w:rsid w:val="00A956AC"/>
    <w:rsid w:val="00A9592C"/>
    <w:rsid w:val="00A95A90"/>
    <w:rsid w:val="00A974CC"/>
    <w:rsid w:val="00A97EE7"/>
    <w:rsid w:val="00A97FC3"/>
    <w:rsid w:val="00AA0A68"/>
    <w:rsid w:val="00AA1F34"/>
    <w:rsid w:val="00AA2001"/>
    <w:rsid w:val="00AA217C"/>
    <w:rsid w:val="00AA2B5C"/>
    <w:rsid w:val="00AA32D2"/>
    <w:rsid w:val="00AA33AA"/>
    <w:rsid w:val="00AA3A5C"/>
    <w:rsid w:val="00AA3AA4"/>
    <w:rsid w:val="00AA3B8B"/>
    <w:rsid w:val="00AA4016"/>
    <w:rsid w:val="00AA416D"/>
    <w:rsid w:val="00AA4976"/>
    <w:rsid w:val="00AA4C1F"/>
    <w:rsid w:val="00AA4F0C"/>
    <w:rsid w:val="00AA5328"/>
    <w:rsid w:val="00AA5393"/>
    <w:rsid w:val="00AA5881"/>
    <w:rsid w:val="00AA63D4"/>
    <w:rsid w:val="00AA7931"/>
    <w:rsid w:val="00AA7BE1"/>
    <w:rsid w:val="00AB03FD"/>
    <w:rsid w:val="00AB09B8"/>
    <w:rsid w:val="00AB1678"/>
    <w:rsid w:val="00AB199F"/>
    <w:rsid w:val="00AB1C40"/>
    <w:rsid w:val="00AB2000"/>
    <w:rsid w:val="00AB21CC"/>
    <w:rsid w:val="00AB2C06"/>
    <w:rsid w:val="00AB38CB"/>
    <w:rsid w:val="00AB3BEC"/>
    <w:rsid w:val="00AB4080"/>
    <w:rsid w:val="00AB44E4"/>
    <w:rsid w:val="00AB46D1"/>
    <w:rsid w:val="00AB4AEB"/>
    <w:rsid w:val="00AB4E5F"/>
    <w:rsid w:val="00AB5352"/>
    <w:rsid w:val="00AB56AE"/>
    <w:rsid w:val="00AB62D5"/>
    <w:rsid w:val="00AB65B5"/>
    <w:rsid w:val="00AB6DCD"/>
    <w:rsid w:val="00AB6EE0"/>
    <w:rsid w:val="00AB7240"/>
    <w:rsid w:val="00AB780C"/>
    <w:rsid w:val="00AB7D43"/>
    <w:rsid w:val="00AB7ECC"/>
    <w:rsid w:val="00AC1325"/>
    <w:rsid w:val="00AC17A2"/>
    <w:rsid w:val="00AC3096"/>
    <w:rsid w:val="00AC33F3"/>
    <w:rsid w:val="00AC40B7"/>
    <w:rsid w:val="00AC49E2"/>
    <w:rsid w:val="00AC4EAC"/>
    <w:rsid w:val="00AC531F"/>
    <w:rsid w:val="00AC5448"/>
    <w:rsid w:val="00AC5459"/>
    <w:rsid w:val="00AC5B36"/>
    <w:rsid w:val="00AC5FFE"/>
    <w:rsid w:val="00AC6377"/>
    <w:rsid w:val="00AC651A"/>
    <w:rsid w:val="00AC66A4"/>
    <w:rsid w:val="00AC6CB1"/>
    <w:rsid w:val="00AC75E9"/>
    <w:rsid w:val="00AC7965"/>
    <w:rsid w:val="00AC7D6D"/>
    <w:rsid w:val="00AC7D76"/>
    <w:rsid w:val="00AD0091"/>
    <w:rsid w:val="00AD046F"/>
    <w:rsid w:val="00AD04C1"/>
    <w:rsid w:val="00AD1119"/>
    <w:rsid w:val="00AD1315"/>
    <w:rsid w:val="00AD21D4"/>
    <w:rsid w:val="00AD23EF"/>
    <w:rsid w:val="00AD250B"/>
    <w:rsid w:val="00AD2662"/>
    <w:rsid w:val="00AD307B"/>
    <w:rsid w:val="00AD355F"/>
    <w:rsid w:val="00AD36D2"/>
    <w:rsid w:val="00AD3992"/>
    <w:rsid w:val="00AD4014"/>
    <w:rsid w:val="00AD41B3"/>
    <w:rsid w:val="00AD5721"/>
    <w:rsid w:val="00AD69F0"/>
    <w:rsid w:val="00AD7127"/>
    <w:rsid w:val="00AD730C"/>
    <w:rsid w:val="00AE04FD"/>
    <w:rsid w:val="00AE0F90"/>
    <w:rsid w:val="00AE123A"/>
    <w:rsid w:val="00AE1539"/>
    <w:rsid w:val="00AE1FB8"/>
    <w:rsid w:val="00AE28A7"/>
    <w:rsid w:val="00AE2A98"/>
    <w:rsid w:val="00AE2CF2"/>
    <w:rsid w:val="00AE2F19"/>
    <w:rsid w:val="00AE3012"/>
    <w:rsid w:val="00AE3297"/>
    <w:rsid w:val="00AE33A6"/>
    <w:rsid w:val="00AE34EE"/>
    <w:rsid w:val="00AE3513"/>
    <w:rsid w:val="00AE3729"/>
    <w:rsid w:val="00AE3C81"/>
    <w:rsid w:val="00AE4A3E"/>
    <w:rsid w:val="00AE4CCE"/>
    <w:rsid w:val="00AE59DB"/>
    <w:rsid w:val="00AE5C6A"/>
    <w:rsid w:val="00AE6358"/>
    <w:rsid w:val="00AE7058"/>
    <w:rsid w:val="00AE7280"/>
    <w:rsid w:val="00AE7B5F"/>
    <w:rsid w:val="00AF01FA"/>
    <w:rsid w:val="00AF033A"/>
    <w:rsid w:val="00AF0D26"/>
    <w:rsid w:val="00AF118E"/>
    <w:rsid w:val="00AF1658"/>
    <w:rsid w:val="00AF1699"/>
    <w:rsid w:val="00AF18D1"/>
    <w:rsid w:val="00AF1BA4"/>
    <w:rsid w:val="00AF1FD3"/>
    <w:rsid w:val="00AF2910"/>
    <w:rsid w:val="00AF34B8"/>
    <w:rsid w:val="00AF3896"/>
    <w:rsid w:val="00AF39C9"/>
    <w:rsid w:val="00AF3F97"/>
    <w:rsid w:val="00AF3FC2"/>
    <w:rsid w:val="00AF4DEC"/>
    <w:rsid w:val="00AF62F0"/>
    <w:rsid w:val="00AF6B57"/>
    <w:rsid w:val="00AF6BB9"/>
    <w:rsid w:val="00B003FF"/>
    <w:rsid w:val="00B0098A"/>
    <w:rsid w:val="00B00A5F"/>
    <w:rsid w:val="00B0116A"/>
    <w:rsid w:val="00B0139C"/>
    <w:rsid w:val="00B029B8"/>
    <w:rsid w:val="00B02F60"/>
    <w:rsid w:val="00B02F94"/>
    <w:rsid w:val="00B032B8"/>
    <w:rsid w:val="00B0396A"/>
    <w:rsid w:val="00B04074"/>
    <w:rsid w:val="00B04721"/>
    <w:rsid w:val="00B04B15"/>
    <w:rsid w:val="00B04B46"/>
    <w:rsid w:val="00B0534D"/>
    <w:rsid w:val="00B05685"/>
    <w:rsid w:val="00B05F9F"/>
    <w:rsid w:val="00B06070"/>
    <w:rsid w:val="00B062BE"/>
    <w:rsid w:val="00B06368"/>
    <w:rsid w:val="00B065EB"/>
    <w:rsid w:val="00B068DA"/>
    <w:rsid w:val="00B06A00"/>
    <w:rsid w:val="00B06FC6"/>
    <w:rsid w:val="00B0710D"/>
    <w:rsid w:val="00B074C9"/>
    <w:rsid w:val="00B07A70"/>
    <w:rsid w:val="00B07D9D"/>
    <w:rsid w:val="00B11AE5"/>
    <w:rsid w:val="00B12263"/>
    <w:rsid w:val="00B12ECA"/>
    <w:rsid w:val="00B12FE6"/>
    <w:rsid w:val="00B1303F"/>
    <w:rsid w:val="00B1364A"/>
    <w:rsid w:val="00B13859"/>
    <w:rsid w:val="00B13EC9"/>
    <w:rsid w:val="00B14319"/>
    <w:rsid w:val="00B14A06"/>
    <w:rsid w:val="00B14CF8"/>
    <w:rsid w:val="00B158E1"/>
    <w:rsid w:val="00B1599B"/>
    <w:rsid w:val="00B15C0E"/>
    <w:rsid w:val="00B15CCD"/>
    <w:rsid w:val="00B16715"/>
    <w:rsid w:val="00B16FFA"/>
    <w:rsid w:val="00B1768E"/>
    <w:rsid w:val="00B17910"/>
    <w:rsid w:val="00B20F18"/>
    <w:rsid w:val="00B20FB7"/>
    <w:rsid w:val="00B21516"/>
    <w:rsid w:val="00B21723"/>
    <w:rsid w:val="00B219D9"/>
    <w:rsid w:val="00B21A37"/>
    <w:rsid w:val="00B21D23"/>
    <w:rsid w:val="00B21F62"/>
    <w:rsid w:val="00B223A4"/>
    <w:rsid w:val="00B22CE0"/>
    <w:rsid w:val="00B22F2E"/>
    <w:rsid w:val="00B232BF"/>
    <w:rsid w:val="00B23738"/>
    <w:rsid w:val="00B23BEF"/>
    <w:rsid w:val="00B247BB"/>
    <w:rsid w:val="00B2504A"/>
    <w:rsid w:val="00B25EE6"/>
    <w:rsid w:val="00B27365"/>
    <w:rsid w:val="00B3043F"/>
    <w:rsid w:val="00B3115A"/>
    <w:rsid w:val="00B3178B"/>
    <w:rsid w:val="00B31825"/>
    <w:rsid w:val="00B31A5C"/>
    <w:rsid w:val="00B32265"/>
    <w:rsid w:val="00B325CC"/>
    <w:rsid w:val="00B3276D"/>
    <w:rsid w:val="00B33331"/>
    <w:rsid w:val="00B333C8"/>
    <w:rsid w:val="00B336A3"/>
    <w:rsid w:val="00B33B06"/>
    <w:rsid w:val="00B33C19"/>
    <w:rsid w:val="00B33E0B"/>
    <w:rsid w:val="00B3462E"/>
    <w:rsid w:val="00B353A7"/>
    <w:rsid w:val="00B35A15"/>
    <w:rsid w:val="00B35B45"/>
    <w:rsid w:val="00B36165"/>
    <w:rsid w:val="00B36A99"/>
    <w:rsid w:val="00B37395"/>
    <w:rsid w:val="00B40385"/>
    <w:rsid w:val="00B40C29"/>
    <w:rsid w:val="00B42264"/>
    <w:rsid w:val="00B434B2"/>
    <w:rsid w:val="00B43B9E"/>
    <w:rsid w:val="00B43CA0"/>
    <w:rsid w:val="00B43D45"/>
    <w:rsid w:val="00B448C4"/>
    <w:rsid w:val="00B459AF"/>
    <w:rsid w:val="00B468F2"/>
    <w:rsid w:val="00B469DE"/>
    <w:rsid w:val="00B47286"/>
    <w:rsid w:val="00B4772A"/>
    <w:rsid w:val="00B47EB4"/>
    <w:rsid w:val="00B50234"/>
    <w:rsid w:val="00B5052F"/>
    <w:rsid w:val="00B51641"/>
    <w:rsid w:val="00B51BF4"/>
    <w:rsid w:val="00B521A2"/>
    <w:rsid w:val="00B52279"/>
    <w:rsid w:val="00B522D7"/>
    <w:rsid w:val="00B5235E"/>
    <w:rsid w:val="00B527AD"/>
    <w:rsid w:val="00B52C68"/>
    <w:rsid w:val="00B5324B"/>
    <w:rsid w:val="00B5372B"/>
    <w:rsid w:val="00B542FE"/>
    <w:rsid w:val="00B54360"/>
    <w:rsid w:val="00B546D2"/>
    <w:rsid w:val="00B5525E"/>
    <w:rsid w:val="00B55A1B"/>
    <w:rsid w:val="00B561DB"/>
    <w:rsid w:val="00B5645C"/>
    <w:rsid w:val="00B568A1"/>
    <w:rsid w:val="00B56DF9"/>
    <w:rsid w:val="00B56E80"/>
    <w:rsid w:val="00B570EC"/>
    <w:rsid w:val="00B571F1"/>
    <w:rsid w:val="00B5770A"/>
    <w:rsid w:val="00B600BD"/>
    <w:rsid w:val="00B60CB4"/>
    <w:rsid w:val="00B60E4E"/>
    <w:rsid w:val="00B61274"/>
    <w:rsid w:val="00B613F6"/>
    <w:rsid w:val="00B6141E"/>
    <w:rsid w:val="00B61DCE"/>
    <w:rsid w:val="00B62188"/>
    <w:rsid w:val="00B621D6"/>
    <w:rsid w:val="00B622E3"/>
    <w:rsid w:val="00B62F79"/>
    <w:rsid w:val="00B62F82"/>
    <w:rsid w:val="00B63028"/>
    <w:rsid w:val="00B6306A"/>
    <w:rsid w:val="00B635E3"/>
    <w:rsid w:val="00B64388"/>
    <w:rsid w:val="00B64B9A"/>
    <w:rsid w:val="00B662FF"/>
    <w:rsid w:val="00B665B8"/>
    <w:rsid w:val="00B665F6"/>
    <w:rsid w:val="00B66679"/>
    <w:rsid w:val="00B66C87"/>
    <w:rsid w:val="00B70139"/>
    <w:rsid w:val="00B70145"/>
    <w:rsid w:val="00B701C9"/>
    <w:rsid w:val="00B7035F"/>
    <w:rsid w:val="00B710AD"/>
    <w:rsid w:val="00B71A92"/>
    <w:rsid w:val="00B721D8"/>
    <w:rsid w:val="00B730CA"/>
    <w:rsid w:val="00B732EA"/>
    <w:rsid w:val="00B73747"/>
    <w:rsid w:val="00B747C5"/>
    <w:rsid w:val="00B74F2F"/>
    <w:rsid w:val="00B753ED"/>
    <w:rsid w:val="00B75C6D"/>
    <w:rsid w:val="00B7665F"/>
    <w:rsid w:val="00B769BC"/>
    <w:rsid w:val="00B770F7"/>
    <w:rsid w:val="00B77349"/>
    <w:rsid w:val="00B7761E"/>
    <w:rsid w:val="00B8020C"/>
    <w:rsid w:val="00B80A3D"/>
    <w:rsid w:val="00B80B04"/>
    <w:rsid w:val="00B821E4"/>
    <w:rsid w:val="00B823E0"/>
    <w:rsid w:val="00B8260D"/>
    <w:rsid w:val="00B82694"/>
    <w:rsid w:val="00B8286F"/>
    <w:rsid w:val="00B82B78"/>
    <w:rsid w:val="00B82FD9"/>
    <w:rsid w:val="00B845A8"/>
    <w:rsid w:val="00B845B4"/>
    <w:rsid w:val="00B84662"/>
    <w:rsid w:val="00B84C74"/>
    <w:rsid w:val="00B84CE9"/>
    <w:rsid w:val="00B84F6E"/>
    <w:rsid w:val="00B85191"/>
    <w:rsid w:val="00B85412"/>
    <w:rsid w:val="00B858A1"/>
    <w:rsid w:val="00B85FEC"/>
    <w:rsid w:val="00B864A3"/>
    <w:rsid w:val="00B867B8"/>
    <w:rsid w:val="00B86C2A"/>
    <w:rsid w:val="00B87575"/>
    <w:rsid w:val="00B902A5"/>
    <w:rsid w:val="00B90420"/>
    <w:rsid w:val="00B90848"/>
    <w:rsid w:val="00B91146"/>
    <w:rsid w:val="00B913E4"/>
    <w:rsid w:val="00B91DB9"/>
    <w:rsid w:val="00B91FF3"/>
    <w:rsid w:val="00B925F8"/>
    <w:rsid w:val="00B9330A"/>
    <w:rsid w:val="00B93EFE"/>
    <w:rsid w:val="00B944B9"/>
    <w:rsid w:val="00B94602"/>
    <w:rsid w:val="00B94956"/>
    <w:rsid w:val="00B94C7F"/>
    <w:rsid w:val="00B94E93"/>
    <w:rsid w:val="00B956B5"/>
    <w:rsid w:val="00B95956"/>
    <w:rsid w:val="00B96DF2"/>
    <w:rsid w:val="00B96E18"/>
    <w:rsid w:val="00B96F5A"/>
    <w:rsid w:val="00B97AF7"/>
    <w:rsid w:val="00BA02CF"/>
    <w:rsid w:val="00BA0A69"/>
    <w:rsid w:val="00BA0B39"/>
    <w:rsid w:val="00BA0CB2"/>
    <w:rsid w:val="00BA0E26"/>
    <w:rsid w:val="00BA138B"/>
    <w:rsid w:val="00BA207E"/>
    <w:rsid w:val="00BA238F"/>
    <w:rsid w:val="00BA2471"/>
    <w:rsid w:val="00BA305B"/>
    <w:rsid w:val="00BA31BF"/>
    <w:rsid w:val="00BA3C0F"/>
    <w:rsid w:val="00BA3FC7"/>
    <w:rsid w:val="00BA478B"/>
    <w:rsid w:val="00BA5224"/>
    <w:rsid w:val="00BA575E"/>
    <w:rsid w:val="00BA67B1"/>
    <w:rsid w:val="00BA69D5"/>
    <w:rsid w:val="00BA7524"/>
    <w:rsid w:val="00BA756D"/>
    <w:rsid w:val="00BA76B7"/>
    <w:rsid w:val="00BA7E3B"/>
    <w:rsid w:val="00BB078D"/>
    <w:rsid w:val="00BB079C"/>
    <w:rsid w:val="00BB0C0D"/>
    <w:rsid w:val="00BB0D7A"/>
    <w:rsid w:val="00BB10E1"/>
    <w:rsid w:val="00BB23BF"/>
    <w:rsid w:val="00BB2471"/>
    <w:rsid w:val="00BB3035"/>
    <w:rsid w:val="00BB39C1"/>
    <w:rsid w:val="00BB3DF5"/>
    <w:rsid w:val="00BB3EA7"/>
    <w:rsid w:val="00BB45BC"/>
    <w:rsid w:val="00BB4653"/>
    <w:rsid w:val="00BB5D16"/>
    <w:rsid w:val="00BB5E55"/>
    <w:rsid w:val="00BB6180"/>
    <w:rsid w:val="00BB6290"/>
    <w:rsid w:val="00BB69DC"/>
    <w:rsid w:val="00BB69E6"/>
    <w:rsid w:val="00BB7323"/>
    <w:rsid w:val="00BB73CA"/>
    <w:rsid w:val="00BB7BE5"/>
    <w:rsid w:val="00BB7C6D"/>
    <w:rsid w:val="00BC08BD"/>
    <w:rsid w:val="00BC1002"/>
    <w:rsid w:val="00BC11E8"/>
    <w:rsid w:val="00BC1418"/>
    <w:rsid w:val="00BC1B7A"/>
    <w:rsid w:val="00BC2C17"/>
    <w:rsid w:val="00BC3149"/>
    <w:rsid w:val="00BC3ACD"/>
    <w:rsid w:val="00BC3B20"/>
    <w:rsid w:val="00BC3EE4"/>
    <w:rsid w:val="00BC4A6C"/>
    <w:rsid w:val="00BC577D"/>
    <w:rsid w:val="00BC588C"/>
    <w:rsid w:val="00BC6E73"/>
    <w:rsid w:val="00BC74D3"/>
    <w:rsid w:val="00BC7ACA"/>
    <w:rsid w:val="00BC7E6E"/>
    <w:rsid w:val="00BD0014"/>
    <w:rsid w:val="00BD01D8"/>
    <w:rsid w:val="00BD1C96"/>
    <w:rsid w:val="00BD1E3A"/>
    <w:rsid w:val="00BD1F36"/>
    <w:rsid w:val="00BD255F"/>
    <w:rsid w:val="00BD2895"/>
    <w:rsid w:val="00BD4236"/>
    <w:rsid w:val="00BD4400"/>
    <w:rsid w:val="00BD483B"/>
    <w:rsid w:val="00BD4FBA"/>
    <w:rsid w:val="00BD51F9"/>
    <w:rsid w:val="00BD5BD8"/>
    <w:rsid w:val="00BD5CD4"/>
    <w:rsid w:val="00BD65D9"/>
    <w:rsid w:val="00BD6922"/>
    <w:rsid w:val="00BD6DF3"/>
    <w:rsid w:val="00BD6E09"/>
    <w:rsid w:val="00BD6EF9"/>
    <w:rsid w:val="00BE045C"/>
    <w:rsid w:val="00BE0ACB"/>
    <w:rsid w:val="00BE11F3"/>
    <w:rsid w:val="00BE1843"/>
    <w:rsid w:val="00BE2260"/>
    <w:rsid w:val="00BE25DA"/>
    <w:rsid w:val="00BE2826"/>
    <w:rsid w:val="00BE2D95"/>
    <w:rsid w:val="00BE2F75"/>
    <w:rsid w:val="00BE3917"/>
    <w:rsid w:val="00BE3D7E"/>
    <w:rsid w:val="00BE4A76"/>
    <w:rsid w:val="00BE4E87"/>
    <w:rsid w:val="00BE50FD"/>
    <w:rsid w:val="00BE51CA"/>
    <w:rsid w:val="00BE537F"/>
    <w:rsid w:val="00BE5B73"/>
    <w:rsid w:val="00BE5D77"/>
    <w:rsid w:val="00BE630A"/>
    <w:rsid w:val="00BE638C"/>
    <w:rsid w:val="00BE6914"/>
    <w:rsid w:val="00BE6BA1"/>
    <w:rsid w:val="00BE6D47"/>
    <w:rsid w:val="00BE6F9B"/>
    <w:rsid w:val="00BE6FBF"/>
    <w:rsid w:val="00BE7032"/>
    <w:rsid w:val="00BE7330"/>
    <w:rsid w:val="00BE77A7"/>
    <w:rsid w:val="00BE7AB5"/>
    <w:rsid w:val="00BF01C5"/>
    <w:rsid w:val="00BF061A"/>
    <w:rsid w:val="00BF066A"/>
    <w:rsid w:val="00BF0771"/>
    <w:rsid w:val="00BF0EDE"/>
    <w:rsid w:val="00BF14CC"/>
    <w:rsid w:val="00BF1821"/>
    <w:rsid w:val="00BF214F"/>
    <w:rsid w:val="00BF22E9"/>
    <w:rsid w:val="00BF3FE4"/>
    <w:rsid w:val="00BF4342"/>
    <w:rsid w:val="00BF4704"/>
    <w:rsid w:val="00BF4FFC"/>
    <w:rsid w:val="00BF5050"/>
    <w:rsid w:val="00BF50D1"/>
    <w:rsid w:val="00BF5422"/>
    <w:rsid w:val="00BF59B1"/>
    <w:rsid w:val="00BF5C4D"/>
    <w:rsid w:val="00BF6625"/>
    <w:rsid w:val="00BF6A78"/>
    <w:rsid w:val="00BF6B3F"/>
    <w:rsid w:val="00BF7118"/>
    <w:rsid w:val="00BF7695"/>
    <w:rsid w:val="00BF775D"/>
    <w:rsid w:val="00BF79B4"/>
    <w:rsid w:val="00BF7C61"/>
    <w:rsid w:val="00C00366"/>
    <w:rsid w:val="00C00686"/>
    <w:rsid w:val="00C013AC"/>
    <w:rsid w:val="00C01427"/>
    <w:rsid w:val="00C014C7"/>
    <w:rsid w:val="00C031CF"/>
    <w:rsid w:val="00C04172"/>
    <w:rsid w:val="00C047AB"/>
    <w:rsid w:val="00C053CF"/>
    <w:rsid w:val="00C058AF"/>
    <w:rsid w:val="00C069E5"/>
    <w:rsid w:val="00C06EAB"/>
    <w:rsid w:val="00C0709D"/>
    <w:rsid w:val="00C07136"/>
    <w:rsid w:val="00C075B6"/>
    <w:rsid w:val="00C10027"/>
    <w:rsid w:val="00C1118B"/>
    <w:rsid w:val="00C124C1"/>
    <w:rsid w:val="00C128AE"/>
    <w:rsid w:val="00C12BA8"/>
    <w:rsid w:val="00C13094"/>
    <w:rsid w:val="00C1359F"/>
    <w:rsid w:val="00C136D6"/>
    <w:rsid w:val="00C13D5B"/>
    <w:rsid w:val="00C141D7"/>
    <w:rsid w:val="00C16074"/>
    <w:rsid w:val="00C16F9E"/>
    <w:rsid w:val="00C1711B"/>
    <w:rsid w:val="00C17526"/>
    <w:rsid w:val="00C17AE2"/>
    <w:rsid w:val="00C20140"/>
    <w:rsid w:val="00C20CD6"/>
    <w:rsid w:val="00C20F27"/>
    <w:rsid w:val="00C215CF"/>
    <w:rsid w:val="00C21A89"/>
    <w:rsid w:val="00C21C6D"/>
    <w:rsid w:val="00C2244B"/>
    <w:rsid w:val="00C22711"/>
    <w:rsid w:val="00C2280A"/>
    <w:rsid w:val="00C22B0D"/>
    <w:rsid w:val="00C22BFF"/>
    <w:rsid w:val="00C23522"/>
    <w:rsid w:val="00C23581"/>
    <w:rsid w:val="00C23E71"/>
    <w:rsid w:val="00C24015"/>
    <w:rsid w:val="00C240C1"/>
    <w:rsid w:val="00C241CD"/>
    <w:rsid w:val="00C244A1"/>
    <w:rsid w:val="00C24AED"/>
    <w:rsid w:val="00C250D0"/>
    <w:rsid w:val="00C252AC"/>
    <w:rsid w:val="00C25C0F"/>
    <w:rsid w:val="00C26567"/>
    <w:rsid w:val="00C26923"/>
    <w:rsid w:val="00C271C9"/>
    <w:rsid w:val="00C27214"/>
    <w:rsid w:val="00C27597"/>
    <w:rsid w:val="00C27E5E"/>
    <w:rsid w:val="00C30382"/>
    <w:rsid w:val="00C30772"/>
    <w:rsid w:val="00C30D6F"/>
    <w:rsid w:val="00C31063"/>
    <w:rsid w:val="00C311E7"/>
    <w:rsid w:val="00C31492"/>
    <w:rsid w:val="00C31B7E"/>
    <w:rsid w:val="00C320D1"/>
    <w:rsid w:val="00C320E8"/>
    <w:rsid w:val="00C322D1"/>
    <w:rsid w:val="00C323E6"/>
    <w:rsid w:val="00C3242A"/>
    <w:rsid w:val="00C33201"/>
    <w:rsid w:val="00C3328B"/>
    <w:rsid w:val="00C33A39"/>
    <w:rsid w:val="00C33F55"/>
    <w:rsid w:val="00C34619"/>
    <w:rsid w:val="00C348D9"/>
    <w:rsid w:val="00C35D01"/>
    <w:rsid w:val="00C360B3"/>
    <w:rsid w:val="00C36451"/>
    <w:rsid w:val="00C365EA"/>
    <w:rsid w:val="00C367F0"/>
    <w:rsid w:val="00C37027"/>
    <w:rsid w:val="00C373BF"/>
    <w:rsid w:val="00C37B15"/>
    <w:rsid w:val="00C37B19"/>
    <w:rsid w:val="00C37B38"/>
    <w:rsid w:val="00C40B87"/>
    <w:rsid w:val="00C41318"/>
    <w:rsid w:val="00C41349"/>
    <w:rsid w:val="00C413CB"/>
    <w:rsid w:val="00C41429"/>
    <w:rsid w:val="00C41558"/>
    <w:rsid w:val="00C41F9F"/>
    <w:rsid w:val="00C42752"/>
    <w:rsid w:val="00C42973"/>
    <w:rsid w:val="00C43426"/>
    <w:rsid w:val="00C45267"/>
    <w:rsid w:val="00C4542D"/>
    <w:rsid w:val="00C46A3D"/>
    <w:rsid w:val="00C46B95"/>
    <w:rsid w:val="00C4712A"/>
    <w:rsid w:val="00C476B5"/>
    <w:rsid w:val="00C478F8"/>
    <w:rsid w:val="00C47E99"/>
    <w:rsid w:val="00C5001E"/>
    <w:rsid w:val="00C5034F"/>
    <w:rsid w:val="00C505D2"/>
    <w:rsid w:val="00C50830"/>
    <w:rsid w:val="00C52436"/>
    <w:rsid w:val="00C52479"/>
    <w:rsid w:val="00C5266E"/>
    <w:rsid w:val="00C52C59"/>
    <w:rsid w:val="00C5349E"/>
    <w:rsid w:val="00C539FF"/>
    <w:rsid w:val="00C54215"/>
    <w:rsid w:val="00C544BD"/>
    <w:rsid w:val="00C54D3D"/>
    <w:rsid w:val="00C55A30"/>
    <w:rsid w:val="00C55E1C"/>
    <w:rsid w:val="00C56076"/>
    <w:rsid w:val="00C561FB"/>
    <w:rsid w:val="00C56384"/>
    <w:rsid w:val="00C567E9"/>
    <w:rsid w:val="00C56ED2"/>
    <w:rsid w:val="00C5715A"/>
    <w:rsid w:val="00C60F8C"/>
    <w:rsid w:val="00C61424"/>
    <w:rsid w:val="00C61794"/>
    <w:rsid w:val="00C617AE"/>
    <w:rsid w:val="00C623E3"/>
    <w:rsid w:val="00C62A48"/>
    <w:rsid w:val="00C62AC4"/>
    <w:rsid w:val="00C62B59"/>
    <w:rsid w:val="00C62F96"/>
    <w:rsid w:val="00C631E1"/>
    <w:rsid w:val="00C638D8"/>
    <w:rsid w:val="00C63A43"/>
    <w:rsid w:val="00C63AE7"/>
    <w:rsid w:val="00C63D26"/>
    <w:rsid w:val="00C64127"/>
    <w:rsid w:val="00C6540A"/>
    <w:rsid w:val="00C65CF7"/>
    <w:rsid w:val="00C668A1"/>
    <w:rsid w:val="00C67223"/>
    <w:rsid w:val="00C67F42"/>
    <w:rsid w:val="00C707B8"/>
    <w:rsid w:val="00C712AC"/>
    <w:rsid w:val="00C7158C"/>
    <w:rsid w:val="00C71C15"/>
    <w:rsid w:val="00C71F3D"/>
    <w:rsid w:val="00C72767"/>
    <w:rsid w:val="00C72AA4"/>
    <w:rsid w:val="00C72F53"/>
    <w:rsid w:val="00C74035"/>
    <w:rsid w:val="00C748EA"/>
    <w:rsid w:val="00C74921"/>
    <w:rsid w:val="00C76FB0"/>
    <w:rsid w:val="00C77818"/>
    <w:rsid w:val="00C8063F"/>
    <w:rsid w:val="00C808BE"/>
    <w:rsid w:val="00C8121A"/>
    <w:rsid w:val="00C81282"/>
    <w:rsid w:val="00C8155F"/>
    <w:rsid w:val="00C8198D"/>
    <w:rsid w:val="00C82167"/>
    <w:rsid w:val="00C827B4"/>
    <w:rsid w:val="00C83214"/>
    <w:rsid w:val="00C8329F"/>
    <w:rsid w:val="00C84E65"/>
    <w:rsid w:val="00C84F8A"/>
    <w:rsid w:val="00C85743"/>
    <w:rsid w:val="00C85846"/>
    <w:rsid w:val="00C85BA4"/>
    <w:rsid w:val="00C8618F"/>
    <w:rsid w:val="00C8625D"/>
    <w:rsid w:val="00C863FA"/>
    <w:rsid w:val="00C865AD"/>
    <w:rsid w:val="00C86612"/>
    <w:rsid w:val="00C87402"/>
    <w:rsid w:val="00C90372"/>
    <w:rsid w:val="00C9041F"/>
    <w:rsid w:val="00C9166B"/>
    <w:rsid w:val="00C91945"/>
    <w:rsid w:val="00C91A45"/>
    <w:rsid w:val="00C91BA5"/>
    <w:rsid w:val="00C91FB4"/>
    <w:rsid w:val="00C92150"/>
    <w:rsid w:val="00C92328"/>
    <w:rsid w:val="00C928D6"/>
    <w:rsid w:val="00C9292F"/>
    <w:rsid w:val="00C92D42"/>
    <w:rsid w:val="00C938C2"/>
    <w:rsid w:val="00C9397B"/>
    <w:rsid w:val="00C93F8A"/>
    <w:rsid w:val="00C942C2"/>
    <w:rsid w:val="00C94EA1"/>
    <w:rsid w:val="00C95745"/>
    <w:rsid w:val="00C95813"/>
    <w:rsid w:val="00C95902"/>
    <w:rsid w:val="00C95999"/>
    <w:rsid w:val="00C95CCD"/>
    <w:rsid w:val="00C962E3"/>
    <w:rsid w:val="00C968C9"/>
    <w:rsid w:val="00C978E2"/>
    <w:rsid w:val="00C97997"/>
    <w:rsid w:val="00CA10A2"/>
    <w:rsid w:val="00CA1D83"/>
    <w:rsid w:val="00CA1FEB"/>
    <w:rsid w:val="00CA25C0"/>
    <w:rsid w:val="00CA2BFB"/>
    <w:rsid w:val="00CA3451"/>
    <w:rsid w:val="00CA35C6"/>
    <w:rsid w:val="00CA475F"/>
    <w:rsid w:val="00CA4948"/>
    <w:rsid w:val="00CA52F9"/>
    <w:rsid w:val="00CA5368"/>
    <w:rsid w:val="00CA547B"/>
    <w:rsid w:val="00CA568B"/>
    <w:rsid w:val="00CA573A"/>
    <w:rsid w:val="00CA58E0"/>
    <w:rsid w:val="00CA5C58"/>
    <w:rsid w:val="00CA68B2"/>
    <w:rsid w:val="00CA73A1"/>
    <w:rsid w:val="00CA7656"/>
    <w:rsid w:val="00CA7FB0"/>
    <w:rsid w:val="00CB0CC1"/>
    <w:rsid w:val="00CB160B"/>
    <w:rsid w:val="00CB17D8"/>
    <w:rsid w:val="00CB19D7"/>
    <w:rsid w:val="00CB19FE"/>
    <w:rsid w:val="00CB1AAE"/>
    <w:rsid w:val="00CB1C3F"/>
    <w:rsid w:val="00CB1FCA"/>
    <w:rsid w:val="00CB2364"/>
    <w:rsid w:val="00CB24C5"/>
    <w:rsid w:val="00CB2FEE"/>
    <w:rsid w:val="00CB304C"/>
    <w:rsid w:val="00CB3933"/>
    <w:rsid w:val="00CB5010"/>
    <w:rsid w:val="00CB53E8"/>
    <w:rsid w:val="00CB594A"/>
    <w:rsid w:val="00CB5CB2"/>
    <w:rsid w:val="00CB6979"/>
    <w:rsid w:val="00CB7A04"/>
    <w:rsid w:val="00CB7DDE"/>
    <w:rsid w:val="00CB7F55"/>
    <w:rsid w:val="00CC01D8"/>
    <w:rsid w:val="00CC043E"/>
    <w:rsid w:val="00CC04F2"/>
    <w:rsid w:val="00CC0A3D"/>
    <w:rsid w:val="00CC22B8"/>
    <w:rsid w:val="00CC2FF0"/>
    <w:rsid w:val="00CC33B8"/>
    <w:rsid w:val="00CC3A84"/>
    <w:rsid w:val="00CC3C53"/>
    <w:rsid w:val="00CC3D24"/>
    <w:rsid w:val="00CC3F91"/>
    <w:rsid w:val="00CC405D"/>
    <w:rsid w:val="00CC47EE"/>
    <w:rsid w:val="00CC4ACD"/>
    <w:rsid w:val="00CC4B0A"/>
    <w:rsid w:val="00CC5387"/>
    <w:rsid w:val="00CC544A"/>
    <w:rsid w:val="00CC57EA"/>
    <w:rsid w:val="00CC5954"/>
    <w:rsid w:val="00CC5CF8"/>
    <w:rsid w:val="00CC5F4B"/>
    <w:rsid w:val="00CC629B"/>
    <w:rsid w:val="00CC66A2"/>
    <w:rsid w:val="00CC6C4E"/>
    <w:rsid w:val="00CC7709"/>
    <w:rsid w:val="00CC770A"/>
    <w:rsid w:val="00CC7B1F"/>
    <w:rsid w:val="00CD009D"/>
    <w:rsid w:val="00CD05A2"/>
    <w:rsid w:val="00CD1049"/>
    <w:rsid w:val="00CD29D4"/>
    <w:rsid w:val="00CD2B5C"/>
    <w:rsid w:val="00CD2FF3"/>
    <w:rsid w:val="00CD3323"/>
    <w:rsid w:val="00CD3324"/>
    <w:rsid w:val="00CD356A"/>
    <w:rsid w:val="00CD37AE"/>
    <w:rsid w:val="00CD38F5"/>
    <w:rsid w:val="00CD3BF2"/>
    <w:rsid w:val="00CD437E"/>
    <w:rsid w:val="00CD4AAF"/>
    <w:rsid w:val="00CD5DAD"/>
    <w:rsid w:val="00CD5FFB"/>
    <w:rsid w:val="00CD72C5"/>
    <w:rsid w:val="00CD74E3"/>
    <w:rsid w:val="00CD79A7"/>
    <w:rsid w:val="00CD7B44"/>
    <w:rsid w:val="00CD7FAD"/>
    <w:rsid w:val="00CE074B"/>
    <w:rsid w:val="00CE0789"/>
    <w:rsid w:val="00CE0E8D"/>
    <w:rsid w:val="00CE1A03"/>
    <w:rsid w:val="00CE233E"/>
    <w:rsid w:val="00CE2346"/>
    <w:rsid w:val="00CE25B2"/>
    <w:rsid w:val="00CE312F"/>
    <w:rsid w:val="00CE3529"/>
    <w:rsid w:val="00CE35C8"/>
    <w:rsid w:val="00CE3962"/>
    <w:rsid w:val="00CE43FA"/>
    <w:rsid w:val="00CE4D0A"/>
    <w:rsid w:val="00CE4D1A"/>
    <w:rsid w:val="00CE4E8A"/>
    <w:rsid w:val="00CE5105"/>
    <w:rsid w:val="00CE5525"/>
    <w:rsid w:val="00CE56BD"/>
    <w:rsid w:val="00CE5EC0"/>
    <w:rsid w:val="00CE68AD"/>
    <w:rsid w:val="00CE6BA5"/>
    <w:rsid w:val="00CE6EA4"/>
    <w:rsid w:val="00CE6F15"/>
    <w:rsid w:val="00CE6F9F"/>
    <w:rsid w:val="00CE781A"/>
    <w:rsid w:val="00CE7B08"/>
    <w:rsid w:val="00CE7B7A"/>
    <w:rsid w:val="00CE7CF1"/>
    <w:rsid w:val="00CE7D52"/>
    <w:rsid w:val="00CF0AAA"/>
    <w:rsid w:val="00CF0AB7"/>
    <w:rsid w:val="00CF1D74"/>
    <w:rsid w:val="00CF1F8D"/>
    <w:rsid w:val="00CF2BE2"/>
    <w:rsid w:val="00CF371A"/>
    <w:rsid w:val="00CF37C2"/>
    <w:rsid w:val="00CF3DE4"/>
    <w:rsid w:val="00CF3DEB"/>
    <w:rsid w:val="00CF42C9"/>
    <w:rsid w:val="00CF4363"/>
    <w:rsid w:val="00CF4626"/>
    <w:rsid w:val="00CF55F9"/>
    <w:rsid w:val="00CF578D"/>
    <w:rsid w:val="00CF7074"/>
    <w:rsid w:val="00CF7495"/>
    <w:rsid w:val="00CF76D6"/>
    <w:rsid w:val="00D01CF9"/>
    <w:rsid w:val="00D01F93"/>
    <w:rsid w:val="00D021E8"/>
    <w:rsid w:val="00D0334D"/>
    <w:rsid w:val="00D0374D"/>
    <w:rsid w:val="00D0411B"/>
    <w:rsid w:val="00D05614"/>
    <w:rsid w:val="00D06312"/>
    <w:rsid w:val="00D06B62"/>
    <w:rsid w:val="00D06D7B"/>
    <w:rsid w:val="00D06DA5"/>
    <w:rsid w:val="00D07191"/>
    <w:rsid w:val="00D07319"/>
    <w:rsid w:val="00D07813"/>
    <w:rsid w:val="00D07F1D"/>
    <w:rsid w:val="00D10558"/>
    <w:rsid w:val="00D10AA3"/>
    <w:rsid w:val="00D10EE8"/>
    <w:rsid w:val="00D11140"/>
    <w:rsid w:val="00D11739"/>
    <w:rsid w:val="00D119A6"/>
    <w:rsid w:val="00D11D4D"/>
    <w:rsid w:val="00D11DB1"/>
    <w:rsid w:val="00D126DC"/>
    <w:rsid w:val="00D12B03"/>
    <w:rsid w:val="00D13E70"/>
    <w:rsid w:val="00D13EE7"/>
    <w:rsid w:val="00D147BE"/>
    <w:rsid w:val="00D148A0"/>
    <w:rsid w:val="00D158D5"/>
    <w:rsid w:val="00D15ECD"/>
    <w:rsid w:val="00D15FCD"/>
    <w:rsid w:val="00D16C58"/>
    <w:rsid w:val="00D17019"/>
    <w:rsid w:val="00D1705A"/>
    <w:rsid w:val="00D17ABA"/>
    <w:rsid w:val="00D17D34"/>
    <w:rsid w:val="00D17FC8"/>
    <w:rsid w:val="00D2015B"/>
    <w:rsid w:val="00D202B2"/>
    <w:rsid w:val="00D207E7"/>
    <w:rsid w:val="00D20B44"/>
    <w:rsid w:val="00D21168"/>
    <w:rsid w:val="00D21A90"/>
    <w:rsid w:val="00D21C3A"/>
    <w:rsid w:val="00D2224A"/>
    <w:rsid w:val="00D22700"/>
    <w:rsid w:val="00D2385D"/>
    <w:rsid w:val="00D23AAD"/>
    <w:rsid w:val="00D23FF4"/>
    <w:rsid w:val="00D2438C"/>
    <w:rsid w:val="00D247E0"/>
    <w:rsid w:val="00D2585A"/>
    <w:rsid w:val="00D25920"/>
    <w:rsid w:val="00D259B0"/>
    <w:rsid w:val="00D259C2"/>
    <w:rsid w:val="00D26586"/>
    <w:rsid w:val="00D26C3F"/>
    <w:rsid w:val="00D27185"/>
    <w:rsid w:val="00D3028A"/>
    <w:rsid w:val="00D30E98"/>
    <w:rsid w:val="00D3125C"/>
    <w:rsid w:val="00D3214D"/>
    <w:rsid w:val="00D32A92"/>
    <w:rsid w:val="00D32CF5"/>
    <w:rsid w:val="00D33488"/>
    <w:rsid w:val="00D33AB3"/>
    <w:rsid w:val="00D33F24"/>
    <w:rsid w:val="00D34160"/>
    <w:rsid w:val="00D343BA"/>
    <w:rsid w:val="00D346B8"/>
    <w:rsid w:val="00D34DCA"/>
    <w:rsid w:val="00D35AC8"/>
    <w:rsid w:val="00D36F05"/>
    <w:rsid w:val="00D36F87"/>
    <w:rsid w:val="00D37DF9"/>
    <w:rsid w:val="00D37E4E"/>
    <w:rsid w:val="00D40672"/>
    <w:rsid w:val="00D417D8"/>
    <w:rsid w:val="00D41F78"/>
    <w:rsid w:val="00D42687"/>
    <w:rsid w:val="00D42ABC"/>
    <w:rsid w:val="00D42E6C"/>
    <w:rsid w:val="00D430A5"/>
    <w:rsid w:val="00D4351C"/>
    <w:rsid w:val="00D43B80"/>
    <w:rsid w:val="00D44348"/>
    <w:rsid w:val="00D4485C"/>
    <w:rsid w:val="00D44988"/>
    <w:rsid w:val="00D45828"/>
    <w:rsid w:val="00D45B4C"/>
    <w:rsid w:val="00D45BA4"/>
    <w:rsid w:val="00D45C8D"/>
    <w:rsid w:val="00D471AF"/>
    <w:rsid w:val="00D471E2"/>
    <w:rsid w:val="00D4724F"/>
    <w:rsid w:val="00D47A34"/>
    <w:rsid w:val="00D50252"/>
    <w:rsid w:val="00D50519"/>
    <w:rsid w:val="00D50702"/>
    <w:rsid w:val="00D50779"/>
    <w:rsid w:val="00D50D4C"/>
    <w:rsid w:val="00D51601"/>
    <w:rsid w:val="00D51EC3"/>
    <w:rsid w:val="00D51ECB"/>
    <w:rsid w:val="00D520DE"/>
    <w:rsid w:val="00D5264C"/>
    <w:rsid w:val="00D52BBC"/>
    <w:rsid w:val="00D537FE"/>
    <w:rsid w:val="00D53CC9"/>
    <w:rsid w:val="00D54A6A"/>
    <w:rsid w:val="00D54B8F"/>
    <w:rsid w:val="00D55848"/>
    <w:rsid w:val="00D55951"/>
    <w:rsid w:val="00D559F0"/>
    <w:rsid w:val="00D56455"/>
    <w:rsid w:val="00D5650F"/>
    <w:rsid w:val="00D56594"/>
    <w:rsid w:val="00D576A4"/>
    <w:rsid w:val="00D57EB6"/>
    <w:rsid w:val="00D608C0"/>
    <w:rsid w:val="00D60D6D"/>
    <w:rsid w:val="00D6128C"/>
    <w:rsid w:val="00D63B22"/>
    <w:rsid w:val="00D63DF9"/>
    <w:rsid w:val="00D66009"/>
    <w:rsid w:val="00D66A9F"/>
    <w:rsid w:val="00D66D8B"/>
    <w:rsid w:val="00D66F72"/>
    <w:rsid w:val="00D671B2"/>
    <w:rsid w:val="00D674BE"/>
    <w:rsid w:val="00D67863"/>
    <w:rsid w:val="00D70849"/>
    <w:rsid w:val="00D70DFA"/>
    <w:rsid w:val="00D72297"/>
    <w:rsid w:val="00D72A1C"/>
    <w:rsid w:val="00D72CC0"/>
    <w:rsid w:val="00D7308F"/>
    <w:rsid w:val="00D7313E"/>
    <w:rsid w:val="00D73396"/>
    <w:rsid w:val="00D73580"/>
    <w:rsid w:val="00D73802"/>
    <w:rsid w:val="00D73883"/>
    <w:rsid w:val="00D73C2C"/>
    <w:rsid w:val="00D73D52"/>
    <w:rsid w:val="00D73E70"/>
    <w:rsid w:val="00D745E7"/>
    <w:rsid w:val="00D74C25"/>
    <w:rsid w:val="00D75296"/>
    <w:rsid w:val="00D75FDA"/>
    <w:rsid w:val="00D774ED"/>
    <w:rsid w:val="00D776AD"/>
    <w:rsid w:val="00D777C3"/>
    <w:rsid w:val="00D7797C"/>
    <w:rsid w:val="00D77C44"/>
    <w:rsid w:val="00D77F88"/>
    <w:rsid w:val="00D8131B"/>
    <w:rsid w:val="00D81AFA"/>
    <w:rsid w:val="00D81EAA"/>
    <w:rsid w:val="00D81FE2"/>
    <w:rsid w:val="00D8259F"/>
    <w:rsid w:val="00D825F2"/>
    <w:rsid w:val="00D8285C"/>
    <w:rsid w:val="00D828B1"/>
    <w:rsid w:val="00D82A55"/>
    <w:rsid w:val="00D830F8"/>
    <w:rsid w:val="00D83174"/>
    <w:rsid w:val="00D83D49"/>
    <w:rsid w:val="00D84181"/>
    <w:rsid w:val="00D846AD"/>
    <w:rsid w:val="00D84754"/>
    <w:rsid w:val="00D84F27"/>
    <w:rsid w:val="00D853F0"/>
    <w:rsid w:val="00D85862"/>
    <w:rsid w:val="00D85892"/>
    <w:rsid w:val="00D85B03"/>
    <w:rsid w:val="00D86D47"/>
    <w:rsid w:val="00D8710C"/>
    <w:rsid w:val="00D871CE"/>
    <w:rsid w:val="00D873C6"/>
    <w:rsid w:val="00D87819"/>
    <w:rsid w:val="00D878A3"/>
    <w:rsid w:val="00D87FA5"/>
    <w:rsid w:val="00D9074A"/>
    <w:rsid w:val="00D9099E"/>
    <w:rsid w:val="00D9193A"/>
    <w:rsid w:val="00D91D05"/>
    <w:rsid w:val="00D923B2"/>
    <w:rsid w:val="00D92463"/>
    <w:rsid w:val="00D924E7"/>
    <w:rsid w:val="00D927B5"/>
    <w:rsid w:val="00D92981"/>
    <w:rsid w:val="00D92C81"/>
    <w:rsid w:val="00D93037"/>
    <w:rsid w:val="00D93E64"/>
    <w:rsid w:val="00D93F64"/>
    <w:rsid w:val="00D94CA4"/>
    <w:rsid w:val="00D95E99"/>
    <w:rsid w:val="00D965D5"/>
    <w:rsid w:val="00D96F7C"/>
    <w:rsid w:val="00D9714B"/>
    <w:rsid w:val="00D97DA2"/>
    <w:rsid w:val="00DA0485"/>
    <w:rsid w:val="00DA1A3A"/>
    <w:rsid w:val="00DA1FC3"/>
    <w:rsid w:val="00DA2351"/>
    <w:rsid w:val="00DA249E"/>
    <w:rsid w:val="00DA2D3D"/>
    <w:rsid w:val="00DA35D9"/>
    <w:rsid w:val="00DA3855"/>
    <w:rsid w:val="00DA39BA"/>
    <w:rsid w:val="00DA4C30"/>
    <w:rsid w:val="00DA52B3"/>
    <w:rsid w:val="00DA538E"/>
    <w:rsid w:val="00DA5FB3"/>
    <w:rsid w:val="00DA6980"/>
    <w:rsid w:val="00DA6A44"/>
    <w:rsid w:val="00DA7A3C"/>
    <w:rsid w:val="00DB145E"/>
    <w:rsid w:val="00DB1A94"/>
    <w:rsid w:val="00DB1D52"/>
    <w:rsid w:val="00DB1E2B"/>
    <w:rsid w:val="00DB1F62"/>
    <w:rsid w:val="00DB21E7"/>
    <w:rsid w:val="00DB2E03"/>
    <w:rsid w:val="00DB3742"/>
    <w:rsid w:val="00DB38F2"/>
    <w:rsid w:val="00DB3C5A"/>
    <w:rsid w:val="00DB3E9B"/>
    <w:rsid w:val="00DB3F4B"/>
    <w:rsid w:val="00DB495F"/>
    <w:rsid w:val="00DB4A80"/>
    <w:rsid w:val="00DB5375"/>
    <w:rsid w:val="00DB6003"/>
    <w:rsid w:val="00DB6103"/>
    <w:rsid w:val="00DB6769"/>
    <w:rsid w:val="00DB67C1"/>
    <w:rsid w:val="00DB6C0B"/>
    <w:rsid w:val="00DB70F4"/>
    <w:rsid w:val="00DB748A"/>
    <w:rsid w:val="00DB7CB7"/>
    <w:rsid w:val="00DC1056"/>
    <w:rsid w:val="00DC1442"/>
    <w:rsid w:val="00DC1781"/>
    <w:rsid w:val="00DC21D8"/>
    <w:rsid w:val="00DC282A"/>
    <w:rsid w:val="00DC2DE8"/>
    <w:rsid w:val="00DC3054"/>
    <w:rsid w:val="00DC34DC"/>
    <w:rsid w:val="00DC3780"/>
    <w:rsid w:val="00DC3ADA"/>
    <w:rsid w:val="00DC3CC6"/>
    <w:rsid w:val="00DC3F55"/>
    <w:rsid w:val="00DC4782"/>
    <w:rsid w:val="00DC4B02"/>
    <w:rsid w:val="00DC514A"/>
    <w:rsid w:val="00DC5610"/>
    <w:rsid w:val="00DC67B1"/>
    <w:rsid w:val="00DC7EAE"/>
    <w:rsid w:val="00DC7FBC"/>
    <w:rsid w:val="00DD0019"/>
    <w:rsid w:val="00DD132B"/>
    <w:rsid w:val="00DD1571"/>
    <w:rsid w:val="00DD1725"/>
    <w:rsid w:val="00DD2159"/>
    <w:rsid w:val="00DD218B"/>
    <w:rsid w:val="00DD28BA"/>
    <w:rsid w:val="00DD2A18"/>
    <w:rsid w:val="00DD3044"/>
    <w:rsid w:val="00DD33D1"/>
    <w:rsid w:val="00DD360C"/>
    <w:rsid w:val="00DD3985"/>
    <w:rsid w:val="00DD5A55"/>
    <w:rsid w:val="00DD61E8"/>
    <w:rsid w:val="00DD62C0"/>
    <w:rsid w:val="00DD63F8"/>
    <w:rsid w:val="00DD64DE"/>
    <w:rsid w:val="00DD66DE"/>
    <w:rsid w:val="00DD7197"/>
    <w:rsid w:val="00DD76DA"/>
    <w:rsid w:val="00DD7859"/>
    <w:rsid w:val="00DD7B41"/>
    <w:rsid w:val="00DE0784"/>
    <w:rsid w:val="00DE0A1D"/>
    <w:rsid w:val="00DE1584"/>
    <w:rsid w:val="00DE15B2"/>
    <w:rsid w:val="00DE1A9A"/>
    <w:rsid w:val="00DE3D2C"/>
    <w:rsid w:val="00DE57D0"/>
    <w:rsid w:val="00DE5E82"/>
    <w:rsid w:val="00DE5EC5"/>
    <w:rsid w:val="00DE5F7F"/>
    <w:rsid w:val="00DE5FA6"/>
    <w:rsid w:val="00DE5FC9"/>
    <w:rsid w:val="00DE6792"/>
    <w:rsid w:val="00DE6AA1"/>
    <w:rsid w:val="00DE77A3"/>
    <w:rsid w:val="00DE7EF7"/>
    <w:rsid w:val="00DF015B"/>
    <w:rsid w:val="00DF023D"/>
    <w:rsid w:val="00DF02EC"/>
    <w:rsid w:val="00DF10FC"/>
    <w:rsid w:val="00DF1185"/>
    <w:rsid w:val="00DF1299"/>
    <w:rsid w:val="00DF132C"/>
    <w:rsid w:val="00DF1620"/>
    <w:rsid w:val="00DF1A70"/>
    <w:rsid w:val="00DF1E5F"/>
    <w:rsid w:val="00DF224B"/>
    <w:rsid w:val="00DF23A8"/>
    <w:rsid w:val="00DF2EE1"/>
    <w:rsid w:val="00DF2F27"/>
    <w:rsid w:val="00DF36B6"/>
    <w:rsid w:val="00DF4296"/>
    <w:rsid w:val="00DF4E8F"/>
    <w:rsid w:val="00DF5267"/>
    <w:rsid w:val="00DF53F0"/>
    <w:rsid w:val="00DF5700"/>
    <w:rsid w:val="00DF5F38"/>
    <w:rsid w:val="00DF604C"/>
    <w:rsid w:val="00DF6075"/>
    <w:rsid w:val="00DF6608"/>
    <w:rsid w:val="00DF6CCC"/>
    <w:rsid w:val="00DF6D0C"/>
    <w:rsid w:val="00DF6F64"/>
    <w:rsid w:val="00DF721E"/>
    <w:rsid w:val="00DF72F3"/>
    <w:rsid w:val="00DF73CD"/>
    <w:rsid w:val="00DF7549"/>
    <w:rsid w:val="00DF78D0"/>
    <w:rsid w:val="00DF7B8A"/>
    <w:rsid w:val="00DF7C87"/>
    <w:rsid w:val="00E009B0"/>
    <w:rsid w:val="00E00A12"/>
    <w:rsid w:val="00E00B39"/>
    <w:rsid w:val="00E00C49"/>
    <w:rsid w:val="00E01C9C"/>
    <w:rsid w:val="00E01D7A"/>
    <w:rsid w:val="00E01FF4"/>
    <w:rsid w:val="00E0219D"/>
    <w:rsid w:val="00E030D1"/>
    <w:rsid w:val="00E032D9"/>
    <w:rsid w:val="00E03D4C"/>
    <w:rsid w:val="00E04482"/>
    <w:rsid w:val="00E04C0F"/>
    <w:rsid w:val="00E05510"/>
    <w:rsid w:val="00E0570B"/>
    <w:rsid w:val="00E05B1D"/>
    <w:rsid w:val="00E069C5"/>
    <w:rsid w:val="00E102E1"/>
    <w:rsid w:val="00E1065D"/>
    <w:rsid w:val="00E10913"/>
    <w:rsid w:val="00E10B87"/>
    <w:rsid w:val="00E121CE"/>
    <w:rsid w:val="00E12209"/>
    <w:rsid w:val="00E12FE9"/>
    <w:rsid w:val="00E1362E"/>
    <w:rsid w:val="00E144C4"/>
    <w:rsid w:val="00E14585"/>
    <w:rsid w:val="00E1478B"/>
    <w:rsid w:val="00E14FAC"/>
    <w:rsid w:val="00E15007"/>
    <w:rsid w:val="00E15102"/>
    <w:rsid w:val="00E15DC6"/>
    <w:rsid w:val="00E16277"/>
    <w:rsid w:val="00E16EC7"/>
    <w:rsid w:val="00E17DCC"/>
    <w:rsid w:val="00E20627"/>
    <w:rsid w:val="00E219CE"/>
    <w:rsid w:val="00E21D93"/>
    <w:rsid w:val="00E22A86"/>
    <w:rsid w:val="00E22D2A"/>
    <w:rsid w:val="00E24071"/>
    <w:rsid w:val="00E24142"/>
    <w:rsid w:val="00E24DCA"/>
    <w:rsid w:val="00E24EBC"/>
    <w:rsid w:val="00E2522C"/>
    <w:rsid w:val="00E2552F"/>
    <w:rsid w:val="00E2599B"/>
    <w:rsid w:val="00E2656E"/>
    <w:rsid w:val="00E2710C"/>
    <w:rsid w:val="00E272BD"/>
    <w:rsid w:val="00E27428"/>
    <w:rsid w:val="00E305B4"/>
    <w:rsid w:val="00E305DE"/>
    <w:rsid w:val="00E31AFA"/>
    <w:rsid w:val="00E31CB7"/>
    <w:rsid w:val="00E32463"/>
    <w:rsid w:val="00E324EE"/>
    <w:rsid w:val="00E3367B"/>
    <w:rsid w:val="00E34D2F"/>
    <w:rsid w:val="00E34DB1"/>
    <w:rsid w:val="00E35931"/>
    <w:rsid w:val="00E359FF"/>
    <w:rsid w:val="00E36337"/>
    <w:rsid w:val="00E3699A"/>
    <w:rsid w:val="00E371E1"/>
    <w:rsid w:val="00E37BFE"/>
    <w:rsid w:val="00E402C5"/>
    <w:rsid w:val="00E402F4"/>
    <w:rsid w:val="00E405F1"/>
    <w:rsid w:val="00E4076D"/>
    <w:rsid w:val="00E40913"/>
    <w:rsid w:val="00E417DB"/>
    <w:rsid w:val="00E41998"/>
    <w:rsid w:val="00E423C5"/>
    <w:rsid w:val="00E427A0"/>
    <w:rsid w:val="00E43054"/>
    <w:rsid w:val="00E432D1"/>
    <w:rsid w:val="00E433B4"/>
    <w:rsid w:val="00E43655"/>
    <w:rsid w:val="00E44440"/>
    <w:rsid w:val="00E44A8B"/>
    <w:rsid w:val="00E45958"/>
    <w:rsid w:val="00E46013"/>
    <w:rsid w:val="00E4673F"/>
    <w:rsid w:val="00E46839"/>
    <w:rsid w:val="00E46DAD"/>
    <w:rsid w:val="00E47099"/>
    <w:rsid w:val="00E47284"/>
    <w:rsid w:val="00E477C3"/>
    <w:rsid w:val="00E5017E"/>
    <w:rsid w:val="00E50734"/>
    <w:rsid w:val="00E5140B"/>
    <w:rsid w:val="00E51E16"/>
    <w:rsid w:val="00E52990"/>
    <w:rsid w:val="00E52DED"/>
    <w:rsid w:val="00E53593"/>
    <w:rsid w:val="00E53730"/>
    <w:rsid w:val="00E5410A"/>
    <w:rsid w:val="00E5438D"/>
    <w:rsid w:val="00E54511"/>
    <w:rsid w:val="00E54E50"/>
    <w:rsid w:val="00E55288"/>
    <w:rsid w:val="00E56429"/>
    <w:rsid w:val="00E5682A"/>
    <w:rsid w:val="00E57577"/>
    <w:rsid w:val="00E57CDA"/>
    <w:rsid w:val="00E600E5"/>
    <w:rsid w:val="00E60F05"/>
    <w:rsid w:val="00E62043"/>
    <w:rsid w:val="00E626B9"/>
    <w:rsid w:val="00E627C9"/>
    <w:rsid w:val="00E630F3"/>
    <w:rsid w:val="00E6332F"/>
    <w:rsid w:val="00E637A5"/>
    <w:rsid w:val="00E637C9"/>
    <w:rsid w:val="00E6402D"/>
    <w:rsid w:val="00E64322"/>
    <w:rsid w:val="00E64A19"/>
    <w:rsid w:val="00E6680A"/>
    <w:rsid w:val="00E66960"/>
    <w:rsid w:val="00E669E3"/>
    <w:rsid w:val="00E66D44"/>
    <w:rsid w:val="00E66F0D"/>
    <w:rsid w:val="00E679F6"/>
    <w:rsid w:val="00E67BFA"/>
    <w:rsid w:val="00E7004F"/>
    <w:rsid w:val="00E70615"/>
    <w:rsid w:val="00E7159E"/>
    <w:rsid w:val="00E7161E"/>
    <w:rsid w:val="00E71BE3"/>
    <w:rsid w:val="00E72004"/>
    <w:rsid w:val="00E7207B"/>
    <w:rsid w:val="00E722CF"/>
    <w:rsid w:val="00E72880"/>
    <w:rsid w:val="00E7347A"/>
    <w:rsid w:val="00E73798"/>
    <w:rsid w:val="00E7384D"/>
    <w:rsid w:val="00E75A47"/>
    <w:rsid w:val="00E75BB6"/>
    <w:rsid w:val="00E75C2B"/>
    <w:rsid w:val="00E75D8C"/>
    <w:rsid w:val="00E7719C"/>
    <w:rsid w:val="00E7757E"/>
    <w:rsid w:val="00E777F2"/>
    <w:rsid w:val="00E802C9"/>
    <w:rsid w:val="00E80BFB"/>
    <w:rsid w:val="00E80EC2"/>
    <w:rsid w:val="00E80F0A"/>
    <w:rsid w:val="00E81334"/>
    <w:rsid w:val="00E815D4"/>
    <w:rsid w:val="00E818FD"/>
    <w:rsid w:val="00E819BA"/>
    <w:rsid w:val="00E8291B"/>
    <w:rsid w:val="00E82E70"/>
    <w:rsid w:val="00E82F92"/>
    <w:rsid w:val="00E8395F"/>
    <w:rsid w:val="00E83C3D"/>
    <w:rsid w:val="00E83ECB"/>
    <w:rsid w:val="00E8408E"/>
    <w:rsid w:val="00E8410F"/>
    <w:rsid w:val="00E84358"/>
    <w:rsid w:val="00E84650"/>
    <w:rsid w:val="00E849D7"/>
    <w:rsid w:val="00E8559B"/>
    <w:rsid w:val="00E85868"/>
    <w:rsid w:val="00E85E41"/>
    <w:rsid w:val="00E85EA1"/>
    <w:rsid w:val="00E86703"/>
    <w:rsid w:val="00E86C01"/>
    <w:rsid w:val="00E87F57"/>
    <w:rsid w:val="00E900DA"/>
    <w:rsid w:val="00E91044"/>
    <w:rsid w:val="00E910D3"/>
    <w:rsid w:val="00E91CBA"/>
    <w:rsid w:val="00E92097"/>
    <w:rsid w:val="00E92154"/>
    <w:rsid w:val="00E923CF"/>
    <w:rsid w:val="00E93685"/>
    <w:rsid w:val="00E93B65"/>
    <w:rsid w:val="00E93C8C"/>
    <w:rsid w:val="00E93FED"/>
    <w:rsid w:val="00E944AB"/>
    <w:rsid w:val="00E95111"/>
    <w:rsid w:val="00E95D57"/>
    <w:rsid w:val="00E95FDF"/>
    <w:rsid w:val="00E960AD"/>
    <w:rsid w:val="00E9677F"/>
    <w:rsid w:val="00E96898"/>
    <w:rsid w:val="00E97043"/>
    <w:rsid w:val="00E97A16"/>
    <w:rsid w:val="00EA0185"/>
    <w:rsid w:val="00EA02A8"/>
    <w:rsid w:val="00EA14C8"/>
    <w:rsid w:val="00EA2110"/>
    <w:rsid w:val="00EA24AF"/>
    <w:rsid w:val="00EA283A"/>
    <w:rsid w:val="00EA2C90"/>
    <w:rsid w:val="00EA2E07"/>
    <w:rsid w:val="00EA383B"/>
    <w:rsid w:val="00EA44ED"/>
    <w:rsid w:val="00EA48F3"/>
    <w:rsid w:val="00EA4D46"/>
    <w:rsid w:val="00EA526B"/>
    <w:rsid w:val="00EA60BF"/>
    <w:rsid w:val="00EA6C71"/>
    <w:rsid w:val="00EA71B5"/>
    <w:rsid w:val="00EA7365"/>
    <w:rsid w:val="00EA763F"/>
    <w:rsid w:val="00EA77E9"/>
    <w:rsid w:val="00EA7BBA"/>
    <w:rsid w:val="00EA7E61"/>
    <w:rsid w:val="00EB0548"/>
    <w:rsid w:val="00EB05D0"/>
    <w:rsid w:val="00EB1151"/>
    <w:rsid w:val="00EB1D49"/>
    <w:rsid w:val="00EB23D9"/>
    <w:rsid w:val="00EB39A0"/>
    <w:rsid w:val="00EB430A"/>
    <w:rsid w:val="00EB4CB9"/>
    <w:rsid w:val="00EB4EF7"/>
    <w:rsid w:val="00EB559F"/>
    <w:rsid w:val="00EB566C"/>
    <w:rsid w:val="00EB5A18"/>
    <w:rsid w:val="00EB5D09"/>
    <w:rsid w:val="00EB5F3D"/>
    <w:rsid w:val="00EB6C97"/>
    <w:rsid w:val="00EB7E87"/>
    <w:rsid w:val="00EC0317"/>
    <w:rsid w:val="00EC1CEB"/>
    <w:rsid w:val="00EC1DC0"/>
    <w:rsid w:val="00EC1DC2"/>
    <w:rsid w:val="00EC1E09"/>
    <w:rsid w:val="00EC210E"/>
    <w:rsid w:val="00EC21EC"/>
    <w:rsid w:val="00EC24B8"/>
    <w:rsid w:val="00EC268C"/>
    <w:rsid w:val="00EC3753"/>
    <w:rsid w:val="00EC3FB6"/>
    <w:rsid w:val="00EC4E71"/>
    <w:rsid w:val="00EC5409"/>
    <w:rsid w:val="00EC5B29"/>
    <w:rsid w:val="00EC5BC4"/>
    <w:rsid w:val="00EC5F1C"/>
    <w:rsid w:val="00EC7AEB"/>
    <w:rsid w:val="00ED0365"/>
    <w:rsid w:val="00ED0512"/>
    <w:rsid w:val="00ED0865"/>
    <w:rsid w:val="00ED0C1C"/>
    <w:rsid w:val="00ED1353"/>
    <w:rsid w:val="00ED1C60"/>
    <w:rsid w:val="00ED2EB9"/>
    <w:rsid w:val="00ED3722"/>
    <w:rsid w:val="00ED3A31"/>
    <w:rsid w:val="00ED4214"/>
    <w:rsid w:val="00ED4469"/>
    <w:rsid w:val="00ED5424"/>
    <w:rsid w:val="00ED5F23"/>
    <w:rsid w:val="00ED6DC0"/>
    <w:rsid w:val="00ED7A7A"/>
    <w:rsid w:val="00ED7F9C"/>
    <w:rsid w:val="00EE0327"/>
    <w:rsid w:val="00EE038C"/>
    <w:rsid w:val="00EE060A"/>
    <w:rsid w:val="00EE105A"/>
    <w:rsid w:val="00EE187A"/>
    <w:rsid w:val="00EE1D00"/>
    <w:rsid w:val="00EE1F23"/>
    <w:rsid w:val="00EE21F9"/>
    <w:rsid w:val="00EE259E"/>
    <w:rsid w:val="00EE25C8"/>
    <w:rsid w:val="00EE28C5"/>
    <w:rsid w:val="00EE2F09"/>
    <w:rsid w:val="00EE3244"/>
    <w:rsid w:val="00EE3FB2"/>
    <w:rsid w:val="00EE47C5"/>
    <w:rsid w:val="00EE490C"/>
    <w:rsid w:val="00EE4E57"/>
    <w:rsid w:val="00EE5738"/>
    <w:rsid w:val="00EE58BD"/>
    <w:rsid w:val="00EE5DDB"/>
    <w:rsid w:val="00EE5E59"/>
    <w:rsid w:val="00EE6108"/>
    <w:rsid w:val="00EE73D0"/>
    <w:rsid w:val="00EE7CB0"/>
    <w:rsid w:val="00EE7CD1"/>
    <w:rsid w:val="00EF08A8"/>
    <w:rsid w:val="00EF167B"/>
    <w:rsid w:val="00EF1C90"/>
    <w:rsid w:val="00EF2496"/>
    <w:rsid w:val="00EF2647"/>
    <w:rsid w:val="00EF270A"/>
    <w:rsid w:val="00EF41A8"/>
    <w:rsid w:val="00EF44FB"/>
    <w:rsid w:val="00EF474F"/>
    <w:rsid w:val="00EF5122"/>
    <w:rsid w:val="00EF5554"/>
    <w:rsid w:val="00EF5AD8"/>
    <w:rsid w:val="00EF687F"/>
    <w:rsid w:val="00EF6B90"/>
    <w:rsid w:val="00EF70C9"/>
    <w:rsid w:val="00EF741E"/>
    <w:rsid w:val="00EF7807"/>
    <w:rsid w:val="00EF79F7"/>
    <w:rsid w:val="00F006C0"/>
    <w:rsid w:val="00F00EB1"/>
    <w:rsid w:val="00F0125F"/>
    <w:rsid w:val="00F0176A"/>
    <w:rsid w:val="00F019AA"/>
    <w:rsid w:val="00F01C1B"/>
    <w:rsid w:val="00F0267E"/>
    <w:rsid w:val="00F02686"/>
    <w:rsid w:val="00F030C0"/>
    <w:rsid w:val="00F03114"/>
    <w:rsid w:val="00F03291"/>
    <w:rsid w:val="00F03A85"/>
    <w:rsid w:val="00F04052"/>
    <w:rsid w:val="00F04314"/>
    <w:rsid w:val="00F0459B"/>
    <w:rsid w:val="00F04E15"/>
    <w:rsid w:val="00F056EC"/>
    <w:rsid w:val="00F05DF3"/>
    <w:rsid w:val="00F06829"/>
    <w:rsid w:val="00F069EA"/>
    <w:rsid w:val="00F06A4B"/>
    <w:rsid w:val="00F06A69"/>
    <w:rsid w:val="00F070E5"/>
    <w:rsid w:val="00F07D5E"/>
    <w:rsid w:val="00F07DDE"/>
    <w:rsid w:val="00F10396"/>
    <w:rsid w:val="00F10F30"/>
    <w:rsid w:val="00F11675"/>
    <w:rsid w:val="00F123DA"/>
    <w:rsid w:val="00F12557"/>
    <w:rsid w:val="00F1268D"/>
    <w:rsid w:val="00F127C8"/>
    <w:rsid w:val="00F12881"/>
    <w:rsid w:val="00F12C62"/>
    <w:rsid w:val="00F13321"/>
    <w:rsid w:val="00F134BA"/>
    <w:rsid w:val="00F13599"/>
    <w:rsid w:val="00F13A71"/>
    <w:rsid w:val="00F13B28"/>
    <w:rsid w:val="00F14DCD"/>
    <w:rsid w:val="00F151AB"/>
    <w:rsid w:val="00F156A0"/>
    <w:rsid w:val="00F15730"/>
    <w:rsid w:val="00F15AB9"/>
    <w:rsid w:val="00F16B7A"/>
    <w:rsid w:val="00F16CE3"/>
    <w:rsid w:val="00F176A6"/>
    <w:rsid w:val="00F17A24"/>
    <w:rsid w:val="00F202C2"/>
    <w:rsid w:val="00F204B3"/>
    <w:rsid w:val="00F20C3D"/>
    <w:rsid w:val="00F2124C"/>
    <w:rsid w:val="00F212F6"/>
    <w:rsid w:val="00F217F8"/>
    <w:rsid w:val="00F2190F"/>
    <w:rsid w:val="00F22756"/>
    <w:rsid w:val="00F23248"/>
    <w:rsid w:val="00F23700"/>
    <w:rsid w:val="00F23890"/>
    <w:rsid w:val="00F249A1"/>
    <w:rsid w:val="00F24FBA"/>
    <w:rsid w:val="00F2504D"/>
    <w:rsid w:val="00F2595D"/>
    <w:rsid w:val="00F25B26"/>
    <w:rsid w:val="00F2637F"/>
    <w:rsid w:val="00F268F7"/>
    <w:rsid w:val="00F30B83"/>
    <w:rsid w:val="00F30BDB"/>
    <w:rsid w:val="00F30CF8"/>
    <w:rsid w:val="00F31402"/>
    <w:rsid w:val="00F31EDF"/>
    <w:rsid w:val="00F32507"/>
    <w:rsid w:val="00F327D9"/>
    <w:rsid w:val="00F32CDE"/>
    <w:rsid w:val="00F32D4C"/>
    <w:rsid w:val="00F3327E"/>
    <w:rsid w:val="00F338C3"/>
    <w:rsid w:val="00F3401D"/>
    <w:rsid w:val="00F34B14"/>
    <w:rsid w:val="00F34CF1"/>
    <w:rsid w:val="00F34E35"/>
    <w:rsid w:val="00F34F58"/>
    <w:rsid w:val="00F3572F"/>
    <w:rsid w:val="00F35750"/>
    <w:rsid w:val="00F35DA7"/>
    <w:rsid w:val="00F35E35"/>
    <w:rsid w:val="00F36A6A"/>
    <w:rsid w:val="00F40101"/>
    <w:rsid w:val="00F404F7"/>
    <w:rsid w:val="00F40CCA"/>
    <w:rsid w:val="00F41968"/>
    <w:rsid w:val="00F41E02"/>
    <w:rsid w:val="00F42AA4"/>
    <w:rsid w:val="00F42D97"/>
    <w:rsid w:val="00F42F0E"/>
    <w:rsid w:val="00F42FCF"/>
    <w:rsid w:val="00F436B2"/>
    <w:rsid w:val="00F43813"/>
    <w:rsid w:val="00F43FEE"/>
    <w:rsid w:val="00F440B0"/>
    <w:rsid w:val="00F44114"/>
    <w:rsid w:val="00F4492F"/>
    <w:rsid w:val="00F44D46"/>
    <w:rsid w:val="00F45030"/>
    <w:rsid w:val="00F45A72"/>
    <w:rsid w:val="00F46723"/>
    <w:rsid w:val="00F46A81"/>
    <w:rsid w:val="00F4706D"/>
    <w:rsid w:val="00F47309"/>
    <w:rsid w:val="00F476E1"/>
    <w:rsid w:val="00F47855"/>
    <w:rsid w:val="00F47D1D"/>
    <w:rsid w:val="00F47F29"/>
    <w:rsid w:val="00F50016"/>
    <w:rsid w:val="00F5118A"/>
    <w:rsid w:val="00F515F3"/>
    <w:rsid w:val="00F51A21"/>
    <w:rsid w:val="00F51A35"/>
    <w:rsid w:val="00F523B9"/>
    <w:rsid w:val="00F52614"/>
    <w:rsid w:val="00F5276E"/>
    <w:rsid w:val="00F52E9F"/>
    <w:rsid w:val="00F532B2"/>
    <w:rsid w:val="00F53304"/>
    <w:rsid w:val="00F534C0"/>
    <w:rsid w:val="00F53B81"/>
    <w:rsid w:val="00F53C15"/>
    <w:rsid w:val="00F540FE"/>
    <w:rsid w:val="00F542F3"/>
    <w:rsid w:val="00F5459A"/>
    <w:rsid w:val="00F556FF"/>
    <w:rsid w:val="00F55D12"/>
    <w:rsid w:val="00F56836"/>
    <w:rsid w:val="00F5687F"/>
    <w:rsid w:val="00F56A02"/>
    <w:rsid w:val="00F56D3F"/>
    <w:rsid w:val="00F571AD"/>
    <w:rsid w:val="00F5725B"/>
    <w:rsid w:val="00F575C7"/>
    <w:rsid w:val="00F57CC1"/>
    <w:rsid w:val="00F57DF7"/>
    <w:rsid w:val="00F57FD0"/>
    <w:rsid w:val="00F60305"/>
    <w:rsid w:val="00F61B12"/>
    <w:rsid w:val="00F61C70"/>
    <w:rsid w:val="00F627D8"/>
    <w:rsid w:val="00F62869"/>
    <w:rsid w:val="00F62ED4"/>
    <w:rsid w:val="00F63264"/>
    <w:rsid w:val="00F634E4"/>
    <w:rsid w:val="00F6379E"/>
    <w:rsid w:val="00F64047"/>
    <w:rsid w:val="00F65171"/>
    <w:rsid w:val="00F6533A"/>
    <w:rsid w:val="00F6560D"/>
    <w:rsid w:val="00F669BD"/>
    <w:rsid w:val="00F67844"/>
    <w:rsid w:val="00F67B09"/>
    <w:rsid w:val="00F70221"/>
    <w:rsid w:val="00F705F6"/>
    <w:rsid w:val="00F70795"/>
    <w:rsid w:val="00F70799"/>
    <w:rsid w:val="00F709BA"/>
    <w:rsid w:val="00F70A8B"/>
    <w:rsid w:val="00F70B8D"/>
    <w:rsid w:val="00F70F0F"/>
    <w:rsid w:val="00F71936"/>
    <w:rsid w:val="00F71F81"/>
    <w:rsid w:val="00F724FB"/>
    <w:rsid w:val="00F726B8"/>
    <w:rsid w:val="00F72A26"/>
    <w:rsid w:val="00F733C3"/>
    <w:rsid w:val="00F73E15"/>
    <w:rsid w:val="00F746A1"/>
    <w:rsid w:val="00F74820"/>
    <w:rsid w:val="00F74F08"/>
    <w:rsid w:val="00F7506D"/>
    <w:rsid w:val="00F755DD"/>
    <w:rsid w:val="00F756DD"/>
    <w:rsid w:val="00F77F4E"/>
    <w:rsid w:val="00F80047"/>
    <w:rsid w:val="00F800C7"/>
    <w:rsid w:val="00F8010B"/>
    <w:rsid w:val="00F80361"/>
    <w:rsid w:val="00F8104D"/>
    <w:rsid w:val="00F8153F"/>
    <w:rsid w:val="00F81587"/>
    <w:rsid w:val="00F819C3"/>
    <w:rsid w:val="00F81B2A"/>
    <w:rsid w:val="00F81B4C"/>
    <w:rsid w:val="00F81C12"/>
    <w:rsid w:val="00F81D9A"/>
    <w:rsid w:val="00F81DE7"/>
    <w:rsid w:val="00F8263C"/>
    <w:rsid w:val="00F8288F"/>
    <w:rsid w:val="00F82DD3"/>
    <w:rsid w:val="00F8376E"/>
    <w:rsid w:val="00F83C52"/>
    <w:rsid w:val="00F840EC"/>
    <w:rsid w:val="00F84802"/>
    <w:rsid w:val="00F84B25"/>
    <w:rsid w:val="00F85B72"/>
    <w:rsid w:val="00F86540"/>
    <w:rsid w:val="00F865CE"/>
    <w:rsid w:val="00F8690D"/>
    <w:rsid w:val="00F8766F"/>
    <w:rsid w:val="00F901B3"/>
    <w:rsid w:val="00F90282"/>
    <w:rsid w:val="00F90BC8"/>
    <w:rsid w:val="00F91082"/>
    <w:rsid w:val="00F9116D"/>
    <w:rsid w:val="00F91171"/>
    <w:rsid w:val="00F91342"/>
    <w:rsid w:val="00F91A9A"/>
    <w:rsid w:val="00F923AF"/>
    <w:rsid w:val="00F92634"/>
    <w:rsid w:val="00F933F3"/>
    <w:rsid w:val="00F93ABB"/>
    <w:rsid w:val="00F93D75"/>
    <w:rsid w:val="00F94D79"/>
    <w:rsid w:val="00F95AEF"/>
    <w:rsid w:val="00F9658C"/>
    <w:rsid w:val="00F96EEB"/>
    <w:rsid w:val="00F9775D"/>
    <w:rsid w:val="00F97A7F"/>
    <w:rsid w:val="00F97CD0"/>
    <w:rsid w:val="00F97D7A"/>
    <w:rsid w:val="00FA0152"/>
    <w:rsid w:val="00FA0889"/>
    <w:rsid w:val="00FA16E7"/>
    <w:rsid w:val="00FA1D69"/>
    <w:rsid w:val="00FA2897"/>
    <w:rsid w:val="00FA31C7"/>
    <w:rsid w:val="00FA4394"/>
    <w:rsid w:val="00FA472D"/>
    <w:rsid w:val="00FA4A82"/>
    <w:rsid w:val="00FA5A92"/>
    <w:rsid w:val="00FA681F"/>
    <w:rsid w:val="00FA7373"/>
    <w:rsid w:val="00FB0261"/>
    <w:rsid w:val="00FB0CBF"/>
    <w:rsid w:val="00FB18F6"/>
    <w:rsid w:val="00FB2A52"/>
    <w:rsid w:val="00FB3961"/>
    <w:rsid w:val="00FB39E0"/>
    <w:rsid w:val="00FB3F92"/>
    <w:rsid w:val="00FB52C7"/>
    <w:rsid w:val="00FB57DC"/>
    <w:rsid w:val="00FB5915"/>
    <w:rsid w:val="00FB6E19"/>
    <w:rsid w:val="00FB71F6"/>
    <w:rsid w:val="00FB74F1"/>
    <w:rsid w:val="00FC0670"/>
    <w:rsid w:val="00FC07AF"/>
    <w:rsid w:val="00FC0AF8"/>
    <w:rsid w:val="00FC0B69"/>
    <w:rsid w:val="00FC1055"/>
    <w:rsid w:val="00FC1238"/>
    <w:rsid w:val="00FC1483"/>
    <w:rsid w:val="00FC1BEF"/>
    <w:rsid w:val="00FC1C47"/>
    <w:rsid w:val="00FC1EA7"/>
    <w:rsid w:val="00FC26DB"/>
    <w:rsid w:val="00FC2866"/>
    <w:rsid w:val="00FC2869"/>
    <w:rsid w:val="00FC2F9E"/>
    <w:rsid w:val="00FC3102"/>
    <w:rsid w:val="00FC3848"/>
    <w:rsid w:val="00FC39ED"/>
    <w:rsid w:val="00FC3D40"/>
    <w:rsid w:val="00FC4419"/>
    <w:rsid w:val="00FC47E2"/>
    <w:rsid w:val="00FC4AA5"/>
    <w:rsid w:val="00FC4B88"/>
    <w:rsid w:val="00FC4BB8"/>
    <w:rsid w:val="00FC4DD8"/>
    <w:rsid w:val="00FC5148"/>
    <w:rsid w:val="00FC56F0"/>
    <w:rsid w:val="00FC6524"/>
    <w:rsid w:val="00FC6B58"/>
    <w:rsid w:val="00FC6DE3"/>
    <w:rsid w:val="00FC711D"/>
    <w:rsid w:val="00FC75AC"/>
    <w:rsid w:val="00FC7984"/>
    <w:rsid w:val="00FD01BF"/>
    <w:rsid w:val="00FD0525"/>
    <w:rsid w:val="00FD0AB7"/>
    <w:rsid w:val="00FD1000"/>
    <w:rsid w:val="00FD15F8"/>
    <w:rsid w:val="00FD297D"/>
    <w:rsid w:val="00FD29A8"/>
    <w:rsid w:val="00FD2D13"/>
    <w:rsid w:val="00FD374D"/>
    <w:rsid w:val="00FD40F7"/>
    <w:rsid w:val="00FD4D2A"/>
    <w:rsid w:val="00FD5FA5"/>
    <w:rsid w:val="00FD6071"/>
    <w:rsid w:val="00FD633B"/>
    <w:rsid w:val="00FD66ED"/>
    <w:rsid w:val="00FD6ABA"/>
    <w:rsid w:val="00FD7AAD"/>
    <w:rsid w:val="00FE0794"/>
    <w:rsid w:val="00FE1041"/>
    <w:rsid w:val="00FE1614"/>
    <w:rsid w:val="00FE1D32"/>
    <w:rsid w:val="00FE24CB"/>
    <w:rsid w:val="00FE323F"/>
    <w:rsid w:val="00FE3473"/>
    <w:rsid w:val="00FE38E5"/>
    <w:rsid w:val="00FE4049"/>
    <w:rsid w:val="00FE4794"/>
    <w:rsid w:val="00FE480F"/>
    <w:rsid w:val="00FE4998"/>
    <w:rsid w:val="00FE4CA2"/>
    <w:rsid w:val="00FE5382"/>
    <w:rsid w:val="00FE57DE"/>
    <w:rsid w:val="00FE6715"/>
    <w:rsid w:val="00FE719F"/>
    <w:rsid w:val="00FE795F"/>
    <w:rsid w:val="00FE7A68"/>
    <w:rsid w:val="00FF00A3"/>
    <w:rsid w:val="00FF0231"/>
    <w:rsid w:val="00FF056D"/>
    <w:rsid w:val="00FF0F87"/>
    <w:rsid w:val="00FF1C9B"/>
    <w:rsid w:val="00FF1D49"/>
    <w:rsid w:val="00FF203B"/>
    <w:rsid w:val="00FF204D"/>
    <w:rsid w:val="00FF2562"/>
    <w:rsid w:val="00FF3A41"/>
    <w:rsid w:val="00FF3E5B"/>
    <w:rsid w:val="00FF5183"/>
    <w:rsid w:val="00FF57E4"/>
    <w:rsid w:val="00FF5E26"/>
    <w:rsid w:val="00FF5ECD"/>
    <w:rsid w:val="00FF6D57"/>
    <w:rsid w:val="00FF78E5"/>
    <w:rsid w:val="011E3D92"/>
    <w:rsid w:val="01206099"/>
    <w:rsid w:val="012C5FAF"/>
    <w:rsid w:val="0194674A"/>
    <w:rsid w:val="01AF3D99"/>
    <w:rsid w:val="02493090"/>
    <w:rsid w:val="02511F9D"/>
    <w:rsid w:val="027475EC"/>
    <w:rsid w:val="03800D34"/>
    <w:rsid w:val="03A314B8"/>
    <w:rsid w:val="03D42E2E"/>
    <w:rsid w:val="03D8291E"/>
    <w:rsid w:val="03D82B98"/>
    <w:rsid w:val="03F83E8B"/>
    <w:rsid w:val="0422003D"/>
    <w:rsid w:val="04966335"/>
    <w:rsid w:val="04CC6B08"/>
    <w:rsid w:val="04F02940"/>
    <w:rsid w:val="055C151F"/>
    <w:rsid w:val="05853B11"/>
    <w:rsid w:val="05C56868"/>
    <w:rsid w:val="0620235A"/>
    <w:rsid w:val="062260D2"/>
    <w:rsid w:val="068A3C77"/>
    <w:rsid w:val="06BB2083"/>
    <w:rsid w:val="06F913D7"/>
    <w:rsid w:val="07A539BD"/>
    <w:rsid w:val="07B72767"/>
    <w:rsid w:val="07EB2345"/>
    <w:rsid w:val="08077E72"/>
    <w:rsid w:val="087D1CE6"/>
    <w:rsid w:val="08882DD0"/>
    <w:rsid w:val="088D77E3"/>
    <w:rsid w:val="09063A89"/>
    <w:rsid w:val="093700E7"/>
    <w:rsid w:val="098158EB"/>
    <w:rsid w:val="09816C5A"/>
    <w:rsid w:val="09837E07"/>
    <w:rsid w:val="09CC2AAC"/>
    <w:rsid w:val="0A652D3E"/>
    <w:rsid w:val="0B326F2A"/>
    <w:rsid w:val="0B42794F"/>
    <w:rsid w:val="0B940B48"/>
    <w:rsid w:val="0C1E2888"/>
    <w:rsid w:val="0C3B6140"/>
    <w:rsid w:val="0C662A91"/>
    <w:rsid w:val="0C92213C"/>
    <w:rsid w:val="0CC2027E"/>
    <w:rsid w:val="0CCE33B7"/>
    <w:rsid w:val="0CD36378"/>
    <w:rsid w:val="0D84032B"/>
    <w:rsid w:val="0DDF0D4D"/>
    <w:rsid w:val="0ECD6DF7"/>
    <w:rsid w:val="0F0F34B3"/>
    <w:rsid w:val="0F1F58A5"/>
    <w:rsid w:val="0F2A74C4"/>
    <w:rsid w:val="0F757FCC"/>
    <w:rsid w:val="0F7B02CB"/>
    <w:rsid w:val="10056D2C"/>
    <w:rsid w:val="102416CB"/>
    <w:rsid w:val="102B332A"/>
    <w:rsid w:val="10466E61"/>
    <w:rsid w:val="108B6BC6"/>
    <w:rsid w:val="10A27F31"/>
    <w:rsid w:val="10BB15FD"/>
    <w:rsid w:val="11927058"/>
    <w:rsid w:val="120E171E"/>
    <w:rsid w:val="1224683B"/>
    <w:rsid w:val="12977E48"/>
    <w:rsid w:val="12DE79BF"/>
    <w:rsid w:val="12F928B1"/>
    <w:rsid w:val="131E40C5"/>
    <w:rsid w:val="13AF4F03"/>
    <w:rsid w:val="142D4720"/>
    <w:rsid w:val="14736E66"/>
    <w:rsid w:val="147F458F"/>
    <w:rsid w:val="14BB13BD"/>
    <w:rsid w:val="14C67D3B"/>
    <w:rsid w:val="15096931"/>
    <w:rsid w:val="1534169A"/>
    <w:rsid w:val="153F4BDA"/>
    <w:rsid w:val="156F59E5"/>
    <w:rsid w:val="15B7255A"/>
    <w:rsid w:val="15C03E03"/>
    <w:rsid w:val="162A25EB"/>
    <w:rsid w:val="16353C00"/>
    <w:rsid w:val="16735895"/>
    <w:rsid w:val="16FD2A55"/>
    <w:rsid w:val="17067C1A"/>
    <w:rsid w:val="17366761"/>
    <w:rsid w:val="177C01F0"/>
    <w:rsid w:val="179E3EFA"/>
    <w:rsid w:val="17BC20AA"/>
    <w:rsid w:val="17CE6630"/>
    <w:rsid w:val="1881745C"/>
    <w:rsid w:val="189F7AC9"/>
    <w:rsid w:val="18B861CD"/>
    <w:rsid w:val="18F27B86"/>
    <w:rsid w:val="194A1770"/>
    <w:rsid w:val="194E7EC5"/>
    <w:rsid w:val="19DC4185"/>
    <w:rsid w:val="1A7A6085"/>
    <w:rsid w:val="1AFF0AFE"/>
    <w:rsid w:val="1B4F19F8"/>
    <w:rsid w:val="1BE428CB"/>
    <w:rsid w:val="1C23644B"/>
    <w:rsid w:val="1C347C54"/>
    <w:rsid w:val="1C697D05"/>
    <w:rsid w:val="1CAB69CA"/>
    <w:rsid w:val="1D717A55"/>
    <w:rsid w:val="1DCB4E4A"/>
    <w:rsid w:val="1E785FC6"/>
    <w:rsid w:val="1E94348E"/>
    <w:rsid w:val="1EA77E29"/>
    <w:rsid w:val="1ECC44FA"/>
    <w:rsid w:val="1ED036C9"/>
    <w:rsid w:val="1ED805F3"/>
    <w:rsid w:val="1F063325"/>
    <w:rsid w:val="1F166646"/>
    <w:rsid w:val="1F516A75"/>
    <w:rsid w:val="1F52137F"/>
    <w:rsid w:val="1F595078"/>
    <w:rsid w:val="1F5F4111"/>
    <w:rsid w:val="1F86727A"/>
    <w:rsid w:val="1FBC5DF5"/>
    <w:rsid w:val="1FF90588"/>
    <w:rsid w:val="200F101E"/>
    <w:rsid w:val="20AE6A88"/>
    <w:rsid w:val="20C3623F"/>
    <w:rsid w:val="20C6076D"/>
    <w:rsid w:val="21781212"/>
    <w:rsid w:val="21AB746C"/>
    <w:rsid w:val="21B83F86"/>
    <w:rsid w:val="21BE719F"/>
    <w:rsid w:val="221178A8"/>
    <w:rsid w:val="221213CF"/>
    <w:rsid w:val="22231C38"/>
    <w:rsid w:val="22327A92"/>
    <w:rsid w:val="22E73FEF"/>
    <w:rsid w:val="231D53A2"/>
    <w:rsid w:val="23244DE0"/>
    <w:rsid w:val="236D4D3A"/>
    <w:rsid w:val="236D5383"/>
    <w:rsid w:val="23B7504C"/>
    <w:rsid w:val="24137B72"/>
    <w:rsid w:val="241D19BD"/>
    <w:rsid w:val="24571307"/>
    <w:rsid w:val="24AC3078"/>
    <w:rsid w:val="25110A2A"/>
    <w:rsid w:val="251F1A3C"/>
    <w:rsid w:val="254278B2"/>
    <w:rsid w:val="256C0944"/>
    <w:rsid w:val="25C72513"/>
    <w:rsid w:val="25D41F96"/>
    <w:rsid w:val="25E965C8"/>
    <w:rsid w:val="25EB16A5"/>
    <w:rsid w:val="26446DE3"/>
    <w:rsid w:val="265274BF"/>
    <w:rsid w:val="26874579"/>
    <w:rsid w:val="26877DFE"/>
    <w:rsid w:val="269669E7"/>
    <w:rsid w:val="26A270C1"/>
    <w:rsid w:val="26AC1A24"/>
    <w:rsid w:val="26D7699F"/>
    <w:rsid w:val="275F7F2B"/>
    <w:rsid w:val="28377363"/>
    <w:rsid w:val="28B46C06"/>
    <w:rsid w:val="28DC43AF"/>
    <w:rsid w:val="28E13773"/>
    <w:rsid w:val="28F74D45"/>
    <w:rsid w:val="29A273A6"/>
    <w:rsid w:val="29CC6106"/>
    <w:rsid w:val="29D75F7F"/>
    <w:rsid w:val="2A9B409C"/>
    <w:rsid w:val="2AC71A3C"/>
    <w:rsid w:val="2AF77D40"/>
    <w:rsid w:val="2B774624"/>
    <w:rsid w:val="2C1E7D5B"/>
    <w:rsid w:val="2C7A72BE"/>
    <w:rsid w:val="2C9A7D75"/>
    <w:rsid w:val="2CC17412"/>
    <w:rsid w:val="2D7C1E99"/>
    <w:rsid w:val="2DB640F0"/>
    <w:rsid w:val="2DF4181D"/>
    <w:rsid w:val="2E0917A2"/>
    <w:rsid w:val="2E2B796A"/>
    <w:rsid w:val="2E9976CE"/>
    <w:rsid w:val="2EF01DEE"/>
    <w:rsid w:val="2F12422A"/>
    <w:rsid w:val="2F401D3C"/>
    <w:rsid w:val="2F594FEC"/>
    <w:rsid w:val="2F5B24E1"/>
    <w:rsid w:val="2F860BD0"/>
    <w:rsid w:val="2FA95C88"/>
    <w:rsid w:val="2FF13F61"/>
    <w:rsid w:val="30405223"/>
    <w:rsid w:val="3041370F"/>
    <w:rsid w:val="30B87FED"/>
    <w:rsid w:val="312B08ED"/>
    <w:rsid w:val="312B50A3"/>
    <w:rsid w:val="31894FD2"/>
    <w:rsid w:val="31C41527"/>
    <w:rsid w:val="322E7A29"/>
    <w:rsid w:val="32453A27"/>
    <w:rsid w:val="3263064A"/>
    <w:rsid w:val="32A43132"/>
    <w:rsid w:val="32AC0C06"/>
    <w:rsid w:val="331A1D5C"/>
    <w:rsid w:val="33344EF5"/>
    <w:rsid w:val="33730173"/>
    <w:rsid w:val="33EB36B6"/>
    <w:rsid w:val="345C4444"/>
    <w:rsid w:val="34C14813"/>
    <w:rsid w:val="34CA77B1"/>
    <w:rsid w:val="34E26732"/>
    <w:rsid w:val="35020CF9"/>
    <w:rsid w:val="352A78DF"/>
    <w:rsid w:val="3537750C"/>
    <w:rsid w:val="3537798C"/>
    <w:rsid w:val="35C13FC9"/>
    <w:rsid w:val="35FF41CE"/>
    <w:rsid w:val="36372B05"/>
    <w:rsid w:val="364257B6"/>
    <w:rsid w:val="36820E79"/>
    <w:rsid w:val="36C80407"/>
    <w:rsid w:val="37052D23"/>
    <w:rsid w:val="37A70CCC"/>
    <w:rsid w:val="37EA5922"/>
    <w:rsid w:val="38091943"/>
    <w:rsid w:val="38276B93"/>
    <w:rsid w:val="382E58B8"/>
    <w:rsid w:val="384B0D26"/>
    <w:rsid w:val="38AC3431"/>
    <w:rsid w:val="392F2E16"/>
    <w:rsid w:val="397C551E"/>
    <w:rsid w:val="39E00529"/>
    <w:rsid w:val="3A0A5A84"/>
    <w:rsid w:val="3A0B64A7"/>
    <w:rsid w:val="3A4F3E03"/>
    <w:rsid w:val="3A574DDA"/>
    <w:rsid w:val="3A6C7F17"/>
    <w:rsid w:val="3ACD1DA9"/>
    <w:rsid w:val="3AD3075A"/>
    <w:rsid w:val="3AEA64B7"/>
    <w:rsid w:val="3AF74C02"/>
    <w:rsid w:val="3B146A06"/>
    <w:rsid w:val="3B6B356A"/>
    <w:rsid w:val="3C0059A5"/>
    <w:rsid w:val="3C134E78"/>
    <w:rsid w:val="3CFD0A79"/>
    <w:rsid w:val="3D583BAC"/>
    <w:rsid w:val="3D5E2B26"/>
    <w:rsid w:val="3D6904F0"/>
    <w:rsid w:val="3D7057DE"/>
    <w:rsid w:val="3DA0781E"/>
    <w:rsid w:val="3DF6345D"/>
    <w:rsid w:val="3E0E2F3D"/>
    <w:rsid w:val="3E2B5515"/>
    <w:rsid w:val="3E4D4F28"/>
    <w:rsid w:val="3E6D5FC3"/>
    <w:rsid w:val="3E95042D"/>
    <w:rsid w:val="3EA11583"/>
    <w:rsid w:val="3EB2586B"/>
    <w:rsid w:val="3ED92EC4"/>
    <w:rsid w:val="3EE13701"/>
    <w:rsid w:val="3EED6576"/>
    <w:rsid w:val="3F124C2C"/>
    <w:rsid w:val="3F174BBC"/>
    <w:rsid w:val="3F1A4BB3"/>
    <w:rsid w:val="3F2521B4"/>
    <w:rsid w:val="3F766FD9"/>
    <w:rsid w:val="3FF33D1E"/>
    <w:rsid w:val="40192BA6"/>
    <w:rsid w:val="411C296A"/>
    <w:rsid w:val="416508AA"/>
    <w:rsid w:val="41766EA9"/>
    <w:rsid w:val="41870F04"/>
    <w:rsid w:val="422229DB"/>
    <w:rsid w:val="42550A18"/>
    <w:rsid w:val="425E5C7D"/>
    <w:rsid w:val="42887029"/>
    <w:rsid w:val="429D496A"/>
    <w:rsid w:val="42BF46CD"/>
    <w:rsid w:val="42F473A1"/>
    <w:rsid w:val="430A3B9B"/>
    <w:rsid w:val="437217EA"/>
    <w:rsid w:val="43803E5D"/>
    <w:rsid w:val="43AB7156"/>
    <w:rsid w:val="43E12A1B"/>
    <w:rsid w:val="43FF60DE"/>
    <w:rsid w:val="441E62C0"/>
    <w:rsid w:val="442944F4"/>
    <w:rsid w:val="449C42A1"/>
    <w:rsid w:val="44F40AAD"/>
    <w:rsid w:val="45325D14"/>
    <w:rsid w:val="45575091"/>
    <w:rsid w:val="457C0654"/>
    <w:rsid w:val="45811C7C"/>
    <w:rsid w:val="45906116"/>
    <w:rsid w:val="45931B8C"/>
    <w:rsid w:val="45DB42AF"/>
    <w:rsid w:val="45EF2552"/>
    <w:rsid w:val="45F23B34"/>
    <w:rsid w:val="468B3EFB"/>
    <w:rsid w:val="470A6193"/>
    <w:rsid w:val="47385210"/>
    <w:rsid w:val="475510F8"/>
    <w:rsid w:val="47DC4F5C"/>
    <w:rsid w:val="47E30E5E"/>
    <w:rsid w:val="48B3233C"/>
    <w:rsid w:val="48B40671"/>
    <w:rsid w:val="48EC137A"/>
    <w:rsid w:val="48EC789E"/>
    <w:rsid w:val="499B5738"/>
    <w:rsid w:val="499F244D"/>
    <w:rsid w:val="49AB353F"/>
    <w:rsid w:val="49F72B9B"/>
    <w:rsid w:val="4A233794"/>
    <w:rsid w:val="4A4349AF"/>
    <w:rsid w:val="4A973F3F"/>
    <w:rsid w:val="4AF96BC7"/>
    <w:rsid w:val="4B315A3D"/>
    <w:rsid w:val="4B62209A"/>
    <w:rsid w:val="4B647BC0"/>
    <w:rsid w:val="4B862A85"/>
    <w:rsid w:val="4B8D35BB"/>
    <w:rsid w:val="4B9A5CD8"/>
    <w:rsid w:val="4C683B50"/>
    <w:rsid w:val="4CC04196"/>
    <w:rsid w:val="4CEF36E2"/>
    <w:rsid w:val="4CEF4DC5"/>
    <w:rsid w:val="4CF65190"/>
    <w:rsid w:val="4D6D78F9"/>
    <w:rsid w:val="4E0629FB"/>
    <w:rsid w:val="4E257655"/>
    <w:rsid w:val="4E45017D"/>
    <w:rsid w:val="4F0C5D1C"/>
    <w:rsid w:val="4F372380"/>
    <w:rsid w:val="4F372FFB"/>
    <w:rsid w:val="4F7473AD"/>
    <w:rsid w:val="4FB1539E"/>
    <w:rsid w:val="4FDA66A3"/>
    <w:rsid w:val="5025116D"/>
    <w:rsid w:val="50313DC2"/>
    <w:rsid w:val="506F7733"/>
    <w:rsid w:val="50D82184"/>
    <w:rsid w:val="50F47C38"/>
    <w:rsid w:val="5121547F"/>
    <w:rsid w:val="516B39C7"/>
    <w:rsid w:val="52395ECD"/>
    <w:rsid w:val="52642BB2"/>
    <w:rsid w:val="52A31394"/>
    <w:rsid w:val="52B21B59"/>
    <w:rsid w:val="52C10D75"/>
    <w:rsid w:val="52CC5DDA"/>
    <w:rsid w:val="52D02457"/>
    <w:rsid w:val="536C1D08"/>
    <w:rsid w:val="53C27FF8"/>
    <w:rsid w:val="54806794"/>
    <w:rsid w:val="5492579E"/>
    <w:rsid w:val="549E1A80"/>
    <w:rsid w:val="54C658F4"/>
    <w:rsid w:val="54DC2EBD"/>
    <w:rsid w:val="550C4BD7"/>
    <w:rsid w:val="554C1D56"/>
    <w:rsid w:val="55572986"/>
    <w:rsid w:val="55B135EB"/>
    <w:rsid w:val="55D642FA"/>
    <w:rsid w:val="562C577E"/>
    <w:rsid w:val="565340FA"/>
    <w:rsid w:val="568C573A"/>
    <w:rsid w:val="569C6DA8"/>
    <w:rsid w:val="56AD5F59"/>
    <w:rsid w:val="56C60774"/>
    <w:rsid w:val="56E542AB"/>
    <w:rsid w:val="572B6870"/>
    <w:rsid w:val="573D4D40"/>
    <w:rsid w:val="57772F85"/>
    <w:rsid w:val="57B12A52"/>
    <w:rsid w:val="580544D9"/>
    <w:rsid w:val="580A39A0"/>
    <w:rsid w:val="580F46C6"/>
    <w:rsid w:val="58616610"/>
    <w:rsid w:val="587A60BF"/>
    <w:rsid w:val="58931AE5"/>
    <w:rsid w:val="58E42EC7"/>
    <w:rsid w:val="59412B0E"/>
    <w:rsid w:val="5963770A"/>
    <w:rsid w:val="5A2F2CC8"/>
    <w:rsid w:val="5ACC4575"/>
    <w:rsid w:val="5B5068D8"/>
    <w:rsid w:val="5BC741C4"/>
    <w:rsid w:val="5C10702D"/>
    <w:rsid w:val="5C152601"/>
    <w:rsid w:val="5C1C50CA"/>
    <w:rsid w:val="5C591F03"/>
    <w:rsid w:val="5C7F0037"/>
    <w:rsid w:val="5C8A1B2F"/>
    <w:rsid w:val="5D340DF9"/>
    <w:rsid w:val="5DB91684"/>
    <w:rsid w:val="5E341674"/>
    <w:rsid w:val="5E8A398A"/>
    <w:rsid w:val="5F427DC1"/>
    <w:rsid w:val="5F561B72"/>
    <w:rsid w:val="5F9279F3"/>
    <w:rsid w:val="600D557D"/>
    <w:rsid w:val="60323EA8"/>
    <w:rsid w:val="603F065D"/>
    <w:rsid w:val="606007BB"/>
    <w:rsid w:val="609E54CA"/>
    <w:rsid w:val="60AC7F66"/>
    <w:rsid w:val="611D1FCC"/>
    <w:rsid w:val="61BF10D9"/>
    <w:rsid w:val="62261C1B"/>
    <w:rsid w:val="625E795C"/>
    <w:rsid w:val="626C1660"/>
    <w:rsid w:val="627500D5"/>
    <w:rsid w:val="62774225"/>
    <w:rsid w:val="628726BA"/>
    <w:rsid w:val="62AC22DC"/>
    <w:rsid w:val="62BF00A6"/>
    <w:rsid w:val="63464323"/>
    <w:rsid w:val="63A22BFD"/>
    <w:rsid w:val="63EF7AD3"/>
    <w:rsid w:val="641F5CF2"/>
    <w:rsid w:val="64D0679F"/>
    <w:rsid w:val="64DD1E43"/>
    <w:rsid w:val="64E45CD4"/>
    <w:rsid w:val="64E45EF7"/>
    <w:rsid w:val="653E4B1A"/>
    <w:rsid w:val="65DC0F6F"/>
    <w:rsid w:val="65E70E2A"/>
    <w:rsid w:val="667F3EFA"/>
    <w:rsid w:val="66803B32"/>
    <w:rsid w:val="6691014E"/>
    <w:rsid w:val="66C4508D"/>
    <w:rsid w:val="66C87CCE"/>
    <w:rsid w:val="677435B2"/>
    <w:rsid w:val="677F6056"/>
    <w:rsid w:val="6794413B"/>
    <w:rsid w:val="67C223E6"/>
    <w:rsid w:val="67E439E2"/>
    <w:rsid w:val="67EF75F1"/>
    <w:rsid w:val="681A7B2C"/>
    <w:rsid w:val="683E7CBF"/>
    <w:rsid w:val="684F4F11"/>
    <w:rsid w:val="68B44E00"/>
    <w:rsid w:val="68F465CF"/>
    <w:rsid w:val="69124F16"/>
    <w:rsid w:val="69570204"/>
    <w:rsid w:val="69A21587"/>
    <w:rsid w:val="69CD5C14"/>
    <w:rsid w:val="69CF0D33"/>
    <w:rsid w:val="69E268E0"/>
    <w:rsid w:val="6A2353BE"/>
    <w:rsid w:val="6A4F7413"/>
    <w:rsid w:val="6A966423"/>
    <w:rsid w:val="6AC12A4A"/>
    <w:rsid w:val="6AC47BFE"/>
    <w:rsid w:val="6B9946B3"/>
    <w:rsid w:val="6BB42357"/>
    <w:rsid w:val="6BE518DA"/>
    <w:rsid w:val="6C0013A4"/>
    <w:rsid w:val="6C276F3A"/>
    <w:rsid w:val="6C6B4DFB"/>
    <w:rsid w:val="6C7007C7"/>
    <w:rsid w:val="6C76494D"/>
    <w:rsid w:val="6C9500F5"/>
    <w:rsid w:val="6D0A34C9"/>
    <w:rsid w:val="6D723F67"/>
    <w:rsid w:val="6DE76850"/>
    <w:rsid w:val="6DEA7FA1"/>
    <w:rsid w:val="6E122E65"/>
    <w:rsid w:val="6E870A7C"/>
    <w:rsid w:val="6E8E02BB"/>
    <w:rsid w:val="6EF52990"/>
    <w:rsid w:val="6EF52D06"/>
    <w:rsid w:val="6FB20BD4"/>
    <w:rsid w:val="6FBA59BE"/>
    <w:rsid w:val="70296B3E"/>
    <w:rsid w:val="7047792D"/>
    <w:rsid w:val="70611204"/>
    <w:rsid w:val="70BB1A3F"/>
    <w:rsid w:val="71035E5C"/>
    <w:rsid w:val="7165620F"/>
    <w:rsid w:val="717039F8"/>
    <w:rsid w:val="71DB52CB"/>
    <w:rsid w:val="71DF714A"/>
    <w:rsid w:val="72283976"/>
    <w:rsid w:val="722C2936"/>
    <w:rsid w:val="739509AF"/>
    <w:rsid w:val="739534EB"/>
    <w:rsid w:val="739F35DC"/>
    <w:rsid w:val="73C65515"/>
    <w:rsid w:val="745D771F"/>
    <w:rsid w:val="745F3497"/>
    <w:rsid w:val="7476258E"/>
    <w:rsid w:val="74D13AD5"/>
    <w:rsid w:val="74FA2C30"/>
    <w:rsid w:val="75057E2C"/>
    <w:rsid w:val="754D5C4B"/>
    <w:rsid w:val="758331B5"/>
    <w:rsid w:val="75D4756D"/>
    <w:rsid w:val="760065B4"/>
    <w:rsid w:val="764D5213"/>
    <w:rsid w:val="76A72ED3"/>
    <w:rsid w:val="76C240A7"/>
    <w:rsid w:val="76DA416A"/>
    <w:rsid w:val="76EA0811"/>
    <w:rsid w:val="7725204A"/>
    <w:rsid w:val="773A3D47"/>
    <w:rsid w:val="77415203"/>
    <w:rsid w:val="775246B7"/>
    <w:rsid w:val="77931BCB"/>
    <w:rsid w:val="779C67B0"/>
    <w:rsid w:val="77BB3B58"/>
    <w:rsid w:val="781E69D1"/>
    <w:rsid w:val="789631FF"/>
    <w:rsid w:val="78CF04BF"/>
    <w:rsid w:val="78EA354B"/>
    <w:rsid w:val="7901747F"/>
    <w:rsid w:val="791B4953"/>
    <w:rsid w:val="79C30024"/>
    <w:rsid w:val="7A19669D"/>
    <w:rsid w:val="7A263B6B"/>
    <w:rsid w:val="7A2A00A3"/>
    <w:rsid w:val="7A323738"/>
    <w:rsid w:val="7AA05B8C"/>
    <w:rsid w:val="7AA7104C"/>
    <w:rsid w:val="7AF46346"/>
    <w:rsid w:val="7B0F5EBF"/>
    <w:rsid w:val="7B130FB9"/>
    <w:rsid w:val="7B33377A"/>
    <w:rsid w:val="7BD71E38"/>
    <w:rsid w:val="7BF64EDE"/>
    <w:rsid w:val="7C400C1E"/>
    <w:rsid w:val="7CE17A52"/>
    <w:rsid w:val="7D1105AE"/>
    <w:rsid w:val="7D6C741B"/>
    <w:rsid w:val="7DD11708"/>
    <w:rsid w:val="7DEE4A4F"/>
    <w:rsid w:val="7DF04F86"/>
    <w:rsid w:val="7E1D4C4C"/>
    <w:rsid w:val="7E42141E"/>
    <w:rsid w:val="7E521976"/>
    <w:rsid w:val="7E725B75"/>
    <w:rsid w:val="7EAE6230"/>
    <w:rsid w:val="7EBD579E"/>
    <w:rsid w:val="7EC167BD"/>
    <w:rsid w:val="7F1B2CC1"/>
    <w:rsid w:val="7F272D9E"/>
    <w:rsid w:val="7F477001"/>
    <w:rsid w:val="7F530CFC"/>
    <w:rsid w:val="979F7D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qFormat="1" w:unhideWhenUsed="0"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qFormat="1" w:uiPriority="0" w:semiHidden="0" w:name="footnote reference"/>
    <w:lsdException w:qFormat="1" w:unhideWhenUsed="0" w:uiPriority="0" w:semiHidden="0" w:name="annotation reference"/>
    <w:lsdException w:uiPriority="99" w:name="line number"/>
    <w:lsdException w:qFormat="1" w:unhideWhenUsed="0" w:uiPriority="99"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2"/>
    <w:autoRedefine/>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63"/>
    <w:autoRedefine/>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64"/>
    <w:autoRedefine/>
    <w:qFormat/>
    <w:uiPriority w:val="99"/>
    <w:pPr>
      <w:keepNext/>
      <w:keepLines/>
      <w:spacing w:before="260" w:after="260" w:line="416" w:lineRule="auto"/>
      <w:outlineLvl w:val="2"/>
    </w:pPr>
    <w:rPr>
      <w:b/>
      <w:bCs/>
      <w:sz w:val="32"/>
      <w:szCs w:val="32"/>
    </w:rPr>
  </w:style>
  <w:style w:type="paragraph" w:styleId="6">
    <w:name w:val="heading 4"/>
    <w:basedOn w:val="1"/>
    <w:next w:val="1"/>
    <w:link w:val="65"/>
    <w:autoRedefine/>
    <w:qFormat/>
    <w:uiPriority w:val="99"/>
    <w:pPr>
      <w:keepNext/>
      <w:keepLines/>
      <w:spacing w:line="360" w:lineRule="auto"/>
      <w:outlineLvl w:val="3"/>
    </w:pPr>
    <w:rPr>
      <w:rFonts w:ascii="Arial" w:hAnsi="Arial"/>
      <w:b/>
      <w:bCs/>
      <w:sz w:val="28"/>
      <w:szCs w:val="28"/>
    </w:rPr>
  </w:style>
  <w:style w:type="paragraph" w:styleId="7">
    <w:name w:val="heading 5"/>
    <w:basedOn w:val="1"/>
    <w:next w:val="8"/>
    <w:link w:val="66"/>
    <w:autoRedefine/>
    <w:qFormat/>
    <w:uiPriority w:val="99"/>
    <w:pPr>
      <w:keepNext/>
      <w:keepLines/>
      <w:spacing w:before="280" w:after="290" w:line="376" w:lineRule="auto"/>
      <w:outlineLvl w:val="4"/>
    </w:pPr>
    <w:rPr>
      <w:b/>
      <w:bCs/>
      <w:sz w:val="28"/>
      <w:szCs w:val="28"/>
    </w:rPr>
  </w:style>
  <w:style w:type="paragraph" w:styleId="9">
    <w:name w:val="heading 6"/>
    <w:basedOn w:val="1"/>
    <w:next w:val="1"/>
    <w:link w:val="68"/>
    <w:autoRedefine/>
    <w:qFormat/>
    <w:uiPriority w:val="9"/>
    <w:pPr>
      <w:keepNext/>
      <w:keepLines/>
      <w:spacing w:before="240" w:after="64" w:line="317" w:lineRule="auto"/>
      <w:outlineLvl w:val="5"/>
    </w:pPr>
    <w:rPr>
      <w:rFonts w:ascii="Cambria" w:hAnsi="Cambria"/>
      <w:b/>
      <w:bCs/>
      <w:kern w:val="0"/>
      <w:sz w:val="24"/>
    </w:rPr>
  </w:style>
  <w:style w:type="paragraph" w:styleId="10">
    <w:name w:val="heading 7"/>
    <w:basedOn w:val="1"/>
    <w:next w:val="1"/>
    <w:link w:val="69"/>
    <w:autoRedefine/>
    <w:qFormat/>
    <w:uiPriority w:val="9"/>
    <w:pPr>
      <w:keepNext/>
      <w:keepLines/>
      <w:spacing w:before="240" w:after="64" w:line="317" w:lineRule="auto"/>
      <w:outlineLvl w:val="6"/>
    </w:pPr>
    <w:rPr>
      <w:b/>
      <w:bCs/>
      <w:kern w:val="0"/>
      <w:sz w:val="24"/>
    </w:rPr>
  </w:style>
  <w:style w:type="paragraph" w:styleId="11">
    <w:name w:val="heading 8"/>
    <w:basedOn w:val="1"/>
    <w:next w:val="1"/>
    <w:link w:val="70"/>
    <w:autoRedefine/>
    <w:qFormat/>
    <w:uiPriority w:val="9"/>
    <w:pPr>
      <w:keepNext/>
      <w:keepLines/>
      <w:spacing w:before="240" w:after="64" w:line="320" w:lineRule="auto"/>
      <w:outlineLvl w:val="7"/>
    </w:pPr>
    <w:rPr>
      <w:rFonts w:ascii="等线 Light" w:hAnsi="等线 Light" w:eastAsia="等线 Light"/>
      <w:sz w:val="24"/>
    </w:rPr>
  </w:style>
  <w:style w:type="paragraph" w:styleId="12">
    <w:name w:val="heading 9"/>
    <w:basedOn w:val="1"/>
    <w:next w:val="1"/>
    <w:link w:val="71"/>
    <w:autoRedefine/>
    <w:qFormat/>
    <w:uiPriority w:val="9"/>
    <w:pPr>
      <w:keepNext/>
      <w:keepLines/>
      <w:spacing w:before="240" w:after="64" w:line="317" w:lineRule="auto"/>
      <w:outlineLvl w:val="8"/>
    </w:pPr>
    <w:rPr>
      <w:rFonts w:ascii="Cambria" w:hAnsi="Cambria"/>
      <w:kern w:val="0"/>
      <w:sz w:val="2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1"/>
    <w:autoRedefine/>
    <w:unhideWhenUsed/>
    <w:qFormat/>
    <w:uiPriority w:val="99"/>
    <w:pPr>
      <w:tabs>
        <w:tab w:val="center" w:pos="4153"/>
        <w:tab w:val="right" w:pos="8306"/>
      </w:tabs>
      <w:snapToGrid w:val="0"/>
      <w:jc w:val="left"/>
    </w:pPr>
    <w:rPr>
      <w:kern w:val="0"/>
      <w:sz w:val="18"/>
      <w:szCs w:val="18"/>
    </w:rPr>
  </w:style>
  <w:style w:type="paragraph" w:styleId="8">
    <w:name w:val="Normal Indent"/>
    <w:basedOn w:val="1"/>
    <w:link w:val="67"/>
    <w:autoRedefine/>
    <w:qFormat/>
    <w:uiPriority w:val="99"/>
    <w:pPr>
      <w:ind w:firstLine="420"/>
    </w:pPr>
    <w:rPr>
      <w:szCs w:val="20"/>
    </w:rPr>
  </w:style>
  <w:style w:type="paragraph" w:styleId="13">
    <w:name w:val="toc 7"/>
    <w:basedOn w:val="1"/>
    <w:next w:val="1"/>
    <w:autoRedefine/>
    <w:qFormat/>
    <w:uiPriority w:val="39"/>
    <w:pPr>
      <w:ind w:left="2520" w:leftChars="1200"/>
    </w:pPr>
    <w:rPr>
      <w:rFonts w:ascii="Calibri" w:hAnsi="Calibri" w:cs="Calibri"/>
      <w:szCs w:val="21"/>
    </w:rPr>
  </w:style>
  <w:style w:type="paragraph" w:styleId="14">
    <w:name w:val="List Number"/>
    <w:basedOn w:val="1"/>
    <w:autoRedefine/>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autoRedefine/>
    <w:qFormat/>
    <w:uiPriority w:val="99"/>
    <w:rPr>
      <w:rFonts w:ascii="Cambria" w:hAnsi="Cambria" w:eastAsia="黑体" w:cs="Cambria"/>
      <w:sz w:val="20"/>
      <w:szCs w:val="20"/>
    </w:rPr>
  </w:style>
  <w:style w:type="paragraph" w:styleId="16">
    <w:name w:val="Document Map"/>
    <w:basedOn w:val="1"/>
    <w:link w:val="72"/>
    <w:autoRedefine/>
    <w:qFormat/>
    <w:uiPriority w:val="99"/>
    <w:pPr>
      <w:shd w:val="clear" w:color="auto" w:fill="000080"/>
    </w:pPr>
    <w:rPr>
      <w:sz w:val="24"/>
      <w:shd w:val="clear" w:color="auto" w:fill="000080"/>
    </w:rPr>
  </w:style>
  <w:style w:type="paragraph" w:styleId="17">
    <w:name w:val="annotation text"/>
    <w:basedOn w:val="1"/>
    <w:link w:val="73"/>
    <w:autoRedefine/>
    <w:qFormat/>
    <w:uiPriority w:val="0"/>
    <w:pPr>
      <w:jc w:val="left"/>
    </w:pPr>
  </w:style>
  <w:style w:type="paragraph" w:styleId="18">
    <w:name w:val="Body Text 3"/>
    <w:basedOn w:val="1"/>
    <w:link w:val="74"/>
    <w:autoRedefine/>
    <w:unhideWhenUsed/>
    <w:qFormat/>
    <w:uiPriority w:val="99"/>
    <w:pPr>
      <w:spacing w:after="120"/>
    </w:pPr>
    <w:rPr>
      <w:sz w:val="16"/>
      <w:szCs w:val="16"/>
    </w:rPr>
  </w:style>
  <w:style w:type="paragraph" w:styleId="19">
    <w:name w:val="Body Text"/>
    <w:basedOn w:val="1"/>
    <w:link w:val="75"/>
    <w:autoRedefine/>
    <w:unhideWhenUsed/>
    <w:qFormat/>
    <w:uiPriority w:val="99"/>
    <w:pPr>
      <w:spacing w:after="120"/>
    </w:pPr>
  </w:style>
  <w:style w:type="paragraph" w:styleId="20">
    <w:name w:val="Body Text Indent"/>
    <w:basedOn w:val="1"/>
    <w:link w:val="76"/>
    <w:autoRedefine/>
    <w:qFormat/>
    <w:uiPriority w:val="99"/>
    <w:pPr>
      <w:ind w:firstLine="830" w:firstLineChars="352"/>
    </w:pPr>
    <w:rPr>
      <w:rFonts w:ascii="仿宋_GB2312" w:eastAsia="仿宋_GB2312"/>
      <w:kern w:val="0"/>
      <w:sz w:val="32"/>
      <w:szCs w:val="20"/>
    </w:rPr>
  </w:style>
  <w:style w:type="paragraph" w:styleId="21">
    <w:name w:val="List 2"/>
    <w:basedOn w:val="1"/>
    <w:autoRedefine/>
    <w:unhideWhenUsed/>
    <w:qFormat/>
    <w:uiPriority w:val="99"/>
    <w:pPr>
      <w:ind w:left="100" w:leftChars="200" w:hanging="200" w:hangingChars="200"/>
      <w:contextualSpacing/>
    </w:pPr>
  </w:style>
  <w:style w:type="paragraph" w:styleId="22">
    <w:name w:val="index 4"/>
    <w:basedOn w:val="1"/>
    <w:next w:val="1"/>
    <w:autoRedefine/>
    <w:semiHidden/>
    <w:qFormat/>
    <w:uiPriority w:val="99"/>
    <w:pPr>
      <w:ind w:left="600" w:leftChars="600"/>
    </w:pPr>
    <w:rPr>
      <w:szCs w:val="21"/>
    </w:rPr>
  </w:style>
  <w:style w:type="paragraph" w:styleId="23">
    <w:name w:val="toc 5"/>
    <w:basedOn w:val="1"/>
    <w:next w:val="1"/>
    <w:autoRedefine/>
    <w:qFormat/>
    <w:uiPriority w:val="39"/>
    <w:pPr>
      <w:ind w:left="1680" w:leftChars="800"/>
    </w:pPr>
    <w:rPr>
      <w:rFonts w:ascii="Calibri" w:hAnsi="Calibri" w:cs="Calibri"/>
      <w:szCs w:val="21"/>
    </w:rPr>
  </w:style>
  <w:style w:type="paragraph" w:styleId="24">
    <w:name w:val="toc 3"/>
    <w:basedOn w:val="1"/>
    <w:next w:val="1"/>
    <w:autoRedefine/>
    <w:qFormat/>
    <w:uiPriority w:val="39"/>
    <w:pPr>
      <w:ind w:left="840" w:leftChars="400"/>
    </w:pPr>
    <w:rPr>
      <w:szCs w:val="21"/>
    </w:rPr>
  </w:style>
  <w:style w:type="paragraph" w:styleId="25">
    <w:name w:val="Plain Text"/>
    <w:basedOn w:val="1"/>
    <w:link w:val="77"/>
    <w:autoRedefine/>
    <w:qFormat/>
    <w:uiPriority w:val="0"/>
    <w:rPr>
      <w:rFonts w:ascii="宋体" w:hAnsi="Courier New"/>
      <w:kern w:val="0"/>
      <w:sz w:val="20"/>
      <w:szCs w:val="21"/>
    </w:rPr>
  </w:style>
  <w:style w:type="paragraph" w:styleId="26">
    <w:name w:val="toc 8"/>
    <w:basedOn w:val="1"/>
    <w:next w:val="1"/>
    <w:autoRedefine/>
    <w:qFormat/>
    <w:uiPriority w:val="39"/>
    <w:pPr>
      <w:ind w:left="2940" w:leftChars="1400"/>
    </w:pPr>
    <w:rPr>
      <w:rFonts w:ascii="Calibri" w:hAnsi="Calibri" w:cs="Calibri"/>
      <w:szCs w:val="21"/>
    </w:rPr>
  </w:style>
  <w:style w:type="paragraph" w:styleId="27">
    <w:name w:val="Date"/>
    <w:basedOn w:val="1"/>
    <w:next w:val="1"/>
    <w:link w:val="78"/>
    <w:autoRedefine/>
    <w:unhideWhenUsed/>
    <w:qFormat/>
    <w:uiPriority w:val="99"/>
    <w:pPr>
      <w:ind w:left="100" w:leftChars="2500"/>
    </w:pPr>
  </w:style>
  <w:style w:type="paragraph" w:styleId="28">
    <w:name w:val="Body Text Indent 2"/>
    <w:basedOn w:val="1"/>
    <w:link w:val="79"/>
    <w:autoRedefine/>
    <w:qFormat/>
    <w:uiPriority w:val="99"/>
    <w:pPr>
      <w:spacing w:after="120" w:line="480" w:lineRule="auto"/>
      <w:ind w:left="420" w:leftChars="200"/>
    </w:pPr>
    <w:rPr>
      <w:sz w:val="24"/>
    </w:rPr>
  </w:style>
  <w:style w:type="paragraph" w:styleId="29">
    <w:name w:val="Balloon Text"/>
    <w:basedOn w:val="1"/>
    <w:link w:val="80"/>
    <w:autoRedefine/>
    <w:qFormat/>
    <w:uiPriority w:val="99"/>
    <w:rPr>
      <w:sz w:val="18"/>
      <w:szCs w:val="18"/>
    </w:rPr>
  </w:style>
  <w:style w:type="paragraph" w:styleId="30">
    <w:name w:val="header"/>
    <w:basedOn w:val="1"/>
    <w:link w:val="82"/>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1">
    <w:name w:val="toc 1"/>
    <w:basedOn w:val="1"/>
    <w:next w:val="1"/>
    <w:autoRedefine/>
    <w:unhideWhenUsed/>
    <w:qFormat/>
    <w:uiPriority w:val="39"/>
  </w:style>
  <w:style w:type="paragraph" w:styleId="32">
    <w:name w:val="toc 4"/>
    <w:basedOn w:val="1"/>
    <w:next w:val="1"/>
    <w:autoRedefine/>
    <w:qFormat/>
    <w:uiPriority w:val="39"/>
    <w:pPr>
      <w:ind w:left="1260" w:leftChars="600"/>
    </w:pPr>
    <w:rPr>
      <w:rFonts w:ascii="Calibri" w:hAnsi="Calibri" w:cs="Calibri"/>
      <w:szCs w:val="21"/>
    </w:rPr>
  </w:style>
  <w:style w:type="paragraph" w:styleId="33">
    <w:name w:val="Subtitle"/>
    <w:basedOn w:val="1"/>
    <w:next w:val="1"/>
    <w:link w:val="83"/>
    <w:autoRedefine/>
    <w:qFormat/>
    <w:uiPriority w:val="11"/>
    <w:pPr>
      <w:spacing w:before="240" w:after="60" w:line="312" w:lineRule="auto"/>
      <w:jc w:val="center"/>
      <w:outlineLvl w:val="1"/>
    </w:pPr>
    <w:rPr>
      <w:rFonts w:ascii="Cambria" w:hAnsi="Cambria"/>
      <w:b/>
      <w:bCs/>
      <w:kern w:val="28"/>
      <w:sz w:val="32"/>
      <w:szCs w:val="32"/>
    </w:rPr>
  </w:style>
  <w:style w:type="paragraph" w:styleId="34">
    <w:name w:val="footnote text"/>
    <w:basedOn w:val="1"/>
    <w:link w:val="84"/>
    <w:autoRedefine/>
    <w:qFormat/>
    <w:uiPriority w:val="99"/>
    <w:pPr>
      <w:adjustRightInd w:val="0"/>
      <w:spacing w:line="312" w:lineRule="atLeast"/>
      <w:jc w:val="left"/>
      <w:textAlignment w:val="baseline"/>
    </w:pPr>
    <w:rPr>
      <w:kern w:val="0"/>
      <w:sz w:val="18"/>
      <w:szCs w:val="18"/>
    </w:rPr>
  </w:style>
  <w:style w:type="paragraph" w:styleId="35">
    <w:name w:val="toc 6"/>
    <w:basedOn w:val="1"/>
    <w:next w:val="1"/>
    <w:autoRedefine/>
    <w:qFormat/>
    <w:uiPriority w:val="39"/>
    <w:pPr>
      <w:ind w:left="2100" w:leftChars="1000"/>
    </w:pPr>
    <w:rPr>
      <w:rFonts w:ascii="Calibri" w:hAnsi="Calibri" w:cs="Calibri"/>
      <w:szCs w:val="21"/>
    </w:rPr>
  </w:style>
  <w:style w:type="paragraph" w:styleId="36">
    <w:name w:val="toc 2"/>
    <w:basedOn w:val="1"/>
    <w:next w:val="1"/>
    <w:autoRedefine/>
    <w:unhideWhenUsed/>
    <w:qFormat/>
    <w:uiPriority w:val="39"/>
    <w:pPr>
      <w:tabs>
        <w:tab w:val="right" w:leader="dot" w:pos="8296"/>
      </w:tabs>
      <w:ind w:left="420" w:leftChars="200"/>
    </w:pPr>
  </w:style>
  <w:style w:type="paragraph" w:styleId="37">
    <w:name w:val="toc 9"/>
    <w:basedOn w:val="1"/>
    <w:next w:val="1"/>
    <w:autoRedefine/>
    <w:qFormat/>
    <w:uiPriority w:val="39"/>
    <w:pPr>
      <w:ind w:left="3360" w:leftChars="1600"/>
    </w:pPr>
    <w:rPr>
      <w:rFonts w:ascii="Calibri" w:hAnsi="Calibri" w:cs="Calibri"/>
      <w:szCs w:val="21"/>
    </w:rPr>
  </w:style>
  <w:style w:type="paragraph" w:styleId="38">
    <w:name w:val="Body Text 2"/>
    <w:basedOn w:val="1"/>
    <w:qFormat/>
    <w:uiPriority w:val="0"/>
    <w:pPr>
      <w:spacing w:after="120" w:afterLines="0" w:line="480" w:lineRule="auto"/>
    </w:pPr>
    <w:rPr>
      <w:kern w:val="0"/>
      <w:sz w:val="20"/>
    </w:rPr>
  </w:style>
  <w:style w:type="paragraph" w:styleId="39">
    <w:name w:val="HTML Preformatted"/>
    <w:basedOn w:val="1"/>
    <w:link w:val="85"/>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0">
    <w:name w:val="Normal (Web)"/>
    <w:basedOn w:val="1"/>
    <w:autoRedefine/>
    <w:unhideWhenUsed/>
    <w:qFormat/>
    <w:uiPriority w:val="0"/>
    <w:rPr>
      <w:rFonts w:ascii="Calibri" w:hAnsi="Calibri"/>
      <w:kern w:val="0"/>
      <w:sz w:val="24"/>
    </w:rPr>
  </w:style>
  <w:style w:type="paragraph" w:styleId="41">
    <w:name w:val="Title"/>
    <w:basedOn w:val="1"/>
    <w:next w:val="1"/>
    <w:link w:val="86"/>
    <w:autoRedefine/>
    <w:qFormat/>
    <w:uiPriority w:val="99"/>
    <w:pPr>
      <w:spacing w:before="240" w:after="60"/>
      <w:jc w:val="center"/>
      <w:outlineLvl w:val="0"/>
    </w:pPr>
    <w:rPr>
      <w:rFonts w:ascii="Cambria" w:hAnsi="Cambria"/>
      <w:b/>
      <w:bCs/>
      <w:sz w:val="32"/>
      <w:szCs w:val="32"/>
    </w:rPr>
  </w:style>
  <w:style w:type="paragraph" w:styleId="42">
    <w:name w:val="annotation subject"/>
    <w:basedOn w:val="17"/>
    <w:next w:val="17"/>
    <w:link w:val="87"/>
    <w:autoRedefine/>
    <w:qFormat/>
    <w:uiPriority w:val="99"/>
    <w:rPr>
      <w:b/>
      <w:bCs/>
    </w:rPr>
  </w:style>
  <w:style w:type="table" w:styleId="44">
    <w:name w:val="Table Grid"/>
    <w:basedOn w:val="43"/>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6">
    <w:name w:val="Strong"/>
    <w:autoRedefine/>
    <w:qFormat/>
    <w:uiPriority w:val="22"/>
    <w:rPr>
      <w:b/>
      <w:bCs/>
    </w:rPr>
  </w:style>
  <w:style w:type="character" w:styleId="47">
    <w:name w:val="endnote reference"/>
    <w:autoRedefine/>
    <w:unhideWhenUsed/>
    <w:qFormat/>
    <w:uiPriority w:val="99"/>
    <w:rPr>
      <w:vertAlign w:val="superscript"/>
    </w:rPr>
  </w:style>
  <w:style w:type="character" w:styleId="48">
    <w:name w:val="page number"/>
    <w:autoRedefine/>
    <w:qFormat/>
    <w:uiPriority w:val="99"/>
  </w:style>
  <w:style w:type="character" w:styleId="49">
    <w:name w:val="Emphasis"/>
    <w:autoRedefine/>
    <w:qFormat/>
    <w:uiPriority w:val="99"/>
    <w:rPr>
      <w:i/>
      <w:iCs/>
    </w:rPr>
  </w:style>
  <w:style w:type="character" w:styleId="50">
    <w:name w:val="HTML Definition"/>
    <w:basedOn w:val="45"/>
    <w:autoRedefine/>
    <w:unhideWhenUsed/>
    <w:qFormat/>
    <w:uiPriority w:val="99"/>
  </w:style>
  <w:style w:type="character" w:styleId="51">
    <w:name w:val="HTML Typewriter"/>
    <w:basedOn w:val="45"/>
    <w:autoRedefine/>
    <w:unhideWhenUsed/>
    <w:qFormat/>
    <w:uiPriority w:val="99"/>
    <w:rPr>
      <w:rFonts w:hint="default" w:ascii="monospace" w:hAnsi="monospace" w:eastAsia="monospace" w:cs="monospace"/>
      <w:sz w:val="20"/>
    </w:rPr>
  </w:style>
  <w:style w:type="character" w:styleId="52">
    <w:name w:val="HTML Acronym"/>
    <w:basedOn w:val="45"/>
    <w:autoRedefine/>
    <w:unhideWhenUsed/>
    <w:qFormat/>
    <w:uiPriority w:val="99"/>
  </w:style>
  <w:style w:type="character" w:styleId="53">
    <w:name w:val="HTML Variable"/>
    <w:basedOn w:val="45"/>
    <w:autoRedefine/>
    <w:unhideWhenUsed/>
    <w:qFormat/>
    <w:uiPriority w:val="99"/>
  </w:style>
  <w:style w:type="character" w:styleId="54">
    <w:name w:val="Hyperlink"/>
    <w:autoRedefine/>
    <w:unhideWhenUsed/>
    <w:qFormat/>
    <w:uiPriority w:val="99"/>
    <w:rPr>
      <w:color w:val="0000FF"/>
      <w:u w:val="single"/>
    </w:rPr>
  </w:style>
  <w:style w:type="character" w:styleId="55">
    <w:name w:val="HTML Code"/>
    <w:basedOn w:val="45"/>
    <w:autoRedefine/>
    <w:unhideWhenUsed/>
    <w:qFormat/>
    <w:uiPriority w:val="99"/>
    <w:rPr>
      <w:rFonts w:hint="default" w:ascii="monospace" w:hAnsi="monospace" w:eastAsia="monospace" w:cs="monospace"/>
      <w:sz w:val="20"/>
    </w:rPr>
  </w:style>
  <w:style w:type="character" w:styleId="56">
    <w:name w:val="annotation reference"/>
    <w:autoRedefine/>
    <w:qFormat/>
    <w:uiPriority w:val="0"/>
    <w:rPr>
      <w:sz w:val="21"/>
      <w:szCs w:val="21"/>
    </w:rPr>
  </w:style>
  <w:style w:type="character" w:styleId="57">
    <w:name w:val="HTML Cite"/>
    <w:basedOn w:val="45"/>
    <w:autoRedefine/>
    <w:unhideWhenUsed/>
    <w:qFormat/>
    <w:uiPriority w:val="99"/>
  </w:style>
  <w:style w:type="character" w:styleId="58">
    <w:name w:val="footnote reference"/>
    <w:autoRedefine/>
    <w:unhideWhenUsed/>
    <w:qFormat/>
    <w:uiPriority w:val="0"/>
    <w:rPr>
      <w:vertAlign w:val="superscript"/>
    </w:rPr>
  </w:style>
  <w:style w:type="character" w:styleId="59">
    <w:name w:val="HTML Keyboard"/>
    <w:basedOn w:val="45"/>
    <w:autoRedefine/>
    <w:unhideWhenUsed/>
    <w:qFormat/>
    <w:uiPriority w:val="99"/>
    <w:rPr>
      <w:rFonts w:hint="default" w:ascii="monospace" w:hAnsi="monospace" w:eastAsia="monospace" w:cs="monospace"/>
      <w:sz w:val="20"/>
    </w:rPr>
  </w:style>
  <w:style w:type="character" w:styleId="60">
    <w:name w:val="HTML Sample"/>
    <w:basedOn w:val="45"/>
    <w:autoRedefine/>
    <w:unhideWhenUsed/>
    <w:qFormat/>
    <w:uiPriority w:val="99"/>
    <w:rPr>
      <w:rFonts w:ascii="monospace" w:hAnsi="monospace" w:eastAsia="monospace" w:cs="monospace"/>
    </w:rPr>
  </w:style>
  <w:style w:type="paragraph" w:customStyle="1" w:styleId="61">
    <w:name w:val="正文1"/>
    <w:basedOn w:val="1"/>
    <w:autoRedefine/>
    <w:qFormat/>
    <w:uiPriority w:val="0"/>
    <w:pPr>
      <w:spacing w:line="360" w:lineRule="auto"/>
      <w:ind w:firstLine="200" w:firstLineChars="200"/>
      <w:jc w:val="left"/>
    </w:pPr>
    <w:rPr>
      <w:rFonts w:ascii="Times New Roman)" w:hAnsi="Times New Roman)" w:eastAsia="宋体正文"/>
      <w:color w:val="000000"/>
      <w:kern w:val="0"/>
      <w:sz w:val="24"/>
      <w:lang w:eastAsia="en-US" w:bidi="en-US"/>
    </w:rPr>
  </w:style>
  <w:style w:type="character" w:customStyle="1" w:styleId="62">
    <w:name w:val="标题 1 字符"/>
    <w:link w:val="3"/>
    <w:autoRedefine/>
    <w:qFormat/>
    <w:uiPriority w:val="99"/>
    <w:rPr>
      <w:b/>
      <w:bCs/>
      <w:kern w:val="44"/>
      <w:sz w:val="44"/>
      <w:szCs w:val="44"/>
    </w:rPr>
  </w:style>
  <w:style w:type="character" w:customStyle="1" w:styleId="63">
    <w:name w:val="标题 2 字符"/>
    <w:link w:val="4"/>
    <w:autoRedefine/>
    <w:qFormat/>
    <w:uiPriority w:val="9"/>
    <w:rPr>
      <w:rFonts w:ascii="Cambria" w:hAnsi="Cambria" w:eastAsia="宋体" w:cs="Times New Roman"/>
      <w:b/>
      <w:bCs/>
      <w:kern w:val="2"/>
      <w:sz w:val="32"/>
      <w:szCs w:val="32"/>
    </w:rPr>
  </w:style>
  <w:style w:type="character" w:customStyle="1" w:styleId="64">
    <w:name w:val="标题 3 字符"/>
    <w:link w:val="5"/>
    <w:autoRedefine/>
    <w:qFormat/>
    <w:uiPriority w:val="99"/>
    <w:rPr>
      <w:b/>
      <w:bCs/>
      <w:kern w:val="2"/>
      <w:sz w:val="32"/>
      <w:szCs w:val="32"/>
    </w:rPr>
  </w:style>
  <w:style w:type="character" w:customStyle="1" w:styleId="65">
    <w:name w:val="标题 4 字符"/>
    <w:link w:val="6"/>
    <w:autoRedefine/>
    <w:qFormat/>
    <w:uiPriority w:val="99"/>
    <w:rPr>
      <w:rFonts w:ascii="Arial" w:hAnsi="Arial"/>
      <w:b/>
      <w:bCs/>
      <w:kern w:val="2"/>
      <w:sz w:val="28"/>
      <w:szCs w:val="28"/>
    </w:rPr>
  </w:style>
  <w:style w:type="character" w:customStyle="1" w:styleId="66">
    <w:name w:val="标题 5 字符"/>
    <w:link w:val="7"/>
    <w:autoRedefine/>
    <w:qFormat/>
    <w:uiPriority w:val="99"/>
    <w:rPr>
      <w:rFonts w:ascii="Times New Roman" w:hAnsi="Times New Roman"/>
      <w:b/>
      <w:bCs/>
      <w:kern w:val="2"/>
      <w:sz w:val="28"/>
      <w:szCs w:val="28"/>
    </w:rPr>
  </w:style>
  <w:style w:type="character" w:customStyle="1" w:styleId="67">
    <w:name w:val="正文缩进 字符"/>
    <w:link w:val="8"/>
    <w:autoRedefine/>
    <w:qFormat/>
    <w:uiPriority w:val="99"/>
    <w:rPr>
      <w:kern w:val="2"/>
      <w:sz w:val="21"/>
    </w:rPr>
  </w:style>
  <w:style w:type="character" w:customStyle="1" w:styleId="68">
    <w:name w:val="标题 6 字符"/>
    <w:link w:val="9"/>
    <w:autoRedefine/>
    <w:qFormat/>
    <w:uiPriority w:val="9"/>
    <w:rPr>
      <w:rFonts w:ascii="Cambria" w:hAnsi="Cambria"/>
      <w:b/>
      <w:bCs/>
      <w:sz w:val="24"/>
      <w:szCs w:val="24"/>
    </w:rPr>
  </w:style>
  <w:style w:type="character" w:customStyle="1" w:styleId="69">
    <w:name w:val="标题 7 字符"/>
    <w:link w:val="10"/>
    <w:autoRedefine/>
    <w:qFormat/>
    <w:uiPriority w:val="9"/>
    <w:rPr>
      <w:b/>
      <w:bCs/>
      <w:sz w:val="24"/>
      <w:szCs w:val="24"/>
    </w:rPr>
  </w:style>
  <w:style w:type="character" w:customStyle="1" w:styleId="70">
    <w:name w:val="标题 8 字符"/>
    <w:link w:val="11"/>
    <w:autoRedefine/>
    <w:semiHidden/>
    <w:qFormat/>
    <w:uiPriority w:val="9"/>
    <w:rPr>
      <w:rFonts w:ascii="等线 Light" w:hAnsi="等线 Light" w:eastAsia="等线 Light" w:cs="Times New Roman"/>
      <w:kern w:val="2"/>
      <w:sz w:val="24"/>
      <w:szCs w:val="24"/>
    </w:rPr>
  </w:style>
  <w:style w:type="character" w:customStyle="1" w:styleId="71">
    <w:name w:val="标题 9 字符"/>
    <w:link w:val="12"/>
    <w:autoRedefine/>
    <w:qFormat/>
    <w:uiPriority w:val="9"/>
    <w:rPr>
      <w:rFonts w:ascii="Cambria" w:hAnsi="Cambria"/>
      <w:szCs w:val="21"/>
    </w:rPr>
  </w:style>
  <w:style w:type="character" w:customStyle="1" w:styleId="72">
    <w:name w:val="文档结构图 字符"/>
    <w:link w:val="16"/>
    <w:autoRedefine/>
    <w:qFormat/>
    <w:uiPriority w:val="99"/>
    <w:rPr>
      <w:kern w:val="2"/>
      <w:sz w:val="24"/>
      <w:szCs w:val="24"/>
      <w:shd w:val="clear" w:color="auto" w:fill="000080"/>
    </w:rPr>
  </w:style>
  <w:style w:type="character" w:customStyle="1" w:styleId="73">
    <w:name w:val="批注文字 字符2"/>
    <w:link w:val="17"/>
    <w:autoRedefine/>
    <w:qFormat/>
    <w:uiPriority w:val="99"/>
    <w:rPr>
      <w:rFonts w:ascii="Times New Roman" w:hAnsi="Times New Roman"/>
      <w:kern w:val="2"/>
      <w:sz w:val="21"/>
      <w:szCs w:val="24"/>
    </w:rPr>
  </w:style>
  <w:style w:type="character" w:customStyle="1" w:styleId="74">
    <w:name w:val="正文文本 3 字符"/>
    <w:link w:val="18"/>
    <w:autoRedefine/>
    <w:semiHidden/>
    <w:qFormat/>
    <w:uiPriority w:val="99"/>
    <w:rPr>
      <w:kern w:val="2"/>
      <w:sz w:val="16"/>
      <w:szCs w:val="16"/>
    </w:rPr>
  </w:style>
  <w:style w:type="character" w:customStyle="1" w:styleId="75">
    <w:name w:val="正文文本 字符1"/>
    <w:link w:val="19"/>
    <w:autoRedefine/>
    <w:qFormat/>
    <w:uiPriority w:val="99"/>
    <w:rPr>
      <w:rFonts w:ascii="Times New Roman" w:hAnsi="Times New Roman"/>
      <w:kern w:val="2"/>
      <w:sz w:val="21"/>
      <w:szCs w:val="24"/>
    </w:rPr>
  </w:style>
  <w:style w:type="character" w:customStyle="1" w:styleId="76">
    <w:name w:val="正文文本缩进 字符"/>
    <w:link w:val="20"/>
    <w:autoRedefine/>
    <w:qFormat/>
    <w:uiPriority w:val="99"/>
    <w:rPr>
      <w:rFonts w:ascii="仿宋_GB2312" w:hAnsi="Times New Roman" w:eastAsia="仿宋_GB2312" w:cs="Times New Roman"/>
      <w:sz w:val="32"/>
      <w:szCs w:val="20"/>
    </w:rPr>
  </w:style>
  <w:style w:type="character" w:customStyle="1" w:styleId="77">
    <w:name w:val="纯文本 字符3"/>
    <w:link w:val="25"/>
    <w:autoRedefine/>
    <w:qFormat/>
    <w:uiPriority w:val="99"/>
    <w:rPr>
      <w:rFonts w:ascii="宋体" w:hAnsi="Courier New" w:eastAsia="宋体" w:cs="Courier New"/>
      <w:szCs w:val="21"/>
    </w:rPr>
  </w:style>
  <w:style w:type="character" w:customStyle="1" w:styleId="78">
    <w:name w:val="日期 字符"/>
    <w:link w:val="27"/>
    <w:autoRedefine/>
    <w:qFormat/>
    <w:uiPriority w:val="99"/>
    <w:rPr>
      <w:rFonts w:ascii="Times New Roman" w:hAnsi="Times New Roman"/>
      <w:kern w:val="2"/>
      <w:sz w:val="21"/>
      <w:szCs w:val="24"/>
    </w:rPr>
  </w:style>
  <w:style w:type="character" w:customStyle="1" w:styleId="79">
    <w:name w:val="正文文本缩进 2 字符"/>
    <w:link w:val="28"/>
    <w:autoRedefine/>
    <w:qFormat/>
    <w:uiPriority w:val="99"/>
    <w:rPr>
      <w:kern w:val="2"/>
      <w:sz w:val="24"/>
      <w:szCs w:val="24"/>
    </w:rPr>
  </w:style>
  <w:style w:type="character" w:customStyle="1" w:styleId="80">
    <w:name w:val="批注框文本 字符"/>
    <w:link w:val="29"/>
    <w:autoRedefine/>
    <w:qFormat/>
    <w:locked/>
    <w:uiPriority w:val="99"/>
    <w:rPr>
      <w:kern w:val="2"/>
      <w:sz w:val="18"/>
      <w:szCs w:val="18"/>
    </w:rPr>
  </w:style>
  <w:style w:type="character" w:customStyle="1" w:styleId="81">
    <w:name w:val="页脚 字符"/>
    <w:link w:val="2"/>
    <w:autoRedefine/>
    <w:qFormat/>
    <w:uiPriority w:val="99"/>
    <w:rPr>
      <w:sz w:val="18"/>
      <w:szCs w:val="18"/>
    </w:rPr>
  </w:style>
  <w:style w:type="character" w:customStyle="1" w:styleId="82">
    <w:name w:val="页眉 字符"/>
    <w:link w:val="30"/>
    <w:autoRedefine/>
    <w:qFormat/>
    <w:uiPriority w:val="99"/>
    <w:rPr>
      <w:sz w:val="18"/>
      <w:szCs w:val="18"/>
    </w:rPr>
  </w:style>
  <w:style w:type="character" w:customStyle="1" w:styleId="83">
    <w:name w:val="副标题 字符"/>
    <w:link w:val="33"/>
    <w:autoRedefine/>
    <w:qFormat/>
    <w:uiPriority w:val="11"/>
    <w:rPr>
      <w:rFonts w:ascii="Cambria" w:hAnsi="Cambria"/>
      <w:b/>
      <w:bCs/>
      <w:kern w:val="28"/>
      <w:sz w:val="32"/>
      <w:szCs w:val="32"/>
    </w:rPr>
  </w:style>
  <w:style w:type="character" w:customStyle="1" w:styleId="84">
    <w:name w:val="脚注文本 字符"/>
    <w:link w:val="34"/>
    <w:autoRedefine/>
    <w:qFormat/>
    <w:uiPriority w:val="99"/>
    <w:rPr>
      <w:sz w:val="18"/>
      <w:szCs w:val="18"/>
    </w:rPr>
  </w:style>
  <w:style w:type="character" w:customStyle="1" w:styleId="85">
    <w:name w:val="HTML 预设格式 字符"/>
    <w:link w:val="39"/>
    <w:autoRedefine/>
    <w:qFormat/>
    <w:uiPriority w:val="99"/>
    <w:rPr>
      <w:rFonts w:ascii="宋体" w:hAnsi="宋体"/>
      <w:sz w:val="24"/>
      <w:szCs w:val="24"/>
    </w:rPr>
  </w:style>
  <w:style w:type="character" w:customStyle="1" w:styleId="86">
    <w:name w:val="标题 字符"/>
    <w:link w:val="41"/>
    <w:autoRedefine/>
    <w:qFormat/>
    <w:uiPriority w:val="99"/>
    <w:rPr>
      <w:rFonts w:ascii="Cambria" w:hAnsi="Cambria"/>
      <w:b/>
      <w:bCs/>
      <w:kern w:val="2"/>
      <w:sz w:val="32"/>
      <w:szCs w:val="32"/>
    </w:rPr>
  </w:style>
  <w:style w:type="character" w:customStyle="1" w:styleId="87">
    <w:name w:val="批注主题 字符"/>
    <w:link w:val="42"/>
    <w:autoRedefine/>
    <w:qFormat/>
    <w:uiPriority w:val="99"/>
    <w:rPr>
      <w:rFonts w:ascii="Times New Roman" w:hAnsi="Times New Roman"/>
      <w:b/>
      <w:bCs/>
      <w:kern w:val="2"/>
      <w:sz w:val="21"/>
      <w:szCs w:val="24"/>
    </w:rPr>
  </w:style>
  <w:style w:type="character" w:customStyle="1" w:styleId="88">
    <w:name w:val="访问过的超链接1"/>
    <w:autoRedefine/>
    <w:qFormat/>
    <w:uiPriority w:val="99"/>
    <w:rPr>
      <w:color w:val="800080"/>
      <w:u w:val="single"/>
    </w:rPr>
  </w:style>
  <w:style w:type="character" w:customStyle="1" w:styleId="89">
    <w:name w:val="书籍标题1"/>
    <w:autoRedefine/>
    <w:qFormat/>
    <w:uiPriority w:val="99"/>
    <w:rPr>
      <w:b/>
      <w:bCs/>
      <w:smallCaps/>
      <w:spacing w:val="5"/>
    </w:rPr>
  </w:style>
  <w:style w:type="character" w:customStyle="1" w:styleId="90">
    <w:name w:val="Body text|5_"/>
    <w:link w:val="91"/>
    <w:autoRedefine/>
    <w:qFormat/>
    <w:uiPriority w:val="0"/>
    <w:rPr>
      <w:rFonts w:ascii="宋体" w:hAnsi="宋体" w:cs="宋体"/>
      <w:sz w:val="52"/>
      <w:szCs w:val="52"/>
      <w:lang w:val="zh-CN" w:bidi="zh-CN"/>
    </w:rPr>
  </w:style>
  <w:style w:type="paragraph" w:customStyle="1" w:styleId="91">
    <w:name w:val="Body text|5"/>
    <w:basedOn w:val="1"/>
    <w:link w:val="90"/>
    <w:autoRedefine/>
    <w:qFormat/>
    <w:uiPriority w:val="0"/>
    <w:pPr>
      <w:jc w:val="center"/>
    </w:pPr>
    <w:rPr>
      <w:rFonts w:ascii="宋体" w:hAnsi="宋体" w:cs="宋体"/>
      <w:kern w:val="0"/>
      <w:sz w:val="52"/>
      <w:szCs w:val="52"/>
      <w:lang w:val="zh-CN" w:bidi="zh-CN"/>
    </w:rPr>
  </w:style>
  <w:style w:type="character" w:customStyle="1" w:styleId="92">
    <w:name w:val="Body text|1_"/>
    <w:link w:val="93"/>
    <w:autoRedefine/>
    <w:qFormat/>
    <w:uiPriority w:val="0"/>
    <w:rPr>
      <w:rFonts w:ascii="宋体" w:hAnsi="宋体" w:cs="宋体"/>
      <w:kern w:val="2"/>
      <w:sz w:val="21"/>
      <w:lang w:val="zh-CN" w:bidi="zh-CN"/>
    </w:rPr>
  </w:style>
  <w:style w:type="paragraph" w:customStyle="1" w:styleId="93">
    <w:name w:val="Body text|1"/>
    <w:basedOn w:val="1"/>
    <w:link w:val="92"/>
    <w:autoRedefine/>
    <w:qFormat/>
    <w:uiPriority w:val="0"/>
    <w:pPr>
      <w:spacing w:line="360" w:lineRule="auto"/>
      <w:ind w:firstLine="400"/>
    </w:pPr>
    <w:rPr>
      <w:rFonts w:ascii="宋体" w:hAnsi="宋体" w:cs="宋体"/>
      <w:szCs w:val="20"/>
      <w:lang w:val="zh-CN" w:bidi="zh-CN"/>
    </w:rPr>
  </w:style>
  <w:style w:type="character" w:customStyle="1" w:styleId="94">
    <w:name w:val="Table caption|1_"/>
    <w:link w:val="95"/>
    <w:autoRedefine/>
    <w:qFormat/>
    <w:uiPriority w:val="0"/>
    <w:rPr>
      <w:rFonts w:ascii="宋体" w:hAnsi="宋体" w:cs="宋体"/>
      <w:lang w:val="zh-CN" w:bidi="zh-CN"/>
    </w:rPr>
  </w:style>
  <w:style w:type="paragraph" w:customStyle="1" w:styleId="95">
    <w:name w:val="Table caption|1"/>
    <w:basedOn w:val="1"/>
    <w:link w:val="94"/>
    <w:autoRedefine/>
    <w:qFormat/>
    <w:uiPriority w:val="0"/>
    <w:pPr>
      <w:jc w:val="left"/>
    </w:pPr>
    <w:rPr>
      <w:rFonts w:ascii="宋体" w:hAnsi="宋体" w:cs="宋体"/>
      <w:kern w:val="0"/>
      <w:sz w:val="20"/>
      <w:szCs w:val="20"/>
      <w:lang w:val="zh-CN" w:bidi="zh-CN"/>
    </w:rPr>
  </w:style>
  <w:style w:type="character" w:customStyle="1" w:styleId="96">
    <w:name w:val="Heading #4|1_"/>
    <w:link w:val="97"/>
    <w:autoRedefine/>
    <w:qFormat/>
    <w:uiPriority w:val="0"/>
    <w:rPr>
      <w:rFonts w:ascii="宋体" w:hAnsi="宋体" w:cs="宋体"/>
      <w:lang w:val="zh-CN" w:bidi="zh-CN"/>
    </w:rPr>
  </w:style>
  <w:style w:type="paragraph" w:customStyle="1" w:styleId="97">
    <w:name w:val="Heading #4|1"/>
    <w:basedOn w:val="1"/>
    <w:link w:val="96"/>
    <w:autoRedefine/>
    <w:qFormat/>
    <w:uiPriority w:val="0"/>
    <w:pPr>
      <w:spacing w:after="120"/>
      <w:jc w:val="left"/>
      <w:outlineLvl w:val="3"/>
    </w:pPr>
    <w:rPr>
      <w:rFonts w:ascii="宋体" w:hAnsi="宋体" w:cs="宋体"/>
      <w:kern w:val="0"/>
      <w:sz w:val="20"/>
      <w:szCs w:val="20"/>
      <w:lang w:val="zh-CN" w:bidi="zh-CN"/>
    </w:rPr>
  </w:style>
  <w:style w:type="character" w:customStyle="1" w:styleId="98">
    <w:name w:val="Body text|2_"/>
    <w:link w:val="99"/>
    <w:autoRedefine/>
    <w:qFormat/>
    <w:uiPriority w:val="0"/>
    <w:rPr>
      <w:sz w:val="21"/>
    </w:rPr>
  </w:style>
  <w:style w:type="paragraph" w:customStyle="1" w:styleId="99">
    <w:name w:val="Body text|2"/>
    <w:basedOn w:val="1"/>
    <w:link w:val="98"/>
    <w:autoRedefine/>
    <w:qFormat/>
    <w:uiPriority w:val="0"/>
    <w:pPr>
      <w:spacing w:after="30"/>
      <w:ind w:firstLine="420"/>
      <w:jc w:val="left"/>
    </w:pPr>
    <w:rPr>
      <w:kern w:val="0"/>
      <w:szCs w:val="20"/>
    </w:rPr>
  </w:style>
  <w:style w:type="character" w:customStyle="1" w:styleId="100">
    <w:name w:val="Heading #1|1_"/>
    <w:link w:val="101"/>
    <w:autoRedefine/>
    <w:qFormat/>
    <w:uiPriority w:val="0"/>
    <w:rPr>
      <w:rFonts w:ascii="宋体" w:hAnsi="宋体" w:cs="宋体"/>
      <w:sz w:val="38"/>
      <w:szCs w:val="38"/>
      <w:lang w:val="zh-CN" w:bidi="zh-CN"/>
    </w:rPr>
  </w:style>
  <w:style w:type="paragraph" w:customStyle="1" w:styleId="101">
    <w:name w:val="Heading #1|1"/>
    <w:basedOn w:val="1"/>
    <w:link w:val="100"/>
    <w:autoRedefine/>
    <w:qFormat/>
    <w:uiPriority w:val="0"/>
    <w:pPr>
      <w:spacing w:after="440" w:line="564" w:lineRule="exact"/>
      <w:jc w:val="center"/>
      <w:outlineLvl w:val="0"/>
    </w:pPr>
    <w:rPr>
      <w:rFonts w:ascii="宋体" w:hAnsi="宋体" w:cs="宋体"/>
      <w:kern w:val="0"/>
      <w:sz w:val="38"/>
      <w:szCs w:val="38"/>
      <w:lang w:val="zh-CN" w:bidi="zh-CN"/>
    </w:rPr>
  </w:style>
  <w:style w:type="character" w:customStyle="1" w:styleId="102">
    <w:name w:val="Header or footer|2_"/>
    <w:link w:val="103"/>
    <w:autoRedefine/>
    <w:qFormat/>
    <w:uiPriority w:val="0"/>
    <w:rPr>
      <w:lang w:val="zh-CN" w:bidi="zh-CN"/>
    </w:rPr>
  </w:style>
  <w:style w:type="paragraph" w:customStyle="1" w:styleId="103">
    <w:name w:val="Header or footer|2"/>
    <w:basedOn w:val="1"/>
    <w:link w:val="102"/>
    <w:autoRedefine/>
    <w:qFormat/>
    <w:uiPriority w:val="0"/>
    <w:pPr>
      <w:jc w:val="left"/>
    </w:pPr>
    <w:rPr>
      <w:kern w:val="0"/>
      <w:sz w:val="20"/>
      <w:szCs w:val="20"/>
      <w:lang w:val="zh-CN" w:bidi="zh-CN"/>
    </w:rPr>
  </w:style>
  <w:style w:type="character" w:customStyle="1" w:styleId="104">
    <w:name w:val="Title Char"/>
    <w:autoRedefine/>
    <w:qFormat/>
    <w:uiPriority w:val="99"/>
    <w:rPr>
      <w:rFonts w:ascii="Cambria" w:hAnsi="Cambria" w:cs="Cambria"/>
      <w:b/>
      <w:bCs/>
      <w:sz w:val="32"/>
      <w:szCs w:val="32"/>
    </w:rPr>
  </w:style>
  <w:style w:type="character" w:customStyle="1" w:styleId="105">
    <w:name w:val="Body text|3_"/>
    <w:link w:val="106"/>
    <w:autoRedefine/>
    <w:qFormat/>
    <w:uiPriority w:val="0"/>
    <w:rPr>
      <w:rFonts w:ascii="宋体" w:hAnsi="宋体" w:cs="宋体"/>
      <w:lang w:val="zh-CN" w:bidi="zh-CN"/>
    </w:rPr>
  </w:style>
  <w:style w:type="paragraph" w:customStyle="1" w:styleId="106">
    <w:name w:val="Body text|3"/>
    <w:basedOn w:val="1"/>
    <w:link w:val="105"/>
    <w:autoRedefine/>
    <w:qFormat/>
    <w:uiPriority w:val="0"/>
    <w:pPr>
      <w:spacing w:after="340"/>
      <w:jc w:val="left"/>
    </w:pPr>
    <w:rPr>
      <w:rFonts w:ascii="宋体" w:hAnsi="宋体" w:cs="宋体"/>
      <w:kern w:val="0"/>
      <w:sz w:val="20"/>
      <w:szCs w:val="20"/>
      <w:lang w:val="zh-CN" w:bidi="zh-CN"/>
    </w:rPr>
  </w:style>
  <w:style w:type="character" w:customStyle="1" w:styleId="107">
    <w:name w:val="Table of contents|1_"/>
    <w:link w:val="108"/>
    <w:autoRedefine/>
    <w:qFormat/>
    <w:uiPriority w:val="0"/>
    <w:rPr>
      <w:rFonts w:ascii="宋体" w:hAnsi="宋体" w:cs="宋体"/>
      <w:lang w:val="zh-CN" w:bidi="zh-CN"/>
    </w:rPr>
  </w:style>
  <w:style w:type="paragraph" w:customStyle="1" w:styleId="108">
    <w:name w:val="Table of contents|1"/>
    <w:basedOn w:val="1"/>
    <w:link w:val="107"/>
    <w:autoRedefine/>
    <w:qFormat/>
    <w:uiPriority w:val="0"/>
    <w:pPr>
      <w:spacing w:after="100"/>
      <w:ind w:firstLine="600"/>
      <w:jc w:val="left"/>
    </w:pPr>
    <w:rPr>
      <w:rFonts w:ascii="宋体" w:hAnsi="宋体" w:cs="宋体"/>
      <w:kern w:val="0"/>
      <w:sz w:val="20"/>
      <w:szCs w:val="20"/>
      <w:lang w:val="zh-CN" w:bidi="zh-CN"/>
    </w:rPr>
  </w:style>
  <w:style w:type="character" w:customStyle="1" w:styleId="109">
    <w:name w:val="Date Char"/>
    <w:autoRedefine/>
    <w:qFormat/>
    <w:uiPriority w:val="99"/>
    <w:rPr>
      <w:rFonts w:eastAsia="宋体"/>
      <w:kern w:val="2"/>
      <w:sz w:val="24"/>
      <w:szCs w:val="24"/>
      <w:lang w:val="en-US" w:eastAsia="zh-CN"/>
    </w:rPr>
  </w:style>
  <w:style w:type="character" w:customStyle="1" w:styleId="110">
    <w:name w:val="Char Char9"/>
    <w:autoRedefine/>
    <w:qFormat/>
    <w:uiPriority w:val="99"/>
    <w:rPr>
      <w:rFonts w:eastAsia="宋体"/>
      <w:b/>
      <w:bCs/>
      <w:kern w:val="44"/>
      <w:sz w:val="44"/>
      <w:szCs w:val="44"/>
      <w:lang w:val="en-US" w:eastAsia="zh-CN"/>
    </w:rPr>
  </w:style>
  <w:style w:type="character" w:customStyle="1" w:styleId="111">
    <w:name w:val="Document Map Char"/>
    <w:autoRedefine/>
    <w:qFormat/>
    <w:uiPriority w:val="99"/>
    <w:rPr>
      <w:rFonts w:eastAsia="宋体"/>
      <w:kern w:val="2"/>
      <w:sz w:val="24"/>
      <w:szCs w:val="24"/>
      <w:lang w:val="en-US" w:eastAsia="zh-CN"/>
    </w:rPr>
  </w:style>
  <w:style w:type="character" w:customStyle="1" w:styleId="112">
    <w:name w:val="Header Char"/>
    <w:autoRedefine/>
    <w:qFormat/>
    <w:uiPriority w:val="99"/>
    <w:rPr>
      <w:rFonts w:eastAsia="宋体"/>
      <w:kern w:val="2"/>
      <w:sz w:val="18"/>
      <w:szCs w:val="18"/>
      <w:lang w:val="en-US" w:eastAsia="zh-CN"/>
    </w:rPr>
  </w:style>
  <w:style w:type="character" w:customStyle="1" w:styleId="113">
    <w:name w:val="明显参考1"/>
    <w:autoRedefine/>
    <w:qFormat/>
    <w:uiPriority w:val="99"/>
    <w:rPr>
      <w:b/>
      <w:bCs/>
      <w:smallCaps/>
      <w:color w:val="auto"/>
      <w:spacing w:val="5"/>
      <w:u w:val="single"/>
    </w:rPr>
  </w:style>
  <w:style w:type="character" w:customStyle="1" w:styleId="114">
    <w:name w:val="Heading 1 Char"/>
    <w:autoRedefine/>
    <w:qFormat/>
    <w:uiPriority w:val="99"/>
    <w:rPr>
      <w:rFonts w:eastAsia="宋体"/>
      <w:b/>
      <w:bCs/>
      <w:kern w:val="44"/>
      <w:sz w:val="44"/>
      <w:szCs w:val="44"/>
      <w:lang w:val="en-US" w:eastAsia="zh-CN"/>
    </w:rPr>
  </w:style>
  <w:style w:type="character" w:customStyle="1" w:styleId="115">
    <w:name w:val="Comment Text Char"/>
    <w:autoRedefine/>
    <w:qFormat/>
    <w:uiPriority w:val="99"/>
    <w:rPr>
      <w:sz w:val="24"/>
      <w:szCs w:val="24"/>
    </w:rPr>
  </w:style>
  <w:style w:type="character" w:customStyle="1" w:styleId="116">
    <w:name w:val="Char Char23"/>
    <w:autoRedefine/>
    <w:qFormat/>
    <w:uiPriority w:val="99"/>
    <w:rPr>
      <w:rFonts w:eastAsia="宋体"/>
      <w:b/>
      <w:bCs/>
      <w:kern w:val="44"/>
      <w:sz w:val="44"/>
      <w:szCs w:val="44"/>
      <w:lang w:val="en-US" w:eastAsia="zh-CN"/>
    </w:rPr>
  </w:style>
  <w:style w:type="character" w:customStyle="1" w:styleId="117">
    <w:name w:val="Char Char181"/>
    <w:autoRedefine/>
    <w:qFormat/>
    <w:uiPriority w:val="99"/>
    <w:rPr>
      <w:b/>
      <w:bCs/>
      <w:kern w:val="44"/>
      <w:sz w:val="44"/>
      <w:szCs w:val="44"/>
    </w:rPr>
  </w:style>
  <w:style w:type="character" w:customStyle="1" w:styleId="118">
    <w:name w:val="Char Char22"/>
    <w:autoRedefine/>
    <w:qFormat/>
    <w:uiPriority w:val="99"/>
    <w:rPr>
      <w:rFonts w:ascii="Times New Roman" w:hAnsi="Times New Roman" w:eastAsia="宋体" w:cs="Times New Roman"/>
      <w:b/>
      <w:bCs/>
      <w:kern w:val="44"/>
      <w:sz w:val="44"/>
      <w:szCs w:val="44"/>
    </w:rPr>
  </w:style>
  <w:style w:type="character" w:customStyle="1" w:styleId="119">
    <w:name w:val="引用 Char1"/>
    <w:autoRedefine/>
    <w:qFormat/>
    <w:uiPriority w:val="99"/>
    <w:rPr>
      <w:rFonts w:ascii="Times New Roman" w:hAnsi="Times New Roman" w:eastAsia="宋体" w:cs="Times New Roman"/>
      <w:i/>
      <w:iCs/>
      <w:color w:val="000000"/>
      <w:sz w:val="24"/>
      <w:szCs w:val="24"/>
    </w:rPr>
  </w:style>
  <w:style w:type="character" w:customStyle="1" w:styleId="120">
    <w:name w:val="Heading 3 Char1"/>
    <w:autoRedefine/>
    <w:qFormat/>
    <w:uiPriority w:val="99"/>
    <w:rPr>
      <w:rFonts w:eastAsia="宋体"/>
      <w:b/>
      <w:bCs/>
      <w:kern w:val="2"/>
      <w:sz w:val="32"/>
      <w:szCs w:val="32"/>
      <w:lang w:val="en-US" w:eastAsia="zh-CN"/>
    </w:rPr>
  </w:style>
  <w:style w:type="character" w:customStyle="1" w:styleId="121">
    <w:name w:val="明显强调1"/>
    <w:autoRedefine/>
    <w:qFormat/>
    <w:uiPriority w:val="99"/>
    <w:rPr>
      <w:b/>
      <w:bCs/>
      <w:i/>
      <w:iCs/>
      <w:color w:val="4F81BD"/>
    </w:rPr>
  </w:style>
  <w:style w:type="character" w:customStyle="1" w:styleId="122">
    <w:name w:val="明显引用 Char1"/>
    <w:autoRedefine/>
    <w:qFormat/>
    <w:uiPriority w:val="99"/>
    <w:rPr>
      <w:rFonts w:ascii="Times New Roman" w:hAnsi="Times New Roman" w:eastAsia="宋体" w:cs="Times New Roman"/>
      <w:b/>
      <w:bCs/>
      <w:i/>
      <w:iCs/>
      <w:color w:val="4F81BD"/>
      <w:sz w:val="24"/>
      <w:szCs w:val="24"/>
    </w:rPr>
  </w:style>
  <w:style w:type="character" w:customStyle="1" w:styleId="123">
    <w:name w:val="标题 Char2"/>
    <w:autoRedefine/>
    <w:qFormat/>
    <w:uiPriority w:val="99"/>
    <w:rPr>
      <w:rFonts w:ascii="Cambria" w:hAnsi="Cambria" w:eastAsia="宋体" w:cs="Cambria"/>
      <w:b/>
      <w:bCs/>
      <w:sz w:val="32"/>
      <w:szCs w:val="32"/>
    </w:rPr>
  </w:style>
  <w:style w:type="character" w:customStyle="1" w:styleId="124">
    <w:name w:val="标题 Char1"/>
    <w:autoRedefine/>
    <w:qFormat/>
    <w:uiPriority w:val="99"/>
    <w:rPr>
      <w:rFonts w:ascii="Cambria" w:hAnsi="Cambria" w:eastAsia="宋体" w:cs="Cambria"/>
      <w:b/>
      <w:bCs/>
      <w:sz w:val="32"/>
      <w:szCs w:val="32"/>
    </w:rPr>
  </w:style>
  <w:style w:type="character" w:customStyle="1" w:styleId="125">
    <w:name w:val="Heading 5 Char"/>
    <w:autoRedefine/>
    <w:qFormat/>
    <w:uiPriority w:val="99"/>
    <w:rPr>
      <w:rFonts w:eastAsia="宋体"/>
      <w:b/>
      <w:bCs/>
      <w:kern w:val="2"/>
      <w:sz w:val="28"/>
      <w:szCs w:val="28"/>
      <w:lang w:val="en-US" w:eastAsia="zh-CN"/>
    </w:rPr>
  </w:style>
  <w:style w:type="character" w:customStyle="1" w:styleId="126">
    <w:name w:val="标题 1 字符1"/>
    <w:autoRedefine/>
    <w:qFormat/>
    <w:uiPriority w:val="0"/>
    <w:rPr>
      <w:b/>
      <w:bCs/>
      <w:kern w:val="44"/>
      <w:sz w:val="44"/>
      <w:szCs w:val="44"/>
    </w:rPr>
  </w:style>
  <w:style w:type="character" w:customStyle="1" w:styleId="127">
    <w:name w:val="明显引用 Char"/>
    <w:link w:val="128"/>
    <w:autoRedefine/>
    <w:qFormat/>
    <w:locked/>
    <w:uiPriority w:val="99"/>
    <w:rPr>
      <w:b/>
      <w:bCs/>
      <w:i/>
      <w:iCs/>
      <w:color w:val="4F81BD"/>
    </w:rPr>
  </w:style>
  <w:style w:type="paragraph" w:customStyle="1" w:styleId="128">
    <w:name w:val="明显引用1"/>
    <w:basedOn w:val="1"/>
    <w:next w:val="1"/>
    <w:link w:val="127"/>
    <w:autoRedefine/>
    <w:qFormat/>
    <w:uiPriority w:val="99"/>
    <w:pPr>
      <w:pBdr>
        <w:bottom w:val="single" w:color="4F81BD" w:sz="4" w:space="4"/>
      </w:pBdr>
      <w:spacing w:before="200" w:after="280"/>
      <w:ind w:left="936" w:right="936"/>
    </w:pPr>
    <w:rPr>
      <w:b/>
      <w:bCs/>
      <w:i/>
      <w:iCs/>
      <w:color w:val="4F81BD"/>
      <w:kern w:val="0"/>
      <w:sz w:val="20"/>
      <w:szCs w:val="20"/>
    </w:rPr>
  </w:style>
  <w:style w:type="character" w:customStyle="1" w:styleId="129">
    <w:name w:val="textcontents"/>
    <w:autoRedefine/>
    <w:qFormat/>
    <w:uiPriority w:val="99"/>
  </w:style>
  <w:style w:type="character" w:customStyle="1" w:styleId="130">
    <w:name w:val="Char Char19"/>
    <w:autoRedefine/>
    <w:qFormat/>
    <w:uiPriority w:val="99"/>
    <w:rPr>
      <w:rFonts w:ascii="Arial" w:hAnsi="Arial" w:eastAsia="宋体" w:cs="Arial"/>
      <w:b/>
      <w:bCs/>
      <w:sz w:val="28"/>
      <w:szCs w:val="28"/>
    </w:rPr>
  </w:style>
  <w:style w:type="character" w:customStyle="1" w:styleId="131">
    <w:name w:val="批注文字 Char"/>
    <w:autoRedefine/>
    <w:qFormat/>
    <w:uiPriority w:val="99"/>
    <w:rPr>
      <w:rFonts w:ascii="Times New Roman" w:hAnsi="Times New Roman"/>
      <w:kern w:val="2"/>
      <w:sz w:val="21"/>
      <w:szCs w:val="24"/>
    </w:rPr>
  </w:style>
  <w:style w:type="character" w:customStyle="1" w:styleId="132">
    <w:name w:val="标题5 Char Char"/>
    <w:link w:val="133"/>
    <w:autoRedefine/>
    <w:qFormat/>
    <w:locked/>
    <w:uiPriority w:val="99"/>
    <w:rPr>
      <w:rFonts w:ascii="Arial" w:hAnsi="Arial" w:cs="Arial"/>
      <w:b/>
      <w:bCs/>
      <w:sz w:val="32"/>
      <w:szCs w:val="32"/>
    </w:rPr>
  </w:style>
  <w:style w:type="paragraph" w:customStyle="1" w:styleId="133">
    <w:name w:val="标题5"/>
    <w:basedOn w:val="5"/>
    <w:link w:val="132"/>
    <w:autoRedefine/>
    <w:qFormat/>
    <w:uiPriority w:val="99"/>
    <w:pPr>
      <w:spacing w:line="413" w:lineRule="auto"/>
    </w:pPr>
    <w:rPr>
      <w:rFonts w:ascii="Arial" w:hAnsi="Arial"/>
      <w:kern w:val="0"/>
    </w:rPr>
  </w:style>
  <w:style w:type="character" w:customStyle="1" w:styleId="134">
    <w:name w:val="纯文本 字符"/>
    <w:autoRedefine/>
    <w:qFormat/>
    <w:uiPriority w:val="0"/>
    <w:rPr>
      <w:rFonts w:ascii="宋体" w:hAnsi="Courier New" w:eastAsia="宋体" w:cs="Courier New"/>
      <w:szCs w:val="21"/>
    </w:rPr>
  </w:style>
  <w:style w:type="character" w:customStyle="1" w:styleId="135">
    <w:name w:val="引用 Char"/>
    <w:link w:val="136"/>
    <w:autoRedefine/>
    <w:qFormat/>
    <w:locked/>
    <w:uiPriority w:val="99"/>
    <w:rPr>
      <w:i/>
      <w:iCs/>
      <w:color w:val="000000"/>
    </w:rPr>
  </w:style>
  <w:style w:type="paragraph" w:customStyle="1" w:styleId="136">
    <w:name w:val="引用1"/>
    <w:basedOn w:val="1"/>
    <w:next w:val="1"/>
    <w:link w:val="135"/>
    <w:autoRedefine/>
    <w:qFormat/>
    <w:uiPriority w:val="99"/>
    <w:rPr>
      <w:i/>
      <w:iCs/>
      <w:color w:val="000000"/>
      <w:kern w:val="0"/>
      <w:sz w:val="20"/>
      <w:szCs w:val="20"/>
    </w:rPr>
  </w:style>
  <w:style w:type="character" w:customStyle="1" w:styleId="137">
    <w:name w:val="纯文本 Char"/>
    <w:autoRedefine/>
    <w:qFormat/>
    <w:uiPriority w:val="0"/>
    <w:rPr>
      <w:rFonts w:ascii="宋体" w:hAnsi="Courier New" w:eastAsia="宋体" w:cs="Courier New"/>
      <w:szCs w:val="21"/>
    </w:rPr>
  </w:style>
  <w:style w:type="character" w:customStyle="1" w:styleId="138">
    <w:name w:val="日期 Char1"/>
    <w:autoRedefine/>
    <w:qFormat/>
    <w:uiPriority w:val="99"/>
    <w:rPr>
      <w:rFonts w:ascii="Times New Roman" w:hAnsi="Times New Roman" w:eastAsia="宋体" w:cs="Times New Roman"/>
      <w:sz w:val="24"/>
      <w:szCs w:val="24"/>
    </w:rPr>
  </w:style>
  <w:style w:type="character" w:customStyle="1" w:styleId="139">
    <w:name w:val="纯文本 字符2"/>
    <w:autoRedefine/>
    <w:qFormat/>
    <w:uiPriority w:val="0"/>
    <w:rPr>
      <w:rFonts w:ascii="宋体" w:hAnsi="Courier New" w:eastAsia="宋体" w:cs="Courier New"/>
      <w:szCs w:val="21"/>
    </w:rPr>
  </w:style>
  <w:style w:type="character" w:customStyle="1" w:styleId="140">
    <w:name w:val="Char Char91"/>
    <w:autoRedefine/>
    <w:qFormat/>
    <w:uiPriority w:val="99"/>
    <w:rPr>
      <w:rFonts w:eastAsia="宋体"/>
      <w:b/>
      <w:bCs/>
      <w:kern w:val="44"/>
      <w:sz w:val="44"/>
      <w:szCs w:val="44"/>
      <w:lang w:val="en-US" w:eastAsia="zh-CN"/>
    </w:rPr>
  </w:style>
  <w:style w:type="character" w:customStyle="1" w:styleId="141">
    <w:name w:val="批注文字 字符1"/>
    <w:autoRedefine/>
    <w:qFormat/>
    <w:uiPriority w:val="0"/>
    <w:rPr>
      <w:rFonts w:ascii="Times New Roman" w:hAnsi="Times New Roman"/>
      <w:kern w:val="2"/>
      <w:sz w:val="21"/>
      <w:szCs w:val="24"/>
    </w:rPr>
  </w:style>
  <w:style w:type="character" w:customStyle="1" w:styleId="142">
    <w:name w:val="Char Char6"/>
    <w:autoRedefine/>
    <w:qFormat/>
    <w:uiPriority w:val="99"/>
    <w:rPr>
      <w:rFonts w:eastAsia="宋体"/>
      <w:b/>
      <w:bCs/>
      <w:kern w:val="44"/>
      <w:sz w:val="44"/>
      <w:szCs w:val="44"/>
      <w:lang w:val="en-US" w:eastAsia="zh-CN"/>
    </w:rPr>
  </w:style>
  <w:style w:type="character" w:customStyle="1" w:styleId="143">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44">
    <w:name w:val="Comment Text Char1"/>
    <w:autoRedefine/>
    <w:qFormat/>
    <w:uiPriority w:val="99"/>
    <w:rPr>
      <w:sz w:val="24"/>
      <w:szCs w:val="24"/>
    </w:rPr>
  </w:style>
  <w:style w:type="character" w:customStyle="1" w:styleId="145">
    <w:name w:val="纯文本 字符1"/>
    <w:autoRedefine/>
    <w:qFormat/>
    <w:uiPriority w:val="0"/>
    <w:rPr>
      <w:rFonts w:ascii="宋体" w:hAnsi="Courier New"/>
    </w:rPr>
  </w:style>
  <w:style w:type="character" w:customStyle="1" w:styleId="146">
    <w:name w:val="Footer Char"/>
    <w:autoRedefine/>
    <w:qFormat/>
    <w:uiPriority w:val="99"/>
    <w:rPr>
      <w:rFonts w:eastAsia="宋体"/>
      <w:kern w:val="2"/>
      <w:sz w:val="18"/>
      <w:szCs w:val="18"/>
      <w:lang w:val="en-US" w:eastAsia="zh-CN"/>
    </w:rPr>
  </w:style>
  <w:style w:type="character" w:customStyle="1" w:styleId="147">
    <w:name w:val="正文文本 Char"/>
    <w:autoRedefine/>
    <w:qFormat/>
    <w:uiPriority w:val="99"/>
    <w:rPr>
      <w:rFonts w:ascii="Times New Roman" w:hAnsi="Times New Roman"/>
      <w:kern w:val="2"/>
      <w:sz w:val="21"/>
      <w:szCs w:val="24"/>
    </w:rPr>
  </w:style>
  <w:style w:type="character" w:customStyle="1" w:styleId="148">
    <w:name w:val="Body Text Indent 2 Char"/>
    <w:autoRedefine/>
    <w:qFormat/>
    <w:uiPriority w:val="99"/>
    <w:rPr>
      <w:rFonts w:eastAsia="宋体"/>
      <w:kern w:val="2"/>
      <w:sz w:val="24"/>
      <w:szCs w:val="24"/>
      <w:lang w:val="en-US" w:eastAsia="zh-CN"/>
    </w:rPr>
  </w:style>
  <w:style w:type="character" w:customStyle="1" w:styleId="149">
    <w:name w:val="批注文字 字符"/>
    <w:autoRedefine/>
    <w:qFormat/>
    <w:uiPriority w:val="0"/>
    <w:rPr>
      <w:rFonts w:ascii="Times New Roman" w:hAnsi="Times New Roman"/>
      <w:kern w:val="2"/>
      <w:sz w:val="21"/>
      <w:szCs w:val="24"/>
    </w:rPr>
  </w:style>
  <w:style w:type="character" w:customStyle="1" w:styleId="150">
    <w:name w:val="标题 2 Char"/>
    <w:autoRedefine/>
    <w:qFormat/>
    <w:uiPriority w:val="99"/>
    <w:rPr>
      <w:rFonts w:ascii="Cambria" w:hAnsi="Cambria" w:eastAsia="宋体" w:cs="Times New Roman"/>
      <w:b/>
      <w:bCs/>
      <w:kern w:val="2"/>
      <w:sz w:val="32"/>
      <w:szCs w:val="32"/>
    </w:rPr>
  </w:style>
  <w:style w:type="character" w:customStyle="1" w:styleId="151">
    <w:name w:val="标题 8 Char"/>
    <w:autoRedefine/>
    <w:qFormat/>
    <w:uiPriority w:val="9"/>
    <w:rPr>
      <w:rFonts w:ascii="Arial" w:hAnsi="Arial" w:eastAsia="黑体"/>
      <w:kern w:val="2"/>
      <w:sz w:val="24"/>
      <w:szCs w:val="24"/>
    </w:rPr>
  </w:style>
  <w:style w:type="character" w:customStyle="1" w:styleId="152">
    <w:name w:val="apple-style-span"/>
    <w:autoRedefine/>
    <w:qFormat/>
    <w:uiPriority w:val="0"/>
  </w:style>
  <w:style w:type="character" w:customStyle="1" w:styleId="153">
    <w:name w:val="正文文本 字符"/>
    <w:autoRedefine/>
    <w:qFormat/>
    <w:uiPriority w:val="0"/>
    <w:rPr>
      <w:rFonts w:ascii="Times New Roman" w:hAnsi="Times New Roman"/>
      <w:kern w:val="2"/>
      <w:sz w:val="21"/>
      <w:szCs w:val="24"/>
    </w:rPr>
  </w:style>
  <w:style w:type="character" w:customStyle="1" w:styleId="154">
    <w:name w:val="批注文字 Char2"/>
    <w:autoRedefine/>
    <w:qFormat/>
    <w:uiPriority w:val="0"/>
    <w:rPr>
      <w:rFonts w:ascii="Times New Roman" w:hAnsi="Times New Roman"/>
      <w:kern w:val="2"/>
      <w:sz w:val="21"/>
      <w:szCs w:val="24"/>
    </w:rPr>
  </w:style>
  <w:style w:type="character" w:customStyle="1" w:styleId="155">
    <w:name w:val="正文2 Char Char"/>
    <w:link w:val="156"/>
    <w:autoRedefine/>
    <w:qFormat/>
    <w:uiPriority w:val="0"/>
    <w:rPr>
      <w:kern w:val="2"/>
      <w:sz w:val="24"/>
    </w:rPr>
  </w:style>
  <w:style w:type="paragraph" w:customStyle="1" w:styleId="156">
    <w:name w:val="正文2"/>
    <w:basedOn w:val="1"/>
    <w:link w:val="155"/>
    <w:autoRedefine/>
    <w:qFormat/>
    <w:uiPriority w:val="0"/>
    <w:pPr>
      <w:adjustRightInd w:val="0"/>
      <w:spacing w:before="156" w:line="360" w:lineRule="auto"/>
      <w:ind w:firstLine="510" w:firstLineChars="200"/>
    </w:pPr>
    <w:rPr>
      <w:sz w:val="24"/>
      <w:szCs w:val="20"/>
    </w:rPr>
  </w:style>
  <w:style w:type="character" w:customStyle="1" w:styleId="157">
    <w:name w:val="不明显强调1"/>
    <w:autoRedefine/>
    <w:qFormat/>
    <w:uiPriority w:val="99"/>
    <w:rPr>
      <w:i/>
      <w:iCs/>
      <w:color w:val="808080"/>
    </w:rPr>
  </w:style>
  <w:style w:type="character" w:customStyle="1" w:styleId="158">
    <w:name w:val="Body text|6_"/>
    <w:link w:val="159"/>
    <w:autoRedefine/>
    <w:qFormat/>
    <w:uiPriority w:val="0"/>
    <w:rPr>
      <w:rFonts w:ascii="Arial" w:hAnsi="Arial" w:eastAsia="Arial" w:cs="Arial"/>
      <w:lang w:val="zh-CN"/>
    </w:rPr>
  </w:style>
  <w:style w:type="paragraph" w:customStyle="1" w:styleId="159">
    <w:name w:val="Body text|6"/>
    <w:basedOn w:val="1"/>
    <w:link w:val="158"/>
    <w:autoRedefine/>
    <w:qFormat/>
    <w:uiPriority w:val="0"/>
    <w:pPr>
      <w:ind w:hanging="2220"/>
      <w:jc w:val="left"/>
    </w:pPr>
    <w:rPr>
      <w:rFonts w:ascii="Arial" w:hAnsi="Arial" w:eastAsia="Arial"/>
      <w:kern w:val="0"/>
      <w:sz w:val="20"/>
      <w:szCs w:val="20"/>
      <w:lang w:val="zh-CN"/>
    </w:rPr>
  </w:style>
  <w:style w:type="character" w:customStyle="1" w:styleId="160">
    <w:name w:val="批注文字 Char Char"/>
    <w:autoRedefine/>
    <w:qFormat/>
    <w:uiPriority w:val="99"/>
    <w:rPr>
      <w:rFonts w:ascii="宋体" w:hAnsi="Times New Roman" w:eastAsia="宋体" w:cs="宋体"/>
      <w:sz w:val="20"/>
      <w:szCs w:val="20"/>
    </w:rPr>
  </w:style>
  <w:style w:type="character" w:customStyle="1" w:styleId="161">
    <w:name w:val="Heading 3 Char"/>
    <w:autoRedefine/>
    <w:qFormat/>
    <w:uiPriority w:val="99"/>
    <w:rPr>
      <w:b/>
      <w:bCs/>
      <w:kern w:val="2"/>
      <w:sz w:val="32"/>
      <w:szCs w:val="32"/>
    </w:rPr>
  </w:style>
  <w:style w:type="character" w:customStyle="1" w:styleId="162">
    <w:name w:val="Heading 2 Char"/>
    <w:autoRedefine/>
    <w:qFormat/>
    <w:uiPriority w:val="99"/>
    <w:rPr>
      <w:rFonts w:ascii="Arial" w:hAnsi="Arial" w:eastAsia="黑体" w:cs="Arial"/>
      <w:b/>
      <w:bCs/>
      <w:kern w:val="2"/>
      <w:sz w:val="32"/>
      <w:szCs w:val="32"/>
      <w:lang w:val="en-US" w:eastAsia="zh-CN"/>
    </w:rPr>
  </w:style>
  <w:style w:type="character" w:customStyle="1" w:styleId="163">
    <w:name w:val="Balloon Text Char"/>
    <w:autoRedefine/>
    <w:qFormat/>
    <w:uiPriority w:val="99"/>
    <w:rPr>
      <w:sz w:val="18"/>
      <w:szCs w:val="18"/>
    </w:rPr>
  </w:style>
  <w:style w:type="character" w:customStyle="1" w:styleId="164">
    <w:name w:val="文档结构图 Char1"/>
    <w:autoRedefine/>
    <w:qFormat/>
    <w:uiPriority w:val="99"/>
    <w:rPr>
      <w:rFonts w:ascii="宋体" w:hAnsi="Times New Roman" w:eastAsia="宋体" w:cs="宋体"/>
      <w:sz w:val="18"/>
      <w:szCs w:val="18"/>
    </w:rPr>
  </w:style>
  <w:style w:type="character" w:customStyle="1" w:styleId="165">
    <w:name w:val="Footnote Text Char"/>
    <w:autoRedefine/>
    <w:qFormat/>
    <w:uiPriority w:val="99"/>
    <w:rPr>
      <w:rFonts w:eastAsia="宋体"/>
      <w:sz w:val="18"/>
      <w:szCs w:val="18"/>
      <w:lang w:val="en-US" w:eastAsia="zh-CN"/>
    </w:rPr>
  </w:style>
  <w:style w:type="character" w:customStyle="1" w:styleId="166">
    <w:name w:val="Char Char21"/>
    <w:autoRedefine/>
    <w:qFormat/>
    <w:uiPriority w:val="99"/>
    <w:rPr>
      <w:rFonts w:ascii="Arial" w:hAnsi="Arial" w:eastAsia="黑体" w:cs="Arial"/>
      <w:b/>
      <w:bCs/>
      <w:sz w:val="32"/>
      <w:szCs w:val="32"/>
    </w:rPr>
  </w:style>
  <w:style w:type="character" w:customStyle="1" w:styleId="167">
    <w:name w:val="Other|1_"/>
    <w:link w:val="168"/>
    <w:autoRedefine/>
    <w:qFormat/>
    <w:uiPriority w:val="0"/>
    <w:rPr>
      <w:rFonts w:ascii="宋体" w:hAnsi="宋体" w:cs="宋体"/>
      <w:lang w:val="zh-CN" w:bidi="zh-CN"/>
    </w:rPr>
  </w:style>
  <w:style w:type="paragraph" w:customStyle="1" w:styleId="168">
    <w:name w:val="Other|1"/>
    <w:basedOn w:val="1"/>
    <w:link w:val="167"/>
    <w:autoRedefine/>
    <w:qFormat/>
    <w:uiPriority w:val="0"/>
    <w:pPr>
      <w:spacing w:line="360" w:lineRule="auto"/>
      <w:ind w:firstLine="400"/>
      <w:jc w:val="left"/>
    </w:pPr>
    <w:rPr>
      <w:rFonts w:ascii="宋体" w:hAnsi="宋体" w:cs="宋体"/>
      <w:kern w:val="0"/>
      <w:sz w:val="20"/>
      <w:szCs w:val="20"/>
      <w:lang w:val="zh-CN" w:bidi="zh-CN"/>
    </w:rPr>
  </w:style>
  <w:style w:type="character" w:customStyle="1" w:styleId="169">
    <w:name w:val="Body Text Indent Char"/>
    <w:autoRedefine/>
    <w:qFormat/>
    <w:uiPriority w:val="99"/>
    <w:rPr>
      <w:rFonts w:ascii="宋体" w:hAnsi="宋体" w:eastAsia="宋体" w:cs="宋体"/>
      <w:kern w:val="2"/>
      <w:sz w:val="21"/>
      <w:szCs w:val="21"/>
      <w:lang w:val="en-US" w:eastAsia="zh-CN"/>
    </w:rPr>
  </w:style>
  <w:style w:type="character" w:customStyle="1" w:styleId="170">
    <w:name w:val="不明显参考1"/>
    <w:autoRedefine/>
    <w:qFormat/>
    <w:uiPriority w:val="99"/>
    <w:rPr>
      <w:smallCaps/>
      <w:color w:val="auto"/>
      <w:u w:val="single"/>
    </w:rPr>
  </w:style>
  <w:style w:type="character" w:customStyle="1" w:styleId="171">
    <w:name w:val="Heading 4 Char"/>
    <w:autoRedefine/>
    <w:qFormat/>
    <w:uiPriority w:val="99"/>
    <w:rPr>
      <w:rFonts w:ascii="Arial" w:hAnsi="Arial" w:eastAsia="宋体" w:cs="Arial"/>
      <w:b/>
      <w:bCs/>
      <w:kern w:val="2"/>
      <w:sz w:val="28"/>
      <w:szCs w:val="28"/>
      <w:lang w:val="en-US" w:eastAsia="zh-CN"/>
    </w:rPr>
  </w:style>
  <w:style w:type="character" w:customStyle="1" w:styleId="172">
    <w:name w:val="Body text|7_"/>
    <w:link w:val="173"/>
    <w:autoRedefine/>
    <w:qFormat/>
    <w:uiPriority w:val="0"/>
    <w:rPr>
      <w:rFonts w:ascii="Courier New" w:hAnsi="Courier New" w:eastAsia="Courier New" w:cs="Courier New"/>
      <w:b/>
      <w:bCs/>
      <w:sz w:val="8"/>
      <w:szCs w:val="8"/>
      <w:lang w:val="zh-CN"/>
    </w:rPr>
  </w:style>
  <w:style w:type="paragraph" w:customStyle="1" w:styleId="173">
    <w:name w:val="Body text|7"/>
    <w:basedOn w:val="1"/>
    <w:link w:val="172"/>
    <w:autoRedefine/>
    <w:qFormat/>
    <w:uiPriority w:val="0"/>
    <w:pPr>
      <w:ind w:hanging="1760"/>
      <w:jc w:val="left"/>
    </w:pPr>
    <w:rPr>
      <w:rFonts w:ascii="Courier New" w:hAnsi="Courier New" w:eastAsia="Courier New"/>
      <w:b/>
      <w:bCs/>
      <w:kern w:val="0"/>
      <w:sz w:val="8"/>
      <w:szCs w:val="8"/>
      <w:lang w:val="zh-CN"/>
    </w:rPr>
  </w:style>
  <w:style w:type="character" w:customStyle="1" w:styleId="174">
    <w:name w:val="Char Char20"/>
    <w:autoRedefine/>
    <w:qFormat/>
    <w:uiPriority w:val="99"/>
    <w:rPr>
      <w:rFonts w:ascii="Times New Roman" w:hAnsi="Times New Roman" w:eastAsia="宋体" w:cs="Times New Roman"/>
      <w:b/>
      <w:bCs/>
      <w:sz w:val="32"/>
      <w:szCs w:val="32"/>
    </w:rPr>
  </w:style>
  <w:style w:type="character" w:customStyle="1" w:styleId="175">
    <w:name w:val="Body text|4_"/>
    <w:link w:val="176"/>
    <w:autoRedefine/>
    <w:qFormat/>
    <w:uiPriority w:val="0"/>
    <w:rPr>
      <w:rFonts w:ascii="宋体" w:hAnsi="宋体" w:cs="宋体"/>
      <w:b/>
      <w:bCs/>
      <w:sz w:val="17"/>
      <w:szCs w:val="17"/>
      <w:lang w:val="zh-CN" w:bidi="zh-CN"/>
    </w:rPr>
  </w:style>
  <w:style w:type="paragraph" w:customStyle="1" w:styleId="176">
    <w:name w:val="Body text|4"/>
    <w:basedOn w:val="1"/>
    <w:link w:val="175"/>
    <w:autoRedefine/>
    <w:qFormat/>
    <w:uiPriority w:val="0"/>
    <w:pPr>
      <w:spacing w:line="281" w:lineRule="exact"/>
      <w:jc w:val="center"/>
    </w:pPr>
    <w:rPr>
      <w:rFonts w:ascii="宋体" w:hAnsi="宋体" w:cs="宋体"/>
      <w:b/>
      <w:bCs/>
      <w:kern w:val="0"/>
      <w:sz w:val="17"/>
      <w:szCs w:val="17"/>
      <w:lang w:val="zh-CN" w:bidi="zh-CN"/>
    </w:rPr>
  </w:style>
  <w:style w:type="character" w:customStyle="1" w:styleId="177">
    <w:name w:val="Comment Subject Char"/>
    <w:autoRedefine/>
    <w:qFormat/>
    <w:uiPriority w:val="99"/>
    <w:rPr>
      <w:b/>
      <w:bCs/>
      <w:sz w:val="24"/>
      <w:szCs w:val="24"/>
    </w:rPr>
  </w:style>
  <w:style w:type="character" w:customStyle="1" w:styleId="178">
    <w:name w:val="Heading #2|1_"/>
    <w:link w:val="179"/>
    <w:autoRedefine/>
    <w:qFormat/>
    <w:uiPriority w:val="0"/>
    <w:rPr>
      <w:rFonts w:ascii="宋体" w:hAnsi="宋体" w:cs="宋体"/>
      <w:sz w:val="34"/>
      <w:szCs w:val="34"/>
      <w:lang w:val="zh-CN" w:bidi="zh-CN"/>
    </w:rPr>
  </w:style>
  <w:style w:type="paragraph" w:customStyle="1" w:styleId="179">
    <w:name w:val="Heading #2|1"/>
    <w:basedOn w:val="1"/>
    <w:link w:val="178"/>
    <w:autoRedefine/>
    <w:qFormat/>
    <w:uiPriority w:val="0"/>
    <w:pPr>
      <w:spacing w:after="900"/>
      <w:jc w:val="center"/>
      <w:outlineLvl w:val="1"/>
    </w:pPr>
    <w:rPr>
      <w:rFonts w:ascii="宋体" w:hAnsi="宋体" w:cs="宋体"/>
      <w:kern w:val="0"/>
      <w:sz w:val="34"/>
      <w:szCs w:val="34"/>
      <w:lang w:val="zh-CN" w:bidi="zh-CN"/>
    </w:rPr>
  </w:style>
  <w:style w:type="character" w:customStyle="1" w:styleId="180">
    <w:name w:val="批注框文本 Char1"/>
    <w:autoRedefine/>
    <w:qFormat/>
    <w:uiPriority w:val="99"/>
    <w:rPr>
      <w:rFonts w:ascii="Times New Roman" w:hAnsi="Times New Roman" w:eastAsia="宋体" w:cs="Times New Roman"/>
      <w:sz w:val="18"/>
      <w:szCs w:val="18"/>
    </w:rPr>
  </w:style>
  <w:style w:type="character" w:customStyle="1" w:styleId="181">
    <w:name w:val="Char Char18"/>
    <w:autoRedefine/>
    <w:qFormat/>
    <w:uiPriority w:val="99"/>
    <w:rPr>
      <w:rFonts w:ascii="Times New Roman" w:hAnsi="Times New Roman" w:eastAsia="宋体" w:cs="Times New Roman"/>
      <w:b/>
      <w:bCs/>
      <w:sz w:val="28"/>
      <w:szCs w:val="28"/>
    </w:rPr>
  </w:style>
  <w:style w:type="character" w:customStyle="1" w:styleId="182">
    <w:name w:val="批注主题 Char1"/>
    <w:autoRedefine/>
    <w:qFormat/>
    <w:uiPriority w:val="99"/>
    <w:rPr>
      <w:rFonts w:ascii="Times New Roman" w:hAnsi="Times New Roman" w:eastAsia="宋体" w:cs="Times New Roman"/>
      <w:b/>
      <w:bCs/>
      <w:sz w:val="24"/>
      <w:szCs w:val="24"/>
    </w:rPr>
  </w:style>
  <w:style w:type="character" w:customStyle="1" w:styleId="183">
    <w:name w:val="Char Char24"/>
    <w:autoRedefine/>
    <w:qFormat/>
    <w:uiPriority w:val="99"/>
    <w:rPr>
      <w:rFonts w:eastAsia="宋体"/>
      <w:b/>
      <w:bCs/>
      <w:kern w:val="44"/>
      <w:sz w:val="44"/>
      <w:szCs w:val="44"/>
      <w:lang w:val="en-US" w:eastAsia="zh-CN"/>
    </w:rPr>
  </w:style>
  <w:style w:type="character" w:customStyle="1" w:styleId="184">
    <w:name w:val="标题4 Char Char"/>
    <w:link w:val="185"/>
    <w:autoRedefine/>
    <w:qFormat/>
    <w:locked/>
    <w:uiPriority w:val="99"/>
    <w:rPr>
      <w:rFonts w:ascii="Arial" w:hAnsi="Arial" w:cs="Arial"/>
      <w:b/>
      <w:bCs/>
      <w:sz w:val="32"/>
      <w:szCs w:val="32"/>
    </w:rPr>
  </w:style>
  <w:style w:type="paragraph" w:customStyle="1" w:styleId="185">
    <w:name w:val="标题4"/>
    <w:basedOn w:val="4"/>
    <w:next w:val="22"/>
    <w:link w:val="184"/>
    <w:autoRedefine/>
    <w:qFormat/>
    <w:uiPriority w:val="99"/>
    <w:pPr>
      <w:spacing w:before="60" w:after="60" w:line="413" w:lineRule="auto"/>
    </w:pPr>
    <w:rPr>
      <w:rFonts w:ascii="Arial" w:hAnsi="Arial"/>
      <w:kern w:val="0"/>
    </w:rPr>
  </w:style>
  <w:style w:type="character" w:customStyle="1" w:styleId="186">
    <w:name w:val="Plain Text Char"/>
    <w:autoRedefine/>
    <w:qFormat/>
    <w:uiPriority w:val="99"/>
    <w:rPr>
      <w:rFonts w:ascii="宋体" w:hAnsi="Courier New" w:eastAsia="宋体" w:cs="宋体"/>
      <w:sz w:val="24"/>
      <w:szCs w:val="24"/>
    </w:rPr>
  </w:style>
  <w:style w:type="character" w:customStyle="1" w:styleId="187">
    <w:name w:val="Header or footer|1_"/>
    <w:link w:val="188"/>
    <w:autoRedefine/>
    <w:qFormat/>
    <w:uiPriority w:val="0"/>
    <w:rPr>
      <w:sz w:val="17"/>
      <w:szCs w:val="17"/>
      <w:lang w:val="zh-CN" w:bidi="zh-CN"/>
    </w:rPr>
  </w:style>
  <w:style w:type="paragraph" w:customStyle="1" w:styleId="188">
    <w:name w:val="Header or footer|1"/>
    <w:basedOn w:val="1"/>
    <w:link w:val="187"/>
    <w:autoRedefine/>
    <w:qFormat/>
    <w:uiPriority w:val="0"/>
    <w:pPr>
      <w:jc w:val="center"/>
    </w:pPr>
    <w:rPr>
      <w:kern w:val="0"/>
      <w:sz w:val="17"/>
      <w:szCs w:val="17"/>
      <w:lang w:val="zh-CN" w:bidi="zh-CN"/>
    </w:rPr>
  </w:style>
  <w:style w:type="character" w:customStyle="1" w:styleId="189">
    <w:name w:val="Heading #3|1_"/>
    <w:link w:val="190"/>
    <w:autoRedefine/>
    <w:qFormat/>
    <w:uiPriority w:val="0"/>
    <w:rPr>
      <w:rFonts w:ascii="宋体" w:hAnsi="宋体" w:cs="宋体"/>
      <w:sz w:val="28"/>
      <w:szCs w:val="28"/>
      <w:lang w:val="zh-CN" w:bidi="zh-CN"/>
    </w:rPr>
  </w:style>
  <w:style w:type="paragraph" w:customStyle="1" w:styleId="190">
    <w:name w:val="Heading #3|1"/>
    <w:basedOn w:val="1"/>
    <w:link w:val="189"/>
    <w:autoRedefine/>
    <w:qFormat/>
    <w:uiPriority w:val="0"/>
    <w:pPr>
      <w:spacing w:after="570"/>
      <w:jc w:val="center"/>
      <w:outlineLvl w:val="2"/>
    </w:pPr>
    <w:rPr>
      <w:rFonts w:ascii="宋体" w:hAnsi="宋体" w:cs="宋体"/>
      <w:kern w:val="0"/>
      <w:sz w:val="28"/>
      <w:szCs w:val="28"/>
      <w:lang w:val="zh-CN" w:bidi="zh-CN"/>
    </w:rPr>
  </w:style>
  <w:style w:type="character" w:styleId="191">
    <w:name w:val="Placeholder Text"/>
    <w:autoRedefine/>
    <w:unhideWhenUsed/>
    <w:qFormat/>
    <w:uiPriority w:val="99"/>
    <w:rPr>
      <w:color w:val="808080"/>
    </w:rPr>
  </w:style>
  <w:style w:type="paragraph" w:customStyle="1" w:styleId="192">
    <w:name w:val="flNote"/>
    <w:basedOn w:val="1"/>
    <w:autoRedefine/>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styleId="193">
    <w:name w:val="List Paragraph"/>
    <w:basedOn w:val="1"/>
    <w:autoRedefine/>
    <w:qFormat/>
    <w:uiPriority w:val="34"/>
    <w:pPr>
      <w:ind w:firstLine="420" w:firstLineChars="200"/>
    </w:pPr>
  </w:style>
  <w:style w:type="paragraph" w:customStyle="1" w:styleId="194">
    <w:name w:val="样式 标题 2 + Times New Roman 四号 非加粗 段前: 5 磅 段后: 0 磅 行距: 固定值 20..."/>
    <w:basedOn w:val="4"/>
    <w:autoRedefine/>
    <w:qFormat/>
    <w:uiPriority w:val="99"/>
    <w:pPr>
      <w:spacing w:before="100" w:after="0" w:line="400" w:lineRule="exact"/>
    </w:pPr>
    <w:rPr>
      <w:rFonts w:ascii="Times New Roman" w:hAnsi="Times New Roman" w:eastAsia="黑体"/>
      <w:b w:val="0"/>
      <w:bCs w:val="0"/>
      <w:kern w:val="0"/>
      <w:sz w:val="28"/>
      <w:szCs w:val="28"/>
      <w:lang w:val="zh-CN"/>
    </w:rPr>
  </w:style>
  <w:style w:type="paragraph" w:customStyle="1" w:styleId="195">
    <w:name w:val="无间隔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96">
    <w:name w:val="Char Char Char Char Char Char Char"/>
    <w:basedOn w:val="1"/>
    <w:autoRedefine/>
    <w:qFormat/>
    <w:uiPriority w:val="99"/>
    <w:pPr>
      <w:widowControl/>
      <w:spacing w:after="160" w:line="240" w:lineRule="exact"/>
      <w:jc w:val="left"/>
    </w:pPr>
    <w:rPr>
      <w:szCs w:val="21"/>
    </w:rPr>
  </w:style>
  <w:style w:type="paragraph" w:customStyle="1" w:styleId="197">
    <w:name w:val="Char"/>
    <w:basedOn w:val="1"/>
    <w:autoRedefine/>
    <w:qFormat/>
    <w:uiPriority w:val="99"/>
    <w:pPr>
      <w:widowControl/>
      <w:spacing w:after="160" w:line="240" w:lineRule="exact"/>
      <w:jc w:val="left"/>
    </w:pPr>
    <w:rPr>
      <w:szCs w:val="21"/>
    </w:rPr>
  </w:style>
  <w:style w:type="paragraph" w:customStyle="1" w:styleId="198">
    <w:name w:val="默认段落字体 Para Char Char Char Char Char Char Char Char Char1 Char Char Char Char"/>
    <w:basedOn w:val="1"/>
    <w:autoRedefine/>
    <w:qFormat/>
    <w:uiPriority w:val="0"/>
    <w:rPr>
      <w:rFonts w:ascii="Tahoma" w:hAnsi="Tahoma"/>
      <w:sz w:val="24"/>
      <w:szCs w:val="20"/>
    </w:rPr>
  </w:style>
  <w:style w:type="paragraph" w:customStyle="1" w:styleId="199">
    <w:name w:val="Table Paragraph"/>
    <w:basedOn w:val="1"/>
    <w:autoRedefine/>
    <w:qFormat/>
    <w:uiPriority w:val="1"/>
    <w:pPr>
      <w:jc w:val="left"/>
    </w:pPr>
    <w:rPr>
      <w:rFonts w:ascii="Calibri" w:hAnsi="Calibri"/>
      <w:kern w:val="0"/>
      <w:sz w:val="22"/>
      <w:szCs w:val="22"/>
      <w:lang w:eastAsia="en-US"/>
    </w:rPr>
  </w:style>
  <w:style w:type="paragraph" w:customStyle="1" w:styleId="200">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customStyle="1" w:styleId="201">
    <w:name w:val="样式1"/>
    <w:basedOn w:val="1"/>
    <w:next w:val="6"/>
    <w:autoRedefine/>
    <w:qFormat/>
    <w:uiPriority w:val="99"/>
    <w:pPr>
      <w:spacing w:line="360" w:lineRule="auto"/>
      <w:ind w:firstLine="420" w:firstLineChars="200"/>
    </w:pPr>
    <w:rPr>
      <w:rFonts w:ascii="宋体" w:hAnsi="宋体" w:cs="宋体"/>
      <w:szCs w:val="21"/>
    </w:rPr>
  </w:style>
  <w:style w:type="paragraph" w:customStyle="1" w:styleId="202">
    <w:name w:val="列出段落1"/>
    <w:basedOn w:val="1"/>
    <w:autoRedefine/>
    <w:qFormat/>
    <w:uiPriority w:val="99"/>
    <w:pPr>
      <w:ind w:firstLine="420" w:firstLineChars="200"/>
    </w:pPr>
    <w:rPr>
      <w:rFonts w:ascii="Calibri" w:hAnsi="Calibri" w:cs="Calibri"/>
      <w:szCs w:val="21"/>
    </w:rPr>
  </w:style>
  <w:style w:type="paragraph" w:customStyle="1" w:styleId="203">
    <w:name w:val="Default"/>
    <w:autoRedefine/>
    <w:qFormat/>
    <w:uiPriority w:val="99"/>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204">
    <w:name w:val="正文_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05">
    <w:name w:val="TOC 标题1"/>
    <w:basedOn w:val="3"/>
    <w:next w:val="1"/>
    <w:autoRedefine/>
    <w:qFormat/>
    <w:uiPriority w:val="99"/>
    <w:pPr>
      <w:spacing w:line="576" w:lineRule="auto"/>
      <w:outlineLvl w:val="9"/>
    </w:pPr>
    <w:rPr>
      <w:rFonts w:ascii="Calibri" w:hAnsi="Calibri" w:eastAsia="黑体" w:cs="Calibri"/>
      <w:lang w:val="zh-CN"/>
    </w:rPr>
  </w:style>
  <w:style w:type="paragraph" w:customStyle="1" w:styleId="206">
    <w:name w:val="空半行"/>
    <w:basedOn w:val="1"/>
    <w:autoRedefine/>
    <w:qFormat/>
    <w:uiPriority w:val="99"/>
    <w:pPr>
      <w:adjustRightInd w:val="0"/>
      <w:spacing w:line="120" w:lineRule="exact"/>
      <w:textAlignment w:val="baseline"/>
    </w:pPr>
    <w:rPr>
      <w:rFonts w:eastAsia="仿宋_GB2312"/>
      <w:color w:val="FFFFFF"/>
      <w:kern w:val="0"/>
      <w:sz w:val="30"/>
      <w:szCs w:val="30"/>
    </w:rPr>
  </w:style>
  <w:style w:type="paragraph" w:customStyle="1" w:styleId="207">
    <w:name w:val="p0"/>
    <w:basedOn w:val="1"/>
    <w:autoRedefine/>
    <w:qFormat/>
    <w:uiPriority w:val="99"/>
    <w:pPr>
      <w:widowControl/>
    </w:pPr>
    <w:rPr>
      <w:rFonts w:ascii="Calibri" w:hAnsi="Calibri" w:cs="Calibri"/>
      <w:kern w:val="0"/>
      <w:szCs w:val="21"/>
    </w:rPr>
  </w:style>
  <w:style w:type="paragraph" w:customStyle="1" w:styleId="208">
    <w:name w:val="1"/>
    <w:basedOn w:val="1"/>
    <w:next w:val="1"/>
    <w:autoRedefine/>
    <w:qFormat/>
    <w:uiPriority w:val="99"/>
    <w:rPr>
      <w:szCs w:val="21"/>
    </w:rPr>
  </w:style>
  <w:style w:type="paragraph" w:customStyle="1" w:styleId="209">
    <w:name w:val="列出段落2"/>
    <w:basedOn w:val="1"/>
    <w:autoRedefine/>
    <w:qFormat/>
    <w:uiPriority w:val="99"/>
    <w:pPr>
      <w:ind w:firstLine="420" w:firstLineChars="200"/>
    </w:pPr>
    <w:rPr>
      <w:rFonts w:ascii="Calibri" w:hAnsi="Calibri" w:cs="Calibri"/>
      <w:szCs w:val="21"/>
    </w:rPr>
  </w:style>
  <w:style w:type="paragraph" w:customStyle="1" w:styleId="210">
    <w:name w:val="修订1"/>
    <w:autoRedefine/>
    <w:qFormat/>
    <w:uiPriority w:val="99"/>
    <w:rPr>
      <w:rFonts w:ascii="Times New Roman" w:hAnsi="Times New Roman" w:eastAsia="宋体" w:cs="Times New Roman"/>
      <w:kern w:val="2"/>
      <w:sz w:val="21"/>
      <w:szCs w:val="21"/>
      <w:lang w:val="en-US" w:eastAsia="zh-CN" w:bidi="ar-SA"/>
    </w:rPr>
  </w:style>
  <w:style w:type="paragraph" w:customStyle="1" w:styleId="211">
    <w:name w:val="无间隔1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12">
    <w:name w:val="修订11"/>
    <w:autoRedefine/>
    <w:qFormat/>
    <w:uiPriority w:val="99"/>
    <w:rPr>
      <w:rFonts w:ascii="Times New Roman" w:hAnsi="Times New Roman" w:eastAsia="宋体" w:cs="Times New Roman"/>
      <w:kern w:val="2"/>
      <w:sz w:val="21"/>
      <w:szCs w:val="21"/>
      <w:lang w:val="en-US" w:eastAsia="zh-CN" w:bidi="ar-SA"/>
    </w:rPr>
  </w:style>
  <w:style w:type="paragraph" w:customStyle="1" w:styleId="213">
    <w:name w:val="2-2ji"/>
    <w:basedOn w:val="4"/>
    <w:autoRedefine/>
    <w:qFormat/>
    <w:uiPriority w:val="99"/>
    <w:pPr>
      <w:spacing w:before="0" w:after="0" w:line="360" w:lineRule="auto"/>
      <w:jc w:val="center"/>
    </w:pPr>
    <w:rPr>
      <w:rFonts w:ascii="宋体" w:hAnsi="宋体" w:cs="宋体"/>
      <w:sz w:val="36"/>
      <w:szCs w:val="36"/>
      <w:lang w:val="zh-CN"/>
    </w:rPr>
  </w:style>
  <w:style w:type="paragraph" w:customStyle="1" w:styleId="214">
    <w:name w:val="reader-word-layer"/>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215">
    <w:name w:val="Char Char Char Char"/>
    <w:basedOn w:val="1"/>
    <w:autoRedefine/>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216">
    <w:name w:val="Char1"/>
    <w:basedOn w:val="1"/>
    <w:autoRedefine/>
    <w:qFormat/>
    <w:uiPriority w:val="99"/>
    <w:pPr>
      <w:widowControl/>
      <w:spacing w:after="160" w:line="240" w:lineRule="exact"/>
      <w:jc w:val="left"/>
    </w:pPr>
    <w:rPr>
      <w:szCs w:val="21"/>
    </w:rPr>
  </w:style>
  <w:style w:type="paragraph" w:customStyle="1" w:styleId="217">
    <w:name w:val="_Style 37"/>
    <w:basedOn w:val="1"/>
    <w:next w:val="1"/>
    <w:autoRedefine/>
    <w:qFormat/>
    <w:uiPriority w:val="99"/>
    <w:rPr>
      <w:szCs w:val="21"/>
    </w:rPr>
  </w:style>
  <w:style w:type="paragraph" w:customStyle="1" w:styleId="218">
    <w:name w:val="样式 标题 3 + (中文) 黑体 小四 非加粗 段前: 7.8 磅 段后: 0 磅 行距: 固定值 20 磅"/>
    <w:basedOn w:val="5"/>
    <w:autoRedefine/>
    <w:qFormat/>
    <w:uiPriority w:val="99"/>
    <w:pPr>
      <w:spacing w:before="0" w:after="0" w:line="400" w:lineRule="exact"/>
    </w:pPr>
    <w:rPr>
      <w:rFonts w:eastAsia="黑体"/>
      <w:b w:val="0"/>
      <w:bCs w:val="0"/>
      <w:lang w:val="zh-CN"/>
    </w:rPr>
  </w:style>
  <w:style w:type="paragraph" w:styleId="219">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0">
    <w:name w:val="正正正正"/>
    <w:basedOn w:val="19"/>
    <w:autoRedefine/>
    <w:qFormat/>
    <w:uiPriority w:val="1"/>
    <w:pPr>
      <w:tabs>
        <w:tab w:val="left" w:pos="2812"/>
        <w:tab w:val="left" w:pos="3986"/>
      </w:tabs>
      <w:spacing w:after="0" w:line="360" w:lineRule="exact"/>
      <w:ind w:firstLine="200" w:firstLineChars="200"/>
    </w:pPr>
    <w:rPr>
      <w:rFonts w:ascii="Calibri" w:hAnsi="Calibri"/>
      <w:sz w:val="20"/>
      <w:szCs w:val="21"/>
      <w:lang w:eastAsia="en-US"/>
    </w:rPr>
  </w:style>
  <w:style w:type="paragraph" w:customStyle="1" w:styleId="221">
    <w:name w:val="_Style 1"/>
    <w:basedOn w:val="1"/>
    <w:autoRedefine/>
    <w:qFormat/>
    <w:uiPriority w:val="99"/>
    <w:pPr>
      <w:ind w:firstLine="420" w:firstLineChars="200"/>
      <w:jc w:val="left"/>
    </w:pPr>
    <w:rPr>
      <w:rFonts w:ascii="Times New Roman)" w:hAnsi="Times New Roman)" w:eastAsia="宋体正文"/>
      <w:color w:val="000000"/>
      <w:kern w:val="0"/>
      <w:lang w:eastAsia="en-US" w:bidi="en-US"/>
    </w:rPr>
  </w:style>
  <w:style w:type="character" w:customStyle="1" w:styleId="222">
    <w:name w:val="bookmark-item"/>
    <w:autoRedefine/>
    <w:qFormat/>
    <w:uiPriority w:val="0"/>
  </w:style>
  <w:style w:type="character" w:customStyle="1" w:styleId="223">
    <w:name w:val="纯文本 Char2"/>
    <w:autoRedefine/>
    <w:qFormat/>
    <w:uiPriority w:val="0"/>
    <w:rPr>
      <w:rFonts w:ascii="宋体" w:hAnsi="Courier New" w:eastAsia="宋体" w:cs="Courier New"/>
      <w:szCs w:val="21"/>
    </w:rPr>
  </w:style>
  <w:style w:type="character" w:customStyle="1" w:styleId="224">
    <w:name w:val="页脚 Char1"/>
    <w:autoRedefine/>
    <w:qFormat/>
    <w:uiPriority w:val="99"/>
    <w:rPr>
      <w:rFonts w:ascii="Times New Roman" w:hAnsi="Times New Roman" w:eastAsia="宋体" w:cs="Times New Roman"/>
      <w:sz w:val="18"/>
      <w:szCs w:val="18"/>
    </w:rPr>
  </w:style>
  <w:style w:type="paragraph" w:customStyle="1" w:styleId="225">
    <w:name w:val="正文_3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正文_3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7">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9">
    <w:name w:val="标题 4_1"/>
    <w:basedOn w:val="228"/>
    <w:next w:val="230"/>
    <w:autoRedefine/>
    <w:qFormat/>
    <w:uiPriority w:val="0"/>
    <w:pPr>
      <w:keepNext/>
      <w:keepLines/>
      <w:spacing w:before="280" w:after="290" w:line="372" w:lineRule="auto"/>
      <w:outlineLvl w:val="3"/>
    </w:pPr>
    <w:rPr>
      <w:rFonts w:ascii="Cambria" w:hAnsi="Cambria"/>
      <w:b/>
      <w:bCs/>
      <w:sz w:val="28"/>
      <w:szCs w:val="28"/>
    </w:rPr>
  </w:style>
  <w:style w:type="paragraph" w:customStyle="1" w:styleId="230">
    <w:name w:val="正文_2"/>
    <w:next w:val="229"/>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1">
    <w:name w:val="正文_3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32">
    <w:name w:val="first-child"/>
    <w:basedOn w:val="45"/>
    <w:autoRedefine/>
    <w:qFormat/>
    <w:uiPriority w:val="0"/>
  </w:style>
  <w:style w:type="character" w:customStyle="1" w:styleId="233">
    <w:name w:val="NormalCharacter"/>
    <w:autoRedefine/>
    <w:qFormat/>
    <w:uiPriority w:val="0"/>
  </w:style>
  <w:style w:type="character" w:customStyle="1" w:styleId="234">
    <w:name w:val="layui-layer-tabnow"/>
    <w:basedOn w:val="45"/>
    <w:autoRedefine/>
    <w:qFormat/>
    <w:uiPriority w:val="0"/>
    <w:rPr>
      <w:bdr w:val="single" w:color="CCCCCC" w:sz="6" w:space="0"/>
      <w:shd w:val="clear" w:color="auto" w:fill="FFFFFF"/>
    </w:rPr>
  </w:style>
  <w:style w:type="paragraph" w:customStyle="1" w:styleId="235">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236">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正文3"/>
    <w:autoRedefine/>
    <w:qFormat/>
    <w:uiPriority w:val="0"/>
    <w:rPr>
      <w:rFonts w:ascii="Times New Roman" w:hAnsi="Times New Roman" w:eastAsia="Times New Roman" w:cs="Times New Roman"/>
      <w:sz w:val="24"/>
      <w:szCs w:val="24"/>
      <w:lang w:val="en-US" w:eastAsia="zh-CN" w:bidi="ar-SA"/>
    </w:rPr>
  </w:style>
  <w:style w:type="paragraph" w:customStyle="1" w:styleId="238">
    <w:name w:val="正文_6"/>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39">
    <w:name w:val="纯文本 Char3"/>
    <w:autoRedefine/>
    <w:qFormat/>
    <w:uiPriority w:val="99"/>
    <w:rPr>
      <w:rFonts w:ascii="宋体" w:hAnsi="Courier New" w:eastAsia="宋体" w:cs="Courier New"/>
      <w:szCs w:val="21"/>
    </w:rPr>
  </w:style>
  <w:style w:type="paragraph" w:customStyle="1" w:styleId="240">
    <w:name w:val="Normal_1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241">
    <w:name w:val="Normal_1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242">
    <w:name w:val="Normal_1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243">
    <w:name w:val="Normal_2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24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5">
    <w:name w:val="普通(Web)2"/>
    <w:basedOn w:val="226"/>
    <w:qFormat/>
    <w:uiPriority w:val="0"/>
    <w:pPr>
      <w:widowControl/>
      <w:spacing w:before="150" w:after="150"/>
      <w:jc w:val="left"/>
    </w:pPr>
    <w:rPr>
      <w:rFonts w:ascii="宋体" w:cs="宋体"/>
      <w:kern w:val="0"/>
      <w:sz w:val="24"/>
      <w:szCs w:val="24"/>
      <w:lang w:bidi="ar-SA"/>
    </w:rPr>
  </w:style>
  <w:style w:type="paragraph" w:customStyle="1" w:styleId="246">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7">
    <w:name w:val="标题 3_0"/>
    <w:basedOn w:val="244"/>
    <w:next w:val="228"/>
    <w:unhideWhenUsed/>
    <w:qFormat/>
    <w:uiPriority w:val="0"/>
    <w:pPr>
      <w:keepNext/>
      <w:keepLines/>
      <w:spacing w:before="260" w:after="260" w:line="415" w:lineRule="auto"/>
      <w:outlineLvl w:val="2"/>
    </w:pPr>
    <w:rPr>
      <w:b/>
      <w:bCs/>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14.xml"/><Relationship Id="rId25" Type="http://schemas.openxmlformats.org/officeDocument/2006/relationships/footer" Target="footer13.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5f2faf5d-d275-4cc1-8a6e-d010bbb8873f</errorID>
      <errorWord>GG</errorWord>
      <group>L1_Official</group>
      <groupName>公文问题</groupName>
      <ability>L2_Official</ability>
      <abilityName>公文问题</abilityName>
      <candidateList/>
      <explain>公文中禁止出现该词语</explain>
      <paraID>32855014</paraID>
      <start>5</start>
      <end>7</end>
      <status>unmodified</status>
      <modifiedWord/>
      <trackRevisions>false</trackRevisions>
    </reviewItem>
    <reviewItem>
      <errorID>d90fabf1-1d51-4fdf-9c0a-87ee9d88e13b</errorID>
      <errorWord>GG</errorWord>
      <group>L1_Official</group>
      <groupName>公文问题</groupName>
      <ability>L2_Official</ability>
      <abilityName>公文问题</abilityName>
      <candidateList/>
      <explain>公文中禁止出现该词语</explain>
      <paraID>3091B99C</paraID>
      <start>5</start>
      <end>7</end>
      <status>unmodified</status>
      <modifiedWord/>
      <trackRevisions>false</trackRevisions>
    </reviewItem>
    <reviewItem>
      <errorID>c9c4e69d-bd2d-4b5b-8e1f-30fa0cf55755</errorID>
      <errorWord>：</errorWord>
      <group>L1_Punc</group>
      <groupName>标点问题</groupName>
      <ability>L2_Punc</ability>
      <abilityName>标点符号检查</abilityName>
      <candidateList>
        <item/>
      </candidateList>
      <explain>标题文本后不使用标点符号。</explain>
      <paraID>2BDE2AD4</paraID>
      <start>10</start>
      <end>11</end>
      <status>unmodified</status>
      <modifiedWord/>
      <trackRevisions>false</trackRevisions>
    </reviewItem>
    <reviewItem>
      <errorID>ec04e8a4-2e8f-42ce-a8ca-6885ec3bad5e</errorID>
      <errorWord>财政部</errorWord>
      <group>L1_Knowledge</group>
      <groupName>知识性问题</groupName>
      <ability>L2_Organization</ability>
      <abilityName>机构检查</abilityName>
      <candidateList/>
      <explain>[财政部]应在[民政部]之后</explain>
      <paraID>63A4819F</paraID>
      <start>140</start>
      <end>143</end>
      <status>unmodified</status>
      <modifiedWord/>
      <trackRevisions>false</trackRevisions>
    </reviewItem>
    <reviewItem>
      <errorID>7f100703-b26a-4497-a7f2-26170dd01b8c</errorID>
      <errorWord>(</errorWord>
      <group>L1_Format</group>
      <groupName>格式问题</groupName>
      <ability>L2_HalfPunc</ability>
      <abilityName>全半角检查</abilityName>
      <candidateList>
        <item>（</item>
      </candidateList>
      <explain>文本全半角错误。</explain>
      <paraID>1DA0D909</paraID>
      <start>13</start>
      <end>14</end>
      <status>unmodified</status>
      <modifiedWord/>
      <trackRevisions>false</trackRevisions>
    </reviewItem>
    <reviewItem>
      <errorID>7a3ae87c-c4b0-4b0b-9fa9-cdbaf9643ed9</errorID>
      <errorWord>)</errorWord>
      <group>L1_Format</group>
      <groupName>格式问题</groupName>
      <ability>L2_HalfPunc</ability>
      <abilityName>全半角检查</abilityName>
      <candidateList>
        <item>）</item>
      </candidateList>
      <explain>文本全半角错误。</explain>
      <paraID>1DA0D909</paraID>
      <start>36</start>
      <end>37</end>
      <status>unmodified</status>
      <modifiedWord/>
      <trackRevisions>false</trackRevisions>
    </reviewItem>
    <reviewItem>
      <errorID>d1eb0ad1-cb63-448a-b9ed-ba5e69f3b2ee</errorID>
      <errorWord>(</errorWord>
      <group>L1_Format</group>
      <groupName>格式问题</groupName>
      <ability>L2_HalfPunc</ability>
      <abilityName>全半角检查</abilityName>
      <candidateList>
        <item>（</item>
      </candidateList>
      <explain>文本全半角错误。</explain>
      <paraID>1DA0D909</paraID>
      <start>46</start>
      <end>47</end>
      <status>unmodified</status>
      <modifiedWord/>
      <trackRevisions>false</trackRevisions>
    </reviewItem>
    <reviewItem>
      <errorID>9d68f4f1-78ac-4788-89be-a38df6161f12</errorID>
      <errorWord>)</errorWord>
      <group>L1_Format</group>
      <groupName>格式问题</groupName>
      <ability>L2_HalfPunc</ability>
      <abilityName>全半角检查</abilityName>
      <candidateList>
        <item>）</item>
      </candidateList>
      <explain>文本全半角错误。</explain>
      <paraID>1DA0D909</paraID>
      <start>62</start>
      <end>63</end>
      <status>unmodified</status>
      <modifiedWord/>
      <trackRevisions>false</trackRevisions>
    </reviewItem>
    <reviewItem>
      <errorID>aedb2ab4-3996-4b1f-ada5-16d98095389a</errorID>
      <errorWord>上午00：00</errorWord>
      <group>L1_Knowledge</group>
      <groupName>知识性问题</groupName>
      <ability>L2_Time</ability>
      <abilityName>日期时间</abilityName>
      <candidateList/>
      <explain>时间与前缀不匹配，可能的时间前缀有“下午、晚上、凌晨、午夜”。</explain>
      <paraID>16E37772</paraID>
      <start>25</start>
      <end>32</end>
      <status>unmodified</status>
      <modifiedWord/>
      <trackRevisions>false</trackRevisions>
    </reviewItem>
    <reviewItem>
      <errorID>dc8e4c94-4058-4f33-a48e-a9208a13b3c6</errorID>
      <errorWord>：</errorWord>
      <group>L1_Format</group>
      <groupName>格式问题</groupName>
      <ability>L2_HalfPunc</ability>
      <abilityName>全半角检查</abilityName>
      <candidateList>
        <item>:</item>
      </candidateList>
      <explain>文本全半角错误。</explain>
      <paraID>16E37772</paraID>
      <start>35</start>
      <end>36</end>
      <status>unmodified</status>
      <modifiedWord/>
      <trackRevisions>false</trackRevisions>
    </reviewItem>
    <reviewItem>
      <errorID>fff263e8-a327-48d6-9802-6e9c0c2d4e3d</errorID>
      <errorWord>：</errorWord>
      <group>L1_Format</group>
      <groupName>格式问题</groupName>
      <ability>L2_HalfPunc</ability>
      <abilityName>全半角检查</abilityName>
      <candidateList>
        <item>:</item>
      </candidateList>
      <explain>文本全半角错误。</explain>
      <paraID>16E37772</paraID>
      <start>43</start>
      <end>44</end>
      <status>unmodified</status>
      <modifiedWord/>
      <trackRevisions>false</trackRevisions>
    </reviewItem>
    <reviewItem>
      <errorID>d434fa29-d45b-4758-935b-0ec408454d51</errorID>
      <errorWord>：</errorWord>
      <group>L1_Format</group>
      <groupName>格式问题</groupName>
      <ability>L2_HalfPunc</ability>
      <abilityName>全半角检查</abilityName>
      <candidateList>
        <item>:</item>
      </candidateList>
      <explain>文本全半角错误。</explain>
      <paraID>16E37772</paraID>
      <start>49</start>
      <end>50</end>
      <status>unmodified</status>
      <modifiedWord/>
      <trackRevisions>false</trackRevisions>
    </reviewItem>
    <reviewItem>
      <errorID>dd6567fb-8360-40b2-bf55-729ac7f30371</errorID>
      <errorWord>-</errorWord>
      <group>L1_Format</group>
      <groupName>格式问题</groupName>
      <ability>L2_HalfPunc</ability>
      <abilityName>全半角检查</abilityName>
      <candidateList>
        <item>－</item>
      </candidateList>
      <explain>文本全半角错误。</explain>
      <paraID>111B73E4</paraID>
      <start>82</start>
      <end>83</end>
      <status>unmodified</status>
      <modifiedWord/>
      <trackRevisions>false</trackRevisions>
    </reviewItem>
    <reviewItem>
      <errorID>749ecb5c-ef77-4ce9-8349-30a4f18a6076</errorID>
      <errorWord>。</errorWord>
      <group>L1_Punc</group>
      <groupName>标点问题</groupName>
      <ability>L2_Punc</ability>
      <abilityName>标点符号检查</abilityName>
      <candidateList>
        <item/>
      </candidateList>
      <explain>标题文本后不使用标点符号。</explain>
      <paraID>769C58D5</paraID>
      <start>48</start>
      <end>49</end>
      <status>unmodified</status>
      <modifiedWord/>
      <trackRevisions>false</trackRevisions>
    </reviewItem>
    <reviewItem>
      <errorID>b8e2aa82-17c1-4a02-9f29-bd9dcf4bdbdd</errorID>
      <errorWord>：</errorWord>
      <group>L1_Format</group>
      <groupName>格式问题</groupName>
      <ability>L2_HalfPunc</ability>
      <abilityName>全半角检查</abilityName>
      <candidateList>
        <item>:</item>
      </candidateList>
      <explain>文本全半角错误。</explain>
      <paraID>22EE9D15</paraID>
      <start>35</start>
      <end>36</end>
      <status>unmodified</status>
      <modifiedWord/>
      <trackRevisions>false</trackRevisions>
    </reviewItem>
    <reviewItem>
      <errorID>ec51ba3f-5744-4037-839f-59577ebc4100</errorID>
      <errorWord>/）</errorWord>
      <group>L1_Punc</group>
      <groupName>标点问题</groupName>
      <ability>L2_Punc</ability>
      <abilityName>标点符号检查</abilityName>
      <candidateList>
        <item>）</item>
      </candidateList>
      <explain/>
      <paraID>22EE9D15</paraID>
      <start>62</start>
      <end>64</end>
      <status>unmodified</status>
      <modifiedWord/>
      <trackRevisions>false</trackRevisions>
    </reviewItem>
    <reviewItem>
      <errorID>e67ea067-630d-4adb-b82e-86543658c859</errorID>
      <errorWord>操作合</errorWord>
      <group>L1_Word</group>
      <groupName>字词问题</groupName>
      <ability>L2_Typo</ability>
      <abilityName>字词错误</abilityName>
      <candidateList>
        <item>操作台</item>
      </candidateList>
      <explain/>
      <paraID>742CDB7B</paraID>
      <start>9</start>
      <end>12</end>
      <status>unmodified</status>
      <modifiedWord/>
      <trackRevisions>false</trackRevisions>
    </reviewItem>
    <reviewItem>
      <errorID>daf41c89-a7d6-42bb-86ff-3b1908f2fae6</errorID>
      <errorWord>具备有</errorWord>
      <group>L1_Word</group>
      <groupName>字词问题</groupName>
      <ability>L2_Typo</ability>
      <abilityName>字词错误</abilityName>
      <candidateList>
        <item>具备</item>
      </candidateList>
      <explain/>
      <paraID>77ECF39E</paraID>
      <start>9</start>
      <end>12</end>
      <status>unmodified</status>
      <modifiedWord/>
      <trackRevisions>false</trackRevisions>
    </reviewItem>
    <reviewItem>
      <errorID>cccadf21-ed6a-472e-b634-1f31c51b7e45</errorID>
      <errorWord>。</errorWord>
      <group>L1_Punc</group>
      <groupName>标点问题</groupName>
      <ability>L2_Punc</ability>
      <abilityName>标点符号检查</abilityName>
      <candidateList>
        <item/>
      </candidateList>
      <explain>标题文本后不使用标点符号。</explain>
      <paraID>584AF101</paraID>
      <start>21</start>
      <end>22</end>
      <status>unmodified</status>
      <modifiedWord/>
      <trackRevisions>false</trackRevisions>
    </reviewItem>
    <reviewItem>
      <errorID>a1f28d06-510a-4ac1-af88-3bc72be148e3</errorID>
      <errorWord>:</errorWord>
      <group>L1_Format</group>
      <groupName>格式问题</groupName>
      <ability>L2_HalfPunc</ability>
      <abilityName>全半角检查</abilityName>
      <candidateList>
        <item>：</item>
      </candidateList>
      <explain>文本全半角错误。</explain>
      <paraID>7E97483E</paraID>
      <start>9</start>
      <end>10</end>
      <status>unmodified</status>
      <modifiedWord/>
      <trackRevisions>false</trackRevisions>
    </reviewItem>
    <reviewItem>
      <errorID>2b5b7f2c-02bb-4805-a6bc-698ef05be145</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 2397115</paraID>
      <start>44</start>
      <end>46</end>
      <status>unmodified</status>
      <modifiedWord/>
      <trackRevisions>false</trackRevisions>
    </reviewItem>
    <reviewItem>
      <errorID>c6d5c691-4803-4afc-9485-e68a4b7b797c</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70B3F3D0</paraID>
      <start>42</start>
      <end>44</end>
      <status>unmodified</status>
      <modifiedWord/>
      <trackRevisions>false</trackRevisions>
    </reviewItem>
    <reviewItem>
      <errorID>1a2eafeb-dc04-4fd8-be31-78ca06d08508</errorID>
      <errorWord>：</errorWord>
      <group>L1_Punc</group>
      <groupName>标点问题</groupName>
      <ability>L2_Punc</ability>
      <abilityName>标点符号检查</abilityName>
      <candidateList>
        <item/>
      </candidateList>
      <explain>标题文本后不使用标点符号。</explain>
      <paraID>4BDEE261</paraID>
      <start>11</start>
      <end>12</end>
      <status>unmodified</status>
      <modifiedWord/>
      <trackRevisions>false</trackRevisions>
    </reviewItem>
    <reviewItem>
      <errorID>ec2ee4a4-a2bb-4d41-89c6-5b33cb059cef</errorID>
      <errorWord>(</errorWord>
      <group>L1_Format</group>
      <groupName>格式问题</groupName>
      <ability>L2_HalfPunc</ability>
      <abilityName>全半角检查</abilityName>
      <candidateList>
        <item>（</item>
      </candidateList>
      <explain>文本全半角错误。</explain>
      <paraID>409F6E3E</paraID>
      <start>43</start>
      <end>44</end>
      <status>unmodified</status>
      <modifiedWord/>
      <trackRevisions>false</trackRevisions>
    </reviewItem>
    <reviewItem>
      <errorID>0cf466db-b955-48c3-8da0-6709081206e6</errorID>
      <errorWord>)</errorWord>
      <group>L1_Format</group>
      <groupName>格式问题</groupName>
      <ability>L2_HalfPunc</ability>
      <abilityName>全半角检查</abilityName>
      <candidateList>
        <item>）</item>
      </candidateList>
      <explain>文本全半角错误。</explain>
      <paraID>409F6E3E</paraID>
      <start>52</start>
      <end>53</end>
      <status>unmodified</status>
      <modifiedWord/>
      <trackRevisions>false</trackRevisions>
    </reviewItem>
    <reviewItem>
      <errorID>2e39414a-9dac-49e6-a16c-f1634bd5d184</errorID>
      <errorWord>，</errorWord>
      <group>L1_Word</group>
      <groupName>字词问题</groupName>
      <ability>L2_Typo</ability>
      <abilityName>字词错误</abilityName>
      <candidateList>
        <item>，使</item>
      </candidateList>
      <explain/>
      <paraID>749CF56A</paraID>
      <start>32</start>
      <end>33</end>
      <status>unmodified</status>
      <modifiedWord/>
      <trackRevisions>false</trackRevisions>
    </reviewItem>
    <reviewItem>
      <errorID>2114c808-9998-49d8-b107-77d13cff9f79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447FE728</paraID>
      <start>15</start>
      <end>18</end>
      <status>unmodified</status>
      <modifiedWord/>
      <trackRevisions>false</trackRevisions>
    </reviewItem>
    <reviewItem>
      <errorID>0c0bb0a5-c958-43d7-8c4a-14e31f462ba7</errorID>
      <errorWord>法律、法规</errorWord>
      <group>L1_Word</group>
      <groupName>字词问题</groupName>
      <ability>L2_Typo</ability>
      <abilityName>字词错误</abilityName>
      <candidateList>
        <item>法律法规</item>
      </candidateList>
      <explain/>
      <paraID>7D469D86</paraID>
      <start>38</start>
      <end>43</end>
      <status>unmodified</status>
      <modifiedWord/>
      <trackRevisions>false</trackRevisions>
    </reviewItem>
    <reviewItem>
      <errorID>4a6ea4ca-3c69-4afe-aa53-e4ec9d2f581f</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2CDB18BC</paraID>
      <start>208</start>
      <end>213</end>
      <status>unmodified</status>
      <modifiedWord/>
      <trackRevisions>false</trackRevisions>
    </reviewItem>
    <reviewItem>
      <errorID>e2eea1b2-e164-46cb-a494-871b866bb898</errorID>
      <errorWord>。</errorWord>
      <group>L1_Punc</group>
      <groupName>标点问题</groupName>
      <ability>L2_Punc</ability>
      <abilityName>标点符号检查</abilityName>
      <candidateList>
        <item/>
      </candidateList>
      <explain>标题文本后不使用标点符号。</explain>
      <paraID>6D39DD50</paraID>
      <start>11</start>
      <end>12</end>
      <status>unmodified</status>
      <modifiedWord/>
      <trackRevisions>false</trackRevisions>
    </reviewItem>
    <reviewItem>
      <errorID>e2d8fec9-d2f6-48e2-9bef-bed8d85af69f</errorID>
      <errorWord>。</errorWord>
      <group>L1_Punc</group>
      <groupName>标点问题</groupName>
      <ability>L2_Punc</ability>
      <abilityName>标点符号检查</abilityName>
      <candidateList>
        <item/>
      </candidateList>
      <explain>标题文本后不使用标点符号。</explain>
      <paraID>5FEC2C57</paraID>
      <start>36</start>
      <end>37</end>
      <status>unmodified</status>
      <modifiedWord/>
      <trackRevisions>false</trackRevisions>
    </reviewItem>
    <reviewItem>
      <errorID>cbc09021-795a-4933-b9eb-a2545e3dae4b</errorID>
      <errorWord>理</errorWord>
      <group>L1_Word</group>
      <groupName>字词问题</groupName>
      <ability>L2_Typo</ability>
      <abilityName>字词错误</abilityName>
      <candidateList>
        <item>理人</item>
      </candidateList>
      <explain/>
      <paraID>56C1E508</paraID>
      <start>20</start>
      <end>21</end>
      <status>unmodified</status>
      <modifiedWord/>
      <trackRevisions>false</trackRevisions>
    </reviewItem>
    <reviewItem>
      <errorID>5e33ce7f-ccea-4235-b97f-1a668e53374b</errorID>
      <errorWord>(</errorWord>
      <group>L1_Format</group>
      <groupName>格式问题</groupName>
      <ability>L2_HalfPunc</ability>
      <abilityName>全半角检查</abilityName>
      <candidateList>
        <item>（</item>
      </candidateList>
      <explain>文本全半角错误。</explain>
      <paraID>198806D5</paraID>
      <start>53</start>
      <end>54</end>
      <status>unmodified</status>
      <modifiedWord/>
      <trackRevisions>false</trackRevisions>
    </reviewItem>
    <reviewItem>
      <errorID>b3bd134b-683d-4aab-9887-ce1508f4a4bb</errorID>
      <errorWord>)</errorWord>
      <group>L1_Format</group>
      <groupName>格式问题</groupName>
      <ability>L2_HalfPunc</ability>
      <abilityName>全半角检查</abilityName>
      <candidateList>
        <item>）</item>
      </candidateList>
      <explain>文本全半角错误。</explain>
      <paraID>198806D5</paraID>
      <start>56</start>
      <end>57</end>
      <status>unmodified</status>
      <modifiedWord/>
      <trackRevisions>false</trackRevisions>
    </reviewItem>
    <reviewItem>
      <errorID>2ccabed9-7b9a-408a-8e83-9cc52c4477fb</errorID>
      <errorWord>操作合</errorWord>
      <group>L1_Word</group>
      <groupName>字词问题</groupName>
      <ability>L2_Typo</ability>
      <abilityName>字词错误</abilityName>
      <candidateList>
        <item>操作台</item>
      </candidateList>
      <explain/>
      <paraID>3F8C4BA6</paraID>
      <start>9</start>
      <end>12</end>
      <status>unmodified</status>
      <modifiedWord/>
      <trackRevisions>false</trackRevisions>
    </reviewItem>
    <reviewItem>
      <errorID>1e6fe067-26e6-414d-a9d8-8a3b11e54886</errorID>
      <errorWord>详见在</errorWord>
      <group>L1_Word</group>
      <groupName>字词问题</groupName>
      <ability>L2_Typo</ability>
      <abilityName>字词错误</abilityName>
      <candidateList>
        <item>详见</item>
      </candidateList>
      <explain/>
      <paraID>7848278E</paraID>
      <start>61</start>
      <end>64</end>
      <status>unmodified</status>
      <modifiedWord/>
      <trackRevisions>false</trackRevisions>
    </reviewItem>
    <reviewItem>
      <errorID>c253accd-4732-4922-94b3-4ac7aea7a335</errorID>
      <errorWord>。</errorWord>
      <group>L1_Punc</group>
      <groupName>标点问题</groupName>
      <ability>L2_Punc</ability>
      <abilityName>标点符号检查</abilityName>
      <candidateList>
        <item/>
      </candidateList>
      <explain>标题文本后不使用标点符号。</explain>
      <paraID>75F8E894</paraID>
      <start>35</start>
      <end>36</end>
      <status>unmodified</status>
      <modifiedWord/>
      <trackRevisions>false</trackRevisions>
    </reviewItem>
    <reviewItem>
      <errorID>fedfb046-43c9-49c7-8435-37528690a585</errorID>
      <errorWord>。</errorWord>
      <group>L1_Punc</group>
      <groupName>标点问题</groupName>
      <ability>L2_Punc</ability>
      <abilityName>标点符号检查</abilityName>
      <candidateList>
        <item/>
      </candidateList>
      <explain>标题文本后不使用标点符号。</explain>
      <paraID>3B8D409A</paraID>
      <start>13</start>
      <end>14</end>
      <status>unmodified</status>
      <modifiedWord/>
      <trackRevisions>false</trackRevisions>
    </reviewItem>
    <reviewItem>
      <errorID>900380c9-ca4c-426d-bcdb-3a1fff9ad3b4</errorID>
      <errorWord>。</errorWord>
      <group>L1_Punc</group>
      <groupName>标点问题</groupName>
      <ability>L2_Punc</ability>
      <abilityName>标点符号检查</abilityName>
      <candidateList>
        <item/>
      </candidateList>
      <explain>标题文本后不使用标点符号。</explain>
      <paraID>6111A700</paraID>
      <start>39</start>
      <end>40</end>
      <status>unmodified</status>
      <modifiedWord/>
      <trackRevisions>false</trackRevisions>
    </reviewItem>
    <reviewItem>
      <errorID>6e332c6f-913b-4036-ab29-45f0b7255f09</errorID>
      <errorWord>：</errorWord>
      <group>L1_Punc</group>
      <groupName>标点问题</groupName>
      <ability>L2_Punc</ability>
      <abilityName>标点符号检查</abilityName>
      <candidateList>
        <item/>
      </candidateList>
      <explain>标题文本后不使用标点符号。</explain>
      <paraID>5673EE43</paraID>
      <start>18</start>
      <end>19</end>
      <status>unmodified</status>
      <modifiedWord/>
      <trackRevisions>false</trackRevisions>
    </reviewItem>
    <reviewItem>
      <errorID>5c6b511d-f31e-48f2-b3ea-69b3db3d4d6d</errorID>
      <errorWord>不能负</errorWord>
      <group>L1_Word</group>
      <groupName>字词问题</groupName>
      <ability>L2_Typo</ability>
      <abilityName>字词错误</abilityName>
      <candidateList>
        <item>不能</item>
      </candidateList>
      <explain/>
      <paraID>1FCB9070</paraID>
      <start>26</start>
      <end>29</end>
      <status>unmodified</status>
      <modifiedWord/>
      <trackRevisions>false</trackRevisions>
    </reviewItem>
    <reviewItem>
      <errorID>4e05ede7-7316-4556-95a7-7a7afa2cf9b2</errorID>
      <errorWord>标的的</errorWord>
      <group>L1_Word</group>
      <groupName>字词问题</groupName>
      <ability>L2_Typo</ability>
      <abilityName>字词错误</abilityName>
      <candidateList>
        <item>标的</item>
      </candidateList>
      <explain/>
      <paraID>621C2EE6</paraID>
      <start>0</start>
      <end>3</end>
      <status>unmodified</status>
      <modifiedWord/>
      <trackRevisions>false</trackRevisions>
    </reviewItem>
    <reviewItem>
      <errorID>1af8d179-f3e6-4ec9-b097-7d574335cf8d</errorID>
      <errorWord>法律、法规</errorWord>
      <group>L1_Word</group>
      <groupName>字词问题</groupName>
      <ability>L2_Typo</ability>
      <abilityName>字词错误</abilityName>
      <candidateList>
        <item>法律法规</item>
      </candidateList>
      <explain/>
      <paraID>1EFDBD81</paraID>
      <start>17</start>
      <end>22</end>
      <status>unmodified</status>
      <modifiedWord/>
      <trackRevisions>false</trackRevisions>
    </reviewItem>
    <reviewItem>
      <errorID>1406220d-78e3-4e6e-95f3-96362bfd48e4</errorID>
      <errorWord>：</errorWord>
      <group>L1_Punc</group>
      <groupName>标点问题</groupName>
      <ability>L2_Punc</ability>
      <abilityName>标点符号检查</abilityName>
      <candidateList>
        <item/>
      </candidateList>
      <explain>标题文本后不使用标点符号。</explain>
      <paraID>1A21D724</paraID>
      <start>7</start>
      <end>8</end>
      <status>unmodified</status>
      <modifiedWord/>
      <trackRevisions>false</trackRevisions>
    </reviewItem>
    <reviewItem>
      <errorID>e0a9cc5d-3c83-49db-9888-c8001bd781e2</errorID>
      <errorWord>。</errorWord>
      <group>L1_Punc</group>
      <groupName>标点问题</groupName>
      <ability>L2_Punc</ability>
      <abilityName>标点符号检查</abilityName>
      <candidateList>
        <item/>
      </candidateList>
      <explain>标题文本后不使用标点符号。</explain>
      <paraID>5D3FF15B</paraID>
      <start>29</start>
      <end>30</end>
      <status>unmodified</status>
      <modifiedWord/>
      <trackRevisions>false</trackRevisions>
    </reviewItem>
    <reviewItem>
      <errorID>5b36add6-d478-44fc-96c3-5e419906b864</errorID>
      <errorWord>：</errorWord>
      <group>L1_Punc</group>
      <groupName>标点问题</groupName>
      <ability>L2_Punc</ability>
      <abilityName>标点符号检查</abilityName>
      <candidateList>
        <item/>
      </candidateList>
      <explain>标题文本后不使用标点符号。</explain>
      <paraID>791B0CBE</paraID>
      <start>33</start>
      <end>34</end>
      <status>unmodified</status>
      <modifiedWord/>
      <trackRevisions>false</trackRevisions>
    </reviewItem>
    <reviewItem>
      <errorID>2d55a6c0-6083-4297-9cf9-eef3151eedae</errorID>
      <errorWord>。</errorWord>
      <group>L1_Punc</group>
      <groupName>标点问题</groupName>
      <ability>L2_Punc</ability>
      <abilityName>标点符号检查</abilityName>
      <candidateList>
        <item/>
      </candidateList>
      <explain>标题文本后不使用标点符号。</explain>
      <paraID>4F4EE268</paraID>
      <start>37</start>
      <end>38</end>
      <status>unmodified</status>
      <modifiedWord/>
      <trackRevisions>false</trackRevisions>
    </reviewItem>
    <reviewItem>
      <errorID>2866e29e-1920-440a-a7c7-f9a9c77b3c4a</errorID>
      <errorWord>：</errorWord>
      <group>L1_Punc</group>
      <groupName>标点问题</groupName>
      <ability>L2_Punc</ability>
      <abilityName>标点符号检查</abilityName>
      <candidateList>
        <item/>
      </candidateList>
      <explain>标题文本后不使用标点符号。</explain>
      <paraID>4C24114A</paraID>
      <start>28</start>
      <end>29</end>
      <status>unmodified</status>
      <modifiedWord/>
      <trackRevisions>false</trackRevisions>
    </reviewItem>
    <reviewItem>
      <errorID>174dd33e-7206-4aa7-94d2-5f6283a47073</errorID>
      <errorWord>-</errorWord>
      <group>L1_Format</group>
      <groupName>格式问题</groupName>
      <ability>L2_HalfPunc</ability>
      <abilityName>全半角检查</abilityName>
      <candidateList>
        <item>－</item>
      </candidateList>
      <explain>文本全半角错误。</explain>
      <paraID>7BD0E0A9</paraID>
      <start>20</start>
      <end>21</end>
      <status>unmodified</status>
      <modifiedWord/>
      <trackRevisions>false</trackRevisions>
    </reviewItem>
    <reviewItem>
      <errorID>1940fa75-5407-4a0f-9d0d-af95cf1016d7</errorID>
      <errorWord>法律、法规</errorWord>
      <group>L1_Word</group>
      <groupName>字词问题</groupName>
      <ability>L2_Typo</ability>
      <abilityName>字词错误</abilityName>
      <candidateList>
        <item>法律法规</item>
      </candidateList>
      <explain/>
      <paraID>368FF149</paraID>
      <start>3</start>
      <end>8</end>
      <status>unmodified</status>
      <modifiedWord/>
      <trackRevisions>false</trackRevisions>
    </reviewItem>
    <reviewItem>
      <errorID>f12f62b2-3778-426f-855e-e71e47354a5a</errorID>
      <errorWord>(</errorWord>
      <group>L1_Format</group>
      <groupName>格式问题</groupName>
      <ability>L2_HalfPunc</ability>
      <abilityName>全半角检查</abilityName>
      <candidateList>
        <item>（</item>
      </candidateList>
      <explain>文本全半角错误。</explain>
      <paraID>24D03C5D</paraID>
      <start>119</start>
      <end>120</end>
      <status>unmodified</status>
      <modifiedWord/>
      <trackRevisions>false</trackRevisions>
    </reviewItem>
    <reviewItem>
      <errorID>44048998-43ed-4955-bb4d-19bee0c29f2b</errorID>
      <errorWord>:</errorWord>
      <group>L1_Format</group>
      <groupName>格式问题</groupName>
      <ability>L2_HalfPunc</ability>
      <abilityName>全半角检查</abilityName>
      <candidateList>
        <item>：</item>
      </candidateList>
      <explain>文本全半角错误。</explain>
      <paraID>24D03C5D</paraID>
      <start>121</start>
      <end>122</end>
      <status>unmodified</status>
      <modifiedWord/>
      <trackRevisions>false</trackRevisions>
    </reviewItem>
    <reviewItem>
      <errorID>833d6a62-ac4c-450f-a4d4-cbf0a025680e</errorID>
      <errorWord>-</errorWord>
      <group>L1_Format</group>
      <groupName>格式问题</groupName>
      <ability>L2_HalfPunc</ability>
      <abilityName>全半角检查</abilityName>
      <candidateList>
        <item>－</item>
      </candidateList>
      <explain>文本全半角错误。</explain>
      <paraID>24D03C5D</paraID>
      <start>123</start>
      <end>124</end>
      <status>unmodified</status>
      <modifiedWord/>
      <trackRevisions>false</trackRevisions>
    </reviewItem>
    <reviewItem>
      <errorID>7f22e42a-7c12-4afe-b4cb-f052434057c3</errorID>
      <errorWord>,</errorWord>
      <group>L1_Format</group>
      <groupName>格式问题</groupName>
      <ability>L2_HalfPunc</ability>
      <abilityName>全半角检查</abilityName>
      <candidateList>
        <item>，</item>
      </candidateList>
      <explain>文本全半角错误。</explain>
      <paraID>24D03C5D</paraID>
      <start>128</start>
      <end>129</end>
      <status>unmodified</status>
      <modifiedWord/>
      <trackRevisions>false</trackRevisions>
    </reviewItem>
    <reviewItem>
      <errorID>e16cfa6f-cbb2-4890-bb3a-4b6b16828a75</errorID>
      <errorWord>机</errorWord>
      <group>L1_Word</group>
      <groupName>字词问题</groupName>
      <ability>L2_Typo</ability>
      <abilityName>字词错误</abilityName>
      <candidateList>
        <item>机械</item>
      </candidateList>
      <explain/>
      <paraID>21388D28</paraID>
      <start>18</start>
      <end>19</end>
      <status>unmodified</status>
      <modifiedWord/>
      <trackRevisions>false</trackRevisions>
    </reviewItem>
    <reviewItem>
      <errorID>d1225447-f5f4-4340-8bf3-98630bcbdd44</errorID>
      <errorWord>机</errorWord>
      <group>L1_Word</group>
      <groupName>字词问题</groupName>
      <ability>L2_Typo</ability>
      <abilityName>字词错误</abilityName>
      <candidateList>
        <item>机械</item>
      </candidateList>
      <explain/>
      <paraID>6FE5558A</paraID>
      <start>18</start>
      <end>19</end>
      <status>unmodified</status>
      <modifiedWord/>
      <trackRevisions>false</trackRevisions>
    </reviewItem>
    <reviewItem>
      <errorID>7e7338b5-b7cd-499d-9605-317b5d89953f</errorID>
      <errorWord>自控</errorWord>
      <group>L1_Word</group>
      <groupName>字词问题</groupName>
      <ability>L2_Typo</ability>
      <abilityName>字词错误</abilityName>
      <candidateList>
        <item>质控</item>
      </candidateList>
      <explain/>
      <paraID>16BF6D81</paraID>
      <start>55</start>
      <end>57</end>
      <status>unmodified</status>
      <modifiedWord/>
      <trackRevisions>false</trackRevisions>
    </reviewItem>
    <reviewItem>
      <errorID>066f0771-0876-49cd-a6c0-f0465103a1aa</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16BF6D81</paraID>
      <start>70</start>
      <end>71</end>
      <status>unmodified</status>
      <modifiedWord/>
      <trackRevisions>false</trackRevisions>
    </reviewItem>
    <reviewItem>
      <errorID>a2810f36-92b1-4369-956c-53d24300bcde</errorID>
      <errorWord>其它</errorWord>
      <group>L1_Word</group>
      <groupName>字词问题</groupName>
      <ability>L2_Alias</ability>
      <abilityName>也作/曾用词</abilityName>
      <candidateList>
        <item>其他</item>
      </candidateList>
      <explain>词汇[其它]为不规范表述或旧称，其规范书面表述为[其他]。</explain>
      <paraID>790BA11C</paraID>
      <start>5</start>
      <end>7</end>
      <status>unmodified</status>
      <modifiedWord/>
      <trackRevisions>false</trackRevisions>
    </reviewItem>
    <reviewItem>
      <errorID>987112a3-e7ad-492e-8e95-9aa4c1e4a447</errorID>
      <errorWord>称</errorWord>
      <group>L1_Word</group>
      <groupName>字词问题</groupName>
      <ability>L2_Typo</ability>
      <abilityName>字词错误</abilityName>
      <candidateList>
        <item>称和</item>
      </candidateList>
      <explain/>
      <paraID>556C46EC</paraID>
      <start>122</start>
      <end>123</end>
      <status>unmodified</status>
      <modifiedWord/>
      <trackRevisions>false</trackRevisions>
    </reviewItem>
    <reviewItem>
      <errorID>dcb803b0-6fab-4381-a740-d6aa7a6da96a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492351A</paraID>
      <start>15</start>
      <end>18</end>
      <status>unmodified</status>
      <modifiedWord/>
      <trackRevisions>false</trackRevisions>
    </reviewItem>
    <reviewItem>
      <errorID>345b7652-851c-407e-821e-9f6e2164b565</errorID>
      <errorWord>定</errorWord>
      <group>L1_Word</group>
      <groupName>字词问题</groupName>
      <ability>L2_Typo</ability>
      <abilityName>字词错误</abilityName>
      <candidateList>
        <item>定额</item>
      </candidateList>
      <explain/>
      <paraID> 467A01B</paraID>
      <start>84</start>
      <end>85</end>
      <status>unmodified</status>
      <modifiedWord/>
      <trackRevisions>false</trackRevisions>
    </reviewItem>
    <reviewItem>
      <errorID>5ecbda27-bdb2-404c-97bd-6a7c3eed88c2</errorID>
      <errorWord>住房城乡建设厅</errorWord>
      <group>L1_Political</group>
      <groupName>政治性问题</groupName>
      <ability>L2_Keyword</ability>
      <abilityName>固定表述</abilityName>
      <candidateList>
        <item>住房和城乡建设厅</item>
      </candidateList>
      <explain>词汇“住房和城乡建设厅”在特定场景下为固定表述形式，请确认此处的“住房城乡建设厅”是否存在不当。</explain>
      <paraID> 467A01B</paraID>
      <start>165</start>
      <end>172</end>
      <status>unmodified</status>
      <modifiedWord/>
      <trackRevisions>false</trackRevisions>
    </reviewItem>
    <reviewItem>
      <errorID>076a1c11-3fce-49f0-be9c-81757b8b70e5</errorID>
      <errorWord>(</errorWord>
      <group>L1_Format</group>
      <groupName>格式问题</groupName>
      <ability>L2_HalfPunc</ability>
      <abilityName>全半角检查</abilityName>
      <candidateList>
        <item>（</item>
      </candidateList>
      <explain>文本全半角错误。</explain>
      <paraID> 467A01B</paraID>
      <start>210</start>
      <end>211</end>
      <status>unmodified</status>
      <modifiedWord/>
      <trackRevisions>false</trackRevisions>
    </reviewItem>
    <reviewItem>
      <errorID>727a0a69-bdbd-4ffd-a1f2-b522c3ae1f92</errorID>
      <errorWord>(2016)17号</errorWord>
      <group>L1_Knowledge</group>
      <groupName>知识性问题</groupName>
      <ability>L2_Knowledge</ability>
      <abilityName>其他知识</abilityName>
      <candidateList>
        <item>〔2016〕17号</item>
      </candidateList>
      <explain>发文字号格式错误。</explain>
      <paraID> 467A01B</paraID>
      <start>214</start>
      <end>223</end>
      <status>unmodified</status>
      <modifiedWord/>
      <trackRevisions>false</trackRevisions>
    </reviewItem>
    <reviewItem>
      <errorID>184d0185-f604-486b-803b-67fe5e3da2d6</errorID>
      <errorWord>)</errorWord>
      <group>L1_Format</group>
      <groupName>格式问题</groupName>
      <ability>L2_HalfPunc</ability>
      <abilityName>全半角检查</abilityName>
      <candidateList>
        <item>）</item>
      </candidateList>
      <explain>文本全半角错误。</explain>
      <paraID> 467A01B</paraID>
      <start>223</start>
      <end>224</end>
      <status>unmodified</status>
      <modifiedWord/>
      <trackRevisions>false</trackRevisions>
    </reviewItem>
    <reviewItem>
      <errorID>d60cbdec-2e57-468c-b68c-ae6c9682007e</errorID>
      <errorWord>(</errorWord>
      <group>L1_Format</group>
      <groupName>格式问题</groupName>
      <ability>L2_HalfPunc</ability>
      <abilityName>全半角检查</abilityName>
      <candidateList>
        <item>（</item>
      </candidateList>
      <explain>文本全半角错误。</explain>
      <paraID> 467A01B</paraID>
      <start>263</start>
      <end>264</end>
      <status>unmodified</status>
      <modifiedWord/>
      <trackRevisions>false</trackRevisions>
    </reviewItem>
    <reviewItem>
      <errorID>f6d02a80-7aae-415a-b07d-8394bf014284</errorID>
      <errorWord>(2018)14号</errorWord>
      <group>L1_Knowledge</group>
      <groupName>知识性问题</groupName>
      <ability>L2_Knowledge</ability>
      <abilityName>其他知识</abilityName>
      <candidateList>
        <item>〔2018〕14号</item>
      </candidateList>
      <explain>发文字号格式错误。</explain>
      <paraID> 467A01B</paraID>
      <start>267</start>
      <end>276</end>
      <status>unmodified</status>
      <modifiedWord/>
      <trackRevisions>false</trackRevisions>
    </reviewItem>
    <reviewItem>
      <errorID>cf0b43bf-82be-4e84-af56-d602e65e09dd</errorID>
      <errorWord>)</errorWord>
      <group>L1_Format</group>
      <groupName>格式问题</groupName>
      <ability>L2_HalfPunc</ability>
      <abilityName>全半角检查</abilityName>
      <candidateList>
        <item>）</item>
      </candidateList>
      <explain>文本全半角错误。</explain>
      <paraID> 467A01B</paraID>
      <start>276</start>
      <end>277</end>
      <status>unmodified</status>
      <modifiedWord/>
      <trackRevisions>false</trackRevisions>
    </reviewItem>
    <reviewItem>
      <errorID>32482f2b-5392-4421-8e6f-b66bba8e1750</errorID>
      <errorWord>(</errorWord>
      <group>L1_Format</group>
      <groupName>格式问题</groupName>
      <ability>L2_HalfPunc</ability>
      <abilityName>全半角检查</abilityName>
      <candidateList>
        <item>（</item>
      </candidateList>
      <explain>文本全半角错误。</explain>
      <paraID> 467A01B</paraID>
      <start>318</start>
      <end>319</end>
      <status>unmodified</status>
      <modifiedWord/>
      <trackRevisions>false</trackRevisions>
    </reviewItem>
    <reviewItem>
      <errorID>640a648f-194f-48b2-bbb4-b21f13fb3b2e</errorID>
      <errorWord>(2018)19号</errorWord>
      <group>L1_Knowledge</group>
      <groupName>知识性问题</groupName>
      <ability>L2_Knowledge</ability>
      <abilityName>其他知识</abilityName>
      <candidateList>
        <item>〔2018〕19号</item>
      </candidateList>
      <explain>发文字号格式错误。</explain>
      <paraID> 467A01B</paraID>
      <start>322</start>
      <end>331</end>
      <status>unmodified</status>
      <modifiedWord/>
      <trackRevisions>false</trackRevisions>
    </reviewItem>
    <reviewItem>
      <errorID>c408e52f-abf1-4fef-af61-d0e8e10d025f</errorID>
      <errorWord>)</errorWord>
      <group>L1_Format</group>
      <groupName>格式问题</groupName>
      <ability>L2_HalfPunc</ability>
      <abilityName>全半角检查</abilityName>
      <candidateList>
        <item>）</item>
      </candidateList>
      <explain>文本全半角错误。</explain>
      <paraID> 467A01B</paraID>
      <start>331</start>
      <end>332</end>
      <status>unmodified</status>
      <modifiedWord/>
      <trackRevisions>false</trackRevisions>
    </reviewItem>
    <reviewItem>
      <errorID>86382e43-782c-4ac5-915d-f032d0cf0e6f</errorID>
      <errorWord>住房城乡建设厅</errorWord>
      <group>L1_Political</group>
      <groupName>政治性问题</groupName>
      <ability>L2_Keyword</ability>
      <abilityName>固定表述</abilityName>
      <candidateList>
        <item>住房和城乡建设厅</item>
      </candidateList>
      <explain>词汇“住房和城乡建设厅”在特定场景下为固定表述形式，请确认此处的“住房城乡建设厅”是否存在不当。</explain>
      <paraID> 467A01B</paraID>
      <start>340</start>
      <end>347</end>
      <status>unmodified</status>
      <modifiedWord/>
      <trackRevisions>false</trackRevisions>
    </reviewItem>
    <reviewItem>
      <errorID>5f364cb0-4b48-4741-8aa1-980b8aa26578</errorID>
      <errorWord>房</errorWord>
      <group>L1_Word</group>
      <groupName>字词问题</groupName>
      <ability>L2_Typo</ability>
      <abilityName>字词错误</abilityName>
      <candidateList>
        <item>房和</item>
      </candidateList>
      <explain/>
      <paraID> 467A01B</paraID>
      <start>354</start>
      <end>355</end>
      <status>unmodified</status>
      <modifiedWord/>
      <trackRevisions>false</trackRevisions>
    </reviewItem>
    <reviewItem>
      <errorID>995683f9-abb4-4734-87c4-941e920a8ba9</errorID>
      <errorWord>(</errorWord>
      <group>L1_Format</group>
      <groupName>格式问题</groupName>
      <ability>L2_HalfPunc</ability>
      <abilityName>全半角检查</abilityName>
      <candidateList>
        <item>（</item>
      </candidateList>
      <explain>文本全半角错误。</explain>
      <paraID> 467A01B</paraID>
      <start>379</start>
      <end>380</end>
      <status>unmodified</status>
      <modifiedWord/>
      <trackRevisions>false</trackRevisions>
    </reviewItem>
    <reviewItem>
      <errorID>91ff1595-80d5-4bc9-9a36-822aae4cf9d1</errorID>
      <errorWord>(2019)12号</errorWord>
      <group>L1_Knowledge</group>
      <groupName>知识性问题</groupName>
      <ability>L2_Knowledge</ability>
      <abilityName>其他知识</abilityName>
      <candidateList>
        <item>〔2019〕12号</item>
      </candidateList>
      <explain>发文字号格式错误。</explain>
      <paraID> 467A01B</paraID>
      <start>383</start>
      <end>392</end>
      <status>unmodified</status>
      <modifiedWord/>
      <trackRevisions>false</trackRevisions>
    </reviewItem>
    <reviewItem>
      <errorID>d336dfdf-297a-48fb-9aab-2de8e8ba072d</errorID>
      <errorWord>)</errorWord>
      <group>L1_Format</group>
      <groupName>格式问题</groupName>
      <ability>L2_HalfPunc</ability>
      <abilityName>全半角检查</abilityName>
      <candidateList>
        <item>）</item>
      </candidateList>
      <explain>文本全半角错误。</explain>
      <paraID> 467A01B</paraID>
      <start>392</start>
      <end>393</end>
      <status>unmodified</status>
      <modifiedWord/>
      <trackRevisions>false</trackRevisions>
    </reviewItem>
    <reviewItem>
      <errorID>b266a8c8-0bee-416b-89e9-d5638ddbcf70</errorID>
      <errorWord>(</errorWord>
      <group>L1_Format</group>
      <groupName>格式问题</groupName>
      <ability>L2_HalfPunc</ability>
      <abilityName>全半角检查</abilityName>
      <candidateList>
        <item>（</item>
      </candidateList>
      <explain>文本全半角错误。</explain>
      <paraID> 467A01B</paraID>
      <start>433</start>
      <end>434</end>
      <status>unmodified</status>
      <modifiedWord/>
      <trackRevisions>false</trackRevisions>
    </reviewItem>
    <reviewItem>
      <errorID>1dd42f25-90f7-4794-aae5-7834362f1415</errorID>
      <errorWord>(2023)2号</errorWord>
      <group>L1_Knowledge</group>
      <groupName>知识性问题</groupName>
      <ability>L2_Knowledge</ability>
      <abilityName>其他知识</abilityName>
      <candidateList>
        <item>〔2023〕2号</item>
      </candidateList>
      <explain>发文字号格式错误。</explain>
      <paraID> 467A01B</paraID>
      <start>437</start>
      <end>445</end>
      <status>unmodified</status>
      <modifiedWord/>
      <trackRevisions>false</trackRevisions>
    </reviewItem>
    <reviewItem>
      <errorID>a2aeb2c5-b72f-49e7-8a01-20a9a0d6fee5</errorID>
      <errorWord>)</errorWord>
      <group>L1_Format</group>
      <groupName>格式问题</groupName>
      <ability>L2_HalfPunc</ability>
      <abilityName>全半角检查</abilityName>
      <candidateList>
        <item>）</item>
      </candidateList>
      <explain>文本全半角错误。</explain>
      <paraID> 467A01B</paraID>
      <start>445</start>
      <end>446</end>
      <status>unmodified</status>
      <modifiedWord/>
      <trackRevisions>false</trackRevisions>
    </reviewItem>
    <reviewItem>
      <errorID>39818fee-d486-4f80-833b-b07e26644a35</errorID>
      <errorWord>、、</errorWord>
      <group>L1_Punc</group>
      <groupName>标点问题</groupName>
      <ability>L2_Punc</ability>
      <abilityName>标点符号检查</abilityName>
      <candidateList>
        <item>、</item>
      </candidateList>
      <explain/>
      <paraID> 467A01B</paraID>
      <start>446</start>
      <end>448</end>
      <status>unmodified</status>
      <modifiedWord/>
      <trackRevisions>false</trackRevisions>
    </reviewItem>
    <reviewItem>
      <errorID>6a36d8e8-213d-4c14-b67f-c1bfd566546d</errorID>
      <errorWord>住房城乡建设厅</errorWord>
      <group>L1_Political</group>
      <groupName>政治性问题</groupName>
      <ability>L2_Keyword</ability>
      <abilityName>固定表述</abilityName>
      <candidateList>
        <item>住房和城乡建设厅</item>
      </candidateList>
      <explain>词汇“住房和城乡建设厅”在特定场景下为固定表述形式，请确认此处的“住房城乡建设厅”是否存在不当。</explain>
      <paraID> 467A01B</paraID>
      <start>451</start>
      <end>458</end>
      <status>unmodified</status>
      <modifiedWord/>
      <trackRevisions>false</trackRevisions>
    </reviewItem>
    <reviewItem>
      <errorID>d7e31c35-bd23-4a5f-88f6-2e9110584944</errorID>
      <errorWord>(</errorWord>
      <group>L1_Format</group>
      <groupName>格式问题</groupName>
      <ability>L2_HalfPunc</ability>
      <abilityName>全半角检查</abilityName>
      <candidateList>
        <item>（</item>
      </candidateList>
      <explain>文本全半角错误。</explain>
      <paraID>5F62BB4E</paraID>
      <start>0</start>
      <end>1</end>
      <status>unmodified</status>
      <modifiedWord/>
      <trackRevisions>false</trackRevisions>
    </reviewItem>
    <reviewItem>
      <errorID>d3c52716-9c28-4f27-b124-321e9855f943</errorID>
      <errorWord>(2023)7号</errorWord>
      <group>L1_Knowledge</group>
      <groupName>知识性问题</groupName>
      <ability>L2_Knowledge</ability>
      <abilityName>其他知识</abilityName>
      <candidateList>
        <item>〔2023〕7号</item>
      </candidateList>
      <explain>发文字号格式错误。</explain>
      <paraID>5F62BB4E</paraID>
      <start>4</start>
      <end>12</end>
      <status>unmodified</status>
      <modifiedWord/>
      <trackRevisions>false</trackRevisions>
    </reviewItem>
    <reviewItem>
      <errorID>1d0728e4-6a41-4e7d-84ed-3eb95014913a</errorID>
      <errorWord>)</errorWord>
      <group>L1_Format</group>
      <groupName>格式问题</groupName>
      <ability>L2_HalfPunc</ability>
      <abilityName>全半角检查</abilityName>
      <candidateList>
        <item>）</item>
      </candidateList>
      <explain>文本全半角错误。</explain>
      <paraID>5F62BB4E</paraID>
      <start>12</start>
      <end>13</end>
      <status>unmodified</status>
      <modifiedWord/>
      <trackRevisions>false</trackRevisions>
    </reviewItem>
    <reviewItem>
      <errorID>d8c0bdc7-691c-446e-961a-a67393375006</errorID>
      <errorWord>房</errorWord>
      <group>L1_Word</group>
      <groupName>字词问题</groupName>
      <ability>L2_Typo</ability>
      <abilityName>字词错误</abilityName>
      <candidateList>
        <item>房和</item>
      </candidateList>
      <explain/>
      <paraID> 697B3F2</paraID>
      <start>31</start>
      <end>32</end>
      <status>unmodified</status>
      <modifiedWord/>
      <trackRevisions>false</trackRevisions>
    </reviewItem>
    <reviewItem>
      <errorID>7e2d8406-0693-4f8f-9494-b554fdff3be4</errorID>
      <errorWord>其它</errorWord>
      <group>L1_Word</group>
      <groupName>字词问题</groupName>
      <ability>L2_Alias</ability>
      <abilityName>也作/曾用词</abilityName>
      <candidateList>
        <item>其他</item>
      </candidateList>
      <explain>词汇[其它]为不规范表述或旧称，其规范书面表述为[其他]。</explain>
      <paraID> D124E45</paraID>
      <start>4</start>
      <end>6</end>
      <status>unmodified</status>
      <modifiedWord/>
      <trackRevisions>false</trackRevisions>
    </reviewItem>
    <reviewItem>
      <errorID>65cea44d-4801-4a43-80fa-856863a10dcd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17AF4AE7</paraID>
      <start>27</start>
      <end>30</end>
      <status>unmodified</status>
      <modifiedWord/>
      <trackRevisions>false</trackRevisions>
    </reviewItem>
    <reviewItem>
      <errorID>06dae405-fba8-401a-8b7a-d30ed4283f72</errorID>
      <errorWord>。</errorWord>
      <group>L1_Punc</group>
      <groupName>标点问题</groupName>
      <ability>L2_Punc</ability>
      <abilityName>标点符号检查</abilityName>
      <candidateList>
        <item/>
      </candidateList>
      <explain>标题文本后不使用标点符号。</explain>
      <paraID> 53AFC0F</paraID>
      <start>18</start>
      <end>19</end>
      <status>unmodified</status>
      <modifiedWord/>
      <trackRevisions>false</trackRevisions>
    </reviewItem>
    <reviewItem>
      <errorID>d24e79fa-c866-4395-9af3-b0d4d7d869b9</errorID>
      <errorWord>：</errorWord>
      <group>L1_Punc</group>
      <groupName>标点问题</groupName>
      <ability>L2_Punc</ability>
      <abilityName>标点符号检查</abilityName>
      <candidateList>
        <item/>
      </candidateList>
      <explain>标题文本后不使用标点符号。</explain>
      <paraID>2E6E0AFD</paraID>
      <start>17</start>
      <end>18</end>
      <status>unmodified</status>
      <modifiedWord/>
      <trackRevisions>false</trackRevisions>
    </reviewItem>
    <reviewItem>
      <errorID>4443d672-f151-4d1e-a6c4-56e406333d40</errorID>
      <errorWord>股东大会</errorWord>
      <group>L1_Word</group>
      <groupName>字词问题</groupName>
      <ability>L2_Typo</ability>
      <abilityName>字词错误</abilityName>
      <candidateList>
        <item>股东会</item>
      </candidateList>
      <explain/>
      <paraID>5DB4435A</paraID>
      <start>113</start>
      <end>117</end>
      <status>unmodified</status>
      <modifiedWord/>
      <trackRevisions>false</trackRevisions>
    </reviewItem>
    <reviewItem>
      <errorID>cef8d379-237a-40f1-bded-9c96279fa33b</errorID>
      <errorWord>:</errorWord>
      <group>L1_Format</group>
      <groupName>格式问题</groupName>
      <ability>L2_HalfPunc</ability>
      <abilityName>全半角检查</abilityName>
      <candidateList>
        <item>：</item>
      </candidateList>
      <explain>文本全半角错误。</explain>
      <paraID>72E0CE10</paraID>
      <start>1</start>
      <end>2</end>
      <status>unmodified</status>
      <modifiedWord/>
      <trackRevisions>false</trackRevisions>
    </reviewItem>
    <reviewItem>
      <errorID>b6360e59-0387-4e21-8eb1-cfa2bac5a0a7</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62A69EDB</paraID>
      <start>47</start>
      <end>49</end>
      <status>unmodified</status>
      <modifiedWord/>
      <trackRevisions>false</trackRevisions>
    </reviewItem>
    <reviewItem>
      <errorID>da798dea-82d6-4e11-967d-d1d305cdd8ef</errorID>
      <errorWord>。</errorWord>
      <group>L1_Punc</group>
      <groupName>标点问题</groupName>
      <ability>L2_Punc</ability>
      <abilityName>标点符号检查</abilityName>
      <candidateList>
        <item/>
      </candidateList>
      <explain>标题文本后不使用标点符号。</explain>
      <paraID>5F1FA634</paraID>
      <start>41</start>
      <end>42</end>
      <status>unmodified</status>
      <modifiedWord/>
      <trackRevisions>false</trackRevisions>
    </reviewItem>
    <reviewItem>
      <errorID>22001dee-cbdc-4b60-a14f-c467ddd0eab0</errorID>
      <errorWord>税</errorWord>
      <group>L1_Word</group>
      <groupName>字词问题</groupName>
      <ability>L2_Typo</ability>
      <abilityName>字词错误</abilityName>
      <candidateList>
        <item>税方</item>
      </candidateList>
      <explain/>
      <paraID>1BF44ECA</paraID>
      <start>6</start>
      <end>7</end>
      <status>unmodified</status>
      <modifiedWord/>
      <trackRevisions>false</trackRevisions>
    </reviewItem>
    <reviewItem>
      <errorID>384e2a24-2841-4bb5-b14f-ffbd7af4cb5d</errorID>
      <errorWord>&lt;</errorWord>
      <group>L1_Format</group>
      <groupName>格式问题</groupName>
      <ability>L2_HalfPunc</ability>
      <abilityName>全半角检查</abilityName>
      <candidateList>
        <item>〈</item>
      </candidateList>
      <explain>文本全半角错误。</explain>
      <paraID>1BF44ECA</paraID>
      <start>107</start>
      <end>108</end>
      <status>unmodified</status>
      <modifiedWord/>
      <trackRevisions>false</trackRevisions>
    </reviewItem>
    <reviewItem>
      <errorID>e01e7215-70fa-4997-8215-67783128cf8c</errorID>
      <errorWord>&gt;</errorWord>
      <group>L1_Format</group>
      <groupName>格式问题</groupName>
      <ability>L2_HalfPunc</ability>
      <abilityName>全半角检查</abilityName>
      <candidateList>
        <item>〉</item>
      </candidateList>
      <explain>文本全半角错误。</explain>
      <paraID>1BF44ECA</paraID>
      <start>121</start>
      <end>122</end>
      <status>unmodified</status>
      <modifiedWord/>
      <trackRevisions>false</trackRevisions>
    </reviewItem>
    <reviewItem>
      <errorID>e448dad7-d96e-4829-9db4-fbcf1ead2de5</errorID>
      <errorWord>理</errorWord>
      <group>L1_Word</group>
      <groupName>字词问题</groupName>
      <ability>L2_Typo</ability>
      <abilityName>字词错误</abilityName>
      <candidateList>
        <item>理人</item>
      </candidateList>
      <explain/>
      <paraID>62BD0F27</paraID>
      <start>18</start>
      <end>19</end>
      <status>unmodified</status>
      <modifiedWord/>
      <trackRevisions>false</trackRevisions>
    </reviewItem>
    <reviewItem>
      <errorID>f59651eb-b72c-442c-b7a5-f54ab62de4f4</errorID>
      <errorWord>KW</errorWord>
      <group>L1_Word</group>
      <groupName>字词问题</groupName>
      <ability>L2_Typo</ability>
      <abilityName>字词错误</abilityName>
      <candidateList>
        <item>kW</item>
      </candidateList>
      <explain/>
      <paraID>52DC1DAE</paraID>
      <start>6</start>
      <end>8</end>
      <status>unmodified</status>
      <modifiedWord/>
      <trackRevisions>false</trackRevisions>
    </reviewItem>
    <reviewItem>
      <errorID>5c135f05-c5b8-4035-9aa0-3f8b17ee60ee</errorID>
      <errorWord>己</errorWord>
      <group>L1_Word</group>
      <groupName>字词问题</groupName>
      <ability>L2_Typo</ability>
      <abilityName>字词错误</abilityName>
      <candidateList>
        <item>已</item>
      </candidateList>
      <explain>存在字形相近字词的误用。</explain>
      <paraID>2ACAC484</paraID>
      <start>0</start>
      <end>1</end>
      <status>unmodified</status>
      <modifiedWord/>
      <trackRevisions>false</trackRevisions>
    </reviewItem>
    <reviewItem>
      <errorID>a509c608-834a-4051-9f85-39e0035e6d54</errorID>
      <errorWord>提出质疑</errorWord>
      <group>L1_Word</group>
      <groupName>字词问题</groupName>
      <ability>L2_Typo</ability>
      <abilityName>字词错误</abilityName>
      <candidateList>
        <item>质疑</item>
      </candidateList>
      <explain>〈动〉提出疑问：～问难。</explain>
      <paraID>59E98F7A</paraID>
      <start>53</start>
      <end>57</end>
      <status>unmodified</status>
      <modifiedWord/>
      <trackRevisions>false</trackRevisions>
    </reviewItem>
    <reviewItem>
      <errorID>b0ed8dd1-32a4-4c9d-ae3c-702bd1f6ffb1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1908CD0C</paraID>
      <start>13</start>
      <end>16</end>
      <status>unmodified</status>
      <modifiedWord/>
      <trackRevisions>false</trackRevisions>
    </reviewItem>
    <reviewItem>
      <errorID>aa9292cf-7c8f-42f4-884d-780f56605770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7B1D346C</paraID>
      <start>27</start>
      <end>30</end>
      <status>unmodified</status>
      <modifiedWord/>
      <trackRevisions>false</trackRevisions>
    </reviewItem>
    <reviewItem>
      <errorID>8f53193d-0666-455c-bbbb-f5010e32f60f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7B1D346C</paraID>
      <start>40</start>
      <end>43</end>
      <status>unmodified</status>
      <modifiedWord/>
      <trackRevisions>false</trackRevisions>
    </reviewItem>
    <reviewItem>
      <errorID>dd51a140-05dd-4db9-b193-7aaffa497906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7B1D346C</paraID>
      <start>55</start>
      <end>58</end>
      <status>unmodified</status>
      <modifiedWord/>
      <trackRevisions>false</trackRevisions>
    </reviewItem>
    <reviewItem>
      <errorID>f4177741-e4fb-4830-9ff6-000998f5edaf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7B1D346C</paraID>
      <start>68</start>
      <end>71</end>
      <status>unmodified</status>
      <modifiedWord/>
      <trackRevisions>false</trackRevisions>
    </reviewItem>
    <reviewItem>
      <errorID>e53bb20a-66de-4bb9-b8ce-7f4e5b648071</errorID>
      <errorWord>法律、法规</errorWord>
      <group>L1_Word</group>
      <groupName>字词问题</groupName>
      <ability>L2_Typo</ability>
      <abilityName>字词错误</abilityName>
      <candidateList>
        <item>法律法规</item>
      </candidateList>
      <explain/>
      <paraID>7B1D346C</paraID>
      <start>106</start>
      <end>111</end>
      <status>unmodified</status>
      <modifiedWord/>
      <trackRevisions>false</trackRevisions>
    </reviewItem>
    <reviewItem>
      <errorID>13d6b8a5-7296-4615-919b-715a784277cc</errorID>
      <errorWord>》</errorWord>
      <group>L1_Word</group>
      <groupName>字词问题</groupName>
      <ability>L2_Typo</ability>
      <abilityName>字词错误</abilityName>
      <candidateList>
        <item>》第</item>
      </candidateList>
      <explain/>
      <paraID>71D24505</paraID>
      <start>30</start>
      <end>31</end>
      <status>unmodified</status>
      <modifiedWord/>
      <trackRevisions>false</trackRevisions>
    </reviewItem>
    <reviewItem>
      <errorID>33a773b6-7617-444f-ac9e-c05fe3ad30e8</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 2C0CB9D</paraID>
      <start>119</start>
      <end>121</end>
      <status>unmodified</status>
      <modifiedWord/>
      <trackRevisions>false</trackRevisions>
    </reviewItem>
    <reviewItem>
      <errorID>b8279708-2e2a-4a74-996c-e653175844f9</errorID>
      <errorWord>分表</errorWord>
      <group>L1_Word</group>
      <groupName>字词问题</groupName>
      <ability>L2_Typo</ability>
      <abilityName>字词错误</abilityName>
      <candidateList>
        <item>分包</item>
      </candidateList>
      <explain/>
      <paraID> 2C0CB9D</paraID>
      <start>200</start>
      <end>202</end>
      <status>unmodified</status>
      <modifiedWord/>
      <trackRevisions>false</trackRevisions>
    </reviewItem>
    <reviewItem>
      <errorID>80084131-42fc-4f75-bd20-586a56768fc9</errorID>
      <errorWord>,</errorWord>
      <group>L1_Format</group>
      <groupName>格式问题</groupName>
      <ability>L2_HalfPunc</ability>
      <abilityName>全半角检查</abilityName>
      <candidateList>
        <item>，</item>
      </candidateList>
      <explain>文本全半角错误。</explain>
      <paraID> 2C0CB9D</paraID>
      <start>367</start>
      <end>368</end>
      <status>unmodified</status>
      <modifiedWord/>
      <trackRevisions>false</trackRevisions>
    </reviewItem>
    <reviewItem>
      <errorID>e55a9021-5940-4460-b2b3-68980770bbd6</errorID>
      <errorWord>程</errorWord>
      <group>L1_Word</group>
      <groupName>字词问题</groupName>
      <ability>L2_Typo</ability>
      <abilityName>字词错误</abilityName>
      <candidateList>
        <item>程中</item>
      </candidateList>
      <explain/>
      <paraID>1EF8F7DE</paraID>
      <start>49</start>
      <end>50</end>
      <status>unmodified</status>
      <modifiedWord/>
      <trackRevisions>false</trackRevisions>
    </reviewItem>
    <reviewItem>
      <errorID>b010c659-469f-4c2a-b8eb-b25c71a81951</errorID>
      <errorWord>交纳</errorWord>
      <group>L1_Word</group>
      <groupName>字词问题</groupName>
      <ability>L2_Typo</ability>
      <abilityName>字词错误</abilityName>
      <candidateList>
        <item>缴纳</item>
      </candidateList>
      <explain>〈动〉交纳：～税款。</explain>
      <paraID>21D48DC8</paraID>
      <start>80</start>
      <end>82</end>
      <status>unmodified</status>
      <modifiedWord/>
      <trackRevisions>false</trackRevisions>
    </reviewItem>
    <reviewItem>
      <errorID>b692d7df-e5c3-4e1c-b905-a9d4490d8b9b</errorID>
      <errorWord>交纳</errorWord>
      <group>L1_Word</group>
      <groupName>字词问题</groupName>
      <ability>L2_Typo</ability>
      <abilityName>字词错误</abilityName>
      <candidateList>
        <item>缴纳</item>
      </candidateList>
      <explain>〈动〉交纳：～税款。</explain>
      <paraID>7C2AF6D4</paraID>
      <start>87</start>
      <end>89</end>
      <status>unmodified</status>
      <modifiedWord/>
      <trackRevisions>false</trackRevisions>
    </reviewItem>
    <reviewItem>
      <errorID>8c704695-e1aa-4cab-9b0b-556b1779dffd</errorID>
      <errorWord>其它</errorWord>
      <group>L1_Word</group>
      <groupName>字词问题</groupName>
      <ability>L2_Alias</ability>
      <abilityName>也作/曾用词</abilityName>
      <candidateList>
        <item>其他</item>
      </candidateList>
      <explain>词汇[其它]为不规范表述或旧称，其规范书面表述为[其他]。</explain>
      <paraID>1C5C97BD</paraID>
      <start>50</start>
      <end>52</end>
      <status>unmodified</status>
      <modifiedWord/>
      <trackRevisions>false</trackRevisions>
    </reviewItem>
    <reviewItem>
      <errorID>2d99c7aa-dcd7-4d49-9dd0-421f14926d26</errorID>
      <errorWord>其它</errorWord>
      <group>L1_Word</group>
      <groupName>字词问题</groupName>
      <ability>L2_Alias</ability>
      <abilityName>也作/曾用词</abilityName>
      <candidateList>
        <item>其他</item>
      </candidateList>
      <explain>词汇[其它]为不规范表述或旧称，其规范书面表述为[其他]。</explain>
      <paraID>1C5C97BD</paraID>
      <start>145</start>
      <end>147</end>
      <status>unmodified</status>
      <modifiedWord/>
      <trackRevisions>false</trackRevisions>
    </reviewItem>
    <reviewItem>
      <errorID>1270d323-1b47-4e77-a2be-8e09a9353317</errorID>
      <errorWord>其它</errorWord>
      <group>L1_Word</group>
      <groupName>字词问题</groupName>
      <ability>L2_Alias</ability>
      <abilityName>也作/曾用词</abilityName>
      <candidateList>
        <item>其他</item>
      </candidateList>
      <explain>词汇[其它]为不规范表述或旧称，其规范书面表述为[其他]。</explain>
      <paraID>5D98E015</paraID>
      <start>133</start>
      <end>135</end>
      <status>unmodified</status>
      <modifiedWord/>
      <trackRevisions>false</trackRevisions>
    </reviewItem>
    <reviewItem>
      <errorID>cc0286f9-0870-4656-8170-6c388e899c6b</errorID>
      <errorWord>期限的</errorWord>
      <group>L1_Word</group>
      <groupName>字词问题</groupName>
      <ability>L2_Typo</ability>
      <abilityName>字词错误</abilityName>
      <candidateList>
        <item>期限</item>
      </candidateList>
      <explain/>
      <paraID>2F4DBD44</paraID>
      <start>13</start>
      <end>16</end>
      <status>unmodified</status>
      <modifiedWord/>
      <trackRevisions>false</trackRevisions>
    </reviewItem>
    <reviewItem>
      <errorID>d6763ced-bcd8-4802-ae4e-972a573b8e90</errorID>
      <errorWord>：/。</errorWord>
      <group>L1_Punc</group>
      <groupName>标点问题</groupName>
      <ability>L2_Punc</ability>
      <abilityName>标点符号检查</abilityName>
      <candidateList>
        <item>：</item>
      </candidateList>
      <explain/>
      <paraID>73D3C987</paraID>
      <start>39</start>
      <end>42</end>
      <status>unmodified</status>
      <modifiedWord/>
      <trackRevisions>false</trackRevisions>
    </reviewItem>
    <reviewItem>
      <errorID>efc15fad-f234-486a-9407-2908be493038</errorID>
      <errorWord>,</errorWord>
      <group>L1_Word</group>
      <groupName>字词问题</groupName>
      <ability>L2_Typo</ability>
      <abilityName>字词错误</abilityName>
      <candidateList>
        <item>,在</item>
      </candidateList>
      <explain/>
      <paraID> 8B2F9A0</paraID>
      <start>121</start>
      <end>122</end>
      <status>unmodified</status>
      <modifiedWord/>
      <trackRevisions>false</trackRevisions>
    </reviewItem>
    <reviewItem>
      <errorID>9b2fbe12-32de-4b68-a086-cffa1ba93bd2</errorID>
      <errorWord>商订</errorWord>
      <group>L1_Word</group>
      <groupName>字词问题</groupName>
      <ability>L2_Typo</ability>
      <abilityName>字词错误</abilityName>
      <candidateList>
        <item>商定</item>
      </candidateList>
      <explain/>
      <paraID> 8B2F9A0</paraID>
      <start>124</start>
      <end>126</end>
      <status>unmodified</status>
      <modifiedWord/>
      <trackRevisions>false</trackRevisions>
    </reviewItem>
    <reviewItem>
      <errorID>b80926ae-8048-40ab-aacc-155366671889</errorID>
      <errorWord>,</errorWord>
      <group>L1_Format</group>
      <groupName>格式问题</groupName>
      <ability>L2_HalfPunc</ability>
      <abilityName>全半角检查</abilityName>
      <candidateList>
        <item>，</item>
      </candidateList>
      <explain>文本全半角错误。</explain>
      <paraID> 8B2F9A0</paraID>
      <start>141</start>
      <end>142</end>
      <status>unmodified</status>
      <modifiedWord/>
      <trackRevisions>false</trackRevisions>
    </reviewItem>
    <reviewItem>
      <errorID>73ee3705-3f51-45d6-9d4c-e3c1aa6b6ed8</errorID>
      <errorWord>法律、法规</errorWord>
      <group>L1_Word</group>
      <groupName>字词问题</groupName>
      <ability>L2_Typo</ability>
      <abilityName>字词错误</abilityName>
      <candidateList>
        <item>法律法规</item>
      </candidateList>
      <explain/>
      <paraID>614A3FAC</paraID>
      <start>38</start>
      <end>43</end>
      <status>unmodified</status>
      <modifiedWord/>
      <trackRevisions>false</trackRevisions>
    </reviewItem>
    <reviewItem>
      <errorID>6809d2db-11a1-445a-8cd3-8a10406a3543</errorID>
      <errorWord>经</errorWord>
      <group>L1_Word</group>
      <groupName>字词问题</groupName>
      <ability>L2_Typo</ability>
      <abilityName>字词错误</abilityName>
      <candidateList>
        <item>经包</item>
      </candidateList>
      <explain/>
      <paraID>614A3FAC</paraID>
      <start>147</start>
      <end>148</end>
      <status>unmodified</status>
      <modifiedWord/>
      <trackRevisions>false</trackRevisions>
    </reviewItem>
    <reviewItem>
      <errorID>144950de-27e3-4a1d-8f29-db0c520c40bc</errorID>
      <errorWord>》</errorWord>
      <group>L1_Word</group>
      <groupName>字词问题</groupName>
      <ability>L2_Typo</ability>
      <abilityName>字词错误</abilityName>
      <candidateList>
        <item>》第</item>
      </candidateList>
      <explain/>
      <paraID>614A3FAC</paraID>
      <start>491</start>
      <end>492</end>
      <status>unmodified</status>
      <modifiedWord/>
      <trackRevisions>false</trackRevisions>
    </reviewItem>
    <reviewItem>
      <errorID>4262e3a1-df37-491f-8308-a5cbb66754c3</errorID>
      <errorWord>:</errorWord>
      <group>L1_Format</group>
      <groupName>格式问题</groupName>
      <ability>L2_HalfPunc</ability>
      <abilityName>全半角检查</abilityName>
      <candidateList>
        <item>：</item>
      </candidateList>
      <explain>文本全半角错误。</explain>
      <paraID> 1B3C3B5</paraID>
      <start>2</start>
      <end>3</end>
      <status>unmodified</status>
      <modifiedWord/>
      <trackRevisions>false</trackRevisions>
    </reviewItem>
    <reviewItem>
      <errorID>bfa317ff-379c-42ef-a4b7-39c2ac326523</errorID>
      <errorWord>》</errorWord>
      <group>L1_Word</group>
      <groupName>字词问题</groupName>
      <ability>L2_Typo</ability>
      <abilityName>字词错误</abilityName>
      <candidateList>
        <item>》第</item>
      </candidateList>
      <explain/>
      <paraID>3111AC7D</paraID>
      <start>37</start>
      <end>38</end>
      <status>unmodified</status>
      <modifiedWord/>
      <trackRevisions>false</trackRevisions>
    </reviewItem>
    <reviewItem>
      <errorID>25f9f95e-33e4-41a0-accc-4057b05ba0ec</errorID>
      <errorWord>,</errorWord>
      <group>L1_Format</group>
      <groupName>格式问题</groupName>
      <ability>L2_HalfPunc</ability>
      <abilityName>全半角检查</abilityName>
      <candidateList>
        <item>，</item>
      </candidateList>
      <explain>文本全半角错误。</explain>
      <paraID>614971FE</paraID>
      <start>45</start>
      <end>46</end>
      <status>unmodified</status>
      <modifiedWord/>
      <trackRevisions>false</trackRevisions>
    </reviewItem>
    <reviewItem>
      <errorID>499448bf-fcb0-41a2-9854-43774e44827e</errorID>
      <errorWord>,</errorWord>
      <group>L1_Format</group>
      <groupName>格式问题</groupName>
      <ability>L2_HalfPunc</ability>
      <abilityName>全半角检查</abilityName>
      <candidateList>
        <item>，</item>
      </candidateList>
      <explain>文本全半角错误。</explain>
      <paraID>614971FE</paraID>
      <start>70</start>
      <end>71</end>
      <status>unmodified</status>
      <modifiedWord/>
      <trackRevisions>false</trackRevisions>
    </reviewItem>
    <reviewItem>
      <errorID>92dcd9ac-b0e1-4f3a-a802-06f50a9d4b66</errorID>
      <errorWord>上及控制</errorWord>
      <group>L1_Knowledge</group>
      <groupName>知识性问题</groupName>
      <ability>L2_Term</ability>
      <abilityName>专业术语</abilityName>
      <candidateList>
        <item>上行控制</item>
      </candidateList>
      <explain/>
      <paraID>69FC34F3</paraID>
      <start>17</start>
      <end>21</end>
      <status>unmodified</status>
      <modifiedWord/>
      <trackRevisions>false</trackRevisions>
    </reviewItem>
    <reviewItem>
      <errorID>a0fa77eb-f63a-4e21-b88c-022a082c9e5a</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5E37A618</paraID>
      <start>38</start>
      <end>40</end>
      <status>unmodified</status>
      <modifiedWord/>
      <trackRevisions>false</trackRevisions>
    </reviewItem>
    <reviewItem>
      <errorID>5b9554ea-4205-4d2e-9384-0e3d8d3df9b2</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5E37A618</paraID>
      <start>62</start>
      <end>64</end>
      <status>unmodified</status>
      <modifiedWord/>
      <trackRevisions>false</trackRevisions>
    </reviewItem>
    <reviewItem>
      <errorID>9ecb0124-dd73-4819-9864-edcd87699663</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35DDEF56</paraID>
      <start>16</start>
      <end>18</end>
      <status>unmodified</status>
      <modifiedWord/>
      <trackRevisions>false</trackRevisions>
    </reviewItem>
    <reviewItem>
      <errorID>1310506f-2f24-408d-9ef3-b387f7015593</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69D95E05</paraID>
      <start>29</start>
      <end>31</end>
      <status>unmodified</status>
      <modifiedWord/>
      <trackRevisions>false</trackRevisions>
    </reviewItem>
    <reviewItem>
      <errorID>299df97b-2055-4ca2-8d4b-b1a2e888a557</errorID>
      <errorWord>作整改</errorWord>
      <group>L1_Word</group>
      <groupName>字词问题</groupName>
      <ability>L2_Alias</ability>
      <abilityName>也作/曾用词</abilityName>
      <candidateList>
        <item>做整改</item>
      </candidateList>
      <explain>词汇[作整改]为不规范表述或旧称，其规范书面表述为[做整改]。</explain>
      <paraID>69D95E05</paraID>
      <start>36</start>
      <end>39</end>
      <status>unmodified</status>
      <modifiedWord/>
      <trackRevisions>false</trackRevisions>
    </reviewItem>
    <reviewItem>
      <errorID>b38d6421-63a0-449a-a711-35c7993e418c</errorID>
      <errorWord>类似于</errorWord>
      <group>L1_Word</group>
      <groupName>字词问题</groupName>
      <ability>L2_Typo</ability>
      <abilityName>字词错误</abilityName>
      <candidateList>
        <item>类似</item>
      </candidateList>
      <explain/>
      <paraID>2B70F6F5</paraID>
      <start>42</start>
      <end>45</end>
      <status>unmodified</status>
      <modifiedWord/>
      <trackRevisions>false</trackRevisions>
    </reviewItem>
    <reviewItem>
      <errorID>4ab0775d-3cda-4174-91ae-5355fd626ff2</errorID>
      <errorWord>运入</errorWord>
      <group>L1_Word</group>
      <groupName>字词问题</groupName>
      <ability>L2_Typo</ability>
      <abilityName>字词错误</abilityName>
      <candidateList>
        <item>进入</item>
      </candidateList>
      <explain>〈动〉支进到某个范围或某个时期里：～学校｜～新阶段◇～角色。</explain>
      <paraID>3DBB3C9E</paraID>
      <start>37</start>
      <end>39</end>
      <status>unmodified</status>
      <modifiedWord/>
      <trackRevisions>false</trackRevisions>
    </reviewItem>
    <reviewItem>
      <errorID>d91a73f7-6d2b-4432-a0d6-f8f32561403f</errorID>
      <errorWord>》</errorWord>
      <group>L1_Word</group>
      <groupName>字词问题</groupName>
      <ability>L2_Typo</ability>
      <abilityName>字词错误</abilityName>
      <candidateList>
        <item>》第</item>
      </candidateList>
      <explain/>
      <paraID>23346643</paraID>
      <start>24</start>
      <end>25</end>
      <status>unmodified</status>
      <modifiedWord/>
      <trackRevisions>false</trackRevisions>
    </reviewItem>
    <reviewItem>
      <errorID>ce85d4c0-83c1-4122-a0b6-0b8d2a6d90a4</errorID>
      <errorWord>变更的</errorWord>
      <group>L1_Word</group>
      <groupName>字词问题</groupName>
      <ability>L2_Typo</ability>
      <abilityName>字词错误</abilityName>
      <candidateList>
        <item>变更</item>
      </candidateList>
      <explain>〈动〉改变；变动：～原定赛程｜修订版的内容有些～。</explain>
      <paraID>661443F4</paraID>
      <start>2</start>
      <end>5</end>
      <status>unmodified</status>
      <modifiedWord/>
      <trackRevisions>false</trackRevisions>
    </reviewItem>
    <reviewItem>
      <errorID>0cf46ada-b905-4e27-b1bf-9710a0a48538</errorID>
      <errorWord>:</errorWord>
      <group>L1_Format</group>
      <groupName>格式问题</groupName>
      <ability>L2_HalfPunc</ability>
      <abilityName>全半角检查</abilityName>
      <candidateList>
        <item>：</item>
      </candidateList>
      <explain>文本全半角错误。</explain>
      <paraID>5F527B6E</paraID>
      <start>13</start>
      <end>14</end>
      <status>unmodified</status>
      <modifiedWord/>
      <trackRevisions>false</trackRevisions>
    </reviewItem>
    <reviewItem>
      <errorID>cd347019-ce9f-4eb1-a188-b783492a770d</errorID>
      <errorWord>:</errorWord>
      <group>L1_Format</group>
      <groupName>格式问题</groupName>
      <ability>L2_HalfPunc</ability>
      <abilityName>全半角检查</abilityName>
      <candidateList>
        <item>：</item>
      </candidateList>
      <explain>文本全半角错误。</explain>
      <paraID>21BB4C75</paraID>
      <start>9</start>
      <end>10</end>
      <status>unmodified</status>
      <modifiedWord/>
      <trackRevisions>false</trackRevisions>
    </reviewItem>
    <reviewItem>
      <errorID>38f3ae22-1f09-41ee-aff2-96d83e02d43d</errorID>
      <errorWord>只有</errorWord>
      <group>L1_Word</group>
      <groupName>字词问题</groupName>
      <ability>L2_Typo</ability>
      <abilityName>字词错误</abilityName>
      <candidateList>
        <item>有</item>
      </candidateList>
      <explain>〈书〉同“又”▲：三十～八年。</explain>
      <paraID>21BB4C75</paraID>
      <start>64</start>
      <end>66</end>
      <status>unmodified</status>
      <modifiedWord/>
      <trackRevisions>false</trackRevisions>
    </reviewItem>
    <reviewItem>
      <errorID>1e1e25a1-028b-4e32-8694-89e1060add11</errorID>
      <errorWord>：/。</errorWord>
      <group>L1_Punc</group>
      <groupName>标点问题</groupName>
      <ability>L2_Punc</ability>
      <abilityName>标点符号检查</abilityName>
      <candidateList>
        <item>：</item>
      </candidateList>
      <explain/>
      <paraID>4CC582CE</paraID>
      <start>9</start>
      <end>12</end>
      <status>unmodified</status>
      <modifiedWord/>
      <trackRevisions>false</trackRevisions>
    </reviewItem>
    <reviewItem>
      <errorID>e0ed9745-f7ba-453e-be26-83f0d40ebed5</errorID>
      <errorWord>,</errorWord>
      <group>L1_Format</group>
      <groupName>格式问题</groupName>
      <ability>L2_HalfPunc</ability>
      <abilityName>全半角检查</abilityName>
      <candidateList>
        <item>，</item>
      </candidateList>
      <explain>文本全半角错误。</explain>
      <paraID>1EE10847</paraID>
      <start>57</start>
      <end>58</end>
      <status>unmodified</status>
      <modifiedWord/>
      <trackRevisions>false</trackRevisions>
    </reviewItem>
    <reviewItem>
      <errorID>b7b8ee5e-1c4c-465f-b099-ac26a868257b</errorID>
      <errorWord>住房城乡建设厅</errorWord>
      <group>L1_Political</group>
      <groupName>政治性问题</groupName>
      <ability>L2_Keyword</ability>
      <abilityName>固定表述</abilityName>
      <candidateList>
        <item>住房和城乡建设厅</item>
      </candidateList>
      <explain>词汇“住房和城乡建设厅”在特定场景下为固定表述形式，请确认此处的“住房城乡建设厅”是否存在不当。</explain>
      <paraID>217804AF</paraID>
      <start>14</start>
      <end>21</end>
      <status>unmodified</status>
      <modifiedWord/>
      <trackRevisions>false</trackRevisions>
    </reviewItem>
    <reviewItem>
      <errorID>04d257e3-5af6-447b-baf3-4b0d37b844b7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622C1904</paraID>
      <start>0</start>
      <end>3</end>
      <status>unmodified</status>
      <modifiedWord/>
      <trackRevisions>false</trackRevisions>
    </reviewItem>
    <reviewItem>
      <errorID>0fdef82e-529d-456e-8782-223385507fb8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622FB310</paraID>
      <start>0</start>
      <end>3</end>
      <status>unmodified</status>
      <modifiedWord/>
      <trackRevisions>false</trackRevisions>
    </reviewItem>
    <reviewItem>
      <errorID>9348a207-ad02-4d5f-b94b-373e82170217</errorID>
      <errorWord>完</errorWord>
      <group>L1_Word</group>
      <groupName>字词问题</groupName>
      <ability>L2_Typo</ability>
      <abilityName>字词错误</abilityName>
      <candidateList>
        <item>完成</item>
      </candidateList>
      <explain>〈动〉按照预期的目的结束；做成：～任务｜～作业｜计划完得成。</explain>
      <paraID>217FA80D</paraID>
      <start>43</start>
      <end>44</end>
      <status>unmodified</status>
      <modifiedWord/>
      <trackRevisions>false</trackRevisions>
    </reviewItem>
    <reviewItem>
      <errorID>00e05dcd-7d38-4b35-9d60-dd1cef57e471</errorID>
      <errorWord>，</errorWord>
      <group>L1_Word</group>
      <groupName>字词问题</groupName>
      <ability>L2_Typo</ability>
      <abilityName>字词错误</abilityName>
      <candidateList>
        <item>，由</item>
      </candidateList>
      <explain/>
      <paraID>459C2A6F</paraID>
      <start>59</start>
      <end>60</end>
      <status>unmodified</status>
      <modifiedWord/>
      <trackRevisions>false</trackRevisions>
    </reviewItem>
    <reviewItem>
      <errorID>40176e88-f7ad-4039-bc64-289ece6b769e</errorID>
      <errorWord>施行</errorWord>
      <group>L1_Word</group>
      <groupName>字词问题</groupName>
      <ability>L2_Typo</ability>
      <abilityName>字词错误</abilityName>
      <candidateList>
        <item>实行</item>
      </candidateList>
      <explain>存在发音相同字词的误用。</explain>
      <paraID>4A5D682D</paraID>
      <start>64</start>
      <end>66</end>
      <status>unmodified</status>
      <modifiedWord/>
      <trackRevisions>false</trackRevisions>
    </reviewItem>
    <reviewItem>
      <errorID>a6feda82-792c-4444-a92d-ce2f1e429368</errorID>
      <errorWord>:</errorWord>
      <group>L1_Format</group>
      <groupName>格式问题</groupName>
      <ability>L2_HalfPunc</ability>
      <abilityName>全半角检查</abilityName>
      <candidateList>
        <item>：</item>
      </candidateList>
      <explain>文本全半角错误。</explain>
      <paraID>6CA87CDF</paraID>
      <start>17</start>
      <end>18</end>
      <status>unmodified</status>
      <modifiedWord/>
      <trackRevisions>false</trackRevisions>
    </reviewItem>
    <reviewItem>
      <errorID>11325af8-4d97-4c2f-b971-a9e1fa6d2205</errorID>
      <errorWord>分分</errorWord>
      <group>L1_Word</group>
      <groupName>字词问题</groupName>
      <ability>L2_Typo</ability>
      <abilityName>字词错误</abilityName>
      <candidateList>
        <item>分</item>
      </candidateList>
      <explain/>
      <paraID>309E949D</paraID>
      <start>27</start>
      <end>29</end>
      <status>unmodified</status>
      <modifiedWord/>
      <trackRevisions>false</trackRevisions>
    </reviewItem>
    <reviewItem>
      <errorID>15259c17-efd1-4333-926e-5c55bf334f34</errorID>
      <errorWord>，</errorWord>
      <group>L1_Word</group>
      <groupName>字词问题</groupName>
      <ability>L2_Typo</ability>
      <abilityName>字词错误</abilityName>
      <candidateList>
        <item>，由</item>
      </candidateList>
      <explain/>
      <paraID>309E949D</paraID>
      <start>49</start>
      <end>50</end>
      <status>unmodified</status>
      <modifiedWord/>
      <trackRevisions>false</trackRevisions>
    </reviewItem>
    <reviewItem>
      <errorID>6a54c375-2d9a-4d82-af7a-31bb5861f647</errorID>
      <errorWord>(</errorWord>
      <group>L1_Format</group>
      <groupName>格式问题</groupName>
      <ability>L2_HalfPunc</ability>
      <abilityName>全半角检查</abilityName>
      <candidateList>
        <item>（</item>
      </candidateList>
      <explain>文本全半角错误。</explain>
      <paraID>606E282A</paraID>
      <start>38</start>
      <end>39</end>
      <status>unmodified</status>
      <modifiedWord/>
      <trackRevisions>false</trackRevisions>
    </reviewItem>
    <reviewItem>
      <errorID>3fac1ffe-3aaa-4bf2-88d2-014877bff5ab</errorID>
      <errorWord>)</errorWord>
      <group>L1_Format</group>
      <groupName>格式问题</groupName>
      <ability>L2_HalfPunc</ability>
      <abilityName>全半角检查</abilityName>
      <candidateList>
        <item>）</item>
      </candidateList>
      <explain>文本全半角错误。</explain>
      <paraID>606E282A</paraID>
      <start>40</start>
      <end>41</end>
      <status>unmodified</status>
      <modifiedWord/>
      <trackRevisions>false</trackRevisions>
    </reviewItem>
    <reviewItem>
      <errorID>de3cef5a-201d-4691-80f4-0cc2af014441</errorID>
      <errorWord>其它按</errorWord>
      <group>L1_Word</group>
      <groupName>字词问题</groupName>
      <ability>L2_Alias</ability>
      <abilityName>也作/曾用词</abilityName>
      <candidateList>
        <item>其他按</item>
      </candidateList>
      <explain>词汇[其它按]为不规范表述或旧称，其规范书面表述为[其他按]。</explain>
      <paraID>366C896D</paraID>
      <start>66</start>
      <end>69</end>
      <status>unmodified</status>
      <modifiedWord/>
      <trackRevisions>false</trackRevisions>
    </reviewItem>
    <reviewItem>
      <errorID>86557052-fe11-457c-9ca5-fd41e89e59b8</errorID>
      <errorWord>》</errorWord>
      <group>L1_Word</group>
      <groupName>字词问题</groupName>
      <ability>L2_Typo</ability>
      <abilityName>字词错误</abilityName>
      <candidateList>
        <item>》第</item>
      </candidateList>
      <explain/>
      <paraID>366C896D</paraID>
      <start>76</start>
      <end>77</end>
      <status>unmodified</status>
      <modifiedWord/>
      <trackRevisions>false</trackRevisions>
    </reviewItem>
    <reviewItem>
      <errorID>c5537261-ee48-47dd-8785-ae21adc8489a</errorID>
      <errorWord>(</errorWord>
      <group>L1_Format</group>
      <groupName>格式问题</groupName>
      <ability>L2_HalfPunc</ability>
      <abilityName>全半角检查</abilityName>
      <candidateList>
        <item>（</item>
      </candidateList>
      <explain>文本全半角错误。</explain>
      <paraID>4C10B849</paraID>
      <start>14</start>
      <end>15</end>
      <status>unmodified</status>
      <modifiedWord/>
      <trackRevisions>false</trackRevisions>
    </reviewItem>
    <reviewItem>
      <errorID>b28be9b6-7eb5-4b10-bed0-0706ac717722</errorID>
      <errorWord>)</errorWord>
      <group>L1_Format</group>
      <groupName>格式问题</groupName>
      <ability>L2_HalfPunc</ability>
      <abilityName>全半角检查</abilityName>
      <candidateList>
        <item>）</item>
      </candidateList>
      <explain>文本全半角错误。</explain>
      <paraID>4C10B849</paraID>
      <start>24</start>
      <end>25</end>
      <status>unmodified</status>
      <modifiedWord/>
      <trackRevisions>false</trackRevisions>
    </reviewItem>
    <reviewItem>
      <errorID>ac4c8d00-b5d9-4e7e-a1ee-a54395e3bf3c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2F767E27</paraID>
      <start>0</start>
      <end>2</end>
      <status>unmodified</status>
      <modifiedWord/>
      <trackRevisions>false</trackRevisions>
    </reviewItem>
    <reviewItem>
      <errorID>587d57b1-0757-4965-a9b6-d68374c80106</errorID>
      <errorWord>竣工结算</errorWord>
      <group>L1_Knowledge</group>
      <groupName>知识性问题</groupName>
      <ability>L2_Term</ability>
      <abilityName>专业术语</abilityName>
      <candidateList>
        <item>竣工决算</item>
      </candidateList>
      <explain/>
      <paraID>2F767E27</paraID>
      <start>185</start>
      <end>189</end>
      <status>unmodified</status>
      <modifiedWord/>
      <trackRevisions>false</trackRevisions>
    </reviewItem>
    <reviewItem>
      <errorID>54cbd80d-653b-49d7-9200-4c7acc0b91ec</errorID>
      <errorWord>，</errorWord>
      <group>L1_Word</group>
      <groupName>字词问题</groupName>
      <ability>L2_Typo</ability>
      <abilityName>字词错误</abilityName>
      <candidateList>
        <item>，在</item>
      </candidateList>
      <explain/>
      <paraID>6B6FCFA1</paraID>
      <start>52</start>
      <end>53</end>
      <status>unmodified</status>
      <modifiedWord/>
      <trackRevisions>false</trackRevisions>
    </reviewItem>
    <reviewItem>
      <errorID>088688f7-3998-4486-be7d-bf273167e35f</errorID>
      <errorWord>:</errorWord>
      <group>L1_Format</group>
      <groupName>格式问题</groupName>
      <ability>L2_HalfPunc</ability>
      <abilityName>全半角检查</abilityName>
      <candidateList>
        <item>：</item>
      </candidateList>
      <explain>文本全半角错误。</explain>
      <paraID>6C0BC912</paraID>
      <start>9</start>
      <end>10</end>
      <status>unmodified</status>
      <modifiedWord/>
      <trackRevisions>false</trackRevisions>
    </reviewItem>
    <reviewItem>
      <errorID>b0f6f0fe-64f1-4de4-a282-be58b09938b7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77566F22</paraID>
      <start>0</start>
      <end>3</end>
      <status>unmodified</status>
      <modifiedWord/>
      <trackRevisions>false</trackRevisions>
    </reviewItem>
    <reviewItem>
      <errorID>458761d9-203e-4864-8bdf-36e58373416e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1E44DEE1</paraID>
      <start>0</start>
      <end>3</end>
      <status>unmodified</status>
      <modifiedWord/>
      <trackRevisions>false</trackRevisions>
    </reviewItem>
    <reviewItem>
      <errorID>6daff57b-b909-4643-9be1-eb69f8b9a004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474CE735</paraID>
      <start>0</start>
      <end>3</end>
      <status>unmodified</status>
      <modifiedWord/>
      <trackRevisions>false</trackRevisions>
    </reviewItem>
    <reviewItem>
      <errorID>de297313-f2ad-4c3d-894a-ec1779d71175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284AE83E</paraID>
      <start>0</start>
      <end>3</end>
      <status>unmodified</status>
      <modifiedWord/>
      <trackRevisions>false</trackRevisions>
    </reviewItem>
    <reviewItem>
      <errorID>c1d40d52-0130-4704-a7e1-61c68ece35b2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7C2B205E</paraID>
      <start>0</start>
      <end>3</end>
      <status>unmodified</status>
      <modifiedWord/>
      <trackRevisions>false</trackRevisions>
    </reviewItem>
    <reviewItem>
      <errorID>6bb4139f-7ce0-496f-8374-daeb0033338e</errorID>
      <errorWord>(</errorWord>
      <group>L1_Format</group>
      <groupName>格式问题</groupName>
      <ability>L2_HalfPunc</ability>
      <abilityName>全半角检查</abilityName>
      <candidateList>
        <item>（</item>
      </candidateList>
      <explain>文本全半角错误。</explain>
      <paraID>51F80D79</paraID>
      <start>125</start>
      <end>126</end>
      <status>unmodified</status>
      <modifiedWord/>
      <trackRevisions>false</trackRevisions>
    </reviewItem>
    <reviewItem>
      <errorID>d1cab93b-e16b-4097-8bf8-cf6a4000751f</errorID>
      <errorWord>(2023)6号</errorWord>
      <group>L1_Knowledge</group>
      <groupName>知识性问题</groupName>
      <ability>L2_Knowledge</ability>
      <abilityName>其他知识</abilityName>
      <candidateList>
        <item>〔2023〕6号</item>
      </candidateList>
      <explain>发文字号格式错误。</explain>
      <paraID>51F80D79</paraID>
      <start>129</start>
      <end>137</end>
      <status>unmodified</status>
      <modifiedWord/>
      <trackRevisions>false</trackRevisions>
    </reviewItem>
    <reviewItem>
      <errorID>2395fbd0-5ddc-491c-9ada-f8683212b9ef</errorID>
      <errorWord>)</errorWord>
      <group>L1_Format</group>
      <groupName>格式问题</groupName>
      <ability>L2_HalfPunc</ability>
      <abilityName>全半角检查</abilityName>
      <candidateList>
        <item>）</item>
      </candidateList>
      <explain>文本全半角错误。</explain>
      <paraID>51F80D79</paraID>
      <start>137</start>
      <end>138</end>
      <status>unmodified</status>
      <modifiedWord/>
      <trackRevisions>false</trackRevisions>
    </reviewItem>
    <reviewItem>
      <errorID>c3a8b5e2-05ec-4d91-b02a-f52cebb3bb99</errorID>
      <errorWord>。</errorWord>
      <group>L1_Punc</group>
      <groupName>标点问题</groupName>
      <ability>L2_Punc</ability>
      <abilityName>标点符号检查</abilityName>
      <candidateList/>
      <explain/>
      <paraID>183E259B</paraID>
      <start>156</start>
      <end>157</end>
      <status>unmodified</status>
      <modifiedWord/>
      <trackRevisions>false</trackRevisions>
    </reviewItem>
    <reviewItem>
      <errorID>271c0556-9118-4c45-a041-be39997c32d9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57333D1C</paraID>
      <start>0</start>
      <end>2</end>
      <status>unmodified</status>
      <modifiedWord/>
      <trackRevisions>false</trackRevisions>
    </reviewItem>
    <reviewItem>
      <errorID>045e6209-438e-4b3c-b7df-af23ff508345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15273E56</paraID>
      <start>0</start>
      <end>2</end>
      <status>unmodified</status>
      <modifiedWord/>
      <trackRevisions>false</trackRevisions>
    </reviewItem>
    <reviewItem>
      <errorID>14433d11-c33b-4f2e-8d95-fdfef3b6e44c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530F362D</paraID>
      <start>0</start>
      <end>2</end>
      <status>unmodified</status>
      <modifiedWord/>
      <trackRevisions>false</trackRevisions>
    </reviewItem>
    <reviewItem>
      <errorID>4ec23824-49de-4651-8195-f0b068ef42e2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3506FD3C</paraID>
      <start>0</start>
      <end>2</end>
      <status>unmodified</status>
      <modifiedWord/>
      <trackRevisions>false</trackRevisions>
    </reviewItem>
    <reviewItem>
      <errorID>208d8514-4f46-49e5-bf07-3f218f9c6a4e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3EE68277</paraID>
      <start>0</start>
      <end>2</end>
      <status>unmodified</status>
      <modifiedWord/>
      <trackRevisions>false</trackRevisions>
    </reviewItem>
    <reviewItem>
      <errorID>05830276-ed82-4505-bbc2-d41686f4baa8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27D3A52F</paraID>
      <start>0</start>
      <end>2</end>
      <status>unmodified</status>
      <modifiedWord/>
      <trackRevisions>false</trackRevisions>
    </reviewItem>
    <reviewItem>
      <errorID>c211c544-848f-4a92-97f5-ef31962385b4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8F5FF24</paraID>
      <start>0</start>
      <end>2</end>
      <status>unmodified</status>
      <modifiedWord/>
      <trackRevisions>false</trackRevisions>
    </reviewItem>
    <reviewItem>
      <errorID>0a6369a7-70e3-49bb-8fee-78355efa7181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4B5F0833</paraID>
      <start>0</start>
      <end>2</end>
      <status>unmodified</status>
      <modifiedWord/>
      <trackRevisions>false</trackRevisions>
    </reviewItem>
    <reviewItem>
      <errorID>c89d3ad5-c3c7-47d3-8424-32c7ea43c06e</errorID>
      <errorWord>保修</errorWord>
      <group>L1_Word</group>
      <groupName>字词问题</groupName>
      <ability>L2_Typo</ability>
      <abilityName>字词错误</abilityName>
      <candidateList>
        <item>报修</item>
      </candidateList>
      <explain/>
      <paraID>4B5F0833</paraID>
      <start>52</start>
      <end>54</end>
      <status>unmodified</status>
      <modifiedWord/>
      <trackRevisions>false</trackRevisions>
    </reviewItem>
    <reviewItem>
      <errorID>af7754b4-974d-47c3-9f30-abf2cdb284c1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6B32023F</paraID>
      <start>0</start>
      <end>2</end>
      <status>unmodified</status>
      <modifiedWord/>
      <trackRevisions>false</trackRevisions>
    </reviewItem>
    <reviewItem>
      <errorID>ff9d688e-58a2-4273-81bd-64250bd77211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52EAA3D1</paraID>
      <start>0</start>
      <end>2</end>
      <status>unmodified</status>
      <modifiedWord/>
      <trackRevisions>false</trackRevisions>
    </reviewItem>
    <reviewItem>
      <errorID>5842a4ca-1756-4830-91c9-eef126bd6544</errorID>
      <errorWord>，</errorWord>
      <group>L1_Word</group>
      <groupName>字词问题</groupName>
      <ability>L2_Typo</ability>
      <abilityName>字词错误</abilityName>
      <candidateList>
        <item>，由</item>
      </candidateList>
      <explain/>
      <paraID>52EAA3D1</paraID>
      <start>92</start>
      <end>93</end>
      <status>unmodified</status>
      <modifiedWord/>
      <trackRevisions>false</trackRevisions>
    </reviewItem>
    <reviewItem>
      <errorID>bd01140e-149f-4fe4-9623-47ac47992497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28F52CCD</paraID>
      <start>0</start>
      <end>2</end>
      <status>unmodified</status>
      <modifiedWord/>
      <trackRevisions>false</trackRevisions>
    </reviewItem>
    <reviewItem>
      <errorID>d8723dac-047f-4216-b9e1-22286d96415b</errorID>
      <errorWord>：</errorWord>
      <group>L1_Punc</group>
      <groupName>标点问题</groupName>
      <ability>L2_Punc</ability>
      <abilityName>标点符号检查</abilityName>
      <candidateList>
        <item/>
      </candidateList>
      <explain>标题文本后不使用标点符号。</explain>
      <paraID>1F87C25B</paraID>
      <start>17</start>
      <end>18</end>
      <status>unmodified</status>
      <modifiedWord/>
      <trackRevisions>false</trackRevisions>
    </reviewItem>
    <reviewItem>
      <errorID>0efc9120-5712-4f9e-85da-c20bfcea8566</errorID>
      <errorWord>承担的</errorWord>
      <group>L1_Word</group>
      <groupName>字词问题</groupName>
      <ability>L2_Typo</ability>
      <abilityName>字词错误</abilityName>
      <candidateList>
        <item>承担</item>
      </candidateList>
      <explain>〈动〉担负；担当：～义务｜～责任。</explain>
      <paraID>368BF693</paraID>
      <start>33</start>
      <end>36</end>
      <status>unmodified</status>
      <modifiedWord/>
      <trackRevisions>false</trackRevisions>
    </reviewItem>
    <reviewItem>
      <errorID>762b21d9-b78f-4ff5-aa97-b07e1c5dbc8e</errorID>
      <errorWord>但是</errorWord>
      <group>L1_Word</group>
      <groupName>字词问题</groupName>
      <ability>L2_Typo</ability>
      <abilityName>字词错误</abilityName>
      <candidateList>
        <item>但</item>
      </candidateList>
      <explain>❶〈副〉只；仅仅：～愿如此｜不求有功，～求无过｜辽阔的原野上，～见麦浪随风起伏。❷〈连〉但是：屋子小，～挺干净｜工作虽然忙，～一点也没放松学习。❸（Dàn）〈名〉姓。</explain>
      <paraID>68C52CB7</paraID>
      <start>29</start>
      <end>31</end>
      <status>unmodified</status>
      <modifiedWord/>
      <trackRevisions>false</trackRevisions>
    </reviewItem>
    <reviewItem>
      <errorID>f5e1f273-19b0-4b65-8b39-e564a749fe8c</errorID>
      <errorWord>承担的</errorWord>
      <group>L1_Word</group>
      <groupName>字词问题</groupName>
      <ability>L2_Typo</ability>
      <abilityName>字词错误</abilityName>
      <candidateList>
        <item>承担</item>
      </candidateList>
      <explain>〈动〉担负；担当：～义务｜～责任。</explain>
      <paraID>57228089</paraID>
      <start>31</start>
      <end>34</end>
      <status>unmodified</status>
      <modifiedWord/>
      <trackRevisions>false</trackRevisions>
    </reviewItem>
    <reviewItem>
      <errorID>09c0b488-07d5-4d29-b69d-3b45c11b19c0</errorID>
      <errorWord>其它情形的</errorWord>
      <group>L1_Word</group>
      <groupName>字词问题</groupName>
      <ability>L2_Alias</ability>
      <abilityName>也作/曾用词</abilityName>
      <candidateList>
        <item>其他情形的</item>
      </candidateList>
      <explain>词汇[其它情形的]为不规范表述或旧称，其规范书面表述为[其他情形的]。</explain>
      <paraID>42604044</paraID>
      <start>23</start>
      <end>28</end>
      <status>unmodified</status>
      <modifiedWord/>
      <trackRevisions>false</trackRevisions>
    </reviewItem>
    <reviewItem>
      <errorID>d5ae3645-aa3e-4b8d-96e0-621de3fe2bcf</errorID>
      <errorWord>表</errorWord>
      <group>L1_Word</group>
      <groupName>字词问题</groupName>
      <ability>L2_Typo</ability>
      <abilityName>字词错误</abilityName>
      <candidateList>
        <item>表人</item>
      </candidateList>
      <explain/>
      <paraID>1045D285</paraID>
      <start>19</start>
      <end>20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0d7dc6-7ff0-4ec5-a55b-986e2bef8e9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123</Pages>
  <Words>7716</Words>
  <Characters>8580</Characters>
  <Lines>279</Lines>
  <Paragraphs>78</Paragraphs>
  <TotalTime>19</TotalTime>
  <ScaleCrop>false</ScaleCrop>
  <LinksUpToDate>false</LinksUpToDate>
  <CharactersWithSpaces>8674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2024-03-04T09:03:00Z</dcterms:created>
  <dc:creator>唐冰</dc:creator>
  <cp:lastModifiedBy>厨房里的锅</cp:lastModifiedBy>
  <cp:lastPrinted>2024-02-28T08:23:00Z</cp:lastPrinted>
  <dcterms:modified xsi:type="dcterms:W3CDTF">2025-11-26T05:45:57Z</dcterms:modified>
  <dc:title>竞争性谈判文件规范</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E112F0ADBB2D4E24902D8E18DC350EE3_13</vt:lpwstr>
  </property>
  <property fmtid="{D5CDD505-2E9C-101B-9397-08002B2CF9AE}" pid="4" name="KSOTemplateDocerSaveRecord">
    <vt:lpwstr>eyJoZGlkIjoiMzllY2U2ZDZiZGE4ZjQ2YjFkZTAwM2I5NTlkOTUwMjgiLCJ1c2VySWQiOiI3NTM2ODA2NDkifQ==</vt:lpwstr>
  </property>
</Properties>
</file>