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D88AA">
      <w:pPr>
        <w:spacing w:beforeLines="100" w:afterLines="50" w:line="600" w:lineRule="exact"/>
        <w:jc w:val="center"/>
        <w:rPr>
          <w:rFonts w:ascii="宋体" w:hAnsi="宋体"/>
          <w:b/>
          <w:color w:val="auto"/>
          <w:sz w:val="72"/>
          <w:szCs w:val="72"/>
          <w:highlight w:val="none"/>
        </w:rPr>
      </w:pPr>
      <w:r>
        <w:rPr>
          <w:rFonts w:hint="eastAsia" w:ascii="宋体" w:hAnsi="宋体"/>
          <w:b/>
          <w:color w:val="auto"/>
          <w:sz w:val="72"/>
          <w:szCs w:val="72"/>
          <w:highlight w:val="none"/>
        </w:rPr>
        <w:t>云之龙咨询集团有限公司</w:t>
      </w:r>
    </w:p>
    <w:p w14:paraId="0E4316C2">
      <w:pPr>
        <w:spacing w:line="360" w:lineRule="auto"/>
        <w:rPr>
          <w:rFonts w:ascii="方正小标宋简体" w:hAnsi="方正小标宋简体" w:eastAsia="方正小标宋简体" w:cs="方正小标宋简体"/>
          <w:b/>
          <w:color w:val="auto"/>
          <w:sz w:val="44"/>
          <w:szCs w:val="44"/>
          <w:highlight w:val="none"/>
        </w:rPr>
      </w:pPr>
    </w:p>
    <w:p w14:paraId="0EA67B53">
      <w:pPr>
        <w:spacing w:line="360" w:lineRule="auto"/>
        <w:rPr>
          <w:rFonts w:ascii="方正小标宋简体" w:hAnsi="方正小标宋简体" w:eastAsia="方正小标宋简体" w:cs="方正小标宋简体"/>
          <w:b/>
          <w:color w:val="auto"/>
          <w:sz w:val="44"/>
          <w:szCs w:val="44"/>
          <w:highlight w:val="none"/>
        </w:rPr>
      </w:pPr>
    </w:p>
    <w:p w14:paraId="257859FE">
      <w:pPr>
        <w:spacing w:line="360" w:lineRule="auto"/>
        <w:rPr>
          <w:rFonts w:ascii="方正小标宋简体" w:hAnsi="方正小标宋简体" w:eastAsia="方正小标宋简体" w:cs="方正小标宋简体"/>
          <w:b/>
          <w:color w:val="auto"/>
          <w:sz w:val="44"/>
          <w:szCs w:val="44"/>
          <w:highlight w:val="none"/>
        </w:rPr>
      </w:pPr>
    </w:p>
    <w:p w14:paraId="7E3D3F6B">
      <w:pPr>
        <w:spacing w:beforeLines="100" w:afterLines="50" w:line="600" w:lineRule="exact"/>
        <w:jc w:val="center"/>
        <w:rPr>
          <w:rFonts w:ascii="宋体" w:hAnsi="宋体"/>
          <w:b/>
          <w:color w:val="auto"/>
          <w:sz w:val="84"/>
          <w:szCs w:val="84"/>
          <w:highlight w:val="none"/>
        </w:rPr>
      </w:pPr>
      <w:r>
        <w:rPr>
          <w:rFonts w:hint="eastAsia" w:ascii="宋体" w:hAnsi="宋体"/>
          <w:b/>
          <w:color w:val="auto"/>
          <w:sz w:val="84"/>
          <w:szCs w:val="84"/>
          <w:highlight w:val="none"/>
        </w:rPr>
        <w:t>竞争性谈判文件</w:t>
      </w:r>
    </w:p>
    <w:p w14:paraId="7265514F">
      <w:pPr>
        <w:spacing w:beforeLines="100" w:afterLines="50" w:line="600" w:lineRule="exact"/>
        <w:jc w:val="center"/>
        <w:rPr>
          <w:rFonts w:ascii="宋体" w:hAnsi="宋体"/>
          <w:b/>
          <w:color w:val="auto"/>
          <w:sz w:val="84"/>
          <w:szCs w:val="84"/>
          <w:highlight w:val="none"/>
        </w:rPr>
      </w:pPr>
    </w:p>
    <w:p w14:paraId="48AF746A">
      <w:pPr>
        <w:snapToGrid w:val="0"/>
        <w:spacing w:beforeLines="50" w:line="360" w:lineRule="auto"/>
        <w:jc w:val="center"/>
        <w:rPr>
          <w:rFonts w:ascii="宋体" w:hAnsi="宋体"/>
          <w:b/>
          <w:color w:val="auto"/>
          <w:sz w:val="48"/>
          <w:szCs w:val="48"/>
          <w:highlight w:val="none"/>
        </w:rPr>
      </w:pPr>
      <w:r>
        <w:rPr>
          <w:rFonts w:hint="eastAsia" w:ascii="宋体" w:hAnsi="宋体"/>
          <w:b/>
          <w:color w:val="auto"/>
          <w:sz w:val="48"/>
          <w:szCs w:val="48"/>
          <w:highlight w:val="none"/>
        </w:rPr>
        <w:t>（全流程电子化采购）</w:t>
      </w:r>
    </w:p>
    <w:p w14:paraId="3F2D7C72">
      <w:pPr>
        <w:snapToGrid w:val="0"/>
        <w:spacing w:beforeLines="50" w:line="360" w:lineRule="auto"/>
        <w:jc w:val="center"/>
        <w:rPr>
          <w:rFonts w:ascii="宋体" w:hAnsi="宋体"/>
          <w:b/>
          <w:color w:val="auto"/>
          <w:sz w:val="48"/>
          <w:szCs w:val="48"/>
          <w:highlight w:val="none"/>
        </w:rPr>
      </w:pPr>
    </w:p>
    <w:p w14:paraId="5FF25284">
      <w:pPr>
        <w:snapToGrid w:val="0"/>
        <w:spacing w:beforeLines="50" w:line="360" w:lineRule="auto"/>
        <w:rPr>
          <w:rFonts w:ascii="宋体" w:hAnsi="宋体"/>
          <w:b/>
          <w:color w:val="auto"/>
          <w:sz w:val="48"/>
          <w:szCs w:val="48"/>
          <w:highlight w:val="none"/>
        </w:rPr>
      </w:pPr>
    </w:p>
    <w:p w14:paraId="6CBBA72B">
      <w:pPr>
        <w:pStyle w:val="16"/>
        <w:snapToGrid w:val="0"/>
        <w:spacing w:line="360" w:lineRule="auto"/>
        <w:rPr>
          <w:rFonts w:hAnsi="宋体"/>
          <w:b/>
          <w:bCs/>
          <w:color w:val="auto"/>
          <w:sz w:val="30"/>
          <w:szCs w:val="30"/>
          <w:highlight w:val="none"/>
        </w:rPr>
      </w:pPr>
    </w:p>
    <w:p w14:paraId="6F9FC429">
      <w:pPr>
        <w:pStyle w:val="16"/>
        <w:snapToGrid w:val="0"/>
        <w:spacing w:line="360" w:lineRule="auto"/>
        <w:ind w:left="2391" w:leftChars="427" w:hanging="1494" w:hangingChars="496"/>
        <w:rPr>
          <w:rFonts w:hAnsi="宋体"/>
          <w:b/>
          <w:bCs/>
          <w:color w:val="auto"/>
          <w:sz w:val="30"/>
          <w:szCs w:val="30"/>
          <w:highlight w:val="none"/>
        </w:rPr>
      </w:pPr>
      <w:r>
        <w:rPr>
          <w:rFonts w:hint="eastAsia" w:hAnsi="宋体"/>
          <w:b/>
          <w:bCs/>
          <w:color w:val="auto"/>
          <w:sz w:val="30"/>
          <w:szCs w:val="30"/>
          <w:highlight w:val="none"/>
        </w:rPr>
        <w:t>项目名称：防城港市第一人民医院医用氧气（液氧）供应采购</w:t>
      </w:r>
    </w:p>
    <w:p w14:paraId="35DAB4D7">
      <w:pPr>
        <w:pStyle w:val="16"/>
        <w:snapToGrid w:val="0"/>
        <w:spacing w:line="360" w:lineRule="auto"/>
        <w:ind w:firstLine="904" w:firstLineChars="300"/>
        <w:rPr>
          <w:rFonts w:hint="eastAsia" w:hAnsi="宋体"/>
          <w:b/>
          <w:bCs/>
          <w:color w:val="auto"/>
          <w:sz w:val="30"/>
          <w:szCs w:val="30"/>
          <w:highlight w:val="none"/>
          <w:lang w:eastAsia="zh-CN"/>
        </w:rPr>
      </w:pPr>
      <w:r>
        <w:rPr>
          <w:rFonts w:hint="eastAsia" w:hAnsi="宋体"/>
          <w:b/>
          <w:bCs/>
          <w:color w:val="auto"/>
          <w:sz w:val="30"/>
          <w:szCs w:val="30"/>
          <w:highlight w:val="none"/>
        </w:rPr>
        <w:t>项目编号</w:t>
      </w:r>
      <w:r>
        <w:rPr>
          <w:rFonts w:hint="eastAsia" w:hAnsi="宋体"/>
          <w:b/>
          <w:bCs/>
          <w:color w:val="auto"/>
          <w:sz w:val="30"/>
          <w:szCs w:val="30"/>
          <w:highlight w:val="none"/>
          <w:lang w:eastAsia="zh-CN"/>
        </w:rPr>
        <w:t>：FCZC2025-J1-99010</w:t>
      </w:r>
      <w:r>
        <w:rPr>
          <w:rFonts w:hint="eastAsia" w:hAnsi="宋体"/>
          <w:b/>
          <w:bCs/>
          <w:color w:val="auto"/>
          <w:sz w:val="30"/>
          <w:szCs w:val="30"/>
          <w:highlight w:val="none"/>
          <w:lang w:val="en-US" w:eastAsia="zh-CN"/>
        </w:rPr>
        <w:t>5</w:t>
      </w:r>
      <w:r>
        <w:rPr>
          <w:rFonts w:hint="eastAsia" w:hAnsi="宋体"/>
          <w:b/>
          <w:bCs/>
          <w:color w:val="auto"/>
          <w:sz w:val="30"/>
          <w:szCs w:val="30"/>
          <w:highlight w:val="none"/>
          <w:lang w:eastAsia="zh-CN"/>
        </w:rPr>
        <w:t>-YZLZ</w:t>
      </w:r>
    </w:p>
    <w:p w14:paraId="30E5A685">
      <w:pPr>
        <w:pStyle w:val="16"/>
        <w:snapToGrid w:val="0"/>
        <w:spacing w:line="360" w:lineRule="auto"/>
        <w:ind w:firstLine="904" w:firstLineChars="300"/>
        <w:rPr>
          <w:rFonts w:hAnsi="宋体"/>
          <w:b/>
          <w:bCs/>
          <w:color w:val="auto"/>
          <w:sz w:val="30"/>
          <w:szCs w:val="30"/>
          <w:highlight w:val="none"/>
        </w:rPr>
      </w:pPr>
      <w:r>
        <w:rPr>
          <w:rFonts w:hint="eastAsia" w:hAnsi="宋体"/>
          <w:b/>
          <w:bCs/>
          <w:color w:val="auto"/>
          <w:sz w:val="30"/>
          <w:szCs w:val="30"/>
          <w:highlight w:val="none"/>
        </w:rPr>
        <w:t>采 购 人：防城港市第一人民医院</w:t>
      </w:r>
    </w:p>
    <w:p w14:paraId="7BFEF909">
      <w:pPr>
        <w:pStyle w:val="16"/>
        <w:snapToGrid w:val="0"/>
        <w:spacing w:line="360" w:lineRule="auto"/>
        <w:ind w:firstLine="904" w:firstLineChars="300"/>
        <w:rPr>
          <w:rFonts w:hAnsi="宋体"/>
          <w:b/>
          <w:bCs/>
          <w:color w:val="auto"/>
          <w:sz w:val="30"/>
          <w:szCs w:val="30"/>
          <w:highlight w:val="none"/>
        </w:rPr>
      </w:pPr>
      <w:r>
        <w:rPr>
          <w:rFonts w:hint="eastAsia" w:hAnsi="宋体"/>
          <w:b/>
          <w:bCs/>
          <w:color w:val="auto"/>
          <w:sz w:val="30"/>
          <w:szCs w:val="30"/>
          <w:highlight w:val="none"/>
        </w:rPr>
        <w:t>采购代理机构：云之龙咨询集团有限公司</w:t>
      </w:r>
    </w:p>
    <w:p w14:paraId="791B0C21">
      <w:pPr>
        <w:pStyle w:val="16"/>
        <w:snapToGrid w:val="0"/>
        <w:spacing w:line="360" w:lineRule="auto"/>
        <w:ind w:firstLine="4828" w:firstLineChars="1093"/>
        <w:jc w:val="center"/>
        <w:rPr>
          <w:rFonts w:hAnsi="宋体"/>
          <w:b/>
          <w:color w:val="auto"/>
          <w:sz w:val="44"/>
          <w:szCs w:val="44"/>
          <w:highlight w:val="none"/>
        </w:rPr>
      </w:pPr>
    </w:p>
    <w:p w14:paraId="4E5AAC6C">
      <w:pPr>
        <w:pStyle w:val="16"/>
        <w:snapToGrid w:val="0"/>
        <w:spacing w:line="360" w:lineRule="auto"/>
        <w:ind w:firstLine="3292" w:firstLineChars="1093"/>
        <w:rPr>
          <w:rFonts w:hAnsi="宋体"/>
          <w:b/>
          <w:bCs/>
          <w:color w:val="auto"/>
          <w:sz w:val="30"/>
          <w:szCs w:val="30"/>
          <w:highlight w:val="none"/>
        </w:rPr>
      </w:pPr>
      <w:r>
        <w:rPr>
          <w:rFonts w:hint="eastAsia" w:hAnsi="宋体"/>
          <w:b/>
          <w:bCs/>
          <w:color w:val="auto"/>
          <w:sz w:val="30"/>
          <w:szCs w:val="30"/>
          <w:highlight w:val="none"/>
        </w:rPr>
        <w:t>2025年</w:t>
      </w:r>
      <w:r>
        <w:rPr>
          <w:rFonts w:hint="eastAsia" w:hAnsi="宋体"/>
          <w:b/>
          <w:bCs/>
          <w:color w:val="auto"/>
          <w:sz w:val="30"/>
          <w:szCs w:val="30"/>
          <w:highlight w:val="none"/>
          <w:lang w:val="en-US" w:eastAsia="zh-CN"/>
        </w:rPr>
        <w:t>9</w:t>
      </w:r>
      <w:r>
        <w:rPr>
          <w:rFonts w:hint="eastAsia" w:hAnsi="宋体"/>
          <w:b/>
          <w:bCs/>
          <w:color w:val="auto"/>
          <w:sz w:val="30"/>
          <w:szCs w:val="30"/>
          <w:highlight w:val="none"/>
        </w:rPr>
        <w:t>月</w:t>
      </w:r>
    </w:p>
    <w:p w14:paraId="3F306BF4">
      <w:pPr>
        <w:pStyle w:val="16"/>
        <w:snapToGrid w:val="0"/>
        <w:spacing w:line="360" w:lineRule="auto"/>
        <w:ind w:firstLine="3292" w:firstLineChars="1093"/>
        <w:jc w:val="center"/>
        <w:rPr>
          <w:rFonts w:hAnsi="宋体"/>
          <w:b/>
          <w:bCs/>
          <w:color w:val="auto"/>
          <w:sz w:val="30"/>
          <w:szCs w:val="30"/>
          <w:highlight w:val="none"/>
        </w:rPr>
      </w:pPr>
    </w:p>
    <w:p w14:paraId="4BF2B179">
      <w:pPr>
        <w:pStyle w:val="16"/>
        <w:snapToGrid w:val="0"/>
        <w:spacing w:line="360" w:lineRule="auto"/>
        <w:jc w:val="center"/>
        <w:rPr>
          <w:rFonts w:hAnsi="宋体"/>
          <w:b/>
          <w:color w:val="auto"/>
          <w:sz w:val="44"/>
          <w:szCs w:val="44"/>
          <w:highlight w:val="none"/>
        </w:rPr>
      </w:pPr>
      <w:r>
        <w:rPr>
          <w:rFonts w:hint="eastAsia" w:hAnsi="宋体"/>
          <w:b/>
          <w:color w:val="auto"/>
          <w:sz w:val="44"/>
          <w:szCs w:val="44"/>
          <w:highlight w:val="none"/>
        </w:rPr>
        <w:t>目  录</w:t>
      </w:r>
    </w:p>
    <w:p w14:paraId="17F14197">
      <w:pPr>
        <w:spacing w:line="400" w:lineRule="exact"/>
        <w:jc w:val="center"/>
        <w:rPr>
          <w:rFonts w:ascii="宋体" w:hAnsi="宋体"/>
          <w:b/>
          <w:color w:val="auto"/>
          <w:sz w:val="44"/>
          <w:szCs w:val="44"/>
          <w:highlight w:val="none"/>
        </w:rPr>
      </w:pPr>
    </w:p>
    <w:p w14:paraId="45DA76E4">
      <w:pPr>
        <w:pStyle w:val="21"/>
        <w:tabs>
          <w:tab w:val="right" w:leader="dot" w:pos="8869"/>
        </w:tabs>
        <w:spacing w:line="480" w:lineRule="auto"/>
        <w:rPr>
          <w:rFonts w:ascii="Calibri" w:hAnsi="Calibri"/>
          <w:b/>
          <w:bCs/>
          <w:color w:val="auto"/>
          <w:sz w:val="28"/>
          <w:szCs w:val="32"/>
          <w:highlight w:val="none"/>
        </w:rPr>
      </w:pPr>
      <w:r>
        <w:rPr>
          <w:rFonts w:ascii="宋体" w:hAnsi="宋体"/>
          <w:b/>
          <w:bCs/>
          <w:color w:val="auto"/>
          <w:sz w:val="36"/>
          <w:szCs w:val="36"/>
          <w:highlight w:val="none"/>
        </w:rPr>
        <w:fldChar w:fldCharType="begin"/>
      </w:r>
      <w:r>
        <w:rPr>
          <w:rFonts w:ascii="宋体" w:hAnsi="宋体"/>
          <w:b/>
          <w:bCs/>
          <w:color w:val="auto"/>
          <w:sz w:val="36"/>
          <w:szCs w:val="36"/>
          <w:highlight w:val="none"/>
        </w:rPr>
        <w:instrText xml:space="preserve"> </w:instrText>
      </w:r>
      <w:r>
        <w:rPr>
          <w:rFonts w:hint="eastAsia" w:ascii="宋体" w:hAnsi="宋体"/>
          <w:b/>
          <w:bCs/>
          <w:color w:val="auto"/>
          <w:sz w:val="36"/>
          <w:szCs w:val="36"/>
          <w:highlight w:val="none"/>
        </w:rPr>
        <w:instrText xml:space="preserve">TOC \o "1-3" \h \z \u</w:instrText>
      </w:r>
      <w:r>
        <w:rPr>
          <w:rFonts w:ascii="宋体" w:hAnsi="宋体"/>
          <w:b/>
          <w:bCs/>
          <w:color w:val="auto"/>
          <w:sz w:val="36"/>
          <w:szCs w:val="36"/>
          <w:highlight w:val="none"/>
        </w:rPr>
        <w:instrText xml:space="preserve"> </w:instrText>
      </w:r>
      <w:r>
        <w:rPr>
          <w:rFonts w:ascii="宋体" w:hAnsi="宋体"/>
          <w:b/>
          <w:bCs/>
          <w:color w:val="auto"/>
          <w:sz w:val="36"/>
          <w:szCs w:val="36"/>
          <w:highlight w:val="none"/>
        </w:rPr>
        <w:fldChar w:fldCharType="separate"/>
      </w:r>
      <w:r>
        <w:rPr>
          <w:color w:val="auto"/>
          <w:highlight w:val="none"/>
        </w:rPr>
        <w:fldChar w:fldCharType="begin"/>
      </w:r>
      <w:r>
        <w:rPr>
          <w:color w:val="auto"/>
          <w:highlight w:val="none"/>
        </w:rPr>
        <w:instrText xml:space="preserve"> HYPERLINK \l "_Toc168674245" </w:instrText>
      </w:r>
      <w:r>
        <w:rPr>
          <w:color w:val="auto"/>
          <w:highlight w:val="none"/>
        </w:rPr>
        <w:fldChar w:fldCharType="separate"/>
      </w:r>
      <w:r>
        <w:rPr>
          <w:rStyle w:val="33"/>
          <w:rFonts w:hint="eastAsia"/>
          <w:b/>
          <w:bCs/>
          <w:color w:val="auto"/>
          <w:sz w:val="28"/>
          <w:szCs w:val="36"/>
          <w:highlight w:val="none"/>
        </w:rPr>
        <w:t>第一章</w:t>
      </w:r>
      <w:r>
        <w:rPr>
          <w:rStyle w:val="33"/>
          <w:b/>
          <w:bCs/>
          <w:color w:val="auto"/>
          <w:sz w:val="28"/>
          <w:szCs w:val="36"/>
          <w:highlight w:val="none"/>
        </w:rPr>
        <w:t xml:space="preserve"> </w:t>
      </w:r>
      <w:r>
        <w:rPr>
          <w:rStyle w:val="33"/>
          <w:rFonts w:hint="eastAsia"/>
          <w:b/>
          <w:bCs/>
          <w:color w:val="auto"/>
          <w:sz w:val="28"/>
          <w:szCs w:val="36"/>
          <w:highlight w:val="none"/>
        </w:rPr>
        <w:t>竞争性谈判公告</w:t>
      </w:r>
      <w:r>
        <w:rPr>
          <w:b/>
          <w:bCs/>
          <w:color w:val="auto"/>
          <w:sz w:val="28"/>
          <w:szCs w:val="36"/>
          <w:highlight w:val="none"/>
        </w:rPr>
        <w:tab/>
      </w:r>
      <w:r>
        <w:rPr>
          <w:b/>
          <w:bCs/>
          <w:color w:val="auto"/>
          <w:sz w:val="28"/>
          <w:szCs w:val="36"/>
          <w:highlight w:val="none"/>
        </w:rPr>
        <w:fldChar w:fldCharType="begin"/>
      </w:r>
      <w:r>
        <w:rPr>
          <w:b/>
          <w:bCs/>
          <w:color w:val="auto"/>
          <w:sz w:val="28"/>
          <w:szCs w:val="36"/>
          <w:highlight w:val="none"/>
        </w:rPr>
        <w:instrText xml:space="preserve"> PAGEREF _Toc168674245 \h </w:instrText>
      </w:r>
      <w:r>
        <w:rPr>
          <w:b/>
          <w:bCs/>
          <w:color w:val="auto"/>
          <w:sz w:val="28"/>
          <w:szCs w:val="36"/>
          <w:highlight w:val="none"/>
        </w:rPr>
        <w:fldChar w:fldCharType="separate"/>
      </w:r>
      <w:r>
        <w:rPr>
          <w:b/>
          <w:bCs/>
          <w:color w:val="auto"/>
          <w:sz w:val="28"/>
          <w:szCs w:val="36"/>
          <w:highlight w:val="none"/>
        </w:rPr>
        <w:t>2</w:t>
      </w:r>
      <w:r>
        <w:rPr>
          <w:b/>
          <w:bCs/>
          <w:color w:val="auto"/>
          <w:sz w:val="28"/>
          <w:szCs w:val="36"/>
          <w:highlight w:val="none"/>
        </w:rPr>
        <w:fldChar w:fldCharType="end"/>
      </w:r>
      <w:r>
        <w:rPr>
          <w:b/>
          <w:bCs/>
          <w:color w:val="auto"/>
          <w:sz w:val="28"/>
          <w:szCs w:val="36"/>
          <w:highlight w:val="none"/>
        </w:rPr>
        <w:fldChar w:fldCharType="end"/>
      </w:r>
    </w:p>
    <w:p w14:paraId="5C3F0450">
      <w:pPr>
        <w:pStyle w:val="21"/>
        <w:tabs>
          <w:tab w:val="right" w:leader="dot" w:pos="8869"/>
        </w:tabs>
        <w:spacing w:line="480" w:lineRule="auto"/>
        <w:rPr>
          <w:rFonts w:ascii="Calibri" w:hAnsi="Calibri"/>
          <w:b/>
          <w:bCs/>
          <w:color w:val="auto"/>
          <w:sz w:val="28"/>
          <w:szCs w:val="32"/>
          <w:highlight w:val="none"/>
        </w:rPr>
      </w:pPr>
      <w:r>
        <w:rPr>
          <w:color w:val="auto"/>
          <w:highlight w:val="none"/>
        </w:rPr>
        <w:fldChar w:fldCharType="begin"/>
      </w:r>
      <w:r>
        <w:rPr>
          <w:color w:val="auto"/>
          <w:highlight w:val="none"/>
        </w:rPr>
        <w:instrText xml:space="preserve"> HYPERLINK \l "_Toc168674246" </w:instrText>
      </w:r>
      <w:r>
        <w:rPr>
          <w:color w:val="auto"/>
          <w:highlight w:val="none"/>
        </w:rPr>
        <w:fldChar w:fldCharType="separate"/>
      </w:r>
      <w:r>
        <w:rPr>
          <w:rStyle w:val="33"/>
          <w:rFonts w:hint="eastAsia"/>
          <w:b/>
          <w:bCs/>
          <w:color w:val="auto"/>
          <w:sz w:val="28"/>
          <w:szCs w:val="36"/>
          <w:highlight w:val="none"/>
        </w:rPr>
        <w:t>第二章</w:t>
      </w:r>
      <w:r>
        <w:rPr>
          <w:rStyle w:val="33"/>
          <w:b/>
          <w:bCs/>
          <w:color w:val="auto"/>
          <w:sz w:val="28"/>
          <w:szCs w:val="36"/>
          <w:highlight w:val="none"/>
        </w:rPr>
        <w:t xml:space="preserve"> </w:t>
      </w:r>
      <w:r>
        <w:rPr>
          <w:rStyle w:val="33"/>
          <w:rFonts w:hint="eastAsia"/>
          <w:b/>
          <w:bCs/>
          <w:color w:val="auto"/>
          <w:sz w:val="28"/>
          <w:szCs w:val="36"/>
          <w:highlight w:val="none"/>
        </w:rPr>
        <w:t>供应商须知</w:t>
      </w:r>
      <w:r>
        <w:rPr>
          <w:b/>
          <w:bCs/>
          <w:color w:val="auto"/>
          <w:sz w:val="28"/>
          <w:szCs w:val="36"/>
          <w:highlight w:val="none"/>
        </w:rPr>
        <w:tab/>
      </w:r>
      <w:r>
        <w:rPr>
          <w:b/>
          <w:bCs/>
          <w:color w:val="auto"/>
          <w:sz w:val="28"/>
          <w:szCs w:val="36"/>
          <w:highlight w:val="none"/>
        </w:rPr>
        <w:fldChar w:fldCharType="begin"/>
      </w:r>
      <w:r>
        <w:rPr>
          <w:b/>
          <w:bCs/>
          <w:color w:val="auto"/>
          <w:sz w:val="28"/>
          <w:szCs w:val="36"/>
          <w:highlight w:val="none"/>
        </w:rPr>
        <w:instrText xml:space="preserve"> PAGEREF _Toc168674246 \h </w:instrText>
      </w:r>
      <w:r>
        <w:rPr>
          <w:b/>
          <w:bCs/>
          <w:color w:val="auto"/>
          <w:sz w:val="28"/>
          <w:szCs w:val="36"/>
          <w:highlight w:val="none"/>
        </w:rPr>
        <w:fldChar w:fldCharType="separate"/>
      </w:r>
      <w:r>
        <w:rPr>
          <w:b/>
          <w:bCs/>
          <w:color w:val="auto"/>
          <w:sz w:val="28"/>
          <w:szCs w:val="36"/>
          <w:highlight w:val="none"/>
        </w:rPr>
        <w:t>5</w:t>
      </w:r>
      <w:r>
        <w:rPr>
          <w:b/>
          <w:bCs/>
          <w:color w:val="auto"/>
          <w:sz w:val="28"/>
          <w:szCs w:val="36"/>
          <w:highlight w:val="none"/>
        </w:rPr>
        <w:fldChar w:fldCharType="end"/>
      </w:r>
      <w:r>
        <w:rPr>
          <w:b/>
          <w:bCs/>
          <w:color w:val="auto"/>
          <w:sz w:val="28"/>
          <w:szCs w:val="36"/>
          <w:highlight w:val="none"/>
        </w:rPr>
        <w:fldChar w:fldCharType="end"/>
      </w:r>
    </w:p>
    <w:p w14:paraId="48BE49D2">
      <w:pPr>
        <w:pStyle w:val="21"/>
        <w:tabs>
          <w:tab w:val="right" w:leader="dot" w:pos="8869"/>
        </w:tabs>
        <w:spacing w:line="480" w:lineRule="auto"/>
        <w:rPr>
          <w:rFonts w:ascii="Calibri" w:hAnsi="Calibri"/>
          <w:b/>
          <w:bCs/>
          <w:color w:val="auto"/>
          <w:sz w:val="28"/>
          <w:szCs w:val="32"/>
          <w:highlight w:val="none"/>
        </w:rPr>
      </w:pPr>
      <w:r>
        <w:rPr>
          <w:color w:val="auto"/>
          <w:highlight w:val="none"/>
        </w:rPr>
        <w:fldChar w:fldCharType="begin"/>
      </w:r>
      <w:r>
        <w:rPr>
          <w:color w:val="auto"/>
          <w:highlight w:val="none"/>
        </w:rPr>
        <w:instrText xml:space="preserve"> HYPERLINK \l "_Toc168674247" </w:instrText>
      </w:r>
      <w:r>
        <w:rPr>
          <w:color w:val="auto"/>
          <w:highlight w:val="none"/>
        </w:rPr>
        <w:fldChar w:fldCharType="separate"/>
      </w:r>
      <w:r>
        <w:rPr>
          <w:rStyle w:val="33"/>
          <w:rFonts w:hint="eastAsia"/>
          <w:b/>
          <w:bCs/>
          <w:color w:val="auto"/>
          <w:sz w:val="28"/>
          <w:szCs w:val="36"/>
          <w:highlight w:val="none"/>
        </w:rPr>
        <w:t>第三章</w:t>
      </w:r>
      <w:r>
        <w:rPr>
          <w:rStyle w:val="33"/>
          <w:b/>
          <w:bCs/>
          <w:color w:val="auto"/>
          <w:sz w:val="28"/>
          <w:szCs w:val="36"/>
          <w:highlight w:val="none"/>
        </w:rPr>
        <w:t xml:space="preserve"> </w:t>
      </w:r>
      <w:r>
        <w:rPr>
          <w:rStyle w:val="33"/>
          <w:rFonts w:hint="eastAsia"/>
          <w:b/>
          <w:bCs/>
          <w:color w:val="auto"/>
          <w:sz w:val="28"/>
          <w:szCs w:val="36"/>
          <w:highlight w:val="none"/>
        </w:rPr>
        <w:t>采购需求</w:t>
      </w:r>
      <w:r>
        <w:rPr>
          <w:b/>
          <w:bCs/>
          <w:color w:val="auto"/>
          <w:sz w:val="28"/>
          <w:szCs w:val="36"/>
          <w:highlight w:val="none"/>
        </w:rPr>
        <w:tab/>
      </w:r>
      <w:r>
        <w:rPr>
          <w:b/>
          <w:bCs/>
          <w:color w:val="auto"/>
          <w:sz w:val="28"/>
          <w:szCs w:val="36"/>
          <w:highlight w:val="none"/>
        </w:rPr>
        <w:fldChar w:fldCharType="begin"/>
      </w:r>
      <w:r>
        <w:rPr>
          <w:b/>
          <w:bCs/>
          <w:color w:val="auto"/>
          <w:sz w:val="28"/>
          <w:szCs w:val="36"/>
          <w:highlight w:val="none"/>
        </w:rPr>
        <w:instrText xml:space="preserve"> PAGEREF _Toc168674247 \h </w:instrText>
      </w:r>
      <w:r>
        <w:rPr>
          <w:b/>
          <w:bCs/>
          <w:color w:val="auto"/>
          <w:sz w:val="28"/>
          <w:szCs w:val="36"/>
          <w:highlight w:val="none"/>
        </w:rPr>
        <w:fldChar w:fldCharType="separate"/>
      </w:r>
      <w:r>
        <w:rPr>
          <w:b/>
          <w:bCs/>
          <w:color w:val="auto"/>
          <w:sz w:val="28"/>
          <w:szCs w:val="36"/>
          <w:highlight w:val="none"/>
        </w:rPr>
        <w:t>23</w:t>
      </w:r>
      <w:r>
        <w:rPr>
          <w:b/>
          <w:bCs/>
          <w:color w:val="auto"/>
          <w:sz w:val="28"/>
          <w:szCs w:val="36"/>
          <w:highlight w:val="none"/>
        </w:rPr>
        <w:fldChar w:fldCharType="end"/>
      </w:r>
      <w:r>
        <w:rPr>
          <w:b/>
          <w:bCs/>
          <w:color w:val="auto"/>
          <w:sz w:val="28"/>
          <w:szCs w:val="36"/>
          <w:highlight w:val="none"/>
        </w:rPr>
        <w:fldChar w:fldCharType="end"/>
      </w:r>
    </w:p>
    <w:p w14:paraId="0E5100AD">
      <w:pPr>
        <w:pStyle w:val="21"/>
        <w:tabs>
          <w:tab w:val="right" w:leader="dot" w:pos="8869"/>
        </w:tabs>
        <w:spacing w:line="480" w:lineRule="auto"/>
        <w:rPr>
          <w:rFonts w:ascii="Calibri" w:hAnsi="Calibri"/>
          <w:b/>
          <w:bCs/>
          <w:color w:val="auto"/>
          <w:sz w:val="28"/>
          <w:szCs w:val="32"/>
          <w:highlight w:val="none"/>
        </w:rPr>
      </w:pPr>
      <w:r>
        <w:rPr>
          <w:color w:val="auto"/>
          <w:highlight w:val="none"/>
        </w:rPr>
        <w:fldChar w:fldCharType="begin"/>
      </w:r>
      <w:r>
        <w:rPr>
          <w:color w:val="auto"/>
          <w:highlight w:val="none"/>
        </w:rPr>
        <w:instrText xml:space="preserve"> HYPERLINK \l "_Toc168674248" </w:instrText>
      </w:r>
      <w:r>
        <w:rPr>
          <w:color w:val="auto"/>
          <w:highlight w:val="none"/>
        </w:rPr>
        <w:fldChar w:fldCharType="separate"/>
      </w:r>
      <w:r>
        <w:rPr>
          <w:rStyle w:val="33"/>
          <w:rFonts w:hint="eastAsia"/>
          <w:b/>
          <w:bCs/>
          <w:color w:val="auto"/>
          <w:sz w:val="28"/>
          <w:szCs w:val="36"/>
          <w:highlight w:val="none"/>
        </w:rPr>
        <w:t>第四章</w:t>
      </w:r>
      <w:r>
        <w:rPr>
          <w:rStyle w:val="33"/>
          <w:b/>
          <w:bCs/>
          <w:color w:val="auto"/>
          <w:sz w:val="28"/>
          <w:szCs w:val="36"/>
          <w:highlight w:val="none"/>
        </w:rPr>
        <w:t xml:space="preserve"> </w:t>
      </w:r>
      <w:r>
        <w:rPr>
          <w:rStyle w:val="33"/>
          <w:rFonts w:hint="eastAsia"/>
          <w:b/>
          <w:bCs/>
          <w:color w:val="auto"/>
          <w:sz w:val="28"/>
          <w:szCs w:val="36"/>
          <w:highlight w:val="none"/>
        </w:rPr>
        <w:t>评审程序和评定成交的标准</w:t>
      </w:r>
      <w:r>
        <w:rPr>
          <w:b/>
          <w:bCs/>
          <w:color w:val="auto"/>
          <w:sz w:val="28"/>
          <w:szCs w:val="36"/>
          <w:highlight w:val="none"/>
        </w:rPr>
        <w:tab/>
      </w:r>
      <w:r>
        <w:rPr>
          <w:b/>
          <w:bCs/>
          <w:color w:val="auto"/>
          <w:sz w:val="28"/>
          <w:szCs w:val="36"/>
          <w:highlight w:val="none"/>
        </w:rPr>
        <w:fldChar w:fldCharType="end"/>
      </w:r>
      <w:r>
        <w:rPr>
          <w:rFonts w:hint="eastAsia"/>
          <w:b/>
          <w:bCs/>
          <w:color w:val="auto"/>
          <w:sz w:val="28"/>
          <w:szCs w:val="36"/>
          <w:highlight w:val="none"/>
        </w:rPr>
        <w:t>28</w:t>
      </w:r>
    </w:p>
    <w:p w14:paraId="5FFF86F4">
      <w:pPr>
        <w:pStyle w:val="21"/>
        <w:tabs>
          <w:tab w:val="right" w:leader="dot" w:pos="8869"/>
        </w:tabs>
        <w:spacing w:line="480" w:lineRule="auto"/>
        <w:rPr>
          <w:rFonts w:ascii="Calibri" w:hAnsi="Calibri"/>
          <w:b/>
          <w:bCs/>
          <w:color w:val="auto"/>
          <w:sz w:val="28"/>
          <w:szCs w:val="32"/>
          <w:highlight w:val="none"/>
        </w:rPr>
      </w:pPr>
      <w:r>
        <w:rPr>
          <w:color w:val="auto"/>
          <w:highlight w:val="none"/>
        </w:rPr>
        <w:fldChar w:fldCharType="begin"/>
      </w:r>
      <w:r>
        <w:rPr>
          <w:color w:val="auto"/>
          <w:highlight w:val="none"/>
        </w:rPr>
        <w:instrText xml:space="preserve"> HYPERLINK \l "_Toc168674249" </w:instrText>
      </w:r>
      <w:r>
        <w:rPr>
          <w:color w:val="auto"/>
          <w:highlight w:val="none"/>
        </w:rPr>
        <w:fldChar w:fldCharType="separate"/>
      </w:r>
      <w:r>
        <w:rPr>
          <w:rStyle w:val="33"/>
          <w:rFonts w:hint="eastAsia"/>
          <w:b/>
          <w:bCs/>
          <w:color w:val="auto"/>
          <w:sz w:val="28"/>
          <w:szCs w:val="36"/>
          <w:highlight w:val="none"/>
        </w:rPr>
        <w:t>第五章</w:t>
      </w:r>
      <w:r>
        <w:rPr>
          <w:rStyle w:val="33"/>
          <w:b/>
          <w:bCs/>
          <w:color w:val="auto"/>
          <w:sz w:val="28"/>
          <w:szCs w:val="36"/>
          <w:highlight w:val="none"/>
        </w:rPr>
        <w:t xml:space="preserve"> </w:t>
      </w:r>
      <w:r>
        <w:rPr>
          <w:rStyle w:val="33"/>
          <w:rFonts w:hint="eastAsia"/>
          <w:b/>
          <w:bCs/>
          <w:color w:val="auto"/>
          <w:sz w:val="28"/>
          <w:szCs w:val="36"/>
          <w:highlight w:val="none"/>
        </w:rPr>
        <w:t>响应文件格式</w:t>
      </w:r>
      <w:r>
        <w:rPr>
          <w:b/>
          <w:bCs/>
          <w:color w:val="auto"/>
          <w:sz w:val="28"/>
          <w:szCs w:val="36"/>
          <w:highlight w:val="none"/>
        </w:rPr>
        <w:tab/>
      </w:r>
      <w:r>
        <w:rPr>
          <w:b/>
          <w:bCs/>
          <w:color w:val="auto"/>
          <w:sz w:val="28"/>
          <w:szCs w:val="36"/>
          <w:highlight w:val="none"/>
        </w:rPr>
        <w:fldChar w:fldCharType="end"/>
      </w:r>
      <w:r>
        <w:rPr>
          <w:rFonts w:hint="eastAsia"/>
          <w:b/>
          <w:bCs/>
          <w:color w:val="auto"/>
          <w:sz w:val="28"/>
          <w:szCs w:val="36"/>
          <w:highlight w:val="none"/>
        </w:rPr>
        <w:t>33</w:t>
      </w:r>
    </w:p>
    <w:p w14:paraId="6A5F7019">
      <w:pPr>
        <w:pStyle w:val="21"/>
        <w:tabs>
          <w:tab w:val="right" w:leader="dot" w:pos="8869"/>
        </w:tabs>
        <w:spacing w:line="480" w:lineRule="auto"/>
        <w:rPr>
          <w:rFonts w:ascii="Calibri" w:hAnsi="Calibri"/>
          <w:b/>
          <w:bCs/>
          <w:color w:val="auto"/>
          <w:sz w:val="28"/>
          <w:szCs w:val="32"/>
          <w:highlight w:val="none"/>
        </w:rPr>
      </w:pPr>
      <w:r>
        <w:rPr>
          <w:color w:val="auto"/>
          <w:highlight w:val="none"/>
        </w:rPr>
        <w:fldChar w:fldCharType="begin"/>
      </w:r>
      <w:r>
        <w:rPr>
          <w:color w:val="auto"/>
          <w:highlight w:val="none"/>
        </w:rPr>
        <w:instrText xml:space="preserve"> HYPERLINK \l "_Toc168674250" </w:instrText>
      </w:r>
      <w:r>
        <w:rPr>
          <w:color w:val="auto"/>
          <w:highlight w:val="none"/>
        </w:rPr>
        <w:fldChar w:fldCharType="separate"/>
      </w:r>
      <w:r>
        <w:rPr>
          <w:rStyle w:val="33"/>
          <w:rFonts w:hint="eastAsia"/>
          <w:b/>
          <w:bCs/>
          <w:color w:val="auto"/>
          <w:sz w:val="28"/>
          <w:szCs w:val="36"/>
          <w:highlight w:val="none"/>
        </w:rPr>
        <w:t>第六章</w:t>
      </w:r>
      <w:r>
        <w:rPr>
          <w:rStyle w:val="33"/>
          <w:b/>
          <w:bCs/>
          <w:color w:val="auto"/>
          <w:sz w:val="28"/>
          <w:szCs w:val="36"/>
          <w:highlight w:val="none"/>
        </w:rPr>
        <w:t xml:space="preserve"> </w:t>
      </w:r>
      <w:r>
        <w:rPr>
          <w:rStyle w:val="33"/>
          <w:rFonts w:hint="eastAsia"/>
          <w:b/>
          <w:bCs/>
          <w:color w:val="auto"/>
          <w:sz w:val="28"/>
          <w:szCs w:val="36"/>
          <w:highlight w:val="none"/>
        </w:rPr>
        <w:t>拟签订的合同文本</w:t>
      </w:r>
      <w:r>
        <w:rPr>
          <w:b/>
          <w:bCs/>
          <w:color w:val="auto"/>
          <w:sz w:val="28"/>
          <w:szCs w:val="36"/>
          <w:highlight w:val="none"/>
        </w:rPr>
        <w:tab/>
      </w:r>
      <w:r>
        <w:rPr>
          <w:b/>
          <w:bCs/>
          <w:color w:val="auto"/>
          <w:sz w:val="28"/>
          <w:szCs w:val="36"/>
          <w:highlight w:val="none"/>
        </w:rPr>
        <w:fldChar w:fldCharType="end"/>
      </w:r>
      <w:r>
        <w:rPr>
          <w:rFonts w:hint="eastAsia"/>
          <w:b/>
          <w:bCs/>
          <w:color w:val="auto"/>
          <w:sz w:val="28"/>
          <w:szCs w:val="36"/>
          <w:highlight w:val="none"/>
        </w:rPr>
        <w:t>58</w:t>
      </w:r>
    </w:p>
    <w:p w14:paraId="369EE86E">
      <w:pPr>
        <w:pStyle w:val="22"/>
        <w:tabs>
          <w:tab w:val="right" w:leader="dot" w:pos="8931"/>
          <w:tab w:val="clear" w:pos="8296"/>
        </w:tabs>
        <w:snapToGrid w:val="0"/>
        <w:spacing w:line="480" w:lineRule="auto"/>
        <w:ind w:left="0" w:leftChars="0"/>
        <w:rPr>
          <w:rFonts w:ascii="宋体" w:hAnsi="宋体"/>
          <w:b/>
          <w:bCs/>
          <w:color w:val="auto"/>
          <w:sz w:val="24"/>
          <w:highlight w:val="none"/>
        </w:rPr>
      </w:pPr>
      <w:r>
        <w:rPr>
          <w:rFonts w:ascii="宋体" w:hAnsi="宋体"/>
          <w:b/>
          <w:bCs/>
          <w:color w:val="auto"/>
          <w:sz w:val="36"/>
          <w:szCs w:val="36"/>
          <w:highlight w:val="none"/>
        </w:rPr>
        <w:fldChar w:fldCharType="end"/>
      </w:r>
    </w:p>
    <w:p w14:paraId="6D959D38">
      <w:pPr>
        <w:spacing w:line="400" w:lineRule="exact"/>
        <w:jc w:val="left"/>
        <w:rPr>
          <w:rFonts w:ascii="宋体" w:hAnsi="宋体"/>
          <w:b/>
          <w:color w:val="auto"/>
          <w:sz w:val="32"/>
          <w:szCs w:val="32"/>
          <w:highlight w:val="none"/>
        </w:rPr>
      </w:pPr>
    </w:p>
    <w:p w14:paraId="253B006D">
      <w:pPr>
        <w:spacing w:line="400" w:lineRule="exact"/>
        <w:jc w:val="center"/>
        <w:rPr>
          <w:rFonts w:ascii="宋体" w:hAnsi="宋体"/>
          <w:b/>
          <w:color w:val="auto"/>
          <w:sz w:val="32"/>
          <w:szCs w:val="32"/>
          <w:highlight w:val="none"/>
        </w:rPr>
      </w:pPr>
    </w:p>
    <w:p w14:paraId="5D999C0C">
      <w:pPr>
        <w:spacing w:line="400" w:lineRule="exact"/>
        <w:jc w:val="center"/>
        <w:rPr>
          <w:rFonts w:ascii="宋体" w:hAnsi="宋体"/>
          <w:b/>
          <w:color w:val="auto"/>
          <w:sz w:val="32"/>
          <w:szCs w:val="32"/>
          <w:highlight w:val="none"/>
        </w:rPr>
      </w:pPr>
    </w:p>
    <w:p w14:paraId="6F4F05A2">
      <w:pPr>
        <w:spacing w:line="400" w:lineRule="exact"/>
        <w:jc w:val="center"/>
        <w:rPr>
          <w:rFonts w:ascii="宋体" w:hAnsi="宋体"/>
          <w:b/>
          <w:color w:val="auto"/>
          <w:sz w:val="32"/>
          <w:szCs w:val="32"/>
          <w:highlight w:val="none"/>
        </w:rPr>
      </w:pPr>
    </w:p>
    <w:p w14:paraId="409EA421">
      <w:pPr>
        <w:spacing w:line="400" w:lineRule="exact"/>
        <w:jc w:val="center"/>
        <w:rPr>
          <w:rFonts w:ascii="宋体" w:hAnsi="宋体"/>
          <w:b/>
          <w:color w:val="auto"/>
          <w:sz w:val="32"/>
          <w:szCs w:val="32"/>
          <w:highlight w:val="none"/>
        </w:rPr>
      </w:pPr>
    </w:p>
    <w:p w14:paraId="0FA6E467">
      <w:pPr>
        <w:spacing w:line="400" w:lineRule="exact"/>
        <w:rPr>
          <w:rFonts w:ascii="宋体" w:hAnsi="宋体"/>
          <w:b/>
          <w:color w:val="auto"/>
          <w:sz w:val="32"/>
          <w:szCs w:val="32"/>
          <w:highlight w:val="none"/>
        </w:rPr>
        <w:sectPr>
          <w:headerReference r:id="rId3" w:type="default"/>
          <w:footerReference r:id="rId4" w:type="default"/>
          <w:pgSz w:w="11906" w:h="16838"/>
          <w:pgMar w:top="1440" w:right="1440" w:bottom="1440" w:left="1587" w:header="851" w:footer="992" w:gutter="0"/>
          <w:pgNumType w:start="0"/>
          <w:cols w:space="720" w:num="1"/>
          <w:titlePg/>
          <w:docGrid w:type="lines" w:linePitch="312" w:charSpace="0"/>
        </w:sectPr>
      </w:pPr>
    </w:p>
    <w:p w14:paraId="1104C23E">
      <w:pPr>
        <w:pStyle w:val="3"/>
        <w:spacing w:after="100" w:line="480" w:lineRule="auto"/>
        <w:jc w:val="center"/>
        <w:rPr>
          <w:color w:val="auto"/>
          <w:highlight w:val="none"/>
        </w:rPr>
      </w:pPr>
      <w:bookmarkStart w:id="0" w:name="_Toc168674245"/>
      <w:r>
        <w:rPr>
          <w:rFonts w:hint="eastAsia"/>
          <w:color w:val="auto"/>
          <w:highlight w:val="none"/>
        </w:rPr>
        <w:t>第一章 竞争性谈判公告</w:t>
      </w:r>
      <w:bookmarkEnd w:id="0"/>
    </w:p>
    <w:p w14:paraId="3D9612A3">
      <w:pPr>
        <w:spacing w:line="400" w:lineRule="exact"/>
        <w:ind w:firstLine="301" w:firstLineChars="100"/>
        <w:jc w:val="center"/>
        <w:rPr>
          <w:rFonts w:ascii="宋体" w:hAnsi="宋体"/>
          <w:b/>
          <w:bCs/>
          <w:color w:val="auto"/>
          <w:sz w:val="30"/>
          <w:szCs w:val="30"/>
          <w:highlight w:val="none"/>
        </w:rPr>
      </w:pPr>
      <w:r>
        <w:rPr>
          <w:rFonts w:hint="eastAsia" w:ascii="宋体" w:hAnsi="宋体"/>
          <w:b/>
          <w:bCs/>
          <w:color w:val="auto"/>
          <w:sz w:val="30"/>
          <w:szCs w:val="30"/>
          <w:highlight w:val="none"/>
        </w:rPr>
        <w:t>防城港市第一人民医院医用氧气（液氧）供应采购</w:t>
      </w:r>
    </w:p>
    <w:p w14:paraId="58DB56AF">
      <w:pPr>
        <w:spacing w:line="400" w:lineRule="exact"/>
        <w:ind w:firstLine="301" w:firstLineChars="100"/>
        <w:jc w:val="center"/>
        <w:rPr>
          <w:rFonts w:ascii="宋体" w:hAnsi="宋体"/>
          <w:b/>
          <w:bCs/>
          <w:color w:val="auto"/>
          <w:sz w:val="30"/>
          <w:szCs w:val="30"/>
          <w:highlight w:val="none"/>
        </w:rPr>
      </w:pPr>
      <w:r>
        <w:rPr>
          <w:rFonts w:hint="eastAsia" w:ascii="宋体" w:hAnsi="宋体"/>
          <w:b/>
          <w:bCs/>
          <w:color w:val="auto"/>
          <w:sz w:val="30"/>
          <w:szCs w:val="30"/>
          <w:highlight w:val="none"/>
        </w:rPr>
        <w:t>竞争性谈判公告</w:t>
      </w:r>
    </w:p>
    <w:p w14:paraId="349B62DE">
      <w:pPr>
        <w:pBdr>
          <w:top w:val="single" w:color="auto" w:sz="4" w:space="1"/>
          <w:left w:val="single" w:color="auto" w:sz="4" w:space="4"/>
          <w:bottom w:val="single" w:color="auto" w:sz="4" w:space="0"/>
          <w:right w:val="single" w:color="auto" w:sz="4" w:space="4"/>
        </w:pBdr>
        <w:spacing w:line="340" w:lineRule="exact"/>
        <w:ind w:firstLine="420" w:firstLineChars="200"/>
        <w:rPr>
          <w:rFonts w:ascii="宋体" w:hAnsi="宋体"/>
          <w:color w:val="auto"/>
          <w:szCs w:val="21"/>
          <w:highlight w:val="none"/>
        </w:rPr>
      </w:pPr>
      <w:bookmarkStart w:id="1" w:name="_Hlk37430271"/>
      <w:r>
        <w:rPr>
          <w:rFonts w:hint="eastAsia" w:ascii="宋体" w:hAnsi="宋体"/>
          <w:color w:val="auto"/>
          <w:szCs w:val="21"/>
          <w:highlight w:val="none"/>
        </w:rPr>
        <w:t>项目概况</w:t>
      </w:r>
    </w:p>
    <w:p w14:paraId="61183AC5">
      <w:pPr>
        <w:pBdr>
          <w:top w:val="single" w:color="auto" w:sz="4" w:space="1"/>
          <w:left w:val="single" w:color="auto" w:sz="4" w:space="4"/>
          <w:bottom w:val="single" w:color="auto" w:sz="4" w:space="0"/>
          <w:right w:val="single" w:color="auto" w:sz="4" w:space="4"/>
        </w:pBdr>
        <w:spacing w:line="340" w:lineRule="exact"/>
        <w:ind w:firstLine="420" w:firstLineChars="200"/>
        <w:rPr>
          <w:rFonts w:ascii="宋体" w:hAnsi="宋体"/>
          <w:b/>
          <w:bCs/>
          <w:color w:val="auto"/>
          <w:szCs w:val="21"/>
          <w:highlight w:val="none"/>
        </w:rPr>
      </w:pPr>
      <w:r>
        <w:rPr>
          <w:rFonts w:hint="eastAsia" w:ascii="宋体" w:hAnsi="宋体"/>
          <w:bCs/>
          <w:color w:val="auto"/>
          <w:szCs w:val="21"/>
          <w:highlight w:val="none"/>
        </w:rPr>
        <w:t>防城港市第一人民医院医用氧气（液氧）供应采购项目</w:t>
      </w:r>
      <w:r>
        <w:rPr>
          <w:rFonts w:hint="eastAsia" w:ascii="宋体" w:hAnsi="宋体"/>
          <w:color w:val="auto"/>
          <w:szCs w:val="21"/>
          <w:highlight w:val="none"/>
        </w:rPr>
        <w:t>的潜在供应商应在广西政府采购云平台（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）获取（下载）竞争性谈判文件，并于2025</w:t>
      </w:r>
      <w:r>
        <w:rPr>
          <w:rFonts w:hint="eastAsia" w:ascii="宋体" w:hAnsi="宋体"/>
          <w:bCs/>
          <w:color w:val="auto"/>
          <w:szCs w:val="21"/>
          <w:highlight w:val="none"/>
        </w:rPr>
        <w:t>年</w:t>
      </w:r>
      <w:r>
        <w:rPr>
          <w:rFonts w:hint="eastAsia" w:ascii="宋体" w:hAnsi="宋体"/>
          <w:bCs/>
          <w:color w:val="auto"/>
          <w:szCs w:val="21"/>
          <w:highlight w:val="none"/>
          <w:lang w:val="en-US" w:eastAsia="zh-CN"/>
        </w:rPr>
        <w:t>9</w:t>
      </w:r>
      <w:r>
        <w:rPr>
          <w:rFonts w:hint="eastAsia" w:ascii="宋体" w:hAnsi="宋体"/>
          <w:bCs/>
          <w:color w:val="auto"/>
          <w:szCs w:val="21"/>
          <w:highlight w:val="none"/>
        </w:rPr>
        <w:t>月</w:t>
      </w:r>
      <w:r>
        <w:rPr>
          <w:rFonts w:hint="eastAsia" w:ascii="宋体" w:hAnsi="宋体"/>
          <w:bCs/>
          <w:color w:val="auto"/>
          <w:szCs w:val="21"/>
          <w:highlight w:val="none"/>
          <w:lang w:val="en-US" w:eastAsia="zh-CN"/>
        </w:rPr>
        <w:t>12</w:t>
      </w:r>
      <w:r>
        <w:rPr>
          <w:rFonts w:hint="eastAsia" w:ascii="宋体" w:hAnsi="宋体"/>
          <w:bCs/>
          <w:color w:val="auto"/>
          <w:szCs w:val="21"/>
          <w:highlight w:val="none"/>
        </w:rPr>
        <w:t>日9时30分（北京时间）前提交（上传）</w:t>
      </w:r>
      <w:r>
        <w:rPr>
          <w:rFonts w:hint="eastAsia" w:ascii="宋体" w:hAnsi="宋体"/>
          <w:color w:val="auto"/>
          <w:szCs w:val="21"/>
          <w:highlight w:val="none"/>
        </w:rPr>
        <w:t>响应</w:t>
      </w:r>
      <w:r>
        <w:rPr>
          <w:rFonts w:ascii="宋体" w:hAnsi="宋体"/>
          <w:bCs/>
          <w:color w:val="auto"/>
          <w:szCs w:val="21"/>
          <w:highlight w:val="none"/>
        </w:rPr>
        <w:t>文件</w:t>
      </w:r>
      <w:r>
        <w:rPr>
          <w:rFonts w:hint="eastAsia" w:ascii="宋体" w:hAnsi="宋体"/>
          <w:color w:val="auto"/>
          <w:szCs w:val="21"/>
          <w:highlight w:val="none"/>
        </w:rPr>
        <w:t>。</w:t>
      </w:r>
    </w:p>
    <w:p w14:paraId="1588A654">
      <w:pPr>
        <w:spacing w:line="360" w:lineRule="exact"/>
        <w:ind w:firstLine="360" w:firstLineChars="150"/>
        <w:rPr>
          <w:rFonts w:ascii="黑体" w:hAnsi="黑体" w:eastAsia="黑体"/>
          <w:color w:val="auto"/>
          <w:sz w:val="24"/>
          <w:highlight w:val="none"/>
        </w:rPr>
      </w:pPr>
      <w:bookmarkStart w:id="2" w:name="_Toc71365362"/>
      <w:bookmarkStart w:id="3" w:name="_Toc71366040"/>
      <w:bookmarkStart w:id="4" w:name="_Toc35393798"/>
      <w:bookmarkStart w:id="5" w:name="_Toc28359012"/>
      <w:bookmarkStart w:id="6" w:name="_Toc28359089"/>
      <w:bookmarkStart w:id="7" w:name="_Toc35393629"/>
      <w:r>
        <w:rPr>
          <w:rFonts w:hint="eastAsia" w:ascii="黑体" w:hAnsi="黑体" w:eastAsia="黑体"/>
          <w:color w:val="auto"/>
          <w:sz w:val="24"/>
          <w:highlight w:val="none"/>
        </w:rPr>
        <w:t>一、项目基本情况</w:t>
      </w:r>
      <w:bookmarkEnd w:id="2"/>
      <w:bookmarkEnd w:id="3"/>
      <w:bookmarkEnd w:id="4"/>
      <w:bookmarkEnd w:id="5"/>
      <w:bookmarkEnd w:id="6"/>
      <w:bookmarkEnd w:id="7"/>
    </w:p>
    <w:p w14:paraId="40F48A33">
      <w:pPr>
        <w:spacing w:line="360" w:lineRule="exact"/>
        <w:ind w:firstLine="420" w:firstLineChars="200"/>
        <w:rPr>
          <w:rFonts w:hAnsi="宋体"/>
          <w:b/>
          <w:bCs/>
          <w:color w:val="auto"/>
          <w:highlight w:val="none"/>
        </w:rPr>
      </w:pPr>
      <w:r>
        <w:rPr>
          <w:rFonts w:hint="eastAsia" w:ascii="宋体" w:hAnsi="宋体"/>
          <w:color w:val="auto"/>
          <w:szCs w:val="21"/>
          <w:highlight w:val="none"/>
        </w:rPr>
        <w:t>项目编号：</w:t>
      </w:r>
      <w:r>
        <w:rPr>
          <w:rFonts w:hint="eastAsia" w:ascii="宋体" w:hAnsi="宋体"/>
          <w:color w:val="auto"/>
          <w:szCs w:val="21"/>
          <w:highlight w:val="none"/>
          <w:lang w:eastAsia="zh-CN"/>
        </w:rPr>
        <w:t>FCZC2025-J1-99010</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-YZLZ</w:t>
      </w:r>
    </w:p>
    <w:p w14:paraId="26F82FE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项目名称：防城港市第一人民医院医用氧气（液氧）供应采购</w:t>
      </w:r>
    </w:p>
    <w:p w14:paraId="12775CF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采购方式：竞争性谈判</w:t>
      </w:r>
    </w:p>
    <w:p w14:paraId="4124FC0B">
      <w:pPr>
        <w:spacing w:line="360" w:lineRule="exact"/>
        <w:ind w:firstLine="420" w:firstLineChars="200"/>
        <w:rPr>
          <w:rFonts w:ascii="宋体" w:hAnsi="宋体"/>
          <w:bCs/>
          <w:iCs/>
          <w:color w:val="auto"/>
          <w:szCs w:val="21"/>
          <w:highlight w:val="none"/>
        </w:rPr>
      </w:pPr>
      <w:r>
        <w:rPr>
          <w:rFonts w:hint="eastAsia" w:ascii="宋体" w:hAnsi="宋体"/>
          <w:color w:val="auto"/>
          <w:szCs w:val="21"/>
          <w:highlight w:val="none"/>
        </w:rPr>
        <w:t>预算金额：人民币玖拾万元整（¥900,000.00）</w:t>
      </w:r>
    </w:p>
    <w:p w14:paraId="67EE86F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最高限价：无</w:t>
      </w:r>
    </w:p>
    <w:p w14:paraId="1DB8FF83">
      <w:pPr>
        <w:spacing w:line="360" w:lineRule="exact"/>
        <w:ind w:firstLine="420" w:firstLineChars="200"/>
        <w:rPr>
          <w:rFonts w:ascii="宋体" w:hAnsi="宋体"/>
          <w:bCs/>
          <w:color w:val="auto"/>
          <w:szCs w:val="21"/>
          <w:highlight w:val="none"/>
        </w:rPr>
      </w:pPr>
      <w:r>
        <w:rPr>
          <w:rFonts w:hint="eastAsia" w:ascii="宋体" w:hAnsi="宋体"/>
          <w:color w:val="auto"/>
          <w:szCs w:val="21"/>
          <w:highlight w:val="none"/>
        </w:rPr>
        <w:t>采购需求：医用氧气（液氧）</w:t>
      </w:r>
      <w:r>
        <w:rPr>
          <w:rFonts w:hint="eastAsia" w:ascii="宋体" w:hAnsi="宋体"/>
          <w:color w:val="auto"/>
          <w:highlight w:val="none"/>
          <w:lang w:val="en-US" w:eastAsia="zh-CN"/>
        </w:rPr>
        <w:t>1批</w:t>
      </w:r>
      <w:r>
        <w:rPr>
          <w:rFonts w:hint="eastAsia" w:ascii="宋体" w:hAnsi="宋体"/>
          <w:color w:val="auto"/>
          <w:szCs w:val="21"/>
          <w:highlight w:val="none"/>
        </w:rPr>
        <w:t>，详见附件采购需求。</w:t>
      </w:r>
    </w:p>
    <w:p w14:paraId="5F30B45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采购方式：竞争性谈判</w:t>
      </w:r>
    </w:p>
    <w:p w14:paraId="3E5DAF8F">
      <w:pPr>
        <w:spacing w:line="36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合同履行期限：自合同签订之日起一年</w:t>
      </w:r>
      <w:r>
        <w:rPr>
          <w:rFonts w:hint="eastAsia" w:ascii="宋体" w:hAnsi="宋体"/>
          <w:color w:val="auto"/>
          <w:szCs w:val="21"/>
          <w:highlight w:val="none"/>
          <w:lang w:val="en-US" w:eastAsia="zh-CN"/>
        </w:rPr>
        <w:t>或合同履行期限内</w:t>
      </w:r>
      <w:r>
        <w:rPr>
          <w:rFonts w:hint="eastAsia" w:ascii="宋体" w:hAnsi="宋体"/>
          <w:color w:val="auto"/>
          <w:szCs w:val="21"/>
          <w:highlight w:val="none"/>
        </w:rPr>
        <w:t>结算至采购预算金额（90万元）后采购合同自动终止。</w:t>
      </w:r>
    </w:p>
    <w:p w14:paraId="634CE20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本项目不接受联合体竞标。</w:t>
      </w:r>
    </w:p>
    <w:p w14:paraId="3D0B1B3F">
      <w:pPr>
        <w:spacing w:line="360" w:lineRule="exact"/>
        <w:ind w:firstLine="480" w:firstLineChars="200"/>
        <w:rPr>
          <w:rFonts w:ascii="黑体" w:hAnsi="黑体" w:eastAsia="黑体"/>
          <w:color w:val="auto"/>
          <w:sz w:val="24"/>
          <w:highlight w:val="none"/>
        </w:rPr>
      </w:pPr>
      <w:bookmarkStart w:id="8" w:name="_Toc28359013"/>
      <w:bookmarkStart w:id="9" w:name="_Toc28359090"/>
      <w:bookmarkStart w:id="10" w:name="_Toc35393799"/>
      <w:bookmarkStart w:id="11" w:name="_Toc71365363"/>
      <w:bookmarkStart w:id="12" w:name="_Toc35393630"/>
      <w:bookmarkStart w:id="13" w:name="_Toc71366041"/>
      <w:r>
        <w:rPr>
          <w:rFonts w:hint="eastAsia" w:ascii="黑体" w:hAnsi="黑体" w:eastAsia="黑体"/>
          <w:color w:val="auto"/>
          <w:sz w:val="24"/>
          <w:highlight w:val="none"/>
        </w:rPr>
        <w:t>二、供应商的资格条件：</w:t>
      </w:r>
      <w:bookmarkEnd w:id="8"/>
      <w:bookmarkEnd w:id="9"/>
      <w:bookmarkEnd w:id="10"/>
      <w:bookmarkEnd w:id="11"/>
      <w:bookmarkEnd w:id="12"/>
      <w:bookmarkEnd w:id="13"/>
    </w:p>
    <w:p w14:paraId="2F024114">
      <w:pPr>
        <w:spacing w:line="360" w:lineRule="exact"/>
        <w:ind w:firstLine="420" w:firstLineChars="200"/>
        <w:rPr>
          <w:rFonts w:ascii="宋体" w:hAnsi="宋体"/>
          <w:color w:val="auto"/>
          <w:szCs w:val="21"/>
          <w:highlight w:val="none"/>
        </w:rPr>
      </w:pPr>
      <w:bookmarkStart w:id="14" w:name="_Toc28359091"/>
      <w:bookmarkStart w:id="15" w:name="_Toc28359014"/>
      <w:r>
        <w:rPr>
          <w:rFonts w:hint="eastAsia" w:ascii="宋体" w:hAnsi="宋体"/>
          <w:color w:val="auto"/>
          <w:szCs w:val="21"/>
          <w:highlight w:val="none"/>
        </w:rPr>
        <w:t>1.满足《中华人民共和国政府采购法》第二十二条规定。</w:t>
      </w:r>
    </w:p>
    <w:p w14:paraId="73551BE4">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.落实政府采购政策需满足的资格要求：无。</w:t>
      </w:r>
    </w:p>
    <w:p w14:paraId="7C5AAEE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bookmarkStart w:id="16" w:name="_Toc35393800"/>
      <w:bookmarkStart w:id="17" w:name="_Toc71365364"/>
      <w:bookmarkStart w:id="18" w:name="_Toc35393631"/>
      <w:bookmarkStart w:id="19" w:name="_Toc71366042"/>
    </w:p>
    <w:p w14:paraId="0EA780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（1）满足以下两项中任意一项要求：</w:t>
      </w:r>
    </w:p>
    <w:p w14:paraId="22AD2D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①如为生产厂商：供应商具有有效的《药品生产许可证》</w:t>
      </w:r>
      <w:r>
        <w:rPr>
          <w:rFonts w:hint="eastAsia"/>
          <w:color w:val="auto"/>
          <w:highlight w:val="none"/>
        </w:rPr>
        <w:t>【生产</w:t>
      </w:r>
      <w:r>
        <w:rPr>
          <w:color w:val="auto"/>
          <w:highlight w:val="none"/>
        </w:rPr>
        <w:t>范围包括医用气体（液态氧）</w:t>
      </w:r>
      <w:r>
        <w:rPr>
          <w:rFonts w:hint="eastAsia"/>
          <w:color w:val="auto"/>
          <w:highlight w:val="none"/>
        </w:rPr>
        <w:t>】、</w:t>
      </w:r>
      <w:r>
        <w:rPr>
          <w:rFonts w:hint="eastAsia" w:ascii="宋体" w:hAnsi="宋体"/>
          <w:color w:val="auto"/>
          <w:szCs w:val="21"/>
          <w:highlight w:val="none"/>
        </w:rPr>
        <w:t>《危险化学品登记证》【登记品种包括</w:t>
      </w:r>
      <w:r>
        <w:rPr>
          <w:color w:val="auto"/>
          <w:highlight w:val="none"/>
        </w:rPr>
        <w:t>医用气体（液态氧）</w:t>
      </w:r>
      <w:r>
        <w:rPr>
          <w:rFonts w:hint="eastAsia" w:ascii="宋体" w:hAnsi="宋体"/>
          <w:color w:val="auto"/>
          <w:szCs w:val="21"/>
          <w:highlight w:val="none"/>
        </w:rPr>
        <w:t>】、《安全生产许可证》【许可范围包括</w:t>
      </w:r>
      <w:r>
        <w:rPr>
          <w:color w:val="auto"/>
          <w:highlight w:val="none"/>
        </w:rPr>
        <w:t>医用气体（液态氧）</w:t>
      </w:r>
      <w:r>
        <w:rPr>
          <w:rFonts w:hint="eastAsia" w:ascii="宋体" w:hAnsi="宋体"/>
          <w:color w:val="auto"/>
          <w:szCs w:val="21"/>
          <w:highlight w:val="none"/>
        </w:rPr>
        <w:t>】；</w:t>
      </w:r>
    </w:p>
    <w:p w14:paraId="4E82CEF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②如为经销商：供应商具有有效的《药品经营许可证》【经营范围包括</w:t>
      </w:r>
      <w:r>
        <w:rPr>
          <w:color w:val="auto"/>
          <w:highlight w:val="none"/>
        </w:rPr>
        <w:t>医用气体（液态氧）</w:t>
      </w:r>
      <w:r>
        <w:rPr>
          <w:rFonts w:hint="eastAsia" w:ascii="宋体" w:hAnsi="宋体"/>
          <w:color w:val="auto"/>
          <w:szCs w:val="21"/>
          <w:highlight w:val="none"/>
        </w:rPr>
        <w:t>】、《危险化学品经营许可证》【许可经营范围包括</w:t>
      </w:r>
      <w:r>
        <w:rPr>
          <w:color w:val="auto"/>
          <w:highlight w:val="none"/>
        </w:rPr>
        <w:t>医用气体（液态氧）</w:t>
      </w:r>
      <w:r>
        <w:rPr>
          <w:rFonts w:hint="eastAsia" w:ascii="宋体" w:hAnsi="宋体"/>
          <w:color w:val="auto"/>
          <w:szCs w:val="21"/>
          <w:highlight w:val="none"/>
        </w:rPr>
        <w:t>】；</w:t>
      </w:r>
    </w:p>
    <w:p w14:paraId="2492F1B7">
      <w:pPr>
        <w:numPr>
          <w:ilvl w:val="0"/>
          <w:numId w:val="1"/>
        </w:numPr>
        <w:spacing w:line="360" w:lineRule="auto"/>
        <w:ind w:firstLine="420" w:firstLineChars="200"/>
        <w:rPr>
          <w:color w:val="auto"/>
          <w:highlight w:val="none"/>
        </w:rPr>
      </w:pPr>
      <w:r>
        <w:rPr>
          <w:rFonts w:hint="eastAsia" w:ascii="宋体" w:hAnsi="宋体"/>
          <w:color w:val="auto"/>
          <w:szCs w:val="21"/>
          <w:highlight w:val="none"/>
        </w:rPr>
        <w:t>竞标的医用氧（液态）具有有效的《药品注册证》或《药品注册批件》或《药品再注册批件》或《药品补充申请批准通知书》。</w:t>
      </w:r>
    </w:p>
    <w:p w14:paraId="1AEA26FA">
      <w:pPr>
        <w:spacing w:line="360" w:lineRule="exact"/>
        <w:ind w:firstLine="480" w:firstLineChars="200"/>
        <w:rPr>
          <w:rFonts w:ascii="黑体" w:hAnsi="黑体" w:eastAsia="黑体"/>
          <w:color w:val="auto"/>
          <w:sz w:val="24"/>
          <w:highlight w:val="none"/>
        </w:rPr>
      </w:pPr>
      <w:r>
        <w:rPr>
          <w:rFonts w:hint="eastAsia" w:ascii="黑体" w:hAnsi="黑体" w:eastAsia="黑体"/>
          <w:color w:val="auto"/>
          <w:sz w:val="24"/>
          <w:highlight w:val="none"/>
        </w:rPr>
        <w:t>三、获取竞争性谈判文件</w:t>
      </w:r>
      <w:bookmarkEnd w:id="14"/>
      <w:bookmarkEnd w:id="15"/>
      <w:bookmarkEnd w:id="16"/>
      <w:bookmarkEnd w:id="17"/>
      <w:bookmarkEnd w:id="18"/>
      <w:bookmarkEnd w:id="19"/>
    </w:p>
    <w:p w14:paraId="744DC401">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时间：2025年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日至2025年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11</w:t>
      </w:r>
      <w:r>
        <w:rPr>
          <w:rFonts w:hint="eastAsia" w:ascii="宋体" w:hAnsi="宋体" w:cs="宋体"/>
          <w:bCs/>
          <w:color w:val="auto"/>
          <w:kern w:val="0"/>
          <w:szCs w:val="21"/>
          <w:highlight w:val="none"/>
        </w:rPr>
        <w:t>日，每天上午8时00分至12时00分，下午3时00分至6时00分（北京时间，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58437542">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2ED3291C">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方式：网上下载。本项目不提供纸质文件，潜在供应商需在</w:t>
      </w:r>
      <w:r>
        <w:rPr>
          <w:rFonts w:ascii="宋体" w:hAnsi="宋体" w:cs="宋体"/>
          <w:bCs/>
          <w:color w:val="auto"/>
          <w:kern w:val="0"/>
          <w:szCs w:val="21"/>
          <w:highlight w:val="none"/>
        </w:rPr>
        <w:t>广西政府采购云平台</w:t>
      </w:r>
      <w:r>
        <w:rPr>
          <w:rFonts w:hint="eastAsia" w:ascii="宋体" w:hAnsi="宋体" w:cs="宋体"/>
          <w:bCs/>
          <w:color w:val="auto"/>
          <w:kern w:val="0"/>
          <w:szCs w:val="21"/>
          <w:highlight w:val="none"/>
        </w:rPr>
        <w:t>（</w:t>
      </w:r>
      <w:r>
        <w:rPr>
          <w:rFonts w:ascii="宋体" w:hAnsi="宋体" w:cs="宋体"/>
          <w:bCs/>
          <w:color w:val="auto"/>
          <w:kern w:val="0"/>
          <w:szCs w:val="21"/>
          <w:highlight w:val="none"/>
        </w:rPr>
        <w:t>https://www.gcy.zfcg.gxzf.gov.cn/</w:t>
      </w:r>
      <w:r>
        <w:rPr>
          <w:rFonts w:hint="eastAsia" w:ascii="宋体" w:hAnsi="宋体" w:cs="宋体"/>
          <w:bCs/>
          <w:color w:val="auto"/>
          <w:kern w:val="0"/>
          <w:szCs w:val="21"/>
          <w:highlight w:val="none"/>
        </w:rPr>
        <w:t>）-进入“项目采购”应用，在获取采购文件菜单中选择项目，获取竞争性谈判文件。电子响应文件制作需要基于</w:t>
      </w:r>
      <w:r>
        <w:rPr>
          <w:rFonts w:ascii="宋体" w:hAnsi="宋体" w:cs="宋体"/>
          <w:bCs/>
          <w:color w:val="auto"/>
          <w:kern w:val="0"/>
          <w:szCs w:val="21"/>
          <w:highlight w:val="none"/>
        </w:rPr>
        <w:t>广西政府采购云平台</w:t>
      </w:r>
      <w:r>
        <w:rPr>
          <w:rFonts w:hint="eastAsia" w:ascii="宋体" w:hAnsi="宋体" w:cs="宋体"/>
          <w:bCs/>
          <w:color w:val="auto"/>
          <w:kern w:val="0"/>
          <w:szCs w:val="21"/>
          <w:highlight w:val="none"/>
        </w:rPr>
        <w:t>获取的竞争性谈判文件编制，通过其他方式获取竞争性谈判文件的，将有可能导致供应商无法在</w:t>
      </w:r>
      <w:r>
        <w:rPr>
          <w:rFonts w:ascii="宋体" w:hAnsi="宋体" w:cs="宋体"/>
          <w:bCs/>
          <w:color w:val="auto"/>
          <w:kern w:val="0"/>
          <w:szCs w:val="21"/>
          <w:highlight w:val="none"/>
        </w:rPr>
        <w:t>广西政府采购云平台</w:t>
      </w:r>
      <w:r>
        <w:rPr>
          <w:rFonts w:hint="eastAsia" w:ascii="宋体" w:hAnsi="宋体" w:cs="宋体"/>
          <w:bCs/>
          <w:color w:val="auto"/>
          <w:kern w:val="0"/>
          <w:szCs w:val="21"/>
          <w:highlight w:val="none"/>
        </w:rPr>
        <w:t>编制及上传响应文件。</w:t>
      </w:r>
    </w:p>
    <w:p w14:paraId="68829251">
      <w:pPr>
        <w:spacing w:line="360" w:lineRule="exact"/>
        <w:ind w:firstLine="540"/>
        <w:rPr>
          <w:rFonts w:ascii="宋体" w:hAnsi="宋体" w:cs="宋体"/>
          <w:color w:val="auto"/>
          <w:szCs w:val="21"/>
          <w:highlight w:val="none"/>
        </w:rPr>
      </w:pPr>
      <w:r>
        <w:rPr>
          <w:rFonts w:hint="eastAsia" w:ascii="宋体" w:hAnsi="宋体" w:cs="宋体"/>
          <w:bCs/>
          <w:color w:val="auto"/>
          <w:kern w:val="0"/>
          <w:szCs w:val="21"/>
          <w:highlight w:val="none"/>
        </w:rPr>
        <w:t>售价：0元</w:t>
      </w:r>
    </w:p>
    <w:p w14:paraId="6E4F430F">
      <w:pPr>
        <w:spacing w:line="360" w:lineRule="exact"/>
        <w:ind w:firstLine="360" w:firstLineChars="150"/>
        <w:rPr>
          <w:rFonts w:ascii="黑体" w:hAnsi="黑体" w:eastAsia="黑体"/>
          <w:color w:val="auto"/>
          <w:sz w:val="24"/>
          <w:highlight w:val="none"/>
        </w:rPr>
      </w:pPr>
      <w:bookmarkStart w:id="20" w:name="_Toc71365365"/>
      <w:bookmarkStart w:id="21" w:name="_Toc28359015"/>
      <w:bookmarkStart w:id="22" w:name="_Toc28359092"/>
      <w:bookmarkStart w:id="23" w:name="_Toc35393632"/>
      <w:bookmarkStart w:id="24" w:name="_Toc71366043"/>
      <w:bookmarkStart w:id="25" w:name="_Toc35393801"/>
      <w:r>
        <w:rPr>
          <w:rFonts w:hint="eastAsia" w:ascii="黑体" w:hAnsi="黑体" w:eastAsia="黑体"/>
          <w:color w:val="auto"/>
          <w:sz w:val="24"/>
          <w:highlight w:val="none"/>
        </w:rPr>
        <w:t>四、响应文件提交</w:t>
      </w:r>
      <w:bookmarkEnd w:id="20"/>
      <w:bookmarkEnd w:id="21"/>
      <w:bookmarkEnd w:id="22"/>
      <w:bookmarkEnd w:id="23"/>
      <w:bookmarkEnd w:id="24"/>
      <w:bookmarkEnd w:id="25"/>
    </w:p>
    <w:p w14:paraId="7FD3076F">
      <w:pPr>
        <w:spacing w:line="360" w:lineRule="exact"/>
        <w:ind w:firstLine="420" w:firstLineChars="200"/>
        <w:rPr>
          <w:rFonts w:ascii="宋体" w:hAnsi="宋体"/>
          <w:bCs/>
          <w:color w:val="auto"/>
          <w:szCs w:val="21"/>
          <w:highlight w:val="none"/>
        </w:rPr>
      </w:pPr>
      <w:r>
        <w:rPr>
          <w:rFonts w:hint="eastAsia" w:ascii="宋体" w:hAnsi="宋体"/>
          <w:color w:val="auto"/>
          <w:szCs w:val="21"/>
          <w:highlight w:val="none"/>
        </w:rPr>
        <w:t>截止时间：2025</w:t>
      </w:r>
      <w:r>
        <w:rPr>
          <w:rFonts w:hint="eastAsia" w:ascii="宋体" w:hAnsi="宋体"/>
          <w:bCs/>
          <w:color w:val="auto"/>
          <w:szCs w:val="21"/>
          <w:highlight w:val="none"/>
        </w:rPr>
        <w:t>年</w:t>
      </w:r>
      <w:r>
        <w:rPr>
          <w:rFonts w:hint="eastAsia" w:ascii="宋体" w:hAnsi="宋体"/>
          <w:bCs/>
          <w:color w:val="auto"/>
          <w:szCs w:val="21"/>
          <w:highlight w:val="none"/>
          <w:lang w:val="en-US" w:eastAsia="zh-CN"/>
        </w:rPr>
        <w:t>9</w:t>
      </w:r>
      <w:r>
        <w:rPr>
          <w:rFonts w:hint="eastAsia" w:ascii="宋体" w:hAnsi="宋体"/>
          <w:bCs/>
          <w:color w:val="auto"/>
          <w:szCs w:val="21"/>
          <w:highlight w:val="none"/>
        </w:rPr>
        <w:t>月</w:t>
      </w:r>
      <w:r>
        <w:rPr>
          <w:rFonts w:hint="eastAsia" w:ascii="宋体" w:hAnsi="宋体"/>
          <w:bCs/>
          <w:color w:val="auto"/>
          <w:szCs w:val="21"/>
          <w:highlight w:val="none"/>
          <w:lang w:val="en-US" w:eastAsia="zh-CN"/>
        </w:rPr>
        <w:t>12</w:t>
      </w:r>
      <w:r>
        <w:rPr>
          <w:rFonts w:hint="eastAsia" w:ascii="宋体" w:hAnsi="宋体"/>
          <w:bCs/>
          <w:color w:val="auto"/>
          <w:szCs w:val="21"/>
          <w:highlight w:val="none"/>
        </w:rPr>
        <w:t>日9时30分（北京时间）</w:t>
      </w:r>
    </w:p>
    <w:p w14:paraId="7E114ACB">
      <w:pPr>
        <w:spacing w:line="360" w:lineRule="exact"/>
        <w:ind w:left="422"/>
        <w:rPr>
          <w:rFonts w:ascii="宋体" w:hAnsi="宋体"/>
          <w:color w:val="auto"/>
          <w:szCs w:val="21"/>
          <w:highlight w:val="none"/>
        </w:rPr>
      </w:pPr>
      <w:r>
        <w:rPr>
          <w:rFonts w:hint="eastAsia" w:ascii="宋体" w:hAnsi="宋体"/>
          <w:color w:val="auto"/>
          <w:szCs w:val="21"/>
          <w:highlight w:val="none"/>
        </w:rPr>
        <w:t>地点：</w:t>
      </w:r>
      <w:bookmarkStart w:id="26" w:name="_Toc28359093"/>
      <w:bookmarkStart w:id="27" w:name="_Toc35393802"/>
      <w:bookmarkStart w:id="28" w:name="_Toc71365366"/>
      <w:bookmarkStart w:id="29" w:name="_Toc35393633"/>
      <w:bookmarkStart w:id="30" w:name="_Toc71366044"/>
      <w:bookmarkStart w:id="31" w:name="_Toc28359016"/>
      <w:r>
        <w:rPr>
          <w:rFonts w:ascii="宋体" w:hAnsi="宋体"/>
          <w:color w:val="auto"/>
          <w:szCs w:val="21"/>
          <w:highlight w:val="none"/>
        </w:rPr>
        <w:t>广西政府采购云平台</w:t>
      </w:r>
      <w:r>
        <w:rPr>
          <w:rFonts w:hint="eastAsia" w:ascii="宋体" w:hAnsi="宋体"/>
          <w:color w:val="auto"/>
          <w:szCs w:val="21"/>
          <w:highlight w:val="none"/>
        </w:rPr>
        <w:t>（</w:t>
      </w:r>
      <w:r>
        <w:rPr>
          <w:rFonts w:ascii="宋体" w:hAnsi="宋体"/>
          <w:bCs/>
          <w:color w:val="auto"/>
          <w:szCs w:val="21"/>
          <w:highlight w:val="none"/>
        </w:rPr>
        <w:t>https://www.gcy.zfcg.gxzf.gov.cn/</w:t>
      </w:r>
      <w:r>
        <w:rPr>
          <w:rFonts w:hint="eastAsia" w:ascii="宋体" w:hAnsi="宋体"/>
          <w:color w:val="auto"/>
          <w:szCs w:val="21"/>
          <w:highlight w:val="none"/>
        </w:rPr>
        <w:t>）</w:t>
      </w:r>
    </w:p>
    <w:p w14:paraId="0C406C72">
      <w:pPr>
        <w:spacing w:line="360" w:lineRule="exact"/>
        <w:ind w:left="422"/>
        <w:rPr>
          <w:rFonts w:ascii="黑体" w:hAnsi="黑体" w:eastAsia="黑体"/>
          <w:color w:val="auto"/>
          <w:sz w:val="24"/>
          <w:highlight w:val="none"/>
        </w:rPr>
      </w:pPr>
      <w:r>
        <w:rPr>
          <w:rFonts w:hint="eastAsia" w:ascii="黑体" w:hAnsi="黑体" w:eastAsia="黑体"/>
          <w:color w:val="auto"/>
          <w:sz w:val="24"/>
          <w:highlight w:val="none"/>
        </w:rPr>
        <w:t>五、开启</w:t>
      </w:r>
      <w:bookmarkEnd w:id="26"/>
      <w:bookmarkEnd w:id="27"/>
      <w:bookmarkEnd w:id="28"/>
      <w:bookmarkEnd w:id="29"/>
      <w:bookmarkEnd w:id="30"/>
      <w:bookmarkEnd w:id="31"/>
    </w:p>
    <w:p w14:paraId="5CD797DC">
      <w:pPr>
        <w:spacing w:line="360" w:lineRule="exact"/>
        <w:ind w:firstLine="420" w:firstLineChars="200"/>
        <w:rPr>
          <w:rFonts w:ascii="宋体" w:hAnsi="宋体"/>
          <w:bCs/>
          <w:color w:val="auto"/>
          <w:szCs w:val="21"/>
          <w:highlight w:val="none"/>
        </w:rPr>
      </w:pPr>
      <w:r>
        <w:rPr>
          <w:rFonts w:hint="eastAsia" w:ascii="宋体" w:hAnsi="宋体"/>
          <w:color w:val="auto"/>
          <w:szCs w:val="21"/>
          <w:highlight w:val="none"/>
        </w:rPr>
        <w:t>时间：2025</w:t>
      </w:r>
      <w:r>
        <w:rPr>
          <w:rFonts w:hint="eastAsia" w:ascii="宋体" w:hAnsi="宋体"/>
          <w:bCs/>
          <w:color w:val="auto"/>
          <w:szCs w:val="21"/>
          <w:highlight w:val="none"/>
        </w:rPr>
        <w:t>年</w:t>
      </w:r>
      <w:r>
        <w:rPr>
          <w:rFonts w:hint="eastAsia" w:ascii="宋体" w:hAnsi="宋体"/>
          <w:bCs/>
          <w:color w:val="auto"/>
          <w:szCs w:val="21"/>
          <w:highlight w:val="none"/>
          <w:lang w:val="en-US" w:eastAsia="zh-CN"/>
        </w:rPr>
        <w:t>9</w:t>
      </w:r>
      <w:r>
        <w:rPr>
          <w:rFonts w:hint="eastAsia" w:ascii="宋体" w:hAnsi="宋体"/>
          <w:bCs/>
          <w:color w:val="auto"/>
          <w:szCs w:val="21"/>
          <w:highlight w:val="none"/>
        </w:rPr>
        <w:t>月</w:t>
      </w:r>
      <w:r>
        <w:rPr>
          <w:rFonts w:hint="eastAsia" w:ascii="宋体" w:hAnsi="宋体"/>
          <w:bCs/>
          <w:color w:val="auto"/>
          <w:szCs w:val="21"/>
          <w:highlight w:val="none"/>
          <w:lang w:val="en-US" w:eastAsia="zh-CN"/>
        </w:rPr>
        <w:t>12</w:t>
      </w:r>
      <w:r>
        <w:rPr>
          <w:rFonts w:hint="eastAsia" w:ascii="宋体" w:hAnsi="宋体"/>
          <w:bCs/>
          <w:color w:val="auto"/>
          <w:szCs w:val="21"/>
          <w:highlight w:val="none"/>
        </w:rPr>
        <w:t>日9时30分（北京时间）</w:t>
      </w:r>
    </w:p>
    <w:p w14:paraId="5EE8C6E3">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地点：广西政府采购云平台政府采购开评标室</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w:t>
      </w:r>
      <w:bookmarkStart w:id="70" w:name="_GoBack"/>
      <w:bookmarkEnd w:id="70"/>
      <w:r>
        <w:rPr>
          <w:rFonts w:hint="eastAsia" w:ascii="宋体" w:hAnsi="宋体"/>
          <w:color w:val="auto"/>
          <w:szCs w:val="21"/>
          <w:highlight w:val="none"/>
          <w:u w:val="single"/>
        </w:rPr>
        <w:t xml:space="preserve">  </w:t>
      </w:r>
    </w:p>
    <w:p w14:paraId="64A6050A">
      <w:pPr>
        <w:spacing w:line="360" w:lineRule="exact"/>
        <w:ind w:firstLine="360" w:firstLineChars="150"/>
        <w:rPr>
          <w:rFonts w:ascii="黑体" w:hAnsi="黑体" w:eastAsia="黑体"/>
          <w:color w:val="auto"/>
          <w:sz w:val="24"/>
          <w:highlight w:val="none"/>
        </w:rPr>
      </w:pPr>
      <w:bookmarkStart w:id="32" w:name="_Toc28359017"/>
      <w:bookmarkStart w:id="33" w:name="_Toc28359094"/>
      <w:bookmarkStart w:id="34" w:name="_Toc71365367"/>
      <w:bookmarkStart w:id="35" w:name="_Toc35393634"/>
      <w:bookmarkStart w:id="36" w:name="_Toc35393803"/>
      <w:bookmarkStart w:id="37" w:name="_Toc71366045"/>
      <w:r>
        <w:rPr>
          <w:rFonts w:hint="eastAsia" w:ascii="黑体" w:hAnsi="黑体" w:eastAsia="黑体"/>
          <w:color w:val="auto"/>
          <w:sz w:val="24"/>
          <w:highlight w:val="none"/>
        </w:rPr>
        <w:t>六、公告期限</w:t>
      </w:r>
      <w:bookmarkEnd w:id="32"/>
      <w:bookmarkEnd w:id="33"/>
      <w:bookmarkEnd w:id="34"/>
      <w:bookmarkEnd w:id="35"/>
      <w:bookmarkEnd w:id="36"/>
      <w:bookmarkEnd w:id="37"/>
    </w:p>
    <w:p w14:paraId="0938E6B3">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19FCDB3D">
      <w:pPr>
        <w:spacing w:line="360" w:lineRule="exact"/>
        <w:ind w:firstLine="360" w:firstLineChars="150"/>
        <w:rPr>
          <w:rFonts w:ascii="黑体" w:hAnsi="黑体" w:eastAsia="黑体"/>
          <w:color w:val="auto"/>
          <w:sz w:val="24"/>
          <w:highlight w:val="none"/>
        </w:rPr>
      </w:pPr>
      <w:bookmarkStart w:id="38" w:name="_Toc71366046"/>
      <w:bookmarkStart w:id="39" w:name="_Toc35393635"/>
      <w:bookmarkStart w:id="40" w:name="_Toc71365368"/>
      <w:bookmarkStart w:id="41" w:name="_Toc35393804"/>
      <w:r>
        <w:rPr>
          <w:rFonts w:hint="eastAsia" w:ascii="黑体" w:hAnsi="黑体" w:eastAsia="黑体"/>
          <w:color w:val="auto"/>
          <w:sz w:val="24"/>
          <w:highlight w:val="none"/>
        </w:rPr>
        <w:t>七、其他补充事宜</w:t>
      </w:r>
      <w:bookmarkEnd w:id="38"/>
      <w:bookmarkEnd w:id="39"/>
      <w:bookmarkEnd w:id="40"/>
      <w:bookmarkEnd w:id="41"/>
    </w:p>
    <w:p w14:paraId="3C445C60">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bookmarkStart w:id="42" w:name="_Hlk37429674"/>
      <w:bookmarkStart w:id="43" w:name="_Toc71366047"/>
      <w:bookmarkStart w:id="44" w:name="_Toc28359018"/>
      <w:bookmarkStart w:id="45" w:name="_Toc71365369"/>
      <w:bookmarkStart w:id="46" w:name="_Toc28359095"/>
      <w:bookmarkStart w:id="47" w:name="_Toc35393636"/>
      <w:bookmarkStart w:id="48" w:name="_Toc35393805"/>
      <w:r>
        <w:rPr>
          <w:rFonts w:hint="eastAsia" w:ascii="宋体" w:hAnsi="宋体" w:cs="宋体"/>
          <w:color w:val="auto"/>
          <w:kern w:val="0"/>
          <w:szCs w:val="21"/>
          <w:highlight w:val="none"/>
        </w:rPr>
        <w:t>中国政府采购网（http://www.ccgp.gov.cn/）、广西壮族自治区政府采购网（http://www.ccgp-guangxi.gov.cn/）。</w:t>
      </w:r>
    </w:p>
    <w:p w14:paraId="31E19331">
      <w:pPr>
        <w:spacing w:line="360" w:lineRule="exact"/>
        <w:ind w:firstLine="420" w:firstLineChars="200"/>
        <w:rPr>
          <w:rFonts w:ascii="宋体" w:hAnsi="宋体" w:cs="宋体"/>
          <w:color w:val="auto"/>
          <w:kern w:val="0"/>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r>
        <w:rPr>
          <w:rFonts w:hint="eastAsia" w:ascii="宋体" w:hAnsi="宋体" w:cs="宋体"/>
          <w:i/>
          <w:color w:val="auto"/>
          <w:kern w:val="0"/>
          <w:szCs w:val="21"/>
          <w:highlight w:val="none"/>
        </w:rPr>
        <w:t>：</w:t>
      </w:r>
    </w:p>
    <w:p w14:paraId="3D94918C">
      <w:pPr>
        <w:widowControl/>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23702472">
      <w:pPr>
        <w:widowControl/>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3B22B0B9">
      <w:pPr>
        <w:widowControl/>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5594558F">
      <w:pPr>
        <w:widowControl/>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7379DACD">
      <w:pPr>
        <w:widowControl/>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3780B959">
      <w:pPr>
        <w:widowControl/>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3.竞标保证金：无。</w:t>
      </w:r>
    </w:p>
    <w:p w14:paraId="77547565">
      <w:pPr>
        <w:widowControl/>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4.监督部门</w:t>
      </w:r>
    </w:p>
    <w:p w14:paraId="6823ED9A">
      <w:pPr>
        <w:widowControl/>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名称：防城港市财政局 </w:t>
      </w:r>
    </w:p>
    <w:p w14:paraId="52394A97">
      <w:pPr>
        <w:widowControl/>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电话：0770-6102323</w:t>
      </w:r>
    </w:p>
    <w:p w14:paraId="598061DB">
      <w:pPr>
        <w:widowControl/>
        <w:spacing w:line="36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5.供应商</w:t>
      </w:r>
      <w:r>
        <w:rPr>
          <w:rFonts w:hint="eastAsia" w:ascii="宋体" w:hAnsi="宋体"/>
          <w:color w:val="auto"/>
          <w:szCs w:val="21"/>
          <w:highlight w:val="none"/>
        </w:rPr>
        <w:t>竞标注意事项</w:t>
      </w:r>
    </w:p>
    <w:bookmarkEnd w:id="42"/>
    <w:p w14:paraId="311D4F7C">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）实行在线电子竞标，供应商应按照本项目竞争性谈判文件和广西政府采购云平台的要求编制、加密后在响应文件递交截止时间前通过网络上传至广西政府采购云平台（加密的电子响应文件是指后缀名为“jm</w:t>
      </w:r>
      <w:r>
        <w:rPr>
          <w:rFonts w:ascii="宋体" w:hAnsi="宋体"/>
          <w:color w:val="auto"/>
          <w:szCs w:val="21"/>
          <w:highlight w:val="none"/>
        </w:rPr>
        <w:t>bs</w:t>
      </w:r>
      <w:r>
        <w:rPr>
          <w:rFonts w:hint="eastAsia" w:ascii="宋体" w:hAnsi="宋体"/>
          <w:color w:val="auto"/>
          <w:szCs w:val="21"/>
          <w:highlight w:val="none"/>
        </w:rPr>
        <w:t>”的文件），</w:t>
      </w:r>
      <w:r>
        <w:rPr>
          <w:rFonts w:hint="eastAsia" w:ascii="宋体" w:hAnsi="宋体"/>
          <w:b/>
          <w:color w:val="auto"/>
          <w:szCs w:val="21"/>
          <w:highlight w:val="none"/>
        </w:rPr>
        <w:t>供应商在</w:t>
      </w:r>
      <w:r>
        <w:rPr>
          <w:rFonts w:hint="eastAsia" w:ascii="宋体" w:hAnsi="宋体"/>
          <w:b/>
          <w:bCs/>
          <w:color w:val="auto"/>
          <w:szCs w:val="21"/>
          <w:highlight w:val="none"/>
        </w:rPr>
        <w:t>广西政府采购云平台</w:t>
      </w:r>
      <w:r>
        <w:rPr>
          <w:rFonts w:hint="eastAsia" w:ascii="宋体" w:hAnsi="宋体"/>
          <w:b/>
          <w:color w:val="auto"/>
          <w:szCs w:val="21"/>
          <w:highlight w:val="none"/>
        </w:rPr>
        <w:t>提交电子响应文件时，请填写参加远程开标活动经办人联系方式。</w:t>
      </w:r>
      <w:r>
        <w:rPr>
          <w:rFonts w:hint="eastAsia" w:ascii="宋体" w:hAnsi="宋体"/>
          <w:color w:val="auto"/>
          <w:szCs w:val="21"/>
          <w:highlight w:val="none"/>
        </w:rPr>
        <w:t>供应商登录广西政府采购云平台，依次进入“服务中心-项目采购-操作流程-电子招投标-</w:t>
      </w:r>
      <w:r>
        <w:rPr>
          <w:rFonts w:ascii="宋体" w:hAnsi="宋体"/>
          <w:color w:val="auto"/>
          <w:szCs w:val="21"/>
          <w:highlight w:val="none"/>
        </w:rPr>
        <w:t>政府采购项目电子交易管理操作指南-供应商</w:t>
      </w:r>
      <w:r>
        <w:rPr>
          <w:rFonts w:hint="eastAsia" w:ascii="宋体" w:hAnsi="宋体"/>
          <w:color w:val="auto"/>
          <w:szCs w:val="21"/>
          <w:highlight w:val="none"/>
        </w:rPr>
        <w:t>”查看电子竞标具体操作流程。</w:t>
      </w:r>
    </w:p>
    <w:p w14:paraId="12A931AC">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竞标供应商应当在竞标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w:t>
      </w:r>
      <w:r>
        <w:rPr>
          <w:rFonts w:hint="eastAsia" w:ascii="宋体" w:hAnsi="宋体"/>
          <w:bCs/>
          <w:color w:val="auto"/>
          <w:szCs w:val="21"/>
          <w:highlight w:val="none"/>
        </w:rPr>
        <w:t>如在操作过程中遇到问题或者需要技术支持，请致电客服热线：95763或者0771-3381253</w:t>
      </w:r>
      <w:r>
        <w:rPr>
          <w:rFonts w:hint="eastAsia" w:ascii="宋体" w:hAnsi="宋体"/>
          <w:color w:val="auto"/>
          <w:szCs w:val="21"/>
          <w:highlight w:val="none"/>
        </w:rPr>
        <w:t>）。</w:t>
      </w:r>
    </w:p>
    <w:p w14:paraId="43781368">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p>
    <w:p w14:paraId="3C065002">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数字证书并使用有效的CA数字证书参与整个竞标活动。2）</w:t>
      </w:r>
      <w:r>
        <w:rPr>
          <w:rFonts w:hint="eastAsia" w:ascii="宋体" w:hAnsi="宋体"/>
          <w:bCs/>
          <w:color w:val="auto"/>
          <w:szCs w:val="21"/>
          <w:highlight w:val="none"/>
        </w:rPr>
        <w:t>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w:t>
      </w:r>
      <w:r>
        <w:rPr>
          <w:rFonts w:hint="eastAsia" w:ascii="宋体" w:hAnsi="宋体"/>
          <w:color w:val="auto"/>
          <w:szCs w:val="21"/>
          <w:highlight w:val="none"/>
        </w:rPr>
        <w:t>广西政府采购云平台</w:t>
      </w:r>
      <w:r>
        <w:rPr>
          <w:rFonts w:hint="eastAsia" w:ascii="宋体" w:hAnsi="宋体"/>
          <w:bCs/>
          <w:color w:val="auto"/>
          <w:szCs w:val="21"/>
          <w:highlight w:val="none"/>
        </w:rPr>
        <w:t>将予以拒收。</w:t>
      </w:r>
    </w:p>
    <w:p w14:paraId="4BC34201">
      <w:pPr>
        <w:spacing w:line="360" w:lineRule="exact"/>
        <w:ind w:firstLine="360" w:firstLineChars="150"/>
        <w:rPr>
          <w:rFonts w:ascii="黑体" w:hAnsi="黑体" w:eastAsia="黑体"/>
          <w:color w:val="auto"/>
          <w:sz w:val="24"/>
          <w:highlight w:val="none"/>
        </w:rPr>
      </w:pPr>
      <w:r>
        <w:rPr>
          <w:rFonts w:hint="eastAsia" w:ascii="黑体" w:hAnsi="黑体" w:eastAsia="黑体"/>
          <w:color w:val="auto"/>
          <w:sz w:val="24"/>
          <w:highlight w:val="none"/>
        </w:rPr>
        <w:t>八、凡对本次采购提出询问，请按以下方式联系。</w:t>
      </w:r>
      <w:bookmarkEnd w:id="43"/>
      <w:bookmarkEnd w:id="44"/>
      <w:bookmarkEnd w:id="45"/>
      <w:bookmarkEnd w:id="46"/>
      <w:bookmarkEnd w:id="47"/>
      <w:bookmarkEnd w:id="48"/>
    </w:p>
    <w:bookmarkEnd w:id="1"/>
    <w:p w14:paraId="2D1C10DD">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1.采购人信息</w:t>
      </w:r>
    </w:p>
    <w:p w14:paraId="3671CA4C">
      <w:pPr>
        <w:spacing w:line="360" w:lineRule="auto"/>
        <w:ind w:firstLine="567" w:firstLineChars="270"/>
        <w:jc w:val="left"/>
        <w:rPr>
          <w:rFonts w:ascii="宋体" w:hAnsi="宋体" w:cs="宋体"/>
          <w:b/>
          <w:bCs/>
          <w:color w:val="auto"/>
          <w:kern w:val="0"/>
          <w:szCs w:val="21"/>
          <w:highlight w:val="none"/>
        </w:rPr>
      </w:pPr>
      <w:r>
        <w:rPr>
          <w:rFonts w:hint="eastAsia" w:ascii="宋体" w:hAnsi="宋体"/>
          <w:color w:val="auto"/>
          <w:szCs w:val="21"/>
          <w:highlight w:val="none"/>
        </w:rPr>
        <w:t>名称：防城港市第一人民医院</w:t>
      </w:r>
    </w:p>
    <w:p w14:paraId="082FFFB7">
      <w:pPr>
        <w:spacing w:line="360" w:lineRule="auto"/>
        <w:ind w:firstLine="567" w:firstLineChars="270"/>
        <w:jc w:val="left"/>
        <w:rPr>
          <w:rFonts w:ascii="宋体" w:hAnsi="宋体" w:cs="宋体"/>
          <w:bCs/>
          <w:color w:val="auto"/>
          <w:kern w:val="0"/>
          <w:szCs w:val="21"/>
          <w:highlight w:val="none"/>
        </w:rPr>
      </w:pPr>
      <w:r>
        <w:rPr>
          <w:rFonts w:hint="eastAsia" w:ascii="宋体" w:hAnsi="宋体"/>
          <w:color w:val="auto"/>
          <w:szCs w:val="21"/>
          <w:highlight w:val="none"/>
        </w:rPr>
        <w:t>地址：防城港市防城区文昌大道52号</w:t>
      </w:r>
    </w:p>
    <w:p w14:paraId="661EAD76">
      <w:pPr>
        <w:spacing w:line="360" w:lineRule="auto"/>
        <w:ind w:firstLine="567" w:firstLineChars="270"/>
        <w:jc w:val="left"/>
        <w:rPr>
          <w:rFonts w:ascii="宋体" w:hAnsi="宋体"/>
          <w:color w:val="auto"/>
          <w:szCs w:val="21"/>
          <w:highlight w:val="none"/>
        </w:rPr>
      </w:pPr>
      <w:r>
        <w:rPr>
          <w:rFonts w:hint="eastAsia" w:ascii="宋体" w:hAnsi="宋体"/>
          <w:color w:val="auto"/>
          <w:szCs w:val="21"/>
          <w:highlight w:val="none"/>
        </w:rPr>
        <w:t>联系方式：</w:t>
      </w:r>
      <w:bookmarkStart w:id="49" w:name="_Toc28359009"/>
      <w:bookmarkStart w:id="50" w:name="_Toc28359086"/>
      <w:r>
        <w:rPr>
          <w:rFonts w:hint="eastAsia" w:ascii="宋体" w:hAnsi="宋体"/>
          <w:color w:val="auto"/>
          <w:szCs w:val="21"/>
          <w:highlight w:val="none"/>
        </w:rPr>
        <w:t>吴宇洋，0770-3099098</w:t>
      </w:r>
    </w:p>
    <w:p w14:paraId="2F4F5FAC">
      <w:pPr>
        <w:spacing w:line="360" w:lineRule="auto"/>
        <w:ind w:firstLine="567" w:firstLineChars="270"/>
        <w:jc w:val="left"/>
        <w:rPr>
          <w:rFonts w:ascii="宋体" w:hAnsi="宋体"/>
          <w:color w:val="auto"/>
          <w:szCs w:val="21"/>
          <w:highlight w:val="none"/>
        </w:rPr>
      </w:pPr>
      <w:r>
        <w:rPr>
          <w:rFonts w:hint="eastAsia" w:ascii="宋体" w:hAnsi="宋体" w:cs="宋体"/>
          <w:color w:val="auto"/>
          <w:szCs w:val="21"/>
          <w:highlight w:val="none"/>
        </w:rPr>
        <w:t>2.采购代理机构信息</w:t>
      </w:r>
      <w:bookmarkEnd w:id="49"/>
      <w:bookmarkEnd w:id="50"/>
    </w:p>
    <w:p w14:paraId="3A21E7A7">
      <w:pPr>
        <w:spacing w:line="360" w:lineRule="auto"/>
        <w:ind w:firstLine="567" w:firstLineChars="270"/>
        <w:rPr>
          <w:rFonts w:ascii="宋体" w:hAnsi="宋体"/>
          <w:color w:val="auto"/>
          <w:szCs w:val="21"/>
          <w:highlight w:val="none"/>
        </w:rPr>
      </w:pPr>
      <w:r>
        <w:rPr>
          <w:rFonts w:hint="eastAsia" w:ascii="宋体" w:hAnsi="宋体"/>
          <w:color w:val="auto"/>
          <w:szCs w:val="21"/>
          <w:highlight w:val="none"/>
        </w:rPr>
        <w:t>名称：云之龙咨询集团有限公司</w:t>
      </w:r>
    </w:p>
    <w:p w14:paraId="555E4831">
      <w:pPr>
        <w:spacing w:line="360" w:lineRule="auto"/>
        <w:ind w:firstLine="567" w:firstLineChars="27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s="宋体"/>
          <w:color w:val="auto"/>
          <w:kern w:val="0"/>
          <w:szCs w:val="21"/>
          <w:highlight w:val="none"/>
        </w:rPr>
        <w:t>防城港市港口区桃花湾广场海悦华府一单元12楼1203室</w:t>
      </w:r>
    </w:p>
    <w:p w14:paraId="6F0E1E66">
      <w:pPr>
        <w:spacing w:line="360" w:lineRule="auto"/>
        <w:ind w:firstLine="567" w:firstLineChars="270"/>
        <w:rPr>
          <w:rFonts w:ascii="宋体" w:hAnsi="宋体"/>
          <w:color w:val="auto"/>
          <w:szCs w:val="21"/>
          <w:highlight w:val="none"/>
        </w:rPr>
      </w:pPr>
      <w:r>
        <w:rPr>
          <w:rFonts w:hint="eastAsia" w:ascii="宋体" w:hAnsi="宋体"/>
          <w:color w:val="auto"/>
          <w:szCs w:val="21"/>
          <w:highlight w:val="none"/>
        </w:rPr>
        <w:t>联系方式：</w:t>
      </w:r>
      <w:bookmarkStart w:id="51" w:name="_Toc28359087"/>
      <w:bookmarkStart w:id="52" w:name="_Toc28359010"/>
      <w:r>
        <w:rPr>
          <w:rFonts w:hint="eastAsia" w:ascii="宋体" w:hAnsi="宋体"/>
          <w:color w:val="auto"/>
          <w:szCs w:val="21"/>
          <w:highlight w:val="none"/>
        </w:rPr>
        <w:t>0770-2882899</w:t>
      </w:r>
    </w:p>
    <w:p w14:paraId="42C85358">
      <w:pPr>
        <w:spacing w:line="360" w:lineRule="auto"/>
        <w:ind w:firstLine="567" w:firstLineChars="270"/>
        <w:rPr>
          <w:rFonts w:ascii="宋体" w:hAnsi="宋体"/>
          <w:color w:val="auto"/>
          <w:szCs w:val="21"/>
          <w:highlight w:val="none"/>
        </w:rPr>
      </w:pPr>
      <w:r>
        <w:rPr>
          <w:rFonts w:hint="eastAsia" w:ascii="宋体" w:hAnsi="宋体" w:cs="宋体"/>
          <w:color w:val="auto"/>
          <w:szCs w:val="21"/>
          <w:highlight w:val="none"/>
        </w:rPr>
        <w:t>3.项目</w:t>
      </w:r>
      <w:r>
        <w:rPr>
          <w:rFonts w:ascii="宋体" w:hAnsi="宋体" w:cs="宋体"/>
          <w:color w:val="auto"/>
          <w:szCs w:val="21"/>
          <w:highlight w:val="none"/>
        </w:rPr>
        <w:t>联系方式</w:t>
      </w:r>
      <w:bookmarkEnd w:id="51"/>
      <w:bookmarkEnd w:id="52"/>
    </w:p>
    <w:p w14:paraId="2DE01AD7">
      <w:pPr>
        <w:pStyle w:val="16"/>
        <w:spacing w:line="360" w:lineRule="auto"/>
        <w:ind w:firstLine="567" w:firstLineChars="270"/>
        <w:rPr>
          <w:rFonts w:hAnsi="宋体"/>
          <w:color w:val="auto"/>
          <w:sz w:val="21"/>
          <w:highlight w:val="none"/>
        </w:rPr>
      </w:pPr>
      <w:r>
        <w:rPr>
          <w:rFonts w:hint="eastAsia" w:hAnsi="宋体"/>
          <w:color w:val="auto"/>
          <w:sz w:val="21"/>
          <w:highlight w:val="none"/>
        </w:rPr>
        <w:t>项目联系人：吴小梅、包文杰、陈义廷</w:t>
      </w:r>
    </w:p>
    <w:p w14:paraId="6DCA34F9">
      <w:pPr>
        <w:spacing w:line="360" w:lineRule="auto"/>
        <w:ind w:firstLine="567" w:firstLineChars="270"/>
        <w:rPr>
          <w:rFonts w:ascii="宋体" w:hAnsi="宋体"/>
          <w:color w:val="auto"/>
          <w:szCs w:val="21"/>
          <w:highlight w:val="none"/>
        </w:rPr>
      </w:pPr>
      <w:r>
        <w:rPr>
          <w:rFonts w:hint="eastAsia" w:ascii="宋体" w:hAnsi="宋体"/>
          <w:color w:val="auto"/>
          <w:szCs w:val="21"/>
          <w:highlight w:val="none"/>
        </w:rPr>
        <w:t>电话：0770-2882899</w:t>
      </w:r>
    </w:p>
    <w:p w14:paraId="34D6B12F">
      <w:pPr>
        <w:spacing w:line="360" w:lineRule="auto"/>
        <w:ind w:firstLine="567" w:firstLineChars="270"/>
        <w:rPr>
          <w:rFonts w:ascii="宋体" w:hAnsi="宋体"/>
          <w:color w:val="auto"/>
          <w:szCs w:val="21"/>
          <w:highlight w:val="none"/>
          <w:lang w:val="zh-CN"/>
        </w:rPr>
      </w:pPr>
    </w:p>
    <w:p w14:paraId="73D6213E">
      <w:pPr>
        <w:spacing w:line="360" w:lineRule="auto"/>
        <w:ind w:firstLine="567" w:firstLineChars="270"/>
        <w:rPr>
          <w:rFonts w:ascii="宋体" w:hAnsi="宋体"/>
          <w:color w:val="auto"/>
          <w:szCs w:val="21"/>
          <w:highlight w:val="none"/>
          <w:lang w:val="zh-CN"/>
        </w:rPr>
      </w:pPr>
      <w:r>
        <w:rPr>
          <w:rFonts w:hint="eastAsia" w:ascii="宋体" w:hAnsi="宋体"/>
          <w:color w:val="auto"/>
          <w:szCs w:val="21"/>
          <w:highlight w:val="none"/>
          <w:lang w:val="zh-CN"/>
        </w:rPr>
        <w:t xml:space="preserve">附件：采购需求 </w:t>
      </w:r>
    </w:p>
    <w:p w14:paraId="36455C69">
      <w:pPr>
        <w:spacing w:line="360" w:lineRule="exact"/>
        <w:ind w:firstLine="420" w:firstLineChars="200"/>
        <w:jc w:val="right"/>
        <w:rPr>
          <w:rFonts w:ascii="宋体" w:hAnsi="宋体" w:cs="宋体"/>
          <w:color w:val="auto"/>
          <w:szCs w:val="21"/>
          <w:highlight w:val="none"/>
          <w:lang w:val="zh-CN"/>
        </w:rPr>
      </w:pPr>
    </w:p>
    <w:p w14:paraId="614977E9">
      <w:pPr>
        <w:spacing w:line="360" w:lineRule="exact"/>
        <w:ind w:firstLine="420" w:firstLineChars="200"/>
        <w:jc w:val="right"/>
        <w:rPr>
          <w:rFonts w:ascii="宋体" w:hAnsi="宋体" w:cs="宋体"/>
          <w:b/>
          <w:bCs/>
          <w:color w:val="auto"/>
          <w:szCs w:val="21"/>
          <w:highlight w:val="none"/>
        </w:rPr>
      </w:pPr>
      <w:r>
        <w:rPr>
          <w:rFonts w:hint="eastAsia" w:ascii="宋体" w:hAnsi="宋体" w:cs="宋体"/>
          <w:color w:val="auto"/>
          <w:szCs w:val="21"/>
          <w:highlight w:val="none"/>
          <w:lang w:val="zh-CN"/>
        </w:rPr>
        <w:t>采购人：</w:t>
      </w:r>
      <w:r>
        <w:rPr>
          <w:rFonts w:hint="eastAsia" w:ascii="宋体" w:hAnsi="宋体"/>
          <w:color w:val="auto"/>
          <w:szCs w:val="21"/>
          <w:highlight w:val="none"/>
        </w:rPr>
        <w:t>防城港市第一人民医院</w:t>
      </w:r>
    </w:p>
    <w:p w14:paraId="20D0EE72">
      <w:pPr>
        <w:spacing w:line="360" w:lineRule="exact"/>
        <w:ind w:firstLine="420" w:firstLineChars="200"/>
        <w:jc w:val="right"/>
        <w:rPr>
          <w:rFonts w:ascii="宋体" w:hAnsi="宋体" w:cs="宋体"/>
          <w:color w:val="auto"/>
          <w:szCs w:val="21"/>
          <w:highlight w:val="none"/>
          <w:lang w:val="zh-CN"/>
        </w:rPr>
      </w:pPr>
      <w:r>
        <w:rPr>
          <w:rFonts w:hint="eastAsia" w:ascii="宋体" w:hAnsi="宋体" w:cs="宋体"/>
          <w:color w:val="auto"/>
          <w:szCs w:val="21"/>
          <w:highlight w:val="none"/>
          <w:lang w:val="zh-CN"/>
        </w:rPr>
        <w:t>采购代理机构：云之龙咨询集团有限公司</w:t>
      </w:r>
    </w:p>
    <w:p w14:paraId="5A4EDF53">
      <w:pPr>
        <w:wordWrap w:val="0"/>
        <w:spacing w:line="360" w:lineRule="exact"/>
        <w:ind w:firstLine="420" w:firstLineChars="200"/>
        <w:jc w:val="right"/>
        <w:rPr>
          <w:rFonts w:ascii="宋体" w:hAnsi="宋体" w:cs="宋体"/>
          <w:color w:val="auto"/>
          <w:szCs w:val="21"/>
          <w:highlight w:val="none"/>
          <w:lang w:val="zh-CN"/>
        </w:rPr>
      </w:pPr>
      <w:r>
        <w:rPr>
          <w:rFonts w:hint="eastAsia" w:ascii="宋体" w:hAnsi="宋体" w:cs="宋体"/>
          <w:color w:val="auto"/>
          <w:szCs w:val="21"/>
          <w:highlight w:val="none"/>
          <w:lang w:val="zh-CN"/>
        </w:rPr>
        <w:t>202</w:t>
      </w:r>
      <w:r>
        <w:rPr>
          <w:rFonts w:hint="eastAsia" w:ascii="宋体" w:hAnsi="宋体" w:cs="宋体"/>
          <w:color w:val="auto"/>
          <w:szCs w:val="21"/>
          <w:highlight w:val="none"/>
        </w:rPr>
        <w:t>5</w:t>
      </w:r>
      <w:r>
        <w:rPr>
          <w:rFonts w:hint="eastAsia" w:ascii="宋体" w:hAnsi="宋体" w:cs="宋体"/>
          <w:color w:val="auto"/>
          <w:szCs w:val="21"/>
          <w:highlight w:val="none"/>
          <w:lang w:val="zh-CN"/>
        </w:rPr>
        <w:t>年</w:t>
      </w:r>
      <w:r>
        <w:rPr>
          <w:rFonts w:hint="eastAsia" w:ascii="宋体" w:hAnsi="宋体" w:cs="宋体"/>
          <w:color w:val="auto"/>
          <w:szCs w:val="21"/>
          <w:highlight w:val="none"/>
          <w:lang w:val="en-US" w:eastAsia="zh-CN"/>
        </w:rPr>
        <w:t>9</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日</w:t>
      </w:r>
    </w:p>
    <w:p w14:paraId="4E33F7ED">
      <w:pPr>
        <w:spacing w:line="340" w:lineRule="exact"/>
        <w:ind w:firstLine="420" w:firstLineChars="200"/>
        <w:jc w:val="right"/>
        <w:rPr>
          <w:rFonts w:ascii="宋体" w:hAnsi="宋体" w:cs="宋体"/>
          <w:color w:val="auto"/>
          <w:szCs w:val="21"/>
          <w:highlight w:val="none"/>
          <w:lang w:val="zh-CN"/>
        </w:rPr>
      </w:pPr>
    </w:p>
    <w:p w14:paraId="13861391">
      <w:pPr>
        <w:spacing w:line="360" w:lineRule="auto"/>
        <w:ind w:firstLine="420" w:firstLineChars="200"/>
        <w:jc w:val="right"/>
        <w:rPr>
          <w:rFonts w:ascii="宋体" w:hAnsi="宋体" w:cs="宋体"/>
          <w:color w:val="auto"/>
          <w:szCs w:val="21"/>
          <w:highlight w:val="none"/>
          <w:lang w:val="zh-CN"/>
        </w:rPr>
      </w:pPr>
    </w:p>
    <w:p w14:paraId="02C7CE26">
      <w:pPr>
        <w:spacing w:line="360" w:lineRule="auto"/>
        <w:ind w:firstLine="420" w:firstLineChars="200"/>
        <w:jc w:val="right"/>
        <w:rPr>
          <w:rFonts w:ascii="宋体" w:hAnsi="宋体" w:cs="宋体"/>
          <w:color w:val="auto"/>
          <w:szCs w:val="21"/>
          <w:highlight w:val="none"/>
          <w:lang w:val="zh-CN"/>
        </w:rPr>
      </w:pPr>
    </w:p>
    <w:p w14:paraId="3F081FCD">
      <w:pPr>
        <w:spacing w:line="360" w:lineRule="auto"/>
        <w:ind w:firstLine="420" w:firstLineChars="200"/>
        <w:jc w:val="right"/>
        <w:rPr>
          <w:rFonts w:ascii="宋体" w:hAnsi="宋体" w:cs="宋体"/>
          <w:color w:val="auto"/>
          <w:szCs w:val="21"/>
          <w:highlight w:val="none"/>
          <w:lang w:val="zh-CN"/>
        </w:rPr>
      </w:pPr>
    </w:p>
    <w:p w14:paraId="1943D2F4">
      <w:pPr>
        <w:spacing w:line="360" w:lineRule="auto"/>
        <w:ind w:firstLine="420" w:firstLineChars="200"/>
        <w:jc w:val="right"/>
        <w:rPr>
          <w:rFonts w:ascii="宋体" w:hAnsi="宋体" w:cs="宋体"/>
          <w:color w:val="auto"/>
          <w:szCs w:val="21"/>
          <w:highlight w:val="none"/>
          <w:lang w:val="zh-CN"/>
        </w:rPr>
      </w:pPr>
    </w:p>
    <w:p w14:paraId="681B5660">
      <w:pPr>
        <w:spacing w:line="360" w:lineRule="auto"/>
        <w:ind w:firstLine="420" w:firstLineChars="200"/>
        <w:jc w:val="right"/>
        <w:rPr>
          <w:rFonts w:ascii="宋体" w:hAnsi="宋体" w:cs="宋体"/>
          <w:color w:val="auto"/>
          <w:szCs w:val="21"/>
          <w:highlight w:val="none"/>
          <w:lang w:val="zh-CN"/>
        </w:rPr>
      </w:pPr>
    </w:p>
    <w:p w14:paraId="5E3E3B04">
      <w:pPr>
        <w:pStyle w:val="3"/>
        <w:spacing w:line="500" w:lineRule="exact"/>
        <w:jc w:val="center"/>
        <w:rPr>
          <w:color w:val="auto"/>
          <w:highlight w:val="none"/>
        </w:rPr>
      </w:pPr>
      <w:bookmarkStart w:id="53" w:name="_Toc168674246"/>
      <w:r>
        <w:rPr>
          <w:rFonts w:hint="eastAsia"/>
          <w:color w:val="auto"/>
          <w:highlight w:val="none"/>
        </w:rPr>
        <w:t>第二章 供应商须知</w:t>
      </w:r>
      <w:bookmarkEnd w:id="53"/>
    </w:p>
    <w:p w14:paraId="159B91A2">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tbl>
      <w:tblPr>
        <w:tblStyle w:val="26"/>
        <w:tblW w:w="93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309"/>
      </w:tblGrid>
      <w:tr w14:paraId="2D856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668E1E3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8309" w:type="dxa"/>
          </w:tcPr>
          <w:p w14:paraId="3C8C962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100A4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B2A2E6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8309" w:type="dxa"/>
            <w:vAlign w:val="center"/>
          </w:tcPr>
          <w:p w14:paraId="5565E305">
            <w:pPr>
              <w:spacing w:line="360" w:lineRule="auto"/>
              <w:rPr>
                <w:rFonts w:ascii="宋体" w:hAnsi="宋体" w:cs="宋体"/>
                <w:color w:val="auto"/>
                <w:szCs w:val="21"/>
                <w:highlight w:val="none"/>
              </w:rPr>
            </w:pPr>
            <w:r>
              <w:rPr>
                <w:rFonts w:hint="eastAsia" w:ascii="宋体" w:hAnsi="宋体" w:cs="宋体"/>
                <w:color w:val="auto"/>
                <w:szCs w:val="21"/>
                <w:highlight w:val="none"/>
              </w:rPr>
              <w:t>1.供应商的资格条件：详见竞争性谈判公告</w:t>
            </w:r>
          </w:p>
          <w:p w14:paraId="49479B65">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6AA8EE49">
            <w:pPr>
              <w:spacing w:line="360" w:lineRule="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5C62DC4">
            <w:pPr>
              <w:spacing w:line="360" w:lineRule="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w:t>
            </w:r>
            <w:r>
              <w:rPr>
                <w:rFonts w:ascii="宋体" w:hAnsi="宋体" w:cs="宋体"/>
                <w:color w:val="auto"/>
                <w:szCs w:val="21"/>
                <w:highlight w:val="none"/>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、政府采购严重违法失信行为记录名单及其他不符合《中华人民共和国政府采购法》第二十二条规定条件的供应商，不得参与政府采购活动。</w:t>
            </w:r>
          </w:p>
        </w:tc>
      </w:tr>
      <w:tr w14:paraId="20C87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D91D1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8309" w:type="dxa"/>
            <w:vAlign w:val="center"/>
          </w:tcPr>
          <w:p w14:paraId="5F09780F">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是否接受联合体竞标：详见竞争性谈判公告</w:t>
            </w:r>
          </w:p>
        </w:tc>
      </w:tr>
      <w:tr w14:paraId="5AB6E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C5F97A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8309" w:type="dxa"/>
            <w:vAlign w:val="center"/>
          </w:tcPr>
          <w:p w14:paraId="437CE090">
            <w:pPr>
              <w:pStyle w:val="11"/>
              <w:spacing w:line="340" w:lineRule="exact"/>
              <w:rPr>
                <w:color w:val="auto"/>
                <w:szCs w:val="21"/>
                <w:highlight w:val="none"/>
                <w:u w:val="single"/>
              </w:rPr>
            </w:pPr>
            <w:r>
              <w:rPr>
                <w:rFonts w:hint="eastAsia"/>
                <w:color w:val="auto"/>
                <w:szCs w:val="21"/>
                <w:highlight w:val="none"/>
              </w:rPr>
              <w:t>不允许分包。</w:t>
            </w:r>
          </w:p>
        </w:tc>
      </w:tr>
      <w:tr w14:paraId="1C5D6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F82392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8309" w:type="dxa"/>
            <w:vAlign w:val="center"/>
          </w:tcPr>
          <w:p w14:paraId="2509BD25">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3C21C17A">
            <w:pPr>
              <w:numPr>
                <w:ilvl w:val="0"/>
                <w:numId w:val="2"/>
              </w:num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DD18AC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2.供应商根据防财监〔2023〕58号文要求提供的《防城港市政府采购供应商信用承诺函》（格式附后）；（</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676E68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3.供应商直接控股、管理关系信息表（格式后附）；（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5D9F9E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4.竞标声明（格式后附）；（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122EAC86">
            <w:pPr>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5.特定资格要求：</w:t>
            </w:r>
            <w:r>
              <w:rPr>
                <w:rFonts w:hint="eastAsia" w:ascii="宋体" w:hAnsi="宋体" w:cs="宋体"/>
                <w:b/>
                <w:bCs/>
                <w:color w:val="auto"/>
                <w:szCs w:val="21"/>
                <w:highlight w:val="none"/>
              </w:rPr>
              <w:t>（必须提供，否则响应文件按无效响应处理）</w:t>
            </w:r>
          </w:p>
          <w:p w14:paraId="1A9DE15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（1）满足以下两项中任意一项要求：</w:t>
            </w:r>
          </w:p>
          <w:p w14:paraId="4DCEA87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①如为生产厂商：供应商提供有效的</w:t>
            </w:r>
            <w:r>
              <w:rPr>
                <w:rFonts w:hint="eastAsia" w:ascii="宋体" w:hAnsi="宋体"/>
                <w:color w:val="auto"/>
                <w:szCs w:val="21"/>
                <w:highlight w:val="none"/>
              </w:rPr>
              <w:t>《药品生产许可证》</w:t>
            </w:r>
            <w:r>
              <w:rPr>
                <w:rFonts w:hint="eastAsia"/>
                <w:color w:val="auto"/>
                <w:highlight w:val="none"/>
              </w:rPr>
              <w:t>【生产</w:t>
            </w:r>
            <w:r>
              <w:rPr>
                <w:color w:val="auto"/>
                <w:highlight w:val="none"/>
              </w:rPr>
              <w:t>范围包括医用气体（液态氧）</w:t>
            </w:r>
            <w:r>
              <w:rPr>
                <w:rFonts w:hint="eastAsia"/>
                <w:color w:val="auto"/>
                <w:highlight w:val="none"/>
              </w:rPr>
              <w:t>】、</w:t>
            </w:r>
            <w:r>
              <w:rPr>
                <w:rFonts w:hint="eastAsia" w:ascii="宋体" w:hAnsi="宋体"/>
                <w:color w:val="auto"/>
                <w:szCs w:val="21"/>
                <w:highlight w:val="none"/>
              </w:rPr>
              <w:t>《危险化学品登记证》【登记品种包括</w:t>
            </w:r>
            <w:r>
              <w:rPr>
                <w:color w:val="auto"/>
                <w:highlight w:val="none"/>
              </w:rPr>
              <w:t>医用气体（液态氧）</w:t>
            </w:r>
            <w:r>
              <w:rPr>
                <w:rFonts w:hint="eastAsia" w:ascii="宋体" w:hAnsi="宋体"/>
                <w:color w:val="auto"/>
                <w:szCs w:val="21"/>
                <w:highlight w:val="none"/>
              </w:rPr>
              <w:t>】、《安全生产许可证》【许可范围包括</w:t>
            </w:r>
            <w:r>
              <w:rPr>
                <w:color w:val="auto"/>
                <w:highlight w:val="none"/>
              </w:rPr>
              <w:t>医用气体（液态氧）</w:t>
            </w:r>
            <w:r>
              <w:rPr>
                <w:rFonts w:hint="eastAsia" w:ascii="宋体" w:hAnsi="宋体"/>
                <w:color w:val="auto"/>
                <w:szCs w:val="21"/>
                <w:highlight w:val="none"/>
              </w:rPr>
              <w:t>】</w:t>
            </w:r>
            <w:r>
              <w:rPr>
                <w:rFonts w:hint="eastAsia" w:ascii="宋体" w:hAnsi="宋体" w:cs="宋体"/>
                <w:color w:val="auto"/>
                <w:szCs w:val="21"/>
                <w:highlight w:val="none"/>
              </w:rPr>
              <w:t>复印件；</w:t>
            </w:r>
          </w:p>
          <w:p w14:paraId="0196C16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②如为经销商：供应商提供有效的</w:t>
            </w:r>
            <w:r>
              <w:rPr>
                <w:rFonts w:hint="eastAsia" w:ascii="宋体" w:hAnsi="宋体"/>
                <w:color w:val="auto"/>
                <w:szCs w:val="21"/>
                <w:highlight w:val="none"/>
              </w:rPr>
              <w:t>《药品经营许可证》【经营范围包括</w:t>
            </w:r>
            <w:r>
              <w:rPr>
                <w:color w:val="auto"/>
                <w:highlight w:val="none"/>
              </w:rPr>
              <w:t>医用气体（液态氧）</w:t>
            </w:r>
            <w:r>
              <w:rPr>
                <w:rFonts w:hint="eastAsia" w:ascii="宋体" w:hAnsi="宋体"/>
                <w:color w:val="auto"/>
                <w:szCs w:val="21"/>
                <w:highlight w:val="none"/>
              </w:rPr>
              <w:t>】、《危险化学品经营许可证》【许可经营范围包括</w:t>
            </w:r>
            <w:r>
              <w:rPr>
                <w:color w:val="auto"/>
                <w:highlight w:val="none"/>
              </w:rPr>
              <w:t>医用气体（液态氧）</w:t>
            </w:r>
            <w:r>
              <w:rPr>
                <w:rFonts w:hint="eastAsia" w:ascii="宋体" w:hAnsi="宋体"/>
                <w:color w:val="auto"/>
                <w:szCs w:val="21"/>
                <w:highlight w:val="none"/>
              </w:rPr>
              <w:t>】</w:t>
            </w:r>
            <w:r>
              <w:rPr>
                <w:rFonts w:hint="eastAsia" w:ascii="宋体" w:hAnsi="宋体" w:cs="宋体"/>
                <w:color w:val="auto"/>
                <w:szCs w:val="21"/>
                <w:highlight w:val="none"/>
              </w:rPr>
              <w:t>复印件；</w:t>
            </w:r>
          </w:p>
          <w:p w14:paraId="2C28823C">
            <w:pPr>
              <w:numPr>
                <w:ilvl w:val="0"/>
                <w:numId w:val="3"/>
              </w:num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提供竞标医用氧（液态）有效的《药品注册证》或《药品注册批件》或《药品再注册批件》或《药品补充申请批准通知书》复印件；</w:t>
            </w:r>
          </w:p>
          <w:p w14:paraId="454AE092">
            <w:pPr>
              <w:snapToGrid w:val="0"/>
              <w:spacing w:line="360" w:lineRule="auto"/>
              <w:jc w:val="left"/>
              <w:rPr>
                <w:rFonts w:ascii="宋体" w:hAnsi="宋体"/>
                <w:i/>
                <w:color w:val="auto"/>
                <w:szCs w:val="21"/>
                <w:highlight w:val="none"/>
              </w:rPr>
            </w:pPr>
            <w:r>
              <w:rPr>
                <w:rFonts w:hint="eastAsia" w:ascii="宋体" w:hAnsi="宋体" w:cs="宋体"/>
                <w:color w:val="auto"/>
                <w:szCs w:val="21"/>
                <w:highlight w:val="none"/>
              </w:rPr>
              <w:t>6.除谈判文件规定必须提供以外，供应商认为需要提供的其他证明材料。</w:t>
            </w:r>
          </w:p>
          <w:p w14:paraId="4B973AA9">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23DCBAF4">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 ，必须加盖供应商公章；必须提供的材料在第五章“响应文件格式”中 有要求法定代表人或委托代理人签字的，必须由法定代表人或委托代理人签字，否则响应文件按无效响应处理。其中，竞标声明必须由法定代表人在规定签章处签字（或盖章）并加盖供应商公章，否则响应文件按无效响应处理。</w:t>
            </w:r>
          </w:p>
          <w:p w14:paraId="0E47D02B">
            <w:pPr>
              <w:snapToGrid w:val="0"/>
              <w:spacing w:line="360" w:lineRule="auto"/>
              <w:ind w:firstLine="422" w:firstLineChars="200"/>
              <w:jc w:val="left"/>
              <w:rPr>
                <w:rFonts w:ascii="宋体" w:hAnsi="宋体" w:cs="宋体"/>
                <w:b/>
                <w:color w:val="auto"/>
                <w:szCs w:val="21"/>
                <w:highlight w:val="none"/>
              </w:rPr>
            </w:pPr>
            <w:r>
              <w:rPr>
                <w:rFonts w:hint="eastAsia" w:ascii="宋体" w:hAnsi="宋体"/>
                <w:b/>
                <w:bCs/>
                <w:color w:val="auto"/>
                <w:szCs w:val="21"/>
                <w:highlight w:val="none"/>
              </w:rPr>
              <w:t>2.分公司参加竞标的，应当取得总公司授权</w:t>
            </w:r>
            <w:r>
              <w:rPr>
                <w:rFonts w:hint="eastAsia" w:ascii="宋体" w:hAnsi="宋体" w:cs="宋体"/>
                <w:b/>
                <w:color w:val="auto"/>
                <w:szCs w:val="21"/>
                <w:highlight w:val="none"/>
              </w:rPr>
              <w:t>，否则响应文件按无效处理。</w:t>
            </w:r>
          </w:p>
        </w:tc>
      </w:tr>
      <w:tr w14:paraId="2D6C6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6572C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8309" w:type="dxa"/>
            <w:vAlign w:val="center"/>
          </w:tcPr>
          <w:p w14:paraId="3CD6E62C">
            <w:pPr>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14:paraId="026A99E4">
            <w:pPr>
              <w:spacing w:line="360" w:lineRule="auto"/>
              <w:rPr>
                <w:rFonts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2FEF75A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供应商</w:t>
            </w:r>
            <w:r>
              <w:rPr>
                <w:rFonts w:hint="eastAsia" w:ascii="宋体" w:hAnsi="宋体" w:cs="宋体"/>
                <w:color w:val="auto"/>
                <w:szCs w:val="21"/>
                <w:highlight w:val="none"/>
              </w:rPr>
              <w:t>的</w:t>
            </w:r>
            <w:r>
              <w:rPr>
                <w:rFonts w:hint="eastAsia" w:ascii="宋体" w:hAnsi="宋体"/>
                <w:color w:val="auto"/>
                <w:szCs w:val="21"/>
                <w:highlight w:val="none"/>
              </w:rPr>
              <w:t>《中小企业声明函》或《残疾人福利性单位声明函》或属于监狱企业的证明文件；</w:t>
            </w:r>
            <w:r>
              <w:rPr>
                <w:rFonts w:hint="eastAsia" w:ascii="宋体" w:hAnsi="宋体" w:cs="宋体"/>
                <w:color w:val="auto"/>
                <w:szCs w:val="21"/>
                <w:highlight w:val="none"/>
              </w:rPr>
              <w:t>（</w:t>
            </w:r>
            <w:r>
              <w:rPr>
                <w:rFonts w:hint="eastAsia" w:ascii="宋体" w:hAnsi="宋体" w:cs="宋体"/>
                <w:b/>
                <w:color w:val="auto"/>
                <w:szCs w:val="21"/>
                <w:highlight w:val="none"/>
              </w:rPr>
              <w:t>如有请提供，未提供的，竞标报价不进行政策性扣除</w:t>
            </w:r>
            <w:r>
              <w:rPr>
                <w:rFonts w:hint="eastAsia" w:ascii="宋体" w:hAnsi="宋体" w:cs="宋体"/>
                <w:color w:val="auto"/>
                <w:szCs w:val="21"/>
                <w:highlight w:val="none"/>
              </w:rPr>
              <w:t>）</w:t>
            </w:r>
          </w:p>
          <w:p w14:paraId="373A0970">
            <w:pPr>
              <w:spacing w:line="360" w:lineRule="auto"/>
              <w:rPr>
                <w:rFonts w:ascii="宋体" w:hAnsi="宋体" w:cs="宋体"/>
                <w:color w:val="auto"/>
                <w:szCs w:val="21"/>
                <w:highlight w:val="none"/>
              </w:rPr>
            </w:pPr>
            <w:r>
              <w:rPr>
                <w:rFonts w:hint="eastAsia" w:ascii="宋体" w:hAnsi="宋体" w:cs="宋体"/>
                <w:color w:val="auto"/>
                <w:szCs w:val="21"/>
                <w:highlight w:val="none"/>
              </w:rPr>
              <w:t>3.供应商认为需要提供的其他有关资料。</w:t>
            </w:r>
          </w:p>
        </w:tc>
      </w:tr>
      <w:tr w14:paraId="7F1B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805F59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8309" w:type="dxa"/>
            <w:vAlign w:val="center"/>
          </w:tcPr>
          <w:p w14:paraId="5260AEBB">
            <w:pPr>
              <w:spacing w:line="360" w:lineRule="auto"/>
              <w:rPr>
                <w:rFonts w:ascii="宋体" w:hAnsi="宋体" w:cs="宋体"/>
                <w:color w:val="auto"/>
                <w:szCs w:val="21"/>
                <w:highlight w:val="none"/>
              </w:rPr>
            </w:pPr>
            <w:r>
              <w:rPr>
                <w:rFonts w:hint="eastAsia" w:ascii="宋体" w:hAnsi="宋体" w:cs="宋体"/>
                <w:color w:val="auto"/>
                <w:szCs w:val="21"/>
                <w:highlight w:val="none"/>
              </w:rPr>
              <w:t>商务技术文件</w:t>
            </w:r>
          </w:p>
          <w:p w14:paraId="6E5A92AA">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890310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138014C">
            <w:pPr>
              <w:spacing w:line="360" w:lineRule="auto"/>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14:paraId="7AD99E44">
            <w:pPr>
              <w:spacing w:line="360" w:lineRule="auto"/>
              <w:rPr>
                <w:rFonts w:ascii="宋体" w:hAnsi="宋体" w:cs="宋体"/>
                <w:color w:val="auto"/>
                <w:szCs w:val="21"/>
                <w:highlight w:val="none"/>
              </w:rPr>
            </w:pPr>
            <w:r>
              <w:rPr>
                <w:rFonts w:hint="eastAsia" w:ascii="宋体" w:hAnsi="宋体" w:cs="宋体"/>
                <w:color w:val="auto"/>
                <w:szCs w:val="21"/>
                <w:highlight w:val="none"/>
              </w:rPr>
              <w:t>4.商务要求偏离表（格式后附）；（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486135B">
            <w:pPr>
              <w:spacing w:line="360" w:lineRule="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olor w:val="auto"/>
                <w:szCs w:val="21"/>
                <w:highlight w:val="none"/>
              </w:rPr>
              <w:t>代理服务费承诺书（格式后附）；</w:t>
            </w:r>
            <w:r>
              <w:rPr>
                <w:rFonts w:hint="eastAsia" w:ascii="宋体" w:hAnsi="宋体" w:cs="宋体"/>
                <w:color w:val="auto"/>
                <w:szCs w:val="21"/>
                <w:highlight w:val="none"/>
              </w:rPr>
              <w:t xml:space="preserve"> </w:t>
            </w:r>
          </w:p>
          <w:p w14:paraId="1EE7FE95">
            <w:pPr>
              <w:spacing w:line="360" w:lineRule="auto"/>
              <w:rPr>
                <w:rFonts w:ascii="宋体" w:hAnsi="宋体" w:cs="宋体"/>
                <w:color w:val="auto"/>
                <w:szCs w:val="21"/>
                <w:highlight w:val="none"/>
              </w:rPr>
            </w:pPr>
            <w:r>
              <w:rPr>
                <w:rFonts w:hint="eastAsia" w:ascii="宋体" w:hAnsi="宋体" w:cs="宋体"/>
                <w:color w:val="auto"/>
                <w:szCs w:val="21"/>
                <w:highlight w:val="none"/>
              </w:rPr>
              <w:t>6.货物配置清单（均不含报价）（格式后附）；（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18E3549">
            <w:pPr>
              <w:spacing w:line="360" w:lineRule="auto"/>
              <w:rPr>
                <w:color w:val="auto"/>
                <w:highlight w:val="none"/>
              </w:rPr>
            </w:pPr>
            <w:r>
              <w:rPr>
                <w:rFonts w:hint="eastAsia" w:ascii="宋体" w:hAnsi="宋体" w:cs="宋体"/>
                <w:color w:val="auto"/>
                <w:szCs w:val="21"/>
                <w:highlight w:val="none"/>
              </w:rPr>
              <w:t>7.技术要求偏离表（格式后附）；（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FB7A5FA">
            <w:pPr>
              <w:spacing w:line="360" w:lineRule="auto"/>
              <w:rPr>
                <w:rFonts w:ascii="宋体" w:hAnsi="宋体" w:cs="宋体"/>
                <w:color w:val="auto"/>
                <w:szCs w:val="21"/>
                <w:highlight w:val="none"/>
              </w:rPr>
            </w:pPr>
            <w:r>
              <w:rPr>
                <w:rFonts w:hint="eastAsia" w:ascii="宋体" w:hAnsi="宋体"/>
                <w:bCs/>
                <w:color w:val="auto"/>
                <w:szCs w:val="21"/>
                <w:highlight w:val="none"/>
              </w:rPr>
              <w:t>8</w:t>
            </w:r>
            <w:r>
              <w:rPr>
                <w:rFonts w:hint="eastAsia" w:ascii="宋体" w:hAnsi="宋体" w:cs="宋体"/>
                <w:color w:val="auto"/>
                <w:szCs w:val="21"/>
                <w:highlight w:val="none"/>
              </w:rPr>
              <w:t>.对应采购需求的技术要求、商务要求提供的其他文件资料（格式自拟）；</w:t>
            </w:r>
          </w:p>
          <w:p w14:paraId="1661912C">
            <w:pPr>
              <w:spacing w:line="360" w:lineRule="auto"/>
              <w:rPr>
                <w:rFonts w:ascii="宋体" w:hAnsi="宋体" w:cs="宋体"/>
                <w:color w:val="auto"/>
                <w:szCs w:val="21"/>
                <w:highlight w:val="none"/>
              </w:rPr>
            </w:pPr>
            <w:r>
              <w:rPr>
                <w:rFonts w:hint="eastAsia" w:ascii="宋体" w:hAnsi="宋体" w:cs="宋体"/>
                <w:color w:val="auto"/>
                <w:szCs w:val="21"/>
                <w:highlight w:val="none"/>
              </w:rPr>
              <w:t>9.供应商认为需要提供的其他有关资料。</w:t>
            </w:r>
          </w:p>
          <w:p w14:paraId="053BDC20">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注：以上标明“必须提供”的材料 ，必须加盖供应商电子签章；必须提供的材料在第五章“响应文件格式”中有要求法定代表人或委托代理人签字的，必须由法定代表人或委托代理人签字；否则响应文件按无效响应处理。</w:t>
            </w:r>
          </w:p>
        </w:tc>
      </w:tr>
      <w:tr w14:paraId="1864E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A77D9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8309" w:type="dxa"/>
            <w:vAlign w:val="center"/>
          </w:tcPr>
          <w:p w14:paraId="26F233B3">
            <w:pPr>
              <w:wordWrap w:val="0"/>
              <w:spacing w:line="312" w:lineRule="auto"/>
              <w:jc w:val="left"/>
              <w:rPr>
                <w:rFonts w:hAnsi="宋体" w:cs="Arial"/>
                <w:color w:val="auto"/>
                <w:highlight w:val="none"/>
              </w:rPr>
            </w:pPr>
            <w:r>
              <w:rPr>
                <w:rFonts w:hint="eastAsia" w:ascii="宋体" w:hAnsi="宋体" w:cs="宋体"/>
                <w:color w:val="auto"/>
                <w:szCs w:val="21"/>
                <w:highlight w:val="none"/>
              </w:rPr>
              <w:t>1.竞标报价包括液氧罐的场地勘察、安装、调试、证件办理、</w:t>
            </w:r>
            <w:r>
              <w:rPr>
                <w:rFonts w:hint="eastAsia" w:hAnsi="宋体" w:cs="Arial"/>
                <w:color w:val="auto"/>
                <w:highlight w:val="none"/>
              </w:rPr>
              <w:t>货物的价款、产品的包装费用、运输费、装卸费用、检测费、人工费用、培训费、保险、管理服务成本、法定税费和服务企业的利润、液氧站供氧设备</w:t>
            </w:r>
            <w:r>
              <w:rPr>
                <w:rFonts w:hint="eastAsia" w:ascii="宋体" w:hAnsi="宋体"/>
                <w:color w:val="auto"/>
                <w:highlight w:val="none"/>
              </w:rPr>
              <w:t>供应</w:t>
            </w:r>
            <w:r>
              <w:rPr>
                <w:rFonts w:hint="eastAsia" w:hAnsi="宋体" w:cs="Arial"/>
                <w:color w:val="auto"/>
                <w:highlight w:val="none"/>
              </w:rPr>
              <w:t>期内的维修、保养及定期检测费用、更换的液氧储罐等一切应尽费用。对于本文件中未列明，而供应商认为必需的费用也需列入总报价。在合同实施时，采购人将不予支付供应商没有列入的项目费用，并认为此项目的费用已包括在竞标报价中。</w:t>
            </w:r>
          </w:p>
          <w:p w14:paraId="3603D14E">
            <w:pPr>
              <w:pStyle w:val="9"/>
              <w:ind w:left="0" w:leftChars="0"/>
              <w:rPr>
                <w:rFonts w:ascii="宋体" w:hAnsi="宋体" w:cs="宋体"/>
                <w:bCs/>
                <w:color w:val="auto"/>
                <w:szCs w:val="21"/>
                <w:highlight w:val="none"/>
              </w:rPr>
            </w:pPr>
            <w:r>
              <w:rPr>
                <w:rFonts w:hint="eastAsia" w:hAnsi="宋体" w:cs="Arial"/>
                <w:b/>
                <w:bCs/>
                <w:color w:val="auto"/>
                <w:highlight w:val="none"/>
              </w:rPr>
              <w:t>2.供应商须对本项目的医用氧气（液氧）做出单价报价，且不得高于单价最高限价（1600元/吨），否则竞标无效。</w:t>
            </w:r>
          </w:p>
        </w:tc>
      </w:tr>
      <w:tr w14:paraId="25168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77AC66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8309" w:type="dxa"/>
            <w:vAlign w:val="center"/>
          </w:tcPr>
          <w:p w14:paraId="72709942">
            <w:pPr>
              <w:pStyle w:val="10"/>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90</w:t>
            </w:r>
            <w:r>
              <w:rPr>
                <w:rFonts w:hint="eastAsia" w:ascii="宋体" w:hAnsi="宋体" w:cs="宋体"/>
                <w:color w:val="auto"/>
                <w:kern w:val="2"/>
                <w:sz w:val="21"/>
                <w:szCs w:val="21"/>
                <w:highlight w:val="none"/>
              </w:rPr>
              <w:t>日。</w:t>
            </w:r>
          </w:p>
        </w:tc>
      </w:tr>
      <w:tr w14:paraId="19C29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3AF7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8309" w:type="dxa"/>
            <w:vAlign w:val="center"/>
          </w:tcPr>
          <w:p w14:paraId="42329301">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本项目不收取竞标保证金。</w:t>
            </w:r>
          </w:p>
        </w:tc>
      </w:tr>
      <w:tr w14:paraId="3921C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8F137C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8309" w:type="dxa"/>
            <w:vAlign w:val="center"/>
          </w:tcPr>
          <w:p w14:paraId="01B8C71B">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本项目不接受</w:t>
            </w:r>
            <w:r>
              <w:rPr>
                <w:rFonts w:hint="eastAsia"/>
                <w:color w:val="auto"/>
                <w:szCs w:val="21"/>
                <w:highlight w:val="none"/>
              </w:rPr>
              <w:t>电子</w:t>
            </w:r>
            <w:r>
              <w:rPr>
                <w:rFonts w:hint="eastAsia" w:ascii="宋体" w:hAnsi="宋体"/>
                <w:color w:val="auto"/>
                <w:szCs w:val="21"/>
                <w:highlight w:val="none"/>
              </w:rPr>
              <w:t>备份响应文件</w:t>
            </w:r>
          </w:p>
        </w:tc>
      </w:tr>
      <w:tr w14:paraId="10133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BFD0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8309" w:type="dxa"/>
            <w:vAlign w:val="center"/>
          </w:tcPr>
          <w:p w14:paraId="0D87EC2A">
            <w:pPr>
              <w:spacing w:line="36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响应文件提交截止时间：详见竞争性谈判公告。</w:t>
            </w:r>
          </w:p>
          <w:p w14:paraId="677D3954">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响应文件提交地点：详见竞争性谈判公告。</w:t>
            </w:r>
          </w:p>
        </w:tc>
      </w:tr>
      <w:tr w14:paraId="65D85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907A04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8309" w:type="dxa"/>
            <w:vAlign w:val="center"/>
          </w:tcPr>
          <w:p w14:paraId="4415F020">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谈判小组的人数：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14:paraId="2975B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8EDC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8309" w:type="dxa"/>
            <w:vAlign w:val="center"/>
          </w:tcPr>
          <w:p w14:paraId="1B4EAEC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首次响应文件开启时间详见“竞争性谈判公告”</w:t>
            </w:r>
          </w:p>
          <w:p w14:paraId="59083F5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ascii="宋体" w:hAnsi="宋体"/>
                <w:color w:val="auto"/>
                <w:szCs w:val="21"/>
                <w:highlight w:val="none"/>
              </w:rPr>
              <w:t>30分钟</w:t>
            </w:r>
          </w:p>
        </w:tc>
      </w:tr>
      <w:tr w14:paraId="503FC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3659B894">
            <w:pPr>
              <w:spacing w:line="360" w:lineRule="auto"/>
              <w:jc w:val="center"/>
              <w:rPr>
                <w:rFonts w:ascii="宋体" w:hAnsi="宋体" w:cs="宋体"/>
                <w:color w:val="auto"/>
                <w:szCs w:val="21"/>
                <w:highlight w:val="none"/>
              </w:rPr>
            </w:pPr>
            <w:r>
              <w:rPr>
                <w:rFonts w:ascii="宋体" w:hAnsi="宋体" w:cs="宋体"/>
                <w:color w:val="auto"/>
                <w:szCs w:val="21"/>
                <w:highlight w:val="none"/>
              </w:rPr>
              <w:t>26</w:t>
            </w:r>
          </w:p>
        </w:tc>
        <w:tc>
          <w:tcPr>
            <w:tcW w:w="8309" w:type="dxa"/>
            <w:vAlign w:val="center"/>
          </w:tcPr>
          <w:p w14:paraId="660B4432">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当最后报价相同时，按带“▲”的实质性要求正偏离项数多的优先、均无正偏离或正偏离项目一致时按故障响应时间短优先、现场维修时间短优先的顺序确定。</w:t>
            </w:r>
          </w:p>
        </w:tc>
      </w:tr>
      <w:tr w14:paraId="70868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06BF5908">
            <w:pPr>
              <w:spacing w:line="360" w:lineRule="auto"/>
              <w:jc w:val="center"/>
              <w:rPr>
                <w:rFonts w:ascii="宋体" w:hAnsi="宋体" w:cs="宋体"/>
                <w:color w:val="auto"/>
                <w:szCs w:val="21"/>
                <w:highlight w:val="none"/>
              </w:rPr>
            </w:pPr>
          </w:p>
        </w:tc>
        <w:tc>
          <w:tcPr>
            <w:tcW w:w="8309" w:type="dxa"/>
            <w:vAlign w:val="center"/>
          </w:tcPr>
          <w:p w14:paraId="60C7DD1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0</w:t>
            </w:r>
            <w:r>
              <w:rPr>
                <w:rFonts w:hint="eastAsia" w:ascii="宋体" w:hAnsi="宋体" w:cs="宋体"/>
                <w:color w:val="auto"/>
                <w:szCs w:val="21"/>
                <w:highlight w:val="none"/>
              </w:rPr>
              <w:t>项。</w:t>
            </w:r>
          </w:p>
          <w:p w14:paraId="09B96F7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0</w:t>
            </w:r>
            <w:r>
              <w:rPr>
                <w:rFonts w:hint="eastAsia" w:ascii="宋体" w:hAnsi="宋体" w:cs="宋体"/>
                <w:color w:val="auto"/>
                <w:szCs w:val="21"/>
                <w:highlight w:val="none"/>
              </w:rPr>
              <w:t>项。</w:t>
            </w:r>
          </w:p>
        </w:tc>
      </w:tr>
      <w:tr w14:paraId="30695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B6F8A1C">
            <w:pPr>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8309" w:type="dxa"/>
            <w:vAlign w:val="center"/>
          </w:tcPr>
          <w:p w14:paraId="70693947">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本项目收取履约保证金，具体规定如下：</w:t>
            </w:r>
          </w:p>
          <w:p w14:paraId="7136ABAB">
            <w:pPr>
              <w:spacing w:line="34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cs="宋体"/>
                <w:color w:val="auto"/>
                <w:szCs w:val="21"/>
                <w:highlight w:val="none"/>
                <w:lang w:eastAsia="zh-CN"/>
              </w:rPr>
              <w:t>采购预算</w:t>
            </w:r>
            <w:r>
              <w:rPr>
                <w:rFonts w:hint="eastAsia" w:ascii="宋体" w:hAnsi="宋体" w:cs="宋体"/>
                <w:color w:val="auto"/>
                <w:szCs w:val="21"/>
                <w:highlight w:val="none"/>
              </w:rPr>
              <w:t>的2%【根据《防城港市人民政府办公室关于印发防城港市保障中小企业款项支付工作方案的通知》（防政办发[2021]1号）文件精神，如成交供应商为小微企业的，免收履约保证金。</w:t>
            </w:r>
          </w:p>
          <w:p w14:paraId="1FA83A27">
            <w:pPr>
              <w:spacing w:line="34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履约保证金提交方式：银行转账、支票、汇票、本票或者银行、保险机构出具的保函等非现金方式。</w:t>
            </w:r>
          </w:p>
          <w:p w14:paraId="74CD61AD">
            <w:pPr>
              <w:spacing w:line="34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退付方式、时间及条件：履约完毕（运行维护期满），由成交供应商向履约保证金收取单位提供《政府采购项目合同验收书》（详见附件1）及《政府采购项目履约保证金退付意见书》（详见附件2），保证金收取单位在收到合格材料后5个工作日内办理退还手续（不计利息）。</w:t>
            </w:r>
          </w:p>
          <w:p w14:paraId="0396388E">
            <w:pPr>
              <w:spacing w:line="34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履约保证金指定账户：采购人在签订采购合同前向成交人提供。</w:t>
            </w:r>
          </w:p>
          <w:p w14:paraId="3FCDA0CF">
            <w:pPr>
              <w:spacing w:line="340" w:lineRule="exact"/>
              <w:contextualSpacing/>
              <w:rPr>
                <w:rFonts w:ascii="宋体" w:hAnsi="宋体" w:cs="宋体"/>
                <w:color w:val="auto"/>
                <w:szCs w:val="21"/>
                <w:highlight w:val="none"/>
              </w:rPr>
            </w:pPr>
            <w:r>
              <w:rPr>
                <w:rFonts w:hint="eastAsia" w:ascii="宋体" w:hAnsi="宋体" w:cs="宋体"/>
                <w:color w:val="auto"/>
                <w:szCs w:val="21"/>
                <w:highlight w:val="none"/>
              </w:rPr>
              <w:t>备注：</w:t>
            </w:r>
          </w:p>
          <w:p w14:paraId="5641D6A4">
            <w:pPr>
              <w:spacing w:line="340" w:lineRule="exact"/>
              <w:contextualSpacing/>
              <w:rPr>
                <w:rFonts w:ascii="宋体" w:hAnsi="宋体" w:cs="宋体"/>
                <w:color w:val="auto"/>
                <w:szCs w:val="21"/>
                <w:highlight w:val="none"/>
              </w:rPr>
            </w:pPr>
            <w:r>
              <w:rPr>
                <w:rFonts w:hint="eastAsia" w:ascii="宋体" w:hAnsi="宋体" w:cs="宋体"/>
                <w:color w:val="auto"/>
                <w:szCs w:val="21"/>
                <w:highlight w:val="none"/>
              </w:rPr>
              <w:t>1.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1986CEC5">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2.采用银行、保险机构出具保函的，必须为无条件保函，否则视为未按规定提交履约保证金。</w:t>
            </w:r>
          </w:p>
        </w:tc>
      </w:tr>
      <w:tr w14:paraId="69761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1C631F">
            <w:pPr>
              <w:spacing w:line="360" w:lineRule="auto"/>
              <w:jc w:val="center"/>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.1</w:t>
            </w:r>
          </w:p>
        </w:tc>
        <w:tc>
          <w:tcPr>
            <w:tcW w:w="8309" w:type="dxa"/>
            <w:vAlign w:val="center"/>
          </w:tcPr>
          <w:p w14:paraId="7CA05C87">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4B1BD44C">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7409FABA">
            <w:pPr>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40705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650A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8309" w:type="dxa"/>
            <w:vAlign w:val="center"/>
          </w:tcPr>
          <w:p w14:paraId="7308DA3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6F5BEB4E">
            <w:pPr>
              <w:pStyle w:val="16"/>
              <w:snapToGrid w:val="0"/>
              <w:spacing w:line="360" w:lineRule="auto"/>
              <w:rPr>
                <w:rFonts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rPr>
              <w:t>云之龙咨询集团有限公司防城港分公司</w:t>
            </w:r>
            <w:r>
              <w:rPr>
                <w:rFonts w:hint="eastAsia" w:hAnsi="宋体" w:cs="宋体"/>
                <w:color w:val="auto"/>
                <w:kern w:val="2"/>
                <w:sz w:val="21"/>
                <w:highlight w:val="none"/>
              </w:rPr>
              <w:t>，联系电话：0770-2882899，通讯地址：防城港市港口区桃花湾广场海悦华府一单元12楼1203室。</w:t>
            </w:r>
          </w:p>
          <w:p w14:paraId="2E041413">
            <w:pPr>
              <w:pStyle w:val="16"/>
              <w:snapToGrid w:val="0"/>
              <w:spacing w:line="360" w:lineRule="auto"/>
              <w:rPr>
                <w:rFonts w:hAnsi="宋体" w:cs="宋体"/>
                <w:color w:val="auto"/>
                <w:kern w:val="2"/>
                <w:sz w:val="21"/>
                <w:highlight w:val="none"/>
              </w:rPr>
            </w:pPr>
            <w:r>
              <w:rPr>
                <w:rFonts w:hint="eastAsia" w:hAnsi="宋体" w:cs="宋体"/>
                <w:color w:val="auto"/>
                <w:sz w:val="21"/>
                <w:highlight w:val="none"/>
              </w:rPr>
              <w:t>业务时间：工作日每天上午8时00分到12时00分，下午</w:t>
            </w:r>
            <w:r>
              <w:rPr>
                <w:rFonts w:hAnsi="宋体" w:cs="宋体"/>
                <w:color w:val="auto"/>
                <w:sz w:val="21"/>
                <w:highlight w:val="none"/>
              </w:rPr>
              <w:t>3</w:t>
            </w:r>
            <w:r>
              <w:rPr>
                <w:rFonts w:hint="eastAsia" w:hAnsi="宋体" w:cs="宋体"/>
                <w:color w:val="auto"/>
                <w:sz w:val="21"/>
                <w:highlight w:val="none"/>
              </w:rPr>
              <w:t>时00分到</w:t>
            </w:r>
            <w:r>
              <w:rPr>
                <w:rFonts w:hAnsi="宋体" w:cs="宋体"/>
                <w:color w:val="auto"/>
                <w:sz w:val="21"/>
                <w:highlight w:val="none"/>
              </w:rPr>
              <w:t>6</w:t>
            </w:r>
            <w:r>
              <w:rPr>
                <w:rFonts w:hint="eastAsia" w:hAnsi="宋体" w:cs="宋体"/>
                <w:color w:val="auto"/>
                <w:sz w:val="21"/>
                <w:highlight w:val="none"/>
              </w:rPr>
              <w:t>时 00分。</w:t>
            </w:r>
          </w:p>
        </w:tc>
      </w:tr>
      <w:tr w14:paraId="526F8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A0463C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.1</w:t>
            </w:r>
          </w:p>
        </w:tc>
        <w:tc>
          <w:tcPr>
            <w:tcW w:w="8309" w:type="dxa"/>
            <w:vAlign w:val="center"/>
          </w:tcPr>
          <w:p w14:paraId="59D6880C">
            <w:pPr>
              <w:pStyle w:val="16"/>
              <w:snapToGrid w:val="0"/>
              <w:spacing w:line="360" w:lineRule="exact"/>
              <w:rPr>
                <w:rFonts w:hAnsi="宋体" w:cs="宋体"/>
                <w:color w:val="auto"/>
                <w:sz w:val="21"/>
                <w:highlight w:val="none"/>
              </w:rPr>
            </w:pPr>
            <w:r>
              <w:rPr>
                <w:rFonts w:hint="eastAsia" w:hAnsi="宋体" w:cs="宋体"/>
                <w:color w:val="auto"/>
                <w:sz w:val="21"/>
                <w:highlight w:val="none"/>
              </w:rPr>
              <w:t>1.采购代理费支付方式：本项目代理服务费由成交供应商领取成交通知书后，一次性向采购代理机构支付。</w:t>
            </w:r>
          </w:p>
          <w:p w14:paraId="10B52FC2">
            <w:pPr>
              <w:pStyle w:val="16"/>
              <w:snapToGrid w:val="0"/>
              <w:spacing w:line="360" w:lineRule="exact"/>
              <w:rPr>
                <w:rFonts w:hAnsi="宋体" w:cs="宋体"/>
                <w:color w:val="auto"/>
                <w:sz w:val="21"/>
                <w:highlight w:val="none"/>
              </w:rPr>
            </w:pPr>
            <w:r>
              <w:rPr>
                <w:rFonts w:hint="eastAsia" w:hAnsi="宋体" w:cs="宋体"/>
                <w:color w:val="auto"/>
                <w:sz w:val="21"/>
                <w:highlight w:val="none"/>
              </w:rPr>
              <w:t>2.采购代理费收取标准：以预算金额为计费额，按下表《招标代理服务收费标准》“货物招标”按下浮30%向成交人收取代理服务费【按收费标准向成交人收取代理服务费不足5000.00元的，按5000.00元的标准收取】</w:t>
            </w:r>
          </w:p>
          <w:p w14:paraId="407FBEF5">
            <w:pPr>
              <w:pStyle w:val="16"/>
              <w:snapToGrid w:val="0"/>
              <w:spacing w:line="400" w:lineRule="exact"/>
              <w:jc w:val="center"/>
              <w:rPr>
                <w:rFonts w:hAnsi="宋体" w:cs="宋体"/>
                <w:color w:val="auto"/>
                <w:sz w:val="21"/>
                <w:highlight w:val="none"/>
              </w:rPr>
            </w:pPr>
            <w:r>
              <w:rPr>
                <w:rFonts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688975</wp:posOffset>
                      </wp:positionH>
                      <wp:positionV relativeFrom="paragraph">
                        <wp:posOffset>232410</wp:posOffset>
                      </wp:positionV>
                      <wp:extent cx="724535" cy="934720"/>
                      <wp:effectExtent l="3810" t="3175" r="14605" b="14605"/>
                      <wp:wrapNone/>
                      <wp:docPr id="8" name="直接连接符 8"/>
                      <wp:cNvGraphicFramePr/>
                      <a:graphic xmlns:a="http://schemas.openxmlformats.org/drawingml/2006/main">
                        <a:graphicData uri="http://schemas.microsoft.com/office/word/2010/wordprocessingShape">
                          <wps:wsp>
                            <wps:cNvCnPr/>
                            <wps:spPr>
                              <a:xfrm flipH="1" flipV="1">
                                <a:off x="1242695" y="6069965"/>
                                <a:ext cx="1038860" cy="117602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54.25pt;margin-top:18.3pt;height:73.6pt;width:57.05pt;z-index:251662336;mso-width-relative:page;mso-height-relative:page;" filled="f" stroked="t" coordsize="21600,21600" o:gfxdata="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&#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Rtsn2AAAAAoBAAAPAAAAAAAAAAEAIAAAACIAAABk&#10;cnMvZG93bnJldi54bWxQSwECFAAUAAAACACHTuJAmATvFAYCAADlAwAADgAAAAAAAAABACAAAAAn&#10;AQAAZHJzL2Uyb0RvYy54bWxQSwUGAAAAAAYABgBZAQAAnwUAAAAA&#10;">
                      <v:fill on="f" focussize="0,0"/>
                      <v:stroke weight="0.5pt" color="#000000" miterlimit="8" joinstyle="miter"/>
                      <v:imagedata o:title=""/>
                      <o:lock v:ext="edit" aspectratio="f"/>
                    </v:line>
                  </w:pict>
                </mc:Fallback>
              </mc:AlternateContent>
            </w:r>
            <w:r>
              <w:rPr>
                <w:rFonts w:hint="eastAsia" w:hAnsi="宋体" w:cs="宋体"/>
                <w:color w:val="auto"/>
                <w:sz w:val="21"/>
                <w:highlight w:val="none"/>
              </w:rPr>
              <w:t>招标代理服务收费标准</w:t>
            </w:r>
          </w:p>
          <w:tbl>
            <w:tblPr>
              <w:tblStyle w:val="26"/>
              <w:tblW w:w="7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608"/>
              <w:gridCol w:w="1492"/>
              <w:gridCol w:w="2013"/>
            </w:tblGrid>
            <w:tr w14:paraId="2E93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2448" w:type="dxa"/>
                </w:tcPr>
                <w:p w14:paraId="62DDA8F5">
                  <w:pPr>
                    <w:spacing w:line="400" w:lineRule="exact"/>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R037VAAAACQEAAA8AAAAAAAAAAQAgAAAAIgAAAGRycy9kb3ducmV2LnhtbFBLAQIU&#10;ABQAAAAIAIdO4kCgO0b59gEAAO4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费　　　    服务</w:t>
                  </w:r>
                </w:p>
                <w:p w14:paraId="62F72899">
                  <w:pPr>
                    <w:spacing w:line="400" w:lineRule="exact"/>
                    <w:ind w:firstLine="1004"/>
                    <w:rPr>
                      <w:rFonts w:ascii="宋体" w:hAnsi="宋体" w:cs="宋体"/>
                      <w:bCs/>
                      <w:color w:val="auto"/>
                      <w:szCs w:val="21"/>
                      <w:highlight w:val="none"/>
                    </w:rPr>
                  </w:pPr>
                  <w:r>
                    <w:rPr>
                      <w:rFonts w:hint="eastAsia" w:ascii="宋体" w:hAnsi="宋体" w:cs="宋体"/>
                      <w:bCs/>
                      <w:color w:val="auto"/>
                      <w:szCs w:val="21"/>
                      <w:highlight w:val="none"/>
                    </w:rPr>
                    <w:t>　　类型</w:t>
                  </w:r>
                </w:p>
                <w:p w14:paraId="7E76D762">
                  <w:pPr>
                    <w:spacing w:line="400" w:lineRule="exact"/>
                    <w:ind w:left="174" w:leftChars="83" w:firstLine="921" w:firstLineChars="439"/>
                    <w:rPr>
                      <w:rFonts w:ascii="宋体" w:hAnsi="宋体" w:cs="宋体"/>
                      <w:bC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-57785</wp:posOffset>
                            </wp:positionH>
                            <wp:positionV relativeFrom="paragraph">
                              <wp:posOffset>-1270</wp:posOffset>
                            </wp:positionV>
                            <wp:extent cx="1291590" cy="400050"/>
                            <wp:effectExtent l="1270" t="4445" r="2540" b="14605"/>
                            <wp:wrapNone/>
                            <wp:docPr id="4" name="直接连接符 4"/>
                            <wp:cNvGraphicFramePr/>
                            <a:graphic xmlns:a="http://schemas.openxmlformats.org/drawingml/2006/main">
                              <a:graphicData uri="http://schemas.microsoft.com/office/word/2010/wordprocessingShape">
                                <wps:wsp>
                                  <wps:cNvCnPr/>
                                  <wps:spPr>
                                    <a:xfrm flipH="1" flipV="1">
                                      <a:off x="732155" y="6385560"/>
                                      <a:ext cx="1555115" cy="86614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4.55pt;margin-top:-0.1pt;height:31.5pt;width:101.7pt;z-index:251661312;mso-width-relative:page;mso-height-relative:page;" filled="f" stroked="t" coordsize="21600,21600" o:gfxdata="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kpyt3XAAAABwEAAA8AAAAAAAAAAQAgAAAAIgAAAGRycy9k&#10;b3ducmV2LnhtbFBLAQIUABQAAAAIAIdO4kAmVm1tAwIAAOMDAAAOAAAAAAAAAAEAIAAAACYBAABk&#10;cnMvZTJvRG9jLnhtbFBLBQYAAAAABgAGAFkBAACbBQAAAAA=&#10;">
                            <v:fill on="f" focussize="0,0"/>
                            <v:stroke weight="0.5pt" color="#000000" miterlimit="8" joinstyle="miter"/>
                            <v:imagedata o:title=""/>
                            <o:lock v:ext="edit" aspectratio="f"/>
                          </v:line>
                        </w:pict>
                      </mc:Fallback>
                    </mc:AlternateContent>
                  </w:r>
                  <w:r>
                    <w:rPr>
                      <w:rFonts w:hint="eastAsia" w:ascii="宋体" w:hAnsi="宋体" w:cs="宋体"/>
                      <w:bCs/>
                      <w:color w:val="auto"/>
                      <w:szCs w:val="21"/>
                      <w:highlight w:val="none"/>
                    </w:rPr>
                    <w:t>率　　</w:t>
                  </w:r>
                </w:p>
                <w:p w14:paraId="5AA7A0F5">
                  <w:pPr>
                    <w:spacing w:line="400" w:lineRule="exact"/>
                    <w:rPr>
                      <w:rFonts w:ascii="宋体" w:hAnsi="宋体" w:cs="宋体"/>
                      <w:bCs/>
                      <w:color w:val="auto"/>
                      <w:szCs w:val="21"/>
                      <w:highlight w:val="none"/>
                    </w:rPr>
                  </w:pPr>
                  <w:r>
                    <w:rPr>
                      <w:rFonts w:hint="eastAsia" w:ascii="宋体" w:hAnsi="宋体" w:cs="宋体"/>
                      <w:bCs/>
                      <w:color w:val="auto"/>
                      <w:szCs w:val="21"/>
                      <w:highlight w:val="none"/>
                    </w:rPr>
                    <w:t>　中标金额（万元）</w:t>
                  </w:r>
                </w:p>
              </w:tc>
              <w:tc>
                <w:tcPr>
                  <w:tcW w:w="1608" w:type="dxa"/>
                  <w:vAlign w:val="center"/>
                </w:tcPr>
                <w:p w14:paraId="237B915D">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货物招标</w:t>
                  </w:r>
                </w:p>
              </w:tc>
              <w:tc>
                <w:tcPr>
                  <w:tcW w:w="1492" w:type="dxa"/>
                  <w:vAlign w:val="center"/>
                </w:tcPr>
                <w:p w14:paraId="12020C0E">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服务招标</w:t>
                  </w:r>
                </w:p>
              </w:tc>
              <w:tc>
                <w:tcPr>
                  <w:tcW w:w="2013" w:type="dxa"/>
                  <w:vAlign w:val="center"/>
                </w:tcPr>
                <w:p w14:paraId="1462ED58">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工程招标</w:t>
                  </w:r>
                </w:p>
              </w:tc>
            </w:tr>
            <w:tr w14:paraId="7FD8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B4D42E9">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100以下</w:t>
                  </w:r>
                </w:p>
              </w:tc>
              <w:tc>
                <w:tcPr>
                  <w:tcW w:w="1608" w:type="dxa"/>
                </w:tcPr>
                <w:p w14:paraId="6C2A5EC4">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1.5%</w:t>
                  </w:r>
                </w:p>
              </w:tc>
              <w:tc>
                <w:tcPr>
                  <w:tcW w:w="1492" w:type="dxa"/>
                </w:tcPr>
                <w:p w14:paraId="2BF96CB6">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1.5%</w:t>
                  </w:r>
                </w:p>
              </w:tc>
              <w:tc>
                <w:tcPr>
                  <w:tcW w:w="2013" w:type="dxa"/>
                </w:tcPr>
                <w:p w14:paraId="7498BCD6">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1.0%</w:t>
                  </w:r>
                </w:p>
              </w:tc>
            </w:tr>
            <w:tr w14:paraId="5095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1D905C3">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100-500</w:t>
                  </w:r>
                </w:p>
              </w:tc>
              <w:tc>
                <w:tcPr>
                  <w:tcW w:w="1608" w:type="dxa"/>
                </w:tcPr>
                <w:p w14:paraId="73926F53">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1.1%</w:t>
                  </w:r>
                </w:p>
              </w:tc>
              <w:tc>
                <w:tcPr>
                  <w:tcW w:w="1492" w:type="dxa"/>
                </w:tcPr>
                <w:p w14:paraId="25A47691">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0.8%</w:t>
                  </w:r>
                </w:p>
              </w:tc>
              <w:tc>
                <w:tcPr>
                  <w:tcW w:w="2013" w:type="dxa"/>
                </w:tcPr>
                <w:p w14:paraId="72FE4BFE">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0.7%</w:t>
                  </w:r>
                </w:p>
              </w:tc>
            </w:tr>
            <w:tr w14:paraId="1021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9820AD6">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500-1000</w:t>
                  </w:r>
                </w:p>
              </w:tc>
              <w:tc>
                <w:tcPr>
                  <w:tcW w:w="1608" w:type="dxa"/>
                </w:tcPr>
                <w:p w14:paraId="245DDF98">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0.8%</w:t>
                  </w:r>
                </w:p>
              </w:tc>
              <w:tc>
                <w:tcPr>
                  <w:tcW w:w="1492" w:type="dxa"/>
                </w:tcPr>
                <w:p w14:paraId="6EF9EDF5">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0.45%</w:t>
                  </w:r>
                </w:p>
              </w:tc>
              <w:tc>
                <w:tcPr>
                  <w:tcW w:w="2013" w:type="dxa"/>
                </w:tcPr>
                <w:p w14:paraId="1450D5E9">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0.55%</w:t>
                  </w:r>
                </w:p>
              </w:tc>
            </w:tr>
            <w:tr w14:paraId="5A08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157DF0F">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1000-5000</w:t>
                  </w:r>
                </w:p>
              </w:tc>
              <w:tc>
                <w:tcPr>
                  <w:tcW w:w="1608" w:type="dxa"/>
                </w:tcPr>
                <w:p w14:paraId="125DF7F2">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0.5%</w:t>
                  </w:r>
                </w:p>
              </w:tc>
              <w:tc>
                <w:tcPr>
                  <w:tcW w:w="1492" w:type="dxa"/>
                </w:tcPr>
                <w:p w14:paraId="426071C3">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0.25%</w:t>
                  </w:r>
                </w:p>
              </w:tc>
              <w:tc>
                <w:tcPr>
                  <w:tcW w:w="2013" w:type="dxa"/>
                </w:tcPr>
                <w:p w14:paraId="1EA15644">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0.35%</w:t>
                  </w:r>
                </w:p>
              </w:tc>
            </w:tr>
            <w:tr w14:paraId="1BDE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F97ECDA">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5000-10000</w:t>
                  </w:r>
                </w:p>
              </w:tc>
              <w:tc>
                <w:tcPr>
                  <w:tcW w:w="1608" w:type="dxa"/>
                </w:tcPr>
                <w:p w14:paraId="670FEA14">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0.25%</w:t>
                  </w:r>
                </w:p>
              </w:tc>
              <w:tc>
                <w:tcPr>
                  <w:tcW w:w="1492" w:type="dxa"/>
                </w:tcPr>
                <w:p w14:paraId="21693D5A">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0.1%</w:t>
                  </w:r>
                </w:p>
              </w:tc>
              <w:tc>
                <w:tcPr>
                  <w:tcW w:w="2013" w:type="dxa"/>
                </w:tcPr>
                <w:p w14:paraId="3DE7FE9D">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0.2%</w:t>
                  </w:r>
                </w:p>
              </w:tc>
            </w:tr>
            <w:tr w14:paraId="45AA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E90B2F3">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10000-100000</w:t>
                  </w:r>
                </w:p>
              </w:tc>
              <w:tc>
                <w:tcPr>
                  <w:tcW w:w="1608" w:type="dxa"/>
                </w:tcPr>
                <w:p w14:paraId="62A8B4C8">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0.05%</w:t>
                  </w:r>
                </w:p>
              </w:tc>
              <w:tc>
                <w:tcPr>
                  <w:tcW w:w="1492" w:type="dxa"/>
                </w:tcPr>
                <w:p w14:paraId="737CBC01">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0.05%</w:t>
                  </w:r>
                </w:p>
              </w:tc>
              <w:tc>
                <w:tcPr>
                  <w:tcW w:w="2013" w:type="dxa"/>
                </w:tcPr>
                <w:p w14:paraId="1A0D5752">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0.05%</w:t>
                  </w:r>
                </w:p>
              </w:tc>
            </w:tr>
            <w:tr w14:paraId="3F9E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E92F1CE">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1000000以上</w:t>
                  </w:r>
                </w:p>
              </w:tc>
              <w:tc>
                <w:tcPr>
                  <w:tcW w:w="1608" w:type="dxa"/>
                </w:tcPr>
                <w:p w14:paraId="0AE37D84">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0.01%</w:t>
                  </w:r>
                </w:p>
              </w:tc>
              <w:tc>
                <w:tcPr>
                  <w:tcW w:w="1492" w:type="dxa"/>
                </w:tcPr>
                <w:p w14:paraId="72187520">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0.01%</w:t>
                  </w:r>
                </w:p>
              </w:tc>
              <w:tc>
                <w:tcPr>
                  <w:tcW w:w="2013" w:type="dxa"/>
                </w:tcPr>
                <w:p w14:paraId="65F7DDEA">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0.01%</w:t>
                  </w:r>
                </w:p>
              </w:tc>
            </w:tr>
          </w:tbl>
          <w:p w14:paraId="789B50D3">
            <w:pPr>
              <w:pStyle w:val="16"/>
              <w:snapToGrid w:val="0"/>
              <w:spacing w:line="360" w:lineRule="exact"/>
              <w:rPr>
                <w:rFonts w:hAnsi="宋体" w:cs="宋体"/>
                <w:color w:val="auto"/>
                <w:sz w:val="21"/>
                <w:highlight w:val="none"/>
              </w:rPr>
            </w:pPr>
            <w:r>
              <w:rPr>
                <w:rFonts w:hint="eastAsia" w:hAnsi="宋体" w:cs="宋体"/>
                <w:color w:val="auto"/>
                <w:sz w:val="21"/>
                <w:highlight w:val="none"/>
              </w:rPr>
              <w:t>3.采购代理费收取银行账户</w:t>
            </w:r>
          </w:p>
          <w:p w14:paraId="250D7244">
            <w:pPr>
              <w:pStyle w:val="16"/>
              <w:snapToGrid w:val="0"/>
              <w:spacing w:line="360" w:lineRule="exact"/>
              <w:rPr>
                <w:rFonts w:hAnsi="宋体" w:cs="宋体"/>
                <w:color w:val="auto"/>
                <w:sz w:val="21"/>
                <w:highlight w:val="none"/>
              </w:rPr>
            </w:pPr>
            <w:r>
              <w:rPr>
                <w:rFonts w:hint="eastAsia" w:hAnsi="宋体" w:cs="宋体"/>
                <w:color w:val="auto"/>
                <w:sz w:val="21"/>
                <w:highlight w:val="none"/>
              </w:rPr>
              <w:t>账户名称：云之龙咨询集团有限公司防城港分公司</w:t>
            </w:r>
          </w:p>
          <w:p w14:paraId="76DE79D8">
            <w:pPr>
              <w:pStyle w:val="16"/>
              <w:snapToGrid w:val="0"/>
              <w:spacing w:line="360" w:lineRule="exact"/>
              <w:rPr>
                <w:rFonts w:hAnsi="宋体" w:cs="宋体"/>
                <w:color w:val="auto"/>
                <w:sz w:val="21"/>
                <w:highlight w:val="none"/>
              </w:rPr>
            </w:pPr>
            <w:r>
              <w:rPr>
                <w:rFonts w:hint="eastAsia" w:hAnsi="宋体" w:cs="宋体"/>
                <w:color w:val="auto"/>
                <w:sz w:val="21"/>
                <w:highlight w:val="none"/>
              </w:rPr>
              <w:t>开户银行：中信银行南宁东葛支行</w:t>
            </w:r>
          </w:p>
          <w:p w14:paraId="774F3870">
            <w:pPr>
              <w:pStyle w:val="16"/>
              <w:snapToGrid w:val="0"/>
              <w:spacing w:line="360" w:lineRule="auto"/>
              <w:rPr>
                <w:rFonts w:hAnsi="宋体" w:cs="宋体"/>
                <w:color w:val="auto"/>
                <w:sz w:val="21"/>
                <w:highlight w:val="none"/>
                <w:u w:val="single"/>
              </w:rPr>
            </w:pPr>
            <w:r>
              <w:rPr>
                <w:rFonts w:hint="eastAsia" w:hAnsi="宋体" w:cs="宋体"/>
                <w:color w:val="auto"/>
                <w:sz w:val="21"/>
                <w:highlight w:val="none"/>
              </w:rPr>
              <w:t xml:space="preserve">银行账号：8113001014000157977  </w:t>
            </w:r>
          </w:p>
        </w:tc>
      </w:tr>
      <w:tr w14:paraId="542A8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F947F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8309" w:type="dxa"/>
            <w:vAlign w:val="center"/>
          </w:tcPr>
          <w:p w14:paraId="0F013BE0">
            <w:pPr>
              <w:pStyle w:val="16"/>
              <w:snapToGrid w:val="0"/>
              <w:spacing w:line="360" w:lineRule="auto"/>
              <w:rPr>
                <w:rFonts w:hAnsi="宋体" w:cs="宋体"/>
                <w:color w:val="auto"/>
                <w:sz w:val="21"/>
                <w:highlight w:val="none"/>
              </w:rPr>
            </w:pPr>
            <w:r>
              <w:rPr>
                <w:rFonts w:hint="eastAsia" w:hAnsi="宋体" w:cs="宋体"/>
                <w:color w:val="auto"/>
                <w:sz w:val="21"/>
                <w:highlight w:val="none"/>
              </w:rPr>
              <w:t>解释：</w:t>
            </w:r>
            <w:r>
              <w:rPr>
                <w:rFonts w:hAnsi="宋体" w:cs="宋体"/>
                <w:color w:val="auto"/>
                <w:sz w:val="21"/>
                <w:highlight w:val="none"/>
              </w:rPr>
              <w:t>构成本</w:t>
            </w:r>
            <w:r>
              <w:rPr>
                <w:rFonts w:hint="eastAsia" w:hAnsi="宋体" w:cs="宋体"/>
                <w:color w:val="auto"/>
                <w:sz w:val="21"/>
                <w:highlight w:val="none"/>
              </w:rPr>
              <w:t>谈判文件</w:t>
            </w:r>
            <w:r>
              <w:rPr>
                <w:rFonts w:hAnsi="宋体" w:cs="宋体"/>
                <w:color w:val="auto"/>
                <w:sz w:val="21"/>
                <w:highlight w:val="none"/>
              </w:rPr>
              <w:t>的各个组成文件应互为解释，互为说明；除</w:t>
            </w:r>
            <w:r>
              <w:rPr>
                <w:rFonts w:hint="eastAsia" w:hAnsi="宋体" w:cs="宋体"/>
                <w:color w:val="auto"/>
                <w:sz w:val="21"/>
                <w:highlight w:val="none"/>
              </w:rPr>
              <w:t>谈判文件</w:t>
            </w:r>
            <w:r>
              <w:rPr>
                <w:rFonts w:hAnsi="宋体" w:cs="宋体"/>
                <w:color w:val="auto"/>
                <w:sz w:val="21"/>
                <w:highlight w:val="none"/>
              </w:rPr>
              <w:t>中有特别规定外，仅适用于</w:t>
            </w:r>
            <w:r>
              <w:rPr>
                <w:rFonts w:hint="eastAsia" w:hAnsi="宋体" w:cs="宋体"/>
                <w:color w:val="auto"/>
                <w:sz w:val="21"/>
                <w:highlight w:val="none"/>
              </w:rPr>
              <w:t>竞标</w:t>
            </w:r>
            <w:r>
              <w:rPr>
                <w:rFonts w:hAnsi="宋体" w:cs="宋体"/>
                <w:color w:val="auto"/>
                <w:sz w:val="21"/>
                <w:highlight w:val="none"/>
              </w:rPr>
              <w:t>阶段的规定，按</w:t>
            </w:r>
            <w:r>
              <w:rPr>
                <w:rFonts w:hint="eastAsia" w:hAnsi="宋体" w:cs="宋体"/>
                <w:color w:val="auto"/>
                <w:sz w:val="21"/>
                <w:highlight w:val="none"/>
              </w:rPr>
              <w:t>更正公告（澄清公告）</w:t>
            </w:r>
            <w:r>
              <w:rPr>
                <w:rFonts w:hAnsi="宋体" w:cs="宋体"/>
                <w:color w:val="auto"/>
                <w:sz w:val="21"/>
                <w:highlight w:val="none"/>
              </w:rPr>
              <w:t>、</w:t>
            </w:r>
            <w:r>
              <w:rPr>
                <w:rFonts w:hint="eastAsia" w:hAnsi="宋体" w:cs="宋体"/>
                <w:color w:val="auto"/>
                <w:sz w:val="21"/>
                <w:highlight w:val="none"/>
              </w:rPr>
              <w:t>竞争性谈判</w:t>
            </w:r>
            <w:r>
              <w:rPr>
                <w:rFonts w:hAnsi="宋体" w:cs="宋体"/>
                <w:color w:val="auto"/>
                <w:sz w:val="21"/>
                <w:highlight w:val="none"/>
              </w:rPr>
              <w:t>公告、</w:t>
            </w:r>
            <w:r>
              <w:rPr>
                <w:rFonts w:hint="eastAsia" w:hAnsi="宋体" w:cs="宋体"/>
                <w:color w:val="auto"/>
                <w:sz w:val="21"/>
                <w:highlight w:val="none"/>
              </w:rPr>
              <w:t>供应商</w:t>
            </w:r>
            <w:r>
              <w:rPr>
                <w:rFonts w:hAnsi="宋体" w:cs="宋体"/>
                <w:color w:val="auto"/>
                <w:sz w:val="21"/>
                <w:highlight w:val="none"/>
              </w:rPr>
              <w:t>须知</w:t>
            </w:r>
            <w:r>
              <w:rPr>
                <w:rFonts w:hint="eastAsia" w:hAnsi="宋体" w:cs="宋体"/>
                <w:color w:val="auto"/>
                <w:sz w:val="21"/>
                <w:highlight w:val="none"/>
              </w:rPr>
              <w:t>、采购需求</w:t>
            </w:r>
            <w:r>
              <w:rPr>
                <w:rFonts w:hAnsi="宋体" w:cs="宋体"/>
                <w:color w:val="auto"/>
                <w:sz w:val="21"/>
                <w:highlight w:val="none"/>
              </w:rPr>
              <w:t>、</w:t>
            </w:r>
            <w:r>
              <w:rPr>
                <w:rFonts w:hint="eastAsia" w:hAnsi="宋体" w:cs="宋体"/>
                <w:color w:val="auto"/>
                <w:sz w:val="21"/>
                <w:highlight w:val="none"/>
              </w:rPr>
              <w:t>评审程序和评定成交的标准</w:t>
            </w:r>
            <w:r>
              <w:rPr>
                <w:rFonts w:hAnsi="宋体" w:cs="宋体"/>
                <w:color w:val="auto"/>
                <w:sz w:val="21"/>
                <w:highlight w:val="none"/>
              </w:rPr>
              <w:t>、</w:t>
            </w:r>
            <w:r>
              <w:rPr>
                <w:rFonts w:hint="eastAsia" w:hAnsi="宋体" w:cs="宋体"/>
                <w:color w:val="auto"/>
                <w:sz w:val="21"/>
                <w:highlight w:val="none"/>
              </w:rPr>
              <w:t>响应</w:t>
            </w:r>
            <w:r>
              <w:rPr>
                <w:rFonts w:hAnsi="宋体" w:cs="宋体"/>
                <w:color w:val="auto"/>
                <w:sz w:val="21"/>
                <w:highlight w:val="none"/>
              </w:rPr>
              <w:t>文件格式</w:t>
            </w:r>
            <w:r>
              <w:rPr>
                <w:rFonts w:hint="eastAsia" w:hAnsi="宋体" w:cs="宋体"/>
                <w:color w:val="auto"/>
                <w:sz w:val="21"/>
                <w:highlight w:val="none"/>
              </w:rPr>
              <w:t>、合同文本</w:t>
            </w:r>
            <w:r>
              <w:rPr>
                <w:rFonts w:hAnsi="宋体" w:cs="宋体"/>
                <w:color w:val="auto"/>
                <w:sz w:val="21"/>
                <w:highlight w:val="none"/>
              </w:rPr>
              <w:t>的先后顺序解释；同一组成文件中就同一事项的规定或约定不一致的，以编排顺序在后者为准；同一组成文件不同版本之间有不一致的，以形成时间在后者为准；</w:t>
            </w:r>
            <w:r>
              <w:rPr>
                <w:rFonts w:hint="eastAsia" w:hAnsi="宋体" w:cs="宋体"/>
                <w:color w:val="auto"/>
                <w:sz w:val="21"/>
                <w:highlight w:val="none"/>
              </w:rPr>
              <w:t>更正公告（澄清公告）</w:t>
            </w:r>
            <w:r>
              <w:rPr>
                <w:rFonts w:hAnsi="宋体" w:cs="宋体"/>
                <w:color w:val="auto"/>
                <w:sz w:val="21"/>
                <w:highlight w:val="none"/>
              </w:rPr>
              <w:t>与同步更新的</w:t>
            </w:r>
            <w:r>
              <w:rPr>
                <w:rFonts w:hint="eastAsia" w:hAnsi="宋体" w:cs="宋体"/>
                <w:color w:val="auto"/>
                <w:sz w:val="21"/>
                <w:highlight w:val="none"/>
              </w:rPr>
              <w:t>谈判文件</w:t>
            </w:r>
            <w:r>
              <w:rPr>
                <w:rFonts w:hAnsi="宋体" w:cs="宋体"/>
                <w:color w:val="auto"/>
                <w:sz w:val="21"/>
                <w:highlight w:val="none"/>
              </w:rPr>
              <w:t>不一致时以</w:t>
            </w:r>
            <w:r>
              <w:rPr>
                <w:rFonts w:hint="eastAsia" w:hAnsi="宋体" w:cs="宋体"/>
                <w:color w:val="auto"/>
                <w:sz w:val="21"/>
                <w:highlight w:val="none"/>
              </w:rPr>
              <w:t>更正公告（澄清公告）</w:t>
            </w:r>
            <w:r>
              <w:rPr>
                <w:rFonts w:hAnsi="宋体" w:cs="宋体"/>
                <w:color w:val="auto"/>
                <w:sz w:val="21"/>
                <w:highlight w:val="none"/>
              </w:rPr>
              <w:t>为准。按本款前述规定仍不能形成结论的，由</w:t>
            </w:r>
            <w:r>
              <w:rPr>
                <w:rFonts w:hint="eastAsia" w:hAnsi="宋体" w:cs="宋体"/>
                <w:color w:val="auto"/>
                <w:sz w:val="21"/>
                <w:highlight w:val="none"/>
              </w:rPr>
              <w:t>采购</w:t>
            </w:r>
            <w:r>
              <w:rPr>
                <w:rFonts w:hAnsi="宋体" w:cs="宋体"/>
                <w:color w:val="auto"/>
                <w:sz w:val="21"/>
                <w:highlight w:val="none"/>
              </w:rPr>
              <w:t>人</w:t>
            </w:r>
            <w:r>
              <w:rPr>
                <w:rFonts w:hint="eastAsia" w:hAnsi="宋体" w:cs="宋体"/>
                <w:color w:val="auto"/>
                <w:sz w:val="21"/>
                <w:highlight w:val="none"/>
              </w:rPr>
              <w:t>或者采购代理机构</w:t>
            </w:r>
            <w:r>
              <w:rPr>
                <w:rFonts w:hAnsi="宋体" w:cs="宋体"/>
                <w:color w:val="auto"/>
                <w:sz w:val="21"/>
                <w:highlight w:val="none"/>
              </w:rPr>
              <w:t>负责解释。</w:t>
            </w:r>
          </w:p>
        </w:tc>
      </w:tr>
      <w:tr w14:paraId="26061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B4F3BD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8309" w:type="dxa"/>
            <w:vAlign w:val="center"/>
          </w:tcPr>
          <w:p w14:paraId="53CB27D0">
            <w:pPr>
              <w:pStyle w:val="16"/>
              <w:snapToGrid w:val="0"/>
              <w:spacing w:line="360" w:lineRule="auto"/>
              <w:rPr>
                <w:rFonts w:hAnsi="宋体" w:cs="宋体"/>
                <w:color w:val="auto"/>
                <w:sz w:val="21"/>
                <w:highlight w:val="none"/>
              </w:rPr>
            </w:pPr>
            <w:r>
              <w:rPr>
                <w:rFonts w:hint="eastAsia" w:hAnsi="宋体" w:cs="宋体"/>
                <w:color w:val="auto"/>
                <w:sz w:val="21"/>
                <w:highlight w:val="none"/>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1524CA15">
            <w:pPr>
              <w:pStyle w:val="16"/>
              <w:snapToGrid w:val="0"/>
              <w:spacing w:line="360" w:lineRule="auto"/>
              <w:rPr>
                <w:rFonts w:hAnsi="宋体" w:cs="宋体"/>
                <w:bCs/>
                <w:color w:val="auto"/>
                <w:sz w:val="21"/>
                <w:highlight w:val="none"/>
              </w:rPr>
            </w:pPr>
            <w:r>
              <w:rPr>
                <w:rFonts w:hint="eastAsia" w:hAnsi="宋体" w:cs="宋体"/>
                <w:bCs/>
                <w:color w:val="auto"/>
                <w:sz w:val="21"/>
                <w:highlight w:val="none"/>
              </w:rPr>
              <w:t>2.本谈判文件所称的“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54AF1B7F">
            <w:pPr>
              <w:pStyle w:val="16"/>
              <w:snapToGrid w:val="0"/>
              <w:spacing w:line="360" w:lineRule="auto"/>
              <w:rPr>
                <w:rFonts w:hAnsi="宋体" w:cs="宋体"/>
                <w:bCs/>
                <w:color w:val="auto"/>
                <w:sz w:val="21"/>
                <w:highlight w:val="none"/>
              </w:rPr>
            </w:pPr>
            <w:r>
              <w:rPr>
                <w:rFonts w:hint="eastAsia" w:hAnsi="宋体" w:cs="宋体"/>
                <w:color w:val="auto"/>
                <w:sz w:val="21"/>
                <w:highlight w:val="none"/>
              </w:rPr>
              <w:t>3.供应商为其他组织或者自然人时，本谈判文件规定的法定代表人指负责人或者自然人。本谈判文件所称负责人是指参加竞标的其他组织</w:t>
            </w:r>
            <w:r>
              <w:rPr>
                <w:rFonts w:hint="eastAsia" w:hAnsi="宋体" w:cs="宋体"/>
                <w:bCs/>
                <w:color w:val="auto"/>
                <w:sz w:val="21"/>
                <w:highlight w:val="none"/>
              </w:rPr>
              <w:t>营业执照或者执业许可证等证照上</w:t>
            </w:r>
            <w:r>
              <w:rPr>
                <w:rFonts w:hint="eastAsia" w:hAnsi="宋体" w:cs="宋体"/>
                <w:color w:val="auto"/>
                <w:sz w:val="21"/>
                <w:highlight w:val="none"/>
              </w:rPr>
              <w:t>的负责人，本谈判文件所称自然人指参与竞标的自然人本人，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49703EC6">
            <w:pPr>
              <w:pStyle w:val="16"/>
              <w:snapToGrid w:val="0"/>
              <w:spacing w:line="360" w:lineRule="auto"/>
              <w:rPr>
                <w:rFonts w:hAnsi="宋体" w:cs="宋体"/>
                <w:color w:val="auto"/>
                <w:sz w:val="21"/>
                <w:highlight w:val="none"/>
              </w:rPr>
            </w:pPr>
            <w:r>
              <w:rPr>
                <w:rFonts w:hint="eastAsia" w:hAnsi="宋体" w:cs="宋体"/>
                <w:color w:val="auto"/>
                <w:sz w:val="21"/>
                <w:highlight w:val="none"/>
              </w:rPr>
              <w:t>4.本谈判文件中描述供应商的“签字”是指供应商的法定代表人或者委托代理人亲自在文件规定签署处亲笔写上个人的名字的行为，私章、签字章、印鉴、影印等其他形式均不能代替亲笔签字。</w:t>
            </w:r>
          </w:p>
          <w:p w14:paraId="3AB5552B">
            <w:pPr>
              <w:pStyle w:val="16"/>
              <w:snapToGrid w:val="0"/>
              <w:spacing w:line="360" w:lineRule="auto"/>
              <w:rPr>
                <w:rFonts w:hAnsi="宋体" w:cs="宋体"/>
                <w:color w:val="auto"/>
                <w:sz w:val="21"/>
                <w:highlight w:val="none"/>
              </w:rPr>
            </w:pPr>
            <w:r>
              <w:rPr>
                <w:rFonts w:hAnsi="宋体" w:cs="宋体"/>
                <w:color w:val="auto"/>
                <w:sz w:val="21"/>
                <w:highlight w:val="none"/>
              </w:rPr>
              <w:t>5.</w:t>
            </w:r>
            <w:r>
              <w:rPr>
                <w:rFonts w:hint="eastAsia" w:hAnsi="宋体" w:cs="宋体"/>
                <w:color w:val="auto"/>
                <w:sz w:val="21"/>
                <w:highlight w:val="none"/>
              </w:rPr>
              <w:t>本谈判文件所称的“以上”“以下”“以内”“届满”，包括本数；所称的“不满”“超过”“以外”，不包括本数。</w:t>
            </w:r>
          </w:p>
        </w:tc>
      </w:tr>
    </w:tbl>
    <w:p w14:paraId="77DE2A3B">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2AE6B72F">
      <w:pPr>
        <w:spacing w:line="400" w:lineRule="exact"/>
        <w:jc w:val="center"/>
        <w:rPr>
          <w:rFonts w:ascii="宋体" w:hAnsi="宋体"/>
          <w:b/>
          <w:color w:val="auto"/>
          <w:sz w:val="32"/>
          <w:szCs w:val="32"/>
          <w:highlight w:val="none"/>
        </w:rPr>
      </w:pPr>
    </w:p>
    <w:p w14:paraId="04DAA47E">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5E6B5CB7">
      <w:pPr>
        <w:spacing w:line="400" w:lineRule="exact"/>
        <w:rPr>
          <w:rFonts w:ascii="宋体" w:hAnsi="宋体"/>
          <w:color w:val="auto"/>
          <w:szCs w:val="21"/>
          <w:highlight w:val="none"/>
        </w:rPr>
      </w:pPr>
    </w:p>
    <w:p w14:paraId="655ADF3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 适用范围</w:t>
      </w:r>
    </w:p>
    <w:p w14:paraId="042DC2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6B849F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14:paraId="2056E2B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 定义</w:t>
      </w:r>
    </w:p>
    <w:p w14:paraId="3EE99E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26CED79D">
      <w:pPr>
        <w:spacing w:line="360" w:lineRule="auto"/>
        <w:ind w:firstLine="420" w:firstLineChars="200"/>
        <w:rPr>
          <w:rFonts w:ascii="宋体" w:hAnsi="宋体"/>
          <w:b/>
          <w:color w:val="auto"/>
          <w:szCs w:val="21"/>
          <w:highlight w:val="none"/>
        </w:rPr>
      </w:pPr>
      <w:r>
        <w:rPr>
          <w:rFonts w:hint="eastAsia" w:ascii="宋体" w:hAnsi="宋体" w:cs="宋体"/>
          <w:color w:val="auto"/>
          <w:szCs w:val="21"/>
          <w:highlight w:val="none"/>
        </w:rPr>
        <w:t>2.2“采购代理机构”</w:t>
      </w:r>
      <w:r>
        <w:rPr>
          <w:rFonts w:hint="eastAsia" w:ascii="宋体" w:hAnsi="宋体"/>
          <w:b/>
          <w:color w:val="auto"/>
          <w:szCs w:val="21"/>
          <w:highlight w:val="none"/>
        </w:rPr>
        <w:t>是指政府采购集中采购机构和集中采购机构以外的采购代理机构。</w:t>
      </w:r>
    </w:p>
    <w:p w14:paraId="1DF23C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150ED8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w:t>
      </w:r>
      <w:r>
        <w:rPr>
          <w:rFonts w:hint="eastAsia" w:ascii="宋体" w:hAnsi="宋体"/>
          <w:color w:val="auto"/>
          <w:szCs w:val="21"/>
          <w:highlight w:val="none"/>
        </w:rPr>
        <w:t>“货物”是指除服务和工程以外的其他政府采购对象。</w:t>
      </w:r>
    </w:p>
    <w:p w14:paraId="16EB25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2.5“竞标”是指按照本项目竞争性谈判公告规定的方式供应商获取谈判文件、提交响应文件并希望获得标的的行为。</w:t>
      </w:r>
    </w:p>
    <w:p w14:paraId="408E9F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339DBF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是指：供应商根据本谈判文件要求，编制包含资格证明、报价、商务技术等所有内容的文件。</w:t>
      </w:r>
    </w:p>
    <w:p w14:paraId="01056E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 “实质性要求”是指采购需求中带“▲”的条款或者不能负偏离的条款或者已经指明不满足按响应文件按无效处理的条款。</w:t>
      </w:r>
    </w:p>
    <w:p w14:paraId="59DF1E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2.9“正偏离”，是指响应文件对谈判文件“采购需求”中有关条款作出优于条款要求并有利于采购人的响应情形；</w:t>
      </w:r>
    </w:p>
    <w:p w14:paraId="12A2A5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2.10“负偏离”，是指响应文件对谈判文件“采购需求”中有关条款作出的响应不满足条款要求，导致采购人要求不能得到满足的情形。</w:t>
      </w:r>
    </w:p>
    <w:p w14:paraId="0D431B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7A7801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2.12“首次报价”是指供应商提交的首次响应文件中的竞标报价。</w:t>
      </w:r>
    </w:p>
    <w:p w14:paraId="58C18772">
      <w:pPr>
        <w:spacing w:line="360" w:lineRule="auto"/>
        <w:ind w:firstLine="482" w:firstLineChars="200"/>
        <w:contextualSpacing/>
        <w:rPr>
          <w:rFonts w:ascii="黑体" w:hAnsi="黑体" w:eastAsia="黑体" w:cs="宋体"/>
          <w:b/>
          <w:bCs/>
          <w:color w:val="auto"/>
          <w:sz w:val="24"/>
          <w:highlight w:val="none"/>
        </w:rPr>
      </w:pPr>
      <w:r>
        <w:rPr>
          <w:rFonts w:hint="eastAsia" w:ascii="黑体" w:hAnsi="黑体" w:eastAsia="黑体" w:cs="宋体"/>
          <w:b/>
          <w:bCs/>
          <w:color w:val="auto"/>
          <w:sz w:val="24"/>
          <w:highlight w:val="none"/>
        </w:rPr>
        <w:t>3. 供应商的资格条件</w:t>
      </w:r>
    </w:p>
    <w:p w14:paraId="677D6A0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3479B4F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 竞标费用</w:t>
      </w:r>
    </w:p>
    <w:p w14:paraId="3C1ED7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14:paraId="530D7B4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15E23D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2EA8911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1984ACC2">
      <w:pPr>
        <w:pStyle w:val="6"/>
        <w:keepNext w:val="0"/>
        <w:keepLines w:val="0"/>
        <w:spacing w:before="0" w:after="0" w:line="360" w:lineRule="auto"/>
        <w:ind w:left="420" w:leftChars="200"/>
        <w:rPr>
          <w:rFonts w:ascii="宋体" w:hAnsi="宋体"/>
          <w:b w:val="0"/>
          <w:color w:val="auto"/>
          <w:sz w:val="21"/>
          <w:szCs w:val="21"/>
          <w:highlight w:val="none"/>
        </w:rPr>
      </w:pPr>
      <w:bookmarkStart w:id="54" w:name="_Toc254970532"/>
      <w:bookmarkStart w:id="55" w:name="_Toc254970673"/>
      <w:r>
        <w:rPr>
          <w:rFonts w:hint="eastAsia" w:ascii="宋体" w:hAnsi="宋体"/>
          <w:b w:val="0"/>
          <w:color w:val="auto"/>
          <w:sz w:val="21"/>
          <w:szCs w:val="21"/>
          <w:highlight w:val="none"/>
        </w:rPr>
        <w:t>6.1本项目不允许转包。</w:t>
      </w:r>
    </w:p>
    <w:p w14:paraId="03725802">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2DE92844">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4F9A5D4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54"/>
      <w:bookmarkEnd w:id="55"/>
    </w:p>
    <w:p w14:paraId="5D48CB6E">
      <w:pPr>
        <w:spacing w:line="360" w:lineRule="auto"/>
        <w:ind w:firstLine="420" w:firstLineChars="200"/>
        <w:rPr>
          <w:rFonts w:ascii="宋体" w:hAnsi="宋体" w:cs="宋体"/>
          <w:color w:val="auto"/>
          <w:szCs w:val="21"/>
          <w:highlight w:val="none"/>
        </w:rPr>
      </w:pPr>
      <w:bookmarkStart w:id="56" w:name="_8.1提供相同品牌产品且通过资格审查、符合性审查的不同投标人参加同一合"/>
      <w:bookmarkEnd w:id="56"/>
      <w:bookmarkStart w:id="57" w:name="_Toc254970675"/>
      <w:bookmarkStart w:id="58" w:name="_Toc254970534"/>
      <w:r>
        <w:rPr>
          <w:rFonts w:hint="eastAsia" w:ascii="宋体" w:hAnsi="宋体" w:cs="宋体"/>
          <w:color w:val="auto"/>
          <w:szCs w:val="21"/>
          <w:highlight w:val="none"/>
        </w:rPr>
        <w:t>7.</w:t>
      </w:r>
      <w:r>
        <w:rPr>
          <w:rFonts w:ascii="宋体" w:hAnsi="宋体" w:cs="宋体"/>
          <w:color w:val="auto"/>
          <w:szCs w:val="21"/>
          <w:highlight w:val="none"/>
        </w:rPr>
        <w:t>1</w:t>
      </w:r>
      <w:bookmarkStart w:id="59" w:name="_Hlk65832145"/>
      <w:r>
        <w:rPr>
          <w:rFonts w:hint="eastAsia" w:ascii="宋体" w:hAnsi="宋体"/>
          <w:color w:val="auto"/>
          <w:szCs w:val="21"/>
          <w:highlight w:val="none"/>
        </w:rPr>
        <w:t xml:space="preserve">如果本谈判文件要求提供供应商或制造商的资格、信誉、荣誉、业绩与企业认证等材料的，资格、信誉、荣誉、业绩与企业认证等必须为供应商或者制造商所拥有或自身获得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59"/>
    <w:p w14:paraId="7E986D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供应商应仔细阅读谈判文件的所有内容，按照谈判文件的要求提交响应文件，并对所提供的全部资料的真实性承担法律责任。</w:t>
      </w:r>
    </w:p>
    <w:p w14:paraId="5CE948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ED0E5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434EC7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76D747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D5587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7857EF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379960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2FCB84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DBFB9FC">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w:t>
      </w:r>
      <w:r>
        <w:rPr>
          <w:rFonts w:hint="eastAsia" w:ascii="宋体" w:hAnsi="宋体" w:cs="宋体"/>
          <w:b/>
          <w:bCs/>
          <w:color w:val="auto"/>
          <w:szCs w:val="21"/>
          <w:highlight w:val="none"/>
        </w:rPr>
        <w:t>响应文件将被视为无效：</w:t>
      </w:r>
    </w:p>
    <w:p w14:paraId="18C777F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（1）不同供应商的响应文件由同一单位或者个人编制；或不同供应商报名的IP地址一致的； </w:t>
      </w:r>
    </w:p>
    <w:p w14:paraId="7C5E34C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（2）不同供应商委托同一单位或者个人办理竞标事宜；</w:t>
      </w:r>
    </w:p>
    <w:p w14:paraId="0507FE50">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（3）不同的供应商的响应文件载明的项目管理员为同一个人；</w:t>
      </w:r>
    </w:p>
    <w:p w14:paraId="56911B4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（4）不同供应商的响应文件异常一致或者报价呈规律性差异；</w:t>
      </w:r>
    </w:p>
    <w:p w14:paraId="5EC0A75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（5）不同供应商的响应文件相互混装；</w:t>
      </w:r>
    </w:p>
    <w:p w14:paraId="68DD24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1137C0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6C9E9C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548621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2963BC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BC091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327F1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138411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13990627">
      <w:pPr>
        <w:spacing w:line="360" w:lineRule="auto"/>
        <w:ind w:left="1" w:firstLine="417" w:firstLineChars="199"/>
        <w:jc w:val="center"/>
        <w:rPr>
          <w:rFonts w:ascii="宋体" w:hAnsi="宋体"/>
          <w:color w:val="auto"/>
          <w:highlight w:val="none"/>
        </w:rPr>
      </w:pPr>
    </w:p>
    <w:p w14:paraId="05F9DB92">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二、谈判文件</w:t>
      </w:r>
      <w:bookmarkEnd w:id="57"/>
      <w:bookmarkEnd w:id="58"/>
    </w:p>
    <w:p w14:paraId="2E0A889B">
      <w:pPr>
        <w:spacing w:line="360" w:lineRule="auto"/>
        <w:jc w:val="center"/>
        <w:rPr>
          <w:rFonts w:ascii="宋体" w:hAnsi="宋体"/>
          <w:color w:val="auto"/>
          <w:szCs w:val="21"/>
          <w:highlight w:val="none"/>
        </w:rPr>
      </w:pPr>
    </w:p>
    <w:p w14:paraId="2107013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8.谈判文件的构成</w:t>
      </w:r>
    </w:p>
    <w:p w14:paraId="64C0B72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（1）竞争性谈判公告</w:t>
      </w:r>
    </w:p>
    <w:p w14:paraId="32EF6CE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32A3CE1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65409A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（4）响应文件格式</w:t>
      </w:r>
    </w:p>
    <w:p w14:paraId="15F7783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（5）合同文本；</w:t>
      </w:r>
    </w:p>
    <w:p w14:paraId="44CB31E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（6）评审程序和评定成交的标准；</w:t>
      </w:r>
    </w:p>
    <w:p w14:paraId="7F57166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69B206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供应商应认真阅读谈判文件的采购需求，如供应商对谈判文件有疑问的，如要求采购人作出澄清或者修改的，供应商尽可能在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6D48D38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10.谈判文件的澄清和修改</w:t>
      </w:r>
    </w:p>
    <w:p w14:paraId="4D66050F">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1076A3CF">
      <w:pPr>
        <w:spacing w:line="360" w:lineRule="auto"/>
        <w:rPr>
          <w:rFonts w:ascii="宋体" w:hAnsi="宋体"/>
          <w:color w:val="auto"/>
          <w:szCs w:val="21"/>
          <w:highlight w:val="none"/>
        </w:rPr>
      </w:pPr>
    </w:p>
    <w:p w14:paraId="2F61FA38">
      <w:pPr>
        <w:spacing w:line="360" w:lineRule="auto"/>
        <w:jc w:val="center"/>
        <w:rPr>
          <w:rFonts w:ascii="宋体" w:hAnsi="宋体"/>
          <w:b/>
          <w:color w:val="auto"/>
          <w:szCs w:val="21"/>
          <w:highlight w:val="none"/>
        </w:rPr>
      </w:pPr>
      <w:r>
        <w:rPr>
          <w:rFonts w:hint="eastAsia" w:ascii="宋体" w:hAnsi="宋体"/>
          <w:b/>
          <w:color w:val="auto"/>
          <w:sz w:val="32"/>
          <w:szCs w:val="32"/>
          <w:highlight w:val="none"/>
        </w:rPr>
        <w:t>三、响应文件的编制</w:t>
      </w:r>
    </w:p>
    <w:p w14:paraId="3246624E">
      <w:pPr>
        <w:spacing w:line="360" w:lineRule="auto"/>
        <w:rPr>
          <w:rFonts w:ascii="宋体" w:hAnsi="宋体"/>
          <w:color w:val="auto"/>
          <w:szCs w:val="21"/>
          <w:highlight w:val="none"/>
        </w:rPr>
      </w:pPr>
    </w:p>
    <w:p w14:paraId="5DEE119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2D75C8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14:paraId="687327A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01075C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w:t>
      </w:r>
      <w:r>
        <w:rPr>
          <w:rFonts w:hint="eastAsia" w:ascii="宋体" w:hAnsi="宋体" w:cs="宋体"/>
          <w:color w:val="auto"/>
          <w:szCs w:val="21"/>
          <w:highlight w:val="none"/>
        </w:rPr>
        <w:t>响应文件由资格证明文件、报价文件、商务技术文件三部分组成。</w:t>
      </w:r>
    </w:p>
    <w:p w14:paraId="2C56940B">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r>
        <w:rPr>
          <w:rFonts w:hint="eastAsia" w:ascii="宋体" w:hAnsi="宋体" w:cs="宋体"/>
          <w:color w:val="auto"/>
          <w:szCs w:val="21"/>
          <w:highlight w:val="none"/>
        </w:rPr>
        <w:t>资格证明文件：详见“供应商须知前附表”</w:t>
      </w:r>
    </w:p>
    <w:p w14:paraId="42C7E8CC">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2报价文件：详见“供应商须知前附表”</w:t>
      </w:r>
    </w:p>
    <w:p w14:paraId="0A425DB9">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607A956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661DB0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0413DF9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6CDC10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供应商没有按照谈判文件要求提供全部资料，或者供应商没有对谈判文件在各方面作出实质性响应可能导致其响应文件按无效处理，是供应商应当考虑的风险。</w:t>
      </w:r>
    </w:p>
    <w:p w14:paraId="6A66B48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375036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15.1竞标报价应按谈判文件中“竞标报价表”格式填写。</w:t>
      </w:r>
    </w:p>
    <w:p w14:paraId="4D39C2D7">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15.2竞标报价的内容详见“供应商须知前附表”。</w:t>
      </w:r>
    </w:p>
    <w:p w14:paraId="1B41B780">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56B76F5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w:t>
      </w:r>
      <w:r>
        <w:rPr>
          <w:rFonts w:ascii="宋体" w:hAnsi="宋体" w:cs="宋体"/>
          <w:b/>
          <w:bCs/>
          <w:color w:val="auto"/>
          <w:szCs w:val="21"/>
          <w:highlight w:val="none"/>
        </w:rPr>
        <w:t>5.3.1</w:t>
      </w:r>
      <w:r>
        <w:rPr>
          <w:rFonts w:hint="eastAsia" w:ascii="宋体" w:hAnsi="宋体" w:cs="宋体"/>
          <w:b/>
          <w:bCs/>
          <w:color w:val="auto"/>
          <w:szCs w:val="21"/>
          <w:highlight w:val="none"/>
        </w:rPr>
        <w:t>供应商的竞标报价应符合以下要求，否则响应文件按无效响应处理：</w:t>
      </w:r>
    </w:p>
    <w:p w14:paraId="6404731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（1）供应商必须就“采购需求”中所竞标项目的全部内容分别作完整唯一总价报价，</w:t>
      </w:r>
    </w:p>
    <w:p w14:paraId="17B4B237">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332394BF">
      <w:pPr>
        <w:numPr>
          <w:ilvl w:val="0"/>
          <w:numId w:val="4"/>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供应商必须就所竞标项目的单项内容作唯一报价。</w:t>
      </w:r>
    </w:p>
    <w:p w14:paraId="718C5836">
      <w:pPr>
        <w:spacing w:line="360" w:lineRule="auto"/>
        <w:ind w:firstLine="420" w:firstLineChars="200"/>
        <w:rPr>
          <w:color w:val="auto"/>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竞标报价（包含首次报价、最后报价）超过所竞标规定的单价最高限价的，</w:t>
      </w:r>
      <w:r>
        <w:rPr>
          <w:rFonts w:hint="eastAsia" w:ascii="宋体" w:hAnsi="宋体" w:cs="宋体"/>
          <w:b/>
          <w:bCs/>
          <w:color w:val="auto"/>
          <w:szCs w:val="21"/>
          <w:highlight w:val="none"/>
        </w:rPr>
        <w:t>其响应文件将按无效处理</w:t>
      </w:r>
      <w:r>
        <w:rPr>
          <w:rFonts w:hint="eastAsia" w:ascii="宋体" w:hAnsi="宋体" w:cs="宋体"/>
          <w:color w:val="auto"/>
          <w:szCs w:val="21"/>
          <w:highlight w:val="none"/>
        </w:rPr>
        <w:t>。</w:t>
      </w:r>
    </w:p>
    <w:p w14:paraId="565F469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29F71F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054C01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74FA57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79F97D9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17.竞标保证金：本项目不收取竞标保证金。</w:t>
      </w:r>
    </w:p>
    <w:p w14:paraId="01FB334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 响应文件编制的要求</w:t>
      </w:r>
    </w:p>
    <w:p w14:paraId="0811BF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先安装“广西政府采购云平台电子交易客户端”（请自行前往广西政府采购云平台进行下载），并按照本项目谈判文件规定的格式和顺序和广西政府采购云平台的要求编制并加密。响应文件内容不完整、编排混乱导致响应文件被误读、漏读或者查找不到相关内容的，由此引发的后果由供应商承担。</w:t>
      </w:r>
    </w:p>
    <w:p w14:paraId="747B33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30981556">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w:t>
      </w:r>
      <w:r>
        <w:rPr>
          <w:rFonts w:hint="eastAsia" w:ascii="宋体" w:hAnsi="宋体" w:cs="宋体"/>
          <w:b/>
          <w:bCs/>
          <w:color w:val="auto"/>
          <w:szCs w:val="21"/>
          <w:highlight w:val="none"/>
        </w:rPr>
        <w:t>否则按无效响应处理。</w:t>
      </w:r>
    </w:p>
    <w:p w14:paraId="21E91E6D">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w:t>
      </w:r>
      <w:r>
        <w:rPr>
          <w:rFonts w:hint="eastAsia" w:ascii="宋体" w:hAnsi="宋体" w:cs="宋体"/>
          <w:b/>
          <w:bCs/>
          <w:color w:val="auto"/>
          <w:szCs w:val="21"/>
          <w:highlight w:val="none"/>
        </w:rPr>
        <w:t>否则其响应文件按无效响应处理。</w:t>
      </w:r>
    </w:p>
    <w:p w14:paraId="28F663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40677414">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5039D14C">
      <w:pPr>
        <w:spacing w:line="360" w:lineRule="auto"/>
        <w:ind w:firstLine="420" w:firstLineChars="200"/>
        <w:rPr>
          <w:color w:val="auto"/>
          <w:highlight w:val="none"/>
        </w:rPr>
      </w:pPr>
      <w:r>
        <w:rPr>
          <w:rFonts w:hint="eastAsia"/>
          <w:color w:val="auto"/>
          <w:highlight w:val="none"/>
        </w:rPr>
        <w:t>电子备份响应文件是指通过“广西政府采购云平台电子投标客户端”在线编制生成且后缀名为“</w:t>
      </w:r>
      <w:r>
        <w:rPr>
          <w:color w:val="auto"/>
          <w:highlight w:val="none"/>
        </w:rPr>
        <w:t>bfbs</w:t>
      </w:r>
      <w:r>
        <w:rPr>
          <w:rFonts w:hint="eastAsia"/>
          <w:color w:val="auto"/>
          <w:highlight w:val="none"/>
        </w:rPr>
        <w:t>”的文件，是否接受电子备份响应文件</w:t>
      </w:r>
      <w:r>
        <w:rPr>
          <w:rFonts w:hint="eastAsia"/>
          <w:bCs/>
          <w:color w:val="auto"/>
          <w:highlight w:val="none"/>
        </w:rPr>
        <w:t>详见在“供应商须知前附表”。</w:t>
      </w:r>
    </w:p>
    <w:p w14:paraId="15E05EA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0AFBC286">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14:paraId="0C05609D">
      <w:pPr>
        <w:spacing w:line="360" w:lineRule="auto"/>
        <w:ind w:firstLine="422" w:firstLineChars="200"/>
        <w:rPr>
          <w:rFonts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未在规定时间内提交或者未按照谈判文件要求加密的电子响应文件，广西政府采购云平台将拒收。</w:t>
      </w:r>
    </w:p>
    <w:p w14:paraId="601D909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57591DB4">
      <w:pPr>
        <w:snapToGrid w:val="0"/>
        <w:spacing w:line="360" w:lineRule="auto"/>
        <w:ind w:firstLine="420"/>
        <w:jc w:val="left"/>
        <w:rPr>
          <w:rFonts w:ascii="宋体" w:hAnsi="宋体"/>
          <w:bCs/>
          <w:color w:val="auto"/>
          <w:szCs w:val="21"/>
          <w:highlight w:val="none"/>
        </w:rPr>
      </w:pPr>
      <w:bookmarkStart w:id="60" w:name="_Toc254970684"/>
      <w:bookmarkStart w:id="61" w:name="_Toc254970543"/>
      <w:r>
        <w:rPr>
          <w:rFonts w:ascii="宋体" w:hAnsi="宋体" w:cs="宋体"/>
          <w:color w:val="auto"/>
          <w:szCs w:val="21"/>
          <w:highlight w:val="none"/>
        </w:rPr>
        <w:t>2</w:t>
      </w:r>
      <w:r>
        <w:rPr>
          <w:rFonts w:hint="eastAsia" w:ascii="宋体" w:hAnsi="宋体" w:cs="宋体"/>
          <w:color w:val="auto"/>
          <w:szCs w:val="21"/>
          <w:highlight w:val="none"/>
        </w:rPr>
        <w:t>1.1</w:t>
      </w:r>
      <w:bookmarkEnd w:id="60"/>
      <w:bookmarkEnd w:id="61"/>
      <w:r>
        <w:rPr>
          <w:rFonts w:hint="eastAsia" w:ascii="宋体" w:hAnsi="宋体"/>
          <w:bCs/>
          <w:color w:val="auto"/>
          <w:szCs w:val="21"/>
          <w:highlight w:val="none"/>
        </w:rPr>
        <w:t>供应商应当在提交响应文件截止</w:t>
      </w:r>
      <w:r>
        <w:rPr>
          <w:rFonts w:ascii="宋体" w:hAnsi="宋体"/>
          <w:bCs/>
          <w:color w:val="auto"/>
          <w:szCs w:val="21"/>
          <w:highlight w:val="none"/>
        </w:rPr>
        <w:t>时间</w:t>
      </w:r>
      <w:r>
        <w:rPr>
          <w:rFonts w:hint="eastAsia" w:ascii="宋体" w:hAnsi="宋体"/>
          <w:bCs/>
          <w:color w:val="auto"/>
          <w:szCs w:val="21"/>
          <w:highlight w:val="none"/>
        </w:rPr>
        <w:t>前完成电子响应文件的提交（上传），提交响应文件截止</w:t>
      </w:r>
      <w:r>
        <w:rPr>
          <w:rFonts w:ascii="宋体" w:hAnsi="宋体"/>
          <w:bCs/>
          <w:color w:val="auto"/>
          <w:szCs w:val="21"/>
          <w:highlight w:val="none"/>
        </w:rPr>
        <w:t>时间</w:t>
      </w:r>
      <w:r>
        <w:rPr>
          <w:rFonts w:hint="eastAsia" w:ascii="宋体" w:hAnsi="宋体"/>
          <w:bCs/>
          <w:color w:val="auto"/>
          <w:szCs w:val="21"/>
          <w:highlight w:val="none"/>
        </w:rPr>
        <w:t>前可以补充、修改或者撤回响应文件。补充或者修改响应文件的，应当先行撤回原响应文件，补充、修改后重新提交（上传），提交响应文件截止</w:t>
      </w:r>
      <w:r>
        <w:rPr>
          <w:rFonts w:ascii="宋体" w:hAnsi="宋体"/>
          <w:bCs/>
          <w:color w:val="auto"/>
          <w:szCs w:val="21"/>
          <w:highlight w:val="none"/>
        </w:rPr>
        <w:t>时间</w:t>
      </w:r>
      <w:r>
        <w:rPr>
          <w:rFonts w:hint="eastAsia" w:ascii="宋体" w:hAnsi="宋体"/>
          <w:bCs/>
          <w:color w:val="auto"/>
          <w:szCs w:val="21"/>
          <w:highlight w:val="none"/>
        </w:rPr>
        <w:t>前未完成提交（上传）的，视为撤回响应文件。提交响应文件截止</w:t>
      </w:r>
      <w:r>
        <w:rPr>
          <w:rFonts w:ascii="宋体" w:hAnsi="宋体"/>
          <w:bCs/>
          <w:color w:val="auto"/>
          <w:szCs w:val="21"/>
          <w:highlight w:val="none"/>
        </w:rPr>
        <w:t>时间</w:t>
      </w:r>
      <w:r>
        <w:rPr>
          <w:rFonts w:hint="eastAsia" w:ascii="宋体" w:hAnsi="宋体"/>
          <w:bCs/>
          <w:color w:val="auto"/>
          <w:szCs w:val="21"/>
          <w:highlight w:val="none"/>
        </w:rPr>
        <w:t>以后提交（上传）的响应文件，广西政府采购云平台将予以拒收。（补充、修改或者撤回方式可登录广西政府采购云平台，进入“服务中心”中查看 “电子投标文件制作与投送教程”）</w:t>
      </w:r>
    </w:p>
    <w:p w14:paraId="622F859C">
      <w:pPr>
        <w:snapToGrid w:val="0"/>
        <w:spacing w:line="360" w:lineRule="auto"/>
        <w:ind w:firstLine="42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2在提交响应文件截止时间前，除供应商补充、修改或者撤回响应文件外，任何单位和个人不得解密或提取响应文件。</w:t>
      </w:r>
    </w:p>
    <w:p w14:paraId="7D3EE11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22.响应文件的退回</w:t>
      </w:r>
    </w:p>
    <w:p w14:paraId="5EE65F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77EF27F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014A7A7F">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供应商在响应文件提交截止时间后向采购人、采购代理机构书面申请撤回响应文件的，采购人和采购代理机构对已提交的响应文件概不退回。</w:t>
      </w:r>
    </w:p>
    <w:p w14:paraId="35002E97">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四、评审及谈判</w:t>
      </w:r>
    </w:p>
    <w:p w14:paraId="47FD0290">
      <w:pPr>
        <w:spacing w:line="360" w:lineRule="auto"/>
        <w:ind w:left="420" w:firstLine="420"/>
        <w:rPr>
          <w:rFonts w:ascii="宋体" w:hAnsi="宋体"/>
          <w:color w:val="auto"/>
          <w:szCs w:val="21"/>
          <w:highlight w:val="none"/>
        </w:rPr>
      </w:pPr>
    </w:p>
    <w:p w14:paraId="04FD7CD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24.谈判小组成立</w:t>
      </w:r>
    </w:p>
    <w:p w14:paraId="16C289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22AB15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332F48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00CB054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 xml:space="preserve"> 首次响应文件的开启和解密</w:t>
      </w:r>
    </w:p>
    <w:p w14:paraId="65CE1249">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间通过电子交易平台组织响应文件开启，供应商的法定代表人或其委托代理人须携带加密时所用的CA锁，按平台提示和谈判文件的规定登录到</w:t>
      </w:r>
      <w:r>
        <w:rPr>
          <w:rFonts w:hint="eastAsia" w:ascii="宋体" w:hAnsi="宋体"/>
          <w:color w:val="auto"/>
          <w:szCs w:val="21"/>
          <w:highlight w:val="none"/>
        </w:rPr>
        <w:t>广西政府采购云平台</w:t>
      </w:r>
      <w:r>
        <w:rPr>
          <w:rFonts w:hint="eastAsia" w:hAnsi="宋体"/>
          <w:color w:val="auto"/>
          <w:highlight w:val="none"/>
        </w:rPr>
        <w:t>电子开标大厅签到，</w:t>
      </w:r>
      <w:r>
        <w:rPr>
          <w:rFonts w:hint="eastAsia"/>
          <w:color w:val="auto"/>
          <w:highlight w:val="none"/>
        </w:rPr>
        <w:t>采购代理机构依托</w:t>
      </w:r>
      <w:r>
        <w:rPr>
          <w:rFonts w:hint="eastAsia" w:ascii="宋体" w:hAnsi="宋体"/>
          <w:color w:val="auto"/>
          <w:szCs w:val="21"/>
          <w:highlight w:val="none"/>
        </w:rPr>
        <w:t>广西政府采购云平台</w:t>
      </w:r>
      <w:r>
        <w:rPr>
          <w:rFonts w:hint="eastAsia"/>
          <w:color w:val="auto"/>
          <w:highlight w:val="none"/>
        </w:rPr>
        <w:t>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4C03931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 评审程序和评定成交的标准</w:t>
      </w:r>
    </w:p>
    <w:p w14:paraId="3DA2A17F">
      <w:pPr>
        <w:spacing w:line="360" w:lineRule="auto"/>
        <w:ind w:firstLine="420" w:firstLineChars="200"/>
        <w:rPr>
          <w:color w:val="auto"/>
          <w:highlight w:val="none"/>
        </w:rPr>
      </w:pPr>
      <w:r>
        <w:rPr>
          <w:rFonts w:hint="eastAsia"/>
          <w:color w:val="auto"/>
          <w:highlight w:val="none"/>
        </w:rPr>
        <w:t>26.1谈判小组按照“第四章  评审程序和评定成交的标准”规定的评审程序对响应文件进行评审，并按照评定成交的标准推荐成交候选供应商。评审价相同时，成交候选供应商推荐顺序见</w:t>
      </w:r>
      <w:r>
        <w:rPr>
          <w:rFonts w:hint="eastAsia" w:ascii="宋体" w:hAnsi="宋体"/>
          <w:color w:val="auto"/>
          <w:szCs w:val="21"/>
          <w:highlight w:val="none"/>
        </w:rPr>
        <w:t>“供应商须知前附表”。</w:t>
      </w:r>
    </w:p>
    <w:p w14:paraId="4B7BDAA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6.2 </w:t>
      </w:r>
      <w:r>
        <w:rPr>
          <w:rFonts w:hint="eastAsia" w:ascii="宋体" w:hAnsi="宋体"/>
          <w:color w:val="auto"/>
          <w:szCs w:val="21"/>
          <w:highlight w:val="none"/>
        </w:rPr>
        <w:t>商务/技术要求允许负偏离的条款数详见“供应商须知前附表”。</w:t>
      </w:r>
    </w:p>
    <w:p w14:paraId="161AF87C">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145CB6E4">
      <w:pPr>
        <w:spacing w:line="360" w:lineRule="auto"/>
        <w:ind w:firstLine="420" w:firstLineChars="200"/>
        <w:rPr>
          <w:rFonts w:hAnsi="宋体"/>
          <w:color w:val="auto"/>
          <w:highlight w:val="none"/>
        </w:rPr>
      </w:pPr>
      <w:r>
        <w:rPr>
          <w:rFonts w:hint="eastAsia" w:ascii="宋体" w:hAnsi="宋体"/>
          <w:color w:val="auto"/>
          <w:highlight w:val="none"/>
        </w:rPr>
        <w:t>2</w:t>
      </w:r>
      <w:r>
        <w:rPr>
          <w:rFonts w:ascii="宋体" w:hAnsi="宋体"/>
          <w:color w:val="auto"/>
          <w:highlight w:val="none"/>
        </w:rPr>
        <w:t>6.</w:t>
      </w:r>
      <w:r>
        <w:rPr>
          <w:rFonts w:hint="eastAsia" w:ascii="宋体" w:hAnsi="宋体"/>
          <w:color w:val="auto"/>
          <w:highlight w:val="none"/>
        </w:rPr>
        <w:t>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09906417">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041EC7FA">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6FC15F9B">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4AD669A5">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77A736B1">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3CE18596">
      <w:pPr>
        <w:spacing w:line="360" w:lineRule="auto"/>
        <w:ind w:firstLine="420" w:firstLineChars="200"/>
        <w:rPr>
          <w:rFonts w:hAnsi="宋体"/>
          <w:color w:val="auto"/>
          <w:highlight w:val="none"/>
        </w:rPr>
      </w:pPr>
      <w:r>
        <w:rPr>
          <w:rFonts w:hint="eastAsia" w:ascii="宋体" w:hAnsi="宋体"/>
          <w:color w:val="auto"/>
          <w:highlight w:val="none"/>
        </w:rPr>
        <w:t>26.</w:t>
      </w:r>
      <w:r>
        <w:rPr>
          <w:rFonts w:ascii="宋体" w:hAnsi="宋体"/>
          <w:color w:val="auto"/>
          <w:highlight w:val="none"/>
        </w:rPr>
        <w:t>5</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15D42A7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5E2A363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采购</w:t>
      </w:r>
      <w:r>
        <w:rPr>
          <w:rFonts w:hint="eastAsia" w:ascii="宋体" w:hAnsi="宋体" w:cs="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6388443C">
      <w:pPr>
        <w:pStyle w:val="11"/>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27</w:t>
      </w:r>
      <w:r>
        <w:rPr>
          <w:rFonts w:hint="eastAsia" w:ascii="宋体" w:hAnsi="宋体" w:cs="宋体"/>
          <w:color w:val="auto"/>
          <w:kern w:val="0"/>
          <w:szCs w:val="21"/>
          <w:highlight w:val="none"/>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w:t>
      </w:r>
      <w:r>
        <w:rPr>
          <w:color w:val="auto"/>
          <w:highlight w:val="none"/>
        </w:rPr>
        <w:t>重大税收违法失信主体</w:t>
      </w:r>
      <w:r>
        <w:rPr>
          <w:rFonts w:hint="eastAsia" w:ascii="宋体" w:hAnsi="宋体" w:cs="宋体"/>
          <w:color w:val="auto"/>
          <w:kern w:val="0"/>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color w:val="auto"/>
          <w:szCs w:val="21"/>
          <w:highlight w:val="none"/>
        </w:rPr>
        <w:t>成交供应商享受《政府采购促进中小企业发展管理办法》（财库〔2020〕46号）规定的中小企业扶持政策的，采购人、采购代理机构应当随成交结果公开成交供应商的《中小企业声明函》。</w:t>
      </w:r>
    </w:p>
    <w:p w14:paraId="2AEAD027">
      <w:pPr>
        <w:pStyle w:val="11"/>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27.3出现下列情形之一的，采购人或者采购代理机构应当终止竞争性谈判采购活动，发布项目终止公告并说明原因，重新开展采购活动：</w:t>
      </w:r>
    </w:p>
    <w:p w14:paraId="74F7D3ED">
      <w:pPr>
        <w:pStyle w:val="11"/>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（1）因情况变化，不再符合规定的竞争性谈判采购方式适用情形的；</w:t>
      </w:r>
    </w:p>
    <w:p w14:paraId="5D6ECF88">
      <w:pPr>
        <w:pStyle w:val="11"/>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（2）出现影响采购公正的违法、违规行为的；</w:t>
      </w:r>
    </w:p>
    <w:p w14:paraId="467613B7">
      <w:pPr>
        <w:pStyle w:val="11"/>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（3）在采购过程中符合竞争要求的供应商或者报价未超过单价最高限价的供应商不足3家的，但“第四章 评审程序和评定成交的标准”第3.7条规定的情形除外。</w:t>
      </w:r>
    </w:p>
    <w:p w14:paraId="4E6FD06D">
      <w:pPr>
        <w:pStyle w:val="11"/>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14:paraId="6BAFAC9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28.履约保证金</w:t>
      </w:r>
    </w:p>
    <w:p w14:paraId="4946798C">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28.1 履约保证金的金额、提交方式、退付的时间和条件详见“供应商须知前附表”。成交人未按规定提交履约保证金的，视为拒绝与采购人签订合同。</w:t>
      </w:r>
    </w:p>
    <w:p w14:paraId="6DB3B80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28.2在履约保证金退还日期前，若成交人的开户名称、开户银行、账号有变动的，请以书面形式通知履约保证金收取单位，否则由此产生的后果由成交人自行承担。</w:t>
      </w:r>
    </w:p>
    <w:p w14:paraId="2B40A47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36D52C6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66E7E79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1B4800B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4613059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69CFA8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29.5采购人或成交供应商不得单方面向合同另一方提出任何谈判文件没有约定的条件或不合理的要求，作为签订合同的条件；也不得协商另行订立背离谈判文件和合同实质性内容的协议。</w:t>
      </w:r>
    </w:p>
    <w:p w14:paraId="1030874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3C0F769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07B1EF0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49D48C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E6D06B7">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403F98AC">
      <w:pPr>
        <w:pStyle w:val="7"/>
        <w:spacing w:after="120" w:line="360" w:lineRule="auto"/>
        <w:rPr>
          <w:rFonts w:ascii="宋体" w:hAnsi="宋体"/>
          <w:color w:val="auto"/>
          <w:szCs w:val="21"/>
          <w:highlight w:val="none"/>
        </w:rPr>
      </w:pPr>
      <w:r>
        <w:rPr>
          <w:rFonts w:ascii="宋体" w:hAnsi="宋体" w:cs="宋体"/>
          <w:color w:val="auto"/>
          <w:highlight w:val="none"/>
        </w:rPr>
        <w:t>31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p>
    <w:p w14:paraId="57B7B2B8">
      <w:pPr>
        <w:spacing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color w:val="auto"/>
          <w:highlight w:val="none"/>
          <w:shd w:val="clear" w:color="auto" w:fill="FFFFFF"/>
        </w:rPr>
        <w:t>接收质疑函的方式、联系部门、联系电话和通讯地址等信息</w:t>
      </w:r>
      <w:r>
        <w:rPr>
          <w:rFonts w:hint="eastAsia" w:ascii="宋体" w:hAnsi="宋体" w:cs="宋体"/>
          <w:color w:val="auto"/>
          <w:szCs w:val="21"/>
          <w:highlight w:val="none"/>
        </w:rPr>
        <w:t>详见“供应商须知前附表”</w:t>
      </w:r>
      <w:r>
        <w:rPr>
          <w:rFonts w:hint="eastAsia" w:ascii="宋体" w:hAnsi="宋体" w:cs="宋体"/>
          <w:color w:val="auto"/>
          <w:highlight w:val="none"/>
        </w:rPr>
        <w:t>。具体质疑起算时间如下：</w:t>
      </w:r>
    </w:p>
    <w:p w14:paraId="669EA1B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（1）对可以质疑的谈判文件提出质疑的，为获取谈判文件之日；</w:t>
      </w:r>
    </w:p>
    <w:p w14:paraId="2C702B9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56FCAEF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4C781403">
      <w:pPr>
        <w:spacing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1D32DD8">
      <w:pPr>
        <w:spacing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45CAA37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55A4886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3EC23F7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1D27420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0781120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46430BC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5501A80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7E61B28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7524947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504D28A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7439D8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1DDD6BB8">
      <w:pPr>
        <w:spacing w:line="360" w:lineRule="auto"/>
        <w:ind w:firstLine="420" w:firstLineChars="200"/>
        <w:rPr>
          <w:rFonts w:ascii="宋体" w:hAnsi="宋体" w:cs="宋体"/>
          <w:b/>
          <w:bCs/>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271D46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其他内容</w:t>
      </w:r>
    </w:p>
    <w:p w14:paraId="4BCDACA4">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.1代理服务收取标准详见“供应商须知前附表”：</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984"/>
      </w:tblGrid>
      <w:tr w14:paraId="38A5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237EDEB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11035083">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1406A672">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45876B9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984" w:type="dxa"/>
            <w:vAlign w:val="center"/>
          </w:tcPr>
          <w:p w14:paraId="487890C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151F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60481F5">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419FB670">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7ABF3C8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984" w:type="dxa"/>
          </w:tcPr>
          <w:p w14:paraId="7D42DBB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2BAA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E595573">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330B45D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37CF50C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984" w:type="dxa"/>
          </w:tcPr>
          <w:p w14:paraId="5C7C018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6959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B3869C5">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619A7160">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01BB428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984" w:type="dxa"/>
          </w:tcPr>
          <w:p w14:paraId="20D004B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2C76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00C828D">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4FE2D80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4D696D0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984" w:type="dxa"/>
          </w:tcPr>
          <w:p w14:paraId="66B151C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5360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1CBED10">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6345A25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5B16B6D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984" w:type="dxa"/>
          </w:tcPr>
          <w:p w14:paraId="16968B8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62CD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F7C06C0">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5A56841A">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0166D5F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984" w:type="dxa"/>
          </w:tcPr>
          <w:p w14:paraId="0D9919F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0008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4CA9017">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5A7D245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62BA017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984" w:type="dxa"/>
          </w:tcPr>
          <w:p w14:paraId="232E9501">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79A3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79FEDF1">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1A9B6C11">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7C0488CC">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984" w:type="dxa"/>
          </w:tcPr>
          <w:p w14:paraId="3E33DDAA">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75A4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05D846C">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1B12A55F">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550A8191">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984" w:type="dxa"/>
          </w:tcPr>
          <w:p w14:paraId="54D6448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2F1B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642021F">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2B15BA8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4A3B6C0F">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984" w:type="dxa"/>
          </w:tcPr>
          <w:p w14:paraId="3D363E2B">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66FBD04E">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 xml:space="preserve">注： </w:t>
      </w:r>
    </w:p>
    <w:p w14:paraId="1E76B4FC">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561698A9">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59F41190">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货物采购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34E35FB4">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100 万元 ×l.5 %＝ 1.5 万元</w:t>
      </w:r>
    </w:p>
    <w:p w14:paraId="2F53DE07">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 150 － 100 ）万元 ×1.1%＝ 0.55 万元</w:t>
      </w:r>
    </w:p>
    <w:p w14:paraId="5ABA85BE">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合计收费＝ 1.5 ＋ 0.55＝ 2.05 （万元）</w:t>
      </w:r>
    </w:p>
    <w:p w14:paraId="03CA1053">
      <w:pPr>
        <w:spacing w:line="360" w:lineRule="auto"/>
        <w:ind w:firstLine="482" w:firstLineChars="200"/>
        <w:contextualSpacing/>
        <w:rPr>
          <w:rFonts w:ascii="黑体" w:hAnsi="黑体" w:eastAsia="黑体" w:cs="宋体"/>
          <w:b/>
          <w:bCs/>
          <w:color w:val="auto"/>
          <w:sz w:val="24"/>
          <w:highlight w:val="none"/>
        </w:rPr>
      </w:pPr>
      <w:r>
        <w:rPr>
          <w:rFonts w:ascii="黑体" w:hAnsi="黑体" w:eastAsia="黑体" w:cs="宋体"/>
          <w:b/>
          <w:bCs/>
          <w:color w:val="auto"/>
          <w:sz w:val="24"/>
          <w:highlight w:val="none"/>
        </w:rPr>
        <w:t>33. 需要补充的其他内容</w:t>
      </w:r>
    </w:p>
    <w:p w14:paraId="6AABD136">
      <w:pPr>
        <w:pStyle w:val="16"/>
        <w:spacing w:line="360" w:lineRule="auto"/>
        <w:ind w:firstLine="420" w:firstLineChars="200"/>
        <w:contextualSpacing/>
        <w:rPr>
          <w:rFonts w:hAnsi="宋体"/>
          <w:color w:val="auto"/>
          <w:sz w:val="21"/>
          <w:highlight w:val="none"/>
        </w:rPr>
      </w:pPr>
      <w:r>
        <w:rPr>
          <w:rFonts w:hAnsi="宋体"/>
          <w:color w:val="auto"/>
          <w:sz w:val="21"/>
          <w:highlight w:val="none"/>
        </w:rPr>
        <w:t>33.1</w:t>
      </w:r>
      <w:r>
        <w:rPr>
          <w:rFonts w:hint="eastAsia" w:hAnsi="宋体" w:cs="宋体"/>
          <w:color w:val="auto"/>
          <w:sz w:val="21"/>
          <w:highlight w:val="none"/>
        </w:rPr>
        <w:t>本谈判文件解释规则详见</w:t>
      </w:r>
      <w:r>
        <w:rPr>
          <w:rFonts w:hint="eastAsia" w:hAnsi="宋体"/>
          <w:color w:val="auto"/>
          <w:sz w:val="21"/>
          <w:highlight w:val="none"/>
        </w:rPr>
        <w:t>“供应商须知前附表”。</w:t>
      </w:r>
    </w:p>
    <w:p w14:paraId="3F0E53BA">
      <w:pPr>
        <w:spacing w:line="360" w:lineRule="auto"/>
        <w:ind w:firstLine="420" w:firstLineChars="200"/>
        <w:contextualSpacing/>
        <w:rPr>
          <w:rFonts w:hAnsi="宋体"/>
          <w:color w:val="auto"/>
          <w:highlight w:val="none"/>
        </w:rPr>
      </w:pPr>
      <w:r>
        <w:rPr>
          <w:rFonts w:ascii="宋体" w:hAnsi="宋体" w:cs="宋体"/>
          <w:color w:val="auto"/>
          <w:kern w:val="0"/>
          <w:szCs w:val="21"/>
          <w:highlight w:val="none"/>
        </w:rPr>
        <w:t>33.2</w:t>
      </w:r>
      <w:r>
        <w:rPr>
          <w:rFonts w:hint="eastAsia" w:ascii="宋体" w:hAnsi="宋体" w:cs="宋体"/>
          <w:color w:val="auto"/>
          <w:kern w:val="0"/>
          <w:szCs w:val="21"/>
          <w:highlight w:val="none"/>
        </w:rPr>
        <w:t xml:space="preserve"> 其他事</w:t>
      </w:r>
      <w:r>
        <w:rPr>
          <w:rFonts w:hint="eastAsia" w:hAnsi="宋体"/>
          <w:color w:val="auto"/>
          <w:highlight w:val="none"/>
        </w:rPr>
        <w:t>项详见“供应商须知前附表”。</w:t>
      </w:r>
    </w:p>
    <w:p w14:paraId="20A0B539">
      <w:pPr>
        <w:pStyle w:val="16"/>
        <w:spacing w:line="360" w:lineRule="auto"/>
        <w:ind w:firstLine="400" w:firstLineChars="200"/>
        <w:contextualSpacing/>
        <w:rPr>
          <w:rFonts w:hAnsi="宋体"/>
          <w:color w:val="auto"/>
          <w:sz w:val="21"/>
          <w:highlight w:val="none"/>
        </w:rPr>
      </w:pPr>
      <w:r>
        <w:rPr>
          <w:rFonts w:hint="eastAsia" w:hAnsi="宋体"/>
          <w:color w:val="auto"/>
          <w:highlight w:val="none"/>
        </w:rPr>
        <w:t>3</w:t>
      </w:r>
      <w:r>
        <w:rPr>
          <w:rFonts w:hAnsi="宋体"/>
          <w:color w:val="auto"/>
          <w:highlight w:val="none"/>
        </w:rPr>
        <w:t>3.3</w:t>
      </w:r>
      <w:bookmarkStart w:id="62" w:name="_Hlk65857140"/>
      <w:r>
        <w:rPr>
          <w:rFonts w:hint="eastAsia" w:hAnsi="宋体"/>
          <w:color w:val="auto"/>
          <w:sz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27506B02">
      <w:pPr>
        <w:pStyle w:val="16"/>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7F36960B">
      <w:pPr>
        <w:pStyle w:val="16"/>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3AE51B7B">
      <w:pPr>
        <w:pStyle w:val="16"/>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58025B3C">
      <w:pPr>
        <w:pStyle w:val="16"/>
        <w:spacing w:line="360" w:lineRule="auto"/>
        <w:ind w:firstLine="420" w:firstLineChars="200"/>
        <w:contextualSpacing/>
        <w:rPr>
          <w:rFonts w:hAnsi="宋体"/>
          <w:color w:val="auto"/>
          <w:sz w:val="21"/>
          <w:highlight w:val="none"/>
        </w:rPr>
      </w:pPr>
      <w:r>
        <w:rPr>
          <w:rFonts w:hint="eastAsia" w:hAnsi="宋体"/>
          <w:color w:val="auto"/>
          <w:sz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73644505">
      <w:pPr>
        <w:spacing w:line="360" w:lineRule="auto"/>
        <w:ind w:firstLine="420" w:firstLineChars="200"/>
        <w:contextualSpacing/>
        <w:rPr>
          <w:rFonts w:hAnsi="宋体"/>
          <w:color w:val="auto"/>
          <w:highlight w:val="none"/>
        </w:rPr>
      </w:pPr>
      <w:r>
        <w:rPr>
          <w:rFonts w:hint="eastAsia" w:hAnsi="宋体"/>
          <w:color w:val="auto"/>
          <w:highlight w:val="none"/>
        </w:rPr>
        <w:t>依据本谈判文件规定享受扶持政策获得政府采购合同的，小微企业不得将合同分包给大中型企业，中型企业不得将合同分包给大型企业。</w:t>
      </w:r>
      <w:bookmarkEnd w:id="62"/>
    </w:p>
    <w:p w14:paraId="73C80CA3">
      <w:pPr>
        <w:spacing w:line="360" w:lineRule="auto"/>
        <w:ind w:firstLine="420" w:firstLineChars="200"/>
        <w:contextualSpacing/>
        <w:rPr>
          <w:rFonts w:hAnsi="宋体"/>
          <w:color w:val="auto"/>
          <w:highlight w:val="none"/>
        </w:rPr>
      </w:pPr>
    </w:p>
    <w:p w14:paraId="58EBCE00">
      <w:pPr>
        <w:spacing w:line="360" w:lineRule="auto"/>
        <w:ind w:firstLine="420" w:firstLineChars="200"/>
        <w:contextualSpacing/>
        <w:rPr>
          <w:rFonts w:hAnsi="宋体"/>
          <w:color w:val="auto"/>
          <w:highlight w:val="none"/>
        </w:rPr>
      </w:pPr>
    </w:p>
    <w:p w14:paraId="0013E4E5">
      <w:pPr>
        <w:spacing w:line="360" w:lineRule="auto"/>
        <w:ind w:firstLine="420" w:firstLineChars="200"/>
        <w:contextualSpacing/>
        <w:rPr>
          <w:rFonts w:hAnsi="宋体"/>
          <w:color w:val="auto"/>
          <w:highlight w:val="none"/>
        </w:rPr>
      </w:pPr>
    </w:p>
    <w:p w14:paraId="170B52DB">
      <w:pPr>
        <w:spacing w:line="360" w:lineRule="auto"/>
        <w:ind w:firstLine="420" w:firstLineChars="200"/>
        <w:contextualSpacing/>
        <w:rPr>
          <w:rFonts w:hAnsi="宋体"/>
          <w:color w:val="auto"/>
          <w:highlight w:val="none"/>
        </w:rPr>
      </w:pPr>
    </w:p>
    <w:p w14:paraId="2A7A7864">
      <w:pPr>
        <w:spacing w:line="360" w:lineRule="auto"/>
        <w:ind w:firstLine="420" w:firstLineChars="200"/>
        <w:contextualSpacing/>
        <w:rPr>
          <w:rFonts w:hAnsi="宋体"/>
          <w:color w:val="auto"/>
          <w:highlight w:val="none"/>
        </w:rPr>
      </w:pPr>
    </w:p>
    <w:p w14:paraId="2F961C2F">
      <w:pPr>
        <w:spacing w:line="360" w:lineRule="auto"/>
        <w:ind w:firstLine="420" w:firstLineChars="200"/>
        <w:contextualSpacing/>
        <w:rPr>
          <w:rFonts w:hAnsi="宋体"/>
          <w:color w:val="auto"/>
          <w:highlight w:val="none"/>
        </w:rPr>
      </w:pPr>
    </w:p>
    <w:p w14:paraId="0937E783">
      <w:pPr>
        <w:spacing w:line="360" w:lineRule="auto"/>
        <w:ind w:firstLine="420" w:firstLineChars="200"/>
        <w:contextualSpacing/>
        <w:rPr>
          <w:rFonts w:hAnsi="宋体"/>
          <w:color w:val="auto"/>
          <w:highlight w:val="none"/>
        </w:rPr>
      </w:pPr>
    </w:p>
    <w:p w14:paraId="33C27FBD">
      <w:pPr>
        <w:spacing w:line="360" w:lineRule="auto"/>
        <w:ind w:firstLine="420" w:firstLineChars="200"/>
        <w:contextualSpacing/>
        <w:rPr>
          <w:rFonts w:hAnsi="宋体"/>
          <w:color w:val="auto"/>
          <w:highlight w:val="none"/>
        </w:rPr>
      </w:pPr>
    </w:p>
    <w:p w14:paraId="0D4D902D">
      <w:pPr>
        <w:spacing w:line="360" w:lineRule="auto"/>
        <w:ind w:firstLine="420" w:firstLineChars="200"/>
        <w:contextualSpacing/>
        <w:rPr>
          <w:rFonts w:hAnsi="宋体"/>
          <w:color w:val="auto"/>
          <w:highlight w:val="none"/>
        </w:rPr>
      </w:pPr>
    </w:p>
    <w:p w14:paraId="024DA348">
      <w:pPr>
        <w:spacing w:line="360" w:lineRule="auto"/>
        <w:ind w:firstLine="420" w:firstLineChars="200"/>
        <w:contextualSpacing/>
        <w:rPr>
          <w:rFonts w:hAnsi="宋体"/>
          <w:color w:val="auto"/>
          <w:highlight w:val="none"/>
        </w:rPr>
      </w:pPr>
    </w:p>
    <w:p w14:paraId="6C329FFC">
      <w:pPr>
        <w:spacing w:line="360" w:lineRule="auto"/>
        <w:ind w:firstLine="420" w:firstLineChars="200"/>
        <w:contextualSpacing/>
        <w:rPr>
          <w:rFonts w:hAnsi="宋体"/>
          <w:color w:val="auto"/>
          <w:highlight w:val="none"/>
        </w:rPr>
      </w:pPr>
    </w:p>
    <w:p w14:paraId="06773F10">
      <w:pPr>
        <w:spacing w:line="360" w:lineRule="auto"/>
        <w:ind w:firstLine="420" w:firstLineChars="200"/>
        <w:contextualSpacing/>
        <w:rPr>
          <w:rFonts w:hAnsi="宋体"/>
          <w:color w:val="auto"/>
          <w:highlight w:val="none"/>
        </w:rPr>
      </w:pPr>
    </w:p>
    <w:p w14:paraId="0B36B9DC">
      <w:pPr>
        <w:spacing w:line="360" w:lineRule="auto"/>
        <w:ind w:firstLine="420" w:firstLineChars="200"/>
        <w:contextualSpacing/>
        <w:rPr>
          <w:rFonts w:hAnsi="宋体"/>
          <w:color w:val="auto"/>
          <w:highlight w:val="none"/>
        </w:rPr>
      </w:pPr>
    </w:p>
    <w:p w14:paraId="5752DB7C">
      <w:pPr>
        <w:spacing w:line="360" w:lineRule="auto"/>
        <w:ind w:firstLine="420" w:firstLineChars="200"/>
        <w:contextualSpacing/>
        <w:rPr>
          <w:rFonts w:hAnsi="宋体"/>
          <w:color w:val="auto"/>
          <w:highlight w:val="none"/>
        </w:rPr>
      </w:pPr>
    </w:p>
    <w:p w14:paraId="1220AE1E">
      <w:pPr>
        <w:spacing w:line="360" w:lineRule="auto"/>
        <w:ind w:firstLine="420" w:firstLineChars="200"/>
        <w:contextualSpacing/>
        <w:rPr>
          <w:rFonts w:hAnsi="宋体"/>
          <w:color w:val="auto"/>
          <w:highlight w:val="none"/>
        </w:rPr>
      </w:pPr>
    </w:p>
    <w:p w14:paraId="7B7EB63A">
      <w:pPr>
        <w:spacing w:line="360" w:lineRule="auto"/>
        <w:ind w:firstLine="420" w:firstLineChars="200"/>
        <w:contextualSpacing/>
        <w:rPr>
          <w:rFonts w:hAnsi="宋体"/>
          <w:color w:val="auto"/>
          <w:highlight w:val="none"/>
        </w:rPr>
      </w:pPr>
    </w:p>
    <w:p w14:paraId="23B0356D">
      <w:pPr>
        <w:spacing w:line="360" w:lineRule="auto"/>
        <w:ind w:firstLine="420" w:firstLineChars="200"/>
        <w:contextualSpacing/>
        <w:rPr>
          <w:rFonts w:hAnsi="宋体"/>
          <w:color w:val="auto"/>
          <w:highlight w:val="none"/>
        </w:rPr>
      </w:pPr>
    </w:p>
    <w:p w14:paraId="7116C55F">
      <w:pPr>
        <w:spacing w:line="360" w:lineRule="auto"/>
        <w:ind w:firstLine="420" w:firstLineChars="200"/>
        <w:contextualSpacing/>
        <w:rPr>
          <w:rFonts w:hAnsi="宋体"/>
          <w:color w:val="auto"/>
          <w:highlight w:val="none"/>
        </w:rPr>
      </w:pPr>
    </w:p>
    <w:p w14:paraId="4F9264B2">
      <w:pPr>
        <w:spacing w:line="360" w:lineRule="auto"/>
        <w:ind w:firstLine="420" w:firstLineChars="200"/>
        <w:contextualSpacing/>
        <w:rPr>
          <w:rFonts w:hAnsi="宋体"/>
          <w:color w:val="auto"/>
          <w:highlight w:val="none"/>
        </w:rPr>
      </w:pPr>
    </w:p>
    <w:p w14:paraId="4F3415BF">
      <w:pPr>
        <w:spacing w:line="360" w:lineRule="auto"/>
        <w:ind w:firstLine="420" w:firstLineChars="200"/>
        <w:contextualSpacing/>
        <w:rPr>
          <w:rFonts w:hAnsi="宋体"/>
          <w:color w:val="auto"/>
          <w:highlight w:val="none"/>
        </w:rPr>
      </w:pPr>
    </w:p>
    <w:p w14:paraId="0EB1FBD3">
      <w:pPr>
        <w:spacing w:line="360" w:lineRule="auto"/>
        <w:ind w:firstLine="420" w:firstLineChars="200"/>
        <w:contextualSpacing/>
        <w:rPr>
          <w:rFonts w:hAnsi="宋体"/>
          <w:color w:val="auto"/>
          <w:highlight w:val="none"/>
        </w:rPr>
      </w:pPr>
    </w:p>
    <w:p w14:paraId="70A6C56D">
      <w:pPr>
        <w:spacing w:line="360" w:lineRule="auto"/>
        <w:ind w:firstLine="420" w:firstLineChars="200"/>
        <w:contextualSpacing/>
        <w:rPr>
          <w:rFonts w:hAnsi="宋体"/>
          <w:color w:val="auto"/>
          <w:highlight w:val="none"/>
        </w:rPr>
      </w:pPr>
    </w:p>
    <w:p w14:paraId="08F4255F">
      <w:pPr>
        <w:spacing w:line="360" w:lineRule="auto"/>
        <w:ind w:firstLine="420" w:firstLineChars="200"/>
        <w:contextualSpacing/>
        <w:rPr>
          <w:rFonts w:hAnsi="宋体"/>
          <w:color w:val="auto"/>
          <w:highlight w:val="none"/>
        </w:rPr>
      </w:pPr>
    </w:p>
    <w:p w14:paraId="0CF768C6">
      <w:pPr>
        <w:snapToGrid w:val="0"/>
        <w:spacing w:line="340" w:lineRule="exact"/>
        <w:rPr>
          <w:rFonts w:ascii="宋体" w:hAnsi="宋体"/>
          <w:color w:val="auto"/>
          <w:kern w:val="0"/>
          <w:sz w:val="20"/>
          <w:szCs w:val="21"/>
          <w:highlight w:val="none"/>
        </w:rPr>
      </w:pPr>
      <w:r>
        <w:rPr>
          <w:rFonts w:hint="eastAsia" w:ascii="黑体" w:hAnsi="黑体" w:eastAsia="黑体" w:cs="黑体"/>
          <w:bCs/>
          <w:color w:val="auto"/>
          <w:kern w:val="0"/>
          <w:sz w:val="32"/>
          <w:szCs w:val="32"/>
          <w:highlight w:val="none"/>
        </w:rPr>
        <w:t>附件1：</w:t>
      </w:r>
    </w:p>
    <w:p w14:paraId="5DD99164">
      <w:pPr>
        <w:widowControl/>
        <w:shd w:val="clear" w:color="auto" w:fill="FFFFFF"/>
        <w:spacing w:line="480" w:lineRule="atLeast"/>
        <w:jc w:val="center"/>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56037226">
      <w:pPr>
        <w:widowControl/>
        <w:shd w:val="clear" w:color="auto" w:fill="FFFFFF"/>
        <w:spacing w:line="480" w:lineRule="atLeast"/>
        <w:jc w:val="center"/>
        <w:rPr>
          <w:rFonts w:ascii="仿宋" w:hAnsi="仿宋" w:eastAsia="仿宋" w:cs="宋体"/>
          <w:color w:val="auto"/>
          <w:kern w:val="0"/>
          <w:sz w:val="32"/>
          <w:szCs w:val="32"/>
          <w:highlight w:val="none"/>
        </w:rPr>
      </w:pPr>
    </w:p>
    <w:p w14:paraId="2FB9630B">
      <w:pPr>
        <w:widowControl/>
        <w:shd w:val="clear" w:color="auto" w:fill="FFFFFF"/>
        <w:snapToGrid w:val="0"/>
        <w:spacing w:line="320" w:lineRule="atLeast"/>
        <w:ind w:firstLine="48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26"/>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1191"/>
        <w:gridCol w:w="1428"/>
      </w:tblGrid>
      <w:tr w14:paraId="0138AAE4">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773FFD28">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699" w:type="dxa"/>
            <w:gridSpan w:val="6"/>
            <w:tcBorders>
              <w:top w:val="single" w:color="auto" w:sz="8" w:space="0"/>
              <w:left w:val="nil"/>
              <w:bottom w:val="single" w:color="auto" w:sz="8" w:space="0"/>
              <w:right w:val="single" w:color="auto" w:sz="8" w:space="0"/>
            </w:tcBorders>
            <w:vAlign w:val="center"/>
          </w:tcPr>
          <w:p w14:paraId="0F31F7B4">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14:paraId="28864E4F">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3BE3A3B3">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74981CBF">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71232D19">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1369" w:type="dxa"/>
            <w:gridSpan w:val="2"/>
            <w:tcBorders>
              <w:top w:val="nil"/>
              <w:left w:val="nil"/>
              <w:bottom w:val="single" w:color="auto" w:sz="8" w:space="0"/>
              <w:right w:val="single" w:color="auto" w:sz="8" w:space="0"/>
            </w:tcBorders>
            <w:vAlign w:val="center"/>
          </w:tcPr>
          <w:p w14:paraId="20102788">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331141CA">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62CF8A95">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69B5906">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550E362F">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C650DBF">
            <w:pPr>
              <w:widowControl/>
              <w:spacing w:before="100" w:beforeAutospacing="1" w:after="100" w:afterAutospacing="1" w:line="240" w:lineRule="atLeast"/>
              <w:jc w:val="center"/>
              <w:rPr>
                <w:rFonts w:ascii="Verdana" w:hAnsi="Verdana" w:cs="宋体"/>
                <w:color w:val="auto"/>
                <w:kern w:val="0"/>
                <w:szCs w:val="21"/>
                <w:highlight w:val="none"/>
              </w:rPr>
            </w:pPr>
          </w:p>
        </w:tc>
        <w:tc>
          <w:tcPr>
            <w:tcW w:w="1369" w:type="dxa"/>
            <w:gridSpan w:val="2"/>
            <w:tcBorders>
              <w:top w:val="nil"/>
              <w:left w:val="nil"/>
              <w:bottom w:val="single" w:color="auto" w:sz="8" w:space="0"/>
              <w:right w:val="single" w:color="auto" w:sz="8" w:space="0"/>
            </w:tcBorders>
            <w:vAlign w:val="center"/>
          </w:tcPr>
          <w:p w14:paraId="4FDD9D53">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EFD105C">
            <w:pPr>
              <w:widowControl/>
              <w:spacing w:before="100" w:beforeAutospacing="1" w:after="100" w:afterAutospacing="1" w:line="240" w:lineRule="atLeast"/>
              <w:jc w:val="center"/>
              <w:rPr>
                <w:rFonts w:ascii="Verdana" w:hAnsi="Verdana" w:cs="宋体"/>
                <w:color w:val="auto"/>
                <w:kern w:val="0"/>
                <w:szCs w:val="21"/>
                <w:highlight w:val="none"/>
              </w:rPr>
            </w:pPr>
          </w:p>
        </w:tc>
      </w:tr>
      <w:tr w14:paraId="75EFC74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F8F9B48">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1B533F1B">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CA0E8EF">
            <w:pPr>
              <w:widowControl/>
              <w:spacing w:before="100" w:beforeAutospacing="1" w:after="100" w:afterAutospacing="1" w:line="240" w:lineRule="atLeast"/>
              <w:jc w:val="center"/>
              <w:rPr>
                <w:rFonts w:ascii="Verdana" w:hAnsi="Verdana" w:cs="宋体"/>
                <w:color w:val="auto"/>
                <w:kern w:val="0"/>
                <w:szCs w:val="21"/>
                <w:highlight w:val="none"/>
              </w:rPr>
            </w:pPr>
          </w:p>
        </w:tc>
        <w:tc>
          <w:tcPr>
            <w:tcW w:w="1369" w:type="dxa"/>
            <w:gridSpan w:val="2"/>
            <w:tcBorders>
              <w:top w:val="nil"/>
              <w:left w:val="nil"/>
              <w:bottom w:val="single" w:color="auto" w:sz="8" w:space="0"/>
              <w:right w:val="single" w:color="auto" w:sz="8" w:space="0"/>
            </w:tcBorders>
            <w:vAlign w:val="center"/>
          </w:tcPr>
          <w:p w14:paraId="48412853">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23E0E2C9">
            <w:pPr>
              <w:widowControl/>
              <w:spacing w:before="100" w:beforeAutospacing="1" w:after="100" w:afterAutospacing="1" w:line="240" w:lineRule="atLeast"/>
              <w:jc w:val="center"/>
              <w:rPr>
                <w:rFonts w:ascii="Verdana" w:hAnsi="Verdana" w:cs="宋体"/>
                <w:color w:val="auto"/>
                <w:kern w:val="0"/>
                <w:szCs w:val="21"/>
                <w:highlight w:val="none"/>
              </w:rPr>
            </w:pPr>
          </w:p>
        </w:tc>
      </w:tr>
      <w:tr w14:paraId="444F1EB8">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297AA77">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47D0D98E">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D6F56D8">
            <w:pPr>
              <w:widowControl/>
              <w:spacing w:before="100" w:beforeAutospacing="1" w:after="100" w:afterAutospacing="1" w:line="240" w:lineRule="atLeast"/>
              <w:jc w:val="center"/>
              <w:rPr>
                <w:rFonts w:ascii="Verdana" w:hAnsi="Verdana" w:cs="宋体"/>
                <w:color w:val="auto"/>
                <w:kern w:val="0"/>
                <w:szCs w:val="21"/>
                <w:highlight w:val="none"/>
              </w:rPr>
            </w:pPr>
          </w:p>
        </w:tc>
        <w:tc>
          <w:tcPr>
            <w:tcW w:w="1369" w:type="dxa"/>
            <w:gridSpan w:val="2"/>
            <w:tcBorders>
              <w:top w:val="nil"/>
              <w:left w:val="nil"/>
              <w:bottom w:val="single" w:color="auto" w:sz="8" w:space="0"/>
              <w:right w:val="single" w:color="auto" w:sz="8" w:space="0"/>
            </w:tcBorders>
            <w:vAlign w:val="center"/>
          </w:tcPr>
          <w:p w14:paraId="1D5A6193">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684D9EF">
            <w:pPr>
              <w:widowControl/>
              <w:spacing w:before="100" w:beforeAutospacing="1" w:after="100" w:afterAutospacing="1" w:line="240" w:lineRule="atLeast"/>
              <w:jc w:val="center"/>
              <w:rPr>
                <w:rFonts w:ascii="Verdana" w:hAnsi="Verdana" w:cs="宋体"/>
                <w:color w:val="auto"/>
                <w:kern w:val="0"/>
                <w:szCs w:val="21"/>
                <w:highlight w:val="none"/>
              </w:rPr>
            </w:pPr>
          </w:p>
        </w:tc>
      </w:tr>
      <w:tr w14:paraId="3BAF69E6">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02D32B4F">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1369" w:type="dxa"/>
            <w:gridSpan w:val="2"/>
            <w:tcBorders>
              <w:top w:val="nil"/>
              <w:left w:val="nil"/>
              <w:bottom w:val="single" w:color="auto" w:sz="8" w:space="0"/>
              <w:right w:val="single" w:color="auto" w:sz="8" w:space="0"/>
            </w:tcBorders>
            <w:vAlign w:val="center"/>
          </w:tcPr>
          <w:p w14:paraId="3707C9D3">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12DFA0B">
            <w:pPr>
              <w:widowControl/>
              <w:spacing w:before="100" w:beforeAutospacing="1" w:after="100" w:afterAutospacing="1" w:line="240" w:lineRule="atLeast"/>
              <w:jc w:val="center"/>
              <w:rPr>
                <w:rFonts w:ascii="Verdana" w:hAnsi="Verdana" w:cs="宋体"/>
                <w:color w:val="auto"/>
                <w:kern w:val="0"/>
                <w:szCs w:val="21"/>
                <w:highlight w:val="none"/>
              </w:rPr>
            </w:pPr>
          </w:p>
        </w:tc>
      </w:tr>
      <w:tr w14:paraId="2001B459">
        <w:tblPrEx>
          <w:tblCellMar>
            <w:top w:w="0" w:type="dxa"/>
            <w:left w:w="0" w:type="dxa"/>
            <w:bottom w:w="0" w:type="dxa"/>
            <w:right w:w="0" w:type="dxa"/>
          </w:tblCellMar>
        </w:tblPrEx>
        <w:trPr>
          <w:trHeight w:val="641" w:hRule="atLeast"/>
          <w:jc w:val="center"/>
        </w:trPr>
        <w:tc>
          <w:tcPr>
            <w:tcW w:w="8951" w:type="dxa"/>
            <w:gridSpan w:val="9"/>
            <w:tcBorders>
              <w:top w:val="nil"/>
              <w:left w:val="single" w:color="auto" w:sz="8" w:space="0"/>
              <w:bottom w:val="single" w:color="auto" w:sz="8" w:space="0"/>
              <w:right w:val="single" w:color="auto" w:sz="8" w:space="0"/>
            </w:tcBorders>
            <w:vAlign w:val="center"/>
          </w:tcPr>
          <w:p w14:paraId="266A251B">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4838F2B6">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1F9F00F9">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6E9E51F9">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0642BCB3">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619" w:type="dxa"/>
            <w:gridSpan w:val="2"/>
            <w:tcBorders>
              <w:top w:val="nil"/>
              <w:left w:val="nil"/>
              <w:bottom w:val="single" w:color="auto" w:sz="8" w:space="0"/>
              <w:right w:val="single" w:color="auto" w:sz="8" w:space="0"/>
            </w:tcBorders>
            <w:vAlign w:val="center"/>
          </w:tcPr>
          <w:p w14:paraId="50ED1AFF">
            <w:pPr>
              <w:widowControl/>
              <w:spacing w:before="100" w:beforeAutospacing="1" w:after="100" w:afterAutospacing="1" w:line="240" w:lineRule="atLeast"/>
              <w:jc w:val="center"/>
              <w:rPr>
                <w:rFonts w:ascii="Verdana" w:hAnsi="Verdana" w:cs="宋体"/>
                <w:color w:val="auto"/>
                <w:kern w:val="0"/>
                <w:szCs w:val="21"/>
                <w:highlight w:val="none"/>
              </w:rPr>
            </w:pPr>
          </w:p>
        </w:tc>
      </w:tr>
      <w:tr w14:paraId="35489C36">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6372AFC6">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4D8DECFE">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32FA861A">
            <w:pPr>
              <w:widowControl/>
              <w:spacing w:before="100" w:beforeAutospacing="1" w:after="100" w:afterAutospacing="1" w:line="240" w:lineRule="atLeast"/>
              <w:jc w:val="center"/>
              <w:rPr>
                <w:rFonts w:ascii="Verdana" w:hAnsi="Verdana" w:cs="宋体"/>
                <w:color w:val="auto"/>
                <w:kern w:val="0"/>
                <w:szCs w:val="21"/>
                <w:highlight w:val="none"/>
              </w:rPr>
            </w:pPr>
          </w:p>
        </w:tc>
        <w:tc>
          <w:tcPr>
            <w:tcW w:w="2619" w:type="dxa"/>
            <w:gridSpan w:val="2"/>
            <w:tcBorders>
              <w:top w:val="nil"/>
              <w:left w:val="nil"/>
              <w:bottom w:val="single" w:color="auto" w:sz="8" w:space="0"/>
              <w:right w:val="single" w:color="auto" w:sz="8" w:space="0"/>
            </w:tcBorders>
            <w:vAlign w:val="center"/>
          </w:tcPr>
          <w:p w14:paraId="2CCD4C33">
            <w:pPr>
              <w:widowControl/>
              <w:spacing w:before="100" w:beforeAutospacing="1" w:after="100" w:afterAutospacing="1" w:line="240" w:lineRule="atLeast"/>
              <w:jc w:val="center"/>
              <w:rPr>
                <w:rFonts w:ascii="Verdana" w:hAnsi="Verdana" w:cs="宋体"/>
                <w:color w:val="auto"/>
                <w:kern w:val="0"/>
                <w:szCs w:val="21"/>
                <w:highlight w:val="none"/>
              </w:rPr>
            </w:pPr>
          </w:p>
        </w:tc>
      </w:tr>
      <w:tr w14:paraId="3D93CD69">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CA1235">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7322"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5A5ECF4A">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33E900CF">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C3C87B">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7322" w:type="dxa"/>
            <w:gridSpan w:val="7"/>
            <w:tcBorders>
              <w:top w:val="nil"/>
              <w:left w:val="nil"/>
              <w:bottom w:val="single" w:color="auto" w:sz="8" w:space="0"/>
              <w:right w:val="single" w:color="auto" w:sz="8" w:space="0"/>
            </w:tcBorders>
            <w:vAlign w:val="center"/>
          </w:tcPr>
          <w:p w14:paraId="05A08BEE">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032FF917">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2A7A9958">
            <w:pPr>
              <w:widowControl/>
              <w:jc w:val="left"/>
              <w:rPr>
                <w:rFonts w:ascii="Verdana" w:hAnsi="Verdana" w:cs="宋体"/>
                <w:color w:val="auto"/>
                <w:kern w:val="0"/>
                <w:szCs w:val="21"/>
                <w:highlight w:val="none"/>
              </w:rPr>
            </w:pPr>
          </w:p>
        </w:tc>
        <w:tc>
          <w:tcPr>
            <w:tcW w:w="7322" w:type="dxa"/>
            <w:gridSpan w:val="7"/>
            <w:tcBorders>
              <w:top w:val="nil"/>
              <w:left w:val="nil"/>
              <w:bottom w:val="single" w:color="auto" w:sz="8" w:space="0"/>
              <w:right w:val="single" w:color="auto" w:sz="8" w:space="0"/>
            </w:tcBorders>
            <w:vAlign w:val="center"/>
          </w:tcPr>
          <w:p w14:paraId="26EEA50B">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127D6D92">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1C31109A">
        <w:tblPrEx>
          <w:tblCellMar>
            <w:top w:w="0" w:type="dxa"/>
            <w:left w:w="0" w:type="dxa"/>
            <w:bottom w:w="0" w:type="dxa"/>
            <w:right w:w="0" w:type="dxa"/>
          </w:tblCellMar>
        </w:tblPrEx>
        <w:trPr>
          <w:trHeight w:val="507" w:hRule="atLeast"/>
          <w:jc w:val="center"/>
        </w:trPr>
        <w:tc>
          <w:tcPr>
            <w:tcW w:w="8951"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E7BD8F">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00AE5ACC">
        <w:tblPrEx>
          <w:tblCellMar>
            <w:top w:w="0" w:type="dxa"/>
            <w:left w:w="0" w:type="dxa"/>
            <w:bottom w:w="0" w:type="dxa"/>
            <w:right w:w="0" w:type="dxa"/>
          </w:tblCellMar>
        </w:tblPrEx>
        <w:trPr>
          <w:trHeight w:val="736" w:hRule="atLeast"/>
          <w:jc w:val="center"/>
        </w:trPr>
        <w:tc>
          <w:tcPr>
            <w:tcW w:w="8951"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F40793">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14:paraId="67A61F2F">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329FAF3E">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1BC715B4">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14:paraId="08730C91">
            <w:pPr>
              <w:widowControl/>
              <w:spacing w:before="100" w:beforeAutospacing="1" w:after="100" w:afterAutospacing="1" w:line="320" w:lineRule="atLeast"/>
              <w:jc w:val="left"/>
              <w:rPr>
                <w:rFonts w:ascii="Verdana" w:hAnsi="Verdana" w:cs="宋体"/>
                <w:color w:val="auto"/>
                <w:kern w:val="0"/>
                <w:szCs w:val="21"/>
                <w:highlight w:val="none"/>
              </w:rPr>
            </w:pPr>
          </w:p>
          <w:p w14:paraId="2AFDC913">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799" w:type="dxa"/>
            <w:gridSpan w:val="4"/>
            <w:tcBorders>
              <w:top w:val="nil"/>
              <w:left w:val="nil"/>
              <w:bottom w:val="single" w:color="auto" w:sz="8" w:space="0"/>
              <w:right w:val="single" w:color="auto" w:sz="8" w:space="0"/>
            </w:tcBorders>
            <w:vAlign w:val="center"/>
          </w:tcPr>
          <w:p w14:paraId="716EBECE">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7F0A3722">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45D4F031">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6A774428">
      <w:pPr>
        <w:snapToGrid w:val="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附件2：</w:t>
      </w:r>
    </w:p>
    <w:p w14:paraId="67FFABC6">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w:t>
      </w:r>
    </w:p>
    <w:p w14:paraId="4A3DD16D">
      <w:pPr>
        <w:jc w:val="center"/>
        <w:rPr>
          <w:rFonts w:ascii="黑体" w:hAnsi="黑体" w:eastAsia="黑体"/>
          <w:color w:val="auto"/>
          <w:sz w:val="36"/>
          <w:szCs w:val="36"/>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1444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783B62C6">
            <w:pPr>
              <w:jc w:val="center"/>
              <w:rPr>
                <w:color w:val="auto"/>
                <w:sz w:val="24"/>
                <w:highlight w:val="none"/>
              </w:rPr>
            </w:pPr>
            <w:r>
              <w:rPr>
                <w:rFonts w:hint="eastAsia"/>
                <w:color w:val="auto"/>
                <w:sz w:val="24"/>
                <w:highlight w:val="none"/>
              </w:rPr>
              <w:t>供</w:t>
            </w:r>
          </w:p>
          <w:p w14:paraId="5C7F633A">
            <w:pPr>
              <w:jc w:val="center"/>
              <w:rPr>
                <w:color w:val="auto"/>
                <w:sz w:val="24"/>
                <w:highlight w:val="none"/>
              </w:rPr>
            </w:pPr>
            <w:r>
              <w:rPr>
                <w:rFonts w:hint="eastAsia"/>
                <w:color w:val="auto"/>
                <w:sz w:val="24"/>
                <w:highlight w:val="none"/>
              </w:rPr>
              <w:t>应</w:t>
            </w:r>
          </w:p>
          <w:p w14:paraId="2EFF0B63">
            <w:pPr>
              <w:jc w:val="center"/>
              <w:rPr>
                <w:color w:val="auto"/>
                <w:sz w:val="24"/>
                <w:highlight w:val="none"/>
              </w:rPr>
            </w:pPr>
            <w:r>
              <w:rPr>
                <w:rFonts w:hint="eastAsia"/>
                <w:color w:val="auto"/>
                <w:sz w:val="24"/>
                <w:highlight w:val="none"/>
              </w:rPr>
              <w:t>商</w:t>
            </w:r>
          </w:p>
          <w:p w14:paraId="2DD35C0D">
            <w:pPr>
              <w:jc w:val="center"/>
              <w:rPr>
                <w:color w:val="auto"/>
                <w:sz w:val="24"/>
                <w:highlight w:val="none"/>
              </w:rPr>
            </w:pPr>
            <w:r>
              <w:rPr>
                <w:rFonts w:hint="eastAsia"/>
                <w:color w:val="auto"/>
                <w:sz w:val="24"/>
                <w:highlight w:val="none"/>
              </w:rPr>
              <w:t>申</w:t>
            </w:r>
          </w:p>
          <w:p w14:paraId="6822AFF5">
            <w:pPr>
              <w:jc w:val="center"/>
              <w:rPr>
                <w:color w:val="auto"/>
                <w:sz w:val="24"/>
                <w:highlight w:val="none"/>
              </w:rPr>
            </w:pPr>
            <w:r>
              <w:rPr>
                <w:rFonts w:hint="eastAsia"/>
                <w:color w:val="auto"/>
                <w:sz w:val="24"/>
                <w:highlight w:val="none"/>
              </w:rPr>
              <w:t>请</w:t>
            </w:r>
          </w:p>
        </w:tc>
        <w:tc>
          <w:tcPr>
            <w:tcW w:w="8009" w:type="dxa"/>
            <w:vAlign w:val="center"/>
          </w:tcPr>
          <w:p w14:paraId="05BA85A5">
            <w:pPr>
              <w:rPr>
                <w:color w:val="auto"/>
                <w:sz w:val="24"/>
                <w:highlight w:val="none"/>
              </w:rPr>
            </w:pPr>
            <w:r>
              <w:rPr>
                <w:rFonts w:hint="eastAsia"/>
                <w:color w:val="auto"/>
                <w:sz w:val="24"/>
                <w:highlight w:val="none"/>
              </w:rPr>
              <w:t>项目编号：</w:t>
            </w:r>
          </w:p>
        </w:tc>
      </w:tr>
      <w:tr w14:paraId="5D49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0CE8DC2D">
            <w:pPr>
              <w:rPr>
                <w:color w:val="auto"/>
                <w:sz w:val="24"/>
                <w:highlight w:val="none"/>
              </w:rPr>
            </w:pPr>
          </w:p>
        </w:tc>
        <w:tc>
          <w:tcPr>
            <w:tcW w:w="8009" w:type="dxa"/>
            <w:vAlign w:val="center"/>
          </w:tcPr>
          <w:p w14:paraId="5CC1ED15">
            <w:pPr>
              <w:rPr>
                <w:color w:val="auto"/>
                <w:sz w:val="24"/>
                <w:highlight w:val="none"/>
              </w:rPr>
            </w:pPr>
            <w:r>
              <w:rPr>
                <w:rFonts w:hint="eastAsia"/>
                <w:color w:val="auto"/>
                <w:sz w:val="24"/>
                <w:highlight w:val="none"/>
              </w:rPr>
              <w:t>项目名称：</w:t>
            </w:r>
          </w:p>
        </w:tc>
      </w:tr>
      <w:tr w14:paraId="51D9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528C0B67">
            <w:pPr>
              <w:rPr>
                <w:color w:val="auto"/>
                <w:sz w:val="24"/>
                <w:highlight w:val="none"/>
              </w:rPr>
            </w:pPr>
          </w:p>
        </w:tc>
        <w:tc>
          <w:tcPr>
            <w:tcW w:w="8009" w:type="dxa"/>
          </w:tcPr>
          <w:p w14:paraId="39669144">
            <w:pPr>
              <w:rPr>
                <w:color w:val="auto"/>
                <w:sz w:val="24"/>
                <w:highlight w:val="none"/>
              </w:rPr>
            </w:pPr>
            <w:r>
              <w:rPr>
                <w:rFonts w:hint="eastAsia"/>
                <w:color w:val="auto"/>
                <w:sz w:val="24"/>
                <w:highlight w:val="none"/>
              </w:rPr>
              <w:t xml:space="preserve">  </w:t>
            </w:r>
          </w:p>
          <w:p w14:paraId="7CB4D048">
            <w:pPr>
              <w:ind w:firstLine="480" w:firstLineChars="200"/>
              <w:rPr>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14:paraId="2950D882">
            <w:pPr>
              <w:rPr>
                <w:color w:val="auto"/>
                <w:sz w:val="24"/>
                <w:highlight w:val="none"/>
              </w:rPr>
            </w:pP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（小写）退付到达以下账户。</w:t>
            </w:r>
          </w:p>
          <w:p w14:paraId="06E03EC6">
            <w:pPr>
              <w:rPr>
                <w:color w:val="auto"/>
                <w:sz w:val="24"/>
                <w:highlight w:val="none"/>
              </w:rPr>
            </w:pPr>
            <w:r>
              <w:rPr>
                <w:rFonts w:hint="eastAsia"/>
                <w:color w:val="auto"/>
                <w:sz w:val="24"/>
                <w:highlight w:val="none"/>
              </w:rPr>
              <w:t>单位名称：</w:t>
            </w:r>
          </w:p>
          <w:p w14:paraId="432B7A2A">
            <w:pPr>
              <w:rPr>
                <w:color w:val="auto"/>
                <w:sz w:val="24"/>
                <w:highlight w:val="none"/>
              </w:rPr>
            </w:pPr>
            <w:r>
              <w:rPr>
                <w:rFonts w:hint="eastAsia"/>
                <w:color w:val="auto"/>
                <w:sz w:val="24"/>
                <w:highlight w:val="none"/>
              </w:rPr>
              <w:t>开户银行：</w:t>
            </w:r>
          </w:p>
          <w:p w14:paraId="084B4B8C">
            <w:pPr>
              <w:rPr>
                <w:color w:val="auto"/>
                <w:sz w:val="24"/>
                <w:highlight w:val="none"/>
              </w:rPr>
            </w:pPr>
            <w:r>
              <w:rPr>
                <w:rFonts w:hint="eastAsia"/>
                <w:color w:val="auto"/>
                <w:sz w:val="24"/>
                <w:highlight w:val="none"/>
              </w:rPr>
              <w:t>账    号：</w:t>
            </w:r>
          </w:p>
          <w:p w14:paraId="18C7A5DA">
            <w:pPr>
              <w:rPr>
                <w:color w:val="auto"/>
                <w:sz w:val="24"/>
                <w:highlight w:val="none"/>
              </w:rPr>
            </w:pPr>
            <w:r>
              <w:rPr>
                <w:rFonts w:hint="eastAsia"/>
                <w:color w:val="auto"/>
                <w:sz w:val="24"/>
                <w:highlight w:val="none"/>
              </w:rPr>
              <w:t>联系人及电话：</w:t>
            </w:r>
          </w:p>
          <w:p w14:paraId="63C7F6EE">
            <w:pPr>
              <w:rPr>
                <w:color w:val="auto"/>
                <w:sz w:val="24"/>
                <w:highlight w:val="none"/>
              </w:rPr>
            </w:pPr>
          </w:p>
          <w:p w14:paraId="4372250B">
            <w:pPr>
              <w:jc w:val="center"/>
              <w:rPr>
                <w:color w:val="auto"/>
                <w:sz w:val="24"/>
                <w:highlight w:val="none"/>
              </w:rPr>
            </w:pPr>
            <w:r>
              <w:rPr>
                <w:rFonts w:hint="eastAsia"/>
                <w:color w:val="auto"/>
                <w:sz w:val="24"/>
                <w:highlight w:val="none"/>
              </w:rPr>
              <w:t xml:space="preserve">                           供应商签章：</w:t>
            </w:r>
          </w:p>
          <w:p w14:paraId="69015A0E">
            <w:pPr>
              <w:jc w:val="center"/>
              <w:rPr>
                <w:color w:val="auto"/>
                <w:sz w:val="24"/>
                <w:highlight w:val="none"/>
              </w:rPr>
            </w:pPr>
            <w:r>
              <w:rPr>
                <w:rFonts w:hint="eastAsia"/>
                <w:color w:val="auto"/>
                <w:sz w:val="24"/>
                <w:highlight w:val="none"/>
              </w:rPr>
              <w:t xml:space="preserve">                                                年    月    日</w:t>
            </w:r>
          </w:p>
        </w:tc>
      </w:tr>
      <w:tr w14:paraId="4364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1D350A94">
            <w:pPr>
              <w:jc w:val="center"/>
              <w:rPr>
                <w:color w:val="auto"/>
                <w:sz w:val="24"/>
                <w:highlight w:val="none"/>
              </w:rPr>
            </w:pPr>
            <w:r>
              <w:rPr>
                <w:rFonts w:hint="eastAsia"/>
                <w:color w:val="auto"/>
                <w:sz w:val="24"/>
                <w:highlight w:val="none"/>
              </w:rPr>
              <w:t>采</w:t>
            </w:r>
          </w:p>
          <w:p w14:paraId="7C44CD64">
            <w:pPr>
              <w:jc w:val="center"/>
              <w:rPr>
                <w:color w:val="auto"/>
                <w:sz w:val="24"/>
                <w:highlight w:val="none"/>
              </w:rPr>
            </w:pPr>
            <w:r>
              <w:rPr>
                <w:rFonts w:hint="eastAsia"/>
                <w:color w:val="auto"/>
                <w:sz w:val="24"/>
                <w:highlight w:val="none"/>
              </w:rPr>
              <w:t>购</w:t>
            </w:r>
          </w:p>
          <w:p w14:paraId="55F7BF96">
            <w:pPr>
              <w:jc w:val="center"/>
              <w:rPr>
                <w:color w:val="auto"/>
                <w:sz w:val="24"/>
                <w:highlight w:val="none"/>
              </w:rPr>
            </w:pPr>
            <w:r>
              <w:rPr>
                <w:rFonts w:hint="eastAsia"/>
                <w:color w:val="auto"/>
                <w:sz w:val="24"/>
                <w:highlight w:val="none"/>
              </w:rPr>
              <w:t>单</w:t>
            </w:r>
          </w:p>
          <w:p w14:paraId="7502B2A4">
            <w:pPr>
              <w:jc w:val="center"/>
              <w:rPr>
                <w:color w:val="auto"/>
                <w:sz w:val="24"/>
                <w:highlight w:val="none"/>
              </w:rPr>
            </w:pPr>
            <w:r>
              <w:rPr>
                <w:rFonts w:hint="eastAsia"/>
                <w:color w:val="auto"/>
                <w:sz w:val="24"/>
                <w:highlight w:val="none"/>
              </w:rPr>
              <w:t>位</w:t>
            </w:r>
          </w:p>
          <w:p w14:paraId="6FDAA2FF">
            <w:pPr>
              <w:jc w:val="center"/>
              <w:rPr>
                <w:color w:val="auto"/>
                <w:sz w:val="24"/>
                <w:highlight w:val="none"/>
              </w:rPr>
            </w:pPr>
            <w:r>
              <w:rPr>
                <w:rFonts w:hint="eastAsia"/>
                <w:color w:val="auto"/>
                <w:sz w:val="24"/>
                <w:highlight w:val="none"/>
              </w:rPr>
              <w:t>意</w:t>
            </w:r>
          </w:p>
          <w:p w14:paraId="0A53F3BA">
            <w:pPr>
              <w:jc w:val="center"/>
              <w:rPr>
                <w:color w:val="auto"/>
                <w:sz w:val="24"/>
                <w:highlight w:val="none"/>
              </w:rPr>
            </w:pPr>
            <w:r>
              <w:rPr>
                <w:rFonts w:hint="eastAsia"/>
                <w:color w:val="auto"/>
                <w:sz w:val="24"/>
                <w:highlight w:val="none"/>
              </w:rPr>
              <w:t>见</w:t>
            </w:r>
          </w:p>
        </w:tc>
        <w:tc>
          <w:tcPr>
            <w:tcW w:w="8009" w:type="dxa"/>
          </w:tcPr>
          <w:p w14:paraId="01515277">
            <w:pPr>
              <w:rPr>
                <w:color w:val="auto"/>
                <w:sz w:val="24"/>
                <w:highlight w:val="none"/>
              </w:rPr>
            </w:pPr>
          </w:p>
          <w:p w14:paraId="114A9930">
            <w:pPr>
              <w:rPr>
                <w:color w:val="auto"/>
                <w:sz w:val="24"/>
                <w:highlight w:val="none"/>
              </w:rPr>
            </w:pPr>
            <w:r>
              <w:rPr>
                <w:rFonts w:hint="eastAsia"/>
                <w:color w:val="auto"/>
                <w:sz w:val="24"/>
                <w:highlight w:val="none"/>
              </w:rPr>
              <w:t>退付意见：是否同意退付履约保证金及退付金额：</w:t>
            </w:r>
          </w:p>
          <w:p w14:paraId="02000E9E">
            <w:pPr>
              <w:rPr>
                <w:color w:val="auto"/>
                <w:sz w:val="24"/>
                <w:highlight w:val="none"/>
              </w:rPr>
            </w:pPr>
          </w:p>
          <w:p w14:paraId="6F3A3F65">
            <w:pPr>
              <w:rPr>
                <w:color w:val="auto"/>
                <w:sz w:val="24"/>
                <w:highlight w:val="none"/>
              </w:rPr>
            </w:pPr>
          </w:p>
          <w:p w14:paraId="025A6648">
            <w:pPr>
              <w:rPr>
                <w:color w:val="auto"/>
                <w:sz w:val="24"/>
                <w:highlight w:val="none"/>
              </w:rPr>
            </w:pPr>
            <w:r>
              <w:rPr>
                <w:rFonts w:hint="eastAsia"/>
                <w:color w:val="auto"/>
                <w:sz w:val="24"/>
                <w:highlight w:val="none"/>
              </w:rPr>
              <w:t xml:space="preserve">联系人及电话：                                </w:t>
            </w:r>
          </w:p>
          <w:p w14:paraId="3916E143">
            <w:pPr>
              <w:rPr>
                <w:color w:val="auto"/>
                <w:sz w:val="24"/>
                <w:highlight w:val="none"/>
              </w:rPr>
            </w:pPr>
          </w:p>
          <w:p w14:paraId="70B2AEA8">
            <w:pPr>
              <w:ind w:firstLine="4560" w:firstLineChars="1900"/>
              <w:rPr>
                <w:color w:val="auto"/>
                <w:sz w:val="24"/>
                <w:highlight w:val="none"/>
              </w:rPr>
            </w:pPr>
            <w:r>
              <w:rPr>
                <w:rFonts w:hint="eastAsia"/>
                <w:color w:val="auto"/>
                <w:sz w:val="24"/>
                <w:highlight w:val="none"/>
              </w:rPr>
              <w:t xml:space="preserve"> 采购人签章：</w:t>
            </w:r>
          </w:p>
          <w:p w14:paraId="4E742026">
            <w:pPr>
              <w:jc w:val="center"/>
              <w:rPr>
                <w:color w:val="auto"/>
                <w:sz w:val="24"/>
                <w:highlight w:val="none"/>
              </w:rPr>
            </w:pPr>
            <w:r>
              <w:rPr>
                <w:rFonts w:hint="eastAsia"/>
                <w:color w:val="auto"/>
                <w:sz w:val="24"/>
                <w:highlight w:val="none"/>
              </w:rPr>
              <w:t xml:space="preserve">                                                年    月    日</w:t>
            </w:r>
          </w:p>
        </w:tc>
      </w:tr>
      <w:tr w14:paraId="7E32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498FF5D5">
            <w:pPr>
              <w:jc w:val="center"/>
              <w:rPr>
                <w:color w:val="auto"/>
                <w:sz w:val="24"/>
                <w:highlight w:val="none"/>
              </w:rPr>
            </w:pPr>
            <w:r>
              <w:rPr>
                <w:rFonts w:hint="eastAsia"/>
                <w:color w:val="auto"/>
                <w:sz w:val="24"/>
                <w:highlight w:val="none"/>
              </w:rPr>
              <w:t>财</w:t>
            </w:r>
          </w:p>
          <w:p w14:paraId="5F12DEB6">
            <w:pPr>
              <w:jc w:val="center"/>
              <w:rPr>
                <w:color w:val="auto"/>
                <w:sz w:val="24"/>
                <w:highlight w:val="none"/>
              </w:rPr>
            </w:pPr>
            <w:r>
              <w:rPr>
                <w:rFonts w:hint="eastAsia"/>
                <w:color w:val="auto"/>
                <w:sz w:val="24"/>
                <w:highlight w:val="none"/>
              </w:rPr>
              <w:t>务</w:t>
            </w:r>
          </w:p>
          <w:p w14:paraId="2322FBB8">
            <w:pPr>
              <w:jc w:val="center"/>
              <w:rPr>
                <w:color w:val="auto"/>
                <w:sz w:val="24"/>
                <w:highlight w:val="none"/>
              </w:rPr>
            </w:pPr>
            <w:r>
              <w:rPr>
                <w:rFonts w:hint="eastAsia"/>
                <w:color w:val="auto"/>
                <w:sz w:val="24"/>
                <w:highlight w:val="none"/>
              </w:rPr>
              <w:t>部</w:t>
            </w:r>
          </w:p>
          <w:p w14:paraId="61CD0929">
            <w:pPr>
              <w:jc w:val="center"/>
              <w:rPr>
                <w:color w:val="auto"/>
                <w:sz w:val="24"/>
                <w:highlight w:val="none"/>
              </w:rPr>
            </w:pPr>
            <w:r>
              <w:rPr>
                <w:rFonts w:hint="eastAsia"/>
                <w:color w:val="auto"/>
                <w:sz w:val="24"/>
                <w:highlight w:val="none"/>
              </w:rPr>
              <w:t>门</w:t>
            </w:r>
          </w:p>
          <w:p w14:paraId="4469CAA8">
            <w:pPr>
              <w:jc w:val="center"/>
              <w:rPr>
                <w:color w:val="auto"/>
                <w:sz w:val="24"/>
                <w:highlight w:val="none"/>
              </w:rPr>
            </w:pPr>
            <w:r>
              <w:rPr>
                <w:rFonts w:hint="eastAsia"/>
                <w:color w:val="auto"/>
                <w:sz w:val="24"/>
                <w:highlight w:val="none"/>
              </w:rPr>
              <w:t>意</w:t>
            </w:r>
          </w:p>
          <w:p w14:paraId="2A8CFFE5">
            <w:pPr>
              <w:jc w:val="center"/>
              <w:rPr>
                <w:color w:val="auto"/>
                <w:sz w:val="24"/>
                <w:highlight w:val="none"/>
              </w:rPr>
            </w:pPr>
            <w:r>
              <w:rPr>
                <w:rFonts w:hint="eastAsia"/>
                <w:color w:val="auto"/>
                <w:sz w:val="24"/>
                <w:highlight w:val="none"/>
              </w:rPr>
              <w:t>见</w:t>
            </w:r>
          </w:p>
        </w:tc>
        <w:tc>
          <w:tcPr>
            <w:tcW w:w="8009" w:type="dxa"/>
          </w:tcPr>
          <w:p w14:paraId="465EF78A">
            <w:pPr>
              <w:rPr>
                <w:color w:val="auto"/>
                <w:sz w:val="24"/>
                <w:highlight w:val="none"/>
              </w:rPr>
            </w:pPr>
            <w:r>
              <w:rPr>
                <w:rFonts w:hint="eastAsia"/>
                <w:color w:val="auto"/>
                <w:sz w:val="24"/>
                <w:highlight w:val="none"/>
              </w:rPr>
              <w:t>此表于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日收到。</w:t>
            </w:r>
          </w:p>
          <w:p w14:paraId="0B96A218">
            <w:pPr>
              <w:rPr>
                <w:color w:val="auto"/>
                <w:sz w:val="24"/>
                <w:highlight w:val="none"/>
              </w:rPr>
            </w:pPr>
          </w:p>
          <w:p w14:paraId="4F2E6DA4">
            <w:pPr>
              <w:rPr>
                <w:color w:val="auto"/>
                <w:sz w:val="24"/>
                <w:highlight w:val="none"/>
              </w:rPr>
            </w:pPr>
            <w:r>
              <w:rPr>
                <w:rFonts w:hint="eastAsia"/>
                <w:color w:val="auto"/>
                <w:sz w:val="24"/>
                <w:highlight w:val="none"/>
              </w:rPr>
              <w:t>会计审核：</w:t>
            </w:r>
          </w:p>
          <w:p w14:paraId="34187D76">
            <w:pPr>
              <w:rPr>
                <w:color w:val="auto"/>
                <w:sz w:val="24"/>
                <w:highlight w:val="none"/>
              </w:rPr>
            </w:pPr>
          </w:p>
          <w:p w14:paraId="059766A6">
            <w:pPr>
              <w:rPr>
                <w:color w:val="auto"/>
                <w:sz w:val="24"/>
                <w:highlight w:val="none"/>
              </w:rPr>
            </w:pPr>
            <w:r>
              <w:rPr>
                <w:rFonts w:hint="eastAsia"/>
                <w:color w:val="auto"/>
                <w:sz w:val="24"/>
                <w:highlight w:val="none"/>
              </w:rPr>
              <w:t>财务负责人审核：</w:t>
            </w:r>
          </w:p>
          <w:p w14:paraId="7E8CBD82">
            <w:pPr>
              <w:rPr>
                <w:color w:val="auto"/>
                <w:sz w:val="24"/>
                <w:highlight w:val="none"/>
              </w:rPr>
            </w:pPr>
          </w:p>
          <w:p w14:paraId="3838560E">
            <w:pPr>
              <w:rPr>
                <w:color w:val="auto"/>
                <w:sz w:val="24"/>
                <w:highlight w:val="none"/>
              </w:rPr>
            </w:pPr>
            <w:r>
              <w:rPr>
                <w:rFonts w:hint="eastAsia"/>
                <w:color w:val="auto"/>
                <w:sz w:val="24"/>
                <w:highlight w:val="none"/>
              </w:rPr>
              <w:t>单位负责人签字：</w:t>
            </w:r>
          </w:p>
          <w:p w14:paraId="67731B5B">
            <w:pPr>
              <w:rPr>
                <w:color w:val="auto"/>
                <w:sz w:val="24"/>
                <w:highlight w:val="none"/>
              </w:rPr>
            </w:pPr>
          </w:p>
          <w:p w14:paraId="418D6CAC">
            <w:pPr>
              <w:rPr>
                <w:color w:val="auto"/>
                <w:sz w:val="24"/>
                <w:highlight w:val="none"/>
              </w:rPr>
            </w:pPr>
            <w:r>
              <w:rPr>
                <w:rFonts w:hint="eastAsia"/>
                <w:color w:val="auto"/>
                <w:sz w:val="24"/>
                <w:highlight w:val="none"/>
              </w:rPr>
              <w:t>出纳办理转账日期：</w:t>
            </w:r>
          </w:p>
        </w:tc>
      </w:tr>
    </w:tbl>
    <w:p w14:paraId="0A651D98">
      <w:pPr>
        <w:spacing w:after="120"/>
        <w:ind w:left="1" w:firstLine="2" w:firstLineChars="1"/>
        <w:rPr>
          <w:rFonts w:ascii="宋体"/>
          <w:b/>
          <w:bCs/>
          <w:color w:val="auto"/>
          <w:sz w:val="18"/>
          <w:szCs w:val="18"/>
          <w:highlight w:val="none"/>
        </w:rPr>
      </w:pPr>
      <w:r>
        <w:rPr>
          <w:rFonts w:hint="eastAsia" w:ascii="宋体"/>
          <w:b/>
          <w:bCs/>
          <w:color w:val="auto"/>
          <w:sz w:val="18"/>
          <w:szCs w:val="18"/>
          <w:highlight w:val="none"/>
        </w:rPr>
        <w:t>注：供应商凭经采购人审批的退付意见书到履约保证金收取单位财务部门办理履约保证金退付事宜。</w:t>
      </w:r>
    </w:p>
    <w:p w14:paraId="0BE0E7FB">
      <w:pPr>
        <w:snapToGrid w:val="0"/>
        <w:rPr>
          <w:rFonts w:ascii="宋体"/>
          <w:b/>
          <w:bCs/>
          <w:color w:val="auto"/>
          <w:sz w:val="18"/>
          <w:szCs w:val="18"/>
          <w:highlight w:val="none"/>
        </w:rPr>
      </w:pPr>
      <w:r>
        <w:rPr>
          <w:rFonts w:ascii="宋体" w:hAnsi="宋体"/>
          <w:color w:val="auto"/>
          <w:kern w:val="0"/>
          <w:sz w:val="20"/>
          <w:szCs w:val="21"/>
          <w:highlight w:val="none"/>
        </w:rPr>
        <w:br w:type="page"/>
      </w:r>
      <w:r>
        <w:rPr>
          <w:rFonts w:hint="eastAsia" w:ascii="宋体"/>
          <w:b/>
          <w:bCs/>
          <w:color w:val="auto"/>
          <w:sz w:val="18"/>
          <w:szCs w:val="18"/>
          <w:highlight w:val="none"/>
        </w:rPr>
        <w:t xml:space="preserve"> </w:t>
      </w:r>
    </w:p>
    <w:p w14:paraId="0F81C67E">
      <w:pPr>
        <w:pStyle w:val="3"/>
        <w:spacing w:line="400" w:lineRule="exact"/>
        <w:jc w:val="center"/>
        <w:rPr>
          <w:color w:val="auto"/>
          <w:sz w:val="36"/>
          <w:szCs w:val="36"/>
          <w:highlight w:val="none"/>
        </w:rPr>
      </w:pPr>
      <w:bookmarkStart w:id="63" w:name="_Toc168674247"/>
      <w:r>
        <w:rPr>
          <w:rFonts w:hint="eastAsia"/>
          <w:color w:val="auto"/>
          <w:sz w:val="36"/>
          <w:szCs w:val="36"/>
          <w:highlight w:val="none"/>
        </w:rPr>
        <w:t>第三章 采购需求</w:t>
      </w:r>
      <w:bookmarkEnd w:id="63"/>
    </w:p>
    <w:p w14:paraId="7317CDD4">
      <w:pPr>
        <w:spacing w:line="400" w:lineRule="exact"/>
        <w:jc w:val="left"/>
        <w:rPr>
          <w:rFonts w:ascii="宋体" w:hAnsi="宋体" w:cs="宋体"/>
          <w:color w:val="auto"/>
          <w:szCs w:val="21"/>
          <w:highlight w:val="none"/>
        </w:rPr>
      </w:pPr>
    </w:p>
    <w:p w14:paraId="34E9C292">
      <w:pPr>
        <w:spacing w:line="400" w:lineRule="exact"/>
        <w:jc w:val="left"/>
        <w:rPr>
          <w:color w:val="auto"/>
          <w:highlight w:val="none"/>
        </w:rPr>
      </w:pPr>
      <w:r>
        <w:rPr>
          <w:rFonts w:hint="eastAsia" w:ascii="宋体" w:hAnsi="宋体" w:cs="宋体"/>
          <w:color w:val="auto"/>
          <w:szCs w:val="21"/>
          <w:highlight w:val="none"/>
        </w:rPr>
        <w:t>说明：</w:t>
      </w:r>
    </w:p>
    <w:p w14:paraId="6E795497">
      <w:pPr>
        <w:spacing w:line="400" w:lineRule="exact"/>
        <w:ind w:firstLine="420" w:firstLineChars="200"/>
        <w:jc w:val="left"/>
        <w:rPr>
          <w:color w:val="auto"/>
          <w:highlight w:val="none"/>
        </w:rPr>
      </w:pPr>
      <w:r>
        <w:rPr>
          <w:rFonts w:hint="eastAsia"/>
          <w:color w:val="auto"/>
          <w:highlight w:val="none"/>
        </w:rPr>
        <w:t>1. 为落实政府采购政策需满足的要求</w:t>
      </w:r>
    </w:p>
    <w:p w14:paraId="2F3A00E4">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（1）本竞争性谈判采购文件所称中小企业必须符合《政府采购促进中小企业发展管理办法》（财库〔2020〕46号）的规定。</w:t>
      </w:r>
    </w:p>
    <w:p w14:paraId="6C224D1F">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2.“实质性要求”是指采购需求中带“▲”的条款或者不能负偏离的条款或者已经指明不满足按响应文件按无效处理的条款。</w:t>
      </w:r>
    </w:p>
    <w:p w14:paraId="55088C9A">
      <w:pPr>
        <w:spacing w:line="400" w:lineRule="exact"/>
        <w:ind w:firstLine="424" w:firstLineChars="202"/>
        <w:jc w:val="left"/>
        <w:rPr>
          <w:color w:val="auto"/>
          <w:highlight w:val="none"/>
        </w:rPr>
      </w:pPr>
      <w:r>
        <w:rPr>
          <w:rFonts w:hint="eastAsia" w:ascii="宋体" w:hAnsi="宋体" w:cs="宋体"/>
          <w:color w:val="auto"/>
          <w:szCs w:val="21"/>
          <w:highlight w:val="none"/>
        </w:rPr>
        <w:t>3.供应商应根据自身实际情况如实响应谈判文件</w:t>
      </w:r>
      <w:r>
        <w:rPr>
          <w:rFonts w:hint="eastAsia" w:ascii="宋体" w:hAnsi="宋体"/>
          <w:color w:val="auto"/>
          <w:szCs w:val="21"/>
          <w:highlight w:val="none"/>
        </w:rPr>
        <w:t>，不得仅将</w:t>
      </w:r>
      <w:r>
        <w:rPr>
          <w:rFonts w:hint="eastAsia" w:ascii="宋体" w:hAnsi="宋体" w:cs="宋体"/>
          <w:color w:val="auto"/>
          <w:szCs w:val="21"/>
          <w:highlight w:val="none"/>
        </w:rPr>
        <w:t>谈判文件</w:t>
      </w:r>
      <w:r>
        <w:rPr>
          <w:rFonts w:hint="eastAsia" w:ascii="宋体" w:hAnsi="宋体"/>
          <w:color w:val="auto"/>
          <w:szCs w:val="21"/>
          <w:highlight w:val="none"/>
        </w:rPr>
        <w:t>内容简单复制粘贴作为竞标响应。</w:t>
      </w:r>
    </w:p>
    <w:p w14:paraId="47754A5F">
      <w:pPr>
        <w:spacing w:line="340" w:lineRule="exact"/>
        <w:ind w:firstLine="424" w:firstLineChars="202"/>
        <w:jc w:val="left"/>
        <w:rPr>
          <w:color w:val="auto"/>
          <w:highlight w:val="none"/>
        </w:rPr>
      </w:pPr>
      <w:r>
        <w:rPr>
          <w:rFonts w:hint="eastAsia" w:ascii="宋体" w:hAnsi="宋体" w:cs="宋体"/>
          <w:color w:val="auto"/>
          <w:szCs w:val="21"/>
          <w:highlight w:val="none"/>
        </w:rPr>
        <w:t>4.</w:t>
      </w:r>
      <w:r>
        <w:rPr>
          <w:rFonts w:hint="eastAsia"/>
          <w:color w:val="auto"/>
          <w:highlight w:val="none"/>
        </w:rPr>
        <w:t>供应商必须自行为其竞标产品侵犯他人的知识产权或者专利成果的行为承担相应法律责任。</w:t>
      </w:r>
      <w:r>
        <w:rPr>
          <w:color w:val="auto"/>
          <w:highlight w:val="none"/>
        </w:rPr>
        <w:t xml:space="preserve"> </w:t>
      </w:r>
    </w:p>
    <w:tbl>
      <w:tblPr>
        <w:tblStyle w:val="26"/>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874"/>
        <w:gridCol w:w="666"/>
        <w:gridCol w:w="687"/>
        <w:gridCol w:w="6369"/>
      </w:tblGrid>
      <w:tr w14:paraId="0464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251" w:type="dxa"/>
            <w:gridSpan w:val="5"/>
            <w:vAlign w:val="center"/>
          </w:tcPr>
          <w:p w14:paraId="29DCB701">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一、技术要求</w:t>
            </w:r>
          </w:p>
        </w:tc>
      </w:tr>
      <w:tr w14:paraId="1D24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55" w:type="dxa"/>
            <w:vAlign w:val="center"/>
          </w:tcPr>
          <w:p w14:paraId="7DD605A4">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74" w:type="dxa"/>
            <w:vAlign w:val="center"/>
          </w:tcPr>
          <w:p w14:paraId="5F80F1FA">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666" w:type="dxa"/>
            <w:vAlign w:val="center"/>
          </w:tcPr>
          <w:p w14:paraId="38CBC7DF">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687" w:type="dxa"/>
            <w:vAlign w:val="center"/>
          </w:tcPr>
          <w:p w14:paraId="17C380EE">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所属</w:t>
            </w:r>
          </w:p>
          <w:p w14:paraId="3A720904">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6369" w:type="dxa"/>
            <w:vAlign w:val="center"/>
          </w:tcPr>
          <w:p w14:paraId="02432C1E">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技术参数及要求</w:t>
            </w:r>
          </w:p>
        </w:tc>
      </w:tr>
      <w:tr w14:paraId="270B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55" w:type="dxa"/>
            <w:vAlign w:val="center"/>
          </w:tcPr>
          <w:p w14:paraId="7E8AB7D4">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874" w:type="dxa"/>
            <w:vAlign w:val="center"/>
          </w:tcPr>
          <w:p w14:paraId="00C17440">
            <w:pPr>
              <w:tabs>
                <w:tab w:val="left" w:pos="180"/>
                <w:tab w:val="left" w:pos="1620"/>
              </w:tabs>
              <w:spacing w:line="360" w:lineRule="auto"/>
              <w:jc w:val="center"/>
              <w:rPr>
                <w:color w:val="auto"/>
                <w:highlight w:val="none"/>
              </w:rPr>
            </w:pPr>
            <w:r>
              <w:rPr>
                <w:rFonts w:hint="eastAsia"/>
                <w:color w:val="auto"/>
                <w:highlight w:val="none"/>
              </w:rPr>
              <w:t>防城港市第一人民医院医用氧气（液氧）供应采购</w:t>
            </w:r>
          </w:p>
        </w:tc>
        <w:tc>
          <w:tcPr>
            <w:tcW w:w="666" w:type="dxa"/>
            <w:vAlign w:val="center"/>
          </w:tcPr>
          <w:p w14:paraId="14852A66">
            <w:pPr>
              <w:tabs>
                <w:tab w:val="left" w:pos="180"/>
                <w:tab w:val="left" w:pos="1620"/>
              </w:tabs>
              <w:spacing w:line="360" w:lineRule="auto"/>
              <w:jc w:val="center"/>
              <w:rPr>
                <w:rFonts w:hint="eastAsia" w:ascii="宋体" w:hAnsi="宋体" w:eastAsia="宋体" w:cs="宋体"/>
                <w:color w:val="auto"/>
                <w:szCs w:val="21"/>
                <w:highlight w:val="none"/>
                <w:lang w:eastAsia="zh-CN"/>
              </w:rPr>
            </w:pPr>
            <w:r>
              <w:rPr>
                <w:rFonts w:hint="eastAsia" w:ascii="宋体" w:hAnsi="宋体"/>
                <w:color w:val="auto"/>
                <w:highlight w:val="none"/>
                <w:lang w:val="en-US" w:eastAsia="zh-CN"/>
              </w:rPr>
              <w:t>1批</w:t>
            </w:r>
          </w:p>
        </w:tc>
        <w:tc>
          <w:tcPr>
            <w:tcW w:w="687" w:type="dxa"/>
            <w:vAlign w:val="center"/>
          </w:tcPr>
          <w:p w14:paraId="0B49E0B9">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6369" w:type="dxa"/>
            <w:vAlign w:val="center"/>
          </w:tcPr>
          <w:p w14:paraId="25AA0C3B">
            <w:pPr>
              <w:adjustRightInd w:val="0"/>
              <w:snapToGrid w:val="0"/>
              <w:spacing w:line="312" w:lineRule="auto"/>
              <w:ind w:firstLine="367" w:firstLineChars="175"/>
              <w:rPr>
                <w:rFonts w:ascii="宋体" w:hAnsi="宋体"/>
                <w:color w:val="auto"/>
                <w:highlight w:val="none"/>
              </w:rPr>
            </w:pPr>
            <w:r>
              <w:rPr>
                <w:rFonts w:hint="eastAsia" w:ascii="宋体" w:hAnsi="宋体"/>
                <w:color w:val="auto"/>
                <w:highlight w:val="none"/>
              </w:rPr>
              <w:t>1.防城港市第一人民医院医用氧气（液氧）供应服务预算金额90万元，医用氧气（液氧）单价最高限价为1600元/吨，采购预估总量562.5吨（采购预估总量仅提供参考，最终按实际采购数量结算，如实际的采购总量与估算数量不相符的，以采购人实际采购需求为准，成交供应商不得以采购人的实际采购数量与估算数量不相符而要求采购人赔偿损失或不供货），</w:t>
            </w:r>
            <w:r>
              <w:rPr>
                <w:rFonts w:hint="eastAsia" w:ascii="宋体" w:hAnsi="宋体"/>
                <w:color w:val="auto"/>
                <w:szCs w:val="21"/>
                <w:highlight w:val="none"/>
              </w:rPr>
              <w:t>自合同签订之日起一年</w:t>
            </w:r>
            <w:r>
              <w:rPr>
                <w:rFonts w:hint="eastAsia" w:ascii="宋体" w:hAnsi="宋体"/>
                <w:color w:val="auto"/>
                <w:szCs w:val="21"/>
                <w:highlight w:val="none"/>
                <w:lang w:val="en-US" w:eastAsia="zh-CN"/>
              </w:rPr>
              <w:t>或合同履行期限内</w:t>
            </w:r>
            <w:r>
              <w:rPr>
                <w:rFonts w:hint="eastAsia" w:ascii="宋体" w:hAnsi="宋体"/>
                <w:color w:val="auto"/>
                <w:szCs w:val="21"/>
                <w:highlight w:val="none"/>
              </w:rPr>
              <w:t>结算至采购预算金额（90万元）后采购合同自动终止</w:t>
            </w:r>
            <w:r>
              <w:rPr>
                <w:rFonts w:hint="eastAsia" w:ascii="宋体" w:hAnsi="宋体"/>
                <w:color w:val="auto"/>
                <w:highlight w:val="none"/>
              </w:rPr>
              <w:t>。</w:t>
            </w:r>
          </w:p>
          <w:p w14:paraId="74042892">
            <w:pPr>
              <w:adjustRightInd w:val="0"/>
              <w:snapToGrid w:val="0"/>
              <w:spacing w:line="312" w:lineRule="auto"/>
              <w:ind w:firstLine="367" w:firstLineChars="175"/>
              <w:rPr>
                <w:rFonts w:ascii="宋体" w:hAnsi="宋体"/>
                <w:color w:val="auto"/>
                <w:highlight w:val="none"/>
              </w:rPr>
            </w:pPr>
            <w:r>
              <w:rPr>
                <w:rFonts w:hint="eastAsia" w:ascii="宋体" w:hAnsi="宋体"/>
                <w:color w:val="auto"/>
                <w:highlight w:val="none"/>
              </w:rPr>
              <w:t>2.要求成交供应商在采购人的防城院区和文昌院区指定位置分别各放置2套</w:t>
            </w:r>
            <w:r>
              <w:rPr>
                <w:rFonts w:ascii="宋体" w:hAnsi="宋体"/>
                <w:color w:val="auto"/>
                <w:highlight w:val="none"/>
              </w:rPr>
              <w:t>医用液态氧气化式集中供氧设备</w:t>
            </w:r>
            <w:r>
              <w:rPr>
                <w:rFonts w:hint="eastAsia" w:ascii="宋体" w:hAnsi="宋体" w:cs="宋体"/>
                <w:bCs/>
                <w:color w:val="auto"/>
                <w:szCs w:val="21"/>
                <w:highlight w:val="none"/>
              </w:rPr>
              <w:t>用于医用液氧的灌装、存储、现场气化。</w:t>
            </w:r>
          </w:p>
          <w:p w14:paraId="39838E5C">
            <w:pPr>
              <w:adjustRightInd w:val="0"/>
              <w:snapToGrid w:val="0"/>
              <w:spacing w:line="312" w:lineRule="auto"/>
              <w:ind w:firstLine="367" w:firstLineChars="175"/>
              <w:rPr>
                <w:rFonts w:ascii="宋体" w:hAnsi="宋体"/>
                <w:color w:val="auto"/>
                <w:highlight w:val="none"/>
              </w:rPr>
            </w:pPr>
            <w:r>
              <w:rPr>
                <w:rFonts w:hint="eastAsia" w:ascii="宋体" w:hAnsi="宋体"/>
                <w:color w:val="auto"/>
                <w:highlight w:val="none"/>
              </w:rPr>
              <w:t>3.供应商负责液氧罐的场地勘察、安装、调试、证件办理，并对防城院区和文昌院区的所有的氧气存储设备定期进行检测（检测要求达到合格标准），所产生的费用含在竞标报价中。</w:t>
            </w:r>
          </w:p>
          <w:p w14:paraId="31BCBB07">
            <w:pPr>
              <w:adjustRightInd w:val="0"/>
              <w:snapToGrid w:val="0"/>
              <w:spacing w:line="312" w:lineRule="auto"/>
              <w:ind w:firstLine="367" w:firstLineChars="175"/>
              <w:rPr>
                <w:rFonts w:ascii="宋体" w:hAnsi="宋体"/>
                <w:color w:val="auto"/>
                <w:highlight w:val="none"/>
              </w:rPr>
            </w:pPr>
            <w:r>
              <w:rPr>
                <w:rFonts w:hint="eastAsia" w:ascii="宋体" w:hAnsi="宋体"/>
                <w:color w:val="auto"/>
                <w:highlight w:val="none"/>
              </w:rPr>
              <w:t>4. 医用氧气（液氧）要满足以下要求：</w:t>
            </w:r>
          </w:p>
          <w:p w14:paraId="0A6460E2">
            <w:pPr>
              <w:adjustRightInd w:val="0"/>
              <w:snapToGrid w:val="0"/>
              <w:spacing w:line="312" w:lineRule="auto"/>
              <w:ind w:firstLine="367" w:firstLineChars="175"/>
              <w:rPr>
                <w:rFonts w:ascii="宋体" w:hAnsi="宋体"/>
                <w:color w:val="auto"/>
                <w:highlight w:val="none"/>
              </w:rPr>
            </w:pPr>
            <w:r>
              <w:rPr>
                <w:rFonts w:hint="eastAsia" w:ascii="宋体" w:hAnsi="宋体"/>
                <w:color w:val="auto"/>
                <w:highlight w:val="none"/>
              </w:rPr>
              <w:t>（1）总体要求：质量符合《中华人民共和国药典（二部2020年版）》（氧含量≥99.5％标准）的标准；</w:t>
            </w:r>
          </w:p>
          <w:p w14:paraId="6D0E84DB">
            <w:pPr>
              <w:adjustRightInd w:val="0"/>
              <w:snapToGrid w:val="0"/>
              <w:spacing w:line="312" w:lineRule="auto"/>
              <w:ind w:firstLine="367" w:firstLineChars="175"/>
              <w:rPr>
                <w:rFonts w:ascii="宋体" w:hAnsi="宋体"/>
                <w:color w:val="auto"/>
                <w:highlight w:val="none"/>
              </w:rPr>
            </w:pPr>
            <w:r>
              <w:rPr>
                <w:rFonts w:hint="eastAsia" w:ascii="宋体" w:hAnsi="宋体"/>
                <w:color w:val="auto"/>
                <w:highlight w:val="none"/>
              </w:rPr>
              <w:t>（2）</w:t>
            </w:r>
            <w:r>
              <w:rPr>
                <w:rFonts w:ascii="宋体" w:hAnsi="宋体"/>
                <w:color w:val="auto"/>
                <w:highlight w:val="none"/>
              </w:rPr>
              <w:t>性状：液态，气化后为无色、无味气体；</w:t>
            </w:r>
          </w:p>
          <w:p w14:paraId="70B355FA">
            <w:pPr>
              <w:adjustRightInd w:val="0"/>
              <w:snapToGrid w:val="0"/>
              <w:spacing w:line="312" w:lineRule="auto"/>
              <w:ind w:firstLine="367" w:firstLineChars="175"/>
              <w:rPr>
                <w:rFonts w:ascii="宋体" w:hAnsi="宋体"/>
                <w:color w:val="auto"/>
                <w:highlight w:val="none"/>
              </w:rPr>
            </w:pPr>
            <w:r>
              <w:rPr>
                <w:rFonts w:hint="eastAsia" w:ascii="宋体" w:hAnsi="宋体"/>
                <w:color w:val="auto"/>
                <w:highlight w:val="none"/>
              </w:rPr>
              <w:t>（3）</w:t>
            </w:r>
            <w:r>
              <w:rPr>
                <w:rFonts w:ascii="宋体" w:hAnsi="宋体"/>
                <w:color w:val="auto"/>
                <w:highlight w:val="none"/>
              </w:rPr>
              <w:t>运输及包装方式：低温液氧槽车；</w:t>
            </w:r>
          </w:p>
          <w:p w14:paraId="1CE37E2F">
            <w:pPr>
              <w:adjustRightInd w:val="0"/>
              <w:snapToGrid w:val="0"/>
              <w:spacing w:line="312" w:lineRule="auto"/>
              <w:ind w:firstLine="367" w:firstLineChars="175"/>
              <w:rPr>
                <w:rFonts w:ascii="宋体" w:hAnsi="宋体"/>
                <w:color w:val="auto"/>
                <w:highlight w:val="none"/>
              </w:rPr>
            </w:pPr>
            <w:r>
              <w:rPr>
                <w:rFonts w:hint="eastAsia" w:ascii="宋体" w:hAnsi="宋体"/>
                <w:color w:val="auto"/>
                <w:highlight w:val="none"/>
              </w:rPr>
              <w:t>（4）</w:t>
            </w:r>
            <w:r>
              <w:rPr>
                <w:rFonts w:ascii="宋体" w:hAnsi="宋体"/>
                <w:color w:val="auto"/>
                <w:highlight w:val="none"/>
              </w:rPr>
              <w:t>详细指标要求：氧气纯度</w:t>
            </w:r>
            <w:r>
              <w:rPr>
                <w:rFonts w:hint="eastAsia" w:ascii="宋体" w:hAnsi="宋体"/>
                <w:color w:val="auto"/>
                <w:highlight w:val="none"/>
              </w:rPr>
              <w:t>≥</w:t>
            </w:r>
            <w:r>
              <w:rPr>
                <w:rFonts w:ascii="宋体" w:hAnsi="宋体"/>
                <w:color w:val="auto"/>
                <w:highlight w:val="none"/>
              </w:rPr>
              <w:t>99.5%</w:t>
            </w:r>
            <w:r>
              <w:rPr>
                <w:rFonts w:hint="eastAsia" w:ascii="宋体" w:hAnsi="宋体"/>
                <w:color w:val="auto"/>
                <w:highlight w:val="none"/>
              </w:rPr>
              <w:t>，</w:t>
            </w:r>
            <w:r>
              <w:rPr>
                <w:rFonts w:ascii="宋体" w:hAnsi="宋体"/>
                <w:color w:val="auto"/>
                <w:highlight w:val="none"/>
              </w:rPr>
              <w:t>一氧化碳</w:t>
            </w:r>
            <w:r>
              <w:rPr>
                <w:rFonts w:hint="eastAsia" w:ascii="宋体" w:hAnsi="宋体"/>
                <w:color w:val="auto"/>
                <w:highlight w:val="none"/>
              </w:rPr>
              <w:t>≤</w:t>
            </w:r>
            <w:r>
              <w:rPr>
                <w:rFonts w:ascii="宋体" w:hAnsi="宋体"/>
                <w:color w:val="auto"/>
                <w:highlight w:val="none"/>
              </w:rPr>
              <w:t>0.0005%</w:t>
            </w:r>
            <w:r>
              <w:rPr>
                <w:rFonts w:hint="eastAsia" w:ascii="宋体" w:hAnsi="宋体"/>
                <w:color w:val="auto"/>
                <w:highlight w:val="none"/>
              </w:rPr>
              <w:t>，</w:t>
            </w:r>
            <w:r>
              <w:rPr>
                <w:rFonts w:ascii="宋体" w:hAnsi="宋体"/>
                <w:color w:val="auto"/>
                <w:highlight w:val="none"/>
              </w:rPr>
              <w:t>二氧化碳</w:t>
            </w:r>
            <w:r>
              <w:rPr>
                <w:rFonts w:hint="eastAsia" w:ascii="宋体" w:hAnsi="宋体"/>
                <w:color w:val="auto"/>
                <w:highlight w:val="none"/>
              </w:rPr>
              <w:t>≤</w:t>
            </w:r>
            <w:r>
              <w:rPr>
                <w:rFonts w:ascii="宋体" w:hAnsi="宋体"/>
                <w:color w:val="auto"/>
                <w:highlight w:val="none"/>
              </w:rPr>
              <w:t>0.03%</w:t>
            </w:r>
            <w:r>
              <w:rPr>
                <w:rFonts w:hint="eastAsia" w:ascii="宋体" w:hAnsi="宋体"/>
                <w:color w:val="auto"/>
                <w:highlight w:val="none"/>
              </w:rPr>
              <w:t>，</w:t>
            </w:r>
            <w:r>
              <w:rPr>
                <w:rFonts w:ascii="宋体" w:hAnsi="宋体"/>
                <w:color w:val="auto"/>
                <w:highlight w:val="none"/>
              </w:rPr>
              <w:t>水分</w:t>
            </w:r>
            <w:r>
              <w:rPr>
                <w:rFonts w:hint="eastAsia" w:ascii="宋体" w:hAnsi="宋体"/>
                <w:color w:val="auto"/>
                <w:highlight w:val="none"/>
              </w:rPr>
              <w:t>≤</w:t>
            </w:r>
            <w:r>
              <w:rPr>
                <w:rFonts w:ascii="宋体" w:hAnsi="宋体"/>
                <w:color w:val="auto"/>
                <w:highlight w:val="none"/>
              </w:rPr>
              <w:t>0.0067%。</w:t>
            </w:r>
          </w:p>
          <w:p w14:paraId="0094D891">
            <w:pPr>
              <w:adjustRightInd w:val="0"/>
              <w:snapToGrid w:val="0"/>
              <w:spacing w:line="312" w:lineRule="auto"/>
              <w:ind w:firstLine="367" w:firstLineChars="175"/>
              <w:rPr>
                <w:rFonts w:ascii="宋体" w:hAnsi="宋体"/>
                <w:color w:val="auto"/>
                <w:highlight w:val="none"/>
              </w:rPr>
            </w:pPr>
            <w:r>
              <w:rPr>
                <w:rFonts w:hint="eastAsia" w:ascii="宋体" w:hAnsi="宋体"/>
                <w:color w:val="auto"/>
                <w:highlight w:val="none"/>
              </w:rPr>
              <w:t>5.</w:t>
            </w:r>
            <w:r>
              <w:rPr>
                <w:rFonts w:ascii="宋体" w:hAnsi="宋体"/>
                <w:color w:val="auto"/>
                <w:highlight w:val="none"/>
              </w:rPr>
              <w:t>医用液态氧气化式集中供氧设备</w:t>
            </w:r>
            <w:r>
              <w:rPr>
                <w:rFonts w:hint="eastAsia" w:ascii="宋体" w:hAnsi="宋体"/>
                <w:color w:val="auto"/>
                <w:highlight w:val="none"/>
              </w:rPr>
              <w:t>要满足以下要求：</w:t>
            </w:r>
          </w:p>
          <w:p w14:paraId="1A4886CF">
            <w:pPr>
              <w:adjustRightInd w:val="0"/>
              <w:snapToGrid w:val="0"/>
              <w:spacing w:line="312" w:lineRule="auto"/>
              <w:ind w:firstLine="367" w:firstLineChars="175"/>
              <w:rPr>
                <w:rFonts w:ascii="宋体" w:hAnsi="宋体"/>
                <w:color w:val="auto"/>
                <w:highlight w:val="none"/>
              </w:rPr>
            </w:pPr>
            <w:r>
              <w:rPr>
                <w:rFonts w:hint="eastAsia" w:ascii="宋体" w:hAnsi="宋体"/>
                <w:color w:val="auto"/>
                <w:highlight w:val="none"/>
              </w:rPr>
              <w:t>（1）4</w:t>
            </w:r>
            <w:r>
              <w:rPr>
                <w:rFonts w:ascii="宋体" w:hAnsi="宋体"/>
                <w:color w:val="auto"/>
                <w:highlight w:val="none"/>
              </w:rPr>
              <w:t>个5m³的液氧储罐</w:t>
            </w:r>
            <w:r>
              <w:rPr>
                <w:rFonts w:hint="eastAsia" w:ascii="宋体" w:hAnsi="宋体"/>
                <w:color w:val="auto"/>
                <w:highlight w:val="none"/>
              </w:rPr>
              <w:t>【安装前提供液氧罐生产厂家的《特种设备生产许可证》（压力容器）】</w:t>
            </w:r>
            <w:r>
              <w:rPr>
                <w:rFonts w:ascii="宋体" w:hAnsi="宋体"/>
                <w:color w:val="auto"/>
                <w:highlight w:val="none"/>
              </w:rPr>
              <w:t>，氧储罐</w:t>
            </w:r>
            <w:r>
              <w:rPr>
                <w:rFonts w:hint="eastAsia" w:ascii="宋体" w:hAnsi="宋体"/>
                <w:color w:val="auto"/>
                <w:highlight w:val="none"/>
              </w:rPr>
              <w:t>符合</w:t>
            </w:r>
            <w:r>
              <w:rPr>
                <w:rFonts w:ascii="宋体" w:hAnsi="宋体"/>
                <w:color w:val="auto"/>
                <w:highlight w:val="none"/>
              </w:rPr>
              <w:t>《固定式压力容器安全技术监察规程》（TSG 21-2016）标准，设计压力-0.1MPa～0.84MPa；</w:t>
            </w:r>
          </w:p>
          <w:p w14:paraId="02EDF089">
            <w:pPr>
              <w:adjustRightInd w:val="0"/>
              <w:snapToGrid w:val="0"/>
              <w:spacing w:line="312" w:lineRule="auto"/>
              <w:ind w:firstLine="367" w:firstLineChars="175"/>
              <w:rPr>
                <w:rFonts w:ascii="宋体" w:hAnsi="宋体"/>
                <w:color w:val="auto"/>
                <w:highlight w:val="none"/>
              </w:rPr>
            </w:pPr>
            <w:r>
              <w:rPr>
                <w:rFonts w:hint="eastAsia" w:ascii="宋体" w:hAnsi="宋体"/>
                <w:color w:val="auto"/>
                <w:highlight w:val="none"/>
              </w:rPr>
              <w:t>（2）4</w:t>
            </w:r>
            <w:r>
              <w:rPr>
                <w:rFonts w:ascii="宋体" w:hAnsi="宋体"/>
                <w:color w:val="auto"/>
                <w:highlight w:val="none"/>
              </w:rPr>
              <w:t>台200立方米</w:t>
            </w:r>
            <w:r>
              <w:rPr>
                <w:rFonts w:hint="eastAsia" w:ascii="宋体" w:hAnsi="宋体"/>
                <w:color w:val="auto"/>
                <w:highlight w:val="none"/>
              </w:rPr>
              <w:t>/</w:t>
            </w:r>
            <w:r>
              <w:rPr>
                <w:rFonts w:ascii="宋体" w:hAnsi="宋体"/>
                <w:color w:val="auto"/>
                <w:highlight w:val="none"/>
              </w:rPr>
              <w:t>每小时的气化器（基于目前供氧需求量和场地限制，此为最大容纳容量），气化器材质为铝合金，工作压力0.00MPa～2.0MPa；</w:t>
            </w:r>
          </w:p>
          <w:p w14:paraId="576A9ABD">
            <w:pPr>
              <w:adjustRightInd w:val="0"/>
              <w:snapToGrid w:val="0"/>
              <w:spacing w:line="312" w:lineRule="auto"/>
              <w:ind w:firstLine="367" w:firstLineChars="175"/>
              <w:rPr>
                <w:rFonts w:ascii="宋体" w:hAnsi="宋体"/>
                <w:color w:val="auto"/>
                <w:highlight w:val="none"/>
              </w:rPr>
            </w:pPr>
            <w:r>
              <w:rPr>
                <w:rFonts w:hint="eastAsia" w:ascii="宋体" w:hAnsi="宋体"/>
                <w:color w:val="auto"/>
                <w:highlight w:val="none"/>
              </w:rPr>
              <w:t>（3）4</w:t>
            </w:r>
            <w:r>
              <w:rPr>
                <w:rFonts w:ascii="宋体" w:hAnsi="宋体"/>
                <w:color w:val="auto"/>
                <w:highlight w:val="none"/>
              </w:rPr>
              <w:t>套医用液态氧集中供氧设备配套的调压装置、管道、仪器仪表、太阳能液位表（带远程监控以及报警功能）等</w:t>
            </w:r>
            <w:r>
              <w:rPr>
                <w:rStyle w:val="34"/>
                <w:rFonts w:hint="eastAsia"/>
                <w:color w:val="auto"/>
                <w:highlight w:val="none"/>
              </w:rPr>
              <w:t>。</w:t>
            </w:r>
          </w:p>
          <w:p w14:paraId="550EA108">
            <w:pPr>
              <w:adjustRightInd w:val="0"/>
              <w:snapToGrid w:val="0"/>
              <w:spacing w:line="312" w:lineRule="auto"/>
              <w:ind w:firstLine="367" w:firstLineChars="175"/>
              <w:rPr>
                <w:rFonts w:ascii="宋体" w:hAnsi="宋体"/>
                <w:color w:val="auto"/>
                <w:highlight w:val="none"/>
              </w:rPr>
            </w:pPr>
            <w:r>
              <w:rPr>
                <w:rFonts w:hint="eastAsia" w:ascii="宋体" w:hAnsi="宋体"/>
                <w:color w:val="auto"/>
                <w:highlight w:val="none"/>
              </w:rPr>
              <w:t>（4）安装液氧电子液位监测系统，要求液氧电子液位监测系统能与医院的医用气体系统连接，能够手机监测氧气容量。</w:t>
            </w:r>
          </w:p>
          <w:p w14:paraId="2CDE8164">
            <w:pPr>
              <w:adjustRightInd w:val="0"/>
              <w:snapToGrid w:val="0"/>
              <w:spacing w:line="312" w:lineRule="auto"/>
              <w:ind w:firstLine="367" w:firstLineChars="175"/>
              <w:rPr>
                <w:rFonts w:ascii="宋体" w:hAnsi="宋体"/>
                <w:color w:val="auto"/>
                <w:highlight w:val="none"/>
              </w:rPr>
            </w:pPr>
            <w:r>
              <w:rPr>
                <w:rFonts w:hint="eastAsia" w:ascii="宋体" w:hAnsi="宋体"/>
                <w:color w:val="auto"/>
                <w:highlight w:val="none"/>
              </w:rPr>
              <w:t>6.供应商必须保证及时、足量供应采购人医用气体，不得以任何理由延误或断供，如因供应商原因造成断供，给采购人或第三方造成损失的，相关责任及损失由供应商承担。</w:t>
            </w:r>
          </w:p>
          <w:p w14:paraId="07BC25ED">
            <w:pPr>
              <w:adjustRightInd w:val="0"/>
              <w:snapToGrid w:val="0"/>
              <w:spacing w:line="312" w:lineRule="auto"/>
              <w:ind w:firstLine="367" w:firstLineChars="175"/>
              <w:rPr>
                <w:rFonts w:hAnsi="宋体" w:cs="Arial"/>
                <w:color w:val="auto"/>
                <w:highlight w:val="none"/>
              </w:rPr>
            </w:pPr>
            <w:r>
              <w:rPr>
                <w:rFonts w:hint="eastAsia" w:hAnsi="宋体" w:cs="Arial"/>
                <w:color w:val="auto"/>
                <w:highlight w:val="none"/>
              </w:rPr>
              <w:t>7.医用液氧均由供应商装运至采购人指定地点，所产生的运输安全责任及相关费用均由供应商负责。供应商应办理运输安全保险，费用已含在合同价中。如国家对此类产品的运输有特殊要求的，供应商负责办理相关手续并承担一切费用。</w:t>
            </w:r>
          </w:p>
          <w:p w14:paraId="366ECBDD">
            <w:pPr>
              <w:adjustRightInd w:val="0"/>
              <w:snapToGrid w:val="0"/>
              <w:spacing w:line="312" w:lineRule="auto"/>
              <w:ind w:firstLine="367" w:firstLineChars="175"/>
              <w:rPr>
                <w:rFonts w:ascii="宋体" w:hAnsi="宋体"/>
                <w:color w:val="auto"/>
                <w:highlight w:val="none"/>
              </w:rPr>
            </w:pPr>
            <w:r>
              <w:rPr>
                <w:rFonts w:hint="eastAsia" w:ascii="宋体" w:hAnsi="宋体"/>
                <w:color w:val="auto"/>
                <w:highlight w:val="none"/>
              </w:rPr>
              <w:t>8.供应商须提供24小时全天候服务（包括送氧及供氧设备维修）。在接到供氧通知后24个小时内完成供氧，并配合采购人完成所有的核查、验收手续；如遇到采购人需要紧急供氧时，供应商响应时间不超过1小时。</w:t>
            </w:r>
          </w:p>
          <w:p w14:paraId="061C7F69">
            <w:pPr>
              <w:adjustRightInd w:val="0"/>
              <w:snapToGrid w:val="0"/>
              <w:spacing w:line="312" w:lineRule="auto"/>
              <w:ind w:firstLine="367" w:firstLineChars="175"/>
              <w:rPr>
                <w:rFonts w:ascii="宋体" w:hAnsi="宋体"/>
                <w:color w:val="auto"/>
                <w:highlight w:val="none"/>
              </w:rPr>
            </w:pPr>
            <w:r>
              <w:rPr>
                <w:rFonts w:hint="eastAsia" w:ascii="宋体" w:hAnsi="宋体"/>
                <w:color w:val="auto"/>
                <w:highlight w:val="none"/>
              </w:rPr>
              <w:t>9.定期开展操作、安全培训及相关的应急演练：供应商在现场对采购人的技术人员进行设备操作培训，确保采购人相关人员能够熟练、准确判断与解决相应故障；每年至少开展一次液氧泄漏应急演练。</w:t>
            </w:r>
          </w:p>
          <w:p w14:paraId="42369D23">
            <w:pPr>
              <w:adjustRightInd w:val="0"/>
              <w:snapToGrid w:val="0"/>
              <w:spacing w:line="312" w:lineRule="auto"/>
              <w:ind w:firstLine="367" w:firstLineChars="175"/>
              <w:rPr>
                <w:rFonts w:ascii="宋体" w:hAnsi="宋体"/>
                <w:color w:val="auto"/>
                <w:highlight w:val="none"/>
              </w:rPr>
            </w:pPr>
            <w:r>
              <w:rPr>
                <w:rFonts w:hint="eastAsia" w:ascii="宋体" w:hAnsi="宋体"/>
                <w:color w:val="auto"/>
                <w:highlight w:val="none"/>
              </w:rPr>
              <w:t>10.供应商在供应期限内，应对所配置的4套医用液态氧集中供氧设备进行定期巡检、维保、维护，确保所配置的医用液态氧集中供氧设备能正常使用，并积极配合完成监管部门对医用液态氧集中供氧设备的特种设备定期检测。如出现设备故障，应在接到采购人电话通知后30分钟内响应，如紧急需到现场维修的，应在2小时内到达现场进行维修，以确保液氧储罐安全正常使用；供应商应定期从液氧储罐取样，分析检验碳氢化合物（C2H2）含量，以确保液氧储罐内医用液态氧质量符合《中华人民共和国药典（二部 2020年版）》的标准。上述所需费用包含在本次报价内（即包含医用液态氧集中供氧设备在供应期内的维修、保养及定期检测费用等）。</w:t>
            </w:r>
          </w:p>
          <w:p w14:paraId="05720F2B">
            <w:pPr>
              <w:adjustRightInd w:val="0"/>
              <w:snapToGrid w:val="0"/>
              <w:spacing w:line="312" w:lineRule="auto"/>
              <w:ind w:firstLine="367" w:firstLineChars="175"/>
              <w:rPr>
                <w:rFonts w:ascii="宋体" w:hAnsi="宋体"/>
                <w:color w:val="auto"/>
                <w:highlight w:val="none"/>
              </w:rPr>
            </w:pPr>
            <w:r>
              <w:rPr>
                <w:rFonts w:hint="eastAsia" w:ascii="宋体" w:hAnsi="宋体"/>
                <w:color w:val="auto"/>
                <w:highlight w:val="none"/>
              </w:rPr>
              <w:t>11.供应期内，如中途更换液氧储罐，供应商须重新出具合格证、办理好《特种设备使用证》，满足液氧储罐技术标准《固定式压力容器安全技术监察规程》（TSG 21-2016）。</w:t>
            </w:r>
          </w:p>
          <w:p w14:paraId="53F769F0">
            <w:pPr>
              <w:adjustRightInd w:val="0"/>
              <w:snapToGrid w:val="0"/>
              <w:spacing w:line="312" w:lineRule="auto"/>
              <w:ind w:firstLine="367" w:firstLineChars="175"/>
              <w:rPr>
                <w:rFonts w:ascii="宋体" w:hAnsi="宋体"/>
                <w:color w:val="auto"/>
                <w:highlight w:val="none"/>
              </w:rPr>
            </w:pPr>
            <w:r>
              <w:rPr>
                <w:rFonts w:hint="eastAsia" w:ascii="宋体" w:hAnsi="宋体"/>
                <w:color w:val="auto"/>
                <w:highlight w:val="none"/>
              </w:rPr>
              <w:t>12.供应期满后，供应商在接到采购人通知时限内移除现场医用液态氧气化式集中供氧设备，费用由供应商自行承担。如供应商未能按采购人通知时限移除设备的，采购人有权自行处置。</w:t>
            </w:r>
          </w:p>
        </w:tc>
      </w:tr>
      <w:tr w14:paraId="0C8E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251" w:type="dxa"/>
            <w:gridSpan w:val="5"/>
            <w:vAlign w:val="center"/>
          </w:tcPr>
          <w:p w14:paraId="11EC2E22">
            <w:pPr>
              <w:spacing w:line="360" w:lineRule="auto"/>
              <w:jc w:val="left"/>
              <w:rPr>
                <w:rFonts w:ascii="宋体" w:hAnsi="宋体" w:cs="Arial"/>
                <w:b/>
                <w:bCs/>
                <w:iCs/>
                <w:color w:val="auto"/>
                <w:szCs w:val="21"/>
                <w:highlight w:val="none"/>
              </w:rPr>
            </w:pPr>
            <w:r>
              <w:rPr>
                <w:rFonts w:hint="eastAsia" w:ascii="宋体" w:hAnsi="宋体" w:cs="Arial"/>
                <w:b/>
                <w:bCs/>
                <w:iCs/>
                <w:color w:val="auto"/>
                <w:szCs w:val="21"/>
                <w:highlight w:val="none"/>
              </w:rPr>
              <w:t>▲二、商务要求</w:t>
            </w:r>
          </w:p>
        </w:tc>
      </w:tr>
      <w:tr w14:paraId="5ECA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882" w:type="dxa"/>
            <w:gridSpan w:val="4"/>
            <w:vAlign w:val="center"/>
          </w:tcPr>
          <w:p w14:paraId="436E0647">
            <w:pPr>
              <w:tabs>
                <w:tab w:val="left" w:pos="180"/>
                <w:tab w:val="left" w:pos="1620"/>
              </w:tabs>
              <w:spacing w:line="440" w:lineRule="exact"/>
              <w:jc w:val="center"/>
              <w:rPr>
                <w:rFonts w:ascii="宋体" w:hAnsi="宋体" w:cs="宋体"/>
                <w:color w:val="auto"/>
                <w:szCs w:val="21"/>
                <w:highlight w:val="none"/>
              </w:rPr>
            </w:pPr>
            <w:r>
              <w:rPr>
                <w:rFonts w:hint="eastAsia" w:ascii="宋体" w:hAnsi="宋体" w:cs="Arial"/>
                <w:color w:val="auto"/>
                <w:szCs w:val="21"/>
                <w:highlight w:val="none"/>
              </w:rPr>
              <w:t>合同签订时间</w:t>
            </w:r>
          </w:p>
        </w:tc>
        <w:tc>
          <w:tcPr>
            <w:tcW w:w="6369" w:type="dxa"/>
            <w:vAlign w:val="center"/>
          </w:tcPr>
          <w:p w14:paraId="5F5734BB">
            <w:pPr>
              <w:spacing w:line="320" w:lineRule="exact"/>
              <w:jc w:val="left"/>
              <w:rPr>
                <w:color w:val="auto"/>
                <w:highlight w:val="none"/>
              </w:rPr>
            </w:pPr>
            <w:r>
              <w:rPr>
                <w:rFonts w:ascii="宋体" w:hAnsi="宋体" w:cs="Arial"/>
                <w:bCs/>
                <w:color w:val="auto"/>
                <w:szCs w:val="21"/>
                <w:highlight w:val="none"/>
              </w:rPr>
              <w:t>自成交通知书发出之日起</w:t>
            </w:r>
            <w:r>
              <w:rPr>
                <w:rFonts w:hint="eastAsia" w:ascii="宋体" w:hAnsi="宋体" w:cs="Arial"/>
                <w:bCs/>
                <w:color w:val="auto"/>
                <w:szCs w:val="21"/>
                <w:highlight w:val="none"/>
              </w:rPr>
              <w:t>25</w:t>
            </w:r>
            <w:r>
              <w:rPr>
                <w:rFonts w:ascii="宋体" w:hAnsi="宋体" w:cs="Arial"/>
                <w:bCs/>
                <w:color w:val="auto"/>
                <w:szCs w:val="21"/>
                <w:highlight w:val="none"/>
              </w:rPr>
              <w:t>日内</w:t>
            </w:r>
            <w:r>
              <w:rPr>
                <w:rFonts w:hint="eastAsia" w:ascii="宋体" w:hAnsi="宋体" w:cs="Arial"/>
                <w:bCs/>
                <w:color w:val="auto"/>
                <w:szCs w:val="21"/>
                <w:highlight w:val="none"/>
              </w:rPr>
              <w:t>。</w:t>
            </w:r>
          </w:p>
        </w:tc>
      </w:tr>
      <w:tr w14:paraId="2965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82" w:type="dxa"/>
            <w:gridSpan w:val="4"/>
            <w:vAlign w:val="center"/>
          </w:tcPr>
          <w:p w14:paraId="2917892C">
            <w:pPr>
              <w:tabs>
                <w:tab w:val="left" w:pos="180"/>
                <w:tab w:val="left" w:pos="1620"/>
              </w:tabs>
              <w:spacing w:line="312" w:lineRule="auto"/>
              <w:jc w:val="center"/>
              <w:rPr>
                <w:rFonts w:ascii="宋体" w:hAnsi="宋体" w:cs="宋体"/>
                <w:color w:val="auto"/>
                <w:szCs w:val="21"/>
                <w:highlight w:val="none"/>
              </w:rPr>
            </w:pPr>
            <w:r>
              <w:rPr>
                <w:rFonts w:hint="eastAsia" w:ascii="宋体" w:hAnsi="宋体"/>
                <w:color w:val="auto"/>
                <w:highlight w:val="none"/>
              </w:rPr>
              <w:t>供应</w:t>
            </w:r>
            <w:r>
              <w:rPr>
                <w:rFonts w:hint="eastAsia" w:ascii="宋体" w:hAnsi="宋体" w:cs="宋体"/>
                <w:color w:val="auto"/>
                <w:szCs w:val="21"/>
                <w:highlight w:val="none"/>
              </w:rPr>
              <w:t>期限和地点</w:t>
            </w:r>
          </w:p>
        </w:tc>
        <w:tc>
          <w:tcPr>
            <w:tcW w:w="6369" w:type="dxa"/>
          </w:tcPr>
          <w:p w14:paraId="28EC1A5D">
            <w:pPr>
              <w:spacing w:line="312" w:lineRule="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highlight w:val="none"/>
              </w:rPr>
              <w:t>供应</w:t>
            </w:r>
            <w:r>
              <w:rPr>
                <w:rFonts w:hint="eastAsia" w:ascii="宋体" w:hAnsi="宋体" w:cs="宋体"/>
                <w:color w:val="auto"/>
                <w:szCs w:val="21"/>
                <w:highlight w:val="none"/>
              </w:rPr>
              <w:t>期限：自合同签订之日起一年</w:t>
            </w:r>
            <w:r>
              <w:rPr>
                <w:rFonts w:hint="eastAsia" w:ascii="宋体" w:hAnsi="宋体" w:cs="宋体"/>
                <w:color w:val="auto"/>
                <w:szCs w:val="21"/>
                <w:highlight w:val="none"/>
                <w:lang w:val="en-US" w:eastAsia="zh-CN"/>
              </w:rPr>
              <w:t>或合同履行期限内</w:t>
            </w:r>
            <w:r>
              <w:rPr>
                <w:rFonts w:hint="eastAsia" w:ascii="宋体" w:hAnsi="宋体" w:cs="宋体"/>
                <w:color w:val="auto"/>
                <w:szCs w:val="21"/>
                <w:highlight w:val="none"/>
              </w:rPr>
              <w:t>结算至采购预算金额（90万元）后采购合同自动终止。</w:t>
            </w:r>
          </w:p>
          <w:p w14:paraId="6B9C50E1">
            <w:pPr>
              <w:tabs>
                <w:tab w:val="left" w:pos="180"/>
                <w:tab w:val="left" w:pos="1620"/>
              </w:tabs>
              <w:spacing w:line="312" w:lineRule="auto"/>
              <w:jc w:val="left"/>
              <w:rPr>
                <w:rFonts w:ascii="宋体" w:hAnsi="宋体" w:cs="宋体"/>
                <w:color w:val="auto"/>
                <w:szCs w:val="21"/>
                <w:highlight w:val="none"/>
              </w:rPr>
            </w:pPr>
            <w:r>
              <w:rPr>
                <w:rFonts w:hint="eastAsia" w:ascii="宋体" w:hAnsi="宋体" w:cs="宋体"/>
                <w:color w:val="auto"/>
                <w:szCs w:val="21"/>
                <w:highlight w:val="none"/>
              </w:rPr>
              <w:t>2.服务地点：防城港市第一人民医院防城院区、文昌院区</w:t>
            </w:r>
            <w:r>
              <w:rPr>
                <w:rFonts w:hint="eastAsia" w:ascii="宋体" w:hAnsi="宋体" w:cs="宋体"/>
                <w:color w:val="auto"/>
                <w:spacing w:val="8"/>
                <w:szCs w:val="21"/>
                <w:highlight w:val="none"/>
              </w:rPr>
              <w:t>。</w:t>
            </w:r>
          </w:p>
        </w:tc>
      </w:tr>
      <w:tr w14:paraId="468C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882" w:type="dxa"/>
            <w:gridSpan w:val="4"/>
            <w:vAlign w:val="center"/>
          </w:tcPr>
          <w:p w14:paraId="36E0022A">
            <w:pPr>
              <w:tabs>
                <w:tab w:val="left" w:pos="180"/>
                <w:tab w:val="left" w:pos="1620"/>
              </w:tabs>
              <w:spacing w:line="440" w:lineRule="exact"/>
              <w:jc w:val="center"/>
              <w:rPr>
                <w:rFonts w:ascii="宋体" w:hAnsi="宋体"/>
                <w:bCs/>
                <w:iCs/>
                <w:color w:val="auto"/>
                <w:szCs w:val="21"/>
                <w:highlight w:val="none"/>
              </w:rPr>
            </w:pPr>
            <w:r>
              <w:rPr>
                <w:rFonts w:hint="eastAsia" w:ascii="宋体" w:hAnsi="宋体" w:cs="Arial"/>
                <w:color w:val="auto"/>
                <w:szCs w:val="21"/>
                <w:highlight w:val="none"/>
              </w:rPr>
              <w:t>付款方式及进度</w:t>
            </w:r>
          </w:p>
        </w:tc>
        <w:tc>
          <w:tcPr>
            <w:tcW w:w="6369" w:type="dxa"/>
            <w:vAlign w:val="center"/>
          </w:tcPr>
          <w:p w14:paraId="15E1555A">
            <w:pPr>
              <w:tabs>
                <w:tab w:val="left" w:pos="312"/>
              </w:tabs>
              <w:spacing w:line="360" w:lineRule="exact"/>
              <w:rPr>
                <w:rFonts w:ascii="宋体" w:hAnsi="宋体"/>
                <w:color w:val="auto"/>
                <w:szCs w:val="21"/>
                <w:highlight w:val="none"/>
              </w:rPr>
            </w:pPr>
            <w:r>
              <w:rPr>
                <w:rFonts w:hint="eastAsia" w:ascii="宋体" w:hAnsi="宋体"/>
                <w:color w:val="auto"/>
                <w:szCs w:val="21"/>
                <w:highlight w:val="none"/>
              </w:rPr>
              <w:t>1.本项目合同金额按实际用量进行结算，</w:t>
            </w:r>
            <w:r>
              <w:rPr>
                <w:rFonts w:hint="eastAsia" w:ascii="宋体" w:hAnsi="宋体"/>
                <w:color w:val="auto"/>
                <w:highlight w:val="none"/>
              </w:rPr>
              <w:t>供应</w:t>
            </w:r>
            <w:r>
              <w:rPr>
                <w:rFonts w:hint="eastAsia" w:ascii="宋体" w:hAnsi="宋体"/>
                <w:color w:val="auto"/>
                <w:szCs w:val="21"/>
                <w:highlight w:val="none"/>
              </w:rPr>
              <w:t>期内结算至采购预算金额（90万元）后采购合同自动终止。成交供应商每半年向采购人申请一次结算金额，并提供与采购人核实确认后的半年结算材料及结算金额发票。采购人收到成交供应商开具的发票及相应结算材料后以银行转账方式支付半年合同金额。</w:t>
            </w:r>
          </w:p>
          <w:p w14:paraId="0DD7F29C">
            <w:pPr>
              <w:tabs>
                <w:tab w:val="left" w:pos="312"/>
              </w:tabs>
              <w:spacing w:line="360" w:lineRule="exact"/>
              <w:rPr>
                <w:rFonts w:ascii="宋体" w:hAnsi="宋体"/>
                <w:color w:val="auto"/>
                <w:szCs w:val="21"/>
                <w:highlight w:val="none"/>
              </w:rPr>
            </w:pPr>
            <w:r>
              <w:rPr>
                <w:rFonts w:hint="eastAsia" w:ascii="宋体" w:hAnsi="宋体"/>
                <w:color w:val="auto"/>
                <w:szCs w:val="21"/>
                <w:highlight w:val="none"/>
              </w:rPr>
              <w:t>2.结算金额=医用氧气（液氧）实际采购量*成交单价</w:t>
            </w:r>
          </w:p>
        </w:tc>
      </w:tr>
      <w:tr w14:paraId="29A7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82" w:type="dxa"/>
            <w:gridSpan w:val="4"/>
            <w:vAlign w:val="center"/>
          </w:tcPr>
          <w:p w14:paraId="76972777">
            <w:pPr>
              <w:tabs>
                <w:tab w:val="left" w:pos="180"/>
                <w:tab w:val="left" w:pos="1620"/>
              </w:tabs>
              <w:spacing w:line="440" w:lineRule="exact"/>
              <w:jc w:val="center"/>
              <w:rPr>
                <w:rFonts w:ascii="宋体" w:hAnsi="宋体" w:cs="宋体"/>
                <w:color w:val="auto"/>
                <w:szCs w:val="21"/>
                <w:highlight w:val="none"/>
              </w:rPr>
            </w:pPr>
            <w:r>
              <w:rPr>
                <w:rFonts w:hint="eastAsia" w:ascii="宋体" w:hAnsi="宋体" w:cs="Arial"/>
                <w:color w:val="auto"/>
                <w:szCs w:val="21"/>
                <w:highlight w:val="none"/>
              </w:rPr>
              <w:t>竞标报价</w:t>
            </w:r>
          </w:p>
        </w:tc>
        <w:tc>
          <w:tcPr>
            <w:tcW w:w="6369" w:type="dxa"/>
            <w:vAlign w:val="center"/>
          </w:tcPr>
          <w:p w14:paraId="7C78162A">
            <w:pPr>
              <w:wordWrap w:val="0"/>
              <w:spacing w:line="312" w:lineRule="auto"/>
              <w:jc w:val="left"/>
              <w:rPr>
                <w:rFonts w:hAnsi="宋体" w:cs="Arial"/>
                <w:color w:val="auto"/>
                <w:highlight w:val="none"/>
              </w:rPr>
            </w:pPr>
            <w:r>
              <w:rPr>
                <w:rFonts w:hint="eastAsia" w:ascii="宋体" w:hAnsi="宋体" w:cs="宋体"/>
                <w:color w:val="auto"/>
                <w:szCs w:val="21"/>
                <w:highlight w:val="none"/>
              </w:rPr>
              <w:t>1.竞标报价包括液氧罐的场地勘察、安装、调试、证件办理、</w:t>
            </w:r>
            <w:r>
              <w:rPr>
                <w:rFonts w:hint="eastAsia" w:hAnsi="宋体" w:cs="Arial"/>
                <w:color w:val="auto"/>
                <w:highlight w:val="none"/>
              </w:rPr>
              <w:t>货物的价款、产品的包装费用、运输费、装卸费用、检测费、人工费用、培训费、保险、管理服务成本、法定税费和服务企业的利润、液氧站供氧设备</w:t>
            </w:r>
            <w:r>
              <w:rPr>
                <w:rFonts w:hint="eastAsia" w:ascii="宋体" w:hAnsi="宋体"/>
                <w:color w:val="auto"/>
                <w:highlight w:val="none"/>
              </w:rPr>
              <w:t>供应</w:t>
            </w:r>
            <w:r>
              <w:rPr>
                <w:rFonts w:hint="eastAsia" w:hAnsi="宋体" w:cs="Arial"/>
                <w:color w:val="auto"/>
                <w:highlight w:val="none"/>
              </w:rPr>
              <w:t>期内的维修、保养及定期检测费用、更换的液氧储罐等一切应尽费用。对于本文件中未列明，而供应商认为必需的费用也需列入总报价。在合同实施时，采购人将不予支付供应商没有列入的项目费用，并认为此项目的费用已包括在竞标报价中。</w:t>
            </w:r>
          </w:p>
          <w:p w14:paraId="34C405F1">
            <w:pPr>
              <w:pStyle w:val="9"/>
              <w:ind w:left="0" w:leftChars="0"/>
              <w:rPr>
                <w:color w:val="auto"/>
                <w:highlight w:val="none"/>
              </w:rPr>
            </w:pPr>
            <w:r>
              <w:rPr>
                <w:rFonts w:hint="eastAsia" w:hAnsi="宋体" w:cs="Arial"/>
                <w:b/>
                <w:bCs/>
                <w:color w:val="auto"/>
                <w:highlight w:val="none"/>
              </w:rPr>
              <w:t>2.供应商须对本项目的医用氧气（液氧）做出单价报价，且不得高于单价最高限价（1600元/吨），否则竞标无效。</w:t>
            </w:r>
          </w:p>
        </w:tc>
      </w:tr>
      <w:tr w14:paraId="1452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82" w:type="dxa"/>
            <w:gridSpan w:val="4"/>
            <w:vAlign w:val="center"/>
          </w:tcPr>
          <w:p w14:paraId="5004A5AA">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三、验收、交付标准和方法</w:t>
            </w:r>
          </w:p>
          <w:p w14:paraId="76CBAF48">
            <w:pPr>
              <w:tabs>
                <w:tab w:val="left" w:pos="180"/>
                <w:tab w:val="left" w:pos="1620"/>
              </w:tabs>
              <w:spacing w:line="440" w:lineRule="exact"/>
              <w:jc w:val="center"/>
              <w:rPr>
                <w:rFonts w:ascii="宋体" w:hAnsi="宋体" w:cs="宋体"/>
                <w:color w:val="auto"/>
                <w:szCs w:val="21"/>
                <w:highlight w:val="none"/>
              </w:rPr>
            </w:pPr>
          </w:p>
        </w:tc>
        <w:tc>
          <w:tcPr>
            <w:tcW w:w="6369" w:type="dxa"/>
            <w:vAlign w:val="center"/>
          </w:tcPr>
          <w:p w14:paraId="2DE9F699">
            <w:pPr>
              <w:snapToGrid w:val="0"/>
              <w:spacing w:line="420" w:lineRule="exact"/>
              <w:rPr>
                <w:rFonts w:ascii="宋体" w:hAnsi="宋体" w:cs="宋体"/>
                <w:b/>
                <w:color w:val="auto"/>
                <w:szCs w:val="21"/>
                <w:highlight w:val="none"/>
              </w:rPr>
            </w:pPr>
            <w:r>
              <w:rPr>
                <w:rFonts w:hint="eastAsia" w:ascii="宋体" w:hAnsi="宋体" w:cs="宋体"/>
                <w:b/>
                <w:color w:val="auto"/>
                <w:szCs w:val="21"/>
                <w:highlight w:val="none"/>
              </w:rPr>
              <w:t>（一）验收标准、验收程序和方法</w:t>
            </w:r>
          </w:p>
          <w:p w14:paraId="1AC677DD">
            <w:pPr>
              <w:snapToGrid w:val="0"/>
              <w:spacing w:line="420" w:lineRule="exact"/>
              <w:rPr>
                <w:rFonts w:ascii="宋体" w:hAnsi="宋体" w:cs="宋体"/>
                <w:bCs/>
                <w:color w:val="auto"/>
                <w:szCs w:val="21"/>
                <w:highlight w:val="none"/>
              </w:rPr>
            </w:pPr>
            <w:r>
              <w:rPr>
                <w:rFonts w:hint="eastAsia" w:ascii="宋体" w:hAnsi="宋体" w:cs="宋体"/>
                <w:bCs/>
                <w:color w:val="auto"/>
                <w:szCs w:val="21"/>
                <w:highlight w:val="none"/>
              </w:rPr>
              <w:t xml:space="preserve">1.验收标准： </w:t>
            </w:r>
          </w:p>
          <w:p w14:paraId="2F1E5A8C">
            <w:pPr>
              <w:snapToGrid w:val="0"/>
              <w:spacing w:line="420" w:lineRule="exact"/>
              <w:rPr>
                <w:rFonts w:ascii="宋体" w:hAnsi="宋体" w:cs="宋体"/>
                <w:bCs/>
                <w:color w:val="auto"/>
                <w:szCs w:val="21"/>
                <w:highlight w:val="none"/>
              </w:rPr>
            </w:pPr>
            <w:r>
              <w:rPr>
                <w:rFonts w:hint="eastAsia" w:ascii="宋体" w:hAnsi="宋体" w:cs="宋体"/>
                <w:bCs/>
                <w:color w:val="auto"/>
                <w:szCs w:val="21"/>
                <w:highlight w:val="none"/>
              </w:rPr>
              <w:t>（1）交货前通知采购人对货物进行清点、核实，由采购双方派代表当场验货，并按采购文件的功能目标及技术指标、响应文件响应的技术指标逐条检验验收合格后，双方代表签字，否则不予验收合格。</w:t>
            </w:r>
          </w:p>
          <w:p w14:paraId="35591D08">
            <w:pPr>
              <w:snapToGrid w:val="0"/>
              <w:spacing w:line="420" w:lineRule="exact"/>
              <w:rPr>
                <w:rFonts w:ascii="宋体" w:hAnsi="宋体" w:cs="宋体"/>
                <w:bCs/>
                <w:color w:val="auto"/>
                <w:szCs w:val="21"/>
                <w:highlight w:val="none"/>
              </w:rPr>
            </w:pPr>
            <w:r>
              <w:rPr>
                <w:rFonts w:hint="eastAsia" w:ascii="宋体" w:hAnsi="宋体" w:cs="宋体"/>
                <w:bCs/>
                <w:color w:val="auto"/>
                <w:szCs w:val="21"/>
                <w:highlight w:val="none"/>
              </w:rPr>
              <w:t>（2）交货时，所有产品均严格按采购文件上的技术规格要求，成交供应商响应文件中承诺的技术参数及性能和国家有关标准进行验收，达不到实质性要求的视为产品验收不合格，并按相关规定处理、处罚。</w:t>
            </w:r>
          </w:p>
          <w:p w14:paraId="10CF8F9D">
            <w:pPr>
              <w:snapToGrid w:val="0"/>
              <w:spacing w:line="420" w:lineRule="exact"/>
              <w:rPr>
                <w:rFonts w:ascii="宋体" w:hAnsi="宋体" w:cs="宋体"/>
                <w:bCs/>
                <w:color w:val="auto"/>
                <w:szCs w:val="21"/>
                <w:highlight w:val="none"/>
              </w:rPr>
            </w:pPr>
            <w:r>
              <w:rPr>
                <w:rFonts w:hint="eastAsia" w:ascii="宋体" w:hAnsi="宋体" w:cs="宋体"/>
                <w:bCs/>
                <w:color w:val="auto"/>
                <w:szCs w:val="21"/>
                <w:highlight w:val="none"/>
              </w:rPr>
              <w:t>（3）成交供应商承诺所提供的产品为符合国家法律法规要求的产品，不属于假冒伪劣商品；成交供应商还应保证甲方不受到第三方关于侵犯知识产权以及专利权、商标权或工业设计权等知识产权方面的指控，任何第三方如果提出此方面指控均与采购人无关，成交供应商应与第三方交涉，并承担可能发生的一切法律责任、费用和后果；若甲方因此而遭致损失的，成交供应商须赔偿该损失。</w:t>
            </w:r>
          </w:p>
          <w:p w14:paraId="5A6B1717">
            <w:pPr>
              <w:snapToGrid w:val="0"/>
              <w:spacing w:line="420" w:lineRule="exact"/>
              <w:rPr>
                <w:rFonts w:ascii="宋体" w:hAnsi="宋体" w:cs="宋体"/>
                <w:bCs/>
                <w:color w:val="auto"/>
                <w:szCs w:val="21"/>
                <w:highlight w:val="none"/>
              </w:rPr>
            </w:pPr>
            <w:r>
              <w:rPr>
                <w:rFonts w:hint="eastAsia" w:ascii="宋体" w:hAnsi="宋体" w:cs="宋体"/>
                <w:bCs/>
                <w:color w:val="auto"/>
                <w:szCs w:val="21"/>
                <w:highlight w:val="none"/>
              </w:rPr>
              <w:t>（4）采购人有权委托第三方机构进行验收，单次验收费用不超过合同总金额的2%，验收费用由成交供应商全部承担。</w:t>
            </w:r>
          </w:p>
          <w:p w14:paraId="01B494A3">
            <w:pPr>
              <w:snapToGrid w:val="0"/>
              <w:spacing w:line="420" w:lineRule="exact"/>
              <w:rPr>
                <w:rFonts w:ascii="宋体" w:hAnsi="宋体" w:cs="宋体"/>
                <w:bCs/>
                <w:color w:val="auto"/>
                <w:szCs w:val="21"/>
                <w:highlight w:val="none"/>
              </w:rPr>
            </w:pPr>
            <w:r>
              <w:rPr>
                <w:rFonts w:hint="eastAsia" w:ascii="宋体" w:hAnsi="宋体" w:cs="宋体"/>
                <w:bCs/>
                <w:color w:val="auto"/>
                <w:szCs w:val="21"/>
                <w:highlight w:val="none"/>
              </w:rPr>
              <w:t>（5）符合采购文件参数要求及成交供应商的响应参数要求。</w:t>
            </w:r>
          </w:p>
          <w:p w14:paraId="36BECF03">
            <w:pPr>
              <w:snapToGrid w:val="0"/>
              <w:spacing w:line="420" w:lineRule="exact"/>
              <w:rPr>
                <w:rFonts w:ascii="宋体" w:hAnsi="宋体" w:cs="宋体"/>
                <w:b/>
                <w:color w:val="auto"/>
                <w:szCs w:val="21"/>
                <w:highlight w:val="none"/>
              </w:rPr>
            </w:pPr>
            <w:r>
              <w:rPr>
                <w:rFonts w:hint="eastAsia" w:ascii="宋体" w:hAnsi="宋体" w:cs="宋体"/>
                <w:b/>
                <w:color w:val="auto"/>
                <w:szCs w:val="21"/>
                <w:highlight w:val="none"/>
              </w:rPr>
              <w:t>2.验收程序及方法：</w:t>
            </w:r>
          </w:p>
          <w:p w14:paraId="4FBA78E7">
            <w:pPr>
              <w:snapToGrid w:val="0"/>
              <w:spacing w:line="420" w:lineRule="exact"/>
              <w:rPr>
                <w:rFonts w:ascii="宋体" w:hAnsi="宋体" w:cs="宋体"/>
                <w:bCs/>
                <w:color w:val="auto"/>
                <w:szCs w:val="21"/>
                <w:highlight w:val="none"/>
              </w:rPr>
            </w:pPr>
            <w:r>
              <w:rPr>
                <w:rFonts w:hint="eastAsia" w:ascii="宋体" w:hAnsi="宋体" w:cs="宋体"/>
                <w:bCs/>
                <w:color w:val="auto"/>
                <w:szCs w:val="21"/>
                <w:highlight w:val="none"/>
              </w:rPr>
              <w:t>（1）充装医用氧前要求</w:t>
            </w:r>
          </w:p>
          <w:p w14:paraId="47E11CCD">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贮罐管理人员根据贮罐液位监控设备数显液位情况通知成交供应商，要求安排好医用氧产品运输车辆及预计车辆到达时间，保证医用氧正常使用。医用氧气瓶或液氧储罐的存放区域需提前进行清洁，确保环境通风良好，远离一切火源与高温源，采购人设备科则需校准氧气压力表、纯度检测仪等设备，并准备专用的验收记录表。车辆到达指定的地磅后，采购人工作人员对医用氧产品运输车辆进行检查，内容包括医用氧产品运输车辆外观是否完好、标签信息是否与单据一致、液氧储罐压力表数值及输送管道密封性等后再确认过重磅。</w:t>
            </w:r>
          </w:p>
          <w:p w14:paraId="2FAD182C">
            <w:pPr>
              <w:snapToGrid w:val="0"/>
              <w:spacing w:line="420" w:lineRule="exact"/>
              <w:rPr>
                <w:rFonts w:ascii="宋体" w:hAnsi="宋体" w:cs="宋体"/>
                <w:bCs/>
                <w:color w:val="auto"/>
                <w:szCs w:val="21"/>
                <w:highlight w:val="none"/>
              </w:rPr>
            </w:pPr>
            <w:r>
              <w:rPr>
                <w:rFonts w:hint="eastAsia" w:ascii="宋体" w:hAnsi="宋体" w:cs="宋体"/>
                <w:bCs/>
                <w:color w:val="auto"/>
                <w:szCs w:val="21"/>
                <w:highlight w:val="none"/>
              </w:rPr>
              <w:t>（2）充装医用氧过程要求</w:t>
            </w:r>
          </w:p>
          <w:p w14:paraId="3619F208">
            <w:pPr>
              <w:snapToGrid w:val="0"/>
              <w:spacing w:line="420" w:lineRule="exact"/>
              <w:rPr>
                <w:rFonts w:ascii="宋体" w:hAnsi="宋体" w:cs="宋体"/>
                <w:bCs/>
                <w:color w:val="auto"/>
                <w:szCs w:val="21"/>
                <w:highlight w:val="none"/>
              </w:rPr>
            </w:pPr>
            <w:r>
              <w:rPr>
                <w:rFonts w:hint="eastAsia" w:ascii="宋体" w:hAnsi="宋体" w:cs="宋体"/>
                <w:bCs/>
                <w:color w:val="auto"/>
                <w:szCs w:val="21"/>
                <w:highlight w:val="none"/>
              </w:rPr>
              <w:t>①现场检查</w:t>
            </w:r>
          </w:p>
          <w:p w14:paraId="20FD09C4">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医用氧产品车辆到达医院贮罐现场后，由后勤保障科进行现场检查。检查内容包括医用氧产品运输车辆外观是否完好、标签信息是否与单据一致、液氧储罐压力表数值及输送管道密封性等。通过细致的检查，确保氧气产品在物理形态与基本信息上符合标准。</w:t>
            </w:r>
          </w:p>
          <w:p w14:paraId="3CDA936F">
            <w:pPr>
              <w:snapToGrid w:val="0"/>
              <w:spacing w:line="420" w:lineRule="exact"/>
              <w:rPr>
                <w:rFonts w:ascii="宋体" w:hAnsi="宋体" w:cs="宋体"/>
                <w:bCs/>
                <w:color w:val="auto"/>
                <w:szCs w:val="21"/>
                <w:highlight w:val="none"/>
              </w:rPr>
            </w:pPr>
            <w:r>
              <w:rPr>
                <w:rFonts w:hint="eastAsia" w:ascii="宋体" w:hAnsi="宋体" w:cs="宋体"/>
                <w:bCs/>
                <w:color w:val="auto"/>
                <w:szCs w:val="21"/>
                <w:highlight w:val="none"/>
              </w:rPr>
              <w:t>②质量检测</w:t>
            </w:r>
          </w:p>
          <w:p w14:paraId="2213E327">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量检测是医用氧气验收的核心环节。成交供应商医用氧产品运输车辆需配备便携式氧浓度分析仪，以便使用便携式氧浓度分析仪对随机抽取的氧气瓶或液氧储罐进行现场纯度检测，确保医用氧气纯度不低于99.5%，符合《中国药典》2020年版二部“氧”、《药品生产质量管理规范》2010年的标准。通过便携式氧浓度分析仪检测液氧运输车辆储罐时，过程需全程录像，以备后续查阅。一旦发现质量问题，应立即暂停该批次氧气的使用，并进行复检。</w:t>
            </w:r>
          </w:p>
          <w:p w14:paraId="3860A23A">
            <w:pPr>
              <w:snapToGrid w:val="0"/>
              <w:spacing w:line="420" w:lineRule="exact"/>
              <w:rPr>
                <w:rFonts w:ascii="宋体" w:hAnsi="宋体" w:cs="宋体"/>
                <w:bCs/>
                <w:color w:val="auto"/>
                <w:szCs w:val="21"/>
                <w:highlight w:val="none"/>
              </w:rPr>
            </w:pPr>
            <w:r>
              <w:rPr>
                <w:rFonts w:hint="eastAsia" w:ascii="宋体" w:hAnsi="宋体" w:cs="宋体"/>
                <w:bCs/>
                <w:color w:val="auto"/>
                <w:szCs w:val="21"/>
                <w:highlight w:val="none"/>
              </w:rPr>
              <w:t>（3）充装医用氧完成后要求</w:t>
            </w:r>
          </w:p>
          <w:p w14:paraId="7F0E8FD9">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记录与追溯：验收通过后，需填写《医用氧气接收登记表》，详细记录供应商信息、生产批号、验收时间、检测数值及参与人员签名。不合格氧气应单独存放并上锁，由成交供应商在规定时间内办理退货手续。所有验收资料需按月装订成册，并分别留存于后勤保障科、医学装备科。</w:t>
            </w:r>
          </w:p>
          <w:p w14:paraId="5B772A51">
            <w:pPr>
              <w:snapToGrid w:val="0"/>
              <w:spacing w:line="420" w:lineRule="exact"/>
              <w:rPr>
                <w:rFonts w:ascii="宋体" w:hAnsi="宋体" w:cs="宋体"/>
                <w:bCs/>
                <w:color w:val="auto"/>
                <w:szCs w:val="21"/>
                <w:highlight w:val="none"/>
              </w:rPr>
            </w:pPr>
            <w:r>
              <w:rPr>
                <w:rFonts w:hint="eastAsia" w:ascii="宋体" w:hAnsi="宋体" w:cs="宋体"/>
                <w:bCs/>
                <w:color w:val="auto"/>
                <w:szCs w:val="21"/>
                <w:highlight w:val="none"/>
              </w:rPr>
              <w:t>3.验收过程中所产生的一切费用均由乙方承担。</w:t>
            </w:r>
          </w:p>
          <w:p w14:paraId="12A21EF3">
            <w:pPr>
              <w:snapToGrid w:val="0"/>
              <w:spacing w:line="420" w:lineRule="exact"/>
              <w:rPr>
                <w:rFonts w:ascii="宋体" w:hAnsi="宋体" w:cs="宋体"/>
                <w:b/>
                <w:color w:val="auto"/>
                <w:szCs w:val="21"/>
                <w:highlight w:val="none"/>
              </w:rPr>
            </w:pPr>
            <w:r>
              <w:rPr>
                <w:rFonts w:hint="eastAsia" w:ascii="宋体" w:hAnsi="宋体" w:cs="宋体"/>
                <w:b/>
                <w:color w:val="auto"/>
                <w:szCs w:val="21"/>
                <w:highlight w:val="none"/>
              </w:rPr>
              <w:t>（二）交付标准和方法</w:t>
            </w:r>
          </w:p>
          <w:p w14:paraId="0E2584EF">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除售后服务验收外，验收结论合格的，成交供应商应自收到验收书后7 日内向采购人交付使用。</w:t>
            </w:r>
          </w:p>
          <w:p w14:paraId="3E26231A">
            <w:pPr>
              <w:adjustRightInd w:val="0"/>
              <w:snapToGrid w:val="0"/>
              <w:spacing w:line="312" w:lineRule="auto"/>
              <w:rPr>
                <w:rFonts w:ascii="宋体" w:hAnsi="宋体" w:cs="宋体"/>
                <w:color w:val="auto"/>
                <w:szCs w:val="21"/>
                <w:highlight w:val="none"/>
              </w:rPr>
            </w:pPr>
          </w:p>
        </w:tc>
      </w:tr>
      <w:tr w14:paraId="5E0D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882" w:type="dxa"/>
            <w:gridSpan w:val="4"/>
            <w:vAlign w:val="center"/>
          </w:tcPr>
          <w:p w14:paraId="5CD1CD10">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四、其他要求</w:t>
            </w:r>
          </w:p>
        </w:tc>
        <w:tc>
          <w:tcPr>
            <w:tcW w:w="6369" w:type="dxa"/>
            <w:vAlign w:val="center"/>
          </w:tcPr>
          <w:p w14:paraId="43F275C9">
            <w:pPr>
              <w:spacing w:line="320" w:lineRule="exact"/>
              <w:jc w:val="left"/>
              <w:rPr>
                <w:rFonts w:ascii="宋体" w:hAnsi="宋体" w:cs="Arial"/>
                <w:b/>
                <w:color w:val="auto"/>
                <w:szCs w:val="21"/>
                <w:highlight w:val="none"/>
              </w:rPr>
            </w:pPr>
            <w:r>
              <w:rPr>
                <w:rFonts w:hint="eastAsia" w:ascii="宋体" w:hAnsi="宋体" w:cs="Arial"/>
                <w:color w:val="auto"/>
                <w:szCs w:val="21"/>
                <w:highlight w:val="none"/>
              </w:rPr>
              <w:t>以上“技术要求”、“商务要求”，</w:t>
            </w:r>
            <w:r>
              <w:rPr>
                <w:rFonts w:hint="eastAsia" w:ascii="宋体" w:hAnsi="宋体" w:cs="Arial"/>
                <w:b/>
                <w:color w:val="auto"/>
                <w:szCs w:val="21"/>
                <w:highlight w:val="none"/>
              </w:rPr>
              <w:t>如有任意一项负偏离的则做无效标处理。</w:t>
            </w:r>
          </w:p>
        </w:tc>
      </w:tr>
    </w:tbl>
    <w:p w14:paraId="7B6F9E06">
      <w:pPr>
        <w:spacing w:line="340" w:lineRule="exact"/>
        <w:ind w:firstLine="424" w:firstLineChars="202"/>
        <w:jc w:val="left"/>
        <w:rPr>
          <w:color w:val="auto"/>
          <w:highlight w:val="none"/>
        </w:rPr>
      </w:pPr>
    </w:p>
    <w:p w14:paraId="3555600B">
      <w:pPr>
        <w:spacing w:line="340" w:lineRule="exact"/>
        <w:ind w:firstLine="424" w:firstLineChars="202"/>
        <w:jc w:val="left"/>
        <w:rPr>
          <w:color w:val="auto"/>
          <w:highlight w:val="none"/>
        </w:rPr>
      </w:pPr>
    </w:p>
    <w:p w14:paraId="7A4DDC3B">
      <w:pPr>
        <w:spacing w:line="340" w:lineRule="exact"/>
        <w:ind w:firstLine="424" w:firstLineChars="202"/>
        <w:jc w:val="left"/>
        <w:rPr>
          <w:color w:val="auto"/>
          <w:highlight w:val="none"/>
        </w:rPr>
      </w:pPr>
    </w:p>
    <w:p w14:paraId="5C0F4489">
      <w:pPr>
        <w:spacing w:line="340" w:lineRule="exact"/>
        <w:ind w:firstLine="424" w:firstLineChars="202"/>
        <w:jc w:val="left"/>
        <w:rPr>
          <w:color w:val="auto"/>
          <w:highlight w:val="none"/>
        </w:rPr>
      </w:pPr>
    </w:p>
    <w:p w14:paraId="548358B5">
      <w:pPr>
        <w:spacing w:line="340" w:lineRule="exact"/>
        <w:ind w:firstLine="424" w:firstLineChars="202"/>
        <w:jc w:val="left"/>
        <w:rPr>
          <w:color w:val="auto"/>
          <w:highlight w:val="none"/>
        </w:rPr>
      </w:pPr>
    </w:p>
    <w:p w14:paraId="29629B66">
      <w:pPr>
        <w:spacing w:line="340" w:lineRule="exact"/>
        <w:ind w:firstLine="424" w:firstLineChars="202"/>
        <w:jc w:val="left"/>
        <w:rPr>
          <w:color w:val="auto"/>
          <w:highlight w:val="none"/>
        </w:rPr>
      </w:pPr>
    </w:p>
    <w:p w14:paraId="187F1417">
      <w:pPr>
        <w:spacing w:line="340" w:lineRule="exact"/>
        <w:ind w:firstLine="424" w:firstLineChars="202"/>
        <w:jc w:val="left"/>
        <w:rPr>
          <w:color w:val="auto"/>
          <w:highlight w:val="none"/>
        </w:rPr>
      </w:pPr>
    </w:p>
    <w:p w14:paraId="1386CB23">
      <w:pPr>
        <w:spacing w:line="340" w:lineRule="exact"/>
        <w:ind w:firstLine="424" w:firstLineChars="202"/>
        <w:jc w:val="left"/>
        <w:rPr>
          <w:color w:val="auto"/>
          <w:highlight w:val="none"/>
        </w:rPr>
      </w:pPr>
    </w:p>
    <w:p w14:paraId="66F1C197">
      <w:pPr>
        <w:spacing w:line="340" w:lineRule="exact"/>
        <w:ind w:firstLine="424" w:firstLineChars="202"/>
        <w:jc w:val="left"/>
        <w:rPr>
          <w:color w:val="auto"/>
          <w:highlight w:val="none"/>
        </w:rPr>
      </w:pPr>
    </w:p>
    <w:p w14:paraId="373DC8B6">
      <w:pPr>
        <w:spacing w:line="340" w:lineRule="exact"/>
        <w:ind w:firstLine="424" w:firstLineChars="202"/>
        <w:jc w:val="left"/>
        <w:rPr>
          <w:color w:val="auto"/>
          <w:highlight w:val="none"/>
        </w:rPr>
      </w:pPr>
    </w:p>
    <w:p w14:paraId="11FAE93C">
      <w:pPr>
        <w:spacing w:line="340" w:lineRule="exact"/>
        <w:ind w:firstLine="424" w:firstLineChars="202"/>
        <w:jc w:val="left"/>
        <w:rPr>
          <w:color w:val="auto"/>
          <w:highlight w:val="none"/>
        </w:rPr>
      </w:pPr>
    </w:p>
    <w:p w14:paraId="13202AEE">
      <w:pPr>
        <w:spacing w:line="340" w:lineRule="exact"/>
        <w:ind w:firstLine="424" w:firstLineChars="202"/>
        <w:jc w:val="left"/>
        <w:rPr>
          <w:color w:val="auto"/>
          <w:highlight w:val="none"/>
        </w:rPr>
      </w:pPr>
    </w:p>
    <w:p w14:paraId="61C3E9C0">
      <w:pPr>
        <w:spacing w:line="340" w:lineRule="exact"/>
        <w:ind w:firstLine="424" w:firstLineChars="202"/>
        <w:jc w:val="left"/>
        <w:rPr>
          <w:color w:val="auto"/>
          <w:highlight w:val="none"/>
        </w:rPr>
      </w:pPr>
    </w:p>
    <w:p w14:paraId="41B5DDC1">
      <w:pPr>
        <w:spacing w:line="340" w:lineRule="exact"/>
        <w:ind w:firstLine="424" w:firstLineChars="202"/>
        <w:jc w:val="left"/>
        <w:rPr>
          <w:color w:val="auto"/>
          <w:highlight w:val="none"/>
        </w:rPr>
      </w:pPr>
    </w:p>
    <w:p w14:paraId="0D7E4E5B">
      <w:pPr>
        <w:spacing w:line="340" w:lineRule="exact"/>
        <w:ind w:firstLine="424" w:firstLineChars="202"/>
        <w:jc w:val="left"/>
        <w:rPr>
          <w:color w:val="auto"/>
          <w:highlight w:val="none"/>
        </w:rPr>
      </w:pPr>
    </w:p>
    <w:p w14:paraId="2A1F6719">
      <w:pPr>
        <w:spacing w:line="340" w:lineRule="exact"/>
        <w:ind w:firstLine="424" w:firstLineChars="202"/>
        <w:jc w:val="left"/>
        <w:rPr>
          <w:color w:val="auto"/>
          <w:highlight w:val="none"/>
        </w:rPr>
      </w:pPr>
    </w:p>
    <w:p w14:paraId="07FC4D30">
      <w:pPr>
        <w:spacing w:line="340" w:lineRule="exact"/>
        <w:ind w:firstLine="424" w:firstLineChars="202"/>
        <w:jc w:val="left"/>
        <w:rPr>
          <w:color w:val="auto"/>
          <w:highlight w:val="none"/>
        </w:rPr>
      </w:pPr>
    </w:p>
    <w:p w14:paraId="297F8B85">
      <w:pPr>
        <w:spacing w:line="340" w:lineRule="exact"/>
        <w:ind w:firstLine="424" w:firstLineChars="202"/>
        <w:jc w:val="left"/>
        <w:rPr>
          <w:color w:val="auto"/>
          <w:highlight w:val="none"/>
        </w:rPr>
      </w:pPr>
    </w:p>
    <w:p w14:paraId="136C64C3">
      <w:pPr>
        <w:spacing w:line="340" w:lineRule="exact"/>
        <w:ind w:firstLine="424" w:firstLineChars="202"/>
        <w:jc w:val="left"/>
        <w:rPr>
          <w:color w:val="auto"/>
          <w:highlight w:val="none"/>
        </w:rPr>
      </w:pPr>
    </w:p>
    <w:p w14:paraId="4DC0394D">
      <w:pPr>
        <w:spacing w:line="340" w:lineRule="exact"/>
        <w:ind w:firstLine="424" w:firstLineChars="202"/>
        <w:jc w:val="left"/>
        <w:rPr>
          <w:color w:val="auto"/>
          <w:highlight w:val="none"/>
        </w:rPr>
      </w:pPr>
    </w:p>
    <w:p w14:paraId="243E01F5">
      <w:pPr>
        <w:spacing w:line="340" w:lineRule="exact"/>
        <w:ind w:firstLine="424" w:firstLineChars="202"/>
        <w:jc w:val="left"/>
        <w:rPr>
          <w:color w:val="auto"/>
          <w:highlight w:val="none"/>
        </w:rPr>
      </w:pPr>
    </w:p>
    <w:p w14:paraId="7066C473">
      <w:pPr>
        <w:spacing w:line="340" w:lineRule="exact"/>
        <w:ind w:firstLine="424" w:firstLineChars="202"/>
        <w:jc w:val="left"/>
        <w:rPr>
          <w:color w:val="auto"/>
          <w:highlight w:val="none"/>
        </w:rPr>
      </w:pPr>
    </w:p>
    <w:p w14:paraId="23BDBD21">
      <w:pPr>
        <w:spacing w:line="340" w:lineRule="exact"/>
        <w:ind w:firstLine="424" w:firstLineChars="202"/>
        <w:jc w:val="left"/>
        <w:rPr>
          <w:color w:val="auto"/>
          <w:highlight w:val="none"/>
        </w:rPr>
      </w:pPr>
    </w:p>
    <w:p w14:paraId="5AB87DF5">
      <w:pPr>
        <w:spacing w:line="340" w:lineRule="exact"/>
        <w:ind w:firstLine="424" w:firstLineChars="202"/>
        <w:jc w:val="left"/>
        <w:rPr>
          <w:color w:val="auto"/>
          <w:highlight w:val="none"/>
        </w:rPr>
      </w:pPr>
    </w:p>
    <w:p w14:paraId="7D6E7680">
      <w:pPr>
        <w:spacing w:line="340" w:lineRule="exact"/>
        <w:ind w:firstLine="424" w:firstLineChars="202"/>
        <w:jc w:val="left"/>
        <w:rPr>
          <w:color w:val="auto"/>
          <w:highlight w:val="none"/>
        </w:rPr>
      </w:pPr>
    </w:p>
    <w:p w14:paraId="22AF3E0A">
      <w:pPr>
        <w:pStyle w:val="3"/>
        <w:ind w:firstLine="883" w:firstLineChars="200"/>
        <w:rPr>
          <w:color w:val="auto"/>
          <w:highlight w:val="none"/>
        </w:rPr>
      </w:pPr>
      <w:bookmarkStart w:id="64" w:name="_Toc168674248"/>
      <w:r>
        <w:rPr>
          <w:rFonts w:hint="eastAsia"/>
          <w:color w:val="auto"/>
          <w:highlight w:val="none"/>
        </w:rPr>
        <w:t>第四章  评审程序和评定成交的标准</w:t>
      </w:r>
      <w:bookmarkEnd w:id="64"/>
    </w:p>
    <w:p w14:paraId="60EC543D">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w:t>
      </w:r>
    </w:p>
    <w:p w14:paraId="6EB384C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.确认谈判文件</w:t>
      </w:r>
    </w:p>
    <w:p w14:paraId="00404D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由谈判小组确认谈判文件。</w:t>
      </w:r>
    </w:p>
    <w:p w14:paraId="5188BC4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.资格审查</w:t>
      </w:r>
    </w:p>
    <w:p w14:paraId="427C61A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.1响应文件开启后，谈判小组依法对供应商的资格证明文件进行审查。</w:t>
      </w:r>
    </w:p>
    <w:p w14:paraId="18D93EA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谈判小组</w:t>
      </w:r>
      <w:r>
        <w:rPr>
          <w:rFonts w:hint="eastAsia" w:ascii="宋体" w:hAnsi="宋体" w:cs="宋体"/>
          <w:color w:val="auto"/>
          <w:szCs w:val="21"/>
          <w:highlight w:val="none"/>
        </w:rPr>
        <w:t>在资格审查结束前，对供应商进行信用查询。</w:t>
      </w:r>
    </w:p>
    <w:p w14:paraId="08EDAF0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w:t>
      </w:r>
      <w:r>
        <w:rPr>
          <w:rFonts w:ascii="宋体" w:hAnsi="宋体" w:cs="宋体"/>
          <w:color w:val="auto"/>
          <w:szCs w:val="21"/>
          <w:highlight w:val="none"/>
        </w:rPr>
        <w:t>广西政府采购云平台</w:t>
      </w:r>
      <w:r>
        <w:rPr>
          <w:rFonts w:hint="eastAsia" w:ascii="宋体" w:hAnsi="宋体" w:cs="宋体"/>
          <w:color w:val="auto"/>
          <w:szCs w:val="21"/>
          <w:highlight w:val="none"/>
        </w:rPr>
        <w:t>“信用中国”网站(www.creditchina.gov.cn)、中国政府采购网(www.ccgp.gov.cn)链接入口。</w:t>
      </w:r>
    </w:p>
    <w:p w14:paraId="469E5AA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9E3720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675429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w:t>
      </w:r>
      <w:r>
        <w:rPr>
          <w:color w:val="auto"/>
          <w:highlight w:val="none"/>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w:t>
      </w:r>
      <w:r>
        <w:rPr>
          <w:color w:val="auto"/>
          <w:highlight w:val="none"/>
        </w:rPr>
        <w:t>重大税收违法失信主体</w:t>
      </w:r>
      <w:r>
        <w:rPr>
          <w:rFonts w:hint="eastAsia" w:ascii="宋体" w:hAnsi="宋体"/>
          <w:color w:val="auto"/>
          <w:szCs w:val="21"/>
          <w:highlight w:val="none"/>
        </w:rPr>
        <w:t>、政府采购严重违法失信行为记录名单及其他不符合《中华人民共和国政府采购法》第二十二条规定条件的供应商）的，视同联合体存在不良信用记录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6A1F31F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.2资格审查标准为本谈判文件中载明对供应商资格要求的条件。本项目资格审查采用合格制，凡符合谈判文件规定的供应商资格要求的供应商均通过资格审查。</w:t>
      </w:r>
    </w:p>
    <w:p w14:paraId="11B08B0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.3 供应商有下列情形之一的，资格审查不通过，其响应文件按无效处理：</w:t>
      </w:r>
    </w:p>
    <w:p w14:paraId="0DD6CCA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）不具备谈判文件中规定的资格要求的；</w:t>
      </w:r>
    </w:p>
    <w:p w14:paraId="74F620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（2）未按谈判文件规定的方式获取本谈判文件的供应商；</w:t>
      </w:r>
    </w:p>
    <w:p w14:paraId="6183449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）响应文件中的资格证明文件缺少任一项“供应商须知前附表”资格证明文件规定的“必须提供”的文件资料的；</w:t>
      </w:r>
    </w:p>
    <w:p w14:paraId="733B1EE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208E79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59EE198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.4通过资格审查的合格供应商不足3家（本章</w:t>
      </w:r>
      <w:r>
        <w:rPr>
          <w:rFonts w:ascii="宋体" w:hAnsi="宋体" w:cs="宋体"/>
          <w:color w:val="auto"/>
          <w:szCs w:val="21"/>
          <w:highlight w:val="none"/>
        </w:rPr>
        <w:t>3.7</w:t>
      </w:r>
      <w:r>
        <w:rPr>
          <w:rFonts w:hint="eastAsia" w:ascii="宋体" w:hAnsi="宋体" w:cs="宋体"/>
          <w:color w:val="auto"/>
          <w:szCs w:val="21"/>
          <w:highlight w:val="none"/>
        </w:rPr>
        <w:t>条规定除外）的，不得进入符合性审查环节，应当重新开展采购活动。</w:t>
      </w:r>
    </w:p>
    <w:p w14:paraId="7CC785C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.符合性审查</w:t>
      </w:r>
    </w:p>
    <w:p w14:paraId="223DBC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谈判小组应当对符合资格的供应商的响应文件进行竞标报价、商务、技术等实质性要求符合性审查，以确定其是否满足谈判文件的实质性要求。</w:t>
      </w:r>
    </w:p>
    <w:p w14:paraId="5C94FB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19DFB63">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5530C53C">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02063937">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508BC9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4634F0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587C0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DAB10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63A5A0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C38C54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497017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16B526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658FFC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1）响应文件未按谈判文件要求签署、盖章的；</w:t>
      </w:r>
    </w:p>
    <w:p w14:paraId="0232EA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3C8C0A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AB405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4）商务要求允许负偏离的条款数超过“供应商须知前附表”规定项数的；</w:t>
      </w:r>
    </w:p>
    <w:p w14:paraId="77265F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5）响应文件的实质性内容未使用中文表述、使用计量单位不符合谈判文件要求的；</w:t>
      </w:r>
    </w:p>
    <w:p w14:paraId="5C1D61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6）响应文件中的文件资料因填写不齐全或者内容虚假或者出现其他情形而导致被谈判小组认定无效的；</w:t>
      </w:r>
    </w:p>
    <w:p w14:paraId="00C1AE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7）响应文件含有采购人不能接受的附加条件的；</w:t>
      </w:r>
    </w:p>
    <w:p w14:paraId="131F43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8）属于“供应商须知正文”第7.</w:t>
      </w:r>
      <w:r>
        <w:rPr>
          <w:rFonts w:ascii="宋体" w:hAnsi="宋体" w:cs="宋体"/>
          <w:color w:val="auto"/>
          <w:szCs w:val="21"/>
          <w:highlight w:val="none"/>
        </w:rPr>
        <w:t>5</w:t>
      </w:r>
      <w:r>
        <w:rPr>
          <w:rFonts w:hint="eastAsia" w:ascii="宋体" w:hAnsi="宋体" w:cs="宋体"/>
          <w:color w:val="auto"/>
          <w:szCs w:val="21"/>
          <w:highlight w:val="none"/>
        </w:rPr>
        <w:t>条的情形的；</w:t>
      </w:r>
    </w:p>
    <w:p w14:paraId="52498F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9）技术评审允许负偏离的条款数超过“供应商须知前附表”规定项数的；</w:t>
      </w:r>
    </w:p>
    <w:p w14:paraId="778031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10）虚假竞标，或者出现其他情形而导致被谈判小组认定无效的；</w:t>
      </w:r>
    </w:p>
    <w:p w14:paraId="091C63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w:t>
      </w:r>
      <w:bookmarkStart w:id="65" w:name="_Hlk71704147"/>
      <w:r>
        <w:rPr>
          <w:rFonts w:hint="eastAsia" w:ascii="宋体" w:hAnsi="宋体" w:cs="宋体"/>
          <w:color w:val="auto"/>
          <w:szCs w:val="21"/>
          <w:highlight w:val="none"/>
        </w:rPr>
        <w:t>谈判文件未载明允许提供</w:t>
      </w:r>
      <w:bookmarkEnd w:id="65"/>
      <w:r>
        <w:rPr>
          <w:rFonts w:hint="eastAsia" w:ascii="宋体" w:hAnsi="宋体" w:cs="宋体"/>
          <w:color w:val="auto"/>
          <w:szCs w:val="21"/>
          <w:highlight w:val="none"/>
        </w:rPr>
        <w:t>备选（替代）竞标方案或明确不允许提供备选（替代）竞标方案时，供应商提供了备选（替代）竞标方案的；</w:t>
      </w:r>
    </w:p>
    <w:p w14:paraId="14B2D1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12）响应文件标注的项目名称或者项目编号与谈判文件标注的项目名称或者项目编号不一致的；</w:t>
      </w:r>
    </w:p>
    <w:p w14:paraId="0C68DD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olor w:val="auto"/>
          <w:szCs w:val="21"/>
          <w:highlight w:val="none"/>
        </w:rPr>
        <w:t>谈判文件明确不允许分包，响应文件拟分包的；</w:t>
      </w:r>
    </w:p>
    <w:p w14:paraId="1C1A79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14）未响应谈判文件实质性要求；</w:t>
      </w:r>
    </w:p>
    <w:p w14:paraId="6DD180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16）法律、法规和谈判文件规定的其他无效情形。</w:t>
      </w:r>
    </w:p>
    <w:p w14:paraId="4594DC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2）报</w:t>
      </w:r>
      <w:r>
        <w:rPr>
          <w:rFonts w:hint="eastAsia" w:ascii="宋体" w:hAnsi="宋体" w:cs="宋体"/>
          <w:color w:val="auto"/>
          <w:szCs w:val="21"/>
          <w:highlight w:val="none"/>
        </w:rPr>
        <w:t>价评审</w:t>
      </w:r>
    </w:p>
    <w:p w14:paraId="294D6A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 报价文件中规定的“竞标报价表”的；</w:t>
      </w:r>
    </w:p>
    <w:p w14:paraId="4B4FEE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2）未采用人民币报价的；</w:t>
      </w:r>
    </w:p>
    <w:p w14:paraId="069B55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项目进行报价或者存在漏项报价；供应商未就所竞标项目的单项内容作唯一报价；供应商未就所竞标项目的全部内容作完整唯一总价报价；供应商响应文件中存在有选择、有条件报价的（谈判文件允许有备选方案或者其他约定的除外）；</w:t>
      </w:r>
    </w:p>
    <w:p w14:paraId="2EDA34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4）竞标报价（包含首次报价、最后报价）超过所竞标项目规定的单价最高限价的（如本项目</w:t>
      </w:r>
      <w:r>
        <w:rPr>
          <w:rFonts w:hint="eastAsia" w:ascii="宋体" w:hAnsi="宋体" w:cs="宋体"/>
          <w:bCs/>
          <w:color w:val="auto"/>
          <w:kern w:val="0"/>
          <w:szCs w:val="21"/>
          <w:highlight w:val="none"/>
        </w:rPr>
        <w:t>分标</w:t>
      </w:r>
      <w:r>
        <w:rPr>
          <w:rFonts w:hint="eastAsia" w:ascii="宋体" w:hAnsi="宋体" w:cs="宋体"/>
          <w:color w:val="auto"/>
          <w:szCs w:val="21"/>
          <w:highlight w:val="none"/>
        </w:rPr>
        <w:t>公布了最高限价）；</w:t>
      </w:r>
    </w:p>
    <w:p w14:paraId="498E3D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5）修正后的报价，供应商不确认的；或者经供应商确认修正后的竞标报价（包含首次报价、最后报价）超过所竞标项目规定的单价最高限价。</w:t>
      </w:r>
    </w:p>
    <w:p w14:paraId="73C7B1F1">
      <w:pPr>
        <w:spacing w:line="360" w:lineRule="auto"/>
        <w:ind w:firstLine="420" w:firstLineChars="200"/>
        <w:rPr>
          <w:color w:val="auto"/>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响应文件响应的标的数量及单位与竞争性谈判采购文件要求实质性不一致的。</w:t>
      </w:r>
    </w:p>
    <w:p w14:paraId="761A110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7C0FB4E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34EC24D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.8除本章3.7条规定的情形外，通过符合性审查的合格供应商不足3家的，不得进入谈判环节，应当重新开展采购活动。</w:t>
      </w:r>
    </w:p>
    <w:p w14:paraId="3D0B957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谈判程序</w:t>
      </w:r>
    </w:p>
    <w:p w14:paraId="344E093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谈判小组</w:t>
      </w:r>
      <w:r>
        <w:rPr>
          <w:rFonts w:hint="eastAsia" w:ascii="宋体" w:hAnsi="宋体" w:cs="宋体"/>
          <w:color w:val="auto"/>
          <w:szCs w:val="21"/>
          <w:highlight w:val="none"/>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7D40FD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21CB02E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对谈判文件作出的实质性变动是谈判文件的有效组成部分，由谈判小组及时以电子澄清函形式同时通知所有参加谈判的供应商。</w:t>
      </w:r>
    </w:p>
    <w:p w14:paraId="3A1A158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39E75D2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谈判中，谈判的任何一方不得透露与谈判有关的其他供应商的技术资料、价格和其他信息。</w:t>
      </w:r>
    </w:p>
    <w:p w14:paraId="30595601">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谈判小组应对谈判过程和重要谈判内容进行记录。</w:t>
      </w:r>
    </w:p>
    <w:p w14:paraId="1AB295F3">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7除本章第3.7条外，</w:t>
      </w:r>
      <w:r>
        <w:rPr>
          <w:rFonts w:hint="eastAsia" w:ascii="宋体" w:hAnsi="宋体"/>
          <w:color w:val="auto"/>
          <w:szCs w:val="21"/>
          <w:highlight w:val="none"/>
        </w:rPr>
        <w:t>对谈判过程提交的响应文件进行有效性、完整性和响应程度审查，通过审查的合格供应商不足3家的，采购人或者采购代理机构应当重新开展采购活动</w:t>
      </w:r>
      <w:r>
        <w:rPr>
          <w:rFonts w:hint="eastAsia" w:ascii="宋体" w:hAnsi="宋体" w:cs="宋体"/>
          <w:color w:val="auto"/>
          <w:szCs w:val="21"/>
          <w:highlight w:val="none"/>
        </w:rPr>
        <w:t>。</w:t>
      </w:r>
    </w:p>
    <w:p w14:paraId="6099254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 xml:space="preserve"> 最后报价</w:t>
      </w:r>
    </w:p>
    <w:p w14:paraId="7A5090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cs="宋体"/>
          <w:color w:val="auto"/>
          <w:szCs w:val="21"/>
          <w:highlight w:val="none"/>
        </w:rPr>
        <w:t>谈判文件能够详细列明采购标的的技术、服务要求的，谈判结束后，谈判小组应当要求所有继续参加谈判的供应商在规定时间内在广西政府采购云平台开标大厅提交最后报价，除本章第3.7条外，提交最后报价的供应商不得少于3家，否则应当重新采购。</w:t>
      </w:r>
    </w:p>
    <w:p w14:paraId="44ACF16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p>
    <w:p w14:paraId="6A15F98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3最后报价是供应商响应文件的有效组成部分。</w:t>
      </w:r>
    </w:p>
    <w:p w14:paraId="026369C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4已经提交响应文件的供应商，在提交最后报价之前，可以根据谈判情况退出谈判，退出谈判的供应商的响应文件按无效响应处理。</w:t>
      </w:r>
    </w:p>
    <w:p w14:paraId="309A764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5供应商未在规定时间内提交最后报价的，视为退出谈判，其响应文件按无效处理。</w:t>
      </w:r>
    </w:p>
    <w:p w14:paraId="5DCC22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6最后报价统一开启后，谈判小组对最后报价进行有效性、完整性和响应程度的审查。</w:t>
      </w:r>
    </w:p>
    <w:p w14:paraId="50D11ED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7最后报价出现前后不一致的，按照本章第</w:t>
      </w:r>
      <w:r>
        <w:rPr>
          <w:rFonts w:ascii="宋体" w:hAnsi="宋体" w:cs="宋体"/>
          <w:color w:val="auto"/>
          <w:szCs w:val="21"/>
          <w:highlight w:val="none"/>
        </w:rPr>
        <w:t>3.4</w:t>
      </w:r>
      <w:r>
        <w:rPr>
          <w:rFonts w:hint="eastAsia" w:ascii="宋体" w:hAnsi="宋体" w:cs="宋体"/>
          <w:color w:val="auto"/>
          <w:szCs w:val="21"/>
          <w:highlight w:val="none"/>
        </w:rPr>
        <w:t xml:space="preserve">条的规定修正。 </w:t>
      </w:r>
    </w:p>
    <w:p w14:paraId="52C2007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8修正后的报价出现下列情形的，按无效响应处理：</w:t>
      </w:r>
    </w:p>
    <w:p w14:paraId="112785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32A7B5E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9经供应商确认修正后的最后报价作为评审及签订合同的依据。</w:t>
      </w:r>
    </w:p>
    <w:p w14:paraId="3FA8EB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，谈判小组应当告知有关供应商</w:t>
      </w:r>
      <w:r>
        <w:rPr>
          <w:rFonts w:hint="eastAsia" w:ascii="宋体" w:hAnsi="宋体" w:cs="宋体"/>
          <w:color w:val="auto"/>
          <w:szCs w:val="21"/>
          <w:highlight w:val="none"/>
        </w:rPr>
        <w:t>。</w:t>
      </w:r>
    </w:p>
    <w:p w14:paraId="146F185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11最后报价结束后，谈判小组不得再与供应商进行任何形式的商谈。</w:t>
      </w:r>
    </w:p>
    <w:p w14:paraId="49624A20">
      <w:pPr>
        <w:spacing w:line="360" w:lineRule="auto"/>
        <w:ind w:firstLine="472" w:firstLineChars="196"/>
        <w:rPr>
          <w:rFonts w:ascii="黑体" w:hAnsi="黑体" w:eastAsia="黑体" w:cs="宋体"/>
          <w:b/>
          <w:bCs/>
          <w:color w:val="auto"/>
          <w:sz w:val="24"/>
          <w:highlight w:val="none"/>
        </w:rPr>
      </w:pPr>
      <w:r>
        <w:rPr>
          <w:rFonts w:ascii="黑体" w:hAnsi="黑体" w:eastAsia="黑体" w:cs="宋体"/>
          <w:b/>
          <w:bCs/>
          <w:color w:val="auto"/>
          <w:sz w:val="24"/>
          <w:highlight w:val="none"/>
        </w:rPr>
        <w:t>6.</w:t>
      </w:r>
      <w:r>
        <w:rPr>
          <w:rFonts w:hint="eastAsia" w:ascii="黑体" w:hAnsi="黑体" w:eastAsia="黑体" w:cs="宋体"/>
          <w:b/>
          <w:bCs/>
          <w:color w:val="auto"/>
          <w:sz w:val="24"/>
          <w:highlight w:val="none"/>
        </w:rPr>
        <w:t xml:space="preserve"> 最后报价政府采购政策性扣除</w:t>
      </w:r>
    </w:p>
    <w:p w14:paraId="272F3B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6BDEB406">
      <w:pPr>
        <w:spacing w:line="360" w:lineRule="auto"/>
        <w:ind w:firstLine="420" w:firstLineChars="200"/>
        <w:rPr>
          <w:rFonts w:ascii="宋体" w:hAnsi="宋体" w:cs="宋体"/>
          <w:color w:val="auto"/>
          <w:highlight w:val="none"/>
        </w:rPr>
      </w:pPr>
      <w:r>
        <w:rPr>
          <w:rFonts w:ascii="宋体" w:hAnsi="宋体" w:cs="宋体"/>
          <w:color w:val="auto"/>
          <w:szCs w:val="21"/>
          <w:highlight w:val="none"/>
        </w:rPr>
        <w:t>6.2</w:t>
      </w:r>
      <w:r>
        <w:rPr>
          <w:rFonts w:hint="eastAsia" w:ascii="宋体" w:hAnsi="宋体" w:cs="宋体"/>
          <w:color w:val="auto"/>
          <w:highlight w:val="none"/>
        </w:rPr>
        <w:t>政策性扣除计算方法。</w:t>
      </w:r>
    </w:p>
    <w:p w14:paraId="24FC2373">
      <w:pPr>
        <w:spacing w:line="360" w:lineRule="auto"/>
        <w:ind w:firstLine="369" w:firstLineChars="176"/>
        <w:rPr>
          <w:rFonts w:ascii="宋体" w:hAnsi="宋体" w:cs="宋体"/>
          <w:color w:val="auto"/>
          <w:highlight w:val="none"/>
        </w:rPr>
      </w:pPr>
      <w:r>
        <w:rPr>
          <w:rFonts w:hint="eastAsia" w:ascii="宋体" w:hAnsi="宋体"/>
          <w:bCs/>
          <w:color w:val="auto"/>
          <w:szCs w:val="21"/>
          <w:highlight w:val="none"/>
        </w:rPr>
        <w:t>根据《政府采购促进中小企业发展管理办法》（财库〔2020〕46号）的规定</w:t>
      </w:r>
      <w:r>
        <w:rPr>
          <w:rFonts w:hint="eastAsia" w:ascii="宋体" w:hAnsi="宋体" w:cs="宋体"/>
          <w:color w:val="auto"/>
          <w:szCs w:val="21"/>
          <w:highlight w:val="none"/>
        </w:rPr>
        <w:t>，供应商在其响应文件中提供《中小企业声明函》，</w:t>
      </w:r>
      <w:r>
        <w:rPr>
          <w:rFonts w:hint="eastAsia" w:ascii="宋体" w:hAnsi="宋体"/>
          <w:bCs/>
          <w:color w:val="auto"/>
          <w:szCs w:val="21"/>
          <w:highlight w:val="none"/>
        </w:rPr>
        <w:t>且竞标货物由小微企业制造的，对供应商的竞标报价给予10%的扣除，扣除后的价格为评审价，即评审价=竞标报价×（1-1</w:t>
      </w:r>
      <w:r>
        <w:rPr>
          <w:rFonts w:ascii="宋体" w:hAnsi="宋体"/>
          <w:bCs/>
          <w:color w:val="auto"/>
          <w:szCs w:val="21"/>
          <w:highlight w:val="none"/>
        </w:rPr>
        <w:t>0</w:t>
      </w:r>
      <w:r>
        <w:rPr>
          <w:rFonts w:hint="eastAsia" w:ascii="宋体" w:hAnsi="宋体"/>
          <w:bCs/>
          <w:color w:val="auto"/>
          <w:szCs w:val="21"/>
          <w:highlight w:val="none"/>
        </w:rPr>
        <w:t>%）。</w:t>
      </w:r>
    </w:p>
    <w:p w14:paraId="727A8B6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F33BDE3">
      <w:pPr>
        <w:spacing w:line="360" w:lineRule="auto"/>
        <w:ind w:firstLine="420" w:firstLineChars="200"/>
        <w:rPr>
          <w:rFonts w:ascii="宋体" w:hAnsi="宋体" w:cs="宋体"/>
          <w:color w:val="auto"/>
          <w:highlight w:val="none"/>
        </w:rPr>
      </w:pPr>
      <w:r>
        <w:rPr>
          <w:rFonts w:ascii="宋体" w:hAnsi="宋体" w:cs="宋体"/>
          <w:color w:val="auto"/>
          <w:szCs w:val="21"/>
          <w:highlight w:val="none"/>
        </w:rPr>
        <w:t>6.4</w:t>
      </w:r>
      <w:r>
        <w:rPr>
          <w:rFonts w:hint="eastAsia" w:ascii="宋体" w:hAnsi="宋体" w:cs="宋体"/>
          <w:color w:val="auto"/>
          <w:szCs w:val="21"/>
          <w:highlight w:val="none"/>
        </w:rPr>
        <w:t>按照《关于促进残疾人就业政府采购政策的通知》（财库〔2017〕141号）的规定，残疾人福利性单位视同小型、微型企业，享受预留份额、评审中价格扣除等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2381E3C">
      <w:pPr>
        <w:spacing w:line="360" w:lineRule="auto"/>
        <w:ind w:firstLine="420" w:firstLineChars="200"/>
        <w:rPr>
          <w:rFonts w:ascii="宋体" w:hAnsi="宋体" w:cs="宋体"/>
          <w:color w:val="auto"/>
          <w:highlight w:val="none"/>
        </w:rPr>
      </w:pPr>
      <w:r>
        <w:rPr>
          <w:rFonts w:ascii="宋体" w:hAnsi="宋体" w:cs="宋体"/>
          <w:color w:val="auto"/>
          <w:highlight w:val="none"/>
        </w:rPr>
        <w:t>6.5</w:t>
      </w:r>
      <w:r>
        <w:rPr>
          <w:rFonts w:hint="eastAsia" w:ascii="宋体" w:hAnsi="宋体" w:cs="宋体"/>
          <w:color w:val="auto"/>
          <w:highlight w:val="none"/>
        </w:rPr>
        <w:t>除上述情况外，评审价＝最后报价。</w:t>
      </w:r>
    </w:p>
    <w:p w14:paraId="70085721">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二、评定成交的标准</w:t>
      </w:r>
    </w:p>
    <w:p w14:paraId="460BC11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 xml:space="preserve"> 成交候选人推荐</w:t>
      </w:r>
    </w:p>
    <w:p w14:paraId="12E60B94">
      <w:pPr>
        <w:spacing w:line="360" w:lineRule="auto"/>
        <w:ind w:firstLine="420" w:firstLineChars="200"/>
        <w:contextualSpacing/>
        <w:rPr>
          <w:rFonts w:hAnsi="宋体"/>
          <w:color w:val="auto"/>
          <w:highlight w:val="none"/>
        </w:rPr>
      </w:pPr>
      <w:r>
        <w:rPr>
          <w:rFonts w:hint="eastAsia" w:ascii="宋体" w:hAnsi="宋体" w:cs="宋体"/>
          <w:color w:val="auto"/>
          <w:highlight w:val="none"/>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color w:val="auto"/>
          <w:highlight w:val="none"/>
        </w:rPr>
        <w:t>6</w:t>
      </w:r>
      <w:r>
        <w:rPr>
          <w:rFonts w:hint="eastAsia" w:ascii="宋体" w:hAnsi="宋体" w:cs="宋体"/>
          <w:color w:val="auto"/>
          <w:highlight w:val="none"/>
        </w:rPr>
        <w:t>条规定的顺序推荐），并编写评审报告，评审报告</w:t>
      </w:r>
      <w:r>
        <w:rPr>
          <w:rFonts w:hint="eastAsia" w:hAnsi="宋体"/>
          <w:color w:val="auto"/>
          <w:highlight w:val="none"/>
        </w:rPr>
        <w:t>通过电子交易平台向采购人、采购代理机构提交。</w:t>
      </w:r>
    </w:p>
    <w:p w14:paraId="2DA8C186">
      <w:pPr>
        <w:spacing w:line="360" w:lineRule="auto"/>
        <w:ind w:firstLine="420" w:firstLineChars="200"/>
        <w:contextualSpacing/>
        <w:rPr>
          <w:rFonts w:hAnsi="宋体"/>
          <w:color w:val="auto"/>
          <w:highlight w:val="none"/>
        </w:rPr>
      </w:pPr>
    </w:p>
    <w:p w14:paraId="6483F6F8">
      <w:pPr>
        <w:spacing w:line="360" w:lineRule="auto"/>
        <w:ind w:firstLine="420" w:firstLineChars="200"/>
        <w:contextualSpacing/>
        <w:rPr>
          <w:rFonts w:hAnsi="宋体"/>
          <w:color w:val="auto"/>
          <w:highlight w:val="none"/>
        </w:rPr>
      </w:pPr>
    </w:p>
    <w:p w14:paraId="30E872CB">
      <w:pPr>
        <w:spacing w:line="360" w:lineRule="auto"/>
        <w:ind w:firstLine="420" w:firstLineChars="200"/>
        <w:contextualSpacing/>
        <w:rPr>
          <w:rFonts w:hAnsi="宋体"/>
          <w:color w:val="auto"/>
          <w:highlight w:val="none"/>
        </w:rPr>
      </w:pPr>
    </w:p>
    <w:p w14:paraId="2CC6D058">
      <w:pPr>
        <w:spacing w:line="360" w:lineRule="auto"/>
        <w:ind w:firstLine="420" w:firstLineChars="200"/>
        <w:contextualSpacing/>
        <w:rPr>
          <w:rFonts w:hAnsi="宋体"/>
          <w:color w:val="auto"/>
          <w:highlight w:val="none"/>
        </w:rPr>
      </w:pPr>
    </w:p>
    <w:p w14:paraId="3BDC33F5">
      <w:pPr>
        <w:spacing w:line="360" w:lineRule="auto"/>
        <w:ind w:firstLine="420" w:firstLineChars="200"/>
        <w:contextualSpacing/>
        <w:rPr>
          <w:rFonts w:hAnsi="宋体"/>
          <w:color w:val="auto"/>
          <w:highlight w:val="none"/>
        </w:rPr>
      </w:pPr>
    </w:p>
    <w:p w14:paraId="57BC67F4">
      <w:pPr>
        <w:pStyle w:val="3"/>
        <w:jc w:val="center"/>
        <w:rPr>
          <w:color w:val="auto"/>
          <w:highlight w:val="none"/>
        </w:rPr>
      </w:pPr>
      <w:bookmarkStart w:id="66" w:name="_Toc168674249"/>
      <w:r>
        <w:rPr>
          <w:rFonts w:hint="eastAsia"/>
          <w:color w:val="auto"/>
          <w:highlight w:val="none"/>
        </w:rPr>
        <w:t>第五章 响应文件格式</w:t>
      </w:r>
      <w:bookmarkEnd w:id="66"/>
    </w:p>
    <w:p w14:paraId="697AA5A7">
      <w:pPr>
        <w:rPr>
          <w:b/>
          <w:color w:val="auto"/>
          <w:sz w:val="32"/>
          <w:szCs w:val="32"/>
          <w:highlight w:val="none"/>
        </w:rPr>
      </w:pPr>
      <w:bookmarkStart w:id="67" w:name="_Toc71366060"/>
      <w:bookmarkStart w:id="68" w:name="_Toc71365382"/>
      <w:r>
        <w:rPr>
          <w:rFonts w:hint="eastAsia"/>
          <w:b/>
          <w:color w:val="auto"/>
          <w:sz w:val="32"/>
          <w:szCs w:val="32"/>
          <w:highlight w:val="none"/>
        </w:rPr>
        <w:t>一、资格证明文件格式</w:t>
      </w:r>
      <w:bookmarkEnd w:id="67"/>
      <w:bookmarkEnd w:id="68"/>
    </w:p>
    <w:p w14:paraId="07A97693">
      <w:pPr>
        <w:snapToGrid w:val="0"/>
        <w:spacing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5B50A46A">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49EFA511">
      <w:pPr>
        <w:snapToGrid w:val="0"/>
        <w:spacing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01C2D71E">
      <w:pPr>
        <w:snapToGrid w:val="0"/>
        <w:spacing w:beforeLines="50" w:after="50"/>
        <w:rPr>
          <w:rFonts w:ascii="宋体" w:hAnsi="宋体"/>
          <w:color w:val="auto"/>
          <w:sz w:val="24"/>
          <w:szCs w:val="20"/>
          <w:highlight w:val="none"/>
        </w:rPr>
      </w:pPr>
    </w:p>
    <w:p w14:paraId="24A0AA70">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0AB64E73">
      <w:pPr>
        <w:snapToGrid w:val="0"/>
        <w:spacing w:beforeLines="50" w:after="50"/>
        <w:rPr>
          <w:rFonts w:ascii="宋体" w:hAnsi="宋体"/>
          <w:bCs/>
          <w:color w:val="auto"/>
          <w:sz w:val="24"/>
          <w:szCs w:val="20"/>
          <w:highlight w:val="none"/>
        </w:rPr>
      </w:pPr>
    </w:p>
    <w:p w14:paraId="2DF6B7B1">
      <w:pPr>
        <w:snapToGrid w:val="0"/>
        <w:spacing w:beforeLines="50" w:after="50"/>
        <w:rPr>
          <w:rFonts w:ascii="宋体" w:hAnsi="宋体"/>
          <w:bCs/>
          <w:color w:val="auto"/>
          <w:sz w:val="24"/>
          <w:szCs w:val="20"/>
          <w:highlight w:val="none"/>
        </w:rPr>
      </w:pPr>
    </w:p>
    <w:p w14:paraId="615C1E44">
      <w:pPr>
        <w:snapToGrid w:val="0"/>
        <w:spacing w:beforeLines="50" w:after="50"/>
        <w:rPr>
          <w:rFonts w:ascii="宋体" w:hAnsi="宋体"/>
          <w:bCs/>
          <w:color w:val="auto"/>
          <w:sz w:val="24"/>
          <w:szCs w:val="20"/>
          <w:highlight w:val="none"/>
        </w:rPr>
      </w:pPr>
    </w:p>
    <w:p w14:paraId="1B74DAE6">
      <w:pPr>
        <w:snapToGrid w:val="0"/>
        <w:spacing w:beforeLines="50" w:after="50"/>
        <w:rPr>
          <w:rFonts w:ascii="宋体" w:hAnsi="宋体"/>
          <w:bCs/>
          <w:color w:val="auto"/>
          <w:sz w:val="24"/>
          <w:szCs w:val="20"/>
          <w:highlight w:val="none"/>
        </w:rPr>
      </w:pPr>
    </w:p>
    <w:p w14:paraId="61640F87">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B9E50D0">
      <w:pPr>
        <w:snapToGrid w:val="0"/>
        <w:spacing w:beforeLines="50" w:after="50"/>
        <w:ind w:firstLine="720" w:firstLineChars="225"/>
        <w:rPr>
          <w:rFonts w:ascii="宋体" w:hAnsi="宋体" w:cs="仿宋_GB2312"/>
          <w:bCs/>
          <w:color w:val="auto"/>
          <w:sz w:val="32"/>
          <w:szCs w:val="32"/>
          <w:highlight w:val="none"/>
        </w:rPr>
      </w:pPr>
    </w:p>
    <w:p w14:paraId="3D683D84">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8F4E9F4">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23BE197">
      <w:pPr>
        <w:pStyle w:val="7"/>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71FB3A4">
      <w:pPr>
        <w:snapToGrid w:val="0"/>
        <w:spacing w:beforeLines="50" w:after="50"/>
        <w:ind w:firstLine="640" w:firstLineChars="200"/>
        <w:rPr>
          <w:rFonts w:ascii="宋体" w:hAnsi="宋体" w:cs="仿宋_GB2312"/>
          <w:bCs/>
          <w:color w:val="auto"/>
          <w:sz w:val="32"/>
          <w:szCs w:val="32"/>
          <w:highlight w:val="none"/>
        </w:rPr>
      </w:pPr>
    </w:p>
    <w:p w14:paraId="1DC3C762">
      <w:pPr>
        <w:pStyle w:val="7"/>
        <w:snapToGrid w:val="0"/>
        <w:spacing w:before="50" w:after="50"/>
        <w:ind w:firstLine="1280" w:firstLineChars="400"/>
        <w:rPr>
          <w:rFonts w:ascii="宋体" w:hAnsi="宋体" w:cs="仿宋_GB2312"/>
          <w:bCs/>
          <w:color w:val="auto"/>
          <w:sz w:val="32"/>
          <w:szCs w:val="32"/>
          <w:highlight w:val="none"/>
        </w:rPr>
      </w:pPr>
    </w:p>
    <w:p w14:paraId="6CE8894B">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D562600">
      <w:pPr>
        <w:snapToGrid w:val="0"/>
        <w:spacing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11EC8BA2">
      <w:pPr>
        <w:snapToGrid w:val="0"/>
        <w:spacing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4CC38128">
      <w:pPr>
        <w:snapToGrid w:val="0"/>
        <w:spacing w:beforeLines="50" w:after="50" w:line="360" w:lineRule="auto"/>
        <w:rPr>
          <w:rFonts w:ascii="宋体" w:hAnsi="宋体"/>
          <w:color w:val="auto"/>
          <w:sz w:val="24"/>
          <w:szCs w:val="20"/>
          <w:highlight w:val="none"/>
        </w:rPr>
      </w:pPr>
      <w:r>
        <w:rPr>
          <w:rFonts w:ascii="宋体" w:hAnsi="宋体"/>
          <w:color w:val="auto"/>
          <w:sz w:val="24"/>
          <w:szCs w:val="20"/>
          <w:highlight w:val="none"/>
        </w:rPr>
        <w:t xml:space="preserve"> </w:t>
      </w:r>
    </w:p>
    <w:p w14:paraId="5F55DF40">
      <w:pPr>
        <w:spacing w:line="360" w:lineRule="auto"/>
        <w:rPr>
          <w:rFonts w:ascii="宋体" w:hAnsi="宋体"/>
          <w:color w:val="auto"/>
          <w:szCs w:val="21"/>
          <w:highlight w:val="none"/>
        </w:rPr>
      </w:pPr>
    </w:p>
    <w:p w14:paraId="1DDF62FB">
      <w:pPr>
        <w:spacing w:line="360" w:lineRule="auto"/>
        <w:rPr>
          <w:rFonts w:ascii="宋体" w:hAnsi="宋体"/>
          <w:color w:val="auto"/>
          <w:szCs w:val="21"/>
          <w:highlight w:val="none"/>
        </w:rPr>
      </w:pPr>
    </w:p>
    <w:p w14:paraId="2638889F">
      <w:pPr>
        <w:spacing w:line="360" w:lineRule="auto"/>
        <w:rPr>
          <w:rFonts w:ascii="宋体" w:hAnsi="宋体"/>
          <w:color w:val="auto"/>
          <w:szCs w:val="21"/>
          <w:highlight w:val="none"/>
        </w:rPr>
      </w:pPr>
    </w:p>
    <w:p w14:paraId="0C88AFA2">
      <w:pPr>
        <w:spacing w:line="360" w:lineRule="auto"/>
        <w:rPr>
          <w:rFonts w:ascii="宋体" w:hAnsi="宋体"/>
          <w:color w:val="auto"/>
          <w:szCs w:val="21"/>
          <w:highlight w:val="none"/>
        </w:rPr>
      </w:pPr>
    </w:p>
    <w:p w14:paraId="53200BAD">
      <w:pPr>
        <w:spacing w:line="300" w:lineRule="auto"/>
        <w:rPr>
          <w:rFonts w:ascii="宋体" w:hAnsi="宋体"/>
          <w:color w:val="auto"/>
          <w:szCs w:val="21"/>
          <w:highlight w:val="none"/>
        </w:rPr>
      </w:pPr>
    </w:p>
    <w:p w14:paraId="33D8C4AA">
      <w:pPr>
        <w:spacing w:line="300" w:lineRule="auto"/>
        <w:rPr>
          <w:rFonts w:ascii="宋体" w:hAnsi="宋体"/>
          <w:color w:val="auto"/>
          <w:szCs w:val="21"/>
          <w:highlight w:val="none"/>
        </w:rPr>
      </w:pPr>
    </w:p>
    <w:p w14:paraId="07E2C297">
      <w:pPr>
        <w:spacing w:line="300" w:lineRule="auto"/>
        <w:rPr>
          <w:rFonts w:ascii="宋体" w:hAnsi="宋体"/>
          <w:color w:val="auto"/>
          <w:szCs w:val="21"/>
          <w:highlight w:val="none"/>
        </w:rPr>
      </w:pPr>
    </w:p>
    <w:p w14:paraId="774C2A4D">
      <w:pPr>
        <w:spacing w:line="300" w:lineRule="auto"/>
        <w:rPr>
          <w:rFonts w:ascii="宋体" w:hAnsi="宋体"/>
          <w:color w:val="auto"/>
          <w:szCs w:val="21"/>
          <w:highlight w:val="none"/>
        </w:rPr>
      </w:pPr>
    </w:p>
    <w:p w14:paraId="590DE0D8">
      <w:pPr>
        <w:spacing w:line="300" w:lineRule="auto"/>
        <w:rPr>
          <w:rFonts w:ascii="宋体" w:hAnsi="宋体"/>
          <w:color w:val="auto"/>
          <w:szCs w:val="21"/>
          <w:highlight w:val="none"/>
        </w:rPr>
      </w:pPr>
    </w:p>
    <w:p w14:paraId="4F217FA7">
      <w:pPr>
        <w:spacing w:line="300" w:lineRule="auto"/>
        <w:rPr>
          <w:rFonts w:ascii="宋体" w:hAnsi="宋体"/>
          <w:color w:val="auto"/>
          <w:szCs w:val="21"/>
          <w:highlight w:val="none"/>
        </w:rPr>
      </w:pPr>
    </w:p>
    <w:p w14:paraId="11D10951">
      <w:pPr>
        <w:spacing w:line="300" w:lineRule="auto"/>
        <w:rPr>
          <w:rFonts w:ascii="宋体" w:hAnsi="宋体"/>
          <w:color w:val="auto"/>
          <w:szCs w:val="21"/>
          <w:highlight w:val="none"/>
        </w:rPr>
      </w:pPr>
    </w:p>
    <w:p w14:paraId="1C9E25E4">
      <w:pPr>
        <w:spacing w:line="300" w:lineRule="auto"/>
        <w:rPr>
          <w:rFonts w:ascii="宋体" w:hAnsi="宋体"/>
          <w:color w:val="auto"/>
          <w:szCs w:val="21"/>
          <w:highlight w:val="none"/>
        </w:rPr>
      </w:pPr>
    </w:p>
    <w:p w14:paraId="0BD9C42E">
      <w:pPr>
        <w:spacing w:line="300" w:lineRule="auto"/>
        <w:rPr>
          <w:rFonts w:ascii="宋体" w:hAnsi="宋体"/>
          <w:color w:val="auto"/>
          <w:szCs w:val="21"/>
          <w:highlight w:val="none"/>
        </w:rPr>
      </w:pPr>
    </w:p>
    <w:p w14:paraId="06ADF9C0">
      <w:pPr>
        <w:spacing w:line="300" w:lineRule="auto"/>
        <w:rPr>
          <w:rFonts w:ascii="宋体" w:hAnsi="宋体"/>
          <w:color w:val="auto"/>
          <w:szCs w:val="21"/>
          <w:highlight w:val="none"/>
        </w:rPr>
      </w:pPr>
    </w:p>
    <w:p w14:paraId="32C45F1E">
      <w:pPr>
        <w:spacing w:line="300" w:lineRule="auto"/>
        <w:rPr>
          <w:rFonts w:ascii="宋体" w:hAnsi="宋体"/>
          <w:color w:val="auto"/>
          <w:szCs w:val="21"/>
          <w:highlight w:val="none"/>
        </w:rPr>
      </w:pPr>
    </w:p>
    <w:p w14:paraId="1F3A2553">
      <w:pPr>
        <w:spacing w:line="320" w:lineRule="exact"/>
        <w:jc w:val="left"/>
        <w:rPr>
          <w:rFonts w:ascii="宋体" w:hAnsi="宋体"/>
          <w:color w:val="auto"/>
          <w:szCs w:val="21"/>
          <w:highlight w:val="none"/>
        </w:rPr>
      </w:pPr>
    </w:p>
    <w:p w14:paraId="1C5E85C3">
      <w:pPr>
        <w:spacing w:line="32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防城港市政府采购供应商信用承诺函（格式）</w:t>
      </w:r>
    </w:p>
    <w:p w14:paraId="6C1FF832">
      <w:pPr>
        <w:spacing w:line="320" w:lineRule="exact"/>
        <w:jc w:val="left"/>
        <w:rPr>
          <w:rFonts w:ascii="宋体" w:hAnsi="宋体"/>
          <w:color w:val="auto"/>
          <w:szCs w:val="21"/>
          <w:highlight w:val="none"/>
        </w:rPr>
      </w:pPr>
    </w:p>
    <w:p w14:paraId="18719A8D">
      <w:pPr>
        <w:spacing w:line="360" w:lineRule="auto"/>
        <w:jc w:val="left"/>
        <w:rPr>
          <w:rFonts w:ascii="宋体" w:hAnsi="宋体"/>
          <w:color w:val="auto"/>
          <w:sz w:val="24"/>
          <w:highlight w:val="none"/>
        </w:rPr>
      </w:pPr>
      <w:r>
        <w:rPr>
          <w:rFonts w:hint="eastAsia" w:ascii="宋体" w:hAnsi="宋体"/>
          <w:color w:val="auto"/>
          <w:sz w:val="24"/>
          <w:highlight w:val="none"/>
        </w:rPr>
        <w:t>致（采购人或采购代理机构） ：</w:t>
      </w:r>
    </w:p>
    <w:p w14:paraId="2B8F3318">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我方自愿参加</w:t>
      </w:r>
      <w:r>
        <w:rPr>
          <w:rFonts w:hint="eastAsia" w:ascii="宋体" w:hAnsi="宋体"/>
          <w:color w:val="auto"/>
          <w:sz w:val="24"/>
          <w:highlight w:val="none"/>
          <w:u w:val="single"/>
        </w:rPr>
        <w:t xml:space="preserve"> （项目名称） </w:t>
      </w:r>
      <w:r>
        <w:rPr>
          <w:rFonts w:hint="eastAsia" w:ascii="宋体" w:hAnsi="宋体"/>
          <w:color w:val="auto"/>
          <w:sz w:val="24"/>
          <w:highlight w:val="none"/>
        </w:rPr>
        <w:t>项目（</w:t>
      </w:r>
      <w:r>
        <w:rPr>
          <w:rFonts w:hint="eastAsia" w:ascii="宋体" w:hAnsi="宋体"/>
          <w:color w:val="auto"/>
          <w:sz w:val="24"/>
          <w:highlight w:val="none"/>
          <w:u w:val="single"/>
        </w:rPr>
        <w:t xml:space="preserve">项目编号：         </w:t>
      </w:r>
      <w:r>
        <w:rPr>
          <w:rFonts w:hint="eastAsia" w:ascii="宋体" w:hAnsi="宋体"/>
          <w:color w:val="auto"/>
          <w:sz w:val="24"/>
          <w:highlight w:val="none"/>
        </w:rPr>
        <w:t xml:space="preserve">）的政府采购活动，严格遵守《中华人民共和国政府采购法》及相关法律法规，依法诚信经营，无条件遵守本次政府采购活动的各项规定，并郑重承诺： </w:t>
      </w:r>
    </w:p>
    <w:p w14:paraId="17BE7A9D">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1.我方具有符合采购文件资格要求的财务状况报告。 </w:t>
      </w:r>
    </w:p>
    <w:p w14:paraId="1586389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2.我方具有符合采购文件资格要求的依法缴纳税收和社会保障资金的良好记录。 </w:t>
      </w:r>
    </w:p>
    <w:p w14:paraId="5D0BAEEA">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3.我方参加政府采购活动前三年内在经营活动中没有重大违法记录。 </w:t>
      </w:r>
    </w:p>
    <w:p w14:paraId="6EFBCAD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我方对以上承诺内容的真实性负责。如有虚假，将依法承担相应责任。</w:t>
      </w:r>
    </w:p>
    <w:p w14:paraId="2134D82A">
      <w:pPr>
        <w:spacing w:line="360" w:lineRule="auto"/>
        <w:jc w:val="left"/>
        <w:rPr>
          <w:rFonts w:ascii="宋体" w:hAnsi="宋体"/>
          <w:color w:val="auto"/>
          <w:sz w:val="24"/>
          <w:highlight w:val="none"/>
        </w:rPr>
      </w:pPr>
    </w:p>
    <w:p w14:paraId="23D5FE8A">
      <w:pPr>
        <w:spacing w:line="360" w:lineRule="auto"/>
        <w:jc w:val="left"/>
        <w:rPr>
          <w:rFonts w:ascii="宋体" w:hAnsi="宋体"/>
          <w:color w:val="auto"/>
          <w:sz w:val="24"/>
          <w:highlight w:val="none"/>
        </w:rPr>
      </w:pPr>
    </w:p>
    <w:p w14:paraId="583E304B">
      <w:pPr>
        <w:spacing w:line="360" w:lineRule="auto"/>
        <w:jc w:val="left"/>
        <w:rPr>
          <w:rFonts w:ascii="宋体" w:hAnsi="宋体"/>
          <w:color w:val="auto"/>
          <w:sz w:val="24"/>
          <w:highlight w:val="none"/>
        </w:rPr>
      </w:pPr>
      <w:r>
        <w:rPr>
          <w:rFonts w:hint="eastAsia" w:ascii="宋体" w:hAnsi="宋体"/>
          <w:color w:val="auto"/>
          <w:sz w:val="24"/>
          <w:highlight w:val="none"/>
        </w:rPr>
        <w:t>供应商名称（电子签章）：</w:t>
      </w:r>
    </w:p>
    <w:p w14:paraId="244F6562">
      <w:pPr>
        <w:spacing w:line="360" w:lineRule="auto"/>
        <w:jc w:val="left"/>
        <w:rPr>
          <w:rFonts w:ascii="宋体" w:hAnsi="宋体"/>
          <w:color w:val="auto"/>
          <w:sz w:val="24"/>
          <w:highlight w:val="none"/>
        </w:rPr>
      </w:pPr>
      <w:r>
        <w:rPr>
          <w:rFonts w:hint="eastAsia" w:ascii="宋体" w:hAnsi="宋体"/>
          <w:color w:val="auto"/>
          <w:sz w:val="24"/>
          <w:highlight w:val="none"/>
        </w:rPr>
        <w:t>统一社会信用代码：</w:t>
      </w:r>
    </w:p>
    <w:p w14:paraId="725BC458">
      <w:pPr>
        <w:spacing w:line="360" w:lineRule="auto"/>
        <w:jc w:val="left"/>
        <w:rPr>
          <w:rFonts w:ascii="宋体" w:hAnsi="宋体"/>
          <w:color w:val="auto"/>
          <w:sz w:val="24"/>
          <w:highlight w:val="none"/>
        </w:rPr>
      </w:pPr>
      <w:r>
        <w:rPr>
          <w:rFonts w:hint="eastAsia" w:ascii="宋体" w:hAnsi="宋体"/>
          <w:color w:val="auto"/>
          <w:sz w:val="24"/>
          <w:highlight w:val="none"/>
        </w:rPr>
        <w:t>法定代表人或授权代表(签字或者电子签名)：</w:t>
      </w:r>
    </w:p>
    <w:p w14:paraId="5A7CB97A">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5983A0E8">
      <w:pPr>
        <w:spacing w:line="360" w:lineRule="auto"/>
        <w:jc w:val="left"/>
        <w:rPr>
          <w:rFonts w:ascii="宋体" w:hAnsi="宋体"/>
          <w:color w:val="auto"/>
          <w:sz w:val="24"/>
          <w:highlight w:val="none"/>
        </w:rPr>
      </w:pPr>
    </w:p>
    <w:p w14:paraId="46352243">
      <w:pPr>
        <w:spacing w:line="360" w:lineRule="auto"/>
        <w:jc w:val="left"/>
        <w:rPr>
          <w:rFonts w:ascii="宋体" w:hAnsi="宋体"/>
          <w:color w:val="auto"/>
          <w:sz w:val="24"/>
          <w:highlight w:val="none"/>
        </w:rPr>
      </w:pPr>
      <w:r>
        <w:rPr>
          <w:rFonts w:hint="eastAsia" w:ascii="宋体" w:hAnsi="宋体"/>
          <w:color w:val="auto"/>
          <w:sz w:val="24"/>
          <w:highlight w:val="none"/>
        </w:rPr>
        <w:t>注：1.供应商须在响应文件中按此模板提供承诺函，未提供视为未实质性响应采购文件要求，按无效响应处理。</w:t>
      </w:r>
    </w:p>
    <w:p w14:paraId="776A47AF">
      <w:pPr>
        <w:spacing w:line="360" w:lineRule="auto"/>
        <w:jc w:val="left"/>
        <w:rPr>
          <w:rFonts w:ascii="宋体" w:hAnsi="宋体"/>
          <w:color w:val="auto"/>
          <w:sz w:val="24"/>
          <w:highlight w:val="none"/>
        </w:rPr>
      </w:pPr>
      <w:r>
        <w:rPr>
          <w:rFonts w:hint="eastAsia" w:ascii="宋体" w:hAnsi="宋体"/>
          <w:color w:val="auto"/>
          <w:sz w:val="24"/>
          <w:highlight w:val="none"/>
        </w:rPr>
        <w:t>2.供应商的法定代表人（其他组织的为负责人）或者授权代表的签名或盖章应真实、有效，如由授权代表签名或盖章的，应提供“法定代表人授权书”。</w:t>
      </w:r>
    </w:p>
    <w:p w14:paraId="0EC7BB9A">
      <w:pPr>
        <w:snapToGrid w:val="0"/>
        <w:spacing w:beforeLines="50" w:after="50"/>
        <w:jc w:val="center"/>
        <w:rPr>
          <w:rFonts w:ascii="宋体" w:hAnsi="宋体"/>
          <w:b/>
          <w:color w:val="auto"/>
          <w:sz w:val="32"/>
          <w:szCs w:val="32"/>
          <w:highlight w:val="none"/>
        </w:rPr>
      </w:pPr>
    </w:p>
    <w:p w14:paraId="7C9F1607">
      <w:pPr>
        <w:snapToGrid w:val="0"/>
        <w:spacing w:beforeLines="50" w:after="50"/>
        <w:jc w:val="center"/>
        <w:rPr>
          <w:rFonts w:ascii="宋体" w:hAnsi="宋体"/>
          <w:b/>
          <w:color w:val="auto"/>
          <w:sz w:val="32"/>
          <w:szCs w:val="32"/>
          <w:highlight w:val="none"/>
        </w:rPr>
      </w:pPr>
    </w:p>
    <w:p w14:paraId="189E2F90">
      <w:pPr>
        <w:snapToGrid w:val="0"/>
        <w:spacing w:beforeLines="50" w:after="50"/>
        <w:jc w:val="center"/>
        <w:rPr>
          <w:rFonts w:ascii="宋体" w:hAnsi="宋体"/>
          <w:b/>
          <w:color w:val="auto"/>
          <w:sz w:val="32"/>
          <w:szCs w:val="32"/>
          <w:highlight w:val="none"/>
        </w:rPr>
      </w:pPr>
    </w:p>
    <w:p w14:paraId="49719CDD">
      <w:pPr>
        <w:snapToGrid w:val="0"/>
        <w:spacing w:beforeLines="50" w:after="50"/>
        <w:jc w:val="center"/>
        <w:rPr>
          <w:rFonts w:ascii="宋体" w:hAnsi="宋体"/>
          <w:b/>
          <w:color w:val="auto"/>
          <w:sz w:val="32"/>
          <w:szCs w:val="32"/>
          <w:highlight w:val="none"/>
        </w:rPr>
      </w:pPr>
    </w:p>
    <w:p w14:paraId="1D271709">
      <w:pPr>
        <w:snapToGrid w:val="0"/>
        <w:spacing w:beforeLines="50" w:after="50"/>
        <w:jc w:val="center"/>
        <w:rPr>
          <w:rFonts w:ascii="宋体" w:hAnsi="宋体"/>
          <w:b/>
          <w:color w:val="auto"/>
          <w:sz w:val="32"/>
          <w:szCs w:val="32"/>
          <w:highlight w:val="none"/>
        </w:rPr>
      </w:pPr>
    </w:p>
    <w:p w14:paraId="5D74DA16">
      <w:pPr>
        <w:snapToGrid w:val="0"/>
        <w:spacing w:beforeLines="50" w:after="50"/>
        <w:jc w:val="center"/>
        <w:rPr>
          <w:rFonts w:ascii="宋体" w:hAnsi="宋体"/>
          <w:b/>
          <w:color w:val="auto"/>
          <w:sz w:val="32"/>
          <w:szCs w:val="32"/>
          <w:highlight w:val="none"/>
        </w:rPr>
      </w:pPr>
    </w:p>
    <w:p w14:paraId="3691DBAE">
      <w:pPr>
        <w:snapToGrid w:val="0"/>
        <w:spacing w:beforeLines="50" w:after="50"/>
        <w:jc w:val="center"/>
        <w:rPr>
          <w:rFonts w:ascii="宋体" w:hAnsi="宋体"/>
          <w:b/>
          <w:color w:val="auto"/>
          <w:sz w:val="32"/>
          <w:szCs w:val="32"/>
          <w:highlight w:val="none"/>
        </w:rPr>
      </w:pPr>
    </w:p>
    <w:p w14:paraId="5BE36616">
      <w:pPr>
        <w:snapToGrid w:val="0"/>
        <w:spacing w:beforeLines="50" w:after="50"/>
        <w:jc w:val="center"/>
        <w:rPr>
          <w:rFonts w:ascii="宋体" w:hAnsi="宋体"/>
          <w:b/>
          <w:color w:val="auto"/>
          <w:sz w:val="32"/>
          <w:szCs w:val="32"/>
          <w:highlight w:val="none"/>
        </w:rPr>
      </w:pPr>
    </w:p>
    <w:p w14:paraId="4AA509E2">
      <w:pPr>
        <w:snapToGrid w:val="0"/>
        <w:spacing w:beforeLines="50" w:after="50"/>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585CDC53">
      <w:pPr>
        <w:snapToGrid w:val="0"/>
        <w:spacing w:beforeLines="50" w:after="50"/>
        <w:jc w:val="center"/>
        <w:rPr>
          <w:rFonts w:ascii="宋体" w:hAnsi="宋体"/>
          <w:b/>
          <w:color w:val="auto"/>
          <w:sz w:val="32"/>
          <w:szCs w:val="32"/>
          <w:highlight w:val="none"/>
        </w:rPr>
      </w:pPr>
    </w:p>
    <w:p w14:paraId="27B39BE7">
      <w:pPr>
        <w:snapToGrid w:val="0"/>
        <w:spacing w:beforeLines="50" w:after="50"/>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16F9C2AD">
      <w:pPr>
        <w:snapToGrid w:val="0"/>
        <w:spacing w:before="50" w:afterLines="50"/>
        <w:jc w:val="center"/>
        <w:rPr>
          <w:rFonts w:ascii="宋体" w:hAnsi="宋体"/>
          <w:b/>
          <w:color w:val="auto"/>
          <w:sz w:val="32"/>
          <w:szCs w:val="32"/>
          <w:highlight w:val="none"/>
        </w:rPr>
      </w:pPr>
    </w:p>
    <w:tbl>
      <w:tblPr>
        <w:tblStyle w:val="26"/>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0B75F94">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B58DB95">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069B07B">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D75EB40">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949FD82">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03582DB">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2C011B9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97E338">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F79436">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363994">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91B0C6">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F16FCE">
            <w:pPr>
              <w:widowControl/>
              <w:spacing w:line="360" w:lineRule="auto"/>
              <w:jc w:val="center"/>
              <w:rPr>
                <w:rFonts w:ascii="宋体" w:hAnsi="宋体" w:cs="宋体"/>
                <w:color w:val="auto"/>
                <w:kern w:val="0"/>
                <w:sz w:val="28"/>
                <w:szCs w:val="28"/>
                <w:highlight w:val="none"/>
              </w:rPr>
            </w:pPr>
          </w:p>
        </w:tc>
      </w:tr>
      <w:tr w14:paraId="1AB3FBC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7EF601">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AB5177">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BD4691">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19EA92">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462676">
            <w:pPr>
              <w:widowControl/>
              <w:spacing w:line="360" w:lineRule="auto"/>
              <w:jc w:val="center"/>
              <w:rPr>
                <w:rFonts w:ascii="宋体" w:hAnsi="宋体" w:cs="宋体"/>
                <w:color w:val="auto"/>
                <w:kern w:val="0"/>
                <w:sz w:val="28"/>
                <w:szCs w:val="28"/>
                <w:highlight w:val="none"/>
              </w:rPr>
            </w:pPr>
          </w:p>
        </w:tc>
      </w:tr>
      <w:tr w14:paraId="02E6CC7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1EA844">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848263">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D3288E">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504169">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AF16A9">
            <w:pPr>
              <w:widowControl/>
              <w:spacing w:line="360" w:lineRule="auto"/>
              <w:jc w:val="center"/>
              <w:rPr>
                <w:rFonts w:ascii="宋体" w:hAnsi="宋体" w:cs="宋体"/>
                <w:color w:val="auto"/>
                <w:kern w:val="0"/>
                <w:sz w:val="28"/>
                <w:szCs w:val="28"/>
                <w:highlight w:val="none"/>
              </w:rPr>
            </w:pPr>
          </w:p>
        </w:tc>
      </w:tr>
      <w:tr w14:paraId="425F20A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7DB6CC">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84A3AB">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A296C7">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DC08AB">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55764A">
            <w:pPr>
              <w:widowControl/>
              <w:spacing w:line="360" w:lineRule="auto"/>
              <w:jc w:val="center"/>
              <w:rPr>
                <w:rFonts w:ascii="宋体" w:hAnsi="宋体" w:cs="宋体"/>
                <w:color w:val="auto"/>
                <w:kern w:val="0"/>
                <w:sz w:val="28"/>
                <w:szCs w:val="28"/>
                <w:highlight w:val="none"/>
              </w:rPr>
            </w:pPr>
          </w:p>
        </w:tc>
      </w:tr>
    </w:tbl>
    <w:p w14:paraId="357A5CE6">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71B1EEB7">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9995A10">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7A15B80">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536A4361">
      <w:pPr>
        <w:spacing w:line="360" w:lineRule="auto"/>
        <w:ind w:firstLine="420" w:firstLineChars="200"/>
        <w:contextualSpacing/>
        <w:jc w:val="left"/>
        <w:rPr>
          <w:rFonts w:ascii="宋体" w:hAnsi="宋体" w:cs="宋体"/>
          <w:color w:val="auto"/>
          <w:szCs w:val="21"/>
          <w:highlight w:val="none"/>
        </w:rPr>
      </w:pPr>
    </w:p>
    <w:p w14:paraId="612CA07C">
      <w:pPr>
        <w:spacing w:line="360" w:lineRule="auto"/>
        <w:ind w:firstLine="560" w:firstLineChars="200"/>
        <w:contextualSpacing/>
        <w:jc w:val="left"/>
        <w:rPr>
          <w:rFonts w:ascii="宋体" w:hAnsi="宋体" w:cs="宋体"/>
          <w:color w:val="auto"/>
          <w:sz w:val="28"/>
          <w:szCs w:val="28"/>
          <w:highlight w:val="none"/>
        </w:rPr>
      </w:pPr>
    </w:p>
    <w:p w14:paraId="05F63DC5">
      <w:pPr>
        <w:spacing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1ABF5B01">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5A6DE168">
      <w:pPr>
        <w:spacing w:line="360" w:lineRule="auto"/>
        <w:ind w:right="480" w:firstLine="5280" w:firstLineChars="2200"/>
        <w:contextualSpacing/>
        <w:rPr>
          <w:rFonts w:ascii="宋体" w:hAnsi="宋体" w:cs="宋体"/>
          <w:color w:val="auto"/>
          <w:sz w:val="28"/>
          <w:szCs w:val="28"/>
          <w:highlight w:val="none"/>
        </w:rPr>
      </w:pPr>
      <w:r>
        <w:rPr>
          <w:rFonts w:hint="eastAsia" w:ascii="宋体" w:hAnsi="宋体" w:cs="宋体"/>
          <w:color w:val="auto"/>
          <w:sz w:val="24"/>
          <w:highlight w:val="none"/>
        </w:rPr>
        <w:t>年    月    日</w:t>
      </w:r>
    </w:p>
    <w:p w14:paraId="7CD0A44F">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61D83C1B">
      <w:pPr>
        <w:snapToGrid w:val="0"/>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78CE5CEA">
      <w:pPr>
        <w:snapToGrid w:val="0"/>
        <w:jc w:val="center"/>
        <w:rPr>
          <w:rFonts w:ascii="宋体" w:hAnsi="宋体"/>
          <w:b/>
          <w:color w:val="auto"/>
          <w:sz w:val="32"/>
          <w:szCs w:val="32"/>
          <w:highlight w:val="none"/>
        </w:rPr>
      </w:pPr>
    </w:p>
    <w:tbl>
      <w:tblPr>
        <w:tblStyle w:val="26"/>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782A7A1">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C07A6D9">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76EBE2D">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6A1360">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1422D7F">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1CA1DEC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123840">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863533">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24E3E5">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AD3822">
            <w:pPr>
              <w:widowControl/>
              <w:wordWrap w:val="0"/>
              <w:spacing w:line="200" w:lineRule="atLeast"/>
              <w:jc w:val="center"/>
              <w:rPr>
                <w:rFonts w:ascii="宋体" w:hAnsi="宋体" w:cs="宋体"/>
                <w:color w:val="auto"/>
                <w:kern w:val="0"/>
                <w:sz w:val="28"/>
                <w:szCs w:val="28"/>
                <w:highlight w:val="none"/>
              </w:rPr>
            </w:pPr>
          </w:p>
        </w:tc>
      </w:tr>
      <w:tr w14:paraId="4AEB5BF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337EA7">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DFCB32">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B89B0B">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C70FCF">
            <w:pPr>
              <w:widowControl/>
              <w:wordWrap w:val="0"/>
              <w:spacing w:line="200" w:lineRule="atLeast"/>
              <w:jc w:val="center"/>
              <w:rPr>
                <w:rFonts w:ascii="宋体" w:hAnsi="宋体" w:cs="宋体"/>
                <w:color w:val="auto"/>
                <w:kern w:val="0"/>
                <w:sz w:val="28"/>
                <w:szCs w:val="28"/>
                <w:highlight w:val="none"/>
              </w:rPr>
            </w:pPr>
          </w:p>
        </w:tc>
      </w:tr>
      <w:tr w14:paraId="4CD2756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382D48">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3DF102">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5AB50A">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02461B">
            <w:pPr>
              <w:widowControl/>
              <w:wordWrap w:val="0"/>
              <w:spacing w:line="200" w:lineRule="atLeast"/>
              <w:jc w:val="center"/>
              <w:rPr>
                <w:rFonts w:ascii="宋体" w:hAnsi="宋体" w:cs="宋体"/>
                <w:color w:val="auto"/>
                <w:kern w:val="0"/>
                <w:sz w:val="28"/>
                <w:szCs w:val="28"/>
                <w:highlight w:val="none"/>
              </w:rPr>
            </w:pPr>
          </w:p>
        </w:tc>
      </w:tr>
      <w:tr w14:paraId="12AF4C2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569595">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8CCBDA">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8686B2">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67396A">
            <w:pPr>
              <w:widowControl/>
              <w:wordWrap w:val="0"/>
              <w:spacing w:line="200" w:lineRule="atLeast"/>
              <w:jc w:val="center"/>
              <w:rPr>
                <w:rFonts w:ascii="宋体" w:hAnsi="宋体" w:cs="宋体"/>
                <w:color w:val="auto"/>
                <w:kern w:val="0"/>
                <w:sz w:val="28"/>
                <w:szCs w:val="28"/>
                <w:highlight w:val="none"/>
              </w:rPr>
            </w:pPr>
          </w:p>
        </w:tc>
      </w:tr>
    </w:tbl>
    <w:p w14:paraId="7BD47415">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04B9557C">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751291EA">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6539A548">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523CCCD8">
      <w:pPr>
        <w:spacing w:line="360" w:lineRule="auto"/>
        <w:contextualSpacing/>
        <w:jc w:val="left"/>
        <w:rPr>
          <w:color w:val="auto"/>
          <w:sz w:val="28"/>
          <w:szCs w:val="28"/>
          <w:highlight w:val="none"/>
        </w:rPr>
      </w:pPr>
    </w:p>
    <w:p w14:paraId="72D5FF7C">
      <w:pPr>
        <w:spacing w:line="360" w:lineRule="auto"/>
        <w:contextualSpacing/>
        <w:jc w:val="left"/>
        <w:rPr>
          <w:color w:val="auto"/>
          <w:sz w:val="28"/>
          <w:szCs w:val="28"/>
          <w:highlight w:val="none"/>
        </w:rPr>
      </w:pPr>
    </w:p>
    <w:p w14:paraId="0867BDD3">
      <w:pPr>
        <w:spacing w:line="360" w:lineRule="auto"/>
        <w:contextualSpacing/>
        <w:jc w:val="left"/>
        <w:rPr>
          <w:color w:val="auto"/>
          <w:sz w:val="28"/>
          <w:szCs w:val="28"/>
          <w:highlight w:val="none"/>
        </w:rPr>
      </w:pPr>
    </w:p>
    <w:p w14:paraId="156D9BBA">
      <w:pPr>
        <w:spacing w:line="360" w:lineRule="auto"/>
        <w:contextualSpacing/>
        <w:jc w:val="left"/>
        <w:rPr>
          <w:rFonts w:ascii="宋体" w:hAnsi="宋体"/>
          <w:color w:val="auto"/>
          <w:sz w:val="28"/>
          <w:szCs w:val="28"/>
          <w:highlight w:val="none"/>
        </w:rPr>
      </w:pPr>
    </w:p>
    <w:p w14:paraId="5CC2539F">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676366E3">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2363DC39">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olor w:val="auto"/>
          <w:sz w:val="24"/>
          <w:highlight w:val="none"/>
        </w:rPr>
        <w:t xml:space="preserve">                                        年    月    日</w:t>
      </w:r>
    </w:p>
    <w:p w14:paraId="57EDB3F1">
      <w:pPr>
        <w:spacing w:line="500" w:lineRule="exact"/>
        <w:jc w:val="center"/>
        <w:rPr>
          <w:rFonts w:ascii="方正小标宋简体" w:hAnsi="宋体" w:eastAsia="方正小标宋简体"/>
          <w:b/>
          <w:color w:val="auto"/>
          <w:sz w:val="32"/>
          <w:szCs w:val="32"/>
          <w:highlight w:val="none"/>
        </w:rPr>
      </w:pPr>
      <w:r>
        <w:rPr>
          <w:rFonts w:ascii="宋体" w:hAnsi="宋体"/>
          <w:b/>
          <w:color w:val="auto"/>
          <w:sz w:val="32"/>
          <w:szCs w:val="32"/>
          <w:highlight w:val="none"/>
        </w:rPr>
        <w:br w:type="page"/>
      </w:r>
      <w:r>
        <w:rPr>
          <w:rFonts w:hint="eastAsia" w:ascii="方正小标宋简体" w:hAnsi="宋体" w:eastAsia="方正小标宋简体"/>
          <w:b/>
          <w:color w:val="auto"/>
          <w:sz w:val="32"/>
          <w:szCs w:val="32"/>
          <w:highlight w:val="none"/>
        </w:rPr>
        <w:t>竞标声明</w:t>
      </w:r>
    </w:p>
    <w:p w14:paraId="7CA4E5B1">
      <w:pPr>
        <w:spacing w:line="320" w:lineRule="exact"/>
        <w:jc w:val="center"/>
        <w:rPr>
          <w:rFonts w:ascii="宋体" w:hAnsi="宋体"/>
          <w:color w:val="auto"/>
          <w:sz w:val="24"/>
          <w:szCs w:val="20"/>
          <w:highlight w:val="none"/>
        </w:rPr>
      </w:pPr>
    </w:p>
    <w:p w14:paraId="4314395F">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5FCF05F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100DF4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3DFD55F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AFCF91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10232C5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49CADA3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（1）将按谈判文件的约定履行合同责任和义务；</w:t>
      </w:r>
    </w:p>
    <w:p w14:paraId="01C06CD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（2）已详细审查全部谈判文件，包括补遗文件（如有）；</w:t>
      </w:r>
    </w:p>
    <w:p w14:paraId="5785473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680C7D6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（4）响应谈判文件规定的竞标有效期。</w:t>
      </w:r>
    </w:p>
    <w:p w14:paraId="50C1ACD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5F2AAC2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8160B7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6E6FC0C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C91310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937300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410292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3A77BC1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ascii="宋体" w:hAnsi="宋体" w:cs="宋体"/>
          <w:color w:val="auto"/>
          <w:sz w:val="24"/>
          <w:highlight w:val="none"/>
        </w:rPr>
        <w:t>重大税收违法失信主体</w:t>
      </w:r>
      <w:r>
        <w:rPr>
          <w:rFonts w:hint="eastAsia" w:ascii="宋体" w:hAnsi="宋体" w:cs="宋体"/>
          <w:color w:val="auto"/>
          <w:sz w:val="24"/>
          <w:highlight w:val="none"/>
        </w:rPr>
        <w:t>、政府采购严重违法失信行为记录名单，完全符合《中华人民共和国政府采购法》第二十二条规定的供应商资格条件，我方对此声明负全部法律责任。</w:t>
      </w:r>
    </w:p>
    <w:p w14:paraId="7AE23CB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4F22AE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465B55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736B8B1">
      <w:pPr>
        <w:pStyle w:val="16"/>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7.与本谈判有关的一切正式往来信函请寄：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7956A835">
      <w:pPr>
        <w:pStyle w:val="16"/>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3E488EDC">
      <w:pPr>
        <w:pStyle w:val="15"/>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账号/行号：</w:t>
      </w:r>
      <w:r>
        <w:rPr>
          <w:rFonts w:hint="eastAsia" w:ascii="宋体" w:hAnsi="宋体" w:cs="宋体"/>
          <w:color w:val="auto"/>
          <w:sz w:val="24"/>
          <w:highlight w:val="none"/>
          <w:u w:val="single"/>
        </w:rPr>
        <w:t xml:space="preserve">           </w:t>
      </w:r>
    </w:p>
    <w:p w14:paraId="481C0B82">
      <w:pPr>
        <w:pStyle w:val="15"/>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5ACA5172">
      <w:pPr>
        <w:pStyle w:val="15"/>
        <w:tabs>
          <w:tab w:val="left" w:pos="939"/>
        </w:tabs>
        <w:spacing w:line="360" w:lineRule="auto"/>
        <w:ind w:left="141" w:leftChars="67" w:firstLine="360" w:firstLineChars="150"/>
        <w:rPr>
          <w:rFonts w:ascii="宋体" w:hAnsi="宋体" w:cs="宋体"/>
          <w:color w:val="auto"/>
          <w:szCs w:val="21"/>
          <w:highlight w:val="none"/>
        </w:rPr>
      </w:pPr>
      <w:r>
        <w:rPr>
          <w:rFonts w:hint="eastAsia" w:ascii="宋体" w:hAnsi="宋体" w:cs="宋体"/>
          <w:color w:val="auto"/>
          <w:sz w:val="24"/>
          <w:highlight w:val="none"/>
        </w:rPr>
        <w:t>特此承诺。</w:t>
      </w:r>
    </w:p>
    <w:p w14:paraId="30917959">
      <w:pPr>
        <w:spacing w:line="360" w:lineRule="auto"/>
        <w:contextualSpacing/>
        <w:jc w:val="left"/>
        <w:rPr>
          <w:rFonts w:ascii="宋体" w:hAnsi="宋体" w:cs="宋体"/>
          <w:color w:val="auto"/>
          <w:sz w:val="24"/>
          <w:highlight w:val="none"/>
        </w:rPr>
      </w:pPr>
    </w:p>
    <w:p w14:paraId="204C72D7">
      <w:pPr>
        <w:spacing w:line="360" w:lineRule="auto"/>
        <w:ind w:firstLine="2280" w:firstLineChars="950"/>
        <w:contextualSpacing/>
        <w:rPr>
          <w:color w:val="auto"/>
          <w:sz w:val="24"/>
          <w:highlight w:val="none"/>
        </w:rPr>
      </w:pPr>
      <w:r>
        <w:rPr>
          <w:rFonts w:hint="eastAsia"/>
          <w:color w:val="auto"/>
          <w:sz w:val="24"/>
          <w:highlight w:val="none"/>
        </w:rPr>
        <w:t>法定代表人（</w:t>
      </w:r>
      <w:r>
        <w:rPr>
          <w:rFonts w:hint="eastAsia" w:ascii="宋体" w:hAnsi="宋体"/>
          <w:color w:val="auto"/>
          <w:sz w:val="24"/>
          <w:highlight w:val="none"/>
        </w:rPr>
        <w:t>签字或者盖章或者电子签名</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p>
    <w:p w14:paraId="21E8E966">
      <w:pPr>
        <w:spacing w:line="360" w:lineRule="auto"/>
        <w:ind w:firstLine="3840" w:firstLineChars="1600"/>
        <w:contextualSpacing/>
        <w:rPr>
          <w:rFonts w:ascii="宋体" w:hAnsi="宋体" w:cs="宋体"/>
          <w:color w:val="auto"/>
          <w:sz w:val="24"/>
          <w:highlight w:val="none"/>
          <w:u w:val="single"/>
        </w:rPr>
      </w:pPr>
      <w:r>
        <w:rPr>
          <w:rFonts w:hint="eastAsia"/>
          <w:color w:val="auto"/>
          <w:sz w:val="24"/>
          <w:highlight w:val="none"/>
        </w:rPr>
        <w:t>供应商（电子签章）：</w:t>
      </w:r>
      <w:r>
        <w:rPr>
          <w:rFonts w:hint="eastAsia"/>
          <w:color w:val="auto"/>
          <w:sz w:val="24"/>
          <w:highlight w:val="none"/>
          <w:u w:val="single"/>
        </w:rPr>
        <w:t xml:space="preserve">                   </w:t>
      </w:r>
    </w:p>
    <w:p w14:paraId="03FEA081">
      <w:pPr>
        <w:spacing w:line="360" w:lineRule="auto"/>
        <w:ind w:right="482" w:firstLine="240" w:firstLineChars="100"/>
        <w:contextualSpacing/>
        <w:jc w:val="center"/>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年    月    日 </w:t>
      </w:r>
    </w:p>
    <w:p w14:paraId="048EF40B">
      <w:pPr>
        <w:spacing w:line="360" w:lineRule="auto"/>
        <w:ind w:right="482" w:firstLine="240" w:firstLineChars="100"/>
        <w:contextualSpacing/>
        <w:jc w:val="center"/>
        <w:rPr>
          <w:color w:val="auto"/>
          <w:sz w:val="24"/>
          <w:highlight w:val="none"/>
        </w:rPr>
      </w:pPr>
    </w:p>
    <w:p w14:paraId="2DF22962">
      <w:pPr>
        <w:spacing w:line="360" w:lineRule="auto"/>
        <w:ind w:right="482" w:firstLine="210" w:firstLineChars="100"/>
        <w:contextualSpacing/>
        <w:jc w:val="center"/>
        <w:rPr>
          <w:color w:val="auto"/>
          <w:highlight w:val="none"/>
        </w:rPr>
      </w:pPr>
    </w:p>
    <w:p w14:paraId="556D2C02">
      <w:pPr>
        <w:spacing w:line="360" w:lineRule="auto"/>
        <w:ind w:right="482" w:firstLine="210" w:firstLineChars="100"/>
        <w:contextualSpacing/>
        <w:jc w:val="center"/>
        <w:rPr>
          <w:color w:val="auto"/>
          <w:highlight w:val="none"/>
        </w:rPr>
      </w:pPr>
    </w:p>
    <w:p w14:paraId="269F51AB">
      <w:pPr>
        <w:spacing w:line="360" w:lineRule="auto"/>
        <w:ind w:right="482" w:firstLine="210" w:firstLineChars="100"/>
        <w:contextualSpacing/>
        <w:jc w:val="center"/>
        <w:rPr>
          <w:color w:val="auto"/>
          <w:highlight w:val="none"/>
        </w:rPr>
      </w:pPr>
    </w:p>
    <w:p w14:paraId="4F73069C">
      <w:pPr>
        <w:spacing w:line="360" w:lineRule="auto"/>
        <w:ind w:right="482" w:firstLine="210" w:firstLineChars="100"/>
        <w:contextualSpacing/>
        <w:jc w:val="center"/>
        <w:rPr>
          <w:color w:val="auto"/>
          <w:highlight w:val="none"/>
        </w:rPr>
      </w:pPr>
    </w:p>
    <w:p w14:paraId="349FFC8C">
      <w:pPr>
        <w:spacing w:line="360" w:lineRule="auto"/>
        <w:ind w:right="482" w:firstLine="210" w:firstLineChars="100"/>
        <w:contextualSpacing/>
        <w:jc w:val="center"/>
        <w:rPr>
          <w:color w:val="auto"/>
          <w:highlight w:val="none"/>
        </w:rPr>
      </w:pPr>
    </w:p>
    <w:p w14:paraId="769DB8E9">
      <w:pPr>
        <w:spacing w:line="360" w:lineRule="auto"/>
        <w:ind w:right="482" w:firstLine="210" w:firstLineChars="100"/>
        <w:contextualSpacing/>
        <w:jc w:val="center"/>
        <w:rPr>
          <w:color w:val="auto"/>
          <w:highlight w:val="none"/>
        </w:rPr>
      </w:pPr>
    </w:p>
    <w:p w14:paraId="200217EC">
      <w:pPr>
        <w:spacing w:line="360" w:lineRule="auto"/>
        <w:ind w:right="482" w:firstLine="210" w:firstLineChars="100"/>
        <w:contextualSpacing/>
        <w:jc w:val="center"/>
        <w:rPr>
          <w:color w:val="auto"/>
          <w:highlight w:val="none"/>
        </w:rPr>
      </w:pPr>
    </w:p>
    <w:p w14:paraId="3EB85FDA">
      <w:pPr>
        <w:spacing w:line="360" w:lineRule="auto"/>
        <w:ind w:right="482" w:firstLine="210" w:firstLineChars="100"/>
        <w:contextualSpacing/>
        <w:jc w:val="center"/>
        <w:rPr>
          <w:color w:val="auto"/>
          <w:highlight w:val="none"/>
        </w:rPr>
      </w:pPr>
    </w:p>
    <w:p w14:paraId="64D42FAF">
      <w:pPr>
        <w:spacing w:line="360" w:lineRule="auto"/>
        <w:ind w:right="482" w:firstLine="210" w:firstLineChars="100"/>
        <w:contextualSpacing/>
        <w:jc w:val="center"/>
        <w:rPr>
          <w:color w:val="auto"/>
          <w:highlight w:val="none"/>
        </w:rPr>
      </w:pPr>
    </w:p>
    <w:p w14:paraId="1A237CCF">
      <w:pPr>
        <w:spacing w:line="360" w:lineRule="auto"/>
        <w:ind w:right="482" w:firstLine="210" w:firstLineChars="100"/>
        <w:contextualSpacing/>
        <w:jc w:val="center"/>
        <w:rPr>
          <w:color w:val="auto"/>
          <w:highlight w:val="none"/>
        </w:rPr>
      </w:pPr>
    </w:p>
    <w:p w14:paraId="763CE569">
      <w:pPr>
        <w:spacing w:line="360" w:lineRule="auto"/>
        <w:ind w:right="482" w:firstLine="210" w:firstLineChars="100"/>
        <w:contextualSpacing/>
        <w:jc w:val="center"/>
        <w:rPr>
          <w:color w:val="auto"/>
          <w:highlight w:val="none"/>
        </w:rPr>
      </w:pPr>
    </w:p>
    <w:p w14:paraId="1CF088AD">
      <w:pPr>
        <w:spacing w:line="360" w:lineRule="auto"/>
        <w:ind w:right="482" w:firstLine="210" w:firstLineChars="100"/>
        <w:contextualSpacing/>
        <w:jc w:val="center"/>
        <w:rPr>
          <w:color w:val="auto"/>
          <w:highlight w:val="none"/>
        </w:rPr>
      </w:pPr>
    </w:p>
    <w:p w14:paraId="3F542394">
      <w:pPr>
        <w:spacing w:line="360" w:lineRule="auto"/>
        <w:ind w:right="482" w:firstLine="210" w:firstLineChars="100"/>
        <w:contextualSpacing/>
        <w:jc w:val="center"/>
        <w:rPr>
          <w:color w:val="auto"/>
          <w:highlight w:val="none"/>
        </w:rPr>
      </w:pPr>
    </w:p>
    <w:p w14:paraId="5E4E204E">
      <w:pPr>
        <w:spacing w:line="360" w:lineRule="auto"/>
        <w:ind w:right="482" w:firstLine="210" w:firstLineChars="100"/>
        <w:contextualSpacing/>
        <w:jc w:val="center"/>
        <w:rPr>
          <w:color w:val="auto"/>
          <w:highlight w:val="none"/>
        </w:rPr>
      </w:pPr>
    </w:p>
    <w:p w14:paraId="4CFAE5BD">
      <w:pPr>
        <w:spacing w:line="360" w:lineRule="auto"/>
        <w:ind w:right="482" w:firstLine="210" w:firstLineChars="100"/>
        <w:contextualSpacing/>
        <w:jc w:val="center"/>
        <w:rPr>
          <w:color w:val="auto"/>
          <w:highlight w:val="none"/>
        </w:rPr>
      </w:pPr>
    </w:p>
    <w:p w14:paraId="687CD0DD">
      <w:pPr>
        <w:spacing w:line="360" w:lineRule="auto"/>
        <w:ind w:right="482" w:firstLine="210" w:firstLineChars="100"/>
        <w:contextualSpacing/>
        <w:jc w:val="center"/>
        <w:rPr>
          <w:color w:val="auto"/>
          <w:highlight w:val="none"/>
        </w:rPr>
      </w:pPr>
    </w:p>
    <w:p w14:paraId="37388391">
      <w:pPr>
        <w:spacing w:line="360" w:lineRule="auto"/>
        <w:ind w:right="482" w:firstLine="210" w:firstLineChars="100"/>
        <w:contextualSpacing/>
        <w:jc w:val="center"/>
        <w:rPr>
          <w:color w:val="auto"/>
          <w:highlight w:val="none"/>
        </w:rPr>
      </w:pPr>
    </w:p>
    <w:p w14:paraId="7E87308C">
      <w:pPr>
        <w:spacing w:line="360" w:lineRule="auto"/>
        <w:ind w:right="482" w:firstLine="210" w:firstLineChars="100"/>
        <w:contextualSpacing/>
        <w:jc w:val="center"/>
        <w:rPr>
          <w:color w:val="auto"/>
          <w:highlight w:val="none"/>
        </w:rPr>
      </w:pPr>
    </w:p>
    <w:p w14:paraId="5F321F96">
      <w:pPr>
        <w:spacing w:line="360" w:lineRule="auto"/>
        <w:ind w:right="482" w:firstLine="210" w:firstLineChars="100"/>
        <w:contextualSpacing/>
        <w:jc w:val="center"/>
        <w:rPr>
          <w:color w:val="auto"/>
          <w:highlight w:val="none"/>
        </w:rPr>
      </w:pPr>
    </w:p>
    <w:p w14:paraId="37B83616">
      <w:pPr>
        <w:spacing w:line="360" w:lineRule="auto"/>
        <w:ind w:right="482" w:firstLine="210" w:firstLineChars="100"/>
        <w:contextualSpacing/>
        <w:jc w:val="center"/>
        <w:rPr>
          <w:color w:val="auto"/>
          <w:highlight w:val="none"/>
        </w:rPr>
      </w:pPr>
    </w:p>
    <w:p w14:paraId="1B62D24C">
      <w:pPr>
        <w:spacing w:line="360" w:lineRule="auto"/>
        <w:ind w:right="482" w:firstLine="210" w:firstLineChars="100"/>
        <w:contextualSpacing/>
        <w:jc w:val="center"/>
        <w:rPr>
          <w:color w:val="auto"/>
          <w:highlight w:val="none"/>
        </w:rPr>
      </w:pPr>
    </w:p>
    <w:p w14:paraId="509622B7">
      <w:pPr>
        <w:spacing w:line="360" w:lineRule="auto"/>
        <w:ind w:right="482" w:firstLine="210" w:firstLineChars="100"/>
        <w:contextualSpacing/>
        <w:jc w:val="center"/>
        <w:rPr>
          <w:color w:val="auto"/>
          <w:highlight w:val="none"/>
        </w:rPr>
      </w:pPr>
    </w:p>
    <w:p w14:paraId="6EED0CCA">
      <w:pPr>
        <w:spacing w:line="360" w:lineRule="auto"/>
        <w:ind w:right="482" w:firstLine="210" w:firstLineChars="100"/>
        <w:contextualSpacing/>
        <w:jc w:val="center"/>
        <w:rPr>
          <w:color w:val="auto"/>
          <w:highlight w:val="none"/>
        </w:rPr>
      </w:pPr>
    </w:p>
    <w:p w14:paraId="0DB2092D">
      <w:pPr>
        <w:tabs>
          <w:tab w:val="left" w:pos="4946"/>
        </w:tabs>
        <w:spacing w:line="360" w:lineRule="auto"/>
        <w:ind w:right="482" w:firstLine="321" w:firstLineChars="100"/>
        <w:contextualSpacing/>
        <w:jc w:val="center"/>
        <w:rPr>
          <w:rFonts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报价文件格式</w:t>
      </w:r>
    </w:p>
    <w:p w14:paraId="0A06CCE1">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5C115144">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2C0672AE">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6A22C9C0">
      <w:pPr>
        <w:snapToGrid w:val="0"/>
        <w:spacing w:beforeLines="50" w:after="50"/>
        <w:rPr>
          <w:rFonts w:ascii="宋体" w:hAnsi="宋体"/>
          <w:color w:val="auto"/>
          <w:sz w:val="24"/>
          <w:szCs w:val="20"/>
          <w:highlight w:val="none"/>
        </w:rPr>
      </w:pPr>
    </w:p>
    <w:p w14:paraId="18DF8AD1">
      <w:pPr>
        <w:snapToGrid w:val="0"/>
        <w:spacing w:beforeLines="50" w:after="50"/>
        <w:rPr>
          <w:rFonts w:ascii="宋体" w:hAnsi="宋体"/>
          <w:color w:val="auto"/>
          <w:sz w:val="24"/>
          <w:szCs w:val="20"/>
          <w:highlight w:val="none"/>
        </w:rPr>
      </w:pPr>
    </w:p>
    <w:p w14:paraId="2D0EAD83">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1DBD6EAA">
      <w:pPr>
        <w:snapToGrid w:val="0"/>
        <w:spacing w:beforeLines="50" w:after="50"/>
        <w:rPr>
          <w:rFonts w:ascii="宋体" w:hAnsi="宋体"/>
          <w:bCs/>
          <w:color w:val="auto"/>
          <w:sz w:val="24"/>
          <w:szCs w:val="20"/>
          <w:highlight w:val="none"/>
        </w:rPr>
      </w:pPr>
    </w:p>
    <w:p w14:paraId="29891E7E">
      <w:pPr>
        <w:snapToGrid w:val="0"/>
        <w:spacing w:beforeLines="50" w:after="50"/>
        <w:rPr>
          <w:rFonts w:ascii="宋体" w:hAnsi="宋体"/>
          <w:bCs/>
          <w:color w:val="auto"/>
          <w:sz w:val="24"/>
          <w:szCs w:val="20"/>
          <w:highlight w:val="none"/>
        </w:rPr>
      </w:pPr>
    </w:p>
    <w:p w14:paraId="38A1D892">
      <w:pPr>
        <w:snapToGrid w:val="0"/>
        <w:spacing w:beforeLines="50" w:after="50"/>
        <w:rPr>
          <w:rFonts w:ascii="宋体" w:hAnsi="宋体"/>
          <w:bCs/>
          <w:color w:val="auto"/>
          <w:sz w:val="24"/>
          <w:szCs w:val="20"/>
          <w:highlight w:val="none"/>
        </w:rPr>
      </w:pPr>
    </w:p>
    <w:p w14:paraId="72876444">
      <w:pPr>
        <w:snapToGrid w:val="0"/>
        <w:spacing w:beforeLines="50" w:after="50"/>
        <w:rPr>
          <w:rFonts w:ascii="宋体" w:hAnsi="宋体"/>
          <w:bCs/>
          <w:color w:val="auto"/>
          <w:sz w:val="24"/>
          <w:szCs w:val="20"/>
          <w:highlight w:val="none"/>
        </w:rPr>
      </w:pPr>
    </w:p>
    <w:p w14:paraId="338BAF70">
      <w:pPr>
        <w:snapToGrid w:val="0"/>
        <w:spacing w:beforeLines="50" w:after="50"/>
        <w:rPr>
          <w:rFonts w:ascii="宋体" w:hAnsi="宋体"/>
          <w:bCs/>
          <w:color w:val="auto"/>
          <w:sz w:val="24"/>
          <w:szCs w:val="20"/>
          <w:highlight w:val="none"/>
        </w:rPr>
      </w:pPr>
    </w:p>
    <w:p w14:paraId="339557EC">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301AB716">
      <w:pPr>
        <w:snapToGrid w:val="0"/>
        <w:spacing w:beforeLines="50" w:after="50"/>
        <w:ind w:firstLine="720" w:firstLineChars="225"/>
        <w:rPr>
          <w:rFonts w:ascii="宋体" w:hAnsi="宋体" w:cs="仿宋_GB2312"/>
          <w:bCs/>
          <w:color w:val="auto"/>
          <w:sz w:val="32"/>
          <w:szCs w:val="32"/>
          <w:highlight w:val="none"/>
        </w:rPr>
      </w:pPr>
    </w:p>
    <w:p w14:paraId="17E897BE">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1379697">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2F903BF6">
      <w:pPr>
        <w:pStyle w:val="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58E2C32">
      <w:pPr>
        <w:pStyle w:val="7"/>
        <w:snapToGrid w:val="0"/>
        <w:spacing w:before="50" w:after="50"/>
        <w:ind w:firstLine="640" w:firstLineChars="200"/>
        <w:rPr>
          <w:rFonts w:ascii="宋体" w:hAnsi="宋体" w:cs="仿宋_GB2312"/>
          <w:bCs/>
          <w:color w:val="auto"/>
          <w:sz w:val="32"/>
          <w:szCs w:val="32"/>
          <w:highlight w:val="none"/>
        </w:rPr>
      </w:pPr>
    </w:p>
    <w:p w14:paraId="1F92CBF9">
      <w:pPr>
        <w:pStyle w:val="7"/>
        <w:snapToGrid w:val="0"/>
        <w:spacing w:before="50" w:after="50"/>
        <w:ind w:firstLine="720" w:firstLineChars="225"/>
        <w:rPr>
          <w:rFonts w:ascii="宋体" w:hAnsi="宋体" w:cs="仿宋_GB2312"/>
          <w:bCs/>
          <w:color w:val="auto"/>
          <w:sz w:val="32"/>
          <w:szCs w:val="32"/>
          <w:highlight w:val="none"/>
        </w:rPr>
      </w:pPr>
    </w:p>
    <w:p w14:paraId="330593EE">
      <w:pPr>
        <w:pStyle w:val="7"/>
        <w:snapToGrid w:val="0"/>
        <w:spacing w:before="50" w:after="50"/>
        <w:ind w:firstLine="0"/>
        <w:rPr>
          <w:rFonts w:ascii="宋体" w:hAnsi="宋体" w:cs="仿宋_GB2312"/>
          <w:bCs/>
          <w:color w:val="auto"/>
          <w:sz w:val="32"/>
          <w:szCs w:val="32"/>
          <w:highlight w:val="none"/>
        </w:rPr>
      </w:pPr>
    </w:p>
    <w:p w14:paraId="50C2F6B1">
      <w:pPr>
        <w:pStyle w:val="7"/>
        <w:snapToGrid w:val="0"/>
        <w:spacing w:before="50" w:after="50"/>
        <w:ind w:firstLine="1280" w:firstLineChars="400"/>
        <w:rPr>
          <w:rFonts w:ascii="宋体" w:hAnsi="宋体" w:cs="仿宋_GB2312"/>
          <w:bCs/>
          <w:color w:val="auto"/>
          <w:sz w:val="32"/>
          <w:szCs w:val="32"/>
          <w:highlight w:val="none"/>
        </w:rPr>
      </w:pPr>
    </w:p>
    <w:p w14:paraId="74A05DC0">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57AE919">
      <w:pPr>
        <w:snapToGrid w:val="0"/>
        <w:spacing w:beforeLines="50" w:after="50" w:line="360" w:lineRule="auto"/>
        <w:ind w:left="142"/>
        <w:jc w:val="left"/>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32"/>
          <w:szCs w:val="32"/>
          <w:highlight w:val="none"/>
        </w:rPr>
        <w:t>2.报价文件目录</w:t>
      </w:r>
    </w:p>
    <w:p w14:paraId="68C0E17E">
      <w:pPr>
        <w:tabs>
          <w:tab w:val="left" w:pos="3479"/>
        </w:tabs>
        <w:spacing w:line="520" w:lineRule="exact"/>
        <w:jc w:val="left"/>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7609E89A">
      <w:pPr>
        <w:tabs>
          <w:tab w:val="left" w:pos="3479"/>
        </w:tabs>
        <w:spacing w:line="520" w:lineRule="exact"/>
        <w:jc w:val="center"/>
        <w:rPr>
          <w:rFonts w:ascii="方正小标宋简体" w:hAnsi="方正小标宋简体" w:eastAsia="方正小标宋简体" w:cs="方正小标宋简体"/>
          <w:bCs/>
          <w:color w:val="auto"/>
          <w:sz w:val="32"/>
          <w:szCs w:val="32"/>
          <w:highlight w:val="none"/>
        </w:rPr>
      </w:pPr>
      <w:r>
        <w:rPr>
          <w:rFonts w:ascii="宋体" w:hAnsi="宋体"/>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2677615E">
      <w:pPr>
        <w:spacing w:line="520" w:lineRule="exact"/>
        <w:jc w:val="center"/>
        <w:rPr>
          <w:rFonts w:ascii="方正小标宋简体" w:hAnsi="方正小标宋简体" w:eastAsia="方正小标宋简体" w:cs="方正小标宋简体"/>
          <w:bCs/>
          <w:color w:val="auto"/>
          <w:sz w:val="32"/>
          <w:szCs w:val="32"/>
          <w:highlight w:val="none"/>
        </w:rPr>
      </w:pPr>
    </w:p>
    <w:p w14:paraId="18548A1B">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01622252">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0CA91176">
      <w:pPr>
        <w:snapToGrid w:val="0"/>
        <w:spacing w:before="50" w:after="50" w:line="360" w:lineRule="auto"/>
        <w:jc w:val="right"/>
        <w:rPr>
          <w:rFonts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26"/>
        <w:tblW w:w="93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870"/>
        <w:gridCol w:w="1065"/>
        <w:gridCol w:w="895"/>
        <w:gridCol w:w="1281"/>
        <w:gridCol w:w="1142"/>
        <w:gridCol w:w="1446"/>
      </w:tblGrid>
      <w:tr w14:paraId="182D8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5B68254A">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项号</w:t>
            </w:r>
          </w:p>
        </w:tc>
        <w:tc>
          <w:tcPr>
            <w:tcW w:w="1065" w:type="dxa"/>
            <w:tcBorders>
              <w:top w:val="single" w:color="auto" w:sz="4" w:space="0"/>
              <w:left w:val="single" w:color="auto" w:sz="4" w:space="0"/>
              <w:bottom w:val="single" w:color="auto" w:sz="4" w:space="0"/>
              <w:right w:val="single" w:color="auto" w:sz="4" w:space="0"/>
            </w:tcBorders>
            <w:vAlign w:val="center"/>
          </w:tcPr>
          <w:p w14:paraId="01500DE3">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标的的名称</w:t>
            </w:r>
          </w:p>
        </w:tc>
        <w:tc>
          <w:tcPr>
            <w:tcW w:w="1005" w:type="dxa"/>
            <w:tcBorders>
              <w:top w:val="single" w:color="auto" w:sz="4" w:space="0"/>
              <w:left w:val="single" w:color="auto" w:sz="4" w:space="0"/>
              <w:bottom w:val="single" w:color="auto" w:sz="4" w:space="0"/>
              <w:right w:val="single" w:color="auto" w:sz="4" w:space="0"/>
            </w:tcBorders>
            <w:vAlign w:val="center"/>
          </w:tcPr>
          <w:p w14:paraId="27ABA7D2">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数量及单位</w:t>
            </w:r>
          </w:p>
          <w:p w14:paraId="4079EF1E">
            <w:pPr>
              <w:spacing w:line="360" w:lineRule="auto"/>
              <w:jc w:val="center"/>
              <w:rPr>
                <w:rFonts w:ascii="宋体" w:hAnsi="宋体" w:cs="仿宋_GB2312"/>
                <w:b/>
                <w:bCs/>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4712AF28">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品牌</w:t>
            </w:r>
          </w:p>
        </w:tc>
        <w:tc>
          <w:tcPr>
            <w:tcW w:w="1065" w:type="dxa"/>
            <w:tcBorders>
              <w:top w:val="single" w:color="auto" w:sz="4" w:space="0"/>
              <w:left w:val="single" w:color="auto" w:sz="4" w:space="0"/>
              <w:bottom w:val="single" w:color="auto" w:sz="4" w:space="0"/>
              <w:right w:val="single" w:color="auto" w:sz="4" w:space="0"/>
            </w:tcBorders>
            <w:vAlign w:val="center"/>
          </w:tcPr>
          <w:p w14:paraId="66B94A37">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规格</w:t>
            </w:r>
          </w:p>
          <w:p w14:paraId="0996BAFC">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型号</w:t>
            </w:r>
          </w:p>
        </w:tc>
        <w:tc>
          <w:tcPr>
            <w:tcW w:w="895" w:type="dxa"/>
            <w:tcBorders>
              <w:top w:val="single" w:color="auto" w:sz="4" w:space="0"/>
              <w:left w:val="single" w:color="auto" w:sz="4" w:space="0"/>
              <w:bottom w:val="single" w:color="auto" w:sz="4" w:space="0"/>
              <w:right w:val="single" w:color="auto" w:sz="4" w:space="0"/>
            </w:tcBorders>
            <w:vAlign w:val="center"/>
          </w:tcPr>
          <w:p w14:paraId="75E9A7E2">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制造商</w:t>
            </w:r>
          </w:p>
        </w:tc>
        <w:tc>
          <w:tcPr>
            <w:tcW w:w="1281" w:type="dxa"/>
            <w:tcBorders>
              <w:top w:val="single" w:color="auto" w:sz="4" w:space="0"/>
              <w:left w:val="single" w:color="auto" w:sz="4" w:space="0"/>
              <w:bottom w:val="single" w:color="auto" w:sz="4" w:space="0"/>
              <w:right w:val="single" w:color="auto" w:sz="4" w:space="0"/>
            </w:tcBorders>
            <w:vAlign w:val="center"/>
          </w:tcPr>
          <w:p w14:paraId="5F66E01F">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原产地</w:t>
            </w:r>
          </w:p>
        </w:tc>
        <w:tc>
          <w:tcPr>
            <w:tcW w:w="1142" w:type="dxa"/>
            <w:tcBorders>
              <w:top w:val="single" w:color="auto" w:sz="4" w:space="0"/>
              <w:left w:val="single" w:color="auto" w:sz="4" w:space="0"/>
              <w:bottom w:val="single" w:color="auto" w:sz="4" w:space="0"/>
              <w:right w:val="single" w:color="auto" w:sz="4" w:space="0"/>
            </w:tcBorders>
            <w:vAlign w:val="center"/>
          </w:tcPr>
          <w:p w14:paraId="7C3152BA">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参数性能、指标及配置</w:t>
            </w:r>
          </w:p>
        </w:tc>
        <w:tc>
          <w:tcPr>
            <w:tcW w:w="1446" w:type="dxa"/>
            <w:tcBorders>
              <w:top w:val="single" w:color="auto" w:sz="4" w:space="0"/>
              <w:left w:val="single" w:color="auto" w:sz="4" w:space="0"/>
              <w:bottom w:val="single" w:color="auto" w:sz="4" w:space="0"/>
              <w:right w:val="single" w:color="auto" w:sz="4" w:space="0"/>
            </w:tcBorders>
            <w:vAlign w:val="center"/>
          </w:tcPr>
          <w:p w14:paraId="75C02048">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单价</w:t>
            </w:r>
          </w:p>
          <w:p w14:paraId="4B32935A">
            <w:pPr>
              <w:spacing w:line="360" w:lineRule="auto"/>
              <w:jc w:val="center"/>
              <w:rPr>
                <w:rFonts w:ascii="宋体" w:hAnsi="宋体" w:cs="仿宋_GB2312"/>
                <w:b/>
                <w:bCs/>
                <w:color w:val="auto"/>
                <w:sz w:val="24"/>
                <w:highlight w:val="none"/>
              </w:rPr>
            </w:pPr>
          </w:p>
        </w:tc>
      </w:tr>
      <w:tr w14:paraId="69474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09C58336">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1065" w:type="dxa"/>
            <w:tcBorders>
              <w:top w:val="single" w:color="auto" w:sz="4" w:space="0"/>
              <w:left w:val="single" w:color="auto" w:sz="4" w:space="0"/>
              <w:bottom w:val="single" w:color="auto" w:sz="4" w:space="0"/>
              <w:right w:val="single" w:color="auto" w:sz="4" w:space="0"/>
            </w:tcBorders>
            <w:vAlign w:val="center"/>
          </w:tcPr>
          <w:p w14:paraId="33C1294A">
            <w:pPr>
              <w:spacing w:line="360" w:lineRule="auto"/>
              <w:jc w:val="center"/>
              <w:rPr>
                <w:rFonts w:ascii="宋体" w:hAnsi="宋体" w:cs="仿宋_GB2312"/>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0898E8F5">
            <w:pPr>
              <w:spacing w:line="360" w:lineRule="auto"/>
              <w:jc w:val="center"/>
              <w:rPr>
                <w:rFonts w:ascii="宋体" w:hAnsi="宋体" w:cs="仿宋_GB2312"/>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039FA839">
            <w:pPr>
              <w:spacing w:line="360" w:lineRule="auto"/>
              <w:jc w:val="center"/>
              <w:rPr>
                <w:rFonts w:ascii="宋体" w:hAnsi="宋体" w:cs="仿宋_GB2312"/>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7E5F3296">
            <w:pPr>
              <w:spacing w:line="360" w:lineRule="auto"/>
              <w:jc w:val="center"/>
              <w:rPr>
                <w:rFonts w:ascii="宋体" w:hAnsi="宋体" w:cs="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1BEE68C1">
            <w:pPr>
              <w:spacing w:line="360" w:lineRule="auto"/>
              <w:jc w:val="center"/>
              <w:rPr>
                <w:rFonts w:ascii="宋体" w:hAnsi="宋体" w:cs="仿宋_GB2312"/>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tcPr>
          <w:p w14:paraId="1C6CEE72">
            <w:pPr>
              <w:spacing w:line="360" w:lineRule="auto"/>
              <w:jc w:val="center"/>
              <w:rPr>
                <w:rFonts w:ascii="宋体" w:hAnsi="宋体" w:cs="仿宋_GB2312"/>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54CF2E82">
            <w:pPr>
              <w:spacing w:line="360" w:lineRule="auto"/>
              <w:jc w:val="center"/>
              <w:rPr>
                <w:rFonts w:ascii="宋体" w:hAnsi="宋体" w:cs="仿宋_GB2312"/>
                <w:color w:val="auto"/>
                <w:sz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14:paraId="66BBACE6">
            <w:pPr>
              <w:spacing w:line="360" w:lineRule="auto"/>
              <w:jc w:val="center"/>
              <w:rPr>
                <w:rFonts w:ascii="宋体" w:hAnsi="宋体" w:cs="仿宋_GB2312"/>
                <w:color w:val="auto"/>
                <w:sz w:val="24"/>
                <w:highlight w:val="none"/>
              </w:rPr>
            </w:pPr>
          </w:p>
        </w:tc>
      </w:tr>
      <w:tr w14:paraId="66989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2136C851">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1065" w:type="dxa"/>
            <w:tcBorders>
              <w:top w:val="single" w:color="auto" w:sz="4" w:space="0"/>
              <w:left w:val="single" w:color="auto" w:sz="4" w:space="0"/>
              <w:bottom w:val="single" w:color="auto" w:sz="4" w:space="0"/>
              <w:right w:val="single" w:color="auto" w:sz="4" w:space="0"/>
            </w:tcBorders>
            <w:vAlign w:val="center"/>
          </w:tcPr>
          <w:p w14:paraId="57406C65">
            <w:pPr>
              <w:spacing w:line="360" w:lineRule="auto"/>
              <w:jc w:val="center"/>
              <w:rPr>
                <w:rFonts w:ascii="宋体" w:hAnsi="宋体" w:cs="仿宋_GB2312"/>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3AA294F2">
            <w:pPr>
              <w:spacing w:line="360" w:lineRule="auto"/>
              <w:jc w:val="center"/>
              <w:rPr>
                <w:rFonts w:ascii="宋体" w:hAnsi="宋体" w:cs="仿宋_GB2312"/>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20C229AC">
            <w:pPr>
              <w:spacing w:line="360" w:lineRule="auto"/>
              <w:jc w:val="center"/>
              <w:rPr>
                <w:rFonts w:ascii="宋体" w:hAnsi="宋体" w:cs="仿宋_GB2312"/>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32A7B13E">
            <w:pPr>
              <w:spacing w:line="360" w:lineRule="auto"/>
              <w:jc w:val="center"/>
              <w:rPr>
                <w:rFonts w:ascii="宋体" w:hAnsi="宋体" w:cs="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5E7CD349">
            <w:pPr>
              <w:spacing w:line="360" w:lineRule="auto"/>
              <w:jc w:val="center"/>
              <w:rPr>
                <w:rFonts w:ascii="宋体" w:hAnsi="宋体" w:cs="仿宋_GB2312"/>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tcPr>
          <w:p w14:paraId="3D626AD7">
            <w:pPr>
              <w:spacing w:line="360" w:lineRule="auto"/>
              <w:jc w:val="center"/>
              <w:rPr>
                <w:rFonts w:ascii="宋体" w:hAnsi="宋体" w:cs="仿宋_GB2312"/>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53443CB3">
            <w:pPr>
              <w:spacing w:line="360" w:lineRule="auto"/>
              <w:jc w:val="center"/>
              <w:rPr>
                <w:rFonts w:ascii="宋体" w:hAnsi="宋体" w:cs="仿宋_GB2312"/>
                <w:color w:val="auto"/>
                <w:sz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14:paraId="455972A2">
            <w:pPr>
              <w:spacing w:line="360" w:lineRule="auto"/>
              <w:jc w:val="center"/>
              <w:rPr>
                <w:rFonts w:ascii="宋体" w:hAnsi="宋体" w:cs="仿宋_GB2312"/>
                <w:color w:val="auto"/>
                <w:sz w:val="24"/>
                <w:highlight w:val="none"/>
              </w:rPr>
            </w:pPr>
          </w:p>
        </w:tc>
      </w:tr>
      <w:tr w14:paraId="6E1FC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63F9E780">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1065" w:type="dxa"/>
            <w:tcBorders>
              <w:top w:val="single" w:color="auto" w:sz="4" w:space="0"/>
              <w:left w:val="single" w:color="auto" w:sz="4" w:space="0"/>
              <w:bottom w:val="single" w:color="auto" w:sz="4" w:space="0"/>
              <w:right w:val="single" w:color="auto" w:sz="4" w:space="0"/>
            </w:tcBorders>
            <w:vAlign w:val="center"/>
          </w:tcPr>
          <w:p w14:paraId="2ED9B706">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1005" w:type="dxa"/>
            <w:tcBorders>
              <w:top w:val="single" w:color="auto" w:sz="4" w:space="0"/>
              <w:left w:val="single" w:color="auto" w:sz="4" w:space="0"/>
              <w:bottom w:val="single" w:color="auto" w:sz="4" w:space="0"/>
              <w:right w:val="single" w:color="auto" w:sz="4" w:space="0"/>
            </w:tcBorders>
            <w:vAlign w:val="center"/>
          </w:tcPr>
          <w:p w14:paraId="298F03BB">
            <w:pPr>
              <w:spacing w:line="360" w:lineRule="auto"/>
              <w:jc w:val="center"/>
              <w:rPr>
                <w:rFonts w:ascii="宋体" w:hAnsi="宋体" w:cs="仿宋_GB2312"/>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00D4D92B">
            <w:pPr>
              <w:spacing w:line="360" w:lineRule="auto"/>
              <w:jc w:val="center"/>
              <w:rPr>
                <w:rFonts w:ascii="宋体" w:hAnsi="宋体" w:cs="仿宋_GB2312"/>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13F2D6E5">
            <w:pPr>
              <w:spacing w:line="360" w:lineRule="auto"/>
              <w:jc w:val="center"/>
              <w:rPr>
                <w:rFonts w:ascii="宋体" w:hAnsi="宋体" w:cs="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45CEEE48">
            <w:pPr>
              <w:spacing w:line="360" w:lineRule="auto"/>
              <w:jc w:val="center"/>
              <w:rPr>
                <w:rFonts w:ascii="宋体" w:hAnsi="宋体" w:cs="仿宋_GB2312"/>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tcPr>
          <w:p w14:paraId="72AB5A43">
            <w:pPr>
              <w:spacing w:line="360" w:lineRule="auto"/>
              <w:jc w:val="center"/>
              <w:rPr>
                <w:rFonts w:ascii="宋体" w:hAnsi="宋体" w:cs="仿宋_GB2312"/>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058135D4">
            <w:pPr>
              <w:spacing w:line="360" w:lineRule="auto"/>
              <w:jc w:val="center"/>
              <w:rPr>
                <w:rFonts w:ascii="宋体" w:hAnsi="宋体" w:cs="仿宋_GB2312"/>
                <w:color w:val="auto"/>
                <w:sz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14:paraId="293AF5BF">
            <w:pPr>
              <w:spacing w:line="360" w:lineRule="auto"/>
              <w:jc w:val="center"/>
              <w:rPr>
                <w:rFonts w:ascii="宋体" w:hAnsi="宋体" w:cs="仿宋_GB2312"/>
                <w:color w:val="auto"/>
                <w:sz w:val="24"/>
                <w:highlight w:val="none"/>
              </w:rPr>
            </w:pPr>
          </w:p>
        </w:tc>
      </w:tr>
      <w:tr w14:paraId="63607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376" w:type="dxa"/>
            <w:gridSpan w:val="9"/>
            <w:tcBorders>
              <w:top w:val="single" w:color="auto" w:sz="4" w:space="0"/>
              <w:left w:val="single" w:color="auto" w:sz="4" w:space="0"/>
              <w:bottom w:val="single" w:color="auto" w:sz="4" w:space="0"/>
              <w:right w:val="single" w:color="auto" w:sz="4" w:space="0"/>
            </w:tcBorders>
          </w:tcPr>
          <w:p w14:paraId="57E11033">
            <w:pPr>
              <w:snapToGrid w:val="0"/>
              <w:spacing w:before="50" w:after="50" w:line="360" w:lineRule="auto"/>
              <w:rPr>
                <w:rFonts w:ascii="宋体" w:hAnsi="宋体" w:cs="仿宋_GB2312"/>
                <w:color w:val="auto"/>
                <w:sz w:val="24"/>
                <w:highlight w:val="none"/>
                <w:u w:val="single"/>
              </w:rPr>
            </w:pPr>
            <w:r>
              <w:rPr>
                <w:rFonts w:hint="eastAsia" w:ascii="宋体" w:hAnsi="宋体" w:cs="仿宋_GB2312"/>
                <w:color w:val="auto"/>
                <w:sz w:val="24"/>
                <w:highlight w:val="none"/>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14:paraId="13267EA5">
      <w:pPr>
        <w:spacing w:line="400" w:lineRule="exact"/>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38E09EC4">
      <w:pPr>
        <w:spacing w:line="400" w:lineRule="exact"/>
        <w:ind w:firstLine="482" w:firstLineChars="200"/>
        <w:contextualSpacing/>
        <w:jc w:val="left"/>
        <w:rPr>
          <w:rFonts w:ascii="宋体" w:hAnsi="宋体" w:cs="仿宋_GB2312"/>
          <w:color w:val="auto"/>
          <w:sz w:val="24"/>
          <w:highlight w:val="none"/>
        </w:rPr>
      </w:pPr>
      <w:r>
        <w:rPr>
          <w:rFonts w:hint="eastAsia" w:ascii="宋体" w:hAnsi="宋体" w:cs="仿宋_GB2312"/>
          <w:b/>
          <w:bCs/>
          <w:color w:val="auto"/>
          <w:sz w:val="24"/>
          <w:highlight w:val="none"/>
        </w:rPr>
        <w:t>1.</w:t>
      </w:r>
      <w:r>
        <w:rPr>
          <w:rFonts w:hint="eastAsia" w:hAnsi="宋体" w:cs="Arial"/>
          <w:b/>
          <w:bCs/>
          <w:color w:val="auto"/>
          <w:sz w:val="24"/>
          <w:highlight w:val="none"/>
        </w:rPr>
        <w:t>供应商竞标的医用氧气（液氧）不得高于单价最高限价（1600元/吨），否则竞标无效。</w:t>
      </w:r>
    </w:p>
    <w:p w14:paraId="118D78FC">
      <w:pPr>
        <w:spacing w:line="400" w:lineRule="exact"/>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2</w:t>
      </w:r>
      <w:r>
        <w:rPr>
          <w:rFonts w:ascii="宋体" w:hAnsi="宋体" w:cs="仿宋_GB2312"/>
          <w:color w:val="auto"/>
          <w:sz w:val="24"/>
          <w:highlight w:val="none"/>
        </w:rPr>
        <w:t>.</w:t>
      </w:r>
      <w:r>
        <w:rPr>
          <w:rFonts w:hint="eastAsia" w:ascii="宋体" w:hAnsi="宋体"/>
          <w:color w:val="auto"/>
          <w:sz w:val="24"/>
          <w:highlight w:val="none"/>
        </w:rPr>
        <w:t xml:space="preserve"> 以上竞标报价表中“货物名称、数量及单位、品牌、规格型号、制造商、原产地、参数性能、指标及配置”必须如实填写完整，品牌、规格型号没有则填无，填写有缺漏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cs="仿宋_GB2312"/>
          <w:b/>
          <w:color w:val="auto"/>
          <w:sz w:val="24"/>
          <w:highlight w:val="none"/>
        </w:rPr>
        <w:t>其响应文件按无效处理</w:t>
      </w:r>
      <w:r>
        <w:rPr>
          <w:rFonts w:hint="eastAsia" w:ascii="宋体" w:hAnsi="宋体"/>
          <w:b/>
          <w:color w:val="auto"/>
          <w:sz w:val="24"/>
          <w:highlight w:val="none"/>
        </w:rPr>
        <w:t>。</w:t>
      </w:r>
    </w:p>
    <w:p w14:paraId="677E22F5">
      <w:pPr>
        <w:spacing w:line="400" w:lineRule="exact"/>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3.供应商的报价表必须加盖供应商电子签章并由法定代表人或者委托代理人签字或者电子签名，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700A469B">
      <w:pPr>
        <w:spacing w:line="400" w:lineRule="exact"/>
        <w:ind w:firstLine="480" w:firstLineChars="200"/>
        <w:contextualSpacing/>
        <w:jc w:val="left"/>
        <w:rPr>
          <w:rFonts w:ascii="宋体" w:hAnsi="宋体" w:cs="仿宋_GB2312"/>
          <w:b/>
          <w:color w:val="auto"/>
          <w:sz w:val="24"/>
          <w:highlight w:val="none"/>
        </w:rPr>
      </w:pPr>
      <w:r>
        <w:rPr>
          <w:rFonts w:hint="eastAsia" w:ascii="宋体" w:hAnsi="宋体" w:cs="仿宋_GB2312"/>
          <w:bCs/>
          <w:color w:val="auto"/>
          <w:sz w:val="24"/>
          <w:highlight w:val="none"/>
        </w:rPr>
        <w:t>4.</w:t>
      </w:r>
      <w:r>
        <w:rPr>
          <w:rFonts w:hint="eastAsia" w:ascii="宋体" w:hAnsi="宋体" w:cs="仿宋_GB2312"/>
          <w:color w:val="auto"/>
          <w:sz w:val="24"/>
          <w:highlight w:val="none"/>
        </w:rPr>
        <w:t>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66CDAD06">
      <w:pPr>
        <w:spacing w:line="400" w:lineRule="exact"/>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5.谈判文件中列明采购专用耗材的，应按谈判文件规定的耗材量或者按耗材的常规使用量提供报价。</w:t>
      </w:r>
    </w:p>
    <w:p w14:paraId="19451567">
      <w:pPr>
        <w:spacing w:line="400" w:lineRule="exact"/>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09736886">
      <w:pPr>
        <w:spacing w:line="400" w:lineRule="exact"/>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22051E7F">
      <w:pPr>
        <w:spacing w:line="400" w:lineRule="exact"/>
        <w:ind w:right="-817" w:rightChars="-389"/>
        <w:contextualSpacing/>
        <w:rPr>
          <w:rFonts w:ascii="宋体" w:hAnsi="宋体" w:cs="仿宋_GB2312"/>
          <w:color w:val="auto"/>
          <w:sz w:val="24"/>
          <w:highlight w:val="none"/>
        </w:rPr>
      </w:pPr>
      <w:r>
        <w:rPr>
          <w:rFonts w:hint="eastAsia" w:ascii="宋体" w:hAnsi="宋体" w:cs="仿宋_GB2312"/>
          <w:color w:val="auto"/>
          <w:sz w:val="24"/>
          <w:highlight w:val="none"/>
        </w:rPr>
        <w:t xml:space="preserve">                      日期：   年   月   日</w:t>
      </w:r>
    </w:p>
    <w:p w14:paraId="7177F796">
      <w:pPr>
        <w:snapToGrid w:val="0"/>
        <w:spacing w:before="50" w:after="50" w:line="360" w:lineRule="auto"/>
        <w:rPr>
          <w:rFonts w:ascii="宋体" w:hAnsi="宋体" w:cs="仿宋_GB2312"/>
          <w:color w:val="auto"/>
          <w:sz w:val="24"/>
          <w:highlight w:val="none"/>
        </w:rPr>
      </w:pPr>
    </w:p>
    <w:p w14:paraId="48F39405">
      <w:pPr>
        <w:snapToGrid w:val="0"/>
        <w:spacing w:before="50" w:after="50" w:line="360" w:lineRule="auto"/>
        <w:rPr>
          <w:rFonts w:ascii="宋体" w:hAnsi="宋体" w:cs="仿宋_GB2312"/>
          <w:color w:val="auto"/>
          <w:sz w:val="24"/>
          <w:highlight w:val="none"/>
        </w:rPr>
      </w:pPr>
    </w:p>
    <w:p w14:paraId="3246C023">
      <w:pPr>
        <w:spacing w:line="360" w:lineRule="auto"/>
        <w:ind w:right="-817" w:rightChars="-389"/>
        <w:contextualSpacing/>
        <w:rPr>
          <w:rFonts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7FB619F1">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7D1957D2">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1635DA68">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6A397293">
      <w:pPr>
        <w:snapToGrid w:val="0"/>
        <w:spacing w:beforeLines="50" w:after="50"/>
        <w:rPr>
          <w:rFonts w:ascii="宋体" w:hAnsi="宋体"/>
          <w:color w:val="auto"/>
          <w:sz w:val="24"/>
          <w:szCs w:val="20"/>
          <w:highlight w:val="none"/>
        </w:rPr>
      </w:pPr>
    </w:p>
    <w:p w14:paraId="26648A36">
      <w:pPr>
        <w:snapToGrid w:val="0"/>
        <w:spacing w:beforeLines="50" w:after="50"/>
        <w:rPr>
          <w:rFonts w:ascii="宋体" w:hAnsi="宋体"/>
          <w:color w:val="auto"/>
          <w:sz w:val="24"/>
          <w:szCs w:val="20"/>
          <w:highlight w:val="none"/>
        </w:rPr>
      </w:pPr>
    </w:p>
    <w:p w14:paraId="4AB89116">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377146A7">
      <w:pPr>
        <w:snapToGrid w:val="0"/>
        <w:spacing w:beforeLines="50" w:after="50"/>
        <w:rPr>
          <w:rFonts w:ascii="宋体" w:hAnsi="宋体"/>
          <w:bCs/>
          <w:color w:val="auto"/>
          <w:sz w:val="24"/>
          <w:szCs w:val="20"/>
          <w:highlight w:val="none"/>
        </w:rPr>
      </w:pPr>
    </w:p>
    <w:p w14:paraId="76F64440">
      <w:pPr>
        <w:snapToGrid w:val="0"/>
        <w:spacing w:beforeLines="50" w:after="50"/>
        <w:rPr>
          <w:rFonts w:ascii="宋体" w:hAnsi="宋体"/>
          <w:bCs/>
          <w:color w:val="auto"/>
          <w:sz w:val="24"/>
          <w:szCs w:val="20"/>
          <w:highlight w:val="none"/>
        </w:rPr>
      </w:pPr>
    </w:p>
    <w:p w14:paraId="5B6325AB">
      <w:pPr>
        <w:snapToGrid w:val="0"/>
        <w:spacing w:beforeLines="50" w:after="50"/>
        <w:rPr>
          <w:rFonts w:ascii="宋体" w:hAnsi="宋体"/>
          <w:bCs/>
          <w:color w:val="auto"/>
          <w:sz w:val="24"/>
          <w:szCs w:val="20"/>
          <w:highlight w:val="none"/>
        </w:rPr>
      </w:pPr>
    </w:p>
    <w:p w14:paraId="75BDEF59">
      <w:pPr>
        <w:snapToGrid w:val="0"/>
        <w:spacing w:beforeLines="50" w:after="50"/>
        <w:rPr>
          <w:rFonts w:ascii="宋体" w:hAnsi="宋体"/>
          <w:bCs/>
          <w:color w:val="auto"/>
          <w:sz w:val="24"/>
          <w:szCs w:val="20"/>
          <w:highlight w:val="none"/>
        </w:rPr>
      </w:pPr>
    </w:p>
    <w:p w14:paraId="294E9D1D">
      <w:pPr>
        <w:snapToGrid w:val="0"/>
        <w:spacing w:beforeLines="50" w:after="50"/>
        <w:rPr>
          <w:rFonts w:ascii="宋体" w:hAnsi="宋体"/>
          <w:bCs/>
          <w:color w:val="auto"/>
          <w:sz w:val="24"/>
          <w:szCs w:val="20"/>
          <w:highlight w:val="none"/>
        </w:rPr>
      </w:pPr>
    </w:p>
    <w:p w14:paraId="7C472DE7">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35F34856">
      <w:pPr>
        <w:snapToGrid w:val="0"/>
        <w:spacing w:beforeLines="50" w:after="50"/>
        <w:ind w:firstLine="720" w:firstLineChars="225"/>
        <w:rPr>
          <w:rFonts w:ascii="宋体" w:hAnsi="宋体" w:cs="仿宋_GB2312"/>
          <w:bCs/>
          <w:color w:val="auto"/>
          <w:sz w:val="32"/>
          <w:szCs w:val="32"/>
          <w:highlight w:val="none"/>
        </w:rPr>
      </w:pPr>
    </w:p>
    <w:p w14:paraId="500739A0">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1D8D7DF">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3094D8DA">
      <w:pPr>
        <w:pStyle w:val="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B9BBBF9">
      <w:pPr>
        <w:pStyle w:val="7"/>
        <w:snapToGrid w:val="0"/>
        <w:spacing w:before="50" w:after="50"/>
        <w:ind w:firstLine="640" w:firstLineChars="200"/>
        <w:rPr>
          <w:rFonts w:ascii="宋体" w:hAnsi="宋体" w:cs="仿宋_GB2312"/>
          <w:bCs/>
          <w:color w:val="auto"/>
          <w:sz w:val="32"/>
          <w:szCs w:val="32"/>
          <w:highlight w:val="none"/>
        </w:rPr>
      </w:pPr>
    </w:p>
    <w:p w14:paraId="023EF3A6">
      <w:pPr>
        <w:pStyle w:val="7"/>
        <w:snapToGrid w:val="0"/>
        <w:spacing w:before="50" w:after="50"/>
        <w:ind w:firstLine="720" w:firstLineChars="225"/>
        <w:rPr>
          <w:rFonts w:ascii="宋体" w:hAnsi="宋体" w:cs="仿宋_GB2312"/>
          <w:bCs/>
          <w:color w:val="auto"/>
          <w:sz w:val="32"/>
          <w:szCs w:val="32"/>
          <w:highlight w:val="none"/>
        </w:rPr>
      </w:pPr>
    </w:p>
    <w:p w14:paraId="23256CE2">
      <w:pPr>
        <w:pStyle w:val="7"/>
        <w:snapToGrid w:val="0"/>
        <w:spacing w:before="50" w:after="50"/>
        <w:ind w:firstLine="0"/>
        <w:rPr>
          <w:rFonts w:ascii="宋体" w:hAnsi="宋体" w:cs="仿宋_GB2312"/>
          <w:bCs/>
          <w:color w:val="auto"/>
          <w:sz w:val="32"/>
          <w:szCs w:val="32"/>
          <w:highlight w:val="none"/>
        </w:rPr>
      </w:pPr>
    </w:p>
    <w:p w14:paraId="40D5C790">
      <w:pPr>
        <w:pStyle w:val="7"/>
        <w:snapToGrid w:val="0"/>
        <w:spacing w:before="50" w:after="50"/>
        <w:ind w:firstLine="1280" w:firstLineChars="400"/>
        <w:rPr>
          <w:rFonts w:ascii="宋体" w:hAnsi="宋体" w:cs="仿宋_GB2312"/>
          <w:bCs/>
          <w:color w:val="auto"/>
          <w:sz w:val="32"/>
          <w:szCs w:val="32"/>
          <w:highlight w:val="none"/>
        </w:rPr>
      </w:pPr>
    </w:p>
    <w:p w14:paraId="21C665F3">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2D818437">
      <w:pPr>
        <w:snapToGrid w:val="0"/>
        <w:spacing w:beforeLines="50" w:after="50" w:line="360" w:lineRule="auto"/>
        <w:ind w:left="142"/>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20FD94AD">
      <w:pPr>
        <w:snapToGrid w:val="0"/>
        <w:spacing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126101D7">
      <w:pPr>
        <w:spacing w:line="400" w:lineRule="exact"/>
        <w:rPr>
          <w:rFonts w:ascii="仿宋_GB2312" w:hAnsi="仿宋_GB2312" w:eastAsia="仿宋_GB2312" w:cs="仿宋_GB2312"/>
          <w:color w:val="auto"/>
          <w:sz w:val="32"/>
          <w:szCs w:val="32"/>
          <w:highlight w:val="none"/>
        </w:rPr>
      </w:pPr>
    </w:p>
    <w:p w14:paraId="7B7C1424">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2E6A8148">
      <w:pPr>
        <w:spacing w:line="360" w:lineRule="auto"/>
        <w:ind w:firstLine="640" w:firstLineChars="200"/>
        <w:contextualSpacing/>
        <w:rPr>
          <w:rFonts w:ascii="仿宋_GB2312" w:hAnsi="仿宋_GB2312" w:eastAsia="仿宋_GB2312" w:cs="仿宋_GB2312"/>
          <w:color w:val="auto"/>
          <w:sz w:val="32"/>
          <w:szCs w:val="32"/>
          <w:highlight w:val="none"/>
        </w:rPr>
      </w:pPr>
    </w:p>
    <w:p w14:paraId="2F853110">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5354F76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14:paraId="3F6AEBD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0E32E13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3.不同的供应商的响应文件载明的项目管理员为同一个人；</w:t>
      </w:r>
    </w:p>
    <w:p w14:paraId="64DA7DF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2A1E171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742D13AE">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30A725D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752A4B0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051F061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5F0572A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7C22D6D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5.供应商之间事先约定一致抬高或者压低竞标报价，或者在竞争性谈判项目中事先约定轮流以高价位或者低价位成交，或者事先约定由某一特定供应商成交，然后再参加竞标；</w:t>
      </w:r>
    </w:p>
    <w:p w14:paraId="0626F8F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1F4184A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4689F813">
      <w:pPr>
        <w:spacing w:line="360" w:lineRule="auto"/>
        <w:ind w:firstLine="480" w:firstLineChars="200"/>
        <w:contextualSpacing/>
        <w:rPr>
          <w:rFonts w:ascii="宋体" w:hAnsi="宋体" w:cs="仿宋_GB2312"/>
          <w:color w:val="auto"/>
          <w:sz w:val="24"/>
          <w:highlight w:val="none"/>
        </w:rPr>
      </w:pPr>
    </w:p>
    <w:p w14:paraId="5D7D6E4B">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026ADDBD">
      <w:pPr>
        <w:spacing w:line="360" w:lineRule="auto"/>
        <w:ind w:firstLine="480" w:firstLineChars="200"/>
        <w:contextualSpacing/>
        <w:rPr>
          <w:rFonts w:ascii="宋体" w:hAnsi="宋体" w:cs="仿宋_GB2312"/>
          <w:color w:val="auto"/>
          <w:sz w:val="24"/>
          <w:highlight w:val="none"/>
        </w:rPr>
      </w:pPr>
    </w:p>
    <w:p w14:paraId="30EB9712">
      <w:pPr>
        <w:spacing w:line="360" w:lineRule="auto"/>
        <w:contextualSpacing/>
        <w:rPr>
          <w:rFonts w:ascii="宋体" w:hAnsi="宋体" w:cs="仿宋_GB2312"/>
          <w:color w:val="auto"/>
          <w:sz w:val="24"/>
          <w:highlight w:val="none"/>
        </w:rPr>
      </w:pPr>
    </w:p>
    <w:p w14:paraId="5CE0FECF">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6BC04575">
      <w:pPr>
        <w:spacing w:line="360" w:lineRule="auto"/>
        <w:ind w:firstLine="480" w:firstLineChars="200"/>
        <w:contextualSpacing/>
        <w:jc w:val="center"/>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50DC2028">
      <w:pPr>
        <w:spacing w:line="360" w:lineRule="auto"/>
        <w:ind w:firstLine="640" w:firstLineChars="200"/>
        <w:contextualSpacing/>
        <w:jc w:val="center"/>
        <w:rPr>
          <w:rFonts w:ascii="宋体" w:hAnsi="宋体" w:cs="仿宋_GB2312"/>
          <w:color w:val="auto"/>
          <w:sz w:val="32"/>
          <w:szCs w:val="32"/>
          <w:highlight w:val="none"/>
        </w:rPr>
      </w:pPr>
    </w:p>
    <w:p w14:paraId="6E94DE38">
      <w:pPr>
        <w:spacing w:beforeLines="100" w:afterLines="50" w:line="520" w:lineRule="exact"/>
        <w:ind w:left="540"/>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0440A02F">
      <w:pPr>
        <w:spacing w:line="360" w:lineRule="auto"/>
        <w:ind w:left="540"/>
        <w:contextualSpacing/>
        <w:rPr>
          <w:rFonts w:ascii="仿宋_GB2312" w:hAnsi="仿宋_GB2312" w:eastAsia="仿宋_GB2312" w:cs="仿宋_GB2312"/>
          <w:color w:val="auto"/>
          <w:sz w:val="32"/>
          <w:szCs w:val="32"/>
          <w:highlight w:val="none"/>
        </w:rPr>
      </w:pPr>
    </w:p>
    <w:p w14:paraId="3CFCD0A5">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78E9C1CC">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36EDF901">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44AD7492">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40E4FFAA">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4417CD6B">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u w:val="single"/>
        </w:rPr>
        <w:t xml:space="preserve">（供应商名称） </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的法定代表人。</w:t>
      </w:r>
    </w:p>
    <w:p w14:paraId="3CB5D972">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18AFAB97">
      <w:pPr>
        <w:spacing w:line="360" w:lineRule="auto"/>
        <w:ind w:left="540"/>
        <w:contextualSpacing/>
        <w:rPr>
          <w:rFonts w:ascii="宋体" w:hAnsi="宋体" w:cs="仿宋_GB2312"/>
          <w:color w:val="auto"/>
          <w:sz w:val="24"/>
          <w:highlight w:val="none"/>
        </w:rPr>
      </w:pPr>
    </w:p>
    <w:p w14:paraId="56810E3E">
      <w:pPr>
        <w:spacing w:line="360" w:lineRule="auto"/>
        <w:ind w:left="540"/>
        <w:contextualSpacing/>
        <w:rPr>
          <w:rFonts w:ascii="宋体" w:hAnsi="宋体" w:cs="仿宋_GB2312"/>
          <w:color w:val="auto"/>
          <w:sz w:val="24"/>
          <w:highlight w:val="none"/>
        </w:rPr>
      </w:pPr>
    </w:p>
    <w:p w14:paraId="71715B8A">
      <w:pPr>
        <w:spacing w:line="360" w:lineRule="auto"/>
        <w:ind w:left="540"/>
        <w:contextualSpacing/>
        <w:rPr>
          <w:rFonts w:ascii="宋体" w:hAnsi="宋体" w:cs="仿宋_GB2312"/>
          <w:color w:val="auto"/>
          <w:sz w:val="24"/>
          <w:highlight w:val="none"/>
        </w:rPr>
      </w:pPr>
    </w:p>
    <w:p w14:paraId="45B3F1AA">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15346157">
      <w:pPr>
        <w:spacing w:line="360" w:lineRule="auto"/>
        <w:ind w:left="540"/>
        <w:contextualSpacing/>
        <w:rPr>
          <w:rFonts w:ascii="宋体" w:hAnsi="宋体" w:cs="仿宋_GB2312"/>
          <w:color w:val="auto"/>
          <w:sz w:val="24"/>
          <w:highlight w:val="none"/>
        </w:rPr>
      </w:pPr>
    </w:p>
    <w:p w14:paraId="63CEF1B5">
      <w:pPr>
        <w:spacing w:line="360" w:lineRule="auto"/>
        <w:ind w:left="540"/>
        <w:contextualSpacing/>
        <w:jc w:val="right"/>
        <w:rPr>
          <w:rFonts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70803CA0">
      <w:pPr>
        <w:spacing w:line="360" w:lineRule="auto"/>
        <w:ind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5088646C">
      <w:pPr>
        <w:spacing w:line="360" w:lineRule="auto"/>
        <w:contextualSpacing/>
        <w:jc w:val="center"/>
        <w:rPr>
          <w:rFonts w:ascii="宋体" w:hAnsi="宋体" w:cs="仿宋_GB2312"/>
          <w:b/>
          <w:color w:val="auto"/>
          <w:sz w:val="24"/>
          <w:highlight w:val="none"/>
        </w:rPr>
      </w:pPr>
    </w:p>
    <w:p w14:paraId="2CA6E9F6">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w:t>
      </w:r>
    </w:p>
    <w:p w14:paraId="6CC79FAD">
      <w:pPr>
        <w:adjustRightInd w:val="0"/>
        <w:snapToGrid w:val="0"/>
        <w:spacing w:line="300" w:lineRule="auto"/>
        <w:jc w:val="left"/>
        <w:rPr>
          <w:rFonts w:ascii="宋体" w:hAnsi="宋体"/>
          <w:b/>
          <w:color w:val="auto"/>
          <w:szCs w:val="21"/>
          <w:highlight w:val="none"/>
        </w:rPr>
      </w:pPr>
    </w:p>
    <w:p w14:paraId="6E8BCD19">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058031A7">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58616343">
      <w:pPr>
        <w:spacing w:line="360" w:lineRule="auto"/>
        <w:contextualSpacing/>
        <w:rPr>
          <w:rFonts w:ascii="仿宋_GB2312" w:hAnsi="仿宋_GB2312" w:eastAsia="仿宋_GB2312" w:cs="仿宋_GB2312"/>
          <w:color w:val="auto"/>
          <w:sz w:val="32"/>
          <w:szCs w:val="32"/>
          <w:highlight w:val="none"/>
        </w:rPr>
      </w:pPr>
    </w:p>
    <w:p w14:paraId="46CB88EA">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31F459A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分标</w:t>
      </w:r>
      <w:r>
        <w:rPr>
          <w:rFonts w:hint="eastAsia" w:ascii="宋体" w:hAnsi="宋体" w:cs="仿宋_GB2312"/>
          <w:color w:val="auto"/>
          <w:sz w:val="24"/>
          <w:highlight w:val="none"/>
        </w:rPr>
        <w:t>的竞标活动，并代表我方全权办理针对上述项目的所有采购程序和环节的具体事务和签署相关文件。</w:t>
      </w:r>
    </w:p>
    <w:p w14:paraId="3BC43C0A">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06A1836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5A360C0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0F31B73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02F56530">
      <w:pPr>
        <w:spacing w:line="360" w:lineRule="auto"/>
        <w:contextualSpacing/>
        <w:rPr>
          <w:rFonts w:ascii="宋体" w:hAnsi="宋体" w:cs="仿宋_GB2312"/>
          <w:color w:val="auto"/>
          <w:sz w:val="24"/>
          <w:highlight w:val="none"/>
        </w:rPr>
      </w:pPr>
    </w:p>
    <w:p w14:paraId="68A5342C">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3856352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2B5F275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2F74C11E">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79098F6C">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024FC2BB">
      <w:pPr>
        <w:spacing w:line="360" w:lineRule="auto"/>
        <w:contextualSpacing/>
        <w:rPr>
          <w:rFonts w:ascii="宋体" w:hAnsi="宋体" w:cs="仿宋_GB2312"/>
          <w:color w:val="auto"/>
          <w:sz w:val="24"/>
          <w:highlight w:val="none"/>
        </w:rPr>
      </w:pPr>
    </w:p>
    <w:p w14:paraId="165505F6">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698D84CB">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14:paraId="31AE50B6">
      <w:pPr>
        <w:spacing w:line="360" w:lineRule="auto"/>
        <w:ind w:firstLine="420" w:firstLineChars="200"/>
        <w:contextualSpacing/>
        <w:jc w:val="left"/>
        <w:rPr>
          <w:rFonts w:ascii="仿宋_GB2312" w:hAnsi="仿宋_GB2312" w:eastAsia="仿宋_GB2312" w:cs="仿宋_GB2312"/>
          <w:color w:val="auto"/>
          <w:szCs w:val="21"/>
          <w:highlight w:val="none"/>
        </w:rPr>
      </w:pPr>
    </w:p>
    <w:p w14:paraId="1067A016">
      <w:pPr>
        <w:spacing w:line="520" w:lineRule="exact"/>
        <w:contextualSpacing/>
        <w:jc w:val="center"/>
        <w:rPr>
          <w:rFonts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tbl>
      <w:tblPr>
        <w:tblStyle w:val="26"/>
        <w:tblpPr w:leftFromText="180" w:rightFromText="180" w:vertAnchor="text" w:horzAnchor="margin" w:tblpXSpec="center" w:tblpY="311"/>
        <w:tblOverlap w:val="never"/>
        <w:tblW w:w="9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7778E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65960031">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75800B9E">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14:paraId="0C02E089">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14:paraId="2F613D9F">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1FF4F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145E1C27">
            <w:pPr>
              <w:tabs>
                <w:tab w:val="left" w:pos="180"/>
                <w:tab w:val="left" w:pos="1620"/>
              </w:tabs>
              <w:spacing w:line="440" w:lineRule="exact"/>
              <w:jc w:val="center"/>
              <w:rPr>
                <w:rFonts w:ascii="宋体" w:hAnsi="宋体" w:cs="宋体"/>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27A38132">
            <w:pPr>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644E8897">
            <w:pPr>
              <w:snapToGrid w:val="0"/>
              <w:spacing w:beforeLines="50" w:line="360" w:lineRule="auto"/>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21789085">
            <w:pPr>
              <w:snapToGrid w:val="0"/>
              <w:spacing w:beforeLines="50" w:line="360" w:lineRule="auto"/>
              <w:jc w:val="center"/>
              <w:rPr>
                <w:rFonts w:ascii="宋体" w:hAnsi="宋体" w:cs="宋体"/>
                <w:color w:val="auto"/>
                <w:szCs w:val="21"/>
                <w:highlight w:val="none"/>
              </w:rPr>
            </w:pPr>
          </w:p>
        </w:tc>
      </w:tr>
      <w:tr w14:paraId="1124D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1D4C2D69">
            <w:pPr>
              <w:tabs>
                <w:tab w:val="left" w:pos="180"/>
                <w:tab w:val="left" w:pos="1620"/>
              </w:tabs>
              <w:spacing w:line="312" w:lineRule="auto"/>
              <w:jc w:val="center"/>
              <w:rPr>
                <w:rFonts w:ascii="宋体" w:hAnsi="宋体" w:cs="宋体"/>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3B50ADFE">
            <w:pPr>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42C0F0CD">
            <w:pPr>
              <w:snapToGrid w:val="0"/>
              <w:spacing w:beforeLines="50" w:line="360" w:lineRule="auto"/>
              <w:ind w:left="43"/>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77CE29E0">
            <w:pPr>
              <w:snapToGrid w:val="0"/>
              <w:spacing w:beforeLines="50" w:line="360" w:lineRule="auto"/>
              <w:ind w:left="43"/>
              <w:jc w:val="center"/>
              <w:rPr>
                <w:rFonts w:ascii="宋体" w:hAnsi="宋体" w:cs="宋体"/>
                <w:color w:val="auto"/>
                <w:szCs w:val="21"/>
                <w:highlight w:val="none"/>
              </w:rPr>
            </w:pPr>
          </w:p>
        </w:tc>
      </w:tr>
      <w:tr w14:paraId="19350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7F8A25DA">
            <w:pPr>
              <w:tabs>
                <w:tab w:val="left" w:pos="180"/>
                <w:tab w:val="left" w:pos="1620"/>
              </w:tabs>
              <w:spacing w:line="440" w:lineRule="exact"/>
              <w:jc w:val="center"/>
              <w:rPr>
                <w:rFonts w:ascii="宋体" w:hAnsi="宋体" w:cs="宋体"/>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5671C11F">
            <w:pPr>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0768C460">
            <w:pPr>
              <w:snapToGrid w:val="0"/>
              <w:spacing w:beforeLines="50" w:line="360" w:lineRule="auto"/>
              <w:ind w:left="43"/>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5879F218">
            <w:pPr>
              <w:snapToGrid w:val="0"/>
              <w:spacing w:beforeLines="50" w:line="360" w:lineRule="auto"/>
              <w:ind w:left="43"/>
              <w:jc w:val="center"/>
              <w:rPr>
                <w:rFonts w:ascii="宋体" w:hAnsi="宋体" w:cs="宋体"/>
                <w:color w:val="auto"/>
                <w:szCs w:val="21"/>
                <w:highlight w:val="none"/>
              </w:rPr>
            </w:pPr>
          </w:p>
        </w:tc>
      </w:tr>
      <w:tr w14:paraId="05827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7ECA6D96">
            <w:pPr>
              <w:tabs>
                <w:tab w:val="left" w:pos="180"/>
                <w:tab w:val="left" w:pos="1620"/>
              </w:tabs>
              <w:spacing w:line="440" w:lineRule="exact"/>
              <w:jc w:val="center"/>
              <w:rPr>
                <w:rFonts w:ascii="宋体" w:hAnsi="宋体" w:cs="宋体"/>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2A507AFE">
            <w:pPr>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5F3E4D55">
            <w:pPr>
              <w:snapToGrid w:val="0"/>
              <w:spacing w:beforeLines="50" w:line="360" w:lineRule="auto"/>
              <w:ind w:left="43"/>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6E51D9D3">
            <w:pPr>
              <w:snapToGrid w:val="0"/>
              <w:spacing w:beforeLines="50" w:line="360" w:lineRule="auto"/>
              <w:ind w:left="43"/>
              <w:jc w:val="center"/>
              <w:rPr>
                <w:rFonts w:ascii="宋体" w:hAnsi="宋体" w:cs="宋体"/>
                <w:color w:val="auto"/>
                <w:szCs w:val="21"/>
                <w:highlight w:val="none"/>
              </w:rPr>
            </w:pPr>
          </w:p>
        </w:tc>
      </w:tr>
      <w:tr w14:paraId="46FCF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6B9C151E">
            <w:pPr>
              <w:tabs>
                <w:tab w:val="left" w:pos="180"/>
                <w:tab w:val="left" w:pos="1620"/>
              </w:tabs>
              <w:spacing w:line="440" w:lineRule="exact"/>
              <w:jc w:val="center"/>
              <w:rPr>
                <w:rFonts w:ascii="宋体" w:hAnsi="宋体" w:cs="宋体"/>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18B6ED17">
            <w:pPr>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77D1E85C">
            <w:pPr>
              <w:snapToGrid w:val="0"/>
              <w:spacing w:beforeLines="50" w:line="360" w:lineRule="auto"/>
              <w:ind w:left="43"/>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73A5490D">
            <w:pPr>
              <w:snapToGrid w:val="0"/>
              <w:spacing w:beforeLines="50" w:line="360" w:lineRule="auto"/>
              <w:ind w:left="43"/>
              <w:jc w:val="center"/>
              <w:rPr>
                <w:rFonts w:ascii="宋体" w:hAnsi="宋体" w:cs="宋体"/>
                <w:color w:val="auto"/>
                <w:szCs w:val="21"/>
                <w:highlight w:val="none"/>
              </w:rPr>
            </w:pPr>
          </w:p>
        </w:tc>
      </w:tr>
      <w:tr w14:paraId="6CCBC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062FD58D">
            <w:pPr>
              <w:spacing w:line="300" w:lineRule="atLeast"/>
              <w:jc w:val="center"/>
              <w:rPr>
                <w:rFonts w:ascii="宋体" w:hAnsi="宋体" w:cs="宋体"/>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795CA683">
            <w:pPr>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3A516F74">
            <w:pPr>
              <w:snapToGrid w:val="0"/>
              <w:spacing w:beforeLines="50" w:line="360" w:lineRule="auto"/>
              <w:ind w:left="43"/>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50CED811">
            <w:pPr>
              <w:snapToGrid w:val="0"/>
              <w:spacing w:beforeLines="50" w:line="360" w:lineRule="auto"/>
              <w:ind w:left="43"/>
              <w:jc w:val="center"/>
              <w:rPr>
                <w:rFonts w:ascii="宋体" w:hAnsi="宋体" w:cs="宋体"/>
                <w:color w:val="auto"/>
                <w:szCs w:val="21"/>
                <w:highlight w:val="none"/>
              </w:rPr>
            </w:pPr>
          </w:p>
        </w:tc>
      </w:tr>
      <w:tr w14:paraId="74270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210F71B8">
            <w:pPr>
              <w:spacing w:line="300" w:lineRule="atLeast"/>
              <w:jc w:val="center"/>
              <w:rPr>
                <w:rFonts w:ascii="宋体" w:hAnsi="宋体" w:cs="宋体"/>
                <w:color w:val="auto"/>
                <w:szCs w:val="21"/>
                <w:highlight w:val="none"/>
              </w:rPr>
            </w:pPr>
            <w:r>
              <w:rPr>
                <w:rFonts w:ascii="宋体" w:hAnsi="宋体" w:cs="宋体"/>
                <w:color w:val="auto"/>
                <w:szCs w:val="21"/>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6313CC7A">
            <w:pPr>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3E379844">
            <w:pPr>
              <w:snapToGrid w:val="0"/>
              <w:spacing w:beforeLines="50" w:line="360" w:lineRule="auto"/>
              <w:ind w:left="43"/>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0AE56CCE">
            <w:pPr>
              <w:snapToGrid w:val="0"/>
              <w:spacing w:beforeLines="50" w:line="360" w:lineRule="auto"/>
              <w:ind w:left="43"/>
              <w:jc w:val="center"/>
              <w:rPr>
                <w:rFonts w:ascii="宋体" w:hAnsi="宋体" w:cs="宋体"/>
                <w:color w:val="auto"/>
                <w:szCs w:val="21"/>
                <w:highlight w:val="none"/>
              </w:rPr>
            </w:pPr>
          </w:p>
        </w:tc>
      </w:tr>
      <w:tr w14:paraId="18949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5D138CC0">
            <w:pPr>
              <w:spacing w:line="300" w:lineRule="atLeast"/>
              <w:jc w:val="center"/>
              <w:rPr>
                <w:rFonts w:ascii="宋体" w:hAnsi="宋体" w:cs="宋体"/>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13A68787">
            <w:pPr>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07DE1454">
            <w:pPr>
              <w:snapToGrid w:val="0"/>
              <w:spacing w:beforeLines="50" w:line="360" w:lineRule="auto"/>
              <w:ind w:left="43"/>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42F3F007">
            <w:pPr>
              <w:snapToGrid w:val="0"/>
              <w:spacing w:beforeLines="50" w:line="360" w:lineRule="auto"/>
              <w:ind w:left="43"/>
              <w:jc w:val="center"/>
              <w:rPr>
                <w:rFonts w:ascii="宋体" w:hAnsi="宋体" w:cs="宋体"/>
                <w:color w:val="auto"/>
                <w:szCs w:val="21"/>
                <w:highlight w:val="none"/>
              </w:rPr>
            </w:pPr>
          </w:p>
        </w:tc>
      </w:tr>
      <w:tr w14:paraId="47DD7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061DD347">
            <w:pPr>
              <w:snapToGrid w:val="0"/>
              <w:spacing w:line="300" w:lineRule="exact"/>
              <w:rPr>
                <w:rFonts w:ascii="宋体" w:hAnsi="宋体" w:cs="宋体"/>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29C54981">
            <w:pPr>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5540C49C">
            <w:pPr>
              <w:snapToGrid w:val="0"/>
              <w:spacing w:beforeLines="50" w:line="360" w:lineRule="auto"/>
              <w:ind w:left="43"/>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01418C2A">
            <w:pPr>
              <w:snapToGrid w:val="0"/>
              <w:spacing w:beforeLines="50" w:line="360" w:lineRule="auto"/>
              <w:ind w:left="43"/>
              <w:jc w:val="center"/>
              <w:rPr>
                <w:rFonts w:ascii="宋体" w:hAnsi="宋体" w:cs="宋体"/>
                <w:color w:val="auto"/>
                <w:szCs w:val="21"/>
                <w:highlight w:val="none"/>
              </w:rPr>
            </w:pPr>
          </w:p>
        </w:tc>
      </w:tr>
      <w:tr w14:paraId="3AD09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78" w:type="dxa"/>
            <w:tcBorders>
              <w:top w:val="single" w:color="auto" w:sz="4" w:space="0"/>
              <w:left w:val="single" w:color="auto" w:sz="4" w:space="0"/>
              <w:bottom w:val="single" w:color="auto" w:sz="4" w:space="0"/>
              <w:right w:val="single" w:color="auto" w:sz="4" w:space="0"/>
            </w:tcBorders>
            <w:vAlign w:val="center"/>
          </w:tcPr>
          <w:p w14:paraId="7170DAB2">
            <w:pPr>
              <w:spacing w:line="300" w:lineRule="atLeast"/>
              <w:jc w:val="center"/>
              <w:rPr>
                <w:rFonts w:ascii="宋体" w:hAnsi="宋体" w:cs="宋体"/>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5FC53767">
            <w:pPr>
              <w:snapToGrid w:val="0"/>
              <w:spacing w:beforeLines="50" w:line="360" w:lineRule="auto"/>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613887D4">
            <w:pPr>
              <w:snapToGrid w:val="0"/>
              <w:spacing w:beforeLines="50" w:line="360" w:lineRule="auto"/>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0AB347E8">
            <w:pPr>
              <w:snapToGrid w:val="0"/>
              <w:spacing w:beforeLines="50" w:line="360" w:lineRule="auto"/>
              <w:jc w:val="center"/>
              <w:rPr>
                <w:rFonts w:ascii="宋体" w:hAnsi="宋体" w:cs="宋体"/>
                <w:color w:val="auto"/>
                <w:szCs w:val="21"/>
                <w:highlight w:val="none"/>
              </w:rPr>
            </w:pPr>
          </w:p>
        </w:tc>
      </w:tr>
    </w:tbl>
    <w:p w14:paraId="38D96B4F">
      <w:pPr>
        <w:pStyle w:val="12"/>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3BD4982D">
      <w:pPr>
        <w:spacing w:line="360" w:lineRule="auto"/>
        <w:contextualSpacing/>
        <w:rPr>
          <w:rFonts w:ascii="宋体" w:hAnsi="宋体"/>
          <w:color w:val="auto"/>
          <w:kern w:val="0"/>
          <w:sz w:val="24"/>
          <w:highlight w:val="none"/>
        </w:rPr>
      </w:pPr>
      <w:r>
        <w:rPr>
          <w:rFonts w:hint="eastAsia" w:ascii="宋体" w:hAnsi="宋体"/>
          <w:color w:val="auto"/>
          <w:kern w:val="0"/>
          <w:sz w:val="24"/>
          <w:highlight w:val="none"/>
        </w:rPr>
        <w:t>1. 说明：应对照谈判文件“第三章 采购需求”中的商务要求逐条明确响应，并作出偏离说明。</w:t>
      </w:r>
    </w:p>
    <w:p w14:paraId="651A9D42">
      <w:pPr>
        <w:spacing w:line="360" w:lineRule="auto"/>
        <w:contextualSpacing/>
        <w:rPr>
          <w:rFonts w:ascii="宋体" w:hAnsi="宋体"/>
          <w:color w:val="auto"/>
          <w:kern w:val="0"/>
          <w:sz w:val="24"/>
          <w:highlight w:val="none"/>
        </w:rPr>
      </w:pPr>
      <w:r>
        <w:rPr>
          <w:rFonts w:hint="eastAsia" w:ascii="宋体" w:hAnsi="宋体"/>
          <w:color w:val="auto"/>
          <w:kern w:val="0"/>
          <w:sz w:val="24"/>
          <w:highlight w:val="none"/>
        </w:rPr>
        <w:t>2.供应商应根据自身的承诺，对照谈判文件要求在“偏离说明”中注明“正偏离”、“负偏离”或者“无偏离”。既不属于“正偏离”也不属于“负偏离”即为“无偏离”。</w:t>
      </w:r>
    </w:p>
    <w:p w14:paraId="51D243C5">
      <w:pPr>
        <w:spacing w:line="360" w:lineRule="auto"/>
        <w:contextualSpacing/>
        <w:jc w:val="left"/>
        <w:rPr>
          <w:rFonts w:ascii="宋体" w:hAnsi="宋体" w:cs="仿宋_GB2312"/>
          <w:color w:val="auto"/>
          <w:sz w:val="24"/>
          <w:highlight w:val="none"/>
          <w:u w:val="single"/>
        </w:rPr>
      </w:pPr>
    </w:p>
    <w:p w14:paraId="44438F1B">
      <w:pPr>
        <w:spacing w:line="360" w:lineRule="auto"/>
        <w:contextualSpacing/>
        <w:jc w:val="left"/>
        <w:rPr>
          <w:rFonts w:ascii="宋体" w:hAnsi="宋体" w:cs="仿宋_GB2312"/>
          <w:color w:val="auto"/>
          <w:sz w:val="24"/>
          <w:highlight w:val="none"/>
          <w:u w:val="single"/>
        </w:rPr>
      </w:pPr>
    </w:p>
    <w:p w14:paraId="1F208B11">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5A06509D">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481018FF">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0B5A5784">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14:paraId="3ECE9DC1">
      <w:pPr>
        <w:snapToGrid w:val="0"/>
        <w:spacing w:beforeLines="50" w:after="50"/>
        <w:jc w:val="center"/>
        <w:rPr>
          <w:rFonts w:ascii="宋体" w:hAnsi="宋体"/>
          <w:b/>
          <w:color w:val="auto"/>
          <w:sz w:val="24"/>
          <w:highlight w:val="none"/>
        </w:rPr>
      </w:pPr>
    </w:p>
    <w:p w14:paraId="1878DAA2">
      <w:pPr>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采购代理机构名称</w:t>
      </w:r>
      <w:r>
        <w:rPr>
          <w:rFonts w:hint="eastAsia" w:ascii="宋体" w:hAnsi="宋体"/>
          <w:color w:val="auto"/>
          <w:sz w:val="24"/>
          <w:highlight w:val="none"/>
        </w:rPr>
        <w:t>：</w:t>
      </w:r>
    </w:p>
    <w:p w14:paraId="3605823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2B6B4107">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1.我方承诺，若本单位成交，保证在领取成交通知书后，按本项目谈判文件的规定标准向贵单位一次性足额支付代理服务费, 在领取成交通知书后，由于被质疑、投诉或者其他原因而导致成交结果改变，我方将放弃对已缴纳的代理服务费追还的一切权利。</w:t>
      </w:r>
    </w:p>
    <w:p w14:paraId="58977CE5">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2.本单位选择第</w:t>
      </w:r>
      <w:r>
        <w:rPr>
          <w:rFonts w:hint="eastAsia" w:ascii="宋体" w:hAnsi="宋体"/>
          <w:color w:val="auto"/>
          <w:sz w:val="24"/>
          <w:highlight w:val="none"/>
          <w:u w:val="single"/>
        </w:rPr>
        <w:t xml:space="preserve">     </w:t>
      </w:r>
      <w:r>
        <w:rPr>
          <w:rFonts w:hint="eastAsia" w:ascii="宋体" w:hAnsi="宋体"/>
          <w:color w:val="auto"/>
          <w:sz w:val="24"/>
          <w:highlight w:val="none"/>
        </w:rPr>
        <w:t>种方式作为代理服务费开票类型：</w:t>
      </w:r>
    </w:p>
    <w:p w14:paraId="15722328">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第一种方式：开具增值税普通发票。开票信息如下：</w:t>
      </w:r>
    </w:p>
    <w:p w14:paraId="1DB982CA">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56ABDCBD">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759D8A1">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第二种方式：开具增值税专用发票，开票信息如下：</w:t>
      </w:r>
    </w:p>
    <w:p w14:paraId="02C59FE6">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65E244A">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58F2CD1D">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（3）在税务局登记的地址</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73328DEF">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（4）在税务局登记的电话</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53EB978B">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22C2AD81">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1A8E801A">
      <w:pPr>
        <w:spacing w:line="440" w:lineRule="exact"/>
        <w:rPr>
          <w:rFonts w:ascii="宋体" w:hAnsi="宋体"/>
          <w:color w:val="auto"/>
          <w:sz w:val="24"/>
          <w:highlight w:val="none"/>
        </w:rPr>
      </w:pPr>
    </w:p>
    <w:p w14:paraId="4CADAB71">
      <w:pPr>
        <w:spacing w:line="440" w:lineRule="exact"/>
        <w:rPr>
          <w:rFonts w:ascii="宋体" w:hAnsi="宋体"/>
          <w:color w:val="auto"/>
          <w:sz w:val="24"/>
          <w:highlight w:val="none"/>
        </w:rPr>
      </w:pPr>
    </w:p>
    <w:p w14:paraId="7C41BE27">
      <w:pPr>
        <w:spacing w:line="440" w:lineRule="exact"/>
        <w:rPr>
          <w:rFonts w:ascii="宋体" w:hAnsi="宋体"/>
          <w:color w:val="auto"/>
          <w:sz w:val="24"/>
          <w:highlight w:val="none"/>
        </w:rPr>
      </w:pPr>
    </w:p>
    <w:p w14:paraId="7CE1CCCD">
      <w:pPr>
        <w:snapToGrid w:val="0"/>
        <w:spacing w:line="360" w:lineRule="auto"/>
        <w:ind w:left="-2" w:leftChars="-1" w:right="-817" w:rightChars="-389" w:firstLine="1920" w:firstLineChars="800"/>
        <w:rPr>
          <w:rFonts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69FAD0EB">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供应商公章（电子签章）：</w:t>
      </w:r>
    </w:p>
    <w:p w14:paraId="199E56D4">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p>
    <w:p w14:paraId="633E299C">
      <w:pPr>
        <w:widowControl/>
        <w:spacing w:line="360" w:lineRule="auto"/>
        <w:jc w:val="left"/>
        <w:rPr>
          <w:rFonts w:ascii="宋体" w:hAnsi="宋体"/>
          <w:color w:val="auto"/>
          <w:szCs w:val="21"/>
          <w:highlight w:val="none"/>
        </w:rPr>
        <w:sectPr>
          <w:pgSz w:w="11906" w:h="16838"/>
          <w:pgMar w:top="1440" w:right="1797" w:bottom="1440" w:left="1797" w:header="851" w:footer="992" w:gutter="0"/>
          <w:cols w:space="720" w:num="1"/>
        </w:sectPr>
      </w:pPr>
    </w:p>
    <w:p w14:paraId="389760A8">
      <w:pPr>
        <w:adjustRightInd w:val="0"/>
        <w:snapToGrid w:val="0"/>
        <w:spacing w:line="520" w:lineRule="exact"/>
        <w:jc w:val="center"/>
        <w:rPr>
          <w:rFonts w:ascii="宋体" w:hAnsi="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货物配置清单</w:t>
      </w:r>
    </w:p>
    <w:p w14:paraId="603EA485">
      <w:pPr>
        <w:spacing w:line="300" w:lineRule="auto"/>
        <w:rPr>
          <w:rFonts w:ascii="宋体" w:hAnsi="宋体"/>
          <w:color w:val="auto"/>
          <w:szCs w:val="21"/>
          <w:highlight w:val="none"/>
        </w:rPr>
      </w:pPr>
    </w:p>
    <w:p w14:paraId="30880B99">
      <w:pPr>
        <w:spacing w:line="360" w:lineRule="auto"/>
        <w:rPr>
          <w:rFonts w:ascii="宋体" w:hAnsi="宋体" w:cs="仿宋_GB2312"/>
          <w:color w:val="auto"/>
          <w:sz w:val="24"/>
          <w:highlight w:val="none"/>
        </w:rPr>
      </w:pP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7F50EAA6">
      <w:pPr>
        <w:spacing w:line="360" w:lineRule="auto"/>
        <w:rPr>
          <w:rFonts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14:paraId="5988E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5D42AC5F">
            <w:pPr>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696" w:type="pct"/>
            <w:tcBorders>
              <w:top w:val="single" w:color="auto" w:sz="4" w:space="0"/>
              <w:left w:val="single" w:color="auto" w:sz="4" w:space="0"/>
              <w:bottom w:val="single" w:color="auto" w:sz="4" w:space="0"/>
              <w:right w:val="single" w:color="auto" w:sz="4" w:space="0"/>
            </w:tcBorders>
            <w:vAlign w:val="center"/>
          </w:tcPr>
          <w:p w14:paraId="60A3D3B8">
            <w:pPr>
              <w:snapToGrid w:val="0"/>
              <w:spacing w:before="50" w:after="50"/>
              <w:jc w:val="center"/>
              <w:rPr>
                <w:rFonts w:ascii="宋体" w:hAnsi="宋体"/>
                <w:color w:val="auto"/>
                <w:sz w:val="24"/>
                <w:highlight w:val="none"/>
              </w:rPr>
            </w:pPr>
            <w:r>
              <w:rPr>
                <w:rFonts w:hint="eastAsia" w:ascii="宋体" w:hAnsi="宋体"/>
                <w:color w:val="auto"/>
                <w:sz w:val="24"/>
                <w:highlight w:val="none"/>
              </w:rPr>
              <w:t>货物名称</w:t>
            </w:r>
          </w:p>
        </w:tc>
        <w:tc>
          <w:tcPr>
            <w:tcW w:w="449" w:type="pct"/>
            <w:tcBorders>
              <w:top w:val="single" w:color="auto" w:sz="4" w:space="0"/>
              <w:left w:val="single" w:color="auto" w:sz="4" w:space="0"/>
              <w:bottom w:val="single" w:color="auto" w:sz="4" w:space="0"/>
              <w:right w:val="single" w:color="auto" w:sz="4" w:space="0"/>
            </w:tcBorders>
            <w:vAlign w:val="center"/>
          </w:tcPr>
          <w:p w14:paraId="49B4DB11">
            <w:pPr>
              <w:snapToGrid w:val="0"/>
              <w:spacing w:before="50" w:after="50"/>
              <w:jc w:val="center"/>
              <w:rPr>
                <w:rFonts w:ascii="宋体" w:hAnsi="宋体"/>
                <w:color w:val="auto"/>
                <w:sz w:val="24"/>
                <w:highlight w:val="none"/>
              </w:rPr>
            </w:pPr>
            <w:r>
              <w:rPr>
                <w:rFonts w:hint="eastAsia" w:ascii="宋体" w:hAnsi="宋体"/>
                <w:color w:val="auto"/>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14:paraId="0214EDF4">
            <w:pPr>
              <w:snapToGrid w:val="0"/>
              <w:spacing w:before="50" w:after="50"/>
              <w:jc w:val="center"/>
              <w:rPr>
                <w:rFonts w:ascii="宋体" w:hAnsi="宋体"/>
                <w:color w:val="auto"/>
                <w:sz w:val="24"/>
                <w:highlight w:val="none"/>
              </w:rPr>
            </w:pPr>
            <w:r>
              <w:rPr>
                <w:rFonts w:hint="eastAsia" w:ascii="宋体" w:hAnsi="宋体"/>
                <w:color w:val="auto"/>
                <w:sz w:val="24"/>
                <w:highlight w:val="none"/>
              </w:rPr>
              <w:t>品牌</w:t>
            </w:r>
          </w:p>
        </w:tc>
        <w:tc>
          <w:tcPr>
            <w:tcW w:w="998" w:type="pct"/>
            <w:tcBorders>
              <w:top w:val="single" w:color="auto" w:sz="4" w:space="0"/>
              <w:left w:val="single" w:color="auto" w:sz="4" w:space="0"/>
              <w:bottom w:val="single" w:color="auto" w:sz="4" w:space="0"/>
              <w:right w:val="single" w:color="auto" w:sz="4" w:space="0"/>
            </w:tcBorders>
          </w:tcPr>
          <w:p w14:paraId="43E39619">
            <w:pPr>
              <w:snapToGrid w:val="0"/>
              <w:spacing w:before="50" w:after="50"/>
              <w:jc w:val="center"/>
              <w:rPr>
                <w:rFonts w:ascii="宋体" w:hAnsi="宋体"/>
                <w:color w:val="auto"/>
                <w:sz w:val="24"/>
                <w:highlight w:val="none"/>
              </w:rPr>
            </w:pPr>
          </w:p>
          <w:p w14:paraId="22F6D334">
            <w:pPr>
              <w:snapToGrid w:val="0"/>
              <w:spacing w:before="50" w:after="50"/>
              <w:jc w:val="center"/>
              <w:rPr>
                <w:rFonts w:ascii="宋体" w:hAnsi="宋体"/>
                <w:color w:val="auto"/>
                <w:sz w:val="24"/>
                <w:highlight w:val="none"/>
              </w:rPr>
            </w:pPr>
            <w:r>
              <w:rPr>
                <w:rFonts w:hint="eastAsia" w:ascii="宋体" w:hAnsi="宋体"/>
                <w:color w:val="auto"/>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7EBF343E">
            <w:pPr>
              <w:snapToGrid w:val="0"/>
              <w:spacing w:before="50" w:after="50"/>
              <w:jc w:val="center"/>
              <w:rPr>
                <w:rFonts w:ascii="宋体" w:hAnsi="宋体"/>
                <w:color w:val="auto"/>
                <w:sz w:val="24"/>
                <w:highlight w:val="none"/>
              </w:rPr>
            </w:pPr>
            <w:r>
              <w:rPr>
                <w:rFonts w:hint="eastAsia" w:ascii="宋体" w:hAnsi="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224CDE30">
            <w:pPr>
              <w:snapToGrid w:val="0"/>
              <w:spacing w:before="50" w:after="50"/>
              <w:jc w:val="center"/>
              <w:rPr>
                <w:rFonts w:ascii="宋体" w:hAnsi="宋体"/>
                <w:color w:val="auto"/>
                <w:sz w:val="24"/>
                <w:highlight w:val="none"/>
              </w:rPr>
            </w:pPr>
            <w:r>
              <w:rPr>
                <w:rFonts w:hint="eastAsia" w:ascii="宋体" w:hAnsi="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0D4B1C78">
            <w:pPr>
              <w:snapToGrid w:val="0"/>
              <w:spacing w:before="50" w:after="50"/>
              <w:jc w:val="center"/>
              <w:rPr>
                <w:rFonts w:ascii="宋体" w:hAnsi="宋体"/>
                <w:color w:val="auto"/>
                <w:sz w:val="24"/>
                <w:highlight w:val="none"/>
              </w:rPr>
            </w:pPr>
            <w:r>
              <w:rPr>
                <w:rFonts w:hint="eastAsia" w:ascii="宋体" w:hAnsi="宋体"/>
                <w:color w:val="auto"/>
                <w:sz w:val="24"/>
                <w:highlight w:val="none"/>
              </w:rPr>
              <w:t>参数性能、指标及配置</w:t>
            </w:r>
          </w:p>
        </w:tc>
      </w:tr>
      <w:tr w14:paraId="2BC31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038F11C3">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60E65F93">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662C36F7">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2AB0E312">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14:paraId="5DF7CC64">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78D53F70">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29B8D698">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0159E032">
            <w:pPr>
              <w:snapToGrid w:val="0"/>
              <w:spacing w:before="50" w:after="50"/>
              <w:jc w:val="center"/>
              <w:rPr>
                <w:rFonts w:ascii="宋体" w:hAnsi="宋体"/>
                <w:color w:val="auto"/>
                <w:sz w:val="24"/>
                <w:highlight w:val="none"/>
              </w:rPr>
            </w:pPr>
          </w:p>
        </w:tc>
      </w:tr>
      <w:tr w14:paraId="3E4FE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059386B0">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796384F3">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4BD6AB8E">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0058C943">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14:paraId="5AE499BB">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0E941A77">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27F84662">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12F01E7E">
            <w:pPr>
              <w:snapToGrid w:val="0"/>
              <w:spacing w:before="50" w:after="50"/>
              <w:jc w:val="center"/>
              <w:rPr>
                <w:rFonts w:ascii="宋体" w:hAnsi="宋体"/>
                <w:color w:val="auto"/>
                <w:sz w:val="24"/>
                <w:highlight w:val="none"/>
              </w:rPr>
            </w:pPr>
          </w:p>
        </w:tc>
      </w:tr>
      <w:tr w14:paraId="5B237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76FC743F">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584D8497">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3D1F4891">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74CB5E03">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14:paraId="59F129C5">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2E15632E">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325D7E0A">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2929D8F2">
            <w:pPr>
              <w:snapToGrid w:val="0"/>
              <w:spacing w:before="50" w:after="50"/>
              <w:jc w:val="center"/>
              <w:rPr>
                <w:rFonts w:ascii="宋体" w:hAnsi="宋体"/>
                <w:color w:val="auto"/>
                <w:sz w:val="24"/>
                <w:highlight w:val="none"/>
              </w:rPr>
            </w:pPr>
          </w:p>
        </w:tc>
      </w:tr>
    </w:tbl>
    <w:p w14:paraId="06105C42">
      <w:pPr>
        <w:spacing w:line="360" w:lineRule="auto"/>
        <w:contextualSpacing/>
        <w:rPr>
          <w:rFonts w:ascii="宋体" w:hAnsi="宋体"/>
          <w:color w:val="auto"/>
          <w:sz w:val="24"/>
          <w:highlight w:val="none"/>
        </w:rPr>
      </w:pPr>
      <w:r>
        <w:rPr>
          <w:rFonts w:hint="eastAsia" w:ascii="宋体" w:hAnsi="宋体"/>
          <w:color w:val="auto"/>
          <w:sz w:val="24"/>
          <w:highlight w:val="none"/>
        </w:rPr>
        <w:t>备注：</w:t>
      </w:r>
    </w:p>
    <w:p w14:paraId="5D2274A6">
      <w:pPr>
        <w:tabs>
          <w:tab w:val="left" w:pos="1065"/>
        </w:tabs>
        <w:adjustRightInd w:val="0"/>
        <w:spacing w:line="360" w:lineRule="auto"/>
        <w:contextualSpacing/>
        <w:rPr>
          <w:rFonts w:ascii="宋体" w:hAnsi="宋体" w:cs="仿宋_GB2312"/>
          <w:b/>
          <w:bCs/>
          <w:color w:val="auto"/>
          <w:sz w:val="24"/>
          <w:highlight w:val="none"/>
        </w:rPr>
      </w:pPr>
      <w:r>
        <w:rPr>
          <w:rFonts w:hint="eastAsia" w:ascii="宋体" w:hAnsi="宋体"/>
          <w:b/>
          <w:bCs/>
          <w:color w:val="auto"/>
          <w:sz w:val="24"/>
          <w:highlight w:val="none"/>
        </w:rPr>
        <w:t>以上货物配置清单中“货物名称、数量及单位、品牌、规格型号、制造商、原产地、参数性能、指标及配置”必须如实填写完整，品牌、规格型号没有则填无，填写有缺漏的，响应文件按无效处理</w:t>
      </w:r>
      <w:r>
        <w:rPr>
          <w:rFonts w:hint="eastAsia" w:ascii="宋体" w:hAnsi="宋体"/>
          <w:b/>
          <w:color w:val="auto"/>
          <w:sz w:val="24"/>
          <w:highlight w:val="none"/>
        </w:rPr>
        <w:t>。</w:t>
      </w:r>
      <w:r>
        <w:rPr>
          <w:rFonts w:hint="eastAsia" w:ascii="宋体" w:hAnsi="宋体"/>
          <w:b/>
          <w:bCs/>
          <w:color w:val="auto"/>
          <w:sz w:val="24"/>
          <w:highlight w:val="none"/>
        </w:rPr>
        <w:t>货物名称、数量及单位、品牌必须与“竞标报价表”一致，否则响应文件按无效处理。</w:t>
      </w:r>
      <w:r>
        <w:rPr>
          <w:rFonts w:hint="eastAsia" w:ascii="宋体" w:hAnsi="宋体" w:cs="仿宋_GB2312"/>
          <w:b/>
          <w:bCs/>
          <w:color w:val="auto"/>
          <w:sz w:val="24"/>
          <w:highlight w:val="none"/>
        </w:rPr>
        <w:tab/>
      </w:r>
    </w:p>
    <w:p w14:paraId="4342C482">
      <w:pPr>
        <w:adjustRightInd w:val="0"/>
        <w:spacing w:line="360" w:lineRule="auto"/>
        <w:contextualSpacing/>
        <w:jc w:val="left"/>
        <w:rPr>
          <w:rFonts w:ascii="宋体" w:hAnsi="宋体" w:cs="仿宋_GB2312"/>
          <w:color w:val="auto"/>
          <w:sz w:val="24"/>
          <w:highlight w:val="none"/>
        </w:rPr>
      </w:pPr>
    </w:p>
    <w:p w14:paraId="41AAF302">
      <w:pPr>
        <w:adjustRightInd w:val="0"/>
        <w:spacing w:line="360" w:lineRule="auto"/>
        <w:contextualSpacing/>
        <w:jc w:val="left"/>
        <w:rPr>
          <w:rFonts w:ascii="宋体" w:hAnsi="宋体" w:cs="仿宋_GB2312"/>
          <w:color w:val="auto"/>
          <w:sz w:val="24"/>
          <w:highlight w:val="none"/>
        </w:rPr>
      </w:pPr>
    </w:p>
    <w:p w14:paraId="45BFF97C">
      <w:pPr>
        <w:adjustRightInd w:val="0"/>
        <w:spacing w:line="360" w:lineRule="auto"/>
        <w:contextualSpacing/>
        <w:jc w:val="left"/>
        <w:rPr>
          <w:rFonts w:ascii="宋体" w:hAnsi="宋体" w:cs="仿宋_GB2312"/>
          <w:color w:val="auto"/>
          <w:sz w:val="24"/>
          <w:highlight w:val="none"/>
        </w:rPr>
      </w:pPr>
    </w:p>
    <w:p w14:paraId="6D00D32B">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0E042AC5">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4A94AD5C">
      <w:pPr>
        <w:spacing w:line="360" w:lineRule="auto"/>
        <w:ind w:right="-817" w:rightChars="-389" w:firstLine="2880" w:firstLineChars="12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768A9959">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p>
    <w:p w14:paraId="53CADB7B">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p>
    <w:p w14:paraId="27C7451E">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p>
    <w:p w14:paraId="5C62C259">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p>
    <w:p w14:paraId="1D561470">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p>
    <w:p w14:paraId="7A853131">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p>
    <w:p w14:paraId="0DE463D8">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技术要求偏离表</w:t>
      </w:r>
    </w:p>
    <w:p w14:paraId="1A6F2E4D">
      <w:pPr>
        <w:spacing w:line="520" w:lineRule="exact"/>
        <w:rPr>
          <w:rFonts w:ascii="仿宋_GB2312" w:hAnsi="仿宋_GB2312" w:eastAsia="仿宋_GB2312" w:cs="仿宋_GB2312"/>
          <w:color w:val="auto"/>
          <w:sz w:val="32"/>
          <w:szCs w:val="32"/>
          <w:highlight w:val="none"/>
        </w:rPr>
      </w:pPr>
    </w:p>
    <w:p w14:paraId="6B862CCC">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57ABB941">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02"/>
        <w:gridCol w:w="902"/>
        <w:gridCol w:w="2988"/>
        <w:gridCol w:w="2689"/>
        <w:gridCol w:w="1465"/>
      </w:tblGrid>
      <w:tr w14:paraId="586CF6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58610B74">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序号</w:t>
            </w:r>
          </w:p>
        </w:tc>
        <w:tc>
          <w:tcPr>
            <w:tcW w:w="504" w:type="pct"/>
            <w:tcBorders>
              <w:right w:val="single" w:color="auto" w:sz="4" w:space="0"/>
            </w:tcBorders>
            <w:vAlign w:val="center"/>
          </w:tcPr>
          <w:p w14:paraId="50B2E19F">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1670" w:type="pct"/>
            <w:tcBorders>
              <w:left w:val="single" w:color="auto" w:sz="4" w:space="0"/>
            </w:tcBorders>
            <w:vAlign w:val="center"/>
          </w:tcPr>
          <w:p w14:paraId="713F2BB2">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谈判文件要求</w:t>
            </w:r>
          </w:p>
        </w:tc>
        <w:tc>
          <w:tcPr>
            <w:tcW w:w="1503" w:type="pct"/>
            <w:vAlign w:val="center"/>
          </w:tcPr>
          <w:p w14:paraId="17161954">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竞标响应</w:t>
            </w:r>
          </w:p>
        </w:tc>
        <w:tc>
          <w:tcPr>
            <w:tcW w:w="820" w:type="pct"/>
            <w:vAlign w:val="center"/>
          </w:tcPr>
          <w:p w14:paraId="3ED3EEDB">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偏离说明</w:t>
            </w:r>
          </w:p>
        </w:tc>
      </w:tr>
      <w:tr w14:paraId="2BDF4B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6ED254B0">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504" w:type="pct"/>
            <w:tcBorders>
              <w:right w:val="single" w:color="auto" w:sz="4" w:space="0"/>
            </w:tcBorders>
            <w:vAlign w:val="center"/>
          </w:tcPr>
          <w:p w14:paraId="11269D0B">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670" w:type="pct"/>
            <w:tcBorders>
              <w:left w:val="single" w:color="auto" w:sz="4" w:space="0"/>
            </w:tcBorders>
            <w:vAlign w:val="center"/>
          </w:tcPr>
          <w:p w14:paraId="31B9005F">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503" w:type="pct"/>
            <w:vAlign w:val="center"/>
          </w:tcPr>
          <w:p w14:paraId="41F18084">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820" w:type="pct"/>
            <w:vAlign w:val="center"/>
          </w:tcPr>
          <w:p w14:paraId="4FE067A7">
            <w:pPr>
              <w:pStyle w:val="14"/>
              <w:spacing w:line="360" w:lineRule="auto"/>
              <w:ind w:firstLine="0" w:firstLineChars="0"/>
              <w:jc w:val="center"/>
              <w:rPr>
                <w:rFonts w:ascii="宋体" w:hAnsi="宋体" w:eastAsia="宋体" w:cs="仿宋_GB2312"/>
                <w:color w:val="auto"/>
                <w:kern w:val="2"/>
                <w:sz w:val="24"/>
                <w:szCs w:val="24"/>
                <w:highlight w:val="none"/>
              </w:rPr>
            </w:pPr>
          </w:p>
        </w:tc>
      </w:tr>
      <w:tr w14:paraId="1119E0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54DAA6B0">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504" w:type="pct"/>
            <w:tcBorders>
              <w:right w:val="single" w:color="auto" w:sz="4" w:space="0"/>
            </w:tcBorders>
            <w:vAlign w:val="center"/>
          </w:tcPr>
          <w:p w14:paraId="32F0FF9A">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670" w:type="pct"/>
            <w:tcBorders>
              <w:left w:val="single" w:color="auto" w:sz="4" w:space="0"/>
            </w:tcBorders>
            <w:vAlign w:val="center"/>
          </w:tcPr>
          <w:p w14:paraId="4EF69040">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503" w:type="pct"/>
            <w:vAlign w:val="center"/>
          </w:tcPr>
          <w:p w14:paraId="09EC2217">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820" w:type="pct"/>
            <w:vAlign w:val="center"/>
          </w:tcPr>
          <w:p w14:paraId="799D9AB6">
            <w:pPr>
              <w:pStyle w:val="14"/>
              <w:spacing w:line="360" w:lineRule="auto"/>
              <w:ind w:firstLine="0" w:firstLineChars="0"/>
              <w:jc w:val="center"/>
              <w:rPr>
                <w:rFonts w:ascii="宋体" w:hAnsi="宋体" w:eastAsia="宋体" w:cs="仿宋_GB2312"/>
                <w:color w:val="auto"/>
                <w:kern w:val="2"/>
                <w:sz w:val="24"/>
                <w:szCs w:val="24"/>
                <w:highlight w:val="none"/>
              </w:rPr>
            </w:pPr>
          </w:p>
        </w:tc>
      </w:tr>
      <w:tr w14:paraId="0CFF97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75484788">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w:t>
            </w:r>
          </w:p>
        </w:tc>
        <w:tc>
          <w:tcPr>
            <w:tcW w:w="504" w:type="pct"/>
            <w:tcBorders>
              <w:right w:val="single" w:color="auto" w:sz="4" w:space="0"/>
            </w:tcBorders>
            <w:vAlign w:val="center"/>
          </w:tcPr>
          <w:p w14:paraId="3AAC4DC3">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670" w:type="pct"/>
            <w:tcBorders>
              <w:left w:val="single" w:color="auto" w:sz="4" w:space="0"/>
            </w:tcBorders>
            <w:vAlign w:val="center"/>
          </w:tcPr>
          <w:p w14:paraId="4C0E1A28">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503" w:type="pct"/>
            <w:vAlign w:val="center"/>
          </w:tcPr>
          <w:p w14:paraId="46C8B689">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820" w:type="pct"/>
            <w:vAlign w:val="center"/>
          </w:tcPr>
          <w:p w14:paraId="7856AD86">
            <w:pPr>
              <w:pStyle w:val="14"/>
              <w:spacing w:line="360" w:lineRule="auto"/>
              <w:ind w:firstLine="0" w:firstLineChars="0"/>
              <w:jc w:val="center"/>
              <w:rPr>
                <w:rFonts w:ascii="宋体" w:hAnsi="宋体" w:eastAsia="宋体" w:cs="仿宋_GB2312"/>
                <w:color w:val="auto"/>
                <w:kern w:val="2"/>
                <w:sz w:val="24"/>
                <w:szCs w:val="24"/>
                <w:highlight w:val="none"/>
              </w:rPr>
            </w:pPr>
          </w:p>
        </w:tc>
      </w:tr>
      <w:tr w14:paraId="33C762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426908FE">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4</w:t>
            </w:r>
          </w:p>
        </w:tc>
        <w:tc>
          <w:tcPr>
            <w:tcW w:w="504" w:type="pct"/>
            <w:tcBorders>
              <w:right w:val="single" w:color="auto" w:sz="4" w:space="0"/>
            </w:tcBorders>
            <w:vAlign w:val="center"/>
          </w:tcPr>
          <w:p w14:paraId="1D22CA5D">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670" w:type="pct"/>
            <w:tcBorders>
              <w:left w:val="single" w:color="auto" w:sz="4" w:space="0"/>
            </w:tcBorders>
            <w:vAlign w:val="center"/>
          </w:tcPr>
          <w:p w14:paraId="005E46A4">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503" w:type="pct"/>
            <w:vAlign w:val="center"/>
          </w:tcPr>
          <w:p w14:paraId="4B89D4CF">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820" w:type="pct"/>
            <w:vAlign w:val="center"/>
          </w:tcPr>
          <w:p w14:paraId="23772804">
            <w:pPr>
              <w:pStyle w:val="14"/>
              <w:spacing w:line="360" w:lineRule="auto"/>
              <w:ind w:firstLine="0" w:firstLineChars="0"/>
              <w:jc w:val="center"/>
              <w:rPr>
                <w:rFonts w:ascii="宋体" w:hAnsi="宋体" w:eastAsia="宋体" w:cs="仿宋_GB2312"/>
                <w:color w:val="auto"/>
                <w:kern w:val="2"/>
                <w:sz w:val="24"/>
                <w:szCs w:val="24"/>
                <w:highlight w:val="none"/>
              </w:rPr>
            </w:pPr>
          </w:p>
        </w:tc>
      </w:tr>
      <w:tr w14:paraId="479CA1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0CEAC71C">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5</w:t>
            </w:r>
          </w:p>
        </w:tc>
        <w:tc>
          <w:tcPr>
            <w:tcW w:w="504" w:type="pct"/>
            <w:tcBorders>
              <w:right w:val="single" w:color="auto" w:sz="4" w:space="0"/>
            </w:tcBorders>
            <w:vAlign w:val="center"/>
          </w:tcPr>
          <w:p w14:paraId="0C871F6E">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670" w:type="pct"/>
            <w:tcBorders>
              <w:left w:val="single" w:color="auto" w:sz="4" w:space="0"/>
            </w:tcBorders>
            <w:vAlign w:val="center"/>
          </w:tcPr>
          <w:p w14:paraId="752D80DE">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503" w:type="pct"/>
            <w:vAlign w:val="center"/>
          </w:tcPr>
          <w:p w14:paraId="12C092DB">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820" w:type="pct"/>
            <w:vAlign w:val="center"/>
          </w:tcPr>
          <w:p w14:paraId="3A77C337">
            <w:pPr>
              <w:pStyle w:val="14"/>
              <w:spacing w:line="360" w:lineRule="auto"/>
              <w:ind w:firstLine="0" w:firstLineChars="0"/>
              <w:jc w:val="center"/>
              <w:rPr>
                <w:rFonts w:ascii="宋体" w:hAnsi="宋体" w:eastAsia="宋体" w:cs="仿宋_GB2312"/>
                <w:color w:val="auto"/>
                <w:kern w:val="2"/>
                <w:sz w:val="24"/>
                <w:szCs w:val="24"/>
                <w:highlight w:val="none"/>
              </w:rPr>
            </w:pPr>
          </w:p>
        </w:tc>
      </w:tr>
      <w:tr w14:paraId="4BE68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4" w:type="pct"/>
            <w:vAlign w:val="center"/>
          </w:tcPr>
          <w:p w14:paraId="3DEC9EF5">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w:t>
            </w:r>
          </w:p>
        </w:tc>
        <w:tc>
          <w:tcPr>
            <w:tcW w:w="504" w:type="pct"/>
            <w:tcBorders>
              <w:right w:val="single" w:color="auto" w:sz="4" w:space="0"/>
            </w:tcBorders>
            <w:vAlign w:val="center"/>
          </w:tcPr>
          <w:p w14:paraId="643204F4">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670" w:type="pct"/>
            <w:tcBorders>
              <w:left w:val="single" w:color="auto" w:sz="4" w:space="0"/>
            </w:tcBorders>
            <w:vAlign w:val="center"/>
          </w:tcPr>
          <w:p w14:paraId="4DC29BD8">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503" w:type="pct"/>
            <w:vAlign w:val="center"/>
          </w:tcPr>
          <w:p w14:paraId="78B7B107">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820" w:type="pct"/>
            <w:tcBorders>
              <w:right w:val="single" w:color="auto" w:sz="4" w:space="0"/>
            </w:tcBorders>
            <w:vAlign w:val="center"/>
          </w:tcPr>
          <w:p w14:paraId="4946B7A0">
            <w:pPr>
              <w:pStyle w:val="14"/>
              <w:spacing w:line="360" w:lineRule="auto"/>
              <w:ind w:firstLine="0" w:firstLineChars="0"/>
              <w:jc w:val="center"/>
              <w:rPr>
                <w:rFonts w:ascii="宋体" w:hAnsi="宋体" w:eastAsia="宋体" w:cs="仿宋_GB2312"/>
                <w:color w:val="auto"/>
                <w:kern w:val="2"/>
                <w:sz w:val="24"/>
                <w:szCs w:val="24"/>
                <w:highlight w:val="none"/>
              </w:rPr>
            </w:pPr>
          </w:p>
        </w:tc>
      </w:tr>
    </w:tbl>
    <w:p w14:paraId="26ACC8B8">
      <w:pPr>
        <w:pStyle w:val="1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07FCBC80">
      <w:pPr>
        <w:spacing w:line="360" w:lineRule="auto"/>
        <w:contextualSpacing/>
        <w:rPr>
          <w:rFonts w:ascii="宋体" w:hAnsi="宋体" w:cs="仿宋_GB2312"/>
          <w:color w:val="auto"/>
          <w:kern w:val="0"/>
          <w:sz w:val="24"/>
          <w:highlight w:val="none"/>
        </w:rPr>
      </w:pPr>
      <w:r>
        <w:rPr>
          <w:rFonts w:hint="eastAsia" w:ascii="宋体" w:hAnsi="宋体" w:cs="仿宋_GB2312"/>
          <w:color w:val="auto"/>
          <w:kern w:val="0"/>
          <w:sz w:val="24"/>
          <w:highlight w:val="none"/>
        </w:rPr>
        <w:t>1. 说明：应对照谈判文件“第三章 采购需求”中的技术要求逐条实质性响应，并作出偏离说明。</w:t>
      </w:r>
    </w:p>
    <w:p w14:paraId="371EE791">
      <w:pPr>
        <w:spacing w:line="360" w:lineRule="auto"/>
        <w:contextualSpacing/>
        <w:rPr>
          <w:rFonts w:ascii="宋体" w:hAnsi="宋体" w:cs="仿宋_GB2312"/>
          <w:color w:val="auto"/>
          <w:kern w:val="0"/>
          <w:sz w:val="24"/>
          <w:highlight w:val="none"/>
        </w:rPr>
      </w:pPr>
      <w:r>
        <w:rPr>
          <w:rFonts w:hint="eastAsia" w:ascii="宋体" w:hAnsi="宋体" w:cs="仿宋_GB2312"/>
          <w:color w:val="auto"/>
          <w:kern w:val="0"/>
          <w:sz w:val="24"/>
          <w:highlight w:val="none"/>
        </w:rPr>
        <w:t>2.供应商应根据竞标设备的性能指标，对照谈判文件要求，在“偏离说明”中注明“正偏离”、“负偏离”或者“无偏离”。既不属于“正偏离”也不属于“负偏离”即为“无偏离”。</w:t>
      </w:r>
    </w:p>
    <w:p w14:paraId="6262228B">
      <w:pPr>
        <w:pStyle w:val="14"/>
        <w:spacing w:line="360" w:lineRule="auto"/>
        <w:ind w:firstLine="0" w:firstLineChars="0"/>
        <w:contextualSpacing/>
        <w:rPr>
          <w:rFonts w:ascii="宋体" w:hAnsi="宋体" w:eastAsia="宋体" w:cs="仿宋_GB2312"/>
          <w:color w:val="auto"/>
          <w:sz w:val="24"/>
          <w:szCs w:val="24"/>
          <w:highlight w:val="none"/>
        </w:rPr>
      </w:pPr>
    </w:p>
    <w:p w14:paraId="1DE8CEFA">
      <w:pPr>
        <w:spacing w:line="360" w:lineRule="auto"/>
        <w:ind w:right="-817" w:rightChars="-389"/>
        <w:contextualSpacing/>
        <w:rPr>
          <w:rFonts w:ascii="宋体" w:hAnsi="宋体" w:cs="仿宋_GB2312"/>
          <w:color w:val="auto"/>
          <w:sz w:val="24"/>
          <w:highlight w:val="none"/>
        </w:rPr>
      </w:pPr>
    </w:p>
    <w:p w14:paraId="155C83FA">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3988D77A">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1071C9E3">
      <w:pPr>
        <w:spacing w:line="360" w:lineRule="auto"/>
        <w:ind w:right="-817" w:rightChars="-389" w:firstLine="2880" w:firstLineChars="1200"/>
        <w:contextualSpacing/>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日期：   年   月   日</w:t>
      </w:r>
    </w:p>
    <w:p w14:paraId="5D20978D">
      <w:pPr>
        <w:spacing w:line="300" w:lineRule="auto"/>
        <w:rPr>
          <w:rFonts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73419AB5">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中小企业声明函（货物）</w:t>
      </w:r>
    </w:p>
    <w:p w14:paraId="269E6DA6">
      <w:pPr>
        <w:spacing w:before="2" w:line="500" w:lineRule="exact"/>
        <w:ind w:firstLine="708" w:firstLineChars="294"/>
        <w:rPr>
          <w:rFonts w:ascii="宋体" w:hAnsi="宋体" w:cs="宋体"/>
          <w:b/>
          <w:bCs/>
          <w:color w:val="auto"/>
          <w:sz w:val="24"/>
          <w:highlight w:val="none"/>
        </w:rPr>
      </w:pPr>
    </w:p>
    <w:p w14:paraId="446C6596">
      <w:pPr>
        <w:pStyle w:val="13"/>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货物全部由符合政策要求的中小企业制造。相关企业（含联合体中的中小企业、签订分包意向协议的中小企业）的具体情况如下：</w:t>
      </w:r>
    </w:p>
    <w:p w14:paraId="50D8C75C">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制造企业为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724A2BDA">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制造企业为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7CDB1E1F">
      <w:pPr>
        <w:pStyle w:val="13"/>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39F931F1">
      <w:pPr>
        <w:pStyle w:val="13"/>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5F76C644">
      <w:pPr>
        <w:pStyle w:val="13"/>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7B25F3FF">
      <w:pPr>
        <w:pStyle w:val="13"/>
        <w:spacing w:before="56" w:line="500" w:lineRule="exact"/>
        <w:ind w:right="1808" w:firstLine="705" w:firstLineChars="294"/>
        <w:rPr>
          <w:rFonts w:ascii="宋体" w:hAnsi="宋体"/>
          <w:color w:val="auto"/>
          <w:sz w:val="24"/>
          <w:highlight w:val="none"/>
        </w:rPr>
      </w:pPr>
    </w:p>
    <w:p w14:paraId="4A989323">
      <w:pPr>
        <w:pStyle w:val="13"/>
        <w:spacing w:before="56" w:line="500" w:lineRule="exact"/>
        <w:ind w:right="650"/>
        <w:jc w:val="right"/>
        <w:rPr>
          <w:rFonts w:ascii="宋体" w:hAnsi="宋体"/>
          <w:color w:val="auto"/>
          <w:sz w:val="24"/>
          <w:highlight w:val="none"/>
        </w:rPr>
      </w:pPr>
      <w:r>
        <w:rPr>
          <w:rFonts w:ascii="宋体" w:hAnsi="宋体"/>
          <w:color w:val="auto"/>
          <w:sz w:val="24"/>
          <w:highlight w:val="none"/>
        </w:rPr>
        <w:t>企业名称（</w:t>
      </w:r>
      <w:r>
        <w:rPr>
          <w:rFonts w:hint="eastAsia" w:ascii="宋体" w:hAnsi="宋体"/>
          <w:color w:val="auto"/>
          <w:sz w:val="24"/>
          <w:highlight w:val="none"/>
        </w:rPr>
        <w:t>电子签章</w:t>
      </w:r>
      <w:r>
        <w:rPr>
          <w:rFonts w:ascii="宋体" w:hAnsi="宋体"/>
          <w:color w:val="auto"/>
          <w:sz w:val="24"/>
          <w:highlight w:val="none"/>
        </w:rPr>
        <w:t xml:space="preserve">）： </w:t>
      </w:r>
    </w:p>
    <w:p w14:paraId="2A5F51A4">
      <w:pPr>
        <w:pStyle w:val="13"/>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5BD2AC66">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52A59F5">
      <w:pPr>
        <w:spacing w:line="360" w:lineRule="auto"/>
        <w:contextualSpacing/>
        <w:jc w:val="center"/>
        <w:rPr>
          <w:rFonts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294B0EA8">
      <w:pPr>
        <w:spacing w:line="520" w:lineRule="exact"/>
        <w:rPr>
          <w:rFonts w:ascii="仿宋_GB2312" w:hAnsi="仿宋_GB2312" w:eastAsia="仿宋_GB2312" w:cs="仿宋_GB2312"/>
          <w:color w:val="auto"/>
          <w:sz w:val="32"/>
          <w:szCs w:val="32"/>
          <w:highlight w:val="none"/>
        </w:rPr>
      </w:pPr>
    </w:p>
    <w:p w14:paraId="0B98B36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5EB121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3B4856B6">
      <w:pPr>
        <w:spacing w:line="360" w:lineRule="auto"/>
        <w:contextualSpacing/>
        <w:rPr>
          <w:rFonts w:ascii="宋体" w:hAnsi="宋体" w:cs="仿宋_GB2312"/>
          <w:color w:val="auto"/>
          <w:sz w:val="24"/>
          <w:highlight w:val="none"/>
        </w:rPr>
      </w:pPr>
    </w:p>
    <w:p w14:paraId="6363FE6E">
      <w:pPr>
        <w:spacing w:line="360" w:lineRule="auto"/>
        <w:contextualSpacing/>
        <w:rPr>
          <w:rFonts w:ascii="宋体" w:hAnsi="宋体" w:cs="仿宋_GB2312"/>
          <w:color w:val="auto"/>
          <w:sz w:val="24"/>
          <w:highlight w:val="none"/>
        </w:rPr>
      </w:pPr>
    </w:p>
    <w:p w14:paraId="5BEE885B">
      <w:pPr>
        <w:spacing w:line="360" w:lineRule="auto"/>
        <w:contextualSpacing/>
        <w:rPr>
          <w:rFonts w:ascii="宋体" w:hAnsi="宋体" w:cs="仿宋_GB2312"/>
          <w:color w:val="auto"/>
          <w:sz w:val="24"/>
          <w:highlight w:val="none"/>
        </w:rPr>
      </w:pPr>
    </w:p>
    <w:p w14:paraId="01AD6B38">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77EBF4C1">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601C9ED7">
      <w:pPr>
        <w:spacing w:line="360" w:lineRule="auto"/>
        <w:contextualSpacing/>
        <w:rPr>
          <w:rFonts w:ascii="宋体" w:hAnsi="宋体" w:cs="仿宋_GB2312"/>
          <w:color w:val="auto"/>
          <w:sz w:val="24"/>
          <w:highlight w:val="none"/>
        </w:rPr>
      </w:pPr>
    </w:p>
    <w:p w14:paraId="120BA8FA">
      <w:pPr>
        <w:spacing w:line="360" w:lineRule="auto"/>
        <w:contextualSpacing/>
        <w:rPr>
          <w:rFonts w:ascii="宋体" w:hAnsi="宋体" w:cs="仿宋_GB2312"/>
          <w:color w:val="auto"/>
          <w:sz w:val="24"/>
          <w:highlight w:val="none"/>
        </w:rPr>
      </w:pPr>
    </w:p>
    <w:p w14:paraId="12BEE190">
      <w:pPr>
        <w:spacing w:line="360" w:lineRule="auto"/>
        <w:contextualSpacing/>
        <w:rPr>
          <w:rFonts w:ascii="宋体" w:hAnsi="宋体" w:cs="仿宋_GB2312"/>
          <w:color w:val="auto"/>
          <w:sz w:val="24"/>
          <w:highlight w:val="none"/>
        </w:rPr>
      </w:pPr>
    </w:p>
    <w:p w14:paraId="5C44FA53">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17A68A9F">
      <w:pPr>
        <w:spacing w:line="360" w:lineRule="auto"/>
        <w:jc w:val="center"/>
        <w:rPr>
          <w:rFonts w:ascii="方正小标宋简体" w:hAnsi="方正小标宋简体" w:eastAsia="方正小标宋简体" w:cs="方正小标宋简体"/>
          <w:color w:val="auto"/>
          <w:sz w:val="44"/>
          <w:szCs w:val="44"/>
          <w:highlight w:val="none"/>
        </w:rPr>
      </w:pPr>
    </w:p>
    <w:p w14:paraId="16320ED7">
      <w:pPr>
        <w:spacing w:line="360" w:lineRule="auto"/>
        <w:jc w:val="center"/>
        <w:rPr>
          <w:rFonts w:ascii="方正小标宋简体" w:hAnsi="方正小标宋简体" w:eastAsia="方正小标宋简体" w:cs="方正小标宋简体"/>
          <w:color w:val="auto"/>
          <w:sz w:val="44"/>
          <w:szCs w:val="44"/>
          <w:highlight w:val="none"/>
        </w:rPr>
      </w:pPr>
    </w:p>
    <w:p w14:paraId="0FDEF270">
      <w:pPr>
        <w:spacing w:line="360" w:lineRule="auto"/>
        <w:jc w:val="center"/>
        <w:rPr>
          <w:rFonts w:ascii="方正小标宋简体" w:hAnsi="方正小标宋简体" w:eastAsia="方正小标宋简体" w:cs="方正小标宋简体"/>
          <w:color w:val="auto"/>
          <w:sz w:val="44"/>
          <w:szCs w:val="44"/>
          <w:highlight w:val="none"/>
        </w:rPr>
      </w:pPr>
    </w:p>
    <w:p w14:paraId="549810F6">
      <w:pPr>
        <w:spacing w:line="360" w:lineRule="auto"/>
        <w:jc w:val="center"/>
        <w:rPr>
          <w:rFonts w:ascii="方正小标宋简体" w:hAnsi="方正小标宋简体" w:eastAsia="方正小标宋简体" w:cs="方正小标宋简体"/>
          <w:color w:val="auto"/>
          <w:sz w:val="44"/>
          <w:szCs w:val="44"/>
          <w:highlight w:val="none"/>
        </w:rPr>
      </w:pPr>
    </w:p>
    <w:p w14:paraId="3FFC5C1A">
      <w:pPr>
        <w:spacing w:line="360" w:lineRule="auto"/>
        <w:jc w:val="center"/>
        <w:rPr>
          <w:rFonts w:ascii="方正小标宋简体" w:hAnsi="方正小标宋简体" w:eastAsia="方正小标宋简体" w:cs="方正小标宋简体"/>
          <w:color w:val="auto"/>
          <w:sz w:val="44"/>
          <w:szCs w:val="44"/>
          <w:highlight w:val="none"/>
        </w:rPr>
      </w:pPr>
    </w:p>
    <w:p w14:paraId="0849615A">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0A457546">
      <w:pPr>
        <w:spacing w:line="360" w:lineRule="auto"/>
        <w:jc w:val="center"/>
        <w:rPr>
          <w:rFonts w:ascii="宋体" w:hAnsi="宋体"/>
          <w:b/>
          <w:bCs/>
          <w:color w:val="auto"/>
          <w:sz w:val="32"/>
          <w:szCs w:val="32"/>
          <w:highlight w:val="none"/>
        </w:rPr>
      </w:pPr>
    </w:p>
    <w:p w14:paraId="77A0288D">
      <w:pPr>
        <w:pStyle w:val="16"/>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16A10C82">
      <w:pPr>
        <w:pStyle w:val="16"/>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ECB9998">
      <w:pPr>
        <w:pStyle w:val="16"/>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8861397">
      <w:pPr>
        <w:pStyle w:val="16"/>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8C9A61C">
      <w:pPr>
        <w:pStyle w:val="16"/>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6D0413D7">
      <w:pPr>
        <w:pStyle w:val="16"/>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42764D6">
      <w:pPr>
        <w:pStyle w:val="16"/>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0048FA1">
      <w:pPr>
        <w:pStyle w:val="16"/>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63EED622">
      <w:pPr>
        <w:pStyle w:val="16"/>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5355D580">
      <w:pPr>
        <w:pStyle w:val="16"/>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2DB0C362">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0C1F45A7">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4A43F790">
      <w:pPr>
        <w:pStyle w:val="16"/>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77892728">
      <w:pPr>
        <w:pStyle w:val="16"/>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2626A8B8">
      <w:pPr>
        <w:pStyle w:val="16"/>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63126DF3">
      <w:pPr>
        <w:pStyle w:val="16"/>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1278741F">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59C71B65">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37C6AC49">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36028BC0">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3DA2A009">
      <w:pPr>
        <w:pStyle w:val="16"/>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73A12939">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47BC4E45">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5C139C19">
      <w:pPr>
        <w:pStyle w:val="16"/>
        <w:spacing w:line="360" w:lineRule="auto"/>
        <w:ind w:left="25" w:leftChars="12" w:firstLine="352" w:firstLineChars="147"/>
        <w:contextualSpacing/>
        <w:rPr>
          <w:rFonts w:hAnsi="宋体"/>
          <w:color w:val="auto"/>
          <w:sz w:val="24"/>
          <w:szCs w:val="24"/>
          <w:highlight w:val="none"/>
        </w:rPr>
      </w:pPr>
    </w:p>
    <w:p w14:paraId="75FF5D85">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1435139E">
      <w:pPr>
        <w:pStyle w:val="16"/>
        <w:spacing w:line="360" w:lineRule="auto"/>
        <w:ind w:left="25" w:leftChars="12" w:firstLine="352" w:firstLineChars="147"/>
        <w:contextualSpacing/>
        <w:rPr>
          <w:rFonts w:hAnsi="宋体"/>
          <w:color w:val="auto"/>
          <w:sz w:val="24"/>
          <w:szCs w:val="24"/>
          <w:highlight w:val="none"/>
        </w:rPr>
      </w:pPr>
    </w:p>
    <w:p w14:paraId="64A0DF78">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日期：</w:t>
      </w:r>
    </w:p>
    <w:p w14:paraId="4BB2B7CF">
      <w:pPr>
        <w:pStyle w:val="16"/>
        <w:spacing w:line="360" w:lineRule="auto"/>
        <w:contextualSpacing/>
        <w:rPr>
          <w:rFonts w:hAnsi="宋体"/>
          <w:b/>
          <w:color w:val="auto"/>
          <w:sz w:val="24"/>
          <w:szCs w:val="24"/>
          <w:highlight w:val="none"/>
        </w:rPr>
      </w:pPr>
    </w:p>
    <w:p w14:paraId="6554C396">
      <w:pPr>
        <w:pStyle w:val="16"/>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1457A4C4">
      <w:pPr>
        <w:pStyle w:val="16"/>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2207912D">
      <w:pPr>
        <w:pStyle w:val="16"/>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39D2603">
      <w:pPr>
        <w:pStyle w:val="16"/>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05B10857">
      <w:pPr>
        <w:pStyle w:val="16"/>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37B31D3E">
      <w:pPr>
        <w:pStyle w:val="16"/>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023889CF">
      <w:pPr>
        <w:pStyle w:val="16"/>
        <w:snapToGrid w:val="0"/>
        <w:rPr>
          <w:b/>
          <w:color w:val="auto"/>
          <w:sz w:val="24"/>
          <w:szCs w:val="24"/>
          <w:highlight w:val="none"/>
        </w:rPr>
      </w:pPr>
    </w:p>
    <w:p w14:paraId="7EA95112">
      <w:pPr>
        <w:rPr>
          <w:color w:val="auto"/>
          <w:highlight w:val="none"/>
        </w:rPr>
      </w:pPr>
      <w:r>
        <w:rPr>
          <w:color w:val="auto"/>
          <w:highlight w:val="none"/>
        </w:rPr>
        <w:br w:type="page"/>
      </w:r>
    </w:p>
    <w:p w14:paraId="1CFAA924">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3E448266">
      <w:pPr>
        <w:pStyle w:val="16"/>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71B8585F">
      <w:pPr>
        <w:pStyle w:val="1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A9B23D5">
      <w:pPr>
        <w:pStyle w:val="1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406737E">
      <w:pPr>
        <w:pStyle w:val="1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6D28B552">
      <w:pPr>
        <w:pStyle w:val="1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7578E453">
      <w:pPr>
        <w:pStyle w:val="1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008BADC4">
      <w:pPr>
        <w:pStyle w:val="16"/>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4F326ED8">
      <w:pPr>
        <w:pStyle w:val="1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1F83815">
      <w:pPr>
        <w:pStyle w:val="16"/>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6EA922B4">
      <w:pPr>
        <w:pStyle w:val="1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13450242">
      <w:pPr>
        <w:pStyle w:val="1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3D28AA2">
      <w:pPr>
        <w:pStyle w:val="1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0FB56802">
      <w:pPr>
        <w:pStyle w:val="16"/>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28C3A606">
      <w:pPr>
        <w:pStyle w:val="1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7819FE04">
      <w:pPr>
        <w:pStyle w:val="1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1D71CAB1">
      <w:pPr>
        <w:pStyle w:val="16"/>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412C124">
      <w:pPr>
        <w:pStyle w:val="16"/>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124E085">
      <w:pPr>
        <w:pStyle w:val="16"/>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6BC97246">
      <w:pPr>
        <w:pStyle w:val="16"/>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484C9C2F">
      <w:pPr>
        <w:pStyle w:val="16"/>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09BD9DE1">
      <w:pPr>
        <w:pStyle w:val="16"/>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3F4055C4">
      <w:pPr>
        <w:pStyle w:val="16"/>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0451D7F3">
      <w:pPr>
        <w:pStyle w:val="16"/>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3133377B">
      <w:pPr>
        <w:pStyle w:val="16"/>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5BCE0B99">
      <w:pPr>
        <w:pStyle w:val="16"/>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6DFADE50">
      <w:pPr>
        <w:pStyle w:val="16"/>
        <w:spacing w:line="360" w:lineRule="auto"/>
        <w:ind w:left="23" w:leftChars="11" w:firstLine="540" w:firstLineChars="225"/>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6CC97370">
      <w:pPr>
        <w:pStyle w:val="16"/>
        <w:spacing w:line="360" w:lineRule="auto"/>
        <w:ind w:left="23" w:leftChars="11" w:firstLine="540" w:firstLineChars="225"/>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1D821AD">
      <w:pPr>
        <w:pStyle w:val="16"/>
        <w:spacing w:line="360" w:lineRule="auto"/>
        <w:ind w:left="23" w:leftChars="11" w:firstLine="540" w:firstLineChars="225"/>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1204C253">
      <w:pPr>
        <w:pStyle w:val="16"/>
        <w:spacing w:line="360" w:lineRule="auto"/>
        <w:ind w:left="23" w:leftChars="11" w:firstLine="540" w:firstLineChars="225"/>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22EC858D">
      <w:pPr>
        <w:pStyle w:val="16"/>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73120517">
      <w:pPr>
        <w:pStyle w:val="16"/>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6C5E0B28">
      <w:pPr>
        <w:pStyle w:val="16"/>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D5AFB83">
      <w:pPr>
        <w:pStyle w:val="16"/>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14:paraId="7634A64F">
      <w:pPr>
        <w:pStyle w:val="16"/>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569E289A">
      <w:pPr>
        <w:pStyle w:val="16"/>
        <w:spacing w:line="360" w:lineRule="auto"/>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7DF4F67B">
      <w:pPr>
        <w:pStyle w:val="16"/>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562E1766">
      <w:pPr>
        <w:pStyle w:val="16"/>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74DDBFAE">
      <w:pPr>
        <w:pStyle w:val="16"/>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0158CCAC">
      <w:pPr>
        <w:pStyle w:val="1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25B11E30">
      <w:pPr>
        <w:pStyle w:val="16"/>
        <w:spacing w:line="360" w:lineRule="auto"/>
        <w:ind w:left="25" w:leftChars="12" w:firstLine="352" w:firstLineChars="147"/>
        <w:rPr>
          <w:rFonts w:hAnsi="宋体"/>
          <w:color w:val="auto"/>
          <w:sz w:val="24"/>
          <w:szCs w:val="24"/>
          <w:highlight w:val="none"/>
        </w:rPr>
      </w:pPr>
    </w:p>
    <w:p w14:paraId="2848AC95">
      <w:pPr>
        <w:pStyle w:val="1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1250D8BC">
      <w:pPr>
        <w:pStyle w:val="16"/>
        <w:spacing w:line="360" w:lineRule="auto"/>
        <w:ind w:left="25" w:leftChars="12" w:firstLine="352" w:firstLineChars="147"/>
        <w:rPr>
          <w:rFonts w:hAnsi="宋体"/>
          <w:color w:val="auto"/>
          <w:sz w:val="24"/>
          <w:szCs w:val="24"/>
          <w:highlight w:val="none"/>
        </w:rPr>
      </w:pPr>
    </w:p>
    <w:p w14:paraId="286915B0">
      <w:pPr>
        <w:pStyle w:val="1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2CCBE5A9">
      <w:pPr>
        <w:pStyle w:val="16"/>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 xml:space="preserve">                                                                                 </w:t>
      </w:r>
    </w:p>
    <w:p w14:paraId="46272A12">
      <w:pPr>
        <w:pStyle w:val="16"/>
        <w:snapToGrid w:val="0"/>
        <w:spacing w:line="360" w:lineRule="auto"/>
        <w:rPr>
          <w:rFonts w:hAnsi="宋体"/>
          <w:b/>
          <w:color w:val="auto"/>
          <w:sz w:val="24"/>
          <w:szCs w:val="24"/>
          <w:highlight w:val="none"/>
        </w:rPr>
      </w:pPr>
    </w:p>
    <w:p w14:paraId="0DC8C276">
      <w:pPr>
        <w:pStyle w:val="16"/>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69470FEE">
      <w:pPr>
        <w:pStyle w:val="16"/>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0484311C">
      <w:pPr>
        <w:pStyle w:val="16"/>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6B8242D">
      <w:pPr>
        <w:pStyle w:val="16"/>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3827ABA2">
      <w:pPr>
        <w:pStyle w:val="16"/>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73BF8050">
      <w:pPr>
        <w:pStyle w:val="16"/>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295650EB">
      <w:pPr>
        <w:pStyle w:val="16"/>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6A888807">
      <w:pPr>
        <w:pStyle w:val="3"/>
        <w:spacing w:line="440" w:lineRule="exact"/>
        <w:jc w:val="center"/>
        <w:rPr>
          <w:color w:val="auto"/>
          <w:highlight w:val="none"/>
        </w:rPr>
      </w:pPr>
      <w:r>
        <w:rPr>
          <w:color w:val="auto"/>
          <w:highlight w:val="none"/>
        </w:rPr>
        <w:br w:type="page"/>
      </w:r>
    </w:p>
    <w:p w14:paraId="02BD744B">
      <w:pPr>
        <w:pStyle w:val="3"/>
        <w:spacing w:line="440" w:lineRule="exact"/>
        <w:jc w:val="center"/>
        <w:rPr>
          <w:color w:val="auto"/>
          <w:highlight w:val="none"/>
        </w:rPr>
      </w:pPr>
    </w:p>
    <w:p w14:paraId="3A670F07">
      <w:pPr>
        <w:pStyle w:val="3"/>
        <w:spacing w:line="440" w:lineRule="exact"/>
        <w:jc w:val="center"/>
        <w:rPr>
          <w:color w:val="auto"/>
          <w:highlight w:val="none"/>
        </w:rPr>
      </w:pPr>
    </w:p>
    <w:p w14:paraId="57038410">
      <w:pPr>
        <w:pStyle w:val="3"/>
        <w:jc w:val="center"/>
        <w:rPr>
          <w:color w:val="auto"/>
          <w:highlight w:val="none"/>
        </w:rPr>
      </w:pPr>
      <w:bookmarkStart w:id="69" w:name="_Toc168674250"/>
      <w:r>
        <w:rPr>
          <w:rFonts w:hint="eastAsia"/>
          <w:color w:val="auto"/>
          <w:highlight w:val="none"/>
        </w:rPr>
        <w:t>第六章 拟签订的合同文本</w:t>
      </w:r>
      <w:bookmarkEnd w:id="69"/>
    </w:p>
    <w:p w14:paraId="0F398E48">
      <w:pPr>
        <w:pStyle w:val="3"/>
        <w:spacing w:line="440" w:lineRule="exact"/>
        <w:jc w:val="center"/>
        <w:rPr>
          <w:color w:val="auto"/>
          <w:highlight w:val="none"/>
        </w:rPr>
      </w:pPr>
    </w:p>
    <w:p w14:paraId="003D7A6B">
      <w:pPr>
        <w:rPr>
          <w:color w:val="auto"/>
          <w:highlight w:val="none"/>
        </w:rPr>
      </w:pPr>
    </w:p>
    <w:p w14:paraId="4D686872">
      <w:pPr>
        <w:rPr>
          <w:color w:val="auto"/>
          <w:highlight w:val="none"/>
        </w:rPr>
      </w:pPr>
    </w:p>
    <w:p w14:paraId="5DE5902E">
      <w:pPr>
        <w:rPr>
          <w:color w:val="auto"/>
          <w:highlight w:val="none"/>
        </w:rPr>
      </w:pPr>
    </w:p>
    <w:p w14:paraId="6C3C7E54">
      <w:pPr>
        <w:rPr>
          <w:color w:val="auto"/>
          <w:highlight w:val="none"/>
        </w:rPr>
      </w:pPr>
    </w:p>
    <w:p w14:paraId="40EAFC56">
      <w:pPr>
        <w:rPr>
          <w:color w:val="auto"/>
          <w:highlight w:val="none"/>
        </w:rPr>
      </w:pPr>
    </w:p>
    <w:p w14:paraId="0D7C51A2">
      <w:pPr>
        <w:rPr>
          <w:color w:val="auto"/>
          <w:highlight w:val="none"/>
        </w:rPr>
      </w:pPr>
    </w:p>
    <w:p w14:paraId="0CAE5E41">
      <w:pPr>
        <w:rPr>
          <w:color w:val="auto"/>
          <w:highlight w:val="none"/>
        </w:rPr>
      </w:pPr>
    </w:p>
    <w:p w14:paraId="20AE1F57">
      <w:pPr>
        <w:rPr>
          <w:color w:val="auto"/>
          <w:highlight w:val="none"/>
        </w:rPr>
      </w:pPr>
    </w:p>
    <w:p w14:paraId="447B1688">
      <w:pPr>
        <w:rPr>
          <w:color w:val="auto"/>
          <w:highlight w:val="none"/>
        </w:rPr>
      </w:pPr>
    </w:p>
    <w:p w14:paraId="48C8F1E6">
      <w:pPr>
        <w:rPr>
          <w:color w:val="auto"/>
          <w:highlight w:val="none"/>
        </w:rPr>
      </w:pPr>
    </w:p>
    <w:p w14:paraId="52035B73">
      <w:pPr>
        <w:rPr>
          <w:color w:val="auto"/>
          <w:highlight w:val="none"/>
        </w:rPr>
      </w:pPr>
    </w:p>
    <w:p w14:paraId="12960788">
      <w:pPr>
        <w:rPr>
          <w:color w:val="auto"/>
          <w:highlight w:val="none"/>
        </w:rPr>
      </w:pPr>
    </w:p>
    <w:p w14:paraId="0E2DE6E7">
      <w:pPr>
        <w:rPr>
          <w:color w:val="auto"/>
          <w:highlight w:val="none"/>
        </w:rPr>
      </w:pPr>
    </w:p>
    <w:p w14:paraId="13BD34E6">
      <w:pPr>
        <w:rPr>
          <w:color w:val="auto"/>
          <w:highlight w:val="none"/>
        </w:rPr>
      </w:pPr>
    </w:p>
    <w:p w14:paraId="01B32043">
      <w:pPr>
        <w:rPr>
          <w:color w:val="auto"/>
          <w:highlight w:val="none"/>
        </w:rPr>
      </w:pPr>
    </w:p>
    <w:p w14:paraId="2F92B0BF">
      <w:pPr>
        <w:rPr>
          <w:color w:val="auto"/>
          <w:highlight w:val="none"/>
        </w:rPr>
      </w:pPr>
    </w:p>
    <w:p w14:paraId="429B7EA1">
      <w:pPr>
        <w:rPr>
          <w:color w:val="auto"/>
          <w:highlight w:val="none"/>
        </w:rPr>
      </w:pPr>
    </w:p>
    <w:p w14:paraId="0170EAED">
      <w:pPr>
        <w:rPr>
          <w:color w:val="auto"/>
          <w:highlight w:val="none"/>
        </w:rPr>
      </w:pPr>
    </w:p>
    <w:p w14:paraId="64EF58A0">
      <w:pPr>
        <w:rPr>
          <w:color w:val="auto"/>
          <w:highlight w:val="none"/>
        </w:rPr>
      </w:pPr>
    </w:p>
    <w:p w14:paraId="5D8AFBA7">
      <w:pPr>
        <w:rPr>
          <w:color w:val="auto"/>
          <w:highlight w:val="none"/>
        </w:rPr>
      </w:pPr>
    </w:p>
    <w:p w14:paraId="31FB630E">
      <w:pPr>
        <w:rPr>
          <w:color w:val="auto"/>
          <w:highlight w:val="none"/>
        </w:rPr>
      </w:pPr>
    </w:p>
    <w:p w14:paraId="55217F36">
      <w:pPr>
        <w:rPr>
          <w:color w:val="auto"/>
          <w:highlight w:val="none"/>
        </w:rPr>
      </w:pPr>
    </w:p>
    <w:p w14:paraId="4BDDD523">
      <w:pPr>
        <w:rPr>
          <w:color w:val="auto"/>
          <w:highlight w:val="none"/>
        </w:rPr>
      </w:pPr>
    </w:p>
    <w:p w14:paraId="6BB10491">
      <w:pPr>
        <w:rPr>
          <w:color w:val="auto"/>
          <w:highlight w:val="none"/>
        </w:rPr>
      </w:pPr>
    </w:p>
    <w:p w14:paraId="79DDDEA8">
      <w:pPr>
        <w:rPr>
          <w:color w:val="auto"/>
          <w:highlight w:val="none"/>
        </w:rPr>
      </w:pPr>
    </w:p>
    <w:p w14:paraId="220FF3C7">
      <w:pPr>
        <w:rPr>
          <w:color w:val="auto"/>
          <w:highlight w:val="none"/>
        </w:rPr>
      </w:pPr>
    </w:p>
    <w:p w14:paraId="2A119010">
      <w:pPr>
        <w:rPr>
          <w:color w:val="auto"/>
          <w:highlight w:val="none"/>
        </w:rPr>
      </w:pPr>
    </w:p>
    <w:p w14:paraId="186998FA">
      <w:pPr>
        <w:rPr>
          <w:color w:val="auto"/>
          <w:highlight w:val="none"/>
        </w:rPr>
      </w:pPr>
    </w:p>
    <w:p w14:paraId="7C741F23">
      <w:pPr>
        <w:rPr>
          <w:color w:val="auto"/>
          <w:highlight w:val="none"/>
        </w:rPr>
      </w:pPr>
    </w:p>
    <w:p w14:paraId="40B3A4D9">
      <w:pPr>
        <w:rPr>
          <w:color w:val="auto"/>
          <w:highlight w:val="none"/>
        </w:rPr>
      </w:pPr>
    </w:p>
    <w:p w14:paraId="465355CF">
      <w:pPr>
        <w:rPr>
          <w:color w:val="auto"/>
          <w:highlight w:val="none"/>
        </w:rPr>
      </w:pPr>
    </w:p>
    <w:p w14:paraId="052CDC23">
      <w:pPr>
        <w:rPr>
          <w:color w:val="auto"/>
          <w:highlight w:val="none"/>
        </w:rPr>
      </w:pPr>
    </w:p>
    <w:p w14:paraId="2CF1432E">
      <w:pPr>
        <w:rPr>
          <w:color w:val="auto"/>
          <w:highlight w:val="none"/>
        </w:rPr>
      </w:pPr>
    </w:p>
    <w:p w14:paraId="40CD2D09">
      <w:pPr>
        <w:rPr>
          <w:color w:val="auto"/>
          <w:highlight w:val="none"/>
        </w:rPr>
      </w:pPr>
    </w:p>
    <w:p w14:paraId="412574D2">
      <w:pPr>
        <w:rPr>
          <w:color w:val="auto"/>
          <w:highlight w:val="none"/>
        </w:rPr>
      </w:pPr>
    </w:p>
    <w:p w14:paraId="1665D130">
      <w:pPr>
        <w:rPr>
          <w:color w:val="auto"/>
          <w:highlight w:val="none"/>
        </w:rPr>
      </w:pPr>
    </w:p>
    <w:p w14:paraId="22822FC3">
      <w:pPr>
        <w:rPr>
          <w:color w:val="auto"/>
          <w:highlight w:val="none"/>
        </w:rPr>
      </w:pPr>
    </w:p>
    <w:p w14:paraId="3EE82F2F">
      <w:pPr>
        <w:rPr>
          <w:color w:val="auto"/>
          <w:highlight w:val="none"/>
        </w:rPr>
      </w:pPr>
    </w:p>
    <w:p w14:paraId="1700EDD8">
      <w:pPr>
        <w:rPr>
          <w:color w:val="auto"/>
          <w:highlight w:val="none"/>
        </w:rPr>
      </w:pPr>
    </w:p>
    <w:p w14:paraId="2EC5614C">
      <w:pPr>
        <w:rPr>
          <w:color w:val="auto"/>
          <w:highlight w:val="none"/>
        </w:rPr>
      </w:pPr>
    </w:p>
    <w:p w14:paraId="1CBF1824">
      <w:pPr>
        <w:rPr>
          <w:color w:val="auto"/>
          <w:highlight w:val="none"/>
        </w:rPr>
      </w:pPr>
    </w:p>
    <w:p w14:paraId="7F742F5E">
      <w:pPr>
        <w:rPr>
          <w:color w:val="auto"/>
          <w:highlight w:val="none"/>
        </w:rPr>
      </w:pPr>
    </w:p>
    <w:p w14:paraId="10C54E49">
      <w:pPr>
        <w:snapToGrid w:val="0"/>
        <w:spacing w:line="360" w:lineRule="auto"/>
        <w:jc w:val="center"/>
        <w:rPr>
          <w:rFonts w:hAnsi="宋体"/>
          <w:b/>
          <w:bCs/>
          <w:color w:val="auto"/>
          <w:sz w:val="36"/>
          <w:szCs w:val="36"/>
          <w:highlight w:val="none"/>
        </w:rPr>
      </w:pPr>
      <w:r>
        <w:rPr>
          <w:rFonts w:hint="eastAsia" w:hAnsi="宋体"/>
          <w:b/>
          <w:bCs/>
          <w:color w:val="auto"/>
          <w:sz w:val="36"/>
          <w:szCs w:val="36"/>
          <w:highlight w:val="none"/>
        </w:rPr>
        <w:t>防城港市第一人民医院医用氧气（液氧）供应采购合同</w:t>
      </w:r>
    </w:p>
    <w:p w14:paraId="04246145">
      <w:pPr>
        <w:pStyle w:val="9"/>
        <w:rPr>
          <w:color w:val="auto"/>
          <w:highlight w:val="none"/>
        </w:rPr>
      </w:pPr>
    </w:p>
    <w:p w14:paraId="2E62FAC4">
      <w:pPr>
        <w:snapToGrid w:val="0"/>
        <w:spacing w:line="380" w:lineRule="exact"/>
        <w:ind w:right="480"/>
        <w:jc w:val="center"/>
        <w:rPr>
          <w:rFonts w:ascii="宋体" w:hAnsi="宋体"/>
          <w:b/>
          <w:bCs/>
          <w:color w:val="auto"/>
          <w:sz w:val="32"/>
          <w:szCs w:val="32"/>
          <w:highlight w:val="none"/>
        </w:rPr>
      </w:pPr>
    </w:p>
    <w:p w14:paraId="3C706DD7">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防城港市第一人民医院  </w:t>
      </w:r>
      <w:r>
        <w:rPr>
          <w:rFonts w:hint="eastAsia" w:ascii="宋体" w:hAnsi="宋体" w:cs="宋体"/>
          <w:color w:val="auto"/>
          <w:szCs w:val="21"/>
          <w:highlight w:val="none"/>
        </w:rPr>
        <w:t xml:space="preserve">  </w:t>
      </w:r>
    </w:p>
    <w:p w14:paraId="2A1C29FF">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供应商（乙方）：</w:t>
      </w:r>
      <w:r>
        <w:rPr>
          <w:rFonts w:hint="eastAsia" w:ascii="宋体" w:hAnsi="宋体" w:cs="宋体"/>
          <w:color w:val="auto"/>
          <w:szCs w:val="21"/>
          <w:highlight w:val="none"/>
          <w:u w:val="single"/>
        </w:rPr>
        <w:t xml:space="preserve">                        </w:t>
      </w:r>
    </w:p>
    <w:p w14:paraId="1338DFE7">
      <w:pPr>
        <w:snapToGrid w:val="0"/>
        <w:spacing w:line="380" w:lineRule="exact"/>
        <w:rPr>
          <w:rFonts w:ascii="宋体" w:hAnsi="宋体" w:cs="宋体"/>
          <w:color w:val="auto"/>
          <w:szCs w:val="21"/>
          <w:highlight w:val="none"/>
        </w:rPr>
      </w:pPr>
      <w:r>
        <w:rPr>
          <w:rFonts w:hint="eastAsia" w:ascii="宋体" w:hAnsi="宋体" w:cs="宋体"/>
          <w:color w:val="auto"/>
          <w:spacing w:val="-20"/>
          <w:szCs w:val="21"/>
          <w:highlight w:val="none"/>
        </w:rPr>
        <w:t>采 购 计 划 号：</w:t>
      </w:r>
      <w:r>
        <w:rPr>
          <w:rFonts w:hint="eastAsia" w:ascii="宋体" w:hAnsi="宋体" w:cs="宋体"/>
          <w:color w:val="auto"/>
          <w:szCs w:val="21"/>
          <w:highlight w:val="none"/>
          <w:u w:val="single"/>
        </w:rPr>
        <w:t xml:space="preserve">                           </w:t>
      </w:r>
    </w:p>
    <w:p w14:paraId="6E0272FB">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14:paraId="4085A2F1">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p>
    <w:p w14:paraId="42C59048">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合同类型：买卖合同 </w:t>
      </w:r>
    </w:p>
    <w:p w14:paraId="46769153">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本合同为中小企业预留合同：（是/否）</w:t>
      </w:r>
    </w:p>
    <w:p w14:paraId="68923CBE">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根据《中华人民共和国政府采购法》、《中华人民共和国民法典》等法律、法规规定，按照采购文件规定条款和乙方竞标承诺，甲乙双方签订本合同。</w:t>
      </w:r>
    </w:p>
    <w:p w14:paraId="0ECD0D4D">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合同标的</w:t>
      </w:r>
    </w:p>
    <w:tbl>
      <w:tblPr>
        <w:tblStyle w:val="26"/>
        <w:tblW w:w="864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62"/>
        <w:gridCol w:w="1096"/>
        <w:gridCol w:w="1131"/>
        <w:gridCol w:w="1165"/>
        <w:gridCol w:w="993"/>
        <w:gridCol w:w="1477"/>
      </w:tblGrid>
      <w:tr w14:paraId="3F79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0720BFE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062" w:type="dxa"/>
            <w:tcBorders>
              <w:top w:val="single" w:color="auto" w:sz="4" w:space="0"/>
              <w:left w:val="single" w:color="auto" w:sz="4" w:space="0"/>
              <w:bottom w:val="single" w:color="auto" w:sz="4" w:space="0"/>
              <w:right w:val="single" w:color="auto" w:sz="4" w:space="0"/>
            </w:tcBorders>
            <w:vAlign w:val="center"/>
          </w:tcPr>
          <w:p w14:paraId="24DA47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1096" w:type="dxa"/>
            <w:tcBorders>
              <w:top w:val="single" w:color="auto" w:sz="4" w:space="0"/>
              <w:left w:val="single" w:color="auto" w:sz="4" w:space="0"/>
              <w:bottom w:val="single" w:color="auto" w:sz="4" w:space="0"/>
              <w:right w:val="single" w:color="auto" w:sz="4" w:space="0"/>
            </w:tcBorders>
            <w:vAlign w:val="center"/>
          </w:tcPr>
          <w:p w14:paraId="4130F77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商标品牌</w:t>
            </w:r>
          </w:p>
        </w:tc>
        <w:tc>
          <w:tcPr>
            <w:tcW w:w="1131" w:type="dxa"/>
            <w:tcBorders>
              <w:top w:val="single" w:color="auto" w:sz="4" w:space="0"/>
              <w:left w:val="single" w:color="auto" w:sz="4" w:space="0"/>
              <w:bottom w:val="single" w:color="auto" w:sz="4" w:space="0"/>
              <w:right w:val="single" w:color="auto" w:sz="4" w:space="0"/>
            </w:tcBorders>
            <w:vAlign w:val="center"/>
          </w:tcPr>
          <w:p w14:paraId="209889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规格型号</w:t>
            </w:r>
          </w:p>
        </w:tc>
        <w:tc>
          <w:tcPr>
            <w:tcW w:w="1165" w:type="dxa"/>
            <w:tcBorders>
              <w:top w:val="single" w:color="auto" w:sz="4" w:space="0"/>
              <w:left w:val="single" w:color="auto" w:sz="4" w:space="0"/>
              <w:bottom w:val="single" w:color="auto" w:sz="4" w:space="0"/>
              <w:right w:val="single" w:color="auto" w:sz="4" w:space="0"/>
            </w:tcBorders>
            <w:vAlign w:val="center"/>
          </w:tcPr>
          <w:p w14:paraId="40F2DCB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0CC57DD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477" w:type="dxa"/>
            <w:tcBorders>
              <w:top w:val="single" w:color="auto" w:sz="4" w:space="0"/>
              <w:left w:val="single" w:color="auto" w:sz="4" w:space="0"/>
              <w:bottom w:val="single" w:color="auto" w:sz="4" w:space="0"/>
              <w:right w:val="single" w:color="auto" w:sz="4" w:space="0"/>
            </w:tcBorders>
            <w:vAlign w:val="center"/>
          </w:tcPr>
          <w:p w14:paraId="01A3A18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单价/吨</w:t>
            </w:r>
          </w:p>
          <w:p w14:paraId="00612A8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14:paraId="7D14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4159B607">
            <w:pPr>
              <w:spacing w:line="360" w:lineRule="auto"/>
              <w:jc w:val="center"/>
              <w:rPr>
                <w:rFonts w:ascii="宋体" w:hAnsi="宋体" w:cs="宋体"/>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50635F2F">
            <w:pPr>
              <w:spacing w:line="360" w:lineRule="auto"/>
              <w:jc w:val="cente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6B8CF264">
            <w:pPr>
              <w:spacing w:line="360" w:lineRule="auto"/>
              <w:jc w:val="center"/>
              <w:rPr>
                <w:rFonts w:ascii="宋体" w:hAnsi="宋体" w:cs="宋体"/>
                <w:color w:val="auto"/>
                <w:szCs w:val="21"/>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50B7649A">
            <w:pPr>
              <w:spacing w:line="360" w:lineRule="auto"/>
              <w:jc w:val="center"/>
              <w:rPr>
                <w:rFonts w:ascii="宋体" w:hAnsi="宋体" w:cs="宋体"/>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vAlign w:val="center"/>
          </w:tcPr>
          <w:p w14:paraId="091E457A">
            <w:pPr>
              <w:spacing w:line="360" w:lineRule="auto"/>
              <w:jc w:val="center"/>
              <w:rPr>
                <w:rFonts w:ascii="宋体" w:hAnsi="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470E8AD8">
            <w:pPr>
              <w:spacing w:line="360" w:lineRule="auto"/>
              <w:jc w:val="center"/>
              <w:rPr>
                <w:rFonts w:ascii="宋体" w:hAnsi="宋体" w:cs="宋体"/>
                <w:color w:val="auto"/>
                <w:szCs w:val="21"/>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14:paraId="3D3E9C81">
            <w:pPr>
              <w:spacing w:line="360" w:lineRule="auto"/>
              <w:jc w:val="center"/>
              <w:rPr>
                <w:rFonts w:ascii="宋体" w:hAnsi="宋体" w:cs="宋体"/>
                <w:color w:val="auto"/>
                <w:szCs w:val="21"/>
                <w:highlight w:val="none"/>
              </w:rPr>
            </w:pPr>
          </w:p>
        </w:tc>
      </w:tr>
    </w:tbl>
    <w:p w14:paraId="6F7303C5">
      <w:pPr>
        <w:snapToGrid w:val="0"/>
        <w:spacing w:line="42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第二条　标的质量</w:t>
      </w:r>
    </w:p>
    <w:p w14:paraId="63A2BE94">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1.乙方所提供标的的名称、商标品牌、生产厂家、规格型号、技术参数等内容必须与乙方响应文件及有关承诺相一致，且满足项目实施要求。</w:t>
      </w:r>
    </w:p>
    <w:p w14:paraId="22CFFEE1">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2.乙方所提供的货物必须是近两年全新、未使用的原装产品，且在正常安装、使用和保养条件下，其使用寿命期内各项指标均达到响应文件的承诺。</w:t>
      </w:r>
    </w:p>
    <w:p w14:paraId="4AEE98C6">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第三条　供应期限、地点和方式</w:t>
      </w:r>
    </w:p>
    <w:p w14:paraId="7FA66773">
      <w:pP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highlight w:val="none"/>
        </w:rPr>
        <w:t>供应</w:t>
      </w:r>
      <w:r>
        <w:rPr>
          <w:rFonts w:hint="eastAsia" w:ascii="宋体" w:hAnsi="宋体" w:cs="宋体"/>
          <w:color w:val="auto"/>
          <w:szCs w:val="21"/>
          <w:highlight w:val="none"/>
        </w:rPr>
        <w:t>期限：自合同签订之日起一年</w:t>
      </w:r>
      <w:r>
        <w:rPr>
          <w:rFonts w:hint="eastAsia" w:ascii="宋体" w:hAnsi="宋体" w:cs="宋体"/>
          <w:color w:val="auto"/>
          <w:szCs w:val="21"/>
          <w:highlight w:val="none"/>
          <w:lang w:val="en-US" w:eastAsia="zh-CN"/>
        </w:rPr>
        <w:t>或合同履行期限内</w:t>
      </w:r>
      <w:r>
        <w:rPr>
          <w:rFonts w:hint="eastAsia" w:ascii="宋体" w:hAnsi="宋体" w:cs="宋体"/>
          <w:color w:val="auto"/>
          <w:szCs w:val="21"/>
          <w:highlight w:val="none"/>
        </w:rPr>
        <w:t>结算至采购预算金额（90万元）后采购合同自动终止。</w:t>
      </w:r>
    </w:p>
    <w:p w14:paraId="6C3DBECF">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highlight w:val="none"/>
        </w:rPr>
        <w:t>供应</w:t>
      </w:r>
      <w:r>
        <w:rPr>
          <w:rFonts w:hint="eastAsia" w:ascii="宋体" w:hAnsi="宋体" w:cs="宋体"/>
          <w:color w:val="auto"/>
          <w:szCs w:val="21"/>
          <w:highlight w:val="none"/>
        </w:rPr>
        <w:t xml:space="preserve">地点：防城港市第一人民医院指定地点 </w:t>
      </w:r>
    </w:p>
    <w:p w14:paraId="1CCF8B65">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olor w:val="auto"/>
          <w:highlight w:val="none"/>
        </w:rPr>
        <w:t>供应</w:t>
      </w:r>
      <w:r>
        <w:rPr>
          <w:rFonts w:hint="eastAsia" w:ascii="宋体" w:hAnsi="宋体" w:cs="宋体"/>
          <w:color w:val="auto"/>
          <w:szCs w:val="21"/>
          <w:highlight w:val="none"/>
        </w:rPr>
        <w:t>方式</w:t>
      </w:r>
    </w:p>
    <w:p w14:paraId="02A84560">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（1）乙方负责货物运输，货物的运输方式：陆运等方式。</w:t>
      </w:r>
    </w:p>
    <w:p w14:paraId="7510C841">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（2）交货方式：乙方将货物送到甲方指定地点。</w:t>
      </w:r>
    </w:p>
    <w:p w14:paraId="6F9DB6A9">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第四条　包装方式</w:t>
      </w:r>
    </w:p>
    <w:p w14:paraId="7BDCB976">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1.乙方提供的货物均应按采购文件的规定和响应文件承诺的要求的包装材料、包装标准、包装方式进行包装。</w:t>
      </w:r>
    </w:p>
    <w:p w14:paraId="450E96AD">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2.乙方应在货物发运前对其进行满足运输距离、防水、防潮、防震、防锈和防破损装卸等要求包装，以保证货物安全运达甲方指定地点。</w:t>
      </w:r>
    </w:p>
    <w:p w14:paraId="1B3FD77E">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3.货物的使用说明书、质量检验证明书、质量合格证、随配附件和工具以及清单一并附于货物包装内。</w:t>
      </w:r>
    </w:p>
    <w:p w14:paraId="5D274911">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安装和培训</w:t>
      </w:r>
    </w:p>
    <w:p w14:paraId="064B1644">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1.安装时间：设备到达后，厂家及乙方将派专业人员到设备安装现场，指导卸货，确保设备完整、安全、正确的卸到设备安装场地        ；</w:t>
      </w:r>
    </w:p>
    <w:p w14:paraId="6D551F40">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安装地点：防城港市第一人民医院指定地点  。</w:t>
      </w:r>
    </w:p>
    <w:p w14:paraId="0389A9BC">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2.安装要求：由厂家及乙方派专业技术人员到现场安装，指导培训，负责设备调试、协助系统联调，直至整个系统设备正常运转。</w:t>
      </w:r>
    </w:p>
    <w:p w14:paraId="3B93DCA2">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3.甲方应提供必要安装条件（如场地、电源、水源等）。</w:t>
      </w:r>
    </w:p>
    <w:p w14:paraId="61377B5D">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4.乙方应当按照采购文件的规定和响应文件的承诺对甲方有关人员进行培训。培训时间： 由甲方确定具体时间；培训地点：由甲方确定。</w:t>
      </w:r>
    </w:p>
    <w:p w14:paraId="3B673F9B">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第六条　合同价款及支付</w:t>
      </w:r>
    </w:p>
    <w:p w14:paraId="550B74E3">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1.本合同以人民币付款。</w:t>
      </w:r>
    </w:p>
    <w:p w14:paraId="625B4EED">
      <w:pPr>
        <w:snapToGrid w:val="0"/>
        <w:spacing w:line="42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2.合同价款：</w:t>
      </w:r>
      <w:r>
        <w:rPr>
          <w:rFonts w:hint="eastAsia" w:ascii="宋体" w:hAnsi="宋体" w:cs="宋体"/>
          <w:bCs/>
          <w:color w:val="auto"/>
          <w:szCs w:val="21"/>
          <w:highlight w:val="none"/>
          <w:u w:val="single"/>
        </w:rPr>
        <w:t xml:space="preserve">人民币                 （¥           ）。单价（元/吨）：          </w:t>
      </w:r>
    </w:p>
    <w:p w14:paraId="0D235501">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合同价款包括：液氧罐的场地勘察、安装、调试、证件办理、货物的价款、产品的包装费用、运输费、装卸费用、检测费、人工费用、培训费、保险、管理服务成本、法定税费和服务企业的利润、液氧站供氧设备</w:t>
      </w:r>
      <w:r>
        <w:rPr>
          <w:rFonts w:hint="eastAsia" w:ascii="宋体" w:hAnsi="宋体"/>
          <w:color w:val="auto"/>
          <w:highlight w:val="none"/>
        </w:rPr>
        <w:t>供应</w:t>
      </w:r>
      <w:r>
        <w:rPr>
          <w:rFonts w:hint="eastAsia" w:ascii="宋体" w:hAnsi="宋体" w:cs="宋体"/>
          <w:bCs/>
          <w:color w:val="auto"/>
          <w:szCs w:val="21"/>
          <w:highlight w:val="none"/>
        </w:rPr>
        <w:t>期内的维修、保养及定期检测费用、更换的液氧储罐等一切应尽费用。对于本文件中未列明，而供应商认为必需的费用也需列入总报价。在合同实施时，采购人将不予支付供应商没有列入的项目费用，并认为此项目的费用已包括在竞标报价中。</w:t>
      </w:r>
    </w:p>
    <w:p w14:paraId="1EAEDD03">
      <w:pPr>
        <w:snapToGrid w:val="0"/>
        <w:spacing w:line="420" w:lineRule="exact"/>
        <w:ind w:firstLine="420" w:firstLineChars="20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w:t>
      </w:r>
      <w:r>
        <w:rPr>
          <w:rFonts w:hint="eastAsia" w:ascii="宋体" w:hAnsi="宋体"/>
          <w:color w:val="auto"/>
          <w:szCs w:val="21"/>
          <w:highlight w:val="none"/>
        </w:rPr>
        <w:t>本项目合同金额按实际用量进行结算，</w:t>
      </w:r>
      <w:r>
        <w:rPr>
          <w:rFonts w:hint="eastAsia" w:ascii="宋体" w:hAnsi="宋体"/>
          <w:color w:val="auto"/>
          <w:highlight w:val="none"/>
        </w:rPr>
        <w:t>供应</w:t>
      </w:r>
      <w:r>
        <w:rPr>
          <w:rFonts w:hint="eastAsia" w:ascii="宋体" w:hAnsi="宋体"/>
          <w:color w:val="auto"/>
          <w:szCs w:val="21"/>
          <w:highlight w:val="none"/>
        </w:rPr>
        <w:t>期内结算至采购预算金额（90万元）后采购合同自动终止。</w:t>
      </w:r>
    </w:p>
    <w:p w14:paraId="1CAF5D80">
      <w:pPr>
        <w:snapToGrid w:val="0"/>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.付款进度安排：（1）乙方每半年向甲方申请一次结算金额，并提供与甲方核实确认后的半年结算材料及结算金额发票。甲方收到乙方开具的发票及相应结算材料后以银行转账方式支付半年合同金额。</w:t>
      </w:r>
    </w:p>
    <w:p w14:paraId="2C5E54EE">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（2）结算金额=医用氧气（液氧）实际采购量*成交单价  </w:t>
      </w:r>
    </w:p>
    <w:p w14:paraId="155999BC">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.资金支付方式：银行转账。</w:t>
      </w:r>
    </w:p>
    <w:p w14:paraId="27E2E36E">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验收、交付标准和方法</w:t>
      </w:r>
    </w:p>
    <w:p w14:paraId="4511FF95">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1.验收标准和方法</w:t>
      </w:r>
    </w:p>
    <w:p w14:paraId="4AACEE9F">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（1）验收标准： </w:t>
      </w:r>
    </w:p>
    <w:p w14:paraId="31BD9542">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1）交货前通知甲方对货物进行清点、核实，由甲方、乙方双方派代表当场验货，并按采购文件的功能目标及技术指标、响应文件响应的技术指标逐条检验验收合格后，双方代表签字，否则不予验收合格。</w:t>
      </w:r>
    </w:p>
    <w:p w14:paraId="0A8C3E12">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2）交货时，所有产品均严格按采购文件上的技术规格要求、乙方响应文件中承诺的技术参数及性能和国家有关标准进行验收，达不到实质性要求的视为产品验收不合格，并按相关规定处理、处罚。</w:t>
      </w:r>
    </w:p>
    <w:p w14:paraId="4F5B46F3">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乙方承诺所提供的产品为符合国家法律法规要求的产品，不属于假冒伪劣商品；乙方还应保证甲方不受到第三方关于侵犯知识产权以及专利权、商标权或工业设计权等知识产权方面的指控，任何第三方如果提出此方面指控均与甲方无关，乙方应与第三方交涉，并承担可能发生的一切法律责任、费用和后果；若甲方因此而遭致损失的，乙方须赔偿该损失。</w:t>
      </w:r>
    </w:p>
    <w:p w14:paraId="68E5801C">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4）甲方有权委托第三方机构进行验收，单次验收费用不超过合同总金额的2%，验收费用由乙方全部承担。</w:t>
      </w:r>
    </w:p>
    <w:p w14:paraId="786EB0AF">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5）符合采购文件参数要求及乙方的响应参数要求。</w:t>
      </w:r>
    </w:p>
    <w:p w14:paraId="11800547">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（2）验收程序及方法：</w:t>
      </w:r>
    </w:p>
    <w:p w14:paraId="3BFAEC6B">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1）充装医用氧前要求</w:t>
      </w:r>
    </w:p>
    <w:p w14:paraId="2B061B7C">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贮罐管理人员根据贮罐液位监控设备数显液位情况通知乙方，要求安排好医用氧产品运输车辆及预计车辆到达时间，保证医用氧正常使用。医用氧气瓶或液氧储罐的存放区域需提前进行清洁，确保环境通风良好，远离一切火源与高温源，甲方设备科则需校准氧气压力表、纯度检测仪等设备，并准备专用的验收记录表。车辆到达指定的地磅后，甲方工作人员对医用氧产品运输车辆进行检查，内容包括医用氧产品运输车辆外观是否完好、标签信息是否与单据一致、液氧储罐压力表数值及输送管道密封性等后再确认过重磅。</w:t>
      </w:r>
    </w:p>
    <w:p w14:paraId="7E89F4F1">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2）充装医用氧过程要求</w:t>
      </w:r>
    </w:p>
    <w:p w14:paraId="613A1AC3">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①现场检查</w:t>
      </w:r>
    </w:p>
    <w:p w14:paraId="3EDA038D">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医用氧产品车辆到达医院贮罐现场后，由后勤保障科进行现场检查。检查内容包括医用氧产品运输车辆外观是否完好、标签信息是否与单据一致、液氧储罐压力表数值及输送管道密封性等。通过细致的检查，确保氧气产品在物理形态与基本信息上符合标准。</w:t>
      </w:r>
    </w:p>
    <w:p w14:paraId="2D1D1109">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3）质量检测</w:t>
      </w:r>
    </w:p>
    <w:p w14:paraId="44EE718F">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量检测是医用氧气验收的核心环节。乙方医用氧产品运输车辆需配备便携式氧浓度分析仪，以便使用便携式氧浓度分析仪对随机抽取的氧气瓶或液氧储罐进行现场纯度检测，确保医用氧气纯度不低于99.5%，符合《中国药典》2020年版二部“氧”、《药品生产质量管理规范》2010年的标准。通过便携式氧浓度分析仪检测液氧运输车辆储罐时，过程需全程录像，以备后续查阅。一旦发现质量问题，应立即暂停该批次氧气的使用，并进行复检。</w:t>
      </w:r>
    </w:p>
    <w:p w14:paraId="04772C80">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（4）充装医用氧完成后要求</w:t>
      </w:r>
    </w:p>
    <w:p w14:paraId="6D6D76A6">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记录与追溯：验收通过后，需填写《医用氧气接收登记表》，详细记录供应商信息、生产批号、验收时间、检测数值及参与人员签名。不合格氧气应单独存放并上锁，由乙方在规定时间内办理退货手续。所有验收资料需按月装订成册，并分别留存于后勤保障科、医学装备科。</w:t>
      </w:r>
    </w:p>
    <w:p w14:paraId="58F80B04">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5）验收过程中所产生的一切费用均由乙方承担。</w:t>
      </w:r>
    </w:p>
    <w:p w14:paraId="2F077CBC">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6）验收书一式三份，甲乙双方各执一份、受托第三方机构一份（如有）。 </w:t>
      </w:r>
    </w:p>
    <w:p w14:paraId="245CBBD4">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7）验收结论不合格的，乙方应自收到验收书后 7日内及时予以解决。经乙方对验收结论不合格的货物进行整改后，仍然达不到要求的，经双方协商，可按以下办法处理：</w:t>
      </w:r>
    </w:p>
    <w:p w14:paraId="50260587">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①更换：由乙方承担所发生的全部费用。</w:t>
      </w:r>
    </w:p>
    <w:p w14:paraId="05598C89">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②贬值处理：由甲乙双方合议定价。</w:t>
      </w:r>
    </w:p>
    <w:p w14:paraId="513449D3">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2.交付标准和方法</w:t>
      </w:r>
    </w:p>
    <w:p w14:paraId="0A969DA7">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除售后服务验收外，验收结论合格的，乙方应自收到验收书后  7 日内向甲方交付使用。</w:t>
      </w:r>
    </w:p>
    <w:p w14:paraId="6E26F3C3">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服务内容</w:t>
      </w:r>
    </w:p>
    <w:p w14:paraId="34289ED3">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1.乙方应按照国家有关法律法规规定以及响应文件承诺，为甲方提供供应服务。</w:t>
      </w:r>
    </w:p>
    <w:p w14:paraId="1D0F1B47">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履约保证金</w:t>
      </w:r>
    </w:p>
    <w:p w14:paraId="0D4A111A">
      <w:pPr>
        <w:autoSpaceDE w:val="0"/>
        <w:autoSpaceDN w:val="0"/>
        <w:snapToGrid w:val="0"/>
        <w:spacing w:line="380" w:lineRule="exact"/>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1.履约保证金金额：</w:t>
      </w:r>
      <w:r>
        <w:rPr>
          <w:rFonts w:hint="eastAsia" w:ascii="宋体" w:hAnsi="宋体" w:cs="宋体"/>
          <w:color w:val="auto"/>
          <w:szCs w:val="21"/>
          <w:highlight w:val="none"/>
          <w:lang w:eastAsia="zh-CN"/>
        </w:rPr>
        <w:t>采购预算</w:t>
      </w:r>
      <w:r>
        <w:rPr>
          <w:rFonts w:hint="eastAsia" w:ascii="宋体" w:hAnsi="宋体" w:cs="宋体"/>
          <w:color w:val="auto"/>
          <w:szCs w:val="21"/>
          <w:highlight w:val="none"/>
        </w:rPr>
        <w:t>金额的</w:t>
      </w:r>
      <w:r>
        <w:rPr>
          <w:rFonts w:hint="eastAsia" w:ascii="宋体" w:hAnsi="宋体" w:cs="宋体"/>
          <w:color w:val="auto"/>
          <w:szCs w:val="21"/>
          <w:highlight w:val="none"/>
          <w:u w:val="single"/>
        </w:rPr>
        <w:t>2</w:t>
      </w:r>
      <w:r>
        <w:rPr>
          <w:rFonts w:hint="eastAsia" w:ascii="宋体" w:hAnsi="宋体" w:cs="宋体"/>
          <w:color w:val="auto"/>
          <w:szCs w:val="21"/>
          <w:highlight w:val="none"/>
        </w:rPr>
        <w:t>%【根据《防城港市人民政府办公室关于印发防城港市保障中小企业款项支付工作方案的通知》（防政办发[2021]1号）文件精神，如乙方为小微企业的，免收履约保证金。</w:t>
      </w:r>
    </w:p>
    <w:p w14:paraId="66993D7E">
      <w:pPr>
        <w:autoSpaceDE w:val="0"/>
        <w:autoSpaceDN w:val="0"/>
        <w:snapToGrid w:val="0"/>
        <w:spacing w:line="38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2.履约保证金递交方式：乙方在合同签订前以银行转账、支票、汇票、本票或者银行、保险机构出具的保函等非现金方式递交。</w:t>
      </w:r>
    </w:p>
    <w:p w14:paraId="524BE01B">
      <w:pPr>
        <w:autoSpaceDE w:val="0"/>
        <w:autoSpaceDN w:val="0"/>
        <w:snapToGrid w:val="0"/>
        <w:spacing w:line="38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3.履约保证金退付的方式、时间及条件：履约完毕，由乙方向履约保证金收取单位提供《政府采购项目合同验收书》及《政府采购项目履约保证金退付意见书》，保证金收取单位在收到合格材料后5个工作日内办理退还手续（不计利息）。</w:t>
      </w:r>
    </w:p>
    <w:p w14:paraId="04FEC8C0">
      <w:pPr>
        <w:autoSpaceDE w:val="0"/>
        <w:autoSpaceDN w:val="0"/>
        <w:snapToGrid w:val="0"/>
        <w:spacing w:line="38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甲方收取履约保证金的指定账户如下：</w:t>
      </w:r>
    </w:p>
    <w:p w14:paraId="61D11D83">
      <w:pPr>
        <w:autoSpaceDE w:val="0"/>
        <w:autoSpaceDN w:val="0"/>
        <w:snapToGrid w:val="0"/>
        <w:spacing w:line="38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账户名称：防城港市第一人民医院</w:t>
      </w:r>
    </w:p>
    <w:p w14:paraId="081B8E48">
      <w:pPr>
        <w:autoSpaceDE w:val="0"/>
        <w:autoSpaceDN w:val="0"/>
        <w:snapToGrid w:val="0"/>
        <w:spacing w:line="38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 xml:space="preserve">开户行：防城港市防城区农村信用合作联社防城信用社   </w:t>
      </w:r>
    </w:p>
    <w:p w14:paraId="4142B0E8">
      <w:pPr>
        <w:autoSpaceDE w:val="0"/>
        <w:autoSpaceDN w:val="0"/>
        <w:snapToGrid w:val="0"/>
        <w:spacing w:line="38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 xml:space="preserve">银行账号： 8808012040000375  </w:t>
      </w:r>
    </w:p>
    <w:p w14:paraId="4803AB39">
      <w:pPr>
        <w:snapToGrid w:val="0"/>
        <w:spacing w:line="4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4.不予退还的情形：签订合同后，如乙方不按双方签订的合同规定履约，则其全部履约保证金不予退还。</w:t>
      </w:r>
    </w:p>
    <w:p w14:paraId="6E125559">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　违约责任</w:t>
      </w:r>
    </w:p>
    <w:p w14:paraId="52FE46B9">
      <w:pPr>
        <w:snapToGrid w:val="0"/>
        <w:spacing w:line="420" w:lineRule="exact"/>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1.乙方所提供的产品名称、商标品牌、生产厂家、规格型号、技术参数等质量不合格的，应及时更换，更换不及时的按逾期交货处罚；因质量问题甲方不同意接收的或特殊情况甲方同意接收的，乙方应向甲方支付违约货款额 5%违约金并赔偿甲方经济损失。                                       </w:t>
      </w:r>
    </w:p>
    <w:p w14:paraId="477A5004">
      <w:pPr>
        <w:snapToGrid w:val="0"/>
        <w:spacing w:line="420" w:lineRule="exact"/>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2.乙方提供的货物如侵犯了第三方合法权益而引发的任何纠纷或诉讼，均由乙方负责交涉并承担全部责任。</w:t>
      </w:r>
    </w:p>
    <w:p w14:paraId="52943315">
      <w:pPr>
        <w:snapToGrid w:val="0"/>
        <w:spacing w:line="420" w:lineRule="exact"/>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3.因包装、运输引起的货物损坏，按质量不合格处罚。</w:t>
      </w:r>
    </w:p>
    <w:p w14:paraId="2D077762">
      <w:pPr>
        <w:snapToGrid w:val="0"/>
        <w:spacing w:line="420" w:lineRule="exact"/>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4.甲方无故延期接收货物、乙方逾期交货的，每天向对方偿付违约货款额</w:t>
      </w:r>
      <w:ins w:id="0" w:author="WYY" w:date="2025-08-19T03:07:00Z">
        <w:r>
          <w:rPr>
            <w:rFonts w:hint="eastAsia" w:ascii="宋体" w:hAnsi="宋体" w:cs="宋体"/>
            <w:bCs/>
            <w:color w:val="auto"/>
            <w:kern w:val="0"/>
            <w:szCs w:val="21"/>
            <w:highlight w:val="none"/>
          </w:rPr>
          <w:t xml:space="preserve"> </w:t>
        </w:r>
      </w:ins>
      <w:r>
        <w:rPr>
          <w:rFonts w:hint="eastAsia" w:ascii="宋体" w:hAnsi="宋体" w:cs="宋体"/>
          <w:bCs/>
          <w:color w:val="auto"/>
          <w:kern w:val="0"/>
          <w:szCs w:val="21"/>
          <w:highlight w:val="none"/>
        </w:rPr>
        <w:t>3‰违约金，但违约金累计不得超过违约货款额 5% ，超过 15天对方有权解除合同，违约方承担因此给对方造成的经济损失；甲方延期付货款的，按照全国银行间同业拆借中心1年期贷款市场报价率向乙方支付滞纳金，但滞纳金累计不得超过延期货款额 5% 。</w:t>
      </w:r>
    </w:p>
    <w:p w14:paraId="11D151B6">
      <w:pPr>
        <w:snapToGrid w:val="0"/>
        <w:spacing w:line="420" w:lineRule="exact"/>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5.乙方未按本合同和响应文件中规定的服务承诺提供售后服务的，乙方应按本合同合计金额 5%向甲方支付违约金。</w:t>
      </w:r>
    </w:p>
    <w:p w14:paraId="68220EAD">
      <w:pPr>
        <w:snapToGrid w:val="0"/>
        <w:spacing w:line="420" w:lineRule="exact"/>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6.乙方提供的货物在质量保证期内，因设计、工艺或材料的缺陷和其它质量原因造成的问题，由乙方负责，费用从余款或履约保证金中扣除，不足另补。</w:t>
      </w:r>
    </w:p>
    <w:p w14:paraId="5E022A0B">
      <w:pPr>
        <w:snapToGrid w:val="0"/>
        <w:spacing w:line="420" w:lineRule="exact"/>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7.其他违约行为按违约货款额 5%收取违约金并赔偿经济损失。</w:t>
      </w:r>
    </w:p>
    <w:p w14:paraId="49858E52">
      <w:pPr>
        <w:snapToGrid w:val="0"/>
        <w:spacing w:line="420" w:lineRule="exact"/>
        <w:ind w:firstLine="413" w:firstLineChars="196"/>
        <w:rPr>
          <w:rFonts w:ascii="宋体" w:hAnsi="宋体" w:cs="宋体"/>
          <w:b/>
          <w:color w:val="auto"/>
          <w:kern w:val="0"/>
          <w:szCs w:val="21"/>
          <w:highlight w:val="none"/>
        </w:rPr>
      </w:pPr>
      <w:r>
        <w:rPr>
          <w:rFonts w:hint="eastAsia" w:ascii="宋体" w:hAnsi="宋体" w:cs="宋体"/>
          <w:b/>
          <w:color w:val="auto"/>
          <w:kern w:val="0"/>
          <w:szCs w:val="21"/>
          <w:highlight w:val="none"/>
        </w:rPr>
        <w:t>第十一条  不可抗力事件处理</w:t>
      </w:r>
    </w:p>
    <w:p w14:paraId="572BDD6A">
      <w:pP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1.在合同有效期内，任何一方因不可抗力事件导致不能履行合同，则合同履行期可延长，其延长期与不可抗力影响期相同。</w:t>
      </w:r>
    </w:p>
    <w:p w14:paraId="59B7664E">
      <w:pP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2.不可抗力事件发生后，应立即通知对方，并寄送有关权威机构出具的证明。</w:t>
      </w:r>
    </w:p>
    <w:p w14:paraId="07657923">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480FE32E">
      <w:pPr>
        <w:snapToGrid w:val="0"/>
        <w:spacing w:line="42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第十二条  合同争议解决</w:t>
      </w:r>
    </w:p>
    <w:p w14:paraId="47F7692F">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1.因货物质量问题发生争议的，应邀请国家认可的质量检测机构对货物质量进行鉴定。货物符合标准的，鉴定费由甲方承担；货物不符合标准的，鉴定费由乙方承担。</w:t>
      </w:r>
    </w:p>
    <w:p w14:paraId="5DD9F2DD">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2.因履行本合同引起的或者与本合同有关的争议，甲乙双方应首先通过友好协商解决，如果协商不能解决，按下列（2）方式解决：</w:t>
      </w:r>
    </w:p>
    <w:p w14:paraId="1F9C7B21">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（1）向项目所在地仲裁委员会申请仲裁；</w:t>
      </w:r>
    </w:p>
    <w:p w14:paraId="1F7D3121">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（2）向甲方所在地的人民法院提起诉讼。</w:t>
      </w:r>
    </w:p>
    <w:p w14:paraId="6D3C3797">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合同的变更、中止或者终止</w:t>
      </w:r>
    </w:p>
    <w:p w14:paraId="160DB2B5">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除《中华人民共和国政府采购法》第五十条规定的情形外，本合同一经签订，甲乙双方不得擅自变更、中止或者终止合同。</w:t>
      </w:r>
    </w:p>
    <w:p w14:paraId="56F442E2">
      <w:pPr>
        <w:spacing w:after="120"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2.采购合同继续履行将损害国家利益和社会公共利益的，双方当事人应当变更、中止或者终止合同。有过错的一方应当承担赔偿责任，双方都有过错的，各自承担相应的责任。</w:t>
      </w:r>
    </w:p>
    <w:p w14:paraId="5325819A">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w:t>
      </w:r>
      <w:r>
        <w:rPr>
          <w:rFonts w:hint="eastAsia" w:ascii="宋体" w:hAnsi="宋体" w:cs="宋体"/>
          <w:b/>
          <w:color w:val="auto"/>
          <w:kern w:val="0"/>
          <w:szCs w:val="21"/>
          <w:highlight w:val="none"/>
        </w:rPr>
        <w:t>合</w:t>
      </w:r>
      <w:r>
        <w:rPr>
          <w:rFonts w:hint="eastAsia" w:ascii="宋体" w:hAnsi="宋体" w:cs="宋体"/>
          <w:b/>
          <w:color w:val="auto"/>
          <w:spacing w:val="-2"/>
          <w:kern w:val="0"/>
          <w:szCs w:val="21"/>
          <w:highlight w:val="none"/>
        </w:rPr>
        <w:t>同</w:t>
      </w:r>
      <w:r>
        <w:rPr>
          <w:rFonts w:hint="eastAsia" w:ascii="宋体" w:hAnsi="宋体" w:cs="宋体"/>
          <w:b/>
          <w:color w:val="auto"/>
          <w:kern w:val="0"/>
          <w:szCs w:val="21"/>
          <w:highlight w:val="none"/>
        </w:rPr>
        <w:t>文</w:t>
      </w:r>
      <w:r>
        <w:rPr>
          <w:rFonts w:hint="eastAsia" w:ascii="宋体" w:hAnsi="宋体" w:cs="宋体"/>
          <w:b/>
          <w:color w:val="auto"/>
          <w:spacing w:val="-2"/>
          <w:kern w:val="0"/>
          <w:szCs w:val="21"/>
          <w:highlight w:val="none"/>
        </w:rPr>
        <w:t>件构成</w:t>
      </w:r>
    </w:p>
    <w:p w14:paraId="71E5D4E9">
      <w:pPr>
        <w:snapToGrid w:val="0"/>
        <w:spacing w:line="420" w:lineRule="exact"/>
        <w:ind w:left="420" w:leftChars="200"/>
        <w:rPr>
          <w:rFonts w:ascii="宋体" w:hAnsi="宋体" w:cs="宋体"/>
          <w:color w:val="auto"/>
          <w:kern w:val="0"/>
          <w:szCs w:val="21"/>
          <w:highlight w:val="none"/>
        </w:rPr>
      </w:pPr>
      <w:r>
        <w:rPr>
          <w:rFonts w:hint="eastAsia" w:ascii="宋体" w:hAnsi="宋体" w:cs="宋体"/>
          <w:color w:val="auto"/>
          <w:kern w:val="0"/>
          <w:szCs w:val="21"/>
          <w:highlight w:val="none"/>
        </w:rPr>
        <w:t>1.政府采购合同</w:t>
      </w:r>
    </w:p>
    <w:p w14:paraId="7758A82B">
      <w:pPr>
        <w:snapToGrid w:val="0"/>
        <w:spacing w:line="420" w:lineRule="exact"/>
        <w:ind w:left="420" w:leftChars="200"/>
        <w:rPr>
          <w:rFonts w:ascii="宋体" w:hAnsi="宋体" w:cs="宋体"/>
          <w:color w:val="auto"/>
          <w:kern w:val="0"/>
          <w:szCs w:val="21"/>
          <w:highlight w:val="none"/>
        </w:rPr>
      </w:pPr>
      <w:r>
        <w:rPr>
          <w:rFonts w:hint="eastAsia" w:ascii="宋体" w:hAnsi="宋体" w:cs="宋体"/>
          <w:color w:val="auto"/>
          <w:kern w:val="0"/>
          <w:szCs w:val="21"/>
          <w:highlight w:val="none"/>
        </w:rPr>
        <w:t>2.成交通知书；</w:t>
      </w:r>
    </w:p>
    <w:p w14:paraId="2C0AF7A4">
      <w:pPr>
        <w:snapToGrid w:val="0"/>
        <w:spacing w:line="420" w:lineRule="exact"/>
        <w:ind w:left="420" w:leftChars="200"/>
        <w:rPr>
          <w:rFonts w:ascii="宋体" w:hAnsi="宋体" w:cs="宋体"/>
          <w:color w:val="auto"/>
          <w:kern w:val="0"/>
          <w:szCs w:val="21"/>
          <w:highlight w:val="none"/>
        </w:rPr>
      </w:pPr>
      <w:r>
        <w:rPr>
          <w:rFonts w:hint="eastAsia" w:ascii="宋体" w:hAnsi="宋体" w:cs="宋体"/>
          <w:color w:val="auto"/>
          <w:kern w:val="0"/>
          <w:szCs w:val="21"/>
          <w:highlight w:val="none"/>
        </w:rPr>
        <w:t>3.响应文件中的技术、服务响应表；</w:t>
      </w:r>
    </w:p>
    <w:p w14:paraId="5D7AB26A">
      <w:pPr>
        <w:snapToGrid w:val="0"/>
        <w:spacing w:line="420" w:lineRule="exact"/>
        <w:ind w:left="420" w:leftChars="200"/>
        <w:rPr>
          <w:rFonts w:ascii="宋体" w:hAnsi="宋体" w:cs="宋体"/>
          <w:color w:val="auto"/>
          <w:kern w:val="0"/>
          <w:szCs w:val="21"/>
          <w:highlight w:val="none"/>
        </w:rPr>
      </w:pPr>
      <w:r>
        <w:rPr>
          <w:rFonts w:hint="eastAsia" w:ascii="宋体" w:hAnsi="宋体" w:cs="宋体"/>
          <w:color w:val="auto"/>
          <w:kern w:val="0"/>
          <w:szCs w:val="21"/>
          <w:highlight w:val="none"/>
        </w:rPr>
        <w:t>4.采购文件及更正公告（澄清或补充通知）（如有）；</w:t>
      </w:r>
    </w:p>
    <w:p w14:paraId="7CF010B4">
      <w:pPr>
        <w:snapToGrid w:val="0"/>
        <w:spacing w:line="420" w:lineRule="exact"/>
        <w:ind w:left="420" w:leftChars="200"/>
        <w:rPr>
          <w:rFonts w:ascii="宋体" w:hAnsi="宋体" w:cs="宋体"/>
          <w:color w:val="auto"/>
          <w:kern w:val="0"/>
          <w:szCs w:val="21"/>
          <w:highlight w:val="none"/>
        </w:rPr>
      </w:pPr>
      <w:r>
        <w:rPr>
          <w:rFonts w:hint="eastAsia" w:ascii="宋体" w:hAnsi="宋体" w:cs="宋体"/>
          <w:color w:val="auto"/>
          <w:kern w:val="0"/>
          <w:szCs w:val="21"/>
          <w:highlight w:val="none"/>
        </w:rPr>
        <w:t>5.标准、规范及有关技术文件；</w:t>
      </w:r>
    </w:p>
    <w:p w14:paraId="0A16FEB0">
      <w:pPr>
        <w:snapToGrid w:val="0"/>
        <w:spacing w:line="420" w:lineRule="exact"/>
        <w:ind w:left="420" w:leftChars="200"/>
        <w:rPr>
          <w:rFonts w:ascii="宋体" w:hAnsi="宋体" w:cs="宋体"/>
          <w:color w:val="auto"/>
          <w:kern w:val="0"/>
          <w:szCs w:val="21"/>
          <w:highlight w:val="none"/>
        </w:rPr>
      </w:pPr>
      <w:r>
        <w:rPr>
          <w:rFonts w:hint="eastAsia" w:ascii="宋体" w:hAnsi="宋体" w:cs="宋体"/>
          <w:color w:val="auto"/>
          <w:kern w:val="0"/>
          <w:szCs w:val="21"/>
          <w:highlight w:val="none"/>
        </w:rPr>
        <w:t>6.双方约定的其他合同文件。</w:t>
      </w:r>
    </w:p>
    <w:p w14:paraId="787798EB">
      <w:pP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上述合同文件互相补充和解释。如果合同文件之间存在矛盾或者不一致之处，以上述文件的排列顺序在先者为准。</w:t>
      </w:r>
    </w:p>
    <w:p w14:paraId="5A56A89F">
      <w:pPr>
        <w:snapToGrid w:val="0"/>
        <w:spacing w:line="42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知识产权和保密要求</w:t>
      </w:r>
    </w:p>
    <w:p w14:paraId="07C92F07">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甲方在履行合同过程中提供给乙方的全部图纸、文件和其他含有数据和信息的资料，其知识产权属于甲方。</w:t>
      </w:r>
    </w:p>
    <w:p w14:paraId="68732F86">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2.除采购文件采购需求另有约定外，甲方不因签署和履行合同而享有乙方在履行合同过程中提供给甲方的图纸、文件、配套软件、电子辅助程序和其他含有数据和信息的资料的知识产权。</w:t>
      </w:r>
    </w:p>
    <w:p w14:paraId="767EE990">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乙方应保证所提供的</w:t>
      </w:r>
      <w:r>
        <w:rPr>
          <w:rFonts w:hint="eastAsia" w:ascii="宋体" w:hAnsi="宋体" w:cs="宋体"/>
          <w:color w:val="auto"/>
          <w:kern w:val="0"/>
          <w:szCs w:val="21"/>
          <w:highlight w:val="none"/>
        </w:rPr>
        <w:t>货物</w:t>
      </w:r>
      <w:r>
        <w:rPr>
          <w:rFonts w:hint="eastAsia" w:ascii="宋体" w:hAnsi="宋体" w:cs="宋体"/>
          <w:color w:val="auto"/>
          <w:szCs w:val="21"/>
          <w:highlight w:val="none"/>
        </w:rPr>
        <w:t>在使用时不会侵犯任何第三方的知识产权或者其他权利。如合同提供的</w:t>
      </w:r>
      <w:r>
        <w:rPr>
          <w:rFonts w:hint="eastAsia" w:ascii="宋体" w:hAnsi="宋体" w:cs="宋体"/>
          <w:color w:val="auto"/>
          <w:kern w:val="0"/>
          <w:szCs w:val="21"/>
          <w:highlight w:val="none"/>
        </w:rPr>
        <w:t>货物</w:t>
      </w:r>
      <w:r>
        <w:rPr>
          <w:rFonts w:hint="eastAsia" w:ascii="宋体" w:hAnsi="宋体" w:cs="宋体"/>
          <w:color w:val="auto"/>
          <w:szCs w:val="21"/>
          <w:highlight w:val="none"/>
        </w:rPr>
        <w:t>涉及知识产权，则乙方保证甲方在使用合同</w:t>
      </w:r>
      <w:r>
        <w:rPr>
          <w:rFonts w:hint="eastAsia" w:ascii="宋体" w:hAnsi="宋体" w:cs="宋体"/>
          <w:color w:val="auto"/>
          <w:kern w:val="0"/>
          <w:szCs w:val="21"/>
          <w:highlight w:val="none"/>
        </w:rPr>
        <w:t>货物</w:t>
      </w:r>
      <w:r>
        <w:rPr>
          <w:rFonts w:hint="eastAsia" w:ascii="宋体" w:hAnsi="宋体" w:cs="宋体"/>
          <w:color w:val="auto"/>
          <w:szCs w:val="21"/>
          <w:highlight w:val="none"/>
        </w:rPr>
        <w:t>过程中免于受到第三方提出的有关知识产权侵权的主张、索赔或诉讼的伤害。</w:t>
      </w:r>
    </w:p>
    <w:p w14:paraId="56674519">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74622087">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0C74D6D7">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6.乙方保证将要交付的货物的所有权完全属于乙方且无任何抵押、质押、查封等产权瑕疵。</w:t>
      </w:r>
    </w:p>
    <w:p w14:paraId="5115A28A">
      <w:pPr>
        <w:snapToGrid w:val="0"/>
        <w:spacing w:line="420" w:lineRule="exact"/>
        <w:ind w:firstLine="413" w:firstLineChars="196"/>
        <w:rPr>
          <w:rFonts w:ascii="宋体" w:hAnsi="宋体" w:cs="宋体"/>
          <w:b/>
          <w:color w:val="auto"/>
          <w:kern w:val="0"/>
          <w:szCs w:val="21"/>
          <w:highlight w:val="none"/>
        </w:rPr>
      </w:pPr>
      <w:r>
        <w:rPr>
          <w:rFonts w:hint="eastAsia" w:ascii="宋体" w:hAnsi="宋体" w:cs="宋体"/>
          <w:b/>
          <w:color w:val="auto"/>
          <w:kern w:val="0"/>
          <w:szCs w:val="21"/>
          <w:highlight w:val="none"/>
        </w:rPr>
        <w:t>第十六条  合同生效及其它</w:t>
      </w:r>
    </w:p>
    <w:p w14:paraId="42F6484F">
      <w:pP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1.合同经双方法定代表人或者委托代理人签字并加盖单位公章后生效（委托代理人签字的需后附授权委托书，格式自拟）。</w:t>
      </w:r>
    </w:p>
    <w:p w14:paraId="678613F1">
      <w:pPr>
        <w:spacing w:after="120"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2.合同执行中涉及采购资金和采购内容修改或者补充的，并签书面补充协议报财政部门备案。</w:t>
      </w:r>
    </w:p>
    <w:p w14:paraId="29A33FB5">
      <w:pPr>
        <w:spacing w:after="120"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3.合同生效后，甲乙双方不得因姓名、名称的变更或者法定代表人、负责人、承办人的变动而不履行合义务。</w:t>
      </w:r>
    </w:p>
    <w:p w14:paraId="3F7DF6F2">
      <w:pPr>
        <w:spacing w:after="120"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4.本合同未尽事宜，遵照《中华人民共和国民法典》有关条文执行。</w:t>
      </w:r>
    </w:p>
    <w:p w14:paraId="5F98BC7B">
      <w:pPr>
        <w:spacing w:after="120"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5.本合同一式五份，具有同等法律效力。甲方三份，乙方一份，采购代理机构一份。（可根据需要另增加）。</w:t>
      </w:r>
    </w:p>
    <w:tbl>
      <w:tblPr>
        <w:tblStyle w:val="26"/>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614"/>
      </w:tblGrid>
      <w:tr w14:paraId="6FD8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5FAC890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甲方（章）防城港市第一人民医院           </w:t>
            </w:r>
          </w:p>
          <w:p w14:paraId="00870D98">
            <w:pPr>
              <w:snapToGrid w:val="0"/>
              <w:spacing w:line="360" w:lineRule="auto"/>
              <w:rPr>
                <w:rFonts w:ascii="宋体" w:hAnsi="宋体" w:cs="宋体"/>
                <w:color w:val="auto"/>
                <w:szCs w:val="21"/>
                <w:highlight w:val="none"/>
              </w:rPr>
            </w:pPr>
          </w:p>
          <w:p w14:paraId="73E381BA">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614" w:type="dxa"/>
            <w:vAlign w:val="center"/>
          </w:tcPr>
          <w:p w14:paraId="5FF9DF2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56DE137D">
            <w:pPr>
              <w:snapToGrid w:val="0"/>
              <w:spacing w:line="360" w:lineRule="auto"/>
              <w:rPr>
                <w:rFonts w:ascii="宋体" w:hAnsi="宋体" w:cs="宋体"/>
                <w:color w:val="auto"/>
                <w:szCs w:val="21"/>
                <w:highlight w:val="none"/>
              </w:rPr>
            </w:pPr>
          </w:p>
          <w:p w14:paraId="6F75B1B7">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3B38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13E51EE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单位地址：防城港市文昌大道52号</w:t>
            </w:r>
          </w:p>
        </w:tc>
        <w:tc>
          <w:tcPr>
            <w:tcW w:w="4614" w:type="dxa"/>
            <w:vAlign w:val="center"/>
          </w:tcPr>
          <w:p w14:paraId="1A2EBC5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p>
        </w:tc>
      </w:tr>
      <w:tr w14:paraId="2039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tcPr>
          <w:p w14:paraId="2EDB1F7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614" w:type="dxa"/>
          </w:tcPr>
          <w:p w14:paraId="382AF2F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7A5C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52BFA7F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电话：0770-3299038</w:t>
            </w:r>
          </w:p>
        </w:tc>
        <w:tc>
          <w:tcPr>
            <w:tcW w:w="4614" w:type="dxa"/>
            <w:vAlign w:val="center"/>
          </w:tcPr>
          <w:p w14:paraId="19608A3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6017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41E9D4C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电子邮箱：</w:t>
            </w:r>
          </w:p>
        </w:tc>
        <w:tc>
          <w:tcPr>
            <w:tcW w:w="4614" w:type="dxa"/>
            <w:vAlign w:val="center"/>
          </w:tcPr>
          <w:p w14:paraId="1FA8478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电子邮箱：</w:t>
            </w:r>
          </w:p>
        </w:tc>
      </w:tr>
      <w:tr w14:paraId="0B87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60F8E61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开户银行：防城港市防城区农村信用合作联社防城信用社  </w:t>
            </w:r>
          </w:p>
        </w:tc>
        <w:tc>
          <w:tcPr>
            <w:tcW w:w="4614" w:type="dxa"/>
            <w:vAlign w:val="center"/>
          </w:tcPr>
          <w:p w14:paraId="4BFE1CC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p>
        </w:tc>
      </w:tr>
      <w:tr w14:paraId="1D88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2DD3226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账号：8808012040000375</w:t>
            </w:r>
          </w:p>
        </w:tc>
        <w:tc>
          <w:tcPr>
            <w:tcW w:w="4614" w:type="dxa"/>
            <w:vAlign w:val="center"/>
          </w:tcPr>
          <w:p w14:paraId="1D755CE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7CD0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556FDB2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邮政编码：830021</w:t>
            </w:r>
          </w:p>
        </w:tc>
        <w:tc>
          <w:tcPr>
            <w:tcW w:w="4614" w:type="dxa"/>
            <w:vAlign w:val="center"/>
          </w:tcPr>
          <w:p w14:paraId="2FCC208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1C6DF209">
      <w:pPr>
        <w:spacing w:before="4"/>
        <w:rPr>
          <w:rFonts w:ascii="宋体" w:hAnsi="宋体" w:cs="宋体"/>
          <w:color w:val="auto"/>
          <w:szCs w:val="21"/>
          <w:highlight w:val="none"/>
        </w:rPr>
      </w:pPr>
    </w:p>
    <w:p w14:paraId="2C1CAC5B">
      <w:pPr>
        <w:snapToGrid w:val="0"/>
        <w:spacing w:line="420" w:lineRule="exact"/>
        <w:rPr>
          <w:rFonts w:ascii="宋体" w:hAnsi="宋体" w:cs="宋体"/>
          <w:color w:val="auto"/>
          <w:szCs w:val="21"/>
          <w:highlight w:val="none"/>
        </w:rPr>
      </w:pPr>
    </w:p>
    <w:sectPr>
      <w:footerReference r:id="rId5" w:type="firs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9B18">
    <w:pPr>
      <w:pStyle w:val="19"/>
      <w:jc w:val="center"/>
    </w:pPr>
    <w:r>
      <w:fldChar w:fldCharType="begin"/>
    </w:r>
    <w:r>
      <w:instrText xml:space="preserve"> PAGE   \* MERGEFORMAT </w:instrText>
    </w:r>
    <w:r>
      <w:fldChar w:fldCharType="separate"/>
    </w:r>
    <w:r>
      <w:rPr>
        <w:lang w:val="zh-CN"/>
      </w:rPr>
      <w:t>66</w:t>
    </w:r>
    <w:r>
      <w:rPr>
        <w:lang w:val="zh-CN"/>
      </w:rPr>
      <w:fldChar w:fldCharType="end"/>
    </w:r>
  </w:p>
  <w:p w14:paraId="6BEE66F5">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D6A82">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FA4AB27">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W6nc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XiJlBimcEHP3//dv7x6/zzK3m7&#10;rKqkUO+hxsInj6VxuHNDqp7igMFEfJDBpC9SIphHfU8XfcUQCU+XVtVqVWKKY252EKd4vu4DxPfC&#10;GZKMhgZ8wKwrOz5CHEvnktTNunulNcZZre1fAcQcIyJvwXQ7MRknTlYcdsNEY+faE7LrcRMaanHx&#10;KdEPFoVOSzMbYTZ2s3HwQe27vFWpO/jbQ8SR8qSpwwiLDJODT5i5TuuWduRPP1c9/2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aRbqdzwEAAKoDAAAOAAAAAAAAAAEAIAAAAB4BAABkcnMv&#10;ZTJvRG9jLnhtbFBLBQYAAAAABgAGAFkBAABfBQAAAAA=&#10;">
              <v:fill on="f" focussize="0,0"/>
              <v:stroke on="f"/>
              <v:imagedata o:title=""/>
              <o:lock v:ext="edit" aspectratio="f"/>
              <v:textbox inset="0mm,0mm,0mm,0mm" style="mso-fit-shape-to-text:t;">
                <w:txbxContent>
                  <w:p w14:paraId="5FA4AB27">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2E064">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51A79"/>
    <w:multiLevelType w:val="singleLevel"/>
    <w:tmpl w:val="C5D51A79"/>
    <w:lvl w:ilvl="0" w:tentative="0">
      <w:start w:val="1"/>
      <w:numFmt w:val="chineseCounting"/>
      <w:suff w:val="nothing"/>
      <w:lvlText w:val="第%1条　"/>
      <w:lvlJc w:val="left"/>
      <w:rPr>
        <w:rFonts w:hint="eastAsia"/>
      </w:rPr>
    </w:lvl>
  </w:abstractNum>
  <w:abstractNum w:abstractNumId="1">
    <w:nsid w:val="D9C796C2"/>
    <w:multiLevelType w:val="singleLevel"/>
    <w:tmpl w:val="D9C796C2"/>
    <w:lvl w:ilvl="0" w:tentative="0">
      <w:start w:val="1"/>
      <w:numFmt w:val="decimal"/>
      <w:lvlText w:val="%1."/>
      <w:lvlJc w:val="left"/>
      <w:pPr>
        <w:tabs>
          <w:tab w:val="left" w:pos="312"/>
        </w:tabs>
      </w:pPr>
    </w:lvl>
  </w:abstractNum>
  <w:abstractNum w:abstractNumId="2">
    <w:nsid w:val="E2EE15BA"/>
    <w:multiLevelType w:val="singleLevel"/>
    <w:tmpl w:val="E2EE15BA"/>
    <w:lvl w:ilvl="0" w:tentative="0">
      <w:start w:val="2"/>
      <w:numFmt w:val="decimal"/>
      <w:suff w:val="nothing"/>
      <w:lvlText w:val="（%1）"/>
      <w:lvlJc w:val="left"/>
    </w:lvl>
  </w:abstractNum>
  <w:abstractNum w:abstractNumId="3">
    <w:nsid w:val="0747F522"/>
    <w:multiLevelType w:val="singleLevel"/>
    <w:tmpl w:val="0747F522"/>
    <w:lvl w:ilvl="0" w:tentative="0">
      <w:start w:val="2"/>
      <w:numFmt w:val="decimal"/>
      <w:suff w:val="nothing"/>
      <w:lvlText w:val="（%1）"/>
      <w:lvlJc w:val="left"/>
    </w:lvl>
  </w:abstractNum>
  <w:abstractNum w:abstractNumId="4">
    <w:nsid w:val="1539C698"/>
    <w:multiLevelType w:val="singleLevel"/>
    <w:tmpl w:val="1539C698"/>
    <w:lvl w:ilvl="0" w:tentative="0">
      <w:start w:val="2"/>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YY">
    <w15:presenceInfo w15:providerId="None" w15:userId="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6,7"/>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YmY3NzgyYjRlOGI4N2Q1OWEzYjdkMGY1MzQ5NTAifQ=="/>
  </w:docVars>
  <w:rsids>
    <w:rsidRoot w:val="00F34B14"/>
    <w:rsid w:val="0000050E"/>
    <w:rsid w:val="00000672"/>
    <w:rsid w:val="00001799"/>
    <w:rsid w:val="00002D29"/>
    <w:rsid w:val="0000369C"/>
    <w:rsid w:val="000040C5"/>
    <w:rsid w:val="00004325"/>
    <w:rsid w:val="00004514"/>
    <w:rsid w:val="00004A8A"/>
    <w:rsid w:val="000059D9"/>
    <w:rsid w:val="00005E55"/>
    <w:rsid w:val="00005FDF"/>
    <w:rsid w:val="00006586"/>
    <w:rsid w:val="000105E9"/>
    <w:rsid w:val="00010D39"/>
    <w:rsid w:val="000112BB"/>
    <w:rsid w:val="0001149B"/>
    <w:rsid w:val="000116CE"/>
    <w:rsid w:val="0001172C"/>
    <w:rsid w:val="00012854"/>
    <w:rsid w:val="00012EA6"/>
    <w:rsid w:val="000139DC"/>
    <w:rsid w:val="00013D8C"/>
    <w:rsid w:val="00013DFE"/>
    <w:rsid w:val="000141EA"/>
    <w:rsid w:val="00014385"/>
    <w:rsid w:val="00014B02"/>
    <w:rsid w:val="000164DA"/>
    <w:rsid w:val="000166C4"/>
    <w:rsid w:val="00016960"/>
    <w:rsid w:val="00016AD9"/>
    <w:rsid w:val="00017396"/>
    <w:rsid w:val="000177DB"/>
    <w:rsid w:val="00020227"/>
    <w:rsid w:val="000203E4"/>
    <w:rsid w:val="0002041E"/>
    <w:rsid w:val="00020455"/>
    <w:rsid w:val="0002204F"/>
    <w:rsid w:val="00022731"/>
    <w:rsid w:val="00022792"/>
    <w:rsid w:val="0002392D"/>
    <w:rsid w:val="00024B43"/>
    <w:rsid w:val="00025382"/>
    <w:rsid w:val="00025636"/>
    <w:rsid w:val="00025E36"/>
    <w:rsid w:val="00026627"/>
    <w:rsid w:val="00026886"/>
    <w:rsid w:val="00027DD4"/>
    <w:rsid w:val="00030496"/>
    <w:rsid w:val="000329A1"/>
    <w:rsid w:val="000329E0"/>
    <w:rsid w:val="000333A0"/>
    <w:rsid w:val="0003374C"/>
    <w:rsid w:val="0003397B"/>
    <w:rsid w:val="000352E9"/>
    <w:rsid w:val="00036A07"/>
    <w:rsid w:val="00036E33"/>
    <w:rsid w:val="00037E2D"/>
    <w:rsid w:val="00040571"/>
    <w:rsid w:val="00040BE7"/>
    <w:rsid w:val="0004156E"/>
    <w:rsid w:val="00041597"/>
    <w:rsid w:val="0004440C"/>
    <w:rsid w:val="00045880"/>
    <w:rsid w:val="000462CB"/>
    <w:rsid w:val="000467D8"/>
    <w:rsid w:val="00046B30"/>
    <w:rsid w:val="00046B5E"/>
    <w:rsid w:val="0004783A"/>
    <w:rsid w:val="000509D9"/>
    <w:rsid w:val="00051C51"/>
    <w:rsid w:val="000521A4"/>
    <w:rsid w:val="00052FBB"/>
    <w:rsid w:val="00053E0C"/>
    <w:rsid w:val="00054548"/>
    <w:rsid w:val="00054CDB"/>
    <w:rsid w:val="000552A6"/>
    <w:rsid w:val="00055D41"/>
    <w:rsid w:val="00056328"/>
    <w:rsid w:val="000566F2"/>
    <w:rsid w:val="000572FC"/>
    <w:rsid w:val="0005791A"/>
    <w:rsid w:val="00057CEC"/>
    <w:rsid w:val="00060DCE"/>
    <w:rsid w:val="00061E9D"/>
    <w:rsid w:val="000623B4"/>
    <w:rsid w:val="000634A7"/>
    <w:rsid w:val="00063E85"/>
    <w:rsid w:val="00063F81"/>
    <w:rsid w:val="000645A6"/>
    <w:rsid w:val="00064847"/>
    <w:rsid w:val="0006484B"/>
    <w:rsid w:val="00065BBC"/>
    <w:rsid w:val="000673E2"/>
    <w:rsid w:val="00067CC9"/>
    <w:rsid w:val="00070459"/>
    <w:rsid w:val="000711E4"/>
    <w:rsid w:val="00072AED"/>
    <w:rsid w:val="00073F47"/>
    <w:rsid w:val="00075B7E"/>
    <w:rsid w:val="000778A3"/>
    <w:rsid w:val="00077C70"/>
    <w:rsid w:val="00077F00"/>
    <w:rsid w:val="00080B57"/>
    <w:rsid w:val="000817D1"/>
    <w:rsid w:val="00081BA3"/>
    <w:rsid w:val="00081D2E"/>
    <w:rsid w:val="00081E7F"/>
    <w:rsid w:val="0008267B"/>
    <w:rsid w:val="00082D02"/>
    <w:rsid w:val="00083B91"/>
    <w:rsid w:val="00083E32"/>
    <w:rsid w:val="0008520B"/>
    <w:rsid w:val="000865B6"/>
    <w:rsid w:val="000871B8"/>
    <w:rsid w:val="00087DB6"/>
    <w:rsid w:val="00090639"/>
    <w:rsid w:val="000913BE"/>
    <w:rsid w:val="000918F8"/>
    <w:rsid w:val="00092442"/>
    <w:rsid w:val="00093465"/>
    <w:rsid w:val="00093ABC"/>
    <w:rsid w:val="0009588E"/>
    <w:rsid w:val="000959EE"/>
    <w:rsid w:val="00095B2F"/>
    <w:rsid w:val="00095B51"/>
    <w:rsid w:val="00097DA0"/>
    <w:rsid w:val="000A0D4F"/>
    <w:rsid w:val="000A0D6B"/>
    <w:rsid w:val="000A0EEE"/>
    <w:rsid w:val="000A1389"/>
    <w:rsid w:val="000A166E"/>
    <w:rsid w:val="000A17D0"/>
    <w:rsid w:val="000A2B0E"/>
    <w:rsid w:val="000A398F"/>
    <w:rsid w:val="000A4AEE"/>
    <w:rsid w:val="000A509C"/>
    <w:rsid w:val="000A6007"/>
    <w:rsid w:val="000A65A6"/>
    <w:rsid w:val="000A7275"/>
    <w:rsid w:val="000A742D"/>
    <w:rsid w:val="000A7A12"/>
    <w:rsid w:val="000A7CA5"/>
    <w:rsid w:val="000B039A"/>
    <w:rsid w:val="000B1801"/>
    <w:rsid w:val="000B19B3"/>
    <w:rsid w:val="000B1D0C"/>
    <w:rsid w:val="000B2D03"/>
    <w:rsid w:val="000B37A2"/>
    <w:rsid w:val="000B3815"/>
    <w:rsid w:val="000B3C7B"/>
    <w:rsid w:val="000B4163"/>
    <w:rsid w:val="000B6C95"/>
    <w:rsid w:val="000B73AE"/>
    <w:rsid w:val="000C072C"/>
    <w:rsid w:val="000C0C58"/>
    <w:rsid w:val="000C152F"/>
    <w:rsid w:val="000C1679"/>
    <w:rsid w:val="000C2898"/>
    <w:rsid w:val="000C2F89"/>
    <w:rsid w:val="000C435F"/>
    <w:rsid w:val="000C4635"/>
    <w:rsid w:val="000C548E"/>
    <w:rsid w:val="000C6DE4"/>
    <w:rsid w:val="000C7FD6"/>
    <w:rsid w:val="000D01EB"/>
    <w:rsid w:val="000D056E"/>
    <w:rsid w:val="000D0675"/>
    <w:rsid w:val="000D06A5"/>
    <w:rsid w:val="000D0A89"/>
    <w:rsid w:val="000D1389"/>
    <w:rsid w:val="000D1798"/>
    <w:rsid w:val="000D1A2A"/>
    <w:rsid w:val="000D2626"/>
    <w:rsid w:val="000D27AD"/>
    <w:rsid w:val="000D4A06"/>
    <w:rsid w:val="000D54D4"/>
    <w:rsid w:val="000D6E8D"/>
    <w:rsid w:val="000D73DD"/>
    <w:rsid w:val="000D7D9B"/>
    <w:rsid w:val="000E18E2"/>
    <w:rsid w:val="000E28AB"/>
    <w:rsid w:val="000E2E3E"/>
    <w:rsid w:val="000E33C5"/>
    <w:rsid w:val="000E3583"/>
    <w:rsid w:val="000E3AF0"/>
    <w:rsid w:val="000E3D53"/>
    <w:rsid w:val="000E4E04"/>
    <w:rsid w:val="000E6EC9"/>
    <w:rsid w:val="000E70B4"/>
    <w:rsid w:val="000E7FAE"/>
    <w:rsid w:val="000F09D2"/>
    <w:rsid w:val="000F3281"/>
    <w:rsid w:val="000F3733"/>
    <w:rsid w:val="000F4D88"/>
    <w:rsid w:val="000F5B1B"/>
    <w:rsid w:val="000F64AA"/>
    <w:rsid w:val="000F7AF4"/>
    <w:rsid w:val="000F7C33"/>
    <w:rsid w:val="000F7F0C"/>
    <w:rsid w:val="00100246"/>
    <w:rsid w:val="001004D6"/>
    <w:rsid w:val="00100D90"/>
    <w:rsid w:val="001017F3"/>
    <w:rsid w:val="00103918"/>
    <w:rsid w:val="00104324"/>
    <w:rsid w:val="00104889"/>
    <w:rsid w:val="00104897"/>
    <w:rsid w:val="00104EDE"/>
    <w:rsid w:val="0010523F"/>
    <w:rsid w:val="00105372"/>
    <w:rsid w:val="00106BEE"/>
    <w:rsid w:val="00113134"/>
    <w:rsid w:val="00113AC0"/>
    <w:rsid w:val="00113E75"/>
    <w:rsid w:val="00114851"/>
    <w:rsid w:val="00115E11"/>
    <w:rsid w:val="00115F56"/>
    <w:rsid w:val="0011651E"/>
    <w:rsid w:val="001175AF"/>
    <w:rsid w:val="00117789"/>
    <w:rsid w:val="00117CBD"/>
    <w:rsid w:val="0012006A"/>
    <w:rsid w:val="00120990"/>
    <w:rsid w:val="001217B5"/>
    <w:rsid w:val="00121979"/>
    <w:rsid w:val="00122064"/>
    <w:rsid w:val="00124ED3"/>
    <w:rsid w:val="00125004"/>
    <w:rsid w:val="001263B8"/>
    <w:rsid w:val="00126763"/>
    <w:rsid w:val="00126E70"/>
    <w:rsid w:val="0012703B"/>
    <w:rsid w:val="00130217"/>
    <w:rsid w:val="00130783"/>
    <w:rsid w:val="001312CB"/>
    <w:rsid w:val="00131B75"/>
    <w:rsid w:val="00131E08"/>
    <w:rsid w:val="001325B3"/>
    <w:rsid w:val="00132724"/>
    <w:rsid w:val="00132B47"/>
    <w:rsid w:val="00132E64"/>
    <w:rsid w:val="001343DE"/>
    <w:rsid w:val="001351CB"/>
    <w:rsid w:val="001359A2"/>
    <w:rsid w:val="00135E37"/>
    <w:rsid w:val="00136020"/>
    <w:rsid w:val="00136445"/>
    <w:rsid w:val="00140132"/>
    <w:rsid w:val="00141C9C"/>
    <w:rsid w:val="00142596"/>
    <w:rsid w:val="001434BE"/>
    <w:rsid w:val="0014479F"/>
    <w:rsid w:val="00144F68"/>
    <w:rsid w:val="001452B4"/>
    <w:rsid w:val="0014550E"/>
    <w:rsid w:val="00146497"/>
    <w:rsid w:val="00146EC6"/>
    <w:rsid w:val="001475D8"/>
    <w:rsid w:val="001478D2"/>
    <w:rsid w:val="0015014C"/>
    <w:rsid w:val="00150522"/>
    <w:rsid w:val="00150CC9"/>
    <w:rsid w:val="00151250"/>
    <w:rsid w:val="00152A87"/>
    <w:rsid w:val="00154486"/>
    <w:rsid w:val="0015452E"/>
    <w:rsid w:val="00156D0E"/>
    <w:rsid w:val="00157F82"/>
    <w:rsid w:val="0016086E"/>
    <w:rsid w:val="00160D0C"/>
    <w:rsid w:val="00160D44"/>
    <w:rsid w:val="00160EA5"/>
    <w:rsid w:val="00161172"/>
    <w:rsid w:val="0016139E"/>
    <w:rsid w:val="0016161C"/>
    <w:rsid w:val="00161A83"/>
    <w:rsid w:val="00161E65"/>
    <w:rsid w:val="00162597"/>
    <w:rsid w:val="001629AF"/>
    <w:rsid w:val="001637A6"/>
    <w:rsid w:val="00163D7B"/>
    <w:rsid w:val="0016428A"/>
    <w:rsid w:val="001647C9"/>
    <w:rsid w:val="001661A3"/>
    <w:rsid w:val="0016782B"/>
    <w:rsid w:val="001717CF"/>
    <w:rsid w:val="00173256"/>
    <w:rsid w:val="001733E1"/>
    <w:rsid w:val="00173F74"/>
    <w:rsid w:val="00175086"/>
    <w:rsid w:val="001754DF"/>
    <w:rsid w:val="00175BA6"/>
    <w:rsid w:val="001761BD"/>
    <w:rsid w:val="00176425"/>
    <w:rsid w:val="00176CA7"/>
    <w:rsid w:val="001772BD"/>
    <w:rsid w:val="001778C5"/>
    <w:rsid w:val="00177E56"/>
    <w:rsid w:val="00177F0A"/>
    <w:rsid w:val="00180669"/>
    <w:rsid w:val="00180E8D"/>
    <w:rsid w:val="0018260B"/>
    <w:rsid w:val="00182B6B"/>
    <w:rsid w:val="00182DBB"/>
    <w:rsid w:val="00183088"/>
    <w:rsid w:val="00185617"/>
    <w:rsid w:val="00186CD8"/>
    <w:rsid w:val="0019104C"/>
    <w:rsid w:val="00191697"/>
    <w:rsid w:val="0019171E"/>
    <w:rsid w:val="0019220F"/>
    <w:rsid w:val="001928B1"/>
    <w:rsid w:val="001936FF"/>
    <w:rsid w:val="00194ED5"/>
    <w:rsid w:val="00195424"/>
    <w:rsid w:val="001955FF"/>
    <w:rsid w:val="00196FEB"/>
    <w:rsid w:val="00197EDD"/>
    <w:rsid w:val="001A0091"/>
    <w:rsid w:val="001A0260"/>
    <w:rsid w:val="001A02B3"/>
    <w:rsid w:val="001A04BB"/>
    <w:rsid w:val="001A08D0"/>
    <w:rsid w:val="001A14B1"/>
    <w:rsid w:val="001A1B39"/>
    <w:rsid w:val="001A1B6E"/>
    <w:rsid w:val="001A2352"/>
    <w:rsid w:val="001A2492"/>
    <w:rsid w:val="001A2E69"/>
    <w:rsid w:val="001A3377"/>
    <w:rsid w:val="001A3A17"/>
    <w:rsid w:val="001A3C34"/>
    <w:rsid w:val="001A3DF6"/>
    <w:rsid w:val="001A3EDE"/>
    <w:rsid w:val="001A4222"/>
    <w:rsid w:val="001A50EA"/>
    <w:rsid w:val="001A5AB8"/>
    <w:rsid w:val="001A5E24"/>
    <w:rsid w:val="001A6D8B"/>
    <w:rsid w:val="001A7987"/>
    <w:rsid w:val="001B079E"/>
    <w:rsid w:val="001B0CDA"/>
    <w:rsid w:val="001B0E26"/>
    <w:rsid w:val="001B125A"/>
    <w:rsid w:val="001B13B6"/>
    <w:rsid w:val="001B1E05"/>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C1AED"/>
    <w:rsid w:val="001C25A7"/>
    <w:rsid w:val="001C318C"/>
    <w:rsid w:val="001C4287"/>
    <w:rsid w:val="001C4479"/>
    <w:rsid w:val="001C5037"/>
    <w:rsid w:val="001C76B7"/>
    <w:rsid w:val="001C76FB"/>
    <w:rsid w:val="001D2764"/>
    <w:rsid w:val="001D361C"/>
    <w:rsid w:val="001D3697"/>
    <w:rsid w:val="001D51DE"/>
    <w:rsid w:val="001D5390"/>
    <w:rsid w:val="001D540E"/>
    <w:rsid w:val="001D58A1"/>
    <w:rsid w:val="001D5A8A"/>
    <w:rsid w:val="001D6650"/>
    <w:rsid w:val="001D709B"/>
    <w:rsid w:val="001D735E"/>
    <w:rsid w:val="001D73C8"/>
    <w:rsid w:val="001D74D4"/>
    <w:rsid w:val="001D7E1F"/>
    <w:rsid w:val="001E0756"/>
    <w:rsid w:val="001E0A8D"/>
    <w:rsid w:val="001E0FFB"/>
    <w:rsid w:val="001E129E"/>
    <w:rsid w:val="001E23B3"/>
    <w:rsid w:val="001E2B9F"/>
    <w:rsid w:val="001E30DA"/>
    <w:rsid w:val="001E4A8D"/>
    <w:rsid w:val="001E5A94"/>
    <w:rsid w:val="001E7648"/>
    <w:rsid w:val="001F01FA"/>
    <w:rsid w:val="001F110C"/>
    <w:rsid w:val="001F127B"/>
    <w:rsid w:val="001F2A2E"/>
    <w:rsid w:val="001F2E3D"/>
    <w:rsid w:val="001F3314"/>
    <w:rsid w:val="001F3B72"/>
    <w:rsid w:val="001F3C63"/>
    <w:rsid w:val="001F4460"/>
    <w:rsid w:val="001F5811"/>
    <w:rsid w:val="001F587A"/>
    <w:rsid w:val="001F5A0C"/>
    <w:rsid w:val="001F5DAF"/>
    <w:rsid w:val="001F637C"/>
    <w:rsid w:val="001F69C1"/>
    <w:rsid w:val="001F6B6C"/>
    <w:rsid w:val="001F711A"/>
    <w:rsid w:val="001F75B0"/>
    <w:rsid w:val="001F7686"/>
    <w:rsid w:val="00200CE5"/>
    <w:rsid w:val="002014DB"/>
    <w:rsid w:val="0020161A"/>
    <w:rsid w:val="00201E12"/>
    <w:rsid w:val="002031E2"/>
    <w:rsid w:val="002033B5"/>
    <w:rsid w:val="0020382C"/>
    <w:rsid w:val="00203CB0"/>
    <w:rsid w:val="00203D62"/>
    <w:rsid w:val="0020437A"/>
    <w:rsid w:val="002048EA"/>
    <w:rsid w:val="00204B5F"/>
    <w:rsid w:val="00204F65"/>
    <w:rsid w:val="0020532C"/>
    <w:rsid w:val="00205D23"/>
    <w:rsid w:val="00206C5F"/>
    <w:rsid w:val="0021064F"/>
    <w:rsid w:val="00211482"/>
    <w:rsid w:val="002114C7"/>
    <w:rsid w:val="002118F3"/>
    <w:rsid w:val="00212756"/>
    <w:rsid w:val="0021302C"/>
    <w:rsid w:val="00213045"/>
    <w:rsid w:val="00213483"/>
    <w:rsid w:val="002137A8"/>
    <w:rsid w:val="002139DA"/>
    <w:rsid w:val="00213B1C"/>
    <w:rsid w:val="00214202"/>
    <w:rsid w:val="002146F3"/>
    <w:rsid w:val="002148E3"/>
    <w:rsid w:val="00215373"/>
    <w:rsid w:val="0021552D"/>
    <w:rsid w:val="002156AE"/>
    <w:rsid w:val="00215B27"/>
    <w:rsid w:val="0021680E"/>
    <w:rsid w:val="00217861"/>
    <w:rsid w:val="002204C9"/>
    <w:rsid w:val="0022054D"/>
    <w:rsid w:val="0022290A"/>
    <w:rsid w:val="00224DE1"/>
    <w:rsid w:val="00225664"/>
    <w:rsid w:val="002269DC"/>
    <w:rsid w:val="00227F2D"/>
    <w:rsid w:val="0023089D"/>
    <w:rsid w:val="00231851"/>
    <w:rsid w:val="002319D5"/>
    <w:rsid w:val="002319FB"/>
    <w:rsid w:val="00231B89"/>
    <w:rsid w:val="002337F7"/>
    <w:rsid w:val="00234C19"/>
    <w:rsid w:val="002355BE"/>
    <w:rsid w:val="00236567"/>
    <w:rsid w:val="00236DE9"/>
    <w:rsid w:val="00237D5A"/>
    <w:rsid w:val="00237EA9"/>
    <w:rsid w:val="0024068E"/>
    <w:rsid w:val="00241300"/>
    <w:rsid w:val="002416A4"/>
    <w:rsid w:val="00241D3C"/>
    <w:rsid w:val="0024274D"/>
    <w:rsid w:val="002432A1"/>
    <w:rsid w:val="002439AB"/>
    <w:rsid w:val="002450D5"/>
    <w:rsid w:val="00245587"/>
    <w:rsid w:val="00245F2B"/>
    <w:rsid w:val="00246F95"/>
    <w:rsid w:val="00247F3A"/>
    <w:rsid w:val="00250122"/>
    <w:rsid w:val="00250755"/>
    <w:rsid w:val="00250AE3"/>
    <w:rsid w:val="00251C4A"/>
    <w:rsid w:val="0025271C"/>
    <w:rsid w:val="00252A91"/>
    <w:rsid w:val="002533CD"/>
    <w:rsid w:val="00253DEB"/>
    <w:rsid w:val="002544C1"/>
    <w:rsid w:val="00254AD7"/>
    <w:rsid w:val="00254EAB"/>
    <w:rsid w:val="002557AF"/>
    <w:rsid w:val="002561FA"/>
    <w:rsid w:val="00256474"/>
    <w:rsid w:val="002566B1"/>
    <w:rsid w:val="002567B7"/>
    <w:rsid w:val="002575E3"/>
    <w:rsid w:val="002603C1"/>
    <w:rsid w:val="002609A1"/>
    <w:rsid w:val="002612B1"/>
    <w:rsid w:val="0026429B"/>
    <w:rsid w:val="00264661"/>
    <w:rsid w:val="00266165"/>
    <w:rsid w:val="00266D2B"/>
    <w:rsid w:val="0027125E"/>
    <w:rsid w:val="00271767"/>
    <w:rsid w:val="00271C4A"/>
    <w:rsid w:val="00272293"/>
    <w:rsid w:val="002723C8"/>
    <w:rsid w:val="00272676"/>
    <w:rsid w:val="0027378E"/>
    <w:rsid w:val="00273CBE"/>
    <w:rsid w:val="00277441"/>
    <w:rsid w:val="002778DF"/>
    <w:rsid w:val="002802D7"/>
    <w:rsid w:val="0028232C"/>
    <w:rsid w:val="002825E8"/>
    <w:rsid w:val="002827F1"/>
    <w:rsid w:val="00282EC3"/>
    <w:rsid w:val="002835B0"/>
    <w:rsid w:val="0028407E"/>
    <w:rsid w:val="0028410F"/>
    <w:rsid w:val="002846F7"/>
    <w:rsid w:val="00286603"/>
    <w:rsid w:val="00286A98"/>
    <w:rsid w:val="00286FB5"/>
    <w:rsid w:val="00287763"/>
    <w:rsid w:val="00290606"/>
    <w:rsid w:val="00290F9D"/>
    <w:rsid w:val="00291301"/>
    <w:rsid w:val="002918A7"/>
    <w:rsid w:val="00291D6D"/>
    <w:rsid w:val="00291FF1"/>
    <w:rsid w:val="002923F6"/>
    <w:rsid w:val="002931BF"/>
    <w:rsid w:val="00293361"/>
    <w:rsid w:val="00293770"/>
    <w:rsid w:val="00295287"/>
    <w:rsid w:val="002952B1"/>
    <w:rsid w:val="00295519"/>
    <w:rsid w:val="00295D11"/>
    <w:rsid w:val="00295FA0"/>
    <w:rsid w:val="00295FD2"/>
    <w:rsid w:val="00297A7A"/>
    <w:rsid w:val="002A0422"/>
    <w:rsid w:val="002A0C3A"/>
    <w:rsid w:val="002A1130"/>
    <w:rsid w:val="002A14D3"/>
    <w:rsid w:val="002A1880"/>
    <w:rsid w:val="002A1D47"/>
    <w:rsid w:val="002A23B7"/>
    <w:rsid w:val="002A390A"/>
    <w:rsid w:val="002A3A57"/>
    <w:rsid w:val="002A5DA5"/>
    <w:rsid w:val="002A6D22"/>
    <w:rsid w:val="002A6DEF"/>
    <w:rsid w:val="002A7411"/>
    <w:rsid w:val="002A7C24"/>
    <w:rsid w:val="002B013E"/>
    <w:rsid w:val="002B058D"/>
    <w:rsid w:val="002B0C16"/>
    <w:rsid w:val="002B11C9"/>
    <w:rsid w:val="002B169E"/>
    <w:rsid w:val="002B2621"/>
    <w:rsid w:val="002B2AC5"/>
    <w:rsid w:val="002B2E67"/>
    <w:rsid w:val="002B3528"/>
    <w:rsid w:val="002B3539"/>
    <w:rsid w:val="002B3B2B"/>
    <w:rsid w:val="002B6D17"/>
    <w:rsid w:val="002C0C1C"/>
    <w:rsid w:val="002C184E"/>
    <w:rsid w:val="002C1D6D"/>
    <w:rsid w:val="002C29C1"/>
    <w:rsid w:val="002C54C2"/>
    <w:rsid w:val="002C58F6"/>
    <w:rsid w:val="002C5D34"/>
    <w:rsid w:val="002C5EA7"/>
    <w:rsid w:val="002C661A"/>
    <w:rsid w:val="002C730C"/>
    <w:rsid w:val="002D08FB"/>
    <w:rsid w:val="002D0AF5"/>
    <w:rsid w:val="002D1C54"/>
    <w:rsid w:val="002D2231"/>
    <w:rsid w:val="002D25FC"/>
    <w:rsid w:val="002D318B"/>
    <w:rsid w:val="002D3380"/>
    <w:rsid w:val="002D3B21"/>
    <w:rsid w:val="002D4925"/>
    <w:rsid w:val="002D4AC6"/>
    <w:rsid w:val="002D5C7B"/>
    <w:rsid w:val="002D6DFC"/>
    <w:rsid w:val="002D7648"/>
    <w:rsid w:val="002D7909"/>
    <w:rsid w:val="002D7DB5"/>
    <w:rsid w:val="002D7E56"/>
    <w:rsid w:val="002E109C"/>
    <w:rsid w:val="002E115E"/>
    <w:rsid w:val="002E193E"/>
    <w:rsid w:val="002E1D76"/>
    <w:rsid w:val="002E243C"/>
    <w:rsid w:val="002E26C4"/>
    <w:rsid w:val="002E4854"/>
    <w:rsid w:val="002E4B37"/>
    <w:rsid w:val="002E4BF9"/>
    <w:rsid w:val="002E53A9"/>
    <w:rsid w:val="002E5707"/>
    <w:rsid w:val="002E6F5B"/>
    <w:rsid w:val="002E7FD1"/>
    <w:rsid w:val="002F0614"/>
    <w:rsid w:val="002F0631"/>
    <w:rsid w:val="002F16DD"/>
    <w:rsid w:val="002F199D"/>
    <w:rsid w:val="002F1B99"/>
    <w:rsid w:val="002F23B2"/>
    <w:rsid w:val="002F2AC5"/>
    <w:rsid w:val="002F2D74"/>
    <w:rsid w:val="002F38D0"/>
    <w:rsid w:val="002F4084"/>
    <w:rsid w:val="002F4672"/>
    <w:rsid w:val="002F4A08"/>
    <w:rsid w:val="002F4ADB"/>
    <w:rsid w:val="002F50E5"/>
    <w:rsid w:val="002F531E"/>
    <w:rsid w:val="002F5ACC"/>
    <w:rsid w:val="002F685D"/>
    <w:rsid w:val="002F6C2C"/>
    <w:rsid w:val="002F704B"/>
    <w:rsid w:val="002F70A6"/>
    <w:rsid w:val="002F72C3"/>
    <w:rsid w:val="002F752C"/>
    <w:rsid w:val="002F768C"/>
    <w:rsid w:val="002F7B8E"/>
    <w:rsid w:val="002F7D1E"/>
    <w:rsid w:val="00300F92"/>
    <w:rsid w:val="003014E3"/>
    <w:rsid w:val="00301839"/>
    <w:rsid w:val="00302929"/>
    <w:rsid w:val="00302F0F"/>
    <w:rsid w:val="00303243"/>
    <w:rsid w:val="00303BCC"/>
    <w:rsid w:val="00303F2B"/>
    <w:rsid w:val="00303F80"/>
    <w:rsid w:val="00303F8D"/>
    <w:rsid w:val="00304541"/>
    <w:rsid w:val="00304580"/>
    <w:rsid w:val="0030537F"/>
    <w:rsid w:val="0030586A"/>
    <w:rsid w:val="00305E62"/>
    <w:rsid w:val="003074C5"/>
    <w:rsid w:val="00307A3C"/>
    <w:rsid w:val="00307FA4"/>
    <w:rsid w:val="00310137"/>
    <w:rsid w:val="003108B0"/>
    <w:rsid w:val="00310CC1"/>
    <w:rsid w:val="0031202C"/>
    <w:rsid w:val="003120EF"/>
    <w:rsid w:val="00313026"/>
    <w:rsid w:val="0031421F"/>
    <w:rsid w:val="00314B31"/>
    <w:rsid w:val="00314B36"/>
    <w:rsid w:val="00315158"/>
    <w:rsid w:val="00315346"/>
    <w:rsid w:val="00315A65"/>
    <w:rsid w:val="00316CEC"/>
    <w:rsid w:val="00317BA7"/>
    <w:rsid w:val="003202DC"/>
    <w:rsid w:val="00320BE2"/>
    <w:rsid w:val="0032145D"/>
    <w:rsid w:val="00321886"/>
    <w:rsid w:val="00321902"/>
    <w:rsid w:val="00322F03"/>
    <w:rsid w:val="00323694"/>
    <w:rsid w:val="00324527"/>
    <w:rsid w:val="00324D63"/>
    <w:rsid w:val="003255AF"/>
    <w:rsid w:val="003256EB"/>
    <w:rsid w:val="003259B2"/>
    <w:rsid w:val="003259DB"/>
    <w:rsid w:val="00331060"/>
    <w:rsid w:val="00331A48"/>
    <w:rsid w:val="00332E3D"/>
    <w:rsid w:val="003330C9"/>
    <w:rsid w:val="0033364C"/>
    <w:rsid w:val="00334415"/>
    <w:rsid w:val="00334CB1"/>
    <w:rsid w:val="00334F92"/>
    <w:rsid w:val="0033691E"/>
    <w:rsid w:val="00336CCB"/>
    <w:rsid w:val="00337393"/>
    <w:rsid w:val="0033745F"/>
    <w:rsid w:val="00337631"/>
    <w:rsid w:val="00337B45"/>
    <w:rsid w:val="00337F44"/>
    <w:rsid w:val="003411D1"/>
    <w:rsid w:val="003416BA"/>
    <w:rsid w:val="00341BD6"/>
    <w:rsid w:val="00342A8A"/>
    <w:rsid w:val="00342F99"/>
    <w:rsid w:val="00343546"/>
    <w:rsid w:val="00344726"/>
    <w:rsid w:val="003454A4"/>
    <w:rsid w:val="003466A4"/>
    <w:rsid w:val="00347730"/>
    <w:rsid w:val="00350E6C"/>
    <w:rsid w:val="003518A6"/>
    <w:rsid w:val="00351CB0"/>
    <w:rsid w:val="00351E7F"/>
    <w:rsid w:val="00352953"/>
    <w:rsid w:val="00352B5E"/>
    <w:rsid w:val="00354062"/>
    <w:rsid w:val="0035560E"/>
    <w:rsid w:val="00355C0D"/>
    <w:rsid w:val="003566A9"/>
    <w:rsid w:val="00356988"/>
    <w:rsid w:val="00356B20"/>
    <w:rsid w:val="00356E94"/>
    <w:rsid w:val="00357128"/>
    <w:rsid w:val="0035755E"/>
    <w:rsid w:val="00357A80"/>
    <w:rsid w:val="00361B8B"/>
    <w:rsid w:val="00361B95"/>
    <w:rsid w:val="0036327C"/>
    <w:rsid w:val="00363F39"/>
    <w:rsid w:val="00364AB0"/>
    <w:rsid w:val="00365E9D"/>
    <w:rsid w:val="003667B0"/>
    <w:rsid w:val="003667DD"/>
    <w:rsid w:val="00366B48"/>
    <w:rsid w:val="00367764"/>
    <w:rsid w:val="00367F54"/>
    <w:rsid w:val="00370316"/>
    <w:rsid w:val="00370BB3"/>
    <w:rsid w:val="00370DC7"/>
    <w:rsid w:val="003714CA"/>
    <w:rsid w:val="0037156C"/>
    <w:rsid w:val="00371CBD"/>
    <w:rsid w:val="00373CBE"/>
    <w:rsid w:val="003740CC"/>
    <w:rsid w:val="0037435E"/>
    <w:rsid w:val="00374E79"/>
    <w:rsid w:val="00375388"/>
    <w:rsid w:val="00375FB9"/>
    <w:rsid w:val="00376851"/>
    <w:rsid w:val="00376FA2"/>
    <w:rsid w:val="00377A3B"/>
    <w:rsid w:val="00377E3C"/>
    <w:rsid w:val="00380BBE"/>
    <w:rsid w:val="00381775"/>
    <w:rsid w:val="00381D70"/>
    <w:rsid w:val="00382128"/>
    <w:rsid w:val="0038235E"/>
    <w:rsid w:val="003829D0"/>
    <w:rsid w:val="00382FBA"/>
    <w:rsid w:val="0038444F"/>
    <w:rsid w:val="00384E83"/>
    <w:rsid w:val="003868FA"/>
    <w:rsid w:val="00386B9A"/>
    <w:rsid w:val="00387051"/>
    <w:rsid w:val="00387712"/>
    <w:rsid w:val="00387ECF"/>
    <w:rsid w:val="0039021B"/>
    <w:rsid w:val="00390429"/>
    <w:rsid w:val="003922EE"/>
    <w:rsid w:val="00392A7A"/>
    <w:rsid w:val="0039327C"/>
    <w:rsid w:val="003933A2"/>
    <w:rsid w:val="0039366C"/>
    <w:rsid w:val="003938F3"/>
    <w:rsid w:val="00393EC8"/>
    <w:rsid w:val="00394BC6"/>
    <w:rsid w:val="00394C19"/>
    <w:rsid w:val="00395E42"/>
    <w:rsid w:val="00395F22"/>
    <w:rsid w:val="00396052"/>
    <w:rsid w:val="00396A2D"/>
    <w:rsid w:val="00396FC3"/>
    <w:rsid w:val="003A0B61"/>
    <w:rsid w:val="003A1554"/>
    <w:rsid w:val="003A1A94"/>
    <w:rsid w:val="003A204E"/>
    <w:rsid w:val="003A2D25"/>
    <w:rsid w:val="003A325C"/>
    <w:rsid w:val="003A39B2"/>
    <w:rsid w:val="003A4DDB"/>
    <w:rsid w:val="003A5992"/>
    <w:rsid w:val="003A60E7"/>
    <w:rsid w:val="003A61D4"/>
    <w:rsid w:val="003A6E03"/>
    <w:rsid w:val="003B0B6A"/>
    <w:rsid w:val="003B0F79"/>
    <w:rsid w:val="003B1483"/>
    <w:rsid w:val="003B1CFD"/>
    <w:rsid w:val="003B29CF"/>
    <w:rsid w:val="003B3B11"/>
    <w:rsid w:val="003B402F"/>
    <w:rsid w:val="003B41B5"/>
    <w:rsid w:val="003B5244"/>
    <w:rsid w:val="003B54DF"/>
    <w:rsid w:val="003B5F96"/>
    <w:rsid w:val="003B6659"/>
    <w:rsid w:val="003B7733"/>
    <w:rsid w:val="003C0166"/>
    <w:rsid w:val="003C07E5"/>
    <w:rsid w:val="003C269A"/>
    <w:rsid w:val="003C350C"/>
    <w:rsid w:val="003C3903"/>
    <w:rsid w:val="003C3BA0"/>
    <w:rsid w:val="003C4580"/>
    <w:rsid w:val="003C52D8"/>
    <w:rsid w:val="003C5C5E"/>
    <w:rsid w:val="003C6746"/>
    <w:rsid w:val="003C7133"/>
    <w:rsid w:val="003C7555"/>
    <w:rsid w:val="003C7898"/>
    <w:rsid w:val="003C7F49"/>
    <w:rsid w:val="003D010A"/>
    <w:rsid w:val="003D0FF5"/>
    <w:rsid w:val="003D0FFC"/>
    <w:rsid w:val="003D2D1B"/>
    <w:rsid w:val="003D30AB"/>
    <w:rsid w:val="003D3D94"/>
    <w:rsid w:val="003D48C7"/>
    <w:rsid w:val="003D4B26"/>
    <w:rsid w:val="003D4C08"/>
    <w:rsid w:val="003D51ED"/>
    <w:rsid w:val="003D79F0"/>
    <w:rsid w:val="003D7CE8"/>
    <w:rsid w:val="003E0AF4"/>
    <w:rsid w:val="003E0E49"/>
    <w:rsid w:val="003E1032"/>
    <w:rsid w:val="003E1888"/>
    <w:rsid w:val="003E1904"/>
    <w:rsid w:val="003E285E"/>
    <w:rsid w:val="003E32A7"/>
    <w:rsid w:val="003E3300"/>
    <w:rsid w:val="003E3D76"/>
    <w:rsid w:val="003E5B40"/>
    <w:rsid w:val="003E65AC"/>
    <w:rsid w:val="003E6E24"/>
    <w:rsid w:val="003E72B9"/>
    <w:rsid w:val="003E7ED4"/>
    <w:rsid w:val="003F0E52"/>
    <w:rsid w:val="003F0EF2"/>
    <w:rsid w:val="003F0F6B"/>
    <w:rsid w:val="003F0F99"/>
    <w:rsid w:val="003F1F40"/>
    <w:rsid w:val="003F1FE3"/>
    <w:rsid w:val="003F366B"/>
    <w:rsid w:val="003F3865"/>
    <w:rsid w:val="003F3A0A"/>
    <w:rsid w:val="003F4632"/>
    <w:rsid w:val="003F47BA"/>
    <w:rsid w:val="003F6617"/>
    <w:rsid w:val="004016DE"/>
    <w:rsid w:val="00401987"/>
    <w:rsid w:val="00402332"/>
    <w:rsid w:val="004025C2"/>
    <w:rsid w:val="00403991"/>
    <w:rsid w:val="00403E55"/>
    <w:rsid w:val="00404532"/>
    <w:rsid w:val="00404681"/>
    <w:rsid w:val="0040496D"/>
    <w:rsid w:val="00405010"/>
    <w:rsid w:val="0040595A"/>
    <w:rsid w:val="00406923"/>
    <w:rsid w:val="0040713A"/>
    <w:rsid w:val="0040763D"/>
    <w:rsid w:val="004105B0"/>
    <w:rsid w:val="00410624"/>
    <w:rsid w:val="00410EC5"/>
    <w:rsid w:val="00411E15"/>
    <w:rsid w:val="0041250F"/>
    <w:rsid w:val="00412CC5"/>
    <w:rsid w:val="004133A8"/>
    <w:rsid w:val="00413821"/>
    <w:rsid w:val="00413956"/>
    <w:rsid w:val="00413D43"/>
    <w:rsid w:val="004141A3"/>
    <w:rsid w:val="00414909"/>
    <w:rsid w:val="00415E66"/>
    <w:rsid w:val="00416112"/>
    <w:rsid w:val="0041684E"/>
    <w:rsid w:val="00416DF0"/>
    <w:rsid w:val="00417930"/>
    <w:rsid w:val="00417AE0"/>
    <w:rsid w:val="00417BAA"/>
    <w:rsid w:val="00420BA9"/>
    <w:rsid w:val="00420D7A"/>
    <w:rsid w:val="004223DE"/>
    <w:rsid w:val="0042293E"/>
    <w:rsid w:val="00422A10"/>
    <w:rsid w:val="0042360B"/>
    <w:rsid w:val="00423D86"/>
    <w:rsid w:val="00424146"/>
    <w:rsid w:val="00424514"/>
    <w:rsid w:val="00424CFA"/>
    <w:rsid w:val="00424D17"/>
    <w:rsid w:val="00425DFD"/>
    <w:rsid w:val="004263A3"/>
    <w:rsid w:val="00426888"/>
    <w:rsid w:val="00427713"/>
    <w:rsid w:val="00427A93"/>
    <w:rsid w:val="00427CCC"/>
    <w:rsid w:val="0043013A"/>
    <w:rsid w:val="00430421"/>
    <w:rsid w:val="00430B4F"/>
    <w:rsid w:val="004314B1"/>
    <w:rsid w:val="00431E51"/>
    <w:rsid w:val="00431E65"/>
    <w:rsid w:val="00432589"/>
    <w:rsid w:val="00432A94"/>
    <w:rsid w:val="00432D49"/>
    <w:rsid w:val="0043366D"/>
    <w:rsid w:val="00433827"/>
    <w:rsid w:val="004356F4"/>
    <w:rsid w:val="00435D0E"/>
    <w:rsid w:val="004360C8"/>
    <w:rsid w:val="0044006B"/>
    <w:rsid w:val="0044020C"/>
    <w:rsid w:val="0044033F"/>
    <w:rsid w:val="00440630"/>
    <w:rsid w:val="00441123"/>
    <w:rsid w:val="0044167F"/>
    <w:rsid w:val="00442095"/>
    <w:rsid w:val="0044256B"/>
    <w:rsid w:val="00442965"/>
    <w:rsid w:val="0044372C"/>
    <w:rsid w:val="00444157"/>
    <w:rsid w:val="0044417C"/>
    <w:rsid w:val="00444DB3"/>
    <w:rsid w:val="00444E1F"/>
    <w:rsid w:val="004452B9"/>
    <w:rsid w:val="00445A2F"/>
    <w:rsid w:val="00446328"/>
    <w:rsid w:val="00446341"/>
    <w:rsid w:val="00446648"/>
    <w:rsid w:val="00446714"/>
    <w:rsid w:val="0044684E"/>
    <w:rsid w:val="00446AD3"/>
    <w:rsid w:val="004479CA"/>
    <w:rsid w:val="004503A4"/>
    <w:rsid w:val="00450555"/>
    <w:rsid w:val="00450DC6"/>
    <w:rsid w:val="004516A5"/>
    <w:rsid w:val="00451FE8"/>
    <w:rsid w:val="00452179"/>
    <w:rsid w:val="00452E99"/>
    <w:rsid w:val="004535AE"/>
    <w:rsid w:val="00453C42"/>
    <w:rsid w:val="0045463A"/>
    <w:rsid w:val="00454AC9"/>
    <w:rsid w:val="00454E26"/>
    <w:rsid w:val="0045507C"/>
    <w:rsid w:val="004554A3"/>
    <w:rsid w:val="00455A6E"/>
    <w:rsid w:val="00455FA8"/>
    <w:rsid w:val="004566A0"/>
    <w:rsid w:val="00456758"/>
    <w:rsid w:val="004569CD"/>
    <w:rsid w:val="00456C24"/>
    <w:rsid w:val="004578EB"/>
    <w:rsid w:val="00460303"/>
    <w:rsid w:val="00460697"/>
    <w:rsid w:val="00460C12"/>
    <w:rsid w:val="00462582"/>
    <w:rsid w:val="00462593"/>
    <w:rsid w:val="00465BA2"/>
    <w:rsid w:val="00465EEF"/>
    <w:rsid w:val="00466D03"/>
    <w:rsid w:val="0046711B"/>
    <w:rsid w:val="00467312"/>
    <w:rsid w:val="00471156"/>
    <w:rsid w:val="00471F89"/>
    <w:rsid w:val="00472429"/>
    <w:rsid w:val="004725E5"/>
    <w:rsid w:val="004726FE"/>
    <w:rsid w:val="00472751"/>
    <w:rsid w:val="00473128"/>
    <w:rsid w:val="00473444"/>
    <w:rsid w:val="00474301"/>
    <w:rsid w:val="0047440C"/>
    <w:rsid w:val="00475078"/>
    <w:rsid w:val="00475226"/>
    <w:rsid w:val="004779A0"/>
    <w:rsid w:val="004808E3"/>
    <w:rsid w:val="00481016"/>
    <w:rsid w:val="004814D3"/>
    <w:rsid w:val="0048204C"/>
    <w:rsid w:val="004821BB"/>
    <w:rsid w:val="00482233"/>
    <w:rsid w:val="0048261A"/>
    <w:rsid w:val="004826FE"/>
    <w:rsid w:val="004827D5"/>
    <w:rsid w:val="004830C9"/>
    <w:rsid w:val="00483347"/>
    <w:rsid w:val="00483E2E"/>
    <w:rsid w:val="0048408B"/>
    <w:rsid w:val="00484B69"/>
    <w:rsid w:val="00485406"/>
    <w:rsid w:val="0048590F"/>
    <w:rsid w:val="00485D0B"/>
    <w:rsid w:val="004867A5"/>
    <w:rsid w:val="00486D60"/>
    <w:rsid w:val="00487857"/>
    <w:rsid w:val="00487C87"/>
    <w:rsid w:val="00490662"/>
    <w:rsid w:val="00490BB8"/>
    <w:rsid w:val="0049102B"/>
    <w:rsid w:val="00492A25"/>
    <w:rsid w:val="0049474A"/>
    <w:rsid w:val="00495A2C"/>
    <w:rsid w:val="004961EA"/>
    <w:rsid w:val="00496350"/>
    <w:rsid w:val="0049663B"/>
    <w:rsid w:val="00496F91"/>
    <w:rsid w:val="00497274"/>
    <w:rsid w:val="00497708"/>
    <w:rsid w:val="0049797C"/>
    <w:rsid w:val="00497C2C"/>
    <w:rsid w:val="00497E9D"/>
    <w:rsid w:val="004A07AC"/>
    <w:rsid w:val="004A09C6"/>
    <w:rsid w:val="004A1405"/>
    <w:rsid w:val="004A1FC6"/>
    <w:rsid w:val="004A32A9"/>
    <w:rsid w:val="004A3C03"/>
    <w:rsid w:val="004A3DB7"/>
    <w:rsid w:val="004A3FB3"/>
    <w:rsid w:val="004A5088"/>
    <w:rsid w:val="004A5255"/>
    <w:rsid w:val="004A5E8C"/>
    <w:rsid w:val="004A6097"/>
    <w:rsid w:val="004A6CB0"/>
    <w:rsid w:val="004A70FF"/>
    <w:rsid w:val="004A7CCC"/>
    <w:rsid w:val="004A7ED8"/>
    <w:rsid w:val="004B0122"/>
    <w:rsid w:val="004B06D3"/>
    <w:rsid w:val="004B0F7A"/>
    <w:rsid w:val="004B1081"/>
    <w:rsid w:val="004B1B84"/>
    <w:rsid w:val="004B29AC"/>
    <w:rsid w:val="004B35DF"/>
    <w:rsid w:val="004B3627"/>
    <w:rsid w:val="004B3F3A"/>
    <w:rsid w:val="004B4779"/>
    <w:rsid w:val="004B4922"/>
    <w:rsid w:val="004B57DF"/>
    <w:rsid w:val="004C03A0"/>
    <w:rsid w:val="004C04AB"/>
    <w:rsid w:val="004C0790"/>
    <w:rsid w:val="004C0A97"/>
    <w:rsid w:val="004C2138"/>
    <w:rsid w:val="004C28BE"/>
    <w:rsid w:val="004C2D1D"/>
    <w:rsid w:val="004C2ED0"/>
    <w:rsid w:val="004C32D4"/>
    <w:rsid w:val="004C33FA"/>
    <w:rsid w:val="004C3940"/>
    <w:rsid w:val="004C51FD"/>
    <w:rsid w:val="004C534B"/>
    <w:rsid w:val="004C5D71"/>
    <w:rsid w:val="004C65A8"/>
    <w:rsid w:val="004C6F74"/>
    <w:rsid w:val="004C6F92"/>
    <w:rsid w:val="004C786C"/>
    <w:rsid w:val="004C7963"/>
    <w:rsid w:val="004C7EBF"/>
    <w:rsid w:val="004D207C"/>
    <w:rsid w:val="004D2DD6"/>
    <w:rsid w:val="004D2F63"/>
    <w:rsid w:val="004D35BA"/>
    <w:rsid w:val="004D4701"/>
    <w:rsid w:val="004D47C7"/>
    <w:rsid w:val="004D4AEB"/>
    <w:rsid w:val="004D6124"/>
    <w:rsid w:val="004D618D"/>
    <w:rsid w:val="004D62A9"/>
    <w:rsid w:val="004D6AEE"/>
    <w:rsid w:val="004D6FC3"/>
    <w:rsid w:val="004D7141"/>
    <w:rsid w:val="004D7476"/>
    <w:rsid w:val="004D7895"/>
    <w:rsid w:val="004E0306"/>
    <w:rsid w:val="004E0572"/>
    <w:rsid w:val="004E25A8"/>
    <w:rsid w:val="004E2AA0"/>
    <w:rsid w:val="004E36D1"/>
    <w:rsid w:val="004E3930"/>
    <w:rsid w:val="004E3ED9"/>
    <w:rsid w:val="004E5866"/>
    <w:rsid w:val="004E5D94"/>
    <w:rsid w:val="004E6097"/>
    <w:rsid w:val="004E61EF"/>
    <w:rsid w:val="004E6772"/>
    <w:rsid w:val="004E72B4"/>
    <w:rsid w:val="004E76A7"/>
    <w:rsid w:val="004E7729"/>
    <w:rsid w:val="004E7736"/>
    <w:rsid w:val="004E7761"/>
    <w:rsid w:val="004E78AA"/>
    <w:rsid w:val="004E7B03"/>
    <w:rsid w:val="004F0064"/>
    <w:rsid w:val="004F0264"/>
    <w:rsid w:val="004F06AC"/>
    <w:rsid w:val="004F1AE6"/>
    <w:rsid w:val="004F243B"/>
    <w:rsid w:val="004F243F"/>
    <w:rsid w:val="004F3E0C"/>
    <w:rsid w:val="004F5B3E"/>
    <w:rsid w:val="004F5D40"/>
    <w:rsid w:val="004F6A2D"/>
    <w:rsid w:val="004F7031"/>
    <w:rsid w:val="004F7160"/>
    <w:rsid w:val="004F7E95"/>
    <w:rsid w:val="005001C0"/>
    <w:rsid w:val="00500258"/>
    <w:rsid w:val="005016E6"/>
    <w:rsid w:val="0050175E"/>
    <w:rsid w:val="00501A99"/>
    <w:rsid w:val="005026B9"/>
    <w:rsid w:val="00502C94"/>
    <w:rsid w:val="00503180"/>
    <w:rsid w:val="0050417C"/>
    <w:rsid w:val="00505170"/>
    <w:rsid w:val="00505450"/>
    <w:rsid w:val="00505FC6"/>
    <w:rsid w:val="005100B7"/>
    <w:rsid w:val="005113C9"/>
    <w:rsid w:val="0051158B"/>
    <w:rsid w:val="0051280C"/>
    <w:rsid w:val="00512842"/>
    <w:rsid w:val="005128BE"/>
    <w:rsid w:val="00512B7B"/>
    <w:rsid w:val="00512DED"/>
    <w:rsid w:val="00512E6C"/>
    <w:rsid w:val="0051356F"/>
    <w:rsid w:val="00513B64"/>
    <w:rsid w:val="00513E7C"/>
    <w:rsid w:val="005140BB"/>
    <w:rsid w:val="005143C2"/>
    <w:rsid w:val="0051454F"/>
    <w:rsid w:val="00514FD9"/>
    <w:rsid w:val="0051608F"/>
    <w:rsid w:val="005160E3"/>
    <w:rsid w:val="0052043A"/>
    <w:rsid w:val="005210F7"/>
    <w:rsid w:val="00521753"/>
    <w:rsid w:val="00521A44"/>
    <w:rsid w:val="00521D16"/>
    <w:rsid w:val="005222BE"/>
    <w:rsid w:val="005224EE"/>
    <w:rsid w:val="0052377C"/>
    <w:rsid w:val="00523BB1"/>
    <w:rsid w:val="0052451A"/>
    <w:rsid w:val="00524737"/>
    <w:rsid w:val="00526265"/>
    <w:rsid w:val="0052652D"/>
    <w:rsid w:val="0052655D"/>
    <w:rsid w:val="005265E0"/>
    <w:rsid w:val="00526BC3"/>
    <w:rsid w:val="00526D61"/>
    <w:rsid w:val="00530CBA"/>
    <w:rsid w:val="00530E5C"/>
    <w:rsid w:val="00530F9E"/>
    <w:rsid w:val="0053274E"/>
    <w:rsid w:val="00532FD9"/>
    <w:rsid w:val="0053358A"/>
    <w:rsid w:val="00534668"/>
    <w:rsid w:val="00534DDD"/>
    <w:rsid w:val="00535291"/>
    <w:rsid w:val="00535A94"/>
    <w:rsid w:val="00536A5E"/>
    <w:rsid w:val="00537249"/>
    <w:rsid w:val="00537874"/>
    <w:rsid w:val="00540204"/>
    <w:rsid w:val="00540578"/>
    <w:rsid w:val="005407D2"/>
    <w:rsid w:val="00540808"/>
    <w:rsid w:val="0054080E"/>
    <w:rsid w:val="00540BD9"/>
    <w:rsid w:val="00540EA1"/>
    <w:rsid w:val="00541F62"/>
    <w:rsid w:val="00542AD8"/>
    <w:rsid w:val="0054358E"/>
    <w:rsid w:val="00543AF4"/>
    <w:rsid w:val="00543D54"/>
    <w:rsid w:val="00544191"/>
    <w:rsid w:val="00544F39"/>
    <w:rsid w:val="0054515D"/>
    <w:rsid w:val="00547EFB"/>
    <w:rsid w:val="00552563"/>
    <w:rsid w:val="005528A3"/>
    <w:rsid w:val="005529FB"/>
    <w:rsid w:val="005531DF"/>
    <w:rsid w:val="00553874"/>
    <w:rsid w:val="00553ACC"/>
    <w:rsid w:val="005546B0"/>
    <w:rsid w:val="00554AD8"/>
    <w:rsid w:val="00554F78"/>
    <w:rsid w:val="005556A5"/>
    <w:rsid w:val="00556BF7"/>
    <w:rsid w:val="005616C8"/>
    <w:rsid w:val="00562149"/>
    <w:rsid w:val="005630D8"/>
    <w:rsid w:val="00563A09"/>
    <w:rsid w:val="00563FFD"/>
    <w:rsid w:val="00565553"/>
    <w:rsid w:val="00565855"/>
    <w:rsid w:val="0056720D"/>
    <w:rsid w:val="005677CE"/>
    <w:rsid w:val="00567B5D"/>
    <w:rsid w:val="005713F2"/>
    <w:rsid w:val="00573733"/>
    <w:rsid w:val="00574554"/>
    <w:rsid w:val="00576089"/>
    <w:rsid w:val="005764B1"/>
    <w:rsid w:val="00576A56"/>
    <w:rsid w:val="00576D06"/>
    <w:rsid w:val="005779E4"/>
    <w:rsid w:val="00580AC5"/>
    <w:rsid w:val="00580E1A"/>
    <w:rsid w:val="00580EB3"/>
    <w:rsid w:val="00581A2A"/>
    <w:rsid w:val="00582580"/>
    <w:rsid w:val="0058289C"/>
    <w:rsid w:val="00582C35"/>
    <w:rsid w:val="00582DC6"/>
    <w:rsid w:val="005836C7"/>
    <w:rsid w:val="00583E00"/>
    <w:rsid w:val="00583E30"/>
    <w:rsid w:val="0058408E"/>
    <w:rsid w:val="00584A3B"/>
    <w:rsid w:val="00584F72"/>
    <w:rsid w:val="00585374"/>
    <w:rsid w:val="0058668B"/>
    <w:rsid w:val="00586F3C"/>
    <w:rsid w:val="0058788D"/>
    <w:rsid w:val="00590B77"/>
    <w:rsid w:val="005913A3"/>
    <w:rsid w:val="00591DCD"/>
    <w:rsid w:val="00591E6C"/>
    <w:rsid w:val="00593506"/>
    <w:rsid w:val="00594785"/>
    <w:rsid w:val="00594A7B"/>
    <w:rsid w:val="00594AFA"/>
    <w:rsid w:val="00594C56"/>
    <w:rsid w:val="0059580E"/>
    <w:rsid w:val="00596A6F"/>
    <w:rsid w:val="005976E1"/>
    <w:rsid w:val="005979FA"/>
    <w:rsid w:val="005A0541"/>
    <w:rsid w:val="005A0AE0"/>
    <w:rsid w:val="005A1525"/>
    <w:rsid w:val="005A1EC3"/>
    <w:rsid w:val="005A252B"/>
    <w:rsid w:val="005A2936"/>
    <w:rsid w:val="005A2A71"/>
    <w:rsid w:val="005A3092"/>
    <w:rsid w:val="005A3204"/>
    <w:rsid w:val="005A3341"/>
    <w:rsid w:val="005A3FA1"/>
    <w:rsid w:val="005A42BD"/>
    <w:rsid w:val="005A46EC"/>
    <w:rsid w:val="005A4847"/>
    <w:rsid w:val="005A494F"/>
    <w:rsid w:val="005A4F00"/>
    <w:rsid w:val="005B0160"/>
    <w:rsid w:val="005B0185"/>
    <w:rsid w:val="005B07EC"/>
    <w:rsid w:val="005B08AE"/>
    <w:rsid w:val="005B09D8"/>
    <w:rsid w:val="005B120C"/>
    <w:rsid w:val="005B24F3"/>
    <w:rsid w:val="005B2B11"/>
    <w:rsid w:val="005B2E00"/>
    <w:rsid w:val="005B370E"/>
    <w:rsid w:val="005B45D1"/>
    <w:rsid w:val="005B4DA3"/>
    <w:rsid w:val="005B55B4"/>
    <w:rsid w:val="005B5BEE"/>
    <w:rsid w:val="005B77D2"/>
    <w:rsid w:val="005C019B"/>
    <w:rsid w:val="005C144E"/>
    <w:rsid w:val="005C14A8"/>
    <w:rsid w:val="005C1AE2"/>
    <w:rsid w:val="005C2BFA"/>
    <w:rsid w:val="005C30F5"/>
    <w:rsid w:val="005C357E"/>
    <w:rsid w:val="005C3951"/>
    <w:rsid w:val="005C504E"/>
    <w:rsid w:val="005C51A5"/>
    <w:rsid w:val="005C557A"/>
    <w:rsid w:val="005C5B70"/>
    <w:rsid w:val="005C61DD"/>
    <w:rsid w:val="005C6438"/>
    <w:rsid w:val="005C67C9"/>
    <w:rsid w:val="005C6B8B"/>
    <w:rsid w:val="005D02E3"/>
    <w:rsid w:val="005D0310"/>
    <w:rsid w:val="005D039C"/>
    <w:rsid w:val="005D083C"/>
    <w:rsid w:val="005D0CFB"/>
    <w:rsid w:val="005D1B08"/>
    <w:rsid w:val="005D1F34"/>
    <w:rsid w:val="005D2529"/>
    <w:rsid w:val="005D2C1F"/>
    <w:rsid w:val="005D34B2"/>
    <w:rsid w:val="005D35BD"/>
    <w:rsid w:val="005D3924"/>
    <w:rsid w:val="005D3B54"/>
    <w:rsid w:val="005D40CD"/>
    <w:rsid w:val="005D4C41"/>
    <w:rsid w:val="005D6B59"/>
    <w:rsid w:val="005D7037"/>
    <w:rsid w:val="005E03E4"/>
    <w:rsid w:val="005E0454"/>
    <w:rsid w:val="005E09B0"/>
    <w:rsid w:val="005E171D"/>
    <w:rsid w:val="005E34C2"/>
    <w:rsid w:val="005E35C6"/>
    <w:rsid w:val="005E5B01"/>
    <w:rsid w:val="005E7154"/>
    <w:rsid w:val="005E773C"/>
    <w:rsid w:val="005E7933"/>
    <w:rsid w:val="005E7E0B"/>
    <w:rsid w:val="005F009E"/>
    <w:rsid w:val="005F0A88"/>
    <w:rsid w:val="005F0DF1"/>
    <w:rsid w:val="005F1516"/>
    <w:rsid w:val="005F1928"/>
    <w:rsid w:val="005F229E"/>
    <w:rsid w:val="005F2564"/>
    <w:rsid w:val="005F261A"/>
    <w:rsid w:val="005F37FC"/>
    <w:rsid w:val="005F3822"/>
    <w:rsid w:val="005F3E0B"/>
    <w:rsid w:val="005F4D16"/>
    <w:rsid w:val="005F4E52"/>
    <w:rsid w:val="005F5590"/>
    <w:rsid w:val="005F5967"/>
    <w:rsid w:val="005F5F79"/>
    <w:rsid w:val="005F618C"/>
    <w:rsid w:val="005F6A62"/>
    <w:rsid w:val="005F77C8"/>
    <w:rsid w:val="005F797D"/>
    <w:rsid w:val="0060058E"/>
    <w:rsid w:val="00602A3C"/>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5E83"/>
    <w:rsid w:val="006167E3"/>
    <w:rsid w:val="0061771D"/>
    <w:rsid w:val="00617EEE"/>
    <w:rsid w:val="006210FE"/>
    <w:rsid w:val="00622811"/>
    <w:rsid w:val="00622894"/>
    <w:rsid w:val="00622BB7"/>
    <w:rsid w:val="00622F3B"/>
    <w:rsid w:val="00623389"/>
    <w:rsid w:val="0062352A"/>
    <w:rsid w:val="00623E26"/>
    <w:rsid w:val="00624457"/>
    <w:rsid w:val="00625307"/>
    <w:rsid w:val="00625E45"/>
    <w:rsid w:val="006265C4"/>
    <w:rsid w:val="006268E9"/>
    <w:rsid w:val="00627383"/>
    <w:rsid w:val="00627733"/>
    <w:rsid w:val="0063006D"/>
    <w:rsid w:val="00630116"/>
    <w:rsid w:val="006301BB"/>
    <w:rsid w:val="00630343"/>
    <w:rsid w:val="00632605"/>
    <w:rsid w:val="00633F8D"/>
    <w:rsid w:val="006341EF"/>
    <w:rsid w:val="00634BED"/>
    <w:rsid w:val="006355E0"/>
    <w:rsid w:val="00635629"/>
    <w:rsid w:val="00635A4A"/>
    <w:rsid w:val="00635AFF"/>
    <w:rsid w:val="00635FB9"/>
    <w:rsid w:val="00636148"/>
    <w:rsid w:val="00636455"/>
    <w:rsid w:val="00637774"/>
    <w:rsid w:val="0064024C"/>
    <w:rsid w:val="00640291"/>
    <w:rsid w:val="00641FAC"/>
    <w:rsid w:val="006424A9"/>
    <w:rsid w:val="006432A5"/>
    <w:rsid w:val="00643664"/>
    <w:rsid w:val="00643C53"/>
    <w:rsid w:val="00643CAA"/>
    <w:rsid w:val="00646CA3"/>
    <w:rsid w:val="00647F42"/>
    <w:rsid w:val="00651374"/>
    <w:rsid w:val="00652137"/>
    <w:rsid w:val="00652680"/>
    <w:rsid w:val="00652A09"/>
    <w:rsid w:val="006530A1"/>
    <w:rsid w:val="00653CDE"/>
    <w:rsid w:val="006540B4"/>
    <w:rsid w:val="0065636A"/>
    <w:rsid w:val="00656C3C"/>
    <w:rsid w:val="00657003"/>
    <w:rsid w:val="00657126"/>
    <w:rsid w:val="006572C1"/>
    <w:rsid w:val="00657930"/>
    <w:rsid w:val="00660238"/>
    <w:rsid w:val="006602EF"/>
    <w:rsid w:val="00660F41"/>
    <w:rsid w:val="00661277"/>
    <w:rsid w:val="006612F2"/>
    <w:rsid w:val="006616FE"/>
    <w:rsid w:val="006619D1"/>
    <w:rsid w:val="006632E0"/>
    <w:rsid w:val="00663FEA"/>
    <w:rsid w:val="00664253"/>
    <w:rsid w:val="0066456A"/>
    <w:rsid w:val="0066470E"/>
    <w:rsid w:val="006647AE"/>
    <w:rsid w:val="00664803"/>
    <w:rsid w:val="00664B87"/>
    <w:rsid w:val="006661A4"/>
    <w:rsid w:val="00666A58"/>
    <w:rsid w:val="006670E0"/>
    <w:rsid w:val="00667532"/>
    <w:rsid w:val="0066781C"/>
    <w:rsid w:val="006704FD"/>
    <w:rsid w:val="00671776"/>
    <w:rsid w:val="0067294B"/>
    <w:rsid w:val="00673AA4"/>
    <w:rsid w:val="00674187"/>
    <w:rsid w:val="0067508F"/>
    <w:rsid w:val="00675349"/>
    <w:rsid w:val="00675E7E"/>
    <w:rsid w:val="00676728"/>
    <w:rsid w:val="0068051E"/>
    <w:rsid w:val="00680B9D"/>
    <w:rsid w:val="00681F13"/>
    <w:rsid w:val="0068231C"/>
    <w:rsid w:val="00682344"/>
    <w:rsid w:val="00682F28"/>
    <w:rsid w:val="00683B94"/>
    <w:rsid w:val="00684842"/>
    <w:rsid w:val="00685BD6"/>
    <w:rsid w:val="006878A6"/>
    <w:rsid w:val="00690437"/>
    <w:rsid w:val="0069081F"/>
    <w:rsid w:val="00690E65"/>
    <w:rsid w:val="0069188E"/>
    <w:rsid w:val="00691974"/>
    <w:rsid w:val="00692CE6"/>
    <w:rsid w:val="006932A7"/>
    <w:rsid w:val="00693B6C"/>
    <w:rsid w:val="00694202"/>
    <w:rsid w:val="006942AE"/>
    <w:rsid w:val="0069483C"/>
    <w:rsid w:val="00695421"/>
    <w:rsid w:val="00696D4B"/>
    <w:rsid w:val="00697BD3"/>
    <w:rsid w:val="00697DFA"/>
    <w:rsid w:val="006A0080"/>
    <w:rsid w:val="006A0C53"/>
    <w:rsid w:val="006A10F3"/>
    <w:rsid w:val="006A115D"/>
    <w:rsid w:val="006A16D5"/>
    <w:rsid w:val="006A1772"/>
    <w:rsid w:val="006A1780"/>
    <w:rsid w:val="006A25A5"/>
    <w:rsid w:val="006A2790"/>
    <w:rsid w:val="006A3CEC"/>
    <w:rsid w:val="006A3F75"/>
    <w:rsid w:val="006A4FB3"/>
    <w:rsid w:val="006A55F8"/>
    <w:rsid w:val="006A5A3E"/>
    <w:rsid w:val="006A61FF"/>
    <w:rsid w:val="006A6CA7"/>
    <w:rsid w:val="006A6DBC"/>
    <w:rsid w:val="006A703E"/>
    <w:rsid w:val="006A7BE3"/>
    <w:rsid w:val="006A7EAC"/>
    <w:rsid w:val="006B01D1"/>
    <w:rsid w:val="006B1048"/>
    <w:rsid w:val="006B16EA"/>
    <w:rsid w:val="006B1780"/>
    <w:rsid w:val="006B224E"/>
    <w:rsid w:val="006B376E"/>
    <w:rsid w:val="006B4589"/>
    <w:rsid w:val="006B5F5D"/>
    <w:rsid w:val="006B6805"/>
    <w:rsid w:val="006B6A74"/>
    <w:rsid w:val="006B6BBE"/>
    <w:rsid w:val="006B6DE0"/>
    <w:rsid w:val="006B7D5F"/>
    <w:rsid w:val="006C0A3D"/>
    <w:rsid w:val="006C0C29"/>
    <w:rsid w:val="006C1EA5"/>
    <w:rsid w:val="006C32F4"/>
    <w:rsid w:val="006C3C54"/>
    <w:rsid w:val="006C40F4"/>
    <w:rsid w:val="006C427B"/>
    <w:rsid w:val="006C490C"/>
    <w:rsid w:val="006C492C"/>
    <w:rsid w:val="006C4D5D"/>
    <w:rsid w:val="006C4E5A"/>
    <w:rsid w:val="006C4F9F"/>
    <w:rsid w:val="006C5896"/>
    <w:rsid w:val="006C58B4"/>
    <w:rsid w:val="006C61AB"/>
    <w:rsid w:val="006C63D9"/>
    <w:rsid w:val="006C650D"/>
    <w:rsid w:val="006C693F"/>
    <w:rsid w:val="006C748D"/>
    <w:rsid w:val="006C74E2"/>
    <w:rsid w:val="006D0860"/>
    <w:rsid w:val="006D0C1D"/>
    <w:rsid w:val="006D0CE1"/>
    <w:rsid w:val="006D2004"/>
    <w:rsid w:val="006D2A8C"/>
    <w:rsid w:val="006D2E9D"/>
    <w:rsid w:val="006D3420"/>
    <w:rsid w:val="006D3ACB"/>
    <w:rsid w:val="006D4199"/>
    <w:rsid w:val="006D4C1E"/>
    <w:rsid w:val="006D4C42"/>
    <w:rsid w:val="006D4E38"/>
    <w:rsid w:val="006D5809"/>
    <w:rsid w:val="006D6042"/>
    <w:rsid w:val="006D630A"/>
    <w:rsid w:val="006D63A1"/>
    <w:rsid w:val="006D668D"/>
    <w:rsid w:val="006D6BCC"/>
    <w:rsid w:val="006D7363"/>
    <w:rsid w:val="006D74F2"/>
    <w:rsid w:val="006D7EF5"/>
    <w:rsid w:val="006E00B6"/>
    <w:rsid w:val="006E04C8"/>
    <w:rsid w:val="006E0712"/>
    <w:rsid w:val="006E0754"/>
    <w:rsid w:val="006E0FFD"/>
    <w:rsid w:val="006E2668"/>
    <w:rsid w:val="006E2D39"/>
    <w:rsid w:val="006E32B0"/>
    <w:rsid w:val="006E36D8"/>
    <w:rsid w:val="006E396A"/>
    <w:rsid w:val="006E3A73"/>
    <w:rsid w:val="006E3C80"/>
    <w:rsid w:val="006E5DD8"/>
    <w:rsid w:val="006E5EA1"/>
    <w:rsid w:val="006E66BC"/>
    <w:rsid w:val="006E7ABC"/>
    <w:rsid w:val="006E7C08"/>
    <w:rsid w:val="006F0089"/>
    <w:rsid w:val="006F0760"/>
    <w:rsid w:val="006F0FF1"/>
    <w:rsid w:val="006F11E2"/>
    <w:rsid w:val="006F12F5"/>
    <w:rsid w:val="006F2574"/>
    <w:rsid w:val="006F3231"/>
    <w:rsid w:val="006F3DE3"/>
    <w:rsid w:val="006F511F"/>
    <w:rsid w:val="006F54B3"/>
    <w:rsid w:val="006F5E30"/>
    <w:rsid w:val="006F61D8"/>
    <w:rsid w:val="006F62B7"/>
    <w:rsid w:val="006F6C6C"/>
    <w:rsid w:val="006F70BC"/>
    <w:rsid w:val="006F713A"/>
    <w:rsid w:val="006F76BF"/>
    <w:rsid w:val="00700077"/>
    <w:rsid w:val="00701FF0"/>
    <w:rsid w:val="007066A4"/>
    <w:rsid w:val="00706F37"/>
    <w:rsid w:val="00707507"/>
    <w:rsid w:val="00707D09"/>
    <w:rsid w:val="007104A0"/>
    <w:rsid w:val="00711208"/>
    <w:rsid w:val="0071209F"/>
    <w:rsid w:val="007125A2"/>
    <w:rsid w:val="00712DA3"/>
    <w:rsid w:val="00713F79"/>
    <w:rsid w:val="00714447"/>
    <w:rsid w:val="007148A8"/>
    <w:rsid w:val="00714AA4"/>
    <w:rsid w:val="007168B2"/>
    <w:rsid w:val="007171E0"/>
    <w:rsid w:val="00717F85"/>
    <w:rsid w:val="0072033C"/>
    <w:rsid w:val="00720B1B"/>
    <w:rsid w:val="00720EC1"/>
    <w:rsid w:val="00721062"/>
    <w:rsid w:val="00721E5D"/>
    <w:rsid w:val="007229D4"/>
    <w:rsid w:val="00722CD9"/>
    <w:rsid w:val="007230F8"/>
    <w:rsid w:val="00723159"/>
    <w:rsid w:val="00723175"/>
    <w:rsid w:val="007233F4"/>
    <w:rsid w:val="00724044"/>
    <w:rsid w:val="007244E1"/>
    <w:rsid w:val="007248D3"/>
    <w:rsid w:val="00725137"/>
    <w:rsid w:val="007263ED"/>
    <w:rsid w:val="00727A43"/>
    <w:rsid w:val="00727FF2"/>
    <w:rsid w:val="007309BC"/>
    <w:rsid w:val="007316E4"/>
    <w:rsid w:val="007323E0"/>
    <w:rsid w:val="007329C6"/>
    <w:rsid w:val="00733791"/>
    <w:rsid w:val="0073391B"/>
    <w:rsid w:val="00733DE2"/>
    <w:rsid w:val="007352EA"/>
    <w:rsid w:val="00736020"/>
    <w:rsid w:val="007364E5"/>
    <w:rsid w:val="00737010"/>
    <w:rsid w:val="0073792F"/>
    <w:rsid w:val="00740DA6"/>
    <w:rsid w:val="00741623"/>
    <w:rsid w:val="00741A0E"/>
    <w:rsid w:val="00741D1E"/>
    <w:rsid w:val="00741EE2"/>
    <w:rsid w:val="00742367"/>
    <w:rsid w:val="00742EAA"/>
    <w:rsid w:val="00743818"/>
    <w:rsid w:val="007439E2"/>
    <w:rsid w:val="00743D6F"/>
    <w:rsid w:val="00743DD8"/>
    <w:rsid w:val="007441FB"/>
    <w:rsid w:val="00744517"/>
    <w:rsid w:val="00744810"/>
    <w:rsid w:val="00744D37"/>
    <w:rsid w:val="007473B5"/>
    <w:rsid w:val="00747DE2"/>
    <w:rsid w:val="007504BF"/>
    <w:rsid w:val="007506CD"/>
    <w:rsid w:val="00751E0A"/>
    <w:rsid w:val="0075267F"/>
    <w:rsid w:val="007526EC"/>
    <w:rsid w:val="0075310C"/>
    <w:rsid w:val="00753347"/>
    <w:rsid w:val="00753C48"/>
    <w:rsid w:val="00754629"/>
    <w:rsid w:val="00754C97"/>
    <w:rsid w:val="00754FE4"/>
    <w:rsid w:val="00755538"/>
    <w:rsid w:val="00755C34"/>
    <w:rsid w:val="00756236"/>
    <w:rsid w:val="00756271"/>
    <w:rsid w:val="00756274"/>
    <w:rsid w:val="00756521"/>
    <w:rsid w:val="00756AB7"/>
    <w:rsid w:val="00760477"/>
    <w:rsid w:val="00760696"/>
    <w:rsid w:val="00761AF4"/>
    <w:rsid w:val="00761BC1"/>
    <w:rsid w:val="00762071"/>
    <w:rsid w:val="007623FB"/>
    <w:rsid w:val="0076376A"/>
    <w:rsid w:val="0076500F"/>
    <w:rsid w:val="0076504E"/>
    <w:rsid w:val="00765E6A"/>
    <w:rsid w:val="00767BB5"/>
    <w:rsid w:val="00767EA0"/>
    <w:rsid w:val="0077068F"/>
    <w:rsid w:val="0077071A"/>
    <w:rsid w:val="00770E1A"/>
    <w:rsid w:val="00771783"/>
    <w:rsid w:val="0077408D"/>
    <w:rsid w:val="00774270"/>
    <w:rsid w:val="00775679"/>
    <w:rsid w:val="00775803"/>
    <w:rsid w:val="00777B32"/>
    <w:rsid w:val="0078051E"/>
    <w:rsid w:val="00781FDD"/>
    <w:rsid w:val="00782A9F"/>
    <w:rsid w:val="00784A83"/>
    <w:rsid w:val="0078508A"/>
    <w:rsid w:val="00786D5C"/>
    <w:rsid w:val="00786E96"/>
    <w:rsid w:val="00787471"/>
    <w:rsid w:val="00787F93"/>
    <w:rsid w:val="0079019A"/>
    <w:rsid w:val="007907CA"/>
    <w:rsid w:val="007913A1"/>
    <w:rsid w:val="00791E6D"/>
    <w:rsid w:val="007928DC"/>
    <w:rsid w:val="007933B1"/>
    <w:rsid w:val="007939CC"/>
    <w:rsid w:val="00794AD7"/>
    <w:rsid w:val="00796926"/>
    <w:rsid w:val="00796FB8"/>
    <w:rsid w:val="007A0A5E"/>
    <w:rsid w:val="007A11C2"/>
    <w:rsid w:val="007A2367"/>
    <w:rsid w:val="007A24D1"/>
    <w:rsid w:val="007A2BD3"/>
    <w:rsid w:val="007A41BF"/>
    <w:rsid w:val="007A490A"/>
    <w:rsid w:val="007A4F8C"/>
    <w:rsid w:val="007A581D"/>
    <w:rsid w:val="007A6202"/>
    <w:rsid w:val="007A63D6"/>
    <w:rsid w:val="007A777B"/>
    <w:rsid w:val="007A7B95"/>
    <w:rsid w:val="007A7D40"/>
    <w:rsid w:val="007B0297"/>
    <w:rsid w:val="007B0F53"/>
    <w:rsid w:val="007B1DD8"/>
    <w:rsid w:val="007B21AE"/>
    <w:rsid w:val="007B2570"/>
    <w:rsid w:val="007B28B2"/>
    <w:rsid w:val="007B3113"/>
    <w:rsid w:val="007B3304"/>
    <w:rsid w:val="007B332B"/>
    <w:rsid w:val="007B394D"/>
    <w:rsid w:val="007B7490"/>
    <w:rsid w:val="007B774A"/>
    <w:rsid w:val="007B7A19"/>
    <w:rsid w:val="007C0525"/>
    <w:rsid w:val="007C0B56"/>
    <w:rsid w:val="007C13F7"/>
    <w:rsid w:val="007C218D"/>
    <w:rsid w:val="007C2D28"/>
    <w:rsid w:val="007C3E22"/>
    <w:rsid w:val="007C46A7"/>
    <w:rsid w:val="007C4B5E"/>
    <w:rsid w:val="007C5153"/>
    <w:rsid w:val="007C5495"/>
    <w:rsid w:val="007C67C6"/>
    <w:rsid w:val="007C707A"/>
    <w:rsid w:val="007C7873"/>
    <w:rsid w:val="007C7E59"/>
    <w:rsid w:val="007D0B91"/>
    <w:rsid w:val="007D0F53"/>
    <w:rsid w:val="007D1452"/>
    <w:rsid w:val="007D14E9"/>
    <w:rsid w:val="007D1E29"/>
    <w:rsid w:val="007D32EB"/>
    <w:rsid w:val="007D390C"/>
    <w:rsid w:val="007D460C"/>
    <w:rsid w:val="007D46E1"/>
    <w:rsid w:val="007D4A2B"/>
    <w:rsid w:val="007D4AD3"/>
    <w:rsid w:val="007D4C8D"/>
    <w:rsid w:val="007D5D19"/>
    <w:rsid w:val="007D5FDC"/>
    <w:rsid w:val="007D6232"/>
    <w:rsid w:val="007D6D68"/>
    <w:rsid w:val="007D7CA6"/>
    <w:rsid w:val="007E01DA"/>
    <w:rsid w:val="007E0ABB"/>
    <w:rsid w:val="007E1603"/>
    <w:rsid w:val="007E3124"/>
    <w:rsid w:val="007E32DA"/>
    <w:rsid w:val="007E3DA1"/>
    <w:rsid w:val="007E43C3"/>
    <w:rsid w:val="007E4998"/>
    <w:rsid w:val="007E4A9C"/>
    <w:rsid w:val="007E4FDE"/>
    <w:rsid w:val="007E6914"/>
    <w:rsid w:val="007E7F78"/>
    <w:rsid w:val="007F0C8B"/>
    <w:rsid w:val="007F1030"/>
    <w:rsid w:val="007F1517"/>
    <w:rsid w:val="007F1D44"/>
    <w:rsid w:val="007F2C13"/>
    <w:rsid w:val="007F2CEC"/>
    <w:rsid w:val="007F5308"/>
    <w:rsid w:val="007F55DE"/>
    <w:rsid w:val="007F5605"/>
    <w:rsid w:val="007F6147"/>
    <w:rsid w:val="007F6FCD"/>
    <w:rsid w:val="007F78FF"/>
    <w:rsid w:val="00800E14"/>
    <w:rsid w:val="00800F6C"/>
    <w:rsid w:val="008025BE"/>
    <w:rsid w:val="00802E9D"/>
    <w:rsid w:val="008030CE"/>
    <w:rsid w:val="00804C86"/>
    <w:rsid w:val="008051FC"/>
    <w:rsid w:val="008055A9"/>
    <w:rsid w:val="00806971"/>
    <w:rsid w:val="008070EB"/>
    <w:rsid w:val="00807376"/>
    <w:rsid w:val="008074FC"/>
    <w:rsid w:val="00810D59"/>
    <w:rsid w:val="00810E8E"/>
    <w:rsid w:val="0081142D"/>
    <w:rsid w:val="00811FB1"/>
    <w:rsid w:val="00812462"/>
    <w:rsid w:val="008131C3"/>
    <w:rsid w:val="008140A5"/>
    <w:rsid w:val="00814442"/>
    <w:rsid w:val="0081481D"/>
    <w:rsid w:val="00814BE8"/>
    <w:rsid w:val="00814CCA"/>
    <w:rsid w:val="00814F6E"/>
    <w:rsid w:val="00815B84"/>
    <w:rsid w:val="00820074"/>
    <w:rsid w:val="00820577"/>
    <w:rsid w:val="0082175F"/>
    <w:rsid w:val="00821A3D"/>
    <w:rsid w:val="00821B36"/>
    <w:rsid w:val="00822037"/>
    <w:rsid w:val="00823E0A"/>
    <w:rsid w:val="00823FC6"/>
    <w:rsid w:val="00823FFC"/>
    <w:rsid w:val="00824811"/>
    <w:rsid w:val="008255DA"/>
    <w:rsid w:val="00825C58"/>
    <w:rsid w:val="00825C74"/>
    <w:rsid w:val="00826AB9"/>
    <w:rsid w:val="00826E0E"/>
    <w:rsid w:val="0082731F"/>
    <w:rsid w:val="00827D11"/>
    <w:rsid w:val="00827E0F"/>
    <w:rsid w:val="00827F6E"/>
    <w:rsid w:val="008302C9"/>
    <w:rsid w:val="00831758"/>
    <w:rsid w:val="0083279F"/>
    <w:rsid w:val="00832B41"/>
    <w:rsid w:val="00832E27"/>
    <w:rsid w:val="00833B7F"/>
    <w:rsid w:val="00834906"/>
    <w:rsid w:val="008358F4"/>
    <w:rsid w:val="00835923"/>
    <w:rsid w:val="00836075"/>
    <w:rsid w:val="00836417"/>
    <w:rsid w:val="00837495"/>
    <w:rsid w:val="00840442"/>
    <w:rsid w:val="008411F9"/>
    <w:rsid w:val="008413AB"/>
    <w:rsid w:val="00842D10"/>
    <w:rsid w:val="0084322B"/>
    <w:rsid w:val="00843B93"/>
    <w:rsid w:val="00843F81"/>
    <w:rsid w:val="00844087"/>
    <w:rsid w:val="0084519E"/>
    <w:rsid w:val="00846370"/>
    <w:rsid w:val="00847C2B"/>
    <w:rsid w:val="0085270D"/>
    <w:rsid w:val="008532BF"/>
    <w:rsid w:val="00853BF4"/>
    <w:rsid w:val="00854294"/>
    <w:rsid w:val="0085494E"/>
    <w:rsid w:val="00854DF8"/>
    <w:rsid w:val="0085595B"/>
    <w:rsid w:val="00855F80"/>
    <w:rsid w:val="008566B8"/>
    <w:rsid w:val="0085788B"/>
    <w:rsid w:val="00857A9E"/>
    <w:rsid w:val="00857DE2"/>
    <w:rsid w:val="00860E64"/>
    <w:rsid w:val="0086353C"/>
    <w:rsid w:val="0086407F"/>
    <w:rsid w:val="00864E79"/>
    <w:rsid w:val="00866111"/>
    <w:rsid w:val="0086661F"/>
    <w:rsid w:val="00866A0D"/>
    <w:rsid w:val="00866AE3"/>
    <w:rsid w:val="00866DB5"/>
    <w:rsid w:val="0086784E"/>
    <w:rsid w:val="00867AF1"/>
    <w:rsid w:val="00870445"/>
    <w:rsid w:val="00872118"/>
    <w:rsid w:val="00872827"/>
    <w:rsid w:val="00872888"/>
    <w:rsid w:val="00872A32"/>
    <w:rsid w:val="00872D92"/>
    <w:rsid w:val="00872E21"/>
    <w:rsid w:val="00872F14"/>
    <w:rsid w:val="00874ECA"/>
    <w:rsid w:val="00876EAE"/>
    <w:rsid w:val="00880F95"/>
    <w:rsid w:val="008819C6"/>
    <w:rsid w:val="00882B44"/>
    <w:rsid w:val="00882FE5"/>
    <w:rsid w:val="00883EE2"/>
    <w:rsid w:val="008845A4"/>
    <w:rsid w:val="00885007"/>
    <w:rsid w:val="00885996"/>
    <w:rsid w:val="00886138"/>
    <w:rsid w:val="00886E66"/>
    <w:rsid w:val="008871B0"/>
    <w:rsid w:val="008904B8"/>
    <w:rsid w:val="0089217C"/>
    <w:rsid w:val="008928A1"/>
    <w:rsid w:val="00893671"/>
    <w:rsid w:val="00894D65"/>
    <w:rsid w:val="0089507F"/>
    <w:rsid w:val="00895838"/>
    <w:rsid w:val="00895A72"/>
    <w:rsid w:val="00895CDF"/>
    <w:rsid w:val="008968C7"/>
    <w:rsid w:val="00897A55"/>
    <w:rsid w:val="008A0FC9"/>
    <w:rsid w:val="008A1201"/>
    <w:rsid w:val="008A1956"/>
    <w:rsid w:val="008A4010"/>
    <w:rsid w:val="008A4088"/>
    <w:rsid w:val="008A40D3"/>
    <w:rsid w:val="008A469C"/>
    <w:rsid w:val="008A484A"/>
    <w:rsid w:val="008A48E4"/>
    <w:rsid w:val="008A5877"/>
    <w:rsid w:val="008A6539"/>
    <w:rsid w:val="008A68CD"/>
    <w:rsid w:val="008A701C"/>
    <w:rsid w:val="008B0115"/>
    <w:rsid w:val="008B05DD"/>
    <w:rsid w:val="008B102D"/>
    <w:rsid w:val="008B17E8"/>
    <w:rsid w:val="008B1925"/>
    <w:rsid w:val="008B266C"/>
    <w:rsid w:val="008B2D03"/>
    <w:rsid w:val="008B2E7C"/>
    <w:rsid w:val="008B42EB"/>
    <w:rsid w:val="008B45A7"/>
    <w:rsid w:val="008B4A70"/>
    <w:rsid w:val="008B502F"/>
    <w:rsid w:val="008B5A88"/>
    <w:rsid w:val="008B6AFE"/>
    <w:rsid w:val="008B7034"/>
    <w:rsid w:val="008B7227"/>
    <w:rsid w:val="008B7B3B"/>
    <w:rsid w:val="008C191C"/>
    <w:rsid w:val="008C1DA4"/>
    <w:rsid w:val="008C2CD5"/>
    <w:rsid w:val="008C3618"/>
    <w:rsid w:val="008C37C2"/>
    <w:rsid w:val="008C3F20"/>
    <w:rsid w:val="008C400B"/>
    <w:rsid w:val="008C43AD"/>
    <w:rsid w:val="008C59FB"/>
    <w:rsid w:val="008C6687"/>
    <w:rsid w:val="008C68F0"/>
    <w:rsid w:val="008C6F92"/>
    <w:rsid w:val="008C731F"/>
    <w:rsid w:val="008C74D9"/>
    <w:rsid w:val="008D01FF"/>
    <w:rsid w:val="008D0CC4"/>
    <w:rsid w:val="008D1052"/>
    <w:rsid w:val="008D124C"/>
    <w:rsid w:val="008D1BB3"/>
    <w:rsid w:val="008D1E30"/>
    <w:rsid w:val="008D22AE"/>
    <w:rsid w:val="008D234A"/>
    <w:rsid w:val="008D2600"/>
    <w:rsid w:val="008D42DA"/>
    <w:rsid w:val="008D546F"/>
    <w:rsid w:val="008D566C"/>
    <w:rsid w:val="008D58D9"/>
    <w:rsid w:val="008D6426"/>
    <w:rsid w:val="008D66EA"/>
    <w:rsid w:val="008D6E59"/>
    <w:rsid w:val="008D7155"/>
    <w:rsid w:val="008D7DE4"/>
    <w:rsid w:val="008D7EF9"/>
    <w:rsid w:val="008E09B3"/>
    <w:rsid w:val="008E141A"/>
    <w:rsid w:val="008E1A44"/>
    <w:rsid w:val="008E28E6"/>
    <w:rsid w:val="008E2B28"/>
    <w:rsid w:val="008E2B60"/>
    <w:rsid w:val="008E3232"/>
    <w:rsid w:val="008E33DD"/>
    <w:rsid w:val="008E3545"/>
    <w:rsid w:val="008E3674"/>
    <w:rsid w:val="008E3B6C"/>
    <w:rsid w:val="008E4940"/>
    <w:rsid w:val="008E5D46"/>
    <w:rsid w:val="008E6241"/>
    <w:rsid w:val="008E68BB"/>
    <w:rsid w:val="008E6C9B"/>
    <w:rsid w:val="008E77D4"/>
    <w:rsid w:val="008E7CBF"/>
    <w:rsid w:val="008F0981"/>
    <w:rsid w:val="008F0AFD"/>
    <w:rsid w:val="008F17B2"/>
    <w:rsid w:val="008F28EE"/>
    <w:rsid w:val="008F357B"/>
    <w:rsid w:val="008F44CA"/>
    <w:rsid w:val="008F49B9"/>
    <w:rsid w:val="008F49D3"/>
    <w:rsid w:val="008F59EA"/>
    <w:rsid w:val="008F6519"/>
    <w:rsid w:val="008F65AA"/>
    <w:rsid w:val="008F7012"/>
    <w:rsid w:val="008F7B17"/>
    <w:rsid w:val="008F7E18"/>
    <w:rsid w:val="00900042"/>
    <w:rsid w:val="0090034B"/>
    <w:rsid w:val="00900D66"/>
    <w:rsid w:val="00902623"/>
    <w:rsid w:val="00902890"/>
    <w:rsid w:val="00904BE4"/>
    <w:rsid w:val="0090504A"/>
    <w:rsid w:val="00905142"/>
    <w:rsid w:val="0090519B"/>
    <w:rsid w:val="00905D7E"/>
    <w:rsid w:val="009063B7"/>
    <w:rsid w:val="00906B83"/>
    <w:rsid w:val="00907037"/>
    <w:rsid w:val="0091114B"/>
    <w:rsid w:val="0091160A"/>
    <w:rsid w:val="00913258"/>
    <w:rsid w:val="009144BE"/>
    <w:rsid w:val="00914A89"/>
    <w:rsid w:val="0091564D"/>
    <w:rsid w:val="009156DA"/>
    <w:rsid w:val="009168BA"/>
    <w:rsid w:val="00916BC5"/>
    <w:rsid w:val="0091726A"/>
    <w:rsid w:val="00920184"/>
    <w:rsid w:val="00920A19"/>
    <w:rsid w:val="00920EA4"/>
    <w:rsid w:val="009211DC"/>
    <w:rsid w:val="00921792"/>
    <w:rsid w:val="00921BEA"/>
    <w:rsid w:val="0092280B"/>
    <w:rsid w:val="00922EFD"/>
    <w:rsid w:val="00923998"/>
    <w:rsid w:val="00923DB4"/>
    <w:rsid w:val="0092430E"/>
    <w:rsid w:val="009249D7"/>
    <w:rsid w:val="00925A61"/>
    <w:rsid w:val="00925DD6"/>
    <w:rsid w:val="0092625F"/>
    <w:rsid w:val="009268A9"/>
    <w:rsid w:val="00927B37"/>
    <w:rsid w:val="009301B2"/>
    <w:rsid w:val="009313DD"/>
    <w:rsid w:val="00931BDE"/>
    <w:rsid w:val="009321B1"/>
    <w:rsid w:val="00932ED7"/>
    <w:rsid w:val="0093357E"/>
    <w:rsid w:val="0093422D"/>
    <w:rsid w:val="00934325"/>
    <w:rsid w:val="00934DD7"/>
    <w:rsid w:val="00934F93"/>
    <w:rsid w:val="009351F8"/>
    <w:rsid w:val="009369A9"/>
    <w:rsid w:val="00936CF7"/>
    <w:rsid w:val="00937201"/>
    <w:rsid w:val="0093734A"/>
    <w:rsid w:val="00937783"/>
    <w:rsid w:val="00937E08"/>
    <w:rsid w:val="00940FE1"/>
    <w:rsid w:val="009412A5"/>
    <w:rsid w:val="00942306"/>
    <w:rsid w:val="009424B8"/>
    <w:rsid w:val="009433A4"/>
    <w:rsid w:val="0094435B"/>
    <w:rsid w:val="009444B1"/>
    <w:rsid w:val="00944668"/>
    <w:rsid w:val="00944DC6"/>
    <w:rsid w:val="0094515F"/>
    <w:rsid w:val="0094537D"/>
    <w:rsid w:val="0094573F"/>
    <w:rsid w:val="009458B0"/>
    <w:rsid w:val="00945B52"/>
    <w:rsid w:val="00945DC0"/>
    <w:rsid w:val="00945F05"/>
    <w:rsid w:val="00946348"/>
    <w:rsid w:val="00946409"/>
    <w:rsid w:val="0094643F"/>
    <w:rsid w:val="009471AD"/>
    <w:rsid w:val="009478A2"/>
    <w:rsid w:val="00950404"/>
    <w:rsid w:val="00952060"/>
    <w:rsid w:val="00954783"/>
    <w:rsid w:val="00954800"/>
    <w:rsid w:val="00955643"/>
    <w:rsid w:val="00955E5C"/>
    <w:rsid w:val="00955FBB"/>
    <w:rsid w:val="0095694B"/>
    <w:rsid w:val="00956BD5"/>
    <w:rsid w:val="009574BB"/>
    <w:rsid w:val="009577B5"/>
    <w:rsid w:val="00957DDA"/>
    <w:rsid w:val="009608E6"/>
    <w:rsid w:val="00960AE9"/>
    <w:rsid w:val="00961779"/>
    <w:rsid w:val="00962EB1"/>
    <w:rsid w:val="009639BB"/>
    <w:rsid w:val="00966522"/>
    <w:rsid w:val="00967D3F"/>
    <w:rsid w:val="00967E78"/>
    <w:rsid w:val="00970D7E"/>
    <w:rsid w:val="00970F18"/>
    <w:rsid w:val="00971CF1"/>
    <w:rsid w:val="009721E9"/>
    <w:rsid w:val="00972A58"/>
    <w:rsid w:val="00972ACD"/>
    <w:rsid w:val="009734A5"/>
    <w:rsid w:val="00973772"/>
    <w:rsid w:val="009738FC"/>
    <w:rsid w:val="00973B75"/>
    <w:rsid w:val="00974050"/>
    <w:rsid w:val="00975E1E"/>
    <w:rsid w:val="00975E70"/>
    <w:rsid w:val="00977ADD"/>
    <w:rsid w:val="00977CD6"/>
    <w:rsid w:val="00980869"/>
    <w:rsid w:val="00981268"/>
    <w:rsid w:val="00982481"/>
    <w:rsid w:val="00982D26"/>
    <w:rsid w:val="0098330E"/>
    <w:rsid w:val="009833DD"/>
    <w:rsid w:val="009840AB"/>
    <w:rsid w:val="009849E9"/>
    <w:rsid w:val="00984B99"/>
    <w:rsid w:val="00985A02"/>
    <w:rsid w:val="00985F82"/>
    <w:rsid w:val="009866F3"/>
    <w:rsid w:val="00987812"/>
    <w:rsid w:val="00990225"/>
    <w:rsid w:val="00990B08"/>
    <w:rsid w:val="009910F3"/>
    <w:rsid w:val="0099160D"/>
    <w:rsid w:val="0099244B"/>
    <w:rsid w:val="00993186"/>
    <w:rsid w:val="009947B6"/>
    <w:rsid w:val="00994FCC"/>
    <w:rsid w:val="00995150"/>
    <w:rsid w:val="009957F3"/>
    <w:rsid w:val="00995D67"/>
    <w:rsid w:val="0099642C"/>
    <w:rsid w:val="0099654E"/>
    <w:rsid w:val="00996713"/>
    <w:rsid w:val="00997038"/>
    <w:rsid w:val="009970BF"/>
    <w:rsid w:val="00997A3F"/>
    <w:rsid w:val="009A013B"/>
    <w:rsid w:val="009A02F4"/>
    <w:rsid w:val="009A1844"/>
    <w:rsid w:val="009A1F12"/>
    <w:rsid w:val="009A2494"/>
    <w:rsid w:val="009A26CA"/>
    <w:rsid w:val="009A2D97"/>
    <w:rsid w:val="009A36F2"/>
    <w:rsid w:val="009A4023"/>
    <w:rsid w:val="009A47FA"/>
    <w:rsid w:val="009A5749"/>
    <w:rsid w:val="009A57D0"/>
    <w:rsid w:val="009A5F88"/>
    <w:rsid w:val="009A6559"/>
    <w:rsid w:val="009A68FC"/>
    <w:rsid w:val="009A6BDB"/>
    <w:rsid w:val="009A7514"/>
    <w:rsid w:val="009A752F"/>
    <w:rsid w:val="009A7E7A"/>
    <w:rsid w:val="009B1584"/>
    <w:rsid w:val="009B1585"/>
    <w:rsid w:val="009B1D82"/>
    <w:rsid w:val="009B2469"/>
    <w:rsid w:val="009B314F"/>
    <w:rsid w:val="009B439C"/>
    <w:rsid w:val="009B4A6C"/>
    <w:rsid w:val="009B54AE"/>
    <w:rsid w:val="009B5777"/>
    <w:rsid w:val="009B5779"/>
    <w:rsid w:val="009B6753"/>
    <w:rsid w:val="009B67D0"/>
    <w:rsid w:val="009B6A26"/>
    <w:rsid w:val="009B7C56"/>
    <w:rsid w:val="009C079D"/>
    <w:rsid w:val="009C0D70"/>
    <w:rsid w:val="009C13D1"/>
    <w:rsid w:val="009C2913"/>
    <w:rsid w:val="009C3008"/>
    <w:rsid w:val="009C33D2"/>
    <w:rsid w:val="009C4876"/>
    <w:rsid w:val="009C5AFE"/>
    <w:rsid w:val="009C6606"/>
    <w:rsid w:val="009C6CE5"/>
    <w:rsid w:val="009C6D50"/>
    <w:rsid w:val="009C7547"/>
    <w:rsid w:val="009D1678"/>
    <w:rsid w:val="009D1693"/>
    <w:rsid w:val="009D26D6"/>
    <w:rsid w:val="009D2721"/>
    <w:rsid w:val="009D2F60"/>
    <w:rsid w:val="009D338C"/>
    <w:rsid w:val="009D3D0D"/>
    <w:rsid w:val="009D3D31"/>
    <w:rsid w:val="009D5BAC"/>
    <w:rsid w:val="009D6277"/>
    <w:rsid w:val="009D64BD"/>
    <w:rsid w:val="009D6801"/>
    <w:rsid w:val="009D69F4"/>
    <w:rsid w:val="009E0C4B"/>
    <w:rsid w:val="009E0D0A"/>
    <w:rsid w:val="009E0D1A"/>
    <w:rsid w:val="009E153F"/>
    <w:rsid w:val="009E2D6C"/>
    <w:rsid w:val="009E388B"/>
    <w:rsid w:val="009E393E"/>
    <w:rsid w:val="009E444E"/>
    <w:rsid w:val="009E4968"/>
    <w:rsid w:val="009E5B54"/>
    <w:rsid w:val="009E663C"/>
    <w:rsid w:val="009E6BB1"/>
    <w:rsid w:val="009F0092"/>
    <w:rsid w:val="009F0CD9"/>
    <w:rsid w:val="009F1A79"/>
    <w:rsid w:val="009F1F57"/>
    <w:rsid w:val="009F282C"/>
    <w:rsid w:val="009F2E26"/>
    <w:rsid w:val="009F4FCF"/>
    <w:rsid w:val="009F5CB5"/>
    <w:rsid w:val="009F5DE2"/>
    <w:rsid w:val="009F65F4"/>
    <w:rsid w:val="009F676B"/>
    <w:rsid w:val="009F6EA6"/>
    <w:rsid w:val="00A00261"/>
    <w:rsid w:val="00A004DF"/>
    <w:rsid w:val="00A00D29"/>
    <w:rsid w:val="00A00FD5"/>
    <w:rsid w:val="00A019A8"/>
    <w:rsid w:val="00A01B03"/>
    <w:rsid w:val="00A02C66"/>
    <w:rsid w:val="00A03861"/>
    <w:rsid w:val="00A0464C"/>
    <w:rsid w:val="00A04B61"/>
    <w:rsid w:val="00A04D48"/>
    <w:rsid w:val="00A054E0"/>
    <w:rsid w:val="00A05ABE"/>
    <w:rsid w:val="00A05B60"/>
    <w:rsid w:val="00A0663F"/>
    <w:rsid w:val="00A066CE"/>
    <w:rsid w:val="00A06A13"/>
    <w:rsid w:val="00A0740B"/>
    <w:rsid w:val="00A075A9"/>
    <w:rsid w:val="00A10010"/>
    <w:rsid w:val="00A11042"/>
    <w:rsid w:val="00A133D8"/>
    <w:rsid w:val="00A14E97"/>
    <w:rsid w:val="00A14EDF"/>
    <w:rsid w:val="00A158D7"/>
    <w:rsid w:val="00A15F84"/>
    <w:rsid w:val="00A16AF9"/>
    <w:rsid w:val="00A20069"/>
    <w:rsid w:val="00A20280"/>
    <w:rsid w:val="00A20D1D"/>
    <w:rsid w:val="00A2244D"/>
    <w:rsid w:val="00A2253D"/>
    <w:rsid w:val="00A225DF"/>
    <w:rsid w:val="00A22AEC"/>
    <w:rsid w:val="00A2418A"/>
    <w:rsid w:val="00A247B8"/>
    <w:rsid w:val="00A24D39"/>
    <w:rsid w:val="00A24D8F"/>
    <w:rsid w:val="00A252D3"/>
    <w:rsid w:val="00A25B8B"/>
    <w:rsid w:val="00A26130"/>
    <w:rsid w:val="00A269AF"/>
    <w:rsid w:val="00A269C3"/>
    <w:rsid w:val="00A26ECA"/>
    <w:rsid w:val="00A27B75"/>
    <w:rsid w:val="00A3142C"/>
    <w:rsid w:val="00A324C1"/>
    <w:rsid w:val="00A32F77"/>
    <w:rsid w:val="00A33094"/>
    <w:rsid w:val="00A337DB"/>
    <w:rsid w:val="00A3467F"/>
    <w:rsid w:val="00A3551A"/>
    <w:rsid w:val="00A376E8"/>
    <w:rsid w:val="00A37E69"/>
    <w:rsid w:val="00A37F8E"/>
    <w:rsid w:val="00A40068"/>
    <w:rsid w:val="00A40AAE"/>
    <w:rsid w:val="00A41737"/>
    <w:rsid w:val="00A41D96"/>
    <w:rsid w:val="00A42195"/>
    <w:rsid w:val="00A426B4"/>
    <w:rsid w:val="00A42B8F"/>
    <w:rsid w:val="00A43254"/>
    <w:rsid w:val="00A43896"/>
    <w:rsid w:val="00A43A26"/>
    <w:rsid w:val="00A43B3E"/>
    <w:rsid w:val="00A447A0"/>
    <w:rsid w:val="00A4598B"/>
    <w:rsid w:val="00A459F5"/>
    <w:rsid w:val="00A45C79"/>
    <w:rsid w:val="00A45FC0"/>
    <w:rsid w:val="00A46A11"/>
    <w:rsid w:val="00A46B32"/>
    <w:rsid w:val="00A47301"/>
    <w:rsid w:val="00A47448"/>
    <w:rsid w:val="00A47ECC"/>
    <w:rsid w:val="00A5008C"/>
    <w:rsid w:val="00A50171"/>
    <w:rsid w:val="00A5102E"/>
    <w:rsid w:val="00A51083"/>
    <w:rsid w:val="00A5132E"/>
    <w:rsid w:val="00A51533"/>
    <w:rsid w:val="00A51547"/>
    <w:rsid w:val="00A51E68"/>
    <w:rsid w:val="00A52F3B"/>
    <w:rsid w:val="00A531D4"/>
    <w:rsid w:val="00A53F08"/>
    <w:rsid w:val="00A54369"/>
    <w:rsid w:val="00A5488B"/>
    <w:rsid w:val="00A55ACD"/>
    <w:rsid w:val="00A55CFA"/>
    <w:rsid w:val="00A55FB0"/>
    <w:rsid w:val="00A56B4F"/>
    <w:rsid w:val="00A575B8"/>
    <w:rsid w:val="00A60386"/>
    <w:rsid w:val="00A628F4"/>
    <w:rsid w:val="00A63D22"/>
    <w:rsid w:val="00A642FB"/>
    <w:rsid w:val="00A647B1"/>
    <w:rsid w:val="00A64DEF"/>
    <w:rsid w:val="00A65E4E"/>
    <w:rsid w:val="00A662A1"/>
    <w:rsid w:val="00A665DF"/>
    <w:rsid w:val="00A66C8F"/>
    <w:rsid w:val="00A67F1B"/>
    <w:rsid w:val="00A67FCC"/>
    <w:rsid w:val="00A716DC"/>
    <w:rsid w:val="00A71ABE"/>
    <w:rsid w:val="00A7217B"/>
    <w:rsid w:val="00A7293E"/>
    <w:rsid w:val="00A72EE4"/>
    <w:rsid w:val="00A73067"/>
    <w:rsid w:val="00A737C4"/>
    <w:rsid w:val="00A739A6"/>
    <w:rsid w:val="00A73BB5"/>
    <w:rsid w:val="00A75EF9"/>
    <w:rsid w:val="00A76BC9"/>
    <w:rsid w:val="00A76E9A"/>
    <w:rsid w:val="00A76FD8"/>
    <w:rsid w:val="00A77566"/>
    <w:rsid w:val="00A80563"/>
    <w:rsid w:val="00A8311C"/>
    <w:rsid w:val="00A84BC8"/>
    <w:rsid w:val="00A84C5F"/>
    <w:rsid w:val="00A853CC"/>
    <w:rsid w:val="00A86973"/>
    <w:rsid w:val="00A8721F"/>
    <w:rsid w:val="00A8740B"/>
    <w:rsid w:val="00A87519"/>
    <w:rsid w:val="00A904B1"/>
    <w:rsid w:val="00A90827"/>
    <w:rsid w:val="00A90DE4"/>
    <w:rsid w:val="00A9246D"/>
    <w:rsid w:val="00A93644"/>
    <w:rsid w:val="00A93BD0"/>
    <w:rsid w:val="00A93F95"/>
    <w:rsid w:val="00A94BD6"/>
    <w:rsid w:val="00A9543D"/>
    <w:rsid w:val="00A95D69"/>
    <w:rsid w:val="00A96056"/>
    <w:rsid w:val="00A975A4"/>
    <w:rsid w:val="00A976CB"/>
    <w:rsid w:val="00AA09EE"/>
    <w:rsid w:val="00AA1509"/>
    <w:rsid w:val="00AA2001"/>
    <w:rsid w:val="00AA2482"/>
    <w:rsid w:val="00AA2B5C"/>
    <w:rsid w:val="00AA41F5"/>
    <w:rsid w:val="00AA4E59"/>
    <w:rsid w:val="00AA5328"/>
    <w:rsid w:val="00AA5393"/>
    <w:rsid w:val="00AA5771"/>
    <w:rsid w:val="00AA63D4"/>
    <w:rsid w:val="00AA6767"/>
    <w:rsid w:val="00AA7A3C"/>
    <w:rsid w:val="00AB03FD"/>
    <w:rsid w:val="00AB2546"/>
    <w:rsid w:val="00AB2B18"/>
    <w:rsid w:val="00AB38CB"/>
    <w:rsid w:val="00AB3BEC"/>
    <w:rsid w:val="00AB3FEA"/>
    <w:rsid w:val="00AB44E4"/>
    <w:rsid w:val="00AB4AEB"/>
    <w:rsid w:val="00AB5352"/>
    <w:rsid w:val="00AB56AE"/>
    <w:rsid w:val="00AB62D5"/>
    <w:rsid w:val="00AB65B5"/>
    <w:rsid w:val="00AB6DCD"/>
    <w:rsid w:val="00AB6EE0"/>
    <w:rsid w:val="00AB7D91"/>
    <w:rsid w:val="00AC2DFD"/>
    <w:rsid w:val="00AC33E3"/>
    <w:rsid w:val="00AC352D"/>
    <w:rsid w:val="00AC39B7"/>
    <w:rsid w:val="00AC40B7"/>
    <w:rsid w:val="00AC4FAC"/>
    <w:rsid w:val="00AC531F"/>
    <w:rsid w:val="00AC6121"/>
    <w:rsid w:val="00AC626D"/>
    <w:rsid w:val="00AC6CB1"/>
    <w:rsid w:val="00AC796E"/>
    <w:rsid w:val="00AD0091"/>
    <w:rsid w:val="00AD1381"/>
    <w:rsid w:val="00AD152D"/>
    <w:rsid w:val="00AD23D8"/>
    <w:rsid w:val="00AD23EF"/>
    <w:rsid w:val="00AD2A36"/>
    <w:rsid w:val="00AD2B50"/>
    <w:rsid w:val="00AD307B"/>
    <w:rsid w:val="00AD3475"/>
    <w:rsid w:val="00AD391F"/>
    <w:rsid w:val="00AD41B3"/>
    <w:rsid w:val="00AD4C48"/>
    <w:rsid w:val="00AD50B0"/>
    <w:rsid w:val="00AD57AF"/>
    <w:rsid w:val="00AD6267"/>
    <w:rsid w:val="00AD7317"/>
    <w:rsid w:val="00AE01A8"/>
    <w:rsid w:val="00AE07AB"/>
    <w:rsid w:val="00AE0CBD"/>
    <w:rsid w:val="00AE123A"/>
    <w:rsid w:val="00AE179A"/>
    <w:rsid w:val="00AE1EA7"/>
    <w:rsid w:val="00AE28A7"/>
    <w:rsid w:val="00AE3193"/>
    <w:rsid w:val="00AE33A6"/>
    <w:rsid w:val="00AE3446"/>
    <w:rsid w:val="00AE3715"/>
    <w:rsid w:val="00AE3729"/>
    <w:rsid w:val="00AE55B2"/>
    <w:rsid w:val="00AE5C6A"/>
    <w:rsid w:val="00AE65F7"/>
    <w:rsid w:val="00AE7280"/>
    <w:rsid w:val="00AE750F"/>
    <w:rsid w:val="00AF033A"/>
    <w:rsid w:val="00AF0387"/>
    <w:rsid w:val="00AF0AF0"/>
    <w:rsid w:val="00AF1699"/>
    <w:rsid w:val="00AF3896"/>
    <w:rsid w:val="00AF3F28"/>
    <w:rsid w:val="00AF6C33"/>
    <w:rsid w:val="00B0098A"/>
    <w:rsid w:val="00B00A5F"/>
    <w:rsid w:val="00B0183C"/>
    <w:rsid w:val="00B0225F"/>
    <w:rsid w:val="00B02767"/>
    <w:rsid w:val="00B029B8"/>
    <w:rsid w:val="00B02F60"/>
    <w:rsid w:val="00B032B8"/>
    <w:rsid w:val="00B04B46"/>
    <w:rsid w:val="00B0534D"/>
    <w:rsid w:val="00B06368"/>
    <w:rsid w:val="00B06FC6"/>
    <w:rsid w:val="00B07163"/>
    <w:rsid w:val="00B07429"/>
    <w:rsid w:val="00B10FE1"/>
    <w:rsid w:val="00B110CB"/>
    <w:rsid w:val="00B12FE6"/>
    <w:rsid w:val="00B1303F"/>
    <w:rsid w:val="00B1364A"/>
    <w:rsid w:val="00B13D3C"/>
    <w:rsid w:val="00B13EA9"/>
    <w:rsid w:val="00B1525C"/>
    <w:rsid w:val="00B16715"/>
    <w:rsid w:val="00B16870"/>
    <w:rsid w:val="00B17054"/>
    <w:rsid w:val="00B171B4"/>
    <w:rsid w:val="00B174A8"/>
    <w:rsid w:val="00B17910"/>
    <w:rsid w:val="00B20F18"/>
    <w:rsid w:val="00B21516"/>
    <w:rsid w:val="00B21D32"/>
    <w:rsid w:val="00B22CE0"/>
    <w:rsid w:val="00B23738"/>
    <w:rsid w:val="00B23BEF"/>
    <w:rsid w:val="00B247BB"/>
    <w:rsid w:val="00B24EA8"/>
    <w:rsid w:val="00B25806"/>
    <w:rsid w:val="00B25C11"/>
    <w:rsid w:val="00B25E30"/>
    <w:rsid w:val="00B25EDF"/>
    <w:rsid w:val="00B25EE6"/>
    <w:rsid w:val="00B26B53"/>
    <w:rsid w:val="00B3115A"/>
    <w:rsid w:val="00B31A5C"/>
    <w:rsid w:val="00B31FDB"/>
    <w:rsid w:val="00B33C19"/>
    <w:rsid w:val="00B34861"/>
    <w:rsid w:val="00B34BBC"/>
    <w:rsid w:val="00B34CB7"/>
    <w:rsid w:val="00B35F6E"/>
    <w:rsid w:val="00B363BD"/>
    <w:rsid w:val="00B369F7"/>
    <w:rsid w:val="00B36A99"/>
    <w:rsid w:val="00B37537"/>
    <w:rsid w:val="00B376CB"/>
    <w:rsid w:val="00B401EE"/>
    <w:rsid w:val="00B41591"/>
    <w:rsid w:val="00B41B81"/>
    <w:rsid w:val="00B42366"/>
    <w:rsid w:val="00B42980"/>
    <w:rsid w:val="00B434B2"/>
    <w:rsid w:val="00B434C7"/>
    <w:rsid w:val="00B43D45"/>
    <w:rsid w:val="00B44771"/>
    <w:rsid w:val="00B45CFC"/>
    <w:rsid w:val="00B45F3E"/>
    <w:rsid w:val="00B4650E"/>
    <w:rsid w:val="00B468F2"/>
    <w:rsid w:val="00B46B45"/>
    <w:rsid w:val="00B46F6B"/>
    <w:rsid w:val="00B47286"/>
    <w:rsid w:val="00B47894"/>
    <w:rsid w:val="00B50234"/>
    <w:rsid w:val="00B502BD"/>
    <w:rsid w:val="00B51794"/>
    <w:rsid w:val="00B51BF4"/>
    <w:rsid w:val="00B52C68"/>
    <w:rsid w:val="00B53C74"/>
    <w:rsid w:val="00B53D90"/>
    <w:rsid w:val="00B542FE"/>
    <w:rsid w:val="00B55A1B"/>
    <w:rsid w:val="00B561DB"/>
    <w:rsid w:val="00B56EAE"/>
    <w:rsid w:val="00B5713D"/>
    <w:rsid w:val="00B57494"/>
    <w:rsid w:val="00B61DCE"/>
    <w:rsid w:val="00B62188"/>
    <w:rsid w:val="00B62467"/>
    <w:rsid w:val="00B62F79"/>
    <w:rsid w:val="00B62F82"/>
    <w:rsid w:val="00B6325B"/>
    <w:rsid w:val="00B63587"/>
    <w:rsid w:val="00B63BE4"/>
    <w:rsid w:val="00B648FA"/>
    <w:rsid w:val="00B64CD7"/>
    <w:rsid w:val="00B65E36"/>
    <w:rsid w:val="00B662FF"/>
    <w:rsid w:val="00B673B6"/>
    <w:rsid w:val="00B71B84"/>
    <w:rsid w:val="00B72C80"/>
    <w:rsid w:val="00B730B4"/>
    <w:rsid w:val="00B73325"/>
    <w:rsid w:val="00B741B8"/>
    <w:rsid w:val="00B74340"/>
    <w:rsid w:val="00B744E0"/>
    <w:rsid w:val="00B7481A"/>
    <w:rsid w:val="00B74F2F"/>
    <w:rsid w:val="00B752A9"/>
    <w:rsid w:val="00B756FB"/>
    <w:rsid w:val="00B75D41"/>
    <w:rsid w:val="00B769BC"/>
    <w:rsid w:val="00B76CB7"/>
    <w:rsid w:val="00B77349"/>
    <w:rsid w:val="00B7761E"/>
    <w:rsid w:val="00B8044C"/>
    <w:rsid w:val="00B80A37"/>
    <w:rsid w:val="00B80A3D"/>
    <w:rsid w:val="00B814F0"/>
    <w:rsid w:val="00B823E0"/>
    <w:rsid w:val="00B82B78"/>
    <w:rsid w:val="00B8300B"/>
    <w:rsid w:val="00B83199"/>
    <w:rsid w:val="00B83554"/>
    <w:rsid w:val="00B83E3C"/>
    <w:rsid w:val="00B84662"/>
    <w:rsid w:val="00B85402"/>
    <w:rsid w:val="00B864A3"/>
    <w:rsid w:val="00B86C2A"/>
    <w:rsid w:val="00B902A5"/>
    <w:rsid w:val="00B90420"/>
    <w:rsid w:val="00B90A4B"/>
    <w:rsid w:val="00B913E4"/>
    <w:rsid w:val="00B91DB9"/>
    <w:rsid w:val="00B91E1E"/>
    <w:rsid w:val="00B931CE"/>
    <w:rsid w:val="00B9343C"/>
    <w:rsid w:val="00B93EFE"/>
    <w:rsid w:val="00B94956"/>
    <w:rsid w:val="00B94C7F"/>
    <w:rsid w:val="00B956B5"/>
    <w:rsid w:val="00B95904"/>
    <w:rsid w:val="00B95C3A"/>
    <w:rsid w:val="00B95FCE"/>
    <w:rsid w:val="00B9762D"/>
    <w:rsid w:val="00BA0D44"/>
    <w:rsid w:val="00BA0E26"/>
    <w:rsid w:val="00BA31BF"/>
    <w:rsid w:val="00BA43FC"/>
    <w:rsid w:val="00BA463A"/>
    <w:rsid w:val="00BA478B"/>
    <w:rsid w:val="00BA5224"/>
    <w:rsid w:val="00BA60BA"/>
    <w:rsid w:val="00BA7456"/>
    <w:rsid w:val="00BA7925"/>
    <w:rsid w:val="00BA7B27"/>
    <w:rsid w:val="00BA7E3B"/>
    <w:rsid w:val="00BB079C"/>
    <w:rsid w:val="00BB32A1"/>
    <w:rsid w:val="00BB39C1"/>
    <w:rsid w:val="00BB503D"/>
    <w:rsid w:val="00BB5555"/>
    <w:rsid w:val="00BB5D16"/>
    <w:rsid w:val="00BB6180"/>
    <w:rsid w:val="00BB69E6"/>
    <w:rsid w:val="00BB7195"/>
    <w:rsid w:val="00BB7714"/>
    <w:rsid w:val="00BC003C"/>
    <w:rsid w:val="00BC14DA"/>
    <w:rsid w:val="00BC1B7A"/>
    <w:rsid w:val="00BC2BC7"/>
    <w:rsid w:val="00BC2C17"/>
    <w:rsid w:val="00BC3ACD"/>
    <w:rsid w:val="00BC5C09"/>
    <w:rsid w:val="00BC6E73"/>
    <w:rsid w:val="00BD0014"/>
    <w:rsid w:val="00BD01D8"/>
    <w:rsid w:val="00BD0C29"/>
    <w:rsid w:val="00BD1B17"/>
    <w:rsid w:val="00BD2512"/>
    <w:rsid w:val="00BD255F"/>
    <w:rsid w:val="00BD383D"/>
    <w:rsid w:val="00BD40C7"/>
    <w:rsid w:val="00BD4236"/>
    <w:rsid w:val="00BD53C1"/>
    <w:rsid w:val="00BD5CCA"/>
    <w:rsid w:val="00BD5CD4"/>
    <w:rsid w:val="00BD6EF9"/>
    <w:rsid w:val="00BD77DD"/>
    <w:rsid w:val="00BE0ACB"/>
    <w:rsid w:val="00BE1A90"/>
    <w:rsid w:val="00BE27D7"/>
    <w:rsid w:val="00BE2C0A"/>
    <w:rsid w:val="00BE3537"/>
    <w:rsid w:val="00BE360F"/>
    <w:rsid w:val="00BE50FD"/>
    <w:rsid w:val="00BE51CA"/>
    <w:rsid w:val="00BE58E0"/>
    <w:rsid w:val="00BE5E5A"/>
    <w:rsid w:val="00BE6518"/>
    <w:rsid w:val="00BE6690"/>
    <w:rsid w:val="00BE6D47"/>
    <w:rsid w:val="00BE7032"/>
    <w:rsid w:val="00BE7330"/>
    <w:rsid w:val="00BE7377"/>
    <w:rsid w:val="00BF01C5"/>
    <w:rsid w:val="00BF045B"/>
    <w:rsid w:val="00BF066A"/>
    <w:rsid w:val="00BF361C"/>
    <w:rsid w:val="00BF4150"/>
    <w:rsid w:val="00BF4342"/>
    <w:rsid w:val="00BF4B9E"/>
    <w:rsid w:val="00BF5050"/>
    <w:rsid w:val="00BF5422"/>
    <w:rsid w:val="00BF54CF"/>
    <w:rsid w:val="00BF59B1"/>
    <w:rsid w:val="00BF6A78"/>
    <w:rsid w:val="00BF6E19"/>
    <w:rsid w:val="00BF79B4"/>
    <w:rsid w:val="00C00383"/>
    <w:rsid w:val="00C0099F"/>
    <w:rsid w:val="00C00E71"/>
    <w:rsid w:val="00C01427"/>
    <w:rsid w:val="00C016A1"/>
    <w:rsid w:val="00C037A4"/>
    <w:rsid w:val="00C04AAB"/>
    <w:rsid w:val="00C05796"/>
    <w:rsid w:val="00C058AF"/>
    <w:rsid w:val="00C06281"/>
    <w:rsid w:val="00C07585"/>
    <w:rsid w:val="00C10E00"/>
    <w:rsid w:val="00C124C1"/>
    <w:rsid w:val="00C128AE"/>
    <w:rsid w:val="00C12BD5"/>
    <w:rsid w:val="00C136D6"/>
    <w:rsid w:val="00C13D5B"/>
    <w:rsid w:val="00C17AE2"/>
    <w:rsid w:val="00C20F27"/>
    <w:rsid w:val="00C215CF"/>
    <w:rsid w:val="00C2244B"/>
    <w:rsid w:val="00C2263D"/>
    <w:rsid w:val="00C22B0D"/>
    <w:rsid w:val="00C22D0A"/>
    <w:rsid w:val="00C22F55"/>
    <w:rsid w:val="00C240C1"/>
    <w:rsid w:val="00C24AB9"/>
    <w:rsid w:val="00C250D0"/>
    <w:rsid w:val="00C252AC"/>
    <w:rsid w:val="00C255AB"/>
    <w:rsid w:val="00C27214"/>
    <w:rsid w:val="00C27597"/>
    <w:rsid w:val="00C27A8B"/>
    <w:rsid w:val="00C30382"/>
    <w:rsid w:val="00C30D6F"/>
    <w:rsid w:val="00C30DDC"/>
    <w:rsid w:val="00C31063"/>
    <w:rsid w:val="00C31B7E"/>
    <w:rsid w:val="00C3242A"/>
    <w:rsid w:val="00C32838"/>
    <w:rsid w:val="00C32AE2"/>
    <w:rsid w:val="00C32DBF"/>
    <w:rsid w:val="00C33201"/>
    <w:rsid w:val="00C332C4"/>
    <w:rsid w:val="00C360B3"/>
    <w:rsid w:val="00C36132"/>
    <w:rsid w:val="00C36363"/>
    <w:rsid w:val="00C3679B"/>
    <w:rsid w:val="00C37027"/>
    <w:rsid w:val="00C3778D"/>
    <w:rsid w:val="00C37791"/>
    <w:rsid w:val="00C37CEA"/>
    <w:rsid w:val="00C405A3"/>
    <w:rsid w:val="00C409C3"/>
    <w:rsid w:val="00C42752"/>
    <w:rsid w:val="00C42973"/>
    <w:rsid w:val="00C43348"/>
    <w:rsid w:val="00C449B0"/>
    <w:rsid w:val="00C44F9C"/>
    <w:rsid w:val="00C46D58"/>
    <w:rsid w:val="00C4730E"/>
    <w:rsid w:val="00C47ACB"/>
    <w:rsid w:val="00C47B63"/>
    <w:rsid w:val="00C47EE9"/>
    <w:rsid w:val="00C5019C"/>
    <w:rsid w:val="00C501C8"/>
    <w:rsid w:val="00C5034F"/>
    <w:rsid w:val="00C514D3"/>
    <w:rsid w:val="00C52479"/>
    <w:rsid w:val="00C5291F"/>
    <w:rsid w:val="00C52BC8"/>
    <w:rsid w:val="00C52C59"/>
    <w:rsid w:val="00C52D21"/>
    <w:rsid w:val="00C5349E"/>
    <w:rsid w:val="00C5354B"/>
    <w:rsid w:val="00C54467"/>
    <w:rsid w:val="00C54D3D"/>
    <w:rsid w:val="00C55116"/>
    <w:rsid w:val="00C5583B"/>
    <w:rsid w:val="00C55A30"/>
    <w:rsid w:val="00C578F1"/>
    <w:rsid w:val="00C5791F"/>
    <w:rsid w:val="00C57C58"/>
    <w:rsid w:val="00C6028F"/>
    <w:rsid w:val="00C6036D"/>
    <w:rsid w:val="00C608F1"/>
    <w:rsid w:val="00C60C1F"/>
    <w:rsid w:val="00C61567"/>
    <w:rsid w:val="00C631E1"/>
    <w:rsid w:val="00C638D8"/>
    <w:rsid w:val="00C63C84"/>
    <w:rsid w:val="00C63D26"/>
    <w:rsid w:val="00C641EB"/>
    <w:rsid w:val="00C65053"/>
    <w:rsid w:val="00C6508C"/>
    <w:rsid w:val="00C65197"/>
    <w:rsid w:val="00C65BD9"/>
    <w:rsid w:val="00C65EEC"/>
    <w:rsid w:val="00C66061"/>
    <w:rsid w:val="00C661D6"/>
    <w:rsid w:val="00C66F2B"/>
    <w:rsid w:val="00C66F69"/>
    <w:rsid w:val="00C67223"/>
    <w:rsid w:val="00C67CFF"/>
    <w:rsid w:val="00C67DFA"/>
    <w:rsid w:val="00C707B8"/>
    <w:rsid w:val="00C7084B"/>
    <w:rsid w:val="00C71C15"/>
    <w:rsid w:val="00C71F3D"/>
    <w:rsid w:val="00C72F53"/>
    <w:rsid w:val="00C73BEC"/>
    <w:rsid w:val="00C74035"/>
    <w:rsid w:val="00C74D04"/>
    <w:rsid w:val="00C760E5"/>
    <w:rsid w:val="00C7680C"/>
    <w:rsid w:val="00C76FF4"/>
    <w:rsid w:val="00C77818"/>
    <w:rsid w:val="00C77AE3"/>
    <w:rsid w:val="00C802E9"/>
    <w:rsid w:val="00C8063F"/>
    <w:rsid w:val="00C809D0"/>
    <w:rsid w:val="00C81549"/>
    <w:rsid w:val="00C81F37"/>
    <w:rsid w:val="00C829A1"/>
    <w:rsid w:val="00C8351E"/>
    <w:rsid w:val="00C83B36"/>
    <w:rsid w:val="00C8473E"/>
    <w:rsid w:val="00C84F8A"/>
    <w:rsid w:val="00C8514A"/>
    <w:rsid w:val="00C85209"/>
    <w:rsid w:val="00C8618F"/>
    <w:rsid w:val="00C8674A"/>
    <w:rsid w:val="00C87E0C"/>
    <w:rsid w:val="00C90372"/>
    <w:rsid w:val="00C9041F"/>
    <w:rsid w:val="00C91A45"/>
    <w:rsid w:val="00C91BBD"/>
    <w:rsid w:val="00C91ED2"/>
    <w:rsid w:val="00C91FB4"/>
    <w:rsid w:val="00C94AC9"/>
    <w:rsid w:val="00C94D41"/>
    <w:rsid w:val="00C95745"/>
    <w:rsid w:val="00C962E3"/>
    <w:rsid w:val="00C965BD"/>
    <w:rsid w:val="00C96717"/>
    <w:rsid w:val="00C97997"/>
    <w:rsid w:val="00CA08FE"/>
    <w:rsid w:val="00CA0FAC"/>
    <w:rsid w:val="00CA21DC"/>
    <w:rsid w:val="00CA2513"/>
    <w:rsid w:val="00CA25C0"/>
    <w:rsid w:val="00CA3451"/>
    <w:rsid w:val="00CA4948"/>
    <w:rsid w:val="00CA52F9"/>
    <w:rsid w:val="00CA568B"/>
    <w:rsid w:val="00CA5F87"/>
    <w:rsid w:val="00CA61A0"/>
    <w:rsid w:val="00CA7500"/>
    <w:rsid w:val="00CB0224"/>
    <w:rsid w:val="00CB0696"/>
    <w:rsid w:val="00CB1239"/>
    <w:rsid w:val="00CB19FE"/>
    <w:rsid w:val="00CB304C"/>
    <w:rsid w:val="00CB53E8"/>
    <w:rsid w:val="00CB594A"/>
    <w:rsid w:val="00CB5CB2"/>
    <w:rsid w:val="00CB6979"/>
    <w:rsid w:val="00CC0A3D"/>
    <w:rsid w:val="00CC15A5"/>
    <w:rsid w:val="00CC16E6"/>
    <w:rsid w:val="00CC1EAF"/>
    <w:rsid w:val="00CC2373"/>
    <w:rsid w:val="00CC3D24"/>
    <w:rsid w:val="00CC3F91"/>
    <w:rsid w:val="00CC40B6"/>
    <w:rsid w:val="00CC43F6"/>
    <w:rsid w:val="00CC4B0A"/>
    <w:rsid w:val="00CC544A"/>
    <w:rsid w:val="00CC57EA"/>
    <w:rsid w:val="00CC5954"/>
    <w:rsid w:val="00CC6185"/>
    <w:rsid w:val="00CC6C4E"/>
    <w:rsid w:val="00CC6DD8"/>
    <w:rsid w:val="00CD05A2"/>
    <w:rsid w:val="00CD1357"/>
    <w:rsid w:val="00CD19DA"/>
    <w:rsid w:val="00CD29D4"/>
    <w:rsid w:val="00CD38F5"/>
    <w:rsid w:val="00CD437E"/>
    <w:rsid w:val="00CD4AE5"/>
    <w:rsid w:val="00CD581A"/>
    <w:rsid w:val="00CD5833"/>
    <w:rsid w:val="00CD5A89"/>
    <w:rsid w:val="00CD5DAD"/>
    <w:rsid w:val="00CD6AF2"/>
    <w:rsid w:val="00CD72C5"/>
    <w:rsid w:val="00CD79A7"/>
    <w:rsid w:val="00CE0789"/>
    <w:rsid w:val="00CE1A03"/>
    <w:rsid w:val="00CE1BA6"/>
    <w:rsid w:val="00CE1FFC"/>
    <w:rsid w:val="00CE2346"/>
    <w:rsid w:val="00CE3529"/>
    <w:rsid w:val="00CE35C8"/>
    <w:rsid w:val="00CE38BA"/>
    <w:rsid w:val="00CE3962"/>
    <w:rsid w:val="00CE5105"/>
    <w:rsid w:val="00CE56BD"/>
    <w:rsid w:val="00CE5EC0"/>
    <w:rsid w:val="00CE6F9F"/>
    <w:rsid w:val="00CE773B"/>
    <w:rsid w:val="00CE781A"/>
    <w:rsid w:val="00CF10FC"/>
    <w:rsid w:val="00CF1D74"/>
    <w:rsid w:val="00CF2A4A"/>
    <w:rsid w:val="00CF2BE2"/>
    <w:rsid w:val="00CF55F9"/>
    <w:rsid w:val="00CF68D1"/>
    <w:rsid w:val="00CF71A6"/>
    <w:rsid w:val="00CF7495"/>
    <w:rsid w:val="00CF7671"/>
    <w:rsid w:val="00CF7C5B"/>
    <w:rsid w:val="00D01000"/>
    <w:rsid w:val="00D01CF9"/>
    <w:rsid w:val="00D02246"/>
    <w:rsid w:val="00D0334D"/>
    <w:rsid w:val="00D0374D"/>
    <w:rsid w:val="00D041EE"/>
    <w:rsid w:val="00D05A76"/>
    <w:rsid w:val="00D07BEF"/>
    <w:rsid w:val="00D07F1D"/>
    <w:rsid w:val="00D10558"/>
    <w:rsid w:val="00D1203E"/>
    <w:rsid w:val="00D1218A"/>
    <w:rsid w:val="00D126A3"/>
    <w:rsid w:val="00D1389E"/>
    <w:rsid w:val="00D13E70"/>
    <w:rsid w:val="00D15484"/>
    <w:rsid w:val="00D16091"/>
    <w:rsid w:val="00D16C58"/>
    <w:rsid w:val="00D17019"/>
    <w:rsid w:val="00D170C1"/>
    <w:rsid w:val="00D17140"/>
    <w:rsid w:val="00D178DE"/>
    <w:rsid w:val="00D17939"/>
    <w:rsid w:val="00D17C6E"/>
    <w:rsid w:val="00D21168"/>
    <w:rsid w:val="00D235C8"/>
    <w:rsid w:val="00D2384A"/>
    <w:rsid w:val="00D2438C"/>
    <w:rsid w:val="00D2679C"/>
    <w:rsid w:val="00D26C3F"/>
    <w:rsid w:val="00D27185"/>
    <w:rsid w:val="00D31CA2"/>
    <w:rsid w:val="00D32B84"/>
    <w:rsid w:val="00D337AE"/>
    <w:rsid w:val="00D33AB3"/>
    <w:rsid w:val="00D33F24"/>
    <w:rsid w:val="00D346B7"/>
    <w:rsid w:val="00D346B8"/>
    <w:rsid w:val="00D35AC8"/>
    <w:rsid w:val="00D35D34"/>
    <w:rsid w:val="00D36F87"/>
    <w:rsid w:val="00D37D53"/>
    <w:rsid w:val="00D37E4E"/>
    <w:rsid w:val="00D41117"/>
    <w:rsid w:val="00D41639"/>
    <w:rsid w:val="00D42E6C"/>
    <w:rsid w:val="00D43218"/>
    <w:rsid w:val="00D436B8"/>
    <w:rsid w:val="00D43B80"/>
    <w:rsid w:val="00D4413D"/>
    <w:rsid w:val="00D44236"/>
    <w:rsid w:val="00D44263"/>
    <w:rsid w:val="00D44AE2"/>
    <w:rsid w:val="00D44DAE"/>
    <w:rsid w:val="00D45B1E"/>
    <w:rsid w:val="00D45BA4"/>
    <w:rsid w:val="00D46727"/>
    <w:rsid w:val="00D471AF"/>
    <w:rsid w:val="00D4724F"/>
    <w:rsid w:val="00D50519"/>
    <w:rsid w:val="00D516A5"/>
    <w:rsid w:val="00D5264C"/>
    <w:rsid w:val="00D5289A"/>
    <w:rsid w:val="00D5300A"/>
    <w:rsid w:val="00D537FE"/>
    <w:rsid w:val="00D538F0"/>
    <w:rsid w:val="00D54A6A"/>
    <w:rsid w:val="00D54BF8"/>
    <w:rsid w:val="00D54D7C"/>
    <w:rsid w:val="00D55951"/>
    <w:rsid w:val="00D569CA"/>
    <w:rsid w:val="00D572BE"/>
    <w:rsid w:val="00D57EB6"/>
    <w:rsid w:val="00D600AE"/>
    <w:rsid w:val="00D60B07"/>
    <w:rsid w:val="00D60BF4"/>
    <w:rsid w:val="00D60ED7"/>
    <w:rsid w:val="00D63586"/>
    <w:rsid w:val="00D65538"/>
    <w:rsid w:val="00D664BF"/>
    <w:rsid w:val="00D66D8B"/>
    <w:rsid w:val="00D67763"/>
    <w:rsid w:val="00D72A1C"/>
    <w:rsid w:val="00D73502"/>
    <w:rsid w:val="00D73580"/>
    <w:rsid w:val="00D73802"/>
    <w:rsid w:val="00D73868"/>
    <w:rsid w:val="00D73956"/>
    <w:rsid w:val="00D73C2C"/>
    <w:rsid w:val="00D73D52"/>
    <w:rsid w:val="00D74042"/>
    <w:rsid w:val="00D7453F"/>
    <w:rsid w:val="00D745E7"/>
    <w:rsid w:val="00D77495"/>
    <w:rsid w:val="00D774ED"/>
    <w:rsid w:val="00D777F6"/>
    <w:rsid w:val="00D77F88"/>
    <w:rsid w:val="00D8002D"/>
    <w:rsid w:val="00D8047C"/>
    <w:rsid w:val="00D81EAA"/>
    <w:rsid w:val="00D8259F"/>
    <w:rsid w:val="00D825F2"/>
    <w:rsid w:val="00D828B1"/>
    <w:rsid w:val="00D838F3"/>
    <w:rsid w:val="00D84F27"/>
    <w:rsid w:val="00D850D4"/>
    <w:rsid w:val="00D854F6"/>
    <w:rsid w:val="00D862D1"/>
    <w:rsid w:val="00D873C6"/>
    <w:rsid w:val="00D91027"/>
    <w:rsid w:val="00D930D7"/>
    <w:rsid w:val="00D94C7D"/>
    <w:rsid w:val="00D94CA4"/>
    <w:rsid w:val="00D94FB4"/>
    <w:rsid w:val="00D95E99"/>
    <w:rsid w:val="00DA098C"/>
    <w:rsid w:val="00DA1A3A"/>
    <w:rsid w:val="00DA2712"/>
    <w:rsid w:val="00DA2C65"/>
    <w:rsid w:val="00DA395D"/>
    <w:rsid w:val="00DA6D33"/>
    <w:rsid w:val="00DA749E"/>
    <w:rsid w:val="00DB0170"/>
    <w:rsid w:val="00DB0FB1"/>
    <w:rsid w:val="00DB16B8"/>
    <w:rsid w:val="00DB1869"/>
    <w:rsid w:val="00DB1D52"/>
    <w:rsid w:val="00DB1F62"/>
    <w:rsid w:val="00DB2B0C"/>
    <w:rsid w:val="00DB2E03"/>
    <w:rsid w:val="00DB2EBA"/>
    <w:rsid w:val="00DB3227"/>
    <w:rsid w:val="00DB3369"/>
    <w:rsid w:val="00DB3742"/>
    <w:rsid w:val="00DB3901"/>
    <w:rsid w:val="00DB3F4B"/>
    <w:rsid w:val="00DB61A4"/>
    <w:rsid w:val="00DB6763"/>
    <w:rsid w:val="00DB67C1"/>
    <w:rsid w:val="00DB70CD"/>
    <w:rsid w:val="00DB70F4"/>
    <w:rsid w:val="00DB7343"/>
    <w:rsid w:val="00DC08B8"/>
    <w:rsid w:val="00DC0D8B"/>
    <w:rsid w:val="00DC1041"/>
    <w:rsid w:val="00DC1056"/>
    <w:rsid w:val="00DC211E"/>
    <w:rsid w:val="00DC21D8"/>
    <w:rsid w:val="00DC282A"/>
    <w:rsid w:val="00DC2A5F"/>
    <w:rsid w:val="00DC34DC"/>
    <w:rsid w:val="00DC3CC6"/>
    <w:rsid w:val="00DC4D68"/>
    <w:rsid w:val="00DC514A"/>
    <w:rsid w:val="00DC64EC"/>
    <w:rsid w:val="00DC67B1"/>
    <w:rsid w:val="00DC7833"/>
    <w:rsid w:val="00DC7CE9"/>
    <w:rsid w:val="00DD0C86"/>
    <w:rsid w:val="00DD132B"/>
    <w:rsid w:val="00DD1725"/>
    <w:rsid w:val="00DD2427"/>
    <w:rsid w:val="00DD2A18"/>
    <w:rsid w:val="00DD36DA"/>
    <w:rsid w:val="00DD476C"/>
    <w:rsid w:val="00DD59E7"/>
    <w:rsid w:val="00DD5B1A"/>
    <w:rsid w:val="00DD61E8"/>
    <w:rsid w:val="00DD62C0"/>
    <w:rsid w:val="00DD7557"/>
    <w:rsid w:val="00DD7859"/>
    <w:rsid w:val="00DD7A6F"/>
    <w:rsid w:val="00DE0150"/>
    <w:rsid w:val="00DE03AC"/>
    <w:rsid w:val="00DE0A1D"/>
    <w:rsid w:val="00DE15B2"/>
    <w:rsid w:val="00DE1A9A"/>
    <w:rsid w:val="00DE3D2C"/>
    <w:rsid w:val="00DE5409"/>
    <w:rsid w:val="00DE59F8"/>
    <w:rsid w:val="00DE5E82"/>
    <w:rsid w:val="00DE5FA6"/>
    <w:rsid w:val="00DE6494"/>
    <w:rsid w:val="00DE6AA1"/>
    <w:rsid w:val="00DE74D7"/>
    <w:rsid w:val="00DE7B4C"/>
    <w:rsid w:val="00DE7EF7"/>
    <w:rsid w:val="00DF0108"/>
    <w:rsid w:val="00DF106A"/>
    <w:rsid w:val="00DF1136"/>
    <w:rsid w:val="00DF1185"/>
    <w:rsid w:val="00DF1299"/>
    <w:rsid w:val="00DF1A70"/>
    <w:rsid w:val="00DF1E6B"/>
    <w:rsid w:val="00DF23A8"/>
    <w:rsid w:val="00DF2F27"/>
    <w:rsid w:val="00DF412A"/>
    <w:rsid w:val="00DF4237"/>
    <w:rsid w:val="00DF5360"/>
    <w:rsid w:val="00DF5896"/>
    <w:rsid w:val="00DF5CC1"/>
    <w:rsid w:val="00DF6CCC"/>
    <w:rsid w:val="00DF6D0C"/>
    <w:rsid w:val="00DF6DC2"/>
    <w:rsid w:val="00DF6F64"/>
    <w:rsid w:val="00DF721E"/>
    <w:rsid w:val="00DF7C87"/>
    <w:rsid w:val="00E006DF"/>
    <w:rsid w:val="00E009B0"/>
    <w:rsid w:val="00E00C6E"/>
    <w:rsid w:val="00E02569"/>
    <w:rsid w:val="00E031C0"/>
    <w:rsid w:val="00E0354F"/>
    <w:rsid w:val="00E03AFE"/>
    <w:rsid w:val="00E03D5C"/>
    <w:rsid w:val="00E046A9"/>
    <w:rsid w:val="00E04C0F"/>
    <w:rsid w:val="00E0570B"/>
    <w:rsid w:val="00E057B2"/>
    <w:rsid w:val="00E05996"/>
    <w:rsid w:val="00E06067"/>
    <w:rsid w:val="00E061A6"/>
    <w:rsid w:val="00E068D9"/>
    <w:rsid w:val="00E079CB"/>
    <w:rsid w:val="00E10B87"/>
    <w:rsid w:val="00E13D92"/>
    <w:rsid w:val="00E141CD"/>
    <w:rsid w:val="00E1478B"/>
    <w:rsid w:val="00E14FAC"/>
    <w:rsid w:val="00E15007"/>
    <w:rsid w:val="00E16EC7"/>
    <w:rsid w:val="00E1714F"/>
    <w:rsid w:val="00E17995"/>
    <w:rsid w:val="00E21576"/>
    <w:rsid w:val="00E21801"/>
    <w:rsid w:val="00E219CE"/>
    <w:rsid w:val="00E23961"/>
    <w:rsid w:val="00E24071"/>
    <w:rsid w:val="00E24C1A"/>
    <w:rsid w:val="00E24EBC"/>
    <w:rsid w:val="00E2522C"/>
    <w:rsid w:val="00E2599B"/>
    <w:rsid w:val="00E27383"/>
    <w:rsid w:val="00E2793D"/>
    <w:rsid w:val="00E31AFA"/>
    <w:rsid w:val="00E324EE"/>
    <w:rsid w:val="00E32F78"/>
    <w:rsid w:val="00E359FF"/>
    <w:rsid w:val="00E36083"/>
    <w:rsid w:val="00E36AA7"/>
    <w:rsid w:val="00E36E39"/>
    <w:rsid w:val="00E404FD"/>
    <w:rsid w:val="00E405F1"/>
    <w:rsid w:val="00E427D0"/>
    <w:rsid w:val="00E43054"/>
    <w:rsid w:val="00E434C4"/>
    <w:rsid w:val="00E448FD"/>
    <w:rsid w:val="00E44FE4"/>
    <w:rsid w:val="00E46013"/>
    <w:rsid w:val="00E46C96"/>
    <w:rsid w:val="00E477C3"/>
    <w:rsid w:val="00E5048D"/>
    <w:rsid w:val="00E50990"/>
    <w:rsid w:val="00E50AC4"/>
    <w:rsid w:val="00E51077"/>
    <w:rsid w:val="00E5132D"/>
    <w:rsid w:val="00E51741"/>
    <w:rsid w:val="00E51DBD"/>
    <w:rsid w:val="00E51E16"/>
    <w:rsid w:val="00E52151"/>
    <w:rsid w:val="00E52679"/>
    <w:rsid w:val="00E53730"/>
    <w:rsid w:val="00E53C46"/>
    <w:rsid w:val="00E54511"/>
    <w:rsid w:val="00E548BE"/>
    <w:rsid w:val="00E54978"/>
    <w:rsid w:val="00E556FE"/>
    <w:rsid w:val="00E55DC3"/>
    <w:rsid w:val="00E57577"/>
    <w:rsid w:val="00E578C8"/>
    <w:rsid w:val="00E61BD3"/>
    <w:rsid w:val="00E62043"/>
    <w:rsid w:val="00E621A5"/>
    <w:rsid w:val="00E626B9"/>
    <w:rsid w:val="00E627C9"/>
    <w:rsid w:val="00E630F3"/>
    <w:rsid w:val="00E648EB"/>
    <w:rsid w:val="00E65198"/>
    <w:rsid w:val="00E65B07"/>
    <w:rsid w:val="00E664FB"/>
    <w:rsid w:val="00E66F0D"/>
    <w:rsid w:val="00E6702A"/>
    <w:rsid w:val="00E705F3"/>
    <w:rsid w:val="00E70615"/>
    <w:rsid w:val="00E71A5E"/>
    <w:rsid w:val="00E7207B"/>
    <w:rsid w:val="00E7347A"/>
    <w:rsid w:val="00E73B34"/>
    <w:rsid w:val="00E746F4"/>
    <w:rsid w:val="00E75325"/>
    <w:rsid w:val="00E7590F"/>
    <w:rsid w:val="00E75A47"/>
    <w:rsid w:val="00E75D8C"/>
    <w:rsid w:val="00E77771"/>
    <w:rsid w:val="00E777F2"/>
    <w:rsid w:val="00E779ED"/>
    <w:rsid w:val="00E802C9"/>
    <w:rsid w:val="00E80EDD"/>
    <w:rsid w:val="00E80F0A"/>
    <w:rsid w:val="00E81A6A"/>
    <w:rsid w:val="00E8291B"/>
    <w:rsid w:val="00E82A71"/>
    <w:rsid w:val="00E8395F"/>
    <w:rsid w:val="00E83BAE"/>
    <w:rsid w:val="00E8473F"/>
    <w:rsid w:val="00E857EB"/>
    <w:rsid w:val="00E85E41"/>
    <w:rsid w:val="00E85E84"/>
    <w:rsid w:val="00E85EA1"/>
    <w:rsid w:val="00E8610B"/>
    <w:rsid w:val="00E86C86"/>
    <w:rsid w:val="00E872C8"/>
    <w:rsid w:val="00E91044"/>
    <w:rsid w:val="00E910D3"/>
    <w:rsid w:val="00E9214B"/>
    <w:rsid w:val="00E923CF"/>
    <w:rsid w:val="00E9335F"/>
    <w:rsid w:val="00E9496A"/>
    <w:rsid w:val="00E95063"/>
    <w:rsid w:val="00E95111"/>
    <w:rsid w:val="00E959D0"/>
    <w:rsid w:val="00E979A7"/>
    <w:rsid w:val="00E97BA9"/>
    <w:rsid w:val="00EA061E"/>
    <w:rsid w:val="00EA0C6F"/>
    <w:rsid w:val="00EA14C8"/>
    <w:rsid w:val="00EA19D3"/>
    <w:rsid w:val="00EA2358"/>
    <w:rsid w:val="00EA2C8B"/>
    <w:rsid w:val="00EA6649"/>
    <w:rsid w:val="00EB05D0"/>
    <w:rsid w:val="00EB07C5"/>
    <w:rsid w:val="00EB107E"/>
    <w:rsid w:val="00EB1D49"/>
    <w:rsid w:val="00EB42DD"/>
    <w:rsid w:val="00EB559F"/>
    <w:rsid w:val="00EB5F3D"/>
    <w:rsid w:val="00EB6DBE"/>
    <w:rsid w:val="00EB6EC2"/>
    <w:rsid w:val="00EC1CEB"/>
    <w:rsid w:val="00EC23D2"/>
    <w:rsid w:val="00EC268C"/>
    <w:rsid w:val="00EC2D83"/>
    <w:rsid w:val="00EC3602"/>
    <w:rsid w:val="00EC3753"/>
    <w:rsid w:val="00EC3CB8"/>
    <w:rsid w:val="00EC3D46"/>
    <w:rsid w:val="00EC4603"/>
    <w:rsid w:val="00EC4BE4"/>
    <w:rsid w:val="00EC4C6B"/>
    <w:rsid w:val="00EC4E71"/>
    <w:rsid w:val="00EC4EB2"/>
    <w:rsid w:val="00EC569A"/>
    <w:rsid w:val="00EC6667"/>
    <w:rsid w:val="00ED0365"/>
    <w:rsid w:val="00ED0865"/>
    <w:rsid w:val="00ED094F"/>
    <w:rsid w:val="00ED0CC5"/>
    <w:rsid w:val="00ED16B6"/>
    <w:rsid w:val="00ED1C60"/>
    <w:rsid w:val="00ED2AB7"/>
    <w:rsid w:val="00ED2D99"/>
    <w:rsid w:val="00ED2EB9"/>
    <w:rsid w:val="00ED4469"/>
    <w:rsid w:val="00ED5F23"/>
    <w:rsid w:val="00ED6DC0"/>
    <w:rsid w:val="00ED77C3"/>
    <w:rsid w:val="00ED79CE"/>
    <w:rsid w:val="00ED7A7A"/>
    <w:rsid w:val="00EE038C"/>
    <w:rsid w:val="00EE040B"/>
    <w:rsid w:val="00EE1EE8"/>
    <w:rsid w:val="00EE2E23"/>
    <w:rsid w:val="00EE326D"/>
    <w:rsid w:val="00EE47C5"/>
    <w:rsid w:val="00EE490C"/>
    <w:rsid w:val="00EE4E02"/>
    <w:rsid w:val="00EE6064"/>
    <w:rsid w:val="00EE613B"/>
    <w:rsid w:val="00EE7E17"/>
    <w:rsid w:val="00EF2C8E"/>
    <w:rsid w:val="00EF2D20"/>
    <w:rsid w:val="00EF3A0D"/>
    <w:rsid w:val="00EF3CEB"/>
    <w:rsid w:val="00EF41A8"/>
    <w:rsid w:val="00EF44FB"/>
    <w:rsid w:val="00EF4D3C"/>
    <w:rsid w:val="00EF5554"/>
    <w:rsid w:val="00EF5AD8"/>
    <w:rsid w:val="00EF5D2F"/>
    <w:rsid w:val="00EF63F5"/>
    <w:rsid w:val="00EF6758"/>
    <w:rsid w:val="00EF6B90"/>
    <w:rsid w:val="00EF70AE"/>
    <w:rsid w:val="00EF79F7"/>
    <w:rsid w:val="00F001AF"/>
    <w:rsid w:val="00F00418"/>
    <w:rsid w:val="00F006C0"/>
    <w:rsid w:val="00F018C1"/>
    <w:rsid w:val="00F019AA"/>
    <w:rsid w:val="00F01B83"/>
    <w:rsid w:val="00F0267E"/>
    <w:rsid w:val="00F02686"/>
    <w:rsid w:val="00F0459B"/>
    <w:rsid w:val="00F04E15"/>
    <w:rsid w:val="00F0511B"/>
    <w:rsid w:val="00F05DF3"/>
    <w:rsid w:val="00F0641B"/>
    <w:rsid w:val="00F069EA"/>
    <w:rsid w:val="00F07B6E"/>
    <w:rsid w:val="00F07DF8"/>
    <w:rsid w:val="00F11461"/>
    <w:rsid w:val="00F11675"/>
    <w:rsid w:val="00F1182D"/>
    <w:rsid w:val="00F12557"/>
    <w:rsid w:val="00F1333D"/>
    <w:rsid w:val="00F13A8F"/>
    <w:rsid w:val="00F144F8"/>
    <w:rsid w:val="00F14DF8"/>
    <w:rsid w:val="00F15347"/>
    <w:rsid w:val="00F15B95"/>
    <w:rsid w:val="00F164A3"/>
    <w:rsid w:val="00F17281"/>
    <w:rsid w:val="00F17AD9"/>
    <w:rsid w:val="00F17F74"/>
    <w:rsid w:val="00F202C2"/>
    <w:rsid w:val="00F21EF1"/>
    <w:rsid w:val="00F22756"/>
    <w:rsid w:val="00F22A2F"/>
    <w:rsid w:val="00F23890"/>
    <w:rsid w:val="00F2447A"/>
    <w:rsid w:val="00F24638"/>
    <w:rsid w:val="00F25023"/>
    <w:rsid w:val="00F2504D"/>
    <w:rsid w:val="00F2637F"/>
    <w:rsid w:val="00F263A8"/>
    <w:rsid w:val="00F268F7"/>
    <w:rsid w:val="00F27280"/>
    <w:rsid w:val="00F3053D"/>
    <w:rsid w:val="00F30BDB"/>
    <w:rsid w:val="00F30CF8"/>
    <w:rsid w:val="00F317E3"/>
    <w:rsid w:val="00F31EDF"/>
    <w:rsid w:val="00F32CDE"/>
    <w:rsid w:val="00F32D4C"/>
    <w:rsid w:val="00F3390A"/>
    <w:rsid w:val="00F34811"/>
    <w:rsid w:val="00F34A3A"/>
    <w:rsid w:val="00F34B14"/>
    <w:rsid w:val="00F3531A"/>
    <w:rsid w:val="00F36A6A"/>
    <w:rsid w:val="00F40101"/>
    <w:rsid w:val="00F404F7"/>
    <w:rsid w:val="00F4068F"/>
    <w:rsid w:val="00F40CCA"/>
    <w:rsid w:val="00F410CF"/>
    <w:rsid w:val="00F412A4"/>
    <w:rsid w:val="00F41521"/>
    <w:rsid w:val="00F415D0"/>
    <w:rsid w:val="00F41975"/>
    <w:rsid w:val="00F41C0E"/>
    <w:rsid w:val="00F42D97"/>
    <w:rsid w:val="00F43F09"/>
    <w:rsid w:val="00F44452"/>
    <w:rsid w:val="00F445C5"/>
    <w:rsid w:val="00F45A72"/>
    <w:rsid w:val="00F46723"/>
    <w:rsid w:val="00F50016"/>
    <w:rsid w:val="00F501F4"/>
    <w:rsid w:val="00F50647"/>
    <w:rsid w:val="00F51025"/>
    <w:rsid w:val="00F5118A"/>
    <w:rsid w:val="00F51A21"/>
    <w:rsid w:val="00F5276E"/>
    <w:rsid w:val="00F529F9"/>
    <w:rsid w:val="00F52E9F"/>
    <w:rsid w:val="00F52FB1"/>
    <w:rsid w:val="00F53304"/>
    <w:rsid w:val="00F53D40"/>
    <w:rsid w:val="00F545ED"/>
    <w:rsid w:val="00F55185"/>
    <w:rsid w:val="00F5687F"/>
    <w:rsid w:val="00F575C7"/>
    <w:rsid w:val="00F60305"/>
    <w:rsid w:val="00F61B12"/>
    <w:rsid w:val="00F61CC5"/>
    <w:rsid w:val="00F62398"/>
    <w:rsid w:val="00F631E8"/>
    <w:rsid w:val="00F63223"/>
    <w:rsid w:val="00F63264"/>
    <w:rsid w:val="00F6379E"/>
    <w:rsid w:val="00F64142"/>
    <w:rsid w:val="00F650E5"/>
    <w:rsid w:val="00F657E9"/>
    <w:rsid w:val="00F700DC"/>
    <w:rsid w:val="00F70307"/>
    <w:rsid w:val="00F70560"/>
    <w:rsid w:val="00F70799"/>
    <w:rsid w:val="00F70906"/>
    <w:rsid w:val="00F70A8B"/>
    <w:rsid w:val="00F70BAB"/>
    <w:rsid w:val="00F722D0"/>
    <w:rsid w:val="00F72362"/>
    <w:rsid w:val="00F723DF"/>
    <w:rsid w:val="00F724FB"/>
    <w:rsid w:val="00F72578"/>
    <w:rsid w:val="00F72854"/>
    <w:rsid w:val="00F72A26"/>
    <w:rsid w:val="00F733C3"/>
    <w:rsid w:val="00F756DD"/>
    <w:rsid w:val="00F75DB3"/>
    <w:rsid w:val="00F80047"/>
    <w:rsid w:val="00F80448"/>
    <w:rsid w:val="00F8104D"/>
    <w:rsid w:val="00F81587"/>
    <w:rsid w:val="00F816F4"/>
    <w:rsid w:val="00F82571"/>
    <w:rsid w:val="00F82705"/>
    <w:rsid w:val="00F85B72"/>
    <w:rsid w:val="00F864D9"/>
    <w:rsid w:val="00F869A7"/>
    <w:rsid w:val="00F86B6D"/>
    <w:rsid w:val="00F8766F"/>
    <w:rsid w:val="00F9104C"/>
    <w:rsid w:val="00F91082"/>
    <w:rsid w:val="00F91A9A"/>
    <w:rsid w:val="00F93ABB"/>
    <w:rsid w:val="00F94098"/>
    <w:rsid w:val="00F94D79"/>
    <w:rsid w:val="00F97176"/>
    <w:rsid w:val="00F97E7E"/>
    <w:rsid w:val="00FA118A"/>
    <w:rsid w:val="00FA31C7"/>
    <w:rsid w:val="00FA472D"/>
    <w:rsid w:val="00FA594D"/>
    <w:rsid w:val="00FA7254"/>
    <w:rsid w:val="00FA7D7F"/>
    <w:rsid w:val="00FA7EB6"/>
    <w:rsid w:val="00FB0214"/>
    <w:rsid w:val="00FB080C"/>
    <w:rsid w:val="00FB12BC"/>
    <w:rsid w:val="00FB18F6"/>
    <w:rsid w:val="00FB2A52"/>
    <w:rsid w:val="00FB2F13"/>
    <w:rsid w:val="00FB6123"/>
    <w:rsid w:val="00FB6470"/>
    <w:rsid w:val="00FB6B57"/>
    <w:rsid w:val="00FB6E19"/>
    <w:rsid w:val="00FB71F6"/>
    <w:rsid w:val="00FC0037"/>
    <w:rsid w:val="00FC1483"/>
    <w:rsid w:val="00FC1C47"/>
    <w:rsid w:val="00FC39ED"/>
    <w:rsid w:val="00FC4419"/>
    <w:rsid w:val="00FC47E2"/>
    <w:rsid w:val="00FC4AA5"/>
    <w:rsid w:val="00FC5148"/>
    <w:rsid w:val="00FC5528"/>
    <w:rsid w:val="00FC5C25"/>
    <w:rsid w:val="00FC66C1"/>
    <w:rsid w:val="00FC75AC"/>
    <w:rsid w:val="00FC7697"/>
    <w:rsid w:val="00FD01BF"/>
    <w:rsid w:val="00FD0525"/>
    <w:rsid w:val="00FD1A5D"/>
    <w:rsid w:val="00FD297D"/>
    <w:rsid w:val="00FD298C"/>
    <w:rsid w:val="00FD2D13"/>
    <w:rsid w:val="00FD3D26"/>
    <w:rsid w:val="00FD446D"/>
    <w:rsid w:val="00FD4789"/>
    <w:rsid w:val="00FD59FE"/>
    <w:rsid w:val="00FD5EE4"/>
    <w:rsid w:val="00FD6071"/>
    <w:rsid w:val="00FE0794"/>
    <w:rsid w:val="00FE1041"/>
    <w:rsid w:val="00FE1342"/>
    <w:rsid w:val="00FE1598"/>
    <w:rsid w:val="00FE24CB"/>
    <w:rsid w:val="00FE3166"/>
    <w:rsid w:val="00FE3320"/>
    <w:rsid w:val="00FE3473"/>
    <w:rsid w:val="00FE353B"/>
    <w:rsid w:val="00FE3E81"/>
    <w:rsid w:val="00FE4049"/>
    <w:rsid w:val="00FE4794"/>
    <w:rsid w:val="00FE5DF7"/>
    <w:rsid w:val="00FE5F72"/>
    <w:rsid w:val="00FE63E8"/>
    <w:rsid w:val="00FE6DBE"/>
    <w:rsid w:val="00FF0231"/>
    <w:rsid w:val="00FF1C9B"/>
    <w:rsid w:val="00FF1D49"/>
    <w:rsid w:val="00FF2562"/>
    <w:rsid w:val="00FF2CE1"/>
    <w:rsid w:val="00FF30E0"/>
    <w:rsid w:val="00FF3A41"/>
    <w:rsid w:val="00FF3E5B"/>
    <w:rsid w:val="00FF544F"/>
    <w:rsid w:val="00FF57E4"/>
    <w:rsid w:val="00FF6EF6"/>
    <w:rsid w:val="00FF75D9"/>
    <w:rsid w:val="00FF78E5"/>
    <w:rsid w:val="0136557F"/>
    <w:rsid w:val="01484952"/>
    <w:rsid w:val="01AC75F0"/>
    <w:rsid w:val="01F17789"/>
    <w:rsid w:val="02511F9D"/>
    <w:rsid w:val="02CB479F"/>
    <w:rsid w:val="02EB665E"/>
    <w:rsid w:val="03044C13"/>
    <w:rsid w:val="03056ED3"/>
    <w:rsid w:val="032C25BC"/>
    <w:rsid w:val="03336870"/>
    <w:rsid w:val="03A314B8"/>
    <w:rsid w:val="03D82B98"/>
    <w:rsid w:val="03E35B33"/>
    <w:rsid w:val="03F83E8B"/>
    <w:rsid w:val="041F1AC3"/>
    <w:rsid w:val="04940161"/>
    <w:rsid w:val="04DA26EF"/>
    <w:rsid w:val="04E77F9C"/>
    <w:rsid w:val="04E80EFE"/>
    <w:rsid w:val="04FD4606"/>
    <w:rsid w:val="05EF5DBD"/>
    <w:rsid w:val="061A6258"/>
    <w:rsid w:val="064150F6"/>
    <w:rsid w:val="06604E4C"/>
    <w:rsid w:val="06C4362D"/>
    <w:rsid w:val="06FA3C4C"/>
    <w:rsid w:val="073C088F"/>
    <w:rsid w:val="07B72767"/>
    <w:rsid w:val="08077E72"/>
    <w:rsid w:val="081D1247"/>
    <w:rsid w:val="08A436D2"/>
    <w:rsid w:val="08E055B3"/>
    <w:rsid w:val="08FF3A70"/>
    <w:rsid w:val="09270E73"/>
    <w:rsid w:val="09BF1F61"/>
    <w:rsid w:val="09CC2AAC"/>
    <w:rsid w:val="09D820EE"/>
    <w:rsid w:val="09EA5159"/>
    <w:rsid w:val="0A2C39C3"/>
    <w:rsid w:val="0A652D3E"/>
    <w:rsid w:val="0A702E51"/>
    <w:rsid w:val="0AD019C3"/>
    <w:rsid w:val="0AEA1189"/>
    <w:rsid w:val="0B121270"/>
    <w:rsid w:val="0B253A7F"/>
    <w:rsid w:val="0B3A48F0"/>
    <w:rsid w:val="0B460A68"/>
    <w:rsid w:val="0BF05051"/>
    <w:rsid w:val="0C1110C3"/>
    <w:rsid w:val="0C180AA3"/>
    <w:rsid w:val="0C92213C"/>
    <w:rsid w:val="0CFF1463"/>
    <w:rsid w:val="0D406A75"/>
    <w:rsid w:val="0D4C1C87"/>
    <w:rsid w:val="0D4F221D"/>
    <w:rsid w:val="0D84032B"/>
    <w:rsid w:val="0DE567E1"/>
    <w:rsid w:val="0DF74A95"/>
    <w:rsid w:val="0E372769"/>
    <w:rsid w:val="0E4A266A"/>
    <w:rsid w:val="0ED317E0"/>
    <w:rsid w:val="0EE20AF5"/>
    <w:rsid w:val="0EF949F7"/>
    <w:rsid w:val="0F0A0484"/>
    <w:rsid w:val="0FCA5D27"/>
    <w:rsid w:val="104F21BA"/>
    <w:rsid w:val="1056134B"/>
    <w:rsid w:val="10A27F31"/>
    <w:rsid w:val="10CA487C"/>
    <w:rsid w:val="11595733"/>
    <w:rsid w:val="11927058"/>
    <w:rsid w:val="11B81FE1"/>
    <w:rsid w:val="12151ECE"/>
    <w:rsid w:val="126537F7"/>
    <w:rsid w:val="12A56A4D"/>
    <w:rsid w:val="12AE7980"/>
    <w:rsid w:val="132876B5"/>
    <w:rsid w:val="1333127D"/>
    <w:rsid w:val="13410705"/>
    <w:rsid w:val="13AF4F03"/>
    <w:rsid w:val="1441006B"/>
    <w:rsid w:val="14736E66"/>
    <w:rsid w:val="149B6AC2"/>
    <w:rsid w:val="14BB092A"/>
    <w:rsid w:val="15200BF1"/>
    <w:rsid w:val="15293653"/>
    <w:rsid w:val="1534169A"/>
    <w:rsid w:val="155362A8"/>
    <w:rsid w:val="15674B8D"/>
    <w:rsid w:val="159B3623"/>
    <w:rsid w:val="15C03E03"/>
    <w:rsid w:val="162A25EB"/>
    <w:rsid w:val="16557DFE"/>
    <w:rsid w:val="16797F90"/>
    <w:rsid w:val="16A50D85"/>
    <w:rsid w:val="16A67991"/>
    <w:rsid w:val="16A80FC1"/>
    <w:rsid w:val="16E86CB4"/>
    <w:rsid w:val="16FD2A55"/>
    <w:rsid w:val="17366761"/>
    <w:rsid w:val="177C01F0"/>
    <w:rsid w:val="178057B9"/>
    <w:rsid w:val="17AD069C"/>
    <w:rsid w:val="17CE6630"/>
    <w:rsid w:val="17F67569"/>
    <w:rsid w:val="186635E9"/>
    <w:rsid w:val="18694035"/>
    <w:rsid w:val="18714C97"/>
    <w:rsid w:val="188D1AB0"/>
    <w:rsid w:val="18D23988"/>
    <w:rsid w:val="18DC30F4"/>
    <w:rsid w:val="19433FF6"/>
    <w:rsid w:val="196802FD"/>
    <w:rsid w:val="196D6140"/>
    <w:rsid w:val="19820BA0"/>
    <w:rsid w:val="19CC1006"/>
    <w:rsid w:val="1A963D4C"/>
    <w:rsid w:val="1AC613EC"/>
    <w:rsid w:val="1ACF4A51"/>
    <w:rsid w:val="1AD75285"/>
    <w:rsid w:val="1AF42B10"/>
    <w:rsid w:val="1AFA16D5"/>
    <w:rsid w:val="1B415D06"/>
    <w:rsid w:val="1B4F19F8"/>
    <w:rsid w:val="1B56121E"/>
    <w:rsid w:val="1BD92184"/>
    <w:rsid w:val="1BE54009"/>
    <w:rsid w:val="1C2A3ADB"/>
    <w:rsid w:val="1C33074E"/>
    <w:rsid w:val="1C4D552D"/>
    <w:rsid w:val="1C5170A2"/>
    <w:rsid w:val="1C782A98"/>
    <w:rsid w:val="1CA73A6A"/>
    <w:rsid w:val="1D3C79E6"/>
    <w:rsid w:val="1D4061A8"/>
    <w:rsid w:val="1DBF4438"/>
    <w:rsid w:val="1DFB5C0D"/>
    <w:rsid w:val="1E9B4F4B"/>
    <w:rsid w:val="1F063325"/>
    <w:rsid w:val="1F070C4C"/>
    <w:rsid w:val="1FBC5DF5"/>
    <w:rsid w:val="1FC55574"/>
    <w:rsid w:val="200603BB"/>
    <w:rsid w:val="20074632"/>
    <w:rsid w:val="20224B8C"/>
    <w:rsid w:val="20FD0BEB"/>
    <w:rsid w:val="20FE3064"/>
    <w:rsid w:val="212A7431"/>
    <w:rsid w:val="215B0355"/>
    <w:rsid w:val="21B83F86"/>
    <w:rsid w:val="21E55E66"/>
    <w:rsid w:val="21FB74DB"/>
    <w:rsid w:val="220654E4"/>
    <w:rsid w:val="221178A8"/>
    <w:rsid w:val="221213CF"/>
    <w:rsid w:val="22327A92"/>
    <w:rsid w:val="224F1BA5"/>
    <w:rsid w:val="22965435"/>
    <w:rsid w:val="22BD6F35"/>
    <w:rsid w:val="22EE7E20"/>
    <w:rsid w:val="22FB35C4"/>
    <w:rsid w:val="231D53A2"/>
    <w:rsid w:val="23A10B26"/>
    <w:rsid w:val="23B7504C"/>
    <w:rsid w:val="23DA1943"/>
    <w:rsid w:val="23DF33FD"/>
    <w:rsid w:val="24571307"/>
    <w:rsid w:val="24BA2984"/>
    <w:rsid w:val="24C137F6"/>
    <w:rsid w:val="25246333"/>
    <w:rsid w:val="25537BFE"/>
    <w:rsid w:val="26446DE3"/>
    <w:rsid w:val="264D165B"/>
    <w:rsid w:val="26606A77"/>
    <w:rsid w:val="267832F8"/>
    <w:rsid w:val="26884F62"/>
    <w:rsid w:val="26AF01F4"/>
    <w:rsid w:val="26C14E5D"/>
    <w:rsid w:val="26D7699F"/>
    <w:rsid w:val="26F72440"/>
    <w:rsid w:val="26FF791D"/>
    <w:rsid w:val="27351694"/>
    <w:rsid w:val="274A5E17"/>
    <w:rsid w:val="27BD6E6E"/>
    <w:rsid w:val="27CC1EEA"/>
    <w:rsid w:val="27DD7C53"/>
    <w:rsid w:val="28131A34"/>
    <w:rsid w:val="2903193C"/>
    <w:rsid w:val="29635681"/>
    <w:rsid w:val="29904AF2"/>
    <w:rsid w:val="29952416"/>
    <w:rsid w:val="29F72FB0"/>
    <w:rsid w:val="2AC61C8E"/>
    <w:rsid w:val="2AE874E1"/>
    <w:rsid w:val="2B09065E"/>
    <w:rsid w:val="2B774624"/>
    <w:rsid w:val="2BC068DD"/>
    <w:rsid w:val="2C041BF6"/>
    <w:rsid w:val="2C5B5FDA"/>
    <w:rsid w:val="2C634425"/>
    <w:rsid w:val="2C707187"/>
    <w:rsid w:val="2C7A72BE"/>
    <w:rsid w:val="2CAD5B1F"/>
    <w:rsid w:val="2CC3566A"/>
    <w:rsid w:val="2CF41CDE"/>
    <w:rsid w:val="2D2C7FD4"/>
    <w:rsid w:val="2D9675D3"/>
    <w:rsid w:val="2DAD5552"/>
    <w:rsid w:val="2E267448"/>
    <w:rsid w:val="2E622E50"/>
    <w:rsid w:val="2EAF6BF3"/>
    <w:rsid w:val="2F06074C"/>
    <w:rsid w:val="2F401D3C"/>
    <w:rsid w:val="2F7B32DE"/>
    <w:rsid w:val="2FA95C88"/>
    <w:rsid w:val="2FD52F8A"/>
    <w:rsid w:val="302E03A6"/>
    <w:rsid w:val="3041370F"/>
    <w:rsid w:val="304C7364"/>
    <w:rsid w:val="31083A05"/>
    <w:rsid w:val="316B62D0"/>
    <w:rsid w:val="31D22092"/>
    <w:rsid w:val="31D24110"/>
    <w:rsid w:val="32453A27"/>
    <w:rsid w:val="3263064A"/>
    <w:rsid w:val="327C7964"/>
    <w:rsid w:val="329C6595"/>
    <w:rsid w:val="32AC0C06"/>
    <w:rsid w:val="32D83446"/>
    <w:rsid w:val="32F52DC5"/>
    <w:rsid w:val="3304474F"/>
    <w:rsid w:val="33242BDA"/>
    <w:rsid w:val="33DD24E7"/>
    <w:rsid w:val="34AD5810"/>
    <w:rsid w:val="34D81ECE"/>
    <w:rsid w:val="35051ABD"/>
    <w:rsid w:val="351039A8"/>
    <w:rsid w:val="3533417C"/>
    <w:rsid w:val="3537750C"/>
    <w:rsid w:val="3537798C"/>
    <w:rsid w:val="353D15FF"/>
    <w:rsid w:val="357F7ED5"/>
    <w:rsid w:val="35C13FC9"/>
    <w:rsid w:val="362C52B9"/>
    <w:rsid w:val="362E58CC"/>
    <w:rsid w:val="362E6D87"/>
    <w:rsid w:val="364257B6"/>
    <w:rsid w:val="36F834D1"/>
    <w:rsid w:val="374264D3"/>
    <w:rsid w:val="37BB4C74"/>
    <w:rsid w:val="37DB7874"/>
    <w:rsid w:val="37E8098A"/>
    <w:rsid w:val="37EA5922"/>
    <w:rsid w:val="38276B93"/>
    <w:rsid w:val="387811D5"/>
    <w:rsid w:val="38A02D03"/>
    <w:rsid w:val="3948628F"/>
    <w:rsid w:val="394B6512"/>
    <w:rsid w:val="39754AB6"/>
    <w:rsid w:val="397C551E"/>
    <w:rsid w:val="3A0B64A7"/>
    <w:rsid w:val="3A192B4E"/>
    <w:rsid w:val="3A5E1C16"/>
    <w:rsid w:val="3ACF78CF"/>
    <w:rsid w:val="3AF74C02"/>
    <w:rsid w:val="3C0059A5"/>
    <w:rsid w:val="3C134E78"/>
    <w:rsid w:val="3C203476"/>
    <w:rsid w:val="3CAD59EE"/>
    <w:rsid w:val="3CF741E2"/>
    <w:rsid w:val="3D25505F"/>
    <w:rsid w:val="3DF6345D"/>
    <w:rsid w:val="3E772758"/>
    <w:rsid w:val="3EC357A9"/>
    <w:rsid w:val="3EC75002"/>
    <w:rsid w:val="3EE13701"/>
    <w:rsid w:val="3F1A4BB3"/>
    <w:rsid w:val="3F736914"/>
    <w:rsid w:val="3FE07E89"/>
    <w:rsid w:val="4006103B"/>
    <w:rsid w:val="400B0ECC"/>
    <w:rsid w:val="400B3BB8"/>
    <w:rsid w:val="40192BA6"/>
    <w:rsid w:val="40CE48A0"/>
    <w:rsid w:val="40D27557"/>
    <w:rsid w:val="41175D07"/>
    <w:rsid w:val="414C3A28"/>
    <w:rsid w:val="42051E29"/>
    <w:rsid w:val="422E5A7A"/>
    <w:rsid w:val="42550A18"/>
    <w:rsid w:val="42D96D28"/>
    <w:rsid w:val="42F473A1"/>
    <w:rsid w:val="4383394D"/>
    <w:rsid w:val="441E62C0"/>
    <w:rsid w:val="44274ACD"/>
    <w:rsid w:val="45192C6B"/>
    <w:rsid w:val="45412BC0"/>
    <w:rsid w:val="45811C7C"/>
    <w:rsid w:val="45E07589"/>
    <w:rsid w:val="46053138"/>
    <w:rsid w:val="468B3EFB"/>
    <w:rsid w:val="470A6193"/>
    <w:rsid w:val="472077BF"/>
    <w:rsid w:val="47647C68"/>
    <w:rsid w:val="47881532"/>
    <w:rsid w:val="47C85A52"/>
    <w:rsid w:val="47DC4F5C"/>
    <w:rsid w:val="48600571"/>
    <w:rsid w:val="48B40671"/>
    <w:rsid w:val="48BC269B"/>
    <w:rsid w:val="48C57A7A"/>
    <w:rsid w:val="48F549A5"/>
    <w:rsid w:val="49012FF6"/>
    <w:rsid w:val="494A1C42"/>
    <w:rsid w:val="495E4B84"/>
    <w:rsid w:val="499B5738"/>
    <w:rsid w:val="499F244D"/>
    <w:rsid w:val="49AB775A"/>
    <w:rsid w:val="49FD2E39"/>
    <w:rsid w:val="4A30406A"/>
    <w:rsid w:val="4A4551BE"/>
    <w:rsid w:val="4A8F58C2"/>
    <w:rsid w:val="4AE31FAF"/>
    <w:rsid w:val="4AEA059F"/>
    <w:rsid w:val="4AF96BC7"/>
    <w:rsid w:val="4B8B15F1"/>
    <w:rsid w:val="4BEB611A"/>
    <w:rsid w:val="4BFB4050"/>
    <w:rsid w:val="4C1D69C6"/>
    <w:rsid w:val="4CC530AB"/>
    <w:rsid w:val="4CDD5B47"/>
    <w:rsid w:val="4CE279AB"/>
    <w:rsid w:val="4CEF36E2"/>
    <w:rsid w:val="4D2C64EF"/>
    <w:rsid w:val="4D3B1120"/>
    <w:rsid w:val="4DEE5E67"/>
    <w:rsid w:val="4E0B112C"/>
    <w:rsid w:val="4EB139B0"/>
    <w:rsid w:val="4F372FFB"/>
    <w:rsid w:val="4F545F86"/>
    <w:rsid w:val="4FA76FA4"/>
    <w:rsid w:val="4FAD422B"/>
    <w:rsid w:val="4FB37368"/>
    <w:rsid w:val="4FE91119"/>
    <w:rsid w:val="50897663"/>
    <w:rsid w:val="50A832FA"/>
    <w:rsid w:val="51145BE4"/>
    <w:rsid w:val="51334936"/>
    <w:rsid w:val="513F391C"/>
    <w:rsid w:val="51564E44"/>
    <w:rsid w:val="51B1208C"/>
    <w:rsid w:val="51F36455"/>
    <w:rsid w:val="52163658"/>
    <w:rsid w:val="522F263C"/>
    <w:rsid w:val="52C10D75"/>
    <w:rsid w:val="535122F8"/>
    <w:rsid w:val="53540B78"/>
    <w:rsid w:val="53590226"/>
    <w:rsid w:val="538D4AFB"/>
    <w:rsid w:val="53BB7ED7"/>
    <w:rsid w:val="54B90FC5"/>
    <w:rsid w:val="54ED0C26"/>
    <w:rsid w:val="550C4BD7"/>
    <w:rsid w:val="55572986"/>
    <w:rsid w:val="55FA3B3C"/>
    <w:rsid w:val="56537644"/>
    <w:rsid w:val="57C5785E"/>
    <w:rsid w:val="57CC7219"/>
    <w:rsid w:val="57D10B79"/>
    <w:rsid w:val="58AD585C"/>
    <w:rsid w:val="58DA3BB7"/>
    <w:rsid w:val="59013DEF"/>
    <w:rsid w:val="590D1600"/>
    <w:rsid w:val="595C385F"/>
    <w:rsid w:val="598C534A"/>
    <w:rsid w:val="599A3CBE"/>
    <w:rsid w:val="599E0EB9"/>
    <w:rsid w:val="59C363FA"/>
    <w:rsid w:val="59DE42A9"/>
    <w:rsid w:val="5A957D93"/>
    <w:rsid w:val="5AFF2CF3"/>
    <w:rsid w:val="5B3760D9"/>
    <w:rsid w:val="5B3A53A5"/>
    <w:rsid w:val="5C5F6B69"/>
    <w:rsid w:val="5CE71D75"/>
    <w:rsid w:val="5D2317D1"/>
    <w:rsid w:val="5D7B7EC0"/>
    <w:rsid w:val="5D986F3B"/>
    <w:rsid w:val="5DBF512A"/>
    <w:rsid w:val="5DE1751A"/>
    <w:rsid w:val="5E325C9F"/>
    <w:rsid w:val="5E5E5C71"/>
    <w:rsid w:val="5E9E38C2"/>
    <w:rsid w:val="5EDB41E5"/>
    <w:rsid w:val="5F80710D"/>
    <w:rsid w:val="606007BB"/>
    <w:rsid w:val="60820545"/>
    <w:rsid w:val="6099242D"/>
    <w:rsid w:val="60A61275"/>
    <w:rsid w:val="60AC7F66"/>
    <w:rsid w:val="61127173"/>
    <w:rsid w:val="618835DC"/>
    <w:rsid w:val="61B745A7"/>
    <w:rsid w:val="61BF10D9"/>
    <w:rsid w:val="61E17E58"/>
    <w:rsid w:val="622540F5"/>
    <w:rsid w:val="629F7BDB"/>
    <w:rsid w:val="62D3168C"/>
    <w:rsid w:val="62E71171"/>
    <w:rsid w:val="630F26B0"/>
    <w:rsid w:val="6347265C"/>
    <w:rsid w:val="63506F50"/>
    <w:rsid w:val="63674FF9"/>
    <w:rsid w:val="63A04400"/>
    <w:rsid w:val="63A31776"/>
    <w:rsid w:val="63AF0C1D"/>
    <w:rsid w:val="63B03E93"/>
    <w:rsid w:val="63D45E8F"/>
    <w:rsid w:val="640C7C21"/>
    <w:rsid w:val="64293DDB"/>
    <w:rsid w:val="64325E65"/>
    <w:rsid w:val="644542AB"/>
    <w:rsid w:val="645A795A"/>
    <w:rsid w:val="64AC380F"/>
    <w:rsid w:val="64BD0096"/>
    <w:rsid w:val="64C77D02"/>
    <w:rsid w:val="64E45EF7"/>
    <w:rsid w:val="650365C1"/>
    <w:rsid w:val="65402374"/>
    <w:rsid w:val="658630FD"/>
    <w:rsid w:val="65B66A7F"/>
    <w:rsid w:val="66A57729"/>
    <w:rsid w:val="66F11035"/>
    <w:rsid w:val="66FF41C7"/>
    <w:rsid w:val="6741321C"/>
    <w:rsid w:val="674C1365"/>
    <w:rsid w:val="677435B2"/>
    <w:rsid w:val="67EF75F1"/>
    <w:rsid w:val="681E70DA"/>
    <w:rsid w:val="688A4CB2"/>
    <w:rsid w:val="6898606E"/>
    <w:rsid w:val="68EB3277"/>
    <w:rsid w:val="68FC5484"/>
    <w:rsid w:val="690704F1"/>
    <w:rsid w:val="69124F16"/>
    <w:rsid w:val="6942646F"/>
    <w:rsid w:val="69676067"/>
    <w:rsid w:val="69B805B7"/>
    <w:rsid w:val="69C64B0E"/>
    <w:rsid w:val="69CD5C14"/>
    <w:rsid w:val="69CF0D33"/>
    <w:rsid w:val="6AB24495"/>
    <w:rsid w:val="6AE415FD"/>
    <w:rsid w:val="6B0647D5"/>
    <w:rsid w:val="6B0C0C4A"/>
    <w:rsid w:val="6B1E4985"/>
    <w:rsid w:val="6B4C4D37"/>
    <w:rsid w:val="6B9946B3"/>
    <w:rsid w:val="6B9C50DD"/>
    <w:rsid w:val="6C563230"/>
    <w:rsid w:val="6CD41192"/>
    <w:rsid w:val="6D1837C6"/>
    <w:rsid w:val="6D344EC4"/>
    <w:rsid w:val="6D793968"/>
    <w:rsid w:val="6DCA7EE3"/>
    <w:rsid w:val="6DE76850"/>
    <w:rsid w:val="6E495403"/>
    <w:rsid w:val="6E4A3066"/>
    <w:rsid w:val="6E8C2E06"/>
    <w:rsid w:val="6E9A1018"/>
    <w:rsid w:val="6EA7004D"/>
    <w:rsid w:val="6EBE0D6F"/>
    <w:rsid w:val="6F0F5283"/>
    <w:rsid w:val="6FB20BD4"/>
    <w:rsid w:val="6FBA59BE"/>
    <w:rsid w:val="701779C5"/>
    <w:rsid w:val="70296B3E"/>
    <w:rsid w:val="70453ABA"/>
    <w:rsid w:val="70474B76"/>
    <w:rsid w:val="705F0732"/>
    <w:rsid w:val="70611204"/>
    <w:rsid w:val="70B52AE8"/>
    <w:rsid w:val="70F740EC"/>
    <w:rsid w:val="7234593E"/>
    <w:rsid w:val="72814495"/>
    <w:rsid w:val="72C93215"/>
    <w:rsid w:val="72EF4CB6"/>
    <w:rsid w:val="72EF6671"/>
    <w:rsid w:val="73EA337E"/>
    <w:rsid w:val="749C1252"/>
    <w:rsid w:val="74FA2C30"/>
    <w:rsid w:val="75227685"/>
    <w:rsid w:val="75545C1D"/>
    <w:rsid w:val="75BF2425"/>
    <w:rsid w:val="75E508D8"/>
    <w:rsid w:val="760616F0"/>
    <w:rsid w:val="76085904"/>
    <w:rsid w:val="76192DEC"/>
    <w:rsid w:val="76724FD8"/>
    <w:rsid w:val="76784489"/>
    <w:rsid w:val="76B35133"/>
    <w:rsid w:val="76BC49EB"/>
    <w:rsid w:val="77000DA2"/>
    <w:rsid w:val="7709405E"/>
    <w:rsid w:val="771A3AA7"/>
    <w:rsid w:val="77BD0A90"/>
    <w:rsid w:val="781E69D1"/>
    <w:rsid w:val="78340059"/>
    <w:rsid w:val="78770683"/>
    <w:rsid w:val="789A7AF7"/>
    <w:rsid w:val="78A11B0D"/>
    <w:rsid w:val="79D12015"/>
    <w:rsid w:val="7A0A656F"/>
    <w:rsid w:val="7ADA077B"/>
    <w:rsid w:val="7ADD0453"/>
    <w:rsid w:val="7AF46346"/>
    <w:rsid w:val="7AF77A7B"/>
    <w:rsid w:val="7B074E04"/>
    <w:rsid w:val="7B0F5EBF"/>
    <w:rsid w:val="7B130FB9"/>
    <w:rsid w:val="7B2A702E"/>
    <w:rsid w:val="7B6427B9"/>
    <w:rsid w:val="7B8823C4"/>
    <w:rsid w:val="7BA75723"/>
    <w:rsid w:val="7BDE0625"/>
    <w:rsid w:val="7BE53972"/>
    <w:rsid w:val="7BF64EDE"/>
    <w:rsid w:val="7C400C1E"/>
    <w:rsid w:val="7C4A30B4"/>
    <w:rsid w:val="7C595D10"/>
    <w:rsid w:val="7C8A0E47"/>
    <w:rsid w:val="7CB8413B"/>
    <w:rsid w:val="7CE544DE"/>
    <w:rsid w:val="7D2B3835"/>
    <w:rsid w:val="7D33555E"/>
    <w:rsid w:val="7D5101F6"/>
    <w:rsid w:val="7D8E26F7"/>
    <w:rsid w:val="7DD11708"/>
    <w:rsid w:val="7DD947E0"/>
    <w:rsid w:val="7E484F9C"/>
    <w:rsid w:val="7E8A1F33"/>
    <w:rsid w:val="7EBC46EA"/>
    <w:rsid w:val="7EC167BD"/>
    <w:rsid w:val="7ED10AB3"/>
    <w:rsid w:val="7EEE67C3"/>
    <w:rsid w:val="7F313C82"/>
    <w:rsid w:val="7F8C1D1C"/>
    <w:rsid w:val="7FF8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9"/>
    <w:pPr>
      <w:keepNext/>
      <w:keepLines/>
      <w:spacing w:before="260" w:after="260" w:line="416" w:lineRule="auto"/>
      <w:outlineLvl w:val="1"/>
    </w:pPr>
    <w:rPr>
      <w:rFonts w:ascii="Cambria" w:hAnsi="Cambria"/>
      <w:b/>
      <w:bCs/>
      <w:sz w:val="32"/>
      <w:szCs w:val="32"/>
    </w:rPr>
  </w:style>
  <w:style w:type="paragraph" w:styleId="5">
    <w:name w:val="heading 4"/>
    <w:basedOn w:val="1"/>
    <w:next w:val="1"/>
    <w:qFormat/>
    <w:uiPriority w:val="9"/>
    <w:pPr>
      <w:keepNext/>
      <w:keepLines/>
      <w:spacing w:line="360" w:lineRule="auto"/>
      <w:outlineLvl w:val="3"/>
    </w:pPr>
    <w:rPr>
      <w:rFonts w:ascii="Arial" w:hAnsi="Arial"/>
      <w:b/>
      <w:bCs/>
      <w:szCs w:val="28"/>
    </w:rPr>
  </w:style>
  <w:style w:type="paragraph" w:styleId="6">
    <w:name w:val="heading 5"/>
    <w:basedOn w:val="1"/>
    <w:next w:val="7"/>
    <w:link w:val="37"/>
    <w:qFormat/>
    <w:uiPriority w:val="9"/>
    <w:pPr>
      <w:keepNext/>
      <w:keepLines/>
      <w:spacing w:before="280" w:after="290" w:line="376" w:lineRule="auto"/>
      <w:outlineLvl w:val="4"/>
    </w:pPr>
    <w:rPr>
      <w:b/>
      <w:bCs/>
      <w:sz w:val="28"/>
      <w:szCs w:val="28"/>
    </w:rPr>
  </w:style>
  <w:style w:type="paragraph" w:styleId="8">
    <w:name w:val="heading 8"/>
    <w:basedOn w:val="1"/>
    <w:next w:val="1"/>
    <w:link w:val="38"/>
    <w:qFormat/>
    <w:uiPriority w:val="9"/>
    <w:pPr>
      <w:keepNext/>
      <w:keepLines/>
      <w:spacing w:before="240" w:after="64" w:line="320" w:lineRule="auto"/>
      <w:outlineLvl w:val="7"/>
    </w:pPr>
    <w:rPr>
      <w:rFonts w:ascii="等线 Light" w:hAnsi="等线 Light" w:eastAsia="等线 Light"/>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adjustRightInd w:val="0"/>
      <w:ind w:left="420" w:right="33"/>
      <w:jc w:val="left"/>
      <w:textAlignment w:val="baseline"/>
    </w:pPr>
    <w:rPr>
      <w:kern w:val="0"/>
      <w:szCs w:val="20"/>
    </w:rPr>
  </w:style>
  <w:style w:type="paragraph" w:styleId="7">
    <w:name w:val="Normal Indent"/>
    <w:basedOn w:val="1"/>
    <w:qFormat/>
    <w:uiPriority w:val="0"/>
    <w:pPr>
      <w:ind w:firstLine="420"/>
    </w:pPr>
    <w:rPr>
      <w:szCs w:val="20"/>
    </w:rPr>
  </w:style>
  <w:style w:type="paragraph" w:styleId="9">
    <w:name w:val="table of authorities"/>
    <w:basedOn w:val="1"/>
    <w:next w:val="1"/>
    <w:unhideWhenUsed/>
    <w:qFormat/>
    <w:uiPriority w:val="99"/>
    <w:pPr>
      <w:ind w:left="420" w:leftChars="200"/>
    </w:pPr>
  </w:style>
  <w:style w:type="paragraph" w:styleId="10">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1">
    <w:name w:val="annotation text"/>
    <w:basedOn w:val="1"/>
    <w:link w:val="39"/>
    <w:qFormat/>
    <w:uiPriority w:val="99"/>
    <w:pPr>
      <w:jc w:val="left"/>
    </w:pPr>
  </w:style>
  <w:style w:type="paragraph" w:styleId="12">
    <w:name w:val="Body Text 3"/>
    <w:basedOn w:val="1"/>
    <w:link w:val="40"/>
    <w:unhideWhenUsed/>
    <w:qFormat/>
    <w:uiPriority w:val="99"/>
    <w:pPr>
      <w:spacing w:after="120"/>
    </w:pPr>
    <w:rPr>
      <w:sz w:val="16"/>
      <w:szCs w:val="16"/>
    </w:rPr>
  </w:style>
  <w:style w:type="paragraph" w:styleId="13">
    <w:name w:val="Body Text"/>
    <w:basedOn w:val="1"/>
    <w:next w:val="1"/>
    <w:link w:val="41"/>
    <w:unhideWhenUsed/>
    <w:qFormat/>
    <w:uiPriority w:val="0"/>
    <w:pPr>
      <w:spacing w:after="120"/>
    </w:pPr>
  </w:style>
  <w:style w:type="paragraph" w:styleId="14">
    <w:name w:val="Body Text Indent"/>
    <w:basedOn w:val="1"/>
    <w:link w:val="42"/>
    <w:qFormat/>
    <w:uiPriority w:val="0"/>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Plain Text"/>
    <w:basedOn w:val="1"/>
    <w:next w:val="5"/>
    <w:link w:val="43"/>
    <w:qFormat/>
    <w:uiPriority w:val="0"/>
    <w:rPr>
      <w:rFonts w:ascii="宋体" w:hAnsi="Courier New"/>
      <w:kern w:val="0"/>
      <w:sz w:val="20"/>
      <w:szCs w:val="21"/>
    </w:rPr>
  </w:style>
  <w:style w:type="paragraph" w:styleId="17">
    <w:name w:val="Date"/>
    <w:basedOn w:val="1"/>
    <w:next w:val="1"/>
    <w:link w:val="44"/>
    <w:unhideWhenUsed/>
    <w:qFormat/>
    <w:uiPriority w:val="99"/>
    <w:pPr>
      <w:ind w:left="100" w:leftChars="2500"/>
    </w:pPr>
  </w:style>
  <w:style w:type="paragraph" w:styleId="18">
    <w:name w:val="Balloon Text"/>
    <w:basedOn w:val="1"/>
    <w:link w:val="45"/>
    <w:semiHidden/>
    <w:qFormat/>
    <w:uiPriority w:val="0"/>
    <w:rPr>
      <w:sz w:val="18"/>
      <w:szCs w:val="18"/>
    </w:rPr>
  </w:style>
  <w:style w:type="paragraph" w:styleId="19">
    <w:name w:val="footer"/>
    <w:basedOn w:val="1"/>
    <w:next w:val="1"/>
    <w:link w:val="46"/>
    <w:unhideWhenUsed/>
    <w:qFormat/>
    <w:uiPriority w:val="99"/>
    <w:pPr>
      <w:tabs>
        <w:tab w:val="center" w:pos="4153"/>
        <w:tab w:val="right" w:pos="8306"/>
      </w:tabs>
      <w:snapToGrid w:val="0"/>
      <w:jc w:val="left"/>
    </w:pPr>
    <w:rPr>
      <w:kern w:val="0"/>
      <w:sz w:val="18"/>
      <w:szCs w:val="18"/>
    </w:rPr>
  </w:style>
  <w:style w:type="paragraph" w:styleId="20">
    <w:name w:val="header"/>
    <w:basedOn w:val="1"/>
    <w:link w:val="4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tabs>
        <w:tab w:val="right" w:leader="dot" w:pos="8296"/>
      </w:tabs>
      <w:ind w:left="420" w:leftChars="200"/>
    </w:pPr>
  </w:style>
  <w:style w:type="paragraph" w:styleId="23">
    <w:name w:val="Normal (Web)"/>
    <w:basedOn w:val="1"/>
    <w:unhideWhenUsed/>
    <w:qFormat/>
    <w:uiPriority w:val="99"/>
    <w:rPr>
      <w:rFonts w:ascii="Calibri" w:hAnsi="Calibri"/>
      <w:kern w:val="0"/>
      <w:sz w:val="24"/>
    </w:rPr>
  </w:style>
  <w:style w:type="paragraph" w:styleId="24">
    <w:name w:val="annotation subject"/>
    <w:basedOn w:val="11"/>
    <w:next w:val="11"/>
    <w:link w:val="48"/>
    <w:qFormat/>
    <w:uiPriority w:val="99"/>
    <w:rPr>
      <w:b/>
      <w:bCs/>
    </w:rPr>
  </w:style>
  <w:style w:type="paragraph" w:styleId="25">
    <w:name w:val="Body Text First Indent 2"/>
    <w:basedOn w:val="14"/>
    <w:link w:val="49"/>
    <w:unhideWhenUsed/>
    <w:qFormat/>
    <w:uiPriority w:val="99"/>
    <w:pPr>
      <w:spacing w:after="120"/>
      <w:ind w:left="420" w:leftChars="200" w:firstLine="420" w:firstLineChars="200"/>
    </w:pPr>
    <w:rPr>
      <w:rFonts w:ascii="Calibri" w:hAnsi="Calibri"/>
      <w:kern w:val="2"/>
      <w:sz w:val="21"/>
      <w:szCs w:val="24"/>
    </w:rPr>
  </w:style>
  <w:style w:type="table" w:styleId="27">
    <w:name w:val="Table Grid"/>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endnote reference"/>
    <w:unhideWhenUsed/>
    <w:qFormat/>
    <w:uiPriority w:val="99"/>
    <w:rPr>
      <w:vertAlign w:val="superscript"/>
    </w:rPr>
  </w:style>
  <w:style w:type="character" w:styleId="30">
    <w:name w:val="page number"/>
    <w:qFormat/>
    <w:uiPriority w:val="0"/>
    <w:rPr>
      <w:rFonts w:ascii="Times New Roman" w:hAnsi="Times New Roman" w:eastAsia="宋体" w:cs="Times New Roman"/>
    </w:rPr>
  </w:style>
  <w:style w:type="character" w:styleId="31">
    <w:name w:val="FollowedHyperlink"/>
    <w:basedOn w:val="28"/>
    <w:unhideWhenUsed/>
    <w:qFormat/>
    <w:uiPriority w:val="0"/>
    <w:rPr>
      <w:color w:val="800080"/>
      <w:u w:val="single"/>
    </w:rPr>
  </w:style>
  <w:style w:type="character" w:styleId="32">
    <w:name w:val="Emphasis"/>
    <w:qFormat/>
    <w:uiPriority w:val="20"/>
    <w:rPr>
      <w:i/>
      <w:iCs/>
    </w:rPr>
  </w:style>
  <w:style w:type="character" w:styleId="33">
    <w:name w:val="Hyperlink"/>
    <w:unhideWhenUsed/>
    <w:qFormat/>
    <w:uiPriority w:val="99"/>
    <w:rPr>
      <w:color w:val="0000FF"/>
      <w:u w:val="single"/>
    </w:rPr>
  </w:style>
  <w:style w:type="character" w:styleId="34">
    <w:name w:val="annotation reference"/>
    <w:qFormat/>
    <w:uiPriority w:val="0"/>
    <w:rPr>
      <w:sz w:val="21"/>
      <w:szCs w:val="21"/>
    </w:rPr>
  </w:style>
  <w:style w:type="character" w:customStyle="1" w:styleId="35">
    <w:name w:val="标题 1 Char"/>
    <w:link w:val="3"/>
    <w:qFormat/>
    <w:uiPriority w:val="9"/>
    <w:rPr>
      <w:b/>
      <w:bCs/>
      <w:kern w:val="44"/>
      <w:sz w:val="44"/>
      <w:szCs w:val="44"/>
    </w:rPr>
  </w:style>
  <w:style w:type="character" w:customStyle="1" w:styleId="36">
    <w:name w:val="标题 2 Char"/>
    <w:link w:val="4"/>
    <w:qFormat/>
    <w:uiPriority w:val="9"/>
    <w:rPr>
      <w:rFonts w:ascii="Cambria" w:hAnsi="Cambria" w:eastAsia="宋体" w:cs="Times New Roman"/>
      <w:b/>
      <w:bCs/>
      <w:kern w:val="2"/>
      <w:sz w:val="32"/>
      <w:szCs w:val="32"/>
    </w:rPr>
  </w:style>
  <w:style w:type="character" w:customStyle="1" w:styleId="37">
    <w:name w:val="标题 5 Char"/>
    <w:link w:val="6"/>
    <w:qFormat/>
    <w:uiPriority w:val="9"/>
    <w:rPr>
      <w:rFonts w:ascii="Times New Roman" w:hAnsi="Times New Roman"/>
      <w:b/>
      <w:bCs/>
      <w:kern w:val="2"/>
      <w:sz w:val="28"/>
      <w:szCs w:val="28"/>
    </w:rPr>
  </w:style>
  <w:style w:type="character" w:customStyle="1" w:styleId="38">
    <w:name w:val="标题 8 Char"/>
    <w:basedOn w:val="28"/>
    <w:link w:val="8"/>
    <w:qFormat/>
    <w:uiPriority w:val="0"/>
    <w:rPr>
      <w:rFonts w:ascii="Cambria" w:hAnsi="Cambria" w:eastAsia="宋体" w:cs="Times New Roman"/>
      <w:kern w:val="2"/>
      <w:sz w:val="24"/>
      <w:szCs w:val="24"/>
    </w:rPr>
  </w:style>
  <w:style w:type="character" w:customStyle="1" w:styleId="39">
    <w:name w:val="批注文字 Char"/>
    <w:link w:val="11"/>
    <w:qFormat/>
    <w:uiPriority w:val="99"/>
    <w:rPr>
      <w:rFonts w:ascii="Times New Roman" w:hAnsi="Times New Roman"/>
      <w:kern w:val="2"/>
      <w:sz w:val="21"/>
      <w:szCs w:val="24"/>
    </w:rPr>
  </w:style>
  <w:style w:type="character" w:customStyle="1" w:styleId="40">
    <w:name w:val="正文文本 3 Char"/>
    <w:link w:val="12"/>
    <w:qFormat/>
    <w:uiPriority w:val="99"/>
    <w:rPr>
      <w:rFonts w:ascii="Times New Roman" w:hAnsi="Times New Roman"/>
      <w:kern w:val="2"/>
      <w:sz w:val="16"/>
      <w:szCs w:val="16"/>
    </w:rPr>
  </w:style>
  <w:style w:type="character" w:customStyle="1" w:styleId="41">
    <w:name w:val="正文文本 Char"/>
    <w:link w:val="13"/>
    <w:qFormat/>
    <w:uiPriority w:val="0"/>
    <w:rPr>
      <w:rFonts w:ascii="Times New Roman" w:hAnsi="Times New Roman"/>
      <w:kern w:val="2"/>
      <w:sz w:val="21"/>
      <w:szCs w:val="24"/>
    </w:rPr>
  </w:style>
  <w:style w:type="character" w:customStyle="1" w:styleId="42">
    <w:name w:val="正文文本缩进 Char"/>
    <w:link w:val="14"/>
    <w:qFormat/>
    <w:uiPriority w:val="0"/>
    <w:rPr>
      <w:rFonts w:ascii="仿宋_GB2312" w:hAnsi="Times New Roman" w:eastAsia="仿宋_GB2312" w:cs="Times New Roman"/>
      <w:sz w:val="32"/>
      <w:szCs w:val="20"/>
    </w:rPr>
  </w:style>
  <w:style w:type="character" w:customStyle="1" w:styleId="43">
    <w:name w:val="纯文本 Char"/>
    <w:link w:val="16"/>
    <w:qFormat/>
    <w:uiPriority w:val="0"/>
    <w:rPr>
      <w:rFonts w:ascii="宋体" w:hAnsi="Courier New" w:eastAsia="宋体" w:cs="Courier New"/>
      <w:szCs w:val="21"/>
    </w:rPr>
  </w:style>
  <w:style w:type="character" w:customStyle="1" w:styleId="44">
    <w:name w:val="日期 Char"/>
    <w:link w:val="17"/>
    <w:qFormat/>
    <w:uiPriority w:val="99"/>
    <w:rPr>
      <w:rFonts w:ascii="Times New Roman" w:hAnsi="Times New Roman"/>
      <w:kern w:val="2"/>
      <w:sz w:val="21"/>
      <w:szCs w:val="24"/>
    </w:rPr>
  </w:style>
  <w:style w:type="character" w:customStyle="1" w:styleId="45">
    <w:name w:val="批注框文本 Char"/>
    <w:basedOn w:val="28"/>
    <w:link w:val="18"/>
    <w:semiHidden/>
    <w:qFormat/>
    <w:uiPriority w:val="0"/>
    <w:rPr>
      <w:kern w:val="2"/>
      <w:sz w:val="18"/>
      <w:szCs w:val="18"/>
    </w:rPr>
  </w:style>
  <w:style w:type="character" w:customStyle="1" w:styleId="46">
    <w:name w:val="页脚 Char1"/>
    <w:link w:val="19"/>
    <w:qFormat/>
    <w:uiPriority w:val="99"/>
    <w:rPr>
      <w:sz w:val="18"/>
      <w:szCs w:val="18"/>
    </w:rPr>
  </w:style>
  <w:style w:type="character" w:customStyle="1" w:styleId="47">
    <w:name w:val="页眉 Char"/>
    <w:link w:val="20"/>
    <w:qFormat/>
    <w:uiPriority w:val="99"/>
    <w:rPr>
      <w:sz w:val="18"/>
      <w:szCs w:val="18"/>
    </w:rPr>
  </w:style>
  <w:style w:type="character" w:customStyle="1" w:styleId="48">
    <w:name w:val="批注主题 Char"/>
    <w:link w:val="24"/>
    <w:qFormat/>
    <w:uiPriority w:val="99"/>
    <w:rPr>
      <w:rFonts w:ascii="Times New Roman" w:hAnsi="Times New Roman"/>
      <w:b/>
      <w:bCs/>
      <w:kern w:val="2"/>
      <w:sz w:val="21"/>
      <w:szCs w:val="24"/>
    </w:rPr>
  </w:style>
  <w:style w:type="character" w:customStyle="1" w:styleId="49">
    <w:name w:val="正文首行缩进 2 Char"/>
    <w:link w:val="25"/>
    <w:qFormat/>
    <w:uiPriority w:val="99"/>
    <w:rPr>
      <w:rFonts w:ascii="Calibri" w:hAnsi="Calibri" w:eastAsia="仿宋_GB2312" w:cs="Times New Roman"/>
      <w:kern w:val="2"/>
      <w:sz w:val="21"/>
      <w:szCs w:val="24"/>
    </w:rPr>
  </w:style>
  <w:style w:type="character" w:customStyle="1" w:styleId="50">
    <w:name w:val="标题 8 Char1"/>
    <w:qFormat/>
    <w:uiPriority w:val="9"/>
    <w:rPr>
      <w:rFonts w:ascii="等线 Light" w:hAnsi="等线 Light" w:eastAsia="等线 Light"/>
      <w:kern w:val="2"/>
      <w:sz w:val="24"/>
      <w:szCs w:val="24"/>
    </w:rPr>
  </w:style>
  <w:style w:type="paragraph" w:customStyle="1" w:styleId="51">
    <w:name w:val="表格文字"/>
    <w:basedOn w:val="1"/>
    <w:qFormat/>
    <w:uiPriority w:val="0"/>
    <w:pPr>
      <w:spacing w:before="25" w:after="25"/>
      <w:jc w:val="left"/>
    </w:pPr>
    <w:rPr>
      <w:bCs/>
      <w:spacing w:val="10"/>
      <w:kern w:val="0"/>
      <w:sz w:val="24"/>
    </w:rPr>
  </w:style>
  <w:style w:type="character" w:customStyle="1" w:styleId="52">
    <w:name w:val="正文文本缩进 字符1"/>
    <w:qFormat/>
    <w:uiPriority w:val="0"/>
    <w:rPr>
      <w:rFonts w:ascii="仿宋_GB2312" w:hAnsi="Times New Roman" w:eastAsia="仿宋_GB2312" w:cs="Times New Roman"/>
      <w:sz w:val="32"/>
      <w:szCs w:val="20"/>
    </w:rPr>
  </w:style>
  <w:style w:type="character" w:customStyle="1" w:styleId="53">
    <w:name w:val="apple-style-span"/>
    <w:qFormat/>
    <w:uiPriority w:val="0"/>
  </w:style>
  <w:style w:type="character" w:customStyle="1" w:styleId="54">
    <w:name w:val="标题 1 字符"/>
    <w:qFormat/>
    <w:uiPriority w:val="9"/>
    <w:rPr>
      <w:b/>
      <w:bCs/>
      <w:kern w:val="44"/>
      <w:sz w:val="44"/>
      <w:szCs w:val="44"/>
    </w:rPr>
  </w:style>
  <w:style w:type="character" w:customStyle="1" w:styleId="55">
    <w:name w:val="textcontents"/>
    <w:qFormat/>
    <w:uiPriority w:val="0"/>
  </w:style>
  <w:style w:type="character" w:customStyle="1" w:styleId="56">
    <w:name w:val="纯文本 字符1"/>
    <w:qFormat/>
    <w:uiPriority w:val="0"/>
    <w:rPr>
      <w:rFonts w:ascii="宋体" w:hAnsi="Courier New"/>
    </w:rPr>
  </w:style>
  <w:style w:type="character" w:customStyle="1" w:styleId="57">
    <w:name w:val="批注文字 字符1"/>
    <w:qFormat/>
    <w:uiPriority w:val="0"/>
    <w:rPr>
      <w:kern w:val="2"/>
      <w:sz w:val="21"/>
      <w:szCs w:val="24"/>
    </w:rPr>
  </w:style>
  <w:style w:type="character" w:customStyle="1" w:styleId="58">
    <w:name w:val="纯文本 字符2"/>
    <w:qFormat/>
    <w:uiPriority w:val="0"/>
    <w:rPr>
      <w:rFonts w:ascii="宋体" w:hAnsi="Courier New" w:eastAsia="宋体" w:cs="Courier New"/>
      <w:szCs w:val="21"/>
    </w:rPr>
  </w:style>
  <w:style w:type="character" w:customStyle="1" w:styleId="59">
    <w:name w:val="页脚 Char"/>
    <w:qFormat/>
    <w:uiPriority w:val="0"/>
    <w:rPr>
      <w:lang w:eastAsia="zh-CN"/>
    </w:rPr>
  </w:style>
  <w:style w:type="paragraph" w:customStyle="1" w:styleId="60">
    <w:name w:val="默认段落字体 Para Char Char Char Char Char Char Char Char Char1 Char Char Char Char"/>
    <w:basedOn w:val="1"/>
    <w:qFormat/>
    <w:uiPriority w:val="0"/>
    <w:rPr>
      <w:rFonts w:ascii="Tahoma" w:hAnsi="Tahoma"/>
      <w:sz w:val="24"/>
      <w:szCs w:val="20"/>
    </w:rPr>
  </w:style>
  <w:style w:type="paragraph" w:customStyle="1" w:styleId="6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2">
    <w:name w:val="List Paragraph"/>
    <w:basedOn w:val="1"/>
    <w:qFormat/>
    <w:uiPriority w:val="34"/>
    <w:pPr>
      <w:ind w:firstLine="420" w:firstLineChars="200"/>
    </w:pPr>
  </w:style>
  <w:style w:type="paragraph" w:customStyle="1" w:styleId="63">
    <w:name w:val="Table Paragraph"/>
    <w:basedOn w:val="1"/>
    <w:qFormat/>
    <w:uiPriority w:val="1"/>
    <w:pPr>
      <w:jc w:val="left"/>
    </w:pPr>
    <w:rPr>
      <w:rFonts w:ascii="Calibri" w:hAnsi="Calibri"/>
      <w:kern w:val="0"/>
      <w:sz w:val="22"/>
      <w:szCs w:val="22"/>
      <w:lang w:eastAsia="en-US"/>
    </w:rPr>
  </w:style>
  <w:style w:type="character" w:customStyle="1" w:styleId="64">
    <w:name w:val="批注文字 Char1"/>
    <w:qFormat/>
    <w:uiPriority w:val="0"/>
    <w:rPr>
      <w:rFonts w:ascii="Times New Roman" w:hAnsi="Times New Roman"/>
      <w:kern w:val="2"/>
      <w:sz w:val="21"/>
      <w:szCs w:val="24"/>
    </w:rPr>
  </w:style>
  <w:style w:type="character" w:customStyle="1" w:styleId="65">
    <w:name w:val="批注文字 字符2"/>
    <w:qFormat/>
    <w:uiPriority w:val="0"/>
    <w:rPr>
      <w:rFonts w:ascii="Times New Roman" w:hAnsi="Times New Roman"/>
      <w:kern w:val="2"/>
      <w:sz w:val="21"/>
      <w:szCs w:val="24"/>
    </w:rPr>
  </w:style>
  <w:style w:type="character" w:customStyle="1" w:styleId="66">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67">
    <w:name w:val="纯文本 Char1"/>
    <w:qFormat/>
    <w:uiPriority w:val="0"/>
    <w:rPr>
      <w:rFonts w:ascii="宋体" w:hAnsi="Courier New" w:eastAsia="宋体" w:cs="Courier New"/>
      <w:szCs w:val="21"/>
    </w:rPr>
  </w:style>
  <w:style w:type="character" w:customStyle="1" w:styleId="68">
    <w:name w:val="批注文字 Char2"/>
    <w:qFormat/>
    <w:uiPriority w:val="0"/>
    <w:rPr>
      <w:rFonts w:ascii="Times New Roman" w:hAnsi="Times New Roman"/>
      <w:kern w:val="2"/>
      <w:sz w:val="21"/>
      <w:szCs w:val="24"/>
    </w:rPr>
  </w:style>
  <w:style w:type="character" w:customStyle="1" w:styleId="69">
    <w:name w:val="正文2 Char Char"/>
    <w:link w:val="70"/>
    <w:qFormat/>
    <w:uiPriority w:val="0"/>
    <w:rPr>
      <w:kern w:val="2"/>
      <w:sz w:val="24"/>
    </w:rPr>
  </w:style>
  <w:style w:type="paragraph" w:customStyle="1" w:styleId="70">
    <w:name w:val="正文2"/>
    <w:basedOn w:val="1"/>
    <w:link w:val="69"/>
    <w:qFormat/>
    <w:uiPriority w:val="0"/>
    <w:pPr>
      <w:adjustRightInd w:val="0"/>
      <w:spacing w:before="156" w:line="360" w:lineRule="auto"/>
      <w:ind w:firstLine="510" w:firstLineChars="200"/>
    </w:pPr>
    <w:rPr>
      <w:sz w:val="24"/>
      <w:szCs w:val="20"/>
    </w:rPr>
  </w:style>
  <w:style w:type="paragraph" w:customStyle="1" w:styleId="71">
    <w:name w:val="列出段落1"/>
    <w:basedOn w:val="1"/>
    <w:qFormat/>
    <w:uiPriority w:val="34"/>
    <w:pPr>
      <w:ind w:firstLine="420" w:firstLineChars="200"/>
    </w:pPr>
    <w:rPr>
      <w:rFonts w:ascii="宋体" w:hAnsi="Courier New"/>
      <w:szCs w:val="20"/>
    </w:rPr>
  </w:style>
  <w:style w:type="character" w:customStyle="1" w:styleId="72">
    <w:name w:val="标题 2 Char1"/>
    <w:qFormat/>
    <w:uiPriority w:val="9"/>
    <w:rPr>
      <w:rFonts w:ascii="Cambria" w:hAnsi="Cambria"/>
      <w:b/>
      <w:bCs/>
      <w:kern w:val="2"/>
      <w:sz w:val="32"/>
      <w:szCs w:val="32"/>
    </w:rPr>
  </w:style>
  <w:style w:type="character" w:customStyle="1" w:styleId="73">
    <w:name w:val="正文文本 Char1"/>
    <w:qFormat/>
    <w:uiPriority w:val="0"/>
    <w:rPr>
      <w:kern w:val="2"/>
      <w:sz w:val="21"/>
      <w:szCs w:val="24"/>
    </w:rPr>
  </w:style>
  <w:style w:type="character" w:customStyle="1" w:styleId="74">
    <w:name w:val="标题 1 字符1"/>
    <w:qFormat/>
    <w:uiPriority w:val="0"/>
    <w:rPr>
      <w:b/>
      <w:bCs/>
      <w:kern w:val="44"/>
      <w:sz w:val="44"/>
      <w:szCs w:val="44"/>
    </w:rPr>
  </w:style>
  <w:style w:type="character" w:customStyle="1" w:styleId="75">
    <w:name w:val="纯文本 字符"/>
    <w:qFormat/>
    <w:uiPriority w:val="0"/>
    <w:rPr>
      <w:rFonts w:ascii="宋体" w:hAnsi="Courier New" w:eastAsia="宋体" w:cs="Courier New"/>
      <w:szCs w:val="21"/>
    </w:rPr>
  </w:style>
  <w:style w:type="character" w:customStyle="1" w:styleId="76">
    <w:name w:val="批注文字 字符"/>
    <w:qFormat/>
    <w:uiPriority w:val="0"/>
    <w:rPr>
      <w:rFonts w:ascii="Times New Roman" w:hAnsi="Times New Roman"/>
      <w:kern w:val="2"/>
      <w:sz w:val="21"/>
      <w:szCs w:val="24"/>
    </w:rPr>
  </w:style>
  <w:style w:type="character" w:customStyle="1" w:styleId="77">
    <w:name w:val="正文文本 字符"/>
    <w:qFormat/>
    <w:uiPriority w:val="0"/>
    <w:rPr>
      <w:rFonts w:ascii="Times New Roman" w:hAnsi="Times New Roman"/>
      <w:kern w:val="2"/>
      <w:sz w:val="21"/>
      <w:szCs w:val="24"/>
    </w:rPr>
  </w:style>
  <w:style w:type="character" w:customStyle="1" w:styleId="78">
    <w:name w:val="NormalCharacter"/>
    <w:qFormat/>
    <w:uiPriority w:val="0"/>
    <w:rPr>
      <w:rFonts w:ascii="Times New Roman" w:hAnsi="Times New Roman" w:eastAsia="宋体"/>
    </w:rPr>
  </w:style>
  <w:style w:type="character" w:customStyle="1" w:styleId="79">
    <w:name w:val="font21"/>
    <w:basedOn w:val="28"/>
    <w:qFormat/>
    <w:uiPriority w:val="0"/>
    <w:rPr>
      <w:rFonts w:hint="eastAsia" w:ascii="宋体" w:hAnsi="宋体" w:eastAsia="宋体" w:cs="宋体"/>
      <w:color w:val="000000"/>
      <w:sz w:val="21"/>
      <w:szCs w:val="21"/>
      <w:u w:val="none"/>
    </w:rPr>
  </w:style>
  <w:style w:type="character" w:customStyle="1" w:styleId="80">
    <w:name w:val="font11"/>
    <w:basedOn w:val="28"/>
    <w:qFormat/>
    <w:uiPriority w:val="0"/>
    <w:rPr>
      <w:rFonts w:hint="eastAsia" w:ascii="宋体" w:hAnsi="宋体" w:eastAsia="宋体" w:cs="宋体"/>
      <w:color w:val="000000"/>
      <w:sz w:val="21"/>
      <w:szCs w:val="21"/>
      <w:u w:val="none"/>
    </w:rPr>
  </w:style>
  <w:style w:type="character" w:customStyle="1" w:styleId="81">
    <w:name w:val="font31"/>
    <w:basedOn w:val="28"/>
    <w:qFormat/>
    <w:uiPriority w:val="0"/>
    <w:rPr>
      <w:rFonts w:hint="default" w:ascii="Times New Roman" w:hAnsi="Times New Roman" w:cs="Times New Roman"/>
      <w:color w:val="000000"/>
      <w:sz w:val="20"/>
      <w:szCs w:val="20"/>
      <w:u w:val="none"/>
    </w:rPr>
  </w:style>
  <w:style w:type="character" w:customStyle="1" w:styleId="82">
    <w:name w:val="font41"/>
    <w:basedOn w:val="28"/>
    <w:qFormat/>
    <w:uiPriority w:val="0"/>
    <w:rPr>
      <w:rFonts w:hint="eastAsia" w:ascii="宋体" w:hAnsi="宋体" w:eastAsia="宋体" w:cs="宋体"/>
      <w:color w:val="000000"/>
      <w:sz w:val="21"/>
      <w:szCs w:val="21"/>
      <w:u w:val="none"/>
    </w:rPr>
  </w:style>
  <w:style w:type="character" w:customStyle="1" w:styleId="83">
    <w:name w:val="font51"/>
    <w:basedOn w:val="28"/>
    <w:qFormat/>
    <w:uiPriority w:val="0"/>
    <w:rPr>
      <w:rFonts w:hint="eastAsia" w:ascii="宋体" w:hAnsi="宋体" w:eastAsia="宋体" w:cs="宋体"/>
      <w:color w:val="000000"/>
      <w:sz w:val="19"/>
      <w:szCs w:val="19"/>
      <w:u w:val="none"/>
    </w:rPr>
  </w:style>
  <w:style w:type="character" w:customStyle="1" w:styleId="84">
    <w:name w:val="font01"/>
    <w:basedOn w:val="28"/>
    <w:qFormat/>
    <w:uiPriority w:val="0"/>
    <w:rPr>
      <w:rFonts w:hint="eastAsia" w:ascii="宋体" w:hAnsi="宋体" w:eastAsia="宋体" w:cs="宋体"/>
      <w:color w:val="000000"/>
      <w:sz w:val="22"/>
      <w:szCs w:val="22"/>
      <w:u w:val="none"/>
    </w:rPr>
  </w:style>
  <w:style w:type="character" w:customStyle="1" w:styleId="85">
    <w:name w:val="font71"/>
    <w:basedOn w:val="28"/>
    <w:qFormat/>
    <w:uiPriority w:val="0"/>
    <w:rPr>
      <w:rFonts w:hint="eastAsia" w:ascii="宋体" w:hAnsi="宋体" w:eastAsia="宋体" w:cs="宋体"/>
      <w:color w:val="000000"/>
      <w:sz w:val="22"/>
      <w:szCs w:val="22"/>
      <w:u w:val="none"/>
    </w:rPr>
  </w:style>
  <w:style w:type="character" w:customStyle="1" w:styleId="86">
    <w:name w:val="font61"/>
    <w:basedOn w:val="28"/>
    <w:qFormat/>
    <w:uiPriority w:val="0"/>
    <w:rPr>
      <w:rFonts w:hint="eastAsia" w:ascii="宋体" w:hAnsi="宋体" w:eastAsia="宋体" w:cs="宋体"/>
      <w:color w:val="000000"/>
      <w:sz w:val="18"/>
      <w:szCs w:val="18"/>
      <w:u w:val="none"/>
    </w:rPr>
  </w:style>
  <w:style w:type="paragraph" w:customStyle="1" w:styleId="8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88">
    <w:name w:val="列表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5DCC97-48A6-4F79-94A3-71735547154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66</Pages>
  <Words>14461</Words>
  <Characters>15601</Characters>
  <Lines>320</Lines>
  <Paragraphs>90</Paragraphs>
  <TotalTime>52</TotalTime>
  <ScaleCrop>false</ScaleCrop>
  <LinksUpToDate>false</LinksUpToDate>
  <CharactersWithSpaces>15803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2025-08-19T04:03:00Z</dcterms:created>
  <dc:creator>唐冰</dc:creator>
  <cp:lastModifiedBy>AUV</cp:lastModifiedBy>
  <cp:lastPrinted>2025-09-05T08:12:00Z</cp:lastPrinted>
  <dcterms:modified xsi:type="dcterms:W3CDTF">2025-09-08T01:46:35Z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83E6240287A24DED947F0C8DB714A12A_13</vt:lpwstr>
  </property>
  <property fmtid="{D5CDD505-2E9C-101B-9397-08002B2CF9AE}" pid="4" name="KSOTemplateDocerSaveRecord">
    <vt:lpwstr>eyJoZGlkIjoiMDUzZDAyOWM5MzNlY2I4YmY0YTYwN2UzYTI0MzgzMTkiLCJ1c2VySWQiOiIzODM0MjA1OTEifQ==</vt:lpwstr>
  </property>
</Properties>
</file>