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82D7F">
      <w:pPr>
        <w:spacing w:line="360" w:lineRule="auto"/>
        <w:jc w:val="center"/>
        <w:rPr>
          <w:rFonts w:ascii="宋体" w:hAnsi="宋体" w:cs="方正小标宋简体"/>
          <w:b/>
          <w:color w:val="auto"/>
          <w:sz w:val="52"/>
          <w:szCs w:val="52"/>
          <w:highlight w:val="none"/>
        </w:rPr>
      </w:pPr>
      <w:r>
        <w:rPr>
          <w:rFonts w:hint="eastAsia" w:ascii="宋体" w:hAnsi="宋体"/>
          <w:b/>
          <w:color w:val="auto"/>
          <w:sz w:val="52"/>
          <w:szCs w:val="52"/>
          <w:highlight w:val="none"/>
        </w:rPr>
        <w:t>云之龙咨询集团有限公司</w:t>
      </w:r>
    </w:p>
    <w:p w14:paraId="1688A9B7">
      <w:pPr>
        <w:spacing w:line="360" w:lineRule="auto"/>
        <w:jc w:val="center"/>
        <w:rPr>
          <w:rFonts w:ascii="宋体" w:hAnsi="宋体" w:cs="方正小标宋简体"/>
          <w:b/>
          <w:color w:val="auto"/>
          <w:sz w:val="44"/>
          <w:szCs w:val="44"/>
          <w:highlight w:val="none"/>
        </w:rPr>
      </w:pPr>
    </w:p>
    <w:p w14:paraId="00DD8A8A">
      <w:pPr>
        <w:pStyle w:val="6"/>
        <w:rPr>
          <w:color w:val="auto"/>
          <w:highlight w:val="none"/>
        </w:rPr>
      </w:pPr>
    </w:p>
    <w:p w14:paraId="002C010A">
      <w:pPr>
        <w:pStyle w:val="6"/>
        <w:rPr>
          <w:color w:val="auto"/>
          <w:highlight w:val="none"/>
        </w:rPr>
      </w:pPr>
    </w:p>
    <w:p w14:paraId="0BCF4FB6">
      <w:pPr>
        <w:pStyle w:val="6"/>
        <w:rPr>
          <w:color w:val="auto"/>
          <w:highlight w:val="none"/>
        </w:rPr>
      </w:pPr>
    </w:p>
    <w:p w14:paraId="5CF300E3">
      <w:pPr>
        <w:snapToGrid w:val="0"/>
        <w:spacing w:before="156" w:beforeLines="50" w:line="360" w:lineRule="auto"/>
        <w:jc w:val="center"/>
        <w:rPr>
          <w:rFonts w:ascii="宋体" w:hAnsi="宋体"/>
          <w:color w:val="auto"/>
          <w:sz w:val="120"/>
          <w:szCs w:val="120"/>
          <w:highlight w:val="none"/>
        </w:rPr>
      </w:pPr>
      <w:r>
        <w:rPr>
          <w:rFonts w:hint="eastAsia" w:ascii="宋体" w:hAnsi="宋体"/>
          <w:color w:val="auto"/>
          <w:sz w:val="120"/>
          <w:szCs w:val="120"/>
          <w:highlight w:val="none"/>
        </w:rPr>
        <w:t>竞争性磋商文件</w:t>
      </w:r>
    </w:p>
    <w:p w14:paraId="020EE22A">
      <w:pPr>
        <w:snapToGrid w:val="0"/>
        <w:spacing w:before="156"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2A948783">
      <w:pPr>
        <w:snapToGrid w:val="0"/>
        <w:spacing w:before="156" w:beforeLines="50" w:line="360" w:lineRule="auto"/>
        <w:jc w:val="center"/>
        <w:rPr>
          <w:rFonts w:ascii="宋体" w:hAnsi="宋体"/>
          <w:b/>
          <w:color w:val="auto"/>
          <w:sz w:val="30"/>
          <w:szCs w:val="72"/>
          <w:highlight w:val="none"/>
        </w:rPr>
      </w:pPr>
    </w:p>
    <w:p w14:paraId="756ED904">
      <w:pPr>
        <w:snapToGrid w:val="0"/>
        <w:spacing w:line="360" w:lineRule="auto"/>
        <w:rPr>
          <w:rFonts w:ascii="宋体" w:hAnsi="宋体"/>
          <w:color w:val="auto"/>
          <w:sz w:val="30"/>
          <w:szCs w:val="72"/>
          <w:highlight w:val="none"/>
        </w:rPr>
      </w:pPr>
    </w:p>
    <w:p w14:paraId="60144B3F">
      <w:pPr>
        <w:pStyle w:val="14"/>
        <w:snapToGrid w:val="0"/>
        <w:spacing w:line="360" w:lineRule="auto"/>
        <w:ind w:left="2403" w:leftChars="284" w:hanging="1807" w:hangingChars="600"/>
        <w:rPr>
          <w:rFonts w:hAnsi="宋体"/>
          <w:b/>
          <w:bCs/>
          <w:color w:val="auto"/>
          <w:sz w:val="30"/>
          <w:szCs w:val="30"/>
          <w:highlight w:val="none"/>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：第22届中国—东盟博览会“人工智能+医保健康”专题展设计搭建服务</w:t>
      </w:r>
    </w:p>
    <w:p w14:paraId="4F680150">
      <w:pPr>
        <w:snapToGrid w:val="0"/>
        <w:spacing w:line="360" w:lineRule="auto"/>
        <w:ind w:firstLine="599" w:firstLineChars="199"/>
        <w:rPr>
          <w:rFonts w:ascii="宋体" w:hAnsi="宋体"/>
          <w:b/>
          <w:bCs/>
          <w:color w:val="auto"/>
          <w:kern w:val="0"/>
          <w:sz w:val="30"/>
          <w:szCs w:val="30"/>
          <w:highlight w:val="none"/>
        </w:rPr>
      </w:pPr>
    </w:p>
    <w:p w14:paraId="6908316C">
      <w:pPr>
        <w:snapToGrid w:val="0"/>
        <w:spacing w:line="360" w:lineRule="auto"/>
        <w:ind w:firstLine="599" w:firstLineChars="199"/>
        <w:rPr>
          <w:rFonts w:ascii="宋体" w:hAnsi="宋体"/>
          <w:b/>
          <w:bCs/>
          <w:color w:val="auto"/>
          <w:kern w:val="0"/>
          <w:sz w:val="30"/>
          <w:szCs w:val="30"/>
          <w:highlight w:val="none"/>
        </w:rPr>
      </w:pPr>
      <w:r>
        <w:rPr>
          <w:rFonts w:hint="eastAsia" w:ascii="宋体" w:hAnsi="宋体"/>
          <w:b/>
          <w:bCs/>
          <w:color w:val="auto"/>
          <w:kern w:val="0"/>
          <w:sz w:val="30"/>
          <w:szCs w:val="30"/>
          <w:highlight w:val="none"/>
        </w:rPr>
        <w:t>项目编号：FCZC2025-C3-99007</w:t>
      </w:r>
      <w:r>
        <w:rPr>
          <w:rFonts w:hint="eastAsia" w:ascii="宋体" w:hAnsi="宋体"/>
          <w:b/>
          <w:bCs/>
          <w:color w:val="auto"/>
          <w:kern w:val="0"/>
          <w:sz w:val="30"/>
          <w:szCs w:val="30"/>
          <w:highlight w:val="none"/>
          <w:lang w:val="en-US" w:eastAsia="zh-CN"/>
        </w:rPr>
        <w:t>4</w:t>
      </w:r>
      <w:r>
        <w:rPr>
          <w:rFonts w:hint="eastAsia" w:ascii="宋体" w:hAnsi="宋体"/>
          <w:b/>
          <w:bCs/>
          <w:color w:val="auto"/>
          <w:kern w:val="0"/>
          <w:sz w:val="30"/>
          <w:szCs w:val="30"/>
          <w:highlight w:val="none"/>
        </w:rPr>
        <w:t>-YZLZ</w:t>
      </w:r>
    </w:p>
    <w:p w14:paraId="4F323A7C">
      <w:pPr>
        <w:snapToGrid w:val="0"/>
        <w:spacing w:line="360" w:lineRule="auto"/>
        <w:ind w:firstLine="1205" w:firstLineChars="400"/>
        <w:jc w:val="center"/>
        <w:rPr>
          <w:rFonts w:ascii="宋体" w:hAnsi="宋体"/>
          <w:b/>
          <w:bCs/>
          <w:color w:val="auto"/>
          <w:kern w:val="0"/>
          <w:sz w:val="30"/>
          <w:szCs w:val="30"/>
          <w:highlight w:val="none"/>
        </w:rPr>
      </w:pPr>
    </w:p>
    <w:p w14:paraId="7B7C2D36">
      <w:pPr>
        <w:pStyle w:val="14"/>
        <w:snapToGrid w:val="0"/>
        <w:spacing w:line="360" w:lineRule="auto"/>
        <w:ind w:firstLine="599" w:firstLineChars="199"/>
        <w:rPr>
          <w:rFonts w:hAnsi="宋体"/>
          <w:b/>
          <w:bCs/>
          <w:color w:val="auto"/>
          <w:sz w:val="30"/>
          <w:szCs w:val="30"/>
          <w:highlight w:val="none"/>
        </w:rPr>
      </w:pPr>
      <w:r>
        <w:rPr>
          <w:rFonts w:hint="eastAsia" w:hAnsi="宋体"/>
          <w:b/>
          <w:bCs/>
          <w:color w:val="auto"/>
          <w:sz w:val="30"/>
          <w:szCs w:val="30"/>
          <w:highlight w:val="none"/>
        </w:rPr>
        <w:t>采 购 人：防城港市医疗保障局</w:t>
      </w:r>
    </w:p>
    <w:p w14:paraId="0D900C3D">
      <w:pPr>
        <w:pStyle w:val="14"/>
        <w:snapToGrid w:val="0"/>
        <w:spacing w:line="360" w:lineRule="auto"/>
        <w:ind w:firstLine="904" w:firstLineChars="300"/>
        <w:jc w:val="center"/>
        <w:rPr>
          <w:rFonts w:hAnsi="宋体"/>
          <w:b/>
          <w:bCs/>
          <w:color w:val="auto"/>
          <w:sz w:val="30"/>
          <w:szCs w:val="30"/>
          <w:highlight w:val="none"/>
        </w:rPr>
      </w:pPr>
    </w:p>
    <w:p w14:paraId="53694600">
      <w:pPr>
        <w:pStyle w:val="14"/>
        <w:snapToGrid w:val="0"/>
        <w:spacing w:line="360" w:lineRule="auto"/>
        <w:ind w:firstLine="599" w:firstLineChars="199"/>
        <w:rPr>
          <w:rFonts w:hAnsi="宋体"/>
          <w:b/>
          <w:bCs/>
          <w:color w:val="auto"/>
          <w:sz w:val="30"/>
          <w:szCs w:val="30"/>
          <w:highlight w:val="none"/>
        </w:rPr>
      </w:pPr>
      <w:r>
        <w:rPr>
          <w:rFonts w:hint="eastAsia" w:hAnsi="宋体"/>
          <w:b/>
          <w:bCs/>
          <w:color w:val="auto"/>
          <w:sz w:val="30"/>
          <w:szCs w:val="30"/>
          <w:highlight w:val="none"/>
        </w:rPr>
        <w:t>采购代理机构：云之龙咨询集团有限公司</w:t>
      </w:r>
    </w:p>
    <w:p w14:paraId="5ADBD706">
      <w:pPr>
        <w:pStyle w:val="14"/>
        <w:snapToGrid w:val="0"/>
        <w:spacing w:line="360" w:lineRule="auto"/>
        <w:ind w:firstLine="1125" w:firstLineChars="393"/>
        <w:rPr>
          <w:rFonts w:hAnsi="宋体"/>
          <w:b/>
          <w:bCs/>
          <w:color w:val="auto"/>
          <w:w w:val="95"/>
          <w:sz w:val="30"/>
          <w:szCs w:val="30"/>
          <w:highlight w:val="none"/>
        </w:rPr>
      </w:pPr>
    </w:p>
    <w:p w14:paraId="572F8EC4">
      <w:pPr>
        <w:pStyle w:val="14"/>
        <w:snapToGrid w:val="0"/>
        <w:spacing w:line="360" w:lineRule="auto"/>
        <w:jc w:val="center"/>
        <w:rPr>
          <w:rFonts w:hAnsi="宋体"/>
          <w:color w:val="auto"/>
          <w:szCs w:val="20"/>
          <w:highlight w:val="none"/>
        </w:rPr>
      </w:pPr>
      <w:r>
        <w:rPr>
          <w:rFonts w:hint="eastAsia" w:hAnsi="宋体"/>
          <w:b/>
          <w:bCs/>
          <w:color w:val="auto"/>
          <w:w w:val="95"/>
          <w:sz w:val="30"/>
          <w:szCs w:val="30"/>
          <w:highlight w:val="none"/>
        </w:rPr>
        <w:t>2025年</w:t>
      </w:r>
      <w:r>
        <w:rPr>
          <w:rFonts w:hint="eastAsia" w:hAnsi="宋体"/>
          <w:b/>
          <w:bCs/>
          <w:color w:val="auto"/>
          <w:w w:val="95"/>
          <w:sz w:val="30"/>
          <w:szCs w:val="30"/>
          <w:highlight w:val="none"/>
          <w:lang w:val="en-US" w:eastAsia="zh-CN"/>
        </w:rPr>
        <w:t>7</w:t>
      </w:r>
      <w:r>
        <w:rPr>
          <w:rFonts w:hint="eastAsia" w:hAnsi="宋体"/>
          <w:b/>
          <w:bCs/>
          <w:color w:val="auto"/>
          <w:w w:val="95"/>
          <w:sz w:val="30"/>
          <w:szCs w:val="30"/>
          <w:highlight w:val="none"/>
        </w:rPr>
        <w:t>月</w:t>
      </w:r>
    </w:p>
    <w:p w14:paraId="6A66AFBE">
      <w:pPr>
        <w:spacing w:line="360" w:lineRule="auto"/>
        <w:jc w:val="center"/>
        <w:rPr>
          <w:rFonts w:ascii="宋体" w:hAnsi="宋体" w:cs="宋体"/>
          <w:b/>
          <w:bCs/>
          <w:color w:val="auto"/>
          <w:kern w:val="0"/>
          <w:sz w:val="32"/>
          <w:szCs w:val="32"/>
          <w:highlight w:val="none"/>
        </w:rPr>
      </w:pPr>
    </w:p>
    <w:p w14:paraId="34267377">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00FBA033">
      <w:pPr>
        <w:spacing w:line="400" w:lineRule="exact"/>
        <w:jc w:val="center"/>
        <w:rPr>
          <w:rFonts w:ascii="宋体" w:hAnsi="宋体"/>
          <w:b/>
          <w:color w:val="auto"/>
          <w:sz w:val="44"/>
          <w:szCs w:val="44"/>
          <w:highlight w:val="none"/>
        </w:rPr>
      </w:pPr>
    </w:p>
    <w:p w14:paraId="4411A7EC">
      <w:pPr>
        <w:pStyle w:val="19"/>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Fonts w:hint="eastAsia" w:ascii="宋体" w:hAnsi="宋体"/>
          <w:b/>
          <w:color w:val="auto"/>
          <w:sz w:val="24"/>
          <w:highlight w:val="none"/>
        </w:rPr>
        <w:t>第一章</w:t>
      </w:r>
      <w:r>
        <w:rPr>
          <w:rFonts w:ascii="宋体" w:hAnsi="宋体"/>
          <w:b/>
          <w:color w:val="auto"/>
          <w:sz w:val="24"/>
          <w:highlight w:val="none"/>
        </w:rPr>
        <w:t xml:space="preserve"> </w:t>
      </w:r>
      <w:r>
        <w:rPr>
          <w:rFonts w:hint="eastAsia" w:ascii="宋体" w:hAnsi="宋体"/>
          <w:b/>
          <w:color w:val="auto"/>
          <w:sz w:val="24"/>
          <w:highlight w:val="none"/>
        </w:rPr>
        <w:t>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11720317">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Fonts w:hint="eastAsia" w:ascii="宋体" w:hAnsi="宋体"/>
          <w:b/>
          <w:color w:val="auto"/>
          <w:sz w:val="24"/>
          <w:highlight w:val="none"/>
        </w:rPr>
        <w:t>第二章</w:t>
      </w:r>
      <w:r>
        <w:rPr>
          <w:rFonts w:ascii="宋体" w:hAnsi="宋体"/>
          <w:b/>
          <w:color w:val="auto"/>
          <w:sz w:val="24"/>
          <w:highlight w:val="none"/>
        </w:rPr>
        <w:t xml:space="preserve"> </w:t>
      </w:r>
      <w:r>
        <w:rPr>
          <w:rFonts w:hint="eastAsia" w:ascii="宋体" w:hAnsi="宋体"/>
          <w:b/>
          <w:color w:val="auto"/>
          <w:sz w:val="24"/>
          <w:highlight w:val="none"/>
        </w:rPr>
        <w:t>供应</w:t>
      </w:r>
      <w:bookmarkStart w:id="0" w:name="_Hlt82161237"/>
      <w:r>
        <w:rPr>
          <w:rFonts w:hint="eastAsia" w:ascii="宋体" w:hAnsi="宋体"/>
          <w:b/>
          <w:color w:val="auto"/>
          <w:sz w:val="24"/>
          <w:highlight w:val="none"/>
        </w:rPr>
        <w:t>商</w:t>
      </w:r>
      <w:bookmarkEnd w:id="0"/>
      <w:r>
        <w:rPr>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2E6AADBD">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Fonts w:hint="eastAsia" w:ascii="宋体" w:hAnsi="宋体"/>
          <w:b/>
          <w:color w:val="auto"/>
          <w:sz w:val="24"/>
          <w:highlight w:val="none"/>
        </w:rPr>
        <w:t>第三章</w:t>
      </w:r>
      <w:r>
        <w:rPr>
          <w:rFonts w:ascii="宋体" w:hAnsi="宋体"/>
          <w:b/>
          <w:color w:val="auto"/>
          <w:sz w:val="24"/>
          <w:highlight w:val="none"/>
        </w:rPr>
        <w:t xml:space="preserve"> </w:t>
      </w:r>
      <w:r>
        <w:rPr>
          <w:rFonts w:hint="eastAsia" w:ascii="宋体" w:hAnsi="宋体"/>
          <w:b/>
          <w:color w:val="auto"/>
          <w:sz w:val="24"/>
          <w:highlight w:val="none"/>
        </w:rPr>
        <w:t>采购需</w:t>
      </w:r>
      <w:bookmarkStart w:id="1" w:name="_Hlt82166940"/>
      <w:r>
        <w:rPr>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20</w:t>
      </w:r>
      <w:r>
        <w:rPr>
          <w:rFonts w:ascii="宋体" w:hAnsi="宋体"/>
          <w:b/>
          <w:color w:val="auto"/>
          <w:sz w:val="24"/>
          <w:highlight w:val="none"/>
        </w:rPr>
        <w:fldChar w:fldCharType="end"/>
      </w:r>
      <w:r>
        <w:rPr>
          <w:rFonts w:ascii="宋体" w:hAnsi="宋体"/>
          <w:b/>
          <w:color w:val="auto"/>
          <w:sz w:val="24"/>
          <w:highlight w:val="none"/>
        </w:rPr>
        <w:fldChar w:fldCharType="end"/>
      </w:r>
    </w:p>
    <w:p w14:paraId="1BA75DF3">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Fonts w:hint="eastAsia" w:ascii="宋体" w:hAnsi="宋体"/>
          <w:b/>
          <w:color w:val="auto"/>
          <w:sz w:val="24"/>
          <w:highlight w:val="none"/>
        </w:rPr>
        <w:t>第四章</w:t>
      </w:r>
      <w:r>
        <w:rPr>
          <w:rFonts w:ascii="宋体" w:hAnsi="宋体"/>
          <w:b/>
          <w:color w:val="auto"/>
          <w:sz w:val="24"/>
          <w:highlight w:val="none"/>
        </w:rPr>
        <w:t xml:space="preserve"> </w:t>
      </w:r>
      <w:r>
        <w:rPr>
          <w:rFonts w:hint="eastAsia" w:ascii="宋体" w:hAnsi="宋体"/>
          <w:b/>
          <w:color w:val="auto"/>
          <w:sz w:val="24"/>
          <w:highlight w:val="none"/>
        </w:rPr>
        <w:t>评审程序、</w:t>
      </w:r>
      <w:bookmarkStart w:id="2" w:name="_Hlt82166000"/>
      <w:r>
        <w:rPr>
          <w:rFonts w:hint="eastAsia" w:ascii="宋体" w:hAnsi="宋体"/>
          <w:b/>
          <w:color w:val="auto"/>
          <w:sz w:val="24"/>
          <w:highlight w:val="none"/>
        </w:rPr>
        <w:t>评</w:t>
      </w:r>
      <w:bookmarkEnd w:id="2"/>
      <w:r>
        <w:rPr>
          <w:rFonts w:hint="eastAsia" w:ascii="宋体" w:hAnsi="宋体"/>
          <w:b/>
          <w:color w:val="auto"/>
          <w:sz w:val="24"/>
          <w:highlight w:val="none"/>
        </w:rPr>
        <w:t>审方法和评审标准</w:t>
      </w:r>
      <w:r>
        <w:rPr>
          <w:rFonts w:ascii="宋体" w:hAnsi="宋体"/>
          <w:b/>
          <w:color w:val="auto"/>
          <w:sz w:val="24"/>
          <w:highlight w:val="none"/>
        </w:rPr>
        <w:tab/>
      </w:r>
      <w:r>
        <w:rPr>
          <w:rFonts w:hint="eastAsia" w:ascii="宋体" w:hAnsi="宋体"/>
          <w:b/>
          <w:color w:val="auto"/>
          <w:sz w:val="24"/>
          <w:highlight w:val="none"/>
        </w:rPr>
        <w:t>2</w:t>
      </w:r>
      <w:r>
        <w:rPr>
          <w:rFonts w:hint="eastAsia" w:ascii="宋体" w:hAnsi="宋体"/>
          <w:b/>
          <w:color w:val="auto"/>
          <w:sz w:val="24"/>
          <w:highlight w:val="none"/>
        </w:rPr>
        <w:fldChar w:fldCharType="end"/>
      </w:r>
      <w:r>
        <w:rPr>
          <w:rFonts w:hint="eastAsia" w:ascii="宋体" w:hAnsi="宋体"/>
          <w:b/>
          <w:color w:val="auto"/>
          <w:sz w:val="24"/>
          <w:highlight w:val="none"/>
        </w:rPr>
        <w:t>3</w:t>
      </w:r>
    </w:p>
    <w:p w14:paraId="0377FDA9">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Fonts w:hint="eastAsia" w:ascii="宋体" w:hAnsi="宋体"/>
          <w:b/>
          <w:color w:val="auto"/>
          <w:sz w:val="24"/>
          <w:highlight w:val="none"/>
        </w:rPr>
        <w:t>第五章</w:t>
      </w:r>
      <w:r>
        <w:rPr>
          <w:rFonts w:ascii="宋体" w:hAnsi="宋体"/>
          <w:b/>
          <w:color w:val="auto"/>
          <w:sz w:val="24"/>
          <w:highlight w:val="none"/>
        </w:rPr>
        <w:t xml:space="preserve"> </w:t>
      </w:r>
      <w:r>
        <w:rPr>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rPr>
        <w:t>31</w:t>
      </w:r>
    </w:p>
    <w:p w14:paraId="622B8876">
      <w:pPr>
        <w:pStyle w:val="19"/>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Fonts w:hint="eastAsia" w:ascii="宋体" w:hAnsi="宋体"/>
          <w:b/>
          <w:color w:val="auto"/>
          <w:sz w:val="24"/>
          <w:highlight w:val="none"/>
        </w:rPr>
        <w:t>第六章</w:t>
      </w:r>
      <w:r>
        <w:rPr>
          <w:rFonts w:ascii="宋体" w:hAnsi="宋体"/>
          <w:b/>
          <w:color w:val="auto"/>
          <w:sz w:val="24"/>
          <w:highlight w:val="none"/>
        </w:rPr>
        <w:t xml:space="preserve"> </w:t>
      </w:r>
      <w:r>
        <w:rPr>
          <w:rFonts w:hint="eastAsia" w:ascii="宋体" w:hAnsi="宋体"/>
          <w:b/>
          <w:color w:val="auto"/>
          <w:sz w:val="24"/>
          <w:highlight w:val="none"/>
        </w:rPr>
        <w:t>合同文本</w:t>
      </w:r>
      <w:r>
        <w:rPr>
          <w:rFonts w:ascii="宋体" w:hAnsi="宋体"/>
          <w:b/>
          <w:color w:val="auto"/>
          <w:sz w:val="24"/>
          <w:highlight w:val="none"/>
        </w:rPr>
        <w:tab/>
      </w:r>
      <w:r>
        <w:rPr>
          <w:rFonts w:hint="eastAsia" w:ascii="宋体" w:hAnsi="宋体"/>
          <w:b/>
          <w:color w:val="auto"/>
          <w:sz w:val="24"/>
          <w:highlight w:val="none"/>
        </w:rPr>
        <w:t>5</w:t>
      </w:r>
      <w:r>
        <w:rPr>
          <w:rFonts w:hint="eastAsia" w:ascii="宋体" w:hAnsi="宋体"/>
          <w:b/>
          <w:color w:val="auto"/>
          <w:sz w:val="24"/>
          <w:highlight w:val="none"/>
        </w:rPr>
        <w:fldChar w:fldCharType="end"/>
      </w:r>
      <w:r>
        <w:rPr>
          <w:rFonts w:hint="eastAsia" w:ascii="宋体" w:hAnsi="宋体"/>
          <w:b/>
          <w:color w:val="auto"/>
          <w:sz w:val="24"/>
          <w:highlight w:val="none"/>
        </w:rPr>
        <w:t>7</w:t>
      </w:r>
    </w:p>
    <w:p w14:paraId="7C860C4D">
      <w:pPr>
        <w:pStyle w:val="2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33FC2B72">
      <w:pPr>
        <w:spacing w:line="400" w:lineRule="exact"/>
        <w:jc w:val="left"/>
        <w:rPr>
          <w:rFonts w:ascii="宋体" w:hAnsi="宋体"/>
          <w:b/>
          <w:color w:val="auto"/>
          <w:sz w:val="32"/>
          <w:szCs w:val="32"/>
          <w:highlight w:val="none"/>
        </w:rPr>
      </w:pPr>
    </w:p>
    <w:p w14:paraId="7A68BE01">
      <w:pPr>
        <w:spacing w:line="400" w:lineRule="exact"/>
        <w:jc w:val="center"/>
        <w:rPr>
          <w:rFonts w:ascii="宋体" w:hAnsi="宋体"/>
          <w:b/>
          <w:color w:val="auto"/>
          <w:sz w:val="32"/>
          <w:szCs w:val="32"/>
          <w:highlight w:val="none"/>
        </w:rPr>
      </w:pPr>
    </w:p>
    <w:p w14:paraId="212F254F">
      <w:pPr>
        <w:spacing w:line="400" w:lineRule="exact"/>
        <w:jc w:val="center"/>
        <w:rPr>
          <w:rFonts w:ascii="宋体" w:hAnsi="宋体"/>
          <w:b/>
          <w:color w:val="auto"/>
          <w:sz w:val="32"/>
          <w:szCs w:val="32"/>
          <w:highlight w:val="none"/>
        </w:rPr>
      </w:pPr>
    </w:p>
    <w:p w14:paraId="24003BC4">
      <w:pPr>
        <w:spacing w:line="400" w:lineRule="exact"/>
        <w:jc w:val="center"/>
        <w:rPr>
          <w:rFonts w:ascii="宋体" w:hAnsi="宋体"/>
          <w:b/>
          <w:color w:val="auto"/>
          <w:sz w:val="32"/>
          <w:szCs w:val="32"/>
          <w:highlight w:val="none"/>
        </w:rPr>
      </w:pPr>
    </w:p>
    <w:p w14:paraId="70E62779">
      <w:pPr>
        <w:spacing w:line="400" w:lineRule="exact"/>
        <w:jc w:val="center"/>
        <w:rPr>
          <w:rFonts w:ascii="宋体" w:hAnsi="宋体"/>
          <w:b/>
          <w:color w:val="auto"/>
          <w:sz w:val="32"/>
          <w:szCs w:val="32"/>
          <w:highlight w:val="none"/>
        </w:rPr>
      </w:pPr>
    </w:p>
    <w:p w14:paraId="470F2F65">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2533431">
      <w:pPr>
        <w:pStyle w:val="2"/>
        <w:spacing w:line="360" w:lineRule="auto"/>
        <w:jc w:val="center"/>
        <w:rPr>
          <w:color w:val="auto"/>
          <w:highlight w:val="none"/>
        </w:rPr>
      </w:pPr>
      <w:bookmarkStart w:id="3" w:name="_Toc74323456"/>
      <w:r>
        <w:rPr>
          <w:rFonts w:hint="eastAsia"/>
          <w:color w:val="auto"/>
          <w:highlight w:val="none"/>
        </w:rPr>
        <w:t>第一章 竞争性磋商公告</w:t>
      </w:r>
      <w:bookmarkEnd w:id="3"/>
    </w:p>
    <w:p w14:paraId="5CD27657">
      <w:pPr>
        <w:jc w:val="center"/>
        <w:rPr>
          <w:rFonts w:ascii="宋体" w:hAnsi="宋体"/>
          <w:b/>
          <w:bCs/>
          <w:color w:val="auto"/>
          <w:sz w:val="32"/>
          <w:szCs w:val="32"/>
          <w:highlight w:val="none"/>
        </w:rPr>
      </w:pPr>
      <w:r>
        <w:rPr>
          <w:rFonts w:hint="eastAsia" w:ascii="宋体" w:hAnsi="宋体"/>
          <w:b/>
          <w:bCs/>
          <w:color w:val="auto"/>
          <w:sz w:val="30"/>
          <w:szCs w:val="30"/>
          <w:highlight w:val="none"/>
        </w:rPr>
        <w:t>防城港市医疗保障局第22届中国—东盟博览会“人工智能+医保健康”专题展设计搭建服务</w:t>
      </w:r>
      <w:r>
        <w:rPr>
          <w:rFonts w:hint="eastAsia" w:ascii="宋体" w:hAnsi="宋体"/>
          <w:b/>
          <w:bCs/>
          <w:color w:val="auto"/>
          <w:sz w:val="32"/>
          <w:szCs w:val="32"/>
          <w:highlight w:val="none"/>
        </w:rPr>
        <w:t>竞争性磋商公告</w:t>
      </w:r>
    </w:p>
    <w:p w14:paraId="7073B5A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7DAE6A9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第22届中国—东盟博览会“人工智能+医保健康”专题展设计搭建服务项目的潜在供应商应在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）获取（下载）竞争性磋商文件，并于2025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日9时30分（北京时间）前提交（上传）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3154BFF">
      <w:pPr>
        <w:ind w:firstLine="354" w:firstLineChars="147"/>
        <w:rPr>
          <w:rFonts w:ascii="黑体" w:hAnsi="黑体" w:eastAsia="黑体"/>
          <w:b/>
          <w:color w:val="auto"/>
          <w:sz w:val="24"/>
          <w:highlight w:val="none"/>
        </w:rPr>
      </w:pPr>
      <w:bookmarkStart w:id="5" w:name="_Toc28359089"/>
      <w:bookmarkStart w:id="6" w:name="_Toc35393629"/>
      <w:bookmarkStart w:id="7" w:name="_Toc71365905"/>
      <w:bookmarkStart w:id="8" w:name="_Toc44229878"/>
      <w:bookmarkStart w:id="9" w:name="_Toc28359012"/>
      <w:bookmarkStart w:id="10" w:name="_Toc35393798"/>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98C53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rPr>
        <w:t>FCZC2025-C3-99007</w:t>
      </w:r>
      <w:r>
        <w:rPr>
          <w:rFonts w:hint="eastAsia" w:ascii="宋体" w:hAnsi="宋体"/>
          <w:bCs/>
          <w:color w:val="auto"/>
          <w:szCs w:val="21"/>
          <w:highlight w:val="none"/>
          <w:lang w:val="en-US" w:eastAsia="zh-CN"/>
        </w:rPr>
        <w:t>4</w:t>
      </w:r>
      <w:r>
        <w:rPr>
          <w:rFonts w:hint="eastAsia" w:ascii="宋体" w:hAnsi="宋体"/>
          <w:bCs/>
          <w:color w:val="auto"/>
          <w:szCs w:val="21"/>
          <w:highlight w:val="none"/>
        </w:rPr>
        <w:t>-YZLZ</w:t>
      </w:r>
    </w:p>
    <w:p w14:paraId="2E13F6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项目名称：第22届中国—东盟博览会“人工智能+医保健康”专题展设计搭建服务</w:t>
      </w:r>
    </w:p>
    <w:p w14:paraId="24A293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38B2F9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预算金额：人民币</w:t>
      </w:r>
      <w:r>
        <w:rPr>
          <w:rFonts w:ascii="宋体" w:hAnsi="宋体"/>
          <w:color w:val="auto"/>
          <w:szCs w:val="21"/>
          <w:highlight w:val="none"/>
        </w:rPr>
        <w:t>壹佰万元整</w:t>
      </w:r>
      <w:r>
        <w:rPr>
          <w:rFonts w:hint="eastAsia" w:ascii="宋体" w:hAnsi="宋体"/>
          <w:color w:val="auto"/>
          <w:szCs w:val="21"/>
          <w:highlight w:val="none"/>
        </w:rPr>
        <w:t>（¥1,000,000.00）</w:t>
      </w:r>
    </w:p>
    <w:p w14:paraId="159F2F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最高限价：同预算</w:t>
      </w:r>
    </w:p>
    <w:p w14:paraId="5F7693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本次采购内容包括中国—东盟区域医药交易（集采）平台成效、“AI+医保服务”展区的展台设计和搭建、展示设备租赁、宣传材料制作、展期服务、会展结束后的展位拆除工作等。初步规划使用室内净地面积约200㎡；支付采购人约200㎡参展展位费，对其他受邀企业参加“AI+医保健康”约889㎡的展位费进行代收代缴管理等。具体详见附件采购需求。</w:t>
      </w:r>
    </w:p>
    <w:p w14:paraId="01DEC56C">
      <w:pPr>
        <w:pStyle w:val="6"/>
        <w:spacing w:line="360" w:lineRule="auto"/>
        <w:rPr>
          <w:color w:val="auto"/>
          <w:highlight w:val="none"/>
        </w:rPr>
      </w:pPr>
      <w:r>
        <w:rPr>
          <w:rFonts w:hint="eastAsia" w:ascii="宋体" w:hAnsi="宋体"/>
          <w:color w:val="auto"/>
          <w:szCs w:val="21"/>
          <w:highlight w:val="none"/>
        </w:rPr>
        <w:t>合同履行期限：</w:t>
      </w:r>
      <w:r>
        <w:rPr>
          <w:rFonts w:hint="eastAsia"/>
          <w:color w:val="auto"/>
          <w:highlight w:val="none"/>
        </w:rPr>
        <w:t>2025年9月15日前完成结构搭建，通过验收交付使用；布展结束后2天内完成展区拆除工作。</w:t>
      </w:r>
    </w:p>
    <w:p w14:paraId="5163E8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本项目不接受联合体竞标。</w:t>
      </w:r>
    </w:p>
    <w:p w14:paraId="0C91620D">
      <w:pPr>
        <w:ind w:firstLine="354" w:firstLineChars="147"/>
        <w:rPr>
          <w:rFonts w:ascii="黑体" w:hAnsi="黑体" w:eastAsia="黑体"/>
          <w:b/>
          <w:color w:val="auto"/>
          <w:sz w:val="24"/>
          <w:highlight w:val="none"/>
        </w:rPr>
      </w:pPr>
      <w:bookmarkStart w:id="11" w:name="_Toc35393799"/>
      <w:bookmarkStart w:id="12" w:name="_Toc44229879"/>
      <w:bookmarkStart w:id="13" w:name="_Toc35393630"/>
      <w:bookmarkStart w:id="14" w:name="_Toc71365906"/>
      <w:bookmarkStart w:id="15" w:name="_Toc28359013"/>
      <w:bookmarkStart w:id="16" w:name="_Toc28359090"/>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7EC982C5">
      <w:pPr>
        <w:spacing w:line="360" w:lineRule="auto"/>
        <w:ind w:firstLine="420" w:firstLineChars="200"/>
        <w:rPr>
          <w:rFonts w:ascii="宋体" w:hAnsi="宋体"/>
          <w:color w:val="auto"/>
          <w:szCs w:val="21"/>
          <w:highlight w:val="none"/>
        </w:rPr>
      </w:pPr>
      <w:bookmarkStart w:id="17" w:name="_Toc35393631"/>
      <w:bookmarkStart w:id="18" w:name="_Toc44229880"/>
      <w:bookmarkStart w:id="19" w:name="_Toc35393800"/>
      <w:bookmarkStart w:id="20" w:name="_Toc28359014"/>
      <w:bookmarkStart w:id="21" w:name="_Toc28359091"/>
      <w:r>
        <w:rPr>
          <w:rFonts w:hint="eastAsia" w:ascii="宋体" w:hAnsi="宋体"/>
          <w:color w:val="auto"/>
          <w:szCs w:val="21"/>
          <w:highlight w:val="none"/>
        </w:rPr>
        <w:t>1.满足《中华人民共和国政府采购法》第二十二条规定；</w:t>
      </w:r>
    </w:p>
    <w:p w14:paraId="747C6CCE">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519A0E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78622F05">
      <w:pPr>
        <w:ind w:firstLine="354" w:firstLineChars="147"/>
        <w:rPr>
          <w:rFonts w:ascii="黑体" w:hAnsi="黑体" w:eastAsia="黑体"/>
          <w:b/>
          <w:color w:val="auto"/>
          <w:sz w:val="24"/>
          <w:highlight w:val="none"/>
        </w:rPr>
      </w:pPr>
      <w:bookmarkStart w:id="22" w:name="_Toc71365907"/>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5E772ECB">
      <w:pPr>
        <w:spacing w:line="360" w:lineRule="auto"/>
        <w:ind w:firstLine="420" w:firstLineChars="200"/>
        <w:rPr>
          <w:rFonts w:ascii="宋体" w:hAnsi="宋体" w:cs="宋体"/>
          <w:bCs/>
          <w:color w:val="auto"/>
          <w:kern w:val="0"/>
          <w:szCs w:val="21"/>
          <w:highlight w:val="none"/>
        </w:rPr>
      </w:pPr>
      <w:bookmarkStart w:id="23" w:name="_Toc35393801"/>
      <w:bookmarkStart w:id="24" w:name="_Toc28359015"/>
      <w:bookmarkStart w:id="25" w:name="_Toc28359092"/>
      <w:bookmarkStart w:id="26" w:name="_Toc35393632"/>
      <w:bookmarkStart w:id="27" w:name="_Toc44229881"/>
      <w:r>
        <w:rPr>
          <w:rFonts w:hint="eastAsia" w:ascii="宋体" w:hAnsi="宋体" w:cs="宋体"/>
          <w:bCs/>
          <w:color w:val="auto"/>
          <w:kern w:val="0"/>
          <w:szCs w:val="21"/>
          <w:highlight w:val="none"/>
        </w:rPr>
        <w:t>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21</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28</w:t>
      </w:r>
      <w:r>
        <w:rPr>
          <w:rFonts w:hint="eastAsia" w:ascii="宋体" w:hAnsi="宋体"/>
          <w:bCs/>
          <w:color w:val="auto"/>
          <w:szCs w:val="21"/>
          <w:highlight w:val="none"/>
        </w:rPr>
        <w:t>日</w:t>
      </w:r>
      <w:r>
        <w:rPr>
          <w:rFonts w:hint="eastAsia" w:ascii="宋体" w:hAnsi="宋体" w:cs="宋体"/>
          <w:bCs/>
          <w:color w:val="auto"/>
          <w:kern w:val="0"/>
          <w:szCs w:val="21"/>
          <w:highlight w:val="none"/>
        </w:rPr>
        <w:t>，每天8时00分至12时00分，15时00分至18时00分（北京时间，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259BF88C">
      <w:pPr>
        <w:spacing w:line="360" w:lineRule="auto"/>
        <w:ind w:firstLine="420" w:firstLineChars="200"/>
        <w:rPr>
          <w:rFonts w:ascii="宋体" w:hAnsi="宋体"/>
          <w:color w:val="auto"/>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E400ED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）-进入“项目采购”应用，在获取采购文件菜单中选择项目，获取竞争性磋商文件。电子响应文件制作需要基于</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获取的竞争性磋商文件编制，通过其他方式获取竞争性磋商文件的，将有可能导致供应商无法在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编制及上传响应文件。</w:t>
      </w:r>
    </w:p>
    <w:p w14:paraId="4CC4C99C">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14:paraId="4178F67E">
      <w:pPr>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129832C3">
      <w:pPr>
        <w:spacing w:line="360" w:lineRule="auto"/>
        <w:ind w:firstLine="420" w:firstLineChars="200"/>
        <w:rPr>
          <w:rFonts w:ascii="宋体" w:hAnsi="宋体" w:cs="宋体"/>
          <w:color w:val="auto"/>
          <w:szCs w:val="21"/>
          <w:highlight w:val="none"/>
        </w:rPr>
      </w:pPr>
      <w:bookmarkStart w:id="29" w:name="_Toc35393802"/>
      <w:bookmarkStart w:id="30" w:name="_Toc28359093"/>
      <w:bookmarkStart w:id="31" w:name="_Toc35393633"/>
      <w:bookmarkStart w:id="32" w:name="_Toc44229882"/>
      <w:bookmarkStart w:id="33" w:name="_Toc28359016"/>
      <w:r>
        <w:rPr>
          <w:rFonts w:hint="eastAsia" w:ascii="宋体" w:hAnsi="宋体"/>
          <w:color w:val="auto"/>
          <w:szCs w:val="21"/>
          <w:highlight w:val="none"/>
        </w:rPr>
        <w:t>截止时间：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日9时30分（北京时间）</w:t>
      </w:r>
    </w:p>
    <w:p w14:paraId="28AFE9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p>
    <w:p w14:paraId="1A9FDB8A">
      <w:pPr>
        <w:ind w:firstLine="354" w:firstLineChars="147"/>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17F5875D">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1</w:t>
      </w:r>
      <w:r>
        <w:rPr>
          <w:rFonts w:hint="eastAsia" w:ascii="宋体" w:hAnsi="宋体"/>
          <w:bCs/>
          <w:color w:val="auto"/>
          <w:szCs w:val="21"/>
          <w:highlight w:val="none"/>
        </w:rPr>
        <w:t>日9时30分（北京时间）后</w:t>
      </w:r>
    </w:p>
    <w:p w14:paraId="1B774A9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color w:val="auto"/>
          <w:szCs w:val="21"/>
          <w:highlight w:val="none"/>
          <w:shd w:val="clear" w:color="auto" w:fill="FFFFFF"/>
        </w:rPr>
        <w:t>广西政府采购云平台政府采购开评标室</w:t>
      </w:r>
      <w:r>
        <w:rPr>
          <w:rFonts w:hint="eastAsia"/>
          <w:color w:val="auto"/>
          <w:szCs w:val="21"/>
          <w:highlight w:val="none"/>
          <w:shd w:val="clear" w:color="auto" w:fill="FFFFFF"/>
          <w:lang w:val="en-US" w:eastAsia="zh-CN"/>
        </w:rPr>
        <w:t>2</w:t>
      </w:r>
    </w:p>
    <w:p w14:paraId="0F95CF0F">
      <w:pPr>
        <w:ind w:firstLine="354" w:firstLineChars="147"/>
        <w:rPr>
          <w:rFonts w:ascii="黑体" w:hAnsi="黑体" w:eastAsia="黑体"/>
          <w:b/>
          <w:color w:val="auto"/>
          <w:sz w:val="24"/>
          <w:highlight w:val="none"/>
        </w:rPr>
      </w:pPr>
      <w:bookmarkStart w:id="35" w:name="_Toc35393803"/>
      <w:bookmarkStart w:id="36" w:name="_Toc28359017"/>
      <w:bookmarkStart w:id="37" w:name="_Toc28359094"/>
      <w:bookmarkStart w:id="38" w:name="_Toc44229883"/>
      <w:bookmarkStart w:id="39" w:name="_Toc71365910"/>
      <w:bookmarkStart w:id="40" w:name="_Toc35393634"/>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5FA9572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35A995A">
      <w:pPr>
        <w:ind w:firstLine="354" w:firstLineChars="147"/>
        <w:rPr>
          <w:rFonts w:ascii="黑体" w:hAnsi="黑体" w:eastAsia="黑体"/>
          <w:b/>
          <w:color w:val="auto"/>
          <w:sz w:val="24"/>
          <w:highlight w:val="none"/>
        </w:rPr>
      </w:pPr>
      <w:bookmarkStart w:id="41" w:name="_Toc44229884"/>
      <w:bookmarkStart w:id="42" w:name="_Toc35393804"/>
      <w:bookmarkStart w:id="43" w:name="_Toc35393635"/>
      <w:bookmarkStart w:id="44" w:name="_Toc71365911"/>
      <w:r>
        <w:rPr>
          <w:rFonts w:hint="eastAsia" w:ascii="黑体" w:hAnsi="黑体" w:eastAsia="黑体"/>
          <w:b/>
          <w:color w:val="auto"/>
          <w:sz w:val="24"/>
          <w:highlight w:val="none"/>
        </w:rPr>
        <w:t>七、其他补充事宜</w:t>
      </w:r>
      <w:bookmarkEnd w:id="41"/>
      <w:bookmarkEnd w:id="42"/>
      <w:bookmarkEnd w:id="43"/>
      <w:bookmarkEnd w:id="44"/>
    </w:p>
    <w:p w14:paraId="1AB3322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网上查询地址：中国政府采购网（http://www.ccgp.gov.cn/）、广西壮族自治区政府采购网（http://www.ccgp-guangxi.gov.cn/）、全国公共资源交易平台（广西·防城港）（http://ggzy.jgswj.gxzf.gov.cn/fcgggzy/）。</w:t>
      </w:r>
    </w:p>
    <w:p w14:paraId="2562286D">
      <w:pPr>
        <w:spacing w:line="360" w:lineRule="auto"/>
        <w:ind w:firstLine="424" w:firstLineChars="202"/>
        <w:rPr>
          <w:rFonts w:ascii="宋体" w:hAnsi="宋体" w:cs="宋体"/>
          <w:color w:val="auto"/>
          <w:kern w:val="0"/>
          <w:szCs w:val="21"/>
          <w:highlight w:val="none"/>
        </w:rPr>
      </w:pPr>
      <w:bookmarkStart w:id="45" w:name="_Hlk37429674"/>
      <w:bookmarkStart w:id="46" w:name="_Toc44229885"/>
      <w:bookmarkStart w:id="47" w:name="_Toc28359018"/>
      <w:bookmarkStart w:id="48" w:name="_Toc28359095"/>
      <w:bookmarkStart w:id="49" w:name="_Toc35393636"/>
      <w:bookmarkStart w:id="50"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39924E59">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031307D9">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65A437AA">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67208C97">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244A7366">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17123981">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C5B3003">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）实行在线电子竞标，供应商应按照本项目竞争性磋商文件和广西政府采购云平台的要求编制、加密后在响应文件递交截止时间前通过网络上传至广西政府采购云平台（加密的电子竞标文件是指后缀名为“jm</w:t>
      </w:r>
      <w:r>
        <w:rPr>
          <w:rFonts w:ascii="宋体" w:hAnsi="宋体"/>
          <w:color w:val="auto"/>
          <w:szCs w:val="21"/>
          <w:highlight w:val="none"/>
        </w:rPr>
        <w:t>bs</w:t>
      </w:r>
      <w:r>
        <w:rPr>
          <w:rFonts w:hint="eastAsia" w:ascii="宋体" w:hAnsi="宋体"/>
          <w:color w:val="auto"/>
          <w:szCs w:val="21"/>
          <w:highlight w:val="none"/>
        </w:rPr>
        <w:t>”的文件），</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w:t>
      </w:r>
      <w:r>
        <w:rPr>
          <w:rFonts w:hint="eastAsia" w:ascii="宋体" w:hAnsi="宋体"/>
          <w:b/>
          <w:color w:val="auto"/>
          <w:szCs w:val="21"/>
          <w:highlight w:val="none"/>
        </w:rPr>
        <w:t>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rFonts w:ascii="宋体" w:hAnsi="宋体"/>
          <w:color w:val="auto"/>
          <w:szCs w:val="21"/>
          <w:highlight w:val="none"/>
        </w:rPr>
        <w:t>政府采购项目电子交易管理操作指南-供应商</w:t>
      </w:r>
      <w:r>
        <w:rPr>
          <w:rFonts w:hint="eastAsia" w:ascii="宋体" w:hAnsi="宋体"/>
          <w:color w:val="auto"/>
          <w:szCs w:val="21"/>
          <w:highlight w:val="none"/>
        </w:rPr>
        <w:t>”查看电子竞标具体操作流程。</w:t>
      </w:r>
    </w:p>
    <w:p w14:paraId="26F96C5F">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竞标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color w:val="auto"/>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2765DBE3">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52C2EF95">
      <w:pPr>
        <w:widowControl/>
        <w:spacing w:line="360" w:lineRule="auto"/>
        <w:ind w:firstLine="525" w:firstLineChars="25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数字证书并使用有效的CA数字证书参与整个竞标活动。2）</w:t>
      </w:r>
      <w:r>
        <w:rPr>
          <w:rFonts w:hint="eastAsia" w:ascii="宋体" w:hAnsi="宋体"/>
          <w:bCs/>
          <w:color w:val="auto"/>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2CB0BB2B">
      <w:pPr>
        <w:widowControl/>
        <w:spacing w:line="360" w:lineRule="auto"/>
        <w:ind w:firstLine="525" w:firstLineChars="250"/>
        <w:jc w:val="left"/>
        <w:rPr>
          <w:rFonts w:ascii="宋体" w:hAnsi="宋体"/>
          <w:bCs/>
          <w:color w:val="auto"/>
          <w:szCs w:val="21"/>
          <w:highlight w:val="none"/>
        </w:rPr>
      </w:pPr>
      <w:r>
        <w:rPr>
          <w:rFonts w:hint="eastAsia" w:ascii="宋体" w:hAnsi="宋体"/>
          <w:bCs/>
          <w:color w:val="auto"/>
          <w:szCs w:val="21"/>
          <w:highlight w:val="none"/>
        </w:rPr>
        <w:t>4.磋商保证金：无。</w:t>
      </w:r>
    </w:p>
    <w:p w14:paraId="713BF362">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5</w:t>
      </w:r>
      <w:r>
        <w:rPr>
          <w:rFonts w:ascii="宋体" w:hAnsi="宋体"/>
          <w:bCs/>
          <w:color w:val="auto"/>
          <w:szCs w:val="21"/>
          <w:highlight w:val="none"/>
        </w:rPr>
        <w:t>.</w:t>
      </w:r>
      <w:r>
        <w:rPr>
          <w:rFonts w:hint="eastAsia" w:ascii="宋体" w:hAnsi="宋体"/>
          <w:bCs/>
          <w:color w:val="auto"/>
          <w:szCs w:val="21"/>
          <w:highlight w:val="none"/>
        </w:rPr>
        <w:t>监督部门</w:t>
      </w:r>
    </w:p>
    <w:p w14:paraId="7411F2EA">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名称：防城港市财政局</w:t>
      </w:r>
    </w:p>
    <w:p w14:paraId="6E55F73A">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电话：0770-6102323</w:t>
      </w:r>
    </w:p>
    <w:p w14:paraId="1829C917">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365F873E">
      <w:pPr>
        <w:spacing w:line="360" w:lineRule="auto"/>
        <w:ind w:firstLine="420" w:firstLineChars="200"/>
        <w:rPr>
          <w:rFonts w:ascii="宋体" w:hAnsi="宋体" w:cs="宋体"/>
          <w:color w:val="auto"/>
          <w:kern w:val="0"/>
          <w:szCs w:val="21"/>
          <w:highlight w:val="none"/>
        </w:rPr>
      </w:pPr>
      <w:bookmarkStart w:id="51" w:name="_Toc28359096"/>
      <w:bookmarkStart w:id="52" w:name="_Toc28359019"/>
      <w:bookmarkStart w:id="53" w:name="_Toc35393806"/>
      <w:bookmarkStart w:id="54" w:name="_Toc35393637"/>
      <w:r>
        <w:rPr>
          <w:rFonts w:hint="eastAsia" w:ascii="宋体" w:hAnsi="宋体" w:cs="宋体"/>
          <w:color w:val="auto"/>
          <w:kern w:val="0"/>
          <w:szCs w:val="21"/>
          <w:highlight w:val="none"/>
        </w:rPr>
        <w:t>1.采购人信息</w:t>
      </w:r>
      <w:bookmarkEnd w:id="51"/>
      <w:bookmarkEnd w:id="52"/>
      <w:bookmarkEnd w:id="53"/>
      <w:bookmarkEnd w:id="54"/>
    </w:p>
    <w:p w14:paraId="15290F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名称：防城港市医疗保障局</w:t>
      </w:r>
    </w:p>
    <w:p w14:paraId="03B469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地址：防城港市防城区金花茶大道(防城港市中级人民法院旁)</w:t>
      </w:r>
    </w:p>
    <w:p w14:paraId="20F66E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联系方式：李聪，0770-2871177</w:t>
      </w:r>
    </w:p>
    <w:p w14:paraId="321E25A8">
      <w:pPr>
        <w:spacing w:line="360" w:lineRule="auto"/>
        <w:ind w:firstLine="420" w:firstLineChars="200"/>
        <w:rPr>
          <w:rFonts w:ascii="宋体" w:hAnsi="宋体" w:cs="宋体"/>
          <w:color w:val="auto"/>
          <w:kern w:val="0"/>
          <w:szCs w:val="21"/>
          <w:highlight w:val="none"/>
        </w:rPr>
      </w:pPr>
      <w:bookmarkStart w:id="55" w:name="_Toc28359097"/>
      <w:bookmarkStart w:id="56" w:name="_Toc35393638"/>
      <w:bookmarkStart w:id="57" w:name="_Toc35393807"/>
      <w:bookmarkStart w:id="58" w:name="_Toc28359020"/>
      <w:r>
        <w:rPr>
          <w:rFonts w:hint="eastAsia" w:ascii="宋体" w:hAnsi="宋体" w:cs="宋体"/>
          <w:color w:val="auto"/>
          <w:kern w:val="0"/>
          <w:szCs w:val="21"/>
          <w:highlight w:val="none"/>
        </w:rPr>
        <w:t>2.采购代理机构信息</w:t>
      </w:r>
      <w:bookmarkEnd w:id="55"/>
      <w:bookmarkEnd w:id="56"/>
      <w:bookmarkEnd w:id="57"/>
      <w:bookmarkEnd w:id="58"/>
    </w:p>
    <w:p w14:paraId="5F340E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名称：云之龙咨询集团有限公司</w:t>
      </w:r>
    </w:p>
    <w:p w14:paraId="3614D7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地址：防城港市港口区桃花湾广场海悦华府一单元12楼1203室</w:t>
      </w:r>
    </w:p>
    <w:p w14:paraId="2E749F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联系方式：0770-2882899</w:t>
      </w:r>
    </w:p>
    <w:p w14:paraId="3EBD22AC">
      <w:pPr>
        <w:spacing w:line="360" w:lineRule="auto"/>
        <w:ind w:firstLine="420" w:firstLineChars="200"/>
        <w:rPr>
          <w:rFonts w:ascii="宋体" w:hAnsi="宋体" w:cs="宋体"/>
          <w:color w:val="auto"/>
          <w:kern w:val="0"/>
          <w:szCs w:val="21"/>
          <w:highlight w:val="none"/>
        </w:rPr>
      </w:pPr>
      <w:bookmarkStart w:id="59" w:name="_Toc28359098"/>
      <w:bookmarkStart w:id="60" w:name="_Toc28359021"/>
      <w:bookmarkStart w:id="61" w:name="_Toc35393808"/>
      <w:bookmarkStart w:id="62"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40A54ECD">
      <w:pPr>
        <w:pStyle w:val="14"/>
        <w:spacing w:line="360" w:lineRule="auto"/>
        <w:ind w:firstLine="420" w:firstLineChars="200"/>
        <w:rPr>
          <w:rFonts w:hAnsi="宋体"/>
          <w:color w:val="auto"/>
          <w:sz w:val="21"/>
          <w:highlight w:val="none"/>
        </w:rPr>
      </w:pPr>
      <w:r>
        <w:rPr>
          <w:rFonts w:hint="eastAsia" w:hAnsi="宋体"/>
          <w:color w:val="auto"/>
          <w:sz w:val="21"/>
          <w:highlight w:val="none"/>
        </w:rPr>
        <w:t>项目联系人：吴小梅、包文杰、陈义廷</w:t>
      </w:r>
    </w:p>
    <w:p w14:paraId="71C75B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电话：0770-2882899</w:t>
      </w:r>
      <w:bookmarkEnd w:id="4"/>
    </w:p>
    <w:p w14:paraId="3B1545F7">
      <w:pPr>
        <w:spacing w:line="360" w:lineRule="auto"/>
        <w:ind w:firstLine="420" w:firstLineChars="200"/>
        <w:rPr>
          <w:rFonts w:ascii="宋体" w:hAnsi="宋体"/>
          <w:color w:val="auto"/>
          <w:szCs w:val="21"/>
          <w:highlight w:val="none"/>
        </w:rPr>
      </w:pPr>
    </w:p>
    <w:p w14:paraId="601622B4">
      <w:pPr>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附件：采购需求</w:t>
      </w:r>
    </w:p>
    <w:p w14:paraId="5BD03259">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采购人：防城港市医疗保障局</w:t>
      </w:r>
    </w:p>
    <w:p w14:paraId="6D6FD6D4">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采购代理机构：云之龙咨询集团有限公司</w:t>
      </w:r>
    </w:p>
    <w:p w14:paraId="644AD88A">
      <w:pPr>
        <w:wordWrap w:val="0"/>
        <w:spacing w:line="360" w:lineRule="auto"/>
        <w:ind w:firstLine="420" w:firstLineChars="200"/>
        <w:jc w:val="right"/>
        <w:rPr>
          <w:rFonts w:ascii="宋体" w:hAnsi="宋体" w:cs="宋体"/>
          <w:color w:val="auto"/>
          <w:kern w:val="0"/>
          <w:szCs w:val="21"/>
          <w:highlight w:val="none"/>
        </w:rPr>
      </w:pP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202</w:t>
      </w:r>
      <w:r>
        <w:rPr>
          <w:rFonts w:hint="eastAsia" w:ascii="宋体" w:hAnsi="宋体" w:cs="宋体"/>
          <w:color w:val="auto"/>
          <w:kern w:val="0"/>
          <w:szCs w:val="21"/>
          <w:highlight w:val="none"/>
        </w:rPr>
        <w:t>5年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日</w:t>
      </w:r>
    </w:p>
    <w:p w14:paraId="549FB73E">
      <w:pPr>
        <w:spacing w:line="400" w:lineRule="exact"/>
        <w:jc w:val="center"/>
        <w:rPr>
          <w:rFonts w:ascii="宋体" w:hAnsi="宋体"/>
          <w:b/>
          <w:color w:val="auto"/>
          <w:sz w:val="32"/>
          <w:szCs w:val="32"/>
          <w:highlight w:val="none"/>
        </w:rPr>
      </w:pPr>
      <w:r>
        <w:rPr>
          <w:rFonts w:ascii="宋体" w:hAnsi="宋体"/>
          <w:color w:val="auto"/>
          <w:sz w:val="32"/>
          <w:szCs w:val="32"/>
          <w:highlight w:val="none"/>
        </w:rPr>
        <w:br w:type="page"/>
      </w:r>
      <w:bookmarkStart w:id="63" w:name="_Toc74323457"/>
      <w:r>
        <w:rPr>
          <w:rFonts w:hint="eastAsia" w:ascii="宋体" w:hAnsi="宋体"/>
          <w:b/>
          <w:color w:val="auto"/>
          <w:sz w:val="32"/>
          <w:szCs w:val="32"/>
          <w:highlight w:val="none"/>
        </w:rPr>
        <w:t>第二章 供应商须知</w:t>
      </w:r>
      <w:bookmarkEnd w:id="63"/>
    </w:p>
    <w:p w14:paraId="4CE43394">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84625A9">
      <w:pPr>
        <w:spacing w:line="400" w:lineRule="exact"/>
        <w:jc w:val="center"/>
        <w:rPr>
          <w:rFonts w:ascii="宋体" w:hAnsi="宋体"/>
          <w:b/>
          <w:color w:val="auto"/>
          <w:sz w:val="32"/>
          <w:szCs w:val="32"/>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912"/>
      </w:tblGrid>
      <w:tr w14:paraId="1F3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top"/>
          </w:tcPr>
          <w:p w14:paraId="29B471E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2EF6E76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47A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0DC74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3EC5E3DF">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2D56BA6B">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DF0FA44">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59F639">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219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3380EF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5073BDE2">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756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4B5107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5B434FF2">
            <w:pPr>
              <w:pStyle w:val="9"/>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tc>
      </w:tr>
      <w:tr w14:paraId="7ED7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243B12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6393521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0091C63">
            <w:pPr>
              <w:pStyle w:val="9"/>
              <w:spacing w:line="360" w:lineRule="auto"/>
              <w:rPr>
                <w:rFonts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1.供应商为法人或者其他组织的提供其营业执照等证明文件（如营业执照或者事业单位法人证书或者执业许可证或者登记证书等）；（</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49F52C42">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2.竞标人根据防财监〔2023〕58号文要求提供的《防城港市政府采购供应商信用承诺函》（格式附后）</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6B145C5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DB20B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06C2C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5.除磋商文件规定必须提供以外，供应商认为需要提供的其他证明材料；</w:t>
            </w:r>
          </w:p>
          <w:p w14:paraId="77BDAAD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313FEA0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199A8B2E">
            <w:pPr>
              <w:pStyle w:val="6"/>
              <w:rPr>
                <w:color w:val="auto"/>
                <w:highlight w:val="none"/>
              </w:rPr>
            </w:pPr>
            <w:r>
              <w:rPr>
                <w:rFonts w:hint="eastAsia" w:ascii="宋体" w:hAnsi="宋体" w:cs="宋体"/>
                <w:b/>
                <w:color w:val="auto"/>
                <w:szCs w:val="21"/>
                <w:highlight w:val="none"/>
              </w:rPr>
              <w:t>2.分公司参加竞标的，应当取得总公司授权，无授权的则作无效竞标处理。</w:t>
            </w:r>
          </w:p>
        </w:tc>
      </w:tr>
      <w:tr w14:paraId="2AAC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73F246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383EF935">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72939CA2">
            <w:pPr>
              <w:numPr>
                <w:ilvl w:val="0"/>
                <w:numId w:val="1"/>
              </w:numPr>
              <w:spacing w:line="360" w:lineRule="auto"/>
              <w:rPr>
                <w:rFonts w:ascii="宋体" w:hAnsi="宋体" w:cs="宋体"/>
                <w:color w:val="auto"/>
                <w:szCs w:val="21"/>
                <w:highlight w:val="none"/>
              </w:rPr>
            </w:pP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D0B3654">
            <w:pPr>
              <w:numPr>
                <w:ilvl w:val="0"/>
                <w:numId w:val="1"/>
              </w:numPr>
              <w:spacing w:line="360" w:lineRule="auto"/>
              <w:rPr>
                <w:rFonts w:ascii="宋体" w:hAnsi="宋体" w:cs="宋体"/>
                <w:color w:val="auto"/>
                <w:szCs w:val="21"/>
                <w:highlight w:val="none"/>
              </w:rPr>
            </w:pPr>
            <w:r>
              <w:rPr>
                <w:rFonts w:hint="eastAsia"/>
                <w:color w:val="auto"/>
                <w:highlight w:val="none"/>
              </w:rPr>
              <w:t>供应商的《中小企业声明函》或《残疾人福利性单位声明函》或属于监狱企业的证明文件；</w:t>
            </w:r>
            <w:r>
              <w:rPr>
                <w:rFonts w:hint="eastAsia" w:ascii="宋体" w:hAnsi="宋体" w:cs="宋体"/>
                <w:color w:val="auto"/>
                <w:szCs w:val="21"/>
                <w:highlight w:val="none"/>
              </w:rPr>
              <w:t>（格式后附）；（如有请提供，如未提供则不对供应商的磋商报价进行政策性扣减）</w:t>
            </w:r>
          </w:p>
          <w:p w14:paraId="28CB6282">
            <w:pPr>
              <w:spacing w:line="360" w:lineRule="auto"/>
              <w:rPr>
                <w:rFonts w:ascii="宋体" w:hAnsi="宋体" w:cs="宋体"/>
                <w:color w:val="auto"/>
                <w:szCs w:val="21"/>
                <w:highlight w:val="none"/>
              </w:rPr>
            </w:pPr>
            <w:r>
              <w:rPr>
                <w:rFonts w:hint="eastAsia" w:ascii="宋体" w:hAnsi="宋体" w:cs="宋体"/>
                <w:color w:val="auto"/>
                <w:szCs w:val="21"/>
                <w:highlight w:val="none"/>
              </w:rPr>
              <w:t>3.供应商认为需要提供的其他有关资料。</w:t>
            </w:r>
          </w:p>
        </w:tc>
      </w:tr>
      <w:tr w14:paraId="492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648580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32D3EA8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8BF7BA4">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895A0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B345714">
            <w:pPr>
              <w:spacing w:line="360" w:lineRule="auto"/>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EEE0B59">
            <w:pPr>
              <w:spacing w:line="360" w:lineRule="auto"/>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900F503">
            <w:pPr>
              <w:pStyle w:val="6"/>
              <w:spacing w:line="360" w:lineRule="auto"/>
              <w:ind w:firstLine="0"/>
              <w:rPr>
                <w:rFonts w:ascii="宋体" w:hAnsi="宋体" w:cs="宋体"/>
                <w:color w:val="auto"/>
                <w:szCs w:val="21"/>
                <w:highlight w:val="none"/>
              </w:rPr>
            </w:pPr>
            <w:r>
              <w:rPr>
                <w:rFonts w:hint="eastAsia" w:ascii="宋体" w:hAnsi="宋体"/>
                <w:color w:val="auto"/>
                <w:szCs w:val="21"/>
                <w:highlight w:val="none"/>
              </w:rPr>
              <w:t>5.代理服务费承诺书（格式后附）；</w:t>
            </w:r>
            <w:r>
              <w:rPr>
                <w:rFonts w:hint="eastAsia" w:ascii="宋体" w:hAnsi="宋体" w:cs="宋体"/>
                <w:color w:val="auto"/>
                <w:szCs w:val="21"/>
                <w:highlight w:val="none"/>
              </w:rPr>
              <w:t xml:space="preserve"> </w:t>
            </w:r>
          </w:p>
          <w:p w14:paraId="323623C2">
            <w:pPr>
              <w:pStyle w:val="6"/>
              <w:spacing w:line="360" w:lineRule="auto"/>
              <w:ind w:firstLine="0"/>
              <w:rPr>
                <w:b/>
                <w:color w:val="auto"/>
                <w:highlight w:val="none"/>
              </w:rPr>
            </w:pPr>
            <w:r>
              <w:rPr>
                <w:rFonts w:hint="eastAsia" w:ascii="宋体" w:hAnsi="宋体" w:cs="宋体"/>
                <w:color w:val="auto"/>
                <w:szCs w:val="21"/>
                <w:highlight w:val="none"/>
              </w:rPr>
              <w:t>6.</w:t>
            </w:r>
            <w:r>
              <w:rPr>
                <w:rFonts w:hint="eastAsia" w:ascii="宋体" w:hAnsi="宋体"/>
                <w:color w:val="auto"/>
                <w:szCs w:val="21"/>
                <w:highlight w:val="none"/>
              </w:rPr>
              <w:t>技术要求偏离表（格式后附）；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611C49">
            <w:pPr>
              <w:spacing w:line="360" w:lineRule="auto"/>
              <w:rPr>
                <w:rFonts w:ascii="宋体" w:hAnsi="宋体" w:cs="宋体"/>
                <w:color w:val="auto"/>
                <w:szCs w:val="21"/>
                <w:highlight w:val="none"/>
              </w:rPr>
            </w:pPr>
            <w:r>
              <w:rPr>
                <w:rFonts w:hint="eastAsia" w:ascii="宋体" w:hAnsi="宋体" w:cs="宋体"/>
                <w:color w:val="auto"/>
                <w:szCs w:val="21"/>
                <w:highlight w:val="none"/>
              </w:rPr>
              <w:t>7.技术方案，包括设计方案、实施组织方案、保障措施（格式自拟）；（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C71BE">
            <w:pPr>
              <w:spacing w:line="360" w:lineRule="auto"/>
              <w:rPr>
                <w:rFonts w:ascii="宋体" w:hAnsi="宋体" w:cs="宋体"/>
                <w:color w:val="auto"/>
                <w:szCs w:val="21"/>
                <w:highlight w:val="none"/>
              </w:rPr>
            </w:pPr>
            <w:r>
              <w:rPr>
                <w:rFonts w:hint="eastAsia" w:ascii="宋体" w:hAnsi="宋体" w:cs="宋体"/>
                <w:color w:val="auto"/>
                <w:szCs w:val="21"/>
                <w:highlight w:val="none"/>
              </w:rPr>
              <w:t>8.对应采购需求的技术要求、商务要求提供的其他文件资料（格式自拟）；</w:t>
            </w:r>
          </w:p>
          <w:p w14:paraId="35A55E5F">
            <w:pPr>
              <w:spacing w:line="360" w:lineRule="auto"/>
              <w:rPr>
                <w:rFonts w:ascii="宋体" w:hAnsi="宋体" w:cs="宋体"/>
                <w:color w:val="auto"/>
                <w:szCs w:val="21"/>
                <w:highlight w:val="none"/>
              </w:rPr>
            </w:pPr>
            <w:r>
              <w:rPr>
                <w:rFonts w:hint="eastAsia" w:ascii="宋体" w:hAnsi="宋体" w:cs="宋体"/>
                <w:color w:val="auto"/>
                <w:szCs w:val="21"/>
                <w:highlight w:val="none"/>
              </w:rPr>
              <w:t>9.供应商认为需要提供的其他有关资料。</w:t>
            </w:r>
          </w:p>
          <w:p w14:paraId="578AA7F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FA7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2C7A69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2C157E64">
            <w:pPr>
              <w:spacing w:line="320" w:lineRule="exact"/>
              <w:jc w:val="left"/>
              <w:rPr>
                <w:color w:val="auto"/>
                <w:highlight w:val="none"/>
              </w:rPr>
            </w:pPr>
            <w:r>
              <w:rPr>
                <w:rFonts w:hint="eastAsia"/>
                <w:color w:val="auto"/>
                <w:highlight w:val="none"/>
              </w:rPr>
              <w:t>1.本项目为交钥匙工程，均采用包工包料的形式发包，供应商报价中须包含设备及零配件、备品备件、材料、消耗品、工具的采购和运输（装卸），项目安装、调试、检测、试验及验收、广告宣传费用、配合服务费、人工费、税金、利润、</w:t>
            </w:r>
            <w:r>
              <w:rPr>
                <w:rStyle w:val="29"/>
                <w:rFonts w:hint="eastAsia"/>
                <w:color w:val="auto"/>
                <w:highlight w:val="none"/>
              </w:rPr>
              <w:t>会展结束后的展位拆除工作</w:t>
            </w:r>
            <w:r>
              <w:rPr>
                <w:rFonts w:hint="eastAsia"/>
                <w:color w:val="auto"/>
                <w:highlight w:val="none"/>
              </w:rPr>
              <w:t>、采购人</w:t>
            </w:r>
            <w:r>
              <w:rPr>
                <w:rFonts w:hint="eastAsia"/>
                <w:color w:val="auto"/>
                <w:highlight w:val="none"/>
                <w:lang w:eastAsia="zh-CN"/>
              </w:rPr>
              <w:t>实际使用</w:t>
            </w:r>
            <w:r>
              <w:rPr>
                <w:rFonts w:hint="eastAsia"/>
                <w:color w:val="auto"/>
                <w:highlight w:val="none"/>
              </w:rPr>
              <w:t>展位面积</w:t>
            </w:r>
            <w:r>
              <w:rPr>
                <w:rFonts w:hint="eastAsia"/>
                <w:color w:val="auto"/>
                <w:highlight w:val="none"/>
                <w:lang w:eastAsia="zh-CN"/>
              </w:rPr>
              <w:t>费用</w:t>
            </w:r>
            <w:r>
              <w:rPr>
                <w:rFonts w:hint="eastAsia"/>
                <w:color w:val="auto"/>
                <w:highlight w:val="none"/>
              </w:rPr>
              <w:t>的缴纳以及对其他受邀参展企业使用的参展展位费进行代收</w:t>
            </w:r>
            <w:r>
              <w:rPr>
                <w:rFonts w:hint="eastAsia"/>
                <w:color w:val="auto"/>
                <w:highlight w:val="none"/>
                <w:lang w:eastAsia="zh-CN"/>
              </w:rPr>
              <w:t>代缴</w:t>
            </w:r>
            <w:r>
              <w:rPr>
                <w:rFonts w:hint="eastAsia"/>
                <w:color w:val="auto"/>
                <w:highlight w:val="none"/>
              </w:rPr>
              <w:t>管理、其他所有成本及合同包含的应有的一切费用。</w:t>
            </w:r>
          </w:p>
          <w:p w14:paraId="058121A5">
            <w:pPr>
              <w:spacing w:line="320" w:lineRule="exact"/>
              <w:jc w:val="left"/>
              <w:rPr>
                <w:rFonts w:ascii="宋体" w:hAnsi="宋体"/>
                <w:color w:val="auto"/>
                <w:szCs w:val="21"/>
                <w:highlight w:val="none"/>
              </w:rPr>
            </w:pPr>
            <w:r>
              <w:rPr>
                <w:rFonts w:hint="eastAsia" w:ascii="宋体" w:hAnsi="宋体" w:cs="宋体"/>
                <w:bCs/>
                <w:color w:val="auto"/>
                <w:szCs w:val="21"/>
                <w:highlight w:val="none"/>
              </w:rPr>
              <w:t>2.本项目展位搭建拆除及展位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预算总价为100万元，展位搭建拆除及展位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预算单价为</w:t>
            </w:r>
            <w:r>
              <w:rPr>
                <w:rFonts w:hint="eastAsia"/>
                <w:color w:val="auto"/>
                <w:highlight w:val="none"/>
              </w:rPr>
              <w:t>5000元/㎡（</w:t>
            </w:r>
            <w:r>
              <w:rPr>
                <w:rFonts w:hint="eastAsia"/>
                <w:color w:val="auto"/>
                <w:highlight w:val="none"/>
                <w:lang w:eastAsia="zh-CN"/>
              </w:rPr>
              <w:t>含固定</w:t>
            </w:r>
            <w:r>
              <w:rPr>
                <w:rFonts w:hint="eastAsia"/>
                <w:color w:val="auto"/>
                <w:highlight w:val="none"/>
              </w:rPr>
              <w:t>展位</w:t>
            </w:r>
            <w:r>
              <w:rPr>
                <w:rFonts w:hint="eastAsia"/>
                <w:color w:val="auto"/>
                <w:highlight w:val="none"/>
                <w:lang w:eastAsia="zh-CN"/>
              </w:rPr>
              <w:t>费价格每平米</w:t>
            </w:r>
            <w:r>
              <w:rPr>
                <w:rFonts w:hint="eastAsia"/>
                <w:color w:val="auto"/>
                <w:highlight w:val="none"/>
              </w:rPr>
              <w:t>800元），</w:t>
            </w:r>
            <w:r>
              <w:rPr>
                <w:rFonts w:hint="eastAsia" w:ascii="宋体" w:hAnsi="宋体" w:cs="宋体"/>
                <w:bCs/>
                <w:color w:val="auto"/>
                <w:szCs w:val="21"/>
                <w:highlight w:val="none"/>
              </w:rPr>
              <w:t>供应商须对展位搭建拆除及展位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总价和单价进行报价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如总价报价超过搭建拆除及展位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单价报价超过展位搭建拆除及</w:t>
            </w:r>
            <w:r>
              <w:rPr>
                <w:rFonts w:hint="eastAsia" w:ascii="宋体" w:hAnsi="宋体" w:cs="宋体"/>
                <w:bCs/>
                <w:color w:val="auto"/>
                <w:szCs w:val="21"/>
                <w:highlight w:val="none"/>
                <w:lang w:eastAsia="zh-CN"/>
              </w:rPr>
              <w:t>展位费</w:t>
            </w:r>
            <w:r>
              <w:rPr>
                <w:rFonts w:hint="eastAsia" w:ascii="宋体" w:hAnsi="宋体" w:cs="宋体"/>
                <w:bCs/>
                <w:color w:val="auto"/>
                <w:szCs w:val="21"/>
                <w:highlight w:val="none"/>
              </w:rPr>
              <w:t>预算单价的</w:t>
            </w:r>
            <w:r>
              <w:rPr>
                <w:rFonts w:hint="eastAsia" w:ascii="宋体" w:hAnsi="宋体" w:cs="宋体"/>
                <w:b/>
                <w:color w:val="auto"/>
                <w:szCs w:val="21"/>
                <w:highlight w:val="none"/>
              </w:rPr>
              <w:t>则</w:t>
            </w:r>
            <w:r>
              <w:rPr>
                <w:rFonts w:hint="eastAsia" w:ascii="宋体" w:hAnsi="宋体"/>
                <w:b/>
                <w:color w:val="auto"/>
                <w:szCs w:val="21"/>
                <w:highlight w:val="none"/>
              </w:rPr>
              <w:t>报价无效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本项目根据采购人实际布展面积进行结算，结算金额不得高于成交总金额。合同结算金额=展位搭建拆除及展位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成交单价*采购人实际布展面积。</w:t>
            </w:r>
          </w:p>
        </w:tc>
      </w:tr>
      <w:tr w14:paraId="377B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5E3EAD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7847EF35">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6DC8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388DC2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21C246A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tc>
      </w:tr>
      <w:tr w14:paraId="49B2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34150C0C">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0"/>
            <w:vAlign w:val="center"/>
          </w:tcPr>
          <w:p w14:paraId="68A1C3D2">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1983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427364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51301DB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响应文件提交截止时间：详见竞争性磋商公告</w:t>
            </w:r>
          </w:p>
          <w:p w14:paraId="47CB3A11">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28EC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35636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04732AA1">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71E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1F8873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2CE3033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CAB1F7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rPr>
              <w:t>30分钟</w:t>
            </w:r>
          </w:p>
        </w:tc>
      </w:tr>
      <w:tr w14:paraId="02F8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633196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0"/>
            <w:vAlign w:val="center"/>
          </w:tcPr>
          <w:p w14:paraId="273C5E9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11B6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18C0CD51">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3AABE2E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40AA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2F0BC220">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573DEAA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9654EA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F4A458D">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2548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63711B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79CF1F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5ACC279A">
            <w:pPr>
              <w:pStyle w:val="14"/>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宋体"/>
                <w:color w:val="auto"/>
                <w:kern w:val="2"/>
                <w:sz w:val="21"/>
                <w:highlight w:val="none"/>
                <w:u w:val="single"/>
                <w:lang w:val="en-US" w:eastAsia="zh-CN"/>
              </w:rPr>
              <w:t>云之龙咨询集团有限公司防城港市分公司</w:t>
            </w:r>
            <w:r>
              <w:rPr>
                <w:rFonts w:hint="eastAsia" w:hAnsi="宋体" w:cs="宋体"/>
                <w:color w:val="auto"/>
                <w:kern w:val="2"/>
                <w:sz w:val="21"/>
                <w:highlight w:val="none"/>
                <w:lang w:val="en-US" w:eastAsia="zh-CN"/>
              </w:rPr>
              <w:t>，联系电话：0770-2882899，通讯地址：防城港市港口区桃花湾广场海悦华府一单元12楼1203室）</w:t>
            </w:r>
          </w:p>
          <w:p w14:paraId="7AEE22A7">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业务时间：工作日每天8时00分到12时00分，15时00分到18时00分</w:t>
            </w:r>
            <w:r>
              <w:rPr>
                <w:rFonts w:hint="eastAsia" w:hAnsi="宋体"/>
                <w:color w:val="auto"/>
                <w:highlight w:val="none"/>
              </w:rPr>
              <w:t>。</w:t>
            </w:r>
          </w:p>
        </w:tc>
      </w:tr>
      <w:tr w14:paraId="1162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2F97BD74">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536C5D3C">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1DF50364">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本项目代理服务费由成交供应商领取成交通知书后一次性向采购代理机构支付。</w:t>
            </w:r>
          </w:p>
          <w:p w14:paraId="0E30D548">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52D9CC33">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以成交总金额为计费额，按本须知正文第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条规定的收费计算标准服务类采用差额定率累进法计算收取。</w:t>
            </w:r>
          </w:p>
          <w:p w14:paraId="1C549577">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69A6FF01">
            <w:pPr>
              <w:pStyle w:val="14"/>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账户名称：云之龙咨询集团有限公司防城港分公司</w:t>
            </w:r>
          </w:p>
          <w:p w14:paraId="6E8FDE6A">
            <w:pPr>
              <w:pStyle w:val="14"/>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开户银行：中信银行南宁东葛支行</w:t>
            </w:r>
          </w:p>
          <w:p w14:paraId="60B8623B">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 xml:space="preserve">银行账号：8113001014000157977  </w:t>
            </w:r>
          </w:p>
        </w:tc>
      </w:tr>
      <w:tr w14:paraId="051F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7A7E86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3B4B672A">
            <w:pPr>
              <w:pStyle w:val="14"/>
              <w:snapToGrid w:val="0"/>
              <w:spacing w:line="360" w:lineRule="auto"/>
              <w:rPr>
                <w:rFonts w:hAnsi="宋体" w:cs="宋体"/>
                <w:color w:val="auto"/>
                <w:kern w:val="2"/>
                <w:sz w:val="21"/>
                <w:highlight w:val="none"/>
                <w:lang w:val="en-US" w:eastAsia="zh-CN"/>
              </w:rPr>
            </w:pPr>
            <w:r>
              <w:rPr>
                <w:rFonts w:hint="eastAsia" w:hAnsi="宋体"/>
                <w:color w:val="auto"/>
                <w:highlight w:val="none"/>
                <w:lang w:val="en-US" w:eastAsia="zh-CN"/>
              </w:rPr>
              <w:t>解释：</w:t>
            </w:r>
            <w:r>
              <w:rPr>
                <w:rFonts w:hAnsi="宋体"/>
                <w:color w:val="auto"/>
                <w:highlight w:val="none"/>
                <w:lang w:val="en-US" w:eastAsia="zh-CN"/>
              </w:rPr>
              <w:t>构成本</w:t>
            </w:r>
            <w:r>
              <w:rPr>
                <w:rFonts w:hint="eastAsia" w:hAnsi="宋体"/>
                <w:color w:val="auto"/>
                <w:highlight w:val="none"/>
                <w:lang w:val="en-US" w:eastAsia="zh-CN"/>
              </w:rPr>
              <w:t>磋商文件</w:t>
            </w:r>
            <w:r>
              <w:rPr>
                <w:rFonts w:hAnsi="宋体"/>
                <w:color w:val="auto"/>
                <w:highlight w:val="none"/>
                <w:lang w:val="en-US" w:eastAsia="zh-CN"/>
              </w:rPr>
              <w:t>的各个组成文件应互为解释，互为说明；除</w:t>
            </w:r>
            <w:r>
              <w:rPr>
                <w:rFonts w:hint="eastAsia" w:hAnsi="宋体"/>
                <w:color w:val="auto"/>
                <w:highlight w:val="none"/>
                <w:lang w:val="en-US" w:eastAsia="zh-CN"/>
              </w:rPr>
              <w:t>磋商文件</w:t>
            </w:r>
            <w:r>
              <w:rPr>
                <w:rFonts w:hAnsi="宋体"/>
                <w:color w:val="auto"/>
                <w:highlight w:val="none"/>
                <w:lang w:val="en-US" w:eastAsia="zh-CN"/>
              </w:rPr>
              <w:t>中有特别规定外，仅适用于</w:t>
            </w:r>
            <w:r>
              <w:rPr>
                <w:rFonts w:hint="eastAsia" w:hAnsi="宋体"/>
                <w:color w:val="auto"/>
                <w:highlight w:val="none"/>
                <w:lang w:val="en-US" w:eastAsia="zh-CN"/>
              </w:rPr>
              <w:t>竞标</w:t>
            </w:r>
            <w:r>
              <w:rPr>
                <w:rFonts w:hAnsi="宋体"/>
                <w:color w:val="auto"/>
                <w:highlight w:val="none"/>
                <w:lang w:val="en-US" w:eastAsia="zh-CN"/>
              </w:rPr>
              <w:t>阶段的规定，按</w:t>
            </w:r>
            <w:r>
              <w:rPr>
                <w:rFonts w:hint="eastAsia" w:hAnsi="宋体"/>
                <w:color w:val="auto"/>
                <w:highlight w:val="none"/>
                <w:lang w:val="en-US" w:eastAsia="zh-CN"/>
              </w:rPr>
              <w:t>更正公告（澄清公告）</w:t>
            </w:r>
            <w:r>
              <w:rPr>
                <w:rFonts w:hAnsi="宋体"/>
                <w:color w:val="auto"/>
                <w:highlight w:val="none"/>
                <w:lang w:val="en-US" w:eastAsia="zh-CN"/>
              </w:rPr>
              <w:t>、</w:t>
            </w:r>
            <w:r>
              <w:rPr>
                <w:rFonts w:hint="eastAsia" w:hAnsi="宋体"/>
                <w:color w:val="auto"/>
                <w:highlight w:val="none"/>
                <w:lang w:val="en-US" w:eastAsia="zh-CN"/>
              </w:rPr>
              <w:t>竞争性磋商</w:t>
            </w:r>
            <w:r>
              <w:rPr>
                <w:rFonts w:hAnsi="宋体"/>
                <w:color w:val="auto"/>
                <w:highlight w:val="none"/>
                <w:lang w:val="en-US" w:eastAsia="zh-CN"/>
              </w:rPr>
              <w:t>公告、</w:t>
            </w:r>
            <w:r>
              <w:rPr>
                <w:rFonts w:hint="eastAsia" w:hAnsi="宋体"/>
                <w:color w:val="auto"/>
                <w:highlight w:val="none"/>
                <w:lang w:val="en-US" w:eastAsia="zh-CN"/>
              </w:rPr>
              <w:t>供应商</w:t>
            </w:r>
            <w:r>
              <w:rPr>
                <w:rFonts w:hAnsi="宋体"/>
                <w:color w:val="auto"/>
                <w:highlight w:val="none"/>
                <w:lang w:val="en-US" w:eastAsia="zh-CN"/>
              </w:rPr>
              <w:t>须知</w:t>
            </w:r>
            <w:r>
              <w:rPr>
                <w:rFonts w:hint="eastAsia" w:hAnsi="宋体"/>
                <w:color w:val="auto"/>
                <w:highlight w:val="none"/>
                <w:lang w:val="en-US" w:eastAsia="zh-CN"/>
              </w:rPr>
              <w:t>、采购需求</w:t>
            </w:r>
            <w:r>
              <w:rPr>
                <w:rFonts w:hAnsi="宋体"/>
                <w:color w:val="auto"/>
                <w:highlight w:val="none"/>
                <w:lang w:val="en-US" w:eastAsia="zh-CN"/>
              </w:rPr>
              <w:t>、</w:t>
            </w:r>
            <w:r>
              <w:rPr>
                <w:rFonts w:hint="eastAsia"/>
                <w:color w:val="auto"/>
                <w:highlight w:val="none"/>
                <w:lang w:val="en-US" w:eastAsia="zh-CN"/>
              </w:rPr>
              <w:t>评审程序、评审方法和评审标准</w:t>
            </w:r>
            <w:r>
              <w:rPr>
                <w:rFonts w:hAnsi="宋体"/>
                <w:color w:val="auto"/>
                <w:highlight w:val="none"/>
                <w:lang w:val="en-US" w:eastAsia="zh-CN"/>
              </w:rPr>
              <w:t>、</w:t>
            </w:r>
            <w:r>
              <w:rPr>
                <w:rFonts w:hint="eastAsia" w:hAnsi="宋体"/>
                <w:color w:val="auto"/>
                <w:highlight w:val="none"/>
                <w:lang w:val="en-US" w:eastAsia="zh-CN"/>
              </w:rPr>
              <w:t>响应</w:t>
            </w:r>
            <w:r>
              <w:rPr>
                <w:rFonts w:hAnsi="宋体"/>
                <w:color w:val="auto"/>
                <w:highlight w:val="none"/>
                <w:lang w:val="en-US" w:eastAsia="zh-CN"/>
              </w:rPr>
              <w:t>文件格式</w:t>
            </w:r>
            <w:r>
              <w:rPr>
                <w:rFonts w:hint="eastAsia" w:hAnsi="宋体"/>
                <w:color w:val="auto"/>
                <w:highlight w:val="none"/>
                <w:lang w:val="en-US" w:eastAsia="zh-CN"/>
              </w:rPr>
              <w:t>、合同文本</w:t>
            </w:r>
            <w:r>
              <w:rPr>
                <w:rFonts w:hAnsi="宋体"/>
                <w:color w:val="auto"/>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lang w:val="en-US" w:eastAsia="zh-CN"/>
              </w:rPr>
              <w:t>更正公告（澄清公告）</w:t>
            </w:r>
            <w:r>
              <w:rPr>
                <w:rFonts w:hAnsi="宋体"/>
                <w:color w:val="auto"/>
                <w:highlight w:val="none"/>
                <w:lang w:val="en-US" w:eastAsia="zh-CN"/>
              </w:rPr>
              <w:t>与同步更新的</w:t>
            </w:r>
            <w:r>
              <w:rPr>
                <w:rFonts w:hint="eastAsia" w:hAnsi="宋体"/>
                <w:color w:val="auto"/>
                <w:highlight w:val="none"/>
                <w:lang w:val="en-US" w:eastAsia="zh-CN"/>
              </w:rPr>
              <w:t>磋商文件</w:t>
            </w:r>
            <w:r>
              <w:rPr>
                <w:rFonts w:hAnsi="宋体"/>
                <w:color w:val="auto"/>
                <w:highlight w:val="none"/>
                <w:lang w:val="en-US" w:eastAsia="zh-CN"/>
              </w:rPr>
              <w:t>不一致时以</w:t>
            </w:r>
            <w:r>
              <w:rPr>
                <w:rFonts w:hint="eastAsia" w:hAnsi="宋体"/>
                <w:color w:val="auto"/>
                <w:highlight w:val="none"/>
                <w:lang w:val="en-US" w:eastAsia="zh-CN"/>
              </w:rPr>
              <w:t>更正公告（澄清公告）</w:t>
            </w:r>
            <w:r>
              <w:rPr>
                <w:rFonts w:hAnsi="宋体"/>
                <w:color w:val="auto"/>
                <w:highlight w:val="none"/>
                <w:lang w:val="en-US" w:eastAsia="zh-CN"/>
              </w:rPr>
              <w:t>为准。按本款前述规定仍不能形成结论的，由</w:t>
            </w:r>
            <w:r>
              <w:rPr>
                <w:rFonts w:hint="eastAsia" w:hAnsi="宋体"/>
                <w:color w:val="auto"/>
                <w:highlight w:val="none"/>
                <w:lang w:val="en-US" w:eastAsia="zh-CN"/>
              </w:rPr>
              <w:t>采购</w:t>
            </w:r>
            <w:r>
              <w:rPr>
                <w:rFonts w:hAnsi="宋体"/>
                <w:color w:val="auto"/>
                <w:highlight w:val="none"/>
                <w:lang w:val="en-US" w:eastAsia="zh-CN"/>
              </w:rPr>
              <w:t>人</w:t>
            </w:r>
            <w:r>
              <w:rPr>
                <w:rFonts w:hint="eastAsia" w:hAnsi="宋体"/>
                <w:color w:val="auto"/>
                <w:highlight w:val="none"/>
                <w:lang w:val="en-US" w:eastAsia="zh-CN"/>
              </w:rPr>
              <w:t>或者采购代理机构</w:t>
            </w:r>
            <w:r>
              <w:rPr>
                <w:rFonts w:hAnsi="宋体"/>
                <w:color w:val="auto"/>
                <w:highlight w:val="none"/>
                <w:lang w:val="en-US" w:eastAsia="zh-CN"/>
              </w:rPr>
              <w:t>负责解释。</w:t>
            </w:r>
          </w:p>
        </w:tc>
      </w:tr>
      <w:tr w14:paraId="07E7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6F75C1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51D24CA6">
            <w:pPr>
              <w:pStyle w:val="14"/>
              <w:snapToGrid w:val="0"/>
              <w:spacing w:line="340" w:lineRule="exact"/>
              <w:rPr>
                <w:rFonts w:hAnsi="宋体"/>
                <w:color w:val="auto"/>
                <w:highlight w:val="none"/>
                <w:lang w:val="en-US" w:eastAsia="zh-CN"/>
              </w:rPr>
            </w:pPr>
            <w:r>
              <w:rPr>
                <w:rFonts w:hint="eastAsia" w:hAnsi="宋体"/>
                <w:color w:val="auto"/>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D74A6C2">
            <w:pPr>
              <w:pStyle w:val="14"/>
              <w:snapToGrid w:val="0"/>
              <w:spacing w:line="340" w:lineRule="exact"/>
              <w:rPr>
                <w:rFonts w:hAnsi="宋体"/>
                <w:color w:val="auto"/>
                <w:highlight w:val="none"/>
                <w:lang w:val="en-US" w:eastAsia="zh-CN"/>
              </w:rPr>
            </w:pPr>
            <w:r>
              <w:rPr>
                <w:rFonts w:hint="eastAsia" w:hAnsi="宋体"/>
                <w:color w:val="auto"/>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E83F7EB">
            <w:pPr>
              <w:pStyle w:val="14"/>
              <w:snapToGrid w:val="0"/>
              <w:spacing w:line="340" w:lineRule="exact"/>
              <w:rPr>
                <w:rFonts w:hAnsi="宋体"/>
                <w:color w:val="auto"/>
                <w:highlight w:val="none"/>
                <w:lang w:val="en-US" w:eastAsia="zh-CN"/>
              </w:rPr>
            </w:pPr>
            <w:r>
              <w:rPr>
                <w:rFonts w:hAnsi="宋体"/>
                <w:color w:val="auto"/>
                <w:highlight w:val="none"/>
                <w:lang w:val="en-US" w:eastAsia="zh-CN"/>
              </w:rPr>
              <w:t>3</w:t>
            </w:r>
            <w:r>
              <w:rPr>
                <w:rFonts w:hint="eastAsia" w:hAnsi="宋体"/>
                <w:color w:val="auto"/>
                <w:highlight w:val="none"/>
                <w:lang w:val="en-US" w:eastAsia="zh-CN"/>
              </w:rPr>
              <w:t>.供应商为其他组织时，本磋商文件规定的法定代表人指负责人。本磋商文件所称负责人是指参加竞标的其他组织营业执照或者执业许可证等证照上的负责人。</w:t>
            </w:r>
          </w:p>
          <w:p w14:paraId="6478470E">
            <w:pPr>
              <w:pStyle w:val="14"/>
              <w:snapToGrid w:val="0"/>
              <w:spacing w:line="340" w:lineRule="exact"/>
              <w:rPr>
                <w:rFonts w:hAnsi="宋体"/>
                <w:color w:val="auto"/>
                <w:highlight w:val="none"/>
                <w:lang w:val="en-US" w:eastAsia="zh-CN"/>
              </w:rPr>
            </w:pPr>
            <w:r>
              <w:rPr>
                <w:rFonts w:hAnsi="宋体"/>
                <w:color w:val="auto"/>
                <w:highlight w:val="none"/>
                <w:lang w:val="en-US" w:eastAsia="zh-CN"/>
              </w:rPr>
              <w:t>4.</w:t>
            </w:r>
            <w:r>
              <w:rPr>
                <w:rFonts w:hint="eastAsia" w:hAnsi="宋体"/>
                <w:color w:val="auto"/>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5D8882D8">
            <w:pPr>
              <w:pStyle w:val="14"/>
              <w:snapToGrid w:val="0"/>
              <w:spacing w:line="340" w:lineRule="exact"/>
              <w:rPr>
                <w:rFonts w:hAnsi="宋体" w:cs="宋体"/>
                <w:color w:val="auto"/>
                <w:sz w:val="21"/>
                <w:highlight w:val="none"/>
                <w:lang w:val="en-US" w:eastAsia="zh-CN"/>
              </w:rPr>
            </w:pPr>
            <w:r>
              <w:rPr>
                <w:rFonts w:hint="eastAsia" w:hAnsi="宋体"/>
                <w:color w:val="auto"/>
                <w:highlight w:val="none"/>
                <w:lang w:val="en-US" w:eastAsia="zh-CN"/>
              </w:rPr>
              <w:t>5</w:t>
            </w:r>
            <w:r>
              <w:rPr>
                <w:rFonts w:hAnsi="宋体"/>
                <w:color w:val="auto"/>
                <w:highlight w:val="none"/>
                <w:lang w:val="en-US" w:eastAsia="zh-CN"/>
              </w:rPr>
              <w:t>.</w:t>
            </w:r>
            <w:r>
              <w:rPr>
                <w:rFonts w:hint="eastAsia" w:hAnsi="宋体"/>
                <w:color w:val="auto"/>
                <w:highlight w:val="none"/>
                <w:lang w:val="en-US" w:eastAsia="zh-CN"/>
              </w:rPr>
              <w:t>本磋商文件所称的“以上”“以下”“以内”“届满”，包括本数；所称的“不满”“超过”“以外”，不包括本数。</w:t>
            </w:r>
          </w:p>
        </w:tc>
      </w:tr>
    </w:tbl>
    <w:p w14:paraId="211FEFD1">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063D98EB">
      <w:pPr>
        <w:spacing w:line="400" w:lineRule="exact"/>
        <w:jc w:val="center"/>
        <w:rPr>
          <w:rFonts w:ascii="宋体" w:hAnsi="宋体"/>
          <w:b/>
          <w:color w:val="auto"/>
          <w:sz w:val="32"/>
          <w:szCs w:val="32"/>
          <w:highlight w:val="none"/>
        </w:rPr>
      </w:pPr>
    </w:p>
    <w:p w14:paraId="3D111F63">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1C39DEC">
      <w:pPr>
        <w:spacing w:line="400" w:lineRule="exact"/>
        <w:rPr>
          <w:rFonts w:ascii="宋体" w:hAnsi="宋体"/>
          <w:color w:val="auto"/>
          <w:szCs w:val="21"/>
          <w:highlight w:val="none"/>
        </w:rPr>
      </w:pPr>
    </w:p>
    <w:p w14:paraId="726BADA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0F3C7D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及本项目本级和上级财政部门与政府采购有关规定的约束和保护。</w:t>
      </w:r>
    </w:p>
    <w:p w14:paraId="57807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32067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9EA9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CD18BE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3864F4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w:t>
      </w:r>
    </w:p>
    <w:p w14:paraId="0DCD79B7">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7839D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108E415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6791213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567205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3103ED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502F782">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6DEF49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0DB4DE3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B96E3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E533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BDB3C4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7113C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A5B2A8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5753E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7E7613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0A9785D">
      <w:pPr>
        <w:pStyle w:val="5"/>
        <w:keepNext w:val="0"/>
        <w:keepLines w:val="0"/>
        <w:spacing w:before="0" w:after="0" w:line="360" w:lineRule="auto"/>
        <w:ind w:left="420" w:leftChars="200"/>
        <w:rPr>
          <w:rFonts w:ascii="宋体" w:hAnsi="宋体"/>
          <w:b w:val="0"/>
          <w:color w:val="auto"/>
          <w:sz w:val="21"/>
          <w:szCs w:val="21"/>
          <w:highlight w:val="none"/>
        </w:rPr>
      </w:pPr>
      <w:bookmarkStart w:id="64" w:name="_Toc254970532"/>
      <w:bookmarkStart w:id="65" w:name="_Toc254970673"/>
      <w:r>
        <w:rPr>
          <w:rFonts w:hint="eastAsia" w:ascii="宋体" w:hAnsi="宋体"/>
          <w:b w:val="0"/>
          <w:color w:val="auto"/>
          <w:sz w:val="21"/>
          <w:szCs w:val="21"/>
          <w:highlight w:val="none"/>
        </w:rPr>
        <w:t>6.1本项目不允许转包。</w:t>
      </w:r>
    </w:p>
    <w:p w14:paraId="5FA584D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4"/>
      <w:bookmarkEnd w:id="65"/>
    </w:p>
    <w:p w14:paraId="507291CA">
      <w:pPr>
        <w:spacing w:line="360" w:lineRule="auto"/>
        <w:ind w:firstLine="420" w:firstLineChars="200"/>
        <w:rPr>
          <w:rFonts w:ascii="宋体" w:hAnsi="宋体" w:cs="宋体"/>
          <w:color w:val="auto"/>
          <w:szCs w:val="21"/>
          <w:highlight w:val="none"/>
        </w:rPr>
      </w:pPr>
      <w:bookmarkStart w:id="66" w:name="_8.1提供相同品牌产品且通过资格审查、符合性审查的不同投标人参加同一合"/>
      <w:bookmarkEnd w:id="66"/>
      <w:r>
        <w:rPr>
          <w:rFonts w:hint="eastAsia" w:ascii="宋体" w:hAnsi="宋体" w:cs="宋体"/>
          <w:color w:val="auto"/>
          <w:szCs w:val="21"/>
          <w:highlight w:val="none"/>
        </w:rPr>
        <w:t>7.</w:t>
      </w:r>
      <w:r>
        <w:rPr>
          <w:rFonts w:ascii="宋体" w:hAnsi="宋体" w:cs="宋体"/>
          <w:color w:val="auto"/>
          <w:szCs w:val="21"/>
          <w:highlight w:val="none"/>
        </w:rPr>
        <w:t>1</w:t>
      </w:r>
      <w:bookmarkStart w:id="6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7"/>
    <w:p w14:paraId="6745F6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CBF3F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6FB7C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833C5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4804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94917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CEB72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438F8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0E91D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2A65C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4C0755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F5BAE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D815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5DB07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FEB1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DB12E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D052C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D740B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98E8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66E6C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019F0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DFF7C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5C7DC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6A252DE">
      <w:pPr>
        <w:spacing w:line="360" w:lineRule="auto"/>
        <w:ind w:firstLine="420" w:firstLineChars="200"/>
        <w:rPr>
          <w:rFonts w:ascii="宋体" w:hAnsi="宋体" w:cs="宋体"/>
          <w:color w:val="auto"/>
          <w:szCs w:val="21"/>
          <w:highlight w:val="none"/>
        </w:rPr>
      </w:pPr>
    </w:p>
    <w:p w14:paraId="0849917A">
      <w:pPr>
        <w:spacing w:line="360" w:lineRule="auto"/>
        <w:ind w:left="1" w:firstLine="417" w:firstLineChars="199"/>
        <w:jc w:val="center"/>
        <w:rPr>
          <w:rFonts w:ascii="宋体" w:hAnsi="宋体"/>
          <w:color w:val="auto"/>
          <w:highlight w:val="none"/>
        </w:rPr>
      </w:pPr>
      <w:bookmarkStart w:id="68" w:name="_Toc254970534"/>
      <w:bookmarkStart w:id="69" w:name="_Toc254970675"/>
    </w:p>
    <w:p w14:paraId="76D8A76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8"/>
      <w:bookmarkEnd w:id="69"/>
    </w:p>
    <w:p w14:paraId="077A6F3B">
      <w:pPr>
        <w:spacing w:line="360" w:lineRule="auto"/>
        <w:rPr>
          <w:rFonts w:ascii="宋体" w:hAnsi="宋体"/>
          <w:color w:val="auto"/>
          <w:szCs w:val="21"/>
          <w:highlight w:val="none"/>
        </w:rPr>
      </w:pPr>
    </w:p>
    <w:p w14:paraId="4A21FC1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C9915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202156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4984A8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3E3431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46EF77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795B79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769D414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37551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BF35C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1A17B0C">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06DD7E08">
      <w:pPr>
        <w:spacing w:line="360" w:lineRule="auto"/>
        <w:rPr>
          <w:rFonts w:ascii="宋体" w:hAnsi="宋体"/>
          <w:color w:val="auto"/>
          <w:szCs w:val="21"/>
          <w:highlight w:val="none"/>
        </w:rPr>
      </w:pPr>
    </w:p>
    <w:p w14:paraId="37EC4E51">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D162CAF">
      <w:pPr>
        <w:spacing w:line="360" w:lineRule="auto"/>
        <w:rPr>
          <w:rFonts w:ascii="宋体" w:hAnsi="宋体"/>
          <w:color w:val="auto"/>
          <w:szCs w:val="21"/>
          <w:highlight w:val="none"/>
        </w:rPr>
      </w:pPr>
    </w:p>
    <w:p w14:paraId="3A473B9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EDE2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54CBA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B8C9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B1D242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47CA8C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1EAFB30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FCC2D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9AB60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08AF56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876FF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C80125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930351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9E5453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F033465">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7D5F7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4242F04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6A734C9">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217E1F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40A3E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竞标报价（包含首次报价、最后报价）超过所竞标项目规定的</w:t>
      </w:r>
      <w:r>
        <w:rPr>
          <w:rFonts w:hint="eastAsia" w:ascii="宋体" w:hAnsi="宋体" w:cs="宋体"/>
          <w:bCs/>
          <w:color w:val="auto"/>
          <w:szCs w:val="21"/>
          <w:highlight w:val="none"/>
        </w:rPr>
        <w:t>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预算总价或预算单价的</w:t>
      </w:r>
      <w:r>
        <w:rPr>
          <w:rFonts w:hint="eastAsia" w:ascii="宋体" w:hAnsi="宋体" w:cs="宋体"/>
          <w:color w:val="auto"/>
          <w:szCs w:val="21"/>
          <w:highlight w:val="none"/>
        </w:rPr>
        <w:t>，其响应文件将按无效处理。</w:t>
      </w:r>
    </w:p>
    <w:p w14:paraId="2C7427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A5EB6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2953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B7D52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266D9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17.磋商保证金：本项目不收取磋商保证金。</w:t>
      </w:r>
    </w:p>
    <w:p w14:paraId="5B24DE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6BCA6E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olor w:val="auto"/>
          <w:szCs w:val="21"/>
          <w:highlight w:val="none"/>
        </w:rPr>
        <w:t>广西政府采购云平台</w:t>
      </w:r>
      <w:r>
        <w:rPr>
          <w:rFonts w:hint="eastAsia" w:ascii="宋体" w:hAnsi="宋体" w:cs="宋体"/>
          <w:color w:val="auto"/>
          <w:szCs w:val="21"/>
          <w:highlight w:val="none"/>
        </w:rPr>
        <w:t>电子交易客户端”（请自行前往</w:t>
      </w:r>
      <w:r>
        <w:rPr>
          <w:rFonts w:hint="eastAsia" w:ascii="宋体" w:hAnsi="宋体"/>
          <w:color w:val="auto"/>
          <w:szCs w:val="21"/>
          <w:highlight w:val="none"/>
        </w:rPr>
        <w:t>广西政府采购云平台</w:t>
      </w:r>
      <w:r>
        <w:rPr>
          <w:rFonts w:hint="eastAsia" w:ascii="宋体" w:hAnsi="宋体" w:cs="宋体"/>
          <w:color w:val="auto"/>
          <w:szCs w:val="21"/>
          <w:highlight w:val="none"/>
        </w:rPr>
        <w:t>进行下载），并按照本项目磋商文件规定的格式和顺序和</w:t>
      </w:r>
      <w:r>
        <w:rPr>
          <w:rFonts w:hint="eastAsia" w:ascii="宋体" w:hAnsi="宋体"/>
          <w:color w:val="auto"/>
          <w:szCs w:val="21"/>
          <w:highlight w:val="none"/>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14:paraId="0C2ECB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42343B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26D32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18.4响应文件中标注的供应商名称应与主体资格证明（如营业执照或者事业单位法人证书或者执业许可证或者登记证书等）及公章一致，否则其响应文件按无效响应处理。</w:t>
      </w:r>
    </w:p>
    <w:p w14:paraId="2AC91F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51481AE">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80FBE65">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olor w:val="auto"/>
          <w:szCs w:val="21"/>
          <w:highlight w:val="none"/>
        </w:rPr>
        <w:t>广西政府采购云平台</w:t>
      </w:r>
      <w:r>
        <w:rPr>
          <w:rFonts w:hint="eastAsia"/>
          <w:color w:val="auto"/>
          <w:highlight w:val="none"/>
        </w:rPr>
        <w:t>电子竞标客户端”在线编制生成且后缀名为“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53E7E04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11816D4">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45553B91">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5AC96E5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3B40EEE9">
      <w:pPr>
        <w:snapToGrid w:val="0"/>
        <w:spacing w:line="360" w:lineRule="auto"/>
        <w:ind w:firstLine="420"/>
        <w:jc w:val="left"/>
        <w:rPr>
          <w:rFonts w:ascii="宋体" w:hAnsi="宋体"/>
          <w:color w:val="auto"/>
          <w:szCs w:val="21"/>
          <w:highlight w:val="none"/>
        </w:rPr>
      </w:pPr>
      <w:bookmarkStart w:id="70" w:name="_Toc254970543"/>
      <w:bookmarkStart w:id="7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“电子竞标文件制作与投送教程”）</w:t>
      </w:r>
    </w:p>
    <w:bookmarkEnd w:id="70"/>
    <w:bookmarkEnd w:id="71"/>
    <w:p w14:paraId="3DFAC9D1">
      <w:pPr>
        <w:pStyle w:val="45"/>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A2AD04A">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62FFB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0DF5152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C071D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供应商在响应文件提交截止时间后向采购人、采购代理机构书面申请撤回响应文件的，将不予退还其响应文件。</w:t>
      </w:r>
    </w:p>
    <w:bookmarkEnd w:id="72"/>
    <w:p w14:paraId="79B55A28">
      <w:pPr>
        <w:spacing w:line="360" w:lineRule="auto"/>
        <w:rPr>
          <w:rFonts w:ascii="宋体" w:hAnsi="宋体"/>
          <w:color w:val="auto"/>
          <w:szCs w:val="21"/>
          <w:highlight w:val="none"/>
        </w:rPr>
      </w:pPr>
    </w:p>
    <w:p w14:paraId="683FD297">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5DB96821">
      <w:pPr>
        <w:spacing w:line="360" w:lineRule="auto"/>
        <w:ind w:left="420" w:firstLine="420"/>
        <w:rPr>
          <w:rFonts w:ascii="宋体" w:hAnsi="宋体"/>
          <w:color w:val="auto"/>
          <w:szCs w:val="21"/>
          <w:highlight w:val="none"/>
        </w:rPr>
      </w:pPr>
    </w:p>
    <w:p w14:paraId="361444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48D1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17B5C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EB98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50A23D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4EA53529">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6D05D5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51B24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221CF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CE4D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13D79B9">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788D17">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221732F">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0FE29DEF">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4E6088C">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0880E117">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2039534A">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56FC3C05">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D28577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A86ED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4F73CF">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16EDD8F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769F89D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74296A7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F97777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09719F2B">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18295AF">
      <w:pPr>
        <w:spacing w:line="360" w:lineRule="auto"/>
        <w:ind w:firstLine="482" w:firstLineChars="200"/>
        <w:rPr>
          <w:rFonts w:ascii="宋体" w:hAnsi="宋体" w:cs="Courier New"/>
          <w:color w:val="auto"/>
          <w:szCs w:val="21"/>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r>
        <w:rPr>
          <w:rFonts w:hint="eastAsia" w:ascii="宋体" w:hAnsi="宋体" w:cs="Courier New"/>
          <w:color w:val="auto"/>
          <w:szCs w:val="21"/>
          <w:highlight w:val="none"/>
        </w:rPr>
        <w:t>本项目不收取履约保证金。</w:t>
      </w:r>
    </w:p>
    <w:p w14:paraId="1458E1F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0882C7E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0BD1488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CF98EF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6A2160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19EC3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436720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C378C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12C485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C307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3A19A4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49323E6">
      <w:pPr>
        <w:pStyle w:val="6"/>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BF3F7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625F9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D0A16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9B372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A4804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BF3AA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025C3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577B9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3A713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BCFC3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C4707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FE14E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40512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供应商为法人或者其他组织的，应当由法定代表人、主要负责人，或者其委托代理人签字或者盖章，并加盖公章。</w:t>
      </w:r>
    </w:p>
    <w:p w14:paraId="35BF0C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66D57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B18E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053D7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B91285B">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9555E4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6FE6B6D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4D88B277">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5CE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091FF66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BB5F55F">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31BB4D26">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00BE31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2E9387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CDA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1731CE6">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41A3B54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3802269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352AA09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22A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F218288">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09592C2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46C1BB6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3C7F5E5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C39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1CA53AB">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7B938B9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79E875B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BECA0E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899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3822F42">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2A5D72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7A67CB0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1A6C44C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872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7B8CC9">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29E2D23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642285D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1B5B590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5186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7BDA0C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5003B4B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3A94075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1AC9A09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0B3F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B60F8E5">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134A7AC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41BD7F5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0253718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B44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0B852D">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03B7235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D3C787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23E5514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237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0CA1CA">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42D31C9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6908596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3D11862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5DAF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1F454DD">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201E0FE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4565B77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3BFAC37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312A45C">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C748A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770D4A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B319D9F">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A3675EF">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004B1FF6">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3DC80895">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6D01B37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1B04ACA9">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6B666B62">
      <w:pPr>
        <w:pStyle w:val="14"/>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0B3EE217">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835A052">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FF35AA9">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25A7D7F2">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D5F2D28">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866A6DA">
      <w:pPr>
        <w:pStyle w:val="14"/>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15C91626">
      <w:pPr>
        <w:pStyle w:val="2"/>
        <w:jc w:val="center"/>
        <w:rPr>
          <w:color w:val="auto"/>
          <w:highlight w:val="none"/>
        </w:rPr>
      </w:pPr>
      <w:bookmarkStart w:id="74" w:name="_Toc74323458"/>
      <w:r>
        <w:rPr>
          <w:rFonts w:hint="eastAsia"/>
          <w:color w:val="auto"/>
          <w:highlight w:val="none"/>
        </w:rPr>
        <w:t>第三章 采购需求</w:t>
      </w:r>
      <w:bookmarkEnd w:id="74"/>
    </w:p>
    <w:p w14:paraId="2CC0F44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7BE68E14">
      <w:pPr>
        <w:spacing w:line="360" w:lineRule="auto"/>
        <w:ind w:firstLine="420" w:firstLineChars="200"/>
        <w:jc w:val="left"/>
        <w:rPr>
          <w:color w:val="auto"/>
          <w:highlight w:val="none"/>
        </w:rPr>
      </w:pPr>
      <w:r>
        <w:rPr>
          <w:rFonts w:hint="eastAsia" w:ascii="宋体" w:hAnsi="宋体"/>
          <w:color w:val="auto"/>
          <w:highlight w:val="none"/>
        </w:rPr>
        <w:t>1</w:t>
      </w:r>
      <w:r>
        <w:rPr>
          <w:rFonts w:hint="eastAsia"/>
          <w:color w:val="auto"/>
          <w:highlight w:val="none"/>
        </w:rPr>
        <w:t>. 为落实政府采购政策需满足的要求</w:t>
      </w:r>
    </w:p>
    <w:p w14:paraId="084E692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5363231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7F2A53A5">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color w:val="auto"/>
          <w:highlight w:val="none"/>
        </w:rPr>
        <w:t>。</w:t>
      </w:r>
    </w:p>
    <w:p w14:paraId="2FB6B6B5">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tbl>
      <w:tblPr>
        <w:tblStyle w:val="24"/>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4"/>
        <w:gridCol w:w="666"/>
        <w:gridCol w:w="687"/>
        <w:gridCol w:w="6369"/>
      </w:tblGrid>
      <w:tr w14:paraId="3D0E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51" w:type="dxa"/>
            <w:gridSpan w:val="5"/>
            <w:noWrap w:val="0"/>
            <w:vAlign w:val="center"/>
          </w:tcPr>
          <w:p w14:paraId="4119A5A7">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一、技术要求</w:t>
            </w:r>
          </w:p>
        </w:tc>
      </w:tr>
      <w:tr w14:paraId="39AC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55" w:type="dxa"/>
            <w:noWrap w:val="0"/>
            <w:vAlign w:val="center"/>
          </w:tcPr>
          <w:p w14:paraId="6434C29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4" w:type="dxa"/>
            <w:noWrap w:val="0"/>
            <w:vAlign w:val="center"/>
          </w:tcPr>
          <w:p w14:paraId="12F7E17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66" w:type="dxa"/>
            <w:noWrap w:val="0"/>
            <w:vAlign w:val="center"/>
          </w:tcPr>
          <w:p w14:paraId="26A806F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87" w:type="dxa"/>
            <w:noWrap w:val="0"/>
            <w:vAlign w:val="center"/>
          </w:tcPr>
          <w:p w14:paraId="44683F0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61D49CD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6369" w:type="dxa"/>
            <w:noWrap w:val="0"/>
            <w:vAlign w:val="center"/>
          </w:tcPr>
          <w:p w14:paraId="732BD79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服务要求</w:t>
            </w:r>
          </w:p>
        </w:tc>
      </w:tr>
      <w:tr w14:paraId="4E1A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5" w:type="dxa"/>
            <w:noWrap w:val="0"/>
            <w:vAlign w:val="center"/>
          </w:tcPr>
          <w:p w14:paraId="0D21840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74" w:type="dxa"/>
            <w:noWrap w:val="0"/>
            <w:vAlign w:val="center"/>
          </w:tcPr>
          <w:p w14:paraId="2C151387">
            <w:pPr>
              <w:tabs>
                <w:tab w:val="left" w:pos="180"/>
                <w:tab w:val="left" w:pos="1620"/>
              </w:tabs>
              <w:spacing w:line="360" w:lineRule="auto"/>
              <w:jc w:val="center"/>
              <w:rPr>
                <w:color w:val="auto"/>
                <w:highlight w:val="none"/>
              </w:rPr>
            </w:pPr>
            <w:r>
              <w:rPr>
                <w:rFonts w:hint="eastAsia"/>
                <w:color w:val="auto"/>
                <w:highlight w:val="none"/>
              </w:rPr>
              <w:t>第22届中国—东盟博览会“人工智能+医保健康”专题展设计搭建服务</w:t>
            </w:r>
          </w:p>
        </w:tc>
        <w:tc>
          <w:tcPr>
            <w:tcW w:w="666" w:type="dxa"/>
            <w:noWrap w:val="0"/>
            <w:vAlign w:val="center"/>
          </w:tcPr>
          <w:p w14:paraId="7452F7A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200㎡</w:t>
            </w:r>
          </w:p>
        </w:tc>
        <w:tc>
          <w:tcPr>
            <w:tcW w:w="687" w:type="dxa"/>
            <w:noWrap w:val="0"/>
            <w:vAlign w:val="center"/>
          </w:tcPr>
          <w:p w14:paraId="56E7242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6369" w:type="dxa"/>
            <w:noWrap w:val="0"/>
            <w:vAlign w:val="center"/>
          </w:tcPr>
          <w:p w14:paraId="7D493DDB">
            <w:pPr>
              <w:spacing w:line="320" w:lineRule="exact"/>
              <w:jc w:val="left"/>
              <w:rPr>
                <w:color w:val="auto"/>
                <w:highlight w:val="none"/>
              </w:rPr>
            </w:pPr>
            <w:r>
              <w:rPr>
                <w:rFonts w:hint="eastAsia"/>
                <w:color w:val="auto"/>
                <w:highlight w:val="none"/>
              </w:rPr>
              <w:t>1.项目概况：采购人租赁南宁国际会展中心B区一层B1展厅（室内净地面积1089㎡），用于“人工智能+医保健康”专题展。主要有三大板块：展示中国—东盟区域医药交易（集采）平台成效、AI+医保服务、AI+医保健康。其中，采购人负责中国—东盟区域医药交易（集采）平台成效和AI+医保服务展示区（初步规划使用室内净地面积约</w:t>
            </w:r>
            <w:r>
              <w:rPr>
                <w:color w:val="auto"/>
                <w:highlight w:val="none"/>
              </w:rPr>
              <w:t>200</w:t>
            </w:r>
            <w:r>
              <w:rPr>
                <w:rFonts w:hint="eastAsia"/>
                <w:color w:val="auto"/>
                <w:highlight w:val="none"/>
              </w:rPr>
              <w:t>㎡），其余受邀企业则规划在AI+医保健康展示区（初步规划使用室内净地面积约</w:t>
            </w:r>
            <w:r>
              <w:rPr>
                <w:color w:val="auto"/>
                <w:highlight w:val="none"/>
              </w:rPr>
              <w:t>889</w:t>
            </w:r>
            <w:r>
              <w:rPr>
                <w:rFonts w:hint="eastAsia"/>
                <w:color w:val="auto"/>
                <w:highlight w:val="none"/>
              </w:rPr>
              <w:t>㎡）。</w:t>
            </w:r>
          </w:p>
          <w:p w14:paraId="1F39E1DC">
            <w:pPr>
              <w:spacing w:line="320" w:lineRule="exact"/>
              <w:jc w:val="left"/>
              <w:rPr>
                <w:color w:val="auto"/>
                <w:highlight w:val="none"/>
              </w:rPr>
            </w:pPr>
            <w:r>
              <w:rPr>
                <w:rFonts w:hint="eastAsia"/>
                <w:color w:val="auto"/>
                <w:highlight w:val="none"/>
              </w:rPr>
              <w:t>2.采购内容：</w:t>
            </w:r>
          </w:p>
          <w:p w14:paraId="56A40EA8">
            <w:pPr>
              <w:spacing w:line="320" w:lineRule="exact"/>
              <w:jc w:val="left"/>
              <w:rPr>
                <w:color w:val="auto"/>
                <w:highlight w:val="none"/>
              </w:rPr>
            </w:pPr>
            <w:r>
              <w:rPr>
                <w:rFonts w:hint="eastAsia"/>
                <w:color w:val="auto"/>
                <w:highlight w:val="none"/>
              </w:rPr>
              <w:t xml:space="preserve">（1）中国—东盟区域医药交易（集采）平台成效、“AI+医保服务”展区的展台设计和搭建、展示设备租赁、宣传材料制作、展期服务、会展结束后的展位拆除工作等。初步规划使用室内净地面积约200㎡；                       </w:t>
            </w:r>
          </w:p>
          <w:p w14:paraId="28D6DFC9">
            <w:pPr>
              <w:spacing w:line="320" w:lineRule="exact"/>
              <w:jc w:val="left"/>
              <w:rPr>
                <w:color w:val="auto"/>
                <w:highlight w:val="none"/>
              </w:rPr>
            </w:pPr>
            <w:r>
              <w:rPr>
                <w:rFonts w:hint="eastAsia"/>
                <w:color w:val="auto"/>
                <w:highlight w:val="none"/>
              </w:rPr>
              <w:t>（2）支付采购人约200㎡参展展位费，对其他受邀企业参加“AI+医保健康”约889㎡的展位费进行代收代缴管理等。</w:t>
            </w:r>
          </w:p>
          <w:p w14:paraId="68372879">
            <w:pPr>
              <w:spacing w:line="320" w:lineRule="exact"/>
              <w:jc w:val="left"/>
              <w:rPr>
                <w:color w:val="auto"/>
                <w:highlight w:val="none"/>
              </w:rPr>
            </w:pPr>
            <w:r>
              <w:rPr>
                <w:rFonts w:hint="eastAsia"/>
                <w:color w:val="auto"/>
                <w:highlight w:val="none"/>
              </w:rPr>
              <w:t>3.搭建面积：合计约</w:t>
            </w:r>
            <w:r>
              <w:rPr>
                <w:color w:val="auto"/>
                <w:highlight w:val="none"/>
              </w:rPr>
              <w:t>200</w:t>
            </w:r>
            <w:r>
              <w:rPr>
                <w:rFonts w:hint="eastAsia"/>
                <w:color w:val="auto"/>
                <w:highlight w:val="none"/>
              </w:rPr>
              <w:t>平方米</w:t>
            </w:r>
          </w:p>
          <w:p w14:paraId="3C2D578E">
            <w:pPr>
              <w:spacing w:line="320" w:lineRule="exact"/>
              <w:jc w:val="left"/>
              <w:rPr>
                <w:color w:val="auto"/>
                <w:highlight w:val="none"/>
              </w:rPr>
            </w:pPr>
            <w:r>
              <w:rPr>
                <w:rFonts w:hint="eastAsia"/>
                <w:color w:val="auto"/>
                <w:highlight w:val="none"/>
              </w:rPr>
              <w:t>4.搭建结构：木结构</w:t>
            </w:r>
          </w:p>
          <w:p w14:paraId="6E7A04F0">
            <w:pPr>
              <w:spacing w:line="320" w:lineRule="exact"/>
              <w:jc w:val="left"/>
              <w:rPr>
                <w:color w:val="auto"/>
                <w:highlight w:val="none"/>
              </w:rPr>
            </w:pPr>
            <w:r>
              <w:rPr>
                <w:rFonts w:hint="eastAsia"/>
                <w:color w:val="auto"/>
                <w:highlight w:val="none"/>
              </w:rPr>
              <w:t>5.搭建设计及制作施工要求</w:t>
            </w:r>
          </w:p>
          <w:p w14:paraId="6780CA6A">
            <w:pPr>
              <w:spacing w:line="320" w:lineRule="exact"/>
              <w:jc w:val="left"/>
              <w:rPr>
                <w:color w:val="auto"/>
                <w:highlight w:val="none"/>
              </w:rPr>
            </w:pPr>
            <w:r>
              <w:rPr>
                <w:rFonts w:hint="eastAsia"/>
                <w:color w:val="auto"/>
                <w:highlight w:val="none"/>
              </w:rPr>
              <w:t>（1）搭建及施工材料进场要求符合南宁国际会展中心的相关规定。</w:t>
            </w:r>
          </w:p>
          <w:p w14:paraId="1D7E0099">
            <w:pPr>
              <w:spacing w:line="320" w:lineRule="exact"/>
              <w:jc w:val="left"/>
              <w:rPr>
                <w:color w:val="auto"/>
                <w:highlight w:val="none"/>
              </w:rPr>
            </w:pPr>
            <w:r>
              <w:rPr>
                <w:rFonts w:hint="eastAsia"/>
                <w:color w:val="auto"/>
                <w:highlight w:val="none"/>
              </w:rPr>
              <w:t>（2）展厅设计总体要求通透、简洁、大气、环保，体现参展单位优势产业元素。</w:t>
            </w:r>
          </w:p>
          <w:p w14:paraId="40B5E073">
            <w:pPr>
              <w:spacing w:line="320" w:lineRule="exact"/>
              <w:jc w:val="left"/>
              <w:rPr>
                <w:color w:val="auto"/>
                <w:highlight w:val="none"/>
              </w:rPr>
            </w:pPr>
            <w:r>
              <w:rPr>
                <w:rFonts w:hint="eastAsia"/>
                <w:color w:val="auto"/>
                <w:highlight w:val="none"/>
              </w:rPr>
              <w:t>（3）要求采用四面通透设计，以确保相互流通，方便领导或观众进行参观，保留出入口通道，确保人流走向畅通。</w:t>
            </w:r>
          </w:p>
          <w:p w14:paraId="3F1BE2C3">
            <w:pPr>
              <w:spacing w:line="320" w:lineRule="exact"/>
              <w:jc w:val="left"/>
              <w:rPr>
                <w:color w:val="auto"/>
                <w:highlight w:val="none"/>
              </w:rPr>
            </w:pPr>
            <w:r>
              <w:rPr>
                <w:rFonts w:hint="eastAsia"/>
                <w:color w:val="auto"/>
                <w:highlight w:val="none"/>
              </w:rPr>
              <w:t>（4）展区、主题设计要重点突出展板与实物（模型）展示结合效果；要根据各参展项目的具体情况和需求，设计展板、实物展台、多媒体播放和现场互动空间，合理安排搭建面积；严格按照规划的面积和高度设计，结构高度不得超过6.5米，严禁搭建二层结构。</w:t>
            </w:r>
          </w:p>
          <w:p w14:paraId="4A023154">
            <w:pPr>
              <w:spacing w:line="320" w:lineRule="exact"/>
              <w:jc w:val="left"/>
              <w:rPr>
                <w:color w:val="auto"/>
                <w:highlight w:val="none"/>
              </w:rPr>
            </w:pPr>
            <w:r>
              <w:rPr>
                <w:rFonts w:hint="eastAsia"/>
                <w:color w:val="auto"/>
                <w:highlight w:val="none"/>
              </w:rPr>
              <w:t>（5）主题及参展项目展板设计要彰显特色，做到展示主题突出、层次分明、结构合理、虚实处理得当。</w:t>
            </w:r>
          </w:p>
          <w:p w14:paraId="55C7EDED">
            <w:pPr>
              <w:spacing w:line="320" w:lineRule="exact"/>
              <w:jc w:val="left"/>
              <w:rPr>
                <w:color w:val="auto"/>
                <w:highlight w:val="none"/>
              </w:rPr>
            </w:pPr>
            <w:r>
              <w:rPr>
                <w:rFonts w:hint="eastAsia"/>
                <w:color w:val="auto"/>
                <w:highlight w:val="none"/>
                <w:lang w:val="en-US" w:eastAsia="zh-CN"/>
              </w:rPr>
              <w:t>6</w:t>
            </w:r>
            <w:r>
              <w:rPr>
                <w:rFonts w:hint="eastAsia"/>
                <w:color w:val="auto"/>
                <w:highlight w:val="none"/>
              </w:rPr>
              <w:t>.质量要求</w:t>
            </w:r>
          </w:p>
          <w:p w14:paraId="718885F3">
            <w:pPr>
              <w:spacing w:line="320" w:lineRule="exact"/>
              <w:jc w:val="left"/>
              <w:rPr>
                <w:color w:val="auto"/>
                <w:highlight w:val="none"/>
              </w:rPr>
            </w:pPr>
            <w:r>
              <w:rPr>
                <w:color w:val="auto"/>
                <w:highlight w:val="none"/>
              </w:rPr>
              <w:t>（1）在展台搭建以及全部展会期间，</w:t>
            </w:r>
            <w:r>
              <w:rPr>
                <w:rFonts w:hint="eastAsia"/>
                <w:color w:val="auto"/>
                <w:highlight w:val="none"/>
              </w:rPr>
              <w:t>供应商</w:t>
            </w:r>
            <w:r>
              <w:rPr>
                <w:color w:val="auto"/>
                <w:highlight w:val="none"/>
              </w:rPr>
              <w:t>的制作项目或者所备设备，如发生表面损毁、设备出现故障、脱落、坍塌等事故，一切后果由</w:t>
            </w:r>
            <w:r>
              <w:rPr>
                <w:rFonts w:hint="eastAsia"/>
                <w:color w:val="auto"/>
                <w:highlight w:val="none"/>
              </w:rPr>
              <w:t>供应商</w:t>
            </w:r>
            <w:r>
              <w:rPr>
                <w:color w:val="auto"/>
                <w:highlight w:val="none"/>
              </w:rPr>
              <w:t>承担，并赔偿由此给</w:t>
            </w:r>
            <w:r>
              <w:rPr>
                <w:rFonts w:hint="eastAsia"/>
                <w:color w:val="auto"/>
                <w:highlight w:val="none"/>
              </w:rPr>
              <w:t>采购人</w:t>
            </w:r>
            <w:r>
              <w:rPr>
                <w:color w:val="auto"/>
                <w:highlight w:val="none"/>
              </w:rPr>
              <w:t>带来的一切不良影响而造成的损失。</w:t>
            </w:r>
          </w:p>
          <w:p w14:paraId="26926584">
            <w:pPr>
              <w:spacing w:line="320" w:lineRule="exact"/>
              <w:jc w:val="left"/>
              <w:rPr>
                <w:color w:val="auto"/>
                <w:highlight w:val="none"/>
              </w:rPr>
            </w:pPr>
            <w:r>
              <w:rPr>
                <w:color w:val="auto"/>
                <w:highlight w:val="none"/>
              </w:rPr>
              <w:t>（2）现场</w:t>
            </w:r>
            <w:r>
              <w:rPr>
                <w:rFonts w:hint="eastAsia"/>
                <w:color w:val="auto"/>
                <w:highlight w:val="none"/>
              </w:rPr>
              <w:t>安装</w:t>
            </w:r>
            <w:r>
              <w:rPr>
                <w:color w:val="auto"/>
                <w:highlight w:val="none"/>
              </w:rPr>
              <w:t>必须严格地遵守国家有关防火、防水的法律规定，以及展馆的各项规章制度，</w:t>
            </w:r>
            <w:r>
              <w:rPr>
                <w:rFonts w:hint="eastAsia"/>
                <w:color w:val="auto"/>
                <w:highlight w:val="none"/>
              </w:rPr>
              <w:t>按照</w:t>
            </w:r>
            <w:r>
              <w:rPr>
                <w:color w:val="auto"/>
                <w:highlight w:val="none"/>
              </w:rPr>
              <w:t>场馆设施的有关规定执行。</w:t>
            </w:r>
          </w:p>
          <w:p w14:paraId="1B31B659">
            <w:pPr>
              <w:spacing w:line="320" w:lineRule="exact"/>
              <w:jc w:val="left"/>
              <w:rPr>
                <w:color w:val="auto"/>
                <w:highlight w:val="none"/>
              </w:rPr>
            </w:pPr>
            <w:r>
              <w:rPr>
                <w:color w:val="auto"/>
                <w:highlight w:val="none"/>
              </w:rPr>
              <w:t>（3）展台搭建必须牢固、安全；搭建材料必须使用难燃或者经过阻燃处理的材料，应符合环保要求。展台</w:t>
            </w:r>
            <w:r>
              <w:rPr>
                <w:rFonts w:hint="eastAsia"/>
                <w:color w:val="auto"/>
                <w:highlight w:val="none"/>
              </w:rPr>
              <w:t>安装</w:t>
            </w:r>
            <w:r>
              <w:rPr>
                <w:color w:val="auto"/>
                <w:highlight w:val="none"/>
              </w:rPr>
              <w:t>不得使用易燃、易爆物品，禁止明火作业；使用玻璃装饰材料，应确保安装可靠，以防破碎。</w:t>
            </w:r>
          </w:p>
          <w:p w14:paraId="621C97F7">
            <w:pPr>
              <w:spacing w:line="320" w:lineRule="exact"/>
              <w:jc w:val="left"/>
              <w:rPr>
                <w:color w:val="auto"/>
                <w:highlight w:val="none"/>
              </w:rPr>
            </w:pPr>
            <w:r>
              <w:rPr>
                <w:color w:val="auto"/>
                <w:highlight w:val="none"/>
              </w:rPr>
              <w:t>（4）在</w:t>
            </w:r>
            <w:r>
              <w:rPr>
                <w:rFonts w:hint="eastAsia"/>
                <w:color w:val="auto"/>
                <w:highlight w:val="none"/>
              </w:rPr>
              <w:t>安装</w:t>
            </w:r>
            <w:r>
              <w:rPr>
                <w:color w:val="auto"/>
                <w:highlight w:val="none"/>
              </w:rPr>
              <w:t>过程中注意人身和财产安全，尤其是高空作业需要牢固的安全措施，并自带安全带、安全帽，以防事故发生。由于</w:t>
            </w:r>
            <w:r>
              <w:rPr>
                <w:rFonts w:hint="eastAsia"/>
                <w:color w:val="auto"/>
                <w:highlight w:val="none"/>
              </w:rPr>
              <w:t>供应商</w:t>
            </w:r>
            <w:r>
              <w:rPr>
                <w:color w:val="auto"/>
                <w:highlight w:val="none"/>
              </w:rPr>
              <w:t>管理、监督或措施不当造成的安装工人、客户、参观人员及其他人员的人身事故责任由</w:t>
            </w:r>
            <w:r>
              <w:rPr>
                <w:rFonts w:hint="eastAsia"/>
                <w:color w:val="auto"/>
                <w:highlight w:val="none"/>
              </w:rPr>
              <w:t>供应商</w:t>
            </w:r>
            <w:r>
              <w:rPr>
                <w:color w:val="auto"/>
                <w:highlight w:val="none"/>
              </w:rPr>
              <w:t>负责。</w:t>
            </w:r>
          </w:p>
        </w:tc>
      </w:tr>
      <w:tr w14:paraId="768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1" w:type="dxa"/>
            <w:gridSpan w:val="5"/>
            <w:noWrap w:val="0"/>
            <w:vAlign w:val="center"/>
          </w:tcPr>
          <w:p w14:paraId="3DF9D96C">
            <w:pPr>
              <w:spacing w:line="360" w:lineRule="auto"/>
              <w:jc w:val="left"/>
              <w:rPr>
                <w:rFonts w:ascii="宋体" w:hAnsi="宋体" w:cs="Arial"/>
                <w:b/>
                <w:bCs/>
                <w:iCs/>
                <w:color w:val="auto"/>
                <w:szCs w:val="21"/>
                <w:highlight w:val="none"/>
              </w:rPr>
            </w:pPr>
            <w:r>
              <w:rPr>
                <w:rFonts w:hint="eastAsia" w:ascii="宋体" w:hAnsi="宋体" w:cs="Arial"/>
                <w:b/>
                <w:bCs/>
                <w:iCs/>
                <w:color w:val="auto"/>
                <w:szCs w:val="21"/>
                <w:highlight w:val="none"/>
              </w:rPr>
              <w:t>▲二、商务要求</w:t>
            </w:r>
          </w:p>
        </w:tc>
      </w:tr>
      <w:tr w14:paraId="7D35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noWrap w:val="0"/>
            <w:vAlign w:val="center"/>
          </w:tcPr>
          <w:p w14:paraId="04DEE697">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合同签订时间</w:t>
            </w:r>
          </w:p>
        </w:tc>
        <w:tc>
          <w:tcPr>
            <w:tcW w:w="6369" w:type="dxa"/>
            <w:noWrap w:val="0"/>
            <w:vAlign w:val="center"/>
          </w:tcPr>
          <w:p w14:paraId="0AD1110D">
            <w:pPr>
              <w:spacing w:line="320" w:lineRule="exact"/>
              <w:jc w:val="left"/>
              <w:rPr>
                <w:color w:val="auto"/>
                <w:highlight w:val="none"/>
              </w:rPr>
            </w:pPr>
            <w:r>
              <w:rPr>
                <w:rFonts w:ascii="宋体" w:hAnsi="宋体" w:cs="Arial"/>
                <w:bCs/>
                <w:color w:val="auto"/>
                <w:szCs w:val="21"/>
                <w:highlight w:val="none"/>
              </w:rPr>
              <w:t>自成交通知书发出之日起</w:t>
            </w:r>
            <w:r>
              <w:rPr>
                <w:rFonts w:hint="eastAsia" w:ascii="宋体" w:hAnsi="宋体" w:cs="Arial"/>
                <w:bCs/>
                <w:color w:val="auto"/>
                <w:szCs w:val="21"/>
                <w:highlight w:val="none"/>
              </w:rPr>
              <w:t>3</w:t>
            </w:r>
            <w:r>
              <w:rPr>
                <w:rFonts w:ascii="宋体" w:hAnsi="宋体" w:cs="Arial"/>
                <w:bCs/>
                <w:color w:val="auto"/>
                <w:szCs w:val="21"/>
                <w:highlight w:val="none"/>
              </w:rPr>
              <w:t>个工作日内；</w:t>
            </w:r>
          </w:p>
        </w:tc>
      </w:tr>
      <w:tr w14:paraId="4949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0"/>
            <w:vAlign w:val="center"/>
          </w:tcPr>
          <w:p w14:paraId="7BD9F0EC">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服务周期及服务地点</w:t>
            </w:r>
          </w:p>
        </w:tc>
        <w:tc>
          <w:tcPr>
            <w:tcW w:w="6369" w:type="dxa"/>
            <w:noWrap w:val="0"/>
            <w:vAlign w:val="center"/>
          </w:tcPr>
          <w:p w14:paraId="7DE0C1D5">
            <w:pPr>
              <w:spacing w:line="320" w:lineRule="exact"/>
              <w:jc w:val="left"/>
              <w:rPr>
                <w:color w:val="auto"/>
                <w:highlight w:val="none"/>
              </w:rPr>
            </w:pPr>
            <w:r>
              <w:rPr>
                <w:rFonts w:hint="eastAsia"/>
                <w:color w:val="auto"/>
                <w:highlight w:val="none"/>
              </w:rPr>
              <w:t>1.服务周期：2025年9月15日前完成结构搭建，通过验收交付使用；布展结束后2天内完成展区拆除工作。</w:t>
            </w:r>
          </w:p>
          <w:p w14:paraId="5564285D">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2.服务地点：南宁国际会展中心B1展厅。</w:t>
            </w:r>
          </w:p>
        </w:tc>
      </w:tr>
      <w:tr w14:paraId="5975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noWrap w:val="0"/>
            <w:vAlign w:val="center"/>
          </w:tcPr>
          <w:p w14:paraId="289DDE68">
            <w:pPr>
              <w:tabs>
                <w:tab w:val="left" w:pos="180"/>
                <w:tab w:val="left" w:pos="1620"/>
              </w:tabs>
              <w:spacing w:line="440" w:lineRule="exact"/>
              <w:jc w:val="center"/>
              <w:rPr>
                <w:rFonts w:ascii="宋体" w:hAnsi="宋体"/>
                <w:bCs/>
                <w:iCs/>
                <w:color w:val="auto"/>
                <w:szCs w:val="21"/>
                <w:highlight w:val="none"/>
              </w:rPr>
            </w:pPr>
            <w:r>
              <w:rPr>
                <w:rFonts w:hint="eastAsia" w:ascii="宋体" w:hAnsi="宋体" w:cs="Arial"/>
                <w:color w:val="auto"/>
                <w:szCs w:val="21"/>
                <w:highlight w:val="none"/>
              </w:rPr>
              <w:t>付款方式及进度</w:t>
            </w:r>
          </w:p>
        </w:tc>
        <w:tc>
          <w:tcPr>
            <w:tcW w:w="6369" w:type="dxa"/>
            <w:noWrap w:val="0"/>
            <w:vAlign w:val="center"/>
          </w:tcPr>
          <w:p w14:paraId="7E6BCD0F">
            <w:pPr>
              <w:spacing w:line="360" w:lineRule="exact"/>
              <w:rPr>
                <w:rFonts w:ascii="宋体" w:hAnsi="宋体"/>
                <w:color w:val="auto"/>
                <w:szCs w:val="21"/>
                <w:highlight w:val="none"/>
              </w:rPr>
            </w:pPr>
            <w:r>
              <w:rPr>
                <w:rFonts w:hint="eastAsia" w:ascii="宋体" w:hAnsi="宋体"/>
                <w:color w:val="auto"/>
                <w:szCs w:val="21"/>
                <w:highlight w:val="none"/>
              </w:rPr>
              <w:t>1.合同预付款：合同预付款为合同总金额的30%，</w:t>
            </w:r>
            <w:r>
              <w:rPr>
                <w:rFonts w:hint="eastAsia" w:ascii="宋体" w:hAnsi="宋体"/>
                <w:color w:val="auto"/>
                <w:szCs w:val="21"/>
                <w:highlight w:val="none"/>
                <w:lang w:eastAsia="zh-CN"/>
              </w:rPr>
              <w:t>采购人</w:t>
            </w:r>
            <w:r>
              <w:rPr>
                <w:rFonts w:hint="eastAsia" w:ascii="宋体" w:hAnsi="宋体"/>
                <w:color w:val="auto"/>
                <w:szCs w:val="21"/>
                <w:highlight w:val="none"/>
              </w:rPr>
              <w:t>需在合同签订后十个工作日内，并收到</w:t>
            </w:r>
            <w:r>
              <w:rPr>
                <w:rFonts w:hint="eastAsia" w:ascii="宋体" w:hAnsi="宋体"/>
                <w:color w:val="auto"/>
                <w:szCs w:val="21"/>
                <w:highlight w:val="none"/>
                <w:lang w:eastAsia="zh-CN"/>
              </w:rPr>
              <w:t>成交供应商</w:t>
            </w:r>
            <w:r>
              <w:rPr>
                <w:rFonts w:hint="eastAsia" w:ascii="宋体" w:hAnsi="宋体"/>
                <w:color w:val="auto"/>
                <w:szCs w:val="21"/>
                <w:highlight w:val="none"/>
              </w:rPr>
              <w:t>开具的相应金额的增值税发票后一次性支付预付款;</w:t>
            </w:r>
          </w:p>
          <w:p w14:paraId="090DCB58">
            <w:pPr>
              <w:spacing w:line="360" w:lineRule="auto"/>
              <w:rPr>
                <w:rFonts w:ascii="宋体" w:hAnsi="宋体"/>
                <w:color w:val="auto"/>
                <w:szCs w:val="21"/>
                <w:highlight w:val="none"/>
              </w:rPr>
            </w:pPr>
            <w:r>
              <w:rPr>
                <w:rFonts w:hint="eastAsia" w:ascii="宋体" w:hAnsi="宋体"/>
                <w:color w:val="auto"/>
                <w:szCs w:val="21"/>
                <w:highlight w:val="none"/>
              </w:rPr>
              <w:t>2.合同尾款：</w:t>
            </w:r>
            <w:r>
              <w:rPr>
                <w:rFonts w:hint="eastAsia" w:ascii="宋体" w:hAnsi="宋体"/>
                <w:color w:val="auto"/>
                <w:szCs w:val="21"/>
                <w:highlight w:val="none"/>
                <w:lang w:eastAsia="zh-CN"/>
              </w:rPr>
              <w:t>博览会结束且拆除工作结束后</w:t>
            </w:r>
            <w:r>
              <w:rPr>
                <w:rFonts w:hint="eastAsia" w:ascii="宋体" w:hAnsi="宋体"/>
                <w:color w:val="auto"/>
                <w:szCs w:val="21"/>
                <w:highlight w:val="none"/>
              </w:rPr>
              <w:t>十个工作日内，并收到</w:t>
            </w:r>
            <w:r>
              <w:rPr>
                <w:rFonts w:hint="eastAsia" w:ascii="宋体" w:hAnsi="宋体"/>
                <w:color w:val="auto"/>
                <w:szCs w:val="21"/>
                <w:highlight w:val="none"/>
                <w:lang w:eastAsia="zh-CN"/>
              </w:rPr>
              <w:t>成交供应商</w:t>
            </w:r>
            <w:r>
              <w:rPr>
                <w:rFonts w:hint="eastAsia" w:ascii="宋体" w:hAnsi="宋体"/>
                <w:color w:val="auto"/>
                <w:szCs w:val="21"/>
                <w:highlight w:val="none"/>
              </w:rPr>
              <w:t>开具的相应金额的增值税发票后一次性支付合同尾款。合同尾款=验收结算金额-合同预付款。</w:t>
            </w:r>
          </w:p>
        </w:tc>
      </w:tr>
      <w:tr w14:paraId="0469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0"/>
            <w:vAlign w:val="center"/>
          </w:tcPr>
          <w:p w14:paraId="0A8D9FBF">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磋商报价</w:t>
            </w:r>
          </w:p>
        </w:tc>
        <w:tc>
          <w:tcPr>
            <w:tcW w:w="6369" w:type="dxa"/>
            <w:noWrap w:val="0"/>
            <w:vAlign w:val="center"/>
          </w:tcPr>
          <w:p w14:paraId="4305C3E2">
            <w:pPr>
              <w:spacing w:line="320" w:lineRule="exact"/>
              <w:jc w:val="left"/>
              <w:rPr>
                <w:color w:val="auto"/>
                <w:highlight w:val="none"/>
              </w:rPr>
            </w:pPr>
            <w:r>
              <w:rPr>
                <w:rFonts w:hint="eastAsia"/>
                <w:color w:val="auto"/>
                <w:highlight w:val="none"/>
              </w:rPr>
              <w:t>1.本项目为交钥匙工程，均采用包工包料的形式发包，供应商报价中须包含设备及零配件、备品备件、材料、消耗品、工具的采购和运输（装卸），项目安装、调试、检测、试验及验收、广告宣传费用、配合服务费、人工费、税金、利润、</w:t>
            </w:r>
            <w:r>
              <w:rPr>
                <w:rStyle w:val="29"/>
                <w:rFonts w:hint="eastAsia"/>
                <w:color w:val="auto"/>
                <w:highlight w:val="none"/>
              </w:rPr>
              <w:t>会展结束后的展位拆除工作</w:t>
            </w:r>
            <w:r>
              <w:rPr>
                <w:rFonts w:hint="eastAsia"/>
                <w:color w:val="auto"/>
                <w:highlight w:val="none"/>
              </w:rPr>
              <w:t>、采购人</w:t>
            </w:r>
            <w:r>
              <w:rPr>
                <w:rFonts w:hint="eastAsia"/>
                <w:color w:val="auto"/>
                <w:highlight w:val="none"/>
                <w:lang w:eastAsia="zh-CN"/>
              </w:rPr>
              <w:t>实际使用</w:t>
            </w:r>
            <w:r>
              <w:rPr>
                <w:rFonts w:hint="eastAsia"/>
                <w:color w:val="auto"/>
                <w:highlight w:val="none"/>
              </w:rPr>
              <w:t>展位面积</w:t>
            </w:r>
            <w:r>
              <w:rPr>
                <w:rFonts w:hint="eastAsia"/>
                <w:color w:val="auto"/>
                <w:highlight w:val="none"/>
                <w:lang w:eastAsia="zh-CN"/>
              </w:rPr>
              <w:t>费用</w:t>
            </w:r>
            <w:r>
              <w:rPr>
                <w:rFonts w:hint="eastAsia"/>
                <w:color w:val="auto"/>
                <w:highlight w:val="none"/>
              </w:rPr>
              <w:t>的缴纳以及对其他受邀参展企业使用的参展展位费进行代收</w:t>
            </w:r>
            <w:r>
              <w:rPr>
                <w:rFonts w:hint="eastAsia"/>
                <w:color w:val="auto"/>
                <w:highlight w:val="none"/>
                <w:lang w:eastAsia="zh-CN"/>
              </w:rPr>
              <w:t>代缴</w:t>
            </w:r>
            <w:r>
              <w:rPr>
                <w:rFonts w:hint="eastAsia"/>
                <w:color w:val="auto"/>
                <w:highlight w:val="none"/>
              </w:rPr>
              <w:t>管理、其他所有成本及合同包含的应有的一切费用。</w:t>
            </w:r>
          </w:p>
          <w:p w14:paraId="2C1615C8">
            <w:pPr>
              <w:spacing w:line="320" w:lineRule="exact"/>
              <w:jc w:val="left"/>
              <w:rPr>
                <w:color w:val="auto"/>
                <w:highlight w:val="none"/>
              </w:rPr>
            </w:pPr>
            <w:r>
              <w:rPr>
                <w:rFonts w:hint="eastAsia" w:ascii="宋体" w:hAnsi="宋体" w:cs="宋体"/>
                <w:bCs/>
                <w:color w:val="auto"/>
                <w:szCs w:val="21"/>
                <w:highlight w:val="none"/>
              </w:rPr>
              <w:t>2.本项目展位搭建拆除及展位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预算总价为100万元，展位搭建拆除及展位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预算单价为</w:t>
            </w:r>
            <w:r>
              <w:rPr>
                <w:rFonts w:hint="eastAsia"/>
                <w:color w:val="auto"/>
                <w:highlight w:val="none"/>
              </w:rPr>
              <w:t>5000元/㎡（</w:t>
            </w:r>
            <w:r>
              <w:rPr>
                <w:rFonts w:hint="eastAsia"/>
                <w:color w:val="auto"/>
                <w:highlight w:val="none"/>
                <w:lang w:eastAsia="zh-CN"/>
              </w:rPr>
              <w:t>含固定</w:t>
            </w:r>
            <w:r>
              <w:rPr>
                <w:rFonts w:hint="eastAsia"/>
                <w:color w:val="auto"/>
                <w:highlight w:val="none"/>
              </w:rPr>
              <w:t>展位</w:t>
            </w:r>
            <w:r>
              <w:rPr>
                <w:rFonts w:hint="eastAsia"/>
                <w:color w:val="auto"/>
                <w:highlight w:val="none"/>
                <w:lang w:eastAsia="zh-CN"/>
              </w:rPr>
              <w:t>费价格每平米</w:t>
            </w:r>
            <w:r>
              <w:rPr>
                <w:rFonts w:hint="eastAsia"/>
                <w:color w:val="auto"/>
                <w:highlight w:val="none"/>
              </w:rPr>
              <w:t>800元），</w:t>
            </w:r>
            <w:r>
              <w:rPr>
                <w:rFonts w:hint="eastAsia" w:ascii="宋体" w:hAnsi="宋体" w:cs="宋体"/>
                <w:bCs/>
                <w:color w:val="auto"/>
                <w:szCs w:val="21"/>
                <w:highlight w:val="none"/>
              </w:rPr>
              <w:t>供应商须对展位搭建拆除及展位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总价和单价进行报价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如总价报价超过搭建拆除及展位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单价报价超过展位搭建拆除及</w:t>
            </w:r>
            <w:r>
              <w:rPr>
                <w:rFonts w:hint="eastAsia" w:ascii="宋体" w:hAnsi="宋体" w:cs="宋体"/>
                <w:bCs/>
                <w:color w:val="auto"/>
                <w:szCs w:val="21"/>
                <w:highlight w:val="none"/>
                <w:lang w:eastAsia="zh-CN"/>
              </w:rPr>
              <w:t>展位费</w:t>
            </w:r>
            <w:r>
              <w:rPr>
                <w:rFonts w:hint="eastAsia" w:ascii="宋体" w:hAnsi="宋体" w:cs="宋体"/>
                <w:bCs/>
                <w:color w:val="auto"/>
                <w:szCs w:val="21"/>
                <w:highlight w:val="none"/>
              </w:rPr>
              <w:t>预算单价的</w:t>
            </w:r>
            <w:r>
              <w:rPr>
                <w:rFonts w:hint="eastAsia" w:ascii="宋体" w:hAnsi="宋体" w:cs="宋体"/>
                <w:b/>
                <w:color w:val="auto"/>
                <w:szCs w:val="21"/>
                <w:highlight w:val="none"/>
              </w:rPr>
              <w:t>则</w:t>
            </w:r>
            <w:r>
              <w:rPr>
                <w:rFonts w:hint="eastAsia" w:ascii="宋体" w:hAnsi="宋体"/>
                <w:b/>
                <w:color w:val="auto"/>
                <w:szCs w:val="21"/>
                <w:highlight w:val="none"/>
              </w:rPr>
              <w:t>报价无效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本项目根据采购人实际布展面积进行结算，结算金额不得高于成交总金额。合同结算金额=展位搭建拆除及展位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成交单价*采购人实际布展面积。</w:t>
            </w:r>
          </w:p>
        </w:tc>
      </w:tr>
      <w:tr w14:paraId="6EEB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0"/>
            <w:vAlign w:val="center"/>
          </w:tcPr>
          <w:p w14:paraId="41DD447E">
            <w:pPr>
              <w:tabs>
                <w:tab w:val="left" w:pos="180"/>
                <w:tab w:val="left" w:pos="1620"/>
              </w:tabs>
              <w:spacing w:line="440" w:lineRule="exact"/>
              <w:jc w:val="center"/>
              <w:rPr>
                <w:rFonts w:ascii="宋体" w:hAnsi="宋体"/>
                <w:b/>
                <w:color w:val="auto"/>
                <w:szCs w:val="21"/>
                <w:highlight w:val="none"/>
              </w:rPr>
            </w:pPr>
            <w:r>
              <w:rPr>
                <w:rFonts w:hint="eastAsia" w:ascii="宋体" w:hAnsi="宋体" w:cs="Arial"/>
                <w:color w:val="auto"/>
                <w:szCs w:val="21"/>
                <w:highlight w:val="none"/>
              </w:rPr>
              <w:t>服务要求</w:t>
            </w:r>
          </w:p>
        </w:tc>
        <w:tc>
          <w:tcPr>
            <w:tcW w:w="6369" w:type="dxa"/>
            <w:noWrap w:val="0"/>
            <w:vAlign w:val="center"/>
          </w:tcPr>
          <w:p w14:paraId="66FF878A">
            <w:pPr>
              <w:spacing w:line="360" w:lineRule="auto"/>
              <w:jc w:val="left"/>
              <w:rPr>
                <w:color w:val="auto"/>
                <w:highlight w:val="none"/>
              </w:rPr>
            </w:pPr>
            <w:r>
              <w:rPr>
                <w:rFonts w:hint="eastAsia"/>
                <w:color w:val="auto"/>
                <w:highlight w:val="none"/>
              </w:rPr>
              <w:t>1.提供现场维保服务：整个展会活动期间，成交人应安排至少一名现场维保人员，处理突发问题(如用电、 电子设备及音响等设施设备的使用调试等)。</w:t>
            </w:r>
          </w:p>
          <w:p w14:paraId="5057BD72">
            <w:pPr>
              <w:spacing w:line="360" w:lineRule="auto"/>
              <w:rPr>
                <w:rFonts w:ascii="宋体" w:hAnsi="宋体" w:cs="宋体"/>
                <w:color w:val="auto"/>
                <w:szCs w:val="21"/>
                <w:highlight w:val="none"/>
              </w:rPr>
            </w:pPr>
            <w:r>
              <w:rPr>
                <w:rFonts w:hint="eastAsia" w:ascii="宋体" w:hAnsi="宋体" w:cs="宋体"/>
                <w:bCs/>
                <w:color w:val="auto"/>
                <w:szCs w:val="21"/>
                <w:highlight w:val="none"/>
              </w:rPr>
              <w:t>2.响应时间：接到采购人处理问题通知后，现场维保人员20分钟内到达采购人指定现场处理问题。</w:t>
            </w:r>
          </w:p>
        </w:tc>
      </w:tr>
      <w:tr w14:paraId="061F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0"/>
            <w:vAlign w:val="center"/>
          </w:tcPr>
          <w:p w14:paraId="04BC8C2F">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三、验收方法</w:t>
            </w:r>
          </w:p>
        </w:tc>
        <w:tc>
          <w:tcPr>
            <w:tcW w:w="6369" w:type="dxa"/>
            <w:noWrap w:val="0"/>
            <w:vAlign w:val="center"/>
          </w:tcPr>
          <w:p w14:paraId="11E8EFA4">
            <w:pPr>
              <w:spacing w:line="360" w:lineRule="auto"/>
              <w:rPr>
                <w:rFonts w:ascii="宋体" w:hAnsi="宋体" w:cs="Arial"/>
                <w:color w:val="auto"/>
                <w:szCs w:val="21"/>
                <w:highlight w:val="none"/>
              </w:rPr>
            </w:pPr>
            <w:r>
              <w:rPr>
                <w:rFonts w:hint="eastAsia" w:ascii="宋体" w:hAnsi="宋体" w:cs="宋体"/>
                <w:color w:val="auto"/>
                <w:kern w:val="0"/>
                <w:szCs w:val="21"/>
                <w:highlight w:val="none"/>
              </w:rPr>
              <w:t>采购标的需执行的国家相关标准、行业标准、地方标准。</w:t>
            </w:r>
          </w:p>
        </w:tc>
      </w:tr>
      <w:tr w14:paraId="15BD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82" w:type="dxa"/>
            <w:gridSpan w:val="4"/>
            <w:noWrap w:val="0"/>
            <w:vAlign w:val="center"/>
          </w:tcPr>
          <w:p w14:paraId="0767AB97">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四、其他要求</w:t>
            </w:r>
          </w:p>
        </w:tc>
        <w:tc>
          <w:tcPr>
            <w:tcW w:w="6369" w:type="dxa"/>
            <w:noWrap w:val="0"/>
            <w:vAlign w:val="center"/>
          </w:tcPr>
          <w:p w14:paraId="75172DE4">
            <w:pPr>
              <w:spacing w:line="320" w:lineRule="exact"/>
              <w:jc w:val="left"/>
              <w:rPr>
                <w:rFonts w:ascii="宋体" w:hAnsi="宋体" w:cs="Arial"/>
                <w:b/>
                <w:color w:val="auto"/>
                <w:szCs w:val="21"/>
                <w:highlight w:val="none"/>
              </w:rPr>
            </w:pPr>
            <w:r>
              <w:rPr>
                <w:rFonts w:hint="eastAsia" w:ascii="宋体" w:hAnsi="宋体" w:cs="Arial"/>
                <w:color w:val="auto"/>
                <w:szCs w:val="21"/>
                <w:highlight w:val="none"/>
              </w:rPr>
              <w:t>1.以上“技术要求”、“商务要求”，</w:t>
            </w:r>
            <w:r>
              <w:rPr>
                <w:rFonts w:hint="eastAsia" w:ascii="宋体" w:hAnsi="宋体" w:cs="Arial"/>
                <w:b/>
                <w:color w:val="auto"/>
                <w:szCs w:val="21"/>
                <w:highlight w:val="none"/>
              </w:rPr>
              <w:t>如有任意一项负偏离的则做无效标处理。</w:t>
            </w:r>
          </w:p>
          <w:p w14:paraId="3B9EBC77">
            <w:pPr>
              <w:spacing w:line="320" w:lineRule="exact"/>
              <w:jc w:val="left"/>
              <w:rPr>
                <w:rFonts w:ascii="宋体" w:hAnsi="宋体" w:cs="Courier New"/>
                <w:bCs/>
                <w:color w:val="auto"/>
                <w:kern w:val="0"/>
                <w:szCs w:val="21"/>
                <w:highlight w:val="none"/>
              </w:rPr>
            </w:pPr>
            <w:r>
              <w:rPr>
                <w:rFonts w:hint="eastAsia" w:ascii="宋体" w:hAnsi="宋体" w:cs="Arial"/>
                <w:bCs/>
                <w:color w:val="auto"/>
                <w:szCs w:val="21"/>
                <w:highlight w:val="none"/>
              </w:rPr>
              <w:t>2.供应商在响应文件中必须提供详细的技术方案，包括设计方案、实施组织方案、保障措施</w:t>
            </w:r>
            <w:r>
              <w:rPr>
                <w:rFonts w:hint="eastAsia" w:ascii="宋体" w:hAnsi="宋体" w:cs="Courier New"/>
                <w:bCs/>
                <w:color w:val="auto"/>
                <w:kern w:val="0"/>
                <w:szCs w:val="21"/>
                <w:highlight w:val="none"/>
              </w:rPr>
              <w:t>以供评审，具体要求详见</w:t>
            </w:r>
            <w:r>
              <w:rPr>
                <w:rFonts w:hint="eastAsia"/>
                <w:color w:val="auto"/>
                <w:highlight w:val="none"/>
              </w:rPr>
              <w:t>第四章“评审程序、评审方法和评审标准”</w:t>
            </w:r>
            <w:r>
              <w:rPr>
                <w:rFonts w:hint="eastAsia" w:ascii="宋体" w:hAnsi="宋体" w:cs="Courier New"/>
                <w:bCs/>
                <w:color w:val="auto"/>
                <w:kern w:val="0"/>
                <w:szCs w:val="21"/>
                <w:highlight w:val="none"/>
              </w:rPr>
              <w:t>。</w:t>
            </w:r>
          </w:p>
          <w:p w14:paraId="32D1E97B">
            <w:pPr>
              <w:spacing w:line="320" w:lineRule="exact"/>
              <w:jc w:val="left"/>
              <w:rPr>
                <w:rFonts w:ascii="宋体" w:hAnsi="宋体" w:cs="宋体"/>
                <w:color w:val="auto"/>
                <w:szCs w:val="21"/>
                <w:highlight w:val="none"/>
              </w:rPr>
            </w:pPr>
            <w:r>
              <w:rPr>
                <w:rFonts w:hint="eastAsia" w:ascii="宋体" w:hAnsi="宋体" w:cs="Courier New"/>
                <w:bCs/>
                <w:color w:val="auto"/>
                <w:kern w:val="0"/>
                <w:szCs w:val="21"/>
                <w:highlight w:val="none"/>
              </w:rPr>
              <w:t>3.供应商的履约能力要求：与项目相关的信誉及业绩。（如有）</w:t>
            </w:r>
          </w:p>
        </w:tc>
      </w:tr>
    </w:tbl>
    <w:p w14:paraId="4941D7C6">
      <w:pPr>
        <w:spacing w:line="360" w:lineRule="auto"/>
        <w:jc w:val="left"/>
        <w:rPr>
          <w:rFonts w:ascii="宋体" w:hAnsi="宋体" w:cs="Arial"/>
          <w:bCs/>
          <w:iCs/>
          <w:color w:val="auto"/>
          <w:szCs w:val="21"/>
          <w:highlight w:val="none"/>
        </w:rPr>
      </w:pPr>
    </w:p>
    <w:p w14:paraId="2F17D88B">
      <w:pPr>
        <w:pStyle w:val="6"/>
        <w:rPr>
          <w:color w:val="auto"/>
          <w:highlight w:val="none"/>
        </w:rPr>
      </w:pPr>
    </w:p>
    <w:p w14:paraId="4C2EFA17">
      <w:pPr>
        <w:pStyle w:val="6"/>
        <w:rPr>
          <w:color w:val="auto"/>
          <w:highlight w:val="none"/>
        </w:rPr>
      </w:pPr>
    </w:p>
    <w:p w14:paraId="739C2C71">
      <w:pPr>
        <w:pStyle w:val="6"/>
        <w:rPr>
          <w:color w:val="auto"/>
          <w:highlight w:val="none"/>
        </w:rPr>
      </w:pPr>
    </w:p>
    <w:p w14:paraId="37921CF3">
      <w:pPr>
        <w:pStyle w:val="6"/>
        <w:rPr>
          <w:color w:val="auto"/>
          <w:highlight w:val="none"/>
        </w:rPr>
      </w:pPr>
    </w:p>
    <w:p w14:paraId="19D0FD3E">
      <w:pPr>
        <w:pStyle w:val="6"/>
        <w:rPr>
          <w:color w:val="auto"/>
          <w:highlight w:val="none"/>
        </w:rPr>
      </w:pPr>
    </w:p>
    <w:p w14:paraId="072BEA8A">
      <w:pPr>
        <w:pStyle w:val="6"/>
        <w:rPr>
          <w:color w:val="auto"/>
          <w:highlight w:val="none"/>
        </w:rPr>
      </w:pPr>
    </w:p>
    <w:p w14:paraId="79F8AF65">
      <w:pPr>
        <w:pStyle w:val="6"/>
        <w:rPr>
          <w:color w:val="auto"/>
          <w:highlight w:val="none"/>
        </w:rPr>
      </w:pPr>
    </w:p>
    <w:p w14:paraId="217D164A">
      <w:pPr>
        <w:pStyle w:val="6"/>
        <w:rPr>
          <w:color w:val="auto"/>
          <w:highlight w:val="none"/>
        </w:rPr>
      </w:pPr>
    </w:p>
    <w:p w14:paraId="336E587B">
      <w:pPr>
        <w:pStyle w:val="6"/>
        <w:rPr>
          <w:color w:val="auto"/>
          <w:highlight w:val="none"/>
        </w:rPr>
      </w:pPr>
    </w:p>
    <w:p w14:paraId="7A9363A9">
      <w:pPr>
        <w:widowControl/>
        <w:jc w:val="left"/>
        <w:rPr>
          <w:color w:val="auto"/>
          <w:highlight w:val="none"/>
        </w:rPr>
      </w:pPr>
    </w:p>
    <w:p w14:paraId="06EB8A54">
      <w:pPr>
        <w:pStyle w:val="6"/>
        <w:rPr>
          <w:color w:val="auto"/>
          <w:highlight w:val="none"/>
        </w:rPr>
      </w:pPr>
    </w:p>
    <w:p w14:paraId="2BD18761">
      <w:pPr>
        <w:pStyle w:val="6"/>
        <w:rPr>
          <w:color w:val="auto"/>
          <w:highlight w:val="none"/>
        </w:rPr>
      </w:pPr>
    </w:p>
    <w:p w14:paraId="1EAF838B">
      <w:pPr>
        <w:pStyle w:val="6"/>
        <w:rPr>
          <w:color w:val="auto"/>
          <w:highlight w:val="none"/>
        </w:rPr>
      </w:pPr>
    </w:p>
    <w:p w14:paraId="2E1A6E36">
      <w:pPr>
        <w:pStyle w:val="6"/>
        <w:rPr>
          <w:color w:val="auto"/>
          <w:highlight w:val="none"/>
        </w:rPr>
      </w:pPr>
    </w:p>
    <w:p w14:paraId="76944BB1">
      <w:pPr>
        <w:pStyle w:val="6"/>
        <w:rPr>
          <w:color w:val="auto"/>
          <w:highlight w:val="none"/>
        </w:rPr>
      </w:pPr>
    </w:p>
    <w:p w14:paraId="09386A38">
      <w:pPr>
        <w:pStyle w:val="6"/>
        <w:rPr>
          <w:color w:val="auto"/>
          <w:highlight w:val="none"/>
        </w:rPr>
      </w:pPr>
    </w:p>
    <w:p w14:paraId="673FD66D">
      <w:pPr>
        <w:pStyle w:val="6"/>
        <w:rPr>
          <w:color w:val="auto"/>
          <w:highlight w:val="none"/>
        </w:rPr>
      </w:pPr>
    </w:p>
    <w:p w14:paraId="7473DB8C">
      <w:pPr>
        <w:pStyle w:val="6"/>
        <w:rPr>
          <w:color w:val="auto"/>
          <w:highlight w:val="none"/>
        </w:rPr>
      </w:pPr>
    </w:p>
    <w:p w14:paraId="1B2734F1">
      <w:pPr>
        <w:pStyle w:val="6"/>
        <w:rPr>
          <w:color w:val="auto"/>
          <w:highlight w:val="none"/>
        </w:rPr>
      </w:pPr>
    </w:p>
    <w:p w14:paraId="675D5348">
      <w:pPr>
        <w:pStyle w:val="6"/>
        <w:rPr>
          <w:color w:val="auto"/>
          <w:highlight w:val="none"/>
        </w:rPr>
      </w:pPr>
    </w:p>
    <w:p w14:paraId="1DFB3B9F">
      <w:pPr>
        <w:pStyle w:val="6"/>
        <w:rPr>
          <w:color w:val="auto"/>
          <w:highlight w:val="none"/>
        </w:rPr>
      </w:pPr>
    </w:p>
    <w:p w14:paraId="34625FD3">
      <w:pPr>
        <w:pStyle w:val="6"/>
        <w:rPr>
          <w:color w:val="auto"/>
          <w:highlight w:val="none"/>
        </w:rPr>
      </w:pPr>
    </w:p>
    <w:p w14:paraId="7D93A105">
      <w:pPr>
        <w:pStyle w:val="6"/>
        <w:rPr>
          <w:color w:val="auto"/>
          <w:highlight w:val="none"/>
        </w:rPr>
      </w:pPr>
    </w:p>
    <w:p w14:paraId="6D756A49">
      <w:pPr>
        <w:pStyle w:val="6"/>
        <w:rPr>
          <w:color w:val="auto"/>
          <w:highlight w:val="none"/>
        </w:rPr>
      </w:pPr>
    </w:p>
    <w:p w14:paraId="3E51845D">
      <w:pPr>
        <w:pStyle w:val="6"/>
        <w:rPr>
          <w:color w:val="auto"/>
          <w:highlight w:val="none"/>
        </w:rPr>
      </w:pPr>
    </w:p>
    <w:p w14:paraId="79BC6202">
      <w:pPr>
        <w:pStyle w:val="2"/>
        <w:jc w:val="center"/>
        <w:rPr>
          <w:color w:val="auto"/>
          <w:highlight w:val="none"/>
        </w:rPr>
      </w:pPr>
      <w:bookmarkStart w:id="75" w:name="_Toc74323459"/>
      <w:r>
        <w:rPr>
          <w:rFonts w:hint="eastAsia"/>
          <w:color w:val="auto"/>
          <w:highlight w:val="none"/>
        </w:rPr>
        <w:t>第四章  评审程序、评审方法和评审标准</w:t>
      </w:r>
      <w:bookmarkEnd w:id="75"/>
    </w:p>
    <w:p w14:paraId="7710FC7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5216E8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C7EEF8C">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14E751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8B14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广西政府采购云平台</w:t>
      </w:r>
      <w:r>
        <w:rPr>
          <w:rFonts w:hint="eastAsia" w:ascii="宋体" w:hAnsi="宋体" w:cs="宋体"/>
          <w:color w:val="auto"/>
          <w:szCs w:val="21"/>
          <w:highlight w:val="none"/>
        </w:rPr>
        <w:t>“信用中国”网站(www.creditchina.gov.cn)、中国政府采购网(www.ccgp.gov.cn)链接入口。</w:t>
      </w:r>
    </w:p>
    <w:p w14:paraId="2BE97B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EFD95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14FCE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4412CB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234C5C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146F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0A4A6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54371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BCCEE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08FCB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D908C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227B06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2AE53975">
      <w:pPr>
        <w:spacing w:line="360" w:lineRule="auto"/>
        <w:ind w:firstLine="420" w:firstLineChars="200"/>
        <w:rPr>
          <w:rFonts w:ascii="宋体" w:hAnsi="宋体" w:cs="宋体"/>
          <w:color w:val="auto"/>
          <w:szCs w:val="21"/>
          <w:highlight w:val="none"/>
        </w:rPr>
      </w:pPr>
      <w:bookmarkStart w:id="7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6"/>
    <w:p w14:paraId="1D3E16A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7E2E82">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FA2D7A8">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1D50954">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8DF83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05776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53A82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8B9E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15BC7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850100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F5A5A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75E29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B7DF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F79FA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5B24AE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D598B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4）商务要求允许负偏离的条款数超过“供应商须知前附表”规定项数的；</w:t>
      </w:r>
    </w:p>
    <w:p w14:paraId="6D1EE9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326E7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9FD1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F9F12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7BA59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47B25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10）技术要求允许负偏离的条款数超过“供应商须知前附表”规定项数；</w:t>
      </w:r>
    </w:p>
    <w:p w14:paraId="3A80D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1C205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7"/>
    </w:p>
    <w:p w14:paraId="2CC0C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13）响应文件标注的项目名称或者项目编号与磋商文件标注的项目名称或者项目编号不一致的；</w:t>
      </w:r>
    </w:p>
    <w:p w14:paraId="0F12EE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b/>
          <w:color w:val="auto"/>
          <w:szCs w:val="21"/>
          <w:highlight w:val="none"/>
        </w:rPr>
        <w:t>竞争性磋商文件明确不允许分包，响应文件拟分包的；</w:t>
      </w:r>
    </w:p>
    <w:p w14:paraId="2B5BDF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15）未响应磋商文件实质性要求；</w:t>
      </w:r>
    </w:p>
    <w:p w14:paraId="2B8892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4CE31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7D1A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1984BE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3008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内容作唯一报价；供应商未就所竞标项目的全部内容作完整唯一总价报价；供应商响应文件中存在有选择、有条件报价的（磋商文件允许有备选方案或者其他约定的除外）；</w:t>
      </w:r>
    </w:p>
    <w:p w14:paraId="3606F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4）竞标报价（包含首次报价、最后报价）超过所竞标项目规定的</w:t>
      </w:r>
      <w:r>
        <w:rPr>
          <w:rFonts w:hint="eastAsia" w:ascii="宋体" w:hAnsi="宋体" w:cs="宋体"/>
          <w:bCs/>
          <w:color w:val="auto"/>
          <w:szCs w:val="21"/>
          <w:highlight w:val="none"/>
        </w:rPr>
        <w:t>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预算总价或预算单价的</w:t>
      </w:r>
      <w:r>
        <w:rPr>
          <w:rFonts w:hint="eastAsia" w:ascii="宋体" w:hAnsi="宋体" w:cs="宋体"/>
          <w:color w:val="auto"/>
          <w:szCs w:val="21"/>
          <w:highlight w:val="none"/>
        </w:rPr>
        <w:t>；</w:t>
      </w:r>
    </w:p>
    <w:p w14:paraId="13E3A6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5）修正后的报价，供应商不确认的；或者经供应商确认修正后的竞标报价（包含首次报价、最后报价）超过所竞标项目规定的</w:t>
      </w:r>
      <w:r>
        <w:rPr>
          <w:rFonts w:hint="eastAsia" w:ascii="宋体" w:hAnsi="宋体" w:cs="宋体"/>
          <w:bCs/>
          <w:color w:val="auto"/>
          <w:szCs w:val="21"/>
          <w:highlight w:val="none"/>
        </w:rPr>
        <w:t>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预算总价或预算单价的</w:t>
      </w:r>
      <w:r>
        <w:rPr>
          <w:rFonts w:hint="eastAsia" w:ascii="宋体" w:hAnsi="宋体" w:cs="宋体"/>
          <w:color w:val="auto"/>
          <w:szCs w:val="21"/>
          <w:highlight w:val="none"/>
        </w:rPr>
        <w:t>；</w:t>
      </w:r>
    </w:p>
    <w:p w14:paraId="72FE1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00CD113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8ABC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64F167D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B03E6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1E0CDD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B7FE1D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401D0FC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480F9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5941A08">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71F0ABB0">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231182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CCE4BF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73F7F8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w:t>
      </w:r>
      <w:r>
        <w:rPr>
          <w:rFonts w:ascii="宋体" w:hAnsi="宋体"/>
          <w:color w:val="auto"/>
          <w:szCs w:val="21"/>
          <w:highlight w:val="none"/>
        </w:rPr>
        <w:t>广西政府采购云平台</w:t>
      </w:r>
      <w:r>
        <w:rPr>
          <w:rFonts w:hint="eastAsia" w:ascii="宋体" w:hAnsi="宋体"/>
          <w:color w:val="auto"/>
          <w:szCs w:val="21"/>
          <w:highlight w:val="none"/>
        </w:rPr>
        <w:t>电子开标大厅</w:t>
      </w:r>
      <w:r>
        <w:rPr>
          <w:rFonts w:hint="eastAsia" w:ascii="宋体" w:hAnsi="宋体" w:cs="宋体"/>
          <w:color w:val="auto"/>
          <w:szCs w:val="21"/>
          <w:highlight w:val="none"/>
        </w:rPr>
        <w:t>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05F9D8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ascii="宋体" w:hAnsi="宋体"/>
          <w:color w:val="auto"/>
          <w:szCs w:val="21"/>
          <w:highlight w:val="none"/>
        </w:rPr>
        <w:t>广西政府采购云平台</w:t>
      </w:r>
      <w:r>
        <w:rPr>
          <w:rFonts w:hint="eastAsia" w:ascii="宋体" w:hAnsi="宋体"/>
          <w:color w:val="auto"/>
          <w:szCs w:val="21"/>
          <w:highlight w:val="none"/>
        </w:rPr>
        <w:t>电子开标大厅</w:t>
      </w:r>
      <w:r>
        <w:rPr>
          <w:rFonts w:hint="eastAsia" w:ascii="宋体" w:hAnsi="宋体" w:cs="宋体"/>
          <w:color w:val="auto"/>
          <w:szCs w:val="21"/>
          <w:highlight w:val="none"/>
        </w:rPr>
        <w:t>提交最后报价。</w:t>
      </w:r>
    </w:p>
    <w:p w14:paraId="490400C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7D995C0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AF34D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5771D3B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6B9E6E5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47F3708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7CDBCC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70C68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（2）经供应商确认修正后的竞标报价（包含首次报价、最后报价）超过所竞标项目规定的</w:t>
      </w:r>
      <w:r>
        <w:rPr>
          <w:rFonts w:hint="eastAsia" w:ascii="宋体" w:hAnsi="宋体" w:cs="宋体"/>
          <w:bCs/>
          <w:color w:val="auto"/>
          <w:szCs w:val="21"/>
          <w:highlight w:val="none"/>
        </w:rPr>
        <w:t>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预算总价或预算单价的</w:t>
      </w:r>
      <w:r>
        <w:rPr>
          <w:rFonts w:hint="eastAsia" w:ascii="宋体" w:hAnsi="宋体" w:cs="宋体"/>
          <w:color w:val="auto"/>
          <w:szCs w:val="21"/>
          <w:highlight w:val="none"/>
        </w:rPr>
        <w:t>；</w:t>
      </w:r>
    </w:p>
    <w:p w14:paraId="03080E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10F0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8B551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1285FA5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5B40F5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287B11B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2B67D3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388448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AF980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E53AC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2CA7DB9">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12E363BD">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FB425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C73878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3649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7CAF2670">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418" w:type="dxa"/>
            <w:noWrap w:val="0"/>
            <w:vAlign w:val="center"/>
          </w:tcPr>
          <w:p w14:paraId="27CC6F52">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288" w:type="dxa"/>
            <w:noWrap w:val="0"/>
            <w:vAlign w:val="center"/>
          </w:tcPr>
          <w:p w14:paraId="282AAE88">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51" w:type="dxa"/>
            <w:noWrap w:val="0"/>
            <w:vAlign w:val="center"/>
          </w:tcPr>
          <w:p w14:paraId="229D8F26">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1291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1A569436">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418" w:type="dxa"/>
            <w:noWrap w:val="0"/>
            <w:vAlign w:val="center"/>
          </w:tcPr>
          <w:p w14:paraId="3452EE96">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6288" w:type="dxa"/>
            <w:noWrap w:val="0"/>
            <w:vAlign w:val="top"/>
          </w:tcPr>
          <w:p w14:paraId="15A48A65">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（1）评审报价为供应商的最后报价进行政策性扣除后的价格，评审报价只是作为评审时使用。最终成交人的成交金额等于最终竞标总报价。</w:t>
            </w:r>
          </w:p>
          <w:p w14:paraId="325E2798">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）政策性扣除计算方法。</w:t>
            </w:r>
          </w:p>
          <w:p w14:paraId="63A1189A">
            <w:pPr>
              <w:snapToGrid w:val="0"/>
              <w:spacing w:line="360" w:lineRule="auto"/>
              <w:ind w:firstLine="443" w:firstLineChars="211"/>
              <w:rPr>
                <w:rFonts w:ascii="宋体" w:hAnsi="宋体"/>
                <w:color w:val="auto"/>
                <w:szCs w:val="21"/>
                <w:highlight w:val="none"/>
              </w:rPr>
            </w:pPr>
            <w:r>
              <w:rPr>
                <w:rFonts w:hint="eastAsia" w:ascii="宋体" w:hAnsi="宋体"/>
                <w:bCs/>
                <w:color w:val="auto"/>
                <w:szCs w:val="21"/>
                <w:highlight w:val="none"/>
              </w:rPr>
              <w:t>根据《政府采购促进中小企业发展管理办法》（财库〔2020〕46号）的规定，竞标人在其响应文件中提供《中小企业声明函》，且其竞标全部服务由小微企业承接的，对其最后报价给予10%的扣除，扣除后的价格为评审报价，即评审报价=最后报价×（1-1</w:t>
            </w:r>
            <w:r>
              <w:rPr>
                <w:rFonts w:ascii="宋体" w:hAnsi="宋体"/>
                <w:bCs/>
                <w:color w:val="auto"/>
                <w:szCs w:val="21"/>
                <w:highlight w:val="none"/>
              </w:rPr>
              <w:t>0</w:t>
            </w:r>
            <w:r>
              <w:rPr>
                <w:rFonts w:hint="eastAsia" w:ascii="宋体" w:hAnsi="宋体"/>
                <w:bCs/>
                <w:color w:val="auto"/>
                <w:szCs w:val="21"/>
                <w:highlight w:val="none"/>
              </w:rPr>
              <w:t>%）。</w:t>
            </w:r>
          </w:p>
          <w:p w14:paraId="43C2E3A6">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监狱企业属于小型、微型企业的，不重复享受政策。</w:t>
            </w:r>
          </w:p>
          <w:p w14:paraId="47BC80E3">
            <w:pPr>
              <w:snapToGrid w:val="0"/>
              <w:spacing w:line="360" w:lineRule="auto"/>
              <w:ind w:firstLine="233" w:firstLineChars="111"/>
              <w:rPr>
                <w:rFonts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14:paraId="5CD8E4D4">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）满足竞争性磋商文件要求且评审报价最低的最后报价为评审基准价，其价格分为满分。</w:t>
            </w:r>
          </w:p>
          <w:p w14:paraId="23FD0D76">
            <w:pPr>
              <w:pStyle w:val="14"/>
              <w:spacing w:line="360" w:lineRule="auto"/>
              <w:rPr>
                <w:rFonts w:hAnsi="宋体" w:cs="Courier New"/>
                <w:bCs/>
                <w:color w:val="auto"/>
                <w:kern w:val="2"/>
                <w:sz w:val="21"/>
                <w:highlight w:val="none"/>
                <w:lang w:val="en-US" w:eastAsia="zh-CN"/>
              </w:rPr>
            </w:pPr>
            <w:r>
              <w:rPr>
                <w:rFonts w:hint="eastAsia" w:hAnsi="宋体"/>
                <w:bCs/>
                <w:color w:val="auto"/>
                <w:kern w:val="2"/>
                <w:sz w:val="21"/>
                <w:highlight w:val="none"/>
                <w:lang w:val="en-US" w:eastAsia="zh-CN"/>
              </w:rPr>
              <w:t>（3）某供应商价格分=（基准价/供应商评审报价）×10分。</w:t>
            </w:r>
          </w:p>
        </w:tc>
        <w:tc>
          <w:tcPr>
            <w:tcW w:w="851" w:type="dxa"/>
            <w:noWrap w:val="0"/>
            <w:vAlign w:val="center"/>
          </w:tcPr>
          <w:p w14:paraId="42F49A06">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14:paraId="5919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3A9D7ABA">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2</w:t>
            </w:r>
          </w:p>
        </w:tc>
        <w:tc>
          <w:tcPr>
            <w:tcW w:w="1418" w:type="dxa"/>
            <w:noWrap w:val="0"/>
            <w:vAlign w:val="center"/>
          </w:tcPr>
          <w:p w14:paraId="3B47B411">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技术方案分</w:t>
            </w:r>
          </w:p>
        </w:tc>
        <w:tc>
          <w:tcPr>
            <w:tcW w:w="7139" w:type="dxa"/>
            <w:gridSpan w:val="2"/>
            <w:noWrap w:val="0"/>
            <w:vAlign w:val="top"/>
          </w:tcPr>
          <w:p w14:paraId="66695A29">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6A0B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3E1FADBB">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2.1</w:t>
            </w:r>
          </w:p>
        </w:tc>
        <w:tc>
          <w:tcPr>
            <w:tcW w:w="1418" w:type="dxa"/>
            <w:noWrap w:val="0"/>
            <w:vAlign w:val="center"/>
          </w:tcPr>
          <w:p w14:paraId="4AACBE50">
            <w:pPr>
              <w:spacing w:line="400" w:lineRule="exact"/>
              <w:jc w:val="center"/>
              <w:rPr>
                <w:rFonts w:ascii="宋体" w:hAnsi="宋体"/>
                <w:bCs/>
                <w:color w:val="auto"/>
                <w:kern w:val="0"/>
                <w:szCs w:val="21"/>
                <w:highlight w:val="none"/>
              </w:rPr>
            </w:pPr>
            <w:r>
              <w:rPr>
                <w:rFonts w:hint="eastAsia" w:ascii="宋体" w:hAnsi="宋体" w:cs="宋体"/>
                <w:b/>
                <w:color w:val="auto"/>
                <w:szCs w:val="21"/>
                <w:highlight w:val="none"/>
              </w:rPr>
              <w:t xml:space="preserve">设计方案分  </w:t>
            </w:r>
          </w:p>
        </w:tc>
        <w:tc>
          <w:tcPr>
            <w:tcW w:w="6288" w:type="dxa"/>
            <w:noWrap w:val="0"/>
            <w:vAlign w:val="center"/>
          </w:tcPr>
          <w:p w14:paraId="41DF5DD9">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由磋商小组根据供应商响应文件中的设计方案内容进行评审独立打分。不入档计0分。</w:t>
            </w:r>
          </w:p>
          <w:p w14:paraId="7682D2E6">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一档(7分)：设计方案不够全面，思路脉络不清晰、重点难点分析不突出、项目理解不深刻。</w:t>
            </w:r>
          </w:p>
          <w:p w14:paraId="256B1504">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二档(14分)：基本满足采购文件要求，思路脉络不够清晰、方案介绍不够全面、重点难点分析有简单的分析、项目理解不够深刻；展示区域布局基本合理。</w:t>
            </w:r>
          </w:p>
          <w:p w14:paraId="13B0F159">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三档(21分)：满足采购文件要求，对项目需求有比较深刻的理解，能够体现出对项目背景、目标和需求的全面把握。思路脉络基本清晰、方案介绍基本全面、重点难点分析到位、项目理解到位。各展示区域设计运用的元素及色调有各自特色，风格比较突出。</w:t>
            </w:r>
          </w:p>
          <w:p w14:paraId="7227DC9F">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 xml:space="preserve">四档(28分)：在满足三档要求的基础上，设计有一定创意，切合主题，展区布局合理、清晰、可行性高，能有效提升观众体验。思路脉络比较清晰、方案介绍比较全面、重点难点分析比较突出、项目理解比较深刻。                                      </w:t>
            </w:r>
          </w:p>
          <w:p w14:paraId="38F4773F">
            <w:pPr>
              <w:spacing w:line="360" w:lineRule="exact"/>
              <w:ind w:firstLine="420" w:firstLineChars="200"/>
              <w:rPr>
                <w:rFonts w:hAnsi="宋体" w:cs="Courier New"/>
                <w:bCs/>
                <w:color w:val="auto"/>
                <w:highlight w:val="none"/>
              </w:rPr>
            </w:pPr>
            <w:r>
              <w:rPr>
                <w:rFonts w:hint="eastAsia" w:ascii="宋体" w:hAnsi="宋体" w:cs="Courier New"/>
                <w:bCs/>
                <w:color w:val="auto"/>
                <w:szCs w:val="21"/>
                <w:highlight w:val="none"/>
              </w:rPr>
              <w:t>五档(35分)：在满足四档评分要求的基础上，有创意，主题突出，视觉效果出色，展示效果极佳，观众体验强。思路脉络清晰、方案介绍全面、重点难点分析突出、项目理解深刻。提供基本的项目计划，时间安排合理。</w:t>
            </w:r>
          </w:p>
        </w:tc>
        <w:tc>
          <w:tcPr>
            <w:tcW w:w="851" w:type="dxa"/>
            <w:noWrap w:val="0"/>
            <w:vAlign w:val="center"/>
          </w:tcPr>
          <w:p w14:paraId="4451CF60">
            <w:pPr>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35分</w:t>
            </w:r>
          </w:p>
        </w:tc>
      </w:tr>
      <w:tr w14:paraId="2C50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410BC97E">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2.2</w:t>
            </w:r>
          </w:p>
        </w:tc>
        <w:tc>
          <w:tcPr>
            <w:tcW w:w="1418" w:type="dxa"/>
            <w:noWrap w:val="0"/>
            <w:vAlign w:val="center"/>
          </w:tcPr>
          <w:p w14:paraId="341DFB6A">
            <w:pPr>
              <w:spacing w:line="400" w:lineRule="exact"/>
              <w:ind w:right="92"/>
              <w:rPr>
                <w:rFonts w:ascii="宋体" w:hAnsi="宋体"/>
                <w:b/>
                <w:bCs/>
                <w:color w:val="auto"/>
                <w:kern w:val="0"/>
                <w:szCs w:val="21"/>
                <w:highlight w:val="none"/>
              </w:rPr>
            </w:pPr>
            <w:r>
              <w:rPr>
                <w:rFonts w:hint="eastAsia" w:ascii="宋体" w:hAnsi="宋体" w:cs="宋体"/>
                <w:b/>
                <w:bCs/>
                <w:color w:val="auto"/>
                <w:szCs w:val="21"/>
                <w:highlight w:val="none"/>
              </w:rPr>
              <w:t xml:space="preserve">实施组织方案分 </w:t>
            </w:r>
          </w:p>
        </w:tc>
        <w:tc>
          <w:tcPr>
            <w:tcW w:w="6288" w:type="dxa"/>
            <w:noWrap w:val="0"/>
            <w:vAlign w:val="center"/>
          </w:tcPr>
          <w:p w14:paraId="220CD162">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由磋商小组根据供应商响应文件中的实施组织方案内容进行评审独立打分。不入档计0分。</w:t>
            </w:r>
          </w:p>
          <w:p w14:paraId="1A3F0026">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一档(6分)：提供了项目组织实施方案，但方案内容不够全面。</w:t>
            </w:r>
          </w:p>
          <w:p w14:paraId="68600D28">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二档(12分)：提供了项目组织实施方案，且方案内容能满足采购需求。</w:t>
            </w:r>
          </w:p>
          <w:p w14:paraId="47A3AED9">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三档(18分)：提供了项目组织实施方案，有合理可行的项目进度控制措施，组织措施及安排有序、有一定可行性，且方案基本满足采购需求，组织实施方案基本可行。</w:t>
            </w:r>
          </w:p>
          <w:p w14:paraId="03DB008A">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四档(24分)：提供了项目组织实施方案，较详细描述了服务项目的内容以及实现方式，进度控制措施详细可行，组织实施方案可行，符合项目实际情况。有明确的项目进度，项目管理制度及方法严谨。</w:t>
            </w:r>
          </w:p>
          <w:p w14:paraId="16DE91BD">
            <w:pPr>
              <w:spacing w:line="360" w:lineRule="exact"/>
              <w:ind w:firstLine="420" w:firstLineChars="200"/>
              <w:rPr>
                <w:rFonts w:hAnsi="宋体"/>
                <w:bCs/>
                <w:color w:val="auto"/>
                <w:highlight w:val="none"/>
              </w:rPr>
            </w:pPr>
            <w:r>
              <w:rPr>
                <w:rFonts w:hint="eastAsia" w:ascii="宋体" w:hAnsi="宋体" w:cs="Courier New"/>
                <w:bCs/>
                <w:color w:val="auto"/>
                <w:szCs w:val="21"/>
                <w:highlight w:val="none"/>
              </w:rPr>
              <w:t>五档（30分)：提供了项目组织实施方案，详细描述了服务项目的内容以及实现方式，完全满足项目的需要。组织实施方案可行，科学合理，且具有一定的先进性。有明确的项目进度、管理措施、项目实施保障措施，对质量有详细的控制方案和措施，对项目小组成员有详细的介绍（如人员岗位、职责等）。</w:t>
            </w:r>
          </w:p>
        </w:tc>
        <w:tc>
          <w:tcPr>
            <w:tcW w:w="851" w:type="dxa"/>
            <w:noWrap w:val="0"/>
            <w:vAlign w:val="center"/>
          </w:tcPr>
          <w:p w14:paraId="140EF721">
            <w:pPr>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30分</w:t>
            </w:r>
          </w:p>
        </w:tc>
      </w:tr>
      <w:tr w14:paraId="1F24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44706EAF">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2.3</w:t>
            </w:r>
          </w:p>
        </w:tc>
        <w:tc>
          <w:tcPr>
            <w:tcW w:w="1418" w:type="dxa"/>
            <w:noWrap w:val="0"/>
            <w:vAlign w:val="center"/>
          </w:tcPr>
          <w:p w14:paraId="74E8BEE3">
            <w:pPr>
              <w:spacing w:line="400" w:lineRule="exact"/>
              <w:ind w:right="92"/>
              <w:rPr>
                <w:rFonts w:ascii="宋体" w:hAnsi="宋体"/>
                <w:bCs/>
                <w:color w:val="auto"/>
                <w:kern w:val="0"/>
                <w:szCs w:val="21"/>
                <w:highlight w:val="none"/>
              </w:rPr>
            </w:pPr>
            <w:r>
              <w:rPr>
                <w:rFonts w:hint="eastAsia" w:ascii="宋体" w:hAnsi="宋体" w:cs="宋体"/>
                <w:b/>
                <w:bCs/>
                <w:color w:val="auto"/>
                <w:szCs w:val="21"/>
                <w:highlight w:val="none"/>
              </w:rPr>
              <w:t>保障措施分</w:t>
            </w:r>
          </w:p>
        </w:tc>
        <w:tc>
          <w:tcPr>
            <w:tcW w:w="6288" w:type="dxa"/>
            <w:noWrap w:val="0"/>
            <w:vAlign w:val="center"/>
          </w:tcPr>
          <w:p w14:paraId="36A1190D">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由磋商小组根据供应商响应文件中保障措施进行评审独立打分。不入档计0分。</w:t>
            </w:r>
          </w:p>
          <w:p w14:paraId="5FEC7D1D">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一档(2分)：提供有保障措施，措施内容不够全面，可行性不高。</w:t>
            </w:r>
          </w:p>
          <w:p w14:paraId="1425F30A">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二档(4分)：提供有保障措施，保障措施完整，具有一定的可行性。</w:t>
            </w:r>
          </w:p>
          <w:p w14:paraId="48B82E18">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三档(6分)：提供的保障措施承诺基本满足采购需求，承诺基本较具体、可行。服务质量管理措施具体，整体响应程度较好。</w:t>
            </w:r>
          </w:p>
          <w:p w14:paraId="563DD13E">
            <w:pPr>
              <w:spacing w:line="360" w:lineRule="exact"/>
              <w:ind w:firstLine="420" w:firstLineChars="200"/>
              <w:rPr>
                <w:rFonts w:hAnsi="宋体" w:cs="Courier New"/>
                <w:bCs/>
                <w:color w:val="auto"/>
                <w:highlight w:val="none"/>
              </w:rPr>
            </w:pPr>
            <w:r>
              <w:rPr>
                <w:rFonts w:hint="eastAsia" w:ascii="宋体" w:hAnsi="宋体" w:cs="Courier New"/>
                <w:bCs/>
                <w:color w:val="auto"/>
                <w:szCs w:val="21"/>
                <w:highlight w:val="none"/>
              </w:rPr>
              <w:t>四档(10分)： 提供的保障措施承诺，较详细描述了服务人员构成及服务方式。承诺切实可行，符合项目实际情况。提供的服务承诺的涵盖了专业能力、工作执行、质量把控、沟通协作、故障响应等内容，服务质量管理措施承诺合理可行。</w:t>
            </w:r>
          </w:p>
        </w:tc>
        <w:tc>
          <w:tcPr>
            <w:tcW w:w="851" w:type="dxa"/>
            <w:noWrap w:val="0"/>
            <w:vAlign w:val="center"/>
          </w:tcPr>
          <w:p w14:paraId="1DCEECF5">
            <w:pPr>
              <w:widowControl/>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10分</w:t>
            </w:r>
          </w:p>
        </w:tc>
      </w:tr>
      <w:tr w14:paraId="1581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5EB3A4CB">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418" w:type="dxa"/>
            <w:noWrap w:val="0"/>
            <w:vAlign w:val="center"/>
          </w:tcPr>
          <w:p w14:paraId="37478CE9">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商务分</w:t>
            </w:r>
          </w:p>
        </w:tc>
        <w:tc>
          <w:tcPr>
            <w:tcW w:w="7139" w:type="dxa"/>
            <w:gridSpan w:val="2"/>
            <w:noWrap w:val="0"/>
            <w:vAlign w:val="center"/>
          </w:tcPr>
          <w:p w14:paraId="440D491B">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评审因素</w:t>
            </w:r>
          </w:p>
        </w:tc>
      </w:tr>
      <w:tr w14:paraId="77EA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0"/>
            <w:vAlign w:val="center"/>
          </w:tcPr>
          <w:p w14:paraId="3E1043CD">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3.1</w:t>
            </w:r>
          </w:p>
        </w:tc>
        <w:tc>
          <w:tcPr>
            <w:tcW w:w="1418" w:type="dxa"/>
            <w:noWrap w:val="0"/>
            <w:vAlign w:val="center"/>
          </w:tcPr>
          <w:p w14:paraId="5AC0785E">
            <w:pPr>
              <w:widowControl/>
              <w:spacing w:line="360" w:lineRule="auto"/>
              <w:jc w:val="center"/>
              <w:rPr>
                <w:rFonts w:ascii="宋体" w:hAnsi="宋体" w:cs="Courier New"/>
                <w:bCs/>
                <w:color w:val="auto"/>
                <w:kern w:val="0"/>
                <w:szCs w:val="21"/>
                <w:highlight w:val="none"/>
              </w:rPr>
            </w:pPr>
            <w:r>
              <w:rPr>
                <w:rFonts w:hint="eastAsia" w:ascii="宋体" w:hAnsi="宋体" w:cs="宋体"/>
                <w:color w:val="auto"/>
                <w:kern w:val="0"/>
                <w:szCs w:val="21"/>
                <w:highlight w:val="none"/>
              </w:rPr>
              <w:t>业绩分</w:t>
            </w:r>
          </w:p>
        </w:tc>
        <w:tc>
          <w:tcPr>
            <w:tcW w:w="6288" w:type="dxa"/>
            <w:noWrap w:val="0"/>
            <w:vAlign w:val="center"/>
          </w:tcPr>
          <w:p w14:paraId="543DFEC0">
            <w:pPr>
              <w:spacing w:line="420" w:lineRule="exact"/>
              <w:rPr>
                <w:color w:val="auto"/>
                <w:highlight w:val="none"/>
              </w:rPr>
            </w:pPr>
            <w:r>
              <w:rPr>
                <w:rFonts w:hint="eastAsia" w:ascii="宋体" w:hAnsi="宋体" w:cs="宋体"/>
                <w:bCs/>
                <w:color w:val="auto"/>
                <w:szCs w:val="21"/>
                <w:highlight w:val="none"/>
              </w:rPr>
              <w:t>供应商2022年1月1日以来有过同类项目业绩的（指包含设计和展陈项目）每有1项得3分，满分15分。[提供中标/成交通知书复印件或合同关键页复印件（合同关键页至少应包括合同首尾、合同签署日期、服务期限等关键内容，否则对应合同不得分）]</w:t>
            </w:r>
          </w:p>
        </w:tc>
        <w:tc>
          <w:tcPr>
            <w:tcW w:w="851" w:type="dxa"/>
            <w:noWrap w:val="0"/>
            <w:vAlign w:val="center"/>
          </w:tcPr>
          <w:p w14:paraId="0FE96D24">
            <w:pPr>
              <w:widowControl/>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15分</w:t>
            </w:r>
          </w:p>
        </w:tc>
      </w:tr>
      <w:tr w14:paraId="365F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4775E952">
            <w:pPr>
              <w:pStyle w:val="14"/>
              <w:spacing w:line="360" w:lineRule="auto"/>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总得分＝1＋2＋3</w:t>
            </w:r>
          </w:p>
        </w:tc>
        <w:tc>
          <w:tcPr>
            <w:tcW w:w="851" w:type="dxa"/>
            <w:noWrap w:val="0"/>
            <w:vAlign w:val="center"/>
          </w:tcPr>
          <w:p w14:paraId="6A6CBEAB">
            <w:pPr>
              <w:widowControl/>
              <w:spacing w:line="360" w:lineRule="auto"/>
              <w:jc w:val="center"/>
              <w:rPr>
                <w:rFonts w:ascii="宋体" w:hAnsi="宋体" w:cs="Tahoma"/>
                <w:color w:val="auto"/>
                <w:kern w:val="0"/>
                <w:szCs w:val="21"/>
                <w:highlight w:val="none"/>
              </w:rPr>
            </w:pPr>
          </w:p>
        </w:tc>
      </w:tr>
    </w:tbl>
    <w:p w14:paraId="7502440A">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31AB321D">
      <w:pPr>
        <w:spacing w:line="400" w:lineRule="exact"/>
        <w:ind w:firstLine="420" w:firstLineChars="200"/>
        <w:rPr>
          <w:rFonts w:ascii="宋体" w:hAnsi="宋体" w:cs="宋体"/>
          <w:color w:val="auto"/>
          <w:highlight w:val="none"/>
        </w:rPr>
      </w:pPr>
    </w:p>
    <w:p w14:paraId="59D4E3E3">
      <w:pPr>
        <w:spacing w:line="400" w:lineRule="exact"/>
        <w:ind w:firstLine="420" w:firstLineChars="200"/>
        <w:rPr>
          <w:rFonts w:ascii="宋体" w:hAnsi="宋体" w:cs="宋体"/>
          <w:color w:val="auto"/>
          <w:highlight w:val="none"/>
        </w:rPr>
      </w:pPr>
    </w:p>
    <w:p w14:paraId="48C4B0D5">
      <w:pPr>
        <w:pStyle w:val="2"/>
        <w:jc w:val="center"/>
        <w:rPr>
          <w:color w:val="auto"/>
          <w:highlight w:val="none"/>
        </w:rPr>
      </w:pPr>
      <w:r>
        <w:rPr>
          <w:color w:val="auto"/>
          <w:highlight w:val="none"/>
        </w:rPr>
        <w:br w:type="page"/>
      </w:r>
      <w:bookmarkStart w:id="78" w:name="_Toc74323460"/>
      <w:r>
        <w:rPr>
          <w:rFonts w:hint="eastAsia"/>
          <w:color w:val="auto"/>
          <w:highlight w:val="none"/>
        </w:rPr>
        <w:t>第五章 响应文件格式</w:t>
      </w:r>
      <w:bookmarkEnd w:id="78"/>
    </w:p>
    <w:p w14:paraId="70EC75C8">
      <w:pPr>
        <w:spacing w:line="240" w:lineRule="atLeast"/>
        <w:rPr>
          <w:rFonts w:ascii="宋体" w:hAnsi="宋体"/>
          <w:b/>
          <w:color w:val="auto"/>
          <w:sz w:val="32"/>
          <w:szCs w:val="32"/>
          <w:highlight w:val="none"/>
        </w:rPr>
      </w:pPr>
    </w:p>
    <w:p w14:paraId="3652CBEF">
      <w:pPr>
        <w:spacing w:line="240" w:lineRule="atLeast"/>
        <w:rPr>
          <w:rFonts w:ascii="宋体" w:hAnsi="宋体"/>
          <w:b/>
          <w:color w:val="auto"/>
          <w:sz w:val="32"/>
          <w:szCs w:val="32"/>
          <w:highlight w:val="none"/>
        </w:rPr>
      </w:pPr>
    </w:p>
    <w:p w14:paraId="5EB01744">
      <w:pPr>
        <w:spacing w:line="240" w:lineRule="atLeast"/>
        <w:rPr>
          <w:rFonts w:ascii="宋体" w:hAnsi="宋体"/>
          <w:b/>
          <w:color w:val="auto"/>
          <w:sz w:val="32"/>
          <w:szCs w:val="32"/>
          <w:highlight w:val="none"/>
        </w:rPr>
      </w:pPr>
    </w:p>
    <w:p w14:paraId="7E9476EB">
      <w:pPr>
        <w:spacing w:line="240" w:lineRule="atLeast"/>
        <w:rPr>
          <w:rFonts w:ascii="宋体" w:hAnsi="宋体"/>
          <w:b/>
          <w:color w:val="auto"/>
          <w:sz w:val="32"/>
          <w:szCs w:val="32"/>
          <w:highlight w:val="none"/>
        </w:rPr>
      </w:pPr>
    </w:p>
    <w:p w14:paraId="19873CCA">
      <w:pPr>
        <w:spacing w:line="240" w:lineRule="atLeast"/>
        <w:rPr>
          <w:rFonts w:ascii="宋体" w:hAnsi="宋体"/>
          <w:b/>
          <w:color w:val="auto"/>
          <w:sz w:val="32"/>
          <w:szCs w:val="32"/>
          <w:highlight w:val="none"/>
        </w:rPr>
      </w:pPr>
    </w:p>
    <w:p w14:paraId="129BBC2D">
      <w:pPr>
        <w:spacing w:line="240" w:lineRule="atLeast"/>
        <w:rPr>
          <w:rFonts w:ascii="宋体" w:hAnsi="宋体"/>
          <w:b/>
          <w:color w:val="auto"/>
          <w:sz w:val="32"/>
          <w:szCs w:val="32"/>
          <w:highlight w:val="none"/>
        </w:rPr>
      </w:pPr>
    </w:p>
    <w:p w14:paraId="1391E1C9">
      <w:pPr>
        <w:spacing w:line="240" w:lineRule="atLeast"/>
        <w:rPr>
          <w:rFonts w:ascii="宋体" w:hAnsi="宋体"/>
          <w:b/>
          <w:color w:val="auto"/>
          <w:sz w:val="32"/>
          <w:szCs w:val="32"/>
          <w:highlight w:val="none"/>
        </w:rPr>
      </w:pPr>
    </w:p>
    <w:p w14:paraId="629FBA43">
      <w:pPr>
        <w:spacing w:line="240" w:lineRule="atLeast"/>
        <w:rPr>
          <w:rFonts w:ascii="宋体" w:hAnsi="宋体"/>
          <w:b/>
          <w:color w:val="auto"/>
          <w:sz w:val="32"/>
          <w:szCs w:val="32"/>
          <w:highlight w:val="none"/>
        </w:rPr>
      </w:pPr>
    </w:p>
    <w:p w14:paraId="1403ED2A">
      <w:pPr>
        <w:spacing w:line="240" w:lineRule="atLeast"/>
        <w:rPr>
          <w:rFonts w:ascii="宋体" w:hAnsi="宋体"/>
          <w:b/>
          <w:color w:val="auto"/>
          <w:sz w:val="32"/>
          <w:szCs w:val="32"/>
          <w:highlight w:val="none"/>
        </w:rPr>
      </w:pPr>
    </w:p>
    <w:p w14:paraId="4D64B065">
      <w:pPr>
        <w:pStyle w:val="6"/>
        <w:rPr>
          <w:color w:val="auto"/>
          <w:highlight w:val="none"/>
        </w:rPr>
      </w:pPr>
    </w:p>
    <w:p w14:paraId="4915BFD5">
      <w:pPr>
        <w:pStyle w:val="6"/>
        <w:rPr>
          <w:color w:val="auto"/>
          <w:highlight w:val="none"/>
        </w:rPr>
      </w:pPr>
    </w:p>
    <w:p w14:paraId="3BEA6895">
      <w:pPr>
        <w:pStyle w:val="6"/>
        <w:rPr>
          <w:color w:val="auto"/>
          <w:highlight w:val="none"/>
        </w:rPr>
      </w:pPr>
    </w:p>
    <w:p w14:paraId="3CA7DC81">
      <w:pPr>
        <w:pStyle w:val="6"/>
        <w:rPr>
          <w:color w:val="auto"/>
          <w:highlight w:val="none"/>
        </w:rPr>
      </w:pPr>
    </w:p>
    <w:p w14:paraId="1578F7F4">
      <w:pPr>
        <w:pStyle w:val="6"/>
        <w:rPr>
          <w:color w:val="auto"/>
          <w:highlight w:val="none"/>
        </w:rPr>
      </w:pPr>
    </w:p>
    <w:p w14:paraId="3DB72EB7">
      <w:pPr>
        <w:pStyle w:val="6"/>
        <w:rPr>
          <w:color w:val="auto"/>
          <w:highlight w:val="none"/>
        </w:rPr>
      </w:pPr>
    </w:p>
    <w:p w14:paraId="453E31FA">
      <w:pPr>
        <w:pStyle w:val="6"/>
        <w:rPr>
          <w:color w:val="auto"/>
          <w:highlight w:val="none"/>
        </w:rPr>
      </w:pPr>
    </w:p>
    <w:p w14:paraId="4434A6D1">
      <w:pPr>
        <w:pStyle w:val="6"/>
        <w:rPr>
          <w:color w:val="auto"/>
          <w:highlight w:val="none"/>
        </w:rPr>
      </w:pPr>
    </w:p>
    <w:p w14:paraId="634CB07D">
      <w:pPr>
        <w:pStyle w:val="6"/>
        <w:rPr>
          <w:color w:val="auto"/>
          <w:highlight w:val="none"/>
        </w:rPr>
      </w:pPr>
    </w:p>
    <w:p w14:paraId="55E648BA">
      <w:pPr>
        <w:pStyle w:val="6"/>
        <w:rPr>
          <w:color w:val="auto"/>
          <w:highlight w:val="none"/>
        </w:rPr>
      </w:pPr>
    </w:p>
    <w:p w14:paraId="39ED50A0">
      <w:pPr>
        <w:pStyle w:val="6"/>
        <w:rPr>
          <w:color w:val="auto"/>
          <w:highlight w:val="none"/>
        </w:rPr>
      </w:pPr>
    </w:p>
    <w:p w14:paraId="25B60555">
      <w:pPr>
        <w:pStyle w:val="6"/>
        <w:rPr>
          <w:color w:val="auto"/>
          <w:highlight w:val="none"/>
        </w:rPr>
      </w:pPr>
    </w:p>
    <w:p w14:paraId="560F0723">
      <w:pPr>
        <w:pStyle w:val="6"/>
        <w:rPr>
          <w:color w:val="auto"/>
          <w:highlight w:val="none"/>
        </w:rPr>
      </w:pPr>
    </w:p>
    <w:p w14:paraId="470BCA9B">
      <w:pPr>
        <w:pStyle w:val="6"/>
        <w:rPr>
          <w:color w:val="auto"/>
          <w:highlight w:val="none"/>
        </w:rPr>
      </w:pPr>
    </w:p>
    <w:p w14:paraId="54AEB75B">
      <w:pPr>
        <w:pStyle w:val="6"/>
        <w:rPr>
          <w:color w:val="auto"/>
          <w:highlight w:val="none"/>
        </w:rPr>
      </w:pPr>
    </w:p>
    <w:p w14:paraId="5B0B3D06">
      <w:pPr>
        <w:pStyle w:val="6"/>
        <w:rPr>
          <w:color w:val="auto"/>
          <w:highlight w:val="none"/>
        </w:rPr>
      </w:pPr>
    </w:p>
    <w:p w14:paraId="46362C4B">
      <w:pPr>
        <w:pStyle w:val="6"/>
        <w:rPr>
          <w:color w:val="auto"/>
          <w:highlight w:val="none"/>
        </w:rPr>
      </w:pPr>
    </w:p>
    <w:p w14:paraId="02C73CFC">
      <w:pPr>
        <w:pStyle w:val="6"/>
        <w:rPr>
          <w:color w:val="auto"/>
          <w:highlight w:val="none"/>
        </w:rPr>
      </w:pPr>
    </w:p>
    <w:p w14:paraId="2FD5976D">
      <w:pPr>
        <w:pStyle w:val="6"/>
        <w:rPr>
          <w:color w:val="auto"/>
          <w:highlight w:val="none"/>
        </w:rPr>
      </w:pPr>
    </w:p>
    <w:p w14:paraId="41DE4A7D">
      <w:pPr>
        <w:pStyle w:val="6"/>
        <w:rPr>
          <w:color w:val="auto"/>
          <w:highlight w:val="none"/>
        </w:rPr>
      </w:pPr>
    </w:p>
    <w:p w14:paraId="28B8DB57">
      <w:pPr>
        <w:pStyle w:val="6"/>
        <w:rPr>
          <w:color w:val="auto"/>
          <w:highlight w:val="none"/>
        </w:rPr>
      </w:pPr>
    </w:p>
    <w:p w14:paraId="596E6ECF">
      <w:pPr>
        <w:pStyle w:val="6"/>
        <w:rPr>
          <w:color w:val="auto"/>
          <w:highlight w:val="none"/>
        </w:rPr>
      </w:pPr>
    </w:p>
    <w:p w14:paraId="2844CAEE">
      <w:pPr>
        <w:pStyle w:val="6"/>
        <w:rPr>
          <w:color w:val="auto"/>
          <w:highlight w:val="none"/>
        </w:rPr>
      </w:pPr>
    </w:p>
    <w:p w14:paraId="31919949">
      <w:pPr>
        <w:pStyle w:val="6"/>
        <w:rPr>
          <w:color w:val="auto"/>
          <w:highlight w:val="none"/>
        </w:rPr>
      </w:pPr>
    </w:p>
    <w:p w14:paraId="17D7FDEA">
      <w:pPr>
        <w:pStyle w:val="6"/>
        <w:rPr>
          <w:color w:val="auto"/>
          <w:highlight w:val="none"/>
        </w:rPr>
      </w:pPr>
    </w:p>
    <w:p w14:paraId="7C130783">
      <w:pPr>
        <w:spacing w:line="240" w:lineRule="atLeast"/>
        <w:rPr>
          <w:rFonts w:ascii="宋体" w:hAnsi="宋体"/>
          <w:b/>
          <w:color w:val="auto"/>
          <w:sz w:val="32"/>
          <w:szCs w:val="32"/>
          <w:highlight w:val="none"/>
        </w:rPr>
      </w:pPr>
    </w:p>
    <w:p w14:paraId="3B3877F1">
      <w:pPr>
        <w:spacing w:line="240" w:lineRule="atLeast"/>
        <w:rPr>
          <w:rFonts w:ascii="宋体" w:hAnsi="宋体"/>
          <w:b/>
          <w:color w:val="auto"/>
          <w:sz w:val="32"/>
          <w:szCs w:val="32"/>
          <w:highlight w:val="none"/>
        </w:rPr>
      </w:pPr>
    </w:p>
    <w:p w14:paraId="4DE6A3A9">
      <w:pPr>
        <w:snapToGrid w:val="0"/>
        <w:spacing w:before="50" w:after="50"/>
        <w:outlineLvl w:val="1"/>
        <w:rPr>
          <w:rFonts w:ascii="宋体" w:hAnsi="宋体"/>
          <w:b/>
          <w:bCs/>
          <w:color w:val="auto"/>
          <w:sz w:val="24"/>
          <w:highlight w:val="none"/>
        </w:rPr>
      </w:pPr>
    </w:p>
    <w:p w14:paraId="6F676C16">
      <w:pPr>
        <w:snapToGrid w:val="0"/>
        <w:spacing w:before="120" w:beforeLines="50" w:after="50"/>
        <w:jc w:val="center"/>
        <w:rPr>
          <w:rFonts w:ascii="仿宋_GB2312" w:hAnsi="仿宋_GB2312" w:eastAsia="仿宋_GB2312" w:cs="仿宋_GB2312"/>
          <w:bCs/>
          <w:color w:val="auto"/>
          <w:sz w:val="32"/>
          <w:szCs w:val="32"/>
          <w:highlight w:val="none"/>
        </w:rPr>
      </w:pPr>
    </w:p>
    <w:p w14:paraId="0403D94E">
      <w:pPr>
        <w:rPr>
          <w:b/>
          <w:color w:val="auto"/>
          <w:sz w:val="32"/>
          <w:szCs w:val="32"/>
          <w:highlight w:val="none"/>
        </w:rPr>
      </w:pPr>
      <w:bookmarkStart w:id="79" w:name="_Toc35611516"/>
      <w:bookmarkStart w:id="80" w:name="_Toc71366186"/>
      <w:bookmarkStart w:id="81" w:name="_Toc31728084"/>
      <w:bookmarkStart w:id="82" w:name="_Toc44229899"/>
      <w:bookmarkStart w:id="83" w:name="_Toc35611438"/>
      <w:bookmarkStart w:id="84" w:name="_Toc31723070"/>
      <w:r>
        <w:rPr>
          <w:rFonts w:hint="eastAsia"/>
          <w:b/>
          <w:color w:val="auto"/>
          <w:sz w:val="32"/>
          <w:szCs w:val="32"/>
          <w:highlight w:val="none"/>
        </w:rPr>
        <w:t>一、资格证明文件格式</w:t>
      </w:r>
      <w:bookmarkEnd w:id="79"/>
      <w:bookmarkEnd w:id="80"/>
      <w:bookmarkEnd w:id="81"/>
      <w:bookmarkEnd w:id="82"/>
      <w:bookmarkEnd w:id="83"/>
      <w:bookmarkEnd w:id="84"/>
    </w:p>
    <w:p w14:paraId="5E24D370">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C3825DF">
      <w:pPr>
        <w:snapToGrid w:val="0"/>
        <w:spacing w:before="120" w:beforeLines="50" w:after="50"/>
        <w:jc w:val="center"/>
        <w:rPr>
          <w:rFonts w:ascii="宋体" w:hAnsi="宋体"/>
          <w:color w:val="auto"/>
          <w:sz w:val="44"/>
          <w:szCs w:val="44"/>
          <w:highlight w:val="none"/>
        </w:rPr>
      </w:pPr>
    </w:p>
    <w:p w14:paraId="4E7D11BC">
      <w:pPr>
        <w:snapToGrid w:val="0"/>
        <w:spacing w:before="120"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6BD88EE8">
      <w:pPr>
        <w:snapToGrid w:val="0"/>
        <w:spacing w:before="120" w:beforeLines="50" w:after="50"/>
        <w:rPr>
          <w:rFonts w:ascii="宋体" w:hAnsi="宋体"/>
          <w:color w:val="auto"/>
          <w:sz w:val="24"/>
          <w:szCs w:val="20"/>
          <w:highlight w:val="none"/>
        </w:rPr>
      </w:pPr>
    </w:p>
    <w:p w14:paraId="54136D61">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EFA3D08">
      <w:pPr>
        <w:snapToGrid w:val="0"/>
        <w:spacing w:before="120" w:beforeLines="50" w:after="50"/>
        <w:rPr>
          <w:rFonts w:ascii="宋体" w:hAnsi="宋体"/>
          <w:bCs/>
          <w:color w:val="auto"/>
          <w:sz w:val="24"/>
          <w:szCs w:val="20"/>
          <w:highlight w:val="none"/>
        </w:rPr>
      </w:pPr>
    </w:p>
    <w:p w14:paraId="035A9401">
      <w:pPr>
        <w:snapToGrid w:val="0"/>
        <w:spacing w:before="120" w:beforeLines="50" w:after="50"/>
        <w:rPr>
          <w:rFonts w:ascii="宋体" w:hAnsi="宋体"/>
          <w:bCs/>
          <w:color w:val="auto"/>
          <w:sz w:val="24"/>
          <w:szCs w:val="20"/>
          <w:highlight w:val="none"/>
        </w:rPr>
      </w:pPr>
    </w:p>
    <w:p w14:paraId="4174BFC3">
      <w:pPr>
        <w:snapToGrid w:val="0"/>
        <w:spacing w:before="120" w:beforeLines="50" w:after="50"/>
        <w:rPr>
          <w:rFonts w:ascii="宋体" w:hAnsi="宋体"/>
          <w:bCs/>
          <w:color w:val="auto"/>
          <w:sz w:val="24"/>
          <w:szCs w:val="20"/>
          <w:highlight w:val="none"/>
        </w:rPr>
      </w:pPr>
    </w:p>
    <w:p w14:paraId="789F439B">
      <w:pPr>
        <w:snapToGrid w:val="0"/>
        <w:spacing w:before="120" w:beforeLines="50" w:after="50"/>
        <w:rPr>
          <w:rFonts w:ascii="宋体" w:hAnsi="宋体"/>
          <w:bCs/>
          <w:color w:val="auto"/>
          <w:sz w:val="24"/>
          <w:szCs w:val="20"/>
          <w:highlight w:val="none"/>
        </w:rPr>
      </w:pPr>
    </w:p>
    <w:p w14:paraId="3552F33E">
      <w:pPr>
        <w:snapToGrid w:val="0"/>
        <w:spacing w:before="120" w:beforeLines="50" w:after="50"/>
        <w:rPr>
          <w:rFonts w:ascii="宋体" w:hAnsi="宋体"/>
          <w:bCs/>
          <w:color w:val="auto"/>
          <w:sz w:val="24"/>
          <w:szCs w:val="20"/>
          <w:highlight w:val="none"/>
        </w:rPr>
      </w:pPr>
    </w:p>
    <w:p w14:paraId="6408718F">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26A0248">
      <w:pPr>
        <w:snapToGrid w:val="0"/>
        <w:spacing w:before="120" w:beforeLines="50" w:after="50"/>
        <w:ind w:firstLine="720" w:firstLineChars="225"/>
        <w:rPr>
          <w:rFonts w:ascii="宋体" w:hAnsi="宋体" w:cs="仿宋_GB2312"/>
          <w:bCs/>
          <w:color w:val="auto"/>
          <w:sz w:val="32"/>
          <w:szCs w:val="32"/>
          <w:highlight w:val="none"/>
        </w:rPr>
      </w:pPr>
    </w:p>
    <w:p w14:paraId="5C78C024">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3ACF8FC">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59F917E">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C853660">
      <w:pPr>
        <w:snapToGrid w:val="0"/>
        <w:spacing w:before="120" w:beforeLines="50" w:after="50"/>
        <w:ind w:firstLine="720" w:firstLineChars="225"/>
        <w:rPr>
          <w:rFonts w:ascii="宋体" w:hAnsi="宋体" w:cs="仿宋_GB2312"/>
          <w:bCs/>
          <w:color w:val="auto"/>
          <w:sz w:val="32"/>
          <w:szCs w:val="32"/>
          <w:highlight w:val="none"/>
        </w:rPr>
      </w:pPr>
    </w:p>
    <w:p w14:paraId="5611E8A2">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DF2AB01">
      <w:pPr>
        <w:snapToGrid w:val="0"/>
        <w:spacing w:before="120" w:beforeLines="50" w:after="50"/>
        <w:ind w:firstLine="640" w:firstLineChars="200"/>
        <w:rPr>
          <w:rFonts w:ascii="宋体" w:hAnsi="宋体" w:cs="仿宋_GB2312"/>
          <w:bCs/>
          <w:color w:val="auto"/>
          <w:sz w:val="32"/>
          <w:szCs w:val="32"/>
          <w:highlight w:val="none"/>
        </w:rPr>
      </w:pPr>
    </w:p>
    <w:p w14:paraId="1D555505">
      <w:pPr>
        <w:pStyle w:val="6"/>
        <w:snapToGrid w:val="0"/>
        <w:spacing w:before="50" w:after="50"/>
        <w:ind w:firstLine="720" w:firstLineChars="225"/>
        <w:rPr>
          <w:rFonts w:ascii="宋体" w:hAnsi="宋体" w:cs="仿宋_GB2312"/>
          <w:bCs/>
          <w:color w:val="auto"/>
          <w:sz w:val="32"/>
          <w:szCs w:val="32"/>
          <w:highlight w:val="none"/>
        </w:rPr>
      </w:pPr>
    </w:p>
    <w:p w14:paraId="4ECF1558">
      <w:pPr>
        <w:pStyle w:val="6"/>
        <w:snapToGrid w:val="0"/>
        <w:spacing w:before="50" w:after="50"/>
        <w:ind w:firstLine="720" w:firstLineChars="225"/>
        <w:rPr>
          <w:rFonts w:ascii="宋体" w:hAnsi="宋体" w:cs="仿宋_GB2312"/>
          <w:bCs/>
          <w:color w:val="auto"/>
          <w:sz w:val="32"/>
          <w:szCs w:val="32"/>
          <w:highlight w:val="none"/>
        </w:rPr>
      </w:pPr>
    </w:p>
    <w:p w14:paraId="071801D0">
      <w:pPr>
        <w:pStyle w:val="6"/>
        <w:snapToGrid w:val="0"/>
        <w:spacing w:before="50" w:after="50"/>
        <w:ind w:firstLine="1280" w:firstLineChars="400"/>
        <w:rPr>
          <w:rFonts w:ascii="宋体" w:hAnsi="宋体" w:cs="仿宋_GB2312"/>
          <w:bCs/>
          <w:color w:val="auto"/>
          <w:sz w:val="32"/>
          <w:szCs w:val="32"/>
          <w:highlight w:val="none"/>
        </w:rPr>
      </w:pPr>
    </w:p>
    <w:p w14:paraId="13AE89CC">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1BE8954">
      <w:pPr>
        <w:snapToGrid w:val="0"/>
        <w:spacing w:before="120"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432075E9">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86B050D">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AE593F2">
      <w:pPr>
        <w:spacing w:line="300" w:lineRule="auto"/>
        <w:rPr>
          <w:rFonts w:ascii="宋体" w:hAnsi="宋体"/>
          <w:color w:val="auto"/>
          <w:szCs w:val="21"/>
          <w:highlight w:val="none"/>
        </w:rPr>
      </w:pPr>
    </w:p>
    <w:p w14:paraId="3B6B8C7D">
      <w:pPr>
        <w:spacing w:line="300" w:lineRule="auto"/>
        <w:rPr>
          <w:rFonts w:ascii="宋体" w:hAnsi="宋体"/>
          <w:color w:val="auto"/>
          <w:szCs w:val="21"/>
          <w:highlight w:val="none"/>
        </w:rPr>
      </w:pPr>
    </w:p>
    <w:p w14:paraId="0C7A6A0E">
      <w:pPr>
        <w:spacing w:line="300" w:lineRule="auto"/>
        <w:rPr>
          <w:rFonts w:ascii="宋体" w:hAnsi="宋体"/>
          <w:color w:val="auto"/>
          <w:szCs w:val="21"/>
          <w:highlight w:val="none"/>
        </w:rPr>
      </w:pPr>
    </w:p>
    <w:p w14:paraId="07B74D74">
      <w:pPr>
        <w:spacing w:line="300" w:lineRule="auto"/>
        <w:rPr>
          <w:rFonts w:ascii="宋体" w:hAnsi="宋体"/>
          <w:color w:val="auto"/>
          <w:szCs w:val="21"/>
          <w:highlight w:val="none"/>
        </w:rPr>
      </w:pPr>
    </w:p>
    <w:p w14:paraId="5C16BCB4">
      <w:pPr>
        <w:spacing w:line="300" w:lineRule="auto"/>
        <w:rPr>
          <w:rFonts w:ascii="宋体" w:hAnsi="宋体"/>
          <w:color w:val="auto"/>
          <w:szCs w:val="21"/>
          <w:highlight w:val="none"/>
        </w:rPr>
      </w:pPr>
    </w:p>
    <w:p w14:paraId="3A80637E">
      <w:pPr>
        <w:spacing w:line="300" w:lineRule="auto"/>
        <w:rPr>
          <w:rFonts w:ascii="宋体" w:hAnsi="宋体"/>
          <w:color w:val="auto"/>
          <w:szCs w:val="21"/>
          <w:highlight w:val="none"/>
        </w:rPr>
      </w:pPr>
    </w:p>
    <w:p w14:paraId="50CF7140">
      <w:pPr>
        <w:spacing w:line="300" w:lineRule="auto"/>
        <w:rPr>
          <w:rFonts w:ascii="宋体" w:hAnsi="宋体"/>
          <w:color w:val="auto"/>
          <w:szCs w:val="21"/>
          <w:highlight w:val="none"/>
        </w:rPr>
      </w:pPr>
    </w:p>
    <w:p w14:paraId="4090AA8B">
      <w:pPr>
        <w:spacing w:line="300" w:lineRule="auto"/>
        <w:rPr>
          <w:rFonts w:ascii="宋体" w:hAnsi="宋体"/>
          <w:color w:val="auto"/>
          <w:szCs w:val="21"/>
          <w:highlight w:val="none"/>
        </w:rPr>
      </w:pPr>
    </w:p>
    <w:p w14:paraId="05422E63">
      <w:pPr>
        <w:spacing w:line="300" w:lineRule="auto"/>
        <w:rPr>
          <w:rFonts w:ascii="宋体" w:hAnsi="宋体"/>
          <w:color w:val="auto"/>
          <w:szCs w:val="21"/>
          <w:highlight w:val="none"/>
        </w:rPr>
      </w:pPr>
    </w:p>
    <w:p w14:paraId="2B3194BD">
      <w:pPr>
        <w:spacing w:line="300" w:lineRule="auto"/>
        <w:rPr>
          <w:rFonts w:ascii="宋体" w:hAnsi="宋体"/>
          <w:color w:val="auto"/>
          <w:szCs w:val="21"/>
          <w:highlight w:val="none"/>
        </w:rPr>
      </w:pPr>
    </w:p>
    <w:p w14:paraId="2F687DA7">
      <w:pPr>
        <w:spacing w:line="300" w:lineRule="auto"/>
        <w:rPr>
          <w:rFonts w:ascii="宋体" w:hAnsi="宋体"/>
          <w:color w:val="auto"/>
          <w:szCs w:val="21"/>
          <w:highlight w:val="none"/>
        </w:rPr>
      </w:pPr>
    </w:p>
    <w:p w14:paraId="7078AF29">
      <w:pPr>
        <w:spacing w:line="300" w:lineRule="auto"/>
        <w:rPr>
          <w:rFonts w:ascii="宋体" w:hAnsi="宋体"/>
          <w:color w:val="auto"/>
          <w:szCs w:val="21"/>
          <w:highlight w:val="none"/>
        </w:rPr>
      </w:pPr>
    </w:p>
    <w:p w14:paraId="7A90E790">
      <w:pPr>
        <w:spacing w:line="300" w:lineRule="auto"/>
        <w:rPr>
          <w:rFonts w:ascii="宋体" w:hAnsi="宋体"/>
          <w:color w:val="auto"/>
          <w:szCs w:val="21"/>
          <w:highlight w:val="none"/>
        </w:rPr>
      </w:pPr>
    </w:p>
    <w:p w14:paraId="1359B40D">
      <w:pPr>
        <w:spacing w:line="300" w:lineRule="auto"/>
        <w:rPr>
          <w:rFonts w:ascii="宋体" w:hAnsi="宋体"/>
          <w:color w:val="auto"/>
          <w:szCs w:val="21"/>
          <w:highlight w:val="none"/>
        </w:rPr>
      </w:pPr>
    </w:p>
    <w:p w14:paraId="71FA75BB">
      <w:pPr>
        <w:spacing w:line="300" w:lineRule="auto"/>
        <w:rPr>
          <w:rFonts w:ascii="宋体" w:hAnsi="宋体"/>
          <w:color w:val="auto"/>
          <w:szCs w:val="21"/>
          <w:highlight w:val="none"/>
        </w:rPr>
      </w:pPr>
    </w:p>
    <w:p w14:paraId="4BDEE37E">
      <w:pPr>
        <w:spacing w:line="320" w:lineRule="exact"/>
        <w:jc w:val="center"/>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r>
        <w:rPr>
          <w:rFonts w:hint="eastAsia" w:ascii="宋体" w:hAnsi="宋体"/>
          <w:b/>
          <w:color w:val="auto"/>
          <w:sz w:val="32"/>
          <w:szCs w:val="32"/>
          <w:highlight w:val="none"/>
        </w:rPr>
        <w:t>防城港市政府采购供应商信用承诺函（格式）</w:t>
      </w:r>
    </w:p>
    <w:p w14:paraId="2EC27B1B">
      <w:pPr>
        <w:spacing w:line="320" w:lineRule="exact"/>
        <w:jc w:val="left"/>
        <w:rPr>
          <w:rFonts w:ascii="宋体" w:hAnsi="宋体"/>
          <w:color w:val="auto"/>
          <w:szCs w:val="21"/>
          <w:highlight w:val="none"/>
        </w:rPr>
      </w:pPr>
    </w:p>
    <w:p w14:paraId="1F1B8619">
      <w:pPr>
        <w:spacing w:line="360" w:lineRule="auto"/>
        <w:jc w:val="left"/>
        <w:rPr>
          <w:rFonts w:ascii="宋体" w:hAnsi="宋体"/>
          <w:color w:val="auto"/>
          <w:sz w:val="24"/>
          <w:highlight w:val="none"/>
        </w:rPr>
      </w:pPr>
      <w:r>
        <w:rPr>
          <w:rFonts w:hint="eastAsia" w:ascii="宋体" w:hAnsi="宋体"/>
          <w:color w:val="auto"/>
          <w:sz w:val="24"/>
          <w:highlight w:val="none"/>
        </w:rPr>
        <w:t>致（采购人或采购代理机构） ：</w:t>
      </w:r>
    </w:p>
    <w:p w14:paraId="0FB1C7C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20240C5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7850E3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5FD8622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3979F6D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4DB3117B">
      <w:pPr>
        <w:spacing w:line="360" w:lineRule="auto"/>
        <w:jc w:val="left"/>
        <w:rPr>
          <w:rFonts w:ascii="宋体" w:hAnsi="宋体"/>
          <w:color w:val="auto"/>
          <w:sz w:val="24"/>
          <w:highlight w:val="none"/>
        </w:rPr>
      </w:pPr>
    </w:p>
    <w:p w14:paraId="2BE653A7">
      <w:pPr>
        <w:spacing w:line="360" w:lineRule="auto"/>
        <w:jc w:val="left"/>
        <w:rPr>
          <w:rFonts w:ascii="宋体" w:hAnsi="宋体"/>
          <w:color w:val="auto"/>
          <w:sz w:val="24"/>
          <w:highlight w:val="none"/>
        </w:rPr>
      </w:pPr>
    </w:p>
    <w:p w14:paraId="70E9454A">
      <w:pPr>
        <w:spacing w:line="360" w:lineRule="auto"/>
        <w:jc w:val="left"/>
        <w:rPr>
          <w:rFonts w:ascii="宋体" w:hAnsi="宋体"/>
          <w:color w:val="auto"/>
          <w:sz w:val="24"/>
          <w:highlight w:val="none"/>
        </w:rPr>
      </w:pPr>
      <w:r>
        <w:rPr>
          <w:rFonts w:hint="eastAsia" w:ascii="宋体" w:hAnsi="宋体"/>
          <w:color w:val="auto"/>
          <w:sz w:val="24"/>
          <w:highlight w:val="none"/>
        </w:rPr>
        <w:t>供应商名称（电子签章）：</w:t>
      </w:r>
    </w:p>
    <w:p w14:paraId="4BABD9EF">
      <w:pPr>
        <w:spacing w:line="360" w:lineRule="auto"/>
        <w:jc w:val="left"/>
        <w:rPr>
          <w:rFonts w:ascii="宋体" w:hAnsi="宋体"/>
          <w:color w:val="auto"/>
          <w:sz w:val="24"/>
          <w:highlight w:val="none"/>
        </w:rPr>
      </w:pPr>
      <w:r>
        <w:rPr>
          <w:rFonts w:hint="eastAsia" w:ascii="宋体" w:hAnsi="宋体"/>
          <w:color w:val="auto"/>
          <w:sz w:val="24"/>
          <w:highlight w:val="none"/>
        </w:rPr>
        <w:t>统一社会信用代码：</w:t>
      </w:r>
    </w:p>
    <w:p w14:paraId="03413CDE">
      <w:pPr>
        <w:spacing w:line="360" w:lineRule="auto"/>
        <w:jc w:val="left"/>
        <w:rPr>
          <w:rFonts w:ascii="宋体" w:hAnsi="宋体"/>
          <w:color w:val="auto"/>
          <w:sz w:val="24"/>
          <w:highlight w:val="none"/>
        </w:rPr>
      </w:pPr>
      <w:r>
        <w:rPr>
          <w:rFonts w:hint="eastAsia" w:ascii="宋体" w:hAnsi="宋体"/>
          <w:color w:val="auto"/>
          <w:sz w:val="24"/>
          <w:highlight w:val="none"/>
        </w:rPr>
        <w:t>法定代表人或授权代表(签字或者电子签名)：</w:t>
      </w:r>
    </w:p>
    <w:p w14:paraId="2E8BECD5">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4A954A60">
      <w:pPr>
        <w:spacing w:line="360" w:lineRule="auto"/>
        <w:jc w:val="left"/>
        <w:rPr>
          <w:rFonts w:ascii="宋体" w:hAnsi="宋体"/>
          <w:color w:val="auto"/>
          <w:sz w:val="24"/>
          <w:highlight w:val="none"/>
        </w:rPr>
      </w:pPr>
    </w:p>
    <w:p w14:paraId="76DA09C9">
      <w:pPr>
        <w:spacing w:line="360" w:lineRule="auto"/>
        <w:jc w:val="left"/>
        <w:rPr>
          <w:rFonts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0398185D">
      <w:pPr>
        <w:spacing w:line="360" w:lineRule="auto"/>
        <w:jc w:val="left"/>
        <w:rPr>
          <w:rFonts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3774A40F">
      <w:pPr>
        <w:spacing w:line="320" w:lineRule="exact"/>
        <w:jc w:val="left"/>
        <w:rPr>
          <w:rFonts w:ascii="宋体" w:hAnsi="宋体"/>
          <w:color w:val="auto"/>
          <w:szCs w:val="21"/>
          <w:highlight w:val="none"/>
        </w:rPr>
      </w:pPr>
    </w:p>
    <w:p w14:paraId="178C7B0C">
      <w:pPr>
        <w:pStyle w:val="6"/>
        <w:rPr>
          <w:color w:val="auto"/>
          <w:highlight w:val="none"/>
        </w:rPr>
      </w:pPr>
    </w:p>
    <w:p w14:paraId="6B64F7C7">
      <w:pPr>
        <w:pStyle w:val="6"/>
        <w:rPr>
          <w:color w:val="auto"/>
          <w:highlight w:val="none"/>
        </w:rPr>
      </w:pPr>
    </w:p>
    <w:p w14:paraId="0E348F25">
      <w:pPr>
        <w:pStyle w:val="6"/>
        <w:rPr>
          <w:color w:val="auto"/>
          <w:highlight w:val="none"/>
        </w:rPr>
      </w:pPr>
    </w:p>
    <w:p w14:paraId="3F0F487D">
      <w:pPr>
        <w:pStyle w:val="6"/>
        <w:rPr>
          <w:color w:val="auto"/>
          <w:highlight w:val="none"/>
        </w:rPr>
      </w:pPr>
    </w:p>
    <w:p w14:paraId="5C110A49">
      <w:pPr>
        <w:pStyle w:val="6"/>
        <w:rPr>
          <w:color w:val="auto"/>
          <w:highlight w:val="none"/>
        </w:rPr>
      </w:pPr>
    </w:p>
    <w:p w14:paraId="46F4553C">
      <w:pPr>
        <w:pStyle w:val="6"/>
        <w:rPr>
          <w:color w:val="auto"/>
          <w:highlight w:val="none"/>
        </w:rPr>
      </w:pPr>
    </w:p>
    <w:p w14:paraId="38C0D3E4">
      <w:pPr>
        <w:pStyle w:val="6"/>
        <w:rPr>
          <w:color w:val="auto"/>
          <w:highlight w:val="none"/>
        </w:rPr>
      </w:pPr>
    </w:p>
    <w:p w14:paraId="19EA02A9">
      <w:pPr>
        <w:pStyle w:val="6"/>
        <w:rPr>
          <w:color w:val="auto"/>
          <w:highlight w:val="none"/>
        </w:rPr>
      </w:pPr>
    </w:p>
    <w:p w14:paraId="5E30CB75">
      <w:pPr>
        <w:pStyle w:val="6"/>
        <w:rPr>
          <w:color w:val="auto"/>
          <w:highlight w:val="none"/>
        </w:rPr>
      </w:pPr>
    </w:p>
    <w:p w14:paraId="3CF457A0">
      <w:pPr>
        <w:pStyle w:val="6"/>
        <w:rPr>
          <w:color w:val="auto"/>
          <w:highlight w:val="none"/>
        </w:rPr>
      </w:pPr>
    </w:p>
    <w:p w14:paraId="18FB1F5C">
      <w:pPr>
        <w:pStyle w:val="6"/>
        <w:rPr>
          <w:color w:val="auto"/>
          <w:highlight w:val="none"/>
        </w:rPr>
      </w:pPr>
    </w:p>
    <w:p w14:paraId="2443D79A">
      <w:pPr>
        <w:pStyle w:val="6"/>
        <w:rPr>
          <w:color w:val="auto"/>
          <w:highlight w:val="none"/>
        </w:rPr>
      </w:pPr>
    </w:p>
    <w:p w14:paraId="4CC26061">
      <w:pPr>
        <w:pStyle w:val="6"/>
        <w:rPr>
          <w:color w:val="auto"/>
          <w:highlight w:val="none"/>
        </w:rPr>
      </w:pPr>
    </w:p>
    <w:p w14:paraId="2E796880">
      <w:pPr>
        <w:wordWrap w:val="0"/>
        <w:spacing w:before="120" w:beforeLines="50" w:after="50" w:line="320" w:lineRule="exact"/>
        <w:ind w:right="482" w:firstLine="210" w:firstLineChars="100"/>
        <w:contextualSpacing/>
        <w:jc w:val="center"/>
        <w:rPr>
          <w:rFonts w:ascii="宋体" w:hAnsi="宋体"/>
          <w:color w:val="auto"/>
          <w:szCs w:val="21"/>
          <w:highlight w:val="none"/>
        </w:rPr>
      </w:pPr>
    </w:p>
    <w:p w14:paraId="3A3AA8D3">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4D134A7D">
      <w:pPr>
        <w:snapToGrid w:val="0"/>
        <w:spacing w:before="120" w:beforeLines="50" w:after="50" w:line="360" w:lineRule="auto"/>
        <w:jc w:val="center"/>
        <w:rPr>
          <w:rFonts w:ascii="宋体" w:hAnsi="宋体"/>
          <w:b/>
          <w:color w:val="auto"/>
          <w:sz w:val="24"/>
          <w:highlight w:val="none"/>
        </w:rPr>
      </w:pPr>
    </w:p>
    <w:p w14:paraId="7CCB3F32">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82C25E6">
      <w:pPr>
        <w:spacing w:line="360" w:lineRule="auto"/>
        <w:contextualSpacing/>
        <w:jc w:val="center"/>
        <w:rPr>
          <w:rFonts w:ascii="宋体" w:hAnsi="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75947B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F281A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71182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A43A7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2E48B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B1F6C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876AF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79428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D67A76">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5F7176">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B21D3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735037">
            <w:pPr>
              <w:widowControl/>
              <w:spacing w:line="360" w:lineRule="auto"/>
              <w:contextualSpacing/>
              <w:jc w:val="center"/>
              <w:rPr>
                <w:rFonts w:ascii="宋体" w:hAnsi="宋体" w:cs="宋体"/>
                <w:color w:val="auto"/>
                <w:kern w:val="0"/>
                <w:sz w:val="24"/>
                <w:highlight w:val="none"/>
              </w:rPr>
            </w:pPr>
          </w:p>
        </w:tc>
      </w:tr>
      <w:tr w14:paraId="114442A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0D6CA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ADFAA4">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B1980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74BC4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9D0605">
            <w:pPr>
              <w:widowControl/>
              <w:spacing w:line="360" w:lineRule="auto"/>
              <w:contextualSpacing/>
              <w:jc w:val="center"/>
              <w:rPr>
                <w:rFonts w:ascii="宋体" w:hAnsi="宋体" w:cs="宋体"/>
                <w:color w:val="auto"/>
                <w:kern w:val="0"/>
                <w:sz w:val="24"/>
                <w:highlight w:val="none"/>
              </w:rPr>
            </w:pPr>
          </w:p>
        </w:tc>
      </w:tr>
      <w:tr w14:paraId="2336430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93518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5D1BC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AFB080">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6B0D4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8B67B">
            <w:pPr>
              <w:widowControl/>
              <w:spacing w:line="360" w:lineRule="auto"/>
              <w:contextualSpacing/>
              <w:jc w:val="center"/>
              <w:rPr>
                <w:rFonts w:ascii="宋体" w:hAnsi="宋体" w:cs="宋体"/>
                <w:color w:val="auto"/>
                <w:kern w:val="0"/>
                <w:sz w:val="24"/>
                <w:highlight w:val="none"/>
              </w:rPr>
            </w:pPr>
          </w:p>
        </w:tc>
      </w:tr>
      <w:tr w14:paraId="732954B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1154F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F9DFE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9BFF7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E53950">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0036F7">
            <w:pPr>
              <w:widowControl/>
              <w:spacing w:line="360" w:lineRule="auto"/>
              <w:contextualSpacing/>
              <w:jc w:val="center"/>
              <w:rPr>
                <w:rFonts w:ascii="宋体" w:hAnsi="宋体" w:cs="宋体"/>
                <w:color w:val="auto"/>
                <w:kern w:val="0"/>
                <w:sz w:val="24"/>
                <w:highlight w:val="none"/>
              </w:rPr>
            </w:pPr>
          </w:p>
        </w:tc>
      </w:tr>
    </w:tbl>
    <w:p w14:paraId="02980B8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5DD552C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A6D7A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54DA6B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33572BD">
      <w:pPr>
        <w:spacing w:line="360" w:lineRule="auto"/>
        <w:ind w:firstLine="420" w:firstLineChars="200"/>
        <w:contextualSpacing/>
        <w:jc w:val="left"/>
        <w:rPr>
          <w:rFonts w:ascii="宋体" w:hAnsi="宋体" w:cs="宋体"/>
          <w:color w:val="auto"/>
          <w:szCs w:val="21"/>
          <w:highlight w:val="none"/>
        </w:rPr>
      </w:pPr>
    </w:p>
    <w:p w14:paraId="4167AC51">
      <w:pPr>
        <w:spacing w:line="360" w:lineRule="auto"/>
        <w:ind w:firstLine="560" w:firstLineChars="200"/>
        <w:contextualSpacing/>
        <w:jc w:val="left"/>
        <w:rPr>
          <w:rFonts w:ascii="宋体" w:hAnsi="宋体" w:cs="宋体"/>
          <w:color w:val="auto"/>
          <w:sz w:val="28"/>
          <w:szCs w:val="28"/>
          <w:highlight w:val="none"/>
        </w:rPr>
      </w:pPr>
    </w:p>
    <w:p w14:paraId="7966FF4E">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F6E9D8F">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4AB22D33">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20577364">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1F8AC70">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6D30F58F">
      <w:pPr>
        <w:snapToGrid w:val="0"/>
        <w:spacing w:line="360" w:lineRule="auto"/>
        <w:jc w:val="center"/>
        <w:rPr>
          <w:rFonts w:ascii="宋体" w:hAnsi="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7AB8C3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A2F11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5B23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4FF9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BF3EE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0FE594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91E0E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78A3C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0AC30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B9889D">
            <w:pPr>
              <w:widowControl/>
              <w:spacing w:line="360" w:lineRule="auto"/>
              <w:contextualSpacing/>
              <w:jc w:val="center"/>
              <w:rPr>
                <w:rFonts w:ascii="宋体" w:hAnsi="宋体" w:cs="宋体"/>
                <w:color w:val="auto"/>
                <w:kern w:val="0"/>
                <w:sz w:val="24"/>
                <w:highlight w:val="none"/>
              </w:rPr>
            </w:pPr>
          </w:p>
        </w:tc>
      </w:tr>
      <w:tr w14:paraId="73E1A91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2814D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D3270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19E86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4F206A">
            <w:pPr>
              <w:widowControl/>
              <w:spacing w:line="360" w:lineRule="auto"/>
              <w:contextualSpacing/>
              <w:jc w:val="center"/>
              <w:rPr>
                <w:rFonts w:ascii="宋体" w:hAnsi="宋体" w:cs="宋体"/>
                <w:color w:val="auto"/>
                <w:kern w:val="0"/>
                <w:sz w:val="24"/>
                <w:highlight w:val="none"/>
              </w:rPr>
            </w:pPr>
          </w:p>
        </w:tc>
      </w:tr>
      <w:tr w14:paraId="1DD99C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88A21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E4F91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40E73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86C0B9">
            <w:pPr>
              <w:widowControl/>
              <w:spacing w:line="360" w:lineRule="auto"/>
              <w:contextualSpacing/>
              <w:jc w:val="center"/>
              <w:rPr>
                <w:rFonts w:ascii="宋体" w:hAnsi="宋体" w:cs="宋体"/>
                <w:color w:val="auto"/>
                <w:kern w:val="0"/>
                <w:sz w:val="24"/>
                <w:highlight w:val="none"/>
              </w:rPr>
            </w:pPr>
          </w:p>
        </w:tc>
      </w:tr>
      <w:tr w14:paraId="7AF6EB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6D3B2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49E12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6AFD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779AF7">
            <w:pPr>
              <w:widowControl/>
              <w:spacing w:line="360" w:lineRule="auto"/>
              <w:contextualSpacing/>
              <w:jc w:val="center"/>
              <w:rPr>
                <w:rFonts w:ascii="宋体" w:hAnsi="宋体" w:cs="宋体"/>
                <w:color w:val="auto"/>
                <w:kern w:val="0"/>
                <w:sz w:val="24"/>
                <w:highlight w:val="none"/>
              </w:rPr>
            </w:pPr>
          </w:p>
        </w:tc>
      </w:tr>
    </w:tbl>
    <w:p w14:paraId="0BB9B2FD">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5A341D87">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CCC467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97EE326">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652BD3C8">
      <w:pPr>
        <w:spacing w:line="360" w:lineRule="auto"/>
        <w:contextualSpacing/>
        <w:jc w:val="left"/>
        <w:rPr>
          <w:rFonts w:ascii="宋体" w:hAnsi="宋体"/>
          <w:color w:val="auto"/>
          <w:sz w:val="28"/>
          <w:szCs w:val="28"/>
          <w:highlight w:val="none"/>
        </w:rPr>
      </w:pPr>
    </w:p>
    <w:p w14:paraId="4AE50951">
      <w:pPr>
        <w:spacing w:line="360" w:lineRule="auto"/>
        <w:contextualSpacing/>
        <w:jc w:val="left"/>
        <w:rPr>
          <w:rFonts w:ascii="宋体" w:hAnsi="宋体"/>
          <w:color w:val="auto"/>
          <w:sz w:val="28"/>
          <w:szCs w:val="28"/>
          <w:highlight w:val="none"/>
        </w:rPr>
      </w:pPr>
    </w:p>
    <w:p w14:paraId="39A3D92F">
      <w:pPr>
        <w:spacing w:line="360" w:lineRule="auto"/>
        <w:contextualSpacing/>
        <w:jc w:val="left"/>
        <w:rPr>
          <w:color w:val="auto"/>
          <w:sz w:val="28"/>
          <w:szCs w:val="28"/>
          <w:highlight w:val="none"/>
        </w:rPr>
      </w:pPr>
    </w:p>
    <w:p w14:paraId="1595063D">
      <w:pPr>
        <w:spacing w:line="360" w:lineRule="auto"/>
        <w:contextualSpacing/>
        <w:jc w:val="left"/>
        <w:rPr>
          <w:color w:val="auto"/>
          <w:sz w:val="28"/>
          <w:szCs w:val="28"/>
          <w:highlight w:val="none"/>
        </w:rPr>
      </w:pPr>
    </w:p>
    <w:p w14:paraId="67CAF202">
      <w:pPr>
        <w:spacing w:line="360" w:lineRule="auto"/>
        <w:contextualSpacing/>
        <w:jc w:val="left"/>
        <w:rPr>
          <w:color w:val="auto"/>
          <w:sz w:val="28"/>
          <w:szCs w:val="28"/>
          <w:highlight w:val="none"/>
        </w:rPr>
      </w:pPr>
    </w:p>
    <w:p w14:paraId="54338F7C">
      <w:pPr>
        <w:spacing w:line="360" w:lineRule="auto"/>
        <w:contextualSpacing/>
        <w:jc w:val="left"/>
        <w:rPr>
          <w:rFonts w:ascii="宋体" w:hAnsi="宋体"/>
          <w:color w:val="auto"/>
          <w:sz w:val="28"/>
          <w:szCs w:val="28"/>
          <w:highlight w:val="none"/>
        </w:rPr>
      </w:pPr>
    </w:p>
    <w:p w14:paraId="32B5B6DB">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6D0D113">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FEFC487">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32424009">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4E8B8CAE">
      <w:pPr>
        <w:spacing w:line="320" w:lineRule="exact"/>
        <w:jc w:val="center"/>
        <w:rPr>
          <w:rFonts w:ascii="宋体" w:hAnsi="宋体"/>
          <w:color w:val="auto"/>
          <w:sz w:val="24"/>
          <w:szCs w:val="20"/>
          <w:highlight w:val="none"/>
        </w:rPr>
      </w:pPr>
    </w:p>
    <w:p w14:paraId="48FCBE7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A936D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4AD77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52A404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28994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5AF47CA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1DA93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F44EF5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2C3BA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891578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88ED7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52DA1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FCF5E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EED39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87F54C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F233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D152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2F7ACB7">
      <w:pPr>
        <w:pStyle w:val="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5.我方承诺具有满足本项目的承保资格、经营能力、售后服务和偿付能力；承诺</w:t>
      </w:r>
      <w:r>
        <w:rPr>
          <w:rFonts w:ascii="宋体" w:hAnsi="宋体" w:cs="宋体"/>
          <w:color w:val="auto"/>
          <w:sz w:val="24"/>
          <w:szCs w:val="24"/>
          <w:highlight w:val="none"/>
        </w:rPr>
        <w:t>同一保险机构只</w:t>
      </w:r>
      <w:r>
        <w:rPr>
          <w:rFonts w:hint="eastAsia" w:ascii="宋体" w:hAnsi="宋体" w:cs="宋体"/>
          <w:color w:val="auto"/>
          <w:sz w:val="24"/>
          <w:szCs w:val="24"/>
          <w:highlight w:val="none"/>
        </w:rPr>
        <w:t>有</w:t>
      </w:r>
      <w:r>
        <w:rPr>
          <w:rFonts w:ascii="宋体" w:hAnsi="宋体" w:cs="宋体"/>
          <w:color w:val="auto"/>
          <w:sz w:val="24"/>
          <w:szCs w:val="24"/>
          <w:highlight w:val="none"/>
        </w:rPr>
        <w:t>一家公司</w:t>
      </w:r>
      <w:r>
        <w:rPr>
          <w:rFonts w:hint="eastAsia" w:ascii="宋体" w:hAnsi="宋体" w:cs="宋体"/>
          <w:color w:val="auto"/>
          <w:sz w:val="24"/>
          <w:szCs w:val="24"/>
          <w:highlight w:val="none"/>
        </w:rPr>
        <w:t>（包括其总公司、省级分公司的下属分公司、分支机构）</w:t>
      </w:r>
      <w:r>
        <w:rPr>
          <w:rFonts w:ascii="宋体" w:hAnsi="宋体" w:cs="宋体"/>
          <w:color w:val="auto"/>
          <w:sz w:val="24"/>
          <w:szCs w:val="24"/>
          <w:highlight w:val="none"/>
        </w:rPr>
        <w:t>参与本次</w:t>
      </w:r>
      <w:r>
        <w:rPr>
          <w:rFonts w:hint="eastAsia" w:ascii="宋体" w:hAnsi="宋体" w:cs="宋体"/>
          <w:color w:val="auto"/>
          <w:sz w:val="24"/>
          <w:szCs w:val="24"/>
          <w:highlight w:val="none"/>
        </w:rPr>
        <w:t>竞标，如有2家及以上属于本单位同系统的供应商（包括其总公司、省级分公司的下属分公司、分支机构）参与竞标的，则只认可最先获取竞争性磋商文件的供应商。</w:t>
      </w:r>
    </w:p>
    <w:p w14:paraId="7136D5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2BC1B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4499C0F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36920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8F3FD3">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7474A2D">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00CBCB3">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2564615">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4CB4B97C">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058DA27">
      <w:pPr>
        <w:spacing w:line="360" w:lineRule="auto"/>
        <w:contextualSpacing/>
        <w:jc w:val="left"/>
        <w:rPr>
          <w:rFonts w:ascii="宋体" w:hAnsi="宋体" w:cs="宋体"/>
          <w:b/>
          <w:color w:val="auto"/>
          <w:sz w:val="24"/>
          <w:highlight w:val="none"/>
        </w:rPr>
      </w:pPr>
    </w:p>
    <w:p w14:paraId="26BDFFB4">
      <w:pPr>
        <w:spacing w:line="360" w:lineRule="auto"/>
        <w:contextualSpacing/>
        <w:jc w:val="left"/>
        <w:rPr>
          <w:rFonts w:ascii="宋体" w:hAnsi="宋体" w:cs="宋体"/>
          <w:color w:val="auto"/>
          <w:szCs w:val="21"/>
          <w:highlight w:val="none"/>
        </w:rPr>
      </w:pPr>
    </w:p>
    <w:p w14:paraId="3F5C66E3">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702D0C30">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3480F460">
      <w:pPr>
        <w:pStyle w:val="13"/>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6924D6A4">
      <w:pPr>
        <w:pStyle w:val="6"/>
        <w:overflowPunct w:val="0"/>
        <w:spacing w:line="520" w:lineRule="exact"/>
        <w:ind w:firstLine="0"/>
        <w:jc w:val="center"/>
        <w:rPr>
          <w:color w:val="auto"/>
          <w:sz w:val="24"/>
          <w:highlight w:val="none"/>
        </w:rPr>
      </w:pPr>
    </w:p>
    <w:p w14:paraId="16BD44DB">
      <w:pPr>
        <w:pStyle w:val="6"/>
        <w:overflowPunct w:val="0"/>
        <w:spacing w:line="520" w:lineRule="exact"/>
        <w:ind w:firstLine="0"/>
        <w:jc w:val="center"/>
        <w:rPr>
          <w:color w:val="auto"/>
          <w:sz w:val="24"/>
          <w:highlight w:val="none"/>
        </w:rPr>
      </w:pPr>
    </w:p>
    <w:p w14:paraId="4AE2FD0C">
      <w:pPr>
        <w:pStyle w:val="6"/>
        <w:overflowPunct w:val="0"/>
        <w:spacing w:line="520" w:lineRule="exact"/>
        <w:ind w:firstLine="0"/>
        <w:jc w:val="center"/>
        <w:rPr>
          <w:color w:val="auto"/>
          <w:sz w:val="24"/>
          <w:highlight w:val="none"/>
        </w:rPr>
      </w:pPr>
    </w:p>
    <w:p w14:paraId="7C40041C">
      <w:pPr>
        <w:pStyle w:val="6"/>
        <w:overflowPunct w:val="0"/>
        <w:spacing w:line="520" w:lineRule="exact"/>
        <w:ind w:firstLine="0"/>
        <w:jc w:val="center"/>
        <w:rPr>
          <w:color w:val="auto"/>
          <w:sz w:val="24"/>
          <w:highlight w:val="none"/>
        </w:rPr>
      </w:pPr>
    </w:p>
    <w:p w14:paraId="76C3B1E1">
      <w:pPr>
        <w:pStyle w:val="6"/>
        <w:overflowPunct w:val="0"/>
        <w:spacing w:line="520" w:lineRule="exact"/>
        <w:ind w:firstLine="0"/>
        <w:jc w:val="center"/>
        <w:rPr>
          <w:color w:val="auto"/>
          <w:sz w:val="24"/>
          <w:highlight w:val="none"/>
        </w:rPr>
      </w:pPr>
    </w:p>
    <w:p w14:paraId="7B3F39F2">
      <w:pPr>
        <w:pStyle w:val="6"/>
        <w:overflowPunct w:val="0"/>
        <w:spacing w:line="520" w:lineRule="exact"/>
        <w:ind w:firstLine="0"/>
        <w:jc w:val="center"/>
        <w:rPr>
          <w:color w:val="auto"/>
          <w:sz w:val="24"/>
          <w:highlight w:val="none"/>
        </w:rPr>
      </w:pPr>
    </w:p>
    <w:p w14:paraId="51AF6F6C">
      <w:pPr>
        <w:pStyle w:val="6"/>
        <w:overflowPunct w:val="0"/>
        <w:spacing w:line="520" w:lineRule="exact"/>
        <w:ind w:firstLine="0"/>
        <w:jc w:val="center"/>
        <w:rPr>
          <w:color w:val="auto"/>
          <w:sz w:val="24"/>
          <w:highlight w:val="none"/>
        </w:rPr>
      </w:pPr>
    </w:p>
    <w:p w14:paraId="73214D21">
      <w:pPr>
        <w:pStyle w:val="6"/>
        <w:overflowPunct w:val="0"/>
        <w:spacing w:line="520" w:lineRule="exact"/>
        <w:ind w:firstLine="0"/>
        <w:jc w:val="center"/>
        <w:rPr>
          <w:color w:val="auto"/>
          <w:sz w:val="24"/>
          <w:highlight w:val="none"/>
        </w:rPr>
      </w:pPr>
    </w:p>
    <w:p w14:paraId="5B5F83E6">
      <w:pPr>
        <w:pStyle w:val="6"/>
        <w:overflowPunct w:val="0"/>
        <w:spacing w:line="520" w:lineRule="exact"/>
        <w:ind w:firstLine="0"/>
        <w:jc w:val="center"/>
        <w:rPr>
          <w:color w:val="auto"/>
          <w:sz w:val="24"/>
          <w:highlight w:val="none"/>
        </w:rPr>
      </w:pPr>
    </w:p>
    <w:p w14:paraId="10D5DD0F">
      <w:pPr>
        <w:jc w:val="center"/>
        <w:rPr>
          <w:rFonts w:ascii="方正小标宋简体" w:hAnsi="方正小标宋简体" w:eastAsia="方正小标宋简体" w:cs="方正小标宋简体"/>
          <w:color w:val="auto"/>
          <w:sz w:val="44"/>
          <w:szCs w:val="44"/>
          <w:highlight w:val="none"/>
        </w:rPr>
      </w:pPr>
      <w:bookmarkStart w:id="85" w:name="_Toc71365926"/>
      <w:r>
        <w:rPr>
          <w:rFonts w:hint="eastAsia" w:ascii="方正小标宋简体" w:hAnsi="方正小标宋简体" w:eastAsia="方正小标宋简体" w:cs="方正小标宋简体"/>
          <w:color w:val="auto"/>
          <w:sz w:val="44"/>
          <w:szCs w:val="44"/>
          <w:highlight w:val="none"/>
        </w:rPr>
        <w:t>中小企业声明函（服务）</w:t>
      </w:r>
      <w:bookmarkEnd w:id="85"/>
    </w:p>
    <w:p w14:paraId="66AA505C">
      <w:pPr>
        <w:spacing w:before="2" w:line="500" w:lineRule="exact"/>
        <w:ind w:firstLine="708" w:firstLineChars="294"/>
        <w:rPr>
          <w:rFonts w:ascii="宋体" w:hAnsi="宋体" w:cs="宋体"/>
          <w:b/>
          <w:bCs/>
          <w:color w:val="auto"/>
          <w:sz w:val="24"/>
          <w:highlight w:val="none"/>
        </w:rPr>
      </w:pPr>
    </w:p>
    <w:p w14:paraId="20B7F476">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703AE2BA">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4BE2E2E">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5A87EA9">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3172D3ED">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0683D82">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D0BDB50">
      <w:pPr>
        <w:pStyle w:val="11"/>
        <w:spacing w:before="56" w:line="500" w:lineRule="exact"/>
        <w:ind w:right="1808" w:firstLine="705" w:firstLineChars="294"/>
        <w:rPr>
          <w:rFonts w:ascii="宋体" w:hAnsi="宋体"/>
          <w:color w:val="auto"/>
          <w:sz w:val="24"/>
          <w:highlight w:val="none"/>
        </w:rPr>
      </w:pPr>
    </w:p>
    <w:p w14:paraId="4BF07659">
      <w:pPr>
        <w:pStyle w:val="11"/>
        <w:spacing w:before="56" w:line="500" w:lineRule="exact"/>
        <w:ind w:right="650"/>
        <w:jc w:val="right"/>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rPr>
        <w:t>电子签章</w:t>
      </w:r>
      <w:r>
        <w:rPr>
          <w:rFonts w:ascii="宋体" w:hAnsi="宋体"/>
          <w:color w:val="auto"/>
          <w:sz w:val="24"/>
          <w:highlight w:val="none"/>
        </w:rPr>
        <w:t xml:space="preserve">）： </w:t>
      </w:r>
    </w:p>
    <w:p w14:paraId="14DC4320">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0A8D4B9E">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9DE1BF1">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6029C29">
      <w:pPr>
        <w:spacing w:line="360" w:lineRule="auto"/>
        <w:contextualSpacing/>
        <w:rPr>
          <w:rFonts w:ascii="仿宋_GB2312" w:hAnsi="仿宋_GB2312" w:eastAsia="仿宋_GB2312" w:cs="仿宋_GB2312"/>
          <w:color w:val="auto"/>
          <w:sz w:val="32"/>
          <w:szCs w:val="32"/>
          <w:highlight w:val="none"/>
        </w:rPr>
      </w:pPr>
    </w:p>
    <w:p w14:paraId="5D55101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3BDBB8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E123772">
      <w:pPr>
        <w:spacing w:line="360" w:lineRule="auto"/>
        <w:contextualSpacing/>
        <w:rPr>
          <w:rFonts w:ascii="宋体" w:hAnsi="宋体" w:cs="仿宋_GB2312"/>
          <w:color w:val="auto"/>
          <w:sz w:val="24"/>
          <w:highlight w:val="none"/>
        </w:rPr>
      </w:pPr>
    </w:p>
    <w:p w14:paraId="4A9A1B0E">
      <w:pPr>
        <w:spacing w:line="360" w:lineRule="auto"/>
        <w:contextualSpacing/>
        <w:rPr>
          <w:rFonts w:ascii="宋体" w:hAnsi="宋体" w:cs="仿宋_GB2312"/>
          <w:color w:val="auto"/>
          <w:sz w:val="24"/>
          <w:highlight w:val="none"/>
        </w:rPr>
      </w:pPr>
    </w:p>
    <w:p w14:paraId="57029136">
      <w:pPr>
        <w:spacing w:line="360" w:lineRule="auto"/>
        <w:contextualSpacing/>
        <w:rPr>
          <w:rFonts w:ascii="宋体" w:hAnsi="宋体" w:cs="仿宋_GB2312"/>
          <w:color w:val="auto"/>
          <w:sz w:val="24"/>
          <w:highlight w:val="none"/>
        </w:rPr>
      </w:pPr>
    </w:p>
    <w:p w14:paraId="5A68B112">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单位名称（电子签章）：</w:t>
      </w:r>
    </w:p>
    <w:p w14:paraId="28D49E2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33C5F319">
      <w:pPr>
        <w:spacing w:line="360" w:lineRule="auto"/>
        <w:contextualSpacing/>
        <w:rPr>
          <w:rFonts w:ascii="宋体" w:hAnsi="宋体" w:cs="仿宋_GB2312"/>
          <w:color w:val="auto"/>
          <w:sz w:val="24"/>
          <w:highlight w:val="none"/>
        </w:rPr>
      </w:pPr>
    </w:p>
    <w:p w14:paraId="05CF77C9">
      <w:pPr>
        <w:spacing w:line="360" w:lineRule="auto"/>
        <w:contextualSpacing/>
        <w:rPr>
          <w:rFonts w:ascii="宋体" w:hAnsi="宋体" w:cs="仿宋_GB2312"/>
          <w:color w:val="auto"/>
          <w:sz w:val="24"/>
          <w:highlight w:val="none"/>
        </w:rPr>
      </w:pPr>
    </w:p>
    <w:p w14:paraId="096202E7">
      <w:pPr>
        <w:spacing w:line="360" w:lineRule="auto"/>
        <w:contextualSpacing/>
        <w:rPr>
          <w:rFonts w:ascii="宋体" w:hAnsi="宋体" w:cs="仿宋_GB2312"/>
          <w:color w:val="auto"/>
          <w:sz w:val="24"/>
          <w:highlight w:val="none"/>
        </w:rPr>
      </w:pPr>
    </w:p>
    <w:p w14:paraId="4119BB6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1C12EF48">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p>
    <w:p w14:paraId="26FF8770">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3767A06E">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60621A48">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156A2AD1">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46416C72">
      <w:pPr>
        <w:snapToGrid w:val="0"/>
        <w:spacing w:before="120" w:beforeLines="50" w:after="50"/>
        <w:rPr>
          <w:rFonts w:ascii="宋体" w:hAnsi="宋体"/>
          <w:color w:val="auto"/>
          <w:sz w:val="24"/>
          <w:szCs w:val="20"/>
          <w:highlight w:val="none"/>
        </w:rPr>
      </w:pPr>
    </w:p>
    <w:p w14:paraId="58EAD5D9">
      <w:pPr>
        <w:snapToGrid w:val="0"/>
        <w:spacing w:before="120" w:beforeLines="50" w:after="50"/>
        <w:rPr>
          <w:rFonts w:ascii="宋体" w:hAnsi="宋体"/>
          <w:color w:val="auto"/>
          <w:sz w:val="24"/>
          <w:szCs w:val="20"/>
          <w:highlight w:val="none"/>
        </w:rPr>
      </w:pPr>
    </w:p>
    <w:p w14:paraId="5F3CD5A0">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98922EB">
      <w:pPr>
        <w:snapToGrid w:val="0"/>
        <w:spacing w:before="120" w:beforeLines="50" w:after="50"/>
        <w:rPr>
          <w:rFonts w:ascii="宋体" w:hAnsi="宋体"/>
          <w:bCs/>
          <w:color w:val="auto"/>
          <w:sz w:val="24"/>
          <w:szCs w:val="20"/>
          <w:highlight w:val="none"/>
        </w:rPr>
      </w:pPr>
    </w:p>
    <w:p w14:paraId="7133384A">
      <w:pPr>
        <w:snapToGrid w:val="0"/>
        <w:spacing w:before="120" w:beforeLines="50" w:after="50"/>
        <w:rPr>
          <w:rFonts w:ascii="宋体" w:hAnsi="宋体"/>
          <w:bCs/>
          <w:color w:val="auto"/>
          <w:sz w:val="24"/>
          <w:szCs w:val="20"/>
          <w:highlight w:val="none"/>
        </w:rPr>
      </w:pPr>
    </w:p>
    <w:p w14:paraId="64D2F28A">
      <w:pPr>
        <w:snapToGrid w:val="0"/>
        <w:spacing w:before="120" w:beforeLines="50" w:after="50"/>
        <w:rPr>
          <w:rFonts w:ascii="宋体" w:hAnsi="宋体"/>
          <w:bCs/>
          <w:color w:val="auto"/>
          <w:sz w:val="24"/>
          <w:szCs w:val="20"/>
          <w:highlight w:val="none"/>
        </w:rPr>
      </w:pPr>
    </w:p>
    <w:p w14:paraId="3457C2B1">
      <w:pPr>
        <w:snapToGrid w:val="0"/>
        <w:spacing w:before="120" w:beforeLines="50" w:after="50"/>
        <w:rPr>
          <w:rFonts w:ascii="宋体" w:hAnsi="宋体"/>
          <w:bCs/>
          <w:color w:val="auto"/>
          <w:sz w:val="24"/>
          <w:szCs w:val="20"/>
          <w:highlight w:val="none"/>
        </w:rPr>
      </w:pPr>
    </w:p>
    <w:p w14:paraId="75532795">
      <w:pPr>
        <w:snapToGrid w:val="0"/>
        <w:spacing w:before="120" w:beforeLines="50" w:after="50"/>
        <w:rPr>
          <w:rFonts w:ascii="宋体" w:hAnsi="宋体"/>
          <w:bCs/>
          <w:color w:val="auto"/>
          <w:sz w:val="24"/>
          <w:szCs w:val="20"/>
          <w:highlight w:val="none"/>
        </w:rPr>
      </w:pPr>
    </w:p>
    <w:p w14:paraId="7E90C89C">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292F1FA">
      <w:pPr>
        <w:snapToGrid w:val="0"/>
        <w:spacing w:before="120" w:beforeLines="50" w:after="50"/>
        <w:ind w:firstLine="720" w:firstLineChars="225"/>
        <w:rPr>
          <w:rFonts w:ascii="宋体" w:hAnsi="宋体" w:cs="仿宋_GB2312"/>
          <w:bCs/>
          <w:color w:val="auto"/>
          <w:sz w:val="32"/>
          <w:szCs w:val="32"/>
          <w:highlight w:val="none"/>
        </w:rPr>
      </w:pPr>
    </w:p>
    <w:p w14:paraId="5EF35611">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BBD8F24">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2F9A98B">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254C4D0">
      <w:pPr>
        <w:snapToGrid w:val="0"/>
        <w:spacing w:before="120" w:beforeLines="50" w:after="50"/>
        <w:ind w:firstLine="720" w:firstLineChars="225"/>
        <w:rPr>
          <w:rFonts w:ascii="宋体" w:hAnsi="宋体" w:cs="仿宋_GB2312"/>
          <w:bCs/>
          <w:color w:val="auto"/>
          <w:sz w:val="32"/>
          <w:szCs w:val="32"/>
          <w:highlight w:val="none"/>
        </w:rPr>
      </w:pPr>
    </w:p>
    <w:p w14:paraId="77D12ABE">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DAB84B">
      <w:pPr>
        <w:pStyle w:val="6"/>
        <w:snapToGrid w:val="0"/>
        <w:spacing w:before="50" w:after="50"/>
        <w:ind w:firstLine="640" w:firstLineChars="200"/>
        <w:rPr>
          <w:rFonts w:ascii="宋体" w:hAnsi="宋体" w:cs="仿宋_GB2312"/>
          <w:bCs/>
          <w:color w:val="auto"/>
          <w:sz w:val="32"/>
          <w:szCs w:val="32"/>
          <w:highlight w:val="none"/>
        </w:rPr>
      </w:pPr>
    </w:p>
    <w:p w14:paraId="2512928E">
      <w:pPr>
        <w:pStyle w:val="6"/>
        <w:snapToGrid w:val="0"/>
        <w:spacing w:before="50" w:after="50"/>
        <w:ind w:firstLine="720" w:firstLineChars="225"/>
        <w:rPr>
          <w:rFonts w:ascii="宋体" w:hAnsi="宋体" w:cs="仿宋_GB2312"/>
          <w:bCs/>
          <w:color w:val="auto"/>
          <w:sz w:val="32"/>
          <w:szCs w:val="32"/>
          <w:highlight w:val="none"/>
        </w:rPr>
      </w:pPr>
    </w:p>
    <w:p w14:paraId="4F496732">
      <w:pPr>
        <w:pStyle w:val="6"/>
        <w:snapToGrid w:val="0"/>
        <w:spacing w:before="50" w:after="50"/>
        <w:ind w:firstLine="0"/>
        <w:rPr>
          <w:rFonts w:ascii="宋体" w:hAnsi="宋体" w:cs="仿宋_GB2312"/>
          <w:bCs/>
          <w:color w:val="auto"/>
          <w:sz w:val="32"/>
          <w:szCs w:val="32"/>
          <w:highlight w:val="none"/>
        </w:rPr>
      </w:pPr>
    </w:p>
    <w:p w14:paraId="516B519A">
      <w:pPr>
        <w:pStyle w:val="6"/>
        <w:snapToGrid w:val="0"/>
        <w:spacing w:before="50" w:after="50"/>
        <w:ind w:firstLine="1280" w:firstLineChars="400"/>
        <w:rPr>
          <w:rFonts w:ascii="宋体" w:hAnsi="宋体" w:cs="仿宋_GB2312"/>
          <w:bCs/>
          <w:color w:val="auto"/>
          <w:sz w:val="32"/>
          <w:szCs w:val="32"/>
          <w:highlight w:val="none"/>
        </w:rPr>
      </w:pPr>
    </w:p>
    <w:p w14:paraId="103CDAE8">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A77F6E2">
      <w:pPr>
        <w:snapToGrid w:val="0"/>
        <w:spacing w:before="120"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7037EC11">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5A5119BC">
      <w:pPr>
        <w:spacing w:line="440" w:lineRule="exact"/>
        <w:jc w:val="center"/>
        <w:rPr>
          <w:rFonts w:ascii="方正小标宋简体" w:hAnsi="方正小标宋简体" w:eastAsia="方正小标宋简体" w:cs="方正小标宋简体"/>
          <w:bCs/>
          <w:color w:val="auto"/>
          <w:sz w:val="32"/>
          <w:szCs w:val="32"/>
          <w:highlight w:val="none"/>
        </w:rPr>
      </w:pPr>
    </w:p>
    <w:p w14:paraId="7BB0C6A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945B54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4022A4D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0FE63C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234"/>
        <w:gridCol w:w="1874"/>
        <w:gridCol w:w="1928"/>
        <w:gridCol w:w="1127"/>
      </w:tblGrid>
      <w:tr w14:paraId="47F1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1ACDA2E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E2FDDF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028B39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①数量及单位</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1051AF3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②搭建拆除及展位租金单价（元/㎡）</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20C83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③搭建拆除及展位租金总价（元）=①×②</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1118121">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08C5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10C0F802">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A06F91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第22届中国—东盟博览会“人工智能+医保健康”专题展设计搭建服务</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132AE1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200㎡</w:t>
            </w:r>
          </w:p>
        </w:tc>
        <w:tc>
          <w:tcPr>
            <w:tcW w:w="1874" w:type="dxa"/>
            <w:tcBorders>
              <w:top w:val="single" w:color="auto" w:sz="4" w:space="0"/>
              <w:left w:val="single" w:color="auto" w:sz="4" w:space="0"/>
              <w:bottom w:val="single" w:color="auto" w:sz="4" w:space="0"/>
              <w:right w:val="single" w:color="auto" w:sz="4" w:space="0"/>
            </w:tcBorders>
            <w:noWrap w:val="0"/>
            <w:vAlign w:val="top"/>
          </w:tcPr>
          <w:p w14:paraId="490FF314">
            <w:pPr>
              <w:spacing w:line="360" w:lineRule="auto"/>
              <w:contextualSpacing/>
              <w:rPr>
                <w:rFonts w:ascii="宋体" w:hAnsi="宋体" w:cs="仿宋_GB2312"/>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C8A8A4D">
            <w:pPr>
              <w:spacing w:line="360" w:lineRule="auto"/>
              <w:contextualSpacing/>
              <w:rPr>
                <w:rFonts w:ascii="宋体" w:hAnsi="宋体" w:cs="仿宋_GB2312"/>
                <w:color w:val="auto"/>
                <w:sz w:val="24"/>
                <w:highlight w:val="none"/>
              </w:rPr>
            </w:pPr>
            <w:bookmarkStart w:id="90" w:name="_GoBack"/>
            <w:bookmarkEnd w:id="90"/>
          </w:p>
        </w:tc>
        <w:tc>
          <w:tcPr>
            <w:tcW w:w="1127" w:type="dxa"/>
            <w:tcBorders>
              <w:top w:val="single" w:color="auto" w:sz="4" w:space="0"/>
              <w:left w:val="single" w:color="auto" w:sz="4" w:space="0"/>
              <w:bottom w:val="single" w:color="auto" w:sz="4" w:space="0"/>
              <w:right w:val="single" w:color="auto" w:sz="4" w:space="0"/>
            </w:tcBorders>
            <w:noWrap w:val="0"/>
            <w:vAlign w:val="center"/>
          </w:tcPr>
          <w:p w14:paraId="66A93617">
            <w:pPr>
              <w:spacing w:line="360" w:lineRule="auto"/>
              <w:contextualSpacing/>
              <w:rPr>
                <w:rFonts w:ascii="宋体" w:hAnsi="宋体" w:cs="仿宋_GB2312"/>
                <w:color w:val="auto"/>
                <w:sz w:val="24"/>
                <w:highlight w:val="none"/>
              </w:rPr>
            </w:pPr>
          </w:p>
        </w:tc>
      </w:tr>
      <w:tr w14:paraId="39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462" w:type="dxa"/>
            <w:gridSpan w:val="6"/>
            <w:tcBorders>
              <w:top w:val="single" w:color="auto" w:sz="4" w:space="0"/>
              <w:left w:val="single" w:color="auto" w:sz="4" w:space="0"/>
              <w:bottom w:val="single" w:color="auto" w:sz="4" w:space="0"/>
              <w:right w:val="single" w:color="auto" w:sz="4" w:space="0"/>
            </w:tcBorders>
            <w:noWrap w:val="0"/>
            <w:vAlign w:val="center"/>
          </w:tcPr>
          <w:p w14:paraId="38E7E68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总报价：人民币      （¥）</w:t>
            </w:r>
          </w:p>
        </w:tc>
      </w:tr>
    </w:tbl>
    <w:p w14:paraId="11352F67">
      <w:pPr>
        <w:spacing w:line="360" w:lineRule="auto"/>
        <w:contextualSpacing/>
        <w:jc w:val="left"/>
        <w:rPr>
          <w:rFonts w:ascii="宋体" w:hAnsi="宋体" w:cs="仿宋_GB2312"/>
          <w:color w:val="auto"/>
          <w:sz w:val="24"/>
          <w:highlight w:val="none"/>
        </w:rPr>
      </w:pPr>
    </w:p>
    <w:p w14:paraId="230F2146">
      <w:pPr>
        <w:spacing w:line="360" w:lineRule="auto"/>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7C920350">
      <w:pPr>
        <w:numPr>
          <w:ilvl w:val="0"/>
          <w:numId w:val="2"/>
        </w:numPr>
        <w:spacing w:line="360" w:lineRule="auto"/>
        <w:ind w:firstLine="420" w:firstLineChars="200"/>
        <w:contextualSpacing/>
        <w:jc w:val="left"/>
        <w:rPr>
          <w:rFonts w:hint="eastAsia" w:ascii="宋体" w:hAnsi="宋体" w:cs="宋体"/>
          <w:bCs/>
          <w:color w:val="auto"/>
          <w:szCs w:val="21"/>
          <w:highlight w:val="none"/>
        </w:rPr>
      </w:pPr>
      <w:r>
        <w:rPr>
          <w:rFonts w:hint="eastAsia" w:ascii="宋体" w:hAnsi="宋体" w:cs="宋体"/>
          <w:bCs/>
          <w:color w:val="auto"/>
          <w:szCs w:val="21"/>
          <w:highlight w:val="none"/>
        </w:rPr>
        <w:t>本项目展位搭建拆除及展位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预算总价为100万元，展位搭建拆除及展位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预算单价为</w:t>
      </w:r>
      <w:r>
        <w:rPr>
          <w:rFonts w:hint="eastAsia"/>
          <w:color w:val="auto"/>
          <w:highlight w:val="none"/>
        </w:rPr>
        <w:t>5000元/㎡（</w:t>
      </w:r>
      <w:r>
        <w:rPr>
          <w:rFonts w:hint="eastAsia"/>
          <w:color w:val="auto"/>
          <w:highlight w:val="none"/>
          <w:lang w:eastAsia="zh-CN"/>
        </w:rPr>
        <w:t>含固定</w:t>
      </w:r>
      <w:r>
        <w:rPr>
          <w:rFonts w:hint="eastAsia"/>
          <w:color w:val="auto"/>
          <w:highlight w:val="none"/>
        </w:rPr>
        <w:t>展位</w:t>
      </w:r>
      <w:r>
        <w:rPr>
          <w:rFonts w:hint="eastAsia"/>
          <w:color w:val="auto"/>
          <w:highlight w:val="none"/>
          <w:lang w:eastAsia="zh-CN"/>
        </w:rPr>
        <w:t>费价格每平米</w:t>
      </w:r>
      <w:r>
        <w:rPr>
          <w:rFonts w:hint="eastAsia"/>
          <w:color w:val="auto"/>
          <w:highlight w:val="none"/>
        </w:rPr>
        <w:t>800元），</w:t>
      </w:r>
      <w:r>
        <w:rPr>
          <w:rFonts w:hint="eastAsia" w:ascii="宋体" w:hAnsi="宋体" w:cs="宋体"/>
          <w:bCs/>
          <w:color w:val="auto"/>
          <w:szCs w:val="21"/>
          <w:highlight w:val="none"/>
        </w:rPr>
        <w:t>供应商须对展位搭建拆除及展位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总价和单价进行报价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如总价报价超过搭建拆除及展位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预算总价</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单价报价超过展位搭建拆除及</w:t>
      </w:r>
      <w:r>
        <w:rPr>
          <w:rFonts w:hint="eastAsia" w:ascii="宋体" w:hAnsi="宋体" w:cs="宋体"/>
          <w:bCs/>
          <w:color w:val="auto"/>
          <w:szCs w:val="21"/>
          <w:highlight w:val="none"/>
          <w:lang w:eastAsia="zh-CN"/>
        </w:rPr>
        <w:t>展位费</w:t>
      </w:r>
      <w:r>
        <w:rPr>
          <w:rFonts w:hint="eastAsia" w:ascii="宋体" w:hAnsi="宋体" w:cs="宋体"/>
          <w:bCs/>
          <w:color w:val="auto"/>
          <w:szCs w:val="21"/>
          <w:highlight w:val="none"/>
        </w:rPr>
        <w:t>预算单价的</w:t>
      </w:r>
      <w:r>
        <w:rPr>
          <w:rFonts w:hint="eastAsia" w:ascii="宋体" w:hAnsi="宋体" w:cs="宋体"/>
          <w:b/>
          <w:color w:val="auto"/>
          <w:szCs w:val="21"/>
          <w:highlight w:val="none"/>
        </w:rPr>
        <w:t>则</w:t>
      </w:r>
      <w:r>
        <w:rPr>
          <w:rFonts w:hint="eastAsia" w:ascii="宋体" w:hAnsi="宋体"/>
          <w:b/>
          <w:color w:val="auto"/>
          <w:szCs w:val="21"/>
          <w:highlight w:val="none"/>
        </w:rPr>
        <w:t>报价无效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本项目根据采购人实际布展面积进行结算，结算金额不得高于成交总金额。合同结算金额=展位搭建拆除及展位</w:t>
      </w:r>
      <w:r>
        <w:rPr>
          <w:rFonts w:hint="eastAsia" w:ascii="宋体" w:hAnsi="宋体" w:cs="宋体"/>
          <w:bCs/>
          <w:color w:val="auto"/>
          <w:szCs w:val="21"/>
          <w:highlight w:val="none"/>
          <w:lang w:eastAsia="zh-CN"/>
        </w:rPr>
        <w:t>费</w:t>
      </w:r>
      <w:r>
        <w:rPr>
          <w:rFonts w:hint="eastAsia" w:ascii="宋体" w:hAnsi="宋体" w:cs="宋体"/>
          <w:bCs/>
          <w:color w:val="auto"/>
          <w:szCs w:val="21"/>
          <w:highlight w:val="none"/>
        </w:rPr>
        <w:t>成交单价*采购人实际布展面积。</w:t>
      </w:r>
    </w:p>
    <w:p w14:paraId="4FDC0F98">
      <w:pPr>
        <w:numPr>
          <w:ilvl w:val="0"/>
          <w:numId w:val="2"/>
        </w:numPr>
        <w:spacing w:line="360" w:lineRule="auto"/>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2.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3687DC0D">
      <w:pPr>
        <w:spacing w:line="360" w:lineRule="auto"/>
        <w:ind w:firstLine="420" w:firstLineChars="200"/>
        <w:contextualSpacing/>
        <w:jc w:val="left"/>
        <w:rPr>
          <w:rFonts w:ascii="宋体" w:hAnsi="宋体" w:cs="仿宋_GB2312"/>
          <w:b/>
          <w:color w:val="auto"/>
          <w:szCs w:val="21"/>
          <w:highlight w:val="none"/>
        </w:rPr>
      </w:pPr>
      <w:r>
        <w:rPr>
          <w:rFonts w:hint="eastAsia" w:ascii="宋体" w:hAnsi="宋体" w:cs="仿宋_GB2312"/>
          <w:bCs/>
          <w:color w:val="auto"/>
          <w:szCs w:val="21"/>
          <w:highlight w:val="none"/>
        </w:rPr>
        <w:t>3.</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67150286">
      <w:pPr>
        <w:spacing w:line="360" w:lineRule="auto"/>
        <w:ind w:right="-817" w:rightChars="-389"/>
        <w:contextualSpacing/>
        <w:rPr>
          <w:rFonts w:ascii="宋体" w:hAnsi="宋体" w:cs="仿宋_GB2312"/>
          <w:color w:val="auto"/>
          <w:sz w:val="24"/>
          <w:highlight w:val="none"/>
        </w:rPr>
      </w:pPr>
    </w:p>
    <w:p w14:paraId="4D6F4652">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7A272EB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D148B20">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1B813E10">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AC01384">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275A5E6F">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A84D840">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A7C4D6A">
      <w:pPr>
        <w:snapToGrid w:val="0"/>
        <w:spacing w:before="120" w:beforeLines="50" w:after="50"/>
        <w:rPr>
          <w:rFonts w:ascii="宋体" w:hAnsi="宋体"/>
          <w:color w:val="auto"/>
          <w:sz w:val="24"/>
          <w:szCs w:val="20"/>
          <w:highlight w:val="none"/>
        </w:rPr>
      </w:pPr>
    </w:p>
    <w:p w14:paraId="1A51C5D5">
      <w:pPr>
        <w:snapToGrid w:val="0"/>
        <w:spacing w:before="120" w:beforeLines="50" w:after="50"/>
        <w:rPr>
          <w:rFonts w:ascii="宋体" w:hAnsi="宋体"/>
          <w:color w:val="auto"/>
          <w:sz w:val="24"/>
          <w:szCs w:val="20"/>
          <w:highlight w:val="none"/>
        </w:rPr>
      </w:pPr>
    </w:p>
    <w:p w14:paraId="57B38653">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48DB4D9">
      <w:pPr>
        <w:snapToGrid w:val="0"/>
        <w:spacing w:before="120" w:beforeLines="50" w:after="50"/>
        <w:rPr>
          <w:rFonts w:ascii="宋体" w:hAnsi="宋体"/>
          <w:bCs/>
          <w:color w:val="auto"/>
          <w:sz w:val="24"/>
          <w:szCs w:val="20"/>
          <w:highlight w:val="none"/>
        </w:rPr>
      </w:pPr>
    </w:p>
    <w:p w14:paraId="3D9B9190">
      <w:pPr>
        <w:snapToGrid w:val="0"/>
        <w:spacing w:before="120" w:beforeLines="50" w:after="50"/>
        <w:rPr>
          <w:rFonts w:ascii="宋体" w:hAnsi="宋体"/>
          <w:bCs/>
          <w:color w:val="auto"/>
          <w:sz w:val="24"/>
          <w:szCs w:val="20"/>
          <w:highlight w:val="none"/>
        </w:rPr>
      </w:pPr>
    </w:p>
    <w:p w14:paraId="04A1D284">
      <w:pPr>
        <w:snapToGrid w:val="0"/>
        <w:spacing w:before="120" w:beforeLines="50" w:after="50"/>
        <w:rPr>
          <w:rFonts w:ascii="宋体" w:hAnsi="宋体"/>
          <w:bCs/>
          <w:color w:val="auto"/>
          <w:sz w:val="24"/>
          <w:szCs w:val="20"/>
          <w:highlight w:val="none"/>
        </w:rPr>
      </w:pPr>
    </w:p>
    <w:p w14:paraId="3B4774ED">
      <w:pPr>
        <w:snapToGrid w:val="0"/>
        <w:spacing w:before="120" w:beforeLines="50" w:after="50"/>
        <w:rPr>
          <w:rFonts w:ascii="宋体" w:hAnsi="宋体"/>
          <w:bCs/>
          <w:color w:val="auto"/>
          <w:sz w:val="24"/>
          <w:szCs w:val="20"/>
          <w:highlight w:val="none"/>
        </w:rPr>
      </w:pPr>
    </w:p>
    <w:p w14:paraId="529D8946">
      <w:pPr>
        <w:snapToGrid w:val="0"/>
        <w:spacing w:before="120" w:beforeLines="50" w:after="50"/>
        <w:rPr>
          <w:rFonts w:ascii="宋体" w:hAnsi="宋体"/>
          <w:bCs/>
          <w:color w:val="auto"/>
          <w:sz w:val="24"/>
          <w:szCs w:val="20"/>
          <w:highlight w:val="none"/>
        </w:rPr>
      </w:pPr>
    </w:p>
    <w:p w14:paraId="2E6BE785">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2D4CF7D">
      <w:pPr>
        <w:snapToGrid w:val="0"/>
        <w:spacing w:before="120" w:beforeLines="50" w:after="50"/>
        <w:ind w:firstLine="720" w:firstLineChars="225"/>
        <w:rPr>
          <w:rFonts w:ascii="宋体" w:hAnsi="宋体" w:cs="仿宋_GB2312"/>
          <w:bCs/>
          <w:color w:val="auto"/>
          <w:sz w:val="32"/>
          <w:szCs w:val="32"/>
          <w:highlight w:val="none"/>
        </w:rPr>
      </w:pPr>
    </w:p>
    <w:p w14:paraId="727B4F51">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5A128C1">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3EA4893">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72B7201">
      <w:pPr>
        <w:snapToGrid w:val="0"/>
        <w:spacing w:before="120" w:beforeLines="50" w:after="50"/>
        <w:ind w:firstLine="720" w:firstLineChars="225"/>
        <w:rPr>
          <w:rFonts w:ascii="宋体" w:hAnsi="宋体" w:cs="仿宋_GB2312"/>
          <w:bCs/>
          <w:color w:val="auto"/>
          <w:sz w:val="32"/>
          <w:szCs w:val="32"/>
          <w:highlight w:val="none"/>
        </w:rPr>
      </w:pPr>
    </w:p>
    <w:p w14:paraId="12999B02">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3E1D247">
      <w:pPr>
        <w:pStyle w:val="6"/>
        <w:snapToGrid w:val="0"/>
        <w:spacing w:before="50" w:after="50"/>
        <w:ind w:firstLine="640" w:firstLineChars="200"/>
        <w:rPr>
          <w:rFonts w:ascii="宋体" w:hAnsi="宋体" w:cs="仿宋_GB2312"/>
          <w:bCs/>
          <w:color w:val="auto"/>
          <w:sz w:val="32"/>
          <w:szCs w:val="32"/>
          <w:highlight w:val="none"/>
        </w:rPr>
      </w:pPr>
    </w:p>
    <w:p w14:paraId="29AABD85">
      <w:pPr>
        <w:pStyle w:val="6"/>
        <w:snapToGrid w:val="0"/>
        <w:spacing w:before="50" w:after="50"/>
        <w:ind w:firstLine="720" w:firstLineChars="225"/>
        <w:rPr>
          <w:rFonts w:ascii="宋体" w:hAnsi="宋体" w:cs="仿宋_GB2312"/>
          <w:bCs/>
          <w:color w:val="auto"/>
          <w:sz w:val="32"/>
          <w:szCs w:val="32"/>
          <w:highlight w:val="none"/>
        </w:rPr>
      </w:pPr>
    </w:p>
    <w:p w14:paraId="10D4FBCA">
      <w:pPr>
        <w:pStyle w:val="6"/>
        <w:snapToGrid w:val="0"/>
        <w:spacing w:before="50" w:after="50"/>
        <w:ind w:firstLine="0"/>
        <w:rPr>
          <w:rFonts w:ascii="宋体" w:hAnsi="宋体" w:cs="仿宋_GB2312"/>
          <w:bCs/>
          <w:color w:val="auto"/>
          <w:sz w:val="32"/>
          <w:szCs w:val="32"/>
          <w:highlight w:val="none"/>
        </w:rPr>
      </w:pPr>
    </w:p>
    <w:p w14:paraId="0BA374A3">
      <w:pPr>
        <w:pStyle w:val="6"/>
        <w:snapToGrid w:val="0"/>
        <w:spacing w:before="50" w:after="50"/>
        <w:ind w:firstLine="1280" w:firstLineChars="400"/>
        <w:rPr>
          <w:rFonts w:ascii="宋体" w:hAnsi="宋体" w:cs="仿宋_GB2312"/>
          <w:bCs/>
          <w:color w:val="auto"/>
          <w:sz w:val="32"/>
          <w:szCs w:val="32"/>
          <w:highlight w:val="none"/>
        </w:rPr>
      </w:pPr>
    </w:p>
    <w:p w14:paraId="66F6E160">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956696A">
      <w:pPr>
        <w:snapToGrid w:val="0"/>
        <w:spacing w:before="120"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D6EAB2F">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74524AB">
      <w:pPr>
        <w:spacing w:line="400" w:lineRule="exact"/>
        <w:rPr>
          <w:rFonts w:ascii="仿宋_GB2312" w:hAnsi="仿宋_GB2312" w:eastAsia="仿宋_GB2312" w:cs="仿宋_GB2312"/>
          <w:color w:val="auto"/>
          <w:sz w:val="32"/>
          <w:szCs w:val="32"/>
          <w:highlight w:val="none"/>
        </w:rPr>
      </w:pPr>
    </w:p>
    <w:p w14:paraId="06EFF0B8">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C0E0402">
      <w:pPr>
        <w:spacing w:line="360" w:lineRule="auto"/>
        <w:ind w:firstLine="640" w:firstLineChars="200"/>
        <w:contextualSpacing/>
        <w:rPr>
          <w:rFonts w:ascii="仿宋_GB2312" w:hAnsi="仿宋_GB2312" w:eastAsia="仿宋_GB2312" w:cs="仿宋_GB2312"/>
          <w:color w:val="auto"/>
          <w:sz w:val="32"/>
          <w:szCs w:val="32"/>
          <w:highlight w:val="none"/>
        </w:rPr>
      </w:pPr>
    </w:p>
    <w:p w14:paraId="1F1F49E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862222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E0FFC6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D4070A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5EED0A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598EB83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052B97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59569A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F93827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5302CB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5C1516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7D1D21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799E4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D5E212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5888D1B">
      <w:pPr>
        <w:spacing w:line="360" w:lineRule="auto"/>
        <w:ind w:firstLine="480" w:firstLineChars="200"/>
        <w:contextualSpacing/>
        <w:rPr>
          <w:rFonts w:ascii="宋体" w:hAnsi="宋体" w:cs="仿宋_GB2312"/>
          <w:color w:val="auto"/>
          <w:sz w:val="24"/>
          <w:highlight w:val="none"/>
        </w:rPr>
      </w:pPr>
    </w:p>
    <w:p w14:paraId="65BF690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59A7551">
      <w:pPr>
        <w:spacing w:line="360" w:lineRule="auto"/>
        <w:contextualSpacing/>
        <w:rPr>
          <w:rFonts w:ascii="宋体" w:hAnsi="宋体" w:cs="仿宋_GB2312"/>
          <w:color w:val="auto"/>
          <w:sz w:val="24"/>
          <w:highlight w:val="none"/>
        </w:rPr>
      </w:pPr>
    </w:p>
    <w:p w14:paraId="17C0B49A">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49513967">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B9DBA8">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D4B9762">
      <w:pPr>
        <w:spacing w:line="360" w:lineRule="auto"/>
        <w:ind w:left="540"/>
        <w:contextualSpacing/>
        <w:rPr>
          <w:rFonts w:ascii="仿宋_GB2312" w:hAnsi="仿宋_GB2312" w:eastAsia="仿宋_GB2312" w:cs="仿宋_GB2312"/>
          <w:color w:val="auto"/>
          <w:sz w:val="32"/>
          <w:szCs w:val="32"/>
          <w:highlight w:val="none"/>
        </w:rPr>
      </w:pPr>
    </w:p>
    <w:p w14:paraId="3252250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78FD1A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DDF8B0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7B32951">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6E919FD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108668F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71A8AF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7550A6F2">
      <w:pPr>
        <w:spacing w:line="360" w:lineRule="auto"/>
        <w:ind w:left="540"/>
        <w:contextualSpacing/>
        <w:rPr>
          <w:rFonts w:ascii="宋体" w:hAnsi="宋体" w:cs="仿宋_GB2312"/>
          <w:color w:val="auto"/>
          <w:sz w:val="24"/>
          <w:highlight w:val="none"/>
        </w:rPr>
      </w:pPr>
    </w:p>
    <w:p w14:paraId="5F1E4792">
      <w:pPr>
        <w:spacing w:line="360" w:lineRule="auto"/>
        <w:ind w:left="540"/>
        <w:contextualSpacing/>
        <w:rPr>
          <w:rFonts w:ascii="宋体" w:hAnsi="宋体" w:cs="仿宋_GB2312"/>
          <w:color w:val="auto"/>
          <w:sz w:val="24"/>
          <w:highlight w:val="none"/>
        </w:rPr>
      </w:pPr>
    </w:p>
    <w:p w14:paraId="647DFA22">
      <w:pPr>
        <w:spacing w:line="360" w:lineRule="auto"/>
        <w:ind w:left="540"/>
        <w:contextualSpacing/>
        <w:rPr>
          <w:rFonts w:ascii="宋体" w:hAnsi="宋体" w:cs="仿宋_GB2312"/>
          <w:color w:val="auto"/>
          <w:sz w:val="24"/>
          <w:highlight w:val="none"/>
        </w:rPr>
      </w:pPr>
    </w:p>
    <w:p w14:paraId="21BDA0B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A93970C">
      <w:pPr>
        <w:spacing w:line="360" w:lineRule="auto"/>
        <w:ind w:left="540"/>
        <w:contextualSpacing/>
        <w:rPr>
          <w:rFonts w:ascii="宋体" w:hAnsi="宋体" w:cs="仿宋_GB2312"/>
          <w:color w:val="auto"/>
          <w:sz w:val="24"/>
          <w:highlight w:val="none"/>
        </w:rPr>
      </w:pPr>
    </w:p>
    <w:p w14:paraId="610F348F">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556C2F4">
      <w:pPr>
        <w:spacing w:line="360" w:lineRule="auto"/>
        <w:contextualSpacing/>
        <w:jc w:val="right"/>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7590562">
      <w:pPr>
        <w:spacing w:line="360" w:lineRule="auto"/>
        <w:contextualSpacing/>
        <w:jc w:val="center"/>
        <w:rPr>
          <w:rFonts w:ascii="宋体" w:hAnsi="宋体" w:cs="仿宋_GB2312"/>
          <w:b/>
          <w:color w:val="auto"/>
          <w:sz w:val="24"/>
          <w:highlight w:val="none"/>
        </w:rPr>
      </w:pPr>
    </w:p>
    <w:p w14:paraId="5B5F4EF2">
      <w:pPr>
        <w:spacing w:line="360" w:lineRule="auto"/>
        <w:contextualSpacing/>
        <w:jc w:val="left"/>
        <w:rPr>
          <w:rFonts w:ascii="宋体" w:hAnsi="宋体" w:cs="仿宋_GB2312"/>
          <w:color w:val="auto"/>
          <w:sz w:val="24"/>
          <w:highlight w:val="none"/>
        </w:rPr>
      </w:pPr>
    </w:p>
    <w:p w14:paraId="019BCD4F">
      <w:pPr>
        <w:adjustRightInd w:val="0"/>
        <w:snapToGrid w:val="0"/>
        <w:spacing w:line="300" w:lineRule="auto"/>
        <w:jc w:val="left"/>
        <w:rPr>
          <w:rFonts w:ascii="宋体" w:hAnsi="宋体"/>
          <w:b/>
          <w:color w:val="auto"/>
          <w:szCs w:val="21"/>
          <w:highlight w:val="none"/>
        </w:rPr>
      </w:pPr>
    </w:p>
    <w:p w14:paraId="2D96B31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112667E9">
      <w:pPr>
        <w:spacing w:line="520" w:lineRule="exact"/>
        <w:jc w:val="center"/>
        <w:rPr>
          <w:rFonts w:ascii="方正小标宋简体" w:hAnsi="方正小标宋简体" w:eastAsia="方正小标宋简体" w:cs="方正小标宋简体"/>
          <w:color w:val="auto"/>
          <w:sz w:val="44"/>
          <w:szCs w:val="44"/>
          <w:highlight w:val="none"/>
        </w:rPr>
      </w:pPr>
      <w:bookmarkStart w:id="86" w:name="_Hlk65853643"/>
      <w:r>
        <w:rPr>
          <w:rFonts w:hint="eastAsia" w:ascii="方正小标宋简体" w:hAnsi="方正小标宋简体" w:eastAsia="方正小标宋简体" w:cs="方正小标宋简体"/>
          <w:color w:val="auto"/>
          <w:sz w:val="44"/>
          <w:szCs w:val="44"/>
          <w:highlight w:val="none"/>
        </w:rPr>
        <w:t>授权委托书</w:t>
      </w:r>
    </w:p>
    <w:p w14:paraId="41CBEE63">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053A7B7E">
      <w:pPr>
        <w:spacing w:line="520" w:lineRule="exact"/>
        <w:rPr>
          <w:rFonts w:ascii="仿宋_GB2312" w:hAnsi="仿宋_GB2312" w:eastAsia="仿宋_GB2312" w:cs="仿宋_GB2312"/>
          <w:color w:val="auto"/>
          <w:sz w:val="32"/>
          <w:szCs w:val="32"/>
          <w:highlight w:val="none"/>
        </w:rPr>
      </w:pPr>
    </w:p>
    <w:p w14:paraId="2CE33D68">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C70D15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3B0863E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D2AF7C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ECA1BD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AC1DF0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BEF3129">
      <w:pPr>
        <w:spacing w:line="360" w:lineRule="auto"/>
        <w:rPr>
          <w:rFonts w:ascii="宋体" w:hAnsi="宋体" w:cs="仿宋_GB2312"/>
          <w:color w:val="auto"/>
          <w:sz w:val="24"/>
          <w:highlight w:val="none"/>
        </w:rPr>
      </w:pPr>
    </w:p>
    <w:p w14:paraId="70A5199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1CC93C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0089DA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78629AD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3FF98DA0">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666A462">
      <w:pPr>
        <w:spacing w:line="360" w:lineRule="auto"/>
        <w:rPr>
          <w:rFonts w:ascii="宋体" w:hAnsi="宋体" w:cs="仿宋_GB2312"/>
          <w:color w:val="auto"/>
          <w:sz w:val="24"/>
          <w:highlight w:val="none"/>
        </w:rPr>
      </w:pPr>
    </w:p>
    <w:p w14:paraId="7D016D12">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307B8C0">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7" w:name="_Hlk65853109"/>
      <w:bookmarkStart w:id="88" w:name="_Hlk65853542"/>
      <w:r>
        <w:rPr>
          <w:rFonts w:hint="eastAsia" w:ascii="宋体" w:hAnsi="宋体" w:cs="仿宋_GB2312"/>
          <w:color w:val="auto"/>
          <w:sz w:val="24"/>
          <w:highlight w:val="none"/>
        </w:rPr>
        <w:t>法人、其他组织竞标时“我方”是指“我单位”。</w:t>
      </w:r>
      <w:bookmarkEnd w:id="87"/>
    </w:p>
    <w:bookmarkEnd w:id="88"/>
    <w:p w14:paraId="48430C5B">
      <w:pPr>
        <w:spacing w:line="360" w:lineRule="auto"/>
        <w:ind w:firstLine="420" w:firstLineChars="200"/>
        <w:jc w:val="left"/>
        <w:rPr>
          <w:rFonts w:ascii="仿宋_GB2312" w:hAnsi="仿宋_GB2312" w:eastAsia="仿宋_GB2312" w:cs="仿宋_GB2312"/>
          <w:color w:val="auto"/>
          <w:szCs w:val="21"/>
          <w:highlight w:val="none"/>
        </w:rPr>
      </w:pPr>
    </w:p>
    <w:p w14:paraId="7EA039AA">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6"/>
      <w:r>
        <w:rPr>
          <w:rFonts w:hint="eastAsia" w:ascii="方正小标宋简体" w:hAnsi="方正小标宋简体" w:eastAsia="方正小标宋简体" w:cs="方正小标宋简体"/>
          <w:bCs/>
          <w:color w:val="auto"/>
          <w:sz w:val="44"/>
          <w:szCs w:val="44"/>
          <w:highlight w:val="none"/>
        </w:rPr>
        <w:t>商务要求偏离表</w:t>
      </w:r>
    </w:p>
    <w:p w14:paraId="3A3BF825">
      <w:pPr>
        <w:spacing w:line="520" w:lineRule="exact"/>
        <w:rPr>
          <w:rFonts w:ascii="仿宋_GB2312" w:hAnsi="仿宋_GB2312" w:eastAsia="仿宋_GB2312" w:cs="仿宋_GB2312"/>
          <w:color w:val="auto"/>
          <w:sz w:val="32"/>
          <w:szCs w:val="32"/>
          <w:highlight w:val="none"/>
        </w:rPr>
      </w:pPr>
    </w:p>
    <w:p w14:paraId="708C83B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2DBCCEC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05F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top"/>
          </w:tcPr>
          <w:p w14:paraId="42C139E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426ACEA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竞争性磋商文件商务要求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112A6200">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供应商的承诺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5A01EECF">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7B88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6F0E03CB">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5B8D01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F19BB0B">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0D2B879">
            <w:pPr>
              <w:snapToGrid w:val="0"/>
              <w:spacing w:before="120" w:beforeLines="50"/>
              <w:jc w:val="center"/>
              <w:rPr>
                <w:rFonts w:ascii="宋体" w:hAnsi="宋体"/>
                <w:color w:val="auto"/>
                <w:sz w:val="24"/>
                <w:highlight w:val="none"/>
              </w:rPr>
            </w:pPr>
          </w:p>
        </w:tc>
      </w:tr>
      <w:tr w14:paraId="0E6C9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51FB89F9">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服务周期及服务地点</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7E0D493">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4CFFA80">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8CED8CB">
            <w:pPr>
              <w:snapToGrid w:val="0"/>
              <w:spacing w:before="120" w:beforeLines="50"/>
              <w:ind w:left="43"/>
              <w:jc w:val="center"/>
              <w:rPr>
                <w:rFonts w:ascii="宋体" w:hAnsi="宋体"/>
                <w:color w:val="auto"/>
                <w:sz w:val="24"/>
                <w:highlight w:val="none"/>
              </w:rPr>
            </w:pPr>
          </w:p>
        </w:tc>
      </w:tr>
      <w:tr w14:paraId="1AD1E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4D9C5D03">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付款方式及进度</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3CA22BF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715D81B">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C7E6BD2">
            <w:pPr>
              <w:snapToGrid w:val="0"/>
              <w:spacing w:before="120" w:beforeLines="50"/>
              <w:ind w:left="43"/>
              <w:jc w:val="center"/>
              <w:rPr>
                <w:rFonts w:ascii="宋体" w:hAnsi="宋体"/>
                <w:color w:val="auto"/>
                <w:sz w:val="24"/>
                <w:highlight w:val="none"/>
              </w:rPr>
            </w:pPr>
          </w:p>
        </w:tc>
      </w:tr>
      <w:tr w14:paraId="674D4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41D30214">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磋商报价</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0D4189DE">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9A7825C">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51565B2">
            <w:pPr>
              <w:snapToGrid w:val="0"/>
              <w:spacing w:before="120" w:beforeLines="50"/>
              <w:ind w:left="43"/>
              <w:jc w:val="center"/>
              <w:rPr>
                <w:rFonts w:ascii="宋体" w:hAnsi="宋体"/>
                <w:color w:val="auto"/>
                <w:sz w:val="24"/>
                <w:highlight w:val="none"/>
              </w:rPr>
            </w:pPr>
          </w:p>
        </w:tc>
      </w:tr>
      <w:tr w14:paraId="555A2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390FF39E">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服务要求</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7DB1486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E5E1635">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E677982">
            <w:pPr>
              <w:snapToGrid w:val="0"/>
              <w:spacing w:before="120" w:beforeLines="50"/>
              <w:ind w:left="43"/>
              <w:jc w:val="center"/>
              <w:rPr>
                <w:rFonts w:ascii="宋体" w:hAnsi="宋体"/>
                <w:color w:val="auto"/>
                <w:sz w:val="24"/>
                <w:highlight w:val="none"/>
              </w:rPr>
            </w:pPr>
          </w:p>
        </w:tc>
      </w:tr>
      <w:tr w14:paraId="4BD11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14:paraId="70B22E76">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6DDF028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D23E3ED">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1A66005">
            <w:pPr>
              <w:snapToGrid w:val="0"/>
              <w:spacing w:before="120" w:beforeLines="50"/>
              <w:ind w:left="43"/>
              <w:jc w:val="center"/>
              <w:rPr>
                <w:rFonts w:ascii="宋体" w:hAnsi="宋体"/>
                <w:color w:val="auto"/>
                <w:sz w:val="24"/>
                <w:highlight w:val="none"/>
              </w:rPr>
            </w:pPr>
          </w:p>
        </w:tc>
      </w:tr>
      <w:tr w14:paraId="63FA9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0" w:type="dxa"/>
            <w:tcBorders>
              <w:top w:val="single" w:color="auto" w:sz="4" w:space="0"/>
              <w:left w:val="single" w:color="auto" w:sz="4" w:space="0"/>
              <w:bottom w:val="single" w:color="auto" w:sz="4" w:space="0"/>
              <w:right w:val="single" w:color="auto" w:sz="4" w:space="0"/>
            </w:tcBorders>
            <w:noWrap w:val="0"/>
            <w:vAlign w:val="top"/>
          </w:tcPr>
          <w:p w14:paraId="329E272C">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7546212">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582EE02">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1FBA2E89">
            <w:pPr>
              <w:snapToGrid w:val="0"/>
              <w:spacing w:before="120" w:beforeLines="50"/>
              <w:jc w:val="center"/>
              <w:rPr>
                <w:rFonts w:ascii="宋体" w:hAnsi="宋体"/>
                <w:color w:val="auto"/>
                <w:sz w:val="24"/>
                <w:highlight w:val="none"/>
              </w:rPr>
            </w:pPr>
          </w:p>
        </w:tc>
      </w:tr>
    </w:tbl>
    <w:p w14:paraId="6FDEF1D5">
      <w:pPr>
        <w:adjustRightInd w:val="0"/>
        <w:spacing w:line="360" w:lineRule="auto"/>
        <w:contextualSpacing/>
        <w:rPr>
          <w:rFonts w:ascii="宋体" w:hAnsi="宋体" w:cs="仿宋_GB2312"/>
          <w:color w:val="auto"/>
          <w:sz w:val="24"/>
          <w:highlight w:val="none"/>
        </w:rPr>
      </w:pPr>
    </w:p>
    <w:p w14:paraId="7DAF8848">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734C34A9">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采购需求”中的商务要求逐条作出明确响应，并作出偏离说明。</w:t>
      </w:r>
    </w:p>
    <w:p w14:paraId="21AFB6DD">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E92207C">
      <w:pPr>
        <w:spacing w:line="360" w:lineRule="auto"/>
        <w:ind w:right="-817" w:rightChars="-389"/>
        <w:contextualSpacing/>
        <w:rPr>
          <w:rFonts w:ascii="宋体" w:hAnsi="宋体" w:cs="仿宋_GB2312"/>
          <w:color w:val="auto"/>
          <w:sz w:val="24"/>
          <w:highlight w:val="none"/>
        </w:rPr>
      </w:pPr>
    </w:p>
    <w:p w14:paraId="0EA96CD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B3A8A2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0148CD1">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22ECEE5A">
      <w:pPr>
        <w:snapToGrid w:val="0"/>
        <w:spacing w:before="120"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425E06A3">
      <w:pPr>
        <w:snapToGrid w:val="0"/>
        <w:spacing w:before="120" w:beforeLines="50" w:after="50"/>
        <w:ind w:left="142"/>
        <w:jc w:val="left"/>
        <w:rPr>
          <w:rFonts w:ascii="宋体" w:hAnsi="宋体"/>
          <w:b/>
          <w:color w:val="auto"/>
          <w:sz w:val="24"/>
          <w:highlight w:val="none"/>
        </w:rPr>
      </w:pPr>
    </w:p>
    <w:p w14:paraId="7D3BFF1F">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68A4FF08">
      <w:pPr>
        <w:pStyle w:val="14"/>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168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8D8A90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14:paraId="5B562B3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14:paraId="35BE834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14:paraId="73F10FD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14:paraId="3B670B7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2165CA0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14:paraId="3737664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4233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EA0A1C5">
            <w:pPr>
              <w:spacing w:line="360" w:lineRule="auto"/>
              <w:contextualSpacing/>
              <w:jc w:val="center"/>
              <w:rPr>
                <w:rFonts w:ascii="宋体" w:hAnsi="宋体"/>
                <w:color w:val="auto"/>
                <w:sz w:val="24"/>
                <w:szCs w:val="20"/>
                <w:highlight w:val="none"/>
              </w:rPr>
            </w:pPr>
          </w:p>
        </w:tc>
        <w:tc>
          <w:tcPr>
            <w:tcW w:w="709" w:type="dxa"/>
            <w:noWrap w:val="0"/>
            <w:vAlign w:val="center"/>
          </w:tcPr>
          <w:p w14:paraId="4B4A43FA">
            <w:pPr>
              <w:spacing w:line="360" w:lineRule="auto"/>
              <w:contextualSpacing/>
              <w:jc w:val="center"/>
              <w:rPr>
                <w:rFonts w:ascii="宋体" w:hAnsi="宋体"/>
                <w:color w:val="auto"/>
                <w:sz w:val="24"/>
                <w:szCs w:val="20"/>
                <w:highlight w:val="none"/>
              </w:rPr>
            </w:pPr>
          </w:p>
        </w:tc>
        <w:tc>
          <w:tcPr>
            <w:tcW w:w="1701" w:type="dxa"/>
            <w:noWrap w:val="0"/>
            <w:vAlign w:val="center"/>
          </w:tcPr>
          <w:p w14:paraId="70726B26">
            <w:pPr>
              <w:spacing w:line="360" w:lineRule="auto"/>
              <w:contextualSpacing/>
              <w:jc w:val="center"/>
              <w:rPr>
                <w:rFonts w:ascii="宋体" w:hAnsi="宋体"/>
                <w:color w:val="auto"/>
                <w:sz w:val="24"/>
                <w:szCs w:val="20"/>
                <w:highlight w:val="none"/>
              </w:rPr>
            </w:pPr>
          </w:p>
        </w:tc>
        <w:tc>
          <w:tcPr>
            <w:tcW w:w="1420" w:type="dxa"/>
            <w:noWrap w:val="0"/>
            <w:vAlign w:val="center"/>
          </w:tcPr>
          <w:p w14:paraId="084362F2">
            <w:pPr>
              <w:spacing w:line="360" w:lineRule="auto"/>
              <w:contextualSpacing/>
              <w:jc w:val="center"/>
              <w:rPr>
                <w:rFonts w:ascii="宋体" w:hAnsi="宋体"/>
                <w:color w:val="auto"/>
                <w:sz w:val="24"/>
                <w:szCs w:val="20"/>
                <w:highlight w:val="none"/>
              </w:rPr>
            </w:pPr>
          </w:p>
        </w:tc>
        <w:tc>
          <w:tcPr>
            <w:tcW w:w="1698" w:type="dxa"/>
            <w:noWrap w:val="0"/>
            <w:vAlign w:val="center"/>
          </w:tcPr>
          <w:p w14:paraId="38C0C7B8">
            <w:pPr>
              <w:spacing w:line="360" w:lineRule="auto"/>
              <w:contextualSpacing/>
              <w:jc w:val="center"/>
              <w:rPr>
                <w:rFonts w:ascii="宋体" w:hAnsi="宋体"/>
                <w:color w:val="auto"/>
                <w:sz w:val="24"/>
                <w:szCs w:val="20"/>
                <w:highlight w:val="none"/>
              </w:rPr>
            </w:pPr>
          </w:p>
        </w:tc>
        <w:tc>
          <w:tcPr>
            <w:tcW w:w="1843" w:type="dxa"/>
            <w:noWrap w:val="0"/>
            <w:vAlign w:val="center"/>
          </w:tcPr>
          <w:p w14:paraId="679A1F5C">
            <w:pPr>
              <w:spacing w:line="360" w:lineRule="auto"/>
              <w:contextualSpacing/>
              <w:jc w:val="center"/>
              <w:rPr>
                <w:rFonts w:ascii="宋体" w:hAnsi="宋体"/>
                <w:color w:val="auto"/>
                <w:sz w:val="24"/>
                <w:szCs w:val="20"/>
                <w:highlight w:val="none"/>
              </w:rPr>
            </w:pPr>
          </w:p>
        </w:tc>
      </w:tr>
      <w:tr w14:paraId="67D8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1FF5BEB3">
            <w:pPr>
              <w:spacing w:line="360" w:lineRule="auto"/>
              <w:contextualSpacing/>
              <w:jc w:val="center"/>
              <w:rPr>
                <w:rFonts w:ascii="宋体" w:hAnsi="宋体"/>
                <w:color w:val="auto"/>
                <w:sz w:val="24"/>
                <w:szCs w:val="20"/>
                <w:highlight w:val="none"/>
              </w:rPr>
            </w:pPr>
          </w:p>
        </w:tc>
        <w:tc>
          <w:tcPr>
            <w:tcW w:w="709" w:type="dxa"/>
            <w:noWrap w:val="0"/>
            <w:vAlign w:val="center"/>
          </w:tcPr>
          <w:p w14:paraId="0872836E">
            <w:pPr>
              <w:spacing w:line="360" w:lineRule="auto"/>
              <w:contextualSpacing/>
              <w:jc w:val="center"/>
              <w:rPr>
                <w:rFonts w:ascii="宋体" w:hAnsi="宋体"/>
                <w:color w:val="auto"/>
                <w:sz w:val="24"/>
                <w:szCs w:val="20"/>
                <w:highlight w:val="none"/>
              </w:rPr>
            </w:pPr>
          </w:p>
        </w:tc>
        <w:tc>
          <w:tcPr>
            <w:tcW w:w="1701" w:type="dxa"/>
            <w:noWrap w:val="0"/>
            <w:vAlign w:val="center"/>
          </w:tcPr>
          <w:p w14:paraId="67D1301D">
            <w:pPr>
              <w:spacing w:line="360" w:lineRule="auto"/>
              <w:contextualSpacing/>
              <w:jc w:val="center"/>
              <w:rPr>
                <w:rFonts w:ascii="宋体" w:hAnsi="宋体"/>
                <w:color w:val="auto"/>
                <w:sz w:val="24"/>
                <w:szCs w:val="20"/>
                <w:highlight w:val="none"/>
              </w:rPr>
            </w:pPr>
          </w:p>
        </w:tc>
        <w:tc>
          <w:tcPr>
            <w:tcW w:w="1420" w:type="dxa"/>
            <w:noWrap w:val="0"/>
            <w:vAlign w:val="center"/>
          </w:tcPr>
          <w:p w14:paraId="022889FD">
            <w:pPr>
              <w:spacing w:line="360" w:lineRule="auto"/>
              <w:contextualSpacing/>
              <w:jc w:val="center"/>
              <w:rPr>
                <w:rFonts w:ascii="宋体" w:hAnsi="宋体"/>
                <w:color w:val="auto"/>
                <w:sz w:val="24"/>
                <w:szCs w:val="20"/>
                <w:highlight w:val="none"/>
              </w:rPr>
            </w:pPr>
          </w:p>
        </w:tc>
        <w:tc>
          <w:tcPr>
            <w:tcW w:w="1698" w:type="dxa"/>
            <w:noWrap w:val="0"/>
            <w:vAlign w:val="center"/>
          </w:tcPr>
          <w:p w14:paraId="13C26061">
            <w:pPr>
              <w:spacing w:line="360" w:lineRule="auto"/>
              <w:contextualSpacing/>
              <w:jc w:val="center"/>
              <w:rPr>
                <w:rFonts w:ascii="宋体" w:hAnsi="宋体"/>
                <w:color w:val="auto"/>
                <w:sz w:val="24"/>
                <w:szCs w:val="20"/>
                <w:highlight w:val="none"/>
              </w:rPr>
            </w:pPr>
          </w:p>
        </w:tc>
        <w:tc>
          <w:tcPr>
            <w:tcW w:w="1843" w:type="dxa"/>
            <w:noWrap w:val="0"/>
            <w:vAlign w:val="center"/>
          </w:tcPr>
          <w:p w14:paraId="397F32BF">
            <w:pPr>
              <w:spacing w:line="360" w:lineRule="auto"/>
              <w:contextualSpacing/>
              <w:jc w:val="center"/>
              <w:rPr>
                <w:rFonts w:ascii="宋体" w:hAnsi="宋体"/>
                <w:color w:val="auto"/>
                <w:sz w:val="24"/>
                <w:szCs w:val="20"/>
                <w:highlight w:val="none"/>
              </w:rPr>
            </w:pPr>
          </w:p>
        </w:tc>
      </w:tr>
      <w:tr w14:paraId="75DF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AAC6FB9">
            <w:pPr>
              <w:spacing w:line="360" w:lineRule="auto"/>
              <w:contextualSpacing/>
              <w:jc w:val="center"/>
              <w:rPr>
                <w:rFonts w:ascii="宋体" w:hAnsi="宋体"/>
                <w:color w:val="auto"/>
                <w:sz w:val="24"/>
                <w:szCs w:val="20"/>
                <w:highlight w:val="none"/>
              </w:rPr>
            </w:pPr>
          </w:p>
        </w:tc>
        <w:tc>
          <w:tcPr>
            <w:tcW w:w="709" w:type="dxa"/>
            <w:noWrap w:val="0"/>
            <w:vAlign w:val="center"/>
          </w:tcPr>
          <w:p w14:paraId="745D21C2">
            <w:pPr>
              <w:spacing w:line="360" w:lineRule="auto"/>
              <w:contextualSpacing/>
              <w:jc w:val="center"/>
              <w:rPr>
                <w:rFonts w:ascii="宋体" w:hAnsi="宋体"/>
                <w:color w:val="auto"/>
                <w:sz w:val="24"/>
                <w:szCs w:val="20"/>
                <w:highlight w:val="none"/>
              </w:rPr>
            </w:pPr>
          </w:p>
        </w:tc>
        <w:tc>
          <w:tcPr>
            <w:tcW w:w="1701" w:type="dxa"/>
            <w:noWrap w:val="0"/>
            <w:vAlign w:val="center"/>
          </w:tcPr>
          <w:p w14:paraId="7D18D17B">
            <w:pPr>
              <w:spacing w:line="360" w:lineRule="auto"/>
              <w:contextualSpacing/>
              <w:jc w:val="center"/>
              <w:rPr>
                <w:rFonts w:ascii="宋体" w:hAnsi="宋体"/>
                <w:color w:val="auto"/>
                <w:sz w:val="24"/>
                <w:szCs w:val="20"/>
                <w:highlight w:val="none"/>
              </w:rPr>
            </w:pPr>
          </w:p>
        </w:tc>
        <w:tc>
          <w:tcPr>
            <w:tcW w:w="1420" w:type="dxa"/>
            <w:noWrap w:val="0"/>
            <w:vAlign w:val="center"/>
          </w:tcPr>
          <w:p w14:paraId="26EA3139">
            <w:pPr>
              <w:spacing w:line="360" w:lineRule="auto"/>
              <w:contextualSpacing/>
              <w:jc w:val="center"/>
              <w:rPr>
                <w:rFonts w:ascii="宋体" w:hAnsi="宋体"/>
                <w:color w:val="auto"/>
                <w:sz w:val="24"/>
                <w:szCs w:val="20"/>
                <w:highlight w:val="none"/>
              </w:rPr>
            </w:pPr>
          </w:p>
        </w:tc>
        <w:tc>
          <w:tcPr>
            <w:tcW w:w="1698" w:type="dxa"/>
            <w:noWrap w:val="0"/>
            <w:vAlign w:val="center"/>
          </w:tcPr>
          <w:p w14:paraId="030146CF">
            <w:pPr>
              <w:spacing w:line="360" w:lineRule="auto"/>
              <w:contextualSpacing/>
              <w:jc w:val="center"/>
              <w:rPr>
                <w:rFonts w:ascii="宋体" w:hAnsi="宋体"/>
                <w:color w:val="auto"/>
                <w:sz w:val="24"/>
                <w:szCs w:val="20"/>
                <w:highlight w:val="none"/>
              </w:rPr>
            </w:pPr>
          </w:p>
        </w:tc>
        <w:tc>
          <w:tcPr>
            <w:tcW w:w="1843" w:type="dxa"/>
            <w:noWrap w:val="0"/>
            <w:vAlign w:val="center"/>
          </w:tcPr>
          <w:p w14:paraId="0C28C70D">
            <w:pPr>
              <w:spacing w:line="360" w:lineRule="auto"/>
              <w:contextualSpacing/>
              <w:jc w:val="center"/>
              <w:rPr>
                <w:rFonts w:ascii="宋体" w:hAnsi="宋体"/>
                <w:color w:val="auto"/>
                <w:sz w:val="24"/>
                <w:szCs w:val="20"/>
                <w:highlight w:val="none"/>
              </w:rPr>
            </w:pPr>
          </w:p>
        </w:tc>
      </w:tr>
    </w:tbl>
    <w:p w14:paraId="31A52B6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1467F2D">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22D1AF86">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66755E55">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52420106">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DEC462D">
      <w:pPr>
        <w:snapToGrid w:val="0"/>
        <w:spacing w:before="50" w:after="120" w:afterLines="50"/>
        <w:jc w:val="left"/>
        <w:rPr>
          <w:rFonts w:ascii="宋体" w:hAnsi="宋体"/>
          <w:color w:val="auto"/>
          <w:sz w:val="24"/>
          <w:szCs w:val="20"/>
          <w:highlight w:val="none"/>
        </w:rPr>
      </w:pPr>
    </w:p>
    <w:p w14:paraId="425F070D">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0B4B47DF">
      <w:pPr>
        <w:snapToGrid w:val="0"/>
        <w:spacing w:before="120" w:beforeLines="50" w:after="50"/>
        <w:jc w:val="left"/>
        <w:rPr>
          <w:rFonts w:ascii="宋体" w:hAnsi="宋体"/>
          <w:b/>
          <w:bCs/>
          <w:color w:val="auto"/>
          <w:sz w:val="24"/>
          <w:highlight w:val="none"/>
        </w:rPr>
      </w:pP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77513B6B">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0E6510CD">
      <w:pPr>
        <w:snapToGrid w:val="0"/>
        <w:spacing w:before="120" w:beforeLines="50" w:after="50"/>
        <w:jc w:val="center"/>
        <w:rPr>
          <w:rFonts w:ascii="宋体" w:hAnsi="宋体"/>
          <w:b/>
          <w:color w:val="auto"/>
          <w:sz w:val="24"/>
          <w:highlight w:val="none"/>
        </w:rPr>
      </w:pPr>
    </w:p>
    <w:p w14:paraId="4E0FB199">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3295E3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26CE02F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1.我方承诺，若本单位成交，保证在发出成交通知书之日起25日内，按本项目磋商文件的规定标准向贵单位一次性足额支付代理服务费, 在领取成交通知书后，由于被质疑、投诉或者其他原因而导致成交结果改变，我方将放弃对已缴纳的成交服务费追还的一切权利。</w:t>
      </w:r>
    </w:p>
    <w:p w14:paraId="586CC87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37EBF73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20AB6CA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9E54B3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600530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第二种方式：开具增值税发票，开票信息如下：</w:t>
      </w:r>
    </w:p>
    <w:p w14:paraId="0E66ED6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8DB073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2DEA08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DEA4DE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27F53B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30EFFE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E879F22">
      <w:pPr>
        <w:spacing w:line="440" w:lineRule="exact"/>
        <w:rPr>
          <w:rFonts w:ascii="宋体" w:hAnsi="宋体"/>
          <w:color w:val="auto"/>
          <w:sz w:val="24"/>
          <w:highlight w:val="none"/>
        </w:rPr>
      </w:pPr>
    </w:p>
    <w:p w14:paraId="7F72B78E">
      <w:pPr>
        <w:spacing w:line="440" w:lineRule="exact"/>
        <w:rPr>
          <w:rFonts w:ascii="宋体" w:hAnsi="宋体"/>
          <w:color w:val="auto"/>
          <w:sz w:val="24"/>
          <w:highlight w:val="none"/>
        </w:rPr>
      </w:pPr>
    </w:p>
    <w:p w14:paraId="0A5A9EC1">
      <w:pPr>
        <w:spacing w:line="440" w:lineRule="exact"/>
        <w:rPr>
          <w:rFonts w:ascii="宋体" w:hAnsi="宋体"/>
          <w:color w:val="auto"/>
          <w:sz w:val="24"/>
          <w:highlight w:val="none"/>
        </w:rPr>
      </w:pPr>
    </w:p>
    <w:p w14:paraId="7826192D">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3D7A3F16">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13C1D745">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6ADDF21">
      <w:pPr>
        <w:widowControl/>
        <w:spacing w:line="360" w:lineRule="auto"/>
        <w:jc w:val="left"/>
        <w:rPr>
          <w:rFonts w:ascii="宋体" w:hAnsi="宋体"/>
          <w:color w:val="auto"/>
          <w:szCs w:val="21"/>
          <w:highlight w:val="none"/>
        </w:rPr>
        <w:sectPr>
          <w:footerReference r:id="rId8" w:type="first"/>
          <w:footerReference r:id="rId7" w:type="default"/>
          <w:pgSz w:w="11906" w:h="16838"/>
          <w:pgMar w:top="1440" w:right="1797" w:bottom="1440" w:left="1797" w:header="851" w:footer="992" w:gutter="0"/>
          <w:cols w:space="720" w:num="1"/>
        </w:sectPr>
      </w:pPr>
    </w:p>
    <w:p w14:paraId="4D27AAF2">
      <w:pPr>
        <w:snapToGrid w:val="0"/>
        <w:spacing w:before="156"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tbl>
      <w:tblPr>
        <w:tblStyle w:val="2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1F2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77A1DFDA">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47F46DC">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61677C1C">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5ECBB160">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竞标响应</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D040E56">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14:paraId="0E84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34F97EE2">
            <w:pPr>
              <w:pStyle w:val="14"/>
              <w:spacing w:line="600" w:lineRule="exact"/>
              <w:jc w:val="center"/>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1276D8">
            <w:pPr>
              <w:pStyle w:val="14"/>
              <w:spacing w:line="600" w:lineRule="exact"/>
              <w:jc w:val="center"/>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730D9F0">
            <w:pPr>
              <w:pStyle w:val="14"/>
              <w:spacing w:line="600" w:lineRule="exact"/>
              <w:jc w:val="center"/>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6995941">
            <w:pPr>
              <w:pStyle w:val="14"/>
              <w:spacing w:line="600" w:lineRule="exact"/>
              <w:jc w:val="center"/>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14:paraId="7FEC798D">
            <w:pPr>
              <w:pStyle w:val="14"/>
              <w:spacing w:line="600" w:lineRule="exact"/>
              <w:jc w:val="center"/>
              <w:rPr>
                <w:rFonts w:hAnsi="宋体" w:cs="Courier New"/>
                <w:color w:val="auto"/>
                <w:kern w:val="2"/>
                <w:sz w:val="24"/>
                <w:szCs w:val="24"/>
                <w:highlight w:val="none"/>
                <w:lang w:val="en-US" w:eastAsia="zh-CN"/>
              </w:rPr>
            </w:pPr>
          </w:p>
        </w:tc>
      </w:tr>
      <w:tr w14:paraId="6BFE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5328059C">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3F5DEDDF">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5E63EE93">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1B7A1051">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6E2D21A9">
            <w:pPr>
              <w:pStyle w:val="14"/>
              <w:spacing w:line="600" w:lineRule="exact"/>
              <w:rPr>
                <w:rFonts w:hAnsi="宋体" w:cs="Courier New"/>
                <w:color w:val="auto"/>
                <w:kern w:val="2"/>
                <w:sz w:val="24"/>
                <w:szCs w:val="24"/>
                <w:highlight w:val="none"/>
                <w:lang w:val="en-US" w:eastAsia="zh-CN"/>
              </w:rPr>
            </w:pPr>
          </w:p>
        </w:tc>
      </w:tr>
      <w:tr w14:paraId="194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2E53FD6F">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74D21673">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38368828">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3DA55283">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3BDB9390">
            <w:pPr>
              <w:pStyle w:val="14"/>
              <w:spacing w:line="600" w:lineRule="exact"/>
              <w:rPr>
                <w:rFonts w:hAnsi="宋体" w:cs="Courier New"/>
                <w:color w:val="auto"/>
                <w:kern w:val="2"/>
                <w:sz w:val="24"/>
                <w:szCs w:val="24"/>
                <w:highlight w:val="none"/>
                <w:lang w:val="en-US" w:eastAsia="zh-CN"/>
              </w:rPr>
            </w:pPr>
          </w:p>
        </w:tc>
      </w:tr>
      <w:tr w14:paraId="2A0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4833870E">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7E4D4732">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000C9E9F">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52EC99D6">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344456E6">
            <w:pPr>
              <w:pStyle w:val="14"/>
              <w:spacing w:line="600" w:lineRule="exact"/>
              <w:rPr>
                <w:rFonts w:hAnsi="宋体" w:cs="Courier New"/>
                <w:color w:val="auto"/>
                <w:kern w:val="2"/>
                <w:sz w:val="24"/>
                <w:szCs w:val="24"/>
                <w:highlight w:val="none"/>
                <w:lang w:val="en-US" w:eastAsia="zh-CN"/>
              </w:rPr>
            </w:pPr>
          </w:p>
        </w:tc>
      </w:tr>
      <w:tr w14:paraId="7767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5104056D">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0F7B3AD3">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06D40ACB">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0F45D81E">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5A5C3CF4">
            <w:pPr>
              <w:pStyle w:val="14"/>
              <w:spacing w:line="600" w:lineRule="exact"/>
              <w:rPr>
                <w:rFonts w:hAnsi="宋体" w:cs="Courier New"/>
                <w:color w:val="auto"/>
                <w:kern w:val="2"/>
                <w:sz w:val="24"/>
                <w:szCs w:val="24"/>
                <w:highlight w:val="none"/>
                <w:lang w:val="en-US" w:eastAsia="zh-CN"/>
              </w:rPr>
            </w:pPr>
          </w:p>
        </w:tc>
      </w:tr>
      <w:tr w14:paraId="55C9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5C33EF6B">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20ABC630">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0D0BB969">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4C4BC3C7">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2B33235C">
            <w:pPr>
              <w:pStyle w:val="14"/>
              <w:spacing w:line="600" w:lineRule="exact"/>
              <w:rPr>
                <w:rFonts w:hAnsi="宋体" w:cs="Courier New"/>
                <w:color w:val="auto"/>
                <w:kern w:val="2"/>
                <w:sz w:val="24"/>
                <w:szCs w:val="24"/>
                <w:highlight w:val="none"/>
                <w:lang w:val="en-US" w:eastAsia="zh-CN"/>
              </w:rPr>
            </w:pPr>
          </w:p>
        </w:tc>
      </w:tr>
      <w:tr w14:paraId="2A9F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14:paraId="693707E2">
            <w:pPr>
              <w:pStyle w:val="14"/>
              <w:spacing w:line="600" w:lineRule="exact"/>
              <w:rPr>
                <w:rFonts w:hAnsi="宋体" w:cs="Courier New"/>
                <w:color w:val="auto"/>
                <w:kern w:val="2"/>
                <w:sz w:val="24"/>
                <w:szCs w:val="24"/>
                <w:highlight w:val="none"/>
                <w:lang w:val="en-US" w:eastAsia="zh-CN"/>
              </w:rPr>
            </w:pPr>
          </w:p>
        </w:tc>
        <w:tc>
          <w:tcPr>
            <w:tcW w:w="2143" w:type="dxa"/>
            <w:tcBorders>
              <w:top w:val="single" w:color="auto" w:sz="4" w:space="0"/>
              <w:left w:val="single" w:color="auto" w:sz="4" w:space="0"/>
              <w:bottom w:val="single" w:color="auto" w:sz="4" w:space="0"/>
              <w:right w:val="single" w:color="auto" w:sz="4" w:space="0"/>
            </w:tcBorders>
            <w:noWrap w:val="0"/>
            <w:vAlign w:val="top"/>
          </w:tcPr>
          <w:p w14:paraId="0D71BF80">
            <w:pPr>
              <w:pStyle w:val="14"/>
              <w:spacing w:line="600" w:lineRule="exact"/>
              <w:rPr>
                <w:rFonts w:hAnsi="宋体" w:cs="Courier New"/>
                <w:color w:val="auto"/>
                <w:kern w:val="2"/>
                <w:sz w:val="24"/>
                <w:szCs w:val="24"/>
                <w:highlight w:val="none"/>
                <w:lang w:val="en-US" w:eastAsia="zh-CN"/>
              </w:rPr>
            </w:pPr>
          </w:p>
        </w:tc>
        <w:tc>
          <w:tcPr>
            <w:tcW w:w="1834" w:type="dxa"/>
            <w:tcBorders>
              <w:top w:val="single" w:color="auto" w:sz="4" w:space="0"/>
              <w:left w:val="single" w:color="auto" w:sz="4" w:space="0"/>
              <w:bottom w:val="single" w:color="auto" w:sz="4" w:space="0"/>
              <w:right w:val="single" w:color="auto" w:sz="4" w:space="0"/>
            </w:tcBorders>
            <w:noWrap w:val="0"/>
            <w:vAlign w:val="top"/>
          </w:tcPr>
          <w:p w14:paraId="3836C43A">
            <w:pPr>
              <w:pStyle w:val="14"/>
              <w:spacing w:line="600" w:lineRule="exact"/>
              <w:rPr>
                <w:rFonts w:hAnsi="宋体" w:cs="Courier New"/>
                <w:color w:val="auto"/>
                <w:kern w:val="2"/>
                <w:sz w:val="24"/>
                <w:szCs w:val="24"/>
                <w:highlight w:val="none"/>
                <w:lang w:val="en-US" w:eastAsia="zh-CN"/>
              </w:rPr>
            </w:pPr>
          </w:p>
        </w:tc>
        <w:tc>
          <w:tcPr>
            <w:tcW w:w="2181" w:type="dxa"/>
            <w:tcBorders>
              <w:top w:val="single" w:color="auto" w:sz="4" w:space="0"/>
              <w:left w:val="single" w:color="auto" w:sz="4" w:space="0"/>
              <w:bottom w:val="single" w:color="auto" w:sz="4" w:space="0"/>
              <w:right w:val="single" w:color="auto" w:sz="4" w:space="0"/>
            </w:tcBorders>
            <w:noWrap w:val="0"/>
            <w:vAlign w:val="top"/>
          </w:tcPr>
          <w:p w14:paraId="05F265A1">
            <w:pPr>
              <w:pStyle w:val="14"/>
              <w:spacing w:line="600" w:lineRule="exact"/>
              <w:rPr>
                <w:rFonts w:hAnsi="宋体" w:cs="Courier New"/>
                <w:color w:val="auto"/>
                <w:kern w:val="2"/>
                <w:sz w:val="24"/>
                <w:szCs w:val="24"/>
                <w:highlight w:val="none"/>
                <w:lang w:val="en-US" w:eastAsia="zh-CN"/>
              </w:rPr>
            </w:pPr>
          </w:p>
        </w:tc>
        <w:tc>
          <w:tcPr>
            <w:tcW w:w="1934" w:type="dxa"/>
            <w:tcBorders>
              <w:top w:val="single" w:color="auto" w:sz="4" w:space="0"/>
              <w:left w:val="single" w:color="auto" w:sz="4" w:space="0"/>
              <w:bottom w:val="single" w:color="auto" w:sz="4" w:space="0"/>
              <w:right w:val="single" w:color="auto" w:sz="4" w:space="0"/>
            </w:tcBorders>
            <w:noWrap w:val="0"/>
            <w:vAlign w:val="top"/>
          </w:tcPr>
          <w:p w14:paraId="7F424D5B">
            <w:pPr>
              <w:pStyle w:val="14"/>
              <w:spacing w:line="600" w:lineRule="exact"/>
              <w:rPr>
                <w:rFonts w:hAnsi="宋体" w:cs="Courier New"/>
                <w:color w:val="auto"/>
                <w:kern w:val="2"/>
                <w:sz w:val="24"/>
                <w:szCs w:val="24"/>
                <w:highlight w:val="none"/>
                <w:lang w:val="en-US" w:eastAsia="zh-CN"/>
              </w:rPr>
            </w:pPr>
          </w:p>
        </w:tc>
      </w:tr>
    </w:tbl>
    <w:p w14:paraId="3A7D8328">
      <w:pPr>
        <w:pStyle w:val="10"/>
        <w:spacing w:line="360" w:lineRule="auto"/>
        <w:rPr>
          <w:rFonts w:ascii="宋体" w:hAnsi="宋体"/>
          <w:b/>
          <w:color w:val="auto"/>
          <w:kern w:val="0"/>
          <w:sz w:val="24"/>
          <w:szCs w:val="24"/>
          <w:highlight w:val="none"/>
        </w:rPr>
      </w:pPr>
      <w:r>
        <w:rPr>
          <w:rFonts w:hint="eastAsia" w:ascii="宋体" w:hAnsi="宋体"/>
          <w:color w:val="auto"/>
          <w:highlight w:val="none"/>
        </w:rPr>
        <w:t>注：</w:t>
      </w:r>
    </w:p>
    <w:p w14:paraId="07C79F05">
      <w:pPr>
        <w:pStyle w:val="12"/>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说明：应对照磋商文件“第二章 采购需求”中的技术要求逐条作明确的竞标响应，并作出偏离说明。</w:t>
      </w:r>
    </w:p>
    <w:p w14:paraId="0AC28BD5">
      <w:pPr>
        <w:pStyle w:val="10"/>
        <w:spacing w:line="360" w:lineRule="auto"/>
        <w:rPr>
          <w:rFonts w:ascii="宋体" w:hAnsi="宋体"/>
          <w:color w:val="auto"/>
          <w:sz w:val="24"/>
          <w:szCs w:val="24"/>
          <w:highlight w:val="none"/>
        </w:rPr>
      </w:pPr>
      <w:r>
        <w:rPr>
          <w:rFonts w:hint="eastAsia" w:ascii="宋体" w:hAnsi="宋体"/>
          <w:b/>
          <w:bCs/>
          <w:color w:val="auto"/>
          <w:sz w:val="24"/>
          <w:szCs w:val="24"/>
          <w:highlight w:val="none"/>
        </w:rPr>
        <w:t>2.供应商应根据自身的承诺，对照竞争性磋商文件要求，在“偏离说明”中注明“</w:t>
      </w:r>
      <w:r>
        <w:rPr>
          <w:rFonts w:hint="eastAsia" w:ascii="宋体" w:hAnsi="宋体"/>
          <w:color w:val="auto"/>
          <w:sz w:val="24"/>
          <w:szCs w:val="24"/>
          <w:highlight w:val="none"/>
        </w:rPr>
        <w:t>正偏离</w:t>
      </w:r>
      <w:r>
        <w:rPr>
          <w:rFonts w:hint="eastAsia" w:ascii="宋体" w:hAnsi="宋体"/>
          <w:b/>
          <w:bCs/>
          <w:color w:val="auto"/>
          <w:sz w:val="24"/>
          <w:szCs w:val="24"/>
          <w:highlight w:val="none"/>
        </w:rPr>
        <w:t>”、“</w:t>
      </w:r>
      <w:r>
        <w:rPr>
          <w:rFonts w:hint="eastAsia" w:ascii="宋体" w:hAnsi="宋体"/>
          <w:color w:val="auto"/>
          <w:sz w:val="24"/>
          <w:szCs w:val="24"/>
          <w:highlight w:val="none"/>
        </w:rPr>
        <w:t>负偏离</w:t>
      </w:r>
      <w:r>
        <w:rPr>
          <w:rFonts w:hint="eastAsia" w:ascii="宋体" w:hAnsi="宋体"/>
          <w:b/>
          <w:bCs/>
          <w:color w:val="auto"/>
          <w:sz w:val="24"/>
          <w:szCs w:val="24"/>
          <w:highlight w:val="none"/>
        </w:rPr>
        <w:t>”或者“</w:t>
      </w:r>
      <w:r>
        <w:rPr>
          <w:rFonts w:hint="eastAsia" w:ascii="宋体" w:hAnsi="宋体"/>
          <w:color w:val="auto"/>
          <w:sz w:val="24"/>
          <w:szCs w:val="24"/>
          <w:highlight w:val="none"/>
        </w:rPr>
        <w:t>无偏离</w:t>
      </w:r>
      <w:r>
        <w:rPr>
          <w:rFonts w:hint="eastAsia" w:ascii="宋体" w:hAnsi="宋体"/>
          <w:b/>
          <w:bCs/>
          <w:color w:val="auto"/>
          <w:sz w:val="24"/>
          <w:szCs w:val="24"/>
          <w:highlight w:val="none"/>
        </w:rPr>
        <w:t>”。既不属于“</w:t>
      </w:r>
      <w:r>
        <w:rPr>
          <w:rFonts w:hint="eastAsia" w:ascii="宋体" w:hAnsi="宋体"/>
          <w:color w:val="auto"/>
          <w:sz w:val="24"/>
          <w:szCs w:val="24"/>
          <w:highlight w:val="none"/>
        </w:rPr>
        <w:t>正偏离</w:t>
      </w:r>
      <w:r>
        <w:rPr>
          <w:rFonts w:hint="eastAsia" w:ascii="宋体" w:hAnsi="宋体"/>
          <w:b/>
          <w:bCs/>
          <w:color w:val="auto"/>
          <w:sz w:val="24"/>
          <w:szCs w:val="24"/>
          <w:highlight w:val="none"/>
        </w:rPr>
        <w:t>”也不属于“</w:t>
      </w:r>
      <w:r>
        <w:rPr>
          <w:rFonts w:hint="eastAsia" w:ascii="宋体" w:hAnsi="宋体"/>
          <w:color w:val="auto"/>
          <w:sz w:val="24"/>
          <w:szCs w:val="24"/>
          <w:highlight w:val="none"/>
        </w:rPr>
        <w:t>负偏离</w:t>
      </w:r>
      <w:r>
        <w:rPr>
          <w:rFonts w:hint="eastAsia" w:ascii="宋体" w:hAnsi="宋体"/>
          <w:b/>
          <w:bCs/>
          <w:color w:val="auto"/>
          <w:sz w:val="24"/>
          <w:szCs w:val="24"/>
          <w:highlight w:val="none"/>
        </w:rPr>
        <w:t>”即为“</w:t>
      </w:r>
      <w:r>
        <w:rPr>
          <w:rFonts w:hint="eastAsia" w:ascii="宋体" w:hAnsi="宋体"/>
          <w:color w:val="auto"/>
          <w:sz w:val="24"/>
          <w:szCs w:val="24"/>
          <w:highlight w:val="none"/>
        </w:rPr>
        <w:t>无偏离</w:t>
      </w:r>
      <w:r>
        <w:rPr>
          <w:rFonts w:hint="eastAsia" w:ascii="宋体" w:hAnsi="宋体"/>
          <w:b/>
          <w:bCs/>
          <w:color w:val="auto"/>
          <w:sz w:val="24"/>
          <w:szCs w:val="24"/>
          <w:highlight w:val="none"/>
        </w:rPr>
        <w:t>”。</w:t>
      </w:r>
    </w:p>
    <w:p w14:paraId="4334D267">
      <w:pPr>
        <w:pStyle w:val="10"/>
        <w:spacing w:line="360" w:lineRule="auto"/>
        <w:rPr>
          <w:rFonts w:ascii="宋体" w:hAnsi="宋体"/>
          <w:color w:val="auto"/>
          <w:spacing w:val="20"/>
          <w:highlight w:val="none"/>
        </w:rPr>
      </w:pPr>
    </w:p>
    <w:p w14:paraId="068B6909">
      <w:pPr>
        <w:spacing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561528D">
      <w:pPr>
        <w:spacing w:line="360" w:lineRule="auto"/>
        <w:rPr>
          <w:rFonts w:ascii="宋体" w:hAnsi="宋体"/>
          <w:color w:val="auto"/>
          <w:spacing w:val="20"/>
          <w:sz w:val="24"/>
          <w:highlight w:val="none"/>
        </w:rPr>
      </w:pPr>
      <w:r>
        <w:rPr>
          <w:rFonts w:hint="eastAsia" w:ascii="宋体" w:hAnsi="宋体"/>
          <w:color w:val="auto"/>
          <w:spacing w:val="20"/>
          <w:sz w:val="24"/>
          <w:highlight w:val="none"/>
        </w:rPr>
        <w:t>竞标人名称（电子签章）：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16318B8">
      <w:pPr>
        <w:spacing w:line="360" w:lineRule="auto"/>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602052B2">
      <w:pPr>
        <w:spacing w:line="300" w:lineRule="auto"/>
        <w:rPr>
          <w:rFonts w:ascii="宋体" w:hAnsi="宋体"/>
          <w:b/>
          <w:bCs/>
          <w:color w:val="auto"/>
          <w:sz w:val="24"/>
          <w:highlight w:val="none"/>
        </w:rPr>
      </w:pPr>
    </w:p>
    <w:p w14:paraId="2CDD1158">
      <w:pPr>
        <w:pStyle w:val="6"/>
        <w:rPr>
          <w:color w:val="auto"/>
          <w:highlight w:val="none"/>
        </w:rPr>
      </w:pPr>
    </w:p>
    <w:p w14:paraId="6CC4EAEE">
      <w:pPr>
        <w:pStyle w:val="6"/>
        <w:rPr>
          <w:color w:val="auto"/>
          <w:highlight w:val="none"/>
        </w:rPr>
      </w:pPr>
    </w:p>
    <w:p w14:paraId="7A0661B0">
      <w:pPr>
        <w:pStyle w:val="6"/>
        <w:rPr>
          <w:color w:val="auto"/>
          <w:highlight w:val="none"/>
        </w:rPr>
      </w:pPr>
    </w:p>
    <w:p w14:paraId="77C6D5C7">
      <w:pPr>
        <w:pStyle w:val="6"/>
        <w:rPr>
          <w:color w:val="auto"/>
          <w:highlight w:val="none"/>
        </w:rPr>
      </w:pPr>
    </w:p>
    <w:p w14:paraId="73625707">
      <w:pPr>
        <w:pStyle w:val="6"/>
        <w:rPr>
          <w:color w:val="auto"/>
          <w:highlight w:val="none"/>
        </w:rPr>
      </w:pPr>
    </w:p>
    <w:p w14:paraId="53337CDA">
      <w:pPr>
        <w:pStyle w:val="6"/>
        <w:rPr>
          <w:color w:val="auto"/>
          <w:highlight w:val="none"/>
        </w:rPr>
      </w:pPr>
    </w:p>
    <w:p w14:paraId="0544D6C0">
      <w:pPr>
        <w:pStyle w:val="6"/>
        <w:rPr>
          <w:color w:val="auto"/>
          <w:highlight w:val="none"/>
        </w:rPr>
      </w:pPr>
    </w:p>
    <w:p w14:paraId="15117FA6">
      <w:pPr>
        <w:pStyle w:val="6"/>
        <w:rPr>
          <w:color w:val="auto"/>
          <w:highlight w:val="none"/>
        </w:rPr>
      </w:pPr>
    </w:p>
    <w:p w14:paraId="6777B8BC">
      <w:pPr>
        <w:pStyle w:val="6"/>
        <w:rPr>
          <w:color w:val="auto"/>
          <w:highlight w:val="none"/>
        </w:rPr>
      </w:pPr>
    </w:p>
    <w:p w14:paraId="5AA94498">
      <w:pPr>
        <w:pStyle w:val="6"/>
        <w:rPr>
          <w:color w:val="auto"/>
          <w:highlight w:val="none"/>
        </w:rPr>
      </w:pPr>
    </w:p>
    <w:p w14:paraId="119361B1">
      <w:pPr>
        <w:spacing w:line="300" w:lineRule="auto"/>
        <w:rPr>
          <w:rFonts w:ascii="宋体" w:hAnsi="宋体"/>
          <w:color w:val="auto"/>
          <w:szCs w:val="21"/>
          <w:highlight w:val="none"/>
        </w:rPr>
      </w:pPr>
      <w:r>
        <w:rPr>
          <w:rFonts w:hint="eastAsia" w:ascii="宋体" w:hAnsi="宋体"/>
          <w:b/>
          <w:bCs/>
          <w:color w:val="auto"/>
          <w:sz w:val="24"/>
          <w:highlight w:val="none"/>
        </w:rPr>
        <w:t>其他文书、文件格式</w:t>
      </w:r>
    </w:p>
    <w:p w14:paraId="24736096">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FD39A7B">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5558D54">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4ABBE68">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6B68AA1">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FAEBFE5">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1CDA6E3">
      <w:pPr>
        <w:pStyle w:val="1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2794CD4">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B7F8E30">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054404DE">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C4C570A">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E80C2F4">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261B19D">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6DA5E711">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70CCB5B0">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1BE3655E">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1742305">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C2305F7">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57DD263">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698FA81">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8E0BEBD">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6E58ED86">
      <w:pPr>
        <w:pStyle w:val="1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3C11B9EA">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F41AA7C">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CF644ED">
      <w:pPr>
        <w:pStyle w:val="14"/>
        <w:spacing w:line="360" w:lineRule="auto"/>
        <w:ind w:left="25" w:leftChars="12" w:firstLine="352" w:firstLineChars="147"/>
        <w:contextualSpacing/>
        <w:rPr>
          <w:rFonts w:hAnsi="宋体"/>
          <w:color w:val="auto"/>
          <w:sz w:val="24"/>
          <w:szCs w:val="24"/>
          <w:highlight w:val="none"/>
        </w:rPr>
      </w:pPr>
    </w:p>
    <w:p w14:paraId="1481D956">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2A0149BD">
      <w:pPr>
        <w:pStyle w:val="14"/>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35C58F8B">
      <w:pPr>
        <w:pStyle w:val="1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529115FD">
      <w:pPr>
        <w:pStyle w:val="1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5446E48">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C84C21">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E0D0EDE">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7833823F">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2BEC0F1">
      <w:pPr>
        <w:pStyle w:val="14"/>
        <w:snapToGrid w:val="0"/>
        <w:rPr>
          <w:b/>
          <w:color w:val="auto"/>
          <w:sz w:val="24"/>
          <w:szCs w:val="24"/>
          <w:highlight w:val="none"/>
        </w:rPr>
      </w:pPr>
    </w:p>
    <w:p w14:paraId="2BE8338D">
      <w:pPr>
        <w:rPr>
          <w:color w:val="auto"/>
          <w:sz w:val="32"/>
          <w:szCs w:val="40"/>
          <w:highlight w:val="none"/>
        </w:rPr>
      </w:pPr>
    </w:p>
    <w:p w14:paraId="2AB2C540">
      <w:pPr>
        <w:rPr>
          <w:color w:val="auto"/>
          <w:sz w:val="32"/>
          <w:szCs w:val="40"/>
          <w:highlight w:val="none"/>
        </w:rPr>
      </w:pPr>
    </w:p>
    <w:p w14:paraId="5A011B55">
      <w:pPr>
        <w:rPr>
          <w:color w:val="auto"/>
          <w:sz w:val="32"/>
          <w:szCs w:val="40"/>
          <w:highlight w:val="none"/>
        </w:rPr>
      </w:pPr>
    </w:p>
    <w:p w14:paraId="51833835">
      <w:pPr>
        <w:rPr>
          <w:color w:val="auto"/>
          <w:sz w:val="32"/>
          <w:szCs w:val="40"/>
          <w:highlight w:val="none"/>
        </w:rPr>
      </w:pPr>
    </w:p>
    <w:p w14:paraId="4DDC82E3">
      <w:pPr>
        <w:rPr>
          <w:color w:val="auto"/>
          <w:sz w:val="32"/>
          <w:szCs w:val="40"/>
          <w:highlight w:val="none"/>
        </w:rPr>
      </w:pPr>
    </w:p>
    <w:p w14:paraId="232164AC">
      <w:pPr>
        <w:rPr>
          <w:color w:val="auto"/>
          <w:sz w:val="32"/>
          <w:szCs w:val="40"/>
          <w:highlight w:val="none"/>
        </w:rPr>
      </w:pPr>
    </w:p>
    <w:p w14:paraId="791771FF">
      <w:pPr>
        <w:rPr>
          <w:color w:val="auto"/>
          <w:sz w:val="32"/>
          <w:szCs w:val="40"/>
          <w:highlight w:val="none"/>
        </w:rPr>
      </w:pPr>
    </w:p>
    <w:p w14:paraId="3439104E">
      <w:pPr>
        <w:rPr>
          <w:color w:val="auto"/>
          <w:sz w:val="32"/>
          <w:szCs w:val="40"/>
          <w:highlight w:val="none"/>
        </w:rPr>
      </w:pPr>
    </w:p>
    <w:p w14:paraId="08A2022C">
      <w:pPr>
        <w:rPr>
          <w:color w:val="auto"/>
          <w:sz w:val="32"/>
          <w:szCs w:val="40"/>
          <w:highlight w:val="none"/>
        </w:rPr>
      </w:pPr>
    </w:p>
    <w:p w14:paraId="5D80C1C4">
      <w:pPr>
        <w:pStyle w:val="6"/>
        <w:rPr>
          <w:color w:val="auto"/>
          <w:highlight w:val="none"/>
        </w:rPr>
      </w:pPr>
    </w:p>
    <w:p w14:paraId="655C2EEE">
      <w:pPr>
        <w:pStyle w:val="6"/>
        <w:rPr>
          <w:color w:val="auto"/>
          <w:highlight w:val="none"/>
        </w:rPr>
      </w:pPr>
    </w:p>
    <w:p w14:paraId="24BF8074">
      <w:pPr>
        <w:rPr>
          <w:color w:val="auto"/>
          <w:sz w:val="32"/>
          <w:szCs w:val="40"/>
          <w:highlight w:val="none"/>
        </w:rPr>
      </w:pPr>
    </w:p>
    <w:p w14:paraId="2642212B">
      <w:pPr>
        <w:rPr>
          <w:color w:val="auto"/>
          <w:sz w:val="32"/>
          <w:szCs w:val="40"/>
          <w:highlight w:val="none"/>
        </w:rPr>
      </w:pPr>
    </w:p>
    <w:p w14:paraId="7FF30B5F">
      <w:pPr>
        <w:rPr>
          <w:color w:val="auto"/>
          <w:sz w:val="32"/>
          <w:szCs w:val="40"/>
          <w:highlight w:val="none"/>
        </w:rPr>
      </w:pPr>
    </w:p>
    <w:p w14:paraId="39CD359D">
      <w:pPr>
        <w:rPr>
          <w:color w:val="auto"/>
          <w:sz w:val="32"/>
          <w:szCs w:val="40"/>
          <w:highlight w:val="none"/>
        </w:rPr>
      </w:pPr>
    </w:p>
    <w:p w14:paraId="25B3D16C">
      <w:pPr>
        <w:rPr>
          <w:color w:val="auto"/>
          <w:sz w:val="32"/>
          <w:szCs w:val="40"/>
          <w:highlight w:val="none"/>
        </w:rPr>
      </w:pPr>
    </w:p>
    <w:p w14:paraId="0F434EF2">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6BFB3BD">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8FDAF18">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87D4F1">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EB1957">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8A7EDE6">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3B56911">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D8221BF">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88EC427">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BE9767">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31D618D7">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8B56B5C">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9FC3C35">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23CEB92">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0C91A61">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C3018F3">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3EA9D42">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92F6FA9">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BF18EA">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AB2DEF9">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E3686E9">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8994AD7">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B64750C">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DB8D0A8">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E7DC62D">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40D8EE7">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286FA407">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E5F6DDD">
      <w:pPr>
        <w:pStyle w:val="14"/>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F432651">
      <w:pPr>
        <w:pStyle w:val="14"/>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A06BA3F">
      <w:pPr>
        <w:pStyle w:val="1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265C4F6">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5408B4F">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87FF1C4">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EA5AB71">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6A77D49">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C0DFF2B">
      <w:pPr>
        <w:pStyle w:val="14"/>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A89C78C">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78DD698">
      <w:pPr>
        <w:pStyle w:val="1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4B2840B">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637A6B1">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4DCD548">
      <w:pPr>
        <w:pStyle w:val="14"/>
        <w:spacing w:line="360" w:lineRule="auto"/>
        <w:ind w:left="25" w:leftChars="12" w:firstLine="352" w:firstLineChars="147"/>
        <w:rPr>
          <w:rFonts w:hAnsi="宋体"/>
          <w:color w:val="auto"/>
          <w:sz w:val="24"/>
          <w:szCs w:val="24"/>
          <w:highlight w:val="none"/>
        </w:rPr>
      </w:pPr>
    </w:p>
    <w:p w14:paraId="69A1C9AB">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87B29C1">
      <w:pPr>
        <w:pStyle w:val="14"/>
        <w:spacing w:line="360" w:lineRule="auto"/>
        <w:ind w:left="25" w:leftChars="12" w:firstLine="352" w:firstLineChars="147"/>
        <w:rPr>
          <w:rFonts w:hAnsi="宋体"/>
          <w:color w:val="auto"/>
          <w:sz w:val="24"/>
          <w:szCs w:val="24"/>
          <w:highlight w:val="none"/>
        </w:rPr>
      </w:pPr>
    </w:p>
    <w:p w14:paraId="2C5362F3">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BC2FA98">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25A6E0B4">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3D3DEB29">
      <w:pPr>
        <w:pStyle w:val="1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C9467CD">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C33D72">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A1F2AF9">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F6094E6">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51E57755">
      <w:pPr>
        <w:pStyle w:val="1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54E7449">
      <w:pPr>
        <w:pStyle w:val="2"/>
        <w:jc w:val="center"/>
        <w:rPr>
          <w:color w:val="auto"/>
          <w:highlight w:val="none"/>
        </w:rPr>
      </w:pPr>
      <w:bookmarkStart w:id="89" w:name="_Toc74323461"/>
      <w:r>
        <w:rPr>
          <w:rFonts w:hint="eastAsia"/>
          <w:color w:val="auto"/>
          <w:highlight w:val="none"/>
        </w:rPr>
        <w:t>第六章 合同文本</w:t>
      </w:r>
      <w:bookmarkEnd w:id="89"/>
    </w:p>
    <w:p w14:paraId="045D335D">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37E5C2B8">
      <w:pPr>
        <w:snapToGrid w:val="0"/>
        <w:spacing w:line="360" w:lineRule="auto"/>
        <w:rPr>
          <w:rFonts w:ascii="宋体" w:hAnsi="宋体"/>
          <w:color w:val="auto"/>
          <w:szCs w:val="21"/>
          <w:highlight w:val="none"/>
        </w:rPr>
      </w:pPr>
    </w:p>
    <w:p w14:paraId="6AE4999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51683E4">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6B0F6C5D">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6CA4468F">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1E06C80F">
      <w:pPr>
        <w:snapToGrid w:val="0"/>
        <w:spacing w:line="360" w:lineRule="auto"/>
        <w:rPr>
          <w:rFonts w:ascii="宋体" w:hAnsi="宋体"/>
          <w:color w:val="auto"/>
          <w:highlight w:val="none"/>
        </w:rPr>
      </w:pPr>
      <w:r>
        <w:rPr>
          <w:rFonts w:hint="eastAsia" w:ascii="宋体" w:hAnsi="宋体"/>
          <w:color w:val="auto"/>
          <w:szCs w:val="21"/>
          <w:highlight w:val="none"/>
        </w:rPr>
        <w:t>合同</w:t>
      </w:r>
      <w:r>
        <w:rPr>
          <w:rFonts w:hint="eastAsia" w:ascii="宋体" w:hAnsi="宋体"/>
          <w:color w:val="auto"/>
          <w:highlight w:val="none"/>
        </w:rPr>
        <w:t>类型：</w:t>
      </w:r>
      <w:r>
        <w:rPr>
          <w:rFonts w:hint="eastAsia" w:ascii="宋体" w:hAnsi="宋体"/>
          <w:color w:val="auto"/>
          <w:highlight w:val="none"/>
          <w:u w:val="single"/>
        </w:rPr>
        <w:t xml:space="preserve">      </w:t>
      </w:r>
      <w:r>
        <w:rPr>
          <w:rFonts w:hint="eastAsia" w:ascii="宋体" w:hAnsi="宋体"/>
          <w:color w:val="auto"/>
          <w:highlight w:val="none"/>
        </w:rPr>
        <w:t>合同</w:t>
      </w:r>
    </w:p>
    <w:p w14:paraId="536FF9A3">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14:paraId="5DCEEC58">
      <w:pPr>
        <w:spacing w:line="360" w:lineRule="auto"/>
        <w:rPr>
          <w:rFonts w:ascii="宋体" w:hAnsi="宋体"/>
          <w:color w:val="auto"/>
          <w:kern w:val="0"/>
          <w:sz w:val="24"/>
          <w:highlight w:val="none"/>
        </w:rPr>
      </w:pPr>
    </w:p>
    <w:p w14:paraId="4949F4E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根据《中华人民共和国政府采购法》《中华人民共和国民法典》等法律法规规定，按照采购文件规定条款和乙方竞标（竞标）承诺，甲乙双方签订本合同。</w:t>
      </w:r>
    </w:p>
    <w:p w14:paraId="632BEFDB">
      <w:pPr>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p w14:paraId="245634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1.标的名称：</w:t>
      </w:r>
    </w:p>
    <w:p w14:paraId="038BA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2.服务内容：</w:t>
      </w:r>
    </w:p>
    <w:p w14:paraId="59FE4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；成交单价（元/㎡）：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C2677F">
      <w:pPr>
        <w:spacing w:line="360" w:lineRule="auto"/>
        <w:ind w:firstLine="420" w:firstLineChars="200"/>
        <w:jc w:val="left"/>
        <w:rPr>
          <w:rFonts w:hint="eastAsia"/>
          <w:color w:val="auto"/>
          <w:highlight w:val="none"/>
        </w:rPr>
      </w:pPr>
      <w:r>
        <w:rPr>
          <w:rFonts w:hint="eastAsia" w:ascii="宋体" w:hAnsi="宋体" w:cs="宋体"/>
          <w:color w:val="auto"/>
          <w:szCs w:val="21"/>
          <w:highlight w:val="none"/>
        </w:rPr>
        <w:t>4.</w:t>
      </w:r>
      <w:r>
        <w:rPr>
          <w:rFonts w:hint="eastAsia"/>
          <w:color w:val="auto"/>
          <w:highlight w:val="none"/>
        </w:rPr>
        <w:t>本项目为交钥匙工程，均采用包工包料的形式发包，</w:t>
      </w:r>
      <w:r>
        <w:rPr>
          <w:rFonts w:hint="eastAsia"/>
          <w:color w:val="auto"/>
          <w:highlight w:val="none"/>
          <w:lang w:eastAsia="zh-CN"/>
        </w:rPr>
        <w:t>乙方</w:t>
      </w:r>
      <w:r>
        <w:rPr>
          <w:rFonts w:hint="eastAsia"/>
          <w:color w:val="auto"/>
          <w:highlight w:val="none"/>
        </w:rPr>
        <w:t>报价中须包含设备及零配件、备品备件、材料、消耗品、工具的采购和运输（装卸），项目安装、调试、检测、试验及验收、广告宣传费用、配合服务费、人工费、税金、利润、</w:t>
      </w:r>
      <w:r>
        <w:rPr>
          <w:rStyle w:val="29"/>
          <w:rFonts w:hint="eastAsia"/>
          <w:color w:val="auto"/>
          <w:highlight w:val="none"/>
        </w:rPr>
        <w:t>会展结束后的展位拆除工作</w:t>
      </w:r>
      <w:r>
        <w:rPr>
          <w:rFonts w:hint="eastAsia"/>
          <w:color w:val="auto"/>
          <w:highlight w:val="none"/>
        </w:rPr>
        <w:t>、</w:t>
      </w:r>
      <w:r>
        <w:rPr>
          <w:rFonts w:hint="eastAsia"/>
          <w:color w:val="auto"/>
          <w:highlight w:val="none"/>
          <w:lang w:eastAsia="zh-CN"/>
        </w:rPr>
        <w:t>甲方实际使用</w:t>
      </w:r>
      <w:r>
        <w:rPr>
          <w:rFonts w:hint="eastAsia"/>
          <w:color w:val="auto"/>
          <w:highlight w:val="none"/>
        </w:rPr>
        <w:t>展位面积</w:t>
      </w:r>
      <w:r>
        <w:rPr>
          <w:rFonts w:hint="eastAsia"/>
          <w:color w:val="auto"/>
          <w:highlight w:val="none"/>
          <w:lang w:eastAsia="zh-CN"/>
        </w:rPr>
        <w:t>费用</w:t>
      </w:r>
      <w:r>
        <w:rPr>
          <w:rFonts w:hint="eastAsia"/>
          <w:color w:val="auto"/>
          <w:highlight w:val="none"/>
        </w:rPr>
        <w:t>的缴纳以及对其他受邀参展企业使用的参展展位费进行代收</w:t>
      </w:r>
      <w:r>
        <w:rPr>
          <w:rFonts w:hint="eastAsia"/>
          <w:color w:val="auto"/>
          <w:highlight w:val="none"/>
          <w:lang w:eastAsia="zh-CN"/>
        </w:rPr>
        <w:t>代缴</w:t>
      </w:r>
      <w:r>
        <w:rPr>
          <w:rFonts w:hint="eastAsia"/>
          <w:color w:val="auto"/>
          <w:highlight w:val="none"/>
        </w:rPr>
        <w:t>管理、其他所有成本及合同包含的应有的一切费用。</w:t>
      </w:r>
    </w:p>
    <w:p w14:paraId="38A06AD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D169A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2C46381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696FC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5146D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132FB4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B7B96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55AAF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71A60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30181A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4.质量要求：</w:t>
      </w:r>
    </w:p>
    <w:p w14:paraId="7BFDC2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（1）在展台搭建以及全部展会期间，乙方的制作项目或者所备设备，如发生表面损毁、设备出现故障、脱落、坍塌等事故，一切后果由乙方承担，并赔偿由此给甲方带来的一切不良影响而造成的损失。</w:t>
      </w:r>
    </w:p>
    <w:p w14:paraId="4EB58E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（2）现场安装必须严格地遵守国家有关防火、防水的法律规定，以及展馆的各项规章制度，按照场馆设施的有关规定执行。</w:t>
      </w:r>
    </w:p>
    <w:p w14:paraId="1F652A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（3）展台搭建必须牢固、安全；搭建材料必须使用难燃或者经过阻燃处理的材料，应符合环保要求。展台安装不得使用易燃、易爆物品，禁止明火作业；使用玻璃装饰材料，应确保安装可靠，以防破碎。</w:t>
      </w:r>
    </w:p>
    <w:p w14:paraId="0B258F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安装过程中注意人身和财产安全，尤其是高空作业需要牢固的安全措施，并自带安全带、安全帽，以防事故发生。由于乙方管理、监督或措施不当造成的安装工人、客户、参观人员及其他人员的人身事故责任由乙方负责。</w:t>
      </w:r>
    </w:p>
    <w:p w14:paraId="7CE9C8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5.甲方有权请第三方对乙方提供的服务进行验收，如乙方存在虚假应标的情况，项目不能按原计划投入使用造成的经济损失按货款额 5%作为违约金对甲方进行赔偿，乙方自行承担后果。</w:t>
      </w:r>
    </w:p>
    <w:p w14:paraId="1BEF6B3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服务承诺</w:t>
      </w:r>
    </w:p>
    <w:p w14:paraId="3C481E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1、乙方应按照国家有关法律法规和本合同所附的《服务承诺》要求为甲方提供相应的服务。</w:t>
      </w:r>
    </w:p>
    <w:p w14:paraId="0B53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2、甲方应提供必要条件（如场地、电源、水源等）。</w:t>
      </w:r>
    </w:p>
    <w:p w14:paraId="736747D6">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2609328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1.合同预付款：合同预付款为合同总金额的30%，即：人民币(大写)_____________，(小写：¥_________)，甲方需在合同签订后十个工作日内，并收到乙方开具的相应金额的增值税发票后一次性支付预付款;</w:t>
      </w:r>
    </w:p>
    <w:p w14:paraId="361B20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2.合同尾款：</w:t>
      </w:r>
      <w:r>
        <w:rPr>
          <w:rFonts w:hint="eastAsia" w:ascii="宋体" w:hAnsi="宋体"/>
          <w:color w:val="auto"/>
          <w:szCs w:val="21"/>
          <w:highlight w:val="none"/>
          <w:lang w:eastAsia="zh-CN"/>
        </w:rPr>
        <w:t>博览会结束且拆除工作结束后</w:t>
      </w:r>
      <w:r>
        <w:rPr>
          <w:rFonts w:hint="eastAsia" w:ascii="宋体" w:hAnsi="宋体"/>
          <w:color w:val="auto"/>
          <w:szCs w:val="21"/>
          <w:highlight w:val="none"/>
        </w:rPr>
        <w:t>十个工作日内，并收到乙方开具的相应金额的增值税发票后一次性支付合同尾款。合同尾款=验收结算金额-合同预付款。</w:t>
      </w:r>
    </w:p>
    <w:p w14:paraId="15F4F67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0B825E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7DB698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违约责任</w:t>
      </w:r>
    </w:p>
    <w:p w14:paraId="730C7481">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077F5C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0BAB71BD">
      <w:pPr>
        <w:snapToGrid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2E6677F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不可抗力事件处理</w:t>
      </w:r>
    </w:p>
    <w:p w14:paraId="0C22F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0D5A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EA0C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79E302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第十条  合同争议解决</w:t>
      </w:r>
    </w:p>
    <w:p w14:paraId="5815FE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EA823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531980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EFFD60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合同生效及其它</w:t>
      </w:r>
    </w:p>
    <w:p w14:paraId="5E503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18C1D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2、合同执行中涉及采购资金和采购内容修改或者补充的，须经采购部门审批，并签书面补充协议报采购单位备案，方可作为主合同不可分割的一部分。</w:t>
      </w:r>
    </w:p>
    <w:p w14:paraId="59238E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0FBBFD2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合同的变更、终止与转让</w:t>
      </w:r>
    </w:p>
    <w:p w14:paraId="6AE9EF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56980A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47442C1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签订本合同依据</w:t>
      </w:r>
    </w:p>
    <w:p w14:paraId="50287C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29DDF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348E82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3、商务要求偏离表和服务需求偏离表；</w:t>
      </w:r>
    </w:p>
    <w:p w14:paraId="357A048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7A1506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25F165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0B31E72">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w:t>
      </w:r>
      <w:r>
        <w:rPr>
          <w:rFonts w:hint="eastAsia" w:ascii="宋体" w:hAnsi="宋体" w:cs="宋体"/>
          <w:color w:val="auto"/>
          <w:szCs w:val="21"/>
          <w:highlight w:val="none"/>
        </w:rPr>
        <w:t>本合同一式三份，具有同等法律效力，采购代理机构各一份，甲乙双方各一份（可根据需要另增加）。</w:t>
      </w:r>
    </w:p>
    <w:p w14:paraId="5869C0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4"/>
        <w:tblpPr w:leftFromText="180" w:rightFromText="180" w:vertAnchor="text" w:horzAnchor="margin" w:tblpX="1"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268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F9AFFF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63C96BFA">
            <w:pPr>
              <w:snapToGrid w:val="0"/>
              <w:spacing w:line="360" w:lineRule="auto"/>
              <w:rPr>
                <w:rFonts w:ascii="宋体" w:hAnsi="宋体" w:cs="宋体"/>
                <w:color w:val="auto"/>
                <w:szCs w:val="21"/>
                <w:highlight w:val="none"/>
              </w:rPr>
            </w:pPr>
          </w:p>
          <w:p w14:paraId="687EB012">
            <w:pPr>
              <w:snapToGrid w:val="0"/>
              <w:spacing w:line="360" w:lineRule="auto"/>
              <w:rPr>
                <w:rFonts w:ascii="宋体" w:hAnsi="宋体" w:cs="宋体"/>
                <w:color w:val="auto"/>
                <w:szCs w:val="21"/>
                <w:highlight w:val="none"/>
              </w:rPr>
            </w:pPr>
          </w:p>
          <w:p w14:paraId="407457B6">
            <w:pPr>
              <w:snapToGrid w:val="0"/>
              <w:spacing w:line="360" w:lineRule="auto"/>
              <w:ind w:firstLine="945" w:firstLineChars="450"/>
              <w:jc w:val="right"/>
              <w:rPr>
                <w:rFonts w:ascii="宋体" w:hAnsi="宋体" w:cs="宋体"/>
                <w:color w:val="auto"/>
                <w:szCs w:val="21"/>
                <w:highlight w:val="none"/>
              </w:rPr>
            </w:pPr>
          </w:p>
          <w:p w14:paraId="4ABD7FA7">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BF15FD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0C9BAE8">
            <w:pPr>
              <w:snapToGrid w:val="0"/>
              <w:spacing w:line="360" w:lineRule="auto"/>
              <w:rPr>
                <w:rFonts w:ascii="宋体" w:hAnsi="宋体" w:cs="宋体"/>
                <w:color w:val="auto"/>
                <w:szCs w:val="21"/>
                <w:highlight w:val="none"/>
              </w:rPr>
            </w:pPr>
          </w:p>
          <w:p w14:paraId="55C5E8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F35AC5F">
            <w:pPr>
              <w:snapToGrid w:val="0"/>
              <w:spacing w:line="360" w:lineRule="auto"/>
              <w:jc w:val="right"/>
              <w:rPr>
                <w:rFonts w:ascii="宋体" w:hAnsi="宋体" w:cs="宋体"/>
                <w:color w:val="auto"/>
                <w:szCs w:val="21"/>
                <w:highlight w:val="none"/>
              </w:rPr>
            </w:pPr>
          </w:p>
          <w:p w14:paraId="0C2D0E2A">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081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161DF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5D5F0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1773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9BD7CF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76B35B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4125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ABA94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9CF0FE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F04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921EF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919E2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5D3A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5FFED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FE1EDC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048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A103C4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A0CE3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093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7F596D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9CC3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2CF67378">
      <w:pPr>
        <w:snapToGrid w:val="0"/>
        <w:spacing w:line="360" w:lineRule="auto"/>
        <w:rPr>
          <w:rFonts w:ascii="宋体" w:hAnsi="宋体" w:cs="Courier New"/>
          <w:b/>
          <w:color w:val="auto"/>
          <w:szCs w:val="21"/>
          <w:highlight w:val="none"/>
        </w:rPr>
      </w:pPr>
    </w:p>
    <w:p w14:paraId="75D69658">
      <w:pPr>
        <w:jc w:val="center"/>
        <w:rPr>
          <w:rFonts w:ascii="宋体" w:hAnsi="宋体"/>
          <w:color w:val="auto"/>
          <w:szCs w:val="21"/>
          <w:highlight w:val="none"/>
        </w:rPr>
      </w:pPr>
    </w:p>
    <w:p w14:paraId="497DB7F0">
      <w:pPr>
        <w:snapToGrid w:val="0"/>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00F13939">
      <w:pPr>
        <w:snapToGrid w:val="0"/>
        <w:spacing w:line="360" w:lineRule="auto"/>
        <w:rPr>
          <w:rFonts w:ascii="宋体" w:hAnsi="宋体"/>
          <w:color w:val="auto"/>
          <w:szCs w:val="21"/>
          <w:highlight w:val="none"/>
        </w:rPr>
      </w:pPr>
      <w:r>
        <w:rPr>
          <w:rFonts w:hint="eastAsia" w:ascii="宋体" w:hAnsi="宋体"/>
          <w:color w:val="auto"/>
          <w:szCs w:val="21"/>
          <w:highlight w:val="none"/>
        </w:rPr>
        <w:t>一般服务类</w:t>
      </w:r>
    </w:p>
    <w:tbl>
      <w:tblPr>
        <w:tblStyle w:val="24"/>
        <w:tblW w:w="0" w:type="auto"/>
        <w:jc w:val="center"/>
        <w:tblLayout w:type="fixed"/>
        <w:tblCellMar>
          <w:top w:w="0" w:type="dxa"/>
          <w:left w:w="108" w:type="dxa"/>
          <w:bottom w:w="0" w:type="dxa"/>
          <w:right w:w="108" w:type="dxa"/>
        </w:tblCellMar>
      </w:tblPr>
      <w:tblGrid>
        <w:gridCol w:w="4248"/>
        <w:gridCol w:w="4274"/>
      </w:tblGrid>
      <w:tr w14:paraId="3E77ED11">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2A869C19">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174E7D1B">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232190E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798A0F68">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02AD7CB8">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质保期责任：</w:t>
            </w:r>
          </w:p>
        </w:tc>
      </w:tr>
      <w:tr w14:paraId="3E3E0175">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5E920FE0">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013033EF">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14:paraId="26C25E6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684B0DB5">
            <w:pPr>
              <w:snapToGrid w:val="0"/>
              <w:spacing w:line="360" w:lineRule="auto"/>
              <w:ind w:firstLine="422" w:firstLineChars="200"/>
              <w:rPr>
                <w:rFonts w:ascii="宋体" w:hAnsi="宋体"/>
                <w:b/>
                <w:color w:val="auto"/>
                <w:szCs w:val="21"/>
                <w:highlight w:val="none"/>
              </w:rPr>
            </w:pPr>
          </w:p>
          <w:p w14:paraId="67451DB5">
            <w:pPr>
              <w:snapToGrid w:val="0"/>
              <w:spacing w:line="360" w:lineRule="auto"/>
              <w:rPr>
                <w:rFonts w:ascii="宋体" w:hAnsi="宋体"/>
                <w:b/>
                <w:color w:val="auto"/>
                <w:szCs w:val="21"/>
                <w:highlight w:val="none"/>
              </w:rPr>
            </w:pPr>
          </w:p>
          <w:p w14:paraId="60DE4F07">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0D9BC6D0">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0D7BCE06">
            <w:pPr>
              <w:snapToGrid w:val="0"/>
              <w:spacing w:line="360" w:lineRule="auto"/>
              <w:ind w:firstLine="422" w:firstLineChars="200"/>
              <w:rPr>
                <w:rFonts w:ascii="宋体" w:hAnsi="宋体"/>
                <w:b/>
                <w:color w:val="auto"/>
                <w:szCs w:val="21"/>
                <w:highlight w:val="none"/>
              </w:rPr>
            </w:pPr>
          </w:p>
          <w:p w14:paraId="77CBF600">
            <w:pPr>
              <w:snapToGrid w:val="0"/>
              <w:spacing w:line="360" w:lineRule="auto"/>
              <w:rPr>
                <w:rFonts w:ascii="宋体" w:hAnsi="宋体"/>
                <w:b/>
                <w:color w:val="auto"/>
                <w:szCs w:val="21"/>
                <w:highlight w:val="none"/>
              </w:rPr>
            </w:pPr>
          </w:p>
          <w:p w14:paraId="0826407D">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37F93BCE">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0E0749CC">
      <w:pPr>
        <w:spacing w:line="520" w:lineRule="exact"/>
        <w:rPr>
          <w:rFonts w:ascii="宋体" w:hAnsi="宋体" w:cs="宋体"/>
          <w:color w:val="auto"/>
          <w:sz w:val="6"/>
          <w:szCs w:val="6"/>
          <w:highlight w:val="none"/>
        </w:rPr>
      </w:pPr>
    </w:p>
    <w:p w14:paraId="439DFEC5">
      <w:pPr>
        <w:spacing w:line="520" w:lineRule="exact"/>
        <w:rPr>
          <w:rFonts w:ascii="宋体" w:hAnsi="宋体" w:cs="宋体"/>
          <w:color w:val="auto"/>
          <w:sz w:val="6"/>
          <w:szCs w:val="6"/>
          <w:highlight w:val="none"/>
        </w:rPr>
      </w:pPr>
    </w:p>
    <w:p w14:paraId="24B73FAA">
      <w:pPr>
        <w:snapToGrid w:val="0"/>
        <w:spacing w:line="360" w:lineRule="exact"/>
        <w:rPr>
          <w:rFonts w:ascii="宋体" w:hAnsi="宋体" w:cs="宋体"/>
          <w:color w:val="auto"/>
          <w:sz w:val="6"/>
          <w:szCs w:val="6"/>
          <w:highlight w:val="none"/>
        </w:rPr>
      </w:pPr>
    </w:p>
    <w:sectPr>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70DB">
    <w:pPr>
      <w:pStyle w:val="17"/>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E53487">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14:paraId="49E53487">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3821125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9753">
    <w:pPr>
      <w:pStyle w:val="17"/>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E23B7D"/>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14:paraId="4BE23B7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B2E81">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341654">
                          <w:pPr>
                            <w:pStyle w:val="17"/>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qkz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oqkz80BAACnAwAADgAAAAAAAAABACAAAAAeAQAAZHJzL2Uy&#10;b0RvYy54bWxQSwUGAAAAAAYABgBZAQAAXQUAAAAA&#10;">
              <v:fill on="f" focussize="0,0"/>
              <v:stroke on="f"/>
              <v:imagedata o:title=""/>
              <o:lock v:ext="edit" aspectratio="f"/>
              <v:textbox inset="0mm,0mm,0mm,0mm" style="mso-fit-shape-to-text:t;">
                <w:txbxContent>
                  <w:p w14:paraId="3B341654">
                    <w:pPr>
                      <w:pStyle w:val="17"/>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38CD4304">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9DB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A0C7E8">
                          <w:pPr>
                            <w:pStyle w:val="17"/>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o9Bs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o9Bs0BAACnAwAADgAAAAAAAAABACAAAAAeAQAAZHJzL2Uy&#10;b0RvYy54bWxQSwUGAAAAAAYABgBZAQAAXQUAAAAA&#10;">
              <v:fill on="f" focussize="0,0"/>
              <v:stroke on="f"/>
              <v:imagedata o:title=""/>
              <o:lock v:ext="edit" aspectratio="f"/>
              <v:textbox inset="0mm,0mm,0mm,0mm" style="mso-fit-shape-to-text:t;">
                <w:txbxContent>
                  <w:p w14:paraId="7CA0C7E8">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52BA">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16B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53795"/>
    <w:multiLevelType w:val="singleLevel"/>
    <w:tmpl w:val="A8653795"/>
    <w:lvl w:ilvl="0" w:tentative="0">
      <w:start w:val="1"/>
      <w:numFmt w:val="decimal"/>
      <w:lvlText w:val="%1."/>
      <w:lvlJc w:val="left"/>
      <w:pPr>
        <w:tabs>
          <w:tab w:val="left" w:pos="312"/>
        </w:tabs>
      </w:pPr>
    </w:lvl>
  </w:abstractNum>
  <w:abstractNum w:abstractNumId="1">
    <w:nsid w:val="0D4D429A"/>
    <w:multiLevelType w:val="singleLevel"/>
    <w:tmpl w:val="0D4D429A"/>
    <w:lvl w:ilvl="0" w:tentative="0">
      <w:start w:val="1"/>
      <w:numFmt w:val="decimal"/>
      <w:lvlText w:val="%1."/>
      <w:lvlJc w:val="left"/>
      <w:pPr>
        <w:tabs>
          <w:tab w:val="left" w:pos="312"/>
        </w:tabs>
      </w:pPr>
    </w:lvl>
  </w:abstractNum>
  <w:abstractNum w:abstractNumId="2">
    <w:nsid w:val="423F070A"/>
    <w:multiLevelType w:val="singleLevel"/>
    <w:tmpl w:val="423F070A"/>
    <w:lvl w:ilvl="0" w:tentative="0">
      <w:start w:val="1"/>
      <w:numFmt w:val="chineseCounting"/>
      <w:suff w:val="nothing"/>
      <w:lvlText w:val="第%1条　"/>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WM5ZTI0M2EyMWFkNzg5ZDdiNGFiYjhlNzU3NGMifQ=="/>
  </w:docVars>
  <w:rsids>
    <w:rsidRoot w:val="00172A27"/>
    <w:rsid w:val="000002E0"/>
    <w:rsid w:val="00000672"/>
    <w:rsid w:val="00001013"/>
    <w:rsid w:val="0000144E"/>
    <w:rsid w:val="00001799"/>
    <w:rsid w:val="00001AF2"/>
    <w:rsid w:val="00001E31"/>
    <w:rsid w:val="00001ECA"/>
    <w:rsid w:val="00002D29"/>
    <w:rsid w:val="0000320F"/>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570A"/>
    <w:rsid w:val="00016ABC"/>
    <w:rsid w:val="000177DB"/>
    <w:rsid w:val="000179C9"/>
    <w:rsid w:val="00017CCC"/>
    <w:rsid w:val="00020227"/>
    <w:rsid w:val="00020263"/>
    <w:rsid w:val="00020455"/>
    <w:rsid w:val="00020813"/>
    <w:rsid w:val="000215D0"/>
    <w:rsid w:val="000220B2"/>
    <w:rsid w:val="0002264C"/>
    <w:rsid w:val="00022731"/>
    <w:rsid w:val="00022792"/>
    <w:rsid w:val="0002329E"/>
    <w:rsid w:val="00024463"/>
    <w:rsid w:val="00025461"/>
    <w:rsid w:val="00025636"/>
    <w:rsid w:val="00025E36"/>
    <w:rsid w:val="00026855"/>
    <w:rsid w:val="00026886"/>
    <w:rsid w:val="0002785D"/>
    <w:rsid w:val="00027E13"/>
    <w:rsid w:val="000307BE"/>
    <w:rsid w:val="00032049"/>
    <w:rsid w:val="000329E0"/>
    <w:rsid w:val="000352E9"/>
    <w:rsid w:val="00035494"/>
    <w:rsid w:val="00036125"/>
    <w:rsid w:val="00036A07"/>
    <w:rsid w:val="00036CC3"/>
    <w:rsid w:val="0003780B"/>
    <w:rsid w:val="00040571"/>
    <w:rsid w:val="00040973"/>
    <w:rsid w:val="0004156E"/>
    <w:rsid w:val="00041713"/>
    <w:rsid w:val="0004440C"/>
    <w:rsid w:val="00046B5E"/>
    <w:rsid w:val="000470CB"/>
    <w:rsid w:val="00047B3D"/>
    <w:rsid w:val="000509D9"/>
    <w:rsid w:val="000512AF"/>
    <w:rsid w:val="00051ACB"/>
    <w:rsid w:val="0005300E"/>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1A2"/>
    <w:rsid w:val="000673E2"/>
    <w:rsid w:val="00067EF1"/>
    <w:rsid w:val="000702A8"/>
    <w:rsid w:val="0007063F"/>
    <w:rsid w:val="000707FD"/>
    <w:rsid w:val="00070949"/>
    <w:rsid w:val="00070E1E"/>
    <w:rsid w:val="000711E4"/>
    <w:rsid w:val="00071E9B"/>
    <w:rsid w:val="000720A1"/>
    <w:rsid w:val="000724D9"/>
    <w:rsid w:val="00072AED"/>
    <w:rsid w:val="00073C46"/>
    <w:rsid w:val="00073F47"/>
    <w:rsid w:val="0007492F"/>
    <w:rsid w:val="00074BD6"/>
    <w:rsid w:val="00074ED8"/>
    <w:rsid w:val="00075B7E"/>
    <w:rsid w:val="0007642E"/>
    <w:rsid w:val="00077ACA"/>
    <w:rsid w:val="00077C70"/>
    <w:rsid w:val="000813B5"/>
    <w:rsid w:val="0008191E"/>
    <w:rsid w:val="00081BA3"/>
    <w:rsid w:val="00081BDC"/>
    <w:rsid w:val="00081D2E"/>
    <w:rsid w:val="00081F89"/>
    <w:rsid w:val="00082619"/>
    <w:rsid w:val="00082D02"/>
    <w:rsid w:val="0008381A"/>
    <w:rsid w:val="00083871"/>
    <w:rsid w:val="00083B91"/>
    <w:rsid w:val="00084347"/>
    <w:rsid w:val="0008473C"/>
    <w:rsid w:val="0008520B"/>
    <w:rsid w:val="000857DE"/>
    <w:rsid w:val="000860BD"/>
    <w:rsid w:val="000871B8"/>
    <w:rsid w:val="00087B0A"/>
    <w:rsid w:val="0009023D"/>
    <w:rsid w:val="00090D6E"/>
    <w:rsid w:val="000916DA"/>
    <w:rsid w:val="00091AAB"/>
    <w:rsid w:val="0009201C"/>
    <w:rsid w:val="00092442"/>
    <w:rsid w:val="000929EF"/>
    <w:rsid w:val="00092C26"/>
    <w:rsid w:val="000933BE"/>
    <w:rsid w:val="0009560F"/>
    <w:rsid w:val="0009588E"/>
    <w:rsid w:val="000959EE"/>
    <w:rsid w:val="00096DB9"/>
    <w:rsid w:val="00097183"/>
    <w:rsid w:val="000972CB"/>
    <w:rsid w:val="00097608"/>
    <w:rsid w:val="000A0433"/>
    <w:rsid w:val="000A0F35"/>
    <w:rsid w:val="000A1175"/>
    <w:rsid w:val="000A13F3"/>
    <w:rsid w:val="000A23B1"/>
    <w:rsid w:val="000A2B0E"/>
    <w:rsid w:val="000A398F"/>
    <w:rsid w:val="000A448C"/>
    <w:rsid w:val="000A4498"/>
    <w:rsid w:val="000A509C"/>
    <w:rsid w:val="000A54A7"/>
    <w:rsid w:val="000A5A17"/>
    <w:rsid w:val="000A6007"/>
    <w:rsid w:val="000A65A6"/>
    <w:rsid w:val="000A709C"/>
    <w:rsid w:val="000A70E3"/>
    <w:rsid w:val="000A7275"/>
    <w:rsid w:val="000A7964"/>
    <w:rsid w:val="000A7A12"/>
    <w:rsid w:val="000A7A72"/>
    <w:rsid w:val="000B0A03"/>
    <w:rsid w:val="000B1202"/>
    <w:rsid w:val="000B1801"/>
    <w:rsid w:val="000B1D0C"/>
    <w:rsid w:val="000B2273"/>
    <w:rsid w:val="000B2BC6"/>
    <w:rsid w:val="000B2D03"/>
    <w:rsid w:val="000B37F2"/>
    <w:rsid w:val="000B3815"/>
    <w:rsid w:val="000B3C7B"/>
    <w:rsid w:val="000B3E68"/>
    <w:rsid w:val="000B4321"/>
    <w:rsid w:val="000B46AA"/>
    <w:rsid w:val="000B69D3"/>
    <w:rsid w:val="000B6A6B"/>
    <w:rsid w:val="000B6C95"/>
    <w:rsid w:val="000B737E"/>
    <w:rsid w:val="000B79FC"/>
    <w:rsid w:val="000C1679"/>
    <w:rsid w:val="000C1EE3"/>
    <w:rsid w:val="000C3AE7"/>
    <w:rsid w:val="000C3CC9"/>
    <w:rsid w:val="000C59C6"/>
    <w:rsid w:val="000C5F62"/>
    <w:rsid w:val="000C6DE4"/>
    <w:rsid w:val="000C7202"/>
    <w:rsid w:val="000C79C4"/>
    <w:rsid w:val="000D0A89"/>
    <w:rsid w:val="000D1389"/>
    <w:rsid w:val="000D1798"/>
    <w:rsid w:val="000D2626"/>
    <w:rsid w:val="000D411D"/>
    <w:rsid w:val="000D4589"/>
    <w:rsid w:val="000D4809"/>
    <w:rsid w:val="000D73DD"/>
    <w:rsid w:val="000E1B27"/>
    <w:rsid w:val="000E1C51"/>
    <w:rsid w:val="000E28AB"/>
    <w:rsid w:val="000E2E3E"/>
    <w:rsid w:val="000E3583"/>
    <w:rsid w:val="000E3AF0"/>
    <w:rsid w:val="000E4E04"/>
    <w:rsid w:val="000E693B"/>
    <w:rsid w:val="000E6D5C"/>
    <w:rsid w:val="000E6EC9"/>
    <w:rsid w:val="000E70B4"/>
    <w:rsid w:val="000E7B62"/>
    <w:rsid w:val="000F01FF"/>
    <w:rsid w:val="000F0E1E"/>
    <w:rsid w:val="000F1A1B"/>
    <w:rsid w:val="000F2403"/>
    <w:rsid w:val="000F2A95"/>
    <w:rsid w:val="000F3281"/>
    <w:rsid w:val="000F32FD"/>
    <w:rsid w:val="000F3733"/>
    <w:rsid w:val="000F37B2"/>
    <w:rsid w:val="000F5CCC"/>
    <w:rsid w:val="000F5F8B"/>
    <w:rsid w:val="000F6153"/>
    <w:rsid w:val="000F64AA"/>
    <w:rsid w:val="000F7AF4"/>
    <w:rsid w:val="000F7C33"/>
    <w:rsid w:val="000F7F0C"/>
    <w:rsid w:val="001004D6"/>
    <w:rsid w:val="001010EC"/>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1FA"/>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4CE"/>
    <w:rsid w:val="0014479F"/>
    <w:rsid w:val="001452B4"/>
    <w:rsid w:val="00145320"/>
    <w:rsid w:val="00145463"/>
    <w:rsid w:val="00145C75"/>
    <w:rsid w:val="001476D3"/>
    <w:rsid w:val="001509CF"/>
    <w:rsid w:val="00150D1D"/>
    <w:rsid w:val="001525AA"/>
    <w:rsid w:val="00152A87"/>
    <w:rsid w:val="00152AC1"/>
    <w:rsid w:val="00153BB5"/>
    <w:rsid w:val="00154518"/>
    <w:rsid w:val="00156359"/>
    <w:rsid w:val="00156DD6"/>
    <w:rsid w:val="00157C6C"/>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2D4"/>
    <w:rsid w:val="0016782B"/>
    <w:rsid w:val="0016784D"/>
    <w:rsid w:val="00167853"/>
    <w:rsid w:val="00167887"/>
    <w:rsid w:val="00167C36"/>
    <w:rsid w:val="00167EB5"/>
    <w:rsid w:val="00172A27"/>
    <w:rsid w:val="00172CA8"/>
    <w:rsid w:val="00173256"/>
    <w:rsid w:val="00173B0E"/>
    <w:rsid w:val="00173E03"/>
    <w:rsid w:val="0017512C"/>
    <w:rsid w:val="001752EB"/>
    <w:rsid w:val="001756AF"/>
    <w:rsid w:val="0017586A"/>
    <w:rsid w:val="00175BA6"/>
    <w:rsid w:val="00176CA7"/>
    <w:rsid w:val="00176D0C"/>
    <w:rsid w:val="00176F8E"/>
    <w:rsid w:val="001778C5"/>
    <w:rsid w:val="00177E56"/>
    <w:rsid w:val="00177F0A"/>
    <w:rsid w:val="00180622"/>
    <w:rsid w:val="00180D35"/>
    <w:rsid w:val="00180DA0"/>
    <w:rsid w:val="00181EAD"/>
    <w:rsid w:val="00182862"/>
    <w:rsid w:val="00183672"/>
    <w:rsid w:val="00184256"/>
    <w:rsid w:val="00184F57"/>
    <w:rsid w:val="00185091"/>
    <w:rsid w:val="00185544"/>
    <w:rsid w:val="00185617"/>
    <w:rsid w:val="001858A8"/>
    <w:rsid w:val="00186FE1"/>
    <w:rsid w:val="00187A14"/>
    <w:rsid w:val="0019171E"/>
    <w:rsid w:val="00192368"/>
    <w:rsid w:val="001923A0"/>
    <w:rsid w:val="001924F9"/>
    <w:rsid w:val="001928B1"/>
    <w:rsid w:val="00192ACA"/>
    <w:rsid w:val="00193537"/>
    <w:rsid w:val="00193846"/>
    <w:rsid w:val="00195424"/>
    <w:rsid w:val="001955FF"/>
    <w:rsid w:val="00196396"/>
    <w:rsid w:val="00196FC2"/>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9F8"/>
    <w:rsid w:val="001A6B27"/>
    <w:rsid w:val="001A6D8B"/>
    <w:rsid w:val="001A6DAA"/>
    <w:rsid w:val="001A7717"/>
    <w:rsid w:val="001A793A"/>
    <w:rsid w:val="001A7D3F"/>
    <w:rsid w:val="001B0CA7"/>
    <w:rsid w:val="001B125A"/>
    <w:rsid w:val="001B1EBA"/>
    <w:rsid w:val="001B2142"/>
    <w:rsid w:val="001B2F2B"/>
    <w:rsid w:val="001B327A"/>
    <w:rsid w:val="001B35DE"/>
    <w:rsid w:val="001B3A13"/>
    <w:rsid w:val="001B3F5C"/>
    <w:rsid w:val="001B5215"/>
    <w:rsid w:val="001B57C9"/>
    <w:rsid w:val="001B59FF"/>
    <w:rsid w:val="001B6512"/>
    <w:rsid w:val="001B65D7"/>
    <w:rsid w:val="001B6752"/>
    <w:rsid w:val="001B6768"/>
    <w:rsid w:val="001B6F1F"/>
    <w:rsid w:val="001B7ECC"/>
    <w:rsid w:val="001C025B"/>
    <w:rsid w:val="001C0AED"/>
    <w:rsid w:val="001C115F"/>
    <w:rsid w:val="001C1EAB"/>
    <w:rsid w:val="001C25A7"/>
    <w:rsid w:val="001C2775"/>
    <w:rsid w:val="001C318C"/>
    <w:rsid w:val="001C35C4"/>
    <w:rsid w:val="001C3B78"/>
    <w:rsid w:val="001C4287"/>
    <w:rsid w:val="001C4479"/>
    <w:rsid w:val="001C5190"/>
    <w:rsid w:val="001C6081"/>
    <w:rsid w:val="001C6E62"/>
    <w:rsid w:val="001C73EB"/>
    <w:rsid w:val="001C7B48"/>
    <w:rsid w:val="001C7DB5"/>
    <w:rsid w:val="001D0CFB"/>
    <w:rsid w:val="001D1A0D"/>
    <w:rsid w:val="001D23F7"/>
    <w:rsid w:val="001D343C"/>
    <w:rsid w:val="001D56E2"/>
    <w:rsid w:val="001D58A1"/>
    <w:rsid w:val="001D58C2"/>
    <w:rsid w:val="001D5A8A"/>
    <w:rsid w:val="001D61CA"/>
    <w:rsid w:val="001D6E87"/>
    <w:rsid w:val="001D735E"/>
    <w:rsid w:val="001D73C8"/>
    <w:rsid w:val="001D7BC6"/>
    <w:rsid w:val="001E0618"/>
    <w:rsid w:val="001E129E"/>
    <w:rsid w:val="001E175C"/>
    <w:rsid w:val="001E19BC"/>
    <w:rsid w:val="001E1B0E"/>
    <w:rsid w:val="001E3754"/>
    <w:rsid w:val="001E3B63"/>
    <w:rsid w:val="001E5A94"/>
    <w:rsid w:val="001E5E3B"/>
    <w:rsid w:val="001E6137"/>
    <w:rsid w:val="001F0CE0"/>
    <w:rsid w:val="001F13FD"/>
    <w:rsid w:val="001F2A2E"/>
    <w:rsid w:val="001F3356"/>
    <w:rsid w:val="001F3A01"/>
    <w:rsid w:val="001F3C63"/>
    <w:rsid w:val="001F4460"/>
    <w:rsid w:val="001F60C8"/>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4BE5"/>
    <w:rsid w:val="00205129"/>
    <w:rsid w:val="0020521F"/>
    <w:rsid w:val="0020532C"/>
    <w:rsid w:val="002069BA"/>
    <w:rsid w:val="00211093"/>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5E1C"/>
    <w:rsid w:val="0022663D"/>
    <w:rsid w:val="00227C56"/>
    <w:rsid w:val="00227F2D"/>
    <w:rsid w:val="00230D6F"/>
    <w:rsid w:val="00231851"/>
    <w:rsid w:val="002319FB"/>
    <w:rsid w:val="00231B89"/>
    <w:rsid w:val="00231F11"/>
    <w:rsid w:val="00231F5E"/>
    <w:rsid w:val="00232DBC"/>
    <w:rsid w:val="002346B4"/>
    <w:rsid w:val="00234F6E"/>
    <w:rsid w:val="002355BE"/>
    <w:rsid w:val="002358EA"/>
    <w:rsid w:val="00236578"/>
    <w:rsid w:val="00236DE9"/>
    <w:rsid w:val="00237342"/>
    <w:rsid w:val="00237D5A"/>
    <w:rsid w:val="00240D75"/>
    <w:rsid w:val="002415AE"/>
    <w:rsid w:val="00241D3C"/>
    <w:rsid w:val="00242109"/>
    <w:rsid w:val="002430B0"/>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56D"/>
    <w:rsid w:val="0025271C"/>
    <w:rsid w:val="0025277A"/>
    <w:rsid w:val="002533CD"/>
    <w:rsid w:val="002535EA"/>
    <w:rsid w:val="0025373A"/>
    <w:rsid w:val="00254631"/>
    <w:rsid w:val="00254EAB"/>
    <w:rsid w:val="002557AF"/>
    <w:rsid w:val="0025589C"/>
    <w:rsid w:val="00255B62"/>
    <w:rsid w:val="002566B1"/>
    <w:rsid w:val="002575E3"/>
    <w:rsid w:val="00257A74"/>
    <w:rsid w:val="00257C5D"/>
    <w:rsid w:val="0026024C"/>
    <w:rsid w:val="002603C1"/>
    <w:rsid w:val="002609A1"/>
    <w:rsid w:val="002612B1"/>
    <w:rsid w:val="00265A12"/>
    <w:rsid w:val="00266165"/>
    <w:rsid w:val="00266CC0"/>
    <w:rsid w:val="00266F2C"/>
    <w:rsid w:val="00267913"/>
    <w:rsid w:val="0027125E"/>
    <w:rsid w:val="00271767"/>
    <w:rsid w:val="00272293"/>
    <w:rsid w:val="002723C8"/>
    <w:rsid w:val="00272575"/>
    <w:rsid w:val="00273C2A"/>
    <w:rsid w:val="00273CBE"/>
    <w:rsid w:val="002746B1"/>
    <w:rsid w:val="00274BAD"/>
    <w:rsid w:val="002807B0"/>
    <w:rsid w:val="00282D56"/>
    <w:rsid w:val="002835B0"/>
    <w:rsid w:val="00283C74"/>
    <w:rsid w:val="0028407E"/>
    <w:rsid w:val="0028410F"/>
    <w:rsid w:val="00284572"/>
    <w:rsid w:val="002850AA"/>
    <w:rsid w:val="00285221"/>
    <w:rsid w:val="00285A09"/>
    <w:rsid w:val="00286FB5"/>
    <w:rsid w:val="00287763"/>
    <w:rsid w:val="00290606"/>
    <w:rsid w:val="002909B2"/>
    <w:rsid w:val="00291D6D"/>
    <w:rsid w:val="00291FF1"/>
    <w:rsid w:val="00292AA2"/>
    <w:rsid w:val="00293361"/>
    <w:rsid w:val="00294F10"/>
    <w:rsid w:val="002952B1"/>
    <w:rsid w:val="00295D11"/>
    <w:rsid w:val="00296FB6"/>
    <w:rsid w:val="00297018"/>
    <w:rsid w:val="002A0001"/>
    <w:rsid w:val="002A0BD9"/>
    <w:rsid w:val="002A0C3A"/>
    <w:rsid w:val="002A0DF8"/>
    <w:rsid w:val="002A0F1C"/>
    <w:rsid w:val="002A1130"/>
    <w:rsid w:val="002A1880"/>
    <w:rsid w:val="002A194B"/>
    <w:rsid w:val="002A23B7"/>
    <w:rsid w:val="002A3A57"/>
    <w:rsid w:val="002A4B4F"/>
    <w:rsid w:val="002A57A8"/>
    <w:rsid w:val="002A5BED"/>
    <w:rsid w:val="002A5E6D"/>
    <w:rsid w:val="002A6DEF"/>
    <w:rsid w:val="002A770B"/>
    <w:rsid w:val="002B013E"/>
    <w:rsid w:val="002B058D"/>
    <w:rsid w:val="002B0C16"/>
    <w:rsid w:val="002B1B68"/>
    <w:rsid w:val="002B210A"/>
    <w:rsid w:val="002B2456"/>
    <w:rsid w:val="002B2789"/>
    <w:rsid w:val="002B2AC5"/>
    <w:rsid w:val="002B3528"/>
    <w:rsid w:val="002B3539"/>
    <w:rsid w:val="002B4395"/>
    <w:rsid w:val="002B4532"/>
    <w:rsid w:val="002B4DD9"/>
    <w:rsid w:val="002B5042"/>
    <w:rsid w:val="002B69CC"/>
    <w:rsid w:val="002B6D71"/>
    <w:rsid w:val="002C03AE"/>
    <w:rsid w:val="002C0C1C"/>
    <w:rsid w:val="002C41BF"/>
    <w:rsid w:val="002C4F6D"/>
    <w:rsid w:val="002C54C2"/>
    <w:rsid w:val="002C5D34"/>
    <w:rsid w:val="002C60BB"/>
    <w:rsid w:val="002C661A"/>
    <w:rsid w:val="002C6715"/>
    <w:rsid w:val="002D0D6F"/>
    <w:rsid w:val="002D1908"/>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5517"/>
    <w:rsid w:val="002E68A7"/>
    <w:rsid w:val="002E6C32"/>
    <w:rsid w:val="002E6E6C"/>
    <w:rsid w:val="002F016E"/>
    <w:rsid w:val="002F0522"/>
    <w:rsid w:val="002F087C"/>
    <w:rsid w:val="002F0DC9"/>
    <w:rsid w:val="002F16DD"/>
    <w:rsid w:val="002F199D"/>
    <w:rsid w:val="002F213C"/>
    <w:rsid w:val="002F2453"/>
    <w:rsid w:val="002F2E26"/>
    <w:rsid w:val="002F3005"/>
    <w:rsid w:val="002F352D"/>
    <w:rsid w:val="002F381E"/>
    <w:rsid w:val="002F4084"/>
    <w:rsid w:val="002F4A08"/>
    <w:rsid w:val="002F4ADB"/>
    <w:rsid w:val="002F531E"/>
    <w:rsid w:val="002F548D"/>
    <w:rsid w:val="002F5ACC"/>
    <w:rsid w:val="002F69FB"/>
    <w:rsid w:val="002F704B"/>
    <w:rsid w:val="002F72C3"/>
    <w:rsid w:val="002F768C"/>
    <w:rsid w:val="002F7C16"/>
    <w:rsid w:val="002F7D1E"/>
    <w:rsid w:val="00300201"/>
    <w:rsid w:val="0030025A"/>
    <w:rsid w:val="003002F7"/>
    <w:rsid w:val="00300A85"/>
    <w:rsid w:val="0030124A"/>
    <w:rsid w:val="00302EFC"/>
    <w:rsid w:val="00303243"/>
    <w:rsid w:val="00303BCC"/>
    <w:rsid w:val="00303F2B"/>
    <w:rsid w:val="00303F8D"/>
    <w:rsid w:val="00304800"/>
    <w:rsid w:val="0030572D"/>
    <w:rsid w:val="0030586A"/>
    <w:rsid w:val="00305901"/>
    <w:rsid w:val="0030622D"/>
    <w:rsid w:val="00306811"/>
    <w:rsid w:val="00306C20"/>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6CC1"/>
    <w:rsid w:val="00317BA7"/>
    <w:rsid w:val="00320BE2"/>
    <w:rsid w:val="00321358"/>
    <w:rsid w:val="003213EE"/>
    <w:rsid w:val="00321886"/>
    <w:rsid w:val="00321EDC"/>
    <w:rsid w:val="003220F3"/>
    <w:rsid w:val="00323694"/>
    <w:rsid w:val="00323942"/>
    <w:rsid w:val="00323BE7"/>
    <w:rsid w:val="00324C3A"/>
    <w:rsid w:val="00324D63"/>
    <w:rsid w:val="003255AF"/>
    <w:rsid w:val="003256EB"/>
    <w:rsid w:val="003259DB"/>
    <w:rsid w:val="0032795B"/>
    <w:rsid w:val="003303CD"/>
    <w:rsid w:val="003314D9"/>
    <w:rsid w:val="00331653"/>
    <w:rsid w:val="00331A48"/>
    <w:rsid w:val="00331BCC"/>
    <w:rsid w:val="003330C9"/>
    <w:rsid w:val="003333DC"/>
    <w:rsid w:val="0033364C"/>
    <w:rsid w:val="00334415"/>
    <w:rsid w:val="00335EA1"/>
    <w:rsid w:val="0033662A"/>
    <w:rsid w:val="0033691E"/>
    <w:rsid w:val="00336A6A"/>
    <w:rsid w:val="00336CCB"/>
    <w:rsid w:val="00340DEF"/>
    <w:rsid w:val="003411D1"/>
    <w:rsid w:val="003416BA"/>
    <w:rsid w:val="00342148"/>
    <w:rsid w:val="00342F99"/>
    <w:rsid w:val="00344C00"/>
    <w:rsid w:val="0034575A"/>
    <w:rsid w:val="00345F57"/>
    <w:rsid w:val="00346692"/>
    <w:rsid w:val="003468E6"/>
    <w:rsid w:val="00350458"/>
    <w:rsid w:val="00350E6C"/>
    <w:rsid w:val="003518A6"/>
    <w:rsid w:val="00351E7F"/>
    <w:rsid w:val="00352953"/>
    <w:rsid w:val="0035312E"/>
    <w:rsid w:val="00354062"/>
    <w:rsid w:val="0035459E"/>
    <w:rsid w:val="00354609"/>
    <w:rsid w:val="00354AE9"/>
    <w:rsid w:val="003554AD"/>
    <w:rsid w:val="00355C0D"/>
    <w:rsid w:val="003566A9"/>
    <w:rsid w:val="00356988"/>
    <w:rsid w:val="003569D3"/>
    <w:rsid w:val="00356CE9"/>
    <w:rsid w:val="003570BB"/>
    <w:rsid w:val="00357128"/>
    <w:rsid w:val="0035755E"/>
    <w:rsid w:val="00357A80"/>
    <w:rsid w:val="00357D00"/>
    <w:rsid w:val="00360149"/>
    <w:rsid w:val="00361441"/>
    <w:rsid w:val="00361B8B"/>
    <w:rsid w:val="00361F28"/>
    <w:rsid w:val="00363CE7"/>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41E"/>
    <w:rsid w:val="00372B98"/>
    <w:rsid w:val="00372E7F"/>
    <w:rsid w:val="003737B7"/>
    <w:rsid w:val="003740CC"/>
    <w:rsid w:val="003745F4"/>
    <w:rsid w:val="0037491A"/>
    <w:rsid w:val="00374E79"/>
    <w:rsid w:val="0037529A"/>
    <w:rsid w:val="00375388"/>
    <w:rsid w:val="00375559"/>
    <w:rsid w:val="00375FB9"/>
    <w:rsid w:val="00376170"/>
    <w:rsid w:val="0037661D"/>
    <w:rsid w:val="00376851"/>
    <w:rsid w:val="00376FA2"/>
    <w:rsid w:val="00377133"/>
    <w:rsid w:val="00377A3B"/>
    <w:rsid w:val="00377E3C"/>
    <w:rsid w:val="00380874"/>
    <w:rsid w:val="00380BBE"/>
    <w:rsid w:val="00380DF9"/>
    <w:rsid w:val="00381356"/>
    <w:rsid w:val="00381D70"/>
    <w:rsid w:val="0038235E"/>
    <w:rsid w:val="003829D0"/>
    <w:rsid w:val="0038326A"/>
    <w:rsid w:val="0038444F"/>
    <w:rsid w:val="003861F0"/>
    <w:rsid w:val="00386948"/>
    <w:rsid w:val="00387051"/>
    <w:rsid w:val="003877BF"/>
    <w:rsid w:val="00387CF8"/>
    <w:rsid w:val="00387ECF"/>
    <w:rsid w:val="00387F04"/>
    <w:rsid w:val="0039021B"/>
    <w:rsid w:val="00390429"/>
    <w:rsid w:val="00390449"/>
    <w:rsid w:val="003906A0"/>
    <w:rsid w:val="003923D5"/>
    <w:rsid w:val="003931AF"/>
    <w:rsid w:val="0039366C"/>
    <w:rsid w:val="00393EC8"/>
    <w:rsid w:val="00395E42"/>
    <w:rsid w:val="00396409"/>
    <w:rsid w:val="00396A2D"/>
    <w:rsid w:val="00396D01"/>
    <w:rsid w:val="00396FC3"/>
    <w:rsid w:val="003A0727"/>
    <w:rsid w:val="003A1431"/>
    <w:rsid w:val="003A1A94"/>
    <w:rsid w:val="003A1BB1"/>
    <w:rsid w:val="003A204E"/>
    <w:rsid w:val="003A2D25"/>
    <w:rsid w:val="003A5101"/>
    <w:rsid w:val="003A5728"/>
    <w:rsid w:val="003A576C"/>
    <w:rsid w:val="003A60E7"/>
    <w:rsid w:val="003A7092"/>
    <w:rsid w:val="003A72A1"/>
    <w:rsid w:val="003A7611"/>
    <w:rsid w:val="003A7D1F"/>
    <w:rsid w:val="003B0B6A"/>
    <w:rsid w:val="003B22F7"/>
    <w:rsid w:val="003B248A"/>
    <w:rsid w:val="003B29CF"/>
    <w:rsid w:val="003B31EB"/>
    <w:rsid w:val="003B3A90"/>
    <w:rsid w:val="003B3D01"/>
    <w:rsid w:val="003B534F"/>
    <w:rsid w:val="003B795A"/>
    <w:rsid w:val="003B7A79"/>
    <w:rsid w:val="003C0FE1"/>
    <w:rsid w:val="003C1018"/>
    <w:rsid w:val="003C151A"/>
    <w:rsid w:val="003C1F54"/>
    <w:rsid w:val="003C350C"/>
    <w:rsid w:val="003C3733"/>
    <w:rsid w:val="003C3903"/>
    <w:rsid w:val="003C3BA0"/>
    <w:rsid w:val="003C4580"/>
    <w:rsid w:val="003C54A5"/>
    <w:rsid w:val="003C5C5E"/>
    <w:rsid w:val="003C6746"/>
    <w:rsid w:val="003C7555"/>
    <w:rsid w:val="003C7898"/>
    <w:rsid w:val="003D0FF5"/>
    <w:rsid w:val="003D11A3"/>
    <w:rsid w:val="003D1537"/>
    <w:rsid w:val="003D183C"/>
    <w:rsid w:val="003D2616"/>
    <w:rsid w:val="003D2D1B"/>
    <w:rsid w:val="003D4498"/>
    <w:rsid w:val="003D48C7"/>
    <w:rsid w:val="003D4C27"/>
    <w:rsid w:val="003D4FCC"/>
    <w:rsid w:val="003D5763"/>
    <w:rsid w:val="003D7109"/>
    <w:rsid w:val="003D74D6"/>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534"/>
    <w:rsid w:val="003F3865"/>
    <w:rsid w:val="003F38AC"/>
    <w:rsid w:val="003F3D55"/>
    <w:rsid w:val="003F43D9"/>
    <w:rsid w:val="003F44E2"/>
    <w:rsid w:val="003F4632"/>
    <w:rsid w:val="003F47BA"/>
    <w:rsid w:val="003F4FE6"/>
    <w:rsid w:val="003F5638"/>
    <w:rsid w:val="003F6617"/>
    <w:rsid w:val="003F7EBB"/>
    <w:rsid w:val="00402332"/>
    <w:rsid w:val="004025C2"/>
    <w:rsid w:val="00402E09"/>
    <w:rsid w:val="00403195"/>
    <w:rsid w:val="004033A9"/>
    <w:rsid w:val="00403E55"/>
    <w:rsid w:val="0040407C"/>
    <w:rsid w:val="0040416C"/>
    <w:rsid w:val="004041CA"/>
    <w:rsid w:val="00404681"/>
    <w:rsid w:val="00405445"/>
    <w:rsid w:val="00405704"/>
    <w:rsid w:val="00405AC1"/>
    <w:rsid w:val="00406923"/>
    <w:rsid w:val="0040763D"/>
    <w:rsid w:val="00410D17"/>
    <w:rsid w:val="00412AA9"/>
    <w:rsid w:val="00413442"/>
    <w:rsid w:val="00413821"/>
    <w:rsid w:val="00413BA5"/>
    <w:rsid w:val="004141A3"/>
    <w:rsid w:val="00414909"/>
    <w:rsid w:val="0041582F"/>
    <w:rsid w:val="00416112"/>
    <w:rsid w:val="00416CEF"/>
    <w:rsid w:val="00417A18"/>
    <w:rsid w:val="00417AE0"/>
    <w:rsid w:val="00417BAA"/>
    <w:rsid w:val="0042042B"/>
    <w:rsid w:val="00420B45"/>
    <w:rsid w:val="00420D7A"/>
    <w:rsid w:val="00421257"/>
    <w:rsid w:val="00422193"/>
    <w:rsid w:val="004223DE"/>
    <w:rsid w:val="00422628"/>
    <w:rsid w:val="00422A10"/>
    <w:rsid w:val="00424D17"/>
    <w:rsid w:val="00425DFD"/>
    <w:rsid w:val="004263A3"/>
    <w:rsid w:val="0042711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37E29"/>
    <w:rsid w:val="0044006B"/>
    <w:rsid w:val="0044033F"/>
    <w:rsid w:val="00440630"/>
    <w:rsid w:val="00441F0F"/>
    <w:rsid w:val="00442733"/>
    <w:rsid w:val="00442965"/>
    <w:rsid w:val="004432B6"/>
    <w:rsid w:val="004435E0"/>
    <w:rsid w:val="00444157"/>
    <w:rsid w:val="0044417C"/>
    <w:rsid w:val="00444DB3"/>
    <w:rsid w:val="00445617"/>
    <w:rsid w:val="00445A2F"/>
    <w:rsid w:val="00446385"/>
    <w:rsid w:val="004467C9"/>
    <w:rsid w:val="0044684E"/>
    <w:rsid w:val="00446AC2"/>
    <w:rsid w:val="00446ECB"/>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614"/>
    <w:rsid w:val="004578EB"/>
    <w:rsid w:val="004604D5"/>
    <w:rsid w:val="00460697"/>
    <w:rsid w:val="0046117B"/>
    <w:rsid w:val="00461FC2"/>
    <w:rsid w:val="00464AB7"/>
    <w:rsid w:val="00465DE5"/>
    <w:rsid w:val="00467EF8"/>
    <w:rsid w:val="004709DE"/>
    <w:rsid w:val="00471413"/>
    <w:rsid w:val="00471639"/>
    <w:rsid w:val="00471AC3"/>
    <w:rsid w:val="00472429"/>
    <w:rsid w:val="004725E5"/>
    <w:rsid w:val="00472751"/>
    <w:rsid w:val="00472D88"/>
    <w:rsid w:val="00473128"/>
    <w:rsid w:val="00475078"/>
    <w:rsid w:val="00475767"/>
    <w:rsid w:val="00475C7F"/>
    <w:rsid w:val="00476C65"/>
    <w:rsid w:val="004779A0"/>
    <w:rsid w:val="00477C9E"/>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3F3"/>
    <w:rsid w:val="00492A25"/>
    <w:rsid w:val="004937DE"/>
    <w:rsid w:val="004938A3"/>
    <w:rsid w:val="004939E1"/>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A1D"/>
    <w:rsid w:val="004A6A36"/>
    <w:rsid w:val="004A6B28"/>
    <w:rsid w:val="004A6CB0"/>
    <w:rsid w:val="004A70FF"/>
    <w:rsid w:val="004A7EDE"/>
    <w:rsid w:val="004B0D93"/>
    <w:rsid w:val="004B1FA4"/>
    <w:rsid w:val="004B29AC"/>
    <w:rsid w:val="004B35DF"/>
    <w:rsid w:val="004B3627"/>
    <w:rsid w:val="004B3687"/>
    <w:rsid w:val="004B3E0B"/>
    <w:rsid w:val="004B41B6"/>
    <w:rsid w:val="004B4922"/>
    <w:rsid w:val="004B4F92"/>
    <w:rsid w:val="004B5268"/>
    <w:rsid w:val="004B55B6"/>
    <w:rsid w:val="004B57DF"/>
    <w:rsid w:val="004B5976"/>
    <w:rsid w:val="004B626C"/>
    <w:rsid w:val="004B722E"/>
    <w:rsid w:val="004B72E8"/>
    <w:rsid w:val="004C01A5"/>
    <w:rsid w:val="004C0412"/>
    <w:rsid w:val="004C2138"/>
    <w:rsid w:val="004C3940"/>
    <w:rsid w:val="004C51FD"/>
    <w:rsid w:val="004C5DBF"/>
    <w:rsid w:val="004C65A8"/>
    <w:rsid w:val="004C6689"/>
    <w:rsid w:val="004C6DD7"/>
    <w:rsid w:val="004C735E"/>
    <w:rsid w:val="004D139A"/>
    <w:rsid w:val="004D14DC"/>
    <w:rsid w:val="004D17C6"/>
    <w:rsid w:val="004D2858"/>
    <w:rsid w:val="004D2E49"/>
    <w:rsid w:val="004D35BA"/>
    <w:rsid w:val="004D38E5"/>
    <w:rsid w:val="004D3C5A"/>
    <w:rsid w:val="004D402D"/>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0AA6"/>
    <w:rsid w:val="004E1641"/>
    <w:rsid w:val="004E17E5"/>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6B6"/>
    <w:rsid w:val="004F17D7"/>
    <w:rsid w:val="004F1977"/>
    <w:rsid w:val="004F1D2A"/>
    <w:rsid w:val="004F243F"/>
    <w:rsid w:val="004F252C"/>
    <w:rsid w:val="004F36A3"/>
    <w:rsid w:val="004F3E0C"/>
    <w:rsid w:val="004F4308"/>
    <w:rsid w:val="004F7160"/>
    <w:rsid w:val="00500258"/>
    <w:rsid w:val="00500B2D"/>
    <w:rsid w:val="00501A99"/>
    <w:rsid w:val="00503180"/>
    <w:rsid w:val="005038A4"/>
    <w:rsid w:val="00504646"/>
    <w:rsid w:val="00504CD4"/>
    <w:rsid w:val="0050524B"/>
    <w:rsid w:val="00505450"/>
    <w:rsid w:val="00505FC6"/>
    <w:rsid w:val="005100B7"/>
    <w:rsid w:val="005105DE"/>
    <w:rsid w:val="005113C9"/>
    <w:rsid w:val="00512050"/>
    <w:rsid w:val="00512055"/>
    <w:rsid w:val="0051280C"/>
    <w:rsid w:val="00512842"/>
    <w:rsid w:val="005128BE"/>
    <w:rsid w:val="00513034"/>
    <w:rsid w:val="0051356F"/>
    <w:rsid w:val="00513E7C"/>
    <w:rsid w:val="005140BB"/>
    <w:rsid w:val="00514FBE"/>
    <w:rsid w:val="00514FD9"/>
    <w:rsid w:val="0051550A"/>
    <w:rsid w:val="0051608F"/>
    <w:rsid w:val="00516480"/>
    <w:rsid w:val="00520EF8"/>
    <w:rsid w:val="00520F35"/>
    <w:rsid w:val="005210F7"/>
    <w:rsid w:val="00521753"/>
    <w:rsid w:val="0052239D"/>
    <w:rsid w:val="005224EE"/>
    <w:rsid w:val="00522879"/>
    <w:rsid w:val="005233B2"/>
    <w:rsid w:val="005236DE"/>
    <w:rsid w:val="00523BB1"/>
    <w:rsid w:val="00524B23"/>
    <w:rsid w:val="0052570E"/>
    <w:rsid w:val="005260CD"/>
    <w:rsid w:val="00526265"/>
    <w:rsid w:val="0052655D"/>
    <w:rsid w:val="005265E0"/>
    <w:rsid w:val="00526BC3"/>
    <w:rsid w:val="00530064"/>
    <w:rsid w:val="00531761"/>
    <w:rsid w:val="0053248F"/>
    <w:rsid w:val="005327AB"/>
    <w:rsid w:val="00532E17"/>
    <w:rsid w:val="0053332A"/>
    <w:rsid w:val="0053358A"/>
    <w:rsid w:val="00533CD2"/>
    <w:rsid w:val="00534668"/>
    <w:rsid w:val="00534DDD"/>
    <w:rsid w:val="00535291"/>
    <w:rsid w:val="00535A94"/>
    <w:rsid w:val="0053656E"/>
    <w:rsid w:val="00537874"/>
    <w:rsid w:val="0053795F"/>
    <w:rsid w:val="00537D3D"/>
    <w:rsid w:val="00540511"/>
    <w:rsid w:val="00540578"/>
    <w:rsid w:val="00540808"/>
    <w:rsid w:val="0054080E"/>
    <w:rsid w:val="00540D1A"/>
    <w:rsid w:val="00540DE5"/>
    <w:rsid w:val="00540EA1"/>
    <w:rsid w:val="00541D52"/>
    <w:rsid w:val="00541E5A"/>
    <w:rsid w:val="0054345D"/>
    <w:rsid w:val="0054358E"/>
    <w:rsid w:val="005435D6"/>
    <w:rsid w:val="00543AF4"/>
    <w:rsid w:val="00543DE3"/>
    <w:rsid w:val="00543F53"/>
    <w:rsid w:val="00544191"/>
    <w:rsid w:val="0054440C"/>
    <w:rsid w:val="005448EC"/>
    <w:rsid w:val="00544C0A"/>
    <w:rsid w:val="00544F39"/>
    <w:rsid w:val="005457FB"/>
    <w:rsid w:val="00545B5E"/>
    <w:rsid w:val="0054640A"/>
    <w:rsid w:val="00546B96"/>
    <w:rsid w:val="00546F90"/>
    <w:rsid w:val="005478FC"/>
    <w:rsid w:val="00547EFB"/>
    <w:rsid w:val="00550192"/>
    <w:rsid w:val="00551F42"/>
    <w:rsid w:val="005522F2"/>
    <w:rsid w:val="00553137"/>
    <w:rsid w:val="005531DF"/>
    <w:rsid w:val="00553874"/>
    <w:rsid w:val="00553DCE"/>
    <w:rsid w:val="00554577"/>
    <w:rsid w:val="00554AD8"/>
    <w:rsid w:val="00554F78"/>
    <w:rsid w:val="00555DA1"/>
    <w:rsid w:val="00556BF7"/>
    <w:rsid w:val="00556E53"/>
    <w:rsid w:val="00557B2F"/>
    <w:rsid w:val="00557F60"/>
    <w:rsid w:val="00561146"/>
    <w:rsid w:val="00561730"/>
    <w:rsid w:val="00561822"/>
    <w:rsid w:val="00561B97"/>
    <w:rsid w:val="00562149"/>
    <w:rsid w:val="005640EB"/>
    <w:rsid w:val="00564AD3"/>
    <w:rsid w:val="005666A4"/>
    <w:rsid w:val="00567B5D"/>
    <w:rsid w:val="00570757"/>
    <w:rsid w:val="00570E9D"/>
    <w:rsid w:val="005715CC"/>
    <w:rsid w:val="00571804"/>
    <w:rsid w:val="005720F1"/>
    <w:rsid w:val="0057319A"/>
    <w:rsid w:val="00573733"/>
    <w:rsid w:val="00573F8B"/>
    <w:rsid w:val="00574554"/>
    <w:rsid w:val="00574E06"/>
    <w:rsid w:val="005751BB"/>
    <w:rsid w:val="00576089"/>
    <w:rsid w:val="005764B1"/>
    <w:rsid w:val="00576852"/>
    <w:rsid w:val="00576D06"/>
    <w:rsid w:val="005779E4"/>
    <w:rsid w:val="00580EC7"/>
    <w:rsid w:val="0058289C"/>
    <w:rsid w:val="005834CA"/>
    <w:rsid w:val="005836C7"/>
    <w:rsid w:val="0058408E"/>
    <w:rsid w:val="005844C3"/>
    <w:rsid w:val="00585374"/>
    <w:rsid w:val="005854CA"/>
    <w:rsid w:val="00585FAB"/>
    <w:rsid w:val="005863A9"/>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646C"/>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781"/>
    <w:rsid w:val="005C6B8B"/>
    <w:rsid w:val="005C727F"/>
    <w:rsid w:val="005D02E3"/>
    <w:rsid w:val="005D15FE"/>
    <w:rsid w:val="005D1AA1"/>
    <w:rsid w:val="005D1F34"/>
    <w:rsid w:val="005D2C1F"/>
    <w:rsid w:val="005D34B2"/>
    <w:rsid w:val="005D3B54"/>
    <w:rsid w:val="005D40CD"/>
    <w:rsid w:val="005D575F"/>
    <w:rsid w:val="005D6B59"/>
    <w:rsid w:val="005D784B"/>
    <w:rsid w:val="005E03E4"/>
    <w:rsid w:val="005E0454"/>
    <w:rsid w:val="005E05F6"/>
    <w:rsid w:val="005E1B9D"/>
    <w:rsid w:val="005E1BDA"/>
    <w:rsid w:val="005E1CCF"/>
    <w:rsid w:val="005E2442"/>
    <w:rsid w:val="005E3111"/>
    <w:rsid w:val="005E38FD"/>
    <w:rsid w:val="005E3CA0"/>
    <w:rsid w:val="005E3F85"/>
    <w:rsid w:val="005E409A"/>
    <w:rsid w:val="005E47E3"/>
    <w:rsid w:val="005E4A5F"/>
    <w:rsid w:val="005E516A"/>
    <w:rsid w:val="005E57B0"/>
    <w:rsid w:val="005E5B01"/>
    <w:rsid w:val="005E66B7"/>
    <w:rsid w:val="005E6D3B"/>
    <w:rsid w:val="005F009E"/>
    <w:rsid w:val="005F0597"/>
    <w:rsid w:val="005F0DF1"/>
    <w:rsid w:val="005F1516"/>
    <w:rsid w:val="005F1A6F"/>
    <w:rsid w:val="005F229E"/>
    <w:rsid w:val="005F2564"/>
    <w:rsid w:val="005F3822"/>
    <w:rsid w:val="005F386F"/>
    <w:rsid w:val="005F4635"/>
    <w:rsid w:val="005F4900"/>
    <w:rsid w:val="005F4E52"/>
    <w:rsid w:val="005F4E64"/>
    <w:rsid w:val="005F6D58"/>
    <w:rsid w:val="005F6E43"/>
    <w:rsid w:val="005F7383"/>
    <w:rsid w:val="00600513"/>
    <w:rsid w:val="0060058E"/>
    <w:rsid w:val="00602A3C"/>
    <w:rsid w:val="00603EFD"/>
    <w:rsid w:val="0060475B"/>
    <w:rsid w:val="00604BED"/>
    <w:rsid w:val="00604FB6"/>
    <w:rsid w:val="00605387"/>
    <w:rsid w:val="00606302"/>
    <w:rsid w:val="006071E2"/>
    <w:rsid w:val="006076FD"/>
    <w:rsid w:val="00610811"/>
    <w:rsid w:val="0061143F"/>
    <w:rsid w:val="006114D8"/>
    <w:rsid w:val="00613553"/>
    <w:rsid w:val="00613601"/>
    <w:rsid w:val="00613791"/>
    <w:rsid w:val="006150D6"/>
    <w:rsid w:val="00615245"/>
    <w:rsid w:val="0061590D"/>
    <w:rsid w:val="00615E1F"/>
    <w:rsid w:val="00616E7D"/>
    <w:rsid w:val="00617EEE"/>
    <w:rsid w:val="00620A1F"/>
    <w:rsid w:val="0062169D"/>
    <w:rsid w:val="0062181E"/>
    <w:rsid w:val="00621E9A"/>
    <w:rsid w:val="006220DE"/>
    <w:rsid w:val="0062211B"/>
    <w:rsid w:val="00622BB7"/>
    <w:rsid w:val="00622C1E"/>
    <w:rsid w:val="00623389"/>
    <w:rsid w:val="00623DAA"/>
    <w:rsid w:val="00623FAF"/>
    <w:rsid w:val="0062483D"/>
    <w:rsid w:val="006265C4"/>
    <w:rsid w:val="0062678A"/>
    <w:rsid w:val="006270AF"/>
    <w:rsid w:val="00634367"/>
    <w:rsid w:val="00634C1D"/>
    <w:rsid w:val="00634E4D"/>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80"/>
    <w:rsid w:val="00652680"/>
    <w:rsid w:val="00652B97"/>
    <w:rsid w:val="006531AE"/>
    <w:rsid w:val="00653CDE"/>
    <w:rsid w:val="00654585"/>
    <w:rsid w:val="0065566E"/>
    <w:rsid w:val="00655AB6"/>
    <w:rsid w:val="00655EFA"/>
    <w:rsid w:val="00656061"/>
    <w:rsid w:val="00656281"/>
    <w:rsid w:val="0065636A"/>
    <w:rsid w:val="00657003"/>
    <w:rsid w:val="00660238"/>
    <w:rsid w:val="00660293"/>
    <w:rsid w:val="006602EF"/>
    <w:rsid w:val="0066110C"/>
    <w:rsid w:val="00661277"/>
    <w:rsid w:val="006619E0"/>
    <w:rsid w:val="00663428"/>
    <w:rsid w:val="00663CC0"/>
    <w:rsid w:val="00663FEA"/>
    <w:rsid w:val="00664397"/>
    <w:rsid w:val="00664803"/>
    <w:rsid w:val="006657C5"/>
    <w:rsid w:val="006661A4"/>
    <w:rsid w:val="00666AC0"/>
    <w:rsid w:val="006670E0"/>
    <w:rsid w:val="006671B8"/>
    <w:rsid w:val="00667275"/>
    <w:rsid w:val="00667532"/>
    <w:rsid w:val="0066783E"/>
    <w:rsid w:val="00667AA4"/>
    <w:rsid w:val="00667E53"/>
    <w:rsid w:val="00667F9E"/>
    <w:rsid w:val="006711C4"/>
    <w:rsid w:val="006713AB"/>
    <w:rsid w:val="00671470"/>
    <w:rsid w:val="00672CA5"/>
    <w:rsid w:val="006731D8"/>
    <w:rsid w:val="00673711"/>
    <w:rsid w:val="00673E7C"/>
    <w:rsid w:val="00673F82"/>
    <w:rsid w:val="00674F74"/>
    <w:rsid w:val="0067508F"/>
    <w:rsid w:val="00677576"/>
    <w:rsid w:val="0068051E"/>
    <w:rsid w:val="00680B9D"/>
    <w:rsid w:val="00681CAF"/>
    <w:rsid w:val="00681F13"/>
    <w:rsid w:val="00681F31"/>
    <w:rsid w:val="0068231C"/>
    <w:rsid w:val="00682344"/>
    <w:rsid w:val="00682F28"/>
    <w:rsid w:val="006831CA"/>
    <w:rsid w:val="00683515"/>
    <w:rsid w:val="00684842"/>
    <w:rsid w:val="006859AA"/>
    <w:rsid w:val="00685BD6"/>
    <w:rsid w:val="006861C3"/>
    <w:rsid w:val="00687116"/>
    <w:rsid w:val="006878A6"/>
    <w:rsid w:val="00687D5F"/>
    <w:rsid w:val="00690433"/>
    <w:rsid w:val="00690437"/>
    <w:rsid w:val="00690DC3"/>
    <w:rsid w:val="00690E65"/>
    <w:rsid w:val="006911B7"/>
    <w:rsid w:val="00691387"/>
    <w:rsid w:val="0069188E"/>
    <w:rsid w:val="00691974"/>
    <w:rsid w:val="00692BF6"/>
    <w:rsid w:val="00692CE6"/>
    <w:rsid w:val="00693186"/>
    <w:rsid w:val="00693381"/>
    <w:rsid w:val="00693783"/>
    <w:rsid w:val="00693B6C"/>
    <w:rsid w:val="006942AE"/>
    <w:rsid w:val="00695421"/>
    <w:rsid w:val="006956DE"/>
    <w:rsid w:val="0069675B"/>
    <w:rsid w:val="0069735B"/>
    <w:rsid w:val="00697BD3"/>
    <w:rsid w:val="00697DFA"/>
    <w:rsid w:val="006A16D5"/>
    <w:rsid w:val="006A1772"/>
    <w:rsid w:val="006A1780"/>
    <w:rsid w:val="006A1FA8"/>
    <w:rsid w:val="006A21DD"/>
    <w:rsid w:val="006A26C6"/>
    <w:rsid w:val="006A3302"/>
    <w:rsid w:val="006A3B28"/>
    <w:rsid w:val="006A4FEE"/>
    <w:rsid w:val="006A5549"/>
    <w:rsid w:val="006A702E"/>
    <w:rsid w:val="006A703E"/>
    <w:rsid w:val="006A7BE3"/>
    <w:rsid w:val="006A7D32"/>
    <w:rsid w:val="006B01D1"/>
    <w:rsid w:val="006B0DF4"/>
    <w:rsid w:val="006B16EA"/>
    <w:rsid w:val="006B1780"/>
    <w:rsid w:val="006B21DC"/>
    <w:rsid w:val="006B224E"/>
    <w:rsid w:val="006B376E"/>
    <w:rsid w:val="006B4512"/>
    <w:rsid w:val="006B4589"/>
    <w:rsid w:val="006B5157"/>
    <w:rsid w:val="006B610E"/>
    <w:rsid w:val="006B61CE"/>
    <w:rsid w:val="006B6805"/>
    <w:rsid w:val="006B6C07"/>
    <w:rsid w:val="006B6DE0"/>
    <w:rsid w:val="006C16C3"/>
    <w:rsid w:val="006C2187"/>
    <w:rsid w:val="006C27D9"/>
    <w:rsid w:val="006C32F4"/>
    <w:rsid w:val="006C3C54"/>
    <w:rsid w:val="006C4B6B"/>
    <w:rsid w:val="006C4CE1"/>
    <w:rsid w:val="006C4F9F"/>
    <w:rsid w:val="006C5F93"/>
    <w:rsid w:val="006C71A2"/>
    <w:rsid w:val="006C73EC"/>
    <w:rsid w:val="006D0C1D"/>
    <w:rsid w:val="006D28F3"/>
    <w:rsid w:val="006D2E9D"/>
    <w:rsid w:val="006D3B96"/>
    <w:rsid w:val="006D3C32"/>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509"/>
    <w:rsid w:val="006E6DEE"/>
    <w:rsid w:val="006E7D4B"/>
    <w:rsid w:val="006F018A"/>
    <w:rsid w:val="006F0760"/>
    <w:rsid w:val="006F10D9"/>
    <w:rsid w:val="006F11E2"/>
    <w:rsid w:val="006F2574"/>
    <w:rsid w:val="006F3231"/>
    <w:rsid w:val="006F3DE3"/>
    <w:rsid w:val="006F4787"/>
    <w:rsid w:val="006F4E53"/>
    <w:rsid w:val="006F61D8"/>
    <w:rsid w:val="006F62B7"/>
    <w:rsid w:val="006F70BC"/>
    <w:rsid w:val="006F726C"/>
    <w:rsid w:val="006F7E7C"/>
    <w:rsid w:val="0070174E"/>
    <w:rsid w:val="007018DB"/>
    <w:rsid w:val="00701DE6"/>
    <w:rsid w:val="00702740"/>
    <w:rsid w:val="0070381B"/>
    <w:rsid w:val="00704365"/>
    <w:rsid w:val="00705690"/>
    <w:rsid w:val="0070796C"/>
    <w:rsid w:val="00707B49"/>
    <w:rsid w:val="007109BB"/>
    <w:rsid w:val="00710EBF"/>
    <w:rsid w:val="007110B8"/>
    <w:rsid w:val="0071209F"/>
    <w:rsid w:val="007125A2"/>
    <w:rsid w:val="00713DD9"/>
    <w:rsid w:val="00713F79"/>
    <w:rsid w:val="007148A8"/>
    <w:rsid w:val="0071643D"/>
    <w:rsid w:val="00716AC8"/>
    <w:rsid w:val="00716E54"/>
    <w:rsid w:val="0072033C"/>
    <w:rsid w:val="00720B1B"/>
    <w:rsid w:val="00720BB2"/>
    <w:rsid w:val="00720BDB"/>
    <w:rsid w:val="00721062"/>
    <w:rsid w:val="00721E5D"/>
    <w:rsid w:val="007229D4"/>
    <w:rsid w:val="0072309E"/>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BF0"/>
    <w:rsid w:val="0073621C"/>
    <w:rsid w:val="0073792F"/>
    <w:rsid w:val="00740C81"/>
    <w:rsid w:val="00740DA6"/>
    <w:rsid w:val="00741AB7"/>
    <w:rsid w:val="00741B4B"/>
    <w:rsid w:val="00741D1E"/>
    <w:rsid w:val="00741DD6"/>
    <w:rsid w:val="00741EE2"/>
    <w:rsid w:val="0074207F"/>
    <w:rsid w:val="00742367"/>
    <w:rsid w:val="00742EAA"/>
    <w:rsid w:val="00743360"/>
    <w:rsid w:val="00743818"/>
    <w:rsid w:val="00743857"/>
    <w:rsid w:val="007441FB"/>
    <w:rsid w:val="0074434C"/>
    <w:rsid w:val="00744454"/>
    <w:rsid w:val="00744517"/>
    <w:rsid w:val="00744C82"/>
    <w:rsid w:val="0074522A"/>
    <w:rsid w:val="007462F0"/>
    <w:rsid w:val="00747295"/>
    <w:rsid w:val="00747829"/>
    <w:rsid w:val="0074789C"/>
    <w:rsid w:val="00747DE2"/>
    <w:rsid w:val="007502D0"/>
    <w:rsid w:val="007504BF"/>
    <w:rsid w:val="007506CD"/>
    <w:rsid w:val="0075267F"/>
    <w:rsid w:val="007526EC"/>
    <w:rsid w:val="00752A81"/>
    <w:rsid w:val="007533EB"/>
    <w:rsid w:val="00753951"/>
    <w:rsid w:val="00753C48"/>
    <w:rsid w:val="00754250"/>
    <w:rsid w:val="00754FE4"/>
    <w:rsid w:val="00755216"/>
    <w:rsid w:val="00756236"/>
    <w:rsid w:val="00756271"/>
    <w:rsid w:val="00756348"/>
    <w:rsid w:val="00756521"/>
    <w:rsid w:val="00756AB7"/>
    <w:rsid w:val="00756D10"/>
    <w:rsid w:val="0076106D"/>
    <w:rsid w:val="00761599"/>
    <w:rsid w:val="007623FB"/>
    <w:rsid w:val="00762517"/>
    <w:rsid w:val="00763240"/>
    <w:rsid w:val="0076376A"/>
    <w:rsid w:val="007648AD"/>
    <w:rsid w:val="0076504E"/>
    <w:rsid w:val="00766FA0"/>
    <w:rsid w:val="00767BFD"/>
    <w:rsid w:val="00767EA0"/>
    <w:rsid w:val="0077068F"/>
    <w:rsid w:val="007716A2"/>
    <w:rsid w:val="00771EDF"/>
    <w:rsid w:val="00772A90"/>
    <w:rsid w:val="00772F8D"/>
    <w:rsid w:val="0077408D"/>
    <w:rsid w:val="00774270"/>
    <w:rsid w:val="007743F6"/>
    <w:rsid w:val="00775679"/>
    <w:rsid w:val="0077574F"/>
    <w:rsid w:val="00775823"/>
    <w:rsid w:val="00777153"/>
    <w:rsid w:val="007777CC"/>
    <w:rsid w:val="00777B32"/>
    <w:rsid w:val="0078051E"/>
    <w:rsid w:val="007806DB"/>
    <w:rsid w:val="00781089"/>
    <w:rsid w:val="007838F3"/>
    <w:rsid w:val="00783DE5"/>
    <w:rsid w:val="007856FE"/>
    <w:rsid w:val="00785F46"/>
    <w:rsid w:val="007865F4"/>
    <w:rsid w:val="00786A7A"/>
    <w:rsid w:val="00786D5C"/>
    <w:rsid w:val="00786E96"/>
    <w:rsid w:val="00787BB6"/>
    <w:rsid w:val="00787DFF"/>
    <w:rsid w:val="00787F93"/>
    <w:rsid w:val="00791E6D"/>
    <w:rsid w:val="00791EB5"/>
    <w:rsid w:val="0079343F"/>
    <w:rsid w:val="00793696"/>
    <w:rsid w:val="007955DA"/>
    <w:rsid w:val="00796F65"/>
    <w:rsid w:val="007A11C2"/>
    <w:rsid w:val="007A189E"/>
    <w:rsid w:val="007A18BB"/>
    <w:rsid w:val="007A27DD"/>
    <w:rsid w:val="007A41BF"/>
    <w:rsid w:val="007A490A"/>
    <w:rsid w:val="007A649B"/>
    <w:rsid w:val="007A7B95"/>
    <w:rsid w:val="007B0297"/>
    <w:rsid w:val="007B02FA"/>
    <w:rsid w:val="007B0F53"/>
    <w:rsid w:val="007B2088"/>
    <w:rsid w:val="007B21AE"/>
    <w:rsid w:val="007B2570"/>
    <w:rsid w:val="007B2C85"/>
    <w:rsid w:val="007B3113"/>
    <w:rsid w:val="007B3304"/>
    <w:rsid w:val="007B3B47"/>
    <w:rsid w:val="007B3BF0"/>
    <w:rsid w:val="007B47AF"/>
    <w:rsid w:val="007B6CE8"/>
    <w:rsid w:val="007B7490"/>
    <w:rsid w:val="007C0525"/>
    <w:rsid w:val="007C13F7"/>
    <w:rsid w:val="007C1D77"/>
    <w:rsid w:val="007C218D"/>
    <w:rsid w:val="007C2D28"/>
    <w:rsid w:val="007C3E22"/>
    <w:rsid w:val="007C53BE"/>
    <w:rsid w:val="007C58C1"/>
    <w:rsid w:val="007C6218"/>
    <w:rsid w:val="007C6484"/>
    <w:rsid w:val="007C67C6"/>
    <w:rsid w:val="007C6885"/>
    <w:rsid w:val="007C78BE"/>
    <w:rsid w:val="007C7A5D"/>
    <w:rsid w:val="007C7E59"/>
    <w:rsid w:val="007D0476"/>
    <w:rsid w:val="007D0B91"/>
    <w:rsid w:val="007D0FE7"/>
    <w:rsid w:val="007D1452"/>
    <w:rsid w:val="007D1563"/>
    <w:rsid w:val="007D3DCB"/>
    <w:rsid w:val="007D460C"/>
    <w:rsid w:val="007D4996"/>
    <w:rsid w:val="007D4AD3"/>
    <w:rsid w:val="007D5657"/>
    <w:rsid w:val="007D5D19"/>
    <w:rsid w:val="007D5FDC"/>
    <w:rsid w:val="007D6176"/>
    <w:rsid w:val="007D69CD"/>
    <w:rsid w:val="007D6D68"/>
    <w:rsid w:val="007E16EF"/>
    <w:rsid w:val="007E194F"/>
    <w:rsid w:val="007E2BD8"/>
    <w:rsid w:val="007E32DA"/>
    <w:rsid w:val="007E3418"/>
    <w:rsid w:val="007E4998"/>
    <w:rsid w:val="007E4A9C"/>
    <w:rsid w:val="007E4FA3"/>
    <w:rsid w:val="007E506B"/>
    <w:rsid w:val="007E6914"/>
    <w:rsid w:val="007E707C"/>
    <w:rsid w:val="007E7440"/>
    <w:rsid w:val="007E7F78"/>
    <w:rsid w:val="007F0179"/>
    <w:rsid w:val="007F12E6"/>
    <w:rsid w:val="007F1E1F"/>
    <w:rsid w:val="007F2C13"/>
    <w:rsid w:val="007F2CEC"/>
    <w:rsid w:val="007F2ED1"/>
    <w:rsid w:val="007F3435"/>
    <w:rsid w:val="007F354B"/>
    <w:rsid w:val="007F45F5"/>
    <w:rsid w:val="007F505D"/>
    <w:rsid w:val="007F531B"/>
    <w:rsid w:val="007F55DE"/>
    <w:rsid w:val="007F576C"/>
    <w:rsid w:val="007F762D"/>
    <w:rsid w:val="007F78F0"/>
    <w:rsid w:val="007F78FF"/>
    <w:rsid w:val="008001C5"/>
    <w:rsid w:val="00800F6C"/>
    <w:rsid w:val="00801065"/>
    <w:rsid w:val="00801CED"/>
    <w:rsid w:val="00802C0B"/>
    <w:rsid w:val="00805040"/>
    <w:rsid w:val="008051FC"/>
    <w:rsid w:val="008055A9"/>
    <w:rsid w:val="008056C4"/>
    <w:rsid w:val="008057FD"/>
    <w:rsid w:val="00805D8B"/>
    <w:rsid w:val="00807465"/>
    <w:rsid w:val="0081010F"/>
    <w:rsid w:val="00810BB6"/>
    <w:rsid w:val="00810E8E"/>
    <w:rsid w:val="00812C44"/>
    <w:rsid w:val="00812E16"/>
    <w:rsid w:val="00813388"/>
    <w:rsid w:val="008135E1"/>
    <w:rsid w:val="00813779"/>
    <w:rsid w:val="00813E26"/>
    <w:rsid w:val="00814692"/>
    <w:rsid w:val="0081481D"/>
    <w:rsid w:val="00814BE8"/>
    <w:rsid w:val="00814F6E"/>
    <w:rsid w:val="00815B84"/>
    <w:rsid w:val="00816342"/>
    <w:rsid w:val="008166F6"/>
    <w:rsid w:val="00816BE9"/>
    <w:rsid w:val="00817D10"/>
    <w:rsid w:val="008221D8"/>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78B"/>
    <w:rsid w:val="00837526"/>
    <w:rsid w:val="008407A7"/>
    <w:rsid w:val="008412D8"/>
    <w:rsid w:val="0084322B"/>
    <w:rsid w:val="00843AE0"/>
    <w:rsid w:val="00843F81"/>
    <w:rsid w:val="00844087"/>
    <w:rsid w:val="008448F1"/>
    <w:rsid w:val="0084519E"/>
    <w:rsid w:val="00845CAE"/>
    <w:rsid w:val="008462C5"/>
    <w:rsid w:val="008462FA"/>
    <w:rsid w:val="00846317"/>
    <w:rsid w:val="00846370"/>
    <w:rsid w:val="00846873"/>
    <w:rsid w:val="008477E7"/>
    <w:rsid w:val="00847C2B"/>
    <w:rsid w:val="00850272"/>
    <w:rsid w:val="008506B9"/>
    <w:rsid w:val="0085086F"/>
    <w:rsid w:val="00851201"/>
    <w:rsid w:val="00851822"/>
    <w:rsid w:val="00851C16"/>
    <w:rsid w:val="00851CFF"/>
    <w:rsid w:val="008532BF"/>
    <w:rsid w:val="008539B2"/>
    <w:rsid w:val="00853BF4"/>
    <w:rsid w:val="00854294"/>
    <w:rsid w:val="00854295"/>
    <w:rsid w:val="008549DD"/>
    <w:rsid w:val="00854D4D"/>
    <w:rsid w:val="0085572E"/>
    <w:rsid w:val="00855EDB"/>
    <w:rsid w:val="0085788B"/>
    <w:rsid w:val="00857A9E"/>
    <w:rsid w:val="00857DE2"/>
    <w:rsid w:val="0086003D"/>
    <w:rsid w:val="00860CF3"/>
    <w:rsid w:val="00863A8E"/>
    <w:rsid w:val="0086407F"/>
    <w:rsid w:val="008645E3"/>
    <w:rsid w:val="00864E79"/>
    <w:rsid w:val="0086572B"/>
    <w:rsid w:val="0086595B"/>
    <w:rsid w:val="00865D19"/>
    <w:rsid w:val="00866615"/>
    <w:rsid w:val="0086661F"/>
    <w:rsid w:val="00866A0D"/>
    <w:rsid w:val="00866DB5"/>
    <w:rsid w:val="0086701D"/>
    <w:rsid w:val="0086702B"/>
    <w:rsid w:val="008672E2"/>
    <w:rsid w:val="0086784E"/>
    <w:rsid w:val="008678D3"/>
    <w:rsid w:val="0087001C"/>
    <w:rsid w:val="0087035F"/>
    <w:rsid w:val="0087121C"/>
    <w:rsid w:val="00871FD2"/>
    <w:rsid w:val="00872084"/>
    <w:rsid w:val="0087259D"/>
    <w:rsid w:val="00872827"/>
    <w:rsid w:val="00872A32"/>
    <w:rsid w:val="00874911"/>
    <w:rsid w:val="008754E4"/>
    <w:rsid w:val="00876206"/>
    <w:rsid w:val="00876EAE"/>
    <w:rsid w:val="00880106"/>
    <w:rsid w:val="00880F95"/>
    <w:rsid w:val="00881694"/>
    <w:rsid w:val="00882B44"/>
    <w:rsid w:val="008838AD"/>
    <w:rsid w:val="00885BC9"/>
    <w:rsid w:val="008864B3"/>
    <w:rsid w:val="008865E5"/>
    <w:rsid w:val="008871B0"/>
    <w:rsid w:val="00890B57"/>
    <w:rsid w:val="008916BA"/>
    <w:rsid w:val="0089217C"/>
    <w:rsid w:val="00892512"/>
    <w:rsid w:val="00892790"/>
    <w:rsid w:val="00893671"/>
    <w:rsid w:val="0089383F"/>
    <w:rsid w:val="00894823"/>
    <w:rsid w:val="00895838"/>
    <w:rsid w:val="00895A1E"/>
    <w:rsid w:val="00895A72"/>
    <w:rsid w:val="00895CDF"/>
    <w:rsid w:val="00896679"/>
    <w:rsid w:val="00896D8C"/>
    <w:rsid w:val="008977BC"/>
    <w:rsid w:val="008A0FC9"/>
    <w:rsid w:val="008A1956"/>
    <w:rsid w:val="008A1A7C"/>
    <w:rsid w:val="008A2CE2"/>
    <w:rsid w:val="008A4034"/>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5BFD"/>
    <w:rsid w:val="008B6D89"/>
    <w:rsid w:val="008B6DFC"/>
    <w:rsid w:val="008B7227"/>
    <w:rsid w:val="008C02A5"/>
    <w:rsid w:val="008C02FB"/>
    <w:rsid w:val="008C04E0"/>
    <w:rsid w:val="008C191C"/>
    <w:rsid w:val="008C1DA4"/>
    <w:rsid w:val="008C2138"/>
    <w:rsid w:val="008C29B0"/>
    <w:rsid w:val="008C2CD5"/>
    <w:rsid w:val="008C3618"/>
    <w:rsid w:val="008C39E7"/>
    <w:rsid w:val="008C43AD"/>
    <w:rsid w:val="008C6118"/>
    <w:rsid w:val="008C6341"/>
    <w:rsid w:val="008C653D"/>
    <w:rsid w:val="008C72D8"/>
    <w:rsid w:val="008C731F"/>
    <w:rsid w:val="008C74D9"/>
    <w:rsid w:val="008D2050"/>
    <w:rsid w:val="008D2B33"/>
    <w:rsid w:val="008D3B2D"/>
    <w:rsid w:val="008D4308"/>
    <w:rsid w:val="008D4558"/>
    <w:rsid w:val="008D4C02"/>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5AB5"/>
    <w:rsid w:val="008E6540"/>
    <w:rsid w:val="008E77D4"/>
    <w:rsid w:val="008E7ADD"/>
    <w:rsid w:val="008E7E86"/>
    <w:rsid w:val="008F0180"/>
    <w:rsid w:val="008F0761"/>
    <w:rsid w:val="008F091F"/>
    <w:rsid w:val="008F17B2"/>
    <w:rsid w:val="008F22B3"/>
    <w:rsid w:val="008F2B5A"/>
    <w:rsid w:val="008F357B"/>
    <w:rsid w:val="008F44CA"/>
    <w:rsid w:val="008F48DD"/>
    <w:rsid w:val="008F49D3"/>
    <w:rsid w:val="008F4CF5"/>
    <w:rsid w:val="008F6519"/>
    <w:rsid w:val="008F6BAA"/>
    <w:rsid w:val="008F7012"/>
    <w:rsid w:val="008F7ADA"/>
    <w:rsid w:val="008F7B17"/>
    <w:rsid w:val="00900042"/>
    <w:rsid w:val="0090034B"/>
    <w:rsid w:val="0090087C"/>
    <w:rsid w:val="00900A95"/>
    <w:rsid w:val="00901121"/>
    <w:rsid w:val="00902623"/>
    <w:rsid w:val="00902A67"/>
    <w:rsid w:val="00902C5E"/>
    <w:rsid w:val="00904BE4"/>
    <w:rsid w:val="00904E32"/>
    <w:rsid w:val="0090504A"/>
    <w:rsid w:val="009051F5"/>
    <w:rsid w:val="00905221"/>
    <w:rsid w:val="00905664"/>
    <w:rsid w:val="00905A7C"/>
    <w:rsid w:val="00905C57"/>
    <w:rsid w:val="00905D7E"/>
    <w:rsid w:val="00906509"/>
    <w:rsid w:val="00907037"/>
    <w:rsid w:val="00907259"/>
    <w:rsid w:val="0091062F"/>
    <w:rsid w:val="00910C5D"/>
    <w:rsid w:val="0091112C"/>
    <w:rsid w:val="0091160A"/>
    <w:rsid w:val="00912E04"/>
    <w:rsid w:val="00913258"/>
    <w:rsid w:val="00913851"/>
    <w:rsid w:val="00913BB0"/>
    <w:rsid w:val="0091456C"/>
    <w:rsid w:val="00914C58"/>
    <w:rsid w:val="00914D78"/>
    <w:rsid w:val="0091564D"/>
    <w:rsid w:val="009156DA"/>
    <w:rsid w:val="00915774"/>
    <w:rsid w:val="00915D42"/>
    <w:rsid w:val="00916BC5"/>
    <w:rsid w:val="0091726A"/>
    <w:rsid w:val="00917C01"/>
    <w:rsid w:val="00920184"/>
    <w:rsid w:val="00920EA4"/>
    <w:rsid w:val="00921792"/>
    <w:rsid w:val="00921BEA"/>
    <w:rsid w:val="009227BE"/>
    <w:rsid w:val="009238FD"/>
    <w:rsid w:val="00923998"/>
    <w:rsid w:val="00923DB4"/>
    <w:rsid w:val="0092420B"/>
    <w:rsid w:val="0092430E"/>
    <w:rsid w:val="00925084"/>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2E92"/>
    <w:rsid w:val="009432E2"/>
    <w:rsid w:val="00944668"/>
    <w:rsid w:val="00944DC6"/>
    <w:rsid w:val="009458B0"/>
    <w:rsid w:val="00945B52"/>
    <w:rsid w:val="00945B7A"/>
    <w:rsid w:val="00945CF0"/>
    <w:rsid w:val="00945F05"/>
    <w:rsid w:val="00946348"/>
    <w:rsid w:val="00947224"/>
    <w:rsid w:val="00947797"/>
    <w:rsid w:val="009478A2"/>
    <w:rsid w:val="00952348"/>
    <w:rsid w:val="00952F47"/>
    <w:rsid w:val="009533BD"/>
    <w:rsid w:val="009536FB"/>
    <w:rsid w:val="00953808"/>
    <w:rsid w:val="009539A6"/>
    <w:rsid w:val="00954032"/>
    <w:rsid w:val="00954537"/>
    <w:rsid w:val="0095472D"/>
    <w:rsid w:val="00954DE9"/>
    <w:rsid w:val="00955342"/>
    <w:rsid w:val="00955FBB"/>
    <w:rsid w:val="0095694B"/>
    <w:rsid w:val="00956BD5"/>
    <w:rsid w:val="00956D84"/>
    <w:rsid w:val="009577B5"/>
    <w:rsid w:val="009608E6"/>
    <w:rsid w:val="00960F57"/>
    <w:rsid w:val="00961C90"/>
    <w:rsid w:val="00962ACC"/>
    <w:rsid w:val="00965443"/>
    <w:rsid w:val="00965954"/>
    <w:rsid w:val="00965A21"/>
    <w:rsid w:val="00965E55"/>
    <w:rsid w:val="0096608E"/>
    <w:rsid w:val="0096647F"/>
    <w:rsid w:val="00966522"/>
    <w:rsid w:val="00966C33"/>
    <w:rsid w:val="00970F18"/>
    <w:rsid w:val="00971CF1"/>
    <w:rsid w:val="00971F5D"/>
    <w:rsid w:val="009721E9"/>
    <w:rsid w:val="0097244B"/>
    <w:rsid w:val="00973772"/>
    <w:rsid w:val="00974420"/>
    <w:rsid w:val="0097560A"/>
    <w:rsid w:val="009758C9"/>
    <w:rsid w:val="00975E1E"/>
    <w:rsid w:val="00975E70"/>
    <w:rsid w:val="009761DE"/>
    <w:rsid w:val="009766FA"/>
    <w:rsid w:val="00977CD6"/>
    <w:rsid w:val="0098048B"/>
    <w:rsid w:val="00980908"/>
    <w:rsid w:val="00980DF9"/>
    <w:rsid w:val="00981CD8"/>
    <w:rsid w:val="009823F7"/>
    <w:rsid w:val="0098243D"/>
    <w:rsid w:val="00982D26"/>
    <w:rsid w:val="009833F0"/>
    <w:rsid w:val="00983B6E"/>
    <w:rsid w:val="00983FE5"/>
    <w:rsid w:val="00984449"/>
    <w:rsid w:val="009849E9"/>
    <w:rsid w:val="00984AFF"/>
    <w:rsid w:val="009859E4"/>
    <w:rsid w:val="00985D7F"/>
    <w:rsid w:val="00987812"/>
    <w:rsid w:val="009901E8"/>
    <w:rsid w:val="00990225"/>
    <w:rsid w:val="00991307"/>
    <w:rsid w:val="00991FAA"/>
    <w:rsid w:val="00992858"/>
    <w:rsid w:val="00992A13"/>
    <w:rsid w:val="00992DE6"/>
    <w:rsid w:val="009930B4"/>
    <w:rsid w:val="009937C2"/>
    <w:rsid w:val="009942CD"/>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315"/>
    <w:rsid w:val="009A7514"/>
    <w:rsid w:val="009A7E7A"/>
    <w:rsid w:val="009B0925"/>
    <w:rsid w:val="009B1584"/>
    <w:rsid w:val="009B18F0"/>
    <w:rsid w:val="009B1F4C"/>
    <w:rsid w:val="009B2471"/>
    <w:rsid w:val="009B314F"/>
    <w:rsid w:val="009B3795"/>
    <w:rsid w:val="009B439C"/>
    <w:rsid w:val="009B49A1"/>
    <w:rsid w:val="009B4A6C"/>
    <w:rsid w:val="009B4DA8"/>
    <w:rsid w:val="009B519A"/>
    <w:rsid w:val="009B620C"/>
    <w:rsid w:val="009B6753"/>
    <w:rsid w:val="009B676C"/>
    <w:rsid w:val="009B6792"/>
    <w:rsid w:val="009B6A26"/>
    <w:rsid w:val="009C0488"/>
    <w:rsid w:val="009C079D"/>
    <w:rsid w:val="009C0D70"/>
    <w:rsid w:val="009C13D1"/>
    <w:rsid w:val="009C2913"/>
    <w:rsid w:val="009C2BD4"/>
    <w:rsid w:val="009C5AFE"/>
    <w:rsid w:val="009C6606"/>
    <w:rsid w:val="009C6CE5"/>
    <w:rsid w:val="009C6D50"/>
    <w:rsid w:val="009C7547"/>
    <w:rsid w:val="009D05EC"/>
    <w:rsid w:val="009D064A"/>
    <w:rsid w:val="009D18D4"/>
    <w:rsid w:val="009D1FCF"/>
    <w:rsid w:val="009D2F60"/>
    <w:rsid w:val="009D3A2E"/>
    <w:rsid w:val="009D5ADE"/>
    <w:rsid w:val="009D5BAC"/>
    <w:rsid w:val="009D5C56"/>
    <w:rsid w:val="009D6265"/>
    <w:rsid w:val="009D64BD"/>
    <w:rsid w:val="009D6CB1"/>
    <w:rsid w:val="009D79D5"/>
    <w:rsid w:val="009E0286"/>
    <w:rsid w:val="009E0994"/>
    <w:rsid w:val="009E153F"/>
    <w:rsid w:val="009E18C5"/>
    <w:rsid w:val="009E322A"/>
    <w:rsid w:val="009E393E"/>
    <w:rsid w:val="009E444E"/>
    <w:rsid w:val="009E4968"/>
    <w:rsid w:val="009E663C"/>
    <w:rsid w:val="009E684A"/>
    <w:rsid w:val="009E6BB1"/>
    <w:rsid w:val="009E6E14"/>
    <w:rsid w:val="009E794A"/>
    <w:rsid w:val="009E7C14"/>
    <w:rsid w:val="009F00E6"/>
    <w:rsid w:val="009F0494"/>
    <w:rsid w:val="009F07AF"/>
    <w:rsid w:val="009F0CD9"/>
    <w:rsid w:val="009F1A79"/>
    <w:rsid w:val="009F1F57"/>
    <w:rsid w:val="009F2DDD"/>
    <w:rsid w:val="009F3447"/>
    <w:rsid w:val="009F65F4"/>
    <w:rsid w:val="009F676B"/>
    <w:rsid w:val="009F6D2D"/>
    <w:rsid w:val="009F6D54"/>
    <w:rsid w:val="009F7D21"/>
    <w:rsid w:val="00A004DF"/>
    <w:rsid w:val="00A00FD5"/>
    <w:rsid w:val="00A012C0"/>
    <w:rsid w:val="00A019A8"/>
    <w:rsid w:val="00A019F0"/>
    <w:rsid w:val="00A01B03"/>
    <w:rsid w:val="00A01B89"/>
    <w:rsid w:val="00A02C66"/>
    <w:rsid w:val="00A02C84"/>
    <w:rsid w:val="00A0464C"/>
    <w:rsid w:val="00A048BD"/>
    <w:rsid w:val="00A050BB"/>
    <w:rsid w:val="00A0521B"/>
    <w:rsid w:val="00A054E0"/>
    <w:rsid w:val="00A05D91"/>
    <w:rsid w:val="00A0740B"/>
    <w:rsid w:val="00A07ED3"/>
    <w:rsid w:val="00A10CA8"/>
    <w:rsid w:val="00A11042"/>
    <w:rsid w:val="00A12579"/>
    <w:rsid w:val="00A12CDC"/>
    <w:rsid w:val="00A133D8"/>
    <w:rsid w:val="00A14697"/>
    <w:rsid w:val="00A14EED"/>
    <w:rsid w:val="00A15655"/>
    <w:rsid w:val="00A15F37"/>
    <w:rsid w:val="00A160B0"/>
    <w:rsid w:val="00A1740C"/>
    <w:rsid w:val="00A17904"/>
    <w:rsid w:val="00A20069"/>
    <w:rsid w:val="00A2244D"/>
    <w:rsid w:val="00A2253D"/>
    <w:rsid w:val="00A2267F"/>
    <w:rsid w:val="00A22CDB"/>
    <w:rsid w:val="00A231A2"/>
    <w:rsid w:val="00A23DBA"/>
    <w:rsid w:val="00A243DA"/>
    <w:rsid w:val="00A24597"/>
    <w:rsid w:val="00A247B8"/>
    <w:rsid w:val="00A2495A"/>
    <w:rsid w:val="00A24C7A"/>
    <w:rsid w:val="00A24D8F"/>
    <w:rsid w:val="00A25B8B"/>
    <w:rsid w:val="00A2689F"/>
    <w:rsid w:val="00A26ECA"/>
    <w:rsid w:val="00A27461"/>
    <w:rsid w:val="00A27780"/>
    <w:rsid w:val="00A27D67"/>
    <w:rsid w:val="00A30ABC"/>
    <w:rsid w:val="00A3247E"/>
    <w:rsid w:val="00A33B74"/>
    <w:rsid w:val="00A33E11"/>
    <w:rsid w:val="00A3467F"/>
    <w:rsid w:val="00A34B4C"/>
    <w:rsid w:val="00A35030"/>
    <w:rsid w:val="00A3551A"/>
    <w:rsid w:val="00A366A0"/>
    <w:rsid w:val="00A37209"/>
    <w:rsid w:val="00A37584"/>
    <w:rsid w:val="00A376E8"/>
    <w:rsid w:val="00A37F8E"/>
    <w:rsid w:val="00A41537"/>
    <w:rsid w:val="00A41737"/>
    <w:rsid w:val="00A429CA"/>
    <w:rsid w:val="00A42B8F"/>
    <w:rsid w:val="00A42D8E"/>
    <w:rsid w:val="00A43254"/>
    <w:rsid w:val="00A43257"/>
    <w:rsid w:val="00A43896"/>
    <w:rsid w:val="00A43951"/>
    <w:rsid w:val="00A43A26"/>
    <w:rsid w:val="00A440F5"/>
    <w:rsid w:val="00A443E9"/>
    <w:rsid w:val="00A447A0"/>
    <w:rsid w:val="00A459F5"/>
    <w:rsid w:val="00A45FC0"/>
    <w:rsid w:val="00A46B74"/>
    <w:rsid w:val="00A47BF7"/>
    <w:rsid w:val="00A47ECC"/>
    <w:rsid w:val="00A50171"/>
    <w:rsid w:val="00A504FA"/>
    <w:rsid w:val="00A5102E"/>
    <w:rsid w:val="00A511DA"/>
    <w:rsid w:val="00A5132E"/>
    <w:rsid w:val="00A51375"/>
    <w:rsid w:val="00A51533"/>
    <w:rsid w:val="00A51DF8"/>
    <w:rsid w:val="00A531D4"/>
    <w:rsid w:val="00A53C2D"/>
    <w:rsid w:val="00A54572"/>
    <w:rsid w:val="00A57536"/>
    <w:rsid w:val="00A575B8"/>
    <w:rsid w:val="00A6066D"/>
    <w:rsid w:val="00A60AB5"/>
    <w:rsid w:val="00A619BB"/>
    <w:rsid w:val="00A61C60"/>
    <w:rsid w:val="00A61ECB"/>
    <w:rsid w:val="00A6410C"/>
    <w:rsid w:val="00A647B1"/>
    <w:rsid w:val="00A64D4B"/>
    <w:rsid w:val="00A64DEF"/>
    <w:rsid w:val="00A654D2"/>
    <w:rsid w:val="00A665DF"/>
    <w:rsid w:val="00A67BAB"/>
    <w:rsid w:val="00A67FCC"/>
    <w:rsid w:val="00A708E7"/>
    <w:rsid w:val="00A70AA5"/>
    <w:rsid w:val="00A70C03"/>
    <w:rsid w:val="00A71256"/>
    <w:rsid w:val="00A71C34"/>
    <w:rsid w:val="00A7217B"/>
    <w:rsid w:val="00A722D7"/>
    <w:rsid w:val="00A723A3"/>
    <w:rsid w:val="00A727AA"/>
    <w:rsid w:val="00A73861"/>
    <w:rsid w:val="00A739A6"/>
    <w:rsid w:val="00A740ED"/>
    <w:rsid w:val="00A74C29"/>
    <w:rsid w:val="00A74C62"/>
    <w:rsid w:val="00A75A91"/>
    <w:rsid w:val="00A75EF9"/>
    <w:rsid w:val="00A7622E"/>
    <w:rsid w:val="00A7657C"/>
    <w:rsid w:val="00A8311C"/>
    <w:rsid w:val="00A835D0"/>
    <w:rsid w:val="00A836B2"/>
    <w:rsid w:val="00A84C5F"/>
    <w:rsid w:val="00A85930"/>
    <w:rsid w:val="00A85EA8"/>
    <w:rsid w:val="00A863F7"/>
    <w:rsid w:val="00A86604"/>
    <w:rsid w:val="00A871E9"/>
    <w:rsid w:val="00A87519"/>
    <w:rsid w:val="00A875D2"/>
    <w:rsid w:val="00A9175F"/>
    <w:rsid w:val="00A9246D"/>
    <w:rsid w:val="00A92CCA"/>
    <w:rsid w:val="00A93BD0"/>
    <w:rsid w:val="00A93CC2"/>
    <w:rsid w:val="00A94D4B"/>
    <w:rsid w:val="00A962F0"/>
    <w:rsid w:val="00A96EB3"/>
    <w:rsid w:val="00A974CC"/>
    <w:rsid w:val="00AA2001"/>
    <w:rsid w:val="00AA2B5C"/>
    <w:rsid w:val="00AA32D2"/>
    <w:rsid w:val="00AA3B8B"/>
    <w:rsid w:val="00AA4016"/>
    <w:rsid w:val="00AA435F"/>
    <w:rsid w:val="00AA4C1F"/>
    <w:rsid w:val="00AA4E83"/>
    <w:rsid w:val="00AA5328"/>
    <w:rsid w:val="00AA5393"/>
    <w:rsid w:val="00AA63D4"/>
    <w:rsid w:val="00AB03FD"/>
    <w:rsid w:val="00AB1361"/>
    <w:rsid w:val="00AB2000"/>
    <w:rsid w:val="00AB2F6D"/>
    <w:rsid w:val="00AB38CB"/>
    <w:rsid w:val="00AB3BEC"/>
    <w:rsid w:val="00AB44E4"/>
    <w:rsid w:val="00AB4AEB"/>
    <w:rsid w:val="00AB4E5F"/>
    <w:rsid w:val="00AB5352"/>
    <w:rsid w:val="00AB56AE"/>
    <w:rsid w:val="00AB62D5"/>
    <w:rsid w:val="00AB65B5"/>
    <w:rsid w:val="00AB6DCD"/>
    <w:rsid w:val="00AB6EE0"/>
    <w:rsid w:val="00AC09AA"/>
    <w:rsid w:val="00AC17A2"/>
    <w:rsid w:val="00AC2441"/>
    <w:rsid w:val="00AC350A"/>
    <w:rsid w:val="00AC3CBC"/>
    <w:rsid w:val="00AC40B7"/>
    <w:rsid w:val="00AC531F"/>
    <w:rsid w:val="00AC5B36"/>
    <w:rsid w:val="00AC5B3C"/>
    <w:rsid w:val="00AC6187"/>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0CAC"/>
    <w:rsid w:val="00AE123A"/>
    <w:rsid w:val="00AE1539"/>
    <w:rsid w:val="00AE28A7"/>
    <w:rsid w:val="00AE2A98"/>
    <w:rsid w:val="00AE2CF2"/>
    <w:rsid w:val="00AE2DA2"/>
    <w:rsid w:val="00AE3012"/>
    <w:rsid w:val="00AE3297"/>
    <w:rsid w:val="00AE33A6"/>
    <w:rsid w:val="00AE3513"/>
    <w:rsid w:val="00AE3729"/>
    <w:rsid w:val="00AE3AC6"/>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7E8D"/>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5D21"/>
    <w:rsid w:val="00B16715"/>
    <w:rsid w:val="00B17030"/>
    <w:rsid w:val="00B1768E"/>
    <w:rsid w:val="00B17910"/>
    <w:rsid w:val="00B20F18"/>
    <w:rsid w:val="00B21516"/>
    <w:rsid w:val="00B21978"/>
    <w:rsid w:val="00B21A37"/>
    <w:rsid w:val="00B21D23"/>
    <w:rsid w:val="00B21F62"/>
    <w:rsid w:val="00B22A81"/>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640"/>
    <w:rsid w:val="00B35A15"/>
    <w:rsid w:val="00B35B45"/>
    <w:rsid w:val="00B36165"/>
    <w:rsid w:val="00B36A99"/>
    <w:rsid w:val="00B36F2A"/>
    <w:rsid w:val="00B42264"/>
    <w:rsid w:val="00B434B2"/>
    <w:rsid w:val="00B43A3F"/>
    <w:rsid w:val="00B43D45"/>
    <w:rsid w:val="00B459AF"/>
    <w:rsid w:val="00B468F2"/>
    <w:rsid w:val="00B469DE"/>
    <w:rsid w:val="00B47286"/>
    <w:rsid w:val="00B47776"/>
    <w:rsid w:val="00B47EB4"/>
    <w:rsid w:val="00B50234"/>
    <w:rsid w:val="00B51858"/>
    <w:rsid w:val="00B51BF4"/>
    <w:rsid w:val="00B52C68"/>
    <w:rsid w:val="00B531EB"/>
    <w:rsid w:val="00B5372B"/>
    <w:rsid w:val="00B542FE"/>
    <w:rsid w:val="00B555AB"/>
    <w:rsid w:val="00B55A1B"/>
    <w:rsid w:val="00B55A86"/>
    <w:rsid w:val="00B561DB"/>
    <w:rsid w:val="00B56DF9"/>
    <w:rsid w:val="00B56E80"/>
    <w:rsid w:val="00B571F1"/>
    <w:rsid w:val="00B578E0"/>
    <w:rsid w:val="00B600BD"/>
    <w:rsid w:val="00B60482"/>
    <w:rsid w:val="00B60E4E"/>
    <w:rsid w:val="00B61274"/>
    <w:rsid w:val="00B61DCE"/>
    <w:rsid w:val="00B62188"/>
    <w:rsid w:val="00B6274C"/>
    <w:rsid w:val="00B62F79"/>
    <w:rsid w:val="00B62F82"/>
    <w:rsid w:val="00B6306A"/>
    <w:rsid w:val="00B635E3"/>
    <w:rsid w:val="00B647F1"/>
    <w:rsid w:val="00B65CD6"/>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34"/>
    <w:rsid w:val="00B82B78"/>
    <w:rsid w:val="00B845B4"/>
    <w:rsid w:val="00B84662"/>
    <w:rsid w:val="00B84C74"/>
    <w:rsid w:val="00B84CE9"/>
    <w:rsid w:val="00B85191"/>
    <w:rsid w:val="00B851A7"/>
    <w:rsid w:val="00B858A1"/>
    <w:rsid w:val="00B85A4F"/>
    <w:rsid w:val="00B85FEC"/>
    <w:rsid w:val="00B864A3"/>
    <w:rsid w:val="00B86C2A"/>
    <w:rsid w:val="00B86DE7"/>
    <w:rsid w:val="00B87BF7"/>
    <w:rsid w:val="00B87C2E"/>
    <w:rsid w:val="00B902A5"/>
    <w:rsid w:val="00B90420"/>
    <w:rsid w:val="00B90681"/>
    <w:rsid w:val="00B90848"/>
    <w:rsid w:val="00B91146"/>
    <w:rsid w:val="00B913E4"/>
    <w:rsid w:val="00B91777"/>
    <w:rsid w:val="00B91DB9"/>
    <w:rsid w:val="00B91FF3"/>
    <w:rsid w:val="00B925F8"/>
    <w:rsid w:val="00B92A01"/>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1524"/>
    <w:rsid w:val="00BA1728"/>
    <w:rsid w:val="00BA305B"/>
    <w:rsid w:val="00BA31BF"/>
    <w:rsid w:val="00BA32CD"/>
    <w:rsid w:val="00BA3C0F"/>
    <w:rsid w:val="00BA3FC7"/>
    <w:rsid w:val="00BA478B"/>
    <w:rsid w:val="00BA5224"/>
    <w:rsid w:val="00BA575E"/>
    <w:rsid w:val="00BA5A8A"/>
    <w:rsid w:val="00BA63A9"/>
    <w:rsid w:val="00BA6D43"/>
    <w:rsid w:val="00BA76B7"/>
    <w:rsid w:val="00BA7E3B"/>
    <w:rsid w:val="00BB0309"/>
    <w:rsid w:val="00BB078D"/>
    <w:rsid w:val="00BB079C"/>
    <w:rsid w:val="00BB0D7A"/>
    <w:rsid w:val="00BB10E1"/>
    <w:rsid w:val="00BB122E"/>
    <w:rsid w:val="00BB2471"/>
    <w:rsid w:val="00BB3035"/>
    <w:rsid w:val="00BB39C1"/>
    <w:rsid w:val="00BB3CBC"/>
    <w:rsid w:val="00BB3DF5"/>
    <w:rsid w:val="00BB3EA7"/>
    <w:rsid w:val="00BB5D16"/>
    <w:rsid w:val="00BB6180"/>
    <w:rsid w:val="00BB69E6"/>
    <w:rsid w:val="00BB7323"/>
    <w:rsid w:val="00BB7BE5"/>
    <w:rsid w:val="00BC0028"/>
    <w:rsid w:val="00BC08BD"/>
    <w:rsid w:val="00BC0DCA"/>
    <w:rsid w:val="00BC11E8"/>
    <w:rsid w:val="00BC1B7A"/>
    <w:rsid w:val="00BC2C17"/>
    <w:rsid w:val="00BC3ACD"/>
    <w:rsid w:val="00BC3B20"/>
    <w:rsid w:val="00BC3EE4"/>
    <w:rsid w:val="00BC588C"/>
    <w:rsid w:val="00BC6E73"/>
    <w:rsid w:val="00BC74D3"/>
    <w:rsid w:val="00BD0014"/>
    <w:rsid w:val="00BD01D8"/>
    <w:rsid w:val="00BD0350"/>
    <w:rsid w:val="00BD08E3"/>
    <w:rsid w:val="00BD137D"/>
    <w:rsid w:val="00BD1CAF"/>
    <w:rsid w:val="00BD255F"/>
    <w:rsid w:val="00BD2895"/>
    <w:rsid w:val="00BD3F77"/>
    <w:rsid w:val="00BD4236"/>
    <w:rsid w:val="00BD43CC"/>
    <w:rsid w:val="00BD483B"/>
    <w:rsid w:val="00BD51F9"/>
    <w:rsid w:val="00BD5CD4"/>
    <w:rsid w:val="00BD65D9"/>
    <w:rsid w:val="00BD65F3"/>
    <w:rsid w:val="00BD6DF3"/>
    <w:rsid w:val="00BD6E09"/>
    <w:rsid w:val="00BD6EF9"/>
    <w:rsid w:val="00BE0120"/>
    <w:rsid w:val="00BE0ACB"/>
    <w:rsid w:val="00BE2260"/>
    <w:rsid w:val="00BE323F"/>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0887"/>
    <w:rsid w:val="00C01427"/>
    <w:rsid w:val="00C014C7"/>
    <w:rsid w:val="00C031CF"/>
    <w:rsid w:val="00C047AB"/>
    <w:rsid w:val="00C058AF"/>
    <w:rsid w:val="00C075B6"/>
    <w:rsid w:val="00C11BAE"/>
    <w:rsid w:val="00C124C1"/>
    <w:rsid w:val="00C128AE"/>
    <w:rsid w:val="00C12BA8"/>
    <w:rsid w:val="00C13094"/>
    <w:rsid w:val="00C136D6"/>
    <w:rsid w:val="00C13D5B"/>
    <w:rsid w:val="00C141D7"/>
    <w:rsid w:val="00C16435"/>
    <w:rsid w:val="00C1711B"/>
    <w:rsid w:val="00C17AE2"/>
    <w:rsid w:val="00C20140"/>
    <w:rsid w:val="00C206FD"/>
    <w:rsid w:val="00C20F27"/>
    <w:rsid w:val="00C215CF"/>
    <w:rsid w:val="00C21EBD"/>
    <w:rsid w:val="00C2244B"/>
    <w:rsid w:val="00C22711"/>
    <w:rsid w:val="00C2280A"/>
    <w:rsid w:val="00C22B0D"/>
    <w:rsid w:val="00C22BFF"/>
    <w:rsid w:val="00C23522"/>
    <w:rsid w:val="00C240C1"/>
    <w:rsid w:val="00C244A1"/>
    <w:rsid w:val="00C24AED"/>
    <w:rsid w:val="00C250D0"/>
    <w:rsid w:val="00C252AC"/>
    <w:rsid w:val="00C252B6"/>
    <w:rsid w:val="00C25C0F"/>
    <w:rsid w:val="00C26047"/>
    <w:rsid w:val="00C26567"/>
    <w:rsid w:val="00C26695"/>
    <w:rsid w:val="00C26923"/>
    <w:rsid w:val="00C27214"/>
    <w:rsid w:val="00C27597"/>
    <w:rsid w:val="00C27E5E"/>
    <w:rsid w:val="00C30382"/>
    <w:rsid w:val="00C30772"/>
    <w:rsid w:val="00C30D6F"/>
    <w:rsid w:val="00C31063"/>
    <w:rsid w:val="00C31B7E"/>
    <w:rsid w:val="00C3215A"/>
    <w:rsid w:val="00C322D1"/>
    <w:rsid w:val="00C3242A"/>
    <w:rsid w:val="00C33201"/>
    <w:rsid w:val="00C33A39"/>
    <w:rsid w:val="00C34619"/>
    <w:rsid w:val="00C348D9"/>
    <w:rsid w:val="00C352C9"/>
    <w:rsid w:val="00C35D01"/>
    <w:rsid w:val="00C360B3"/>
    <w:rsid w:val="00C37027"/>
    <w:rsid w:val="00C373BF"/>
    <w:rsid w:val="00C37B19"/>
    <w:rsid w:val="00C41349"/>
    <w:rsid w:val="00C413CB"/>
    <w:rsid w:val="00C41D76"/>
    <w:rsid w:val="00C42752"/>
    <w:rsid w:val="00C42973"/>
    <w:rsid w:val="00C46B95"/>
    <w:rsid w:val="00C4712A"/>
    <w:rsid w:val="00C5031E"/>
    <w:rsid w:val="00C5034F"/>
    <w:rsid w:val="00C50830"/>
    <w:rsid w:val="00C52479"/>
    <w:rsid w:val="00C5266E"/>
    <w:rsid w:val="00C52C59"/>
    <w:rsid w:val="00C5349E"/>
    <w:rsid w:val="00C539FF"/>
    <w:rsid w:val="00C544BD"/>
    <w:rsid w:val="00C54D3D"/>
    <w:rsid w:val="00C55A30"/>
    <w:rsid w:val="00C56384"/>
    <w:rsid w:val="00C5695F"/>
    <w:rsid w:val="00C56AC0"/>
    <w:rsid w:val="00C60F8C"/>
    <w:rsid w:val="00C61424"/>
    <w:rsid w:val="00C61794"/>
    <w:rsid w:val="00C62A48"/>
    <w:rsid w:val="00C62AC4"/>
    <w:rsid w:val="00C62B59"/>
    <w:rsid w:val="00C62F96"/>
    <w:rsid w:val="00C631E1"/>
    <w:rsid w:val="00C638D8"/>
    <w:rsid w:val="00C63A43"/>
    <w:rsid w:val="00C63AE7"/>
    <w:rsid w:val="00C63D26"/>
    <w:rsid w:val="00C645B0"/>
    <w:rsid w:val="00C6540A"/>
    <w:rsid w:val="00C668A1"/>
    <w:rsid w:val="00C67223"/>
    <w:rsid w:val="00C707B8"/>
    <w:rsid w:val="00C7129C"/>
    <w:rsid w:val="00C712AC"/>
    <w:rsid w:val="00C71A8A"/>
    <w:rsid w:val="00C71C15"/>
    <w:rsid w:val="00C71F3D"/>
    <w:rsid w:val="00C72F53"/>
    <w:rsid w:val="00C74035"/>
    <w:rsid w:val="00C748EA"/>
    <w:rsid w:val="00C771BD"/>
    <w:rsid w:val="00C77818"/>
    <w:rsid w:val="00C77A17"/>
    <w:rsid w:val="00C8063F"/>
    <w:rsid w:val="00C81282"/>
    <w:rsid w:val="00C827B4"/>
    <w:rsid w:val="00C83214"/>
    <w:rsid w:val="00C8329F"/>
    <w:rsid w:val="00C84207"/>
    <w:rsid w:val="00C84606"/>
    <w:rsid w:val="00C84F8A"/>
    <w:rsid w:val="00C85BA4"/>
    <w:rsid w:val="00C8618F"/>
    <w:rsid w:val="00C8625D"/>
    <w:rsid w:val="00C8793C"/>
    <w:rsid w:val="00C90372"/>
    <w:rsid w:val="00C9041F"/>
    <w:rsid w:val="00C9045E"/>
    <w:rsid w:val="00C9166B"/>
    <w:rsid w:val="00C91945"/>
    <w:rsid w:val="00C91A45"/>
    <w:rsid w:val="00C91CB2"/>
    <w:rsid w:val="00C91FB4"/>
    <w:rsid w:val="00C92150"/>
    <w:rsid w:val="00C92328"/>
    <w:rsid w:val="00C926E1"/>
    <w:rsid w:val="00C92D42"/>
    <w:rsid w:val="00C938C2"/>
    <w:rsid w:val="00C93F8A"/>
    <w:rsid w:val="00C94EA1"/>
    <w:rsid w:val="00C95613"/>
    <w:rsid w:val="00C95734"/>
    <w:rsid w:val="00C95745"/>
    <w:rsid w:val="00C95902"/>
    <w:rsid w:val="00C962A4"/>
    <w:rsid w:val="00C962E3"/>
    <w:rsid w:val="00C967CC"/>
    <w:rsid w:val="00C978E2"/>
    <w:rsid w:val="00C97997"/>
    <w:rsid w:val="00CA0498"/>
    <w:rsid w:val="00CA10A2"/>
    <w:rsid w:val="00CA1D83"/>
    <w:rsid w:val="00CA25C0"/>
    <w:rsid w:val="00CA3451"/>
    <w:rsid w:val="00CA35C6"/>
    <w:rsid w:val="00CA4896"/>
    <w:rsid w:val="00CA4948"/>
    <w:rsid w:val="00CA52F9"/>
    <w:rsid w:val="00CA5368"/>
    <w:rsid w:val="00CA568B"/>
    <w:rsid w:val="00CA573A"/>
    <w:rsid w:val="00CA5B49"/>
    <w:rsid w:val="00CA5C58"/>
    <w:rsid w:val="00CA6E4F"/>
    <w:rsid w:val="00CA76FF"/>
    <w:rsid w:val="00CB0A57"/>
    <w:rsid w:val="00CB19D7"/>
    <w:rsid w:val="00CB19FE"/>
    <w:rsid w:val="00CB1C3F"/>
    <w:rsid w:val="00CB2364"/>
    <w:rsid w:val="00CB2906"/>
    <w:rsid w:val="00CB2CDF"/>
    <w:rsid w:val="00CB304C"/>
    <w:rsid w:val="00CB35D7"/>
    <w:rsid w:val="00CB3933"/>
    <w:rsid w:val="00CB5010"/>
    <w:rsid w:val="00CB53E8"/>
    <w:rsid w:val="00CB594A"/>
    <w:rsid w:val="00CB5CB2"/>
    <w:rsid w:val="00CB6979"/>
    <w:rsid w:val="00CB79BD"/>
    <w:rsid w:val="00CB7DDE"/>
    <w:rsid w:val="00CC0A3D"/>
    <w:rsid w:val="00CC1A69"/>
    <w:rsid w:val="00CC1D9C"/>
    <w:rsid w:val="00CC2FF0"/>
    <w:rsid w:val="00CC3C53"/>
    <w:rsid w:val="00CC3D04"/>
    <w:rsid w:val="00CC3D24"/>
    <w:rsid w:val="00CC3F91"/>
    <w:rsid w:val="00CC47EE"/>
    <w:rsid w:val="00CC4ACD"/>
    <w:rsid w:val="00CC4B0A"/>
    <w:rsid w:val="00CC544A"/>
    <w:rsid w:val="00CC5758"/>
    <w:rsid w:val="00CC57EA"/>
    <w:rsid w:val="00CC5954"/>
    <w:rsid w:val="00CC629B"/>
    <w:rsid w:val="00CC6C4E"/>
    <w:rsid w:val="00CC71B0"/>
    <w:rsid w:val="00CD009D"/>
    <w:rsid w:val="00CD04F4"/>
    <w:rsid w:val="00CD05A2"/>
    <w:rsid w:val="00CD14CD"/>
    <w:rsid w:val="00CD29D4"/>
    <w:rsid w:val="00CD29E6"/>
    <w:rsid w:val="00CD2B5C"/>
    <w:rsid w:val="00CD2FF3"/>
    <w:rsid w:val="00CD3323"/>
    <w:rsid w:val="00CD38F5"/>
    <w:rsid w:val="00CD3BF2"/>
    <w:rsid w:val="00CD437E"/>
    <w:rsid w:val="00CD5A64"/>
    <w:rsid w:val="00CD5DAD"/>
    <w:rsid w:val="00CD72C5"/>
    <w:rsid w:val="00CD77CE"/>
    <w:rsid w:val="00CD79A7"/>
    <w:rsid w:val="00CD7FAD"/>
    <w:rsid w:val="00CE0789"/>
    <w:rsid w:val="00CE0E8D"/>
    <w:rsid w:val="00CE1A03"/>
    <w:rsid w:val="00CE2346"/>
    <w:rsid w:val="00CE25B2"/>
    <w:rsid w:val="00CE29F7"/>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5F9"/>
    <w:rsid w:val="00CF3DEB"/>
    <w:rsid w:val="00CF55F9"/>
    <w:rsid w:val="00CF638F"/>
    <w:rsid w:val="00CF63D0"/>
    <w:rsid w:val="00CF67D5"/>
    <w:rsid w:val="00CF6D79"/>
    <w:rsid w:val="00CF7074"/>
    <w:rsid w:val="00CF7495"/>
    <w:rsid w:val="00CF7998"/>
    <w:rsid w:val="00D018A3"/>
    <w:rsid w:val="00D01BD8"/>
    <w:rsid w:val="00D01CF9"/>
    <w:rsid w:val="00D02B64"/>
    <w:rsid w:val="00D02D1A"/>
    <w:rsid w:val="00D0334D"/>
    <w:rsid w:val="00D0374D"/>
    <w:rsid w:val="00D06D7B"/>
    <w:rsid w:val="00D06DA5"/>
    <w:rsid w:val="00D07191"/>
    <w:rsid w:val="00D07F1D"/>
    <w:rsid w:val="00D10558"/>
    <w:rsid w:val="00D11D4D"/>
    <w:rsid w:val="00D11DB1"/>
    <w:rsid w:val="00D126DC"/>
    <w:rsid w:val="00D12B03"/>
    <w:rsid w:val="00D1346F"/>
    <w:rsid w:val="00D13E70"/>
    <w:rsid w:val="00D13EE7"/>
    <w:rsid w:val="00D15FCD"/>
    <w:rsid w:val="00D16C58"/>
    <w:rsid w:val="00D17019"/>
    <w:rsid w:val="00D17FC8"/>
    <w:rsid w:val="00D2015B"/>
    <w:rsid w:val="00D204D1"/>
    <w:rsid w:val="00D20B44"/>
    <w:rsid w:val="00D21168"/>
    <w:rsid w:val="00D2438C"/>
    <w:rsid w:val="00D2585A"/>
    <w:rsid w:val="00D259B0"/>
    <w:rsid w:val="00D259C2"/>
    <w:rsid w:val="00D26205"/>
    <w:rsid w:val="00D26C3F"/>
    <w:rsid w:val="00D27185"/>
    <w:rsid w:val="00D3028A"/>
    <w:rsid w:val="00D3137E"/>
    <w:rsid w:val="00D33488"/>
    <w:rsid w:val="00D335F2"/>
    <w:rsid w:val="00D33AB3"/>
    <w:rsid w:val="00D33F24"/>
    <w:rsid w:val="00D34160"/>
    <w:rsid w:val="00D346B8"/>
    <w:rsid w:val="00D34DCA"/>
    <w:rsid w:val="00D35AC8"/>
    <w:rsid w:val="00D35E56"/>
    <w:rsid w:val="00D36F87"/>
    <w:rsid w:val="00D37E4E"/>
    <w:rsid w:val="00D4106D"/>
    <w:rsid w:val="00D417D8"/>
    <w:rsid w:val="00D41F78"/>
    <w:rsid w:val="00D42138"/>
    <w:rsid w:val="00D42E6C"/>
    <w:rsid w:val="00D4351C"/>
    <w:rsid w:val="00D43B80"/>
    <w:rsid w:val="00D44988"/>
    <w:rsid w:val="00D45B4C"/>
    <w:rsid w:val="00D45BA4"/>
    <w:rsid w:val="00D46DB0"/>
    <w:rsid w:val="00D471AF"/>
    <w:rsid w:val="00D471E2"/>
    <w:rsid w:val="00D4724F"/>
    <w:rsid w:val="00D50519"/>
    <w:rsid w:val="00D50779"/>
    <w:rsid w:val="00D51601"/>
    <w:rsid w:val="00D51ECB"/>
    <w:rsid w:val="00D5264C"/>
    <w:rsid w:val="00D52BBC"/>
    <w:rsid w:val="00D537FE"/>
    <w:rsid w:val="00D53B50"/>
    <w:rsid w:val="00D53CC9"/>
    <w:rsid w:val="00D54A6A"/>
    <w:rsid w:val="00D54B8F"/>
    <w:rsid w:val="00D55848"/>
    <w:rsid w:val="00D55951"/>
    <w:rsid w:val="00D559F0"/>
    <w:rsid w:val="00D5650F"/>
    <w:rsid w:val="00D5731C"/>
    <w:rsid w:val="00D57EB6"/>
    <w:rsid w:val="00D608C0"/>
    <w:rsid w:val="00D60D6D"/>
    <w:rsid w:val="00D6128C"/>
    <w:rsid w:val="00D63B22"/>
    <w:rsid w:val="00D66D8B"/>
    <w:rsid w:val="00D67256"/>
    <w:rsid w:val="00D67AE6"/>
    <w:rsid w:val="00D70849"/>
    <w:rsid w:val="00D72297"/>
    <w:rsid w:val="00D72A1C"/>
    <w:rsid w:val="00D7308F"/>
    <w:rsid w:val="00D7313E"/>
    <w:rsid w:val="00D73580"/>
    <w:rsid w:val="00D73802"/>
    <w:rsid w:val="00D73C2C"/>
    <w:rsid w:val="00D73D52"/>
    <w:rsid w:val="00D745E7"/>
    <w:rsid w:val="00D750AE"/>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839"/>
    <w:rsid w:val="00D9099E"/>
    <w:rsid w:val="00D9193A"/>
    <w:rsid w:val="00D923B2"/>
    <w:rsid w:val="00D92463"/>
    <w:rsid w:val="00D93E64"/>
    <w:rsid w:val="00D93F64"/>
    <w:rsid w:val="00D94CA4"/>
    <w:rsid w:val="00D955ED"/>
    <w:rsid w:val="00D95E99"/>
    <w:rsid w:val="00D965D5"/>
    <w:rsid w:val="00D971E8"/>
    <w:rsid w:val="00D97DA2"/>
    <w:rsid w:val="00DA0485"/>
    <w:rsid w:val="00DA0A1E"/>
    <w:rsid w:val="00DA1A3A"/>
    <w:rsid w:val="00DA2351"/>
    <w:rsid w:val="00DA249E"/>
    <w:rsid w:val="00DA2D3D"/>
    <w:rsid w:val="00DA3855"/>
    <w:rsid w:val="00DA39BA"/>
    <w:rsid w:val="00DA3B44"/>
    <w:rsid w:val="00DA4C30"/>
    <w:rsid w:val="00DA6A44"/>
    <w:rsid w:val="00DA7A3C"/>
    <w:rsid w:val="00DB09D4"/>
    <w:rsid w:val="00DB145E"/>
    <w:rsid w:val="00DB1A94"/>
    <w:rsid w:val="00DB1D52"/>
    <w:rsid w:val="00DB1E2B"/>
    <w:rsid w:val="00DB1F62"/>
    <w:rsid w:val="00DB21E7"/>
    <w:rsid w:val="00DB2E03"/>
    <w:rsid w:val="00DB3742"/>
    <w:rsid w:val="00DB3C08"/>
    <w:rsid w:val="00DB3E9B"/>
    <w:rsid w:val="00DB3F4B"/>
    <w:rsid w:val="00DB5375"/>
    <w:rsid w:val="00DB5942"/>
    <w:rsid w:val="00DB67C1"/>
    <w:rsid w:val="00DB6C0B"/>
    <w:rsid w:val="00DB70F4"/>
    <w:rsid w:val="00DB748A"/>
    <w:rsid w:val="00DC1056"/>
    <w:rsid w:val="00DC1442"/>
    <w:rsid w:val="00DC21D8"/>
    <w:rsid w:val="00DC282A"/>
    <w:rsid w:val="00DC2DE8"/>
    <w:rsid w:val="00DC34DC"/>
    <w:rsid w:val="00DC3780"/>
    <w:rsid w:val="00DC3ADA"/>
    <w:rsid w:val="00DC3CC6"/>
    <w:rsid w:val="00DC3E5C"/>
    <w:rsid w:val="00DC3F55"/>
    <w:rsid w:val="00DC43D4"/>
    <w:rsid w:val="00DC4782"/>
    <w:rsid w:val="00DC514A"/>
    <w:rsid w:val="00DC67B1"/>
    <w:rsid w:val="00DC7FBC"/>
    <w:rsid w:val="00DD0019"/>
    <w:rsid w:val="00DD132B"/>
    <w:rsid w:val="00DD1725"/>
    <w:rsid w:val="00DD2159"/>
    <w:rsid w:val="00DD218B"/>
    <w:rsid w:val="00DD2A18"/>
    <w:rsid w:val="00DD3044"/>
    <w:rsid w:val="00DD3985"/>
    <w:rsid w:val="00DD4AB3"/>
    <w:rsid w:val="00DD523C"/>
    <w:rsid w:val="00DD61E8"/>
    <w:rsid w:val="00DD62C0"/>
    <w:rsid w:val="00DD64DE"/>
    <w:rsid w:val="00DD66DE"/>
    <w:rsid w:val="00DD7859"/>
    <w:rsid w:val="00DD7B41"/>
    <w:rsid w:val="00DE0784"/>
    <w:rsid w:val="00DE0A1D"/>
    <w:rsid w:val="00DE15B2"/>
    <w:rsid w:val="00DE1A9A"/>
    <w:rsid w:val="00DE2DCF"/>
    <w:rsid w:val="00DE3D2C"/>
    <w:rsid w:val="00DE5E82"/>
    <w:rsid w:val="00DE5FA6"/>
    <w:rsid w:val="00DE6792"/>
    <w:rsid w:val="00DE6AA1"/>
    <w:rsid w:val="00DE7798"/>
    <w:rsid w:val="00DE7EF7"/>
    <w:rsid w:val="00DF015B"/>
    <w:rsid w:val="00DF02EC"/>
    <w:rsid w:val="00DF10FC"/>
    <w:rsid w:val="00DF1185"/>
    <w:rsid w:val="00DF1299"/>
    <w:rsid w:val="00DF174F"/>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0746D"/>
    <w:rsid w:val="00E108F7"/>
    <w:rsid w:val="00E10913"/>
    <w:rsid w:val="00E10B87"/>
    <w:rsid w:val="00E121CE"/>
    <w:rsid w:val="00E12209"/>
    <w:rsid w:val="00E12349"/>
    <w:rsid w:val="00E1267E"/>
    <w:rsid w:val="00E1478B"/>
    <w:rsid w:val="00E14FAC"/>
    <w:rsid w:val="00E15007"/>
    <w:rsid w:val="00E1515F"/>
    <w:rsid w:val="00E16277"/>
    <w:rsid w:val="00E16EC7"/>
    <w:rsid w:val="00E17DCC"/>
    <w:rsid w:val="00E219CE"/>
    <w:rsid w:val="00E21B44"/>
    <w:rsid w:val="00E21D93"/>
    <w:rsid w:val="00E22D2A"/>
    <w:rsid w:val="00E24071"/>
    <w:rsid w:val="00E24873"/>
    <w:rsid w:val="00E24DCA"/>
    <w:rsid w:val="00E24EBC"/>
    <w:rsid w:val="00E2522C"/>
    <w:rsid w:val="00E2552F"/>
    <w:rsid w:val="00E2599B"/>
    <w:rsid w:val="00E25A16"/>
    <w:rsid w:val="00E25B43"/>
    <w:rsid w:val="00E2710C"/>
    <w:rsid w:val="00E272BD"/>
    <w:rsid w:val="00E27428"/>
    <w:rsid w:val="00E275A3"/>
    <w:rsid w:val="00E305B4"/>
    <w:rsid w:val="00E31AFA"/>
    <w:rsid w:val="00E31CB7"/>
    <w:rsid w:val="00E324EE"/>
    <w:rsid w:val="00E34DB1"/>
    <w:rsid w:val="00E35931"/>
    <w:rsid w:val="00E359FF"/>
    <w:rsid w:val="00E3699A"/>
    <w:rsid w:val="00E402C5"/>
    <w:rsid w:val="00E402F4"/>
    <w:rsid w:val="00E405D2"/>
    <w:rsid w:val="00E405F1"/>
    <w:rsid w:val="00E40716"/>
    <w:rsid w:val="00E417DB"/>
    <w:rsid w:val="00E43054"/>
    <w:rsid w:val="00E43655"/>
    <w:rsid w:val="00E44440"/>
    <w:rsid w:val="00E46013"/>
    <w:rsid w:val="00E47099"/>
    <w:rsid w:val="00E47284"/>
    <w:rsid w:val="00E477C3"/>
    <w:rsid w:val="00E47F31"/>
    <w:rsid w:val="00E50DCF"/>
    <w:rsid w:val="00E51E16"/>
    <w:rsid w:val="00E52DED"/>
    <w:rsid w:val="00E53730"/>
    <w:rsid w:val="00E5438D"/>
    <w:rsid w:val="00E54511"/>
    <w:rsid w:val="00E54E50"/>
    <w:rsid w:val="00E55288"/>
    <w:rsid w:val="00E55AD3"/>
    <w:rsid w:val="00E55C52"/>
    <w:rsid w:val="00E57577"/>
    <w:rsid w:val="00E57B98"/>
    <w:rsid w:val="00E618BA"/>
    <w:rsid w:val="00E62043"/>
    <w:rsid w:val="00E626B9"/>
    <w:rsid w:val="00E627C9"/>
    <w:rsid w:val="00E630F3"/>
    <w:rsid w:val="00E6332F"/>
    <w:rsid w:val="00E637C9"/>
    <w:rsid w:val="00E6402D"/>
    <w:rsid w:val="00E6680A"/>
    <w:rsid w:val="00E66F0D"/>
    <w:rsid w:val="00E66FA0"/>
    <w:rsid w:val="00E66FEB"/>
    <w:rsid w:val="00E70615"/>
    <w:rsid w:val="00E7161E"/>
    <w:rsid w:val="00E7207B"/>
    <w:rsid w:val="00E72CB5"/>
    <w:rsid w:val="00E7347A"/>
    <w:rsid w:val="00E75A47"/>
    <w:rsid w:val="00E75BB6"/>
    <w:rsid w:val="00E75D8C"/>
    <w:rsid w:val="00E765B4"/>
    <w:rsid w:val="00E777F2"/>
    <w:rsid w:val="00E802C9"/>
    <w:rsid w:val="00E80BFB"/>
    <w:rsid w:val="00E80EC2"/>
    <w:rsid w:val="00E80F0A"/>
    <w:rsid w:val="00E815D4"/>
    <w:rsid w:val="00E8291B"/>
    <w:rsid w:val="00E82E70"/>
    <w:rsid w:val="00E82F92"/>
    <w:rsid w:val="00E8395F"/>
    <w:rsid w:val="00E8410F"/>
    <w:rsid w:val="00E8419D"/>
    <w:rsid w:val="00E849D7"/>
    <w:rsid w:val="00E85E41"/>
    <w:rsid w:val="00E85EA1"/>
    <w:rsid w:val="00E860C4"/>
    <w:rsid w:val="00E86703"/>
    <w:rsid w:val="00E867DE"/>
    <w:rsid w:val="00E872F1"/>
    <w:rsid w:val="00E900DA"/>
    <w:rsid w:val="00E91044"/>
    <w:rsid w:val="00E910D3"/>
    <w:rsid w:val="00E92097"/>
    <w:rsid w:val="00E92154"/>
    <w:rsid w:val="00E923CF"/>
    <w:rsid w:val="00E93685"/>
    <w:rsid w:val="00E93B65"/>
    <w:rsid w:val="00E93C8C"/>
    <w:rsid w:val="00E95111"/>
    <w:rsid w:val="00E95E4A"/>
    <w:rsid w:val="00E95FDF"/>
    <w:rsid w:val="00E972EC"/>
    <w:rsid w:val="00EA0B0D"/>
    <w:rsid w:val="00EA14C8"/>
    <w:rsid w:val="00EA19C6"/>
    <w:rsid w:val="00EA2110"/>
    <w:rsid w:val="00EA283A"/>
    <w:rsid w:val="00EA2C90"/>
    <w:rsid w:val="00EA2E07"/>
    <w:rsid w:val="00EA383B"/>
    <w:rsid w:val="00EA447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B775F"/>
    <w:rsid w:val="00EB7F8E"/>
    <w:rsid w:val="00EC054F"/>
    <w:rsid w:val="00EC1CEB"/>
    <w:rsid w:val="00EC1DC0"/>
    <w:rsid w:val="00EC1DC2"/>
    <w:rsid w:val="00EC1E09"/>
    <w:rsid w:val="00EC1E14"/>
    <w:rsid w:val="00EC210E"/>
    <w:rsid w:val="00EC21EC"/>
    <w:rsid w:val="00EC24B8"/>
    <w:rsid w:val="00EC268C"/>
    <w:rsid w:val="00EC3753"/>
    <w:rsid w:val="00EC4E71"/>
    <w:rsid w:val="00EC5841"/>
    <w:rsid w:val="00EC5F1C"/>
    <w:rsid w:val="00EC7721"/>
    <w:rsid w:val="00EC7C5D"/>
    <w:rsid w:val="00ED0365"/>
    <w:rsid w:val="00ED0865"/>
    <w:rsid w:val="00ED0AFA"/>
    <w:rsid w:val="00ED0C1C"/>
    <w:rsid w:val="00ED1C60"/>
    <w:rsid w:val="00ED2EB9"/>
    <w:rsid w:val="00ED36EC"/>
    <w:rsid w:val="00ED3722"/>
    <w:rsid w:val="00ED3A31"/>
    <w:rsid w:val="00ED4469"/>
    <w:rsid w:val="00ED5424"/>
    <w:rsid w:val="00ED5F23"/>
    <w:rsid w:val="00ED6DC0"/>
    <w:rsid w:val="00ED7729"/>
    <w:rsid w:val="00ED7A7A"/>
    <w:rsid w:val="00EE0327"/>
    <w:rsid w:val="00EE038C"/>
    <w:rsid w:val="00EE1220"/>
    <w:rsid w:val="00EE28C5"/>
    <w:rsid w:val="00EE2F09"/>
    <w:rsid w:val="00EE47C5"/>
    <w:rsid w:val="00EE490C"/>
    <w:rsid w:val="00EE4E57"/>
    <w:rsid w:val="00EE5738"/>
    <w:rsid w:val="00EE58BD"/>
    <w:rsid w:val="00EE5E59"/>
    <w:rsid w:val="00EE73D0"/>
    <w:rsid w:val="00EE772D"/>
    <w:rsid w:val="00EE7CB0"/>
    <w:rsid w:val="00EF08A8"/>
    <w:rsid w:val="00EF167B"/>
    <w:rsid w:val="00EF2496"/>
    <w:rsid w:val="00EF41A8"/>
    <w:rsid w:val="00EF44FB"/>
    <w:rsid w:val="00EF4609"/>
    <w:rsid w:val="00EF5122"/>
    <w:rsid w:val="00EF5554"/>
    <w:rsid w:val="00EF5AD8"/>
    <w:rsid w:val="00EF6B90"/>
    <w:rsid w:val="00EF6FD1"/>
    <w:rsid w:val="00EF7807"/>
    <w:rsid w:val="00EF79F7"/>
    <w:rsid w:val="00F0022A"/>
    <w:rsid w:val="00F006C0"/>
    <w:rsid w:val="00F00C48"/>
    <w:rsid w:val="00F0125F"/>
    <w:rsid w:val="00F019AA"/>
    <w:rsid w:val="00F025B7"/>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1974"/>
    <w:rsid w:val="00F22756"/>
    <w:rsid w:val="00F23248"/>
    <w:rsid w:val="00F23890"/>
    <w:rsid w:val="00F2504D"/>
    <w:rsid w:val="00F2637F"/>
    <w:rsid w:val="00F268F7"/>
    <w:rsid w:val="00F306EF"/>
    <w:rsid w:val="00F30B83"/>
    <w:rsid w:val="00F30BDB"/>
    <w:rsid w:val="00F30CF8"/>
    <w:rsid w:val="00F31EDF"/>
    <w:rsid w:val="00F3253B"/>
    <w:rsid w:val="00F32CDE"/>
    <w:rsid w:val="00F32D4C"/>
    <w:rsid w:val="00F3327E"/>
    <w:rsid w:val="00F338C3"/>
    <w:rsid w:val="00F34371"/>
    <w:rsid w:val="00F34B14"/>
    <w:rsid w:val="00F34F58"/>
    <w:rsid w:val="00F35DA7"/>
    <w:rsid w:val="00F36A6A"/>
    <w:rsid w:val="00F40101"/>
    <w:rsid w:val="00F40322"/>
    <w:rsid w:val="00F404F7"/>
    <w:rsid w:val="00F40CCA"/>
    <w:rsid w:val="00F42856"/>
    <w:rsid w:val="00F42D97"/>
    <w:rsid w:val="00F42FCF"/>
    <w:rsid w:val="00F436B2"/>
    <w:rsid w:val="00F43813"/>
    <w:rsid w:val="00F43FEE"/>
    <w:rsid w:val="00F4492F"/>
    <w:rsid w:val="00F4522D"/>
    <w:rsid w:val="00F45A72"/>
    <w:rsid w:val="00F45ACE"/>
    <w:rsid w:val="00F45F93"/>
    <w:rsid w:val="00F46723"/>
    <w:rsid w:val="00F4706D"/>
    <w:rsid w:val="00F476E1"/>
    <w:rsid w:val="00F47D1D"/>
    <w:rsid w:val="00F47F29"/>
    <w:rsid w:val="00F50016"/>
    <w:rsid w:val="00F50AD8"/>
    <w:rsid w:val="00F5118A"/>
    <w:rsid w:val="00F5171A"/>
    <w:rsid w:val="00F51A21"/>
    <w:rsid w:val="00F52614"/>
    <w:rsid w:val="00F5276E"/>
    <w:rsid w:val="00F52E9F"/>
    <w:rsid w:val="00F53304"/>
    <w:rsid w:val="00F53B81"/>
    <w:rsid w:val="00F53F39"/>
    <w:rsid w:val="00F540FE"/>
    <w:rsid w:val="00F5459A"/>
    <w:rsid w:val="00F556FF"/>
    <w:rsid w:val="00F55D12"/>
    <w:rsid w:val="00F5687F"/>
    <w:rsid w:val="00F56D3F"/>
    <w:rsid w:val="00F575C7"/>
    <w:rsid w:val="00F57FD0"/>
    <w:rsid w:val="00F60305"/>
    <w:rsid w:val="00F60502"/>
    <w:rsid w:val="00F616D6"/>
    <w:rsid w:val="00F61B12"/>
    <w:rsid w:val="00F61C70"/>
    <w:rsid w:val="00F63264"/>
    <w:rsid w:val="00F634E4"/>
    <w:rsid w:val="00F6379E"/>
    <w:rsid w:val="00F64047"/>
    <w:rsid w:val="00F65171"/>
    <w:rsid w:val="00F6560D"/>
    <w:rsid w:val="00F67844"/>
    <w:rsid w:val="00F67BB8"/>
    <w:rsid w:val="00F67C1D"/>
    <w:rsid w:val="00F70799"/>
    <w:rsid w:val="00F70A8B"/>
    <w:rsid w:val="00F70B8D"/>
    <w:rsid w:val="00F71936"/>
    <w:rsid w:val="00F724FB"/>
    <w:rsid w:val="00F726B8"/>
    <w:rsid w:val="00F72A26"/>
    <w:rsid w:val="00F7304A"/>
    <w:rsid w:val="00F733C3"/>
    <w:rsid w:val="00F746A1"/>
    <w:rsid w:val="00F74820"/>
    <w:rsid w:val="00F74947"/>
    <w:rsid w:val="00F756DD"/>
    <w:rsid w:val="00F76D05"/>
    <w:rsid w:val="00F77F4E"/>
    <w:rsid w:val="00F80047"/>
    <w:rsid w:val="00F800C7"/>
    <w:rsid w:val="00F80975"/>
    <w:rsid w:val="00F8104D"/>
    <w:rsid w:val="00F8153F"/>
    <w:rsid w:val="00F81587"/>
    <w:rsid w:val="00F8288F"/>
    <w:rsid w:val="00F8376E"/>
    <w:rsid w:val="00F83C52"/>
    <w:rsid w:val="00F84802"/>
    <w:rsid w:val="00F85B72"/>
    <w:rsid w:val="00F86540"/>
    <w:rsid w:val="00F865CE"/>
    <w:rsid w:val="00F8766F"/>
    <w:rsid w:val="00F90137"/>
    <w:rsid w:val="00F90282"/>
    <w:rsid w:val="00F91082"/>
    <w:rsid w:val="00F9116D"/>
    <w:rsid w:val="00F91342"/>
    <w:rsid w:val="00F91A9A"/>
    <w:rsid w:val="00F92634"/>
    <w:rsid w:val="00F9272B"/>
    <w:rsid w:val="00F933F3"/>
    <w:rsid w:val="00F93ABB"/>
    <w:rsid w:val="00F94D79"/>
    <w:rsid w:val="00F9658C"/>
    <w:rsid w:val="00F96BEF"/>
    <w:rsid w:val="00F96EEB"/>
    <w:rsid w:val="00F97A7F"/>
    <w:rsid w:val="00F97CD0"/>
    <w:rsid w:val="00FA0633"/>
    <w:rsid w:val="00FA0889"/>
    <w:rsid w:val="00FA16E7"/>
    <w:rsid w:val="00FA2730"/>
    <w:rsid w:val="00FA31C7"/>
    <w:rsid w:val="00FA412B"/>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5F6"/>
    <w:rsid w:val="00FC5FDB"/>
    <w:rsid w:val="00FC6524"/>
    <w:rsid w:val="00FC6B58"/>
    <w:rsid w:val="00FC700B"/>
    <w:rsid w:val="00FC75AC"/>
    <w:rsid w:val="00FC761F"/>
    <w:rsid w:val="00FC7984"/>
    <w:rsid w:val="00FD01BF"/>
    <w:rsid w:val="00FD0525"/>
    <w:rsid w:val="00FD0AB7"/>
    <w:rsid w:val="00FD297D"/>
    <w:rsid w:val="00FD2D13"/>
    <w:rsid w:val="00FD3577"/>
    <w:rsid w:val="00FD374D"/>
    <w:rsid w:val="00FD6071"/>
    <w:rsid w:val="00FD633B"/>
    <w:rsid w:val="00FE0794"/>
    <w:rsid w:val="00FE1041"/>
    <w:rsid w:val="00FE24CB"/>
    <w:rsid w:val="00FE2CA5"/>
    <w:rsid w:val="00FE323F"/>
    <w:rsid w:val="00FE3473"/>
    <w:rsid w:val="00FE4049"/>
    <w:rsid w:val="00FE4794"/>
    <w:rsid w:val="00FE480F"/>
    <w:rsid w:val="00FE4998"/>
    <w:rsid w:val="00FE55B9"/>
    <w:rsid w:val="00FE57DE"/>
    <w:rsid w:val="00FE7796"/>
    <w:rsid w:val="00FE7A68"/>
    <w:rsid w:val="00FF0231"/>
    <w:rsid w:val="00FF0F90"/>
    <w:rsid w:val="00FF0FA4"/>
    <w:rsid w:val="00FF1C9B"/>
    <w:rsid w:val="00FF1D49"/>
    <w:rsid w:val="00FF203B"/>
    <w:rsid w:val="00FF2562"/>
    <w:rsid w:val="00FF3A41"/>
    <w:rsid w:val="00FF3E5B"/>
    <w:rsid w:val="00FF4E04"/>
    <w:rsid w:val="00FF57E4"/>
    <w:rsid w:val="00FF78E5"/>
    <w:rsid w:val="012C5FAF"/>
    <w:rsid w:val="01AF3D99"/>
    <w:rsid w:val="02511F9D"/>
    <w:rsid w:val="035701EC"/>
    <w:rsid w:val="03A314B8"/>
    <w:rsid w:val="03D82B98"/>
    <w:rsid w:val="03F83E8B"/>
    <w:rsid w:val="05842CC0"/>
    <w:rsid w:val="05C56868"/>
    <w:rsid w:val="07A539BD"/>
    <w:rsid w:val="07B72767"/>
    <w:rsid w:val="08077E72"/>
    <w:rsid w:val="08882DD0"/>
    <w:rsid w:val="09CC2AAC"/>
    <w:rsid w:val="0A652D3E"/>
    <w:rsid w:val="0ABA062B"/>
    <w:rsid w:val="0B326F2A"/>
    <w:rsid w:val="0B41524D"/>
    <w:rsid w:val="0B604DCD"/>
    <w:rsid w:val="0C1E2888"/>
    <w:rsid w:val="0C30706F"/>
    <w:rsid w:val="0C92213C"/>
    <w:rsid w:val="0CB974D0"/>
    <w:rsid w:val="0CC2027E"/>
    <w:rsid w:val="0CD20F5F"/>
    <w:rsid w:val="0D84032B"/>
    <w:rsid w:val="0F2A74C4"/>
    <w:rsid w:val="0FE41808"/>
    <w:rsid w:val="10A27F31"/>
    <w:rsid w:val="11691059"/>
    <w:rsid w:val="11927058"/>
    <w:rsid w:val="11E12F9E"/>
    <w:rsid w:val="120E171E"/>
    <w:rsid w:val="135E3881"/>
    <w:rsid w:val="1393594A"/>
    <w:rsid w:val="13AF4F03"/>
    <w:rsid w:val="14736E66"/>
    <w:rsid w:val="147F458F"/>
    <w:rsid w:val="14A405FA"/>
    <w:rsid w:val="1534169A"/>
    <w:rsid w:val="15C03E03"/>
    <w:rsid w:val="15E84CDD"/>
    <w:rsid w:val="162A25EB"/>
    <w:rsid w:val="16735895"/>
    <w:rsid w:val="16FD2A55"/>
    <w:rsid w:val="17067C1A"/>
    <w:rsid w:val="17366761"/>
    <w:rsid w:val="177C01F0"/>
    <w:rsid w:val="179E3EFA"/>
    <w:rsid w:val="17AD7709"/>
    <w:rsid w:val="17CE6630"/>
    <w:rsid w:val="183257CA"/>
    <w:rsid w:val="1870214D"/>
    <w:rsid w:val="18736C61"/>
    <w:rsid w:val="1AFF0AFE"/>
    <w:rsid w:val="1B4F19F8"/>
    <w:rsid w:val="1B5635D8"/>
    <w:rsid w:val="1B9E5DA3"/>
    <w:rsid w:val="1CAA4226"/>
    <w:rsid w:val="1D920D6D"/>
    <w:rsid w:val="1E4F0325"/>
    <w:rsid w:val="1EBC61B3"/>
    <w:rsid w:val="1ECC44FA"/>
    <w:rsid w:val="1F063325"/>
    <w:rsid w:val="1F411AB5"/>
    <w:rsid w:val="1F5A05E4"/>
    <w:rsid w:val="1FBC5DF5"/>
    <w:rsid w:val="1FF90588"/>
    <w:rsid w:val="20C3623F"/>
    <w:rsid w:val="21781212"/>
    <w:rsid w:val="21B83F86"/>
    <w:rsid w:val="21CB366A"/>
    <w:rsid w:val="221178A8"/>
    <w:rsid w:val="221213CF"/>
    <w:rsid w:val="22327A92"/>
    <w:rsid w:val="231D53A2"/>
    <w:rsid w:val="236D5383"/>
    <w:rsid w:val="23B7504C"/>
    <w:rsid w:val="24571307"/>
    <w:rsid w:val="25110A2A"/>
    <w:rsid w:val="256C0944"/>
    <w:rsid w:val="26446DE3"/>
    <w:rsid w:val="266D191D"/>
    <w:rsid w:val="26877DFE"/>
    <w:rsid w:val="269669E7"/>
    <w:rsid w:val="26A270C1"/>
    <w:rsid w:val="26CF4C21"/>
    <w:rsid w:val="26D7699F"/>
    <w:rsid w:val="27337CE7"/>
    <w:rsid w:val="27587793"/>
    <w:rsid w:val="28325364"/>
    <w:rsid w:val="284E2BBE"/>
    <w:rsid w:val="29232704"/>
    <w:rsid w:val="29D75F7F"/>
    <w:rsid w:val="2B293A8C"/>
    <w:rsid w:val="2B774624"/>
    <w:rsid w:val="2B7C7B8E"/>
    <w:rsid w:val="2BA411B4"/>
    <w:rsid w:val="2C7A72BE"/>
    <w:rsid w:val="2C9A7D75"/>
    <w:rsid w:val="2CC17412"/>
    <w:rsid w:val="2D3C71CA"/>
    <w:rsid w:val="2D7C1E99"/>
    <w:rsid w:val="2E9976CE"/>
    <w:rsid w:val="2EF01DEE"/>
    <w:rsid w:val="2F401D3C"/>
    <w:rsid w:val="2F5B24E1"/>
    <w:rsid w:val="2FA95C88"/>
    <w:rsid w:val="2FE779C1"/>
    <w:rsid w:val="3041370F"/>
    <w:rsid w:val="306E1D90"/>
    <w:rsid w:val="30B87FED"/>
    <w:rsid w:val="312B50A3"/>
    <w:rsid w:val="314D19A6"/>
    <w:rsid w:val="31784501"/>
    <w:rsid w:val="31894FD2"/>
    <w:rsid w:val="31B45EC9"/>
    <w:rsid w:val="32453A27"/>
    <w:rsid w:val="3263064A"/>
    <w:rsid w:val="32A43132"/>
    <w:rsid w:val="32AC0C06"/>
    <w:rsid w:val="332F6352"/>
    <w:rsid w:val="33344EF5"/>
    <w:rsid w:val="34BC6A2B"/>
    <w:rsid w:val="350157B8"/>
    <w:rsid w:val="3537750C"/>
    <w:rsid w:val="3537798C"/>
    <w:rsid w:val="35C13FC9"/>
    <w:rsid w:val="36372B05"/>
    <w:rsid w:val="364257B6"/>
    <w:rsid w:val="37BC7885"/>
    <w:rsid w:val="37EA5922"/>
    <w:rsid w:val="38276B93"/>
    <w:rsid w:val="382E58B8"/>
    <w:rsid w:val="38AC3431"/>
    <w:rsid w:val="392F2E16"/>
    <w:rsid w:val="398E6FFF"/>
    <w:rsid w:val="39E00529"/>
    <w:rsid w:val="3A0B64A7"/>
    <w:rsid w:val="3A0D43C8"/>
    <w:rsid w:val="3A48223A"/>
    <w:rsid w:val="3A574DDA"/>
    <w:rsid w:val="3A6838DC"/>
    <w:rsid w:val="3AD3075A"/>
    <w:rsid w:val="3AF74C02"/>
    <w:rsid w:val="3C0059A5"/>
    <w:rsid w:val="3C134E78"/>
    <w:rsid w:val="3C4D7E0E"/>
    <w:rsid w:val="3D86137F"/>
    <w:rsid w:val="3DF6345D"/>
    <w:rsid w:val="3E2B5515"/>
    <w:rsid w:val="3E3C2E3E"/>
    <w:rsid w:val="3E4D4F28"/>
    <w:rsid w:val="3ED92EC4"/>
    <w:rsid w:val="3EE13701"/>
    <w:rsid w:val="3EFF9E47"/>
    <w:rsid w:val="3F1A4BB3"/>
    <w:rsid w:val="40192BA6"/>
    <w:rsid w:val="40997D02"/>
    <w:rsid w:val="410858E9"/>
    <w:rsid w:val="41766EA9"/>
    <w:rsid w:val="41CD3D57"/>
    <w:rsid w:val="42550A18"/>
    <w:rsid w:val="429D496A"/>
    <w:rsid w:val="42BB3730"/>
    <w:rsid w:val="42F473A1"/>
    <w:rsid w:val="432D2F17"/>
    <w:rsid w:val="43683FF7"/>
    <w:rsid w:val="437217EA"/>
    <w:rsid w:val="439B2A45"/>
    <w:rsid w:val="43AB7156"/>
    <w:rsid w:val="43B96788"/>
    <w:rsid w:val="43C13863"/>
    <w:rsid w:val="43F04528"/>
    <w:rsid w:val="441E62C0"/>
    <w:rsid w:val="453178A0"/>
    <w:rsid w:val="45325D14"/>
    <w:rsid w:val="453C03FF"/>
    <w:rsid w:val="45811C7C"/>
    <w:rsid w:val="45906116"/>
    <w:rsid w:val="45931B8C"/>
    <w:rsid w:val="45EF2552"/>
    <w:rsid w:val="468B3EFB"/>
    <w:rsid w:val="470A6193"/>
    <w:rsid w:val="47385210"/>
    <w:rsid w:val="475510F8"/>
    <w:rsid w:val="47C63E7D"/>
    <w:rsid w:val="47DC4F5C"/>
    <w:rsid w:val="48B40671"/>
    <w:rsid w:val="48BF0F83"/>
    <w:rsid w:val="495D082D"/>
    <w:rsid w:val="499B5738"/>
    <w:rsid w:val="499F244D"/>
    <w:rsid w:val="49BA799D"/>
    <w:rsid w:val="4A4D2210"/>
    <w:rsid w:val="4A973F3F"/>
    <w:rsid w:val="4AAE5606"/>
    <w:rsid w:val="4AF96BC7"/>
    <w:rsid w:val="4B862A85"/>
    <w:rsid w:val="4C324162"/>
    <w:rsid w:val="4CEC4311"/>
    <w:rsid w:val="4CEF36E2"/>
    <w:rsid w:val="4CEF4DC5"/>
    <w:rsid w:val="4E257655"/>
    <w:rsid w:val="4E354D93"/>
    <w:rsid w:val="4EDE2193"/>
    <w:rsid w:val="4EEF00E8"/>
    <w:rsid w:val="4F372380"/>
    <w:rsid w:val="4F372FFB"/>
    <w:rsid w:val="4FB27151"/>
    <w:rsid w:val="5025116D"/>
    <w:rsid w:val="50A3118B"/>
    <w:rsid w:val="51ED6B61"/>
    <w:rsid w:val="51FB7940"/>
    <w:rsid w:val="52395ECD"/>
    <w:rsid w:val="5251100B"/>
    <w:rsid w:val="52990E5B"/>
    <w:rsid w:val="52C10D75"/>
    <w:rsid w:val="53C27FF8"/>
    <w:rsid w:val="54806794"/>
    <w:rsid w:val="549E1A80"/>
    <w:rsid w:val="54C658F4"/>
    <w:rsid w:val="54ED50CA"/>
    <w:rsid w:val="550C4BD7"/>
    <w:rsid w:val="554C1D56"/>
    <w:rsid w:val="55572986"/>
    <w:rsid w:val="565340FA"/>
    <w:rsid w:val="56AD5F59"/>
    <w:rsid w:val="56B7773E"/>
    <w:rsid w:val="56C133F4"/>
    <w:rsid w:val="56C60774"/>
    <w:rsid w:val="573C5767"/>
    <w:rsid w:val="57B12A52"/>
    <w:rsid w:val="587E6ACF"/>
    <w:rsid w:val="58EE5FDA"/>
    <w:rsid w:val="5A2F2CC8"/>
    <w:rsid w:val="5A4A08C9"/>
    <w:rsid w:val="5A9210C5"/>
    <w:rsid w:val="5B002B19"/>
    <w:rsid w:val="5B642537"/>
    <w:rsid w:val="5B8B705E"/>
    <w:rsid w:val="5BB97AB4"/>
    <w:rsid w:val="5C10702D"/>
    <w:rsid w:val="5C152601"/>
    <w:rsid w:val="5C591F03"/>
    <w:rsid w:val="5C8A1B2F"/>
    <w:rsid w:val="5D633BFE"/>
    <w:rsid w:val="5E17145E"/>
    <w:rsid w:val="5EB74A19"/>
    <w:rsid w:val="5F4F2092"/>
    <w:rsid w:val="5F561B72"/>
    <w:rsid w:val="5F7839BE"/>
    <w:rsid w:val="606007BB"/>
    <w:rsid w:val="60AC7F66"/>
    <w:rsid w:val="61181011"/>
    <w:rsid w:val="61BF10D9"/>
    <w:rsid w:val="62AC22DC"/>
    <w:rsid w:val="6359184F"/>
    <w:rsid w:val="638F1633"/>
    <w:rsid w:val="63A22BFD"/>
    <w:rsid w:val="644D348F"/>
    <w:rsid w:val="64E45EF7"/>
    <w:rsid w:val="6691014E"/>
    <w:rsid w:val="66C87CCE"/>
    <w:rsid w:val="66F63793"/>
    <w:rsid w:val="677435B2"/>
    <w:rsid w:val="67EF75F1"/>
    <w:rsid w:val="684F4F11"/>
    <w:rsid w:val="68895867"/>
    <w:rsid w:val="69124F16"/>
    <w:rsid w:val="693E6557"/>
    <w:rsid w:val="6966360B"/>
    <w:rsid w:val="69CD5C14"/>
    <w:rsid w:val="69CF0D33"/>
    <w:rsid w:val="6A684F9C"/>
    <w:rsid w:val="6A97637A"/>
    <w:rsid w:val="6AA472B5"/>
    <w:rsid w:val="6B5B4551"/>
    <w:rsid w:val="6B9946B3"/>
    <w:rsid w:val="6BE518DA"/>
    <w:rsid w:val="6C276F3A"/>
    <w:rsid w:val="6C7007C7"/>
    <w:rsid w:val="6D2B4A00"/>
    <w:rsid w:val="6DE76850"/>
    <w:rsid w:val="6E46167B"/>
    <w:rsid w:val="6F724A25"/>
    <w:rsid w:val="6F9DF6A7"/>
    <w:rsid w:val="6FB20BD4"/>
    <w:rsid w:val="6FBA59BE"/>
    <w:rsid w:val="70231548"/>
    <w:rsid w:val="70296B3E"/>
    <w:rsid w:val="70611204"/>
    <w:rsid w:val="7165620F"/>
    <w:rsid w:val="717039F8"/>
    <w:rsid w:val="71B6178D"/>
    <w:rsid w:val="748B43B9"/>
    <w:rsid w:val="74D13AD5"/>
    <w:rsid w:val="74F06346"/>
    <w:rsid w:val="74FA2C30"/>
    <w:rsid w:val="752F2D01"/>
    <w:rsid w:val="753041C6"/>
    <w:rsid w:val="75322C77"/>
    <w:rsid w:val="754D5C4B"/>
    <w:rsid w:val="755328D0"/>
    <w:rsid w:val="75E0287A"/>
    <w:rsid w:val="76C240A7"/>
    <w:rsid w:val="76CC74A7"/>
    <w:rsid w:val="76DA416A"/>
    <w:rsid w:val="775246B7"/>
    <w:rsid w:val="77804E0E"/>
    <w:rsid w:val="77B35D88"/>
    <w:rsid w:val="781E69D1"/>
    <w:rsid w:val="7901747F"/>
    <w:rsid w:val="79484E3E"/>
    <w:rsid w:val="7A263B6B"/>
    <w:rsid w:val="7AF46346"/>
    <w:rsid w:val="7B0F5EBF"/>
    <w:rsid w:val="7B130FB9"/>
    <w:rsid w:val="7BD71E38"/>
    <w:rsid w:val="7BF64EDE"/>
    <w:rsid w:val="7C225600"/>
    <w:rsid w:val="7C400C1E"/>
    <w:rsid w:val="7CDE30A9"/>
    <w:rsid w:val="7D1B3477"/>
    <w:rsid w:val="7D935F5F"/>
    <w:rsid w:val="7DD11708"/>
    <w:rsid w:val="7DE80F68"/>
    <w:rsid w:val="7DEE4A4F"/>
    <w:rsid w:val="7EAE6230"/>
    <w:rsid w:val="7EBD579E"/>
    <w:rsid w:val="7EC167BD"/>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keepNext/>
      <w:keepLines/>
      <w:spacing w:line="360" w:lineRule="auto"/>
      <w:outlineLvl w:val="3"/>
    </w:pPr>
    <w:rPr>
      <w:rFonts w:ascii="Arial" w:hAnsi="Arial"/>
      <w:b/>
      <w:bCs/>
      <w:szCs w:val="28"/>
    </w:rPr>
  </w:style>
  <w:style w:type="paragraph" w:styleId="5">
    <w:name w:val="heading 5"/>
    <w:basedOn w:val="1"/>
    <w:next w:val="6"/>
    <w:link w:val="32"/>
    <w:qFormat/>
    <w:uiPriority w:val="0"/>
    <w:pPr>
      <w:keepNext/>
      <w:keepLines/>
      <w:spacing w:before="280" w:after="290" w:line="376" w:lineRule="auto"/>
      <w:outlineLvl w:val="4"/>
    </w:pPr>
    <w:rPr>
      <w:b/>
      <w:bCs/>
      <w:sz w:val="28"/>
      <w:szCs w:val="28"/>
    </w:rPr>
  </w:style>
  <w:style w:type="paragraph" w:styleId="7">
    <w:name w:val="heading 8"/>
    <w:basedOn w:val="1"/>
    <w:next w:val="1"/>
    <w:link w:val="33"/>
    <w:qFormat/>
    <w:uiPriority w:val="0"/>
    <w:pPr>
      <w:keepNext/>
      <w:keepLines/>
      <w:spacing w:before="240" w:after="64" w:line="320" w:lineRule="auto"/>
      <w:outlineLvl w:val="7"/>
    </w:pPr>
    <w:rPr>
      <w:rFonts w:ascii="等线 Light" w:hAnsi="等线 Light" w:eastAsia="等线 Light"/>
      <w:sz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4"/>
    <w:qFormat/>
    <w:uiPriority w:val="0"/>
    <w:pPr>
      <w:jc w:val="left"/>
    </w:pPr>
  </w:style>
  <w:style w:type="paragraph" w:styleId="10">
    <w:name w:val="Body Text 3"/>
    <w:basedOn w:val="1"/>
    <w:link w:val="35"/>
    <w:qFormat/>
    <w:uiPriority w:val="0"/>
    <w:pPr>
      <w:spacing w:after="120"/>
    </w:pPr>
    <w:rPr>
      <w:sz w:val="16"/>
      <w:szCs w:val="16"/>
    </w:rPr>
  </w:style>
  <w:style w:type="paragraph" w:styleId="11">
    <w:name w:val="Body Text"/>
    <w:basedOn w:val="1"/>
    <w:link w:val="36"/>
    <w:qFormat/>
    <w:uiPriority w:val="0"/>
    <w:pPr>
      <w:spacing w:after="120"/>
    </w:pPr>
  </w:style>
  <w:style w:type="paragraph" w:styleId="12">
    <w:name w:val="Body Text Indent"/>
    <w:basedOn w:val="1"/>
    <w:link w:val="37"/>
    <w:qFormat/>
    <w:uiPriority w:val="0"/>
    <w:pPr>
      <w:ind w:firstLine="830" w:firstLineChars="352"/>
    </w:pPr>
    <w:rPr>
      <w:rFonts w:ascii="仿宋_GB2312" w:eastAsia="仿宋_GB2312"/>
      <w:kern w:val="0"/>
      <w:sz w:val="32"/>
      <w:szCs w:val="20"/>
    </w:rPr>
  </w:style>
  <w:style w:type="paragraph" w:styleId="13">
    <w:name w:val="List 2"/>
    <w:basedOn w:val="1"/>
    <w:qFormat/>
    <w:uiPriority w:val="0"/>
    <w:pPr>
      <w:ind w:left="100" w:leftChars="200" w:hanging="200" w:hangingChars="200"/>
      <w:contextualSpacing/>
    </w:pPr>
  </w:style>
  <w:style w:type="paragraph" w:styleId="14">
    <w:name w:val="Plain Text"/>
    <w:basedOn w:val="1"/>
    <w:link w:val="38"/>
    <w:qFormat/>
    <w:uiPriority w:val="0"/>
    <w:rPr>
      <w:rFonts w:ascii="宋体" w:hAnsi="Courier New"/>
      <w:kern w:val="0"/>
      <w:sz w:val="20"/>
      <w:szCs w:val="21"/>
    </w:rPr>
  </w:style>
  <w:style w:type="paragraph" w:styleId="15">
    <w:name w:val="Date"/>
    <w:basedOn w:val="1"/>
    <w:next w:val="1"/>
    <w:link w:val="39"/>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40"/>
    <w:qFormat/>
    <w:uiPriority w:val="0"/>
    <w:pPr>
      <w:tabs>
        <w:tab w:val="center" w:pos="4153"/>
        <w:tab w:val="right" w:pos="8306"/>
      </w:tabs>
      <w:snapToGrid w:val="0"/>
      <w:jc w:val="left"/>
    </w:pPr>
    <w:rPr>
      <w:kern w:val="0"/>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toc 2"/>
    <w:basedOn w:val="1"/>
    <w:next w:val="1"/>
    <w:qFormat/>
    <w:uiPriority w:val="0"/>
    <w:pPr>
      <w:tabs>
        <w:tab w:val="right" w:leader="dot" w:pos="8296"/>
      </w:tabs>
      <w:ind w:left="420" w:leftChars="200"/>
    </w:pPr>
  </w:style>
  <w:style w:type="paragraph" w:styleId="21">
    <w:name w:val="Normal (Web)"/>
    <w:basedOn w:val="1"/>
    <w:qFormat/>
    <w:uiPriority w:val="0"/>
    <w:rPr>
      <w:rFonts w:ascii="Calibri" w:hAnsi="Calibri"/>
      <w:kern w:val="0"/>
      <w:sz w:val="24"/>
    </w:rPr>
  </w:style>
  <w:style w:type="paragraph" w:styleId="22">
    <w:name w:val="Title"/>
    <w:basedOn w:val="1"/>
    <w:next w:val="1"/>
    <w:qFormat/>
    <w:uiPriority w:val="0"/>
    <w:pPr>
      <w:suppressAutoHyphens/>
      <w:spacing w:before="240" w:after="60"/>
      <w:jc w:val="center"/>
      <w:outlineLvl w:val="0"/>
    </w:pPr>
    <w:rPr>
      <w:rFonts w:ascii="Arial" w:hAnsi="Arial" w:cs="宋体"/>
      <w:b/>
      <w:sz w:val="32"/>
    </w:rPr>
  </w:style>
  <w:style w:type="paragraph" w:styleId="23">
    <w:name w:val="annotation subject"/>
    <w:basedOn w:val="9"/>
    <w:next w:val="9"/>
    <w:link w:val="4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endnote reference"/>
    <w:qFormat/>
    <w:uiPriority w:val="0"/>
    <w:rPr>
      <w:rFonts w:ascii="Times New Roman" w:hAnsi="Times New Roman" w:eastAsia="宋体" w:cs="Times New Roman"/>
      <w:vertAlign w:val="superscript"/>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customStyle="1" w:styleId="30">
    <w:name w:val="标题 1 Char"/>
    <w:link w:val="2"/>
    <w:qFormat/>
    <w:uiPriority w:val="0"/>
    <w:rPr>
      <w:rFonts w:ascii="Times New Roman" w:hAnsi="Times New Roman" w:eastAsia="宋体" w:cs="Times New Roman"/>
      <w:b/>
      <w:bCs/>
      <w:kern w:val="44"/>
      <w:sz w:val="44"/>
      <w:szCs w:val="44"/>
    </w:rPr>
  </w:style>
  <w:style w:type="character" w:customStyle="1" w:styleId="31">
    <w:name w:val="标题 2 Char1"/>
    <w:link w:val="3"/>
    <w:qFormat/>
    <w:uiPriority w:val="0"/>
    <w:rPr>
      <w:rFonts w:ascii="Cambria" w:hAnsi="Cambria" w:eastAsia="宋体" w:cs="Times New Roman"/>
      <w:b/>
      <w:bCs/>
      <w:kern w:val="2"/>
      <w:sz w:val="32"/>
      <w:szCs w:val="32"/>
    </w:rPr>
  </w:style>
  <w:style w:type="character" w:customStyle="1" w:styleId="32">
    <w:name w:val="标题 5 Char"/>
    <w:link w:val="5"/>
    <w:qFormat/>
    <w:uiPriority w:val="0"/>
    <w:rPr>
      <w:rFonts w:ascii="Times New Roman" w:hAnsi="Times New Roman" w:eastAsia="宋体" w:cs="Times New Roman"/>
      <w:b/>
      <w:bCs/>
      <w:kern w:val="2"/>
      <w:sz w:val="28"/>
      <w:szCs w:val="28"/>
    </w:rPr>
  </w:style>
  <w:style w:type="character" w:customStyle="1" w:styleId="33">
    <w:name w:val="标题 8 Char1"/>
    <w:link w:val="7"/>
    <w:qFormat/>
    <w:uiPriority w:val="0"/>
    <w:rPr>
      <w:rFonts w:ascii="等线 Light" w:hAnsi="等线 Light" w:eastAsia="等线 Light" w:cs="Times New Roman"/>
      <w:kern w:val="2"/>
      <w:sz w:val="24"/>
      <w:szCs w:val="24"/>
    </w:rPr>
  </w:style>
  <w:style w:type="character" w:customStyle="1" w:styleId="34">
    <w:name w:val="批注文字 Char1"/>
    <w:link w:val="9"/>
    <w:qFormat/>
    <w:uiPriority w:val="0"/>
    <w:rPr>
      <w:rFonts w:ascii="Times New Roman" w:hAnsi="Times New Roman" w:eastAsia="宋体" w:cs="Times New Roman"/>
      <w:kern w:val="2"/>
      <w:sz w:val="21"/>
      <w:szCs w:val="24"/>
    </w:rPr>
  </w:style>
  <w:style w:type="character" w:customStyle="1" w:styleId="35">
    <w:name w:val="正文文本 3 Char"/>
    <w:link w:val="10"/>
    <w:qFormat/>
    <w:uiPriority w:val="0"/>
    <w:rPr>
      <w:rFonts w:ascii="Times New Roman" w:hAnsi="Times New Roman" w:eastAsia="宋体" w:cs="Times New Roman"/>
      <w:kern w:val="2"/>
      <w:sz w:val="16"/>
      <w:szCs w:val="16"/>
    </w:rPr>
  </w:style>
  <w:style w:type="character" w:customStyle="1" w:styleId="36">
    <w:name w:val="正文文本 Char1"/>
    <w:link w:val="11"/>
    <w:qFormat/>
    <w:uiPriority w:val="0"/>
    <w:rPr>
      <w:rFonts w:ascii="Times New Roman" w:hAnsi="Times New Roman" w:eastAsia="宋体" w:cs="Times New Roman"/>
      <w:kern w:val="2"/>
      <w:sz w:val="21"/>
      <w:szCs w:val="24"/>
    </w:rPr>
  </w:style>
  <w:style w:type="character" w:customStyle="1" w:styleId="37">
    <w:name w:val="正文文本缩进 Char"/>
    <w:link w:val="12"/>
    <w:qFormat/>
    <w:uiPriority w:val="0"/>
    <w:rPr>
      <w:rFonts w:ascii="仿宋_GB2312" w:hAnsi="Times New Roman" w:eastAsia="仿宋_GB2312" w:cs="Times New Roman"/>
      <w:sz w:val="32"/>
      <w:szCs w:val="20"/>
    </w:rPr>
  </w:style>
  <w:style w:type="character" w:customStyle="1" w:styleId="38">
    <w:name w:val="纯文本 Char1"/>
    <w:link w:val="14"/>
    <w:qFormat/>
    <w:uiPriority w:val="0"/>
    <w:rPr>
      <w:rFonts w:ascii="宋体" w:hAnsi="Courier New" w:eastAsia="宋体" w:cs="Courier New"/>
      <w:szCs w:val="21"/>
    </w:rPr>
  </w:style>
  <w:style w:type="character" w:customStyle="1" w:styleId="39">
    <w:name w:val="日期 Char"/>
    <w:link w:val="15"/>
    <w:qFormat/>
    <w:uiPriority w:val="0"/>
    <w:rPr>
      <w:rFonts w:ascii="Times New Roman" w:hAnsi="Times New Roman" w:eastAsia="宋体" w:cs="Times New Roman"/>
      <w:kern w:val="2"/>
      <w:sz w:val="21"/>
      <w:szCs w:val="24"/>
    </w:rPr>
  </w:style>
  <w:style w:type="character" w:customStyle="1" w:styleId="40">
    <w:name w:val="页脚 Char"/>
    <w:link w:val="17"/>
    <w:qFormat/>
    <w:uiPriority w:val="0"/>
    <w:rPr>
      <w:rFonts w:ascii="Times New Roman" w:hAnsi="Times New Roman" w:eastAsia="宋体" w:cs="Times New Roman"/>
      <w:sz w:val="18"/>
      <w:szCs w:val="18"/>
    </w:rPr>
  </w:style>
  <w:style w:type="character" w:customStyle="1" w:styleId="41">
    <w:name w:val="页眉 Char"/>
    <w:link w:val="18"/>
    <w:qFormat/>
    <w:uiPriority w:val="0"/>
    <w:rPr>
      <w:rFonts w:ascii="Times New Roman" w:hAnsi="Times New Roman" w:eastAsia="宋体" w:cs="Times New Roman"/>
      <w:sz w:val="18"/>
      <w:szCs w:val="18"/>
    </w:rPr>
  </w:style>
  <w:style w:type="character" w:customStyle="1" w:styleId="42">
    <w:name w:val="批注主题 Char"/>
    <w:link w:val="23"/>
    <w:qFormat/>
    <w:uiPriority w:val="0"/>
    <w:rPr>
      <w:rFonts w:ascii="Times New Roman" w:hAnsi="Times New Roman" w:eastAsia="宋体" w:cs="Times New Roman"/>
      <w:b/>
      <w:bCs/>
      <w:kern w:val="2"/>
      <w:sz w:val="21"/>
      <w:szCs w:val="24"/>
    </w:rPr>
  </w:style>
  <w:style w:type="character" w:customStyle="1" w:styleId="43">
    <w:name w:val="NormalCharacter"/>
    <w:qFormat/>
    <w:uiPriority w:val="0"/>
    <w:rPr>
      <w:rFonts w:ascii="Times New Roman" w:hAnsi="Times New Roman" w:eastAsia="宋体" w:cs="Times New Roman"/>
    </w:rPr>
  </w:style>
  <w:style w:type="character" w:customStyle="1" w:styleId="44">
    <w:name w:val="正文2 Char Char"/>
    <w:link w:val="45"/>
    <w:qFormat/>
    <w:uiPriority w:val="0"/>
    <w:rPr>
      <w:rFonts w:ascii="Times New Roman" w:hAnsi="Times New Roman" w:eastAsia="宋体" w:cs="Times New Roman"/>
      <w:kern w:val="2"/>
      <w:sz w:val="24"/>
    </w:rPr>
  </w:style>
  <w:style w:type="paragraph" w:customStyle="1" w:styleId="45">
    <w:name w:val="正文2"/>
    <w:basedOn w:val="1"/>
    <w:link w:val="44"/>
    <w:qFormat/>
    <w:uiPriority w:val="0"/>
    <w:pPr>
      <w:adjustRightInd w:val="0"/>
      <w:spacing w:before="156" w:line="360" w:lineRule="auto"/>
      <w:ind w:firstLine="510" w:firstLineChars="200"/>
    </w:pPr>
    <w:rPr>
      <w:sz w:val="24"/>
      <w:szCs w:val="20"/>
    </w:rPr>
  </w:style>
  <w:style w:type="character" w:customStyle="1" w:styleId="46">
    <w:name w:val="标题 1 字符1"/>
    <w:qFormat/>
    <w:uiPriority w:val="0"/>
    <w:rPr>
      <w:rFonts w:ascii="Times New Roman" w:hAnsi="Times New Roman" w:eastAsia="宋体" w:cs="Times New Roman"/>
      <w:b/>
      <w:bCs/>
      <w:kern w:val="44"/>
      <w:sz w:val="44"/>
      <w:szCs w:val="44"/>
    </w:rPr>
  </w:style>
  <w:style w:type="character" w:customStyle="1" w:styleId="47">
    <w:name w:val="textcontents"/>
    <w:qFormat/>
    <w:uiPriority w:val="0"/>
    <w:rPr>
      <w:rFonts w:ascii="Times New Roman" w:hAnsi="Times New Roman" w:eastAsia="宋体" w:cs="Times New Roman"/>
    </w:rPr>
  </w:style>
  <w:style w:type="character" w:customStyle="1" w:styleId="48">
    <w:name w:val="批注文字 Char"/>
    <w:qFormat/>
    <w:uiPriority w:val="0"/>
    <w:rPr>
      <w:rFonts w:ascii="Times New Roman" w:hAnsi="Times New Roman" w:eastAsia="宋体" w:cs="Times New Roman"/>
      <w:kern w:val="2"/>
      <w:sz w:val="21"/>
      <w:szCs w:val="24"/>
    </w:rPr>
  </w:style>
  <w:style w:type="character" w:customStyle="1" w:styleId="49">
    <w:name w:val="纯文本 字符"/>
    <w:qFormat/>
    <w:uiPriority w:val="0"/>
    <w:rPr>
      <w:rFonts w:ascii="宋体" w:hAnsi="Courier New" w:eastAsia="宋体" w:cs="Courier New"/>
      <w:szCs w:val="21"/>
    </w:rPr>
  </w:style>
  <w:style w:type="character" w:customStyle="1" w:styleId="50">
    <w:name w:val="纯文本 Char"/>
    <w:qFormat/>
    <w:uiPriority w:val="0"/>
    <w:rPr>
      <w:rFonts w:ascii="宋体" w:hAnsi="Courier New" w:eastAsia="宋体" w:cs="Courier New"/>
      <w:szCs w:val="21"/>
    </w:rPr>
  </w:style>
  <w:style w:type="character" w:customStyle="1" w:styleId="51">
    <w:name w:val="纯文本 字符2"/>
    <w:qFormat/>
    <w:uiPriority w:val="0"/>
    <w:rPr>
      <w:rFonts w:ascii="宋体" w:hAnsi="Courier New" w:eastAsia="宋体" w:cs="Courier New"/>
      <w:szCs w:val="21"/>
    </w:rPr>
  </w:style>
  <w:style w:type="character" w:customStyle="1" w:styleId="52">
    <w:name w:val="批注文字 字符1"/>
    <w:qFormat/>
    <w:uiPriority w:val="0"/>
    <w:rPr>
      <w:rFonts w:ascii="Times New Roman" w:hAnsi="Times New Roman" w:eastAsia="宋体" w:cs="Times New Roman"/>
      <w:kern w:val="2"/>
      <w:sz w:val="21"/>
      <w:szCs w:val="24"/>
    </w:rPr>
  </w:style>
  <w:style w:type="character" w:customStyle="1" w:styleId="5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4">
    <w:name w:val="纯文本 字符1"/>
    <w:qFormat/>
    <w:uiPriority w:val="0"/>
    <w:rPr>
      <w:rFonts w:ascii="宋体" w:hAnsi="Courier New" w:eastAsia="宋体" w:cs="Times New Roman"/>
    </w:rPr>
  </w:style>
  <w:style w:type="character" w:customStyle="1" w:styleId="55">
    <w:name w:val="正文文本 Char"/>
    <w:qFormat/>
    <w:uiPriority w:val="0"/>
    <w:rPr>
      <w:rFonts w:ascii="Times New Roman" w:hAnsi="Times New Roman" w:eastAsia="宋体" w:cs="Times New Roman"/>
      <w:kern w:val="2"/>
      <w:sz w:val="21"/>
      <w:szCs w:val="24"/>
    </w:rPr>
  </w:style>
  <w:style w:type="character" w:customStyle="1" w:styleId="56">
    <w:name w:val="批注文字 字符"/>
    <w:qFormat/>
    <w:uiPriority w:val="0"/>
    <w:rPr>
      <w:rFonts w:ascii="Times New Roman" w:hAnsi="Times New Roman" w:eastAsia="宋体" w:cs="Times New Roman"/>
      <w:kern w:val="2"/>
      <w:sz w:val="21"/>
      <w:szCs w:val="24"/>
    </w:rPr>
  </w:style>
  <w:style w:type="character" w:customStyle="1" w:styleId="57">
    <w:name w:val="标题 2 Char"/>
    <w:qFormat/>
    <w:uiPriority w:val="0"/>
    <w:rPr>
      <w:rFonts w:ascii="Cambria" w:hAnsi="Cambria" w:eastAsia="宋体" w:cs="Times New Roman"/>
      <w:b/>
      <w:bCs/>
      <w:kern w:val="2"/>
      <w:sz w:val="32"/>
      <w:szCs w:val="32"/>
    </w:rPr>
  </w:style>
  <w:style w:type="character" w:customStyle="1" w:styleId="58">
    <w:name w:val="标题 8 Char"/>
    <w:qFormat/>
    <w:uiPriority w:val="0"/>
    <w:rPr>
      <w:rFonts w:ascii="Arial" w:hAnsi="Arial" w:eastAsia="黑体" w:cs="Times New Roman"/>
      <w:kern w:val="2"/>
      <w:sz w:val="24"/>
      <w:szCs w:val="24"/>
    </w:rPr>
  </w:style>
  <w:style w:type="character" w:customStyle="1" w:styleId="59">
    <w:name w:val="apple-style-span"/>
    <w:qFormat/>
    <w:uiPriority w:val="0"/>
    <w:rPr>
      <w:rFonts w:ascii="Times New Roman" w:hAnsi="Times New Roman" w:eastAsia="宋体" w:cs="Times New Roman"/>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2">
    <w:name w:val="List Paragraph"/>
    <w:basedOn w:val="1"/>
    <w:qFormat/>
    <w:uiPriority w:val="0"/>
    <w:pPr>
      <w:ind w:firstLine="420" w:firstLineChars="200"/>
    </w:pPr>
  </w:style>
  <w:style w:type="paragraph" w:customStyle="1" w:styleId="63">
    <w:name w:val="Table Paragraph"/>
    <w:basedOn w:val="1"/>
    <w:qFormat/>
    <w:uiPriority w:val="0"/>
    <w:pPr>
      <w:jc w:val="left"/>
    </w:pPr>
    <w:rPr>
      <w:rFonts w:ascii="Calibri" w:hAnsi="Calibri"/>
      <w:kern w:val="0"/>
      <w:sz w:val="22"/>
      <w:szCs w:val="22"/>
      <w:lang w:eastAsia="en-US"/>
    </w:rPr>
  </w:style>
  <w:style w:type="character" w:customStyle="1" w:styleId="64">
    <w:name w:val="正文文本 字符"/>
    <w:qFormat/>
    <w:uiPriority w:val="0"/>
    <w:rPr>
      <w:rFonts w:ascii="Times New Roman" w:hAnsi="Times New Roman" w:eastAsia="宋体" w:cs="Times New Roman"/>
      <w:kern w:val="2"/>
      <w:sz w:val="21"/>
      <w:szCs w:val="24"/>
    </w:rPr>
  </w:style>
  <w:style w:type="character" w:customStyle="1" w:styleId="65">
    <w:name w:val="批注文字 Char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22008</Words>
  <Characters>23386</Characters>
  <Lines>290</Lines>
  <Paragraphs>81</Paragraphs>
  <TotalTime>81</TotalTime>
  <ScaleCrop>false</ScaleCrop>
  <LinksUpToDate>false</LinksUpToDate>
  <CharactersWithSpaces>23712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2025-07-16T07:31:00Z</dcterms:created>
  <dc:creator>唐冰</dc:creator>
  <cp:lastModifiedBy>AUV</cp:lastModifiedBy>
  <cp:lastPrinted>2024-04-15T19:27:00Z</cp:lastPrinted>
  <dcterms:modified xsi:type="dcterms:W3CDTF">2025-07-21T03:32:20Z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07072D69E3C942F0A2A77BA43AFAD39A_13</vt:lpwstr>
  </property>
  <property fmtid="{D5CDD505-2E9C-101B-9397-08002B2CF9AE}" pid="4" name="KSOTemplateDocerSaveRecord">
    <vt:lpwstr>eyJoZGlkIjoiMDUzZDAyOWM5MzNlY2I4YmY0YTYwN2UzYTI0MzgzMTkiLCJ1c2VySWQiOiIzODM0MjA1OTEifQ==</vt:lpwstr>
  </property>
</Properties>
</file>