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7B862">
      <w:pPr>
        <w:spacing w:line="360" w:lineRule="auto"/>
        <w:jc w:val="center"/>
        <w:rPr>
          <w:rFonts w:ascii="宋体" w:hAnsi="宋体" w:cs="方正小标宋简体"/>
          <w:b/>
          <w:color w:val="auto"/>
          <w:sz w:val="52"/>
          <w:szCs w:val="52"/>
          <w:highlight w:val="none"/>
        </w:rPr>
      </w:pPr>
      <w:r>
        <w:rPr>
          <w:rFonts w:hint="eastAsia" w:ascii="宋体" w:hAnsi="宋体"/>
          <w:b/>
          <w:color w:val="auto"/>
          <w:sz w:val="52"/>
          <w:szCs w:val="52"/>
          <w:highlight w:val="none"/>
        </w:rPr>
        <w:t>云之龙咨询集团有限公司</w:t>
      </w:r>
    </w:p>
    <w:p w14:paraId="088FA739">
      <w:pPr>
        <w:spacing w:line="360" w:lineRule="auto"/>
        <w:jc w:val="center"/>
        <w:rPr>
          <w:rFonts w:ascii="宋体" w:hAnsi="宋体" w:cs="方正小标宋简体"/>
          <w:b/>
          <w:color w:val="auto"/>
          <w:sz w:val="44"/>
          <w:szCs w:val="44"/>
          <w:highlight w:val="none"/>
        </w:rPr>
      </w:pPr>
    </w:p>
    <w:p w14:paraId="38C7DEB0">
      <w:pPr>
        <w:pStyle w:val="6"/>
        <w:rPr>
          <w:color w:val="auto"/>
          <w:highlight w:val="none"/>
        </w:rPr>
      </w:pPr>
    </w:p>
    <w:p w14:paraId="100DBC8A">
      <w:pPr>
        <w:pStyle w:val="6"/>
        <w:rPr>
          <w:color w:val="auto"/>
          <w:highlight w:val="none"/>
        </w:rPr>
      </w:pPr>
    </w:p>
    <w:p w14:paraId="720EA2ED">
      <w:pPr>
        <w:pStyle w:val="6"/>
        <w:rPr>
          <w:color w:val="auto"/>
          <w:highlight w:val="none"/>
        </w:rPr>
      </w:pPr>
    </w:p>
    <w:p w14:paraId="74D3E5DE">
      <w:pPr>
        <w:snapToGrid w:val="0"/>
        <w:spacing w:beforeLines="50" w:line="360" w:lineRule="auto"/>
        <w:jc w:val="center"/>
        <w:rPr>
          <w:rFonts w:ascii="宋体" w:hAnsi="宋体"/>
          <w:color w:val="auto"/>
          <w:sz w:val="120"/>
          <w:szCs w:val="120"/>
          <w:highlight w:val="none"/>
        </w:rPr>
      </w:pPr>
      <w:r>
        <w:rPr>
          <w:rFonts w:hint="eastAsia" w:ascii="宋体" w:hAnsi="宋体"/>
          <w:color w:val="auto"/>
          <w:sz w:val="120"/>
          <w:szCs w:val="120"/>
          <w:highlight w:val="none"/>
        </w:rPr>
        <w:t>竞争性磋商文件</w:t>
      </w:r>
    </w:p>
    <w:p w14:paraId="02FD05C7">
      <w:pPr>
        <w:snapToGrid w:val="0"/>
        <w:spacing w:beforeLines="50" w:line="360" w:lineRule="auto"/>
        <w:jc w:val="center"/>
        <w:rPr>
          <w:rFonts w:ascii="宋体" w:hAnsi="宋体"/>
          <w:b/>
          <w:color w:val="auto"/>
          <w:sz w:val="48"/>
          <w:szCs w:val="48"/>
          <w:highlight w:val="none"/>
        </w:rPr>
      </w:pPr>
      <w:r>
        <w:rPr>
          <w:rFonts w:hint="eastAsia" w:ascii="宋体" w:hAnsi="宋体"/>
          <w:b/>
          <w:color w:val="auto"/>
          <w:sz w:val="48"/>
          <w:szCs w:val="48"/>
          <w:highlight w:val="none"/>
        </w:rPr>
        <w:t>（全流程电子化采购）</w:t>
      </w:r>
    </w:p>
    <w:p w14:paraId="58B161CF">
      <w:pPr>
        <w:snapToGrid w:val="0"/>
        <w:spacing w:beforeLines="50" w:line="360" w:lineRule="auto"/>
        <w:jc w:val="center"/>
        <w:rPr>
          <w:rFonts w:ascii="宋体" w:hAnsi="宋体"/>
          <w:b/>
          <w:color w:val="auto"/>
          <w:sz w:val="30"/>
          <w:szCs w:val="72"/>
          <w:highlight w:val="none"/>
        </w:rPr>
      </w:pPr>
    </w:p>
    <w:p w14:paraId="64E97449">
      <w:pPr>
        <w:snapToGrid w:val="0"/>
        <w:spacing w:line="360" w:lineRule="auto"/>
        <w:rPr>
          <w:rFonts w:ascii="宋体" w:hAnsi="宋体"/>
          <w:color w:val="auto"/>
          <w:sz w:val="30"/>
          <w:szCs w:val="72"/>
          <w:highlight w:val="none"/>
        </w:rPr>
      </w:pPr>
    </w:p>
    <w:p w14:paraId="2474D7EC">
      <w:pPr>
        <w:pStyle w:val="14"/>
        <w:snapToGrid w:val="0"/>
        <w:spacing w:line="360" w:lineRule="auto"/>
        <w:ind w:left="2403" w:leftChars="284" w:hanging="1807" w:hangingChars="600"/>
        <w:rPr>
          <w:rFonts w:hAnsi="宋体"/>
          <w:b/>
          <w:bCs/>
          <w:color w:val="auto"/>
          <w:sz w:val="30"/>
          <w:szCs w:val="30"/>
          <w:highlight w:val="none"/>
        </w:rPr>
      </w:pPr>
      <w:r>
        <w:rPr>
          <w:rFonts w:hint="eastAsia" w:hAnsi="宋体"/>
          <w:b/>
          <w:bCs/>
          <w:color w:val="auto"/>
          <w:sz w:val="30"/>
          <w:szCs w:val="30"/>
          <w:highlight w:val="none"/>
        </w:rPr>
        <w:t>项目</w:t>
      </w:r>
      <w:r>
        <w:rPr>
          <w:rFonts w:hint="eastAsia" w:hAnsi="宋体" w:cs="Courier New"/>
          <w:b/>
          <w:bCs/>
          <w:color w:val="auto"/>
          <w:w w:val="95"/>
          <w:sz w:val="30"/>
          <w:szCs w:val="30"/>
          <w:highlight w:val="none"/>
        </w:rPr>
        <w:t>名称</w:t>
      </w:r>
      <w:r>
        <w:rPr>
          <w:rFonts w:hint="eastAsia" w:hAnsi="宋体"/>
          <w:b/>
          <w:bCs/>
          <w:color w:val="auto"/>
          <w:sz w:val="30"/>
          <w:szCs w:val="30"/>
          <w:highlight w:val="none"/>
        </w:rPr>
        <w:t>：广西十万大山国家级自然保护区保护设施设备购置维护与宣传教育项目—保护区各类主题宣传活动</w:t>
      </w:r>
    </w:p>
    <w:p w14:paraId="74ABB3A9">
      <w:pPr>
        <w:snapToGrid w:val="0"/>
        <w:spacing w:line="360" w:lineRule="auto"/>
        <w:ind w:firstLine="599" w:firstLineChars="199"/>
        <w:rPr>
          <w:rFonts w:ascii="宋体" w:hAnsi="宋体"/>
          <w:b/>
          <w:bCs/>
          <w:color w:val="auto"/>
          <w:kern w:val="0"/>
          <w:sz w:val="30"/>
          <w:szCs w:val="30"/>
          <w:highlight w:val="none"/>
        </w:rPr>
      </w:pPr>
    </w:p>
    <w:p w14:paraId="1887A619">
      <w:pPr>
        <w:snapToGrid w:val="0"/>
        <w:spacing w:line="360" w:lineRule="auto"/>
        <w:ind w:firstLine="599" w:firstLineChars="199"/>
        <w:rPr>
          <w:rFonts w:ascii="宋体" w:hAnsi="宋体"/>
          <w:b/>
          <w:bCs/>
          <w:color w:val="auto"/>
          <w:kern w:val="0"/>
          <w:sz w:val="30"/>
          <w:szCs w:val="30"/>
          <w:highlight w:val="none"/>
        </w:rPr>
      </w:pPr>
      <w:r>
        <w:rPr>
          <w:rFonts w:hint="eastAsia" w:ascii="宋体" w:hAnsi="宋体"/>
          <w:b/>
          <w:bCs/>
          <w:color w:val="auto"/>
          <w:kern w:val="0"/>
          <w:sz w:val="30"/>
          <w:szCs w:val="30"/>
          <w:highlight w:val="none"/>
        </w:rPr>
        <w:t>项目编号：FCZC2025-C3-990127-YZLZ</w:t>
      </w:r>
    </w:p>
    <w:p w14:paraId="648024B9">
      <w:pPr>
        <w:snapToGrid w:val="0"/>
        <w:spacing w:line="360" w:lineRule="auto"/>
        <w:ind w:firstLine="1205" w:firstLineChars="400"/>
        <w:jc w:val="center"/>
        <w:rPr>
          <w:rFonts w:ascii="宋体" w:hAnsi="宋体"/>
          <w:b/>
          <w:bCs/>
          <w:color w:val="auto"/>
          <w:kern w:val="0"/>
          <w:sz w:val="30"/>
          <w:szCs w:val="30"/>
          <w:highlight w:val="none"/>
        </w:rPr>
      </w:pPr>
    </w:p>
    <w:p w14:paraId="78D1E3F3">
      <w:pPr>
        <w:pStyle w:val="14"/>
        <w:snapToGrid w:val="0"/>
        <w:spacing w:line="360" w:lineRule="auto"/>
        <w:ind w:firstLine="599" w:firstLineChars="199"/>
        <w:rPr>
          <w:rFonts w:hAnsi="宋体"/>
          <w:b/>
          <w:bCs/>
          <w:color w:val="auto"/>
          <w:sz w:val="30"/>
          <w:szCs w:val="30"/>
          <w:highlight w:val="none"/>
        </w:rPr>
      </w:pPr>
      <w:r>
        <w:rPr>
          <w:rFonts w:hint="eastAsia" w:hAnsi="宋体"/>
          <w:b/>
          <w:bCs/>
          <w:color w:val="auto"/>
          <w:sz w:val="30"/>
          <w:szCs w:val="30"/>
          <w:highlight w:val="none"/>
        </w:rPr>
        <w:t>采 购 人：防城港市十万大山国家级自然保护区管理局</w:t>
      </w:r>
    </w:p>
    <w:p w14:paraId="4CB8921F">
      <w:pPr>
        <w:pStyle w:val="14"/>
        <w:snapToGrid w:val="0"/>
        <w:spacing w:line="360" w:lineRule="auto"/>
        <w:ind w:firstLine="904" w:firstLineChars="300"/>
        <w:jc w:val="center"/>
        <w:rPr>
          <w:rFonts w:hAnsi="宋体"/>
          <w:b/>
          <w:bCs/>
          <w:color w:val="auto"/>
          <w:sz w:val="30"/>
          <w:szCs w:val="30"/>
          <w:highlight w:val="none"/>
        </w:rPr>
      </w:pPr>
    </w:p>
    <w:p w14:paraId="7992C085">
      <w:pPr>
        <w:pStyle w:val="14"/>
        <w:snapToGrid w:val="0"/>
        <w:spacing w:line="360" w:lineRule="auto"/>
        <w:ind w:firstLine="599" w:firstLineChars="199"/>
        <w:rPr>
          <w:rFonts w:hAnsi="宋体"/>
          <w:b/>
          <w:bCs/>
          <w:color w:val="auto"/>
          <w:sz w:val="30"/>
          <w:szCs w:val="30"/>
          <w:highlight w:val="none"/>
        </w:rPr>
      </w:pPr>
      <w:r>
        <w:rPr>
          <w:rFonts w:hint="eastAsia" w:hAnsi="宋体"/>
          <w:b/>
          <w:bCs/>
          <w:color w:val="auto"/>
          <w:sz w:val="30"/>
          <w:szCs w:val="30"/>
          <w:highlight w:val="none"/>
        </w:rPr>
        <w:t>采购代理机构：云之龙咨询集团有限公司</w:t>
      </w:r>
    </w:p>
    <w:p w14:paraId="73AED382">
      <w:pPr>
        <w:pStyle w:val="14"/>
        <w:snapToGrid w:val="0"/>
        <w:spacing w:line="360" w:lineRule="auto"/>
        <w:ind w:firstLine="1125" w:firstLineChars="393"/>
        <w:rPr>
          <w:rFonts w:hAnsi="宋体"/>
          <w:b/>
          <w:bCs/>
          <w:color w:val="auto"/>
          <w:w w:val="95"/>
          <w:sz w:val="30"/>
          <w:szCs w:val="30"/>
          <w:highlight w:val="none"/>
        </w:rPr>
      </w:pPr>
    </w:p>
    <w:p w14:paraId="62147A80">
      <w:pPr>
        <w:pStyle w:val="14"/>
        <w:snapToGrid w:val="0"/>
        <w:spacing w:line="360" w:lineRule="auto"/>
        <w:jc w:val="center"/>
        <w:rPr>
          <w:rFonts w:hAnsi="宋体"/>
          <w:color w:val="auto"/>
          <w:szCs w:val="20"/>
          <w:highlight w:val="none"/>
        </w:rPr>
      </w:pPr>
      <w:r>
        <w:rPr>
          <w:rFonts w:hint="eastAsia" w:hAnsi="宋体"/>
          <w:b/>
          <w:bCs/>
          <w:color w:val="auto"/>
          <w:w w:val="95"/>
          <w:sz w:val="30"/>
          <w:szCs w:val="30"/>
          <w:highlight w:val="none"/>
        </w:rPr>
        <w:t>2025年</w:t>
      </w:r>
      <w:r>
        <w:rPr>
          <w:rFonts w:hint="eastAsia" w:hAnsi="宋体"/>
          <w:b/>
          <w:bCs/>
          <w:color w:val="auto"/>
          <w:w w:val="95"/>
          <w:sz w:val="30"/>
          <w:szCs w:val="30"/>
          <w:highlight w:val="none"/>
          <w:lang w:val="en-US" w:eastAsia="zh-CN"/>
        </w:rPr>
        <w:t>10</w:t>
      </w:r>
      <w:r>
        <w:rPr>
          <w:rFonts w:hint="eastAsia" w:hAnsi="宋体"/>
          <w:b/>
          <w:bCs/>
          <w:color w:val="auto"/>
          <w:w w:val="95"/>
          <w:sz w:val="30"/>
          <w:szCs w:val="30"/>
          <w:highlight w:val="none"/>
        </w:rPr>
        <w:t>月</w:t>
      </w:r>
    </w:p>
    <w:p w14:paraId="4D25286B">
      <w:pPr>
        <w:spacing w:line="360" w:lineRule="auto"/>
        <w:jc w:val="center"/>
        <w:rPr>
          <w:rFonts w:ascii="宋体" w:hAnsi="宋体" w:cs="宋体"/>
          <w:b/>
          <w:bCs/>
          <w:color w:val="auto"/>
          <w:kern w:val="0"/>
          <w:sz w:val="32"/>
          <w:szCs w:val="32"/>
          <w:highlight w:val="none"/>
        </w:rPr>
      </w:pPr>
    </w:p>
    <w:p w14:paraId="4FB887A8">
      <w:pPr>
        <w:spacing w:line="360" w:lineRule="auto"/>
        <w:jc w:val="center"/>
        <w:rPr>
          <w:rFonts w:ascii="宋体" w:hAnsi="宋体"/>
          <w:b/>
          <w:color w:val="auto"/>
          <w:sz w:val="44"/>
          <w:szCs w:val="44"/>
          <w:highlight w:val="none"/>
        </w:rPr>
      </w:pPr>
      <w:r>
        <w:rPr>
          <w:rFonts w:ascii="黑体" w:hAnsi="黑体" w:eastAsia="黑体" w:cs="宋体"/>
          <w:b/>
          <w:bCs/>
          <w:color w:val="auto"/>
          <w:kern w:val="0"/>
          <w:sz w:val="32"/>
          <w:szCs w:val="32"/>
          <w:highlight w:val="none"/>
        </w:rPr>
        <w:br w:type="page"/>
      </w:r>
      <w:r>
        <w:rPr>
          <w:rFonts w:hint="eastAsia" w:ascii="宋体" w:hAnsi="宋体"/>
          <w:b/>
          <w:color w:val="auto"/>
          <w:sz w:val="44"/>
          <w:szCs w:val="44"/>
          <w:highlight w:val="none"/>
        </w:rPr>
        <w:t>目  录</w:t>
      </w:r>
    </w:p>
    <w:p w14:paraId="75EABF15">
      <w:pPr>
        <w:spacing w:line="400" w:lineRule="exact"/>
        <w:jc w:val="center"/>
        <w:rPr>
          <w:rFonts w:ascii="宋体" w:hAnsi="宋体"/>
          <w:b/>
          <w:color w:val="auto"/>
          <w:sz w:val="44"/>
          <w:szCs w:val="44"/>
          <w:highlight w:val="none"/>
        </w:rPr>
      </w:pPr>
    </w:p>
    <w:p w14:paraId="3108C9D1">
      <w:pPr>
        <w:pStyle w:val="19"/>
        <w:tabs>
          <w:tab w:val="right" w:leader="dot" w:pos="8869"/>
        </w:tabs>
        <w:snapToGrid w:val="0"/>
        <w:spacing w:line="500" w:lineRule="atLeast"/>
        <w:rPr>
          <w:rFonts w:ascii="宋体" w:hAns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w:instrText>
      </w:r>
      <w:r>
        <w:rPr>
          <w:rFonts w:hint="eastAsia" w:ascii="宋体" w:hAnsi="宋体"/>
          <w:b/>
          <w:color w:val="auto"/>
          <w:sz w:val="24"/>
          <w:highlight w:val="none"/>
        </w:rPr>
        <w:instrText xml:space="preserve">TOC \o "1-3" \h \z \u</w:instrText>
      </w:r>
      <w:r>
        <w:rPr>
          <w:rFonts w:ascii="宋体" w:hAnsi="宋体"/>
          <w:b/>
          <w:color w:val="auto"/>
          <w:sz w:val="24"/>
          <w:highlight w:val="none"/>
        </w:rPr>
        <w:instrText xml:space="preserve"> </w:instrText>
      </w:r>
      <w:r>
        <w:rPr>
          <w:rFonts w:ascii="宋体" w:hAnsi="宋体"/>
          <w:b/>
          <w:color w:val="auto"/>
          <w:sz w:val="24"/>
          <w:highlight w:val="none"/>
        </w:rPr>
        <w:fldChar w:fldCharType="separate"/>
      </w:r>
      <w:r>
        <w:rPr>
          <w:color w:val="auto"/>
          <w:highlight w:val="none"/>
        </w:rPr>
        <w:fldChar w:fldCharType="begin"/>
      </w:r>
      <w:r>
        <w:rPr>
          <w:color w:val="auto"/>
          <w:highlight w:val="none"/>
        </w:rPr>
        <w:instrText xml:space="preserve"> HYPERLINK \l "_Toc74323456" </w:instrText>
      </w:r>
      <w:r>
        <w:rPr>
          <w:color w:val="auto"/>
          <w:highlight w:val="none"/>
        </w:rPr>
        <w:fldChar w:fldCharType="separate"/>
      </w:r>
      <w:r>
        <w:rPr>
          <w:rFonts w:hint="eastAsia" w:ascii="宋体" w:hAnsi="宋体"/>
          <w:b/>
          <w:color w:val="auto"/>
          <w:sz w:val="24"/>
          <w:highlight w:val="none"/>
        </w:rPr>
        <w:t>第一章</w:t>
      </w:r>
      <w:r>
        <w:rPr>
          <w:rFonts w:ascii="宋体" w:hAnsi="宋体"/>
          <w:b/>
          <w:color w:val="auto"/>
          <w:sz w:val="24"/>
          <w:highlight w:val="none"/>
        </w:rPr>
        <w:t xml:space="preserve"> </w:t>
      </w:r>
      <w:r>
        <w:rPr>
          <w:rFonts w:hint="eastAsia" w:ascii="宋体" w:hAnsi="宋体"/>
          <w:b/>
          <w:color w:val="auto"/>
          <w:sz w:val="24"/>
          <w:highlight w:val="none"/>
        </w:rPr>
        <w:t>竞争性磋商公告</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_Toc74323456 \h </w:instrText>
      </w:r>
      <w:r>
        <w:rPr>
          <w:rFonts w:ascii="宋体" w:hAnsi="宋体"/>
          <w:b/>
          <w:color w:val="auto"/>
          <w:sz w:val="24"/>
          <w:highlight w:val="none"/>
        </w:rPr>
        <w:fldChar w:fldCharType="separate"/>
      </w:r>
      <w:r>
        <w:rPr>
          <w:rFonts w:ascii="宋体" w:hAnsi="宋体"/>
          <w:b/>
          <w:color w:val="auto"/>
          <w:sz w:val="24"/>
          <w:highlight w:val="none"/>
        </w:rPr>
        <w:t>2</w:t>
      </w:r>
      <w:r>
        <w:rPr>
          <w:rFonts w:ascii="宋体" w:hAnsi="宋体"/>
          <w:b/>
          <w:color w:val="auto"/>
          <w:sz w:val="24"/>
          <w:highlight w:val="none"/>
        </w:rPr>
        <w:fldChar w:fldCharType="end"/>
      </w:r>
      <w:r>
        <w:rPr>
          <w:rFonts w:ascii="宋体" w:hAnsi="宋体"/>
          <w:b/>
          <w:color w:val="auto"/>
          <w:sz w:val="24"/>
          <w:highlight w:val="none"/>
        </w:rPr>
        <w:fldChar w:fldCharType="end"/>
      </w:r>
    </w:p>
    <w:p w14:paraId="6C87371D">
      <w:pPr>
        <w:pStyle w:val="19"/>
        <w:tabs>
          <w:tab w:val="right" w:leader="dot" w:pos="8869"/>
        </w:tabs>
        <w:snapToGrid w:val="0"/>
        <w:spacing w:line="500" w:lineRule="atLeast"/>
        <w:rPr>
          <w:rFonts w:ascii="宋体" w:hAnsi="宋体"/>
          <w:b/>
          <w:color w:val="auto"/>
          <w:sz w:val="24"/>
          <w:highlight w:val="none"/>
        </w:rPr>
      </w:pPr>
      <w:r>
        <w:rPr>
          <w:color w:val="auto"/>
          <w:highlight w:val="none"/>
        </w:rPr>
        <w:fldChar w:fldCharType="begin"/>
      </w:r>
      <w:r>
        <w:rPr>
          <w:color w:val="auto"/>
          <w:highlight w:val="none"/>
        </w:rPr>
        <w:instrText xml:space="preserve"> HYPERLINK \l "_Toc74323457" </w:instrText>
      </w:r>
      <w:r>
        <w:rPr>
          <w:color w:val="auto"/>
          <w:highlight w:val="none"/>
        </w:rPr>
        <w:fldChar w:fldCharType="separate"/>
      </w:r>
      <w:r>
        <w:rPr>
          <w:rFonts w:hint="eastAsia" w:ascii="宋体" w:hAnsi="宋体"/>
          <w:b/>
          <w:color w:val="auto"/>
          <w:sz w:val="24"/>
          <w:highlight w:val="none"/>
        </w:rPr>
        <w:t>第二章</w:t>
      </w:r>
      <w:r>
        <w:rPr>
          <w:rFonts w:ascii="宋体" w:hAnsi="宋体"/>
          <w:b/>
          <w:color w:val="auto"/>
          <w:sz w:val="24"/>
          <w:highlight w:val="none"/>
        </w:rPr>
        <w:t xml:space="preserve"> </w:t>
      </w:r>
      <w:r>
        <w:rPr>
          <w:rFonts w:hint="eastAsia" w:ascii="宋体" w:hAnsi="宋体"/>
          <w:b/>
          <w:color w:val="auto"/>
          <w:sz w:val="24"/>
          <w:highlight w:val="none"/>
        </w:rPr>
        <w:t>供应</w:t>
      </w:r>
      <w:bookmarkStart w:id="0" w:name="_Hlt82161237"/>
      <w:r>
        <w:rPr>
          <w:rFonts w:hint="eastAsia" w:ascii="宋体" w:hAnsi="宋体"/>
          <w:b/>
          <w:color w:val="auto"/>
          <w:sz w:val="24"/>
          <w:highlight w:val="none"/>
        </w:rPr>
        <w:t>商</w:t>
      </w:r>
      <w:bookmarkEnd w:id="0"/>
      <w:r>
        <w:rPr>
          <w:rFonts w:hint="eastAsia" w:ascii="宋体" w:hAnsi="宋体"/>
          <w:b/>
          <w:color w:val="auto"/>
          <w:sz w:val="24"/>
          <w:highlight w:val="none"/>
        </w:rPr>
        <w:t>须知</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_Toc74323457 \h </w:instrText>
      </w:r>
      <w:r>
        <w:rPr>
          <w:rFonts w:ascii="宋体" w:hAnsi="宋体"/>
          <w:b/>
          <w:color w:val="auto"/>
          <w:sz w:val="24"/>
          <w:highlight w:val="none"/>
        </w:rPr>
        <w:fldChar w:fldCharType="separate"/>
      </w:r>
      <w:r>
        <w:rPr>
          <w:rFonts w:ascii="宋体" w:hAnsi="宋体"/>
          <w:b/>
          <w:color w:val="auto"/>
          <w:sz w:val="24"/>
          <w:highlight w:val="none"/>
        </w:rPr>
        <w:t>6</w:t>
      </w:r>
      <w:r>
        <w:rPr>
          <w:rFonts w:ascii="宋体" w:hAnsi="宋体"/>
          <w:b/>
          <w:color w:val="auto"/>
          <w:sz w:val="24"/>
          <w:highlight w:val="none"/>
        </w:rPr>
        <w:fldChar w:fldCharType="end"/>
      </w:r>
      <w:r>
        <w:rPr>
          <w:rFonts w:ascii="宋体" w:hAnsi="宋体"/>
          <w:b/>
          <w:color w:val="auto"/>
          <w:sz w:val="24"/>
          <w:highlight w:val="none"/>
        </w:rPr>
        <w:fldChar w:fldCharType="end"/>
      </w:r>
    </w:p>
    <w:p w14:paraId="2943D42B">
      <w:pPr>
        <w:pStyle w:val="19"/>
        <w:tabs>
          <w:tab w:val="right" w:leader="dot" w:pos="8869"/>
        </w:tabs>
        <w:snapToGrid w:val="0"/>
        <w:spacing w:line="500" w:lineRule="atLeast"/>
        <w:rPr>
          <w:rFonts w:ascii="宋体" w:hAnsi="宋体"/>
          <w:b/>
          <w:color w:val="auto"/>
          <w:sz w:val="24"/>
          <w:highlight w:val="none"/>
        </w:rPr>
      </w:pPr>
      <w:r>
        <w:rPr>
          <w:color w:val="auto"/>
          <w:highlight w:val="none"/>
        </w:rPr>
        <w:fldChar w:fldCharType="begin"/>
      </w:r>
      <w:r>
        <w:rPr>
          <w:color w:val="auto"/>
          <w:highlight w:val="none"/>
        </w:rPr>
        <w:instrText xml:space="preserve"> HYPERLINK \l "_Toc74323458" </w:instrText>
      </w:r>
      <w:r>
        <w:rPr>
          <w:color w:val="auto"/>
          <w:highlight w:val="none"/>
        </w:rPr>
        <w:fldChar w:fldCharType="separate"/>
      </w:r>
      <w:r>
        <w:rPr>
          <w:rFonts w:hint="eastAsia" w:ascii="宋体" w:hAnsi="宋体"/>
          <w:b/>
          <w:color w:val="auto"/>
          <w:sz w:val="24"/>
          <w:highlight w:val="none"/>
        </w:rPr>
        <w:t>第三章</w:t>
      </w:r>
      <w:r>
        <w:rPr>
          <w:rFonts w:ascii="宋体" w:hAnsi="宋体"/>
          <w:b/>
          <w:color w:val="auto"/>
          <w:sz w:val="24"/>
          <w:highlight w:val="none"/>
        </w:rPr>
        <w:t xml:space="preserve"> </w:t>
      </w:r>
      <w:r>
        <w:rPr>
          <w:rFonts w:hint="eastAsia" w:ascii="宋体" w:hAnsi="宋体"/>
          <w:b/>
          <w:color w:val="auto"/>
          <w:sz w:val="24"/>
          <w:highlight w:val="none"/>
        </w:rPr>
        <w:t>采购需</w:t>
      </w:r>
      <w:bookmarkStart w:id="1" w:name="_Hlt82166940"/>
      <w:r>
        <w:rPr>
          <w:rFonts w:hint="eastAsia" w:ascii="宋体" w:hAnsi="宋体"/>
          <w:b/>
          <w:color w:val="auto"/>
          <w:sz w:val="24"/>
          <w:highlight w:val="none"/>
        </w:rPr>
        <w:t>求</w:t>
      </w:r>
      <w:bookmarkEnd w:id="1"/>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_Toc74323458 \h </w:instrText>
      </w:r>
      <w:r>
        <w:rPr>
          <w:rFonts w:ascii="宋体" w:hAnsi="宋体"/>
          <w:b/>
          <w:color w:val="auto"/>
          <w:sz w:val="24"/>
          <w:highlight w:val="none"/>
        </w:rPr>
        <w:fldChar w:fldCharType="separate"/>
      </w:r>
      <w:r>
        <w:rPr>
          <w:rFonts w:ascii="宋体" w:hAnsi="宋体"/>
          <w:b/>
          <w:color w:val="auto"/>
          <w:sz w:val="24"/>
          <w:highlight w:val="none"/>
        </w:rPr>
        <w:t>20</w:t>
      </w:r>
      <w:r>
        <w:rPr>
          <w:rFonts w:ascii="宋体" w:hAnsi="宋体"/>
          <w:b/>
          <w:color w:val="auto"/>
          <w:sz w:val="24"/>
          <w:highlight w:val="none"/>
        </w:rPr>
        <w:fldChar w:fldCharType="end"/>
      </w:r>
      <w:r>
        <w:rPr>
          <w:rFonts w:ascii="宋体" w:hAnsi="宋体"/>
          <w:b/>
          <w:color w:val="auto"/>
          <w:sz w:val="24"/>
          <w:highlight w:val="none"/>
        </w:rPr>
        <w:fldChar w:fldCharType="end"/>
      </w:r>
    </w:p>
    <w:p w14:paraId="62649106">
      <w:pPr>
        <w:pStyle w:val="19"/>
        <w:tabs>
          <w:tab w:val="right" w:leader="dot" w:pos="8869"/>
        </w:tabs>
        <w:snapToGrid w:val="0"/>
        <w:spacing w:line="500" w:lineRule="atLeast"/>
        <w:rPr>
          <w:rFonts w:ascii="宋体" w:hAnsi="宋体"/>
          <w:b/>
          <w:color w:val="auto"/>
          <w:sz w:val="24"/>
          <w:highlight w:val="none"/>
        </w:rPr>
      </w:pPr>
      <w:r>
        <w:rPr>
          <w:color w:val="auto"/>
          <w:highlight w:val="none"/>
        </w:rPr>
        <w:fldChar w:fldCharType="begin"/>
      </w:r>
      <w:r>
        <w:rPr>
          <w:color w:val="auto"/>
          <w:highlight w:val="none"/>
        </w:rPr>
        <w:instrText xml:space="preserve"> HYPERLINK \l "_Toc74323459" </w:instrText>
      </w:r>
      <w:r>
        <w:rPr>
          <w:color w:val="auto"/>
          <w:highlight w:val="none"/>
        </w:rPr>
        <w:fldChar w:fldCharType="separate"/>
      </w:r>
      <w:r>
        <w:rPr>
          <w:rFonts w:hint="eastAsia" w:ascii="宋体" w:hAnsi="宋体"/>
          <w:b/>
          <w:color w:val="auto"/>
          <w:sz w:val="24"/>
          <w:highlight w:val="none"/>
        </w:rPr>
        <w:t>第四章</w:t>
      </w:r>
      <w:r>
        <w:rPr>
          <w:rFonts w:ascii="宋体" w:hAnsi="宋体"/>
          <w:b/>
          <w:color w:val="auto"/>
          <w:sz w:val="24"/>
          <w:highlight w:val="none"/>
        </w:rPr>
        <w:t xml:space="preserve"> </w:t>
      </w:r>
      <w:r>
        <w:rPr>
          <w:rFonts w:hint="eastAsia" w:ascii="宋体" w:hAnsi="宋体"/>
          <w:b/>
          <w:color w:val="auto"/>
          <w:sz w:val="24"/>
          <w:highlight w:val="none"/>
        </w:rPr>
        <w:t>评审程序、</w:t>
      </w:r>
      <w:bookmarkStart w:id="2" w:name="_Hlt82166000"/>
      <w:r>
        <w:rPr>
          <w:rFonts w:hint="eastAsia" w:ascii="宋体" w:hAnsi="宋体"/>
          <w:b/>
          <w:color w:val="auto"/>
          <w:sz w:val="24"/>
          <w:highlight w:val="none"/>
        </w:rPr>
        <w:t>评</w:t>
      </w:r>
      <w:bookmarkEnd w:id="2"/>
      <w:r>
        <w:rPr>
          <w:rFonts w:hint="eastAsia" w:ascii="宋体" w:hAnsi="宋体"/>
          <w:b/>
          <w:color w:val="auto"/>
          <w:sz w:val="24"/>
          <w:highlight w:val="none"/>
        </w:rPr>
        <w:t>审方法和评审标准</w:t>
      </w:r>
      <w:r>
        <w:rPr>
          <w:rFonts w:ascii="宋体" w:hAnsi="宋体"/>
          <w:b/>
          <w:color w:val="auto"/>
          <w:sz w:val="24"/>
          <w:highlight w:val="none"/>
        </w:rPr>
        <w:tab/>
      </w:r>
      <w:r>
        <w:rPr>
          <w:rFonts w:hint="eastAsia" w:ascii="宋体" w:hAnsi="宋体"/>
          <w:b/>
          <w:color w:val="auto"/>
          <w:sz w:val="24"/>
          <w:highlight w:val="none"/>
        </w:rPr>
        <w:t>2</w:t>
      </w:r>
      <w:r>
        <w:rPr>
          <w:rFonts w:hint="eastAsia" w:ascii="宋体" w:hAnsi="宋体"/>
          <w:b/>
          <w:color w:val="auto"/>
          <w:sz w:val="24"/>
          <w:highlight w:val="none"/>
        </w:rPr>
        <w:fldChar w:fldCharType="end"/>
      </w:r>
      <w:r>
        <w:rPr>
          <w:rFonts w:hint="eastAsia" w:ascii="宋体" w:hAnsi="宋体"/>
          <w:b/>
          <w:color w:val="auto"/>
          <w:sz w:val="24"/>
          <w:highlight w:val="none"/>
        </w:rPr>
        <w:t>3</w:t>
      </w:r>
    </w:p>
    <w:p w14:paraId="0EECCBE0">
      <w:pPr>
        <w:pStyle w:val="19"/>
        <w:tabs>
          <w:tab w:val="right" w:leader="dot" w:pos="8869"/>
        </w:tabs>
        <w:snapToGrid w:val="0"/>
        <w:spacing w:line="500" w:lineRule="atLeast"/>
        <w:rPr>
          <w:rFonts w:hint="eastAsia" w:ascii="宋体" w:hAnsi="宋体" w:eastAsia="宋体"/>
          <w:b/>
          <w:color w:val="auto"/>
          <w:sz w:val="24"/>
          <w:highlight w:val="none"/>
          <w:lang w:eastAsia="zh-CN"/>
        </w:rPr>
      </w:pPr>
      <w:r>
        <w:rPr>
          <w:color w:val="auto"/>
          <w:highlight w:val="none"/>
        </w:rPr>
        <w:fldChar w:fldCharType="begin"/>
      </w:r>
      <w:r>
        <w:rPr>
          <w:color w:val="auto"/>
          <w:highlight w:val="none"/>
        </w:rPr>
        <w:instrText xml:space="preserve"> HYPERLINK \l "_Toc74323460" </w:instrText>
      </w:r>
      <w:r>
        <w:rPr>
          <w:color w:val="auto"/>
          <w:highlight w:val="none"/>
        </w:rPr>
        <w:fldChar w:fldCharType="separate"/>
      </w:r>
      <w:r>
        <w:rPr>
          <w:rFonts w:hint="eastAsia" w:ascii="宋体" w:hAnsi="宋体"/>
          <w:b/>
          <w:color w:val="auto"/>
          <w:sz w:val="24"/>
          <w:highlight w:val="none"/>
        </w:rPr>
        <w:t>第五章</w:t>
      </w:r>
      <w:r>
        <w:rPr>
          <w:rFonts w:ascii="宋体" w:hAnsi="宋体"/>
          <w:b/>
          <w:color w:val="auto"/>
          <w:sz w:val="24"/>
          <w:highlight w:val="none"/>
        </w:rPr>
        <w:t xml:space="preserve"> </w:t>
      </w:r>
      <w:r>
        <w:rPr>
          <w:rFonts w:hint="eastAsia" w:ascii="宋体" w:hAnsi="宋体"/>
          <w:b/>
          <w:color w:val="auto"/>
          <w:sz w:val="24"/>
          <w:highlight w:val="none"/>
        </w:rPr>
        <w:t>响应文件格式</w:t>
      </w:r>
      <w:r>
        <w:rPr>
          <w:rFonts w:ascii="宋体" w:hAnsi="宋体"/>
          <w:b/>
          <w:color w:val="auto"/>
          <w:sz w:val="24"/>
          <w:highlight w:val="none"/>
        </w:rPr>
        <w:tab/>
      </w:r>
      <w:r>
        <w:rPr>
          <w:rFonts w:ascii="宋体" w:hAnsi="宋体"/>
          <w:b/>
          <w:color w:val="auto"/>
          <w:sz w:val="24"/>
          <w:highlight w:val="none"/>
        </w:rPr>
        <w:fldChar w:fldCharType="end"/>
      </w:r>
      <w:r>
        <w:rPr>
          <w:rFonts w:hint="eastAsia" w:ascii="宋体" w:hAnsi="宋体"/>
          <w:b/>
          <w:color w:val="auto"/>
          <w:sz w:val="24"/>
          <w:highlight w:val="none"/>
        </w:rPr>
        <w:t>3</w:t>
      </w:r>
      <w:r>
        <w:rPr>
          <w:rFonts w:hint="eastAsia" w:ascii="宋体" w:hAnsi="宋体"/>
          <w:b/>
          <w:color w:val="auto"/>
          <w:sz w:val="24"/>
          <w:highlight w:val="none"/>
          <w:lang w:val="en-US" w:eastAsia="zh-CN"/>
        </w:rPr>
        <w:t>2</w:t>
      </w:r>
    </w:p>
    <w:p w14:paraId="05C0C296">
      <w:pPr>
        <w:pStyle w:val="19"/>
        <w:tabs>
          <w:tab w:val="right" w:leader="dot" w:pos="8869"/>
        </w:tabs>
        <w:snapToGrid w:val="0"/>
        <w:spacing w:line="500" w:lineRule="atLeast"/>
        <w:rPr>
          <w:rFonts w:hint="eastAsia" w:ascii="宋体" w:hAnsi="宋体" w:eastAsia="宋体"/>
          <w:color w:val="auto"/>
          <w:sz w:val="24"/>
          <w:highlight w:val="none"/>
          <w:lang w:eastAsia="zh-CN"/>
        </w:rPr>
      </w:pPr>
      <w:r>
        <w:rPr>
          <w:color w:val="auto"/>
          <w:highlight w:val="none"/>
        </w:rPr>
        <w:fldChar w:fldCharType="begin"/>
      </w:r>
      <w:r>
        <w:rPr>
          <w:color w:val="auto"/>
          <w:highlight w:val="none"/>
        </w:rPr>
        <w:instrText xml:space="preserve"> HYPERLINK \l "_Toc74323461" </w:instrText>
      </w:r>
      <w:r>
        <w:rPr>
          <w:color w:val="auto"/>
          <w:highlight w:val="none"/>
        </w:rPr>
        <w:fldChar w:fldCharType="separate"/>
      </w:r>
      <w:r>
        <w:rPr>
          <w:rFonts w:hint="eastAsia" w:ascii="宋体" w:hAnsi="宋体"/>
          <w:b/>
          <w:color w:val="auto"/>
          <w:sz w:val="24"/>
          <w:highlight w:val="none"/>
        </w:rPr>
        <w:t>第六章</w:t>
      </w:r>
      <w:r>
        <w:rPr>
          <w:rFonts w:ascii="宋体" w:hAnsi="宋体"/>
          <w:b/>
          <w:color w:val="auto"/>
          <w:sz w:val="24"/>
          <w:highlight w:val="none"/>
        </w:rPr>
        <w:t xml:space="preserve"> </w:t>
      </w:r>
      <w:r>
        <w:rPr>
          <w:rFonts w:hint="eastAsia" w:ascii="宋体" w:hAnsi="宋体"/>
          <w:b/>
          <w:color w:val="auto"/>
          <w:sz w:val="24"/>
          <w:highlight w:val="none"/>
        </w:rPr>
        <w:t>合同文本</w:t>
      </w:r>
      <w:r>
        <w:rPr>
          <w:rFonts w:ascii="宋体" w:hAnsi="宋体"/>
          <w:b/>
          <w:color w:val="auto"/>
          <w:sz w:val="24"/>
          <w:highlight w:val="none"/>
        </w:rPr>
        <w:tab/>
      </w:r>
      <w:r>
        <w:rPr>
          <w:rFonts w:hint="eastAsia" w:ascii="宋体" w:hAnsi="宋体"/>
          <w:b/>
          <w:color w:val="auto"/>
          <w:sz w:val="24"/>
          <w:highlight w:val="none"/>
        </w:rPr>
        <w:t>5</w:t>
      </w:r>
      <w:r>
        <w:rPr>
          <w:rFonts w:hint="eastAsia" w:ascii="宋体" w:hAnsi="宋体"/>
          <w:b/>
          <w:color w:val="auto"/>
          <w:sz w:val="24"/>
          <w:highlight w:val="none"/>
        </w:rPr>
        <w:fldChar w:fldCharType="end"/>
      </w:r>
      <w:r>
        <w:rPr>
          <w:rFonts w:hint="eastAsia" w:ascii="宋体" w:hAnsi="宋体"/>
          <w:b/>
          <w:color w:val="auto"/>
          <w:sz w:val="24"/>
          <w:highlight w:val="none"/>
          <w:lang w:val="en-US" w:eastAsia="zh-CN"/>
        </w:rPr>
        <w:t>8</w:t>
      </w:r>
    </w:p>
    <w:p w14:paraId="40FE818C">
      <w:pPr>
        <w:pStyle w:val="20"/>
        <w:tabs>
          <w:tab w:val="right" w:leader="dot" w:pos="8931"/>
          <w:tab w:val="clear" w:pos="8296"/>
        </w:tabs>
        <w:snapToGrid w:val="0"/>
        <w:spacing w:line="500" w:lineRule="atLeast"/>
        <w:ind w:left="0" w:leftChars="0"/>
        <w:rPr>
          <w:rFonts w:ascii="宋体" w:hAnsi="宋体"/>
          <w:b/>
          <w:color w:val="auto"/>
          <w:sz w:val="24"/>
          <w:highlight w:val="none"/>
        </w:rPr>
      </w:pPr>
      <w:r>
        <w:rPr>
          <w:rFonts w:ascii="宋体" w:hAnsi="宋体"/>
          <w:b/>
          <w:color w:val="auto"/>
          <w:sz w:val="24"/>
          <w:highlight w:val="none"/>
        </w:rPr>
        <w:fldChar w:fldCharType="end"/>
      </w:r>
    </w:p>
    <w:p w14:paraId="0C2DA4FB">
      <w:pPr>
        <w:spacing w:line="400" w:lineRule="exact"/>
        <w:jc w:val="left"/>
        <w:rPr>
          <w:rFonts w:ascii="宋体" w:hAnsi="宋体"/>
          <w:b/>
          <w:color w:val="auto"/>
          <w:sz w:val="32"/>
          <w:szCs w:val="32"/>
          <w:highlight w:val="none"/>
        </w:rPr>
      </w:pPr>
    </w:p>
    <w:p w14:paraId="0F395822">
      <w:pPr>
        <w:spacing w:line="400" w:lineRule="exact"/>
        <w:jc w:val="center"/>
        <w:rPr>
          <w:rFonts w:ascii="宋体" w:hAnsi="宋体"/>
          <w:b/>
          <w:color w:val="auto"/>
          <w:sz w:val="32"/>
          <w:szCs w:val="32"/>
          <w:highlight w:val="none"/>
        </w:rPr>
      </w:pPr>
    </w:p>
    <w:p w14:paraId="7418A081">
      <w:pPr>
        <w:spacing w:line="400" w:lineRule="exact"/>
        <w:jc w:val="center"/>
        <w:rPr>
          <w:rFonts w:ascii="宋体" w:hAnsi="宋体"/>
          <w:b/>
          <w:color w:val="auto"/>
          <w:sz w:val="32"/>
          <w:szCs w:val="32"/>
          <w:highlight w:val="none"/>
        </w:rPr>
      </w:pPr>
    </w:p>
    <w:p w14:paraId="5335D3BC">
      <w:pPr>
        <w:spacing w:line="400" w:lineRule="exact"/>
        <w:jc w:val="center"/>
        <w:rPr>
          <w:rFonts w:ascii="宋体" w:hAnsi="宋体"/>
          <w:b/>
          <w:color w:val="auto"/>
          <w:sz w:val="32"/>
          <w:szCs w:val="32"/>
          <w:highlight w:val="none"/>
        </w:rPr>
      </w:pPr>
    </w:p>
    <w:p w14:paraId="088EB11D">
      <w:pPr>
        <w:spacing w:line="400" w:lineRule="exact"/>
        <w:jc w:val="center"/>
        <w:rPr>
          <w:rFonts w:ascii="宋体" w:hAnsi="宋体"/>
          <w:b/>
          <w:color w:val="auto"/>
          <w:sz w:val="32"/>
          <w:szCs w:val="32"/>
          <w:highlight w:val="none"/>
        </w:rPr>
      </w:pPr>
    </w:p>
    <w:p w14:paraId="0E450F2E">
      <w:pPr>
        <w:spacing w:line="400" w:lineRule="exact"/>
        <w:rPr>
          <w:rFonts w:ascii="宋体" w:hAnsi="宋体"/>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440" w:bottom="1440" w:left="1587" w:header="851" w:footer="992" w:gutter="0"/>
          <w:pgNumType w:start="0"/>
          <w:cols w:space="720" w:num="1"/>
          <w:titlePg/>
          <w:docGrid w:type="lines" w:linePitch="312" w:charSpace="0"/>
        </w:sectPr>
      </w:pPr>
    </w:p>
    <w:p w14:paraId="445BBBF8">
      <w:pPr>
        <w:pStyle w:val="2"/>
        <w:spacing w:line="360" w:lineRule="auto"/>
        <w:jc w:val="center"/>
        <w:rPr>
          <w:color w:val="auto"/>
          <w:highlight w:val="none"/>
        </w:rPr>
      </w:pPr>
      <w:bookmarkStart w:id="3" w:name="_Toc74323456"/>
      <w:r>
        <w:rPr>
          <w:rFonts w:hint="eastAsia"/>
          <w:color w:val="auto"/>
          <w:highlight w:val="none"/>
        </w:rPr>
        <w:t>第一章 竞争性磋商公告</w:t>
      </w:r>
      <w:bookmarkEnd w:id="3"/>
    </w:p>
    <w:p w14:paraId="109C82A6">
      <w:pPr>
        <w:jc w:val="center"/>
        <w:rPr>
          <w:rFonts w:ascii="宋体" w:hAnsi="宋体"/>
          <w:b/>
          <w:bCs/>
          <w:color w:val="auto"/>
          <w:sz w:val="32"/>
          <w:szCs w:val="32"/>
          <w:highlight w:val="none"/>
        </w:rPr>
      </w:pPr>
      <w:r>
        <w:rPr>
          <w:rFonts w:hint="eastAsia" w:ascii="宋体" w:hAnsi="宋体"/>
          <w:b/>
          <w:bCs/>
          <w:color w:val="auto"/>
          <w:sz w:val="32"/>
          <w:szCs w:val="32"/>
          <w:highlight w:val="none"/>
        </w:rPr>
        <w:t>广西十万大山国家级自然保护区保护设施设备购置维护与宣传教育项目—保护区各类主题宣传活动竞争性磋商公告</w:t>
      </w:r>
    </w:p>
    <w:p w14:paraId="52BBE32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bookmarkStart w:id="4" w:name="_Hlk37430271"/>
      <w:r>
        <w:rPr>
          <w:rFonts w:hint="eastAsia" w:ascii="宋体" w:hAnsi="宋体"/>
          <w:color w:val="auto"/>
          <w:szCs w:val="21"/>
          <w:highlight w:val="none"/>
        </w:rPr>
        <w:t>项目概况</w:t>
      </w:r>
    </w:p>
    <w:p w14:paraId="178BB85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广西十万大山国家级自然保护区保护设施设备购置维护与宣传教育项目—保护区各类主题宣传活动的潜在供应商应在</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）获取（下载）竞争性磋商文件，并于2025</w:t>
      </w:r>
      <w:r>
        <w:rPr>
          <w:rFonts w:hint="eastAsia" w:ascii="宋体" w:hAnsi="宋体"/>
          <w:bCs/>
          <w:color w:val="auto"/>
          <w:szCs w:val="21"/>
          <w:highlight w:val="none"/>
        </w:rPr>
        <w:t>年</w:t>
      </w:r>
      <w:r>
        <w:rPr>
          <w:rFonts w:hint="eastAsia" w:ascii="宋体" w:hAnsi="宋体"/>
          <w:bCs/>
          <w:color w:val="auto"/>
          <w:szCs w:val="21"/>
          <w:highlight w:val="none"/>
          <w:lang w:val="en-US" w:eastAsia="zh-CN"/>
        </w:rPr>
        <w:t>10</w:t>
      </w:r>
      <w:r>
        <w:rPr>
          <w:rFonts w:hint="eastAsia" w:ascii="宋体" w:hAnsi="宋体"/>
          <w:bCs/>
          <w:color w:val="auto"/>
          <w:szCs w:val="21"/>
          <w:highlight w:val="none"/>
        </w:rPr>
        <w:t>月</w:t>
      </w:r>
      <w:r>
        <w:rPr>
          <w:rFonts w:hint="eastAsia" w:ascii="宋体" w:hAnsi="宋体"/>
          <w:bCs/>
          <w:color w:val="auto"/>
          <w:szCs w:val="21"/>
          <w:highlight w:val="none"/>
          <w:lang w:val="en-US" w:eastAsia="zh-CN"/>
        </w:rPr>
        <w:t>20</w:t>
      </w:r>
      <w:r>
        <w:rPr>
          <w:rFonts w:hint="eastAsia" w:ascii="宋体" w:hAnsi="宋体"/>
          <w:bCs/>
          <w:color w:val="auto"/>
          <w:szCs w:val="21"/>
          <w:highlight w:val="none"/>
        </w:rPr>
        <w:t>日</w:t>
      </w:r>
      <w:r>
        <w:rPr>
          <w:rFonts w:hint="eastAsia" w:ascii="宋体" w:hAnsi="宋体"/>
          <w:bCs/>
          <w:color w:val="auto"/>
          <w:szCs w:val="21"/>
          <w:highlight w:val="none"/>
          <w:lang w:val="en-US" w:eastAsia="zh-CN"/>
        </w:rPr>
        <w:t>13</w:t>
      </w:r>
      <w:r>
        <w:rPr>
          <w:rFonts w:hint="eastAsia" w:ascii="宋体" w:hAnsi="宋体"/>
          <w:bCs/>
          <w:color w:val="auto"/>
          <w:szCs w:val="21"/>
          <w:highlight w:val="none"/>
        </w:rPr>
        <w:t>时30分（北京时间）前提交（上传）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18250B24">
      <w:pPr>
        <w:ind w:firstLine="354" w:firstLineChars="147"/>
        <w:rPr>
          <w:rFonts w:ascii="黑体" w:hAnsi="黑体" w:eastAsia="黑体"/>
          <w:b/>
          <w:color w:val="auto"/>
          <w:sz w:val="24"/>
          <w:highlight w:val="none"/>
        </w:rPr>
      </w:pPr>
      <w:bookmarkStart w:id="5" w:name="_Toc35393629"/>
      <w:bookmarkStart w:id="6" w:name="_Toc35393798"/>
      <w:bookmarkStart w:id="7" w:name="_Toc28359012"/>
      <w:bookmarkStart w:id="8" w:name="_Toc28359089"/>
      <w:bookmarkStart w:id="9" w:name="_Toc44229878"/>
      <w:bookmarkStart w:id="10" w:name="_Toc71365905"/>
      <w:r>
        <w:rPr>
          <w:rFonts w:hint="eastAsia" w:ascii="黑体" w:hAnsi="黑体" w:eastAsia="黑体"/>
          <w:b/>
          <w:color w:val="auto"/>
          <w:sz w:val="24"/>
          <w:highlight w:val="none"/>
        </w:rPr>
        <w:t>一、项目基本情况</w:t>
      </w:r>
      <w:bookmarkEnd w:id="5"/>
      <w:bookmarkEnd w:id="6"/>
      <w:bookmarkEnd w:id="7"/>
      <w:bookmarkEnd w:id="8"/>
      <w:bookmarkEnd w:id="9"/>
      <w:bookmarkEnd w:id="10"/>
    </w:p>
    <w:p w14:paraId="04A3EB2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项目编号：FCZC2025-C3-990127-YZLZ</w:t>
      </w:r>
    </w:p>
    <w:p w14:paraId="222BD99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项目名称：广西十万大山国家级自然保护区保护设施设备购置维护与宣传教育项目—保护区各类主题宣传活动</w:t>
      </w:r>
    </w:p>
    <w:p w14:paraId="05B79CF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采购方式：竞争性磋商</w:t>
      </w:r>
    </w:p>
    <w:p w14:paraId="45E84A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预算金额：人民币捌拾伍万伍仟元整（¥855,000.00）</w:t>
      </w:r>
    </w:p>
    <w:p w14:paraId="45B0FCA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最高限价：同预算</w:t>
      </w:r>
    </w:p>
    <w:p w14:paraId="47F6D88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采购需求：广西十万大山国家级自然保护区保护设施设备购置维护与宣传教育项目—保护区各类主题宣传活动1项，具体详见附件采购需求。</w:t>
      </w:r>
    </w:p>
    <w:p w14:paraId="1C9776CD">
      <w:pPr>
        <w:pStyle w:val="6"/>
        <w:spacing w:line="360" w:lineRule="auto"/>
        <w:rPr>
          <w:rFonts w:ascii="宋体" w:hAnsi="宋体"/>
          <w:color w:val="auto"/>
          <w:szCs w:val="21"/>
          <w:highlight w:val="none"/>
        </w:rPr>
      </w:pPr>
      <w:r>
        <w:rPr>
          <w:rFonts w:hint="eastAsia" w:ascii="宋体" w:hAnsi="宋体"/>
          <w:color w:val="auto"/>
          <w:szCs w:val="21"/>
          <w:highlight w:val="none"/>
        </w:rPr>
        <w:t>合同履行期限：自合同签订之日起至广西十万大山国家级自然保护区保护设施设备购置维护与宣传教育项目—保护区各类主题宣传活动结束并通过验收之日止。</w:t>
      </w:r>
    </w:p>
    <w:p w14:paraId="1FA9FC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本项目不接受联合体竞标。</w:t>
      </w:r>
    </w:p>
    <w:p w14:paraId="0B7E581A">
      <w:pPr>
        <w:ind w:firstLine="354" w:firstLineChars="147"/>
        <w:rPr>
          <w:rFonts w:ascii="黑体" w:hAnsi="黑体" w:eastAsia="黑体"/>
          <w:b/>
          <w:color w:val="auto"/>
          <w:sz w:val="24"/>
          <w:highlight w:val="none"/>
        </w:rPr>
      </w:pPr>
      <w:bookmarkStart w:id="11" w:name="_Toc28359013"/>
      <w:bookmarkStart w:id="12" w:name="_Toc44229879"/>
      <w:bookmarkStart w:id="13" w:name="_Toc35393630"/>
      <w:bookmarkStart w:id="14" w:name="_Toc28359090"/>
      <w:bookmarkStart w:id="15" w:name="_Toc35393799"/>
      <w:bookmarkStart w:id="16" w:name="_Toc71365906"/>
      <w:r>
        <w:rPr>
          <w:rFonts w:hint="eastAsia" w:ascii="黑体" w:hAnsi="黑体" w:eastAsia="黑体"/>
          <w:b/>
          <w:color w:val="auto"/>
          <w:sz w:val="24"/>
          <w:highlight w:val="none"/>
        </w:rPr>
        <w:t>二、申请人的资格条件：</w:t>
      </w:r>
      <w:bookmarkEnd w:id="11"/>
      <w:bookmarkEnd w:id="12"/>
      <w:bookmarkEnd w:id="13"/>
      <w:bookmarkEnd w:id="14"/>
      <w:bookmarkEnd w:id="15"/>
      <w:bookmarkEnd w:id="16"/>
    </w:p>
    <w:p w14:paraId="1BCE065C">
      <w:pPr>
        <w:spacing w:line="360" w:lineRule="auto"/>
        <w:ind w:firstLine="420" w:firstLineChars="200"/>
        <w:rPr>
          <w:rFonts w:ascii="宋体" w:hAnsi="宋体"/>
          <w:color w:val="auto"/>
          <w:szCs w:val="21"/>
          <w:highlight w:val="none"/>
        </w:rPr>
      </w:pPr>
      <w:bookmarkStart w:id="17" w:name="_Toc28359091"/>
      <w:bookmarkStart w:id="18" w:name="_Toc28359014"/>
      <w:bookmarkStart w:id="19" w:name="_Toc44229880"/>
      <w:bookmarkStart w:id="20" w:name="_Toc35393631"/>
      <w:bookmarkStart w:id="21" w:name="_Toc35393800"/>
      <w:r>
        <w:rPr>
          <w:rFonts w:hint="eastAsia" w:ascii="宋体" w:hAnsi="宋体"/>
          <w:color w:val="auto"/>
          <w:szCs w:val="21"/>
          <w:highlight w:val="none"/>
        </w:rPr>
        <w:t>1.满足《中华人民共和国政府采购法》第二十二条规定；</w:t>
      </w:r>
    </w:p>
    <w:p w14:paraId="2429F6B2">
      <w:pPr>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p>
    <w:p w14:paraId="76F3106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（1）本项目为专门面向小</w:t>
      </w:r>
      <w:r>
        <w:rPr>
          <w:rFonts w:hint="eastAsia" w:ascii="宋体" w:hAnsi="宋体"/>
          <w:color w:val="auto"/>
          <w:szCs w:val="21"/>
          <w:highlight w:val="none"/>
          <w:lang w:eastAsia="zh-CN"/>
        </w:rPr>
        <w:t>微</w:t>
      </w:r>
      <w:r>
        <w:rPr>
          <w:rFonts w:hint="eastAsia" w:ascii="宋体" w:hAnsi="宋体"/>
          <w:color w:val="auto"/>
          <w:szCs w:val="21"/>
          <w:highlight w:val="none"/>
        </w:rPr>
        <w:t>企业采购项目；</w:t>
      </w:r>
      <w:r>
        <w:rPr>
          <w:rFonts w:hint="eastAsia" w:ascii="宋体" w:hAnsi="宋体"/>
          <w:color w:val="auto"/>
          <w:szCs w:val="21"/>
          <w:highlight w:val="none"/>
          <w:lang w:eastAsia="zh-CN"/>
        </w:rPr>
        <w:t>参与竞标</w:t>
      </w:r>
      <w:r>
        <w:rPr>
          <w:rFonts w:hint="eastAsia" w:ascii="宋体" w:hAnsi="宋体"/>
          <w:color w:val="auto"/>
          <w:szCs w:val="21"/>
          <w:highlight w:val="none"/>
        </w:rPr>
        <w:t>的供应商必须为《政府采购促进中小企业发展管理办法》（财库〔2020〕46号）规定的小型、微型企业；</w:t>
      </w:r>
    </w:p>
    <w:p w14:paraId="0676336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（2）按照《财政部、司法部关于政府采购支持监狱企业发展有关问题的通知》（财库〔2014〕68号）的规定，监狱企业视同小型、微型企业。</w:t>
      </w:r>
    </w:p>
    <w:p w14:paraId="6A0A482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（3）按照《关于促进残疾人就业政府采购政策的通知》（财库〔2017〕141号）的规定，残疾人福利性单位视同小型、微型企业。</w:t>
      </w:r>
    </w:p>
    <w:p w14:paraId="21DAC5A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3.本项目的特定资格要求：无。</w:t>
      </w:r>
    </w:p>
    <w:p w14:paraId="4D2B1AD7">
      <w:pPr>
        <w:ind w:firstLine="354" w:firstLineChars="147"/>
        <w:rPr>
          <w:rFonts w:ascii="黑体" w:hAnsi="黑体" w:eastAsia="黑体"/>
          <w:b/>
          <w:color w:val="auto"/>
          <w:sz w:val="24"/>
          <w:highlight w:val="none"/>
        </w:rPr>
      </w:pPr>
      <w:bookmarkStart w:id="22" w:name="_Toc71365907"/>
      <w:r>
        <w:rPr>
          <w:rFonts w:hint="eastAsia" w:ascii="黑体" w:hAnsi="黑体" w:eastAsia="黑体"/>
          <w:b/>
          <w:color w:val="auto"/>
          <w:sz w:val="24"/>
          <w:highlight w:val="none"/>
        </w:rPr>
        <w:t>三、获取竞争性磋商文件</w:t>
      </w:r>
      <w:bookmarkEnd w:id="17"/>
      <w:bookmarkEnd w:id="18"/>
      <w:bookmarkEnd w:id="19"/>
      <w:bookmarkEnd w:id="20"/>
      <w:bookmarkEnd w:id="21"/>
      <w:bookmarkEnd w:id="22"/>
    </w:p>
    <w:p w14:paraId="6271BDA1">
      <w:pPr>
        <w:spacing w:line="360" w:lineRule="auto"/>
        <w:ind w:firstLine="420" w:firstLineChars="200"/>
        <w:rPr>
          <w:rFonts w:ascii="宋体" w:hAnsi="宋体" w:cs="宋体"/>
          <w:bCs/>
          <w:color w:val="auto"/>
          <w:kern w:val="0"/>
          <w:szCs w:val="21"/>
          <w:highlight w:val="none"/>
        </w:rPr>
      </w:pPr>
      <w:bookmarkStart w:id="23" w:name="_Toc35393801"/>
      <w:bookmarkStart w:id="24" w:name="_Toc35393632"/>
      <w:bookmarkStart w:id="25" w:name="_Toc44229881"/>
      <w:bookmarkStart w:id="26" w:name="_Toc28359015"/>
      <w:bookmarkStart w:id="27" w:name="_Toc28359092"/>
      <w:r>
        <w:rPr>
          <w:rFonts w:hint="eastAsia" w:ascii="宋体" w:hAnsi="宋体" w:cs="宋体"/>
          <w:bCs/>
          <w:color w:val="auto"/>
          <w:kern w:val="0"/>
          <w:szCs w:val="21"/>
          <w:highlight w:val="none"/>
        </w:rPr>
        <w:t>时间：</w:t>
      </w:r>
      <w:r>
        <w:rPr>
          <w:rFonts w:hint="eastAsia" w:ascii="宋体" w:hAnsi="宋体"/>
          <w:bCs/>
          <w:color w:val="auto"/>
          <w:szCs w:val="21"/>
          <w:highlight w:val="none"/>
        </w:rPr>
        <w:t>2025年</w:t>
      </w:r>
      <w:r>
        <w:rPr>
          <w:rFonts w:hint="eastAsia" w:ascii="宋体" w:hAnsi="宋体"/>
          <w:bCs/>
          <w:color w:val="auto"/>
          <w:szCs w:val="21"/>
          <w:highlight w:val="none"/>
          <w:lang w:val="en-US" w:eastAsia="zh-CN"/>
        </w:rPr>
        <w:t>10</w:t>
      </w:r>
      <w:r>
        <w:rPr>
          <w:rFonts w:hint="eastAsia" w:ascii="宋体" w:hAnsi="宋体"/>
          <w:bCs/>
          <w:color w:val="auto"/>
          <w:szCs w:val="21"/>
          <w:highlight w:val="none"/>
        </w:rPr>
        <w:t>月</w:t>
      </w:r>
      <w:r>
        <w:rPr>
          <w:rFonts w:hint="eastAsia" w:ascii="宋体" w:hAnsi="宋体"/>
          <w:bCs/>
          <w:color w:val="auto"/>
          <w:szCs w:val="21"/>
          <w:highlight w:val="none"/>
          <w:lang w:val="en-US" w:eastAsia="zh-CN"/>
        </w:rPr>
        <w:t>9</w:t>
      </w:r>
      <w:r>
        <w:rPr>
          <w:rFonts w:hint="eastAsia" w:ascii="宋体" w:hAnsi="宋体"/>
          <w:bCs/>
          <w:color w:val="auto"/>
          <w:szCs w:val="21"/>
          <w:highlight w:val="none"/>
        </w:rPr>
        <w:t>日</w:t>
      </w:r>
      <w:r>
        <w:rPr>
          <w:rFonts w:hint="eastAsia" w:ascii="宋体" w:hAnsi="宋体" w:cs="宋体"/>
          <w:bCs/>
          <w:color w:val="auto"/>
          <w:kern w:val="0"/>
          <w:szCs w:val="21"/>
          <w:highlight w:val="none"/>
        </w:rPr>
        <w:t>至</w:t>
      </w:r>
      <w:r>
        <w:rPr>
          <w:rFonts w:hint="eastAsia" w:ascii="宋体" w:hAnsi="宋体"/>
          <w:bCs/>
          <w:color w:val="auto"/>
          <w:szCs w:val="21"/>
          <w:highlight w:val="none"/>
        </w:rPr>
        <w:t>2025年</w:t>
      </w:r>
      <w:r>
        <w:rPr>
          <w:rFonts w:hint="eastAsia" w:ascii="宋体" w:hAnsi="宋体"/>
          <w:bCs/>
          <w:color w:val="auto"/>
          <w:szCs w:val="21"/>
          <w:highlight w:val="none"/>
          <w:lang w:val="en-US" w:eastAsia="zh-CN"/>
        </w:rPr>
        <w:t>10月15</w:t>
      </w:r>
      <w:r>
        <w:rPr>
          <w:rFonts w:hint="eastAsia" w:ascii="宋体" w:hAnsi="宋体"/>
          <w:bCs/>
          <w:color w:val="auto"/>
          <w:szCs w:val="21"/>
          <w:highlight w:val="none"/>
        </w:rPr>
        <w:t>日</w:t>
      </w:r>
      <w:r>
        <w:rPr>
          <w:rFonts w:hint="eastAsia" w:ascii="宋体" w:hAnsi="宋体" w:cs="宋体"/>
          <w:bCs/>
          <w:color w:val="auto"/>
          <w:kern w:val="0"/>
          <w:szCs w:val="21"/>
          <w:highlight w:val="none"/>
        </w:rPr>
        <w:t>，每天8时00分至12时00分，15时00分至18时00分（北京时间，</w:t>
      </w:r>
      <w:r>
        <w:rPr>
          <w:rFonts w:ascii="宋体" w:hAnsi="宋体" w:cs="宋体"/>
          <w:bCs/>
          <w:color w:val="auto"/>
          <w:kern w:val="0"/>
          <w:szCs w:val="21"/>
          <w:highlight w:val="none"/>
        </w:rPr>
        <w:t>法定节假日</w:t>
      </w:r>
      <w:r>
        <w:rPr>
          <w:rFonts w:hint="eastAsia" w:ascii="宋体" w:hAnsi="宋体" w:cs="宋体"/>
          <w:bCs/>
          <w:color w:val="auto"/>
          <w:kern w:val="0"/>
          <w:szCs w:val="21"/>
          <w:highlight w:val="none"/>
        </w:rPr>
        <w:t>除外）</w:t>
      </w:r>
    </w:p>
    <w:p w14:paraId="536B2F7E">
      <w:pPr>
        <w:spacing w:line="360" w:lineRule="auto"/>
        <w:ind w:firstLine="420" w:firstLineChars="200"/>
        <w:rPr>
          <w:rFonts w:ascii="宋体" w:hAnsi="宋体"/>
          <w:color w:val="auto"/>
          <w:szCs w:val="21"/>
          <w:highlight w:val="none"/>
        </w:rPr>
      </w:pPr>
      <w:r>
        <w:rPr>
          <w:rFonts w:hint="eastAsia" w:ascii="宋体" w:hAnsi="宋体" w:cs="宋体"/>
          <w:bCs/>
          <w:color w:val="auto"/>
          <w:kern w:val="0"/>
          <w:szCs w:val="21"/>
          <w:highlight w:val="none"/>
        </w:rPr>
        <w:t>地点：</w:t>
      </w:r>
      <w:r>
        <w:rPr>
          <w:rFonts w:hint="eastAsia" w:ascii="宋体" w:hAnsi="宋体"/>
          <w:color w:val="auto"/>
          <w:szCs w:val="21"/>
          <w:highlight w:val="none"/>
        </w:rPr>
        <w:t>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w:t>
      </w:r>
    </w:p>
    <w:p w14:paraId="562235A2">
      <w:pPr>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w:t>
      </w:r>
      <w:r>
        <w:rPr>
          <w:rFonts w:ascii="宋体" w:hAnsi="宋体" w:cs="宋体"/>
          <w:bCs/>
          <w:color w:val="auto"/>
          <w:kern w:val="0"/>
          <w:szCs w:val="21"/>
          <w:highlight w:val="none"/>
        </w:rPr>
        <w:t>https://www.gcy.zfcg.gxzf.gov.cn/</w:t>
      </w:r>
      <w:r>
        <w:rPr>
          <w:rFonts w:hint="eastAsia" w:ascii="宋体" w:hAnsi="宋体" w:cs="宋体"/>
          <w:bCs/>
          <w:color w:val="auto"/>
          <w:kern w:val="0"/>
          <w:szCs w:val="21"/>
          <w:highlight w:val="none"/>
        </w:rPr>
        <w:t>）-进入“项目采购”应用，在获取采购文件菜单中选择项目，获取竞争性磋商文件。电子响应文件制作需要基于</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获取的竞争性磋商文件编制，通过其他方式获取竞争性磋商文件的，将有可能导致供应商无法在</w:t>
      </w:r>
      <w:r>
        <w:rPr>
          <w:rFonts w:ascii="宋体" w:hAnsi="宋体" w:cs="宋体"/>
          <w:bCs/>
          <w:color w:val="auto"/>
          <w:kern w:val="0"/>
          <w:szCs w:val="21"/>
          <w:highlight w:val="none"/>
        </w:rPr>
        <w:t>广西政府采购云平台</w:t>
      </w:r>
      <w:r>
        <w:rPr>
          <w:rFonts w:hint="eastAsia" w:ascii="宋体" w:hAnsi="宋体" w:cs="宋体"/>
          <w:bCs/>
          <w:color w:val="auto"/>
          <w:kern w:val="0"/>
          <w:szCs w:val="21"/>
          <w:highlight w:val="none"/>
        </w:rPr>
        <w:t>编制及上传响应文件。</w:t>
      </w:r>
    </w:p>
    <w:p w14:paraId="47174537">
      <w:pPr>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w:t>
      </w:r>
      <w:r>
        <w:rPr>
          <w:rFonts w:hint="eastAsia" w:ascii="宋体" w:hAnsi="宋体" w:cs="宋体"/>
          <w:color w:val="auto"/>
          <w:szCs w:val="21"/>
          <w:highlight w:val="none"/>
        </w:rPr>
        <w:t>0元</w:t>
      </w:r>
    </w:p>
    <w:p w14:paraId="1A1F91C5">
      <w:pPr>
        <w:ind w:firstLine="354" w:firstLineChars="147"/>
        <w:rPr>
          <w:rFonts w:ascii="黑体" w:hAnsi="黑体" w:eastAsia="黑体"/>
          <w:b/>
          <w:color w:val="auto"/>
          <w:sz w:val="24"/>
          <w:highlight w:val="none"/>
        </w:rPr>
      </w:pPr>
      <w:bookmarkStart w:id="28" w:name="_Toc71365908"/>
      <w:r>
        <w:rPr>
          <w:rFonts w:hint="eastAsia" w:ascii="黑体" w:hAnsi="黑体" w:eastAsia="黑体"/>
          <w:b/>
          <w:color w:val="auto"/>
          <w:sz w:val="24"/>
          <w:highlight w:val="none"/>
        </w:rPr>
        <w:t>四、响应文件提交</w:t>
      </w:r>
      <w:bookmarkEnd w:id="23"/>
      <w:bookmarkEnd w:id="24"/>
      <w:bookmarkEnd w:id="25"/>
      <w:bookmarkEnd w:id="26"/>
      <w:bookmarkEnd w:id="27"/>
      <w:bookmarkEnd w:id="28"/>
    </w:p>
    <w:p w14:paraId="6FD7BD2B">
      <w:pPr>
        <w:spacing w:line="360" w:lineRule="auto"/>
        <w:ind w:firstLine="420" w:firstLineChars="200"/>
        <w:rPr>
          <w:rFonts w:ascii="宋体" w:hAnsi="宋体" w:cs="宋体"/>
          <w:color w:val="auto"/>
          <w:szCs w:val="21"/>
          <w:highlight w:val="none"/>
        </w:rPr>
      </w:pPr>
      <w:bookmarkStart w:id="29" w:name="_Toc35393802"/>
      <w:bookmarkStart w:id="30" w:name="_Toc44229882"/>
      <w:bookmarkStart w:id="31" w:name="_Toc35393633"/>
      <w:bookmarkStart w:id="32" w:name="_Toc28359016"/>
      <w:bookmarkStart w:id="33" w:name="_Toc28359093"/>
      <w:r>
        <w:rPr>
          <w:rFonts w:hint="eastAsia" w:ascii="宋体" w:hAnsi="宋体"/>
          <w:color w:val="auto"/>
          <w:szCs w:val="21"/>
          <w:highlight w:val="none"/>
        </w:rPr>
        <w:t>截止时间：</w:t>
      </w:r>
      <w:r>
        <w:rPr>
          <w:rFonts w:hint="eastAsia" w:ascii="宋体" w:hAnsi="宋体"/>
          <w:bCs/>
          <w:color w:val="auto"/>
          <w:szCs w:val="21"/>
          <w:highlight w:val="none"/>
        </w:rPr>
        <w:t>2025年</w:t>
      </w:r>
      <w:r>
        <w:rPr>
          <w:rFonts w:hint="eastAsia" w:ascii="宋体" w:hAnsi="宋体"/>
          <w:bCs/>
          <w:color w:val="auto"/>
          <w:szCs w:val="21"/>
          <w:highlight w:val="none"/>
          <w:lang w:val="en-US" w:eastAsia="zh-CN"/>
        </w:rPr>
        <w:t>10</w:t>
      </w:r>
      <w:r>
        <w:rPr>
          <w:rFonts w:hint="eastAsia" w:ascii="宋体" w:hAnsi="宋体"/>
          <w:bCs/>
          <w:color w:val="auto"/>
          <w:szCs w:val="21"/>
          <w:highlight w:val="none"/>
        </w:rPr>
        <w:t>月</w:t>
      </w:r>
      <w:r>
        <w:rPr>
          <w:rFonts w:hint="eastAsia" w:ascii="宋体" w:hAnsi="宋体"/>
          <w:bCs/>
          <w:color w:val="auto"/>
          <w:szCs w:val="21"/>
          <w:highlight w:val="none"/>
          <w:lang w:val="en-US" w:eastAsia="zh-CN"/>
        </w:rPr>
        <w:t>20</w:t>
      </w:r>
      <w:r>
        <w:rPr>
          <w:rFonts w:hint="eastAsia" w:ascii="宋体" w:hAnsi="宋体"/>
          <w:bCs/>
          <w:color w:val="auto"/>
          <w:szCs w:val="21"/>
          <w:highlight w:val="none"/>
        </w:rPr>
        <w:t>日</w:t>
      </w:r>
      <w:r>
        <w:rPr>
          <w:rFonts w:hint="eastAsia" w:ascii="宋体" w:hAnsi="宋体"/>
          <w:bCs/>
          <w:color w:val="auto"/>
          <w:szCs w:val="21"/>
          <w:highlight w:val="none"/>
          <w:lang w:val="en-US" w:eastAsia="zh-CN"/>
        </w:rPr>
        <w:t>13</w:t>
      </w:r>
      <w:r>
        <w:rPr>
          <w:rFonts w:hint="eastAsia" w:ascii="宋体" w:hAnsi="宋体"/>
          <w:bCs/>
          <w:color w:val="auto"/>
          <w:szCs w:val="21"/>
          <w:highlight w:val="none"/>
        </w:rPr>
        <w:t>时30分（北京时间）</w:t>
      </w:r>
    </w:p>
    <w:p w14:paraId="553A31D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地点：</w:t>
      </w:r>
      <w:r>
        <w:rPr>
          <w:rFonts w:ascii="宋体" w:hAnsi="宋体"/>
          <w:color w:val="auto"/>
          <w:szCs w:val="21"/>
          <w:highlight w:val="none"/>
        </w:rPr>
        <w:t>广西政府采购云平台</w:t>
      </w:r>
      <w:r>
        <w:rPr>
          <w:rFonts w:hint="eastAsia" w:ascii="宋体" w:hAnsi="宋体"/>
          <w:color w:val="auto"/>
          <w:szCs w:val="21"/>
          <w:highlight w:val="none"/>
        </w:rPr>
        <w:t>（</w:t>
      </w:r>
      <w:r>
        <w:rPr>
          <w:rFonts w:ascii="宋体" w:hAnsi="宋体"/>
          <w:bCs/>
          <w:color w:val="auto"/>
          <w:szCs w:val="21"/>
          <w:highlight w:val="none"/>
        </w:rPr>
        <w:t>https://www.gcy.zfcg.gxzf.gov.cn/</w:t>
      </w:r>
      <w:r>
        <w:rPr>
          <w:rFonts w:hint="eastAsia" w:ascii="宋体" w:hAnsi="宋体"/>
          <w:color w:val="auto"/>
          <w:szCs w:val="21"/>
          <w:highlight w:val="none"/>
        </w:rPr>
        <w:t>）</w:t>
      </w:r>
    </w:p>
    <w:p w14:paraId="195E4262">
      <w:pPr>
        <w:ind w:firstLine="354" w:firstLineChars="147"/>
        <w:rPr>
          <w:rFonts w:ascii="黑体" w:hAnsi="黑体" w:eastAsia="黑体"/>
          <w:b/>
          <w:color w:val="auto"/>
          <w:sz w:val="24"/>
          <w:highlight w:val="none"/>
        </w:rPr>
      </w:pPr>
      <w:bookmarkStart w:id="34" w:name="_Toc71365909"/>
      <w:r>
        <w:rPr>
          <w:rFonts w:hint="eastAsia" w:ascii="黑体" w:hAnsi="黑体" w:eastAsia="黑体"/>
          <w:b/>
          <w:color w:val="auto"/>
          <w:sz w:val="24"/>
          <w:highlight w:val="none"/>
        </w:rPr>
        <w:t>五、开启</w:t>
      </w:r>
      <w:bookmarkEnd w:id="29"/>
      <w:bookmarkEnd w:id="30"/>
      <w:bookmarkEnd w:id="31"/>
      <w:bookmarkEnd w:id="32"/>
      <w:bookmarkEnd w:id="33"/>
      <w:bookmarkEnd w:id="34"/>
    </w:p>
    <w:p w14:paraId="451A44CD">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时间：2025</w:t>
      </w:r>
      <w:r>
        <w:rPr>
          <w:rFonts w:hint="eastAsia" w:ascii="宋体" w:hAnsi="宋体"/>
          <w:bCs/>
          <w:color w:val="auto"/>
          <w:szCs w:val="21"/>
          <w:highlight w:val="none"/>
        </w:rPr>
        <w:t>年</w:t>
      </w:r>
      <w:r>
        <w:rPr>
          <w:rFonts w:hint="eastAsia" w:ascii="宋体" w:hAnsi="宋体"/>
          <w:bCs/>
          <w:color w:val="auto"/>
          <w:szCs w:val="21"/>
          <w:highlight w:val="none"/>
          <w:lang w:val="en-US" w:eastAsia="zh-CN"/>
        </w:rPr>
        <w:t>10</w:t>
      </w:r>
      <w:r>
        <w:rPr>
          <w:rFonts w:hint="eastAsia" w:ascii="宋体" w:hAnsi="宋体"/>
          <w:bCs/>
          <w:color w:val="auto"/>
          <w:szCs w:val="21"/>
          <w:highlight w:val="none"/>
        </w:rPr>
        <w:t>月</w:t>
      </w:r>
      <w:r>
        <w:rPr>
          <w:rFonts w:hint="eastAsia" w:ascii="宋体" w:hAnsi="宋体"/>
          <w:bCs/>
          <w:color w:val="auto"/>
          <w:szCs w:val="21"/>
          <w:highlight w:val="none"/>
          <w:lang w:val="en-US" w:eastAsia="zh-CN"/>
        </w:rPr>
        <w:t>20</w:t>
      </w:r>
      <w:r>
        <w:rPr>
          <w:rFonts w:hint="eastAsia" w:ascii="宋体" w:hAnsi="宋体"/>
          <w:bCs/>
          <w:color w:val="auto"/>
          <w:szCs w:val="21"/>
          <w:highlight w:val="none"/>
        </w:rPr>
        <w:t>日</w:t>
      </w:r>
      <w:r>
        <w:rPr>
          <w:rFonts w:hint="eastAsia" w:ascii="宋体" w:hAnsi="宋体"/>
          <w:bCs/>
          <w:color w:val="auto"/>
          <w:szCs w:val="21"/>
          <w:highlight w:val="none"/>
          <w:lang w:val="en-US" w:eastAsia="zh-CN"/>
        </w:rPr>
        <w:t>13</w:t>
      </w:r>
      <w:r>
        <w:rPr>
          <w:rFonts w:hint="eastAsia" w:ascii="宋体" w:hAnsi="宋体"/>
          <w:bCs/>
          <w:color w:val="auto"/>
          <w:szCs w:val="21"/>
          <w:highlight w:val="none"/>
        </w:rPr>
        <w:t>时30分（北京时间）后</w:t>
      </w:r>
    </w:p>
    <w:p w14:paraId="664F6941">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w:t>
      </w:r>
      <w:r>
        <w:rPr>
          <w:rFonts w:hint="eastAsia"/>
          <w:color w:val="auto"/>
          <w:szCs w:val="21"/>
          <w:highlight w:val="none"/>
          <w:shd w:val="clear" w:color="auto" w:fill="FFFFFF"/>
        </w:rPr>
        <w:t>广西政府采购云平台政府采购开评标室</w:t>
      </w:r>
      <w:r>
        <w:rPr>
          <w:rFonts w:hint="eastAsia"/>
          <w:color w:val="auto"/>
          <w:szCs w:val="21"/>
          <w:highlight w:val="none"/>
          <w:shd w:val="clear" w:color="auto" w:fill="FFFFFF"/>
          <w:lang w:val="en-US" w:eastAsia="zh-CN"/>
        </w:rPr>
        <w:t>2</w:t>
      </w:r>
    </w:p>
    <w:p w14:paraId="1F3C0A3B">
      <w:pPr>
        <w:ind w:firstLine="354" w:firstLineChars="147"/>
        <w:rPr>
          <w:rFonts w:ascii="黑体" w:hAnsi="黑体" w:eastAsia="黑体"/>
          <w:b/>
          <w:color w:val="auto"/>
          <w:sz w:val="24"/>
          <w:highlight w:val="none"/>
        </w:rPr>
      </w:pPr>
      <w:bookmarkStart w:id="35" w:name="_Toc71365910"/>
      <w:bookmarkStart w:id="36" w:name="_Toc44229883"/>
      <w:bookmarkStart w:id="37" w:name="_Toc35393634"/>
      <w:bookmarkStart w:id="38" w:name="_Toc28359094"/>
      <w:bookmarkStart w:id="39" w:name="_Toc35393803"/>
      <w:bookmarkStart w:id="40" w:name="_Toc28359017"/>
      <w:r>
        <w:rPr>
          <w:rFonts w:hint="eastAsia" w:ascii="黑体" w:hAnsi="黑体" w:eastAsia="黑体"/>
          <w:b/>
          <w:color w:val="auto"/>
          <w:sz w:val="24"/>
          <w:highlight w:val="none"/>
        </w:rPr>
        <w:t>六、公告期限</w:t>
      </w:r>
      <w:bookmarkEnd w:id="35"/>
      <w:bookmarkEnd w:id="36"/>
      <w:bookmarkEnd w:id="37"/>
      <w:bookmarkEnd w:id="38"/>
      <w:bookmarkEnd w:id="39"/>
      <w:bookmarkEnd w:id="40"/>
    </w:p>
    <w:p w14:paraId="17472C1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20EC06E8">
      <w:pPr>
        <w:ind w:firstLine="354" w:firstLineChars="147"/>
        <w:rPr>
          <w:rFonts w:ascii="黑体" w:hAnsi="黑体" w:eastAsia="黑体"/>
          <w:b/>
          <w:color w:val="auto"/>
          <w:sz w:val="24"/>
          <w:highlight w:val="none"/>
        </w:rPr>
      </w:pPr>
      <w:bookmarkStart w:id="41" w:name="_Toc44229884"/>
      <w:bookmarkStart w:id="42" w:name="_Toc35393635"/>
      <w:bookmarkStart w:id="43" w:name="_Toc35393804"/>
      <w:bookmarkStart w:id="44" w:name="_Toc71365911"/>
      <w:r>
        <w:rPr>
          <w:rFonts w:hint="eastAsia" w:ascii="黑体" w:hAnsi="黑体" w:eastAsia="黑体"/>
          <w:b/>
          <w:color w:val="auto"/>
          <w:sz w:val="24"/>
          <w:highlight w:val="none"/>
        </w:rPr>
        <w:t>七、其他补充事宜</w:t>
      </w:r>
      <w:bookmarkEnd w:id="41"/>
      <w:bookmarkEnd w:id="42"/>
      <w:bookmarkEnd w:id="43"/>
      <w:bookmarkEnd w:id="44"/>
    </w:p>
    <w:p w14:paraId="0A3A6A67">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网上查询地址：中国政府采购网（http://www.ccgp.gov.cn/）、广西壮族自治区政府采购网（http://www.ccgp-guangxi.gov.cn/）。</w:t>
      </w:r>
    </w:p>
    <w:p w14:paraId="5C34EC4D">
      <w:pPr>
        <w:spacing w:line="360" w:lineRule="auto"/>
        <w:ind w:firstLine="424" w:firstLineChars="202"/>
        <w:rPr>
          <w:rFonts w:ascii="宋体" w:hAnsi="宋体" w:cs="宋体"/>
          <w:color w:val="auto"/>
          <w:kern w:val="0"/>
          <w:szCs w:val="21"/>
          <w:highlight w:val="none"/>
        </w:rPr>
      </w:pPr>
      <w:bookmarkStart w:id="45" w:name="_Hlk37429674"/>
      <w:bookmarkStart w:id="46" w:name="_Toc35393805"/>
      <w:bookmarkStart w:id="47" w:name="_Toc28359018"/>
      <w:bookmarkStart w:id="48" w:name="_Toc28359095"/>
      <w:bookmarkStart w:id="49" w:name="_Toc44229885"/>
      <w:bookmarkStart w:id="50" w:name="_Toc35393636"/>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本项目需要落实的政府采购政策</w:t>
      </w:r>
    </w:p>
    <w:bookmarkEnd w:id="45"/>
    <w:p w14:paraId="60CE3381">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5CD918F2">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6F0B655B">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（3）强制采购节能产品；优先采购节能产品、环境标志产品。</w:t>
      </w:r>
    </w:p>
    <w:p w14:paraId="1A6DFBAC">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72556598">
      <w:pPr>
        <w:widowControl/>
        <w:spacing w:line="360" w:lineRule="auto"/>
        <w:ind w:firstLine="420" w:firstLineChars="200"/>
        <w:jc w:val="left"/>
        <w:rPr>
          <w:rFonts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76806265">
      <w:pPr>
        <w:widowControl/>
        <w:spacing w:line="360" w:lineRule="auto"/>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3.供应商</w:t>
      </w:r>
      <w:r>
        <w:rPr>
          <w:rFonts w:hint="eastAsia" w:ascii="宋体" w:hAnsi="宋体"/>
          <w:color w:val="auto"/>
          <w:szCs w:val="21"/>
          <w:highlight w:val="none"/>
        </w:rPr>
        <w:t>竞标注意事项</w:t>
      </w:r>
    </w:p>
    <w:p w14:paraId="1C21BD26">
      <w:pPr>
        <w:widowControl/>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）实行在线电子竞标，供应商应按照本项目竞争性磋商文件和广西政府采购云平台的要求编制、加密后在响应文件递交截止时间前通过网络上传至广西政府采购云平台（加密的电子</w:t>
      </w:r>
      <w:r>
        <w:rPr>
          <w:rFonts w:hint="eastAsia" w:ascii="宋体" w:hAnsi="宋体"/>
          <w:color w:val="auto"/>
          <w:szCs w:val="21"/>
          <w:highlight w:val="none"/>
          <w:lang w:eastAsia="zh-CN"/>
        </w:rPr>
        <w:t>响应</w:t>
      </w:r>
      <w:r>
        <w:rPr>
          <w:rFonts w:hint="eastAsia" w:ascii="宋体" w:hAnsi="宋体"/>
          <w:color w:val="auto"/>
          <w:szCs w:val="21"/>
          <w:highlight w:val="none"/>
        </w:rPr>
        <w:t>文件是指后缀名为“jm</w:t>
      </w:r>
      <w:r>
        <w:rPr>
          <w:rFonts w:ascii="宋体" w:hAnsi="宋体"/>
          <w:color w:val="auto"/>
          <w:szCs w:val="21"/>
          <w:highlight w:val="none"/>
        </w:rPr>
        <w:t>bs</w:t>
      </w:r>
      <w:r>
        <w:rPr>
          <w:rFonts w:hint="eastAsia" w:ascii="宋体" w:hAnsi="宋体"/>
          <w:color w:val="auto"/>
          <w:szCs w:val="21"/>
          <w:highlight w:val="none"/>
        </w:rPr>
        <w:t>”的文件），</w:t>
      </w:r>
      <w:r>
        <w:rPr>
          <w:rFonts w:hint="eastAsia" w:ascii="宋体" w:hAnsi="宋体"/>
          <w:b/>
          <w:color w:val="auto"/>
          <w:szCs w:val="21"/>
          <w:highlight w:val="none"/>
        </w:rPr>
        <w:t>供应商在</w:t>
      </w:r>
      <w:r>
        <w:rPr>
          <w:rFonts w:hint="eastAsia" w:ascii="宋体" w:hAnsi="宋体"/>
          <w:b/>
          <w:bCs/>
          <w:color w:val="auto"/>
          <w:szCs w:val="21"/>
          <w:highlight w:val="none"/>
        </w:rPr>
        <w:t>广西政府采购云平台</w:t>
      </w:r>
      <w:r>
        <w:rPr>
          <w:rFonts w:hint="eastAsia" w:ascii="宋体" w:hAnsi="宋体"/>
          <w:b/>
          <w:color w:val="auto"/>
          <w:szCs w:val="21"/>
          <w:highlight w:val="none"/>
        </w:rPr>
        <w:t>提交电子响应文件时，请填写参加远程开标活动经办人联系方式。</w:t>
      </w:r>
      <w:r>
        <w:rPr>
          <w:rFonts w:hint="eastAsia" w:ascii="宋体" w:hAnsi="宋体"/>
          <w:color w:val="auto"/>
          <w:szCs w:val="21"/>
          <w:highlight w:val="none"/>
        </w:rPr>
        <w:t>供应商登录广西政府采购云平台，依次进入“服务中心-项目采购-操作流程-电子招投标-</w:t>
      </w:r>
      <w:r>
        <w:rPr>
          <w:rFonts w:ascii="宋体" w:hAnsi="宋体"/>
          <w:color w:val="auto"/>
          <w:szCs w:val="21"/>
          <w:highlight w:val="none"/>
        </w:rPr>
        <w:t>政府采购项目电子交易管理操作指南-供应商</w:t>
      </w:r>
      <w:r>
        <w:rPr>
          <w:rFonts w:hint="eastAsia" w:ascii="宋体" w:hAnsi="宋体"/>
          <w:color w:val="auto"/>
          <w:szCs w:val="21"/>
          <w:highlight w:val="none"/>
        </w:rPr>
        <w:t>”查看电子竞标具体操作流程。</w:t>
      </w:r>
    </w:p>
    <w:p w14:paraId="3ACED9AF">
      <w:pPr>
        <w:widowControl/>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竞标供应商应当在响应文件提交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w:t>
      </w:r>
      <w:r>
        <w:rPr>
          <w:rFonts w:hint="eastAsia" w:ascii="宋体" w:hAnsi="宋体"/>
          <w:bCs/>
          <w:color w:val="auto"/>
          <w:szCs w:val="21"/>
          <w:highlight w:val="none"/>
        </w:rPr>
        <w:t>如在操作过程中遇到问题或者需要技术支持，请致电客服热线：95763或者0771-3381253</w:t>
      </w:r>
      <w:r>
        <w:rPr>
          <w:rFonts w:hint="eastAsia" w:ascii="宋体" w:hAnsi="宋体"/>
          <w:color w:val="auto"/>
          <w:szCs w:val="21"/>
          <w:highlight w:val="none"/>
        </w:rPr>
        <w:t>）。</w:t>
      </w:r>
    </w:p>
    <w:p w14:paraId="46C66B9F">
      <w:pPr>
        <w:widowControl/>
        <w:spacing w:line="360" w:lineRule="auto"/>
        <w:ind w:firstLine="525" w:firstLineChars="250"/>
        <w:jc w:val="left"/>
        <w:rPr>
          <w:rFonts w:ascii="宋体" w:hAnsi="宋体"/>
          <w:color w:val="auto"/>
          <w:szCs w:val="21"/>
          <w:highlight w:val="none"/>
        </w:rPr>
      </w:pPr>
      <w:r>
        <w:rPr>
          <w:rFonts w:hint="eastAsia" w:ascii="宋体" w:hAnsi="宋体"/>
          <w:color w:val="auto"/>
          <w:szCs w:val="21"/>
          <w:highlight w:val="none"/>
        </w:rPr>
        <w:t>（3）CA证书在线解密：供应商竞标时，需凭制作响应文件时用来加密的有效数字证书（CA认证）登录广西政府采购云平台电子开标大厅现场按规定时间对加密的响应文件进行解密，否则后果自负。</w:t>
      </w:r>
    </w:p>
    <w:p w14:paraId="4C64D9FE">
      <w:pPr>
        <w:widowControl/>
        <w:spacing w:line="360" w:lineRule="auto"/>
        <w:ind w:firstLine="525" w:firstLineChars="250"/>
        <w:jc w:val="left"/>
        <w:rPr>
          <w:rFonts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w:t>
      </w:r>
      <w:r>
        <w:rPr>
          <w:rFonts w:ascii="宋体" w:hAnsi="宋体"/>
          <w:color w:val="auto"/>
          <w:szCs w:val="21"/>
          <w:highlight w:val="none"/>
        </w:rPr>
        <w:t>A</w:t>
      </w:r>
      <w:r>
        <w:rPr>
          <w:rFonts w:hint="eastAsia" w:ascii="宋体" w:hAnsi="宋体"/>
          <w:color w:val="auto"/>
          <w:szCs w:val="21"/>
          <w:highlight w:val="none"/>
        </w:rPr>
        <w:t>数字证书并使用有效的CA数字证书参与整个竞标活动。2）</w:t>
      </w:r>
      <w:r>
        <w:rPr>
          <w:rFonts w:hint="eastAsia" w:ascii="宋体" w:hAnsi="宋体"/>
          <w:bCs/>
          <w:color w:val="auto"/>
          <w:szCs w:val="21"/>
          <w:highlight w:val="none"/>
        </w:rPr>
        <w:t>供应商应当在响应文件递交截止时间前完成电子响应文件的上传、提交，响应文件递交截止时间前可以补充、修改或者撤回响应文件。补充或者修改响应文件的，应当先行撤回原响应文件，补充、修改后重新上传、提交，响应文件递交截止时间前未完成上传、提交的，视为撤回响应文件。响应文件递交截止时间以后上传递交的响应文件，</w:t>
      </w:r>
      <w:r>
        <w:rPr>
          <w:rFonts w:hint="eastAsia" w:ascii="宋体" w:hAnsi="宋体"/>
          <w:color w:val="auto"/>
          <w:szCs w:val="21"/>
          <w:highlight w:val="none"/>
        </w:rPr>
        <w:t>广西政府采购云平台</w:t>
      </w:r>
      <w:r>
        <w:rPr>
          <w:rFonts w:hint="eastAsia" w:ascii="宋体" w:hAnsi="宋体"/>
          <w:bCs/>
          <w:color w:val="auto"/>
          <w:szCs w:val="21"/>
          <w:highlight w:val="none"/>
        </w:rPr>
        <w:t>将予以拒收。</w:t>
      </w:r>
    </w:p>
    <w:p w14:paraId="79F9FC6A">
      <w:pPr>
        <w:widowControl/>
        <w:spacing w:line="360" w:lineRule="auto"/>
        <w:ind w:firstLine="525" w:firstLineChars="250"/>
        <w:jc w:val="left"/>
        <w:rPr>
          <w:rFonts w:ascii="宋体" w:hAnsi="宋体"/>
          <w:bCs/>
          <w:color w:val="auto"/>
          <w:szCs w:val="21"/>
          <w:highlight w:val="none"/>
        </w:rPr>
      </w:pPr>
      <w:r>
        <w:rPr>
          <w:rFonts w:hint="eastAsia" w:ascii="宋体" w:hAnsi="宋体"/>
          <w:bCs/>
          <w:color w:val="auto"/>
          <w:szCs w:val="21"/>
          <w:highlight w:val="none"/>
        </w:rPr>
        <w:t>4.磋商保证金：无。</w:t>
      </w:r>
    </w:p>
    <w:p w14:paraId="62199131">
      <w:pPr>
        <w:widowControl/>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 xml:space="preserve"> 5</w:t>
      </w:r>
      <w:r>
        <w:rPr>
          <w:rFonts w:ascii="宋体" w:hAnsi="宋体"/>
          <w:bCs/>
          <w:color w:val="auto"/>
          <w:szCs w:val="21"/>
          <w:highlight w:val="none"/>
        </w:rPr>
        <w:t>.</w:t>
      </w:r>
      <w:r>
        <w:rPr>
          <w:rFonts w:hint="eastAsia" w:ascii="宋体" w:hAnsi="宋体"/>
          <w:bCs/>
          <w:color w:val="auto"/>
          <w:szCs w:val="21"/>
          <w:highlight w:val="none"/>
        </w:rPr>
        <w:t>监督部门</w:t>
      </w:r>
    </w:p>
    <w:p w14:paraId="02A6980B">
      <w:pPr>
        <w:widowControl/>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 xml:space="preserve"> 名称：防城港市财政局</w:t>
      </w:r>
    </w:p>
    <w:p w14:paraId="28F4CD6B">
      <w:pPr>
        <w:widowControl/>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 xml:space="preserve"> 电话：0770-6102323</w:t>
      </w:r>
    </w:p>
    <w:p w14:paraId="30C79CBC">
      <w:pPr>
        <w:ind w:firstLine="354" w:firstLineChars="147"/>
        <w:rPr>
          <w:rFonts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46"/>
      <w:bookmarkEnd w:id="47"/>
      <w:bookmarkEnd w:id="48"/>
      <w:bookmarkEnd w:id="49"/>
      <w:bookmarkEnd w:id="50"/>
    </w:p>
    <w:p w14:paraId="073E28A5">
      <w:pPr>
        <w:spacing w:line="360" w:lineRule="auto"/>
        <w:ind w:firstLine="420" w:firstLineChars="200"/>
        <w:rPr>
          <w:rFonts w:ascii="宋体" w:hAnsi="宋体" w:cs="宋体"/>
          <w:color w:val="auto"/>
          <w:kern w:val="0"/>
          <w:szCs w:val="21"/>
          <w:highlight w:val="none"/>
        </w:rPr>
      </w:pPr>
      <w:bookmarkStart w:id="51" w:name="_Toc28359019"/>
      <w:bookmarkStart w:id="52" w:name="_Toc35393806"/>
      <w:bookmarkStart w:id="53" w:name="_Toc35393637"/>
      <w:bookmarkStart w:id="54" w:name="_Toc28359096"/>
      <w:r>
        <w:rPr>
          <w:rFonts w:hint="eastAsia" w:ascii="宋体" w:hAnsi="宋体" w:cs="宋体"/>
          <w:color w:val="auto"/>
          <w:kern w:val="0"/>
          <w:szCs w:val="21"/>
          <w:highlight w:val="none"/>
        </w:rPr>
        <w:t>1.采购人信息</w:t>
      </w:r>
      <w:bookmarkEnd w:id="51"/>
      <w:bookmarkEnd w:id="52"/>
      <w:bookmarkEnd w:id="53"/>
      <w:bookmarkEnd w:id="54"/>
    </w:p>
    <w:p w14:paraId="40FEE97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名称：防城港市十万大山国家级自然保护区管理局</w:t>
      </w:r>
    </w:p>
    <w:p w14:paraId="0F236DF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地址：防城港市港口区灵秀街36号林业大厦12楼1212室</w:t>
      </w:r>
    </w:p>
    <w:p w14:paraId="58181A08">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联系方式：谭</w:t>
      </w:r>
      <w:r>
        <w:rPr>
          <w:rFonts w:hint="eastAsia" w:ascii="宋体" w:hAnsi="宋体"/>
          <w:color w:val="auto"/>
          <w:szCs w:val="21"/>
          <w:highlight w:val="none"/>
          <w:lang w:eastAsia="zh-CN"/>
        </w:rPr>
        <w:t>兴翠</w:t>
      </w:r>
      <w:r>
        <w:rPr>
          <w:rFonts w:hint="eastAsia" w:ascii="宋体" w:hAnsi="宋体"/>
          <w:color w:val="auto"/>
          <w:szCs w:val="21"/>
          <w:highlight w:val="none"/>
        </w:rPr>
        <w:t>，0770-2800136  </w:t>
      </w:r>
    </w:p>
    <w:p w14:paraId="3C735FBA">
      <w:pPr>
        <w:spacing w:line="360" w:lineRule="auto"/>
        <w:ind w:firstLine="420" w:firstLineChars="200"/>
        <w:rPr>
          <w:rFonts w:ascii="宋体" w:hAnsi="宋体" w:cs="宋体"/>
          <w:color w:val="auto"/>
          <w:kern w:val="0"/>
          <w:szCs w:val="21"/>
          <w:highlight w:val="none"/>
        </w:rPr>
      </w:pPr>
      <w:bookmarkStart w:id="55" w:name="_Toc28359097"/>
      <w:bookmarkStart w:id="56" w:name="_Toc28359020"/>
      <w:bookmarkStart w:id="57" w:name="_Toc35393807"/>
      <w:bookmarkStart w:id="58" w:name="_Toc35393638"/>
      <w:r>
        <w:rPr>
          <w:rFonts w:hint="eastAsia" w:ascii="宋体" w:hAnsi="宋体" w:cs="宋体"/>
          <w:color w:val="auto"/>
          <w:kern w:val="0"/>
          <w:szCs w:val="21"/>
          <w:highlight w:val="none"/>
        </w:rPr>
        <w:t>2.采购代理机构信息</w:t>
      </w:r>
      <w:bookmarkEnd w:id="55"/>
      <w:bookmarkEnd w:id="56"/>
      <w:bookmarkEnd w:id="57"/>
      <w:bookmarkEnd w:id="58"/>
    </w:p>
    <w:p w14:paraId="0A0FA36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名称：云之龙咨询集团有限公司</w:t>
      </w:r>
    </w:p>
    <w:p w14:paraId="514C9DB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地址：防城港市港口区桃花湾广场海悦华府一单元12楼1203室</w:t>
      </w:r>
    </w:p>
    <w:p w14:paraId="036DDAA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联系方式：0770-2882899</w:t>
      </w:r>
    </w:p>
    <w:p w14:paraId="7EDE180B">
      <w:pPr>
        <w:spacing w:line="360" w:lineRule="auto"/>
        <w:ind w:firstLine="420" w:firstLineChars="200"/>
        <w:rPr>
          <w:rFonts w:ascii="宋体" w:hAnsi="宋体" w:cs="宋体"/>
          <w:color w:val="auto"/>
          <w:kern w:val="0"/>
          <w:szCs w:val="21"/>
          <w:highlight w:val="none"/>
        </w:rPr>
      </w:pPr>
      <w:bookmarkStart w:id="59" w:name="_Toc28359098"/>
      <w:bookmarkStart w:id="60" w:name="_Toc35393808"/>
      <w:bookmarkStart w:id="61" w:name="_Toc35393639"/>
      <w:bookmarkStart w:id="62" w:name="_Toc28359021"/>
      <w:r>
        <w:rPr>
          <w:rFonts w:hint="eastAsia" w:ascii="宋体" w:hAnsi="宋体" w:cs="宋体"/>
          <w:color w:val="auto"/>
          <w:kern w:val="0"/>
          <w:szCs w:val="21"/>
          <w:highlight w:val="none"/>
        </w:rPr>
        <w:t>3.项目联系</w:t>
      </w:r>
      <w:r>
        <w:rPr>
          <w:rFonts w:ascii="宋体" w:hAnsi="宋体" w:cs="宋体"/>
          <w:color w:val="auto"/>
          <w:kern w:val="0"/>
          <w:szCs w:val="21"/>
          <w:highlight w:val="none"/>
        </w:rPr>
        <w:t>方式</w:t>
      </w:r>
      <w:bookmarkEnd w:id="59"/>
      <w:bookmarkEnd w:id="60"/>
      <w:bookmarkEnd w:id="61"/>
      <w:bookmarkEnd w:id="62"/>
    </w:p>
    <w:p w14:paraId="272BAB37">
      <w:pPr>
        <w:pStyle w:val="14"/>
        <w:spacing w:line="360" w:lineRule="auto"/>
        <w:ind w:firstLine="420" w:firstLineChars="200"/>
        <w:rPr>
          <w:rFonts w:hAnsi="宋体"/>
          <w:color w:val="auto"/>
          <w:sz w:val="21"/>
          <w:highlight w:val="none"/>
        </w:rPr>
      </w:pPr>
      <w:r>
        <w:rPr>
          <w:rFonts w:hint="eastAsia" w:hAnsi="宋体"/>
          <w:color w:val="auto"/>
          <w:sz w:val="21"/>
          <w:highlight w:val="none"/>
        </w:rPr>
        <w:t>项目联系人：吴小梅、包文杰、陈义廷</w:t>
      </w:r>
    </w:p>
    <w:p w14:paraId="506398E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电话：0770-2882899</w:t>
      </w:r>
      <w:bookmarkEnd w:id="4"/>
    </w:p>
    <w:p w14:paraId="0DE0F395">
      <w:pPr>
        <w:spacing w:line="360" w:lineRule="auto"/>
        <w:ind w:firstLine="420" w:firstLineChars="200"/>
        <w:rPr>
          <w:rFonts w:ascii="宋体" w:hAnsi="宋体"/>
          <w:color w:val="auto"/>
          <w:szCs w:val="21"/>
          <w:highlight w:val="none"/>
        </w:rPr>
      </w:pPr>
    </w:p>
    <w:p w14:paraId="465997C4">
      <w:pPr>
        <w:spacing w:line="360" w:lineRule="auto"/>
        <w:ind w:firstLine="420" w:firstLineChars="200"/>
        <w:rPr>
          <w:rFonts w:ascii="宋体" w:hAnsi="宋体"/>
          <w:b/>
          <w:bCs/>
          <w:color w:val="auto"/>
          <w:szCs w:val="21"/>
          <w:highlight w:val="none"/>
        </w:rPr>
      </w:pPr>
      <w:r>
        <w:rPr>
          <w:rFonts w:hint="eastAsia" w:ascii="宋体" w:hAnsi="宋体"/>
          <w:color w:val="auto"/>
          <w:szCs w:val="21"/>
          <w:highlight w:val="none"/>
        </w:rPr>
        <w:t>附件：采购需求</w:t>
      </w:r>
    </w:p>
    <w:p w14:paraId="2A8692B0">
      <w:pPr>
        <w:spacing w:line="360" w:lineRule="auto"/>
        <w:ind w:firstLine="420" w:firstLineChars="200"/>
        <w:jc w:val="right"/>
        <w:rPr>
          <w:rFonts w:ascii="宋体" w:hAnsi="宋体" w:cs="宋体"/>
          <w:color w:val="auto"/>
          <w:kern w:val="0"/>
          <w:szCs w:val="21"/>
          <w:highlight w:val="none"/>
        </w:rPr>
      </w:pPr>
    </w:p>
    <w:p w14:paraId="111878FA">
      <w:pPr>
        <w:spacing w:line="360" w:lineRule="auto"/>
        <w:ind w:firstLine="420" w:firstLineChars="200"/>
        <w:jc w:val="right"/>
        <w:rPr>
          <w:rFonts w:ascii="宋体" w:hAnsi="宋体" w:cs="宋体"/>
          <w:color w:val="auto"/>
          <w:kern w:val="0"/>
          <w:szCs w:val="21"/>
          <w:highlight w:val="none"/>
        </w:rPr>
      </w:pPr>
    </w:p>
    <w:p w14:paraId="71D96F19">
      <w:pPr>
        <w:spacing w:line="360" w:lineRule="auto"/>
        <w:ind w:firstLine="420" w:firstLineChars="200"/>
        <w:jc w:val="right"/>
        <w:rPr>
          <w:rFonts w:ascii="宋体" w:hAnsi="宋体" w:cs="宋体"/>
          <w:color w:val="auto"/>
          <w:kern w:val="0"/>
          <w:szCs w:val="21"/>
          <w:highlight w:val="none"/>
        </w:rPr>
      </w:pPr>
      <w:r>
        <w:rPr>
          <w:rFonts w:hint="eastAsia" w:ascii="宋体" w:hAnsi="宋体" w:cs="宋体"/>
          <w:color w:val="auto"/>
          <w:kern w:val="0"/>
          <w:szCs w:val="21"/>
          <w:highlight w:val="none"/>
        </w:rPr>
        <w:t>采购人：防城港市十万大山国家级自然保护区管理局</w:t>
      </w:r>
    </w:p>
    <w:p w14:paraId="33F86E8F">
      <w:pPr>
        <w:spacing w:line="360" w:lineRule="auto"/>
        <w:ind w:firstLine="420" w:firstLineChars="200"/>
        <w:jc w:val="right"/>
        <w:rPr>
          <w:rFonts w:ascii="宋体" w:hAnsi="宋体" w:cs="宋体"/>
          <w:color w:val="auto"/>
          <w:kern w:val="0"/>
          <w:szCs w:val="21"/>
          <w:highlight w:val="none"/>
        </w:rPr>
      </w:pPr>
      <w:r>
        <w:rPr>
          <w:rFonts w:hint="eastAsia" w:ascii="宋体" w:hAnsi="宋体" w:cs="宋体"/>
          <w:color w:val="auto"/>
          <w:kern w:val="0"/>
          <w:szCs w:val="21"/>
          <w:highlight w:val="none"/>
        </w:rPr>
        <w:t>采购代理机构：云之龙咨询集团有限公司</w:t>
      </w:r>
    </w:p>
    <w:p w14:paraId="5083A732">
      <w:pPr>
        <w:wordWrap w:val="0"/>
        <w:spacing w:line="360" w:lineRule="auto"/>
        <w:ind w:firstLine="420" w:firstLineChars="200"/>
        <w:jc w:val="right"/>
        <w:rPr>
          <w:rFonts w:ascii="宋体" w:hAnsi="宋体" w:cs="宋体"/>
          <w:color w:val="auto"/>
          <w:kern w:val="0"/>
          <w:szCs w:val="21"/>
          <w:highlight w:val="none"/>
        </w:rPr>
      </w:pP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202</w:t>
      </w:r>
      <w:r>
        <w:rPr>
          <w:rFonts w:hint="eastAsia" w:ascii="宋体" w:hAnsi="宋体" w:cs="宋体"/>
          <w:color w:val="auto"/>
          <w:kern w:val="0"/>
          <w:szCs w:val="21"/>
          <w:highlight w:val="none"/>
        </w:rPr>
        <w:t>5年</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日</w:t>
      </w:r>
    </w:p>
    <w:p w14:paraId="6AB2670A">
      <w:pPr>
        <w:spacing w:line="400" w:lineRule="exact"/>
        <w:jc w:val="center"/>
        <w:rPr>
          <w:rFonts w:ascii="宋体" w:hAnsi="宋体"/>
          <w:b/>
          <w:color w:val="auto"/>
          <w:sz w:val="32"/>
          <w:szCs w:val="32"/>
          <w:highlight w:val="none"/>
        </w:rPr>
      </w:pPr>
      <w:r>
        <w:rPr>
          <w:rFonts w:ascii="宋体" w:hAnsi="宋体"/>
          <w:color w:val="auto"/>
          <w:sz w:val="32"/>
          <w:szCs w:val="32"/>
          <w:highlight w:val="none"/>
        </w:rPr>
        <w:br w:type="page"/>
      </w:r>
      <w:bookmarkStart w:id="63" w:name="_Toc74323457"/>
      <w:r>
        <w:rPr>
          <w:rFonts w:hint="eastAsia" w:ascii="宋体" w:hAnsi="宋体"/>
          <w:b/>
          <w:color w:val="auto"/>
          <w:sz w:val="32"/>
          <w:szCs w:val="32"/>
          <w:highlight w:val="none"/>
        </w:rPr>
        <w:t>第二章 供应商须知</w:t>
      </w:r>
      <w:bookmarkEnd w:id="63"/>
    </w:p>
    <w:p w14:paraId="5E0796CD">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供应商须知前附表</w:t>
      </w:r>
    </w:p>
    <w:p w14:paraId="28CC18A8">
      <w:pPr>
        <w:spacing w:line="400" w:lineRule="exact"/>
        <w:jc w:val="center"/>
        <w:rPr>
          <w:rFonts w:ascii="宋体" w:hAnsi="宋体"/>
          <w:b/>
          <w:color w:val="auto"/>
          <w:sz w:val="32"/>
          <w:szCs w:val="32"/>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7912"/>
      </w:tblGrid>
      <w:tr w14:paraId="602F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tcPr>
          <w:p w14:paraId="0DCB6256">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noWrap/>
          </w:tcPr>
          <w:p w14:paraId="106925D4">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5DEF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ign w:val="center"/>
          </w:tcPr>
          <w:p w14:paraId="56820C8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noWrap/>
            <w:vAlign w:val="center"/>
          </w:tcPr>
          <w:p w14:paraId="4033246B">
            <w:pPr>
              <w:spacing w:line="360" w:lineRule="auto"/>
              <w:rPr>
                <w:rFonts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6D8C9A23">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6E02665F">
            <w:pPr>
              <w:spacing w:line="360" w:lineRule="auto"/>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79317B3">
            <w:pPr>
              <w:spacing w:line="360" w:lineRule="auto"/>
              <w:rPr>
                <w:rFonts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35D3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ign w:val="center"/>
          </w:tcPr>
          <w:p w14:paraId="62CAD75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noWrap/>
            <w:vAlign w:val="center"/>
          </w:tcPr>
          <w:p w14:paraId="78F96FDF">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是否接受联合体竞标：详见竞争性磋商公告</w:t>
            </w:r>
          </w:p>
        </w:tc>
      </w:tr>
      <w:tr w14:paraId="3CA9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ign w:val="center"/>
          </w:tcPr>
          <w:p w14:paraId="7F9C9D4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noWrap/>
            <w:vAlign w:val="center"/>
          </w:tcPr>
          <w:p w14:paraId="5D331B77">
            <w:pPr>
              <w:pStyle w:val="9"/>
              <w:spacing w:line="360" w:lineRule="auto"/>
              <w:rPr>
                <w:rFonts w:ascii="宋体" w:hAnsi="宋体"/>
                <w:color w:val="auto"/>
                <w:szCs w:val="21"/>
                <w:highlight w:val="none"/>
              </w:rPr>
            </w:pPr>
            <w:r>
              <w:rPr>
                <w:rFonts w:hint="eastAsia" w:ascii="宋体" w:hAnsi="宋体"/>
                <w:color w:val="auto"/>
                <w:szCs w:val="21"/>
                <w:highlight w:val="none"/>
              </w:rPr>
              <w:t>不允许分包</w:t>
            </w:r>
          </w:p>
        </w:tc>
      </w:tr>
      <w:tr w14:paraId="004E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ign w:val="center"/>
          </w:tcPr>
          <w:p w14:paraId="53397AC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noWrap/>
            <w:vAlign w:val="center"/>
          </w:tcPr>
          <w:p w14:paraId="5F5B6BBE">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53D46A46">
            <w:pPr>
              <w:pStyle w:val="9"/>
              <w:spacing w:line="360" w:lineRule="auto"/>
              <w:rPr>
                <w:rFonts w:ascii="宋体" w:hAnsi="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1.供应商为法人或者其他组织的提供其营业执照等证明文件（如营业执照或者事业单位法人证书或者执业许可证或者登记证书等）</w:t>
            </w:r>
            <w:r>
              <w:rPr>
                <w:rFonts w:hint="eastAsia"/>
                <w:color w:val="auto"/>
                <w:highlight w:val="none"/>
              </w:rPr>
              <w:t>，供应商为自然人的提供其身份证复印件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FB70241">
            <w:pPr>
              <w:spacing w:line="360" w:lineRule="auto"/>
              <w:contextualSpacing/>
              <w:jc w:val="left"/>
              <w:rPr>
                <w:rFonts w:ascii="宋体" w:hAnsi="宋体" w:cs="宋体"/>
                <w:b/>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根据防财监〔2023〕58号文要求提供的《防城港市政府采购供应商信用承诺函》（格式附后）</w:t>
            </w:r>
            <w:r>
              <w:rPr>
                <w:rFonts w:hint="eastAsia" w:ascii="宋体" w:hAnsi="宋体" w:cs="宋体"/>
                <w:bCs/>
                <w:color w:val="auto"/>
                <w:szCs w:val="21"/>
                <w:highlight w:val="none"/>
              </w:rPr>
              <w:t>（</w:t>
            </w:r>
            <w:r>
              <w:rPr>
                <w:rFonts w:hint="eastAsia" w:ascii="宋体" w:hAnsi="宋体"/>
                <w:b/>
                <w:color w:val="auto"/>
                <w:szCs w:val="21"/>
                <w:highlight w:val="none"/>
              </w:rPr>
              <w:t>必须提供</w:t>
            </w:r>
            <w:r>
              <w:rPr>
                <w:rFonts w:hint="eastAsia" w:ascii="宋体" w:hAnsi="宋体" w:cs="宋体"/>
                <w:b/>
                <w:color w:val="auto"/>
                <w:szCs w:val="21"/>
                <w:highlight w:val="none"/>
              </w:rPr>
              <w:t>，否则响应文件按无效响应处理</w:t>
            </w:r>
            <w:r>
              <w:rPr>
                <w:rFonts w:hint="eastAsia" w:ascii="宋体" w:hAnsi="宋体" w:cs="宋体"/>
                <w:bCs/>
                <w:color w:val="auto"/>
                <w:szCs w:val="21"/>
                <w:highlight w:val="none"/>
              </w:rPr>
              <w:t>）</w:t>
            </w:r>
          </w:p>
          <w:p w14:paraId="6DB94C02">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3.供应商直接控股、管理关系信息表（格式后附）；（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18B521C">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48EC2F7">
            <w:pPr>
              <w:snapToGrid w:val="0"/>
              <w:spacing w:line="360" w:lineRule="auto"/>
              <w:jc w:val="left"/>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5.供应商的《中小企业声明函》或《残疾人福利性单位声明函》或属于监狱企业的证明文件；</w:t>
            </w:r>
            <w:r>
              <w:rPr>
                <w:rFonts w:hint="eastAsia" w:ascii="宋体" w:hAnsi="宋体" w:cs="宋体"/>
                <w:b/>
                <w:bCs/>
                <w:color w:val="auto"/>
                <w:szCs w:val="21"/>
                <w:highlight w:val="none"/>
                <w:lang w:val="en-US" w:eastAsia="zh-CN"/>
              </w:rPr>
              <w:t>（必须提供，否则响应文件按无效处理）</w:t>
            </w:r>
          </w:p>
          <w:p w14:paraId="60C21B2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.除磋商文件规定必须提供以外，供应商认为需要提供的其他证明材料；</w:t>
            </w:r>
          </w:p>
          <w:p w14:paraId="6871F13A">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613EC4B5">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w:t>
            </w:r>
            <w:r>
              <w:rPr>
                <w:rFonts w:hint="eastAsia"/>
                <w:b/>
                <w:color w:val="auto"/>
                <w:highlight w:val="none"/>
              </w:rPr>
              <w:t>电子签章</w:t>
            </w:r>
            <w:r>
              <w:rPr>
                <w:rFonts w:hint="eastAsia" w:ascii="宋体" w:hAnsi="宋体" w:cs="宋体"/>
                <w:b/>
                <w:color w:val="auto"/>
                <w:szCs w:val="21"/>
                <w:highlight w:val="none"/>
              </w:rPr>
              <w:t>，否则响应文件按无效处理。</w:t>
            </w:r>
          </w:p>
          <w:p w14:paraId="316DDBFB">
            <w:pPr>
              <w:pStyle w:val="6"/>
              <w:rPr>
                <w:color w:val="auto"/>
                <w:highlight w:val="none"/>
              </w:rPr>
            </w:pPr>
            <w:r>
              <w:rPr>
                <w:rFonts w:hint="eastAsia" w:ascii="宋体" w:hAnsi="宋体" w:cs="宋体"/>
                <w:b/>
                <w:color w:val="auto"/>
                <w:szCs w:val="21"/>
                <w:highlight w:val="none"/>
              </w:rPr>
              <w:t>2.分公司参加竞标的，应当取得总公司授权，无授权的则作无效竞标处理。</w:t>
            </w:r>
          </w:p>
        </w:tc>
      </w:tr>
      <w:tr w14:paraId="7A4D1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ign w:val="center"/>
          </w:tcPr>
          <w:p w14:paraId="51EEA63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noWrap/>
            <w:vAlign w:val="center"/>
          </w:tcPr>
          <w:p w14:paraId="4791AC86">
            <w:pPr>
              <w:spacing w:line="360" w:lineRule="auto"/>
              <w:rPr>
                <w:rFonts w:ascii="宋体" w:hAnsi="宋体" w:cs="宋体"/>
                <w:color w:val="auto"/>
                <w:szCs w:val="21"/>
                <w:highlight w:val="none"/>
              </w:rPr>
            </w:pPr>
            <w:r>
              <w:rPr>
                <w:rFonts w:hint="eastAsia" w:ascii="宋体" w:hAnsi="宋体" w:cs="宋体"/>
                <w:color w:val="auto"/>
                <w:szCs w:val="21"/>
                <w:highlight w:val="none"/>
              </w:rPr>
              <w:t>报价文件</w:t>
            </w:r>
          </w:p>
          <w:p w14:paraId="62406800">
            <w:pPr>
              <w:numPr>
                <w:ilvl w:val="0"/>
                <w:numId w:val="1"/>
              </w:numPr>
              <w:spacing w:line="360" w:lineRule="auto"/>
              <w:rPr>
                <w:rFonts w:ascii="宋体" w:hAnsi="宋体" w:cs="宋体"/>
                <w:color w:val="auto"/>
                <w:szCs w:val="21"/>
                <w:highlight w:val="none"/>
              </w:rPr>
            </w:pPr>
            <w:r>
              <w:rPr>
                <w:rFonts w:hint="eastAsia" w:ascii="宋体" w:hAnsi="宋体" w:cs="宋体"/>
                <w:color w:val="auto"/>
                <w:szCs w:val="21"/>
                <w:highlight w:val="none"/>
              </w:rPr>
              <w:t>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1C81E3FC">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.供应商认为需要提供的其他有关资料。</w:t>
            </w:r>
          </w:p>
        </w:tc>
      </w:tr>
      <w:tr w14:paraId="08B8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ign w:val="center"/>
          </w:tcPr>
          <w:p w14:paraId="7A444BF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noWrap/>
            <w:vAlign w:val="center"/>
          </w:tcPr>
          <w:p w14:paraId="6C0B79BC">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商务技术文件</w:t>
            </w:r>
          </w:p>
          <w:p w14:paraId="08E595CE">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2DE10E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23E170D">
            <w:pPr>
              <w:spacing w:line="360" w:lineRule="auto"/>
              <w:rPr>
                <w:rFonts w:ascii="宋体" w:hAnsi="宋体" w:cs="宋体"/>
                <w:color w:val="auto"/>
                <w:szCs w:val="21"/>
                <w:highlight w:val="none"/>
              </w:rPr>
            </w:pPr>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3B53B1A4">
            <w:pPr>
              <w:spacing w:line="360" w:lineRule="auto"/>
              <w:rPr>
                <w:rFonts w:ascii="宋体" w:hAnsi="宋体" w:cs="宋体"/>
                <w:color w:val="auto"/>
                <w:szCs w:val="21"/>
                <w:highlight w:val="none"/>
              </w:rPr>
            </w:pPr>
            <w:r>
              <w:rPr>
                <w:rFonts w:hint="eastAsia" w:ascii="宋体" w:hAnsi="宋体" w:cs="宋体"/>
                <w:color w:val="auto"/>
                <w:szCs w:val="21"/>
                <w:highlight w:val="none"/>
              </w:rPr>
              <w:t>4.商务要求偏离表（格式后附）；（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EB16609">
            <w:pPr>
              <w:pStyle w:val="6"/>
              <w:spacing w:line="360" w:lineRule="auto"/>
              <w:ind w:firstLine="0"/>
              <w:rPr>
                <w:rFonts w:ascii="宋体" w:hAnsi="宋体" w:cs="宋体"/>
                <w:color w:val="auto"/>
                <w:szCs w:val="21"/>
                <w:highlight w:val="none"/>
              </w:rPr>
            </w:pPr>
            <w:r>
              <w:rPr>
                <w:rFonts w:hint="eastAsia" w:ascii="宋体" w:hAnsi="宋体"/>
                <w:color w:val="auto"/>
                <w:szCs w:val="21"/>
                <w:highlight w:val="none"/>
              </w:rPr>
              <w:t>5.代理服务费承诺书（格式后附）；</w:t>
            </w:r>
            <w:r>
              <w:rPr>
                <w:rFonts w:hint="eastAsia" w:ascii="宋体" w:hAnsi="宋体" w:cs="宋体"/>
                <w:color w:val="auto"/>
                <w:szCs w:val="21"/>
                <w:highlight w:val="none"/>
              </w:rPr>
              <w:t xml:space="preserve"> </w:t>
            </w:r>
          </w:p>
          <w:p w14:paraId="7595E1D5">
            <w:pPr>
              <w:pStyle w:val="6"/>
              <w:spacing w:line="360" w:lineRule="auto"/>
              <w:ind w:firstLine="0"/>
              <w:rPr>
                <w:b/>
                <w:color w:val="auto"/>
                <w:highlight w:val="none"/>
              </w:rPr>
            </w:pPr>
            <w:r>
              <w:rPr>
                <w:rFonts w:hint="eastAsia" w:ascii="宋体" w:hAnsi="宋体" w:cs="宋体"/>
                <w:color w:val="auto"/>
                <w:szCs w:val="21"/>
                <w:highlight w:val="none"/>
              </w:rPr>
              <w:t>6.</w:t>
            </w:r>
            <w:r>
              <w:rPr>
                <w:rFonts w:hint="eastAsia" w:ascii="宋体" w:hAnsi="宋体"/>
                <w:color w:val="auto"/>
                <w:szCs w:val="21"/>
                <w:highlight w:val="none"/>
              </w:rPr>
              <w:t>技术要求偏离表（格式后附）；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5E0DCC3">
            <w:pPr>
              <w:spacing w:line="360" w:lineRule="auto"/>
              <w:rPr>
                <w:rFonts w:ascii="宋体" w:hAnsi="宋体" w:cs="宋体"/>
                <w:color w:val="auto"/>
                <w:szCs w:val="21"/>
                <w:highlight w:val="none"/>
              </w:rPr>
            </w:pPr>
            <w:r>
              <w:rPr>
                <w:rFonts w:hint="eastAsia" w:ascii="宋体" w:hAnsi="宋体" w:cs="宋体"/>
                <w:color w:val="auto"/>
                <w:szCs w:val="21"/>
                <w:highlight w:val="none"/>
              </w:rPr>
              <w:t>7.活动策划方案、活动设计方案、活动执行方案及保障措施（格式自拟）；（</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84E3248">
            <w:pPr>
              <w:spacing w:line="360" w:lineRule="auto"/>
              <w:rPr>
                <w:rFonts w:ascii="宋体" w:hAnsi="宋体" w:cs="宋体"/>
                <w:color w:val="auto"/>
                <w:szCs w:val="21"/>
                <w:highlight w:val="none"/>
              </w:rPr>
            </w:pPr>
            <w:r>
              <w:rPr>
                <w:rFonts w:hint="eastAsia" w:ascii="宋体" w:hAnsi="宋体" w:cs="宋体"/>
                <w:color w:val="auto"/>
                <w:szCs w:val="21"/>
                <w:highlight w:val="none"/>
              </w:rPr>
              <w:t>8.对应采购需求的技术要求、商务要求提供的其他文件资料（格式自拟）；</w:t>
            </w:r>
          </w:p>
          <w:p w14:paraId="6C7F12C7">
            <w:pPr>
              <w:spacing w:line="360" w:lineRule="auto"/>
              <w:rPr>
                <w:rFonts w:ascii="宋体" w:hAnsi="宋体" w:cs="宋体"/>
                <w:color w:val="auto"/>
                <w:szCs w:val="21"/>
                <w:highlight w:val="none"/>
              </w:rPr>
            </w:pPr>
            <w:r>
              <w:rPr>
                <w:rFonts w:hint="eastAsia" w:ascii="宋体" w:hAnsi="宋体" w:cs="宋体"/>
                <w:color w:val="auto"/>
                <w:szCs w:val="21"/>
                <w:highlight w:val="none"/>
              </w:rPr>
              <w:t>9.供应商认为需要提供的其他有关资料。</w:t>
            </w:r>
          </w:p>
          <w:p w14:paraId="16008A53">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注：以上标明“必须提供”的材料属于复印件的，必须加盖供应商</w:t>
            </w:r>
            <w:r>
              <w:rPr>
                <w:rFonts w:hint="eastAsia" w:ascii="宋体" w:hAnsi="宋体"/>
                <w:b/>
                <w:bCs/>
                <w:color w:val="auto"/>
                <w:szCs w:val="21"/>
                <w:highlight w:val="none"/>
              </w:rPr>
              <w:t>电子签章</w:t>
            </w:r>
            <w:r>
              <w:rPr>
                <w:rFonts w:hint="eastAsia" w:ascii="宋体" w:hAnsi="宋体" w:cs="宋体"/>
                <w:b/>
                <w:color w:val="auto"/>
                <w:szCs w:val="21"/>
                <w:highlight w:val="none"/>
              </w:rPr>
              <w:t>，否则响应文件按无效响应处理。</w:t>
            </w:r>
          </w:p>
        </w:tc>
      </w:tr>
      <w:tr w14:paraId="78A38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ign w:val="center"/>
          </w:tcPr>
          <w:p w14:paraId="79EF988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noWrap/>
            <w:vAlign w:val="center"/>
          </w:tcPr>
          <w:p w14:paraId="3EBD8AA6">
            <w:pPr>
              <w:spacing w:line="320" w:lineRule="exact"/>
              <w:jc w:val="left"/>
              <w:rPr>
                <w:rFonts w:ascii="宋体" w:hAnsi="宋体"/>
                <w:color w:val="auto"/>
                <w:szCs w:val="21"/>
                <w:highlight w:val="none"/>
              </w:rPr>
            </w:pPr>
            <w:r>
              <w:rPr>
                <w:rFonts w:hint="eastAsia" w:ascii="宋体" w:hAnsi="宋体"/>
                <w:color w:val="auto"/>
                <w:szCs w:val="21"/>
                <w:highlight w:val="none"/>
              </w:rPr>
              <w:t xml:space="preserve">(1) </w:t>
            </w:r>
            <w:r>
              <w:rPr>
                <w:rFonts w:hint="eastAsia" w:ascii="宋体" w:hAnsi="宋体"/>
                <w:color w:val="auto"/>
                <w:szCs w:val="21"/>
                <w:highlight w:val="none"/>
                <w:lang w:eastAsia="zh-CN"/>
              </w:rPr>
              <w:t>宣传活动</w:t>
            </w:r>
            <w:r>
              <w:rPr>
                <w:rFonts w:hint="eastAsia" w:ascii="宋体" w:hAnsi="宋体"/>
                <w:color w:val="auto"/>
                <w:szCs w:val="21"/>
                <w:highlight w:val="none"/>
              </w:rPr>
              <w:t xml:space="preserve">服务的价格； </w:t>
            </w:r>
          </w:p>
          <w:p w14:paraId="73F932A1">
            <w:pPr>
              <w:spacing w:line="320" w:lineRule="exact"/>
              <w:jc w:val="left"/>
              <w:rPr>
                <w:rFonts w:ascii="宋体" w:hAnsi="宋体"/>
                <w:color w:val="auto"/>
                <w:szCs w:val="21"/>
                <w:highlight w:val="none"/>
              </w:rPr>
            </w:pPr>
            <w:r>
              <w:rPr>
                <w:rFonts w:hint="eastAsia" w:ascii="宋体" w:hAnsi="宋体"/>
                <w:color w:val="auto"/>
                <w:szCs w:val="21"/>
                <w:highlight w:val="none"/>
              </w:rPr>
              <w:t xml:space="preserve">(2) 必要的保险费用和各项税金； </w:t>
            </w:r>
          </w:p>
          <w:p w14:paraId="2DF87921">
            <w:pPr>
              <w:spacing w:line="320" w:lineRule="exact"/>
              <w:jc w:val="left"/>
              <w:rPr>
                <w:rFonts w:ascii="宋体" w:hAnsi="宋体"/>
                <w:color w:val="auto"/>
                <w:szCs w:val="21"/>
                <w:highlight w:val="none"/>
              </w:rPr>
            </w:pPr>
            <w:r>
              <w:rPr>
                <w:rFonts w:hint="eastAsia" w:ascii="宋体" w:hAnsi="宋体"/>
                <w:color w:val="auto"/>
                <w:szCs w:val="21"/>
                <w:highlight w:val="none"/>
              </w:rPr>
              <w:t xml:space="preserve">(3) 其他 (如运输、劳务、管理、代理服务、验收等费用) 。 </w:t>
            </w:r>
          </w:p>
          <w:p w14:paraId="1A54CAB4">
            <w:pPr>
              <w:spacing w:line="320" w:lineRule="exact"/>
              <w:jc w:val="left"/>
              <w:rPr>
                <w:rFonts w:ascii="宋体" w:hAnsi="宋体"/>
                <w:color w:val="auto"/>
                <w:szCs w:val="21"/>
                <w:highlight w:val="none"/>
              </w:rPr>
            </w:pPr>
            <w:r>
              <w:rPr>
                <w:rFonts w:hint="eastAsia" w:ascii="宋体" w:hAnsi="宋体"/>
                <w:color w:val="auto"/>
                <w:szCs w:val="21"/>
                <w:highlight w:val="none"/>
              </w:rPr>
              <w:t>(4) 与本项目服务业务有关一切费用和政策性文件规定及合同包含的所有风险、责任等全部费用。</w:t>
            </w:r>
          </w:p>
        </w:tc>
      </w:tr>
      <w:tr w14:paraId="7165D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ign w:val="center"/>
          </w:tcPr>
          <w:p w14:paraId="4317A85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noWrap/>
            <w:vAlign w:val="center"/>
          </w:tcPr>
          <w:p w14:paraId="41F14D53">
            <w:pPr>
              <w:pStyle w:val="8"/>
              <w:widowControl w:val="0"/>
              <w:tabs>
                <w:tab w:val="clear" w:pos="454"/>
              </w:tabs>
              <w:snapToGrid w:val="0"/>
              <w:spacing w:afterLines="0" w:line="360" w:lineRule="auto"/>
              <w:ind w:left="283" w:hanging="283" w:hangingChars="135"/>
              <w:rPr>
                <w:rFonts w:ascii="宋体" w:hAnsi="宋体" w:cs="宋体"/>
                <w:color w:val="auto"/>
                <w:kern w:val="2"/>
                <w:sz w:val="21"/>
                <w:szCs w:val="21"/>
                <w:highlight w:val="none"/>
              </w:rPr>
            </w:pPr>
            <w:r>
              <w:rPr>
                <w:rFonts w:hint="eastAsia" w:ascii="宋体" w:hAnsi="宋体" w:cs="宋体"/>
                <w:color w:val="auto"/>
                <w:kern w:val="2"/>
                <w:sz w:val="21"/>
                <w:szCs w:val="21"/>
                <w:highlight w:val="none"/>
              </w:rPr>
              <w:t>竞标有效期：自首次响应文件提交截止之日起</w:t>
            </w:r>
            <w:r>
              <w:rPr>
                <w:rFonts w:hint="eastAsia" w:ascii="宋体" w:hAnsi="宋体" w:cs="宋体"/>
                <w:color w:val="auto"/>
                <w:kern w:val="2"/>
                <w:sz w:val="21"/>
                <w:szCs w:val="21"/>
                <w:highlight w:val="none"/>
                <w:u w:val="single"/>
              </w:rPr>
              <w:t>90</w:t>
            </w:r>
            <w:r>
              <w:rPr>
                <w:rFonts w:hint="eastAsia" w:ascii="宋体" w:hAnsi="宋体" w:cs="宋体"/>
                <w:color w:val="auto"/>
                <w:kern w:val="2"/>
                <w:sz w:val="21"/>
                <w:szCs w:val="21"/>
                <w:highlight w:val="none"/>
              </w:rPr>
              <w:t>日。</w:t>
            </w:r>
          </w:p>
        </w:tc>
      </w:tr>
      <w:tr w14:paraId="1AAF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ign w:val="center"/>
          </w:tcPr>
          <w:p w14:paraId="17A9CE5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noWrap/>
            <w:vAlign w:val="center"/>
          </w:tcPr>
          <w:p w14:paraId="1F3093D2">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本项目不收取磋商保证金。</w:t>
            </w:r>
          </w:p>
        </w:tc>
      </w:tr>
      <w:tr w14:paraId="48B6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ign w:val="center"/>
          </w:tcPr>
          <w:p w14:paraId="5296330E">
            <w:pPr>
              <w:spacing w:line="360" w:lineRule="auto"/>
              <w:jc w:val="center"/>
              <w:rPr>
                <w:rFonts w:ascii="宋体" w:hAnsi="宋体" w:cs="宋体"/>
                <w:color w:val="auto"/>
                <w:szCs w:val="21"/>
                <w:highlight w:val="none"/>
              </w:rPr>
            </w:pPr>
            <w:r>
              <w:rPr>
                <w:rFonts w:ascii="宋体" w:hAnsi="宋体" w:cs="宋体"/>
                <w:color w:val="auto"/>
                <w:szCs w:val="21"/>
                <w:highlight w:val="none"/>
              </w:rPr>
              <w:t>19</w:t>
            </w:r>
          </w:p>
        </w:tc>
        <w:tc>
          <w:tcPr>
            <w:tcW w:w="7912" w:type="dxa"/>
            <w:noWrap/>
            <w:vAlign w:val="center"/>
          </w:tcPr>
          <w:p w14:paraId="0311F4AD">
            <w:pPr>
              <w:spacing w:line="360" w:lineRule="auto"/>
              <w:rPr>
                <w:rFonts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5EB7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ign w:val="center"/>
          </w:tcPr>
          <w:p w14:paraId="2894E8F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noWrap/>
            <w:vAlign w:val="center"/>
          </w:tcPr>
          <w:p w14:paraId="559881F9">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响应文件提交截止时间：详见竞争性磋商公告</w:t>
            </w:r>
          </w:p>
          <w:p w14:paraId="3DB67074">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07B0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ign w:val="center"/>
          </w:tcPr>
          <w:p w14:paraId="1211901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noWrap/>
            <w:vAlign w:val="center"/>
          </w:tcPr>
          <w:p w14:paraId="785D092E">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4F4C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ign w:val="center"/>
          </w:tcPr>
          <w:p w14:paraId="5DED849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noWrap/>
            <w:vAlign w:val="center"/>
          </w:tcPr>
          <w:p w14:paraId="0379C20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2459DBD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hAnsi="宋体"/>
                <w:color w:val="auto"/>
                <w:highlight w:val="none"/>
              </w:rPr>
              <w:t>30分钟</w:t>
            </w:r>
          </w:p>
        </w:tc>
      </w:tr>
      <w:tr w14:paraId="14DB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92" w:type="dxa"/>
            <w:noWrap/>
            <w:vAlign w:val="center"/>
          </w:tcPr>
          <w:p w14:paraId="2BB331C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noWrap/>
            <w:vAlign w:val="center"/>
          </w:tcPr>
          <w:p w14:paraId="5D56A43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2169A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ign w:val="center"/>
          </w:tcPr>
          <w:p w14:paraId="3C24B93D">
            <w:pPr>
              <w:spacing w:line="360" w:lineRule="auto"/>
              <w:jc w:val="center"/>
              <w:rPr>
                <w:rFonts w:ascii="宋体" w:hAnsi="宋体" w:cs="宋体"/>
                <w:color w:val="auto"/>
                <w:szCs w:val="21"/>
                <w:highlight w:val="none"/>
              </w:rPr>
            </w:pPr>
            <w:r>
              <w:rPr>
                <w:rFonts w:ascii="宋体" w:hAnsi="宋体" w:cs="宋体"/>
                <w:color w:val="auto"/>
                <w:szCs w:val="21"/>
                <w:highlight w:val="none"/>
              </w:rPr>
              <w:t>28.1</w:t>
            </w:r>
          </w:p>
        </w:tc>
        <w:tc>
          <w:tcPr>
            <w:tcW w:w="7912" w:type="dxa"/>
            <w:noWrap/>
            <w:vAlign w:val="center"/>
          </w:tcPr>
          <w:p w14:paraId="4BFFEA32">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本项目不收取履约保证金。</w:t>
            </w:r>
          </w:p>
        </w:tc>
      </w:tr>
      <w:tr w14:paraId="08059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ign w:val="center"/>
          </w:tcPr>
          <w:p w14:paraId="7DF46D35">
            <w:pPr>
              <w:spacing w:line="360" w:lineRule="auto"/>
              <w:jc w:val="center"/>
              <w:rPr>
                <w:rFonts w:ascii="宋体" w:hAnsi="宋体" w:cs="宋体"/>
                <w:color w:val="auto"/>
                <w:szCs w:val="21"/>
                <w:highlight w:val="none"/>
              </w:rPr>
            </w:pPr>
            <w:r>
              <w:rPr>
                <w:rFonts w:ascii="宋体" w:hAnsi="宋体" w:cs="宋体"/>
                <w:color w:val="auto"/>
                <w:szCs w:val="21"/>
                <w:highlight w:val="none"/>
              </w:rPr>
              <w:t>29.1</w:t>
            </w:r>
          </w:p>
        </w:tc>
        <w:tc>
          <w:tcPr>
            <w:tcW w:w="7912" w:type="dxa"/>
            <w:noWrap/>
            <w:vAlign w:val="center"/>
          </w:tcPr>
          <w:p w14:paraId="04615EAF">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 xml:space="preserve">签订合同携带的证明材料： </w:t>
            </w:r>
          </w:p>
          <w:p w14:paraId="791E3B30">
            <w:pPr>
              <w:autoSpaceDE w:val="0"/>
              <w:autoSpaceDN w:val="0"/>
              <w:snapToGrid w:val="0"/>
              <w:spacing w:line="360" w:lineRule="auto"/>
              <w:textAlignment w:val="bottom"/>
              <w:rPr>
                <w:rFonts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38B69DCD">
            <w:pPr>
              <w:snapToGrid w:val="0"/>
              <w:spacing w:line="360" w:lineRule="auto"/>
              <w:rPr>
                <w:rFonts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3422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ign w:val="center"/>
          </w:tcPr>
          <w:p w14:paraId="2D35135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noWrap/>
            <w:vAlign w:val="center"/>
          </w:tcPr>
          <w:p w14:paraId="53784AB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198F06D2">
            <w:pPr>
              <w:pStyle w:val="14"/>
              <w:snapToGrid w:val="0"/>
              <w:spacing w:line="360" w:lineRule="auto"/>
              <w:rPr>
                <w:rFonts w:hAnsi="宋体" w:cs="宋体"/>
                <w:color w:val="auto"/>
                <w:kern w:val="2"/>
                <w:sz w:val="21"/>
                <w:highlight w:val="none"/>
              </w:rPr>
            </w:pPr>
            <w:r>
              <w:rPr>
                <w:rFonts w:hint="eastAsia" w:hAnsi="宋体" w:cs="宋体"/>
                <w:color w:val="auto"/>
                <w:kern w:val="2"/>
                <w:sz w:val="21"/>
                <w:highlight w:val="none"/>
              </w:rPr>
              <w:t>质疑联系部门及联系方式：</w:t>
            </w:r>
            <w:r>
              <w:rPr>
                <w:rFonts w:hint="eastAsia" w:hAnsi="宋体" w:cs="宋体"/>
                <w:color w:val="auto"/>
                <w:kern w:val="2"/>
                <w:sz w:val="21"/>
                <w:highlight w:val="none"/>
                <w:u w:val="single"/>
              </w:rPr>
              <w:t>云之龙咨询集团有限公司防城港市分公司</w:t>
            </w:r>
            <w:r>
              <w:rPr>
                <w:rFonts w:hint="eastAsia" w:hAnsi="宋体" w:cs="宋体"/>
                <w:color w:val="auto"/>
                <w:kern w:val="2"/>
                <w:sz w:val="21"/>
                <w:highlight w:val="none"/>
              </w:rPr>
              <w:t>，联系电话：0770-2882899，通讯地址：防城港市港口区桃花湾广场海悦华府一单元12楼1203室）</w:t>
            </w:r>
          </w:p>
          <w:p w14:paraId="1B04B5AF">
            <w:pPr>
              <w:autoSpaceDE w:val="0"/>
              <w:autoSpaceDN w:val="0"/>
              <w:snapToGrid w:val="0"/>
              <w:spacing w:line="360" w:lineRule="auto"/>
              <w:textAlignment w:val="bottom"/>
              <w:rPr>
                <w:rFonts w:ascii="宋体" w:hAnsi="宋体"/>
                <w:color w:val="auto"/>
                <w:szCs w:val="21"/>
                <w:highlight w:val="none"/>
              </w:rPr>
            </w:pPr>
            <w:r>
              <w:rPr>
                <w:rFonts w:hint="eastAsia" w:hAnsi="宋体" w:cs="宋体"/>
                <w:color w:val="auto"/>
                <w:highlight w:val="none"/>
              </w:rPr>
              <w:t>业务时间：工作日每天8时00分到12时00分，15时00分到18时00分</w:t>
            </w:r>
            <w:r>
              <w:rPr>
                <w:rFonts w:hint="eastAsia" w:hAnsi="宋体"/>
                <w:color w:val="auto"/>
                <w:highlight w:val="none"/>
              </w:rPr>
              <w:t>。</w:t>
            </w:r>
          </w:p>
        </w:tc>
      </w:tr>
      <w:tr w14:paraId="715C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ign w:val="center"/>
          </w:tcPr>
          <w:p w14:paraId="3ED16E61">
            <w:pPr>
              <w:spacing w:line="360" w:lineRule="auto"/>
              <w:jc w:val="center"/>
              <w:rPr>
                <w:rFonts w:ascii="宋体" w:hAnsi="宋体" w:cs="宋体"/>
                <w:color w:val="auto"/>
                <w:szCs w:val="21"/>
                <w:highlight w:val="none"/>
              </w:rPr>
            </w:pPr>
            <w:r>
              <w:rPr>
                <w:rFonts w:ascii="宋体" w:hAnsi="宋体" w:cs="宋体"/>
                <w:color w:val="auto"/>
                <w:szCs w:val="21"/>
                <w:highlight w:val="none"/>
              </w:rPr>
              <w:t>32.1</w:t>
            </w:r>
          </w:p>
        </w:tc>
        <w:tc>
          <w:tcPr>
            <w:tcW w:w="7912" w:type="dxa"/>
            <w:noWrap/>
            <w:vAlign w:val="center"/>
          </w:tcPr>
          <w:p w14:paraId="3079F30C">
            <w:pPr>
              <w:pStyle w:val="14"/>
              <w:snapToGrid w:val="0"/>
              <w:spacing w:line="360" w:lineRule="auto"/>
              <w:rPr>
                <w:rFonts w:hAnsi="宋体" w:cs="宋体"/>
                <w:color w:val="auto"/>
                <w:sz w:val="21"/>
                <w:highlight w:val="none"/>
              </w:rPr>
            </w:pPr>
            <w:r>
              <w:rPr>
                <w:rFonts w:hint="eastAsia" w:hAnsi="宋体" w:cs="宋体"/>
                <w:color w:val="auto"/>
                <w:sz w:val="21"/>
                <w:highlight w:val="none"/>
              </w:rPr>
              <w:t>1.采购代理费支付方式：</w:t>
            </w:r>
          </w:p>
          <w:p w14:paraId="62E9B64F">
            <w:pPr>
              <w:pStyle w:val="14"/>
              <w:snapToGrid w:val="0"/>
              <w:spacing w:line="360" w:lineRule="auto"/>
              <w:rPr>
                <w:rFonts w:hAnsi="宋体" w:cs="宋体"/>
                <w:color w:val="auto"/>
                <w:sz w:val="21"/>
                <w:highlight w:val="none"/>
              </w:rPr>
            </w:pPr>
            <w:r>
              <w:rPr>
                <w:rFonts w:hint="eastAsia" w:hAnsi="宋体" w:cs="宋体"/>
                <w:color w:val="auto"/>
                <w:sz w:val="21"/>
                <w:highlight w:val="none"/>
              </w:rPr>
              <w:t>本项目代理服务费由成交供应商领取成交通知书后一次性向采购代理机构支付。</w:t>
            </w:r>
          </w:p>
          <w:p w14:paraId="277CC9ED">
            <w:pPr>
              <w:pStyle w:val="14"/>
              <w:snapToGrid w:val="0"/>
              <w:spacing w:line="360" w:lineRule="auto"/>
              <w:rPr>
                <w:rFonts w:hAnsi="宋体" w:cs="宋体"/>
                <w:color w:val="auto"/>
                <w:sz w:val="21"/>
                <w:highlight w:val="none"/>
              </w:rPr>
            </w:pPr>
            <w:r>
              <w:rPr>
                <w:rFonts w:hint="eastAsia" w:hAnsi="宋体" w:cs="宋体"/>
                <w:color w:val="auto"/>
                <w:sz w:val="21"/>
                <w:highlight w:val="none"/>
              </w:rPr>
              <w:t>2.采购代理费收取标准：</w:t>
            </w:r>
          </w:p>
          <w:p w14:paraId="623C0FED">
            <w:pPr>
              <w:pStyle w:val="14"/>
              <w:snapToGrid w:val="0"/>
              <w:spacing w:line="360" w:lineRule="auto"/>
              <w:rPr>
                <w:rFonts w:hAnsi="宋体" w:cs="宋体"/>
                <w:color w:val="auto"/>
                <w:sz w:val="21"/>
                <w:highlight w:val="none"/>
              </w:rPr>
            </w:pPr>
            <w:r>
              <w:rPr>
                <w:rFonts w:hint="eastAsia" w:hAnsi="宋体" w:cs="宋体"/>
                <w:color w:val="auto"/>
                <w:sz w:val="21"/>
                <w:highlight w:val="none"/>
              </w:rPr>
              <w:t>以成交总金额为计费额，按本须知正文第</w:t>
            </w:r>
            <w:r>
              <w:rPr>
                <w:rFonts w:hAnsi="宋体" w:cs="宋体"/>
                <w:color w:val="auto"/>
                <w:sz w:val="21"/>
                <w:highlight w:val="none"/>
              </w:rPr>
              <w:t>32</w:t>
            </w:r>
            <w:r>
              <w:rPr>
                <w:rFonts w:hint="eastAsia" w:hAnsi="宋体" w:cs="宋体"/>
                <w:color w:val="auto"/>
                <w:sz w:val="21"/>
                <w:highlight w:val="none"/>
              </w:rPr>
              <w:t>.</w:t>
            </w:r>
            <w:r>
              <w:rPr>
                <w:rFonts w:hAnsi="宋体" w:cs="宋体"/>
                <w:color w:val="auto"/>
                <w:sz w:val="21"/>
                <w:highlight w:val="none"/>
              </w:rPr>
              <w:t>2</w:t>
            </w:r>
            <w:r>
              <w:rPr>
                <w:rFonts w:hint="eastAsia" w:hAnsi="宋体" w:cs="宋体"/>
                <w:color w:val="auto"/>
                <w:sz w:val="21"/>
                <w:highlight w:val="none"/>
              </w:rPr>
              <w:t>条规定的收费计算标准服务类采用差额定率累进法计算收取。</w:t>
            </w:r>
          </w:p>
          <w:p w14:paraId="5F714E5D">
            <w:pPr>
              <w:pStyle w:val="14"/>
              <w:snapToGrid w:val="0"/>
              <w:spacing w:line="360" w:lineRule="auto"/>
              <w:rPr>
                <w:rFonts w:hAnsi="宋体" w:cs="宋体"/>
                <w:color w:val="auto"/>
                <w:sz w:val="21"/>
                <w:highlight w:val="none"/>
              </w:rPr>
            </w:pPr>
            <w:r>
              <w:rPr>
                <w:rFonts w:hint="eastAsia" w:hAnsi="宋体" w:cs="宋体"/>
                <w:color w:val="auto"/>
                <w:sz w:val="21"/>
                <w:highlight w:val="none"/>
              </w:rPr>
              <w:t>3. 采购代理费收取银行账户</w:t>
            </w:r>
          </w:p>
          <w:p w14:paraId="54A06DE9">
            <w:pPr>
              <w:pStyle w:val="14"/>
              <w:spacing w:line="360" w:lineRule="auto"/>
              <w:rPr>
                <w:rFonts w:hAnsi="宋体" w:cs="宋体"/>
                <w:color w:val="auto"/>
                <w:sz w:val="21"/>
                <w:highlight w:val="none"/>
              </w:rPr>
            </w:pPr>
            <w:r>
              <w:rPr>
                <w:rFonts w:hint="eastAsia" w:hAnsi="宋体" w:cs="宋体"/>
                <w:color w:val="auto"/>
                <w:sz w:val="21"/>
                <w:highlight w:val="none"/>
              </w:rPr>
              <w:t>账户名称：云之龙咨询集团有限公司防城港分公司</w:t>
            </w:r>
          </w:p>
          <w:p w14:paraId="218FD631">
            <w:pPr>
              <w:pStyle w:val="14"/>
              <w:spacing w:line="360" w:lineRule="auto"/>
              <w:rPr>
                <w:rFonts w:hAnsi="宋体" w:cs="宋体"/>
                <w:color w:val="auto"/>
                <w:sz w:val="21"/>
                <w:highlight w:val="none"/>
              </w:rPr>
            </w:pPr>
            <w:r>
              <w:rPr>
                <w:rFonts w:hint="eastAsia" w:hAnsi="宋体" w:cs="宋体"/>
                <w:color w:val="auto"/>
                <w:sz w:val="21"/>
                <w:highlight w:val="none"/>
              </w:rPr>
              <w:t>开户银行：中信银行南宁东葛支行</w:t>
            </w:r>
          </w:p>
          <w:p w14:paraId="7539A090">
            <w:pPr>
              <w:pStyle w:val="14"/>
              <w:snapToGrid w:val="0"/>
              <w:spacing w:line="360" w:lineRule="auto"/>
              <w:rPr>
                <w:rFonts w:hAnsi="宋体" w:cs="宋体"/>
                <w:color w:val="auto"/>
                <w:sz w:val="21"/>
                <w:highlight w:val="none"/>
              </w:rPr>
            </w:pPr>
            <w:r>
              <w:rPr>
                <w:rFonts w:hint="eastAsia" w:hAnsi="宋体" w:cs="宋体"/>
                <w:color w:val="auto"/>
                <w:sz w:val="21"/>
                <w:highlight w:val="none"/>
              </w:rPr>
              <w:t xml:space="preserve">银行账号：8113001014000157977  </w:t>
            </w:r>
          </w:p>
        </w:tc>
      </w:tr>
      <w:tr w14:paraId="671D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ign w:val="center"/>
          </w:tcPr>
          <w:p w14:paraId="530B7CB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noWrap/>
            <w:vAlign w:val="center"/>
          </w:tcPr>
          <w:p w14:paraId="7D1E951A">
            <w:pPr>
              <w:pStyle w:val="14"/>
              <w:snapToGrid w:val="0"/>
              <w:spacing w:line="360" w:lineRule="auto"/>
              <w:rPr>
                <w:rFonts w:hAnsi="宋体" w:cs="宋体"/>
                <w:color w:val="auto"/>
                <w:kern w:val="2"/>
                <w:sz w:val="21"/>
                <w:highlight w:val="none"/>
              </w:rPr>
            </w:pPr>
            <w:r>
              <w:rPr>
                <w:rFonts w:hint="eastAsia" w:hAnsi="宋体"/>
                <w:color w:val="auto"/>
                <w:highlight w:val="none"/>
              </w:rPr>
              <w:t>解释：</w:t>
            </w:r>
            <w:r>
              <w:rPr>
                <w:rFonts w:hAnsi="宋体"/>
                <w:color w:val="auto"/>
                <w:highlight w:val="none"/>
              </w:rPr>
              <w:t>构成本</w:t>
            </w:r>
            <w:r>
              <w:rPr>
                <w:rFonts w:hint="eastAsia" w:hAnsi="宋体"/>
                <w:color w:val="auto"/>
                <w:highlight w:val="none"/>
              </w:rPr>
              <w:t>磋商文件</w:t>
            </w:r>
            <w:r>
              <w:rPr>
                <w:rFonts w:hAnsi="宋体"/>
                <w:color w:val="auto"/>
                <w:highlight w:val="none"/>
              </w:rPr>
              <w:t>的各个组成文件应互为解释，互为说明；除</w:t>
            </w:r>
            <w:r>
              <w:rPr>
                <w:rFonts w:hint="eastAsia" w:hAnsi="宋体"/>
                <w:color w:val="auto"/>
                <w:highlight w:val="none"/>
              </w:rPr>
              <w:t>磋商文件</w:t>
            </w:r>
            <w:r>
              <w:rPr>
                <w:rFonts w:hAnsi="宋体"/>
                <w:color w:val="auto"/>
                <w:highlight w:val="none"/>
              </w:rPr>
              <w:t>中有特别规定外，仅适用于</w:t>
            </w:r>
            <w:r>
              <w:rPr>
                <w:rFonts w:hint="eastAsia" w:hAnsi="宋体"/>
                <w:color w:val="auto"/>
                <w:highlight w:val="none"/>
              </w:rPr>
              <w:t>竞标</w:t>
            </w:r>
            <w:r>
              <w:rPr>
                <w:rFonts w:hAnsi="宋体"/>
                <w:color w:val="auto"/>
                <w:highlight w:val="none"/>
              </w:rPr>
              <w:t>阶段的规定，按</w:t>
            </w:r>
            <w:r>
              <w:rPr>
                <w:rFonts w:hint="eastAsia" w:hAnsi="宋体"/>
                <w:color w:val="auto"/>
                <w:highlight w:val="none"/>
              </w:rPr>
              <w:t>更正公告（澄清公告）</w:t>
            </w:r>
            <w:r>
              <w:rPr>
                <w:rFonts w:hAnsi="宋体"/>
                <w:color w:val="auto"/>
                <w:highlight w:val="none"/>
              </w:rPr>
              <w:t>、</w:t>
            </w:r>
            <w:r>
              <w:rPr>
                <w:rFonts w:hint="eastAsia" w:hAnsi="宋体"/>
                <w:color w:val="auto"/>
                <w:highlight w:val="none"/>
              </w:rPr>
              <w:t>竞争性磋商</w:t>
            </w:r>
            <w:r>
              <w:rPr>
                <w:rFonts w:hAnsi="宋体"/>
                <w:color w:val="auto"/>
                <w:highlight w:val="none"/>
              </w:rPr>
              <w:t>公告、</w:t>
            </w:r>
            <w:r>
              <w:rPr>
                <w:rFonts w:hint="eastAsia" w:hAnsi="宋体"/>
                <w:color w:val="auto"/>
                <w:highlight w:val="none"/>
              </w:rPr>
              <w:t>供应商</w:t>
            </w:r>
            <w:r>
              <w:rPr>
                <w:rFonts w:hAnsi="宋体"/>
                <w:color w:val="auto"/>
                <w:highlight w:val="none"/>
              </w:rPr>
              <w:t>须知</w:t>
            </w:r>
            <w:r>
              <w:rPr>
                <w:rFonts w:hint="eastAsia" w:hAnsi="宋体"/>
                <w:color w:val="auto"/>
                <w:highlight w:val="none"/>
              </w:rPr>
              <w:t>、采购需求</w:t>
            </w:r>
            <w:r>
              <w:rPr>
                <w:rFonts w:hAnsi="宋体"/>
                <w:color w:val="auto"/>
                <w:highlight w:val="none"/>
              </w:rPr>
              <w:t>、</w:t>
            </w:r>
            <w:r>
              <w:rPr>
                <w:rFonts w:hint="eastAsia"/>
                <w:color w:val="auto"/>
                <w:highlight w:val="none"/>
              </w:rPr>
              <w:t>评审程序、评审方法和评审标准</w:t>
            </w:r>
            <w:r>
              <w:rPr>
                <w:rFonts w:hAnsi="宋体"/>
                <w:color w:val="auto"/>
                <w:highlight w:val="none"/>
              </w:rPr>
              <w:t>、</w:t>
            </w:r>
            <w:r>
              <w:rPr>
                <w:rFonts w:hint="eastAsia" w:hAnsi="宋体"/>
                <w:color w:val="auto"/>
                <w:highlight w:val="none"/>
              </w:rPr>
              <w:t>响应</w:t>
            </w:r>
            <w:r>
              <w:rPr>
                <w:rFonts w:hAnsi="宋体"/>
                <w:color w:val="auto"/>
                <w:highlight w:val="none"/>
              </w:rPr>
              <w:t>文件格式</w:t>
            </w:r>
            <w:r>
              <w:rPr>
                <w:rFonts w:hint="eastAsia" w:hAnsi="宋体"/>
                <w:color w:val="auto"/>
                <w:highlight w:val="none"/>
              </w:rPr>
              <w:t>、合同文本</w:t>
            </w:r>
            <w:r>
              <w:rPr>
                <w:rFonts w:hAnsi="宋体"/>
                <w:color w:val="auto"/>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highlight w:val="none"/>
              </w:rPr>
              <w:t>更正公告（澄清公告）</w:t>
            </w:r>
            <w:r>
              <w:rPr>
                <w:rFonts w:hAnsi="宋体"/>
                <w:color w:val="auto"/>
                <w:highlight w:val="none"/>
              </w:rPr>
              <w:t>与同步更新的</w:t>
            </w:r>
            <w:r>
              <w:rPr>
                <w:rFonts w:hint="eastAsia" w:hAnsi="宋体"/>
                <w:color w:val="auto"/>
                <w:highlight w:val="none"/>
              </w:rPr>
              <w:t>磋商文件</w:t>
            </w:r>
            <w:r>
              <w:rPr>
                <w:rFonts w:hAnsi="宋体"/>
                <w:color w:val="auto"/>
                <w:highlight w:val="none"/>
              </w:rPr>
              <w:t>不一致时以</w:t>
            </w:r>
            <w:r>
              <w:rPr>
                <w:rFonts w:hint="eastAsia" w:hAnsi="宋体"/>
                <w:color w:val="auto"/>
                <w:highlight w:val="none"/>
              </w:rPr>
              <w:t>更正公告（澄清公告）</w:t>
            </w:r>
            <w:r>
              <w:rPr>
                <w:rFonts w:hAnsi="宋体"/>
                <w:color w:val="auto"/>
                <w:highlight w:val="none"/>
              </w:rPr>
              <w:t>为准。按本款前述规定仍不能形成结论的，由</w:t>
            </w:r>
            <w:r>
              <w:rPr>
                <w:rFonts w:hint="eastAsia" w:hAnsi="宋体"/>
                <w:color w:val="auto"/>
                <w:highlight w:val="none"/>
              </w:rPr>
              <w:t>采购</w:t>
            </w:r>
            <w:r>
              <w:rPr>
                <w:rFonts w:hAnsi="宋体"/>
                <w:color w:val="auto"/>
                <w:highlight w:val="none"/>
              </w:rPr>
              <w:t>人</w:t>
            </w:r>
            <w:r>
              <w:rPr>
                <w:rFonts w:hint="eastAsia" w:hAnsi="宋体"/>
                <w:color w:val="auto"/>
                <w:highlight w:val="none"/>
              </w:rPr>
              <w:t>或者采购代理机构</w:t>
            </w:r>
            <w:r>
              <w:rPr>
                <w:rFonts w:hAnsi="宋体"/>
                <w:color w:val="auto"/>
                <w:highlight w:val="none"/>
              </w:rPr>
              <w:t>负责解释。</w:t>
            </w:r>
          </w:p>
        </w:tc>
      </w:tr>
      <w:tr w14:paraId="7EE8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2" w:type="dxa"/>
            <w:noWrap/>
            <w:vAlign w:val="center"/>
          </w:tcPr>
          <w:p w14:paraId="5E3FC51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3.2</w:t>
            </w:r>
          </w:p>
        </w:tc>
        <w:tc>
          <w:tcPr>
            <w:tcW w:w="7912" w:type="dxa"/>
            <w:noWrap/>
            <w:vAlign w:val="center"/>
          </w:tcPr>
          <w:p w14:paraId="21898534">
            <w:pPr>
              <w:pStyle w:val="14"/>
              <w:snapToGrid w:val="0"/>
              <w:spacing w:line="340" w:lineRule="exact"/>
              <w:rPr>
                <w:rFonts w:hAnsi="宋体"/>
                <w:color w:val="auto"/>
                <w:highlight w:val="none"/>
              </w:rPr>
            </w:pPr>
            <w:r>
              <w:rPr>
                <w:rFonts w:hint="eastAsia" w:hAnsi="宋体"/>
                <w:color w:val="auto"/>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E184352">
            <w:pPr>
              <w:pStyle w:val="14"/>
              <w:snapToGrid w:val="0"/>
              <w:spacing w:line="340" w:lineRule="exact"/>
              <w:rPr>
                <w:rFonts w:hAnsi="宋体"/>
                <w:color w:val="auto"/>
                <w:highlight w:val="none"/>
              </w:rPr>
            </w:pPr>
            <w:r>
              <w:rPr>
                <w:rFonts w:hint="eastAsia" w:hAnsi="宋体"/>
                <w:color w:val="auto"/>
                <w:highlight w:val="none"/>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3D29ADB9">
            <w:pPr>
              <w:pStyle w:val="14"/>
              <w:snapToGrid w:val="0"/>
              <w:spacing w:line="340" w:lineRule="exact"/>
              <w:rPr>
                <w:rFonts w:hAnsi="宋体"/>
                <w:color w:val="auto"/>
                <w:highlight w:val="none"/>
              </w:rPr>
            </w:pPr>
            <w:r>
              <w:rPr>
                <w:rFonts w:hAnsi="宋体"/>
                <w:color w:val="auto"/>
                <w:highlight w:val="none"/>
              </w:rPr>
              <w:t>3</w:t>
            </w:r>
            <w:r>
              <w:rPr>
                <w:rFonts w:hint="eastAsia" w:hAnsi="宋体"/>
                <w:color w:val="auto"/>
                <w:highlight w:val="none"/>
              </w:rPr>
              <w:t>.供应商为其他组织时，本磋商文件规定的法定代表人指负责人。本磋商文件所称负责人是指参加竞标的其他组织营业执照或者执业许可证等证照上的负责人。</w:t>
            </w:r>
          </w:p>
          <w:p w14:paraId="4EA5228F">
            <w:pPr>
              <w:pStyle w:val="14"/>
              <w:snapToGrid w:val="0"/>
              <w:spacing w:line="340" w:lineRule="exact"/>
              <w:rPr>
                <w:rFonts w:hAnsi="宋体"/>
                <w:color w:val="auto"/>
                <w:highlight w:val="none"/>
              </w:rPr>
            </w:pPr>
            <w:r>
              <w:rPr>
                <w:rFonts w:hAnsi="宋体"/>
                <w:color w:val="auto"/>
                <w:highlight w:val="none"/>
              </w:rPr>
              <w:t>4.</w:t>
            </w:r>
            <w:r>
              <w:rPr>
                <w:rFonts w:hint="eastAsia" w:hAnsi="宋体"/>
                <w:color w:val="auto"/>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4A9C8C00">
            <w:pPr>
              <w:pStyle w:val="14"/>
              <w:snapToGrid w:val="0"/>
              <w:spacing w:line="340" w:lineRule="exact"/>
              <w:rPr>
                <w:rFonts w:hAnsi="宋体" w:cs="宋体"/>
                <w:color w:val="auto"/>
                <w:sz w:val="21"/>
                <w:highlight w:val="none"/>
              </w:rPr>
            </w:pPr>
            <w:r>
              <w:rPr>
                <w:rFonts w:hint="eastAsia" w:hAnsi="宋体"/>
                <w:color w:val="auto"/>
                <w:highlight w:val="none"/>
              </w:rPr>
              <w:t>5</w:t>
            </w:r>
            <w:r>
              <w:rPr>
                <w:rFonts w:hAnsi="宋体"/>
                <w:color w:val="auto"/>
                <w:highlight w:val="none"/>
              </w:rPr>
              <w:t>.</w:t>
            </w:r>
            <w:r>
              <w:rPr>
                <w:rFonts w:hint="eastAsia" w:hAnsi="宋体"/>
                <w:color w:val="auto"/>
                <w:highlight w:val="none"/>
              </w:rPr>
              <w:t>本磋商文件所称的“以上”“以下”“以内”“届满”，包括本数；所称的“不满”“超过”“以外”，不包括本数。</w:t>
            </w:r>
          </w:p>
        </w:tc>
      </w:tr>
    </w:tbl>
    <w:p w14:paraId="1BD7D6C6">
      <w:pPr>
        <w:spacing w:line="400" w:lineRule="exact"/>
        <w:jc w:val="center"/>
        <w:rPr>
          <w:rFonts w:ascii="宋体" w:hAnsi="宋体"/>
          <w:b/>
          <w:color w:val="auto"/>
          <w:sz w:val="32"/>
          <w:szCs w:val="32"/>
          <w:highlight w:val="none"/>
        </w:rPr>
      </w:pPr>
      <w:r>
        <w:rPr>
          <w:rFonts w:ascii="宋体" w:hAnsi="宋体"/>
          <w:b/>
          <w:color w:val="auto"/>
          <w:sz w:val="32"/>
          <w:szCs w:val="32"/>
          <w:highlight w:val="none"/>
        </w:rPr>
        <w:br w:type="page"/>
      </w:r>
      <w:r>
        <w:rPr>
          <w:rFonts w:hint="eastAsia" w:ascii="宋体" w:hAnsi="宋体"/>
          <w:b/>
          <w:color w:val="auto"/>
          <w:sz w:val="32"/>
          <w:szCs w:val="32"/>
          <w:highlight w:val="none"/>
        </w:rPr>
        <w:t>供应商须知正文</w:t>
      </w:r>
    </w:p>
    <w:p w14:paraId="2D9FB713">
      <w:pPr>
        <w:spacing w:line="400" w:lineRule="exact"/>
        <w:jc w:val="center"/>
        <w:rPr>
          <w:rFonts w:ascii="宋体" w:hAnsi="宋体"/>
          <w:b/>
          <w:color w:val="auto"/>
          <w:sz w:val="32"/>
          <w:szCs w:val="32"/>
          <w:highlight w:val="none"/>
        </w:rPr>
      </w:pPr>
    </w:p>
    <w:p w14:paraId="3C69805F">
      <w:pPr>
        <w:spacing w:line="400" w:lineRule="exact"/>
        <w:jc w:val="center"/>
        <w:rPr>
          <w:rFonts w:ascii="宋体" w:hAnsi="宋体"/>
          <w:b/>
          <w:color w:val="auto"/>
          <w:sz w:val="32"/>
          <w:szCs w:val="32"/>
          <w:highlight w:val="none"/>
        </w:rPr>
      </w:pPr>
      <w:r>
        <w:rPr>
          <w:rFonts w:hint="eastAsia" w:ascii="宋体" w:hAnsi="宋体"/>
          <w:b/>
          <w:color w:val="auto"/>
          <w:sz w:val="32"/>
          <w:szCs w:val="32"/>
          <w:highlight w:val="none"/>
        </w:rPr>
        <w:t>一、总则</w:t>
      </w:r>
    </w:p>
    <w:p w14:paraId="57AE45BC">
      <w:pPr>
        <w:spacing w:line="400" w:lineRule="exact"/>
        <w:rPr>
          <w:rFonts w:ascii="宋体" w:hAnsi="宋体"/>
          <w:color w:val="auto"/>
          <w:szCs w:val="21"/>
          <w:highlight w:val="none"/>
        </w:rPr>
      </w:pPr>
    </w:p>
    <w:p w14:paraId="5B08382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46FEC5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及本项目本级和上级财政部门与政府采购有关规定的约束和保护。</w:t>
      </w:r>
    </w:p>
    <w:p w14:paraId="4970F0E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38DCE50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0C2E38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0926479E">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4C5CF2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w:t>
      </w:r>
    </w:p>
    <w:p w14:paraId="63E2148C">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2.4“服务”是指除货物和工程以外的其他政府采购对象。</w:t>
      </w:r>
    </w:p>
    <w:p w14:paraId="25426C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“竞标”是指供应商按照本项目竞争性磋商公告规定的方式获取磋商文件、提交响应文件并希望获得标的的行为。</w:t>
      </w:r>
    </w:p>
    <w:p w14:paraId="44B39AB4">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757A124F">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2.7“响应文件”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5F2B8849">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2.8“实质性要求”是指磋商文件中已经指明不满足则响应文件按无效响应处理的条款，或者不能负偏离的条款，或者采购需求中带“▲”的条款。</w:t>
      </w:r>
    </w:p>
    <w:p w14:paraId="0E15CCC3">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74403CB5">
      <w:pPr>
        <w:spacing w:line="360" w:lineRule="auto"/>
        <w:ind w:firstLine="420" w:firstLineChars="200"/>
        <w:contextualSpacing/>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2A160B67">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3711AFCC">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30B2439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5ECB82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7FE6181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642715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52476ED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7DFF10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1AF4576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5F62BFD8">
      <w:pPr>
        <w:pStyle w:val="5"/>
        <w:keepNext w:val="0"/>
        <w:keepLines w:val="0"/>
        <w:spacing w:before="0" w:after="0" w:line="360" w:lineRule="auto"/>
        <w:ind w:left="420" w:leftChars="200"/>
        <w:rPr>
          <w:rFonts w:ascii="宋体" w:hAnsi="宋体"/>
          <w:b w:val="0"/>
          <w:color w:val="auto"/>
          <w:sz w:val="21"/>
          <w:szCs w:val="21"/>
          <w:highlight w:val="none"/>
        </w:rPr>
      </w:pPr>
      <w:bookmarkStart w:id="64" w:name="_Toc254970532"/>
      <w:bookmarkStart w:id="65" w:name="_Toc254970673"/>
      <w:r>
        <w:rPr>
          <w:rFonts w:hint="eastAsia" w:ascii="宋体" w:hAnsi="宋体"/>
          <w:b w:val="0"/>
          <w:color w:val="auto"/>
          <w:sz w:val="21"/>
          <w:szCs w:val="21"/>
          <w:highlight w:val="none"/>
        </w:rPr>
        <w:t>6.1本项目不允许转包。</w:t>
      </w:r>
    </w:p>
    <w:p w14:paraId="37FE2EA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4"/>
      <w:bookmarkEnd w:id="65"/>
    </w:p>
    <w:p w14:paraId="633FDAF4">
      <w:pPr>
        <w:spacing w:line="360" w:lineRule="auto"/>
        <w:ind w:firstLine="420" w:firstLineChars="200"/>
        <w:rPr>
          <w:rFonts w:ascii="宋体" w:hAnsi="宋体" w:cs="宋体"/>
          <w:color w:val="auto"/>
          <w:szCs w:val="21"/>
          <w:highlight w:val="none"/>
        </w:rPr>
      </w:pPr>
      <w:bookmarkStart w:id="66" w:name="_8.1提供相同品牌产品且通过资格审查、符合性审查的不同投标人参加同一合"/>
      <w:bookmarkEnd w:id="66"/>
      <w:r>
        <w:rPr>
          <w:rFonts w:hint="eastAsia" w:ascii="宋体" w:hAnsi="宋体" w:cs="宋体"/>
          <w:color w:val="auto"/>
          <w:szCs w:val="21"/>
          <w:highlight w:val="none"/>
        </w:rPr>
        <w:t>7.</w:t>
      </w:r>
      <w:r>
        <w:rPr>
          <w:rFonts w:ascii="宋体" w:hAnsi="宋体" w:cs="宋体"/>
          <w:color w:val="auto"/>
          <w:szCs w:val="21"/>
          <w:highlight w:val="none"/>
        </w:rPr>
        <w:t>1</w:t>
      </w:r>
      <w:bookmarkStart w:id="67"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p>
    <w:bookmarkEnd w:id="67"/>
    <w:p w14:paraId="16289F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315F35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CA871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5C60BA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3054DA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3B7B72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D32C9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7D4C7C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87FD0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532C3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28FEA1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2E320C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DDD3E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4544FC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62B286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23059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6A9F6A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300A33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25E047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077C52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0A93C6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69C96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428D1E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57BD169A">
      <w:pPr>
        <w:spacing w:line="360" w:lineRule="auto"/>
        <w:ind w:firstLine="420" w:firstLineChars="200"/>
        <w:rPr>
          <w:rFonts w:ascii="宋体" w:hAnsi="宋体" w:cs="宋体"/>
          <w:color w:val="auto"/>
          <w:szCs w:val="21"/>
          <w:highlight w:val="none"/>
        </w:rPr>
      </w:pPr>
    </w:p>
    <w:p w14:paraId="7682F3F3">
      <w:pPr>
        <w:spacing w:line="360" w:lineRule="auto"/>
        <w:ind w:left="1" w:firstLine="417" w:firstLineChars="199"/>
        <w:jc w:val="center"/>
        <w:rPr>
          <w:rFonts w:ascii="宋体" w:hAnsi="宋体"/>
          <w:color w:val="auto"/>
          <w:highlight w:val="none"/>
        </w:rPr>
      </w:pPr>
      <w:bookmarkStart w:id="68" w:name="_Toc254970675"/>
      <w:bookmarkStart w:id="69" w:name="_Toc254970534"/>
    </w:p>
    <w:p w14:paraId="38BDDF58">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二、磋商文件</w:t>
      </w:r>
      <w:bookmarkEnd w:id="68"/>
      <w:bookmarkEnd w:id="69"/>
    </w:p>
    <w:p w14:paraId="23D802FD">
      <w:pPr>
        <w:spacing w:line="360" w:lineRule="auto"/>
        <w:rPr>
          <w:rFonts w:ascii="宋体" w:hAnsi="宋体"/>
          <w:color w:val="auto"/>
          <w:szCs w:val="21"/>
          <w:highlight w:val="none"/>
        </w:rPr>
      </w:pPr>
    </w:p>
    <w:p w14:paraId="3B78FCE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16CBE57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（1）竞争性磋商公告；</w:t>
      </w:r>
    </w:p>
    <w:p w14:paraId="5329C58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（2）供应商须知； </w:t>
      </w:r>
    </w:p>
    <w:p w14:paraId="6F4B6311">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（3）采购需求；</w:t>
      </w:r>
    </w:p>
    <w:p w14:paraId="04ED250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（4）评审程序、评审方法和评审标准；</w:t>
      </w:r>
    </w:p>
    <w:p w14:paraId="009779BA">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（5）响应文件格式；</w:t>
      </w:r>
    </w:p>
    <w:p w14:paraId="00CF32D3">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（6）合同文本。</w:t>
      </w:r>
    </w:p>
    <w:p w14:paraId="5A09926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38C3FAC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1C094C1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7A3674EB">
      <w:pPr>
        <w:spacing w:line="360" w:lineRule="auto"/>
        <w:ind w:firstLine="420" w:firstLineChars="200"/>
        <w:rPr>
          <w:rFonts w:ascii="宋体" w:hAnsi="宋体"/>
          <w:color w:val="auto"/>
          <w:szCs w:val="21"/>
          <w:highlight w:val="none"/>
        </w:rPr>
      </w:pPr>
      <w:r>
        <w:rPr>
          <w:rFonts w:ascii="宋体" w:hAnsi="宋体"/>
          <w:color w:val="auto"/>
          <w:szCs w:val="21"/>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7A7910DE">
      <w:pPr>
        <w:spacing w:line="360" w:lineRule="auto"/>
        <w:rPr>
          <w:rFonts w:ascii="宋体" w:hAnsi="宋体"/>
          <w:color w:val="auto"/>
          <w:szCs w:val="21"/>
          <w:highlight w:val="none"/>
        </w:rPr>
      </w:pPr>
    </w:p>
    <w:p w14:paraId="5BAD9CED">
      <w:pPr>
        <w:spacing w:line="360" w:lineRule="auto"/>
        <w:jc w:val="center"/>
        <w:rPr>
          <w:rFonts w:ascii="宋体" w:hAnsi="宋体"/>
          <w:b/>
          <w:bCs/>
          <w:color w:val="auto"/>
          <w:szCs w:val="21"/>
          <w:highlight w:val="none"/>
        </w:rPr>
      </w:pPr>
      <w:r>
        <w:rPr>
          <w:rFonts w:hint="eastAsia" w:ascii="宋体" w:hAnsi="宋体"/>
          <w:b/>
          <w:bCs/>
          <w:color w:val="auto"/>
          <w:sz w:val="32"/>
          <w:szCs w:val="32"/>
          <w:highlight w:val="none"/>
        </w:rPr>
        <w:t>三、响应文件的编制</w:t>
      </w:r>
    </w:p>
    <w:p w14:paraId="5841E258">
      <w:pPr>
        <w:spacing w:line="360" w:lineRule="auto"/>
        <w:rPr>
          <w:rFonts w:ascii="宋体" w:hAnsi="宋体"/>
          <w:color w:val="auto"/>
          <w:szCs w:val="21"/>
          <w:highlight w:val="none"/>
        </w:rPr>
      </w:pPr>
    </w:p>
    <w:p w14:paraId="4199C69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2D5977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1A2EA73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3BF99A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6B10A719">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511333D4">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574E7E5B">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136F5812">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28AE20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3396B7C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2792D2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52B6987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77A5464F">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68115AA0">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524D7C61">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300F03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5.3.1</w:t>
      </w:r>
      <w:r>
        <w:rPr>
          <w:rFonts w:hint="eastAsia" w:ascii="宋体" w:hAnsi="宋体" w:cs="宋体"/>
          <w:color w:val="auto"/>
          <w:szCs w:val="21"/>
          <w:highlight w:val="none"/>
        </w:rPr>
        <w:t>供应商的竞标报价应符合以下要求，否则响应文件按无效响应处理：</w:t>
      </w:r>
    </w:p>
    <w:p w14:paraId="13029456">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5E2711E8">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6E0B3B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）供应商必须就所竞标的分标的单项内容作唯一报价。</w:t>
      </w:r>
    </w:p>
    <w:p w14:paraId="584CCC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竞标报价（包含首次报价、最后报价）超过所竞标项目规定的</w:t>
      </w:r>
      <w:r>
        <w:rPr>
          <w:rFonts w:hint="eastAsia" w:ascii="宋体" w:hAnsi="宋体" w:cs="宋体"/>
          <w:bCs/>
          <w:color w:val="auto"/>
          <w:szCs w:val="21"/>
          <w:highlight w:val="none"/>
        </w:rPr>
        <w:t>采购预算金额或最高限价的</w:t>
      </w:r>
      <w:r>
        <w:rPr>
          <w:rFonts w:hint="eastAsia" w:ascii="宋体" w:hAnsi="宋体" w:cs="宋体"/>
          <w:color w:val="auto"/>
          <w:szCs w:val="21"/>
          <w:highlight w:val="none"/>
        </w:rPr>
        <w:t>，其响应文件将按无效处理。</w:t>
      </w:r>
    </w:p>
    <w:p w14:paraId="2055CFC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6F7AF7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56338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7CCDC8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0813A8C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17.磋商保证金：本项目不收取磋商保证金。</w:t>
      </w:r>
    </w:p>
    <w:p w14:paraId="2F92B1A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0E93CA7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18.1供应商应先安装“</w:t>
      </w:r>
      <w:r>
        <w:rPr>
          <w:rFonts w:hint="eastAsia" w:ascii="宋体" w:hAnsi="宋体"/>
          <w:color w:val="auto"/>
          <w:szCs w:val="21"/>
          <w:highlight w:val="none"/>
        </w:rPr>
        <w:t>广西政府采购云平台</w:t>
      </w:r>
      <w:r>
        <w:rPr>
          <w:rFonts w:hint="eastAsia" w:ascii="宋体" w:hAnsi="宋体" w:cs="宋体"/>
          <w:color w:val="auto"/>
          <w:szCs w:val="21"/>
          <w:highlight w:val="none"/>
        </w:rPr>
        <w:t>电子交易客户端”（请自行前往</w:t>
      </w:r>
      <w:r>
        <w:rPr>
          <w:rFonts w:hint="eastAsia" w:ascii="宋体" w:hAnsi="宋体"/>
          <w:color w:val="auto"/>
          <w:szCs w:val="21"/>
          <w:highlight w:val="none"/>
        </w:rPr>
        <w:t>广西政府采购云平台</w:t>
      </w:r>
      <w:r>
        <w:rPr>
          <w:rFonts w:hint="eastAsia" w:ascii="宋体" w:hAnsi="宋体" w:cs="宋体"/>
          <w:color w:val="auto"/>
          <w:szCs w:val="21"/>
          <w:highlight w:val="none"/>
        </w:rPr>
        <w:t>进行下载），并按照本项目磋商文件规定的格式和顺序和</w:t>
      </w:r>
      <w:r>
        <w:rPr>
          <w:rFonts w:hint="eastAsia" w:ascii="宋体" w:hAnsi="宋体"/>
          <w:color w:val="auto"/>
          <w:szCs w:val="21"/>
          <w:highlight w:val="none"/>
        </w:rPr>
        <w:t>广西政府采购云平台</w:t>
      </w:r>
      <w:r>
        <w:rPr>
          <w:rFonts w:hint="eastAsia" w:ascii="宋体" w:hAnsi="宋体" w:cs="宋体"/>
          <w:color w:val="auto"/>
          <w:szCs w:val="21"/>
          <w:highlight w:val="none"/>
        </w:rPr>
        <w:t>的要求编制并加密。响应文件内容不完整、编排混乱导致响应文件被误读、漏读或者查找不到相关内容的，由此引发的后果由供应商承担。</w:t>
      </w:r>
    </w:p>
    <w:p w14:paraId="34A009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w:t>
      </w:r>
      <w:r>
        <w:rPr>
          <w:rFonts w:hint="eastAsia" w:ascii="宋体" w:hAnsi="宋体"/>
          <w:color w:val="auto"/>
          <w:szCs w:val="21"/>
          <w:highlight w:val="none"/>
        </w:rPr>
        <w:t>广西政府采购云平台</w:t>
      </w:r>
      <w:r>
        <w:rPr>
          <w:rFonts w:hint="eastAsia" w:ascii="宋体" w:hAnsi="宋体" w:cs="宋体"/>
          <w:color w:val="auto"/>
          <w:szCs w:val="21"/>
          <w:highlight w:val="none"/>
        </w:rPr>
        <w:t>的身份认证，确保在电子竞标过程中能够对相关数据电文进行加密和使用电子签章。</w:t>
      </w:r>
    </w:p>
    <w:p w14:paraId="1F7F24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74E411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18.4响应文件中标注的供应商名称应与主体资格证明（如营业执照或者事业单位法人证书或者执业许可证或者登记证书等）及公章一致，否则其响应文件按无效响应处理。</w:t>
      </w:r>
    </w:p>
    <w:p w14:paraId="044042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7460C32B">
      <w:pPr>
        <w:spacing w:line="360" w:lineRule="auto"/>
        <w:ind w:firstLine="482" w:firstLineChars="200"/>
        <w:rPr>
          <w:rFonts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5771576B">
      <w:pPr>
        <w:spacing w:line="360" w:lineRule="auto"/>
        <w:ind w:firstLine="420" w:firstLineChars="200"/>
        <w:rPr>
          <w:rFonts w:ascii="宋体" w:hAnsi="宋体" w:cs="宋体"/>
          <w:color w:val="auto"/>
          <w:szCs w:val="21"/>
          <w:highlight w:val="none"/>
        </w:rPr>
      </w:pPr>
      <w:r>
        <w:rPr>
          <w:rFonts w:hint="eastAsia"/>
          <w:color w:val="auto"/>
          <w:highlight w:val="none"/>
        </w:rPr>
        <w:t>电子备份响应文件是指通过“</w:t>
      </w:r>
      <w:r>
        <w:rPr>
          <w:rFonts w:hint="eastAsia" w:ascii="宋体" w:hAnsi="宋体"/>
          <w:color w:val="auto"/>
          <w:szCs w:val="21"/>
          <w:highlight w:val="none"/>
        </w:rPr>
        <w:t>广西政府采购云平台</w:t>
      </w:r>
      <w:r>
        <w:rPr>
          <w:rFonts w:hint="eastAsia"/>
          <w:color w:val="auto"/>
          <w:highlight w:val="none"/>
        </w:rPr>
        <w:t>电子竞标客户端”在线编制生成且后缀名为“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详见“供应商须知前附表”。</w:t>
      </w:r>
    </w:p>
    <w:p w14:paraId="531A58A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165BD296">
      <w:pPr>
        <w:spacing w:line="360" w:lineRule="auto"/>
        <w:ind w:firstLine="420" w:firstLineChars="200"/>
        <w:rPr>
          <w:rFonts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 xml:space="preserve">。 </w:t>
      </w:r>
      <w:r>
        <w:rPr>
          <w:rFonts w:hint="eastAsia" w:hAnsi="宋体"/>
          <w:b/>
          <w:color w:val="auto"/>
          <w:highlight w:val="none"/>
        </w:rPr>
        <w:t xml:space="preserve"> </w:t>
      </w:r>
    </w:p>
    <w:p w14:paraId="2BE0DF87">
      <w:pPr>
        <w:spacing w:line="360" w:lineRule="auto"/>
        <w:ind w:firstLine="422" w:firstLineChars="200"/>
        <w:rPr>
          <w:rFonts w:ascii="宋体" w:hAnsi="宋体" w:cs="宋体"/>
          <w:color w:val="auto"/>
          <w:szCs w:val="21"/>
          <w:highlight w:val="none"/>
        </w:rPr>
      </w:pPr>
      <w:r>
        <w:rPr>
          <w:rFonts w:hint="eastAsia" w:ascii="宋体" w:hAnsi="宋体"/>
          <w:b/>
          <w:color w:val="auto"/>
          <w:szCs w:val="21"/>
          <w:highlight w:val="none"/>
        </w:rPr>
        <w:t>20.</w:t>
      </w:r>
      <w:r>
        <w:rPr>
          <w:rFonts w:ascii="宋体" w:hAnsi="宋体"/>
          <w:b/>
          <w:color w:val="auto"/>
          <w:szCs w:val="21"/>
          <w:highlight w:val="none"/>
        </w:rPr>
        <w:t>2</w:t>
      </w:r>
      <w:r>
        <w:rPr>
          <w:rFonts w:hint="eastAsia" w:ascii="宋体" w:hAnsi="宋体"/>
          <w:b/>
          <w:color w:val="auto"/>
          <w:szCs w:val="21"/>
          <w:highlight w:val="none"/>
        </w:rPr>
        <w:t>未在规定时间内提交或者未按照磋商文件要求加密的电子响应文件，广西政府采购云平台将拒收。</w:t>
      </w:r>
    </w:p>
    <w:p w14:paraId="2693299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0FAB5715">
      <w:pPr>
        <w:snapToGrid w:val="0"/>
        <w:spacing w:line="360" w:lineRule="auto"/>
        <w:ind w:firstLine="420"/>
        <w:jc w:val="left"/>
        <w:rPr>
          <w:rFonts w:ascii="宋体" w:hAnsi="宋体"/>
          <w:color w:val="auto"/>
          <w:szCs w:val="21"/>
          <w:highlight w:val="none"/>
        </w:rPr>
      </w:pPr>
      <w:bookmarkStart w:id="70" w:name="_Toc254970684"/>
      <w:bookmarkStart w:id="71" w:name="_Toc254970543"/>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以后提交（上传）的响应文件，广西政府采购云平台将予以拒收。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登录</w:t>
      </w:r>
      <w:r>
        <w:rPr>
          <w:rFonts w:hint="eastAsia" w:ascii="宋体" w:hAnsi="宋体" w:cs="宋体"/>
          <w:color w:val="auto"/>
          <w:kern w:val="0"/>
          <w:szCs w:val="21"/>
          <w:highlight w:val="none"/>
        </w:rPr>
        <w:t>广西政府采购云平台，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w:t>
      </w:r>
      <w:r>
        <w:rPr>
          <w:rFonts w:hint="eastAsia" w:ascii="宋体" w:hAnsi="宋体" w:cs="宋体"/>
          <w:color w:val="auto"/>
          <w:szCs w:val="21"/>
          <w:highlight w:val="none"/>
          <w:lang w:eastAsia="zh-CN"/>
        </w:rPr>
        <w:t>投标</w:t>
      </w:r>
      <w:r>
        <w:rPr>
          <w:rFonts w:hint="eastAsia" w:ascii="宋体" w:hAnsi="宋体" w:cs="宋体"/>
          <w:color w:val="auto"/>
          <w:szCs w:val="21"/>
          <w:highlight w:val="none"/>
        </w:rPr>
        <w:t>文件制作与投送教程”）</w:t>
      </w:r>
    </w:p>
    <w:bookmarkEnd w:id="70"/>
    <w:bookmarkEnd w:id="71"/>
    <w:p w14:paraId="35AF6722">
      <w:pPr>
        <w:pStyle w:val="48"/>
        <w:spacing w:before="0"/>
        <w:ind w:firstLine="420"/>
        <w:rPr>
          <w:rFonts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4894AFD4">
      <w:pPr>
        <w:spacing w:line="360" w:lineRule="auto"/>
        <w:ind w:firstLine="482" w:firstLineChars="200"/>
        <w:rPr>
          <w:rFonts w:ascii="黑体" w:hAnsi="黑体" w:eastAsia="黑体" w:cs="宋体"/>
          <w:b/>
          <w:bCs/>
          <w:color w:val="auto"/>
          <w:sz w:val="24"/>
          <w:highlight w:val="none"/>
        </w:rPr>
      </w:pPr>
      <w:bookmarkStart w:id="72" w:name="_Hlk45702405"/>
      <w:r>
        <w:rPr>
          <w:rFonts w:hint="eastAsia" w:ascii="黑体" w:hAnsi="黑体" w:eastAsia="黑体" w:cs="宋体"/>
          <w:b/>
          <w:bCs/>
          <w:color w:val="auto"/>
          <w:sz w:val="24"/>
          <w:highlight w:val="none"/>
        </w:rPr>
        <w:t>22.响应文件的退回</w:t>
      </w:r>
    </w:p>
    <w:p w14:paraId="0D142D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423D363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66FECC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供应商在响应文件提交截止时间后向采购人、采购代理机构书面申请撤回响应文件的，将不予退还其响应文件。</w:t>
      </w:r>
    </w:p>
    <w:bookmarkEnd w:id="72"/>
    <w:p w14:paraId="4E4C64DC">
      <w:pPr>
        <w:spacing w:line="360" w:lineRule="auto"/>
        <w:rPr>
          <w:rFonts w:ascii="宋体" w:hAnsi="宋体"/>
          <w:color w:val="auto"/>
          <w:szCs w:val="21"/>
          <w:highlight w:val="none"/>
        </w:rPr>
      </w:pPr>
    </w:p>
    <w:p w14:paraId="1988536C">
      <w:pPr>
        <w:spacing w:line="360" w:lineRule="auto"/>
        <w:ind w:left="420" w:firstLine="420"/>
        <w:jc w:val="center"/>
        <w:rPr>
          <w:rFonts w:ascii="宋体" w:hAnsi="宋体"/>
          <w:b/>
          <w:bCs/>
          <w:color w:val="auto"/>
          <w:sz w:val="32"/>
          <w:szCs w:val="32"/>
          <w:highlight w:val="none"/>
        </w:rPr>
      </w:pPr>
      <w:r>
        <w:rPr>
          <w:rFonts w:hint="eastAsia" w:ascii="宋体" w:hAnsi="宋体"/>
          <w:b/>
          <w:bCs/>
          <w:color w:val="auto"/>
          <w:sz w:val="32"/>
          <w:szCs w:val="32"/>
          <w:highlight w:val="none"/>
        </w:rPr>
        <w:t>四、评审及磋商</w:t>
      </w:r>
    </w:p>
    <w:p w14:paraId="0C53B38E">
      <w:pPr>
        <w:spacing w:line="360" w:lineRule="auto"/>
        <w:ind w:left="420" w:firstLine="420"/>
        <w:rPr>
          <w:rFonts w:ascii="宋体" w:hAnsi="宋体"/>
          <w:color w:val="auto"/>
          <w:szCs w:val="21"/>
          <w:highlight w:val="none"/>
        </w:rPr>
      </w:pPr>
    </w:p>
    <w:p w14:paraId="6F8B8B4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6650581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56DA44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B67B61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701DB998">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66FCC288">
      <w:pPr>
        <w:spacing w:line="360" w:lineRule="auto"/>
        <w:ind w:firstLine="420" w:firstLineChars="200"/>
        <w:rPr>
          <w:rFonts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w:t>
      </w:r>
      <w:r>
        <w:rPr>
          <w:rFonts w:hint="eastAsia" w:ascii="宋体" w:hAnsi="宋体"/>
          <w:color w:val="auto"/>
          <w:szCs w:val="21"/>
          <w:highlight w:val="none"/>
        </w:rPr>
        <w:t>广西政府采购云平台</w:t>
      </w:r>
      <w:r>
        <w:rPr>
          <w:rFonts w:hint="eastAsia" w:hAnsi="宋体"/>
          <w:color w:val="auto"/>
          <w:highlight w:val="none"/>
        </w:rPr>
        <w:t>电子开标大厅签到，</w:t>
      </w:r>
      <w:r>
        <w:rPr>
          <w:rFonts w:hint="eastAsia"/>
          <w:color w:val="auto"/>
          <w:highlight w:val="none"/>
        </w:rPr>
        <w:t>采购代理机构依托</w:t>
      </w:r>
      <w:r>
        <w:rPr>
          <w:rFonts w:hint="eastAsia" w:ascii="宋体" w:hAnsi="宋体"/>
          <w:color w:val="auto"/>
          <w:szCs w:val="21"/>
          <w:highlight w:val="none"/>
        </w:rPr>
        <w:t>广西政府采购云平台</w:t>
      </w:r>
      <w:r>
        <w:rPr>
          <w:rFonts w:hint="eastAsia"/>
          <w:color w:val="auto"/>
          <w:highlight w:val="none"/>
        </w:rPr>
        <w:t>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25FD091B">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0B2757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5F68DB9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p>
    <w:p w14:paraId="4C9A1CD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商务/技术要求允许负偏离的条款数详见“供应商须知前附表”。</w:t>
      </w:r>
    </w:p>
    <w:p w14:paraId="71B5F9C1">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523179D">
      <w:pPr>
        <w:spacing w:line="360" w:lineRule="auto"/>
        <w:ind w:firstLine="420" w:firstLineChars="200"/>
        <w:rPr>
          <w:rFonts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48DF441E">
      <w:pPr>
        <w:spacing w:line="360" w:lineRule="auto"/>
        <w:ind w:firstLine="420" w:firstLineChars="200"/>
        <w:rPr>
          <w:rFonts w:hAnsi="宋体"/>
          <w:color w:val="auto"/>
          <w:highlight w:val="none"/>
        </w:rPr>
      </w:pPr>
      <w:r>
        <w:rPr>
          <w:rFonts w:hint="eastAsia" w:hAnsi="宋体"/>
          <w:color w:val="auto"/>
          <w:highlight w:val="none"/>
        </w:rPr>
        <w:t xml:space="preserve">（1）电子交易平台发生故障而无法登录访问的； </w:t>
      </w:r>
    </w:p>
    <w:p w14:paraId="724ED9B7">
      <w:pPr>
        <w:spacing w:line="360" w:lineRule="auto"/>
        <w:ind w:firstLine="420" w:firstLineChars="200"/>
        <w:rPr>
          <w:rFonts w:hAnsi="宋体"/>
          <w:color w:val="auto"/>
          <w:highlight w:val="none"/>
        </w:rPr>
      </w:pPr>
      <w:r>
        <w:rPr>
          <w:rFonts w:hint="eastAsia" w:hAnsi="宋体"/>
          <w:color w:val="auto"/>
          <w:highlight w:val="none"/>
        </w:rPr>
        <w:t>（2）电子交易平台应用或数据库出现错误，不能进行正常操作的；</w:t>
      </w:r>
    </w:p>
    <w:p w14:paraId="1D896566">
      <w:pPr>
        <w:spacing w:line="360" w:lineRule="auto"/>
        <w:ind w:firstLine="420" w:firstLineChars="200"/>
        <w:rPr>
          <w:rFonts w:hAnsi="宋体"/>
          <w:color w:val="auto"/>
          <w:highlight w:val="none"/>
        </w:rPr>
      </w:pPr>
      <w:r>
        <w:rPr>
          <w:rFonts w:hint="eastAsia" w:hAnsi="宋体"/>
          <w:color w:val="auto"/>
          <w:highlight w:val="none"/>
        </w:rPr>
        <w:t>（3）电子交易平台发现严重安全漏洞，有潜在泄密危险的；</w:t>
      </w:r>
    </w:p>
    <w:p w14:paraId="009B603A">
      <w:pPr>
        <w:spacing w:line="360" w:lineRule="auto"/>
        <w:ind w:firstLine="420" w:firstLineChars="200"/>
        <w:rPr>
          <w:rFonts w:hAnsi="宋体"/>
          <w:color w:val="auto"/>
          <w:highlight w:val="none"/>
        </w:rPr>
      </w:pPr>
      <w:r>
        <w:rPr>
          <w:rFonts w:hint="eastAsia" w:hAnsi="宋体"/>
          <w:color w:val="auto"/>
          <w:highlight w:val="none"/>
        </w:rPr>
        <w:t xml:space="preserve">（4）病毒发作导致不能进行正常操作的； </w:t>
      </w:r>
    </w:p>
    <w:p w14:paraId="5820BB17">
      <w:pPr>
        <w:spacing w:line="360" w:lineRule="auto"/>
        <w:ind w:firstLine="420" w:firstLineChars="200"/>
        <w:rPr>
          <w:rFonts w:hAnsi="宋体"/>
          <w:color w:val="auto"/>
          <w:highlight w:val="none"/>
        </w:rPr>
      </w:pPr>
      <w:r>
        <w:rPr>
          <w:rFonts w:hint="eastAsia" w:hAnsi="宋体"/>
          <w:color w:val="auto"/>
          <w:highlight w:val="none"/>
        </w:rPr>
        <w:t>（5）其他无法保证电子交易的公平、公正和安全的情况。</w:t>
      </w:r>
    </w:p>
    <w:p w14:paraId="48160EAA">
      <w:pPr>
        <w:spacing w:line="360" w:lineRule="auto"/>
        <w:ind w:firstLine="420" w:firstLineChars="200"/>
        <w:rPr>
          <w:rFonts w:ascii="宋体" w:hAnsi="宋体" w:cs="宋体"/>
          <w:color w:val="auto"/>
          <w:szCs w:val="21"/>
          <w:highlight w:val="none"/>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679154A">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04235DE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w:t>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44DE29D">
      <w:pPr>
        <w:spacing w:line="360" w:lineRule="auto"/>
        <w:ind w:firstLine="420" w:firstLineChars="200"/>
        <w:rPr>
          <w:rFonts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3"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73"/>
    </w:p>
    <w:p w14:paraId="29402E22">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51258990">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36C0440A">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3075D440">
      <w:pPr>
        <w:spacing w:line="360" w:lineRule="auto"/>
        <w:ind w:firstLine="420" w:firstLineChars="200"/>
        <w:rPr>
          <w:rFonts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54CD2251">
      <w:pPr>
        <w:spacing w:line="360" w:lineRule="auto"/>
        <w:ind w:firstLine="420" w:firstLineChars="200"/>
        <w:rPr>
          <w:rFonts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59970658">
      <w:pPr>
        <w:spacing w:line="360" w:lineRule="auto"/>
        <w:ind w:firstLine="482" w:firstLineChars="200"/>
        <w:rPr>
          <w:rFonts w:ascii="宋体" w:hAnsi="宋体" w:cs="Courier New"/>
          <w:color w:val="auto"/>
          <w:szCs w:val="21"/>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r>
        <w:rPr>
          <w:rFonts w:hint="eastAsia" w:ascii="宋体" w:hAnsi="宋体" w:cs="Courier New"/>
          <w:color w:val="auto"/>
          <w:szCs w:val="21"/>
          <w:highlight w:val="none"/>
        </w:rPr>
        <w:t>本项目不收取履约保证金。</w:t>
      </w:r>
    </w:p>
    <w:p w14:paraId="6E7B117A">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64045182">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规定的日期、时间、地点，由法定代表人或其授权代表与采购人代表签订电子采购合同。如成交供应商为联合体的，由联合体成员各方法定代表人或其授权代表与采购人代表签订合同。</w:t>
      </w:r>
    </w:p>
    <w:p w14:paraId="7FA1F9CC">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2BD63C74">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05DC5F47">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6E3CB58">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5CCC726B">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3B606283">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6A820803">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02EF24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A66A556">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723629F8">
      <w:pPr>
        <w:pStyle w:val="6"/>
        <w:spacing w:line="360" w:lineRule="auto"/>
        <w:rPr>
          <w:rFonts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2C2D0CE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76DBE50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（1）对可以质疑的磋商文件提出质疑的，为收到磋商文件之日或者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1C3E41C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4131821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4B0049A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20CB290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4DA8195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686F185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3E53ED5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67C5A06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01C72DA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794D7C8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000B42F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供应商为法人或者其他组织的，应当由法定代表人、主要负责人，或者其委托代理人签字或者盖章，并加盖公章。</w:t>
      </w:r>
    </w:p>
    <w:p w14:paraId="4E2F43A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5990D93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7116CD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247590C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44086271">
      <w:pPr>
        <w:spacing w:line="360" w:lineRule="auto"/>
        <w:ind w:firstLine="420" w:firstLineChars="200"/>
        <w:rPr>
          <w:rFonts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4BACCCB">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0FF72761">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.1代理服务收取标准及缴费账户详见“供应商须知前附表”，供应商为联合体的，可以由联合体中的一方或者多方共同交纳代理服务费。</w:t>
      </w:r>
    </w:p>
    <w:p w14:paraId="730B709A">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32.2</w:t>
      </w:r>
      <w:r>
        <w:rPr>
          <w:rFonts w:hint="eastAsia" w:ascii="宋体" w:hAnsi="宋体" w:cs="宋体"/>
          <w:color w:val="auto"/>
          <w:szCs w:val="21"/>
          <w:highlight w:val="none"/>
        </w:rPr>
        <w:t>代理服务费收费计算标准：</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6910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noWrap/>
          </w:tcPr>
          <w:p w14:paraId="18BEF69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7A06B8DE">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659" w:type="dxa"/>
            <w:noWrap/>
            <w:vAlign w:val="center"/>
          </w:tcPr>
          <w:p w14:paraId="753F9CE0">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532" w:type="dxa"/>
            <w:noWrap/>
            <w:vAlign w:val="center"/>
          </w:tcPr>
          <w:p w14:paraId="6F5C9C0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546" w:type="dxa"/>
            <w:noWrap/>
            <w:vAlign w:val="center"/>
          </w:tcPr>
          <w:p w14:paraId="3F9EE10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7082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tcPr>
          <w:p w14:paraId="287D86C9">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noWrap/>
          </w:tcPr>
          <w:p w14:paraId="347620BD">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noWrap/>
          </w:tcPr>
          <w:p w14:paraId="3005246D">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546" w:type="dxa"/>
            <w:noWrap/>
          </w:tcPr>
          <w:p w14:paraId="3D89A9F8">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39951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tcPr>
          <w:p w14:paraId="6F1629CD">
            <w:pP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noWrap/>
          </w:tcPr>
          <w:p w14:paraId="6EA7E6D8">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noWrap/>
          </w:tcPr>
          <w:p w14:paraId="34B38700">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546" w:type="dxa"/>
            <w:noWrap/>
          </w:tcPr>
          <w:p w14:paraId="0851A96B">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0A49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tcPr>
          <w:p w14:paraId="5430D8DC">
            <w:pPr>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noWrap/>
          </w:tcPr>
          <w:p w14:paraId="40824A6D">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noWrap/>
          </w:tcPr>
          <w:p w14:paraId="64DAD159">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546" w:type="dxa"/>
            <w:noWrap/>
          </w:tcPr>
          <w:p w14:paraId="2CAB9B25">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14:paraId="1932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tcPr>
          <w:p w14:paraId="2EBA17C9">
            <w:pPr>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noWrap/>
          </w:tcPr>
          <w:p w14:paraId="5642B2DF">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noWrap/>
          </w:tcPr>
          <w:p w14:paraId="66FDB5D0">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546" w:type="dxa"/>
            <w:noWrap/>
          </w:tcPr>
          <w:p w14:paraId="4ED71917">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74328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tcPr>
          <w:p w14:paraId="5EC84F04">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noWrap/>
          </w:tcPr>
          <w:p w14:paraId="08E7A1EB">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noWrap/>
          </w:tcPr>
          <w:p w14:paraId="4FC0AB8D">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546" w:type="dxa"/>
            <w:noWrap/>
          </w:tcPr>
          <w:p w14:paraId="67D703D6">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14:paraId="343F2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tcPr>
          <w:p w14:paraId="523605AB">
            <w:pPr>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noWrap/>
          </w:tcPr>
          <w:p w14:paraId="50F4F5E4">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532" w:type="dxa"/>
            <w:noWrap/>
          </w:tcPr>
          <w:p w14:paraId="5451F1BE">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noWrap/>
          </w:tcPr>
          <w:p w14:paraId="43099DF4">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310A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tcPr>
          <w:p w14:paraId="0EF5A8AA">
            <w:pPr>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noWrap/>
          </w:tcPr>
          <w:p w14:paraId="307D7802">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532" w:type="dxa"/>
            <w:noWrap/>
          </w:tcPr>
          <w:p w14:paraId="2219DE6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noWrap/>
          </w:tcPr>
          <w:p w14:paraId="6D27840F">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14:paraId="173A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tcPr>
          <w:p w14:paraId="6A8F80CF">
            <w:pPr>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noWrap/>
          </w:tcPr>
          <w:p w14:paraId="2B85A046">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532" w:type="dxa"/>
            <w:noWrap/>
          </w:tcPr>
          <w:p w14:paraId="38203D2C">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546" w:type="dxa"/>
            <w:noWrap/>
          </w:tcPr>
          <w:p w14:paraId="644C080A">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14:paraId="509A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tcPr>
          <w:p w14:paraId="091DB051">
            <w:pPr>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noWrap/>
          </w:tcPr>
          <w:p w14:paraId="343B6EB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noWrap/>
          </w:tcPr>
          <w:p w14:paraId="47A21E27">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546" w:type="dxa"/>
            <w:noWrap/>
          </w:tcPr>
          <w:p w14:paraId="59F79A0B">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14:paraId="5053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noWrap/>
          </w:tcPr>
          <w:p w14:paraId="5EE66F65">
            <w:pPr>
              <w:spacing w:line="360" w:lineRule="auto"/>
              <w:rPr>
                <w:rFonts w:ascii="宋体" w:hAnsi="宋体" w:cs="宋体"/>
                <w:color w:val="auto"/>
                <w:szCs w:val="21"/>
                <w:highlight w:val="none"/>
              </w:rPr>
            </w:pPr>
            <w:r>
              <w:rPr>
                <w:rFonts w:hint="eastAsia" w:ascii="宋体" w:hAnsi="宋体" w:cs="宋体"/>
                <w:color w:val="auto"/>
                <w:szCs w:val="21"/>
                <w:highlight w:val="none"/>
              </w:rPr>
              <w:t>100亿以上</w:t>
            </w:r>
          </w:p>
        </w:tc>
        <w:tc>
          <w:tcPr>
            <w:tcW w:w="1659" w:type="dxa"/>
            <w:noWrap/>
          </w:tcPr>
          <w:p w14:paraId="671815B1">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noWrap/>
          </w:tcPr>
          <w:p w14:paraId="7EF64CA7">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546" w:type="dxa"/>
            <w:noWrap/>
          </w:tcPr>
          <w:p w14:paraId="75C7655D">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14:paraId="201C5FE3">
      <w:pPr>
        <w:spacing w:line="360" w:lineRule="auto"/>
        <w:ind w:firstLine="420" w:firstLineChars="200"/>
        <w:rPr>
          <w:rFonts w:ascii="宋体" w:hAnsi="宋体" w:cs="宋体"/>
          <w:color w:val="auto"/>
          <w:highlight w:val="none"/>
        </w:rPr>
      </w:pPr>
      <w:r>
        <w:rPr>
          <w:rFonts w:ascii="宋体" w:hAnsi="宋体" w:cs="宋体"/>
          <w:color w:val="auto"/>
          <w:highlight w:val="none"/>
        </w:rPr>
        <w:t>注：</w:t>
      </w:r>
    </w:p>
    <w:p w14:paraId="5FAC902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w:t>
      </w:r>
      <w:r>
        <w:rPr>
          <w:rFonts w:ascii="宋体" w:hAnsi="宋体" w:cs="宋体"/>
          <w:color w:val="auto"/>
          <w:highlight w:val="none"/>
        </w:rPr>
        <w:t>按本表费率计算的收费为</w:t>
      </w:r>
      <w:r>
        <w:rPr>
          <w:rFonts w:hint="eastAsia" w:ascii="宋体" w:hAnsi="宋体" w:cs="宋体"/>
          <w:color w:val="auto"/>
          <w:highlight w:val="none"/>
        </w:rPr>
        <w:t>采购</w:t>
      </w:r>
      <w:r>
        <w:rPr>
          <w:rFonts w:ascii="宋体" w:hAnsi="宋体" w:cs="宋体"/>
          <w:color w:val="auto"/>
          <w:highlight w:val="none"/>
        </w:rPr>
        <w:t>代理的收费基准价格</w:t>
      </w:r>
      <w:r>
        <w:rPr>
          <w:rFonts w:hint="eastAsia" w:ascii="宋体" w:hAnsi="宋体" w:cs="宋体"/>
          <w:color w:val="auto"/>
          <w:highlight w:val="none"/>
        </w:rPr>
        <w:t>；</w:t>
      </w:r>
    </w:p>
    <w:p w14:paraId="55CB4B3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w:t>
      </w:r>
      <w:r>
        <w:rPr>
          <w:rFonts w:ascii="宋体" w:hAnsi="宋体" w:cs="宋体"/>
          <w:color w:val="auto"/>
          <w:highlight w:val="none"/>
        </w:rPr>
        <w:t>代理收费按差额定率累进法计算。</w:t>
      </w:r>
    </w:p>
    <w:p w14:paraId="26CE8025">
      <w:pPr>
        <w:spacing w:line="360" w:lineRule="auto"/>
        <w:ind w:firstLine="420" w:firstLineChars="200"/>
        <w:rPr>
          <w:rFonts w:ascii="宋体" w:hAnsi="宋体" w:cs="宋体"/>
          <w:color w:val="auto"/>
          <w:highlight w:val="none"/>
        </w:rPr>
      </w:pPr>
      <w:r>
        <w:rPr>
          <w:rFonts w:ascii="宋体" w:hAnsi="宋体" w:cs="宋体"/>
          <w:color w:val="auto"/>
          <w:highlight w:val="none"/>
        </w:rPr>
        <w:t>例如：某</w:t>
      </w:r>
      <w:r>
        <w:rPr>
          <w:rFonts w:hint="eastAsia" w:ascii="宋体" w:hAnsi="宋体" w:cs="宋体"/>
          <w:color w:val="auto"/>
          <w:highlight w:val="none"/>
        </w:rPr>
        <w:t>服务采购</w:t>
      </w:r>
      <w:r>
        <w:rPr>
          <w:rFonts w:ascii="宋体" w:hAnsi="宋体" w:cs="宋体"/>
          <w:color w:val="auto"/>
          <w:highlight w:val="none"/>
        </w:rPr>
        <w:t>代理业务</w:t>
      </w:r>
      <w:r>
        <w:rPr>
          <w:rFonts w:hint="eastAsia" w:ascii="宋体" w:hAnsi="宋体" w:cs="宋体"/>
          <w:color w:val="auto"/>
          <w:highlight w:val="none"/>
        </w:rPr>
        <w:t>成交</w:t>
      </w:r>
      <w:r>
        <w:rPr>
          <w:rFonts w:ascii="宋体" w:hAnsi="宋体" w:cs="宋体"/>
          <w:color w:val="auto"/>
          <w:highlight w:val="none"/>
        </w:rPr>
        <w:t>金额</w:t>
      </w:r>
      <w:r>
        <w:rPr>
          <w:rFonts w:hint="eastAsia" w:ascii="宋体" w:hAnsi="宋体" w:cs="宋体"/>
          <w:color w:val="auto"/>
          <w:highlight w:val="none"/>
        </w:rPr>
        <w:t>或者暂定价</w:t>
      </w:r>
      <w:r>
        <w:rPr>
          <w:rFonts w:ascii="宋体" w:hAnsi="宋体" w:cs="宋体"/>
          <w:color w:val="auto"/>
          <w:highlight w:val="none"/>
        </w:rPr>
        <w:t>为150万元，计算</w:t>
      </w:r>
      <w:r>
        <w:rPr>
          <w:rFonts w:hint="eastAsia" w:ascii="宋体" w:hAnsi="宋体" w:cs="宋体"/>
          <w:color w:val="auto"/>
          <w:highlight w:val="none"/>
        </w:rPr>
        <w:t>采购</w:t>
      </w:r>
      <w:r>
        <w:rPr>
          <w:rFonts w:ascii="宋体" w:hAnsi="宋体" w:cs="宋体"/>
          <w:color w:val="auto"/>
          <w:highlight w:val="none"/>
        </w:rPr>
        <w:t>代理收费额如下：</w:t>
      </w:r>
    </w:p>
    <w:p w14:paraId="0AD7F5B0">
      <w:pPr>
        <w:spacing w:line="360" w:lineRule="auto"/>
        <w:ind w:firstLine="420" w:firstLineChars="200"/>
        <w:rPr>
          <w:rFonts w:ascii="宋体" w:hAnsi="宋体" w:cs="宋体"/>
          <w:color w:val="auto"/>
          <w:highlight w:val="none"/>
        </w:rPr>
      </w:pPr>
      <w:r>
        <w:rPr>
          <w:rFonts w:ascii="宋体" w:hAnsi="宋体" w:cs="宋体"/>
          <w:color w:val="auto"/>
          <w:highlight w:val="none"/>
        </w:rPr>
        <w:t>100 万元 ×l.5 %＝ 1.5 万元</w:t>
      </w:r>
    </w:p>
    <w:p w14:paraId="1F4C2A09">
      <w:pPr>
        <w:spacing w:line="360" w:lineRule="auto"/>
        <w:ind w:firstLine="420" w:firstLineChars="200"/>
        <w:rPr>
          <w:rFonts w:ascii="宋体" w:hAnsi="宋体" w:cs="宋体"/>
          <w:color w:val="auto"/>
          <w:highlight w:val="none"/>
        </w:rPr>
      </w:pPr>
      <w:r>
        <w:rPr>
          <w:rFonts w:ascii="宋体" w:hAnsi="宋体" w:cs="宋体"/>
          <w:color w:val="auto"/>
          <w:highlight w:val="none"/>
        </w:rPr>
        <w:t>（ 150 － 100 ）万元 ×0.8%＝ 0.4万元</w:t>
      </w:r>
    </w:p>
    <w:p w14:paraId="4DF8B94B">
      <w:pPr>
        <w:spacing w:line="360" w:lineRule="auto"/>
        <w:ind w:firstLine="420" w:firstLineChars="200"/>
        <w:rPr>
          <w:rFonts w:ascii="宋体" w:hAnsi="宋体" w:cs="宋体"/>
          <w:color w:val="auto"/>
          <w:highlight w:val="none"/>
        </w:rPr>
      </w:pPr>
      <w:r>
        <w:rPr>
          <w:rFonts w:ascii="宋体" w:hAnsi="宋体" w:cs="宋体"/>
          <w:color w:val="auto"/>
          <w:highlight w:val="none"/>
        </w:rPr>
        <w:t>合计收费＝ 1.5 ＋ 0.4＝ 1.9 万元</w:t>
      </w:r>
    </w:p>
    <w:p w14:paraId="02F3013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59490B0C">
      <w:pPr>
        <w:pStyle w:val="14"/>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3.1</w:t>
      </w:r>
      <w:r>
        <w:rPr>
          <w:rFonts w:hint="eastAsia" w:hAnsi="宋体" w:cs="宋体"/>
          <w:color w:val="auto"/>
          <w:kern w:val="2"/>
          <w:sz w:val="21"/>
          <w:highlight w:val="none"/>
        </w:rPr>
        <w:t>本磋商文件解释规则详见“供应商须知前附表”。</w:t>
      </w:r>
    </w:p>
    <w:p w14:paraId="711417B2">
      <w:pPr>
        <w:pStyle w:val="14"/>
        <w:spacing w:line="360" w:lineRule="auto"/>
        <w:ind w:firstLine="420" w:firstLineChars="200"/>
        <w:textAlignment w:val="center"/>
        <w:rPr>
          <w:rFonts w:hAnsi="宋体" w:cs="宋体"/>
          <w:color w:val="auto"/>
          <w:kern w:val="2"/>
          <w:sz w:val="21"/>
          <w:highlight w:val="none"/>
        </w:rPr>
      </w:pPr>
      <w:r>
        <w:rPr>
          <w:rFonts w:hAnsi="宋体" w:cs="宋体"/>
          <w:color w:val="auto"/>
          <w:kern w:val="2"/>
          <w:sz w:val="21"/>
          <w:highlight w:val="none"/>
        </w:rPr>
        <w:t>33.2</w:t>
      </w:r>
      <w:r>
        <w:rPr>
          <w:rFonts w:hint="eastAsia" w:hAnsi="宋体" w:cs="宋体"/>
          <w:color w:val="auto"/>
          <w:kern w:val="2"/>
          <w:sz w:val="21"/>
          <w:highlight w:val="none"/>
        </w:rPr>
        <w:t xml:space="preserve"> 其他事项详见“供应商须知前附表”。</w:t>
      </w:r>
    </w:p>
    <w:p w14:paraId="129A3ABD">
      <w:pPr>
        <w:pStyle w:val="14"/>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w:t>
      </w:r>
      <w:r>
        <w:rPr>
          <w:rFonts w:hAnsi="宋体" w:cs="宋体"/>
          <w:color w:val="auto"/>
          <w:kern w:val="2"/>
          <w:sz w:val="21"/>
          <w:highlight w:val="none"/>
        </w:rPr>
        <w:t>3.3</w:t>
      </w:r>
      <w:r>
        <w:rPr>
          <w:rFonts w:hint="eastAsia" w:hAnsi="宋体" w:cs="宋体"/>
          <w:color w:val="auto"/>
          <w:kern w:val="2"/>
          <w:sz w:val="21"/>
          <w:highlight w:val="none"/>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8D056A9">
      <w:pPr>
        <w:pStyle w:val="14"/>
        <w:spacing w:line="360" w:lineRule="auto"/>
        <w:ind w:firstLine="420" w:firstLineChars="200"/>
        <w:contextualSpacing/>
        <w:rPr>
          <w:rFonts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3B761F70">
      <w:pPr>
        <w:pStyle w:val="14"/>
        <w:spacing w:line="360" w:lineRule="auto"/>
        <w:ind w:firstLine="420" w:firstLineChars="200"/>
        <w:contextualSpacing/>
        <w:rPr>
          <w:rFonts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7EDDC56C">
      <w:pPr>
        <w:pStyle w:val="14"/>
        <w:spacing w:line="360" w:lineRule="auto"/>
        <w:ind w:firstLine="420" w:firstLineChars="200"/>
        <w:contextualSpacing/>
        <w:rPr>
          <w:rFonts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07A296A">
      <w:pPr>
        <w:pStyle w:val="14"/>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4433A490">
      <w:pPr>
        <w:pStyle w:val="14"/>
        <w:spacing w:line="360" w:lineRule="auto"/>
        <w:ind w:firstLine="420" w:firstLineChars="200"/>
        <w:textAlignment w:val="center"/>
        <w:rPr>
          <w:b/>
          <w:bCs/>
          <w:color w:val="auto"/>
          <w:sz w:val="18"/>
          <w:szCs w:val="18"/>
          <w:highlight w:val="none"/>
        </w:rPr>
      </w:pPr>
      <w:r>
        <w:rPr>
          <w:rFonts w:hint="eastAsia" w:hAnsi="宋体" w:cs="宋体"/>
          <w:color w:val="auto"/>
          <w:kern w:val="2"/>
          <w:sz w:val="21"/>
          <w:highlight w:val="none"/>
        </w:rPr>
        <w:t>依据本磋商文件规定享受扶持政策获得政府采购合同的，小微企业不得将合同分包给大中型企业，中型企业不得将合同分包给大型企业。</w:t>
      </w:r>
      <w:r>
        <w:rPr>
          <w:rFonts w:hAnsi="宋体"/>
          <w:b/>
          <w:color w:val="auto"/>
          <w:highlight w:val="none"/>
        </w:rPr>
        <w:br w:type="page"/>
      </w:r>
    </w:p>
    <w:p w14:paraId="66DC1987">
      <w:pPr>
        <w:pStyle w:val="2"/>
        <w:jc w:val="center"/>
        <w:rPr>
          <w:color w:val="auto"/>
          <w:highlight w:val="none"/>
        </w:rPr>
      </w:pPr>
      <w:bookmarkStart w:id="74" w:name="_Toc74323458"/>
      <w:r>
        <w:rPr>
          <w:rFonts w:hint="eastAsia"/>
          <w:color w:val="auto"/>
          <w:highlight w:val="none"/>
        </w:rPr>
        <w:t>第三章 采购需求</w:t>
      </w:r>
      <w:bookmarkEnd w:id="74"/>
    </w:p>
    <w:p w14:paraId="0F8B348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35F5B1A6">
      <w:pPr>
        <w:spacing w:line="360" w:lineRule="auto"/>
        <w:ind w:firstLine="420" w:firstLineChars="200"/>
        <w:jc w:val="left"/>
        <w:rPr>
          <w:color w:val="auto"/>
          <w:highlight w:val="none"/>
        </w:rPr>
      </w:pPr>
      <w:r>
        <w:rPr>
          <w:rFonts w:hint="eastAsia" w:ascii="宋体" w:hAnsi="宋体"/>
          <w:color w:val="auto"/>
          <w:highlight w:val="none"/>
        </w:rPr>
        <w:t>1</w:t>
      </w:r>
      <w:r>
        <w:rPr>
          <w:rFonts w:hint="eastAsia"/>
          <w:color w:val="auto"/>
          <w:highlight w:val="none"/>
        </w:rPr>
        <w:t>. 为落实政府采购政策需满足的要求</w:t>
      </w:r>
    </w:p>
    <w:p w14:paraId="7A471A2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本竞争性磋商采购文件所称中小企业必须符合《政府采购促进中小企业发展管理办法》（财库〔2020〕46号）的规定。</w:t>
      </w:r>
    </w:p>
    <w:p w14:paraId="2D1391AB">
      <w:pPr>
        <w:spacing w:line="360" w:lineRule="auto"/>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2.“实质性要求”是指采购需求中带“▲”的条款或者不能负偏离的条款或者已经指明不满足按响应文件无效处理的条款。</w:t>
      </w:r>
    </w:p>
    <w:p w14:paraId="472294A3">
      <w:pPr>
        <w:spacing w:line="360" w:lineRule="auto"/>
        <w:ind w:firstLine="424" w:firstLineChars="202"/>
        <w:jc w:val="left"/>
        <w:rPr>
          <w:color w:val="auto"/>
          <w:highlight w:val="none"/>
        </w:rPr>
      </w:pPr>
      <w:r>
        <w:rPr>
          <w:rFonts w:hint="eastAsia" w:ascii="宋体" w:hAnsi="宋体" w:cs="宋体"/>
          <w:color w:val="auto"/>
          <w:szCs w:val="21"/>
          <w:highlight w:val="none"/>
        </w:rPr>
        <w:t>3.供应商应根据自身实际情况如实响应磋商文件</w:t>
      </w:r>
      <w:r>
        <w:rPr>
          <w:rFonts w:hint="eastAsia"/>
          <w:color w:val="auto"/>
          <w:highlight w:val="none"/>
        </w:rPr>
        <w:t>。</w:t>
      </w:r>
    </w:p>
    <w:p w14:paraId="4542E207">
      <w:pPr>
        <w:spacing w:line="360" w:lineRule="auto"/>
        <w:ind w:firstLine="424" w:firstLineChars="202"/>
        <w:jc w:val="left"/>
        <w:rPr>
          <w:rFonts w:ascii="宋体" w:hAnsi="宋体"/>
          <w:color w:val="auto"/>
          <w:szCs w:val="21"/>
          <w:highlight w:val="none"/>
        </w:rPr>
      </w:pPr>
      <w:r>
        <w:rPr>
          <w:rFonts w:hint="eastAsia" w:ascii="宋体" w:hAnsi="宋体" w:cs="宋体"/>
          <w:color w:val="auto"/>
          <w:szCs w:val="21"/>
          <w:highlight w:val="none"/>
        </w:rPr>
        <w:t>4.</w:t>
      </w:r>
      <w:r>
        <w:rPr>
          <w:rFonts w:hint="eastAsia"/>
          <w:color w:val="auto"/>
          <w:highlight w:val="none"/>
        </w:rPr>
        <w:t>供应商必须自行为其竞标产品侵犯他人的知识产权或者专利成果的行为承担相应法律责任。</w:t>
      </w:r>
    </w:p>
    <w:tbl>
      <w:tblPr>
        <w:tblStyle w:val="25"/>
        <w:tblW w:w="9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874"/>
        <w:gridCol w:w="666"/>
        <w:gridCol w:w="687"/>
        <w:gridCol w:w="6369"/>
      </w:tblGrid>
      <w:tr w14:paraId="4590A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251" w:type="dxa"/>
            <w:gridSpan w:val="5"/>
            <w:noWrap/>
            <w:vAlign w:val="center"/>
          </w:tcPr>
          <w:p w14:paraId="6C9D284E">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一、技术要求</w:t>
            </w:r>
          </w:p>
        </w:tc>
      </w:tr>
      <w:tr w14:paraId="680A7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655" w:type="dxa"/>
            <w:noWrap/>
            <w:vAlign w:val="center"/>
          </w:tcPr>
          <w:p w14:paraId="20D71753">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874" w:type="dxa"/>
            <w:noWrap/>
            <w:vAlign w:val="center"/>
          </w:tcPr>
          <w:p w14:paraId="15E81342">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666" w:type="dxa"/>
            <w:noWrap/>
            <w:vAlign w:val="center"/>
          </w:tcPr>
          <w:p w14:paraId="3D96A18F">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数量及单位</w:t>
            </w:r>
          </w:p>
        </w:tc>
        <w:tc>
          <w:tcPr>
            <w:tcW w:w="687" w:type="dxa"/>
            <w:noWrap/>
            <w:vAlign w:val="center"/>
          </w:tcPr>
          <w:p w14:paraId="4C048ABC">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所属</w:t>
            </w:r>
          </w:p>
          <w:p w14:paraId="14770853">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行业</w:t>
            </w:r>
          </w:p>
        </w:tc>
        <w:tc>
          <w:tcPr>
            <w:tcW w:w="6369" w:type="dxa"/>
            <w:noWrap/>
            <w:vAlign w:val="center"/>
          </w:tcPr>
          <w:p w14:paraId="08C6A839">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服务要求</w:t>
            </w:r>
          </w:p>
        </w:tc>
      </w:tr>
      <w:tr w14:paraId="0C79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55" w:type="dxa"/>
            <w:noWrap/>
            <w:vAlign w:val="center"/>
          </w:tcPr>
          <w:p w14:paraId="45425B45">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874" w:type="dxa"/>
            <w:noWrap/>
            <w:vAlign w:val="center"/>
          </w:tcPr>
          <w:p w14:paraId="4CB2FA9B">
            <w:pPr>
              <w:tabs>
                <w:tab w:val="left" w:pos="180"/>
                <w:tab w:val="left" w:pos="1620"/>
              </w:tabs>
              <w:spacing w:line="360" w:lineRule="auto"/>
              <w:jc w:val="center"/>
              <w:rPr>
                <w:color w:val="auto"/>
                <w:highlight w:val="none"/>
              </w:rPr>
            </w:pPr>
            <w:r>
              <w:rPr>
                <w:color w:val="auto"/>
                <w:highlight w:val="none"/>
              </w:rPr>
              <w:t>广西十万大山国家级自然保护区保护设施设备购置维护与宣传教育项目—保护区各类主题宣传活动</w:t>
            </w:r>
          </w:p>
        </w:tc>
        <w:tc>
          <w:tcPr>
            <w:tcW w:w="666" w:type="dxa"/>
            <w:noWrap/>
            <w:vAlign w:val="center"/>
          </w:tcPr>
          <w:p w14:paraId="36CCCB9F">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1项</w:t>
            </w:r>
          </w:p>
        </w:tc>
        <w:tc>
          <w:tcPr>
            <w:tcW w:w="687" w:type="dxa"/>
            <w:noWrap/>
            <w:vAlign w:val="center"/>
          </w:tcPr>
          <w:p w14:paraId="76B91311">
            <w:pPr>
              <w:tabs>
                <w:tab w:val="left" w:pos="180"/>
                <w:tab w:val="left" w:pos="1620"/>
              </w:tabs>
              <w:spacing w:line="360" w:lineRule="auto"/>
              <w:jc w:val="center"/>
              <w:rPr>
                <w:rFonts w:ascii="宋体" w:hAnsi="宋体" w:cs="宋体"/>
                <w:color w:val="auto"/>
                <w:szCs w:val="21"/>
                <w:highlight w:val="none"/>
              </w:rPr>
            </w:pPr>
            <w:r>
              <w:rPr>
                <w:rFonts w:hint="eastAsia" w:ascii="宋体" w:hAnsi="宋体" w:cs="宋体"/>
                <w:color w:val="auto"/>
                <w:szCs w:val="21"/>
                <w:highlight w:val="none"/>
              </w:rPr>
              <w:t xml:space="preserve">租赁 </w:t>
            </w:r>
          </w:p>
          <w:p w14:paraId="644FE66B">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和商 </w:t>
            </w:r>
          </w:p>
          <w:p w14:paraId="1D043B26">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务服 </w:t>
            </w:r>
          </w:p>
          <w:p w14:paraId="743EAFC5">
            <w:pPr>
              <w:tabs>
                <w:tab w:val="left" w:pos="180"/>
                <w:tab w:val="left" w:pos="1620"/>
              </w:tabs>
              <w:spacing w:line="360" w:lineRule="auto"/>
              <w:rPr>
                <w:rFonts w:ascii="宋体" w:hAnsi="宋体" w:cs="宋体"/>
                <w:color w:val="auto"/>
                <w:szCs w:val="21"/>
                <w:highlight w:val="none"/>
              </w:rPr>
            </w:pPr>
            <w:r>
              <w:rPr>
                <w:rFonts w:hint="eastAsia" w:ascii="宋体" w:hAnsi="宋体" w:cs="宋体"/>
                <w:color w:val="auto"/>
                <w:szCs w:val="21"/>
                <w:highlight w:val="none"/>
              </w:rPr>
              <w:t>务业</w:t>
            </w:r>
          </w:p>
          <w:p w14:paraId="1059D65B">
            <w:pPr>
              <w:tabs>
                <w:tab w:val="left" w:pos="180"/>
                <w:tab w:val="left" w:pos="1620"/>
              </w:tabs>
              <w:spacing w:line="360" w:lineRule="auto"/>
              <w:rPr>
                <w:rFonts w:ascii="宋体" w:hAnsi="宋体" w:cs="宋体"/>
                <w:color w:val="auto"/>
                <w:szCs w:val="21"/>
                <w:highlight w:val="none"/>
              </w:rPr>
            </w:pPr>
          </w:p>
        </w:tc>
        <w:tc>
          <w:tcPr>
            <w:tcW w:w="6369" w:type="dxa"/>
            <w:noWrap/>
          </w:tcPr>
          <w:p w14:paraId="325563A2">
            <w:pPr>
              <w:numPr>
                <w:ilvl w:val="0"/>
                <w:numId w:val="0"/>
              </w:numPr>
              <w:tabs>
                <w:tab w:val="left" w:pos="180"/>
                <w:tab w:val="left" w:pos="1620"/>
              </w:tabs>
              <w:spacing w:line="360" w:lineRule="auto"/>
              <w:rPr>
                <w:color w:val="auto"/>
                <w:highlight w:val="none"/>
              </w:rPr>
            </w:pPr>
            <w:r>
              <w:rPr>
                <w:rFonts w:hint="eastAsia"/>
                <w:color w:val="auto"/>
                <w:highlight w:val="none"/>
              </w:rPr>
              <w:t>（一）服务内容：</w:t>
            </w:r>
          </w:p>
          <w:p w14:paraId="33136E05">
            <w:pPr>
              <w:numPr>
                <w:ilvl w:val="0"/>
                <w:numId w:val="0"/>
              </w:numPr>
              <w:tabs>
                <w:tab w:val="left" w:pos="180"/>
                <w:tab w:val="left" w:pos="1620"/>
              </w:tabs>
              <w:spacing w:line="360" w:lineRule="auto"/>
              <w:rPr>
                <w:color w:val="auto"/>
                <w:highlight w:val="none"/>
              </w:rPr>
            </w:pPr>
            <w:r>
              <w:rPr>
                <w:rFonts w:hint="eastAsia"/>
                <w:color w:val="auto"/>
                <w:highlight w:val="none"/>
              </w:rPr>
              <w:t>1.</w:t>
            </w:r>
            <w:r>
              <w:rPr>
                <w:color w:val="auto"/>
                <w:highlight w:val="none"/>
              </w:rPr>
              <w:t>在保护区周边居民点举办宣传教育活动</w:t>
            </w:r>
            <w:r>
              <w:rPr>
                <w:rFonts w:hint="eastAsia"/>
                <w:color w:val="auto"/>
                <w:highlight w:val="none"/>
              </w:rPr>
              <w:t>不少于</w:t>
            </w:r>
            <w:r>
              <w:rPr>
                <w:color w:val="auto"/>
                <w:highlight w:val="none"/>
              </w:rPr>
              <w:t>20次</w:t>
            </w:r>
            <w:r>
              <w:rPr>
                <w:rFonts w:hint="eastAsia"/>
                <w:color w:val="auto"/>
                <w:highlight w:val="none"/>
              </w:rPr>
              <w:t>（包含共建交流活动、林业科技下乡活动、入户防火用电安全宣传等）；</w:t>
            </w:r>
          </w:p>
          <w:p w14:paraId="76F4F952">
            <w:pPr>
              <w:numPr>
                <w:ilvl w:val="0"/>
                <w:numId w:val="0"/>
              </w:numPr>
              <w:tabs>
                <w:tab w:val="left" w:pos="180"/>
                <w:tab w:val="left" w:pos="1620"/>
              </w:tabs>
              <w:spacing w:line="360" w:lineRule="auto"/>
              <w:rPr>
                <w:color w:val="auto"/>
                <w:highlight w:val="none"/>
              </w:rPr>
            </w:pPr>
            <w:r>
              <w:rPr>
                <w:rFonts w:hint="eastAsia"/>
                <w:color w:val="auto"/>
                <w:highlight w:val="none"/>
              </w:rPr>
              <w:t>2.</w:t>
            </w:r>
            <w:r>
              <w:rPr>
                <w:color w:val="auto"/>
                <w:highlight w:val="none"/>
              </w:rPr>
              <w:t>防城港市内及保护区周边举办中小学宣传教育活动</w:t>
            </w:r>
            <w:r>
              <w:rPr>
                <w:rFonts w:hint="eastAsia"/>
                <w:color w:val="auto"/>
                <w:highlight w:val="none"/>
              </w:rPr>
              <w:t>不少于</w:t>
            </w:r>
            <w:r>
              <w:rPr>
                <w:color w:val="auto"/>
                <w:highlight w:val="none"/>
              </w:rPr>
              <w:t>20次</w:t>
            </w:r>
            <w:r>
              <w:rPr>
                <w:rFonts w:hint="eastAsia"/>
                <w:color w:val="auto"/>
                <w:highlight w:val="none"/>
              </w:rPr>
              <w:t>（涵盖线下科普讲座、线上科普视频录播、校园科普讲座等）</w:t>
            </w:r>
            <w:r>
              <w:rPr>
                <w:color w:val="auto"/>
                <w:highlight w:val="none"/>
              </w:rPr>
              <w:t>；</w:t>
            </w:r>
          </w:p>
          <w:p w14:paraId="0884229D">
            <w:pPr>
              <w:numPr>
                <w:ilvl w:val="0"/>
                <w:numId w:val="0"/>
              </w:numPr>
              <w:tabs>
                <w:tab w:val="left" w:pos="180"/>
                <w:tab w:val="left" w:pos="1620"/>
              </w:tabs>
              <w:spacing w:line="360" w:lineRule="auto"/>
              <w:rPr>
                <w:color w:val="auto"/>
                <w:highlight w:val="none"/>
              </w:rPr>
            </w:pPr>
            <w:r>
              <w:rPr>
                <w:rFonts w:hint="eastAsia"/>
                <w:color w:val="auto"/>
                <w:highlight w:val="none"/>
              </w:rPr>
              <w:t>3.</w:t>
            </w:r>
            <w:r>
              <w:rPr>
                <w:color w:val="auto"/>
                <w:highlight w:val="none"/>
              </w:rPr>
              <w:t>各项主题宣传活动</w:t>
            </w:r>
            <w:r>
              <w:rPr>
                <w:rFonts w:hint="eastAsia"/>
                <w:color w:val="auto"/>
                <w:highlight w:val="none"/>
              </w:rPr>
              <w:t>不少于</w:t>
            </w:r>
            <w:r>
              <w:rPr>
                <w:color w:val="auto"/>
                <w:highlight w:val="none"/>
              </w:rPr>
              <w:t>10次</w:t>
            </w:r>
            <w:r>
              <w:rPr>
                <w:rFonts w:hint="eastAsia"/>
                <w:color w:val="auto"/>
                <w:highlight w:val="none"/>
              </w:rPr>
              <w:t>（在全国生态日、野生动植物宣传月、爱鸟周、生物多样性日等关键宣传节点开展活动）</w:t>
            </w:r>
            <w:r>
              <w:rPr>
                <w:color w:val="auto"/>
                <w:highlight w:val="none"/>
              </w:rPr>
              <w:t>；</w:t>
            </w:r>
          </w:p>
          <w:p w14:paraId="1B51A519">
            <w:pPr>
              <w:numPr>
                <w:ilvl w:val="0"/>
                <w:numId w:val="0"/>
              </w:numPr>
              <w:tabs>
                <w:tab w:val="left" w:pos="180"/>
                <w:tab w:val="left" w:pos="1620"/>
              </w:tabs>
              <w:spacing w:line="360" w:lineRule="auto"/>
              <w:rPr>
                <w:color w:val="auto"/>
                <w:highlight w:val="none"/>
              </w:rPr>
            </w:pPr>
            <w:r>
              <w:rPr>
                <w:rFonts w:hint="eastAsia"/>
                <w:color w:val="auto"/>
                <w:highlight w:val="none"/>
              </w:rPr>
              <w:t>4.</w:t>
            </w:r>
            <w:r>
              <w:rPr>
                <w:color w:val="auto"/>
                <w:highlight w:val="none"/>
              </w:rPr>
              <w:t>宣传教育公告1项</w:t>
            </w:r>
            <w:r>
              <w:rPr>
                <w:rFonts w:hint="eastAsia"/>
                <w:color w:val="auto"/>
                <w:highlight w:val="none"/>
              </w:rPr>
              <w:t>(需至少包含国家级媒体报道1篇、省级或市级新闻媒体报道2篇，保护区微信公众号宣传3篇)</w:t>
            </w:r>
            <w:r>
              <w:rPr>
                <w:color w:val="auto"/>
                <w:highlight w:val="none"/>
              </w:rPr>
              <w:t>；</w:t>
            </w:r>
          </w:p>
          <w:p w14:paraId="1C9B2E62">
            <w:pPr>
              <w:numPr>
                <w:ilvl w:val="0"/>
                <w:numId w:val="0"/>
              </w:numPr>
              <w:tabs>
                <w:tab w:val="left" w:pos="180"/>
                <w:tab w:val="left" w:pos="1620"/>
              </w:tabs>
              <w:spacing w:line="360" w:lineRule="auto"/>
              <w:rPr>
                <w:color w:val="auto"/>
                <w:highlight w:val="none"/>
              </w:rPr>
            </w:pPr>
            <w:r>
              <w:rPr>
                <w:rFonts w:hint="eastAsia"/>
                <w:color w:val="auto"/>
                <w:highlight w:val="none"/>
              </w:rPr>
              <w:t>5.</w:t>
            </w:r>
            <w:r>
              <w:rPr>
                <w:color w:val="auto"/>
                <w:highlight w:val="none"/>
              </w:rPr>
              <w:t>活动展板和宣传板报更新</w:t>
            </w:r>
            <w:r>
              <w:rPr>
                <w:rFonts w:hint="eastAsia"/>
                <w:color w:val="auto"/>
                <w:highlight w:val="none"/>
              </w:rPr>
              <w:t>（十万大山保护区原有展板和宣传板报进行更新升级1批，其中皇袍山景区科普长廊32个版面更新）</w:t>
            </w:r>
            <w:r>
              <w:rPr>
                <w:color w:val="auto"/>
                <w:highlight w:val="none"/>
              </w:rPr>
              <w:t>；</w:t>
            </w:r>
          </w:p>
          <w:p w14:paraId="6FEB76FA">
            <w:pPr>
              <w:numPr>
                <w:ilvl w:val="0"/>
                <w:numId w:val="0"/>
              </w:numPr>
              <w:tabs>
                <w:tab w:val="left" w:pos="180"/>
                <w:tab w:val="left" w:pos="1620"/>
              </w:tabs>
              <w:spacing w:line="360" w:lineRule="auto"/>
              <w:rPr>
                <w:color w:val="auto"/>
                <w:highlight w:val="none"/>
              </w:rPr>
            </w:pPr>
            <w:r>
              <w:rPr>
                <w:rFonts w:hint="eastAsia"/>
                <w:color w:val="auto"/>
                <w:highlight w:val="none"/>
              </w:rPr>
              <w:t>6.</w:t>
            </w:r>
            <w:r>
              <w:rPr>
                <w:color w:val="auto"/>
                <w:highlight w:val="none"/>
              </w:rPr>
              <w:t>制作动植物和昆虫标本</w:t>
            </w:r>
            <w:r>
              <w:rPr>
                <w:rFonts w:hint="eastAsia"/>
                <w:color w:val="auto"/>
                <w:highlight w:val="none"/>
                <w:lang w:eastAsia="zh-CN"/>
              </w:rPr>
              <w:t>至少</w:t>
            </w:r>
            <w:r>
              <w:rPr>
                <w:color w:val="auto"/>
                <w:highlight w:val="none"/>
              </w:rPr>
              <w:t>各100份</w:t>
            </w:r>
            <w:r>
              <w:rPr>
                <w:rFonts w:hint="eastAsia"/>
                <w:color w:val="auto"/>
                <w:highlight w:val="none"/>
              </w:rPr>
              <w:t>（</w:t>
            </w:r>
            <w:r>
              <w:rPr>
                <w:rFonts w:hint="eastAsia"/>
                <w:color w:val="auto"/>
                <w:highlight w:val="none"/>
                <w:lang w:eastAsia="zh-CN"/>
              </w:rPr>
              <w:t>要求</w:t>
            </w:r>
            <w:r>
              <w:rPr>
                <w:rFonts w:hint="eastAsia"/>
                <w:color w:val="auto"/>
                <w:highlight w:val="none"/>
              </w:rPr>
              <w:t>树脂包埋工艺，具备防腐蚀、防氧化、耐老化等特点，</w:t>
            </w:r>
            <w:r>
              <w:rPr>
                <w:rFonts w:hint="eastAsia"/>
                <w:color w:val="auto"/>
                <w:highlight w:val="none"/>
                <w:lang w:eastAsia="zh-CN"/>
              </w:rPr>
              <w:t>能</w:t>
            </w:r>
            <w:r>
              <w:rPr>
                <w:rFonts w:hint="eastAsia"/>
                <w:color w:val="auto"/>
                <w:highlight w:val="none"/>
              </w:rPr>
              <w:t>长期保存与流动展示）</w:t>
            </w:r>
            <w:r>
              <w:rPr>
                <w:color w:val="auto"/>
                <w:highlight w:val="none"/>
              </w:rPr>
              <w:t>。</w:t>
            </w:r>
          </w:p>
          <w:p w14:paraId="2F3C78DA">
            <w:pPr>
              <w:numPr>
                <w:ilvl w:val="0"/>
                <w:numId w:val="0"/>
              </w:numPr>
              <w:tabs>
                <w:tab w:val="left" w:pos="180"/>
                <w:tab w:val="left" w:pos="1620"/>
              </w:tabs>
              <w:spacing w:line="360" w:lineRule="auto"/>
              <w:rPr>
                <w:color w:val="auto"/>
                <w:highlight w:val="none"/>
              </w:rPr>
            </w:pPr>
            <w:r>
              <w:rPr>
                <w:rFonts w:hint="eastAsia"/>
                <w:color w:val="auto"/>
                <w:highlight w:val="none"/>
              </w:rPr>
              <w:t>7.服务期间，需按</w:t>
            </w:r>
            <w:r>
              <w:rPr>
                <w:rFonts w:hint="eastAsia"/>
                <w:color w:val="auto"/>
                <w:highlight w:val="none"/>
                <w:lang w:eastAsia="zh-CN"/>
              </w:rPr>
              <w:t>采购人</w:t>
            </w:r>
            <w:r>
              <w:rPr>
                <w:rFonts w:hint="eastAsia"/>
                <w:color w:val="auto"/>
                <w:highlight w:val="none"/>
              </w:rPr>
              <w:t>需求提供各类宣传设计服务。</w:t>
            </w:r>
          </w:p>
          <w:p w14:paraId="6AB5E4C5">
            <w:pPr>
              <w:numPr>
                <w:ilvl w:val="0"/>
                <w:numId w:val="0"/>
              </w:numPr>
              <w:tabs>
                <w:tab w:val="left" w:pos="180"/>
                <w:tab w:val="left" w:pos="1620"/>
              </w:tabs>
              <w:spacing w:line="360" w:lineRule="auto"/>
              <w:rPr>
                <w:color w:val="auto"/>
                <w:highlight w:val="none"/>
              </w:rPr>
            </w:pPr>
            <w:r>
              <w:rPr>
                <w:rFonts w:hint="eastAsia"/>
                <w:color w:val="auto"/>
                <w:highlight w:val="none"/>
              </w:rPr>
              <w:t>（二）项目要求</w:t>
            </w:r>
          </w:p>
          <w:p w14:paraId="11A3F6D9">
            <w:pPr>
              <w:numPr>
                <w:ilvl w:val="0"/>
                <w:numId w:val="0"/>
              </w:numPr>
              <w:tabs>
                <w:tab w:val="left" w:pos="180"/>
                <w:tab w:val="left" w:pos="1620"/>
              </w:tabs>
              <w:spacing w:line="360" w:lineRule="auto"/>
              <w:rPr>
                <w:color w:val="auto"/>
                <w:highlight w:val="none"/>
              </w:rPr>
            </w:pPr>
            <w:r>
              <w:rPr>
                <w:rFonts w:hint="eastAsia"/>
                <w:color w:val="auto"/>
                <w:highlight w:val="none"/>
              </w:rPr>
              <w:t>1.供应商</w:t>
            </w:r>
            <w:r>
              <w:rPr>
                <w:rFonts w:hint="eastAsia"/>
                <w:color w:val="auto"/>
                <w:highlight w:val="none"/>
                <w:lang w:val="en-US" w:eastAsia="zh-CN"/>
              </w:rPr>
              <w:t>拟投入</w:t>
            </w:r>
            <w:r>
              <w:rPr>
                <w:rFonts w:hint="eastAsia"/>
                <w:color w:val="auto"/>
                <w:highlight w:val="none"/>
              </w:rPr>
              <w:t>1名总负责人为本项目提供服务（响应文件中提供相关人员证件及联系方式），并提供24小时服务电话。</w:t>
            </w:r>
          </w:p>
          <w:p w14:paraId="16ADDB25">
            <w:pPr>
              <w:numPr>
                <w:ilvl w:val="0"/>
                <w:numId w:val="0"/>
              </w:numPr>
              <w:tabs>
                <w:tab w:val="left" w:pos="180"/>
                <w:tab w:val="left" w:pos="1620"/>
              </w:tabs>
              <w:spacing w:line="360" w:lineRule="auto"/>
              <w:rPr>
                <w:color w:val="auto"/>
                <w:highlight w:val="none"/>
              </w:rPr>
            </w:pPr>
            <w:r>
              <w:rPr>
                <w:rFonts w:hint="eastAsia"/>
                <w:color w:val="auto"/>
                <w:highlight w:val="none"/>
              </w:rPr>
              <w:t>2.供应商要根据实施前与采购人确定的具体点位进行设计，实施前提交活动具体执行方案及每场活动费用预算</w:t>
            </w:r>
            <w:r>
              <w:rPr>
                <w:rFonts w:hint="eastAsia"/>
                <w:color w:val="auto"/>
                <w:highlight w:val="none"/>
                <w:lang w:eastAsia="zh-CN"/>
              </w:rPr>
              <w:t>，费用预算已包含在本次的竞标报价中</w:t>
            </w:r>
            <w:r>
              <w:rPr>
                <w:rFonts w:hint="eastAsia"/>
                <w:color w:val="auto"/>
                <w:highlight w:val="none"/>
              </w:rPr>
              <w:t>，每场次活动根据规模安排充足的执行人员，活动现场拍照存档。</w:t>
            </w:r>
          </w:p>
          <w:p w14:paraId="7DCDB70A">
            <w:pPr>
              <w:numPr>
                <w:ilvl w:val="0"/>
                <w:numId w:val="0"/>
              </w:numPr>
              <w:tabs>
                <w:tab w:val="left" w:pos="180"/>
                <w:tab w:val="left" w:pos="1620"/>
              </w:tabs>
              <w:spacing w:line="360" w:lineRule="auto"/>
              <w:rPr>
                <w:color w:val="auto"/>
                <w:highlight w:val="none"/>
              </w:rPr>
            </w:pPr>
            <w:r>
              <w:rPr>
                <w:rFonts w:hint="eastAsia"/>
                <w:color w:val="auto"/>
                <w:highlight w:val="none"/>
              </w:rPr>
              <w:t>3.提供活动方案、活动场地落实、现场氛围营造、活动报名及评选通道、活动前中后期执行、物料制作设计、活动物料运输安装拆卸、购买相应物资（如活动道具、氛围布置物料、活动奖品等）、整理活动材料等</w:t>
            </w:r>
            <w:r>
              <w:rPr>
                <w:rFonts w:hint="eastAsia"/>
                <w:color w:val="auto"/>
                <w:highlight w:val="none"/>
                <w:lang w:eastAsia="zh-CN"/>
              </w:rPr>
              <w:t>服务</w:t>
            </w:r>
            <w:r>
              <w:rPr>
                <w:rFonts w:hint="eastAsia"/>
                <w:color w:val="auto"/>
                <w:highlight w:val="none"/>
              </w:rPr>
              <w:t>。</w:t>
            </w:r>
          </w:p>
          <w:p w14:paraId="0C4F1CFB">
            <w:pPr>
              <w:numPr>
                <w:ilvl w:val="0"/>
                <w:numId w:val="0"/>
              </w:numPr>
              <w:tabs>
                <w:tab w:val="left" w:pos="180"/>
                <w:tab w:val="left" w:pos="1620"/>
              </w:tabs>
              <w:spacing w:line="360" w:lineRule="auto"/>
              <w:rPr>
                <w:color w:val="auto"/>
                <w:highlight w:val="none"/>
              </w:rPr>
            </w:pPr>
            <w:r>
              <w:rPr>
                <w:rFonts w:hint="eastAsia"/>
                <w:color w:val="auto"/>
                <w:highlight w:val="none"/>
              </w:rPr>
              <w:t>4.每场活动规格及预算以采购人需求为准，需要有具体的活动预算，根据</w:t>
            </w:r>
            <w:r>
              <w:rPr>
                <w:rFonts w:hint="eastAsia"/>
                <w:color w:val="auto"/>
                <w:highlight w:val="none"/>
                <w:lang w:val="en-US" w:eastAsia="zh-CN"/>
              </w:rPr>
              <w:t>采购人确定的</w:t>
            </w:r>
            <w:r>
              <w:rPr>
                <w:rFonts w:hint="eastAsia"/>
                <w:color w:val="auto"/>
                <w:highlight w:val="none"/>
              </w:rPr>
              <w:t>预算</w:t>
            </w:r>
            <w:r>
              <w:rPr>
                <w:rFonts w:hint="eastAsia"/>
                <w:color w:val="auto"/>
                <w:highlight w:val="none"/>
                <w:lang w:val="en-US" w:eastAsia="zh-CN"/>
              </w:rPr>
              <w:t>开展活动</w:t>
            </w:r>
            <w:r>
              <w:rPr>
                <w:rFonts w:hint="eastAsia"/>
                <w:color w:val="auto"/>
                <w:highlight w:val="none"/>
              </w:rPr>
              <w:t>，预算价不高于市场价。</w:t>
            </w:r>
          </w:p>
          <w:p w14:paraId="7B84FDA5">
            <w:pPr>
              <w:numPr>
                <w:ilvl w:val="0"/>
                <w:numId w:val="0"/>
              </w:numPr>
              <w:tabs>
                <w:tab w:val="left" w:pos="180"/>
                <w:tab w:val="left" w:pos="1620"/>
              </w:tabs>
              <w:spacing w:line="360" w:lineRule="auto"/>
              <w:rPr>
                <w:color w:val="auto"/>
                <w:highlight w:val="none"/>
              </w:rPr>
            </w:pPr>
            <w:r>
              <w:rPr>
                <w:rFonts w:hint="eastAsia"/>
                <w:color w:val="auto"/>
                <w:highlight w:val="none"/>
              </w:rPr>
              <w:t>（三）工作要求</w:t>
            </w:r>
          </w:p>
          <w:p w14:paraId="69CEA2C9">
            <w:pPr>
              <w:numPr>
                <w:ilvl w:val="0"/>
                <w:numId w:val="0"/>
              </w:numPr>
              <w:tabs>
                <w:tab w:val="left" w:pos="180"/>
                <w:tab w:val="left" w:pos="1620"/>
              </w:tabs>
              <w:spacing w:line="360" w:lineRule="auto"/>
              <w:rPr>
                <w:rFonts w:hint="eastAsia"/>
                <w:color w:val="auto"/>
                <w:highlight w:val="none"/>
              </w:rPr>
            </w:pPr>
            <w:r>
              <w:rPr>
                <w:rFonts w:hint="eastAsia"/>
                <w:color w:val="auto"/>
                <w:highlight w:val="none"/>
                <w:lang w:val="en-US" w:eastAsia="zh-CN"/>
              </w:rPr>
              <w:t>1.</w:t>
            </w:r>
            <w:r>
              <w:rPr>
                <w:rFonts w:hint="eastAsia"/>
                <w:color w:val="auto"/>
                <w:highlight w:val="none"/>
              </w:rPr>
              <w:t>一旦成交，成交供应商应按照采购人的要求对方案进行完善；依据方案实施的每一次活动，必须有足够的人员参加现场的组织和协调活动。</w:t>
            </w:r>
          </w:p>
          <w:p w14:paraId="1FA69DE4">
            <w:pPr>
              <w:numPr>
                <w:ilvl w:val="0"/>
                <w:numId w:val="0"/>
              </w:numPr>
              <w:tabs>
                <w:tab w:val="left" w:pos="180"/>
                <w:tab w:val="left" w:pos="1620"/>
              </w:tabs>
              <w:spacing w:line="360" w:lineRule="auto"/>
              <w:rPr>
                <w:rFonts w:hint="default" w:eastAsia="宋体"/>
                <w:color w:val="auto"/>
                <w:highlight w:val="none"/>
                <w:lang w:val="en-US" w:eastAsia="zh-CN"/>
              </w:rPr>
            </w:pPr>
            <w:r>
              <w:rPr>
                <w:rFonts w:hint="eastAsia"/>
                <w:color w:val="auto"/>
                <w:highlight w:val="none"/>
                <w:lang w:val="en-US" w:eastAsia="zh-CN"/>
              </w:rPr>
              <w:t>2.宣传活动服务要求达到效果</w:t>
            </w:r>
          </w:p>
          <w:p w14:paraId="7A2C42C2">
            <w:pPr>
              <w:numPr>
                <w:ilvl w:val="-1"/>
                <w:numId w:val="0"/>
              </w:numPr>
              <w:tabs>
                <w:tab w:val="left" w:pos="180"/>
                <w:tab w:val="left" w:pos="1620"/>
              </w:tabs>
              <w:spacing w:line="360" w:lineRule="auto"/>
              <w:rPr>
                <w:rFonts w:hint="default" w:eastAsia="宋体"/>
                <w:color w:val="auto"/>
                <w:highlight w:val="none"/>
                <w:lang w:val="en-US" w:eastAsia="zh-CN"/>
              </w:rPr>
            </w:pPr>
            <w:r>
              <w:rPr>
                <w:rFonts w:hint="eastAsia"/>
                <w:color w:val="auto"/>
                <w:highlight w:val="none"/>
                <w:lang w:val="en-US" w:eastAsia="zh-CN"/>
              </w:rPr>
              <w:t>（1）</w:t>
            </w:r>
            <w:r>
              <w:rPr>
                <w:rFonts w:hint="default" w:eastAsia="宋体"/>
                <w:color w:val="auto"/>
                <w:highlight w:val="none"/>
                <w:lang w:val="en-US" w:eastAsia="zh-CN"/>
              </w:rPr>
              <w:t>通过宣传活动，提高公众对保护区重要性的认识，增强环保意识和责任感。</w:t>
            </w:r>
          </w:p>
          <w:p w14:paraId="33E0808E">
            <w:pPr>
              <w:numPr>
                <w:ilvl w:val="-1"/>
                <w:numId w:val="0"/>
              </w:numPr>
              <w:tabs>
                <w:tab w:val="left" w:pos="180"/>
                <w:tab w:val="left" w:pos="1620"/>
              </w:tabs>
              <w:spacing w:line="360" w:lineRule="auto"/>
              <w:rPr>
                <w:rFonts w:hint="default" w:eastAsia="宋体"/>
                <w:color w:val="auto"/>
                <w:highlight w:val="none"/>
                <w:lang w:val="en-US" w:eastAsia="zh-CN"/>
              </w:rPr>
            </w:pPr>
            <w:r>
              <w:rPr>
                <w:rFonts w:hint="eastAsia"/>
                <w:color w:val="auto"/>
                <w:highlight w:val="none"/>
                <w:lang w:val="en-US" w:eastAsia="zh-CN"/>
              </w:rPr>
              <w:t>（2）通过</w:t>
            </w:r>
            <w:r>
              <w:rPr>
                <w:rFonts w:hint="default" w:eastAsia="宋体"/>
                <w:color w:val="auto"/>
                <w:highlight w:val="none"/>
                <w:lang w:val="en-US" w:eastAsia="zh-CN"/>
              </w:rPr>
              <w:t>宣传活动鼓励更多的人参与到保护工作中来，形成全社会共同参与的良好氛围。</w:t>
            </w:r>
          </w:p>
          <w:p w14:paraId="63A0BC4C">
            <w:pPr>
              <w:numPr>
                <w:ilvl w:val="-1"/>
                <w:numId w:val="0"/>
              </w:numPr>
              <w:tabs>
                <w:tab w:val="left" w:pos="180"/>
                <w:tab w:val="left" w:pos="1620"/>
              </w:tabs>
              <w:spacing w:line="360" w:lineRule="auto"/>
              <w:rPr>
                <w:rFonts w:hint="default" w:eastAsia="宋体"/>
                <w:color w:val="auto"/>
                <w:highlight w:val="none"/>
                <w:lang w:val="en-US" w:eastAsia="zh-CN"/>
              </w:rPr>
            </w:pPr>
            <w:r>
              <w:rPr>
                <w:rFonts w:hint="eastAsia"/>
                <w:color w:val="auto"/>
                <w:highlight w:val="none"/>
                <w:lang w:val="en-US" w:eastAsia="zh-CN"/>
              </w:rPr>
              <w:t>（3）</w:t>
            </w:r>
            <w:r>
              <w:rPr>
                <w:rFonts w:hint="default" w:eastAsia="宋体"/>
                <w:color w:val="auto"/>
                <w:highlight w:val="none"/>
                <w:lang w:val="en-US" w:eastAsia="zh-CN"/>
              </w:rPr>
              <w:t>针对学校和青少年的宣传活动，可以培养他们从小爱护自然、保护环境的习惯。</w:t>
            </w:r>
          </w:p>
          <w:p w14:paraId="233AF89C">
            <w:pPr>
              <w:numPr>
                <w:ilvl w:val="-1"/>
                <w:numId w:val="0"/>
              </w:numPr>
              <w:tabs>
                <w:tab w:val="left" w:pos="180"/>
                <w:tab w:val="left" w:pos="1620"/>
              </w:tabs>
              <w:spacing w:line="360" w:lineRule="auto"/>
              <w:rPr>
                <w:rFonts w:hint="default" w:eastAsia="宋体"/>
                <w:color w:val="auto"/>
                <w:highlight w:val="none"/>
                <w:lang w:val="en-US" w:eastAsia="zh-CN"/>
              </w:rPr>
            </w:pPr>
            <w:r>
              <w:rPr>
                <w:rFonts w:hint="eastAsia"/>
                <w:color w:val="auto"/>
                <w:highlight w:val="none"/>
                <w:lang w:val="en-US" w:eastAsia="zh-CN"/>
              </w:rPr>
              <w:t>（4）</w:t>
            </w:r>
            <w:r>
              <w:rPr>
                <w:rFonts w:hint="default" w:eastAsia="宋体"/>
                <w:color w:val="auto"/>
                <w:highlight w:val="none"/>
                <w:lang w:val="en-US" w:eastAsia="zh-CN"/>
              </w:rPr>
              <w:t>利用新媒体和创意活动吸引更多的关注，使宣传更加生动有趣。</w:t>
            </w:r>
          </w:p>
          <w:p w14:paraId="4CBCA742">
            <w:pPr>
              <w:numPr>
                <w:ilvl w:val="-1"/>
                <w:numId w:val="0"/>
              </w:numPr>
              <w:tabs>
                <w:tab w:val="left" w:pos="180"/>
                <w:tab w:val="left" w:pos="1620"/>
              </w:tabs>
              <w:spacing w:line="360" w:lineRule="auto"/>
              <w:rPr>
                <w:rFonts w:hint="default" w:eastAsia="宋体"/>
                <w:color w:val="auto"/>
                <w:highlight w:val="none"/>
                <w:lang w:val="en-US" w:eastAsia="zh-CN"/>
              </w:rPr>
            </w:pPr>
            <w:r>
              <w:rPr>
                <w:rFonts w:hint="eastAsia"/>
                <w:color w:val="auto"/>
                <w:highlight w:val="none"/>
                <w:lang w:val="en-US" w:eastAsia="zh-CN"/>
              </w:rPr>
              <w:t>（5）</w:t>
            </w:r>
            <w:r>
              <w:rPr>
                <w:rFonts w:hint="default" w:eastAsia="宋体"/>
                <w:color w:val="auto"/>
                <w:highlight w:val="none"/>
                <w:lang w:val="en-US" w:eastAsia="zh-CN"/>
              </w:rPr>
              <w:t>通过对活动效果的评估和收集参与者反馈，不断改进和完善宣传活动的内容和形式。</w:t>
            </w:r>
          </w:p>
        </w:tc>
      </w:tr>
      <w:tr w14:paraId="4E77D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251" w:type="dxa"/>
            <w:gridSpan w:val="5"/>
            <w:noWrap/>
            <w:vAlign w:val="center"/>
          </w:tcPr>
          <w:p w14:paraId="6B5C8844">
            <w:pPr>
              <w:spacing w:line="360" w:lineRule="auto"/>
              <w:jc w:val="left"/>
              <w:rPr>
                <w:rFonts w:ascii="宋体" w:hAnsi="宋体" w:cs="Arial"/>
                <w:b/>
                <w:bCs/>
                <w:iCs/>
                <w:color w:val="auto"/>
                <w:szCs w:val="21"/>
                <w:highlight w:val="none"/>
              </w:rPr>
            </w:pPr>
            <w:r>
              <w:rPr>
                <w:rFonts w:hint="eastAsia" w:ascii="宋体" w:hAnsi="宋体" w:cs="Arial"/>
                <w:b/>
                <w:bCs/>
                <w:iCs/>
                <w:color w:val="auto"/>
                <w:szCs w:val="21"/>
                <w:highlight w:val="none"/>
              </w:rPr>
              <w:t>▲二、商务要求</w:t>
            </w:r>
          </w:p>
        </w:tc>
      </w:tr>
      <w:tr w14:paraId="3F3D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882" w:type="dxa"/>
            <w:gridSpan w:val="4"/>
            <w:noWrap/>
            <w:vAlign w:val="center"/>
          </w:tcPr>
          <w:p w14:paraId="71D5A2FF">
            <w:pPr>
              <w:tabs>
                <w:tab w:val="left" w:pos="180"/>
                <w:tab w:val="left" w:pos="1620"/>
              </w:tabs>
              <w:spacing w:line="440" w:lineRule="exact"/>
              <w:jc w:val="center"/>
              <w:rPr>
                <w:rFonts w:ascii="宋体" w:hAnsi="宋体" w:cs="宋体"/>
                <w:color w:val="auto"/>
                <w:szCs w:val="21"/>
                <w:highlight w:val="none"/>
              </w:rPr>
            </w:pPr>
            <w:r>
              <w:rPr>
                <w:rFonts w:hint="eastAsia" w:ascii="宋体" w:hAnsi="宋体" w:cs="Arial"/>
                <w:color w:val="auto"/>
                <w:szCs w:val="21"/>
                <w:highlight w:val="none"/>
              </w:rPr>
              <w:t>合同签订时间</w:t>
            </w:r>
          </w:p>
        </w:tc>
        <w:tc>
          <w:tcPr>
            <w:tcW w:w="6369" w:type="dxa"/>
            <w:noWrap/>
            <w:vAlign w:val="center"/>
          </w:tcPr>
          <w:p w14:paraId="2EE64FF2">
            <w:pPr>
              <w:spacing w:line="320" w:lineRule="exact"/>
              <w:jc w:val="left"/>
              <w:rPr>
                <w:color w:val="auto"/>
                <w:highlight w:val="none"/>
              </w:rPr>
            </w:pPr>
            <w:r>
              <w:rPr>
                <w:rFonts w:ascii="宋体" w:hAnsi="宋体" w:cs="Arial"/>
                <w:bCs/>
                <w:color w:val="auto"/>
                <w:szCs w:val="21"/>
                <w:highlight w:val="none"/>
              </w:rPr>
              <w:t>自成交通知书发出之日起</w:t>
            </w:r>
            <w:r>
              <w:rPr>
                <w:rFonts w:hint="eastAsia" w:ascii="宋体" w:hAnsi="宋体" w:cs="Arial"/>
                <w:bCs/>
                <w:color w:val="auto"/>
                <w:szCs w:val="21"/>
                <w:highlight w:val="none"/>
              </w:rPr>
              <w:t>7</w:t>
            </w:r>
            <w:r>
              <w:rPr>
                <w:rFonts w:ascii="宋体" w:hAnsi="宋体" w:cs="Arial"/>
                <w:bCs/>
                <w:color w:val="auto"/>
                <w:szCs w:val="21"/>
                <w:highlight w:val="none"/>
              </w:rPr>
              <w:t>个工作日内；</w:t>
            </w:r>
          </w:p>
        </w:tc>
      </w:tr>
      <w:tr w14:paraId="119A1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82" w:type="dxa"/>
            <w:gridSpan w:val="4"/>
            <w:noWrap/>
            <w:vAlign w:val="center"/>
          </w:tcPr>
          <w:p w14:paraId="59445474">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服务期限、单场活动提交服务成果文件时间及服务地点</w:t>
            </w:r>
          </w:p>
        </w:tc>
        <w:tc>
          <w:tcPr>
            <w:tcW w:w="6369" w:type="dxa"/>
            <w:noWrap/>
            <w:vAlign w:val="center"/>
          </w:tcPr>
          <w:p w14:paraId="7A9B242D">
            <w:pPr>
              <w:numPr>
                <w:ilvl w:val="-1"/>
                <w:numId w:val="0"/>
              </w:numPr>
              <w:spacing w:line="320" w:lineRule="exact"/>
              <w:jc w:val="left"/>
              <w:rPr>
                <w:color w:val="auto"/>
                <w:highlight w:val="none"/>
              </w:rPr>
            </w:pPr>
            <w:r>
              <w:rPr>
                <w:rFonts w:hint="eastAsia"/>
                <w:color w:val="auto"/>
                <w:highlight w:val="none"/>
              </w:rPr>
              <w:t>服务周期：自合同签订之日起至广西十万大山国家级自然保护区保护设施设备购置维护与宣传教育项目—保护区各类主题宣传活动结束并通过验收之日止。</w:t>
            </w:r>
          </w:p>
          <w:p w14:paraId="4212EE2E">
            <w:pPr>
              <w:numPr>
                <w:ilvl w:val="-1"/>
                <w:numId w:val="0"/>
              </w:numPr>
              <w:spacing w:line="320" w:lineRule="exact"/>
              <w:jc w:val="left"/>
              <w:rPr>
                <w:color w:val="auto"/>
                <w:highlight w:val="none"/>
              </w:rPr>
            </w:pPr>
            <w:r>
              <w:rPr>
                <w:rFonts w:hint="eastAsia"/>
                <w:color w:val="auto"/>
                <w:highlight w:val="none"/>
                <w:lang w:val="en-US" w:eastAsia="zh-CN"/>
              </w:rPr>
              <w:t>2.</w:t>
            </w:r>
            <w:r>
              <w:rPr>
                <w:rFonts w:hint="eastAsia"/>
                <w:color w:val="auto"/>
                <w:highlight w:val="none"/>
              </w:rPr>
              <w:t>单场活动提交服务成果文件时间</w:t>
            </w:r>
            <w:r>
              <w:rPr>
                <w:rFonts w:hint="eastAsia"/>
                <w:color w:val="auto"/>
                <w:highlight w:val="none"/>
                <w:lang w:eastAsia="zh-CN"/>
              </w:rPr>
              <w:t>：</w:t>
            </w:r>
            <w:r>
              <w:rPr>
                <w:rFonts w:hint="eastAsia"/>
                <w:color w:val="auto"/>
                <w:highlight w:val="none"/>
              </w:rPr>
              <w:t>活动服务结束后10个工作日内，提交含文档材料、照片视频整理材料等给采购人。</w:t>
            </w:r>
          </w:p>
          <w:p w14:paraId="5F71CDEC">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t>3.单场活动服务地点：</w:t>
            </w:r>
            <w:r>
              <w:rPr>
                <w:rFonts w:hint="eastAsia" w:ascii="宋体" w:hAnsi="宋体" w:cs="宋体"/>
                <w:color w:val="auto"/>
                <w:szCs w:val="21"/>
                <w:highlight w:val="none"/>
                <w:lang w:eastAsia="zh-CN"/>
              </w:rPr>
              <w:t>防城港市内</w:t>
            </w:r>
            <w:r>
              <w:rPr>
                <w:rFonts w:hint="eastAsia" w:ascii="宋体" w:hAnsi="宋体" w:cs="宋体"/>
                <w:color w:val="auto"/>
                <w:szCs w:val="21"/>
                <w:highlight w:val="none"/>
              </w:rPr>
              <w:t>采购人指定地点。</w:t>
            </w:r>
          </w:p>
        </w:tc>
      </w:tr>
      <w:tr w14:paraId="71C0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882" w:type="dxa"/>
            <w:gridSpan w:val="4"/>
            <w:noWrap/>
            <w:vAlign w:val="center"/>
          </w:tcPr>
          <w:p w14:paraId="3298A95F">
            <w:pPr>
              <w:tabs>
                <w:tab w:val="left" w:pos="180"/>
                <w:tab w:val="left" w:pos="1620"/>
              </w:tabs>
              <w:spacing w:line="440" w:lineRule="exact"/>
              <w:jc w:val="center"/>
              <w:rPr>
                <w:rFonts w:ascii="宋体" w:hAnsi="宋体"/>
                <w:bCs/>
                <w:iCs/>
                <w:color w:val="auto"/>
                <w:szCs w:val="21"/>
                <w:highlight w:val="none"/>
              </w:rPr>
            </w:pPr>
            <w:r>
              <w:rPr>
                <w:rFonts w:hint="eastAsia" w:ascii="宋体" w:hAnsi="宋体" w:cs="Arial"/>
                <w:color w:val="auto"/>
                <w:szCs w:val="21"/>
                <w:highlight w:val="none"/>
              </w:rPr>
              <w:t>付款方式及进度</w:t>
            </w:r>
          </w:p>
        </w:tc>
        <w:tc>
          <w:tcPr>
            <w:tcW w:w="6369" w:type="dxa"/>
            <w:noWrap/>
            <w:vAlign w:val="center"/>
          </w:tcPr>
          <w:p w14:paraId="177C4648">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本项目合同签订后，按财政国库集中支付程序申请资金到位后5个工作日内支付合同总价的40%作为预付款</w:t>
            </w:r>
            <w:r>
              <w:rPr>
                <w:rFonts w:ascii="宋体" w:hAnsi="宋体" w:cs="宋体"/>
                <w:color w:val="auto"/>
                <w:szCs w:val="21"/>
                <w:highlight w:val="none"/>
              </w:rPr>
              <w:t>，</w:t>
            </w:r>
            <w:r>
              <w:rPr>
                <w:rFonts w:hint="eastAsia" w:ascii="宋体" w:hAnsi="宋体" w:cs="宋体"/>
                <w:color w:val="auto"/>
                <w:szCs w:val="21"/>
                <w:highlight w:val="none"/>
              </w:rPr>
              <w:t>完成</w:t>
            </w:r>
            <w:r>
              <w:rPr>
                <w:rFonts w:ascii="宋体" w:hAnsi="宋体" w:cs="宋体"/>
                <w:color w:val="auto"/>
                <w:szCs w:val="21"/>
                <w:highlight w:val="none"/>
              </w:rPr>
              <w:t>与采购人核实确认后的半年宣传活动</w:t>
            </w:r>
            <w:r>
              <w:rPr>
                <w:rFonts w:hint="eastAsia" w:ascii="宋体" w:hAnsi="宋体" w:cs="宋体"/>
                <w:color w:val="auto"/>
                <w:szCs w:val="21"/>
                <w:highlight w:val="none"/>
              </w:rPr>
              <w:t>任务后支付合同总价的30%进度款，项目通过验收并</w:t>
            </w:r>
            <w:r>
              <w:rPr>
                <w:rFonts w:ascii="宋体" w:hAnsi="宋体" w:cs="宋体"/>
                <w:color w:val="auto"/>
                <w:szCs w:val="21"/>
                <w:highlight w:val="none"/>
              </w:rPr>
              <w:t>提交</w:t>
            </w:r>
            <w:r>
              <w:rPr>
                <w:rFonts w:hint="eastAsia" w:ascii="宋体" w:hAnsi="宋体" w:cs="宋体"/>
                <w:color w:val="auto"/>
                <w:szCs w:val="21"/>
                <w:highlight w:val="none"/>
              </w:rPr>
              <w:t>全年</w:t>
            </w:r>
            <w:r>
              <w:rPr>
                <w:rFonts w:ascii="宋体" w:hAnsi="宋体" w:cs="宋体"/>
                <w:color w:val="auto"/>
                <w:szCs w:val="21"/>
                <w:highlight w:val="none"/>
              </w:rPr>
              <w:t>服务成果清单</w:t>
            </w:r>
            <w:r>
              <w:rPr>
                <w:rFonts w:hint="eastAsia" w:ascii="宋体" w:hAnsi="宋体" w:cs="宋体"/>
                <w:color w:val="auto"/>
                <w:szCs w:val="21"/>
                <w:highlight w:val="none"/>
              </w:rPr>
              <w:t>后支付合同总价的30%</w:t>
            </w:r>
            <w:r>
              <w:rPr>
                <w:rFonts w:ascii="宋体" w:hAnsi="宋体" w:cs="宋体"/>
                <w:color w:val="auto"/>
                <w:szCs w:val="21"/>
                <w:highlight w:val="none"/>
              </w:rPr>
              <w:t>。</w:t>
            </w:r>
          </w:p>
          <w:p w14:paraId="3C46EE39">
            <w:pPr>
              <w:widowControl/>
              <w:spacing w:line="360" w:lineRule="auto"/>
              <w:jc w:val="left"/>
              <w:rPr>
                <w:rFonts w:ascii="宋体" w:hAnsi="宋体"/>
                <w:color w:val="auto"/>
                <w:szCs w:val="21"/>
                <w:highlight w:val="none"/>
              </w:rPr>
            </w:pPr>
            <w:r>
              <w:rPr>
                <w:rFonts w:ascii="宋体" w:hAnsi="宋体" w:cs="宋体"/>
                <w:color w:val="auto"/>
                <w:szCs w:val="21"/>
                <w:highlight w:val="none"/>
              </w:rPr>
              <w:t>每场活动结束，</w:t>
            </w:r>
            <w:r>
              <w:rPr>
                <w:rFonts w:hint="eastAsia" w:ascii="宋体" w:hAnsi="宋体" w:cs="宋体"/>
                <w:color w:val="auto"/>
                <w:szCs w:val="21"/>
                <w:highlight w:val="none"/>
                <w:lang w:eastAsia="zh-CN"/>
              </w:rPr>
              <w:t>成交</w:t>
            </w:r>
            <w:r>
              <w:rPr>
                <w:rFonts w:hint="eastAsia" w:ascii="宋体" w:hAnsi="宋体" w:cs="宋体"/>
                <w:color w:val="auto"/>
                <w:szCs w:val="21"/>
                <w:highlight w:val="none"/>
              </w:rPr>
              <w:t>供应商</w:t>
            </w:r>
            <w:r>
              <w:rPr>
                <w:rFonts w:ascii="宋体" w:hAnsi="宋体" w:cs="宋体"/>
                <w:color w:val="auto"/>
                <w:szCs w:val="21"/>
                <w:highlight w:val="none"/>
              </w:rPr>
              <w:t>提交服务成果清单</w:t>
            </w:r>
            <w:r>
              <w:rPr>
                <w:rFonts w:hint="eastAsia" w:ascii="宋体" w:hAnsi="宋体" w:cs="宋体"/>
                <w:color w:val="auto"/>
                <w:szCs w:val="21"/>
                <w:highlight w:val="none"/>
              </w:rPr>
              <w:t>经采购人核实</w:t>
            </w:r>
            <w:r>
              <w:rPr>
                <w:rFonts w:ascii="宋体" w:hAnsi="宋体" w:cs="宋体"/>
                <w:color w:val="auto"/>
                <w:szCs w:val="21"/>
                <w:highlight w:val="none"/>
              </w:rPr>
              <w:t>后，按实际发生费用结算该场活动费用（需提供结算清单及有效发票），实际结算总金额不超过服务总金额。</w:t>
            </w:r>
          </w:p>
        </w:tc>
      </w:tr>
      <w:tr w14:paraId="0A59D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82" w:type="dxa"/>
            <w:gridSpan w:val="4"/>
            <w:noWrap/>
            <w:vAlign w:val="center"/>
          </w:tcPr>
          <w:p w14:paraId="3EE577FA">
            <w:pPr>
              <w:tabs>
                <w:tab w:val="left" w:pos="180"/>
                <w:tab w:val="left" w:pos="1620"/>
              </w:tabs>
              <w:spacing w:line="440" w:lineRule="exact"/>
              <w:jc w:val="center"/>
              <w:rPr>
                <w:rFonts w:ascii="宋体" w:hAnsi="宋体" w:cs="宋体"/>
                <w:color w:val="auto"/>
                <w:szCs w:val="21"/>
                <w:highlight w:val="none"/>
              </w:rPr>
            </w:pPr>
            <w:r>
              <w:rPr>
                <w:rFonts w:hint="eastAsia" w:ascii="宋体" w:hAnsi="宋体" w:cs="Arial"/>
                <w:color w:val="auto"/>
                <w:szCs w:val="21"/>
                <w:highlight w:val="none"/>
              </w:rPr>
              <w:t>磋商报价</w:t>
            </w:r>
          </w:p>
        </w:tc>
        <w:tc>
          <w:tcPr>
            <w:tcW w:w="6369" w:type="dxa"/>
            <w:noWrap/>
            <w:vAlign w:val="center"/>
          </w:tcPr>
          <w:p w14:paraId="33DDAB8F">
            <w:pPr>
              <w:spacing w:line="320" w:lineRule="exact"/>
              <w:jc w:val="left"/>
              <w:rPr>
                <w:rFonts w:ascii="宋体" w:hAnsi="宋体"/>
                <w:color w:val="auto"/>
                <w:szCs w:val="21"/>
                <w:highlight w:val="none"/>
              </w:rPr>
            </w:pPr>
            <w:r>
              <w:rPr>
                <w:rFonts w:hint="eastAsia" w:ascii="宋体" w:hAnsi="宋体"/>
                <w:color w:val="auto"/>
                <w:szCs w:val="21"/>
                <w:highlight w:val="none"/>
              </w:rPr>
              <w:t xml:space="preserve">(1) </w:t>
            </w:r>
            <w:r>
              <w:rPr>
                <w:rFonts w:hint="eastAsia" w:ascii="宋体" w:hAnsi="宋体"/>
                <w:color w:val="auto"/>
                <w:szCs w:val="21"/>
                <w:highlight w:val="none"/>
                <w:lang w:eastAsia="zh-CN"/>
              </w:rPr>
              <w:t>宣传活动</w:t>
            </w:r>
            <w:r>
              <w:rPr>
                <w:rFonts w:hint="eastAsia" w:ascii="宋体" w:hAnsi="宋体"/>
                <w:color w:val="auto"/>
                <w:szCs w:val="21"/>
                <w:highlight w:val="none"/>
              </w:rPr>
              <w:t xml:space="preserve">服务的价格； </w:t>
            </w:r>
          </w:p>
          <w:p w14:paraId="6A386423">
            <w:pPr>
              <w:spacing w:line="320" w:lineRule="exact"/>
              <w:jc w:val="left"/>
              <w:rPr>
                <w:rFonts w:ascii="宋体" w:hAnsi="宋体"/>
                <w:color w:val="auto"/>
                <w:szCs w:val="21"/>
                <w:highlight w:val="none"/>
              </w:rPr>
            </w:pPr>
            <w:r>
              <w:rPr>
                <w:rFonts w:hint="eastAsia" w:ascii="宋体" w:hAnsi="宋体"/>
                <w:color w:val="auto"/>
                <w:szCs w:val="21"/>
                <w:highlight w:val="none"/>
              </w:rPr>
              <w:t xml:space="preserve">(2) 必要的保险费用和各项税金； </w:t>
            </w:r>
          </w:p>
          <w:p w14:paraId="1ED8ADA0">
            <w:pPr>
              <w:spacing w:line="320" w:lineRule="exact"/>
              <w:jc w:val="left"/>
              <w:rPr>
                <w:rFonts w:ascii="宋体" w:hAnsi="宋体"/>
                <w:color w:val="auto"/>
                <w:szCs w:val="21"/>
                <w:highlight w:val="none"/>
              </w:rPr>
            </w:pPr>
            <w:r>
              <w:rPr>
                <w:rFonts w:hint="eastAsia" w:ascii="宋体" w:hAnsi="宋体"/>
                <w:color w:val="auto"/>
                <w:szCs w:val="21"/>
                <w:highlight w:val="none"/>
              </w:rPr>
              <w:t xml:space="preserve">(3) 其他 (如运输、劳务、管理、代理服务、现场验收等费用) 。 </w:t>
            </w:r>
          </w:p>
          <w:p w14:paraId="1F7EDAFC">
            <w:pPr>
              <w:spacing w:line="320" w:lineRule="exact"/>
              <w:jc w:val="left"/>
              <w:rPr>
                <w:color w:val="auto"/>
                <w:highlight w:val="none"/>
              </w:rPr>
            </w:pPr>
            <w:r>
              <w:rPr>
                <w:rFonts w:hint="eastAsia" w:ascii="宋体" w:hAnsi="宋体"/>
                <w:color w:val="auto"/>
                <w:szCs w:val="21"/>
                <w:highlight w:val="none"/>
              </w:rPr>
              <w:t>(4) 与本项目服务业务有关一切费用和政策性文件规定及合同包含的所有风险、责任等全部费用。</w:t>
            </w:r>
          </w:p>
        </w:tc>
      </w:tr>
      <w:tr w14:paraId="2B10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82" w:type="dxa"/>
            <w:gridSpan w:val="4"/>
            <w:noWrap/>
            <w:vAlign w:val="center"/>
          </w:tcPr>
          <w:p w14:paraId="641F3E39">
            <w:pPr>
              <w:tabs>
                <w:tab w:val="left" w:pos="180"/>
                <w:tab w:val="left" w:pos="1620"/>
              </w:tabs>
              <w:spacing w:line="440" w:lineRule="exact"/>
              <w:jc w:val="center"/>
              <w:rPr>
                <w:rFonts w:ascii="宋体" w:hAnsi="宋体"/>
                <w:b/>
                <w:color w:val="auto"/>
                <w:szCs w:val="21"/>
                <w:highlight w:val="none"/>
              </w:rPr>
            </w:pPr>
            <w:r>
              <w:rPr>
                <w:rFonts w:hint="eastAsia" w:ascii="宋体" w:hAnsi="宋体" w:cs="Arial"/>
                <w:color w:val="auto"/>
                <w:szCs w:val="21"/>
                <w:highlight w:val="none"/>
              </w:rPr>
              <w:t>服务要求</w:t>
            </w:r>
          </w:p>
        </w:tc>
        <w:tc>
          <w:tcPr>
            <w:tcW w:w="6369" w:type="dxa"/>
            <w:noWrap/>
            <w:vAlign w:val="center"/>
          </w:tcPr>
          <w:p w14:paraId="71867E83">
            <w:pPr>
              <w:widowControl/>
              <w:spacing w:line="360" w:lineRule="auto"/>
              <w:jc w:val="left"/>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若合同服务</w:t>
            </w:r>
            <w:r>
              <w:rPr>
                <w:rFonts w:ascii="宋体" w:hAnsi="宋体" w:cs="宋体"/>
                <w:color w:val="auto"/>
                <w:szCs w:val="21"/>
                <w:highlight w:val="none"/>
              </w:rPr>
              <w:t>场次已完成而合同</w:t>
            </w:r>
            <w:r>
              <w:rPr>
                <w:rFonts w:hint="eastAsia" w:ascii="宋体" w:hAnsi="宋体" w:cs="宋体"/>
                <w:color w:val="auto"/>
                <w:szCs w:val="21"/>
                <w:highlight w:val="none"/>
              </w:rPr>
              <w:t>服务</w:t>
            </w:r>
            <w:r>
              <w:rPr>
                <w:rFonts w:ascii="宋体" w:hAnsi="宋体" w:cs="宋体"/>
                <w:color w:val="auto"/>
                <w:szCs w:val="21"/>
                <w:highlight w:val="none"/>
              </w:rPr>
              <w:t>金额仍有剩余，</w:t>
            </w:r>
            <w:r>
              <w:rPr>
                <w:rFonts w:hint="eastAsia" w:ascii="宋体" w:hAnsi="宋体" w:cs="宋体"/>
                <w:color w:val="auto"/>
                <w:szCs w:val="21"/>
                <w:highlight w:val="none"/>
              </w:rPr>
              <w:t>根据采购人需求增加</w:t>
            </w:r>
            <w:r>
              <w:rPr>
                <w:rFonts w:ascii="宋体" w:hAnsi="宋体" w:cs="宋体"/>
                <w:color w:val="auto"/>
                <w:szCs w:val="21"/>
                <w:highlight w:val="none"/>
              </w:rPr>
              <w:t>场次完成</w:t>
            </w:r>
            <w:r>
              <w:rPr>
                <w:rFonts w:hint="eastAsia" w:ascii="宋体" w:hAnsi="宋体" w:cs="宋体"/>
                <w:color w:val="auto"/>
                <w:szCs w:val="21"/>
                <w:highlight w:val="none"/>
              </w:rPr>
              <w:t>至</w:t>
            </w:r>
            <w:r>
              <w:rPr>
                <w:rFonts w:ascii="宋体" w:hAnsi="宋体" w:cs="宋体"/>
                <w:color w:val="auto"/>
                <w:szCs w:val="21"/>
                <w:highlight w:val="none"/>
              </w:rPr>
              <w:t>合同服务金额完成为止。</w:t>
            </w:r>
          </w:p>
          <w:p w14:paraId="3A6540E3">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.处理问题响应时间：接到采购人处理问题通知后</w:t>
            </w:r>
            <w:r>
              <w:rPr>
                <w:rFonts w:hint="eastAsia" w:ascii="宋体" w:hAnsi="宋体" w:cs="宋体"/>
                <w:color w:val="auto"/>
                <w:szCs w:val="21"/>
                <w:highlight w:val="none"/>
                <w:lang w:val="en-US" w:eastAsia="zh-CN"/>
              </w:rPr>
              <w:t>3</w:t>
            </w:r>
            <w:r>
              <w:rPr>
                <w:rFonts w:ascii="宋体" w:hAnsi="宋体" w:cs="宋体"/>
                <w:color w:val="auto"/>
                <w:szCs w:val="21"/>
                <w:highlight w:val="none"/>
              </w:rPr>
              <w:t>小时内到达采购人指定现场。</w:t>
            </w:r>
            <w:r>
              <w:rPr>
                <w:rFonts w:hint="eastAsia" w:ascii="宋体" w:hAnsi="宋体" w:cs="宋体"/>
                <w:color w:val="auto"/>
                <w:szCs w:val="21"/>
                <w:highlight w:val="none"/>
              </w:rPr>
              <w:t>活动开展期间</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相关</w:t>
            </w:r>
            <w:r>
              <w:rPr>
                <w:rFonts w:hint="eastAsia" w:ascii="宋体" w:hAnsi="宋体" w:cs="宋体"/>
                <w:color w:val="auto"/>
                <w:szCs w:val="21"/>
                <w:highlight w:val="none"/>
                <w:lang w:eastAsia="zh-CN"/>
              </w:rPr>
              <w:t>工作</w:t>
            </w:r>
            <w:r>
              <w:rPr>
                <w:rFonts w:hint="eastAsia" w:ascii="宋体" w:hAnsi="宋体" w:cs="宋体"/>
                <w:color w:val="auto"/>
                <w:szCs w:val="21"/>
                <w:highlight w:val="none"/>
              </w:rPr>
              <w:t>人员必须在场。</w:t>
            </w:r>
          </w:p>
          <w:p w14:paraId="3CF94C8E">
            <w:pPr>
              <w:spacing w:line="360" w:lineRule="auto"/>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.采购人审核要求对相关服务内容进行修改、调整时，</w:t>
            </w:r>
            <w:r>
              <w:rPr>
                <w:rFonts w:hint="eastAsia" w:ascii="宋体" w:hAnsi="宋体" w:cs="宋体"/>
                <w:color w:val="auto"/>
                <w:szCs w:val="21"/>
                <w:highlight w:val="none"/>
              </w:rPr>
              <w:t>成交供应商</w:t>
            </w:r>
            <w:r>
              <w:rPr>
                <w:rFonts w:ascii="宋体" w:hAnsi="宋体" w:cs="宋体"/>
                <w:color w:val="auto"/>
                <w:szCs w:val="21"/>
                <w:highlight w:val="none"/>
              </w:rPr>
              <w:t>需按采购人的要求进行优化改进，否则引起的经济损失、不良传播等后果由</w:t>
            </w:r>
            <w:r>
              <w:rPr>
                <w:rFonts w:hint="eastAsia" w:ascii="宋体" w:hAnsi="宋体" w:cs="宋体"/>
                <w:color w:val="auto"/>
                <w:szCs w:val="21"/>
                <w:highlight w:val="none"/>
              </w:rPr>
              <w:t>成交供应商</w:t>
            </w:r>
            <w:r>
              <w:rPr>
                <w:rFonts w:ascii="宋体" w:hAnsi="宋体" w:cs="宋体"/>
                <w:color w:val="auto"/>
                <w:szCs w:val="21"/>
                <w:highlight w:val="none"/>
              </w:rPr>
              <w:t>承担；服务过程中属于</w:t>
            </w:r>
            <w:r>
              <w:rPr>
                <w:rFonts w:hint="eastAsia" w:ascii="宋体" w:hAnsi="宋体" w:cs="宋体"/>
                <w:color w:val="auto"/>
                <w:szCs w:val="21"/>
                <w:highlight w:val="none"/>
              </w:rPr>
              <w:t>成交供应商</w:t>
            </w:r>
            <w:r>
              <w:rPr>
                <w:rFonts w:ascii="宋体" w:hAnsi="宋体" w:cs="宋体"/>
                <w:color w:val="auto"/>
                <w:szCs w:val="21"/>
                <w:highlight w:val="none"/>
              </w:rPr>
              <w:t>原因造成的错漏等失误，由</w:t>
            </w:r>
            <w:r>
              <w:rPr>
                <w:rFonts w:hint="eastAsia" w:ascii="宋体" w:hAnsi="宋体" w:cs="宋体"/>
                <w:color w:val="auto"/>
                <w:szCs w:val="21"/>
                <w:highlight w:val="none"/>
              </w:rPr>
              <w:t>成交供应商</w:t>
            </w:r>
            <w:r>
              <w:rPr>
                <w:rFonts w:ascii="宋体" w:hAnsi="宋体" w:cs="宋体"/>
                <w:color w:val="auto"/>
                <w:szCs w:val="21"/>
                <w:highlight w:val="none"/>
              </w:rPr>
              <w:t>负责改正，并承担相关费用。</w:t>
            </w:r>
          </w:p>
        </w:tc>
      </w:tr>
      <w:tr w14:paraId="5EB57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82" w:type="dxa"/>
            <w:gridSpan w:val="4"/>
            <w:noWrap/>
            <w:vAlign w:val="center"/>
          </w:tcPr>
          <w:p w14:paraId="22A15564">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三、验收</w:t>
            </w:r>
            <w:r>
              <w:rPr>
                <w:rFonts w:hint="eastAsia" w:ascii="宋体" w:hAnsi="宋体" w:cs="宋体"/>
                <w:color w:val="auto"/>
                <w:szCs w:val="21"/>
                <w:highlight w:val="none"/>
                <w:lang w:eastAsia="zh-CN"/>
              </w:rPr>
              <w:t>标准及</w:t>
            </w:r>
            <w:r>
              <w:rPr>
                <w:rFonts w:hint="eastAsia" w:ascii="宋体" w:hAnsi="宋体" w:cs="宋体"/>
                <w:color w:val="auto"/>
                <w:szCs w:val="21"/>
                <w:highlight w:val="none"/>
              </w:rPr>
              <w:t>方法</w:t>
            </w:r>
          </w:p>
        </w:tc>
        <w:tc>
          <w:tcPr>
            <w:tcW w:w="6369" w:type="dxa"/>
            <w:noWrap/>
            <w:vAlign w:val="center"/>
          </w:tcPr>
          <w:p w14:paraId="29C4D680">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1.成交供应商</w:t>
            </w:r>
            <w:r>
              <w:rPr>
                <w:rFonts w:ascii="宋体" w:hAnsi="宋体" w:cs="宋体"/>
                <w:color w:val="auto"/>
                <w:szCs w:val="21"/>
                <w:highlight w:val="none"/>
              </w:rPr>
              <w:t>应对提交的服务成果作出全面检查和整理，并列出清单，按活动场次提交服务成果清单，作为采购人验收和使用的技术条件依据。全部服务完成后，根据验收要求提交合同验收清单交给采购人。</w:t>
            </w:r>
          </w:p>
          <w:p w14:paraId="0F222711">
            <w:pPr>
              <w:widowControl/>
              <w:spacing w:line="360" w:lineRule="auto"/>
              <w:jc w:val="left"/>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验收过程中所产生的一切费用均由</w:t>
            </w:r>
            <w:r>
              <w:rPr>
                <w:rFonts w:hint="eastAsia" w:ascii="宋体" w:hAnsi="宋体" w:cs="宋体"/>
                <w:color w:val="auto"/>
                <w:szCs w:val="21"/>
                <w:highlight w:val="none"/>
              </w:rPr>
              <w:t>成交供应商</w:t>
            </w:r>
            <w:r>
              <w:rPr>
                <w:rFonts w:ascii="宋体" w:hAnsi="宋体" w:cs="宋体"/>
                <w:color w:val="auto"/>
                <w:szCs w:val="21"/>
                <w:highlight w:val="none"/>
              </w:rPr>
              <w:t>承担，以活动实际产生的费用和台账为准，报价时应考虑相关费用。</w:t>
            </w:r>
          </w:p>
          <w:p w14:paraId="559C6049">
            <w:pPr>
              <w:spacing w:line="360" w:lineRule="auto"/>
              <w:rPr>
                <w:rFonts w:ascii="宋体" w:hAnsi="宋体" w:cs="Arial"/>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ascii="宋体" w:hAnsi="宋体" w:cs="宋体"/>
                <w:color w:val="auto"/>
                <w:szCs w:val="21"/>
                <w:highlight w:val="none"/>
              </w:rPr>
              <w:t>本项目采购标的需执行的国家相关标准、行业标准、地方标准或其他强制性标准、规范等要求。</w:t>
            </w:r>
          </w:p>
        </w:tc>
      </w:tr>
      <w:tr w14:paraId="700F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882" w:type="dxa"/>
            <w:gridSpan w:val="4"/>
            <w:noWrap/>
            <w:vAlign w:val="center"/>
          </w:tcPr>
          <w:p w14:paraId="03EC8871">
            <w:pPr>
              <w:tabs>
                <w:tab w:val="left" w:pos="180"/>
                <w:tab w:val="left" w:pos="1620"/>
              </w:tabs>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四、其他要求</w:t>
            </w:r>
          </w:p>
        </w:tc>
        <w:tc>
          <w:tcPr>
            <w:tcW w:w="6369" w:type="dxa"/>
            <w:noWrap/>
            <w:vAlign w:val="center"/>
          </w:tcPr>
          <w:p w14:paraId="35D54959">
            <w:pPr>
              <w:spacing w:line="320" w:lineRule="exact"/>
              <w:jc w:val="left"/>
              <w:rPr>
                <w:rFonts w:ascii="宋体" w:hAnsi="宋体" w:cs="Arial"/>
                <w:b/>
                <w:color w:val="auto"/>
                <w:szCs w:val="21"/>
                <w:highlight w:val="none"/>
              </w:rPr>
            </w:pPr>
            <w:r>
              <w:rPr>
                <w:rFonts w:hint="eastAsia" w:ascii="宋体" w:hAnsi="宋体" w:cs="Arial"/>
                <w:color w:val="auto"/>
                <w:szCs w:val="21"/>
                <w:highlight w:val="none"/>
              </w:rPr>
              <w:t>1.以上“技术要求”、“商务要求”，</w:t>
            </w:r>
            <w:r>
              <w:rPr>
                <w:rFonts w:hint="eastAsia" w:ascii="宋体" w:hAnsi="宋体" w:cs="Arial"/>
                <w:b/>
                <w:color w:val="auto"/>
                <w:szCs w:val="21"/>
                <w:highlight w:val="none"/>
              </w:rPr>
              <w:t>如有任意一项负偏离的则做无效标处理。</w:t>
            </w:r>
          </w:p>
          <w:p w14:paraId="0627CC08">
            <w:pPr>
              <w:spacing w:line="320" w:lineRule="exact"/>
              <w:jc w:val="left"/>
              <w:rPr>
                <w:rFonts w:ascii="宋体" w:hAnsi="宋体" w:cs="Courier New"/>
                <w:bCs/>
                <w:color w:val="auto"/>
                <w:kern w:val="0"/>
                <w:szCs w:val="21"/>
                <w:highlight w:val="none"/>
              </w:rPr>
            </w:pPr>
            <w:r>
              <w:rPr>
                <w:rFonts w:hint="eastAsia" w:ascii="宋体" w:hAnsi="宋体" w:cs="Arial"/>
                <w:bCs/>
                <w:color w:val="auto"/>
                <w:szCs w:val="21"/>
                <w:highlight w:val="none"/>
              </w:rPr>
              <w:t>2.供应商</w:t>
            </w:r>
            <w:r>
              <w:rPr>
                <w:rFonts w:hint="eastAsia" w:ascii="宋体" w:hAnsi="宋体" w:cs="Arial"/>
                <w:bCs/>
                <w:color w:val="auto"/>
                <w:szCs w:val="21"/>
                <w:highlight w:val="none"/>
                <w:lang w:val="en-US" w:eastAsia="zh-CN"/>
              </w:rPr>
              <w:t>应在响应文件中提供</w:t>
            </w:r>
            <w:r>
              <w:rPr>
                <w:rFonts w:hint="eastAsia" w:ascii="宋体" w:hAnsi="宋体" w:cs="Arial"/>
                <w:bCs/>
                <w:color w:val="auto"/>
                <w:szCs w:val="21"/>
                <w:highlight w:val="none"/>
              </w:rPr>
              <w:t>详细的技术方案</w:t>
            </w:r>
            <w:r>
              <w:rPr>
                <w:rFonts w:hint="eastAsia" w:ascii="宋体" w:hAnsi="宋体" w:cs="Arial"/>
                <w:bCs/>
                <w:color w:val="auto"/>
                <w:szCs w:val="21"/>
                <w:highlight w:val="none"/>
                <w:lang w:eastAsia="zh-CN"/>
              </w:rPr>
              <w:t>（</w:t>
            </w:r>
            <w:r>
              <w:rPr>
                <w:rFonts w:hint="eastAsia" w:ascii="宋体" w:hAnsi="宋体" w:cs="Arial"/>
                <w:bCs/>
                <w:color w:val="auto"/>
                <w:szCs w:val="21"/>
                <w:highlight w:val="none"/>
                <w:lang w:val="en-US" w:eastAsia="zh-CN"/>
              </w:rPr>
              <w:t>方案包括但不限于</w:t>
            </w:r>
            <w:r>
              <w:rPr>
                <w:rFonts w:hint="eastAsia" w:ascii="宋体" w:hAnsi="宋体" w:cs="Arial"/>
                <w:bCs/>
                <w:color w:val="auto"/>
                <w:szCs w:val="21"/>
                <w:highlight w:val="none"/>
              </w:rPr>
              <w:t>活动策划方案、活动设计方案、活动执行方案及保障措施</w:t>
            </w:r>
            <w:r>
              <w:rPr>
                <w:rFonts w:hint="eastAsia" w:ascii="宋体" w:hAnsi="宋体" w:cs="Arial"/>
                <w:bCs/>
                <w:color w:val="auto"/>
                <w:szCs w:val="21"/>
                <w:highlight w:val="none"/>
                <w:lang w:eastAsia="zh-CN"/>
              </w:rPr>
              <w:t>）</w:t>
            </w:r>
            <w:r>
              <w:rPr>
                <w:rFonts w:hint="eastAsia" w:ascii="宋体" w:hAnsi="宋体" w:cs="Arial"/>
                <w:bCs/>
                <w:color w:val="auto"/>
                <w:szCs w:val="21"/>
                <w:highlight w:val="none"/>
              </w:rPr>
              <w:t>以供评审</w:t>
            </w:r>
            <w:r>
              <w:rPr>
                <w:rFonts w:hint="eastAsia" w:ascii="宋体" w:hAnsi="宋体" w:cs="Courier New"/>
                <w:bCs/>
                <w:color w:val="auto"/>
                <w:kern w:val="0"/>
                <w:szCs w:val="21"/>
                <w:highlight w:val="none"/>
              </w:rPr>
              <w:t>，具体要求详见</w:t>
            </w:r>
            <w:r>
              <w:rPr>
                <w:rFonts w:hint="eastAsia"/>
                <w:color w:val="auto"/>
                <w:highlight w:val="none"/>
              </w:rPr>
              <w:t>第四章“评审程序、评审方法和评审标准”</w:t>
            </w:r>
            <w:r>
              <w:rPr>
                <w:rFonts w:hint="eastAsia" w:ascii="宋体" w:hAnsi="宋体" w:cs="Courier New"/>
                <w:bCs/>
                <w:color w:val="auto"/>
                <w:kern w:val="0"/>
                <w:szCs w:val="21"/>
                <w:highlight w:val="none"/>
              </w:rPr>
              <w:t>。</w:t>
            </w:r>
          </w:p>
          <w:p w14:paraId="2FA5D6B7">
            <w:pPr>
              <w:spacing w:line="320" w:lineRule="exact"/>
              <w:jc w:val="left"/>
              <w:rPr>
                <w:rFonts w:hint="eastAsia" w:ascii="宋体" w:hAnsi="宋体" w:cs="Courier New"/>
                <w:bCs/>
                <w:color w:val="auto"/>
                <w:kern w:val="0"/>
                <w:szCs w:val="21"/>
                <w:highlight w:val="none"/>
              </w:rPr>
            </w:pPr>
            <w:r>
              <w:rPr>
                <w:rFonts w:hint="eastAsia" w:ascii="宋体" w:hAnsi="宋体" w:cs="Courier New"/>
                <w:bCs/>
                <w:color w:val="auto"/>
                <w:kern w:val="0"/>
                <w:szCs w:val="21"/>
                <w:highlight w:val="none"/>
              </w:rPr>
              <w:t>3.供应商的履约能力要求：与项目相关的信誉及业绩。（如有）</w:t>
            </w:r>
          </w:p>
          <w:p w14:paraId="6CCD0F49">
            <w:pPr>
              <w:spacing w:line="320" w:lineRule="exact"/>
              <w:jc w:val="left"/>
              <w:rPr>
                <w:rFonts w:hint="eastAsia" w:ascii="宋体" w:hAnsi="宋体" w:cs="Courier New"/>
                <w:bCs/>
                <w:color w:val="auto"/>
                <w:kern w:val="0"/>
                <w:szCs w:val="21"/>
                <w:highlight w:val="none"/>
              </w:rPr>
            </w:pP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lang w:eastAsia="zh-CN"/>
              </w:rPr>
              <w:t>供应商</w:t>
            </w:r>
            <w:r>
              <w:rPr>
                <w:rFonts w:hint="eastAsia" w:ascii="宋体" w:hAnsi="宋体" w:cs="宋体"/>
                <w:bCs/>
                <w:color w:val="auto"/>
                <w:szCs w:val="21"/>
                <w:highlight w:val="none"/>
              </w:rPr>
              <w:t>具有能满足本项目的服务团队</w:t>
            </w:r>
            <w:r>
              <w:rPr>
                <w:rFonts w:hint="eastAsia" w:ascii="宋体" w:hAnsi="宋体" w:cs="宋体"/>
                <w:bCs/>
                <w:color w:val="auto"/>
                <w:szCs w:val="21"/>
                <w:highlight w:val="none"/>
                <w:lang w:eastAsia="zh-CN"/>
              </w:rPr>
              <w:t>，团队人员具有与设计相关的中级及以上技术职称（如有）</w:t>
            </w:r>
            <w:r>
              <w:rPr>
                <w:rFonts w:hint="eastAsia" w:ascii="宋体" w:hAnsi="宋体" w:cs="宋体"/>
                <w:bCs/>
                <w:color w:val="auto"/>
                <w:szCs w:val="21"/>
                <w:highlight w:val="none"/>
              </w:rPr>
              <w:t>。</w:t>
            </w:r>
          </w:p>
        </w:tc>
      </w:tr>
    </w:tbl>
    <w:p w14:paraId="58E4A981">
      <w:pPr>
        <w:spacing w:line="360" w:lineRule="auto"/>
        <w:jc w:val="left"/>
        <w:rPr>
          <w:rFonts w:ascii="宋体" w:hAnsi="宋体" w:cs="Arial"/>
          <w:bCs/>
          <w:iCs/>
          <w:color w:val="auto"/>
          <w:szCs w:val="21"/>
          <w:highlight w:val="none"/>
        </w:rPr>
      </w:pPr>
    </w:p>
    <w:p w14:paraId="66B3E9EC">
      <w:pPr>
        <w:pStyle w:val="2"/>
        <w:jc w:val="center"/>
        <w:rPr>
          <w:color w:val="auto"/>
          <w:highlight w:val="none"/>
        </w:rPr>
      </w:pPr>
      <w:bookmarkStart w:id="75" w:name="_Toc74323459"/>
      <w:r>
        <w:rPr>
          <w:rFonts w:hint="eastAsia"/>
          <w:color w:val="auto"/>
          <w:highlight w:val="none"/>
        </w:rPr>
        <w:t>第四章  评审程序、评审方法和评审标准</w:t>
      </w:r>
      <w:bookmarkEnd w:id="75"/>
    </w:p>
    <w:p w14:paraId="438E431B">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一、评审程序和评审方法</w:t>
      </w:r>
    </w:p>
    <w:p w14:paraId="4F33EF21">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4F5B1836">
      <w:pPr>
        <w:snapToGrid w:val="0"/>
        <w:spacing w:line="360" w:lineRule="auto"/>
        <w:ind w:firstLine="420" w:firstLineChars="200"/>
        <w:rPr>
          <w:rFonts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700CA38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49BFFCE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w:t>
      </w:r>
      <w:r>
        <w:rPr>
          <w:rFonts w:ascii="宋体" w:hAnsi="宋体" w:cs="宋体"/>
          <w:color w:val="auto"/>
          <w:szCs w:val="21"/>
          <w:highlight w:val="none"/>
        </w:rPr>
        <w:t>广西政府采购云平台</w:t>
      </w:r>
      <w:r>
        <w:rPr>
          <w:rFonts w:hint="eastAsia" w:ascii="宋体" w:hAnsi="宋体" w:cs="宋体"/>
          <w:color w:val="auto"/>
          <w:szCs w:val="21"/>
          <w:highlight w:val="none"/>
        </w:rPr>
        <w:t>“信用中国”网站(www.creditchina.gov.cn)、中国政府采购网(www.ccgp.gov.cn)链接入口。</w:t>
      </w:r>
    </w:p>
    <w:p w14:paraId="745F7D1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2AD34F8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125F8F2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5DD9B32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23FCF98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.3供应商有下列情形之一的，资格审查不通过，其响应文件按无效响应处理：</w:t>
      </w:r>
    </w:p>
    <w:p w14:paraId="73EE50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6C3115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51A866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709922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7333FD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29FB5F0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采购人或者采购代理机构应当重新开展采购活动。</w:t>
      </w:r>
    </w:p>
    <w:p w14:paraId="4D27F8A7">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4FBCC47A">
      <w:pPr>
        <w:spacing w:line="360" w:lineRule="auto"/>
        <w:ind w:firstLine="420" w:firstLineChars="200"/>
        <w:rPr>
          <w:rFonts w:ascii="宋体" w:hAnsi="宋体" w:cs="宋体"/>
          <w:color w:val="auto"/>
          <w:szCs w:val="21"/>
          <w:highlight w:val="none"/>
        </w:rPr>
      </w:pPr>
      <w:bookmarkStart w:id="76" w:name="_Hlk42528882"/>
      <w:r>
        <w:rPr>
          <w:rFonts w:ascii="宋体" w:hAnsi="宋体" w:cs="宋体"/>
          <w:color w:val="auto"/>
          <w:szCs w:val="21"/>
          <w:highlight w:val="none"/>
        </w:rPr>
        <w:t>2.1</w:t>
      </w:r>
      <w:r>
        <w:rPr>
          <w:rFonts w:hint="eastAsia" w:ascii="宋体" w:hAnsi="宋体" w:cs="宋体"/>
          <w:color w:val="auto"/>
          <w:szCs w:val="21"/>
          <w:highlight w:val="none"/>
        </w:rPr>
        <w:t>由磋商小组对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p>
    <w:bookmarkEnd w:id="76"/>
    <w:p w14:paraId="3417690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65B1795">
      <w:pPr>
        <w:spacing w:line="360" w:lineRule="auto"/>
        <w:ind w:firstLine="420" w:firstLineChars="200"/>
        <w:rPr>
          <w:rFonts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298469EB">
      <w:pPr>
        <w:spacing w:line="360" w:lineRule="auto"/>
        <w:ind w:firstLine="420" w:firstLineChars="200"/>
        <w:rPr>
          <w:rFonts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427F03C5">
      <w:pPr>
        <w:spacing w:line="360" w:lineRule="auto"/>
        <w:ind w:firstLine="396" w:firstLineChars="200"/>
        <w:rPr>
          <w:rFonts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5D513F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5ED442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21EDEF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1748DC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44D121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2D28E90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5FFDAD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11C52C7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2B7DAD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165826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32AEA9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7A78D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4）商务要求允许负偏离的条款数超过“供应商须知前附表”规定项数的；</w:t>
      </w:r>
    </w:p>
    <w:p w14:paraId="3F8045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313527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25673DE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22FBA8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150DA4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w:t>
      </w:r>
      <w:r>
        <w:rPr>
          <w:rFonts w:ascii="宋体" w:hAnsi="宋体" w:cs="宋体"/>
          <w:color w:val="auto"/>
          <w:szCs w:val="21"/>
          <w:highlight w:val="none"/>
        </w:rPr>
        <w:t>5</w:t>
      </w:r>
      <w:r>
        <w:rPr>
          <w:rFonts w:hint="eastAsia" w:ascii="宋体" w:hAnsi="宋体" w:cs="宋体"/>
          <w:color w:val="auto"/>
          <w:szCs w:val="21"/>
          <w:highlight w:val="none"/>
        </w:rPr>
        <w:t>条情形；</w:t>
      </w:r>
    </w:p>
    <w:p w14:paraId="175DE5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10）技术要求允许负偏离的条款数超过“供应商须知前附表”规定项数；</w:t>
      </w:r>
    </w:p>
    <w:p w14:paraId="08740B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4435B3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bookmarkStart w:id="77" w:name="_Hlk71704147"/>
      <w:r>
        <w:rPr>
          <w:rFonts w:hint="eastAsia" w:ascii="宋体" w:hAnsi="宋体" w:cs="宋体"/>
          <w:color w:val="auto"/>
          <w:szCs w:val="21"/>
          <w:highlight w:val="none"/>
        </w:rPr>
        <w:t>磋商文件未载明允许提供备选（替代）竞标方案或明确不允许提供备选（替代）竞标方案时，供应商提供了备选（替代）竞标方案的；</w:t>
      </w:r>
      <w:bookmarkEnd w:id="77"/>
    </w:p>
    <w:p w14:paraId="2D430B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13）响应文件标注的项目名称或者项目编号与磋商文件标注的项目名称或者项目编号不一致的；</w:t>
      </w:r>
    </w:p>
    <w:p w14:paraId="096C20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w:t>
      </w:r>
      <w:r>
        <w:rPr>
          <w:rFonts w:hint="eastAsia" w:ascii="宋体" w:hAnsi="宋体"/>
          <w:b/>
          <w:color w:val="auto"/>
          <w:szCs w:val="21"/>
          <w:highlight w:val="none"/>
        </w:rPr>
        <w:t>竞争性磋商文件明确不允许分包，响应文件拟分包的；</w:t>
      </w:r>
    </w:p>
    <w:p w14:paraId="0B2BA2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15）未响应磋商文件实质性要求；</w:t>
      </w:r>
    </w:p>
    <w:p w14:paraId="6FDD4A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16）法律、法规和磋商文件规定的其他无效情形。</w:t>
      </w:r>
    </w:p>
    <w:p w14:paraId="34771A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562AC9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响应文件未提供“供应商须知前附表” 报价文件中规定的“竞标报价表”；</w:t>
      </w:r>
    </w:p>
    <w:p w14:paraId="1C8EB0C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7E5287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项目进行报价或者存在漏项报价；供应商未就所竞标项目内容作唯一报价；供应商未就所竞标项目的全部内容作完整唯一总价报价；供应商响应文件中存在有选择、有条件报价的（磋商文件允许有备选方案或者其他约定的除外）；</w:t>
      </w:r>
    </w:p>
    <w:p w14:paraId="6AE134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4）竞标报价（包含首次报价、最后报价）超过所竞标项目规定的</w:t>
      </w:r>
      <w:r>
        <w:rPr>
          <w:rFonts w:hint="eastAsia" w:ascii="宋体" w:hAnsi="宋体" w:cs="宋体"/>
          <w:bCs/>
          <w:color w:val="auto"/>
          <w:szCs w:val="21"/>
          <w:highlight w:val="none"/>
        </w:rPr>
        <w:t>采购预算或最高限价的</w:t>
      </w:r>
      <w:r>
        <w:rPr>
          <w:rFonts w:hint="eastAsia" w:ascii="宋体" w:hAnsi="宋体" w:cs="宋体"/>
          <w:color w:val="auto"/>
          <w:szCs w:val="21"/>
          <w:highlight w:val="none"/>
        </w:rPr>
        <w:t>；</w:t>
      </w:r>
    </w:p>
    <w:p w14:paraId="5EA3C8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5）修正后的报价，供应商不确认的；或者经供应商确认修正后的竞标报价（包含首次报价、最后报价）超过所竞标项目规定的</w:t>
      </w:r>
      <w:r>
        <w:rPr>
          <w:rFonts w:hint="eastAsia" w:ascii="宋体" w:hAnsi="宋体" w:cs="宋体"/>
          <w:bCs/>
          <w:color w:val="auto"/>
          <w:szCs w:val="21"/>
          <w:highlight w:val="none"/>
        </w:rPr>
        <w:t>采购预算或最高限价的</w:t>
      </w:r>
      <w:r>
        <w:rPr>
          <w:rFonts w:hint="eastAsia" w:ascii="宋体" w:hAnsi="宋体" w:cs="宋体"/>
          <w:color w:val="auto"/>
          <w:szCs w:val="21"/>
          <w:highlight w:val="none"/>
        </w:rPr>
        <w:t>；</w:t>
      </w:r>
    </w:p>
    <w:p w14:paraId="75C43A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olor w:val="auto"/>
          <w:szCs w:val="21"/>
          <w:highlight w:val="none"/>
        </w:rPr>
        <w:t>响应文件响应的标的数量及单位与竞争性磋商采购文件要求实质性不一致的。</w:t>
      </w:r>
    </w:p>
    <w:p w14:paraId="266CB38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15A87D41">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通过符合性审查的合格供应商不足3家的，不得进入磋商环节，采购人或者采购代理机构应当重新开展采购活动。</w:t>
      </w:r>
    </w:p>
    <w:p w14:paraId="61D03C6E">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5CCE54F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.1</w:t>
      </w:r>
      <w:r>
        <w:rPr>
          <w:rFonts w:hint="eastAsia" w:ascii="宋体" w:hAnsi="宋体" w:cs="宋体"/>
          <w:color w:val="auto"/>
          <w:kern w:val="0"/>
          <w:szCs w:val="21"/>
          <w:highlight w:val="none"/>
        </w:rPr>
        <w:t>磋商小组</w:t>
      </w:r>
      <w:r>
        <w:rPr>
          <w:rFonts w:hint="eastAsia" w:ascii="宋体" w:hAnsi="宋体" w:cs="宋体"/>
          <w:color w:val="auto"/>
          <w:szCs w:val="21"/>
          <w:highlight w:val="none"/>
        </w:rPr>
        <w:t>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1C6210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784D31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387D956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6010366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w:t>
      </w:r>
      <w:r>
        <w:rPr>
          <w:rFonts w:hint="eastAsia" w:ascii="宋体" w:hAnsi="宋体" w:cs="宋体"/>
          <w:color w:val="auto"/>
          <w:spacing w:val="-6"/>
          <w:szCs w:val="21"/>
          <w:highlight w:val="none"/>
        </w:rPr>
        <w:t>磋商的任何一方不得透露与磋商有关的其他供应商的技术资料、价格和其他信息。</w:t>
      </w:r>
    </w:p>
    <w:p w14:paraId="1709D73E">
      <w:pPr>
        <w:widowControl/>
        <w:tabs>
          <w:tab w:val="left" w:pos="540"/>
        </w:tabs>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采购代理机构对磋商过程和重要磋商内容进行记录。</w:t>
      </w:r>
    </w:p>
    <w:p w14:paraId="182EEE0E">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A5B7513">
      <w:pPr>
        <w:tabs>
          <w:tab w:val="left" w:pos="2835"/>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3.8除</w:t>
      </w:r>
      <w:r>
        <w:rPr>
          <w:color w:val="auto"/>
          <w:highlight w:val="none"/>
        </w:rPr>
        <w:t>本章第3.7条情形</w:t>
      </w:r>
      <w:r>
        <w:rPr>
          <w:rFonts w:hint="eastAsia"/>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对磋商过程提交的响应文件进行有效性、完整性和响应程度审查，通过审查的合格供应商不足3家的，采购人或者采购代理机构应当重新开展采购活动。</w:t>
      </w:r>
    </w:p>
    <w:p w14:paraId="159DE0A2">
      <w:pPr>
        <w:spacing w:line="360" w:lineRule="auto"/>
        <w:ind w:firstLine="482" w:firstLineChars="200"/>
        <w:rPr>
          <w:rFonts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4D5F97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w:t>
      </w:r>
      <w:r>
        <w:rPr>
          <w:rFonts w:ascii="宋体" w:hAnsi="宋体"/>
          <w:color w:val="auto"/>
          <w:szCs w:val="21"/>
          <w:highlight w:val="none"/>
        </w:rPr>
        <w:t>广西政府采购云平台</w:t>
      </w:r>
      <w:r>
        <w:rPr>
          <w:rFonts w:hint="eastAsia" w:ascii="宋体" w:hAnsi="宋体"/>
          <w:color w:val="auto"/>
          <w:szCs w:val="21"/>
          <w:highlight w:val="none"/>
        </w:rPr>
        <w:t>电子开标大厅</w:t>
      </w:r>
      <w:r>
        <w:rPr>
          <w:rFonts w:hint="eastAsia" w:ascii="宋体" w:hAnsi="宋体" w:cs="宋体"/>
          <w:color w:val="auto"/>
          <w:szCs w:val="21"/>
          <w:highlight w:val="none"/>
        </w:rPr>
        <w:t>提交最后报价，除本章第</w:t>
      </w:r>
      <w:r>
        <w:rPr>
          <w:rFonts w:ascii="宋体" w:hAnsi="宋体" w:cs="宋体"/>
          <w:color w:val="auto"/>
          <w:szCs w:val="21"/>
          <w:highlight w:val="none"/>
        </w:rPr>
        <w:t>4.3</w:t>
      </w:r>
      <w:r>
        <w:rPr>
          <w:rFonts w:hint="eastAsia" w:ascii="宋体" w:hAnsi="宋体" w:cs="宋体"/>
          <w:color w:val="auto"/>
          <w:szCs w:val="21"/>
          <w:highlight w:val="none"/>
        </w:rPr>
        <w:t>条外，提交最后报价的供应商不得少于3家，否则必须重新采购。</w:t>
      </w:r>
    </w:p>
    <w:p w14:paraId="5E701D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w:t>
      </w:r>
      <w:r>
        <w:rPr>
          <w:rFonts w:ascii="宋体" w:hAnsi="宋体"/>
          <w:color w:val="auto"/>
          <w:szCs w:val="21"/>
          <w:highlight w:val="none"/>
        </w:rPr>
        <w:t>广西政府采购云平台</w:t>
      </w:r>
      <w:r>
        <w:rPr>
          <w:rFonts w:hint="eastAsia" w:ascii="宋体" w:hAnsi="宋体"/>
          <w:color w:val="auto"/>
          <w:szCs w:val="21"/>
          <w:highlight w:val="none"/>
        </w:rPr>
        <w:t>电子开标大厅</w:t>
      </w:r>
      <w:r>
        <w:rPr>
          <w:rFonts w:hint="eastAsia" w:ascii="宋体" w:hAnsi="宋体" w:cs="宋体"/>
          <w:color w:val="auto"/>
          <w:szCs w:val="21"/>
          <w:highlight w:val="none"/>
        </w:rPr>
        <w:t>提交最后报价。</w:t>
      </w:r>
    </w:p>
    <w:p w14:paraId="05DD7D3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最后报价是供应商响应文件的有效组成部分。符合《政府采购竞争性磋商采购方式管理暂行办法》（财库〔2014〕214号）第三条第四项“市场竞争不充分的科研项目，以及需要扶持的科技成果转化项目”和</w:t>
      </w:r>
      <w:r>
        <w:rPr>
          <w:color w:val="auto"/>
          <w:highlight w:val="none"/>
        </w:rPr>
        <w:t>本章第3.7条情形的，</w:t>
      </w:r>
      <w:r>
        <w:rPr>
          <w:rFonts w:hint="eastAsia" w:ascii="宋体" w:hAnsi="宋体" w:cs="宋体"/>
          <w:color w:val="auto"/>
          <w:szCs w:val="21"/>
          <w:highlight w:val="none"/>
        </w:rPr>
        <w:t>提交最后报价的供应商可以为2家。</w:t>
      </w:r>
    </w:p>
    <w:p w14:paraId="77AAE205">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已经提交响应文件的供应商，在提交最后报价之前，可以根据磋商情况退出磋商，退出磋商的供应商的响应文件按无效响应处理。采购人、采购代理机构将退还退出磋商的供应商的保证金。</w:t>
      </w:r>
    </w:p>
    <w:p w14:paraId="7F8601C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40386AA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69847ED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738754A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0DDA3A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104BBD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（2）经供应商确认修正后的竞标报价（包含首次报价、最后报价）超过所竞标项目规定的</w:t>
      </w:r>
      <w:r>
        <w:rPr>
          <w:rFonts w:hint="eastAsia" w:ascii="宋体" w:hAnsi="宋体" w:cs="宋体"/>
          <w:bCs/>
          <w:color w:val="auto"/>
          <w:szCs w:val="21"/>
          <w:highlight w:val="none"/>
        </w:rPr>
        <w:t>采购预算或最高限价的</w:t>
      </w:r>
      <w:r>
        <w:rPr>
          <w:rFonts w:hint="eastAsia" w:ascii="宋体" w:hAnsi="宋体" w:cs="宋体"/>
          <w:color w:val="auto"/>
          <w:szCs w:val="21"/>
          <w:highlight w:val="none"/>
        </w:rPr>
        <w:t>；</w:t>
      </w:r>
    </w:p>
    <w:p w14:paraId="58EF202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53855C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4.10供应商出现最后报价按无效响应处理或者响应文件按无效处理时</w:t>
      </w:r>
      <w:r>
        <w:rPr>
          <w:rFonts w:hint="eastAsia" w:ascii="宋体" w:hAnsi="宋体"/>
          <w:color w:val="auto"/>
          <w:sz w:val="22"/>
          <w:szCs w:val="22"/>
          <w:highlight w:val="none"/>
        </w:rPr>
        <w:t>，磋商小组应当告知有关供应商</w:t>
      </w:r>
      <w:r>
        <w:rPr>
          <w:rFonts w:hint="eastAsia" w:ascii="宋体" w:hAnsi="宋体" w:cs="宋体"/>
          <w:color w:val="auto"/>
          <w:szCs w:val="21"/>
          <w:highlight w:val="none"/>
        </w:rPr>
        <w:t>。</w:t>
      </w:r>
    </w:p>
    <w:p w14:paraId="798897B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1最后报价结束后，磋商小组不得再与供应商进行任何形式的商谈。</w:t>
      </w:r>
    </w:p>
    <w:p w14:paraId="0AF5C5C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56D18E9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02F6689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266FE75F">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611707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0E8244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289D8B4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759E6751">
      <w:pPr>
        <w:spacing w:line="360" w:lineRule="auto"/>
        <w:ind w:firstLine="420" w:firstLineChars="200"/>
        <w:rPr>
          <w:rFonts w:ascii="宋体" w:hAnsi="宋体"/>
          <w:color w:val="auto"/>
          <w:kern w:val="0"/>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由磋商小组根据综合评分情况，按照评审得分由高到低顺序推荐3名以上成交候选供应商，并编写评</w:t>
      </w:r>
      <w:r>
        <w:rPr>
          <w:rFonts w:hint="eastAsia" w:ascii="宋体" w:hAnsi="宋体"/>
          <w:color w:val="auto"/>
          <w:kern w:val="0"/>
          <w:szCs w:val="21"/>
          <w:highlight w:val="none"/>
        </w:rPr>
        <w:t>审报告。符合本章第</w:t>
      </w:r>
      <w:r>
        <w:rPr>
          <w:rFonts w:ascii="宋体" w:hAnsi="宋体"/>
          <w:color w:val="auto"/>
          <w:kern w:val="0"/>
          <w:szCs w:val="21"/>
          <w:highlight w:val="none"/>
        </w:rPr>
        <w:t>4.3</w:t>
      </w:r>
      <w:r>
        <w:rPr>
          <w:rFonts w:hint="eastAsia" w:ascii="宋体" w:hAnsi="宋体"/>
          <w:color w:val="auto"/>
          <w:kern w:val="0"/>
          <w:szCs w:val="21"/>
          <w:highlight w:val="none"/>
        </w:rPr>
        <w:t>条情形的，可以推荐2家成交候选供应商。评审得分相同的，按照最后报价由低到高的顺序推荐。评审得分且最后报价相同的，按照技术指标优劣顺序推荐。</w:t>
      </w:r>
    </w:p>
    <w:p w14:paraId="2AD64EBA">
      <w:pPr>
        <w:spacing w:line="360" w:lineRule="auto"/>
        <w:ind w:firstLine="420" w:firstLineChars="200"/>
        <w:rPr>
          <w:rFonts w:ascii="宋体" w:hAnsi="宋体" w:cs="宋体"/>
          <w:color w:val="auto"/>
          <w:szCs w:val="21"/>
          <w:highlight w:val="none"/>
        </w:rPr>
      </w:pPr>
      <w:r>
        <w:rPr>
          <w:rFonts w:ascii="宋体" w:hAnsi="宋体"/>
          <w:color w:val="auto"/>
          <w:kern w:val="0"/>
          <w:szCs w:val="21"/>
          <w:highlight w:val="none"/>
        </w:rPr>
        <w:t>5.6</w:t>
      </w:r>
      <w:r>
        <w:rPr>
          <w:rFonts w:hint="eastAsia" w:ascii="宋体" w:hAnsi="宋体"/>
          <w:color w:val="auto"/>
          <w:kern w:val="0"/>
          <w:szCs w:val="21"/>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1166A70">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二、评审标准</w:t>
      </w:r>
    </w:p>
    <w:p w14:paraId="6CDBAFF7">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w:t>
      </w:r>
      <w:r>
        <w:rPr>
          <w:rFonts w:ascii="宋体" w:hAnsi="宋体"/>
          <w:bCs/>
          <w:color w:val="auto"/>
          <w:szCs w:val="21"/>
          <w:highlight w:val="none"/>
        </w:rPr>
        <w:t>.</w:t>
      </w:r>
      <w:r>
        <w:rPr>
          <w:rFonts w:hint="eastAsia" w:ascii="宋体" w:hAnsi="宋体"/>
          <w:bCs/>
          <w:color w:val="auto"/>
          <w:szCs w:val="21"/>
          <w:highlight w:val="none"/>
        </w:rPr>
        <w:t>评审依据：磋商小组将以磋商响应文件为评审依据，对供应商的报价、技术、商务等方面内容按百分制打分。（计分方法按四舍五入取至百分位）</w:t>
      </w:r>
    </w:p>
    <w:tbl>
      <w:tblPr>
        <w:tblStyle w:val="25"/>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098"/>
        <w:gridCol w:w="1041"/>
      </w:tblGrid>
      <w:tr w14:paraId="54C4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ign w:val="center"/>
          </w:tcPr>
          <w:p w14:paraId="7FC402FE">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418" w:type="dxa"/>
            <w:noWrap/>
            <w:vAlign w:val="center"/>
          </w:tcPr>
          <w:p w14:paraId="5ED27C40">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098" w:type="dxa"/>
            <w:noWrap/>
            <w:vAlign w:val="center"/>
          </w:tcPr>
          <w:p w14:paraId="25A49140">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c>
          <w:tcPr>
            <w:tcW w:w="1041" w:type="dxa"/>
            <w:noWrap/>
            <w:vAlign w:val="center"/>
          </w:tcPr>
          <w:p w14:paraId="707A1B8E">
            <w:pPr>
              <w:widowControl/>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分值</w:t>
            </w:r>
          </w:p>
        </w:tc>
      </w:tr>
      <w:tr w14:paraId="10EB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ign w:val="center"/>
          </w:tcPr>
          <w:p w14:paraId="6150796E">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1</w:t>
            </w:r>
          </w:p>
        </w:tc>
        <w:tc>
          <w:tcPr>
            <w:tcW w:w="1418" w:type="dxa"/>
            <w:noWrap/>
            <w:vAlign w:val="center"/>
          </w:tcPr>
          <w:p w14:paraId="65188A93">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价格分</w:t>
            </w:r>
          </w:p>
        </w:tc>
        <w:tc>
          <w:tcPr>
            <w:tcW w:w="6098" w:type="dxa"/>
            <w:noWrap/>
          </w:tcPr>
          <w:p w14:paraId="20DB7C73">
            <w:pPr>
              <w:snapToGrid w:val="0"/>
              <w:spacing w:line="360" w:lineRule="auto"/>
              <w:ind w:firstLine="233" w:firstLineChars="111"/>
              <w:rPr>
                <w:rFonts w:hint="eastAsia" w:ascii="宋体" w:hAnsi="宋体" w:eastAsia="宋体"/>
                <w:bCs/>
                <w:color w:val="auto"/>
                <w:szCs w:val="21"/>
                <w:highlight w:val="none"/>
                <w:lang w:eastAsia="zh-CN"/>
              </w:rPr>
            </w:pPr>
            <w:r>
              <w:rPr>
                <w:rFonts w:hint="eastAsia" w:ascii="宋体" w:hAnsi="宋体"/>
                <w:bCs/>
                <w:color w:val="auto"/>
                <w:szCs w:val="21"/>
                <w:highlight w:val="none"/>
                <w:lang w:eastAsia="zh-CN"/>
              </w:rPr>
              <w:t>（</w:t>
            </w:r>
            <w:r>
              <w:rPr>
                <w:rFonts w:hint="eastAsia" w:ascii="宋体" w:hAnsi="宋体"/>
                <w:bCs/>
                <w:color w:val="auto"/>
                <w:szCs w:val="21"/>
                <w:highlight w:val="none"/>
                <w:lang w:val="en-US" w:eastAsia="zh-CN"/>
              </w:rPr>
              <w:t>1</w:t>
            </w:r>
            <w:r>
              <w:rPr>
                <w:rFonts w:hint="eastAsia" w:ascii="宋体" w:hAnsi="宋体"/>
                <w:bCs/>
                <w:color w:val="auto"/>
                <w:szCs w:val="21"/>
                <w:highlight w:val="none"/>
                <w:lang w:eastAsia="zh-CN"/>
              </w:rPr>
              <w:t>）本项目为专门面向小微企业采购项目，</w:t>
            </w:r>
            <w:r>
              <w:rPr>
                <w:rFonts w:hint="eastAsia" w:ascii="宋体" w:hAnsi="宋体"/>
                <w:bCs/>
                <w:color w:val="auto"/>
                <w:szCs w:val="21"/>
                <w:highlight w:val="none"/>
                <w:lang w:val="en-US" w:eastAsia="zh-CN"/>
              </w:rPr>
              <w:t>根据《政府采购促进中小企业发展管理办法》（财库〔2020〕46号）、《财政部、司法部关于政府采购支持监狱企业发展有关问题的通知》（财库〔2014〕68号）、《关于促进残疾人就业政府采购政策的通知》（财库〔2017〕141号）规定，不再</w:t>
            </w:r>
            <w:bookmarkStart w:id="90" w:name="_GoBack"/>
            <w:bookmarkEnd w:id="90"/>
            <w:r>
              <w:rPr>
                <w:rFonts w:hint="eastAsia" w:ascii="宋体" w:hAnsi="宋体"/>
                <w:bCs/>
                <w:color w:val="auto"/>
                <w:szCs w:val="21"/>
                <w:highlight w:val="none"/>
                <w:lang w:val="en-US" w:eastAsia="zh-CN"/>
              </w:rPr>
              <w:t>对小微企业或监狱企业或残疾人福利性单位</w:t>
            </w:r>
            <w:r>
              <w:rPr>
                <w:rFonts w:hint="eastAsia" w:ascii="宋体" w:hAnsi="宋体"/>
                <w:bCs/>
                <w:color w:val="auto"/>
                <w:szCs w:val="21"/>
                <w:highlight w:val="none"/>
                <w:lang w:eastAsia="zh-CN"/>
              </w:rPr>
              <w:t>的最后报价不再作政策性扣减</w:t>
            </w:r>
            <w:r>
              <w:rPr>
                <w:rFonts w:hint="eastAsia" w:ascii="宋体" w:hAnsi="宋体"/>
                <w:bCs/>
                <w:color w:val="auto"/>
                <w:szCs w:val="21"/>
                <w:highlight w:val="none"/>
              </w:rPr>
              <w:t>。</w:t>
            </w:r>
          </w:p>
          <w:p w14:paraId="6B587262">
            <w:pPr>
              <w:snapToGrid w:val="0"/>
              <w:spacing w:line="360" w:lineRule="auto"/>
              <w:ind w:firstLine="233" w:firstLineChars="111"/>
              <w:rPr>
                <w:rFonts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2</w:t>
            </w:r>
            <w:r>
              <w:rPr>
                <w:rFonts w:hint="eastAsia" w:ascii="宋体" w:hAnsi="宋体"/>
                <w:bCs/>
                <w:color w:val="auto"/>
                <w:szCs w:val="21"/>
                <w:highlight w:val="none"/>
              </w:rPr>
              <w:t>）满足竞争性磋商文件要求且评审报价最低的最后报价为评审基准价，其价格分为满分。</w:t>
            </w:r>
          </w:p>
          <w:p w14:paraId="12CB83C4">
            <w:pPr>
              <w:pStyle w:val="14"/>
              <w:spacing w:line="360" w:lineRule="auto"/>
              <w:ind w:firstLine="210" w:firstLineChars="100"/>
              <w:rPr>
                <w:rFonts w:hAnsi="宋体" w:cs="Courier New"/>
                <w:bCs/>
                <w:color w:val="auto"/>
                <w:kern w:val="2"/>
                <w:sz w:val="21"/>
                <w:highlight w:val="none"/>
              </w:rPr>
            </w:pPr>
            <w:r>
              <w:rPr>
                <w:rFonts w:hint="eastAsia" w:hAnsi="宋体"/>
                <w:bCs/>
                <w:color w:val="auto"/>
                <w:kern w:val="2"/>
                <w:sz w:val="21"/>
                <w:highlight w:val="none"/>
              </w:rPr>
              <w:t>（3）某供应商价格分=（基准价/供应商评审报价）×10分。</w:t>
            </w:r>
          </w:p>
        </w:tc>
        <w:tc>
          <w:tcPr>
            <w:tcW w:w="1041" w:type="dxa"/>
            <w:noWrap/>
            <w:vAlign w:val="center"/>
          </w:tcPr>
          <w:p w14:paraId="6F479515">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10分</w:t>
            </w:r>
          </w:p>
        </w:tc>
      </w:tr>
      <w:tr w14:paraId="6EF0A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ign w:val="center"/>
          </w:tcPr>
          <w:p w14:paraId="2056BA92">
            <w:pPr>
              <w:widowControl/>
              <w:spacing w:line="360" w:lineRule="auto"/>
              <w:jc w:val="center"/>
              <w:rPr>
                <w:rFonts w:ascii="宋体" w:hAnsi="宋体" w:cs="Tahoma"/>
                <w:color w:val="auto"/>
                <w:kern w:val="0"/>
                <w:szCs w:val="21"/>
                <w:highlight w:val="none"/>
              </w:rPr>
            </w:pPr>
            <w:r>
              <w:rPr>
                <w:rFonts w:hint="eastAsia" w:ascii="宋体" w:hAnsi="宋体"/>
                <w:bCs/>
                <w:color w:val="auto"/>
                <w:kern w:val="0"/>
                <w:szCs w:val="21"/>
                <w:highlight w:val="none"/>
              </w:rPr>
              <w:t>2</w:t>
            </w:r>
          </w:p>
        </w:tc>
        <w:tc>
          <w:tcPr>
            <w:tcW w:w="1418" w:type="dxa"/>
            <w:noWrap/>
            <w:vAlign w:val="center"/>
          </w:tcPr>
          <w:p w14:paraId="1050F498">
            <w:pPr>
              <w:widowControl/>
              <w:spacing w:line="360" w:lineRule="auto"/>
              <w:jc w:val="center"/>
              <w:rPr>
                <w:rFonts w:ascii="宋体" w:hAnsi="宋体" w:cs="Tahoma"/>
                <w:color w:val="auto"/>
                <w:kern w:val="0"/>
                <w:szCs w:val="21"/>
                <w:highlight w:val="none"/>
              </w:rPr>
            </w:pPr>
            <w:r>
              <w:rPr>
                <w:rFonts w:hint="eastAsia" w:ascii="宋体" w:hAnsi="宋体"/>
                <w:bCs/>
                <w:color w:val="auto"/>
                <w:kern w:val="0"/>
                <w:szCs w:val="21"/>
                <w:highlight w:val="none"/>
              </w:rPr>
              <w:t>技术方案分</w:t>
            </w:r>
          </w:p>
        </w:tc>
        <w:tc>
          <w:tcPr>
            <w:tcW w:w="7139" w:type="dxa"/>
            <w:gridSpan w:val="2"/>
            <w:noWrap/>
          </w:tcPr>
          <w:p w14:paraId="4B09FF74">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评审因素</w:t>
            </w:r>
          </w:p>
        </w:tc>
      </w:tr>
      <w:tr w14:paraId="49B79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ign w:val="center"/>
          </w:tcPr>
          <w:p w14:paraId="11E2BE00">
            <w:pPr>
              <w:adjustRightInd w:val="0"/>
              <w:spacing w:line="360" w:lineRule="auto"/>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2.1</w:t>
            </w:r>
          </w:p>
        </w:tc>
        <w:tc>
          <w:tcPr>
            <w:tcW w:w="1418" w:type="dxa"/>
            <w:noWrap/>
            <w:vAlign w:val="center"/>
          </w:tcPr>
          <w:p w14:paraId="005AC340">
            <w:pPr>
              <w:spacing w:line="400" w:lineRule="exact"/>
              <w:jc w:val="center"/>
              <w:rPr>
                <w:rFonts w:ascii="宋体" w:hAnsi="宋体"/>
                <w:bCs/>
                <w:color w:val="auto"/>
                <w:kern w:val="0"/>
                <w:szCs w:val="21"/>
                <w:highlight w:val="none"/>
              </w:rPr>
            </w:pPr>
            <w:r>
              <w:rPr>
                <w:rFonts w:hint="eastAsia" w:ascii="宋体" w:hAnsi="宋体" w:cs="宋体"/>
                <w:b/>
                <w:color w:val="auto"/>
                <w:szCs w:val="21"/>
                <w:highlight w:val="none"/>
              </w:rPr>
              <w:t xml:space="preserve">活动策划方案分  </w:t>
            </w:r>
          </w:p>
        </w:tc>
        <w:tc>
          <w:tcPr>
            <w:tcW w:w="6098" w:type="dxa"/>
            <w:noWrap/>
            <w:vAlign w:val="center"/>
          </w:tcPr>
          <w:p w14:paraId="45584A86">
            <w:pPr>
              <w:spacing w:line="360" w:lineRule="exact"/>
              <w:ind w:firstLine="420" w:firstLineChars="200"/>
              <w:rPr>
                <w:rFonts w:ascii="宋体" w:hAnsi="宋体" w:cs="Courier New"/>
                <w:bCs/>
                <w:color w:val="auto"/>
                <w:szCs w:val="21"/>
                <w:highlight w:val="none"/>
              </w:rPr>
            </w:pPr>
            <w:r>
              <w:rPr>
                <w:rFonts w:hint="eastAsia" w:ascii="宋体" w:hAnsi="宋体" w:cs="Courier New"/>
                <w:bCs/>
                <w:color w:val="auto"/>
                <w:szCs w:val="21"/>
                <w:highlight w:val="none"/>
              </w:rPr>
              <w:t>由磋商小组根据供应商响应文件中的活动策划方案内容进行评审独立打分。不入档计0分。</w:t>
            </w:r>
          </w:p>
          <w:p w14:paraId="3015EF81">
            <w:pPr>
              <w:spacing w:line="360" w:lineRule="exact"/>
              <w:ind w:firstLine="420" w:firstLineChars="200"/>
              <w:rPr>
                <w:rFonts w:hAnsi="宋体" w:cs="Courier New"/>
                <w:bCs/>
                <w:color w:val="auto"/>
                <w:highlight w:val="none"/>
              </w:rPr>
            </w:pPr>
            <w:r>
              <w:rPr>
                <w:rFonts w:hint="eastAsia" w:hAnsi="宋体" w:cs="Courier New"/>
                <w:bCs/>
                <w:color w:val="auto"/>
                <w:highlight w:val="none"/>
              </w:rPr>
              <w:t>一档（8分）：对项目有理解，针对项目提供整体策划，包含服务需求的活动类型，编制有活动计划、主要活动内容等；</w:t>
            </w:r>
          </w:p>
          <w:p w14:paraId="2D78D222">
            <w:pPr>
              <w:spacing w:line="360" w:lineRule="exact"/>
              <w:ind w:firstLine="420" w:firstLineChars="200"/>
              <w:rPr>
                <w:rFonts w:hAnsi="宋体" w:cs="Courier New"/>
                <w:bCs/>
                <w:color w:val="auto"/>
                <w:highlight w:val="none"/>
              </w:rPr>
            </w:pPr>
            <w:r>
              <w:rPr>
                <w:rFonts w:hint="eastAsia" w:hAnsi="宋体" w:cs="Courier New"/>
                <w:bCs/>
                <w:color w:val="auto"/>
                <w:highlight w:val="none"/>
              </w:rPr>
              <w:t>二档（16分）：满足上一档，对活动的工作安排等有清晰地规划，职责落实清晰。大部分活动方案合理可行，有实施措施，对时间、场地、活动群体等事项均有安排计划；</w:t>
            </w:r>
          </w:p>
          <w:p w14:paraId="75B6C08A">
            <w:pPr>
              <w:spacing w:line="360" w:lineRule="exact"/>
              <w:ind w:firstLine="420" w:firstLineChars="200"/>
              <w:rPr>
                <w:rFonts w:hAnsi="宋体" w:cs="Courier New"/>
                <w:bCs/>
                <w:color w:val="auto"/>
                <w:highlight w:val="none"/>
              </w:rPr>
            </w:pPr>
            <w:r>
              <w:rPr>
                <w:rFonts w:hint="eastAsia" w:hAnsi="宋体" w:cs="Courier New"/>
                <w:bCs/>
                <w:color w:val="auto"/>
                <w:highlight w:val="none"/>
              </w:rPr>
              <w:t>三档（24分）：满足上一档，对项目理解透彻，能切合采购人意图，根据各项活动的制定完善的策划方案，并且能够根据不同类型、不同主题的活动，提供不同创意的详细策划案。结合供应商活动经验和采购人活动目的，提出利于提升活动效果的合理化建议，提升本项目活动整体实施效果。</w:t>
            </w:r>
          </w:p>
        </w:tc>
        <w:tc>
          <w:tcPr>
            <w:tcW w:w="1041" w:type="dxa"/>
            <w:noWrap/>
            <w:vAlign w:val="center"/>
          </w:tcPr>
          <w:p w14:paraId="46808373">
            <w:pPr>
              <w:spacing w:line="360" w:lineRule="auto"/>
              <w:jc w:val="center"/>
              <w:rPr>
                <w:rFonts w:ascii="宋体" w:hAnsi="宋体" w:cs="Courier New"/>
                <w:bCs/>
                <w:color w:val="auto"/>
                <w:szCs w:val="21"/>
                <w:highlight w:val="none"/>
              </w:rPr>
            </w:pPr>
            <w:r>
              <w:rPr>
                <w:rFonts w:hint="eastAsia" w:ascii="宋体" w:hAnsi="宋体" w:cs="宋体"/>
                <w:color w:val="auto"/>
                <w:kern w:val="0"/>
                <w:szCs w:val="21"/>
                <w:highlight w:val="none"/>
              </w:rPr>
              <w:t>24分</w:t>
            </w:r>
          </w:p>
        </w:tc>
      </w:tr>
      <w:tr w14:paraId="7F90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ign w:val="center"/>
          </w:tcPr>
          <w:p w14:paraId="2966A8B7">
            <w:pPr>
              <w:adjustRightInd w:val="0"/>
              <w:spacing w:line="360" w:lineRule="auto"/>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2.2</w:t>
            </w:r>
          </w:p>
        </w:tc>
        <w:tc>
          <w:tcPr>
            <w:tcW w:w="1418" w:type="dxa"/>
            <w:noWrap/>
            <w:vAlign w:val="center"/>
          </w:tcPr>
          <w:p w14:paraId="1AA4CF50">
            <w:pPr>
              <w:spacing w:line="400" w:lineRule="exact"/>
              <w:ind w:right="92"/>
              <w:rPr>
                <w:rFonts w:ascii="宋体" w:hAnsi="宋体"/>
                <w:b/>
                <w:bCs/>
                <w:color w:val="auto"/>
                <w:kern w:val="0"/>
                <w:szCs w:val="21"/>
                <w:highlight w:val="none"/>
              </w:rPr>
            </w:pPr>
            <w:r>
              <w:rPr>
                <w:rFonts w:hint="eastAsia" w:ascii="宋体" w:hAnsi="宋体" w:cs="宋体"/>
                <w:b/>
                <w:bCs/>
                <w:color w:val="auto"/>
                <w:szCs w:val="21"/>
                <w:highlight w:val="none"/>
              </w:rPr>
              <w:t xml:space="preserve">活动设计方案分 </w:t>
            </w:r>
          </w:p>
        </w:tc>
        <w:tc>
          <w:tcPr>
            <w:tcW w:w="6098" w:type="dxa"/>
            <w:noWrap/>
            <w:vAlign w:val="center"/>
          </w:tcPr>
          <w:p w14:paraId="099E45AB">
            <w:pPr>
              <w:spacing w:line="360" w:lineRule="exact"/>
              <w:ind w:firstLine="420" w:firstLineChars="200"/>
              <w:rPr>
                <w:rFonts w:ascii="宋体" w:hAnsi="宋体" w:cs="Courier New"/>
                <w:bCs/>
                <w:color w:val="auto"/>
                <w:szCs w:val="21"/>
                <w:highlight w:val="none"/>
              </w:rPr>
            </w:pPr>
            <w:r>
              <w:rPr>
                <w:rFonts w:hint="eastAsia" w:ascii="宋体" w:hAnsi="宋体" w:cs="Courier New"/>
                <w:bCs/>
                <w:color w:val="auto"/>
                <w:szCs w:val="21"/>
                <w:highlight w:val="none"/>
              </w:rPr>
              <w:t>由磋商小组根据供应商响应文件中的活动设计方案内容进行评审独立打分。不入档计0分。</w:t>
            </w:r>
          </w:p>
          <w:p w14:paraId="4633995F">
            <w:pPr>
              <w:spacing w:line="360" w:lineRule="exact"/>
              <w:ind w:firstLine="420" w:firstLineChars="200"/>
              <w:rPr>
                <w:rFonts w:hAnsi="宋体"/>
                <w:bCs/>
                <w:color w:val="auto"/>
                <w:highlight w:val="none"/>
              </w:rPr>
            </w:pPr>
            <w:r>
              <w:rPr>
                <w:rFonts w:hint="eastAsia" w:hAnsi="宋体"/>
                <w:bCs/>
                <w:color w:val="auto"/>
                <w:highlight w:val="none"/>
              </w:rPr>
              <w:t>一档（7分）：供应商能根据不同类型活动提供设计方案，设计符合各项活动主题和现场布置要求。</w:t>
            </w:r>
          </w:p>
          <w:p w14:paraId="30874F19">
            <w:pPr>
              <w:spacing w:line="360" w:lineRule="exact"/>
              <w:ind w:firstLine="420" w:firstLineChars="200"/>
              <w:rPr>
                <w:rFonts w:hAnsi="宋体"/>
                <w:bCs/>
                <w:color w:val="auto"/>
                <w:highlight w:val="none"/>
              </w:rPr>
            </w:pPr>
            <w:r>
              <w:rPr>
                <w:rFonts w:hint="eastAsia" w:hAnsi="宋体"/>
                <w:bCs/>
                <w:color w:val="auto"/>
                <w:highlight w:val="none"/>
              </w:rPr>
              <w:t>二档（14分）：满足上一档，且设计围绕和突出广西十万大山保护区各类主题宣传，提供有各项活动主画面的设计初稿，效果图色彩鲜明。</w:t>
            </w:r>
          </w:p>
          <w:p w14:paraId="7757E501">
            <w:pPr>
              <w:spacing w:line="360" w:lineRule="exact"/>
              <w:ind w:firstLine="420" w:firstLineChars="200"/>
              <w:rPr>
                <w:rFonts w:hAnsi="宋体"/>
                <w:bCs/>
                <w:color w:val="auto"/>
                <w:highlight w:val="none"/>
              </w:rPr>
            </w:pPr>
            <w:r>
              <w:rPr>
                <w:rFonts w:hint="eastAsia" w:hAnsi="宋体"/>
                <w:bCs/>
                <w:color w:val="auto"/>
                <w:highlight w:val="none"/>
              </w:rPr>
              <w:t>三档（</w:t>
            </w:r>
            <w:r>
              <w:rPr>
                <w:rFonts w:hAnsi="宋体"/>
                <w:bCs/>
                <w:color w:val="auto"/>
                <w:highlight w:val="none"/>
              </w:rPr>
              <w:t>2</w:t>
            </w:r>
            <w:r>
              <w:rPr>
                <w:rFonts w:hint="eastAsia" w:hAnsi="宋体"/>
                <w:bCs/>
                <w:color w:val="auto"/>
                <w:highlight w:val="none"/>
              </w:rPr>
              <w:t>1分）：满足上一档，供应商针对各项活动的特点，结合活动主画面，提出重点设计内容或延展设计思路，提供不同活动的宣传文案大纲，对活动现场氛围和宣传起到烘托作用。</w:t>
            </w:r>
          </w:p>
        </w:tc>
        <w:tc>
          <w:tcPr>
            <w:tcW w:w="1041" w:type="dxa"/>
            <w:noWrap/>
            <w:vAlign w:val="center"/>
          </w:tcPr>
          <w:p w14:paraId="3106D6A0">
            <w:pPr>
              <w:spacing w:line="360" w:lineRule="auto"/>
              <w:jc w:val="center"/>
              <w:rPr>
                <w:rFonts w:ascii="宋体" w:hAnsi="宋体" w:cs="Courier New"/>
                <w:bCs/>
                <w:color w:val="auto"/>
                <w:szCs w:val="21"/>
                <w:highlight w:val="none"/>
              </w:rPr>
            </w:pPr>
            <w:r>
              <w:rPr>
                <w:rFonts w:hint="eastAsia" w:ascii="宋体" w:hAnsi="宋体" w:cs="宋体"/>
                <w:color w:val="auto"/>
                <w:kern w:val="0"/>
                <w:szCs w:val="21"/>
                <w:highlight w:val="none"/>
              </w:rPr>
              <w:t>21分</w:t>
            </w:r>
          </w:p>
        </w:tc>
      </w:tr>
      <w:tr w14:paraId="5335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ign w:val="center"/>
          </w:tcPr>
          <w:p w14:paraId="6C1E92BC">
            <w:pPr>
              <w:adjustRightInd w:val="0"/>
              <w:spacing w:line="360" w:lineRule="auto"/>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2.3</w:t>
            </w:r>
          </w:p>
        </w:tc>
        <w:tc>
          <w:tcPr>
            <w:tcW w:w="1418" w:type="dxa"/>
            <w:noWrap/>
            <w:vAlign w:val="center"/>
          </w:tcPr>
          <w:p w14:paraId="7DC58EEA">
            <w:pPr>
              <w:spacing w:line="400" w:lineRule="exact"/>
              <w:ind w:right="92"/>
              <w:rPr>
                <w:rFonts w:ascii="宋体" w:hAnsi="宋体"/>
                <w:bCs/>
                <w:color w:val="auto"/>
                <w:kern w:val="0"/>
                <w:szCs w:val="21"/>
                <w:highlight w:val="none"/>
              </w:rPr>
            </w:pPr>
            <w:r>
              <w:rPr>
                <w:rFonts w:hint="eastAsia" w:ascii="宋体" w:hAnsi="宋体" w:cs="宋体"/>
                <w:b/>
                <w:bCs/>
                <w:color w:val="auto"/>
                <w:szCs w:val="21"/>
                <w:highlight w:val="none"/>
              </w:rPr>
              <w:t>活动执行方案分</w:t>
            </w:r>
          </w:p>
        </w:tc>
        <w:tc>
          <w:tcPr>
            <w:tcW w:w="6098" w:type="dxa"/>
            <w:noWrap/>
            <w:vAlign w:val="center"/>
          </w:tcPr>
          <w:p w14:paraId="4EA51443">
            <w:pPr>
              <w:spacing w:line="360" w:lineRule="exact"/>
              <w:ind w:firstLine="420" w:firstLineChars="200"/>
              <w:rPr>
                <w:rFonts w:ascii="宋体" w:hAnsi="宋体" w:cs="Courier New"/>
                <w:bCs/>
                <w:color w:val="auto"/>
                <w:szCs w:val="21"/>
                <w:highlight w:val="none"/>
              </w:rPr>
            </w:pPr>
            <w:r>
              <w:rPr>
                <w:rFonts w:hint="eastAsia" w:ascii="宋体" w:hAnsi="宋体" w:cs="Courier New"/>
                <w:bCs/>
                <w:color w:val="auto"/>
                <w:szCs w:val="21"/>
                <w:highlight w:val="none"/>
              </w:rPr>
              <w:t>由磋商小组根据供应商响应文件中活动执行方案进行评审独立打分。不入档计0分。</w:t>
            </w:r>
          </w:p>
          <w:p w14:paraId="09785B57">
            <w:pPr>
              <w:spacing w:line="360" w:lineRule="exact"/>
              <w:ind w:firstLine="420" w:firstLineChars="200"/>
              <w:rPr>
                <w:rFonts w:hAnsi="宋体" w:cs="Courier New"/>
                <w:bCs/>
                <w:color w:val="auto"/>
                <w:highlight w:val="none"/>
              </w:rPr>
            </w:pPr>
            <w:r>
              <w:rPr>
                <w:rFonts w:hint="eastAsia" w:hAnsi="宋体" w:cs="Courier New"/>
                <w:bCs/>
                <w:color w:val="auto"/>
                <w:highlight w:val="none"/>
              </w:rPr>
              <w:t>一档（5分）：结合不同类型活动提供执行方案，包含活动流程、人员安排等信息，团队安排合理，人员配置满足活动执行需求。</w:t>
            </w:r>
          </w:p>
          <w:p w14:paraId="1BB4E35D">
            <w:pPr>
              <w:spacing w:line="360" w:lineRule="exact"/>
              <w:ind w:firstLine="420" w:firstLineChars="200"/>
              <w:rPr>
                <w:rFonts w:hAnsi="宋体" w:cs="Courier New"/>
                <w:bCs/>
                <w:color w:val="auto"/>
                <w:highlight w:val="none"/>
              </w:rPr>
            </w:pPr>
            <w:r>
              <w:rPr>
                <w:rFonts w:hint="eastAsia" w:hAnsi="宋体" w:cs="Courier New"/>
                <w:bCs/>
                <w:color w:val="auto"/>
                <w:highlight w:val="none"/>
              </w:rPr>
              <w:t>二档（10分）：满足上一档，提供详细的活动执行方案，团队安排合理，人员配置能够满足活动执行需求，并具备经验和能力，对潜在风险有预估。</w:t>
            </w:r>
          </w:p>
          <w:p w14:paraId="096E4A65">
            <w:pPr>
              <w:spacing w:line="360" w:lineRule="exact"/>
              <w:ind w:firstLine="420" w:firstLineChars="200"/>
              <w:rPr>
                <w:rFonts w:hAnsi="宋体" w:cs="Courier New"/>
                <w:bCs/>
                <w:color w:val="auto"/>
                <w:highlight w:val="none"/>
              </w:rPr>
            </w:pPr>
            <w:r>
              <w:rPr>
                <w:rFonts w:hint="eastAsia" w:hAnsi="宋体" w:cs="Courier New"/>
                <w:bCs/>
                <w:color w:val="auto"/>
                <w:highlight w:val="none"/>
              </w:rPr>
              <w:t>三档（15分）：满足上一档，提供详细的活动执行方案，对活动前中后期筹备、执行、整理等相关工作事项规划妥当。 团队安排合理且具有效率性，人员配置合理可行，具备经验和专业能力，能够应对各种突发情况。方案能够有效提升活动效果，对活动过程可能出现的潜在风险具有预估性，并制定了完善的应急预案。</w:t>
            </w:r>
          </w:p>
        </w:tc>
        <w:tc>
          <w:tcPr>
            <w:tcW w:w="1041" w:type="dxa"/>
            <w:noWrap/>
            <w:vAlign w:val="center"/>
          </w:tcPr>
          <w:p w14:paraId="5A39DD6A">
            <w:pPr>
              <w:widowControl/>
              <w:spacing w:line="360" w:lineRule="auto"/>
              <w:jc w:val="center"/>
              <w:rPr>
                <w:rFonts w:ascii="宋体" w:hAnsi="宋体" w:cs="Courier New"/>
                <w:bCs/>
                <w:color w:val="auto"/>
                <w:szCs w:val="21"/>
                <w:highlight w:val="none"/>
              </w:rPr>
            </w:pPr>
            <w:r>
              <w:rPr>
                <w:rFonts w:hint="eastAsia" w:ascii="宋体" w:hAnsi="宋体" w:cs="宋体"/>
                <w:color w:val="auto"/>
                <w:kern w:val="0"/>
                <w:szCs w:val="21"/>
                <w:highlight w:val="none"/>
              </w:rPr>
              <w:t>15分</w:t>
            </w:r>
          </w:p>
        </w:tc>
      </w:tr>
      <w:tr w14:paraId="275B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33" w:type="dxa"/>
            <w:noWrap/>
            <w:vAlign w:val="center"/>
          </w:tcPr>
          <w:p w14:paraId="12B0932E">
            <w:pPr>
              <w:adjustRightInd w:val="0"/>
              <w:spacing w:line="360" w:lineRule="auto"/>
              <w:ind w:left="-105" w:leftChars="-50" w:right="-105" w:rightChars="-50"/>
              <w:jc w:val="center"/>
              <w:textAlignment w:val="baseline"/>
              <w:rPr>
                <w:rFonts w:ascii="宋体" w:hAnsi="宋体"/>
                <w:bCs/>
                <w:color w:val="auto"/>
                <w:kern w:val="0"/>
                <w:szCs w:val="21"/>
                <w:highlight w:val="none"/>
              </w:rPr>
            </w:pPr>
            <w:r>
              <w:rPr>
                <w:rFonts w:hint="eastAsia" w:ascii="宋体" w:hAnsi="宋体"/>
                <w:bCs/>
                <w:color w:val="auto"/>
                <w:kern w:val="0"/>
                <w:szCs w:val="21"/>
                <w:highlight w:val="none"/>
              </w:rPr>
              <w:t>2.4</w:t>
            </w:r>
          </w:p>
        </w:tc>
        <w:tc>
          <w:tcPr>
            <w:tcW w:w="1418" w:type="dxa"/>
            <w:noWrap/>
            <w:vAlign w:val="center"/>
          </w:tcPr>
          <w:p w14:paraId="7A1FA1E5">
            <w:pPr>
              <w:spacing w:line="400" w:lineRule="exact"/>
              <w:ind w:right="92"/>
              <w:rPr>
                <w:rFonts w:ascii="宋体" w:hAnsi="宋体" w:cs="宋体"/>
                <w:b/>
                <w:bCs/>
                <w:color w:val="auto"/>
                <w:szCs w:val="21"/>
                <w:highlight w:val="none"/>
              </w:rPr>
            </w:pPr>
            <w:r>
              <w:rPr>
                <w:rFonts w:hint="eastAsia" w:ascii="宋体" w:hAnsi="宋体" w:cs="宋体"/>
                <w:b/>
                <w:bCs/>
                <w:color w:val="auto"/>
                <w:szCs w:val="21"/>
                <w:highlight w:val="none"/>
              </w:rPr>
              <w:t>保障措施分</w:t>
            </w:r>
          </w:p>
        </w:tc>
        <w:tc>
          <w:tcPr>
            <w:tcW w:w="6098" w:type="dxa"/>
            <w:noWrap/>
            <w:vAlign w:val="center"/>
          </w:tcPr>
          <w:p w14:paraId="7F6FA344">
            <w:pPr>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由磋商小组根据供应商响应文件中保障措施进行评审独立打分。不入档计0分。</w:t>
            </w:r>
          </w:p>
          <w:p w14:paraId="30C47D06">
            <w:pPr>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一档(2分)：提供有保障措施，措施内容不全面，</w:t>
            </w:r>
            <w:r>
              <w:rPr>
                <w:rFonts w:hint="eastAsia" w:ascii="宋体" w:hAnsi="宋体" w:cs="宋体"/>
                <w:bCs/>
                <w:color w:val="auto"/>
                <w:szCs w:val="21"/>
                <w:highlight w:val="none"/>
                <w:lang w:eastAsia="zh-CN"/>
              </w:rPr>
              <w:t>无</w:t>
            </w:r>
            <w:r>
              <w:rPr>
                <w:rFonts w:hint="eastAsia" w:ascii="宋体" w:hAnsi="宋体" w:cs="宋体"/>
                <w:bCs/>
                <w:color w:val="auto"/>
                <w:szCs w:val="21"/>
                <w:highlight w:val="none"/>
              </w:rPr>
              <w:t>可行性。</w:t>
            </w:r>
          </w:p>
          <w:p w14:paraId="3EDD248F">
            <w:pPr>
              <w:spacing w:line="36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二档(4分)：</w:t>
            </w:r>
            <w:r>
              <w:rPr>
                <w:rFonts w:hint="eastAsia" w:ascii="宋体" w:hAnsi="宋体" w:cs="宋体"/>
                <w:bCs/>
                <w:color w:val="auto"/>
                <w:szCs w:val="21"/>
                <w:highlight w:val="none"/>
                <w:lang w:eastAsia="zh-CN"/>
              </w:rPr>
              <w:t>提供有保障措施，措施包含有单场活动的预算管理，能</w:t>
            </w:r>
            <w:r>
              <w:rPr>
                <w:rFonts w:hint="eastAsia" w:ascii="宋体" w:hAnsi="宋体" w:eastAsia="宋体" w:cs="宋体"/>
                <w:i w:val="0"/>
                <w:iCs w:val="0"/>
                <w:caps w:val="0"/>
                <w:color w:val="auto"/>
                <w:spacing w:val="0"/>
                <w:sz w:val="21"/>
                <w:szCs w:val="21"/>
                <w:highlight w:val="none"/>
                <w:shd w:val="clear" w:fill="FFFFFF"/>
              </w:rPr>
              <w:t>合理分配和控制宣传活动的预算，确保资金使用的效率和效果</w:t>
            </w:r>
            <w:r>
              <w:rPr>
                <w:rFonts w:hint="eastAsia" w:ascii="宋体" w:hAnsi="宋体" w:cs="宋体"/>
                <w:i w:val="0"/>
                <w:iCs w:val="0"/>
                <w:caps w:val="0"/>
                <w:color w:val="auto"/>
                <w:spacing w:val="0"/>
                <w:sz w:val="21"/>
                <w:szCs w:val="21"/>
                <w:highlight w:val="none"/>
                <w:shd w:val="clear" w:fill="FFFFFF"/>
                <w:lang w:eastAsia="zh-CN"/>
              </w:rPr>
              <w:t>，</w:t>
            </w:r>
            <w:r>
              <w:rPr>
                <w:rFonts w:hint="eastAsia" w:ascii="宋体" w:hAnsi="宋体" w:cs="宋体"/>
                <w:bCs/>
                <w:color w:val="auto"/>
                <w:szCs w:val="21"/>
                <w:highlight w:val="none"/>
              </w:rPr>
              <w:t>具有可行性。</w:t>
            </w:r>
          </w:p>
          <w:p w14:paraId="30589B33">
            <w:pPr>
              <w:spacing w:line="360" w:lineRule="exact"/>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三档(6分)：</w:t>
            </w:r>
            <w:r>
              <w:rPr>
                <w:rFonts w:hint="eastAsia" w:ascii="宋体" w:hAnsi="宋体" w:cs="宋体"/>
                <w:bCs/>
                <w:color w:val="auto"/>
                <w:szCs w:val="21"/>
                <w:highlight w:val="none"/>
                <w:lang w:eastAsia="zh-CN"/>
              </w:rPr>
              <w:t>提供有保障措施，措施包含有单场活动预算管理，能</w:t>
            </w:r>
            <w:r>
              <w:rPr>
                <w:rFonts w:hint="eastAsia" w:ascii="宋体" w:hAnsi="宋体" w:eastAsia="宋体" w:cs="宋体"/>
                <w:i w:val="0"/>
                <w:iCs w:val="0"/>
                <w:caps w:val="0"/>
                <w:color w:val="auto"/>
                <w:spacing w:val="0"/>
                <w:sz w:val="21"/>
                <w:szCs w:val="21"/>
                <w:highlight w:val="none"/>
                <w:shd w:val="clear" w:fill="FFFFFF"/>
              </w:rPr>
              <w:t>合理分配和控制宣传活动的预算，确保资金使用的效率和效果</w:t>
            </w:r>
            <w:r>
              <w:rPr>
                <w:rFonts w:hint="eastAsia" w:ascii="宋体" w:hAnsi="宋体" w:cs="宋体"/>
                <w:i w:val="0"/>
                <w:iCs w:val="0"/>
                <w:caps w:val="0"/>
                <w:color w:val="auto"/>
                <w:spacing w:val="0"/>
                <w:sz w:val="21"/>
                <w:szCs w:val="21"/>
                <w:highlight w:val="none"/>
                <w:shd w:val="clear" w:fill="FFFFFF"/>
                <w:lang w:eastAsia="zh-CN"/>
              </w:rPr>
              <w:t>，有团队合作机制，能明确各成员的职责和任务，</w:t>
            </w:r>
            <w:r>
              <w:rPr>
                <w:rFonts w:hint="eastAsia" w:ascii="宋体" w:hAnsi="宋体" w:cs="宋体"/>
                <w:bCs/>
                <w:color w:val="auto"/>
                <w:szCs w:val="21"/>
                <w:highlight w:val="none"/>
              </w:rPr>
              <w:t>具有可行性。</w:t>
            </w:r>
          </w:p>
          <w:p w14:paraId="381F3FD2">
            <w:pPr>
              <w:spacing w:line="360" w:lineRule="exact"/>
              <w:ind w:firstLine="420" w:firstLineChars="200"/>
              <w:rPr>
                <w:rFonts w:hint="eastAsia" w:ascii="宋体" w:hAnsi="宋体" w:cs="宋体"/>
                <w:bCs/>
                <w:color w:val="auto"/>
                <w:highlight w:val="none"/>
              </w:rPr>
            </w:pPr>
            <w:r>
              <w:rPr>
                <w:rFonts w:hint="eastAsia" w:ascii="宋体" w:hAnsi="宋体" w:cs="宋体"/>
                <w:bCs/>
                <w:color w:val="auto"/>
                <w:szCs w:val="21"/>
                <w:highlight w:val="none"/>
              </w:rPr>
              <w:t xml:space="preserve">四档(10分)： </w:t>
            </w:r>
            <w:r>
              <w:rPr>
                <w:rFonts w:hint="eastAsia" w:ascii="宋体" w:hAnsi="宋体" w:cs="宋体"/>
                <w:bCs/>
                <w:color w:val="auto"/>
                <w:szCs w:val="21"/>
                <w:highlight w:val="none"/>
                <w:lang w:eastAsia="zh-CN"/>
              </w:rPr>
              <w:t>提供有详细、可行的保障措施，包含有预算管理，能</w:t>
            </w:r>
            <w:r>
              <w:rPr>
                <w:rFonts w:hint="eastAsia" w:ascii="宋体" w:hAnsi="宋体" w:eastAsia="宋体" w:cs="宋体"/>
                <w:i w:val="0"/>
                <w:iCs w:val="0"/>
                <w:caps w:val="0"/>
                <w:color w:val="auto"/>
                <w:spacing w:val="0"/>
                <w:sz w:val="21"/>
                <w:szCs w:val="21"/>
                <w:highlight w:val="none"/>
                <w:shd w:val="clear" w:fill="FFFFFF"/>
              </w:rPr>
              <w:t>合理分配和控制宣传活动的预算，确保资金使用的效率和效果</w:t>
            </w:r>
            <w:r>
              <w:rPr>
                <w:rFonts w:hint="eastAsia" w:ascii="宋体" w:hAnsi="宋体" w:cs="宋体"/>
                <w:i w:val="0"/>
                <w:iCs w:val="0"/>
                <w:caps w:val="0"/>
                <w:color w:val="auto"/>
                <w:spacing w:val="0"/>
                <w:sz w:val="21"/>
                <w:szCs w:val="21"/>
                <w:highlight w:val="none"/>
                <w:shd w:val="clear" w:fill="FFFFFF"/>
                <w:lang w:eastAsia="zh-CN"/>
              </w:rPr>
              <w:t>，有团队合作机制，能明确各成员的职责和任务</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有详细、可行的服务承诺，承诺涵盖了</w:t>
            </w:r>
            <w:r>
              <w:rPr>
                <w:rFonts w:hint="eastAsia" w:ascii="宋体" w:hAnsi="宋体" w:cs="宋体"/>
                <w:bCs/>
                <w:color w:val="auto"/>
                <w:szCs w:val="21"/>
                <w:highlight w:val="none"/>
              </w:rPr>
              <w:t>专业能力、工作执行、质量把控、沟通协作等内容，服务质量管理措施承诺合理可行。</w:t>
            </w:r>
          </w:p>
        </w:tc>
        <w:tc>
          <w:tcPr>
            <w:tcW w:w="1041" w:type="dxa"/>
            <w:noWrap/>
            <w:vAlign w:val="center"/>
          </w:tcPr>
          <w:p w14:paraId="3B1C8EAC">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10分</w:t>
            </w:r>
          </w:p>
        </w:tc>
      </w:tr>
      <w:tr w14:paraId="32EE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noWrap/>
            <w:vAlign w:val="center"/>
          </w:tcPr>
          <w:p w14:paraId="0F6A1641">
            <w:pPr>
              <w:widowControl/>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3</w:t>
            </w:r>
          </w:p>
        </w:tc>
        <w:tc>
          <w:tcPr>
            <w:tcW w:w="1418" w:type="dxa"/>
            <w:noWrap/>
            <w:vAlign w:val="center"/>
          </w:tcPr>
          <w:p w14:paraId="5289F4E4">
            <w:pPr>
              <w:widowControl/>
              <w:spacing w:line="360" w:lineRule="auto"/>
              <w:jc w:val="center"/>
              <w:rPr>
                <w:rFonts w:ascii="宋体" w:hAnsi="宋体" w:cs="Courier New"/>
                <w:bCs/>
                <w:color w:val="auto"/>
                <w:szCs w:val="21"/>
                <w:highlight w:val="none"/>
              </w:rPr>
            </w:pPr>
            <w:r>
              <w:rPr>
                <w:rFonts w:hint="eastAsia" w:ascii="宋体" w:hAnsi="宋体" w:cs="Courier New"/>
                <w:bCs/>
                <w:color w:val="auto"/>
                <w:szCs w:val="21"/>
                <w:highlight w:val="none"/>
              </w:rPr>
              <w:t>商务分</w:t>
            </w:r>
          </w:p>
        </w:tc>
        <w:tc>
          <w:tcPr>
            <w:tcW w:w="7139" w:type="dxa"/>
            <w:gridSpan w:val="2"/>
            <w:noWrap/>
            <w:vAlign w:val="center"/>
          </w:tcPr>
          <w:p w14:paraId="7814FEAB">
            <w:pPr>
              <w:widowControl/>
              <w:spacing w:line="360" w:lineRule="auto"/>
              <w:jc w:val="center"/>
              <w:rPr>
                <w:rFonts w:ascii="宋体" w:hAnsi="宋体" w:cs="Courier New"/>
                <w:bCs/>
                <w:color w:val="auto"/>
                <w:szCs w:val="21"/>
                <w:highlight w:val="none"/>
              </w:rPr>
            </w:pPr>
            <w:r>
              <w:rPr>
                <w:rFonts w:hint="eastAsia" w:ascii="宋体" w:hAnsi="宋体" w:cs="Courier New"/>
                <w:bCs/>
                <w:color w:val="auto"/>
                <w:szCs w:val="21"/>
                <w:highlight w:val="none"/>
              </w:rPr>
              <w:t>评审因素</w:t>
            </w:r>
          </w:p>
        </w:tc>
      </w:tr>
      <w:tr w14:paraId="3481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533" w:type="dxa"/>
            <w:noWrap/>
            <w:vAlign w:val="center"/>
          </w:tcPr>
          <w:p w14:paraId="087523DD">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3.1</w:t>
            </w:r>
          </w:p>
        </w:tc>
        <w:tc>
          <w:tcPr>
            <w:tcW w:w="1418" w:type="dxa"/>
            <w:noWrap/>
            <w:vAlign w:val="center"/>
          </w:tcPr>
          <w:p w14:paraId="2C959508">
            <w:pPr>
              <w:widowControl/>
              <w:spacing w:line="360" w:lineRule="auto"/>
              <w:jc w:val="center"/>
              <w:rPr>
                <w:rFonts w:ascii="宋体" w:hAnsi="宋体" w:cs="宋体"/>
                <w:color w:val="auto"/>
                <w:kern w:val="0"/>
                <w:szCs w:val="21"/>
                <w:highlight w:val="none"/>
              </w:rPr>
            </w:pPr>
            <w:r>
              <w:rPr>
                <w:rFonts w:hint="eastAsia" w:asciiTheme="minorEastAsia" w:hAnsiTheme="minorEastAsia" w:eastAsiaTheme="minorEastAsia" w:cstheme="minorEastAsia"/>
                <w:color w:val="auto"/>
                <w:szCs w:val="21"/>
                <w:highlight w:val="none"/>
              </w:rPr>
              <w:t>人员配备情况</w:t>
            </w:r>
          </w:p>
        </w:tc>
        <w:tc>
          <w:tcPr>
            <w:tcW w:w="6098" w:type="dxa"/>
            <w:noWrap/>
            <w:vAlign w:val="center"/>
          </w:tcPr>
          <w:p w14:paraId="03CE1EDD">
            <w:pPr>
              <w:snapToGrid/>
              <w:spacing w:line="420" w:lineRule="exact"/>
              <w:ind w:firstLine="0" w:firstLineChars="0"/>
              <w:jc w:val="left"/>
              <w:rPr>
                <w:rFonts w:hint="eastAsia"/>
                <w:color w:val="auto"/>
                <w:highlight w:val="none"/>
              </w:rPr>
            </w:pPr>
            <w:r>
              <w:rPr>
                <w:rFonts w:hint="eastAsia"/>
                <w:color w:val="auto"/>
                <w:highlight w:val="none"/>
              </w:rPr>
              <w:t>由磋商小组根据</w:t>
            </w:r>
            <w:r>
              <w:rPr>
                <w:rFonts w:hint="eastAsia"/>
                <w:color w:val="auto"/>
                <w:highlight w:val="none"/>
                <w:lang w:eastAsia="zh-CN"/>
              </w:rPr>
              <w:t>采购</w:t>
            </w:r>
            <w:r>
              <w:rPr>
                <w:rFonts w:hint="eastAsia"/>
                <w:color w:val="auto"/>
                <w:highlight w:val="none"/>
              </w:rPr>
              <w:t>文件要求及</w:t>
            </w:r>
            <w:r>
              <w:rPr>
                <w:rFonts w:hint="eastAsia"/>
                <w:color w:val="auto"/>
                <w:highlight w:val="none"/>
                <w:lang w:eastAsia="zh-CN"/>
              </w:rPr>
              <w:t>供应商</w:t>
            </w:r>
            <w:r>
              <w:rPr>
                <w:rFonts w:hint="eastAsia"/>
                <w:color w:val="auto"/>
                <w:highlight w:val="none"/>
              </w:rPr>
              <w:t>所提供的人员岗位、分工和进度计划进行独立打分，不提供或达不到一档要求的不得分。</w:t>
            </w:r>
          </w:p>
          <w:p w14:paraId="7F1FF452">
            <w:pPr>
              <w:snapToGrid/>
              <w:spacing w:line="420" w:lineRule="exact"/>
              <w:ind w:firstLine="0" w:firstLineChars="0"/>
              <w:jc w:val="left"/>
              <w:rPr>
                <w:rFonts w:hint="eastAsia"/>
                <w:color w:val="auto"/>
                <w:highlight w:val="none"/>
              </w:rPr>
            </w:pPr>
            <w:r>
              <w:rPr>
                <w:rFonts w:hint="eastAsia"/>
                <w:color w:val="auto"/>
                <w:highlight w:val="none"/>
              </w:rPr>
              <w:t>一档（5分）：供应商提供了人员配置方案，人员配备数量达到 1 人（含1人）以上 10人以下</w:t>
            </w:r>
            <w:r>
              <w:rPr>
                <w:rFonts w:hint="eastAsia"/>
                <w:color w:val="auto"/>
                <w:highlight w:val="none"/>
                <w:lang w:eastAsia="zh-CN"/>
              </w:rPr>
              <w:t>（不含</w:t>
            </w:r>
            <w:r>
              <w:rPr>
                <w:rFonts w:hint="eastAsia"/>
                <w:color w:val="auto"/>
                <w:highlight w:val="none"/>
                <w:lang w:val="en-US" w:eastAsia="zh-CN"/>
              </w:rPr>
              <w:t>10人</w:t>
            </w:r>
            <w:r>
              <w:rPr>
                <w:rFonts w:hint="eastAsia"/>
                <w:color w:val="auto"/>
                <w:highlight w:val="none"/>
                <w:lang w:eastAsia="zh-CN"/>
              </w:rPr>
              <w:t>）</w:t>
            </w:r>
            <w:r>
              <w:rPr>
                <w:rFonts w:hint="eastAsia"/>
                <w:color w:val="auto"/>
                <w:highlight w:val="none"/>
              </w:rPr>
              <w:t>，对岗位、分工、进度计划有描述，或提供的人员配置方案</w:t>
            </w:r>
            <w:r>
              <w:rPr>
                <w:rFonts w:hint="eastAsia"/>
                <w:color w:val="auto"/>
                <w:highlight w:val="none"/>
                <w:lang w:eastAsia="zh-CN"/>
              </w:rPr>
              <w:t>不具备可行性</w:t>
            </w:r>
            <w:r>
              <w:rPr>
                <w:rFonts w:hint="eastAsia"/>
                <w:color w:val="auto"/>
                <w:highlight w:val="none"/>
              </w:rPr>
              <w:t>的；</w:t>
            </w:r>
          </w:p>
          <w:p w14:paraId="342B2400">
            <w:pPr>
              <w:snapToGrid/>
              <w:spacing w:line="420" w:lineRule="exact"/>
              <w:ind w:firstLine="0" w:firstLineChars="0"/>
              <w:jc w:val="left"/>
              <w:rPr>
                <w:rFonts w:hint="eastAsia"/>
                <w:color w:val="auto"/>
                <w:highlight w:val="none"/>
              </w:rPr>
            </w:pPr>
            <w:r>
              <w:rPr>
                <w:rFonts w:hint="eastAsia"/>
                <w:color w:val="auto"/>
                <w:highlight w:val="none"/>
              </w:rPr>
              <w:t>二档（9 分）：供应商提供了完善的人员配置方案，人员配备数量达到 10人（含10人）以上 20人以下</w:t>
            </w:r>
            <w:r>
              <w:rPr>
                <w:rFonts w:hint="eastAsia"/>
                <w:color w:val="auto"/>
                <w:highlight w:val="none"/>
                <w:lang w:eastAsia="zh-CN"/>
              </w:rPr>
              <w:t>（不含</w:t>
            </w:r>
            <w:r>
              <w:rPr>
                <w:rFonts w:hint="eastAsia"/>
                <w:color w:val="auto"/>
                <w:highlight w:val="none"/>
                <w:lang w:val="en-US" w:eastAsia="zh-CN"/>
              </w:rPr>
              <w:t>20人</w:t>
            </w:r>
            <w:r>
              <w:rPr>
                <w:rFonts w:hint="eastAsia"/>
                <w:color w:val="auto"/>
                <w:highlight w:val="none"/>
                <w:lang w:eastAsia="zh-CN"/>
              </w:rPr>
              <w:t>）</w:t>
            </w:r>
            <w:r>
              <w:rPr>
                <w:rFonts w:hint="eastAsia"/>
                <w:color w:val="auto"/>
                <w:highlight w:val="none"/>
              </w:rPr>
              <w:t>，人员具备</w:t>
            </w:r>
            <w:r>
              <w:rPr>
                <w:rFonts w:hint="eastAsia"/>
                <w:color w:val="auto"/>
                <w:highlight w:val="none"/>
                <w:lang w:eastAsia="zh-CN"/>
              </w:rPr>
              <w:t>宣传活动</w:t>
            </w:r>
            <w:r>
              <w:rPr>
                <w:rFonts w:hint="eastAsia"/>
                <w:color w:val="auto"/>
                <w:highlight w:val="none"/>
              </w:rPr>
              <w:t>设计相关的中级</w:t>
            </w:r>
            <w:r>
              <w:rPr>
                <w:rFonts w:hint="eastAsia"/>
                <w:color w:val="auto"/>
                <w:highlight w:val="none"/>
                <w:lang w:val="en-US" w:eastAsia="zh-CN"/>
              </w:rPr>
              <w:t>及以上</w:t>
            </w:r>
            <w:r>
              <w:rPr>
                <w:rFonts w:hint="eastAsia"/>
                <w:color w:val="auto"/>
                <w:highlight w:val="none"/>
              </w:rPr>
              <w:t>职称1-2（含）人，人员岗位清晰，工作内容明确，工作计划合理；</w:t>
            </w:r>
          </w:p>
          <w:p w14:paraId="072601AA">
            <w:pPr>
              <w:spacing w:line="420" w:lineRule="exact"/>
              <w:rPr>
                <w:rFonts w:ascii="宋体" w:hAnsi="宋体" w:cs="宋体"/>
                <w:bCs/>
                <w:color w:val="auto"/>
                <w:szCs w:val="21"/>
                <w:highlight w:val="none"/>
              </w:rPr>
            </w:pPr>
            <w:r>
              <w:rPr>
                <w:rFonts w:hint="eastAsia"/>
                <w:color w:val="auto"/>
                <w:highlight w:val="none"/>
              </w:rPr>
              <w:t>三档（14 分）：供应商提供了</w:t>
            </w:r>
            <w:r>
              <w:rPr>
                <w:rFonts w:hint="eastAsia"/>
                <w:color w:val="auto"/>
                <w:highlight w:val="none"/>
                <w:lang w:eastAsia="zh-CN"/>
              </w:rPr>
              <w:t>详细、</w:t>
            </w:r>
            <w:r>
              <w:rPr>
                <w:rFonts w:hint="eastAsia"/>
                <w:color w:val="auto"/>
                <w:highlight w:val="none"/>
              </w:rPr>
              <w:t>完善的人员配置方案，人员配备数量达到 20人及以上，人员具备</w:t>
            </w:r>
            <w:r>
              <w:rPr>
                <w:rFonts w:hint="eastAsia"/>
                <w:color w:val="auto"/>
                <w:highlight w:val="none"/>
                <w:lang w:eastAsia="zh-CN"/>
              </w:rPr>
              <w:t>宣传活动</w:t>
            </w:r>
            <w:r>
              <w:rPr>
                <w:rFonts w:hint="eastAsia"/>
                <w:color w:val="auto"/>
                <w:highlight w:val="none"/>
              </w:rPr>
              <w:t>设计相关的中级</w:t>
            </w:r>
            <w:r>
              <w:rPr>
                <w:rFonts w:hint="eastAsia"/>
                <w:color w:val="auto"/>
                <w:highlight w:val="none"/>
                <w:lang w:val="en-US" w:eastAsia="zh-CN"/>
              </w:rPr>
              <w:t>及以上</w:t>
            </w:r>
            <w:r>
              <w:rPr>
                <w:rFonts w:hint="eastAsia"/>
                <w:color w:val="auto"/>
                <w:highlight w:val="none"/>
              </w:rPr>
              <w:t>职称2人以上，人员岗位分工明确、清晰，工作内容分工明确，工作计划合理。</w:t>
            </w:r>
          </w:p>
        </w:tc>
        <w:tc>
          <w:tcPr>
            <w:tcW w:w="1041" w:type="dxa"/>
            <w:noWrap/>
            <w:vAlign w:val="center"/>
          </w:tcPr>
          <w:p w14:paraId="534E7386">
            <w:pPr>
              <w:widowControl/>
              <w:spacing w:line="360" w:lineRule="auto"/>
              <w:jc w:val="center"/>
              <w:rPr>
                <w:rFonts w:ascii="宋体" w:hAnsi="宋体" w:cs="宋体"/>
                <w:color w:val="auto"/>
                <w:kern w:val="0"/>
                <w:szCs w:val="21"/>
                <w:highlight w:val="none"/>
              </w:rPr>
            </w:pPr>
            <w:r>
              <w:rPr>
                <w:rFonts w:hint="eastAsia"/>
                <w:color w:val="auto"/>
                <w:szCs w:val="21"/>
                <w:highlight w:val="none"/>
              </w:rPr>
              <w:t>14</w:t>
            </w:r>
          </w:p>
        </w:tc>
      </w:tr>
      <w:tr w14:paraId="718E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533" w:type="dxa"/>
            <w:noWrap/>
            <w:vAlign w:val="center"/>
          </w:tcPr>
          <w:p w14:paraId="4D4BEAB4">
            <w:pPr>
              <w:spacing w:line="360" w:lineRule="auto"/>
              <w:jc w:val="center"/>
              <w:rPr>
                <w:rFonts w:ascii="宋体" w:hAnsi="宋体" w:cs="Tahoma"/>
                <w:color w:val="auto"/>
                <w:kern w:val="0"/>
                <w:szCs w:val="21"/>
                <w:highlight w:val="none"/>
              </w:rPr>
            </w:pPr>
            <w:r>
              <w:rPr>
                <w:rFonts w:hint="eastAsia" w:ascii="宋体" w:hAnsi="宋体" w:cs="Tahoma"/>
                <w:color w:val="auto"/>
                <w:kern w:val="0"/>
                <w:szCs w:val="21"/>
                <w:highlight w:val="none"/>
              </w:rPr>
              <w:t>3.2</w:t>
            </w:r>
          </w:p>
        </w:tc>
        <w:tc>
          <w:tcPr>
            <w:tcW w:w="1418" w:type="dxa"/>
            <w:noWrap/>
            <w:vAlign w:val="center"/>
          </w:tcPr>
          <w:p w14:paraId="4BB92AAB">
            <w:pPr>
              <w:widowControl/>
              <w:spacing w:line="360" w:lineRule="auto"/>
              <w:jc w:val="center"/>
              <w:rPr>
                <w:rFonts w:ascii="宋体" w:hAnsi="宋体" w:cs="Courier New"/>
                <w:bCs/>
                <w:color w:val="auto"/>
                <w:kern w:val="0"/>
                <w:szCs w:val="21"/>
                <w:highlight w:val="none"/>
              </w:rPr>
            </w:pPr>
            <w:r>
              <w:rPr>
                <w:rFonts w:hint="eastAsia" w:ascii="宋体" w:hAnsi="宋体" w:cs="宋体"/>
                <w:color w:val="auto"/>
                <w:kern w:val="0"/>
                <w:szCs w:val="21"/>
                <w:highlight w:val="none"/>
              </w:rPr>
              <w:t>业绩分</w:t>
            </w:r>
          </w:p>
        </w:tc>
        <w:tc>
          <w:tcPr>
            <w:tcW w:w="6098" w:type="dxa"/>
            <w:noWrap/>
            <w:vAlign w:val="center"/>
          </w:tcPr>
          <w:p w14:paraId="2FEE4559">
            <w:pPr>
              <w:spacing w:line="420" w:lineRule="exact"/>
              <w:rPr>
                <w:rFonts w:ascii="宋体" w:hAnsi="宋体" w:cs="宋体"/>
                <w:bCs/>
                <w:color w:val="auto"/>
                <w:szCs w:val="21"/>
                <w:highlight w:val="none"/>
              </w:rPr>
            </w:pPr>
            <w:r>
              <w:rPr>
                <w:rFonts w:hint="eastAsia" w:ascii="宋体" w:hAnsi="宋体" w:cs="宋体"/>
                <w:bCs/>
                <w:color w:val="auto"/>
                <w:szCs w:val="21"/>
                <w:highlight w:val="none"/>
              </w:rPr>
              <w:t>供应商2022年1月1日以来有过</w:t>
            </w:r>
            <w:r>
              <w:rPr>
                <w:rFonts w:hint="eastAsia" w:asciiTheme="minorEastAsia" w:hAnsiTheme="minorEastAsia" w:eastAsiaTheme="minorEastAsia" w:cstheme="minorEastAsia"/>
                <w:color w:val="auto"/>
                <w:szCs w:val="21"/>
                <w:highlight w:val="none"/>
                <w:lang w:eastAsia="zh-CN"/>
              </w:rPr>
              <w:t>类似</w:t>
            </w:r>
            <w:r>
              <w:rPr>
                <w:rFonts w:hint="eastAsia" w:ascii="宋体" w:hAnsi="宋体" w:cs="宋体"/>
                <w:bCs/>
                <w:color w:val="auto"/>
                <w:szCs w:val="21"/>
                <w:highlight w:val="none"/>
              </w:rPr>
              <w:t>项目业绩的每有1项得1分，满分6分。[</w:t>
            </w:r>
            <w:r>
              <w:rPr>
                <w:rFonts w:hint="eastAsia" w:ascii="宋体" w:hAnsi="宋体" w:cs="宋体"/>
                <w:bCs/>
                <w:color w:val="auto"/>
                <w:szCs w:val="21"/>
                <w:highlight w:val="none"/>
                <w:lang w:eastAsia="zh-CN"/>
              </w:rPr>
              <w:t>响应文件中</w:t>
            </w:r>
            <w:r>
              <w:rPr>
                <w:rFonts w:hint="eastAsia" w:ascii="宋体" w:hAnsi="宋体" w:cs="宋体"/>
                <w:bCs/>
                <w:color w:val="auto"/>
                <w:szCs w:val="21"/>
                <w:highlight w:val="none"/>
              </w:rPr>
              <w:t>提供中标/成交通知书复印件或合同关键页复印件（合同关键页至少应包括合同首尾、合同签署日期、服务期限等关键内容，否则对应合同不得分）]</w:t>
            </w:r>
          </w:p>
          <w:p w14:paraId="55C4474D">
            <w:pPr>
              <w:spacing w:line="420" w:lineRule="exact"/>
              <w:rPr>
                <w:rFonts w:ascii="宋体" w:hAnsi="宋体" w:cs="宋体"/>
                <w:bCs/>
                <w:color w:val="auto"/>
                <w:szCs w:val="21"/>
                <w:highlight w:val="none"/>
              </w:rPr>
            </w:pPr>
          </w:p>
        </w:tc>
        <w:tc>
          <w:tcPr>
            <w:tcW w:w="1041" w:type="dxa"/>
            <w:noWrap/>
            <w:vAlign w:val="center"/>
          </w:tcPr>
          <w:p w14:paraId="71B8E4B7">
            <w:pPr>
              <w:widowControl/>
              <w:spacing w:line="360" w:lineRule="auto"/>
              <w:jc w:val="center"/>
              <w:rPr>
                <w:rFonts w:ascii="宋体" w:hAnsi="宋体" w:cs="Courier New"/>
                <w:bCs/>
                <w:color w:val="auto"/>
                <w:szCs w:val="21"/>
                <w:highlight w:val="none"/>
              </w:rPr>
            </w:pPr>
            <w:r>
              <w:rPr>
                <w:rFonts w:hint="eastAsia" w:ascii="宋体" w:hAnsi="宋体" w:cs="宋体"/>
                <w:color w:val="auto"/>
                <w:kern w:val="0"/>
                <w:szCs w:val="21"/>
                <w:highlight w:val="none"/>
              </w:rPr>
              <w:t>6分</w:t>
            </w:r>
          </w:p>
        </w:tc>
      </w:tr>
      <w:tr w14:paraId="534B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049" w:type="dxa"/>
            <w:gridSpan w:val="3"/>
            <w:noWrap/>
          </w:tcPr>
          <w:p w14:paraId="3760DBAA">
            <w:pPr>
              <w:pStyle w:val="14"/>
              <w:spacing w:line="360" w:lineRule="auto"/>
              <w:ind w:firstLine="420" w:firstLineChars="200"/>
              <w:rPr>
                <w:rFonts w:hAnsi="宋体" w:cs="Courier New"/>
                <w:bCs/>
                <w:color w:val="auto"/>
                <w:kern w:val="2"/>
                <w:sz w:val="21"/>
                <w:highlight w:val="none"/>
              </w:rPr>
            </w:pPr>
            <w:r>
              <w:rPr>
                <w:rFonts w:hint="eastAsia" w:hAnsi="宋体" w:cs="Courier New"/>
                <w:bCs/>
                <w:color w:val="auto"/>
                <w:kern w:val="2"/>
                <w:sz w:val="21"/>
                <w:highlight w:val="none"/>
              </w:rPr>
              <w:t>总得分＝1＋2＋3</w:t>
            </w:r>
          </w:p>
        </w:tc>
        <w:tc>
          <w:tcPr>
            <w:tcW w:w="1041" w:type="dxa"/>
            <w:noWrap/>
            <w:vAlign w:val="center"/>
          </w:tcPr>
          <w:p w14:paraId="7CFDA8AD">
            <w:pPr>
              <w:widowControl/>
              <w:spacing w:line="360" w:lineRule="auto"/>
              <w:jc w:val="center"/>
              <w:rPr>
                <w:rFonts w:ascii="宋体" w:hAnsi="宋体" w:cs="Tahoma"/>
                <w:color w:val="auto"/>
                <w:kern w:val="0"/>
                <w:szCs w:val="21"/>
                <w:highlight w:val="none"/>
              </w:rPr>
            </w:pPr>
          </w:p>
        </w:tc>
      </w:tr>
    </w:tbl>
    <w:p w14:paraId="136B8A92">
      <w:pPr>
        <w:spacing w:line="360" w:lineRule="auto"/>
        <w:ind w:firstLine="420" w:firstLineChars="200"/>
        <w:rPr>
          <w:rFonts w:ascii="宋体" w:hAnsi="宋体"/>
          <w:color w:val="auto"/>
          <w:szCs w:val="21"/>
          <w:highlight w:val="none"/>
        </w:rPr>
      </w:pPr>
      <w:r>
        <w:rPr>
          <w:rFonts w:ascii="宋体" w:hAnsi="宋体"/>
          <w:bCs/>
          <w:color w:val="auto"/>
          <w:szCs w:val="21"/>
          <w:highlight w:val="none"/>
        </w:rPr>
        <w:t>7.</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评审得分相同的，按照最后报价由低到高的顺序推荐。评审得分且最后报价相同的，按照技术指标优劣顺序推荐（按技术得分由高到低排序）。评审得分、最后报价、技术得分均相同的，由磋商小组随机抽取推荐。</w:t>
      </w:r>
    </w:p>
    <w:p w14:paraId="0D29256E">
      <w:pPr>
        <w:spacing w:line="400" w:lineRule="exact"/>
        <w:ind w:firstLine="420" w:firstLineChars="200"/>
        <w:rPr>
          <w:rFonts w:ascii="宋体" w:hAnsi="宋体" w:cs="宋体"/>
          <w:color w:val="auto"/>
          <w:highlight w:val="none"/>
        </w:rPr>
      </w:pPr>
    </w:p>
    <w:p w14:paraId="6221FBBB">
      <w:pPr>
        <w:spacing w:line="400" w:lineRule="exact"/>
        <w:ind w:firstLine="420" w:firstLineChars="200"/>
        <w:rPr>
          <w:rFonts w:ascii="宋体" w:hAnsi="宋体" w:cs="宋体"/>
          <w:color w:val="auto"/>
          <w:highlight w:val="none"/>
        </w:rPr>
      </w:pPr>
    </w:p>
    <w:p w14:paraId="28C3E71F">
      <w:pPr>
        <w:pStyle w:val="2"/>
        <w:jc w:val="center"/>
        <w:rPr>
          <w:color w:val="auto"/>
          <w:highlight w:val="none"/>
        </w:rPr>
      </w:pPr>
      <w:r>
        <w:rPr>
          <w:color w:val="auto"/>
          <w:highlight w:val="none"/>
        </w:rPr>
        <w:br w:type="page"/>
      </w:r>
      <w:bookmarkStart w:id="78" w:name="_Toc74323460"/>
      <w:r>
        <w:rPr>
          <w:rFonts w:hint="eastAsia"/>
          <w:color w:val="auto"/>
          <w:highlight w:val="none"/>
        </w:rPr>
        <w:t>第五章 响应文件格式</w:t>
      </w:r>
      <w:bookmarkEnd w:id="78"/>
    </w:p>
    <w:p w14:paraId="70522955">
      <w:pPr>
        <w:spacing w:line="240" w:lineRule="atLeast"/>
        <w:rPr>
          <w:rFonts w:ascii="宋体" w:hAnsi="宋体"/>
          <w:b/>
          <w:color w:val="auto"/>
          <w:sz w:val="32"/>
          <w:szCs w:val="32"/>
          <w:highlight w:val="none"/>
        </w:rPr>
      </w:pPr>
    </w:p>
    <w:p w14:paraId="7EE8A726">
      <w:pPr>
        <w:spacing w:line="240" w:lineRule="atLeast"/>
        <w:rPr>
          <w:rFonts w:ascii="宋体" w:hAnsi="宋体"/>
          <w:b/>
          <w:color w:val="auto"/>
          <w:sz w:val="32"/>
          <w:szCs w:val="32"/>
          <w:highlight w:val="none"/>
        </w:rPr>
      </w:pPr>
    </w:p>
    <w:p w14:paraId="1BDFC529">
      <w:pPr>
        <w:spacing w:line="240" w:lineRule="atLeast"/>
        <w:rPr>
          <w:rFonts w:ascii="宋体" w:hAnsi="宋体"/>
          <w:b/>
          <w:color w:val="auto"/>
          <w:sz w:val="32"/>
          <w:szCs w:val="32"/>
          <w:highlight w:val="none"/>
        </w:rPr>
      </w:pPr>
    </w:p>
    <w:p w14:paraId="38D3FA7F">
      <w:pPr>
        <w:spacing w:line="240" w:lineRule="atLeast"/>
        <w:rPr>
          <w:rFonts w:ascii="宋体" w:hAnsi="宋体"/>
          <w:b/>
          <w:color w:val="auto"/>
          <w:sz w:val="32"/>
          <w:szCs w:val="32"/>
          <w:highlight w:val="none"/>
        </w:rPr>
      </w:pPr>
    </w:p>
    <w:p w14:paraId="32B65DD3">
      <w:pPr>
        <w:spacing w:line="240" w:lineRule="atLeast"/>
        <w:rPr>
          <w:rFonts w:ascii="宋体" w:hAnsi="宋体"/>
          <w:b/>
          <w:color w:val="auto"/>
          <w:sz w:val="32"/>
          <w:szCs w:val="32"/>
          <w:highlight w:val="none"/>
        </w:rPr>
      </w:pPr>
    </w:p>
    <w:p w14:paraId="1F15AE45">
      <w:pPr>
        <w:spacing w:line="240" w:lineRule="atLeast"/>
        <w:rPr>
          <w:rFonts w:ascii="宋体" w:hAnsi="宋体"/>
          <w:b/>
          <w:color w:val="auto"/>
          <w:sz w:val="32"/>
          <w:szCs w:val="32"/>
          <w:highlight w:val="none"/>
        </w:rPr>
      </w:pPr>
    </w:p>
    <w:p w14:paraId="1FB57D5F">
      <w:pPr>
        <w:spacing w:line="240" w:lineRule="atLeast"/>
        <w:rPr>
          <w:rFonts w:ascii="宋体" w:hAnsi="宋体"/>
          <w:b/>
          <w:color w:val="auto"/>
          <w:sz w:val="32"/>
          <w:szCs w:val="32"/>
          <w:highlight w:val="none"/>
        </w:rPr>
      </w:pPr>
    </w:p>
    <w:p w14:paraId="19157454">
      <w:pPr>
        <w:spacing w:line="240" w:lineRule="atLeast"/>
        <w:rPr>
          <w:rFonts w:ascii="宋体" w:hAnsi="宋体"/>
          <w:b/>
          <w:color w:val="auto"/>
          <w:sz w:val="32"/>
          <w:szCs w:val="32"/>
          <w:highlight w:val="none"/>
        </w:rPr>
      </w:pPr>
    </w:p>
    <w:p w14:paraId="5C91EC16">
      <w:pPr>
        <w:spacing w:line="240" w:lineRule="atLeast"/>
        <w:rPr>
          <w:rFonts w:ascii="宋体" w:hAnsi="宋体"/>
          <w:b/>
          <w:color w:val="auto"/>
          <w:sz w:val="32"/>
          <w:szCs w:val="32"/>
          <w:highlight w:val="none"/>
        </w:rPr>
      </w:pPr>
    </w:p>
    <w:p w14:paraId="072C69AD">
      <w:pPr>
        <w:pStyle w:val="6"/>
        <w:rPr>
          <w:color w:val="auto"/>
          <w:highlight w:val="none"/>
        </w:rPr>
      </w:pPr>
    </w:p>
    <w:p w14:paraId="0BAA14AA">
      <w:pPr>
        <w:pStyle w:val="6"/>
        <w:rPr>
          <w:color w:val="auto"/>
          <w:highlight w:val="none"/>
        </w:rPr>
      </w:pPr>
    </w:p>
    <w:p w14:paraId="062DD4A6">
      <w:pPr>
        <w:pStyle w:val="6"/>
        <w:rPr>
          <w:color w:val="auto"/>
          <w:highlight w:val="none"/>
        </w:rPr>
      </w:pPr>
    </w:p>
    <w:p w14:paraId="779F24A0">
      <w:pPr>
        <w:pStyle w:val="6"/>
        <w:rPr>
          <w:color w:val="auto"/>
          <w:highlight w:val="none"/>
        </w:rPr>
      </w:pPr>
    </w:p>
    <w:p w14:paraId="6D58664C">
      <w:pPr>
        <w:pStyle w:val="6"/>
        <w:rPr>
          <w:color w:val="auto"/>
          <w:highlight w:val="none"/>
        </w:rPr>
      </w:pPr>
    </w:p>
    <w:p w14:paraId="38F25A00">
      <w:pPr>
        <w:pStyle w:val="6"/>
        <w:rPr>
          <w:color w:val="auto"/>
          <w:highlight w:val="none"/>
        </w:rPr>
      </w:pPr>
    </w:p>
    <w:p w14:paraId="6F4DC378">
      <w:pPr>
        <w:pStyle w:val="6"/>
        <w:rPr>
          <w:color w:val="auto"/>
          <w:highlight w:val="none"/>
        </w:rPr>
      </w:pPr>
    </w:p>
    <w:p w14:paraId="0DB2FAED">
      <w:pPr>
        <w:pStyle w:val="6"/>
        <w:rPr>
          <w:color w:val="auto"/>
          <w:highlight w:val="none"/>
        </w:rPr>
      </w:pPr>
    </w:p>
    <w:p w14:paraId="60F93866">
      <w:pPr>
        <w:pStyle w:val="6"/>
        <w:rPr>
          <w:color w:val="auto"/>
          <w:highlight w:val="none"/>
        </w:rPr>
      </w:pPr>
    </w:p>
    <w:p w14:paraId="6022D284">
      <w:pPr>
        <w:pStyle w:val="6"/>
        <w:rPr>
          <w:color w:val="auto"/>
          <w:highlight w:val="none"/>
        </w:rPr>
      </w:pPr>
    </w:p>
    <w:p w14:paraId="374266CA">
      <w:pPr>
        <w:pStyle w:val="6"/>
        <w:rPr>
          <w:color w:val="auto"/>
          <w:highlight w:val="none"/>
        </w:rPr>
      </w:pPr>
    </w:p>
    <w:p w14:paraId="01CC03F8">
      <w:pPr>
        <w:pStyle w:val="6"/>
        <w:rPr>
          <w:color w:val="auto"/>
          <w:highlight w:val="none"/>
        </w:rPr>
      </w:pPr>
    </w:p>
    <w:p w14:paraId="2BA1CE05">
      <w:pPr>
        <w:pStyle w:val="6"/>
        <w:rPr>
          <w:color w:val="auto"/>
          <w:highlight w:val="none"/>
        </w:rPr>
      </w:pPr>
    </w:p>
    <w:p w14:paraId="6F97FBAA">
      <w:pPr>
        <w:pStyle w:val="6"/>
        <w:rPr>
          <w:color w:val="auto"/>
          <w:highlight w:val="none"/>
        </w:rPr>
      </w:pPr>
    </w:p>
    <w:p w14:paraId="79C131EF">
      <w:pPr>
        <w:pStyle w:val="6"/>
        <w:rPr>
          <w:color w:val="auto"/>
          <w:highlight w:val="none"/>
        </w:rPr>
      </w:pPr>
    </w:p>
    <w:p w14:paraId="30EBD6BC">
      <w:pPr>
        <w:pStyle w:val="6"/>
        <w:rPr>
          <w:color w:val="auto"/>
          <w:highlight w:val="none"/>
        </w:rPr>
      </w:pPr>
    </w:p>
    <w:p w14:paraId="5F91CC68">
      <w:pPr>
        <w:pStyle w:val="6"/>
        <w:rPr>
          <w:color w:val="auto"/>
          <w:highlight w:val="none"/>
        </w:rPr>
      </w:pPr>
    </w:p>
    <w:p w14:paraId="32DE630D">
      <w:pPr>
        <w:pStyle w:val="6"/>
        <w:rPr>
          <w:color w:val="auto"/>
          <w:highlight w:val="none"/>
        </w:rPr>
      </w:pPr>
    </w:p>
    <w:p w14:paraId="5D690003">
      <w:pPr>
        <w:pStyle w:val="6"/>
        <w:rPr>
          <w:color w:val="auto"/>
          <w:highlight w:val="none"/>
        </w:rPr>
      </w:pPr>
    </w:p>
    <w:p w14:paraId="2B33B566">
      <w:pPr>
        <w:pStyle w:val="6"/>
        <w:rPr>
          <w:color w:val="auto"/>
          <w:highlight w:val="none"/>
        </w:rPr>
      </w:pPr>
    </w:p>
    <w:p w14:paraId="48A3FCCE">
      <w:pPr>
        <w:pStyle w:val="6"/>
        <w:rPr>
          <w:color w:val="auto"/>
          <w:highlight w:val="none"/>
        </w:rPr>
      </w:pPr>
    </w:p>
    <w:p w14:paraId="6FDDCC7A">
      <w:pPr>
        <w:pStyle w:val="6"/>
        <w:rPr>
          <w:color w:val="auto"/>
          <w:highlight w:val="none"/>
        </w:rPr>
      </w:pPr>
    </w:p>
    <w:p w14:paraId="03FE0545">
      <w:pPr>
        <w:pStyle w:val="6"/>
        <w:rPr>
          <w:color w:val="auto"/>
          <w:highlight w:val="none"/>
        </w:rPr>
      </w:pPr>
    </w:p>
    <w:p w14:paraId="6B541DB3">
      <w:pPr>
        <w:pStyle w:val="6"/>
        <w:rPr>
          <w:color w:val="auto"/>
          <w:highlight w:val="none"/>
        </w:rPr>
      </w:pPr>
    </w:p>
    <w:p w14:paraId="021F9F91">
      <w:pPr>
        <w:pStyle w:val="6"/>
        <w:rPr>
          <w:color w:val="auto"/>
          <w:highlight w:val="none"/>
        </w:rPr>
      </w:pPr>
    </w:p>
    <w:p w14:paraId="10A8107E">
      <w:pPr>
        <w:spacing w:line="240" w:lineRule="atLeast"/>
        <w:rPr>
          <w:rFonts w:ascii="宋体" w:hAnsi="宋体"/>
          <w:b/>
          <w:color w:val="auto"/>
          <w:sz w:val="32"/>
          <w:szCs w:val="32"/>
          <w:highlight w:val="none"/>
        </w:rPr>
      </w:pPr>
    </w:p>
    <w:p w14:paraId="36C9BF41">
      <w:pPr>
        <w:spacing w:line="240" w:lineRule="atLeast"/>
        <w:rPr>
          <w:rFonts w:ascii="宋体" w:hAnsi="宋体"/>
          <w:b/>
          <w:color w:val="auto"/>
          <w:sz w:val="32"/>
          <w:szCs w:val="32"/>
          <w:highlight w:val="none"/>
        </w:rPr>
      </w:pPr>
    </w:p>
    <w:p w14:paraId="048D0B17">
      <w:pPr>
        <w:snapToGrid w:val="0"/>
        <w:spacing w:before="50" w:after="50"/>
        <w:outlineLvl w:val="1"/>
        <w:rPr>
          <w:rFonts w:ascii="宋体" w:hAnsi="宋体"/>
          <w:b/>
          <w:bCs/>
          <w:color w:val="auto"/>
          <w:sz w:val="24"/>
          <w:highlight w:val="none"/>
        </w:rPr>
      </w:pPr>
    </w:p>
    <w:p w14:paraId="3FE51D6F">
      <w:pPr>
        <w:snapToGrid w:val="0"/>
        <w:spacing w:beforeLines="50" w:after="50"/>
        <w:jc w:val="center"/>
        <w:rPr>
          <w:rFonts w:ascii="仿宋_GB2312" w:hAnsi="仿宋_GB2312" w:eastAsia="仿宋_GB2312" w:cs="仿宋_GB2312"/>
          <w:bCs/>
          <w:color w:val="auto"/>
          <w:sz w:val="32"/>
          <w:szCs w:val="32"/>
          <w:highlight w:val="none"/>
        </w:rPr>
      </w:pPr>
    </w:p>
    <w:p w14:paraId="06723B01">
      <w:pPr>
        <w:rPr>
          <w:b/>
          <w:color w:val="auto"/>
          <w:sz w:val="32"/>
          <w:szCs w:val="32"/>
          <w:highlight w:val="none"/>
        </w:rPr>
      </w:pPr>
      <w:bookmarkStart w:id="79" w:name="_Toc44229899"/>
      <w:bookmarkStart w:id="80" w:name="_Toc31723070"/>
      <w:bookmarkStart w:id="81" w:name="_Toc71366186"/>
      <w:bookmarkStart w:id="82" w:name="_Toc35611438"/>
      <w:bookmarkStart w:id="83" w:name="_Toc31728084"/>
      <w:bookmarkStart w:id="84" w:name="_Toc35611516"/>
      <w:r>
        <w:rPr>
          <w:rFonts w:hint="eastAsia"/>
          <w:b/>
          <w:color w:val="auto"/>
          <w:sz w:val="32"/>
          <w:szCs w:val="32"/>
          <w:highlight w:val="none"/>
        </w:rPr>
        <w:t>一、资格证明文件格式</w:t>
      </w:r>
      <w:bookmarkEnd w:id="79"/>
      <w:bookmarkEnd w:id="80"/>
      <w:bookmarkEnd w:id="81"/>
      <w:bookmarkEnd w:id="82"/>
      <w:bookmarkEnd w:id="83"/>
      <w:bookmarkEnd w:id="84"/>
    </w:p>
    <w:p w14:paraId="3C3F397E">
      <w:pPr>
        <w:snapToGrid w:val="0"/>
        <w:spacing w:beforeLines="50" w:after="50" w:line="360" w:lineRule="auto"/>
        <w:jc w:val="left"/>
        <w:rPr>
          <w:rFonts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6426EE97">
      <w:pPr>
        <w:snapToGrid w:val="0"/>
        <w:spacing w:beforeLines="50" w:after="50"/>
        <w:jc w:val="center"/>
        <w:rPr>
          <w:rFonts w:ascii="宋体" w:hAnsi="宋体"/>
          <w:color w:val="auto"/>
          <w:sz w:val="44"/>
          <w:szCs w:val="44"/>
          <w:highlight w:val="none"/>
        </w:rPr>
      </w:pPr>
    </w:p>
    <w:p w14:paraId="06CF1C89">
      <w:pPr>
        <w:snapToGrid w:val="0"/>
        <w:spacing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3931E614">
      <w:pPr>
        <w:snapToGrid w:val="0"/>
        <w:spacing w:beforeLines="50" w:after="50"/>
        <w:rPr>
          <w:rFonts w:ascii="宋体" w:hAnsi="宋体"/>
          <w:color w:val="auto"/>
          <w:sz w:val="24"/>
          <w:szCs w:val="20"/>
          <w:highlight w:val="none"/>
        </w:rPr>
      </w:pPr>
    </w:p>
    <w:p w14:paraId="2AACF3DA">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234C36EC">
      <w:pPr>
        <w:snapToGrid w:val="0"/>
        <w:spacing w:beforeLines="50" w:after="50"/>
        <w:rPr>
          <w:rFonts w:ascii="宋体" w:hAnsi="宋体"/>
          <w:bCs/>
          <w:color w:val="auto"/>
          <w:sz w:val="24"/>
          <w:szCs w:val="20"/>
          <w:highlight w:val="none"/>
        </w:rPr>
      </w:pPr>
    </w:p>
    <w:p w14:paraId="7B550302">
      <w:pPr>
        <w:snapToGrid w:val="0"/>
        <w:spacing w:beforeLines="50" w:after="50"/>
        <w:rPr>
          <w:rFonts w:ascii="宋体" w:hAnsi="宋体"/>
          <w:bCs/>
          <w:color w:val="auto"/>
          <w:sz w:val="24"/>
          <w:szCs w:val="20"/>
          <w:highlight w:val="none"/>
        </w:rPr>
      </w:pPr>
    </w:p>
    <w:p w14:paraId="288CA69E">
      <w:pPr>
        <w:snapToGrid w:val="0"/>
        <w:spacing w:beforeLines="50" w:after="50"/>
        <w:rPr>
          <w:rFonts w:ascii="宋体" w:hAnsi="宋体"/>
          <w:bCs/>
          <w:color w:val="auto"/>
          <w:sz w:val="24"/>
          <w:szCs w:val="20"/>
          <w:highlight w:val="none"/>
        </w:rPr>
      </w:pPr>
    </w:p>
    <w:p w14:paraId="225B000B">
      <w:pPr>
        <w:snapToGrid w:val="0"/>
        <w:spacing w:beforeLines="50" w:after="50"/>
        <w:rPr>
          <w:rFonts w:ascii="宋体" w:hAnsi="宋体"/>
          <w:bCs/>
          <w:color w:val="auto"/>
          <w:sz w:val="24"/>
          <w:szCs w:val="20"/>
          <w:highlight w:val="none"/>
        </w:rPr>
      </w:pPr>
    </w:p>
    <w:p w14:paraId="5E8542E2">
      <w:pPr>
        <w:snapToGrid w:val="0"/>
        <w:spacing w:beforeLines="50" w:after="50"/>
        <w:rPr>
          <w:rFonts w:ascii="宋体" w:hAnsi="宋体"/>
          <w:bCs/>
          <w:color w:val="auto"/>
          <w:sz w:val="24"/>
          <w:szCs w:val="20"/>
          <w:highlight w:val="none"/>
        </w:rPr>
      </w:pPr>
    </w:p>
    <w:p w14:paraId="21FF4926">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F6C9BB1">
      <w:pPr>
        <w:snapToGrid w:val="0"/>
        <w:spacing w:beforeLines="50" w:after="50"/>
        <w:ind w:firstLine="720" w:firstLineChars="225"/>
        <w:rPr>
          <w:rFonts w:ascii="宋体" w:hAnsi="宋体" w:cs="仿宋_GB2312"/>
          <w:bCs/>
          <w:color w:val="auto"/>
          <w:sz w:val="32"/>
          <w:szCs w:val="32"/>
          <w:highlight w:val="none"/>
        </w:rPr>
      </w:pPr>
    </w:p>
    <w:p w14:paraId="41C74154">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EEA9379">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4AF9A9B1">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3E2B807A">
      <w:pPr>
        <w:snapToGrid w:val="0"/>
        <w:spacing w:beforeLines="50" w:after="50"/>
        <w:ind w:firstLine="720" w:firstLineChars="225"/>
        <w:rPr>
          <w:rFonts w:ascii="宋体" w:hAnsi="宋体" w:cs="仿宋_GB2312"/>
          <w:bCs/>
          <w:color w:val="auto"/>
          <w:sz w:val="32"/>
          <w:szCs w:val="32"/>
          <w:highlight w:val="none"/>
        </w:rPr>
      </w:pPr>
    </w:p>
    <w:p w14:paraId="1164754B">
      <w:pPr>
        <w:pStyle w:val="6"/>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699C8F2">
      <w:pPr>
        <w:snapToGrid w:val="0"/>
        <w:spacing w:beforeLines="50" w:after="50"/>
        <w:ind w:firstLine="640" w:firstLineChars="200"/>
        <w:rPr>
          <w:rFonts w:ascii="宋体" w:hAnsi="宋体" w:cs="仿宋_GB2312"/>
          <w:bCs/>
          <w:color w:val="auto"/>
          <w:sz w:val="32"/>
          <w:szCs w:val="32"/>
          <w:highlight w:val="none"/>
        </w:rPr>
      </w:pPr>
    </w:p>
    <w:p w14:paraId="775A5838">
      <w:pPr>
        <w:pStyle w:val="6"/>
        <w:snapToGrid w:val="0"/>
        <w:spacing w:before="50" w:after="50"/>
        <w:ind w:firstLine="720" w:firstLineChars="225"/>
        <w:rPr>
          <w:rFonts w:ascii="宋体" w:hAnsi="宋体" w:cs="仿宋_GB2312"/>
          <w:bCs/>
          <w:color w:val="auto"/>
          <w:sz w:val="32"/>
          <w:szCs w:val="32"/>
          <w:highlight w:val="none"/>
        </w:rPr>
      </w:pPr>
    </w:p>
    <w:p w14:paraId="1F5FFC41">
      <w:pPr>
        <w:pStyle w:val="6"/>
        <w:snapToGrid w:val="0"/>
        <w:spacing w:before="50" w:after="50"/>
        <w:ind w:firstLine="720" w:firstLineChars="225"/>
        <w:rPr>
          <w:rFonts w:ascii="宋体" w:hAnsi="宋体" w:cs="仿宋_GB2312"/>
          <w:bCs/>
          <w:color w:val="auto"/>
          <w:sz w:val="32"/>
          <w:szCs w:val="32"/>
          <w:highlight w:val="none"/>
        </w:rPr>
      </w:pPr>
    </w:p>
    <w:p w14:paraId="09591364">
      <w:pPr>
        <w:pStyle w:val="6"/>
        <w:snapToGrid w:val="0"/>
        <w:spacing w:before="50" w:after="50"/>
        <w:ind w:firstLine="1280" w:firstLineChars="400"/>
        <w:rPr>
          <w:rFonts w:ascii="宋体" w:hAnsi="宋体" w:cs="仿宋_GB2312"/>
          <w:bCs/>
          <w:color w:val="auto"/>
          <w:sz w:val="32"/>
          <w:szCs w:val="32"/>
          <w:highlight w:val="none"/>
        </w:rPr>
      </w:pPr>
    </w:p>
    <w:p w14:paraId="05248551">
      <w:pPr>
        <w:snapToGrid w:val="0"/>
        <w:spacing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3BF86AE">
      <w:pPr>
        <w:snapToGrid w:val="0"/>
        <w:spacing w:beforeLines="50" w:after="50" w:line="360" w:lineRule="auto"/>
        <w:ind w:left="142"/>
        <w:jc w:val="left"/>
        <w:rPr>
          <w:rFonts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5CEF647D">
      <w:pPr>
        <w:snapToGrid w:val="0"/>
        <w:spacing w:beforeLines="50" w:after="50" w:line="360" w:lineRule="auto"/>
        <w:ind w:firstLine="645"/>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5DB359B8">
      <w:pPr>
        <w:snapToGrid w:val="0"/>
        <w:spacing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368EF31E">
      <w:pPr>
        <w:spacing w:line="300" w:lineRule="auto"/>
        <w:rPr>
          <w:rFonts w:ascii="宋体" w:hAnsi="宋体"/>
          <w:color w:val="auto"/>
          <w:szCs w:val="21"/>
          <w:highlight w:val="none"/>
        </w:rPr>
      </w:pPr>
    </w:p>
    <w:p w14:paraId="13635CB2">
      <w:pPr>
        <w:spacing w:line="300" w:lineRule="auto"/>
        <w:rPr>
          <w:rFonts w:ascii="宋体" w:hAnsi="宋体"/>
          <w:color w:val="auto"/>
          <w:szCs w:val="21"/>
          <w:highlight w:val="none"/>
        </w:rPr>
      </w:pPr>
    </w:p>
    <w:p w14:paraId="662DBC00">
      <w:pPr>
        <w:spacing w:line="300" w:lineRule="auto"/>
        <w:rPr>
          <w:rFonts w:ascii="宋体" w:hAnsi="宋体"/>
          <w:color w:val="auto"/>
          <w:szCs w:val="21"/>
          <w:highlight w:val="none"/>
        </w:rPr>
      </w:pPr>
    </w:p>
    <w:p w14:paraId="31BFBE29">
      <w:pPr>
        <w:spacing w:line="300" w:lineRule="auto"/>
        <w:rPr>
          <w:rFonts w:ascii="宋体" w:hAnsi="宋体"/>
          <w:color w:val="auto"/>
          <w:szCs w:val="21"/>
          <w:highlight w:val="none"/>
        </w:rPr>
      </w:pPr>
    </w:p>
    <w:p w14:paraId="694627FD">
      <w:pPr>
        <w:spacing w:line="300" w:lineRule="auto"/>
        <w:rPr>
          <w:rFonts w:ascii="宋体" w:hAnsi="宋体"/>
          <w:color w:val="auto"/>
          <w:szCs w:val="21"/>
          <w:highlight w:val="none"/>
        </w:rPr>
      </w:pPr>
    </w:p>
    <w:p w14:paraId="1A95A611">
      <w:pPr>
        <w:spacing w:line="300" w:lineRule="auto"/>
        <w:rPr>
          <w:rFonts w:ascii="宋体" w:hAnsi="宋体"/>
          <w:color w:val="auto"/>
          <w:szCs w:val="21"/>
          <w:highlight w:val="none"/>
        </w:rPr>
      </w:pPr>
    </w:p>
    <w:p w14:paraId="0822BA72">
      <w:pPr>
        <w:spacing w:line="300" w:lineRule="auto"/>
        <w:rPr>
          <w:rFonts w:ascii="宋体" w:hAnsi="宋体"/>
          <w:color w:val="auto"/>
          <w:szCs w:val="21"/>
          <w:highlight w:val="none"/>
        </w:rPr>
      </w:pPr>
    </w:p>
    <w:p w14:paraId="0F741795">
      <w:pPr>
        <w:spacing w:line="300" w:lineRule="auto"/>
        <w:rPr>
          <w:rFonts w:ascii="宋体" w:hAnsi="宋体"/>
          <w:color w:val="auto"/>
          <w:szCs w:val="21"/>
          <w:highlight w:val="none"/>
        </w:rPr>
      </w:pPr>
    </w:p>
    <w:p w14:paraId="4FA03B5F">
      <w:pPr>
        <w:spacing w:line="300" w:lineRule="auto"/>
        <w:rPr>
          <w:rFonts w:ascii="宋体" w:hAnsi="宋体"/>
          <w:color w:val="auto"/>
          <w:szCs w:val="21"/>
          <w:highlight w:val="none"/>
        </w:rPr>
      </w:pPr>
    </w:p>
    <w:p w14:paraId="3DEA1820">
      <w:pPr>
        <w:spacing w:line="300" w:lineRule="auto"/>
        <w:rPr>
          <w:rFonts w:ascii="宋体" w:hAnsi="宋体"/>
          <w:color w:val="auto"/>
          <w:szCs w:val="21"/>
          <w:highlight w:val="none"/>
        </w:rPr>
      </w:pPr>
    </w:p>
    <w:p w14:paraId="77D09223">
      <w:pPr>
        <w:spacing w:line="300" w:lineRule="auto"/>
        <w:rPr>
          <w:rFonts w:ascii="宋体" w:hAnsi="宋体"/>
          <w:color w:val="auto"/>
          <w:szCs w:val="21"/>
          <w:highlight w:val="none"/>
        </w:rPr>
      </w:pPr>
    </w:p>
    <w:p w14:paraId="3CBBA668">
      <w:pPr>
        <w:spacing w:line="300" w:lineRule="auto"/>
        <w:rPr>
          <w:rFonts w:ascii="宋体" w:hAnsi="宋体"/>
          <w:color w:val="auto"/>
          <w:szCs w:val="21"/>
          <w:highlight w:val="none"/>
        </w:rPr>
      </w:pPr>
    </w:p>
    <w:p w14:paraId="78796325">
      <w:pPr>
        <w:spacing w:line="300" w:lineRule="auto"/>
        <w:rPr>
          <w:rFonts w:ascii="宋体" w:hAnsi="宋体"/>
          <w:color w:val="auto"/>
          <w:szCs w:val="21"/>
          <w:highlight w:val="none"/>
        </w:rPr>
      </w:pPr>
    </w:p>
    <w:p w14:paraId="0C9E7CAC">
      <w:pPr>
        <w:spacing w:line="300" w:lineRule="auto"/>
        <w:rPr>
          <w:rFonts w:ascii="宋体" w:hAnsi="宋体"/>
          <w:color w:val="auto"/>
          <w:szCs w:val="21"/>
          <w:highlight w:val="none"/>
        </w:rPr>
      </w:pPr>
    </w:p>
    <w:p w14:paraId="2426FCDE">
      <w:pPr>
        <w:spacing w:line="300" w:lineRule="auto"/>
        <w:rPr>
          <w:rFonts w:ascii="宋体" w:hAnsi="宋体"/>
          <w:color w:val="auto"/>
          <w:szCs w:val="21"/>
          <w:highlight w:val="none"/>
        </w:rPr>
      </w:pPr>
    </w:p>
    <w:p w14:paraId="361DC2CD">
      <w:pPr>
        <w:spacing w:line="320" w:lineRule="exact"/>
        <w:jc w:val="center"/>
        <w:rPr>
          <w:rFonts w:ascii="宋体" w:hAnsi="宋体"/>
          <w:b/>
          <w:color w:val="auto"/>
          <w:sz w:val="32"/>
          <w:szCs w:val="32"/>
          <w:highlight w:val="none"/>
        </w:rPr>
      </w:pPr>
      <w:r>
        <w:rPr>
          <w:rFonts w:ascii="宋体" w:hAnsi="宋体"/>
          <w:color w:val="auto"/>
          <w:szCs w:val="21"/>
          <w:highlight w:val="none"/>
        </w:rPr>
        <w:br w:type="page"/>
      </w:r>
      <w:r>
        <w:rPr>
          <w:rFonts w:hint="eastAsia" w:ascii="宋体" w:hAnsi="宋体"/>
          <w:color w:val="auto"/>
          <w:szCs w:val="21"/>
          <w:highlight w:val="none"/>
        </w:rPr>
        <w:t xml:space="preserve"> </w:t>
      </w:r>
      <w:r>
        <w:rPr>
          <w:rFonts w:hint="eastAsia" w:ascii="宋体" w:hAnsi="宋体"/>
          <w:b/>
          <w:color w:val="auto"/>
          <w:sz w:val="32"/>
          <w:szCs w:val="32"/>
          <w:highlight w:val="none"/>
        </w:rPr>
        <w:t>防城港市政府采购供应商信用承诺函（格式）</w:t>
      </w:r>
    </w:p>
    <w:p w14:paraId="5F0D19B8">
      <w:pPr>
        <w:spacing w:line="320" w:lineRule="exact"/>
        <w:jc w:val="left"/>
        <w:rPr>
          <w:rFonts w:ascii="宋体" w:hAnsi="宋体"/>
          <w:color w:val="auto"/>
          <w:szCs w:val="21"/>
          <w:highlight w:val="none"/>
        </w:rPr>
      </w:pPr>
    </w:p>
    <w:p w14:paraId="25F8C91C">
      <w:pPr>
        <w:spacing w:line="360" w:lineRule="auto"/>
        <w:jc w:val="left"/>
        <w:rPr>
          <w:rFonts w:ascii="宋体" w:hAnsi="宋体"/>
          <w:color w:val="auto"/>
          <w:sz w:val="24"/>
          <w:highlight w:val="none"/>
        </w:rPr>
      </w:pPr>
      <w:r>
        <w:rPr>
          <w:rFonts w:hint="eastAsia" w:ascii="宋体" w:hAnsi="宋体"/>
          <w:color w:val="auto"/>
          <w:sz w:val="24"/>
          <w:highlight w:val="none"/>
        </w:rPr>
        <w:t>致（采购人或采购代理机构） ：</w:t>
      </w:r>
    </w:p>
    <w:p w14:paraId="5651C8B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1841622D">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1.我方具有符合采购文件资格要求的财务状况报告。 </w:t>
      </w:r>
    </w:p>
    <w:p w14:paraId="797E73E9">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2.我方具有符合采购文件资格要求的依法缴纳税收和社会保障资金的良好记录。 </w:t>
      </w:r>
    </w:p>
    <w:p w14:paraId="48E4E22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112A51FF">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5B18C201">
      <w:pPr>
        <w:spacing w:line="360" w:lineRule="auto"/>
        <w:jc w:val="left"/>
        <w:rPr>
          <w:rFonts w:ascii="宋体" w:hAnsi="宋体"/>
          <w:color w:val="auto"/>
          <w:sz w:val="24"/>
          <w:highlight w:val="none"/>
        </w:rPr>
      </w:pPr>
    </w:p>
    <w:p w14:paraId="013645A0">
      <w:pPr>
        <w:spacing w:line="360" w:lineRule="auto"/>
        <w:jc w:val="left"/>
        <w:rPr>
          <w:rFonts w:ascii="宋体" w:hAnsi="宋体"/>
          <w:color w:val="auto"/>
          <w:sz w:val="24"/>
          <w:highlight w:val="none"/>
        </w:rPr>
      </w:pPr>
    </w:p>
    <w:p w14:paraId="789C4379">
      <w:pPr>
        <w:spacing w:line="360" w:lineRule="auto"/>
        <w:jc w:val="left"/>
        <w:rPr>
          <w:rFonts w:ascii="宋体" w:hAnsi="宋体"/>
          <w:color w:val="auto"/>
          <w:sz w:val="24"/>
          <w:highlight w:val="none"/>
        </w:rPr>
      </w:pPr>
      <w:r>
        <w:rPr>
          <w:rFonts w:hint="eastAsia" w:ascii="宋体" w:hAnsi="宋体"/>
          <w:color w:val="auto"/>
          <w:sz w:val="24"/>
          <w:highlight w:val="none"/>
        </w:rPr>
        <w:t>供应商名称（电子签章）：</w:t>
      </w:r>
    </w:p>
    <w:p w14:paraId="64852829">
      <w:pPr>
        <w:spacing w:line="360" w:lineRule="auto"/>
        <w:jc w:val="left"/>
        <w:rPr>
          <w:rFonts w:ascii="宋体" w:hAnsi="宋体"/>
          <w:color w:val="auto"/>
          <w:sz w:val="24"/>
          <w:highlight w:val="none"/>
        </w:rPr>
      </w:pPr>
      <w:r>
        <w:rPr>
          <w:rFonts w:hint="eastAsia" w:ascii="宋体" w:hAnsi="宋体"/>
          <w:color w:val="auto"/>
          <w:sz w:val="24"/>
          <w:highlight w:val="none"/>
        </w:rPr>
        <w:t>统一社会信用代码：</w:t>
      </w:r>
    </w:p>
    <w:p w14:paraId="1260E156">
      <w:pPr>
        <w:spacing w:line="360" w:lineRule="auto"/>
        <w:jc w:val="left"/>
        <w:rPr>
          <w:rFonts w:ascii="宋体" w:hAnsi="宋体"/>
          <w:color w:val="auto"/>
          <w:sz w:val="24"/>
          <w:highlight w:val="none"/>
        </w:rPr>
      </w:pPr>
      <w:r>
        <w:rPr>
          <w:rFonts w:hint="eastAsia" w:ascii="宋体" w:hAnsi="宋体"/>
          <w:color w:val="auto"/>
          <w:sz w:val="24"/>
          <w:highlight w:val="none"/>
        </w:rPr>
        <w:t>法定代表人或授权代表(签字或者电子签名)：</w:t>
      </w:r>
    </w:p>
    <w:p w14:paraId="5F771C7B">
      <w:pPr>
        <w:spacing w:line="360" w:lineRule="auto"/>
        <w:jc w:val="left"/>
        <w:rPr>
          <w:rFonts w:ascii="宋体" w:hAnsi="宋体"/>
          <w:color w:val="auto"/>
          <w:sz w:val="24"/>
          <w:highlight w:val="none"/>
        </w:rPr>
      </w:pPr>
      <w:r>
        <w:rPr>
          <w:rFonts w:hint="eastAsia" w:ascii="宋体" w:hAnsi="宋体"/>
          <w:color w:val="auto"/>
          <w:sz w:val="24"/>
          <w:highlight w:val="none"/>
        </w:rPr>
        <w:t>日期： 年 月 日</w:t>
      </w:r>
    </w:p>
    <w:p w14:paraId="4C7988BE">
      <w:pPr>
        <w:spacing w:line="360" w:lineRule="auto"/>
        <w:jc w:val="left"/>
        <w:rPr>
          <w:rFonts w:ascii="宋体" w:hAnsi="宋体"/>
          <w:color w:val="auto"/>
          <w:sz w:val="24"/>
          <w:highlight w:val="none"/>
        </w:rPr>
      </w:pPr>
    </w:p>
    <w:p w14:paraId="53C4B7DA">
      <w:pPr>
        <w:spacing w:line="360" w:lineRule="auto"/>
        <w:jc w:val="left"/>
        <w:rPr>
          <w:rFonts w:ascii="宋体" w:hAnsi="宋体"/>
          <w:color w:val="auto"/>
          <w:sz w:val="24"/>
          <w:highlight w:val="none"/>
        </w:rPr>
      </w:pPr>
      <w:r>
        <w:rPr>
          <w:rFonts w:hint="eastAsia" w:ascii="宋体" w:hAnsi="宋体"/>
          <w:color w:val="auto"/>
          <w:sz w:val="24"/>
          <w:highlight w:val="none"/>
        </w:rPr>
        <w:t>注：1.供应商须在响应文件中按此模板提供承诺函，未提供视为未实质性响应采购文件要求，按无效响应处理。</w:t>
      </w:r>
    </w:p>
    <w:p w14:paraId="6044B5BE">
      <w:pPr>
        <w:spacing w:line="360" w:lineRule="auto"/>
        <w:jc w:val="left"/>
        <w:rPr>
          <w:rFonts w:ascii="宋体" w:hAnsi="宋体"/>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5713819C">
      <w:pPr>
        <w:spacing w:line="320" w:lineRule="exact"/>
        <w:jc w:val="left"/>
        <w:rPr>
          <w:rFonts w:ascii="宋体" w:hAnsi="宋体"/>
          <w:color w:val="auto"/>
          <w:szCs w:val="21"/>
          <w:highlight w:val="none"/>
        </w:rPr>
      </w:pPr>
    </w:p>
    <w:p w14:paraId="21639B92">
      <w:pPr>
        <w:pStyle w:val="6"/>
        <w:rPr>
          <w:color w:val="auto"/>
          <w:highlight w:val="none"/>
        </w:rPr>
      </w:pPr>
    </w:p>
    <w:p w14:paraId="44B29A47">
      <w:pPr>
        <w:pStyle w:val="6"/>
        <w:rPr>
          <w:color w:val="auto"/>
          <w:highlight w:val="none"/>
        </w:rPr>
      </w:pPr>
    </w:p>
    <w:p w14:paraId="7D4FBDCA">
      <w:pPr>
        <w:pStyle w:val="6"/>
        <w:rPr>
          <w:color w:val="auto"/>
          <w:highlight w:val="none"/>
        </w:rPr>
      </w:pPr>
    </w:p>
    <w:p w14:paraId="46F82372">
      <w:pPr>
        <w:pStyle w:val="6"/>
        <w:rPr>
          <w:color w:val="auto"/>
          <w:highlight w:val="none"/>
        </w:rPr>
      </w:pPr>
    </w:p>
    <w:p w14:paraId="4C963964">
      <w:pPr>
        <w:pStyle w:val="6"/>
        <w:rPr>
          <w:color w:val="auto"/>
          <w:highlight w:val="none"/>
        </w:rPr>
      </w:pPr>
    </w:p>
    <w:p w14:paraId="573C3C50">
      <w:pPr>
        <w:pStyle w:val="6"/>
        <w:rPr>
          <w:color w:val="auto"/>
          <w:highlight w:val="none"/>
        </w:rPr>
      </w:pPr>
    </w:p>
    <w:p w14:paraId="342FE839">
      <w:pPr>
        <w:pStyle w:val="6"/>
        <w:rPr>
          <w:color w:val="auto"/>
          <w:highlight w:val="none"/>
        </w:rPr>
      </w:pPr>
    </w:p>
    <w:p w14:paraId="29DBEB82">
      <w:pPr>
        <w:pStyle w:val="6"/>
        <w:rPr>
          <w:color w:val="auto"/>
          <w:highlight w:val="none"/>
        </w:rPr>
      </w:pPr>
    </w:p>
    <w:p w14:paraId="2229AE61">
      <w:pPr>
        <w:pStyle w:val="6"/>
        <w:rPr>
          <w:color w:val="auto"/>
          <w:highlight w:val="none"/>
        </w:rPr>
      </w:pPr>
    </w:p>
    <w:p w14:paraId="6F24772C">
      <w:pPr>
        <w:pStyle w:val="6"/>
        <w:rPr>
          <w:color w:val="auto"/>
          <w:highlight w:val="none"/>
        </w:rPr>
      </w:pPr>
    </w:p>
    <w:p w14:paraId="0DB1F996">
      <w:pPr>
        <w:pStyle w:val="6"/>
        <w:rPr>
          <w:color w:val="auto"/>
          <w:highlight w:val="none"/>
        </w:rPr>
      </w:pPr>
    </w:p>
    <w:p w14:paraId="3F6A808D">
      <w:pPr>
        <w:pStyle w:val="6"/>
        <w:rPr>
          <w:color w:val="auto"/>
          <w:highlight w:val="none"/>
        </w:rPr>
      </w:pPr>
    </w:p>
    <w:p w14:paraId="4C8558D6">
      <w:pPr>
        <w:pStyle w:val="6"/>
        <w:rPr>
          <w:color w:val="auto"/>
          <w:highlight w:val="none"/>
        </w:rPr>
      </w:pPr>
    </w:p>
    <w:p w14:paraId="3FABE52A">
      <w:pPr>
        <w:wordWrap w:val="0"/>
        <w:spacing w:beforeLines="50" w:after="50" w:line="320" w:lineRule="exact"/>
        <w:ind w:right="482" w:firstLine="210" w:firstLineChars="100"/>
        <w:contextualSpacing/>
        <w:jc w:val="center"/>
        <w:rPr>
          <w:rFonts w:ascii="宋体" w:hAnsi="宋体"/>
          <w:color w:val="auto"/>
          <w:szCs w:val="21"/>
          <w:highlight w:val="none"/>
        </w:rPr>
      </w:pPr>
    </w:p>
    <w:p w14:paraId="468F40A4">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340C03E6">
      <w:pPr>
        <w:snapToGrid w:val="0"/>
        <w:spacing w:beforeLines="50" w:after="50" w:line="360" w:lineRule="auto"/>
        <w:jc w:val="center"/>
        <w:rPr>
          <w:rFonts w:ascii="宋体" w:hAnsi="宋体"/>
          <w:b/>
          <w:color w:val="auto"/>
          <w:sz w:val="24"/>
          <w:highlight w:val="none"/>
        </w:rPr>
      </w:pPr>
    </w:p>
    <w:p w14:paraId="12371C78">
      <w:pPr>
        <w:spacing w:line="360" w:lineRule="auto"/>
        <w:contextualSpacing/>
        <w:jc w:val="center"/>
        <w:rPr>
          <w:rFonts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7A6FBC5A">
      <w:pPr>
        <w:spacing w:line="360" w:lineRule="auto"/>
        <w:contextualSpacing/>
        <w:jc w:val="center"/>
        <w:rPr>
          <w:rFonts w:ascii="宋体" w:hAnsi="宋体"/>
          <w:b/>
          <w:color w:val="auto"/>
          <w:sz w:val="24"/>
          <w:highlight w:val="none"/>
        </w:rPr>
      </w:pPr>
    </w:p>
    <w:tbl>
      <w:tblPr>
        <w:tblStyle w:val="25"/>
        <w:tblW w:w="9255" w:type="dxa"/>
        <w:jc w:val="center"/>
        <w:shd w:val="clear" w:color="auto" w:fill="FBFBFB"/>
        <w:tblLayout w:type="fixed"/>
        <w:tblCellMar>
          <w:top w:w="0" w:type="dxa"/>
          <w:left w:w="0" w:type="dxa"/>
          <w:bottom w:w="0" w:type="dxa"/>
          <w:right w:w="0" w:type="dxa"/>
        </w:tblCellMar>
      </w:tblPr>
      <w:tblGrid>
        <w:gridCol w:w="880"/>
        <w:gridCol w:w="2655"/>
        <w:gridCol w:w="1455"/>
        <w:gridCol w:w="3065"/>
        <w:gridCol w:w="1200"/>
      </w:tblGrid>
      <w:tr w14:paraId="5CA1330E">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6D10A19">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D96FE3C">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F92F931">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0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6252579">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26EB991">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2BE485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E72F751">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B2B32A9">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0187CE1">
            <w:pPr>
              <w:widowControl/>
              <w:spacing w:line="360" w:lineRule="auto"/>
              <w:contextualSpacing/>
              <w:jc w:val="center"/>
              <w:rPr>
                <w:rFonts w:ascii="宋体" w:hAnsi="宋体" w:cs="宋体"/>
                <w:color w:val="auto"/>
                <w:kern w:val="0"/>
                <w:sz w:val="24"/>
                <w:highlight w:val="none"/>
              </w:rPr>
            </w:pPr>
          </w:p>
        </w:tc>
        <w:tc>
          <w:tcPr>
            <w:tcW w:w="30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58248F1">
            <w:pPr>
              <w:widowControl/>
              <w:spacing w:line="360" w:lineRule="auto"/>
              <w:contextualSpacing/>
              <w:jc w:val="center"/>
              <w:rPr>
                <w:rFonts w:ascii="宋体" w:hAnsi="宋体" w:cs="宋体"/>
                <w:color w:val="auto"/>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5370B48">
            <w:pPr>
              <w:widowControl/>
              <w:spacing w:line="360" w:lineRule="auto"/>
              <w:contextualSpacing/>
              <w:jc w:val="center"/>
              <w:rPr>
                <w:rFonts w:ascii="宋体" w:hAnsi="宋体" w:cs="宋体"/>
                <w:color w:val="auto"/>
                <w:kern w:val="0"/>
                <w:sz w:val="24"/>
                <w:highlight w:val="none"/>
              </w:rPr>
            </w:pPr>
          </w:p>
        </w:tc>
      </w:tr>
      <w:tr w14:paraId="37172F1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68B3C35">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A311DEF">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1555188">
            <w:pPr>
              <w:widowControl/>
              <w:spacing w:line="360" w:lineRule="auto"/>
              <w:contextualSpacing/>
              <w:jc w:val="center"/>
              <w:rPr>
                <w:rFonts w:ascii="宋体" w:hAnsi="宋体" w:cs="宋体"/>
                <w:color w:val="auto"/>
                <w:kern w:val="0"/>
                <w:sz w:val="24"/>
                <w:highlight w:val="none"/>
              </w:rPr>
            </w:pPr>
          </w:p>
        </w:tc>
        <w:tc>
          <w:tcPr>
            <w:tcW w:w="30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EB61FF7">
            <w:pPr>
              <w:widowControl/>
              <w:spacing w:line="360" w:lineRule="auto"/>
              <w:contextualSpacing/>
              <w:jc w:val="center"/>
              <w:rPr>
                <w:rFonts w:ascii="宋体" w:hAnsi="宋体" w:cs="宋体"/>
                <w:color w:val="auto"/>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4AEE948">
            <w:pPr>
              <w:widowControl/>
              <w:spacing w:line="360" w:lineRule="auto"/>
              <w:contextualSpacing/>
              <w:jc w:val="center"/>
              <w:rPr>
                <w:rFonts w:ascii="宋体" w:hAnsi="宋体" w:cs="宋体"/>
                <w:color w:val="auto"/>
                <w:kern w:val="0"/>
                <w:sz w:val="24"/>
                <w:highlight w:val="none"/>
              </w:rPr>
            </w:pPr>
          </w:p>
        </w:tc>
      </w:tr>
      <w:tr w14:paraId="7EE705E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790DFE2">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DBE5DCC">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CC02C19">
            <w:pPr>
              <w:widowControl/>
              <w:spacing w:line="360" w:lineRule="auto"/>
              <w:contextualSpacing/>
              <w:jc w:val="center"/>
              <w:rPr>
                <w:rFonts w:ascii="宋体" w:hAnsi="宋体" w:cs="宋体"/>
                <w:color w:val="auto"/>
                <w:kern w:val="0"/>
                <w:sz w:val="24"/>
                <w:highlight w:val="none"/>
              </w:rPr>
            </w:pPr>
          </w:p>
        </w:tc>
        <w:tc>
          <w:tcPr>
            <w:tcW w:w="30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D564E85">
            <w:pPr>
              <w:widowControl/>
              <w:spacing w:line="360" w:lineRule="auto"/>
              <w:contextualSpacing/>
              <w:jc w:val="center"/>
              <w:rPr>
                <w:rFonts w:ascii="宋体" w:hAnsi="宋体" w:cs="宋体"/>
                <w:color w:val="auto"/>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E462E4C">
            <w:pPr>
              <w:widowControl/>
              <w:spacing w:line="360" w:lineRule="auto"/>
              <w:contextualSpacing/>
              <w:jc w:val="center"/>
              <w:rPr>
                <w:rFonts w:ascii="宋体" w:hAnsi="宋体" w:cs="宋体"/>
                <w:color w:val="auto"/>
                <w:kern w:val="0"/>
                <w:sz w:val="24"/>
                <w:highlight w:val="none"/>
              </w:rPr>
            </w:pPr>
          </w:p>
        </w:tc>
      </w:tr>
      <w:tr w14:paraId="4969B96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7830295">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A62BF5E">
            <w:pPr>
              <w:widowControl/>
              <w:spacing w:line="360" w:lineRule="auto"/>
              <w:contextualSpacing/>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5A34F3E">
            <w:pPr>
              <w:widowControl/>
              <w:spacing w:line="360" w:lineRule="auto"/>
              <w:contextualSpacing/>
              <w:jc w:val="center"/>
              <w:rPr>
                <w:rFonts w:ascii="宋体" w:hAnsi="宋体" w:cs="宋体"/>
                <w:color w:val="auto"/>
                <w:kern w:val="0"/>
                <w:sz w:val="24"/>
                <w:highlight w:val="none"/>
              </w:rPr>
            </w:pPr>
          </w:p>
        </w:tc>
        <w:tc>
          <w:tcPr>
            <w:tcW w:w="30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C548770">
            <w:pPr>
              <w:widowControl/>
              <w:spacing w:line="360" w:lineRule="auto"/>
              <w:contextualSpacing/>
              <w:jc w:val="center"/>
              <w:rPr>
                <w:rFonts w:ascii="宋体" w:hAnsi="宋体" w:cs="宋体"/>
                <w:color w:val="auto"/>
                <w:kern w:val="0"/>
                <w:sz w:val="24"/>
                <w:highlight w:val="none"/>
              </w:rPr>
            </w:pPr>
          </w:p>
        </w:tc>
        <w:tc>
          <w:tcPr>
            <w:tcW w:w="12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B83592E">
            <w:pPr>
              <w:widowControl/>
              <w:spacing w:line="360" w:lineRule="auto"/>
              <w:contextualSpacing/>
              <w:jc w:val="center"/>
              <w:rPr>
                <w:rFonts w:ascii="宋体" w:hAnsi="宋体" w:cs="宋体"/>
                <w:color w:val="auto"/>
                <w:kern w:val="0"/>
                <w:sz w:val="24"/>
                <w:highlight w:val="none"/>
              </w:rPr>
            </w:pPr>
          </w:p>
        </w:tc>
      </w:tr>
    </w:tbl>
    <w:p w14:paraId="0F481BF7">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39281D62">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FDAE5F6">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17C05DF2">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61AC6E80">
      <w:pPr>
        <w:spacing w:line="360" w:lineRule="auto"/>
        <w:ind w:firstLine="420" w:firstLineChars="200"/>
        <w:contextualSpacing/>
        <w:jc w:val="left"/>
        <w:rPr>
          <w:rFonts w:ascii="宋体" w:hAnsi="宋体" w:cs="宋体"/>
          <w:color w:val="auto"/>
          <w:szCs w:val="21"/>
          <w:highlight w:val="none"/>
        </w:rPr>
      </w:pPr>
    </w:p>
    <w:p w14:paraId="1A5688D9">
      <w:pPr>
        <w:spacing w:line="360" w:lineRule="auto"/>
        <w:ind w:firstLine="560" w:firstLineChars="200"/>
        <w:contextualSpacing/>
        <w:jc w:val="left"/>
        <w:rPr>
          <w:rFonts w:ascii="宋体" w:hAnsi="宋体" w:cs="宋体"/>
          <w:color w:val="auto"/>
          <w:sz w:val="28"/>
          <w:szCs w:val="28"/>
          <w:highlight w:val="none"/>
        </w:rPr>
      </w:pPr>
    </w:p>
    <w:p w14:paraId="56EAA3EE">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412457BF">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3D809FD8">
      <w:pPr>
        <w:spacing w:line="360" w:lineRule="auto"/>
        <w:ind w:firstLine="480" w:firstLineChars="200"/>
        <w:contextualSpacing/>
        <w:jc w:val="right"/>
        <w:rPr>
          <w:rFonts w:ascii="宋体" w:hAnsi="宋体" w:cs="宋体"/>
          <w:color w:val="auto"/>
          <w:sz w:val="28"/>
          <w:szCs w:val="28"/>
          <w:highlight w:val="none"/>
        </w:rPr>
      </w:pPr>
      <w:r>
        <w:rPr>
          <w:rFonts w:hint="eastAsia" w:ascii="宋体" w:hAnsi="宋体" w:cs="宋体"/>
          <w:color w:val="auto"/>
          <w:sz w:val="24"/>
          <w:highlight w:val="none"/>
        </w:rPr>
        <w:t>年    月    日</w:t>
      </w:r>
    </w:p>
    <w:p w14:paraId="40AFD3AE">
      <w:pPr>
        <w:snapToGrid w:val="0"/>
        <w:jc w:val="center"/>
        <w:rPr>
          <w:rFonts w:ascii="宋体" w:hAnsi="宋体"/>
          <w:b/>
          <w:color w:val="auto"/>
          <w:sz w:val="28"/>
          <w:szCs w:val="28"/>
          <w:highlight w:val="none"/>
        </w:rPr>
      </w:pPr>
      <w:r>
        <w:rPr>
          <w:rFonts w:ascii="宋体" w:hAnsi="宋体"/>
          <w:b/>
          <w:color w:val="auto"/>
          <w:sz w:val="28"/>
          <w:szCs w:val="28"/>
          <w:highlight w:val="none"/>
        </w:rPr>
        <w:br w:type="page"/>
      </w:r>
    </w:p>
    <w:p w14:paraId="63B5C22C">
      <w:pPr>
        <w:spacing w:line="320" w:lineRule="exact"/>
        <w:jc w:val="center"/>
        <w:rPr>
          <w:rFonts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4D2AECAF">
      <w:pPr>
        <w:snapToGrid w:val="0"/>
        <w:spacing w:line="360" w:lineRule="auto"/>
        <w:jc w:val="center"/>
        <w:rPr>
          <w:rFonts w:ascii="宋体" w:hAnsi="宋体"/>
          <w:b/>
          <w:color w:val="auto"/>
          <w:sz w:val="24"/>
          <w:highlight w:val="none"/>
        </w:rPr>
      </w:pPr>
    </w:p>
    <w:tbl>
      <w:tblPr>
        <w:tblStyle w:val="25"/>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9D0239E">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A7B33DC">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92B663D">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84BE511">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014B228">
            <w:pPr>
              <w:widowControl/>
              <w:spacing w:line="360" w:lineRule="auto"/>
              <w:contextualSpacing/>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107FD4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F746BCF">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3234420">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44AEFC5">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D483203">
            <w:pPr>
              <w:widowControl/>
              <w:spacing w:line="360" w:lineRule="auto"/>
              <w:contextualSpacing/>
              <w:jc w:val="center"/>
              <w:rPr>
                <w:rFonts w:ascii="宋体" w:hAnsi="宋体" w:cs="宋体"/>
                <w:color w:val="auto"/>
                <w:kern w:val="0"/>
                <w:sz w:val="24"/>
                <w:highlight w:val="none"/>
              </w:rPr>
            </w:pPr>
          </w:p>
        </w:tc>
      </w:tr>
      <w:tr w14:paraId="232FC981">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BDD6E48">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CDBE079">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79FAD1E">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61F43CB">
            <w:pPr>
              <w:widowControl/>
              <w:spacing w:line="360" w:lineRule="auto"/>
              <w:contextualSpacing/>
              <w:jc w:val="center"/>
              <w:rPr>
                <w:rFonts w:ascii="宋体" w:hAnsi="宋体" w:cs="宋体"/>
                <w:color w:val="auto"/>
                <w:kern w:val="0"/>
                <w:sz w:val="24"/>
                <w:highlight w:val="none"/>
              </w:rPr>
            </w:pPr>
          </w:p>
        </w:tc>
      </w:tr>
      <w:tr w14:paraId="1FA8707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F9EBBE2">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DD0BE09">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11F7606">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E1A5F3B">
            <w:pPr>
              <w:widowControl/>
              <w:spacing w:line="360" w:lineRule="auto"/>
              <w:contextualSpacing/>
              <w:jc w:val="center"/>
              <w:rPr>
                <w:rFonts w:ascii="宋体" w:hAnsi="宋体" w:cs="宋体"/>
                <w:color w:val="auto"/>
                <w:kern w:val="0"/>
                <w:sz w:val="24"/>
                <w:highlight w:val="none"/>
              </w:rPr>
            </w:pPr>
          </w:p>
        </w:tc>
      </w:tr>
      <w:tr w14:paraId="207958B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CED7DC1">
            <w:pPr>
              <w:widowControl/>
              <w:spacing w:line="360" w:lineRule="auto"/>
              <w:contextualSpacing/>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6D2AA32">
            <w:pPr>
              <w:widowControl/>
              <w:spacing w:line="360" w:lineRule="auto"/>
              <w:contextualSpacing/>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AFD9823">
            <w:pPr>
              <w:widowControl/>
              <w:spacing w:line="360" w:lineRule="auto"/>
              <w:contextualSpacing/>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A241581">
            <w:pPr>
              <w:widowControl/>
              <w:spacing w:line="360" w:lineRule="auto"/>
              <w:contextualSpacing/>
              <w:jc w:val="center"/>
              <w:rPr>
                <w:rFonts w:ascii="宋体" w:hAnsi="宋体" w:cs="宋体"/>
                <w:color w:val="auto"/>
                <w:kern w:val="0"/>
                <w:sz w:val="24"/>
                <w:highlight w:val="none"/>
              </w:rPr>
            </w:pPr>
          </w:p>
        </w:tc>
      </w:tr>
    </w:tbl>
    <w:p w14:paraId="5B5991F9">
      <w:pPr>
        <w:spacing w:line="360" w:lineRule="auto"/>
        <w:contextualSpacing/>
        <w:jc w:val="left"/>
        <w:rPr>
          <w:rFonts w:ascii="宋体" w:hAnsi="宋体"/>
          <w:color w:val="auto"/>
          <w:sz w:val="24"/>
          <w:highlight w:val="none"/>
        </w:rPr>
      </w:pPr>
      <w:r>
        <w:rPr>
          <w:rFonts w:hint="eastAsia" w:ascii="宋体" w:hAnsi="宋体"/>
          <w:color w:val="auto"/>
          <w:sz w:val="24"/>
          <w:highlight w:val="none"/>
        </w:rPr>
        <w:t>注：</w:t>
      </w:r>
    </w:p>
    <w:p w14:paraId="6E2B0326">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265207E">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5E7D414F">
      <w:pPr>
        <w:spacing w:line="360" w:lineRule="auto"/>
        <w:ind w:firstLine="480" w:firstLineChars="200"/>
        <w:contextualSpacing/>
        <w:jc w:val="left"/>
        <w:rPr>
          <w:rFonts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0D772E92">
      <w:pPr>
        <w:spacing w:line="360" w:lineRule="auto"/>
        <w:contextualSpacing/>
        <w:jc w:val="left"/>
        <w:rPr>
          <w:rFonts w:ascii="宋体" w:hAnsi="宋体"/>
          <w:color w:val="auto"/>
          <w:sz w:val="28"/>
          <w:szCs w:val="28"/>
          <w:highlight w:val="none"/>
        </w:rPr>
      </w:pPr>
    </w:p>
    <w:p w14:paraId="44EF0753">
      <w:pPr>
        <w:spacing w:line="360" w:lineRule="auto"/>
        <w:contextualSpacing/>
        <w:jc w:val="left"/>
        <w:rPr>
          <w:rFonts w:ascii="宋体" w:hAnsi="宋体"/>
          <w:color w:val="auto"/>
          <w:sz w:val="28"/>
          <w:szCs w:val="28"/>
          <w:highlight w:val="none"/>
        </w:rPr>
      </w:pPr>
    </w:p>
    <w:p w14:paraId="425C0D24">
      <w:pPr>
        <w:spacing w:line="360" w:lineRule="auto"/>
        <w:contextualSpacing/>
        <w:jc w:val="left"/>
        <w:rPr>
          <w:color w:val="auto"/>
          <w:sz w:val="28"/>
          <w:szCs w:val="28"/>
          <w:highlight w:val="none"/>
        </w:rPr>
      </w:pPr>
    </w:p>
    <w:p w14:paraId="51E16A32">
      <w:pPr>
        <w:spacing w:line="360" w:lineRule="auto"/>
        <w:contextualSpacing/>
        <w:jc w:val="left"/>
        <w:rPr>
          <w:color w:val="auto"/>
          <w:sz w:val="28"/>
          <w:szCs w:val="28"/>
          <w:highlight w:val="none"/>
        </w:rPr>
      </w:pPr>
    </w:p>
    <w:p w14:paraId="0A2380C4">
      <w:pPr>
        <w:spacing w:line="360" w:lineRule="auto"/>
        <w:contextualSpacing/>
        <w:jc w:val="left"/>
        <w:rPr>
          <w:color w:val="auto"/>
          <w:sz w:val="28"/>
          <w:szCs w:val="28"/>
          <w:highlight w:val="none"/>
        </w:rPr>
      </w:pPr>
    </w:p>
    <w:p w14:paraId="26EEF4CB">
      <w:pPr>
        <w:spacing w:line="360" w:lineRule="auto"/>
        <w:contextualSpacing/>
        <w:jc w:val="left"/>
        <w:rPr>
          <w:rFonts w:ascii="宋体" w:hAnsi="宋体"/>
          <w:color w:val="auto"/>
          <w:sz w:val="28"/>
          <w:szCs w:val="28"/>
          <w:highlight w:val="none"/>
        </w:rPr>
      </w:pPr>
    </w:p>
    <w:p w14:paraId="772B5936">
      <w:pPr>
        <w:spacing w:line="360" w:lineRule="auto"/>
        <w:ind w:right="480"/>
        <w:contextualSpacing/>
        <w:jc w:val="center"/>
        <w:rPr>
          <w:rFonts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6C6301AC">
      <w:pPr>
        <w:spacing w:line="360" w:lineRule="auto"/>
        <w:ind w:right="480" w:firstLine="3360" w:firstLineChars="1400"/>
        <w:contextualSpacing/>
        <w:rPr>
          <w:rFonts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464B7EAF">
      <w:pPr>
        <w:spacing w:line="360" w:lineRule="auto"/>
        <w:ind w:firstLine="480" w:firstLineChars="200"/>
        <w:contextualSpacing/>
        <w:jc w:val="left"/>
        <w:rPr>
          <w:rFonts w:ascii="宋体" w:hAnsi="宋体"/>
          <w:color w:val="auto"/>
          <w:sz w:val="28"/>
          <w:szCs w:val="28"/>
          <w:highlight w:val="none"/>
        </w:rPr>
      </w:pPr>
      <w:r>
        <w:rPr>
          <w:rFonts w:hint="eastAsia" w:ascii="宋体" w:hAnsi="宋体"/>
          <w:color w:val="auto"/>
          <w:sz w:val="24"/>
          <w:highlight w:val="none"/>
        </w:rPr>
        <w:t xml:space="preserve">                                        年    月    日</w:t>
      </w:r>
    </w:p>
    <w:p w14:paraId="7FD00EF1">
      <w:pPr>
        <w:spacing w:line="320" w:lineRule="exact"/>
        <w:jc w:val="center"/>
        <w:rPr>
          <w:rFonts w:ascii="宋体" w:hAnsi="宋体"/>
          <w:b/>
          <w:color w:val="auto"/>
          <w:sz w:val="32"/>
          <w:szCs w:val="32"/>
          <w:highlight w:val="none"/>
        </w:rPr>
      </w:pPr>
      <w:r>
        <w:rPr>
          <w:rFonts w:ascii="宋体" w:hAnsi="宋体"/>
          <w:color w:val="auto"/>
          <w:sz w:val="28"/>
          <w:szCs w:val="28"/>
          <w:highlight w:val="none"/>
        </w:rPr>
        <w:br w:type="page"/>
      </w:r>
      <w:r>
        <w:rPr>
          <w:rFonts w:hint="eastAsia" w:ascii="宋体" w:hAnsi="宋体"/>
          <w:b/>
          <w:color w:val="auto"/>
          <w:sz w:val="32"/>
          <w:szCs w:val="32"/>
          <w:highlight w:val="none"/>
        </w:rPr>
        <w:t>竞标声明</w:t>
      </w:r>
    </w:p>
    <w:p w14:paraId="13EBC6C4">
      <w:pPr>
        <w:spacing w:line="320" w:lineRule="exact"/>
        <w:jc w:val="center"/>
        <w:rPr>
          <w:rFonts w:ascii="宋体" w:hAnsi="宋体"/>
          <w:color w:val="auto"/>
          <w:sz w:val="24"/>
          <w:szCs w:val="20"/>
          <w:highlight w:val="none"/>
        </w:rPr>
      </w:pPr>
    </w:p>
    <w:p w14:paraId="596E8EFB">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27D6B80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BD50A6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6D01F02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030D76A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134FCF7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3E9FC65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221A041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095EA85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1DA3968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6844484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0617DDE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14B9E96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1F60FAF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75EE64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FA2624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0FB7902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0E6470A3">
      <w:pPr>
        <w:pStyle w:val="6"/>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5.我方承诺具有满足本项目的承保资格、经营能力、售后服务和偿付能力；承诺</w:t>
      </w:r>
      <w:r>
        <w:rPr>
          <w:rFonts w:ascii="宋体" w:hAnsi="宋体" w:cs="宋体"/>
          <w:color w:val="auto"/>
          <w:sz w:val="24"/>
          <w:szCs w:val="24"/>
          <w:highlight w:val="none"/>
        </w:rPr>
        <w:t>同一保险机构只</w:t>
      </w:r>
      <w:r>
        <w:rPr>
          <w:rFonts w:hint="eastAsia" w:ascii="宋体" w:hAnsi="宋体" w:cs="宋体"/>
          <w:color w:val="auto"/>
          <w:sz w:val="24"/>
          <w:szCs w:val="24"/>
          <w:highlight w:val="none"/>
        </w:rPr>
        <w:t>有</w:t>
      </w:r>
      <w:r>
        <w:rPr>
          <w:rFonts w:ascii="宋体" w:hAnsi="宋体" w:cs="宋体"/>
          <w:color w:val="auto"/>
          <w:sz w:val="24"/>
          <w:szCs w:val="24"/>
          <w:highlight w:val="none"/>
        </w:rPr>
        <w:t>一家公司</w:t>
      </w:r>
      <w:r>
        <w:rPr>
          <w:rFonts w:hint="eastAsia" w:ascii="宋体" w:hAnsi="宋体" w:cs="宋体"/>
          <w:color w:val="auto"/>
          <w:sz w:val="24"/>
          <w:szCs w:val="24"/>
          <w:highlight w:val="none"/>
        </w:rPr>
        <w:t>（包括其总公司、省级分公司的下属分公司、分支机构）</w:t>
      </w:r>
      <w:r>
        <w:rPr>
          <w:rFonts w:ascii="宋体" w:hAnsi="宋体" w:cs="宋体"/>
          <w:color w:val="auto"/>
          <w:sz w:val="24"/>
          <w:szCs w:val="24"/>
          <w:highlight w:val="none"/>
        </w:rPr>
        <w:t>参与本次</w:t>
      </w:r>
      <w:r>
        <w:rPr>
          <w:rFonts w:hint="eastAsia" w:ascii="宋体" w:hAnsi="宋体" w:cs="宋体"/>
          <w:color w:val="auto"/>
          <w:sz w:val="24"/>
          <w:szCs w:val="24"/>
          <w:highlight w:val="none"/>
        </w:rPr>
        <w:t>竞标，如有2家及以上属于本单位同系统的供应商（包括其总公司、省级分公司的下属分公司、分支机构）参与竞标的，则只认可最先获取竞争性磋商文件的供应商。</w:t>
      </w:r>
    </w:p>
    <w:p w14:paraId="651ABD0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70F545A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62B59D3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33A5F3C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B307BD6">
      <w:pPr>
        <w:pStyle w:val="14"/>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8.与本磋商有关的一切正式往来信函请寄：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36A16620">
      <w:pPr>
        <w:pStyle w:val="14"/>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7C7B6A52">
      <w:pPr>
        <w:pStyle w:val="13"/>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6C7B1347">
      <w:pPr>
        <w:pStyle w:val="13"/>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9.以上事项如有虚假或者隐瞒，我方愿意承担一切后果，并不再寻求任何旨在减轻或者免除法律责任的辩解。</w:t>
      </w:r>
    </w:p>
    <w:p w14:paraId="7B757A1D">
      <w:pPr>
        <w:pStyle w:val="13"/>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0549EA9E">
      <w:pPr>
        <w:spacing w:line="360" w:lineRule="auto"/>
        <w:contextualSpacing/>
        <w:jc w:val="left"/>
        <w:rPr>
          <w:rFonts w:ascii="宋体" w:hAnsi="宋体" w:cs="宋体"/>
          <w:b/>
          <w:color w:val="auto"/>
          <w:sz w:val="24"/>
          <w:highlight w:val="none"/>
        </w:rPr>
      </w:pPr>
    </w:p>
    <w:p w14:paraId="2CCAB7F4">
      <w:pPr>
        <w:spacing w:line="360" w:lineRule="auto"/>
        <w:contextualSpacing/>
        <w:jc w:val="left"/>
        <w:rPr>
          <w:rFonts w:ascii="宋体" w:hAnsi="宋体" w:cs="宋体"/>
          <w:color w:val="auto"/>
          <w:szCs w:val="21"/>
          <w:highlight w:val="none"/>
        </w:rPr>
      </w:pPr>
    </w:p>
    <w:p w14:paraId="00339129">
      <w:pPr>
        <w:spacing w:line="360" w:lineRule="auto"/>
        <w:ind w:firstLine="1575" w:firstLineChars="750"/>
        <w:contextualSpacing/>
        <w:rPr>
          <w:color w:val="auto"/>
          <w:highlight w:val="none"/>
        </w:rPr>
      </w:pPr>
      <w:r>
        <w:rPr>
          <w:rFonts w:hint="eastAsia"/>
          <w:color w:val="auto"/>
          <w:highlight w:val="none"/>
        </w:rPr>
        <w:t>法定代表人（</w:t>
      </w:r>
      <w:r>
        <w:rPr>
          <w:rFonts w:hint="eastAsia" w:ascii="宋体" w:hAnsi="宋体"/>
          <w:color w:val="auto"/>
          <w:sz w:val="24"/>
          <w:highlight w:val="none"/>
        </w:rPr>
        <w:t>签字或者盖章或者电子签名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205D4641">
      <w:pPr>
        <w:spacing w:line="360" w:lineRule="auto"/>
        <w:ind w:firstLine="3780" w:firstLineChars="1800"/>
        <w:contextualSpacing/>
        <w:rPr>
          <w:rFonts w:ascii="宋体" w:hAnsi="宋体" w:cs="宋体"/>
          <w:color w:val="auto"/>
          <w:szCs w:val="21"/>
          <w:highlight w:val="none"/>
          <w:u w:val="single"/>
        </w:rPr>
      </w:pPr>
      <w:r>
        <w:rPr>
          <w:rFonts w:hint="eastAsia"/>
          <w:color w:val="auto"/>
          <w:highlight w:val="none"/>
        </w:rPr>
        <w:t>供应商（电子签章）：</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0A70E993">
      <w:pPr>
        <w:pStyle w:val="13"/>
        <w:tabs>
          <w:tab w:val="left" w:pos="939"/>
        </w:tabs>
        <w:spacing w:line="360" w:lineRule="auto"/>
        <w:ind w:left="0" w:leftChars="0" w:firstLine="420" w:firstLineChars="200"/>
        <w:rPr>
          <w:color w:val="auto"/>
          <w:sz w:val="24"/>
          <w:highlight w:val="none"/>
        </w:rPr>
      </w:pPr>
      <w:r>
        <w:rPr>
          <w:rFonts w:hint="eastAsia" w:ascii="宋体" w:hAnsi="宋体" w:cs="宋体"/>
          <w:color w:val="auto"/>
          <w:szCs w:val="21"/>
          <w:highlight w:val="none"/>
        </w:rPr>
        <w:t xml:space="preserve">                                                        </w:t>
      </w:r>
      <w:r>
        <w:rPr>
          <w:rFonts w:hint="eastAsia"/>
          <w:color w:val="auto"/>
          <w:highlight w:val="none"/>
        </w:rPr>
        <w:t xml:space="preserve"> 年    月    日</w:t>
      </w:r>
    </w:p>
    <w:p w14:paraId="302D31BE">
      <w:pPr>
        <w:pStyle w:val="6"/>
        <w:overflowPunct w:val="0"/>
        <w:spacing w:line="520" w:lineRule="exact"/>
        <w:ind w:firstLine="0"/>
        <w:jc w:val="center"/>
        <w:rPr>
          <w:color w:val="auto"/>
          <w:sz w:val="24"/>
          <w:highlight w:val="none"/>
        </w:rPr>
      </w:pPr>
    </w:p>
    <w:p w14:paraId="5E6DE746">
      <w:pPr>
        <w:pStyle w:val="6"/>
        <w:overflowPunct w:val="0"/>
        <w:spacing w:line="520" w:lineRule="exact"/>
        <w:ind w:firstLine="0"/>
        <w:jc w:val="center"/>
        <w:rPr>
          <w:color w:val="auto"/>
          <w:sz w:val="24"/>
          <w:highlight w:val="none"/>
        </w:rPr>
      </w:pPr>
    </w:p>
    <w:p w14:paraId="3E920ECF">
      <w:pPr>
        <w:pStyle w:val="6"/>
        <w:overflowPunct w:val="0"/>
        <w:spacing w:line="520" w:lineRule="exact"/>
        <w:ind w:firstLine="0"/>
        <w:jc w:val="center"/>
        <w:rPr>
          <w:color w:val="auto"/>
          <w:sz w:val="24"/>
          <w:highlight w:val="none"/>
        </w:rPr>
      </w:pPr>
    </w:p>
    <w:p w14:paraId="3A698B81">
      <w:pPr>
        <w:pStyle w:val="6"/>
        <w:overflowPunct w:val="0"/>
        <w:spacing w:line="520" w:lineRule="exact"/>
        <w:ind w:firstLine="0"/>
        <w:jc w:val="center"/>
        <w:rPr>
          <w:color w:val="auto"/>
          <w:sz w:val="24"/>
          <w:highlight w:val="none"/>
        </w:rPr>
      </w:pPr>
    </w:p>
    <w:p w14:paraId="3A70AAEE">
      <w:pPr>
        <w:pStyle w:val="6"/>
        <w:overflowPunct w:val="0"/>
        <w:spacing w:line="520" w:lineRule="exact"/>
        <w:ind w:firstLine="0"/>
        <w:jc w:val="center"/>
        <w:rPr>
          <w:color w:val="auto"/>
          <w:sz w:val="24"/>
          <w:highlight w:val="none"/>
        </w:rPr>
      </w:pPr>
    </w:p>
    <w:p w14:paraId="7BC91508">
      <w:pPr>
        <w:pStyle w:val="6"/>
        <w:overflowPunct w:val="0"/>
        <w:spacing w:line="520" w:lineRule="exact"/>
        <w:ind w:firstLine="0"/>
        <w:jc w:val="center"/>
        <w:rPr>
          <w:color w:val="auto"/>
          <w:sz w:val="24"/>
          <w:highlight w:val="none"/>
        </w:rPr>
      </w:pPr>
    </w:p>
    <w:p w14:paraId="7916D95F">
      <w:pPr>
        <w:pStyle w:val="6"/>
        <w:overflowPunct w:val="0"/>
        <w:spacing w:line="520" w:lineRule="exact"/>
        <w:ind w:firstLine="0"/>
        <w:jc w:val="center"/>
        <w:rPr>
          <w:color w:val="auto"/>
          <w:sz w:val="24"/>
          <w:highlight w:val="none"/>
        </w:rPr>
      </w:pPr>
    </w:p>
    <w:p w14:paraId="17661850">
      <w:pPr>
        <w:pStyle w:val="6"/>
        <w:overflowPunct w:val="0"/>
        <w:spacing w:line="520" w:lineRule="exact"/>
        <w:ind w:firstLine="0"/>
        <w:jc w:val="center"/>
        <w:rPr>
          <w:color w:val="auto"/>
          <w:sz w:val="24"/>
          <w:highlight w:val="none"/>
        </w:rPr>
      </w:pPr>
    </w:p>
    <w:p w14:paraId="6A24925C">
      <w:pPr>
        <w:pStyle w:val="6"/>
        <w:overflowPunct w:val="0"/>
        <w:spacing w:line="520" w:lineRule="exact"/>
        <w:ind w:firstLine="0"/>
        <w:jc w:val="center"/>
        <w:rPr>
          <w:color w:val="auto"/>
          <w:sz w:val="24"/>
          <w:highlight w:val="none"/>
        </w:rPr>
      </w:pPr>
    </w:p>
    <w:p w14:paraId="21B501A2">
      <w:pPr>
        <w:jc w:val="center"/>
        <w:rPr>
          <w:rFonts w:ascii="方正小标宋简体" w:hAnsi="方正小标宋简体" w:eastAsia="方正小标宋简体" w:cs="方正小标宋简体"/>
          <w:color w:val="auto"/>
          <w:sz w:val="44"/>
          <w:szCs w:val="44"/>
          <w:highlight w:val="none"/>
        </w:rPr>
      </w:pPr>
      <w:bookmarkStart w:id="85" w:name="_Toc71365926"/>
      <w:r>
        <w:rPr>
          <w:rFonts w:hint="eastAsia" w:ascii="方正小标宋简体" w:hAnsi="方正小标宋简体" w:eastAsia="方正小标宋简体" w:cs="方正小标宋简体"/>
          <w:color w:val="auto"/>
          <w:sz w:val="44"/>
          <w:szCs w:val="44"/>
          <w:highlight w:val="none"/>
        </w:rPr>
        <w:t>中小企业声明函（服务）</w:t>
      </w:r>
      <w:bookmarkEnd w:id="85"/>
    </w:p>
    <w:p w14:paraId="3C4D30B8">
      <w:pPr>
        <w:spacing w:before="2" w:line="500" w:lineRule="exact"/>
        <w:ind w:firstLine="708" w:firstLineChars="294"/>
        <w:rPr>
          <w:rFonts w:ascii="宋体" w:hAnsi="宋体" w:cs="宋体"/>
          <w:b/>
          <w:bCs/>
          <w:color w:val="auto"/>
          <w:sz w:val="24"/>
          <w:highlight w:val="none"/>
        </w:rPr>
      </w:pPr>
    </w:p>
    <w:p w14:paraId="6678E6F5">
      <w:pPr>
        <w:pStyle w:val="11"/>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0E82ED46">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735EDB44">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4FDD0F8B">
      <w:pPr>
        <w:pStyle w:val="11"/>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6E80427A">
      <w:pPr>
        <w:pStyle w:val="11"/>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71538AD7">
      <w:pPr>
        <w:pStyle w:val="11"/>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543D1DEF">
      <w:pPr>
        <w:pStyle w:val="11"/>
        <w:spacing w:before="56" w:line="500" w:lineRule="exact"/>
        <w:ind w:right="1808" w:firstLine="705" w:firstLineChars="294"/>
        <w:rPr>
          <w:rFonts w:ascii="宋体" w:hAnsi="宋体"/>
          <w:color w:val="auto"/>
          <w:sz w:val="24"/>
          <w:highlight w:val="none"/>
        </w:rPr>
      </w:pPr>
    </w:p>
    <w:p w14:paraId="630D8AB2">
      <w:pPr>
        <w:pStyle w:val="11"/>
        <w:spacing w:before="56" w:line="500" w:lineRule="exact"/>
        <w:ind w:right="650"/>
        <w:jc w:val="right"/>
        <w:rPr>
          <w:rFonts w:ascii="宋体" w:hAnsi="宋体"/>
          <w:color w:val="auto"/>
          <w:sz w:val="24"/>
          <w:highlight w:val="none"/>
        </w:rPr>
      </w:pPr>
      <w:r>
        <w:rPr>
          <w:rFonts w:ascii="宋体" w:hAnsi="宋体"/>
          <w:color w:val="auto"/>
          <w:sz w:val="24"/>
          <w:highlight w:val="none"/>
        </w:rPr>
        <w:t>企业名称（</w:t>
      </w:r>
      <w:r>
        <w:rPr>
          <w:rFonts w:hint="eastAsia" w:ascii="宋体" w:hAnsi="宋体"/>
          <w:color w:val="auto"/>
          <w:sz w:val="24"/>
          <w:highlight w:val="none"/>
        </w:rPr>
        <w:t>电子签章</w:t>
      </w:r>
      <w:r>
        <w:rPr>
          <w:rFonts w:ascii="宋体" w:hAnsi="宋体"/>
          <w:color w:val="auto"/>
          <w:sz w:val="24"/>
          <w:highlight w:val="none"/>
        </w:rPr>
        <w:t xml:space="preserve">）： </w:t>
      </w:r>
    </w:p>
    <w:p w14:paraId="36E4A437">
      <w:pPr>
        <w:pStyle w:val="11"/>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p>
    <w:p w14:paraId="4672CDD3">
      <w:pPr>
        <w:spacing w:line="520" w:lineRule="exact"/>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2D0E8D8B">
      <w:pPr>
        <w:spacing w:line="520" w:lineRule="exact"/>
        <w:jc w:val="center"/>
        <w:rPr>
          <w:rFonts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17B3CB0C">
      <w:pPr>
        <w:spacing w:line="360" w:lineRule="auto"/>
        <w:contextualSpacing/>
        <w:rPr>
          <w:rFonts w:ascii="仿宋_GB2312" w:hAnsi="仿宋_GB2312" w:eastAsia="仿宋_GB2312" w:cs="仿宋_GB2312"/>
          <w:color w:val="auto"/>
          <w:sz w:val="32"/>
          <w:szCs w:val="32"/>
          <w:highlight w:val="none"/>
        </w:rPr>
      </w:pPr>
    </w:p>
    <w:p w14:paraId="2A2DE70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038A1BC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562EE779">
      <w:pPr>
        <w:spacing w:line="360" w:lineRule="auto"/>
        <w:contextualSpacing/>
        <w:rPr>
          <w:rFonts w:ascii="宋体" w:hAnsi="宋体" w:cs="仿宋_GB2312"/>
          <w:color w:val="auto"/>
          <w:sz w:val="24"/>
          <w:highlight w:val="none"/>
        </w:rPr>
      </w:pPr>
    </w:p>
    <w:p w14:paraId="5ECAFE03">
      <w:pPr>
        <w:spacing w:line="360" w:lineRule="auto"/>
        <w:contextualSpacing/>
        <w:rPr>
          <w:rFonts w:ascii="宋体" w:hAnsi="宋体" w:cs="仿宋_GB2312"/>
          <w:color w:val="auto"/>
          <w:sz w:val="24"/>
          <w:highlight w:val="none"/>
        </w:rPr>
      </w:pPr>
    </w:p>
    <w:p w14:paraId="0BDCB107">
      <w:pPr>
        <w:spacing w:line="360" w:lineRule="auto"/>
        <w:contextualSpacing/>
        <w:rPr>
          <w:rFonts w:ascii="宋体" w:hAnsi="宋体" w:cs="仿宋_GB2312"/>
          <w:color w:val="auto"/>
          <w:sz w:val="24"/>
          <w:highlight w:val="none"/>
        </w:rPr>
      </w:pPr>
    </w:p>
    <w:p w14:paraId="1C8AA4FE">
      <w:pPr>
        <w:spacing w:line="360" w:lineRule="auto"/>
        <w:ind w:firstLine="2400" w:firstLineChars="1000"/>
        <w:contextualSpacing/>
        <w:rPr>
          <w:rFonts w:ascii="宋体" w:hAnsi="宋体" w:cs="仿宋_GB2312"/>
          <w:color w:val="auto"/>
          <w:sz w:val="24"/>
          <w:highlight w:val="none"/>
        </w:rPr>
      </w:pPr>
      <w:r>
        <w:rPr>
          <w:rFonts w:hint="eastAsia" w:ascii="宋体" w:hAnsi="宋体" w:cs="仿宋_GB2312"/>
          <w:color w:val="auto"/>
          <w:sz w:val="24"/>
          <w:highlight w:val="none"/>
        </w:rPr>
        <w:t>单位名称（电子签章）：</w:t>
      </w:r>
    </w:p>
    <w:p w14:paraId="43AFEAF5">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14:paraId="2CC42A0B">
      <w:pPr>
        <w:spacing w:line="360" w:lineRule="auto"/>
        <w:contextualSpacing/>
        <w:rPr>
          <w:rFonts w:ascii="宋体" w:hAnsi="宋体" w:cs="仿宋_GB2312"/>
          <w:color w:val="auto"/>
          <w:sz w:val="24"/>
          <w:highlight w:val="none"/>
        </w:rPr>
      </w:pPr>
    </w:p>
    <w:p w14:paraId="3D922AC6">
      <w:pPr>
        <w:spacing w:line="360" w:lineRule="auto"/>
        <w:contextualSpacing/>
        <w:rPr>
          <w:rFonts w:ascii="宋体" w:hAnsi="宋体" w:cs="仿宋_GB2312"/>
          <w:color w:val="auto"/>
          <w:sz w:val="24"/>
          <w:highlight w:val="none"/>
        </w:rPr>
      </w:pPr>
    </w:p>
    <w:p w14:paraId="74DB2FCE">
      <w:pPr>
        <w:spacing w:line="360" w:lineRule="auto"/>
        <w:contextualSpacing/>
        <w:rPr>
          <w:rFonts w:ascii="宋体" w:hAnsi="宋体" w:cs="仿宋_GB2312"/>
          <w:color w:val="auto"/>
          <w:sz w:val="24"/>
          <w:highlight w:val="none"/>
        </w:rPr>
      </w:pPr>
    </w:p>
    <w:p w14:paraId="559A0818">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0F082F30">
      <w:pPr>
        <w:spacing w:line="360" w:lineRule="auto"/>
        <w:jc w:val="center"/>
        <w:rPr>
          <w:rFonts w:ascii="宋体" w:hAnsi="宋体"/>
          <w:b/>
          <w:bCs/>
          <w:color w:val="auto"/>
          <w:sz w:val="32"/>
          <w:szCs w:val="32"/>
          <w:highlight w:val="none"/>
        </w:rPr>
      </w:pPr>
      <w:r>
        <w:rPr>
          <w:rFonts w:ascii="宋体" w:hAnsi="宋体" w:cs="仿宋_GB2312"/>
          <w:color w:val="auto"/>
          <w:sz w:val="24"/>
          <w:highlight w:val="none"/>
        </w:rPr>
        <w:br w:type="page"/>
      </w:r>
    </w:p>
    <w:p w14:paraId="2B1327AD">
      <w:pPr>
        <w:spacing w:line="360" w:lineRule="auto"/>
        <w:ind w:right="420"/>
        <w:contextualSpacing/>
        <w:jc w:val="left"/>
        <w:rPr>
          <w:rFonts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15AE96B6">
      <w:pPr>
        <w:snapToGrid w:val="0"/>
        <w:spacing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1.报价文件封面格式</w:t>
      </w:r>
    </w:p>
    <w:p w14:paraId="2CF43393">
      <w:pPr>
        <w:snapToGrid w:val="0"/>
        <w:spacing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78065DD9">
      <w:pPr>
        <w:snapToGrid w:val="0"/>
        <w:spacing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72AFEDDD">
      <w:pPr>
        <w:snapToGrid w:val="0"/>
        <w:spacing w:beforeLines="50" w:after="50"/>
        <w:rPr>
          <w:rFonts w:ascii="宋体" w:hAnsi="宋体"/>
          <w:color w:val="auto"/>
          <w:sz w:val="24"/>
          <w:szCs w:val="20"/>
          <w:highlight w:val="none"/>
        </w:rPr>
      </w:pPr>
    </w:p>
    <w:p w14:paraId="7DAE64CC">
      <w:pPr>
        <w:snapToGrid w:val="0"/>
        <w:spacing w:beforeLines="50" w:after="50"/>
        <w:rPr>
          <w:rFonts w:ascii="宋体" w:hAnsi="宋体"/>
          <w:color w:val="auto"/>
          <w:sz w:val="24"/>
          <w:szCs w:val="20"/>
          <w:highlight w:val="none"/>
        </w:rPr>
      </w:pPr>
    </w:p>
    <w:p w14:paraId="091CDA99">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74AEFDAB">
      <w:pPr>
        <w:snapToGrid w:val="0"/>
        <w:spacing w:beforeLines="50" w:after="50"/>
        <w:rPr>
          <w:rFonts w:ascii="宋体" w:hAnsi="宋体"/>
          <w:bCs/>
          <w:color w:val="auto"/>
          <w:sz w:val="24"/>
          <w:szCs w:val="20"/>
          <w:highlight w:val="none"/>
        </w:rPr>
      </w:pPr>
    </w:p>
    <w:p w14:paraId="0D95F180">
      <w:pPr>
        <w:snapToGrid w:val="0"/>
        <w:spacing w:beforeLines="50" w:after="50"/>
        <w:rPr>
          <w:rFonts w:ascii="宋体" w:hAnsi="宋体"/>
          <w:bCs/>
          <w:color w:val="auto"/>
          <w:sz w:val="24"/>
          <w:szCs w:val="20"/>
          <w:highlight w:val="none"/>
        </w:rPr>
      </w:pPr>
    </w:p>
    <w:p w14:paraId="03E77808">
      <w:pPr>
        <w:snapToGrid w:val="0"/>
        <w:spacing w:beforeLines="50" w:after="50"/>
        <w:rPr>
          <w:rFonts w:ascii="宋体" w:hAnsi="宋体"/>
          <w:bCs/>
          <w:color w:val="auto"/>
          <w:sz w:val="24"/>
          <w:szCs w:val="20"/>
          <w:highlight w:val="none"/>
        </w:rPr>
      </w:pPr>
    </w:p>
    <w:p w14:paraId="4C9B8F90">
      <w:pPr>
        <w:snapToGrid w:val="0"/>
        <w:spacing w:beforeLines="50" w:after="50"/>
        <w:rPr>
          <w:rFonts w:ascii="宋体" w:hAnsi="宋体"/>
          <w:bCs/>
          <w:color w:val="auto"/>
          <w:sz w:val="24"/>
          <w:szCs w:val="20"/>
          <w:highlight w:val="none"/>
        </w:rPr>
      </w:pPr>
    </w:p>
    <w:p w14:paraId="3F49665E">
      <w:pPr>
        <w:snapToGrid w:val="0"/>
        <w:spacing w:beforeLines="50" w:after="50"/>
        <w:rPr>
          <w:rFonts w:ascii="宋体" w:hAnsi="宋体"/>
          <w:bCs/>
          <w:color w:val="auto"/>
          <w:sz w:val="24"/>
          <w:szCs w:val="20"/>
          <w:highlight w:val="none"/>
        </w:rPr>
      </w:pPr>
    </w:p>
    <w:p w14:paraId="642B01B4">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7CE0C355">
      <w:pPr>
        <w:snapToGrid w:val="0"/>
        <w:spacing w:beforeLines="50" w:after="50"/>
        <w:ind w:firstLine="720" w:firstLineChars="225"/>
        <w:rPr>
          <w:rFonts w:ascii="宋体" w:hAnsi="宋体" w:cs="仿宋_GB2312"/>
          <w:bCs/>
          <w:color w:val="auto"/>
          <w:sz w:val="32"/>
          <w:szCs w:val="32"/>
          <w:highlight w:val="none"/>
        </w:rPr>
      </w:pPr>
    </w:p>
    <w:p w14:paraId="17A68D29">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7B333470">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380430A5">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776A2579">
      <w:pPr>
        <w:snapToGrid w:val="0"/>
        <w:spacing w:beforeLines="50" w:after="50"/>
        <w:ind w:firstLine="720" w:firstLineChars="225"/>
        <w:rPr>
          <w:rFonts w:ascii="宋体" w:hAnsi="宋体" w:cs="仿宋_GB2312"/>
          <w:bCs/>
          <w:color w:val="auto"/>
          <w:sz w:val="32"/>
          <w:szCs w:val="32"/>
          <w:highlight w:val="none"/>
        </w:rPr>
      </w:pPr>
    </w:p>
    <w:p w14:paraId="57E03FF1">
      <w:pPr>
        <w:pStyle w:val="6"/>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2C3BDD5B">
      <w:pPr>
        <w:pStyle w:val="6"/>
        <w:snapToGrid w:val="0"/>
        <w:spacing w:before="50" w:after="50"/>
        <w:ind w:firstLine="640" w:firstLineChars="200"/>
        <w:rPr>
          <w:rFonts w:ascii="宋体" w:hAnsi="宋体" w:cs="仿宋_GB2312"/>
          <w:bCs/>
          <w:color w:val="auto"/>
          <w:sz w:val="32"/>
          <w:szCs w:val="32"/>
          <w:highlight w:val="none"/>
        </w:rPr>
      </w:pPr>
    </w:p>
    <w:p w14:paraId="47A95287">
      <w:pPr>
        <w:pStyle w:val="6"/>
        <w:snapToGrid w:val="0"/>
        <w:spacing w:before="50" w:after="50"/>
        <w:ind w:firstLine="720" w:firstLineChars="225"/>
        <w:rPr>
          <w:rFonts w:ascii="宋体" w:hAnsi="宋体" w:cs="仿宋_GB2312"/>
          <w:bCs/>
          <w:color w:val="auto"/>
          <w:sz w:val="32"/>
          <w:szCs w:val="32"/>
          <w:highlight w:val="none"/>
        </w:rPr>
      </w:pPr>
    </w:p>
    <w:p w14:paraId="1765607E">
      <w:pPr>
        <w:pStyle w:val="6"/>
        <w:snapToGrid w:val="0"/>
        <w:spacing w:before="50" w:after="50"/>
        <w:ind w:firstLine="0"/>
        <w:rPr>
          <w:rFonts w:ascii="宋体" w:hAnsi="宋体" w:cs="仿宋_GB2312"/>
          <w:bCs/>
          <w:color w:val="auto"/>
          <w:sz w:val="32"/>
          <w:szCs w:val="32"/>
          <w:highlight w:val="none"/>
        </w:rPr>
      </w:pPr>
    </w:p>
    <w:p w14:paraId="77FD4EDA">
      <w:pPr>
        <w:pStyle w:val="6"/>
        <w:snapToGrid w:val="0"/>
        <w:spacing w:before="50" w:after="50"/>
        <w:ind w:firstLine="1280" w:firstLineChars="400"/>
        <w:rPr>
          <w:rFonts w:ascii="宋体" w:hAnsi="宋体" w:cs="仿宋_GB2312"/>
          <w:bCs/>
          <w:color w:val="auto"/>
          <w:sz w:val="32"/>
          <w:szCs w:val="32"/>
          <w:highlight w:val="none"/>
        </w:rPr>
      </w:pPr>
    </w:p>
    <w:p w14:paraId="170E6D13">
      <w:pPr>
        <w:snapToGrid w:val="0"/>
        <w:spacing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CDD9D4D">
      <w:pPr>
        <w:snapToGrid w:val="0"/>
        <w:spacing w:beforeLines="50" w:after="50" w:line="360" w:lineRule="auto"/>
        <w:ind w:left="142"/>
        <w:jc w:val="left"/>
        <w:rPr>
          <w:rFonts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643A7CC3">
      <w:pPr>
        <w:spacing w:line="520" w:lineRule="exact"/>
        <w:jc w:val="center"/>
        <w:rPr>
          <w:rFonts w:ascii="方正小标宋简体" w:hAnsi="方正小标宋简体" w:eastAsia="方正小标宋简体" w:cs="方正小标宋简体"/>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竞  标  报  价  表</w:t>
      </w:r>
    </w:p>
    <w:p w14:paraId="150D4AB7">
      <w:pPr>
        <w:spacing w:line="440" w:lineRule="exact"/>
        <w:jc w:val="center"/>
        <w:rPr>
          <w:rFonts w:ascii="方正小标宋简体" w:hAnsi="方正小标宋简体" w:eastAsia="方正小标宋简体" w:cs="方正小标宋简体"/>
          <w:bCs/>
          <w:color w:val="auto"/>
          <w:sz w:val="32"/>
          <w:szCs w:val="32"/>
          <w:highlight w:val="none"/>
        </w:rPr>
      </w:pPr>
    </w:p>
    <w:p w14:paraId="4D123DDB">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58C06DB8">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分标（如有）：</w:t>
      </w:r>
      <w:r>
        <w:rPr>
          <w:rFonts w:hint="eastAsia" w:ascii="宋体" w:hAnsi="宋体" w:cs="仿宋_GB2312"/>
          <w:color w:val="auto"/>
          <w:sz w:val="24"/>
          <w:highlight w:val="none"/>
          <w:u w:val="single"/>
        </w:rPr>
        <w:t xml:space="preserve">                                         </w:t>
      </w:r>
    </w:p>
    <w:p w14:paraId="738982C0">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50209883">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25"/>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3143"/>
        <w:gridCol w:w="1157"/>
        <w:gridCol w:w="1075"/>
        <w:gridCol w:w="1687"/>
        <w:gridCol w:w="963"/>
      </w:tblGrid>
      <w:tr w14:paraId="207E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791" w:type="dxa"/>
            <w:tcBorders>
              <w:top w:val="single" w:color="auto" w:sz="4" w:space="0"/>
              <w:left w:val="single" w:color="auto" w:sz="4" w:space="0"/>
              <w:bottom w:val="single" w:color="auto" w:sz="4" w:space="0"/>
              <w:right w:val="single" w:color="auto" w:sz="4" w:space="0"/>
            </w:tcBorders>
            <w:noWrap/>
            <w:vAlign w:val="center"/>
          </w:tcPr>
          <w:p w14:paraId="7039C78F">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3143" w:type="dxa"/>
            <w:tcBorders>
              <w:top w:val="single" w:color="auto" w:sz="4" w:space="0"/>
              <w:left w:val="single" w:color="auto" w:sz="4" w:space="0"/>
              <w:bottom w:val="single" w:color="auto" w:sz="4" w:space="0"/>
              <w:right w:val="single" w:color="auto" w:sz="4" w:space="0"/>
            </w:tcBorders>
            <w:noWrap/>
            <w:vAlign w:val="center"/>
          </w:tcPr>
          <w:p w14:paraId="5E27D507">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服务名称</w:t>
            </w:r>
          </w:p>
        </w:tc>
        <w:tc>
          <w:tcPr>
            <w:tcW w:w="1157" w:type="dxa"/>
            <w:tcBorders>
              <w:top w:val="single" w:color="auto" w:sz="4" w:space="0"/>
              <w:left w:val="single" w:color="auto" w:sz="4" w:space="0"/>
              <w:bottom w:val="single" w:color="auto" w:sz="4" w:space="0"/>
              <w:right w:val="single" w:color="auto" w:sz="4" w:space="0"/>
            </w:tcBorders>
            <w:noWrap/>
            <w:vAlign w:val="center"/>
          </w:tcPr>
          <w:p w14:paraId="0351C835">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数量及单位①</w:t>
            </w:r>
          </w:p>
        </w:tc>
        <w:tc>
          <w:tcPr>
            <w:tcW w:w="1075" w:type="dxa"/>
            <w:tcBorders>
              <w:top w:val="single" w:color="auto" w:sz="4" w:space="0"/>
              <w:left w:val="single" w:color="auto" w:sz="4" w:space="0"/>
              <w:bottom w:val="single" w:color="auto" w:sz="4" w:space="0"/>
              <w:right w:val="single" w:color="auto" w:sz="4" w:space="0"/>
            </w:tcBorders>
            <w:noWrap/>
            <w:vAlign w:val="center"/>
          </w:tcPr>
          <w:p w14:paraId="685782D9">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单价②</w:t>
            </w:r>
          </w:p>
        </w:tc>
        <w:tc>
          <w:tcPr>
            <w:tcW w:w="1687" w:type="dxa"/>
            <w:tcBorders>
              <w:top w:val="single" w:color="auto" w:sz="4" w:space="0"/>
              <w:left w:val="single" w:color="auto" w:sz="4" w:space="0"/>
              <w:bottom w:val="single" w:color="auto" w:sz="4" w:space="0"/>
              <w:right w:val="single" w:color="auto" w:sz="4" w:space="0"/>
            </w:tcBorders>
            <w:noWrap/>
            <w:vAlign w:val="center"/>
          </w:tcPr>
          <w:p w14:paraId="0F2AC17A">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③合计金额=①×②</w:t>
            </w:r>
          </w:p>
        </w:tc>
        <w:tc>
          <w:tcPr>
            <w:tcW w:w="963" w:type="dxa"/>
            <w:tcBorders>
              <w:top w:val="single" w:color="auto" w:sz="4" w:space="0"/>
              <w:left w:val="single" w:color="auto" w:sz="4" w:space="0"/>
              <w:bottom w:val="single" w:color="auto" w:sz="4" w:space="0"/>
              <w:right w:val="single" w:color="auto" w:sz="4" w:space="0"/>
            </w:tcBorders>
            <w:noWrap/>
            <w:vAlign w:val="center"/>
          </w:tcPr>
          <w:p w14:paraId="41008D4E">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2775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791" w:type="dxa"/>
            <w:tcBorders>
              <w:top w:val="single" w:color="auto" w:sz="4" w:space="0"/>
              <w:left w:val="single" w:color="auto" w:sz="4" w:space="0"/>
              <w:bottom w:val="single" w:color="auto" w:sz="4" w:space="0"/>
              <w:right w:val="single" w:color="auto" w:sz="4" w:space="0"/>
            </w:tcBorders>
            <w:noWrap/>
            <w:vAlign w:val="center"/>
          </w:tcPr>
          <w:p w14:paraId="14D8CE5A">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1</w:t>
            </w:r>
          </w:p>
        </w:tc>
        <w:tc>
          <w:tcPr>
            <w:tcW w:w="3143" w:type="dxa"/>
            <w:tcBorders>
              <w:top w:val="single" w:color="auto" w:sz="4" w:space="0"/>
              <w:left w:val="single" w:color="auto" w:sz="4" w:space="0"/>
              <w:bottom w:val="single" w:color="auto" w:sz="4" w:space="0"/>
              <w:right w:val="single" w:color="auto" w:sz="4" w:space="0"/>
            </w:tcBorders>
            <w:noWrap/>
            <w:vAlign w:val="center"/>
          </w:tcPr>
          <w:p w14:paraId="2CE844E6">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广西十万大山国家级自然保护区保护设施设备购置维护与宣传教育项目—保护区各类主题宣传活动</w:t>
            </w:r>
          </w:p>
        </w:tc>
        <w:tc>
          <w:tcPr>
            <w:tcW w:w="1157" w:type="dxa"/>
            <w:tcBorders>
              <w:top w:val="single" w:color="auto" w:sz="4" w:space="0"/>
              <w:left w:val="single" w:color="auto" w:sz="4" w:space="0"/>
              <w:bottom w:val="single" w:color="auto" w:sz="4" w:space="0"/>
              <w:right w:val="single" w:color="auto" w:sz="4" w:space="0"/>
            </w:tcBorders>
            <w:noWrap/>
            <w:vAlign w:val="center"/>
          </w:tcPr>
          <w:p w14:paraId="1CB794AB">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1项</w:t>
            </w:r>
          </w:p>
        </w:tc>
        <w:tc>
          <w:tcPr>
            <w:tcW w:w="1075" w:type="dxa"/>
            <w:tcBorders>
              <w:top w:val="single" w:color="auto" w:sz="4" w:space="0"/>
              <w:left w:val="single" w:color="auto" w:sz="4" w:space="0"/>
              <w:bottom w:val="single" w:color="auto" w:sz="4" w:space="0"/>
              <w:right w:val="single" w:color="auto" w:sz="4" w:space="0"/>
            </w:tcBorders>
            <w:noWrap/>
          </w:tcPr>
          <w:p w14:paraId="1D0DC36A">
            <w:pPr>
              <w:spacing w:line="360" w:lineRule="auto"/>
              <w:contextualSpacing/>
              <w:rPr>
                <w:rFonts w:ascii="宋体" w:hAnsi="宋体" w:cs="仿宋_GB2312"/>
                <w:color w:val="auto"/>
                <w:sz w:val="24"/>
                <w:highlight w:val="none"/>
              </w:rPr>
            </w:pPr>
          </w:p>
        </w:tc>
        <w:tc>
          <w:tcPr>
            <w:tcW w:w="1687" w:type="dxa"/>
            <w:tcBorders>
              <w:top w:val="single" w:color="auto" w:sz="4" w:space="0"/>
              <w:left w:val="single" w:color="auto" w:sz="4" w:space="0"/>
              <w:bottom w:val="single" w:color="auto" w:sz="4" w:space="0"/>
              <w:right w:val="single" w:color="auto" w:sz="4" w:space="0"/>
            </w:tcBorders>
            <w:noWrap/>
            <w:vAlign w:val="center"/>
          </w:tcPr>
          <w:p w14:paraId="37569AA8">
            <w:pPr>
              <w:spacing w:line="360" w:lineRule="auto"/>
              <w:contextualSpacing/>
              <w:rPr>
                <w:rFonts w:ascii="宋体" w:hAnsi="宋体" w:cs="仿宋_GB2312"/>
                <w:color w:val="auto"/>
                <w:sz w:val="24"/>
                <w:highlight w:val="none"/>
              </w:rPr>
            </w:pPr>
          </w:p>
        </w:tc>
        <w:tc>
          <w:tcPr>
            <w:tcW w:w="963" w:type="dxa"/>
            <w:tcBorders>
              <w:top w:val="single" w:color="auto" w:sz="4" w:space="0"/>
              <w:left w:val="single" w:color="auto" w:sz="4" w:space="0"/>
              <w:bottom w:val="single" w:color="auto" w:sz="4" w:space="0"/>
              <w:right w:val="single" w:color="auto" w:sz="4" w:space="0"/>
            </w:tcBorders>
            <w:noWrap/>
            <w:vAlign w:val="center"/>
          </w:tcPr>
          <w:p w14:paraId="60AA7E8C">
            <w:pPr>
              <w:spacing w:line="360" w:lineRule="auto"/>
              <w:contextualSpacing/>
              <w:rPr>
                <w:rFonts w:ascii="宋体" w:hAnsi="宋体" w:cs="仿宋_GB2312"/>
                <w:color w:val="auto"/>
                <w:sz w:val="24"/>
                <w:highlight w:val="none"/>
              </w:rPr>
            </w:pPr>
          </w:p>
        </w:tc>
      </w:tr>
      <w:tr w14:paraId="2D262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816" w:type="dxa"/>
            <w:gridSpan w:val="6"/>
            <w:tcBorders>
              <w:top w:val="single" w:color="auto" w:sz="4" w:space="0"/>
              <w:left w:val="single" w:color="auto" w:sz="4" w:space="0"/>
              <w:bottom w:val="single" w:color="auto" w:sz="4" w:space="0"/>
              <w:right w:val="single" w:color="auto" w:sz="4" w:space="0"/>
            </w:tcBorders>
            <w:noWrap/>
            <w:vAlign w:val="center"/>
          </w:tcPr>
          <w:p w14:paraId="542DEA04">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总报价：人民币      （¥）</w:t>
            </w:r>
          </w:p>
        </w:tc>
      </w:tr>
    </w:tbl>
    <w:p w14:paraId="5E13F23E">
      <w:pPr>
        <w:spacing w:line="360" w:lineRule="auto"/>
        <w:contextualSpacing/>
        <w:jc w:val="left"/>
        <w:rPr>
          <w:rFonts w:ascii="宋体" w:hAnsi="宋体" w:cs="仿宋_GB2312"/>
          <w:color w:val="auto"/>
          <w:sz w:val="24"/>
          <w:highlight w:val="none"/>
        </w:rPr>
      </w:pPr>
    </w:p>
    <w:p w14:paraId="296E0BDD">
      <w:pPr>
        <w:spacing w:line="360" w:lineRule="auto"/>
        <w:contextualSpacing/>
        <w:jc w:val="left"/>
        <w:rPr>
          <w:rFonts w:ascii="宋体" w:hAnsi="宋体" w:cs="仿宋_GB2312"/>
          <w:color w:val="auto"/>
          <w:szCs w:val="21"/>
          <w:highlight w:val="none"/>
        </w:rPr>
      </w:pPr>
      <w:r>
        <w:rPr>
          <w:rFonts w:hint="eastAsia" w:ascii="宋体" w:hAnsi="宋体" w:cs="仿宋_GB2312"/>
          <w:color w:val="auto"/>
          <w:szCs w:val="21"/>
          <w:highlight w:val="none"/>
        </w:rPr>
        <w:t xml:space="preserve">注: </w:t>
      </w:r>
    </w:p>
    <w:p w14:paraId="6B2417FF">
      <w:pPr>
        <w:spacing w:line="360" w:lineRule="auto"/>
        <w:ind w:firstLine="420" w:firstLineChars="200"/>
        <w:contextualSpacing/>
        <w:jc w:val="left"/>
        <w:rPr>
          <w:rFonts w:ascii="宋体" w:hAnsi="宋体" w:cs="仿宋_GB2312"/>
          <w:color w:val="auto"/>
          <w:szCs w:val="21"/>
          <w:highlight w:val="none"/>
        </w:rPr>
      </w:pPr>
      <w:r>
        <w:rPr>
          <w:rFonts w:hint="eastAsia" w:ascii="宋体" w:hAnsi="宋体" w:cs="仿宋_GB2312"/>
          <w:color w:val="auto"/>
          <w:szCs w:val="21"/>
          <w:highlight w:val="none"/>
        </w:rPr>
        <w:t>1.供应商的报价表必须加盖供应商电子签章并由法定代表人或者委托代理人签字或者电子签名，</w:t>
      </w:r>
      <w:r>
        <w:rPr>
          <w:rFonts w:hint="eastAsia" w:ascii="宋体" w:hAnsi="宋体" w:cs="仿宋_GB2312"/>
          <w:b/>
          <w:color w:val="auto"/>
          <w:szCs w:val="21"/>
          <w:highlight w:val="none"/>
        </w:rPr>
        <w:t>否则其响应文件按无效处理</w:t>
      </w:r>
      <w:r>
        <w:rPr>
          <w:rFonts w:hint="eastAsia" w:ascii="宋体" w:hAnsi="宋体" w:cs="仿宋_GB2312"/>
          <w:color w:val="auto"/>
          <w:szCs w:val="21"/>
          <w:highlight w:val="none"/>
        </w:rPr>
        <w:t>。</w:t>
      </w:r>
    </w:p>
    <w:p w14:paraId="3E30D7A6">
      <w:pPr>
        <w:spacing w:line="360" w:lineRule="auto"/>
        <w:ind w:firstLine="420" w:firstLineChars="200"/>
        <w:contextualSpacing/>
        <w:jc w:val="left"/>
        <w:rPr>
          <w:rFonts w:ascii="宋体" w:hAnsi="宋体" w:cs="仿宋_GB2312"/>
          <w:b/>
          <w:color w:val="auto"/>
          <w:szCs w:val="21"/>
          <w:highlight w:val="none"/>
        </w:rPr>
      </w:pPr>
      <w:r>
        <w:rPr>
          <w:rFonts w:hint="eastAsia" w:ascii="宋体" w:hAnsi="宋体" w:cs="仿宋_GB2312"/>
          <w:bCs/>
          <w:color w:val="auto"/>
          <w:szCs w:val="21"/>
          <w:highlight w:val="none"/>
        </w:rPr>
        <w:t>2.</w:t>
      </w:r>
      <w:r>
        <w:rPr>
          <w:rFonts w:hint="eastAsia" w:ascii="宋体" w:hAnsi="宋体" w:cs="仿宋_GB2312"/>
          <w:color w:val="auto"/>
          <w:szCs w:val="21"/>
          <w:highlight w:val="none"/>
        </w:rPr>
        <w:t>报价一经涂改，应在涂改处加盖供应商公章或者加盖电子签章或者由法定代表人或者授权委托人签字</w:t>
      </w:r>
      <w:r>
        <w:rPr>
          <w:rFonts w:hint="eastAsia" w:ascii="宋体" w:hAnsi="宋体"/>
          <w:color w:val="auto"/>
          <w:szCs w:val="21"/>
          <w:highlight w:val="none"/>
        </w:rPr>
        <w:t>（或者电子签名）</w:t>
      </w:r>
      <w:r>
        <w:rPr>
          <w:rFonts w:hint="eastAsia" w:ascii="宋体" w:hAnsi="宋体" w:cs="仿宋_GB2312"/>
          <w:b/>
          <w:color w:val="auto"/>
          <w:szCs w:val="21"/>
          <w:highlight w:val="none"/>
        </w:rPr>
        <w:t>，否则其响应文件按无效处理。</w:t>
      </w:r>
    </w:p>
    <w:p w14:paraId="0DE5B0DA">
      <w:pPr>
        <w:spacing w:line="360" w:lineRule="auto"/>
        <w:ind w:right="-817" w:rightChars="-389"/>
        <w:contextualSpacing/>
        <w:rPr>
          <w:rFonts w:ascii="宋体" w:hAnsi="宋体" w:cs="仿宋_GB2312"/>
          <w:color w:val="auto"/>
          <w:sz w:val="24"/>
          <w:highlight w:val="none"/>
        </w:rPr>
      </w:pPr>
    </w:p>
    <w:p w14:paraId="0EACBE9A">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0E618266">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396222CE">
      <w:pPr>
        <w:spacing w:line="360" w:lineRule="auto"/>
        <w:ind w:right="-817" w:rightChars="-389" w:firstLine="4080" w:firstLineChars="1700"/>
        <w:contextualSpacing/>
        <w:rPr>
          <w:rFonts w:ascii="宋体" w:hAnsi="宋体" w:cs="仿宋_GB2312"/>
          <w:b/>
          <w:color w:val="auto"/>
          <w:sz w:val="24"/>
          <w:highlight w:val="none"/>
        </w:rPr>
      </w:pPr>
      <w:r>
        <w:rPr>
          <w:rFonts w:hint="eastAsia" w:ascii="宋体" w:hAnsi="宋体" w:cs="仿宋_GB2312"/>
          <w:color w:val="auto"/>
          <w:sz w:val="24"/>
          <w:highlight w:val="none"/>
        </w:rPr>
        <w:t>日期：   年   月   日</w:t>
      </w:r>
    </w:p>
    <w:p w14:paraId="7031723D">
      <w:pPr>
        <w:spacing w:line="360" w:lineRule="auto"/>
        <w:ind w:right="420"/>
        <w:contextualSpacing/>
        <w:jc w:val="left"/>
        <w:rPr>
          <w:rFonts w:ascii="宋体" w:hAnsi="宋体"/>
          <w:b/>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三、</w:t>
      </w:r>
      <w:r>
        <w:rPr>
          <w:rFonts w:hint="eastAsia" w:ascii="宋体" w:hAnsi="宋体"/>
          <w:b/>
          <w:color w:val="auto"/>
          <w:sz w:val="32"/>
          <w:szCs w:val="32"/>
          <w:highlight w:val="none"/>
        </w:rPr>
        <w:t xml:space="preserve">商务技术文件格式 </w:t>
      </w:r>
    </w:p>
    <w:p w14:paraId="2E38F3DB">
      <w:pPr>
        <w:snapToGrid w:val="0"/>
        <w:spacing w:beforeLines="50" w:after="50" w:line="360" w:lineRule="auto"/>
        <w:jc w:val="left"/>
        <w:rPr>
          <w:rFonts w:ascii="宋体" w:hAnsi="宋体"/>
          <w:b/>
          <w:color w:val="auto"/>
          <w:sz w:val="32"/>
          <w:szCs w:val="32"/>
          <w:highlight w:val="none"/>
        </w:rPr>
      </w:pPr>
      <w:r>
        <w:rPr>
          <w:rFonts w:hint="eastAsia" w:ascii="宋体" w:hAnsi="宋体"/>
          <w:b/>
          <w:color w:val="auto"/>
          <w:sz w:val="32"/>
          <w:szCs w:val="32"/>
          <w:highlight w:val="none"/>
        </w:rPr>
        <w:t>1.商务技术文件封面格式</w:t>
      </w:r>
    </w:p>
    <w:p w14:paraId="1A2DF586">
      <w:pPr>
        <w:snapToGrid w:val="0"/>
        <w:spacing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19497195">
      <w:pPr>
        <w:snapToGrid w:val="0"/>
        <w:spacing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127D8C3F">
      <w:pPr>
        <w:snapToGrid w:val="0"/>
        <w:spacing w:beforeLines="50" w:after="50"/>
        <w:rPr>
          <w:rFonts w:ascii="宋体" w:hAnsi="宋体"/>
          <w:color w:val="auto"/>
          <w:sz w:val="24"/>
          <w:szCs w:val="20"/>
          <w:highlight w:val="none"/>
        </w:rPr>
      </w:pPr>
    </w:p>
    <w:p w14:paraId="59F6F7D2">
      <w:pPr>
        <w:snapToGrid w:val="0"/>
        <w:spacing w:beforeLines="50" w:after="50"/>
        <w:rPr>
          <w:rFonts w:ascii="宋体" w:hAnsi="宋体"/>
          <w:color w:val="auto"/>
          <w:sz w:val="24"/>
          <w:szCs w:val="20"/>
          <w:highlight w:val="none"/>
        </w:rPr>
      </w:pPr>
    </w:p>
    <w:p w14:paraId="4CF6F731">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2A57C9B8">
      <w:pPr>
        <w:snapToGrid w:val="0"/>
        <w:spacing w:beforeLines="50" w:after="50"/>
        <w:rPr>
          <w:rFonts w:ascii="宋体" w:hAnsi="宋体"/>
          <w:bCs/>
          <w:color w:val="auto"/>
          <w:sz w:val="24"/>
          <w:szCs w:val="20"/>
          <w:highlight w:val="none"/>
        </w:rPr>
      </w:pPr>
    </w:p>
    <w:p w14:paraId="39C20436">
      <w:pPr>
        <w:snapToGrid w:val="0"/>
        <w:spacing w:beforeLines="50" w:after="50"/>
        <w:rPr>
          <w:rFonts w:ascii="宋体" w:hAnsi="宋体"/>
          <w:bCs/>
          <w:color w:val="auto"/>
          <w:sz w:val="24"/>
          <w:szCs w:val="20"/>
          <w:highlight w:val="none"/>
        </w:rPr>
      </w:pPr>
    </w:p>
    <w:p w14:paraId="12CD7ADE">
      <w:pPr>
        <w:snapToGrid w:val="0"/>
        <w:spacing w:beforeLines="50" w:after="50"/>
        <w:rPr>
          <w:rFonts w:ascii="宋体" w:hAnsi="宋体"/>
          <w:bCs/>
          <w:color w:val="auto"/>
          <w:sz w:val="24"/>
          <w:szCs w:val="20"/>
          <w:highlight w:val="none"/>
        </w:rPr>
      </w:pPr>
    </w:p>
    <w:p w14:paraId="32F94554">
      <w:pPr>
        <w:snapToGrid w:val="0"/>
        <w:spacing w:beforeLines="50" w:after="50"/>
        <w:rPr>
          <w:rFonts w:ascii="宋体" w:hAnsi="宋体"/>
          <w:bCs/>
          <w:color w:val="auto"/>
          <w:sz w:val="24"/>
          <w:szCs w:val="20"/>
          <w:highlight w:val="none"/>
        </w:rPr>
      </w:pPr>
    </w:p>
    <w:p w14:paraId="02994E89">
      <w:pPr>
        <w:snapToGrid w:val="0"/>
        <w:spacing w:beforeLines="50" w:after="50"/>
        <w:rPr>
          <w:rFonts w:ascii="宋体" w:hAnsi="宋体"/>
          <w:bCs/>
          <w:color w:val="auto"/>
          <w:sz w:val="24"/>
          <w:szCs w:val="20"/>
          <w:highlight w:val="none"/>
        </w:rPr>
      </w:pPr>
    </w:p>
    <w:p w14:paraId="6A059254">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4280383E">
      <w:pPr>
        <w:snapToGrid w:val="0"/>
        <w:spacing w:beforeLines="50" w:after="50"/>
        <w:ind w:firstLine="720" w:firstLineChars="225"/>
        <w:rPr>
          <w:rFonts w:ascii="宋体" w:hAnsi="宋体" w:cs="仿宋_GB2312"/>
          <w:bCs/>
          <w:color w:val="auto"/>
          <w:sz w:val="32"/>
          <w:szCs w:val="32"/>
          <w:highlight w:val="none"/>
        </w:rPr>
      </w:pPr>
    </w:p>
    <w:p w14:paraId="0E6D5740">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9EB1673">
      <w:pPr>
        <w:snapToGrid w:val="0"/>
        <w:spacing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116F1FF5">
      <w:pPr>
        <w:snapToGrid w:val="0"/>
        <w:spacing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06D56C0E">
      <w:pPr>
        <w:snapToGrid w:val="0"/>
        <w:spacing w:beforeLines="50" w:after="50"/>
        <w:ind w:firstLine="720" w:firstLineChars="225"/>
        <w:rPr>
          <w:rFonts w:ascii="宋体" w:hAnsi="宋体" w:cs="仿宋_GB2312"/>
          <w:bCs/>
          <w:color w:val="auto"/>
          <w:sz w:val="32"/>
          <w:szCs w:val="32"/>
          <w:highlight w:val="none"/>
        </w:rPr>
      </w:pPr>
    </w:p>
    <w:p w14:paraId="18BBA622">
      <w:pPr>
        <w:pStyle w:val="6"/>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9BEA411">
      <w:pPr>
        <w:pStyle w:val="6"/>
        <w:snapToGrid w:val="0"/>
        <w:spacing w:before="50" w:after="50"/>
        <w:ind w:firstLine="640" w:firstLineChars="200"/>
        <w:rPr>
          <w:rFonts w:ascii="宋体" w:hAnsi="宋体" w:cs="仿宋_GB2312"/>
          <w:bCs/>
          <w:color w:val="auto"/>
          <w:sz w:val="32"/>
          <w:szCs w:val="32"/>
          <w:highlight w:val="none"/>
        </w:rPr>
      </w:pPr>
    </w:p>
    <w:p w14:paraId="481EEF0B">
      <w:pPr>
        <w:pStyle w:val="6"/>
        <w:snapToGrid w:val="0"/>
        <w:spacing w:before="50" w:after="50"/>
        <w:ind w:firstLine="720" w:firstLineChars="225"/>
        <w:rPr>
          <w:rFonts w:ascii="宋体" w:hAnsi="宋体" w:cs="仿宋_GB2312"/>
          <w:bCs/>
          <w:color w:val="auto"/>
          <w:sz w:val="32"/>
          <w:szCs w:val="32"/>
          <w:highlight w:val="none"/>
        </w:rPr>
      </w:pPr>
    </w:p>
    <w:p w14:paraId="26769DE4">
      <w:pPr>
        <w:pStyle w:val="6"/>
        <w:snapToGrid w:val="0"/>
        <w:spacing w:before="50" w:after="50"/>
        <w:ind w:firstLine="0"/>
        <w:rPr>
          <w:rFonts w:ascii="宋体" w:hAnsi="宋体" w:cs="仿宋_GB2312"/>
          <w:bCs/>
          <w:color w:val="auto"/>
          <w:sz w:val="32"/>
          <w:szCs w:val="32"/>
          <w:highlight w:val="none"/>
        </w:rPr>
      </w:pPr>
    </w:p>
    <w:p w14:paraId="76AB9718">
      <w:pPr>
        <w:pStyle w:val="6"/>
        <w:snapToGrid w:val="0"/>
        <w:spacing w:before="50" w:after="50"/>
        <w:ind w:firstLine="1280" w:firstLineChars="400"/>
        <w:rPr>
          <w:rFonts w:ascii="宋体" w:hAnsi="宋体" w:cs="仿宋_GB2312"/>
          <w:bCs/>
          <w:color w:val="auto"/>
          <w:sz w:val="32"/>
          <w:szCs w:val="32"/>
          <w:highlight w:val="none"/>
        </w:rPr>
      </w:pPr>
    </w:p>
    <w:p w14:paraId="063EE846">
      <w:pPr>
        <w:snapToGrid w:val="0"/>
        <w:spacing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C66D942">
      <w:pPr>
        <w:snapToGrid w:val="0"/>
        <w:spacing w:beforeLines="50" w:after="50" w:line="360" w:lineRule="auto"/>
        <w:ind w:right="480" w:firstLine="240" w:firstLineChars="100"/>
        <w:jc w:val="left"/>
        <w:rPr>
          <w:rFonts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35F9EDCB">
      <w:pPr>
        <w:snapToGrid w:val="0"/>
        <w:spacing w:beforeLines="50" w:after="50" w:line="360" w:lineRule="auto"/>
        <w:ind w:firstLine="640" w:firstLineChars="200"/>
        <w:rPr>
          <w:rFonts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6D33A175">
      <w:pPr>
        <w:spacing w:line="400" w:lineRule="exact"/>
        <w:rPr>
          <w:rFonts w:ascii="仿宋_GB2312" w:hAnsi="仿宋_GB2312" w:eastAsia="仿宋_GB2312" w:cs="仿宋_GB2312"/>
          <w:color w:val="auto"/>
          <w:sz w:val="32"/>
          <w:szCs w:val="32"/>
          <w:highlight w:val="none"/>
        </w:rPr>
      </w:pPr>
    </w:p>
    <w:p w14:paraId="598EC755">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636424C4">
      <w:pPr>
        <w:spacing w:line="360" w:lineRule="auto"/>
        <w:ind w:firstLine="640" w:firstLineChars="200"/>
        <w:contextualSpacing/>
        <w:rPr>
          <w:rFonts w:ascii="仿宋_GB2312" w:hAnsi="仿宋_GB2312" w:eastAsia="仿宋_GB2312" w:cs="仿宋_GB2312"/>
          <w:color w:val="auto"/>
          <w:sz w:val="32"/>
          <w:szCs w:val="32"/>
          <w:highlight w:val="none"/>
        </w:rPr>
      </w:pPr>
    </w:p>
    <w:p w14:paraId="6A1CD393">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6ABD172D">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13E981DF">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6ECB104D">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6B00D4B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67CFCC2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3F4FE209">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7F8205B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4355E60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60E6ABEA">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31CED7F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2882579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0BEBB3E9">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413F072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07EA401A">
      <w:pPr>
        <w:spacing w:line="360" w:lineRule="auto"/>
        <w:ind w:firstLine="480" w:firstLineChars="200"/>
        <w:contextualSpacing/>
        <w:rPr>
          <w:rFonts w:ascii="宋体" w:hAnsi="宋体" w:cs="仿宋_GB2312"/>
          <w:color w:val="auto"/>
          <w:sz w:val="24"/>
          <w:highlight w:val="none"/>
        </w:rPr>
      </w:pPr>
    </w:p>
    <w:p w14:paraId="59372FA5">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28BAA303">
      <w:pPr>
        <w:spacing w:line="360" w:lineRule="auto"/>
        <w:contextualSpacing/>
        <w:rPr>
          <w:rFonts w:ascii="宋体" w:hAnsi="宋体" w:cs="仿宋_GB2312"/>
          <w:color w:val="auto"/>
          <w:sz w:val="24"/>
          <w:highlight w:val="none"/>
        </w:rPr>
      </w:pPr>
    </w:p>
    <w:p w14:paraId="2E613AC1">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供应商（电子签章）：</w:t>
      </w:r>
    </w:p>
    <w:p w14:paraId="322E4593">
      <w:pPr>
        <w:spacing w:line="360" w:lineRule="auto"/>
        <w:ind w:firstLine="480" w:firstLineChars="200"/>
        <w:contextualSpacing/>
        <w:jc w:val="center"/>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63218DAE">
      <w:pPr>
        <w:spacing w:line="520" w:lineRule="exact"/>
        <w:jc w:val="center"/>
        <w:rPr>
          <w:rFonts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6516C1EE">
      <w:pPr>
        <w:spacing w:line="360" w:lineRule="auto"/>
        <w:ind w:left="540"/>
        <w:contextualSpacing/>
        <w:rPr>
          <w:rFonts w:ascii="仿宋_GB2312" w:hAnsi="仿宋_GB2312" w:eastAsia="仿宋_GB2312" w:cs="仿宋_GB2312"/>
          <w:color w:val="auto"/>
          <w:sz w:val="32"/>
          <w:szCs w:val="32"/>
          <w:highlight w:val="none"/>
        </w:rPr>
      </w:pPr>
    </w:p>
    <w:p w14:paraId="0A79746B">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29367642">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5D717C74">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050DDEEB">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081DEC16">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76B8061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698C98C6">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4BEA0F42">
      <w:pPr>
        <w:spacing w:line="360" w:lineRule="auto"/>
        <w:ind w:left="540"/>
        <w:contextualSpacing/>
        <w:rPr>
          <w:rFonts w:ascii="宋体" w:hAnsi="宋体" w:cs="仿宋_GB2312"/>
          <w:color w:val="auto"/>
          <w:sz w:val="24"/>
          <w:highlight w:val="none"/>
        </w:rPr>
      </w:pPr>
    </w:p>
    <w:p w14:paraId="76FCCCEA">
      <w:pPr>
        <w:spacing w:line="360" w:lineRule="auto"/>
        <w:ind w:left="540"/>
        <w:contextualSpacing/>
        <w:rPr>
          <w:rFonts w:ascii="宋体" w:hAnsi="宋体" w:cs="仿宋_GB2312"/>
          <w:color w:val="auto"/>
          <w:sz w:val="24"/>
          <w:highlight w:val="none"/>
        </w:rPr>
      </w:pPr>
    </w:p>
    <w:p w14:paraId="147506EB">
      <w:pPr>
        <w:spacing w:line="360" w:lineRule="auto"/>
        <w:ind w:left="540"/>
        <w:contextualSpacing/>
        <w:rPr>
          <w:rFonts w:ascii="宋体" w:hAnsi="宋体" w:cs="仿宋_GB2312"/>
          <w:color w:val="auto"/>
          <w:sz w:val="24"/>
          <w:highlight w:val="none"/>
        </w:rPr>
      </w:pPr>
    </w:p>
    <w:p w14:paraId="519928CE">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3CD93411">
      <w:pPr>
        <w:spacing w:line="360" w:lineRule="auto"/>
        <w:ind w:left="540"/>
        <w:contextualSpacing/>
        <w:rPr>
          <w:rFonts w:ascii="宋体" w:hAnsi="宋体" w:cs="仿宋_GB2312"/>
          <w:color w:val="auto"/>
          <w:sz w:val="24"/>
          <w:highlight w:val="none"/>
        </w:rPr>
      </w:pPr>
    </w:p>
    <w:p w14:paraId="4399F51C">
      <w:pPr>
        <w:spacing w:line="360" w:lineRule="auto"/>
        <w:ind w:left="540"/>
        <w:contextualSpacing/>
        <w:jc w:val="right"/>
        <w:rPr>
          <w:rFonts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693FAF06">
      <w:pPr>
        <w:spacing w:line="360" w:lineRule="auto"/>
        <w:contextualSpacing/>
        <w:jc w:val="right"/>
        <w:rPr>
          <w:rFonts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53BD9198">
      <w:pPr>
        <w:spacing w:line="360" w:lineRule="auto"/>
        <w:contextualSpacing/>
        <w:jc w:val="center"/>
        <w:rPr>
          <w:rFonts w:ascii="宋体" w:hAnsi="宋体" w:cs="仿宋_GB2312"/>
          <w:b/>
          <w:color w:val="auto"/>
          <w:sz w:val="24"/>
          <w:highlight w:val="none"/>
        </w:rPr>
      </w:pPr>
    </w:p>
    <w:p w14:paraId="2A4D5AE1">
      <w:pPr>
        <w:spacing w:line="360" w:lineRule="auto"/>
        <w:contextualSpacing/>
        <w:jc w:val="left"/>
        <w:rPr>
          <w:rFonts w:ascii="宋体" w:hAnsi="宋体" w:cs="仿宋_GB2312"/>
          <w:color w:val="auto"/>
          <w:sz w:val="24"/>
          <w:highlight w:val="none"/>
        </w:rPr>
      </w:pPr>
    </w:p>
    <w:p w14:paraId="4A778BE6">
      <w:pPr>
        <w:adjustRightInd w:val="0"/>
        <w:snapToGrid w:val="0"/>
        <w:spacing w:line="300" w:lineRule="auto"/>
        <w:jc w:val="left"/>
        <w:rPr>
          <w:rFonts w:ascii="宋体" w:hAnsi="宋体"/>
          <w:b/>
          <w:color w:val="auto"/>
          <w:szCs w:val="21"/>
          <w:highlight w:val="none"/>
        </w:rPr>
      </w:pPr>
    </w:p>
    <w:p w14:paraId="0E158F93">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方正小标宋简体" w:hAnsi="方正小标宋简体" w:eastAsia="方正小标宋简体" w:cs="方正小标宋简体"/>
          <w:color w:val="auto"/>
          <w:sz w:val="44"/>
          <w:szCs w:val="44"/>
          <w:highlight w:val="none"/>
        </w:rPr>
        <w:t xml:space="preserve"> </w:t>
      </w:r>
    </w:p>
    <w:p w14:paraId="3259A318">
      <w:pPr>
        <w:spacing w:line="520" w:lineRule="exact"/>
        <w:jc w:val="center"/>
        <w:rPr>
          <w:rFonts w:ascii="方正小标宋简体" w:hAnsi="方正小标宋简体" w:eastAsia="方正小标宋简体" w:cs="方正小标宋简体"/>
          <w:color w:val="auto"/>
          <w:sz w:val="44"/>
          <w:szCs w:val="44"/>
          <w:highlight w:val="none"/>
        </w:rPr>
      </w:pPr>
      <w:bookmarkStart w:id="86" w:name="_Hlk65853643"/>
      <w:r>
        <w:rPr>
          <w:rFonts w:hint="eastAsia" w:ascii="方正小标宋简体" w:hAnsi="方正小标宋简体" w:eastAsia="方正小标宋简体" w:cs="方正小标宋简体"/>
          <w:color w:val="auto"/>
          <w:sz w:val="44"/>
          <w:szCs w:val="44"/>
          <w:highlight w:val="none"/>
        </w:rPr>
        <w:t>授权委托书</w:t>
      </w:r>
    </w:p>
    <w:p w14:paraId="6B4C0976">
      <w:pPr>
        <w:spacing w:line="52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68AD83D6">
      <w:pPr>
        <w:spacing w:line="520" w:lineRule="exact"/>
        <w:rPr>
          <w:rFonts w:ascii="仿宋_GB2312" w:hAnsi="仿宋_GB2312" w:eastAsia="仿宋_GB2312" w:cs="仿宋_GB2312"/>
          <w:color w:val="auto"/>
          <w:sz w:val="32"/>
          <w:szCs w:val="32"/>
          <w:highlight w:val="none"/>
        </w:rPr>
      </w:pPr>
    </w:p>
    <w:p w14:paraId="3C5492B2">
      <w:pPr>
        <w:spacing w:line="360" w:lineRule="auto"/>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2F3298ED">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sym w:font="Wingdings 2" w:char="00A3"/>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7244FE77">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0F88DDF8">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40DCABE6">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216523BC">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091C3750">
      <w:pPr>
        <w:spacing w:line="360" w:lineRule="auto"/>
        <w:rPr>
          <w:rFonts w:ascii="宋体" w:hAnsi="宋体" w:cs="仿宋_GB2312"/>
          <w:color w:val="auto"/>
          <w:sz w:val="24"/>
          <w:highlight w:val="none"/>
        </w:rPr>
      </w:pPr>
    </w:p>
    <w:p w14:paraId="4403EEEE">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740D838D">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36ACF191">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0B92BBD4">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00E565DB">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60C9988D">
      <w:pPr>
        <w:spacing w:line="360" w:lineRule="auto"/>
        <w:rPr>
          <w:rFonts w:ascii="宋体" w:hAnsi="宋体" w:cs="仿宋_GB2312"/>
          <w:color w:val="auto"/>
          <w:sz w:val="24"/>
          <w:highlight w:val="none"/>
        </w:rPr>
      </w:pPr>
    </w:p>
    <w:p w14:paraId="27643659">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60D4FC4D">
      <w:pPr>
        <w:spacing w:line="360" w:lineRule="auto"/>
        <w:ind w:firstLine="480" w:firstLineChars="200"/>
        <w:jc w:val="left"/>
        <w:rPr>
          <w:rFonts w:ascii="宋体" w:hAnsi="宋体" w:cs="仿宋_GB2312"/>
          <w:color w:val="auto"/>
          <w:sz w:val="24"/>
          <w:highlight w:val="none"/>
        </w:rPr>
      </w:pPr>
      <w:r>
        <w:rPr>
          <w:rFonts w:ascii="宋体" w:hAnsi="宋体" w:cs="仿宋_GB2312"/>
          <w:color w:val="auto"/>
          <w:sz w:val="24"/>
          <w:highlight w:val="none"/>
        </w:rPr>
        <w:t>2.</w:t>
      </w:r>
      <w:bookmarkStart w:id="87" w:name="_Hlk65853109"/>
      <w:bookmarkStart w:id="88" w:name="_Hlk65853542"/>
      <w:r>
        <w:rPr>
          <w:rFonts w:hint="eastAsia" w:ascii="宋体" w:hAnsi="宋体" w:cs="仿宋_GB2312"/>
          <w:color w:val="auto"/>
          <w:sz w:val="24"/>
          <w:highlight w:val="none"/>
        </w:rPr>
        <w:t>法人、其他组织竞标时“我方”是指“我单位”。</w:t>
      </w:r>
      <w:bookmarkEnd w:id="87"/>
    </w:p>
    <w:bookmarkEnd w:id="88"/>
    <w:p w14:paraId="5D136953">
      <w:pPr>
        <w:spacing w:line="360" w:lineRule="auto"/>
        <w:ind w:firstLine="420" w:firstLineChars="200"/>
        <w:jc w:val="left"/>
        <w:rPr>
          <w:rFonts w:ascii="仿宋_GB2312" w:hAnsi="仿宋_GB2312" w:eastAsia="仿宋_GB2312" w:cs="仿宋_GB2312"/>
          <w:color w:val="auto"/>
          <w:szCs w:val="21"/>
          <w:highlight w:val="none"/>
        </w:rPr>
      </w:pPr>
    </w:p>
    <w:p w14:paraId="044107CB">
      <w:pPr>
        <w:spacing w:line="500" w:lineRule="exact"/>
        <w:jc w:val="center"/>
        <w:rPr>
          <w:rFonts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bookmarkEnd w:id="86"/>
      <w:r>
        <w:rPr>
          <w:rFonts w:hint="eastAsia" w:ascii="方正小标宋简体" w:hAnsi="方正小标宋简体" w:eastAsia="方正小标宋简体" w:cs="方正小标宋简体"/>
          <w:bCs/>
          <w:color w:val="auto"/>
          <w:sz w:val="44"/>
          <w:szCs w:val="44"/>
          <w:highlight w:val="none"/>
        </w:rPr>
        <w:t>商务要求偏离表</w:t>
      </w:r>
    </w:p>
    <w:p w14:paraId="067A2037">
      <w:pPr>
        <w:spacing w:line="520" w:lineRule="exact"/>
        <w:rPr>
          <w:rFonts w:ascii="仿宋_GB2312" w:hAnsi="仿宋_GB2312" w:eastAsia="仿宋_GB2312" w:cs="仿宋_GB2312"/>
          <w:color w:val="auto"/>
          <w:sz w:val="32"/>
          <w:szCs w:val="32"/>
          <w:highlight w:val="none"/>
        </w:rPr>
      </w:pPr>
    </w:p>
    <w:p w14:paraId="6D5F5BDA">
      <w:pPr>
        <w:spacing w:line="360" w:lineRule="auto"/>
        <w:contextualSpacing/>
        <w:rPr>
          <w:rFonts w:ascii="宋体" w:hAnsi="宋体" w:cs="仿宋_GB2312"/>
          <w:color w:val="auto"/>
          <w:sz w:val="24"/>
          <w:highlight w:val="none"/>
          <w:u w:val="single"/>
        </w:rPr>
      </w:pPr>
      <w:r>
        <w:rPr>
          <w:rFonts w:hint="eastAsia" w:ascii="宋体" w:hAnsi="宋体" w:cs="仿宋_GB2312"/>
          <w:color w:val="auto"/>
          <w:sz w:val="24"/>
          <w:highlight w:val="none"/>
        </w:rPr>
        <w:t>采购项目编号：</w:t>
      </w:r>
      <w:r>
        <w:rPr>
          <w:rFonts w:hint="eastAsia" w:ascii="宋体" w:hAnsi="宋体" w:cs="仿宋_GB2312"/>
          <w:color w:val="auto"/>
          <w:sz w:val="24"/>
          <w:highlight w:val="none"/>
          <w:u w:val="single"/>
        </w:rPr>
        <w:t xml:space="preserve">                 </w:t>
      </w:r>
    </w:p>
    <w:p w14:paraId="579A6110">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采购项目名称：</w:t>
      </w:r>
      <w:r>
        <w:rPr>
          <w:rFonts w:hint="eastAsia" w:ascii="宋体" w:hAnsi="宋体" w:cs="仿宋_GB2312"/>
          <w:color w:val="auto"/>
          <w:sz w:val="24"/>
          <w:highlight w:val="none"/>
          <w:u w:val="single"/>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223F3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10" w:type="dxa"/>
            <w:tcBorders>
              <w:top w:val="single" w:color="auto" w:sz="4" w:space="0"/>
              <w:left w:val="single" w:color="auto" w:sz="4" w:space="0"/>
              <w:bottom w:val="single" w:color="auto" w:sz="4" w:space="0"/>
              <w:right w:val="single" w:color="auto" w:sz="4" w:space="0"/>
            </w:tcBorders>
            <w:noWrap/>
          </w:tcPr>
          <w:p w14:paraId="753B499E">
            <w:pPr>
              <w:snapToGrid w:val="0"/>
              <w:spacing w:beforeLines="50"/>
              <w:jc w:val="center"/>
              <w:rPr>
                <w:rFonts w:ascii="宋体" w:hAnsi="宋体"/>
                <w:color w:val="auto"/>
                <w:sz w:val="24"/>
                <w:highlight w:val="none"/>
              </w:rPr>
            </w:pPr>
            <w:r>
              <w:rPr>
                <w:rFonts w:hint="eastAsia" w:ascii="宋体" w:hAnsi="宋体"/>
                <w:color w:val="auto"/>
                <w:sz w:val="24"/>
                <w:highlight w:val="none"/>
              </w:rPr>
              <w:t>项目</w:t>
            </w:r>
          </w:p>
        </w:tc>
        <w:tc>
          <w:tcPr>
            <w:tcW w:w="3336" w:type="dxa"/>
            <w:tcBorders>
              <w:top w:val="single" w:color="auto" w:sz="4" w:space="0"/>
              <w:left w:val="single" w:color="auto" w:sz="4" w:space="0"/>
              <w:bottom w:val="single" w:color="auto" w:sz="4" w:space="0"/>
              <w:right w:val="single" w:color="auto" w:sz="4" w:space="0"/>
            </w:tcBorders>
            <w:noWrap/>
          </w:tcPr>
          <w:p w14:paraId="263E627A">
            <w:pPr>
              <w:snapToGrid w:val="0"/>
              <w:spacing w:beforeLines="50"/>
              <w:jc w:val="center"/>
              <w:rPr>
                <w:rFonts w:ascii="宋体" w:hAnsi="宋体"/>
                <w:color w:val="auto"/>
                <w:sz w:val="24"/>
                <w:highlight w:val="none"/>
              </w:rPr>
            </w:pPr>
            <w:r>
              <w:rPr>
                <w:rFonts w:hint="eastAsia" w:ascii="宋体" w:hAnsi="宋体"/>
                <w:color w:val="auto"/>
                <w:sz w:val="24"/>
                <w:highlight w:val="none"/>
              </w:rPr>
              <w:t>竞争性磋商文件商务要求</w:t>
            </w:r>
          </w:p>
        </w:tc>
        <w:tc>
          <w:tcPr>
            <w:tcW w:w="1760" w:type="dxa"/>
            <w:tcBorders>
              <w:top w:val="single" w:color="auto" w:sz="4" w:space="0"/>
              <w:left w:val="single" w:color="auto" w:sz="4" w:space="0"/>
              <w:bottom w:val="single" w:color="auto" w:sz="4" w:space="0"/>
              <w:right w:val="single" w:color="auto" w:sz="4" w:space="0"/>
            </w:tcBorders>
            <w:noWrap/>
          </w:tcPr>
          <w:p w14:paraId="7C94E201">
            <w:pPr>
              <w:snapToGrid w:val="0"/>
              <w:spacing w:beforeLines="50"/>
              <w:jc w:val="center"/>
              <w:rPr>
                <w:rFonts w:ascii="宋体" w:hAnsi="宋体"/>
                <w:color w:val="auto"/>
                <w:sz w:val="24"/>
                <w:highlight w:val="none"/>
              </w:rPr>
            </w:pPr>
            <w:r>
              <w:rPr>
                <w:rFonts w:hint="eastAsia" w:ascii="宋体" w:hAnsi="宋体"/>
                <w:color w:val="auto"/>
                <w:sz w:val="24"/>
                <w:highlight w:val="none"/>
              </w:rPr>
              <w:t>供应商的承诺</w:t>
            </w:r>
          </w:p>
        </w:tc>
        <w:tc>
          <w:tcPr>
            <w:tcW w:w="2035" w:type="dxa"/>
            <w:tcBorders>
              <w:top w:val="single" w:color="auto" w:sz="4" w:space="0"/>
              <w:left w:val="single" w:color="auto" w:sz="4" w:space="0"/>
              <w:bottom w:val="single" w:color="auto" w:sz="4" w:space="0"/>
              <w:right w:val="single" w:color="auto" w:sz="4" w:space="0"/>
            </w:tcBorders>
            <w:noWrap/>
          </w:tcPr>
          <w:p w14:paraId="63A2A44E">
            <w:pPr>
              <w:snapToGrid w:val="0"/>
              <w:spacing w:beforeLines="50"/>
              <w:jc w:val="center"/>
              <w:rPr>
                <w:rFonts w:ascii="宋体" w:hAnsi="宋体"/>
                <w:color w:val="auto"/>
                <w:sz w:val="24"/>
                <w:highlight w:val="none"/>
              </w:rPr>
            </w:pPr>
            <w:r>
              <w:rPr>
                <w:rFonts w:hint="eastAsia" w:ascii="宋体" w:hAnsi="宋体"/>
                <w:color w:val="auto"/>
                <w:sz w:val="24"/>
                <w:highlight w:val="none"/>
              </w:rPr>
              <w:t>偏离说明</w:t>
            </w:r>
          </w:p>
        </w:tc>
      </w:tr>
      <w:tr w14:paraId="430A77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510" w:type="dxa"/>
            <w:tcBorders>
              <w:top w:val="single" w:color="auto" w:sz="4" w:space="0"/>
              <w:left w:val="single" w:color="auto" w:sz="4" w:space="0"/>
              <w:bottom w:val="single" w:color="auto" w:sz="4" w:space="0"/>
              <w:right w:val="single" w:color="auto" w:sz="4" w:space="0"/>
            </w:tcBorders>
            <w:noWrap/>
            <w:vAlign w:val="center"/>
          </w:tcPr>
          <w:p w14:paraId="34CC09E7">
            <w:pPr>
              <w:tabs>
                <w:tab w:val="left" w:pos="180"/>
                <w:tab w:val="left" w:pos="1620"/>
              </w:tabs>
              <w:spacing w:line="440" w:lineRule="exact"/>
              <w:jc w:val="center"/>
              <w:rPr>
                <w:rFonts w:ascii="宋体" w:hAnsi="宋体" w:cs="宋体"/>
                <w:color w:val="auto"/>
                <w:szCs w:val="21"/>
                <w:highlight w:val="none"/>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3760E76C">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tcPr>
          <w:p w14:paraId="41225539">
            <w:pPr>
              <w:snapToGrid w:val="0"/>
              <w:spacing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tcPr>
          <w:p w14:paraId="56A4E6FA">
            <w:pPr>
              <w:snapToGrid w:val="0"/>
              <w:spacing w:beforeLines="50"/>
              <w:jc w:val="center"/>
              <w:rPr>
                <w:rFonts w:ascii="宋体" w:hAnsi="宋体"/>
                <w:color w:val="auto"/>
                <w:sz w:val="24"/>
                <w:highlight w:val="none"/>
              </w:rPr>
            </w:pPr>
          </w:p>
        </w:tc>
      </w:tr>
      <w:tr w14:paraId="09B1E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ign w:val="center"/>
          </w:tcPr>
          <w:p w14:paraId="576C8AF7">
            <w:pPr>
              <w:tabs>
                <w:tab w:val="left" w:pos="180"/>
                <w:tab w:val="left" w:pos="1620"/>
              </w:tabs>
              <w:spacing w:line="440" w:lineRule="exact"/>
              <w:jc w:val="center"/>
              <w:rPr>
                <w:rFonts w:ascii="宋体" w:hAnsi="宋体" w:cs="宋体"/>
                <w:color w:val="auto"/>
                <w:szCs w:val="21"/>
                <w:highlight w:val="none"/>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77082A7B">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tcPr>
          <w:p w14:paraId="0A3CE54F">
            <w:pPr>
              <w:snapToGrid w:val="0"/>
              <w:spacing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tcPr>
          <w:p w14:paraId="280A235C">
            <w:pPr>
              <w:snapToGrid w:val="0"/>
              <w:spacing w:beforeLines="50"/>
              <w:ind w:left="43"/>
              <w:jc w:val="center"/>
              <w:rPr>
                <w:rFonts w:ascii="宋体" w:hAnsi="宋体"/>
                <w:color w:val="auto"/>
                <w:sz w:val="24"/>
                <w:highlight w:val="none"/>
              </w:rPr>
            </w:pPr>
          </w:p>
        </w:tc>
      </w:tr>
      <w:tr w14:paraId="18347A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ign w:val="center"/>
          </w:tcPr>
          <w:p w14:paraId="37650D16">
            <w:pPr>
              <w:tabs>
                <w:tab w:val="left" w:pos="180"/>
                <w:tab w:val="left" w:pos="1620"/>
              </w:tabs>
              <w:spacing w:line="440" w:lineRule="exact"/>
              <w:jc w:val="center"/>
              <w:rPr>
                <w:rFonts w:ascii="宋体" w:hAnsi="宋体" w:cs="宋体"/>
                <w:color w:val="auto"/>
                <w:szCs w:val="21"/>
                <w:highlight w:val="none"/>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071B42CF">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tcPr>
          <w:p w14:paraId="7209699A">
            <w:pPr>
              <w:snapToGrid w:val="0"/>
              <w:spacing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tcPr>
          <w:p w14:paraId="48D48F12">
            <w:pPr>
              <w:snapToGrid w:val="0"/>
              <w:spacing w:beforeLines="50"/>
              <w:ind w:left="43"/>
              <w:jc w:val="center"/>
              <w:rPr>
                <w:rFonts w:ascii="宋体" w:hAnsi="宋体"/>
                <w:color w:val="auto"/>
                <w:sz w:val="24"/>
                <w:highlight w:val="none"/>
              </w:rPr>
            </w:pPr>
          </w:p>
        </w:tc>
      </w:tr>
      <w:tr w14:paraId="3B873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ign w:val="center"/>
          </w:tcPr>
          <w:p w14:paraId="1B01ED1F">
            <w:pPr>
              <w:tabs>
                <w:tab w:val="left" w:pos="180"/>
                <w:tab w:val="left" w:pos="1620"/>
              </w:tabs>
              <w:spacing w:line="440" w:lineRule="exact"/>
              <w:jc w:val="center"/>
              <w:rPr>
                <w:rFonts w:ascii="宋体" w:hAnsi="宋体" w:cs="宋体"/>
                <w:color w:val="auto"/>
                <w:szCs w:val="21"/>
                <w:highlight w:val="none"/>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1D230E0E">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tcPr>
          <w:p w14:paraId="64CC61F6">
            <w:pPr>
              <w:snapToGrid w:val="0"/>
              <w:spacing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tcPr>
          <w:p w14:paraId="1E1512FF">
            <w:pPr>
              <w:snapToGrid w:val="0"/>
              <w:spacing w:beforeLines="50"/>
              <w:ind w:left="43"/>
              <w:jc w:val="center"/>
              <w:rPr>
                <w:rFonts w:ascii="宋体" w:hAnsi="宋体"/>
                <w:color w:val="auto"/>
                <w:sz w:val="24"/>
                <w:highlight w:val="none"/>
              </w:rPr>
            </w:pPr>
          </w:p>
        </w:tc>
      </w:tr>
      <w:tr w14:paraId="44F5E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ign w:val="center"/>
          </w:tcPr>
          <w:p w14:paraId="4FC45E1E">
            <w:pPr>
              <w:tabs>
                <w:tab w:val="left" w:pos="180"/>
                <w:tab w:val="left" w:pos="1620"/>
              </w:tabs>
              <w:spacing w:line="440" w:lineRule="exact"/>
              <w:jc w:val="center"/>
              <w:rPr>
                <w:rFonts w:ascii="宋体" w:hAnsi="宋体" w:cs="宋体"/>
                <w:color w:val="auto"/>
                <w:szCs w:val="21"/>
                <w:highlight w:val="none"/>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15237AE8">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tcPr>
          <w:p w14:paraId="7FC0AC18">
            <w:pPr>
              <w:snapToGrid w:val="0"/>
              <w:spacing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tcPr>
          <w:p w14:paraId="2FC4A404">
            <w:pPr>
              <w:snapToGrid w:val="0"/>
              <w:spacing w:beforeLines="50"/>
              <w:ind w:left="43"/>
              <w:jc w:val="center"/>
              <w:rPr>
                <w:rFonts w:ascii="宋体" w:hAnsi="宋体"/>
                <w:color w:val="auto"/>
                <w:sz w:val="24"/>
                <w:highlight w:val="none"/>
              </w:rPr>
            </w:pPr>
          </w:p>
        </w:tc>
      </w:tr>
      <w:tr w14:paraId="1C494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510" w:type="dxa"/>
            <w:tcBorders>
              <w:top w:val="single" w:color="auto" w:sz="4" w:space="0"/>
              <w:left w:val="single" w:color="auto" w:sz="4" w:space="0"/>
              <w:bottom w:val="single" w:color="auto" w:sz="4" w:space="0"/>
              <w:right w:val="single" w:color="auto" w:sz="4" w:space="0"/>
            </w:tcBorders>
            <w:noWrap/>
            <w:vAlign w:val="center"/>
          </w:tcPr>
          <w:p w14:paraId="5566ECFA">
            <w:pPr>
              <w:tabs>
                <w:tab w:val="left" w:pos="180"/>
                <w:tab w:val="left" w:pos="1620"/>
              </w:tabs>
              <w:spacing w:line="440" w:lineRule="exact"/>
              <w:jc w:val="center"/>
              <w:rPr>
                <w:rFonts w:ascii="宋体" w:hAnsi="宋体" w:cs="宋体"/>
                <w:color w:val="auto"/>
                <w:szCs w:val="21"/>
                <w:highlight w:val="none"/>
              </w:rPr>
            </w:pPr>
          </w:p>
        </w:tc>
        <w:tc>
          <w:tcPr>
            <w:tcW w:w="3336" w:type="dxa"/>
            <w:tcBorders>
              <w:top w:val="single" w:color="auto" w:sz="4" w:space="0"/>
              <w:left w:val="single" w:color="auto" w:sz="4" w:space="0"/>
              <w:bottom w:val="single" w:color="auto" w:sz="4" w:space="0"/>
              <w:right w:val="single" w:color="auto" w:sz="4" w:space="0"/>
            </w:tcBorders>
            <w:noWrap/>
            <w:vAlign w:val="center"/>
          </w:tcPr>
          <w:p w14:paraId="5AD86ADD">
            <w:pPr>
              <w:jc w:val="left"/>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tcPr>
          <w:p w14:paraId="5885D57D">
            <w:pPr>
              <w:snapToGrid w:val="0"/>
              <w:spacing w:beforeLines="50"/>
              <w:ind w:left="43"/>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tcPr>
          <w:p w14:paraId="7BD93EAD">
            <w:pPr>
              <w:snapToGrid w:val="0"/>
              <w:spacing w:beforeLines="50"/>
              <w:ind w:left="43"/>
              <w:jc w:val="center"/>
              <w:rPr>
                <w:rFonts w:ascii="宋体" w:hAnsi="宋体"/>
                <w:color w:val="auto"/>
                <w:sz w:val="24"/>
                <w:highlight w:val="none"/>
              </w:rPr>
            </w:pPr>
          </w:p>
        </w:tc>
      </w:tr>
      <w:tr w14:paraId="054BDA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510" w:type="dxa"/>
            <w:tcBorders>
              <w:top w:val="single" w:color="auto" w:sz="4" w:space="0"/>
              <w:left w:val="single" w:color="auto" w:sz="4" w:space="0"/>
              <w:bottom w:val="single" w:color="auto" w:sz="4" w:space="0"/>
              <w:right w:val="single" w:color="auto" w:sz="4" w:space="0"/>
            </w:tcBorders>
            <w:noWrap/>
          </w:tcPr>
          <w:p w14:paraId="695478AC">
            <w:pPr>
              <w:snapToGrid w:val="0"/>
              <w:spacing w:beforeLines="50"/>
              <w:jc w:val="center"/>
              <w:rPr>
                <w:rFonts w:ascii="宋体" w:hAnsi="宋体"/>
                <w:color w:val="auto"/>
                <w:sz w:val="24"/>
                <w:highlight w:val="none"/>
              </w:rPr>
            </w:pPr>
            <w:r>
              <w:rPr>
                <w:rFonts w:hint="eastAsia" w:ascii="宋体" w:hAnsi="宋体"/>
                <w:color w:val="auto"/>
                <w:sz w:val="24"/>
                <w:highlight w:val="none"/>
              </w:rPr>
              <w:t>…</w:t>
            </w:r>
          </w:p>
        </w:tc>
        <w:tc>
          <w:tcPr>
            <w:tcW w:w="3336" w:type="dxa"/>
            <w:tcBorders>
              <w:top w:val="single" w:color="auto" w:sz="4" w:space="0"/>
              <w:left w:val="single" w:color="auto" w:sz="4" w:space="0"/>
              <w:bottom w:val="single" w:color="auto" w:sz="4" w:space="0"/>
              <w:right w:val="single" w:color="auto" w:sz="4" w:space="0"/>
            </w:tcBorders>
            <w:noWrap/>
          </w:tcPr>
          <w:p w14:paraId="01E7D64A">
            <w:pPr>
              <w:snapToGrid w:val="0"/>
              <w:spacing w:beforeLines="50"/>
              <w:jc w:val="center"/>
              <w:rPr>
                <w:rFonts w:ascii="宋体" w:hAnsi="宋体"/>
                <w:color w:val="auto"/>
                <w:sz w:val="24"/>
                <w:highlight w:val="none"/>
              </w:rPr>
            </w:pPr>
          </w:p>
        </w:tc>
        <w:tc>
          <w:tcPr>
            <w:tcW w:w="1760" w:type="dxa"/>
            <w:tcBorders>
              <w:top w:val="single" w:color="auto" w:sz="4" w:space="0"/>
              <w:left w:val="single" w:color="auto" w:sz="4" w:space="0"/>
              <w:bottom w:val="single" w:color="auto" w:sz="4" w:space="0"/>
              <w:right w:val="single" w:color="auto" w:sz="4" w:space="0"/>
            </w:tcBorders>
            <w:noWrap/>
          </w:tcPr>
          <w:p w14:paraId="076B3EB9">
            <w:pPr>
              <w:snapToGrid w:val="0"/>
              <w:spacing w:beforeLines="50"/>
              <w:jc w:val="center"/>
              <w:rPr>
                <w:rFonts w:ascii="宋体" w:hAnsi="宋体"/>
                <w:color w:val="auto"/>
                <w:sz w:val="24"/>
                <w:highlight w:val="none"/>
              </w:rPr>
            </w:pPr>
          </w:p>
        </w:tc>
        <w:tc>
          <w:tcPr>
            <w:tcW w:w="2035" w:type="dxa"/>
            <w:tcBorders>
              <w:top w:val="single" w:color="auto" w:sz="4" w:space="0"/>
              <w:left w:val="single" w:color="auto" w:sz="4" w:space="0"/>
              <w:bottom w:val="single" w:color="auto" w:sz="4" w:space="0"/>
              <w:right w:val="single" w:color="auto" w:sz="4" w:space="0"/>
            </w:tcBorders>
            <w:noWrap/>
          </w:tcPr>
          <w:p w14:paraId="62774B05">
            <w:pPr>
              <w:snapToGrid w:val="0"/>
              <w:spacing w:beforeLines="50"/>
              <w:jc w:val="center"/>
              <w:rPr>
                <w:rFonts w:ascii="宋体" w:hAnsi="宋体"/>
                <w:color w:val="auto"/>
                <w:sz w:val="24"/>
                <w:highlight w:val="none"/>
              </w:rPr>
            </w:pPr>
          </w:p>
        </w:tc>
      </w:tr>
    </w:tbl>
    <w:p w14:paraId="2C8FE7B3">
      <w:pPr>
        <w:adjustRightInd w:val="0"/>
        <w:spacing w:line="360" w:lineRule="auto"/>
        <w:contextualSpacing/>
        <w:rPr>
          <w:rFonts w:ascii="宋体" w:hAnsi="宋体" w:cs="仿宋_GB2312"/>
          <w:color w:val="auto"/>
          <w:sz w:val="24"/>
          <w:highlight w:val="none"/>
        </w:rPr>
      </w:pPr>
    </w:p>
    <w:p w14:paraId="39866EEC">
      <w:pPr>
        <w:pStyle w:val="12"/>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w:t>
      </w:r>
    </w:p>
    <w:p w14:paraId="0B8D982E">
      <w:pPr>
        <w:pStyle w:val="12"/>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 说明：应对照磋商文件“第三章 采购需求”中的商务要求逐条作出明确响应，并作出偏离说明。</w:t>
      </w:r>
    </w:p>
    <w:p w14:paraId="1BFB4427">
      <w:pPr>
        <w:pStyle w:val="12"/>
        <w:spacing w:line="360" w:lineRule="auto"/>
        <w:ind w:firstLine="0" w:firstLineChars="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2.供应商应根据自身的承诺，对照磋商文件要求，在“偏离说明”中注明“正偏离”、“负偏离”或者“无偏离”。既不属于“正偏离”也不属于“负偏离”即为“无偏离”。</w:t>
      </w:r>
    </w:p>
    <w:p w14:paraId="33F325E2">
      <w:pPr>
        <w:spacing w:line="360" w:lineRule="auto"/>
        <w:ind w:right="-817" w:rightChars="-389"/>
        <w:contextualSpacing/>
        <w:rPr>
          <w:rFonts w:ascii="宋体" w:hAnsi="宋体" w:cs="仿宋_GB2312"/>
          <w:color w:val="auto"/>
          <w:sz w:val="24"/>
          <w:highlight w:val="none"/>
        </w:rPr>
      </w:pPr>
    </w:p>
    <w:p w14:paraId="4D0E851F">
      <w:pPr>
        <w:spacing w:line="360" w:lineRule="auto"/>
        <w:ind w:right="-817" w:rightChars="-389"/>
        <w:contextualSpacing/>
        <w:jc w:val="center"/>
        <w:rPr>
          <w:rFonts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4C3AB1A3">
      <w:pPr>
        <w:spacing w:line="360" w:lineRule="auto"/>
        <w:ind w:right="-817" w:rightChars="-389" w:firstLine="2640" w:firstLineChars="110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55F3328D">
      <w:pPr>
        <w:spacing w:line="360" w:lineRule="auto"/>
        <w:ind w:right="-817" w:rightChars="-389"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rPr>
        <w:t>日期：   年   月   日</w:t>
      </w:r>
    </w:p>
    <w:p w14:paraId="71DD30D4">
      <w:pPr>
        <w:snapToGrid w:val="0"/>
        <w:spacing w:beforeLines="50" w:after="50"/>
        <w:ind w:left="142"/>
        <w:jc w:val="left"/>
        <w:rPr>
          <w:rFonts w:ascii="宋体" w:hAnsi="宋体"/>
          <w:b/>
          <w:color w:val="auto"/>
          <w:sz w:val="24"/>
          <w:highlight w:val="none"/>
        </w:rPr>
      </w:pPr>
      <w:r>
        <w:rPr>
          <w:rFonts w:ascii="宋体" w:hAnsi="宋体" w:cs="仿宋_GB2312"/>
          <w:color w:val="auto"/>
          <w:sz w:val="24"/>
          <w:highlight w:val="none"/>
        </w:rPr>
        <w:br w:type="page"/>
      </w:r>
      <w:r>
        <w:rPr>
          <w:rFonts w:hint="eastAsia" w:ascii="宋体" w:hAnsi="宋体"/>
          <w:b/>
          <w:color w:val="auto"/>
          <w:sz w:val="24"/>
          <w:highlight w:val="none"/>
        </w:rPr>
        <w:t>项目实施人员一览表格式</w:t>
      </w:r>
    </w:p>
    <w:p w14:paraId="4BEC3ED2">
      <w:pPr>
        <w:snapToGrid w:val="0"/>
        <w:spacing w:beforeLines="50" w:after="50"/>
        <w:ind w:left="142"/>
        <w:jc w:val="left"/>
        <w:rPr>
          <w:rFonts w:ascii="宋体" w:hAnsi="宋体"/>
          <w:b/>
          <w:color w:val="auto"/>
          <w:sz w:val="24"/>
          <w:highlight w:val="none"/>
        </w:rPr>
      </w:pPr>
    </w:p>
    <w:p w14:paraId="6C0F1315">
      <w:pPr>
        <w:spacing w:line="360" w:lineRule="auto"/>
        <w:ind w:left="142"/>
        <w:contextualSpacing/>
        <w:jc w:val="center"/>
        <w:rPr>
          <w:rFonts w:ascii="宋体" w:hAnsi="宋体"/>
          <w:b/>
          <w:color w:val="auto"/>
          <w:sz w:val="32"/>
          <w:szCs w:val="32"/>
          <w:highlight w:val="none"/>
        </w:rPr>
      </w:pPr>
      <w:r>
        <w:rPr>
          <w:rFonts w:hint="eastAsia" w:ascii="宋体" w:hAnsi="宋体"/>
          <w:b/>
          <w:color w:val="auto"/>
          <w:sz w:val="32"/>
          <w:szCs w:val="32"/>
          <w:highlight w:val="none"/>
        </w:rPr>
        <w:t>项目实施人员一览表</w:t>
      </w:r>
    </w:p>
    <w:p w14:paraId="2EA0F74A">
      <w:pPr>
        <w:pStyle w:val="14"/>
        <w:spacing w:line="360" w:lineRule="auto"/>
        <w:contextualSpacing/>
        <w:rPr>
          <w:color w:val="auto"/>
          <w:sz w:val="24"/>
          <w:szCs w:val="24"/>
          <w:highlight w:val="none"/>
        </w:rPr>
      </w:pPr>
      <w:r>
        <w:rPr>
          <w:rFonts w:hint="eastAsia"/>
          <w:color w:val="auto"/>
          <w:sz w:val="24"/>
          <w:szCs w:val="24"/>
          <w:highlight w:val="none"/>
        </w:rPr>
        <w:t>所竞分标：</w:t>
      </w:r>
      <w:r>
        <w:rPr>
          <w:rFonts w:hint="eastAsia"/>
          <w:color w:val="auto"/>
          <w:sz w:val="24"/>
          <w:szCs w:val="24"/>
          <w:highlight w:val="none"/>
          <w:u w:val="single"/>
        </w:rPr>
        <w:t xml:space="preserve">     </w:t>
      </w:r>
      <w:r>
        <w:rPr>
          <w:rFonts w:hint="eastAsia"/>
          <w:color w:val="auto"/>
          <w:sz w:val="24"/>
          <w:szCs w:val="24"/>
          <w:highlight w:val="none"/>
        </w:rPr>
        <w:t>分标</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14C2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ign w:val="center"/>
          </w:tcPr>
          <w:p w14:paraId="373CE218">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姓名</w:t>
            </w:r>
          </w:p>
        </w:tc>
        <w:tc>
          <w:tcPr>
            <w:tcW w:w="709" w:type="dxa"/>
            <w:noWrap/>
            <w:vAlign w:val="center"/>
          </w:tcPr>
          <w:p w14:paraId="14EB301D">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职务</w:t>
            </w:r>
          </w:p>
        </w:tc>
        <w:tc>
          <w:tcPr>
            <w:tcW w:w="1701" w:type="dxa"/>
            <w:noWrap/>
            <w:vAlign w:val="center"/>
          </w:tcPr>
          <w:p w14:paraId="5534F8FD">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专业技术资格（职称）或者职业资格或者执业资格证或者其他证书</w:t>
            </w:r>
          </w:p>
        </w:tc>
        <w:tc>
          <w:tcPr>
            <w:tcW w:w="1420" w:type="dxa"/>
            <w:noWrap/>
            <w:vAlign w:val="center"/>
          </w:tcPr>
          <w:p w14:paraId="47DDD885">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证书编号</w:t>
            </w:r>
          </w:p>
        </w:tc>
        <w:tc>
          <w:tcPr>
            <w:tcW w:w="1698" w:type="dxa"/>
            <w:noWrap/>
            <w:vAlign w:val="center"/>
          </w:tcPr>
          <w:p w14:paraId="5783E925">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参加本单位</w:t>
            </w:r>
          </w:p>
          <w:p w14:paraId="2837B390">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工作时间</w:t>
            </w:r>
          </w:p>
        </w:tc>
        <w:tc>
          <w:tcPr>
            <w:tcW w:w="1843" w:type="dxa"/>
            <w:noWrap/>
            <w:vAlign w:val="center"/>
          </w:tcPr>
          <w:p w14:paraId="7B12AFE1">
            <w:pPr>
              <w:spacing w:line="360" w:lineRule="auto"/>
              <w:contextualSpacing/>
              <w:jc w:val="center"/>
              <w:rPr>
                <w:rFonts w:ascii="宋体" w:hAnsi="宋体"/>
                <w:color w:val="auto"/>
                <w:sz w:val="24"/>
                <w:szCs w:val="20"/>
                <w:highlight w:val="none"/>
              </w:rPr>
            </w:pPr>
            <w:r>
              <w:rPr>
                <w:rFonts w:hint="eastAsia" w:ascii="宋体" w:hAnsi="宋体"/>
                <w:color w:val="auto"/>
                <w:sz w:val="24"/>
                <w:szCs w:val="20"/>
                <w:highlight w:val="none"/>
              </w:rPr>
              <w:t>劳动合同编号</w:t>
            </w:r>
          </w:p>
        </w:tc>
      </w:tr>
      <w:tr w14:paraId="59A7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ign w:val="center"/>
          </w:tcPr>
          <w:p w14:paraId="24C57A66">
            <w:pPr>
              <w:spacing w:line="360" w:lineRule="auto"/>
              <w:contextualSpacing/>
              <w:jc w:val="center"/>
              <w:rPr>
                <w:rFonts w:ascii="宋体" w:hAnsi="宋体"/>
                <w:color w:val="auto"/>
                <w:sz w:val="24"/>
                <w:szCs w:val="20"/>
                <w:highlight w:val="none"/>
              </w:rPr>
            </w:pPr>
          </w:p>
        </w:tc>
        <w:tc>
          <w:tcPr>
            <w:tcW w:w="709" w:type="dxa"/>
            <w:noWrap/>
            <w:vAlign w:val="center"/>
          </w:tcPr>
          <w:p w14:paraId="536AE583">
            <w:pPr>
              <w:spacing w:line="360" w:lineRule="auto"/>
              <w:contextualSpacing/>
              <w:jc w:val="center"/>
              <w:rPr>
                <w:rFonts w:ascii="宋体" w:hAnsi="宋体"/>
                <w:color w:val="auto"/>
                <w:sz w:val="24"/>
                <w:szCs w:val="20"/>
                <w:highlight w:val="none"/>
              </w:rPr>
            </w:pPr>
          </w:p>
        </w:tc>
        <w:tc>
          <w:tcPr>
            <w:tcW w:w="1701" w:type="dxa"/>
            <w:noWrap/>
            <w:vAlign w:val="center"/>
          </w:tcPr>
          <w:p w14:paraId="25620FEC">
            <w:pPr>
              <w:spacing w:line="360" w:lineRule="auto"/>
              <w:contextualSpacing/>
              <w:jc w:val="center"/>
              <w:rPr>
                <w:rFonts w:ascii="宋体" w:hAnsi="宋体"/>
                <w:color w:val="auto"/>
                <w:sz w:val="24"/>
                <w:szCs w:val="20"/>
                <w:highlight w:val="none"/>
              </w:rPr>
            </w:pPr>
          </w:p>
        </w:tc>
        <w:tc>
          <w:tcPr>
            <w:tcW w:w="1420" w:type="dxa"/>
            <w:noWrap/>
            <w:vAlign w:val="center"/>
          </w:tcPr>
          <w:p w14:paraId="2090DB71">
            <w:pPr>
              <w:spacing w:line="360" w:lineRule="auto"/>
              <w:contextualSpacing/>
              <w:jc w:val="center"/>
              <w:rPr>
                <w:rFonts w:ascii="宋体" w:hAnsi="宋体"/>
                <w:color w:val="auto"/>
                <w:sz w:val="24"/>
                <w:szCs w:val="20"/>
                <w:highlight w:val="none"/>
              </w:rPr>
            </w:pPr>
          </w:p>
        </w:tc>
        <w:tc>
          <w:tcPr>
            <w:tcW w:w="1698" w:type="dxa"/>
            <w:noWrap/>
            <w:vAlign w:val="center"/>
          </w:tcPr>
          <w:p w14:paraId="19532390">
            <w:pPr>
              <w:spacing w:line="360" w:lineRule="auto"/>
              <w:contextualSpacing/>
              <w:jc w:val="center"/>
              <w:rPr>
                <w:rFonts w:ascii="宋体" w:hAnsi="宋体"/>
                <w:color w:val="auto"/>
                <w:sz w:val="24"/>
                <w:szCs w:val="20"/>
                <w:highlight w:val="none"/>
              </w:rPr>
            </w:pPr>
          </w:p>
        </w:tc>
        <w:tc>
          <w:tcPr>
            <w:tcW w:w="1843" w:type="dxa"/>
            <w:noWrap/>
            <w:vAlign w:val="center"/>
          </w:tcPr>
          <w:p w14:paraId="09CF897A">
            <w:pPr>
              <w:spacing w:line="360" w:lineRule="auto"/>
              <w:contextualSpacing/>
              <w:jc w:val="center"/>
              <w:rPr>
                <w:rFonts w:ascii="宋体" w:hAnsi="宋体"/>
                <w:color w:val="auto"/>
                <w:sz w:val="24"/>
                <w:szCs w:val="20"/>
                <w:highlight w:val="none"/>
              </w:rPr>
            </w:pPr>
          </w:p>
        </w:tc>
      </w:tr>
      <w:tr w14:paraId="41D4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ign w:val="center"/>
          </w:tcPr>
          <w:p w14:paraId="2A0008EF">
            <w:pPr>
              <w:spacing w:line="360" w:lineRule="auto"/>
              <w:contextualSpacing/>
              <w:jc w:val="center"/>
              <w:rPr>
                <w:rFonts w:ascii="宋体" w:hAnsi="宋体"/>
                <w:color w:val="auto"/>
                <w:sz w:val="24"/>
                <w:szCs w:val="20"/>
                <w:highlight w:val="none"/>
              </w:rPr>
            </w:pPr>
          </w:p>
        </w:tc>
        <w:tc>
          <w:tcPr>
            <w:tcW w:w="709" w:type="dxa"/>
            <w:noWrap/>
            <w:vAlign w:val="center"/>
          </w:tcPr>
          <w:p w14:paraId="6EFDF4BF">
            <w:pPr>
              <w:spacing w:line="360" w:lineRule="auto"/>
              <w:contextualSpacing/>
              <w:jc w:val="center"/>
              <w:rPr>
                <w:rFonts w:ascii="宋体" w:hAnsi="宋体"/>
                <w:color w:val="auto"/>
                <w:sz w:val="24"/>
                <w:szCs w:val="20"/>
                <w:highlight w:val="none"/>
              </w:rPr>
            </w:pPr>
          </w:p>
        </w:tc>
        <w:tc>
          <w:tcPr>
            <w:tcW w:w="1701" w:type="dxa"/>
            <w:noWrap/>
            <w:vAlign w:val="center"/>
          </w:tcPr>
          <w:p w14:paraId="279DEDCA">
            <w:pPr>
              <w:spacing w:line="360" w:lineRule="auto"/>
              <w:contextualSpacing/>
              <w:jc w:val="center"/>
              <w:rPr>
                <w:rFonts w:ascii="宋体" w:hAnsi="宋体"/>
                <w:color w:val="auto"/>
                <w:sz w:val="24"/>
                <w:szCs w:val="20"/>
                <w:highlight w:val="none"/>
              </w:rPr>
            </w:pPr>
          </w:p>
        </w:tc>
        <w:tc>
          <w:tcPr>
            <w:tcW w:w="1420" w:type="dxa"/>
            <w:noWrap/>
            <w:vAlign w:val="center"/>
          </w:tcPr>
          <w:p w14:paraId="782D8251">
            <w:pPr>
              <w:spacing w:line="360" w:lineRule="auto"/>
              <w:contextualSpacing/>
              <w:jc w:val="center"/>
              <w:rPr>
                <w:rFonts w:ascii="宋体" w:hAnsi="宋体"/>
                <w:color w:val="auto"/>
                <w:sz w:val="24"/>
                <w:szCs w:val="20"/>
                <w:highlight w:val="none"/>
              </w:rPr>
            </w:pPr>
          </w:p>
        </w:tc>
        <w:tc>
          <w:tcPr>
            <w:tcW w:w="1698" w:type="dxa"/>
            <w:noWrap/>
            <w:vAlign w:val="center"/>
          </w:tcPr>
          <w:p w14:paraId="6C4F2761">
            <w:pPr>
              <w:spacing w:line="360" w:lineRule="auto"/>
              <w:contextualSpacing/>
              <w:jc w:val="center"/>
              <w:rPr>
                <w:rFonts w:ascii="宋体" w:hAnsi="宋体"/>
                <w:color w:val="auto"/>
                <w:sz w:val="24"/>
                <w:szCs w:val="20"/>
                <w:highlight w:val="none"/>
              </w:rPr>
            </w:pPr>
          </w:p>
        </w:tc>
        <w:tc>
          <w:tcPr>
            <w:tcW w:w="1843" w:type="dxa"/>
            <w:noWrap/>
            <w:vAlign w:val="center"/>
          </w:tcPr>
          <w:p w14:paraId="51871644">
            <w:pPr>
              <w:spacing w:line="360" w:lineRule="auto"/>
              <w:contextualSpacing/>
              <w:jc w:val="center"/>
              <w:rPr>
                <w:rFonts w:ascii="宋体" w:hAnsi="宋体"/>
                <w:color w:val="auto"/>
                <w:sz w:val="24"/>
                <w:szCs w:val="20"/>
                <w:highlight w:val="none"/>
              </w:rPr>
            </w:pPr>
          </w:p>
        </w:tc>
      </w:tr>
      <w:tr w14:paraId="5057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ign w:val="center"/>
          </w:tcPr>
          <w:p w14:paraId="5A2A6355">
            <w:pPr>
              <w:spacing w:line="360" w:lineRule="auto"/>
              <w:contextualSpacing/>
              <w:jc w:val="center"/>
              <w:rPr>
                <w:rFonts w:ascii="宋体" w:hAnsi="宋体"/>
                <w:color w:val="auto"/>
                <w:sz w:val="24"/>
                <w:szCs w:val="20"/>
                <w:highlight w:val="none"/>
              </w:rPr>
            </w:pPr>
          </w:p>
        </w:tc>
        <w:tc>
          <w:tcPr>
            <w:tcW w:w="709" w:type="dxa"/>
            <w:noWrap/>
            <w:vAlign w:val="center"/>
          </w:tcPr>
          <w:p w14:paraId="4C14C13A">
            <w:pPr>
              <w:spacing w:line="360" w:lineRule="auto"/>
              <w:contextualSpacing/>
              <w:jc w:val="center"/>
              <w:rPr>
                <w:rFonts w:ascii="宋体" w:hAnsi="宋体"/>
                <w:color w:val="auto"/>
                <w:sz w:val="24"/>
                <w:szCs w:val="20"/>
                <w:highlight w:val="none"/>
              </w:rPr>
            </w:pPr>
          </w:p>
        </w:tc>
        <w:tc>
          <w:tcPr>
            <w:tcW w:w="1701" w:type="dxa"/>
            <w:noWrap/>
            <w:vAlign w:val="center"/>
          </w:tcPr>
          <w:p w14:paraId="5A076036">
            <w:pPr>
              <w:spacing w:line="360" w:lineRule="auto"/>
              <w:contextualSpacing/>
              <w:jc w:val="center"/>
              <w:rPr>
                <w:rFonts w:ascii="宋体" w:hAnsi="宋体"/>
                <w:color w:val="auto"/>
                <w:sz w:val="24"/>
                <w:szCs w:val="20"/>
                <w:highlight w:val="none"/>
              </w:rPr>
            </w:pPr>
          </w:p>
        </w:tc>
        <w:tc>
          <w:tcPr>
            <w:tcW w:w="1420" w:type="dxa"/>
            <w:noWrap/>
            <w:vAlign w:val="center"/>
          </w:tcPr>
          <w:p w14:paraId="0B486D43">
            <w:pPr>
              <w:spacing w:line="360" w:lineRule="auto"/>
              <w:contextualSpacing/>
              <w:jc w:val="center"/>
              <w:rPr>
                <w:rFonts w:ascii="宋体" w:hAnsi="宋体"/>
                <w:color w:val="auto"/>
                <w:sz w:val="24"/>
                <w:szCs w:val="20"/>
                <w:highlight w:val="none"/>
              </w:rPr>
            </w:pPr>
          </w:p>
        </w:tc>
        <w:tc>
          <w:tcPr>
            <w:tcW w:w="1698" w:type="dxa"/>
            <w:noWrap/>
            <w:vAlign w:val="center"/>
          </w:tcPr>
          <w:p w14:paraId="595AB884">
            <w:pPr>
              <w:spacing w:line="360" w:lineRule="auto"/>
              <w:contextualSpacing/>
              <w:jc w:val="center"/>
              <w:rPr>
                <w:rFonts w:ascii="宋体" w:hAnsi="宋体"/>
                <w:color w:val="auto"/>
                <w:sz w:val="24"/>
                <w:szCs w:val="20"/>
                <w:highlight w:val="none"/>
              </w:rPr>
            </w:pPr>
          </w:p>
        </w:tc>
        <w:tc>
          <w:tcPr>
            <w:tcW w:w="1843" w:type="dxa"/>
            <w:noWrap/>
            <w:vAlign w:val="center"/>
          </w:tcPr>
          <w:p w14:paraId="15EDB71D">
            <w:pPr>
              <w:spacing w:line="360" w:lineRule="auto"/>
              <w:contextualSpacing/>
              <w:jc w:val="center"/>
              <w:rPr>
                <w:rFonts w:ascii="宋体" w:hAnsi="宋体"/>
                <w:color w:val="auto"/>
                <w:sz w:val="24"/>
                <w:szCs w:val="20"/>
                <w:highlight w:val="none"/>
              </w:rPr>
            </w:pPr>
          </w:p>
        </w:tc>
      </w:tr>
    </w:tbl>
    <w:p w14:paraId="0C9FA528">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注：</w:t>
      </w:r>
    </w:p>
    <w:p w14:paraId="4F635896">
      <w:pPr>
        <w:spacing w:line="360" w:lineRule="auto"/>
        <w:contextualSpacing/>
        <w:jc w:val="left"/>
        <w:rPr>
          <w:rFonts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在填写时，如本表格不适合供应商的实际情况，可根据本表格式自行制表填写。</w:t>
      </w:r>
    </w:p>
    <w:p w14:paraId="4C9BB24E">
      <w:pPr>
        <w:spacing w:line="360" w:lineRule="auto"/>
        <w:contextualSpacing/>
        <w:jc w:val="left"/>
        <w:rPr>
          <w:rFonts w:ascii="宋体" w:hAnsi="宋体"/>
          <w:color w:val="auto"/>
          <w:sz w:val="24"/>
          <w:szCs w:val="20"/>
          <w:highlight w:val="none"/>
        </w:rPr>
      </w:pPr>
      <w:r>
        <w:rPr>
          <w:rFonts w:ascii="宋体" w:hAnsi="宋体"/>
          <w:color w:val="auto"/>
          <w:sz w:val="24"/>
          <w:szCs w:val="20"/>
          <w:highlight w:val="none"/>
        </w:rPr>
        <w:t>2.</w:t>
      </w:r>
      <w:r>
        <w:rPr>
          <w:rFonts w:hint="eastAsia" w:ascii="宋体" w:hAnsi="宋体"/>
          <w:color w:val="auto"/>
          <w:sz w:val="24"/>
          <w:szCs w:val="20"/>
          <w:highlight w:val="none"/>
        </w:rPr>
        <w:t>供应商应当附本表所列证书的复印件并加盖供应商电子签章。</w:t>
      </w:r>
    </w:p>
    <w:p w14:paraId="18FFDF1F">
      <w:pPr>
        <w:spacing w:line="360" w:lineRule="auto"/>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签字或电子签名：</w:t>
      </w:r>
      <w:r>
        <w:rPr>
          <w:rFonts w:hint="eastAsia" w:ascii="宋体" w:hAnsi="宋体"/>
          <w:color w:val="auto"/>
          <w:spacing w:val="20"/>
          <w:sz w:val="24"/>
          <w:highlight w:val="none"/>
          <w:u w:val="single"/>
        </w:rPr>
        <w:t xml:space="preserve">        </w:t>
      </w:r>
    </w:p>
    <w:p w14:paraId="08411C96">
      <w:pPr>
        <w:spacing w:line="360" w:lineRule="auto"/>
        <w:contextualSpacing/>
        <w:jc w:val="left"/>
        <w:rPr>
          <w:rFonts w:ascii="宋体" w:hAnsi="宋体"/>
          <w:color w:val="auto"/>
          <w:sz w:val="24"/>
          <w:szCs w:val="20"/>
          <w:highlight w:val="none"/>
        </w:rPr>
      </w:pPr>
      <w:r>
        <w:rPr>
          <w:rFonts w:hint="eastAsia" w:ascii="宋体" w:hAnsi="宋体"/>
          <w:color w:val="auto"/>
          <w:spacing w:val="20"/>
          <w:sz w:val="24"/>
          <w:highlight w:val="none"/>
        </w:rPr>
        <w:t>供应商（电子签章）：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日 期：</w:t>
      </w:r>
      <w:r>
        <w:rPr>
          <w:rFonts w:hint="eastAsia" w:ascii="宋体" w:hAnsi="宋体"/>
          <w:color w:val="auto"/>
          <w:spacing w:val="20"/>
          <w:sz w:val="24"/>
          <w:highlight w:val="none"/>
          <w:u w:val="single"/>
        </w:rPr>
        <w:t xml:space="preserve">         </w:t>
      </w:r>
    </w:p>
    <w:p w14:paraId="369ED470">
      <w:pPr>
        <w:snapToGrid w:val="0"/>
        <w:spacing w:before="50" w:afterLines="50"/>
        <w:jc w:val="left"/>
        <w:rPr>
          <w:rFonts w:ascii="宋体" w:hAnsi="宋体"/>
          <w:color w:val="auto"/>
          <w:sz w:val="24"/>
          <w:szCs w:val="20"/>
          <w:highlight w:val="none"/>
        </w:rPr>
      </w:pPr>
    </w:p>
    <w:p w14:paraId="4B786A60">
      <w:pPr>
        <w:snapToGrid w:val="0"/>
        <w:spacing w:before="50" w:after="50" w:line="360" w:lineRule="auto"/>
        <w:ind w:right="-817" w:rightChars="-389" w:firstLine="5461" w:firstLineChars="1700"/>
        <w:rPr>
          <w:rFonts w:ascii="仿宋_GB2312" w:hAnsi="仿宋_GB2312" w:eastAsia="仿宋_GB2312" w:cs="仿宋_GB2312"/>
          <w:b/>
          <w:color w:val="auto"/>
          <w:sz w:val="32"/>
          <w:szCs w:val="32"/>
          <w:highlight w:val="none"/>
        </w:rPr>
      </w:pPr>
    </w:p>
    <w:p w14:paraId="34445E13">
      <w:pPr>
        <w:snapToGrid w:val="0"/>
        <w:spacing w:beforeLines="50" w:after="50"/>
        <w:jc w:val="left"/>
        <w:rPr>
          <w:rFonts w:ascii="宋体" w:hAnsi="宋体"/>
          <w:b/>
          <w:bCs/>
          <w:color w:val="auto"/>
          <w:sz w:val="24"/>
          <w:highlight w:val="none"/>
        </w:rPr>
      </w:pPr>
      <w:r>
        <w:rPr>
          <w:rFonts w:ascii="宋体" w:hAnsi="宋体"/>
          <w:b/>
          <w:bCs/>
          <w:color w:val="auto"/>
          <w:sz w:val="24"/>
          <w:highlight w:val="none"/>
        </w:rPr>
        <w:br w:type="page"/>
      </w:r>
      <w:r>
        <w:rPr>
          <w:rFonts w:hint="eastAsia" w:ascii="方正小标宋简体" w:hAnsi="方正小标宋简体" w:eastAsia="方正小标宋简体" w:cs="方正小标宋简体"/>
          <w:bCs/>
          <w:color w:val="auto"/>
          <w:szCs w:val="21"/>
          <w:highlight w:val="none"/>
        </w:rPr>
        <w:t>代理服务费承诺书（如本项目为采购人支付代理服务费的，无需提供）</w:t>
      </w:r>
    </w:p>
    <w:p w14:paraId="412C8CE4">
      <w:pPr>
        <w:snapToGrid w:val="0"/>
        <w:spacing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代理服务费承诺书</w:t>
      </w:r>
    </w:p>
    <w:p w14:paraId="24BC6A09">
      <w:pPr>
        <w:snapToGrid w:val="0"/>
        <w:spacing w:beforeLines="50" w:after="50"/>
        <w:jc w:val="center"/>
        <w:rPr>
          <w:rFonts w:ascii="宋体" w:hAnsi="宋体"/>
          <w:b/>
          <w:color w:val="auto"/>
          <w:sz w:val="24"/>
          <w:highlight w:val="none"/>
        </w:rPr>
      </w:pPr>
    </w:p>
    <w:p w14:paraId="7E324DBE">
      <w:pPr>
        <w:spacing w:line="360" w:lineRule="auto"/>
        <w:rPr>
          <w:rFonts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r>
        <w:rPr>
          <w:rFonts w:hint="eastAsia" w:ascii="宋体" w:hAnsi="宋体"/>
          <w:color w:val="auto"/>
          <w:sz w:val="24"/>
          <w:highlight w:val="none"/>
        </w:rPr>
        <w:t>：</w:t>
      </w:r>
    </w:p>
    <w:p w14:paraId="1BF2486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529D5D41">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1.我方承诺，若本单位成交，保证在发出成交通知书之日起25日内，按本项目磋商文件的规定标准向贵单位一次性足额支付代理服务费, 在领取成交通知书后，由于被质疑、投诉或者其他原因而导致成交结果改变，我方将放弃对已缴纳的成交服务费追还的一切权利。</w:t>
      </w:r>
    </w:p>
    <w:p w14:paraId="6760B1BF">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7B7048D0">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第一种方式：开具增值税普通发票。开票信息如下：</w:t>
      </w:r>
    </w:p>
    <w:p w14:paraId="0AF0C352">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CDF392A">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51387EA">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第二种方式：开具增值税发票，开票信息如下：</w:t>
      </w:r>
    </w:p>
    <w:p w14:paraId="671A6966">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5F679C77">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31F690D4">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（3）在税局登记的地址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3867219">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（4）在税局登记的电话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B0440AF">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5689EE4A">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C4DDD51">
      <w:pPr>
        <w:spacing w:line="440" w:lineRule="exact"/>
        <w:rPr>
          <w:rFonts w:ascii="宋体" w:hAnsi="宋体"/>
          <w:color w:val="auto"/>
          <w:sz w:val="24"/>
          <w:highlight w:val="none"/>
        </w:rPr>
      </w:pPr>
    </w:p>
    <w:p w14:paraId="79BF4EA6">
      <w:pPr>
        <w:spacing w:line="440" w:lineRule="exact"/>
        <w:rPr>
          <w:rFonts w:ascii="宋体" w:hAnsi="宋体"/>
          <w:color w:val="auto"/>
          <w:sz w:val="24"/>
          <w:highlight w:val="none"/>
        </w:rPr>
      </w:pPr>
    </w:p>
    <w:p w14:paraId="4A7124B2">
      <w:pPr>
        <w:spacing w:line="440" w:lineRule="exact"/>
        <w:rPr>
          <w:rFonts w:ascii="宋体" w:hAnsi="宋体"/>
          <w:color w:val="auto"/>
          <w:sz w:val="24"/>
          <w:highlight w:val="none"/>
        </w:rPr>
      </w:pPr>
    </w:p>
    <w:p w14:paraId="16E65469">
      <w:pPr>
        <w:snapToGrid w:val="0"/>
        <w:spacing w:line="360" w:lineRule="auto"/>
        <w:ind w:left="-2" w:leftChars="-1" w:right="-817" w:rightChars="-389" w:firstLine="1920" w:firstLineChars="800"/>
        <w:rPr>
          <w:rFonts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0C5A1B16">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供应商公章（电子签章）：</w:t>
      </w:r>
    </w:p>
    <w:p w14:paraId="13E9A96E">
      <w:pPr>
        <w:snapToGrid w:val="0"/>
        <w:spacing w:line="360" w:lineRule="auto"/>
        <w:ind w:right="480" w:firstLine="240" w:firstLineChars="100"/>
        <w:jc w:val="left"/>
        <w:rPr>
          <w:rFonts w:ascii="宋体" w:hAnsi="宋体"/>
          <w:color w:val="auto"/>
          <w:szCs w:val="21"/>
          <w:highlight w:val="none"/>
        </w:rPr>
      </w:pPr>
      <w:r>
        <w:rPr>
          <w:rFonts w:hint="eastAsia" w:ascii="宋体" w:hAnsi="宋体"/>
          <w:color w:val="auto"/>
          <w:sz w:val="24"/>
          <w:highlight w:val="none"/>
        </w:rPr>
        <w:t xml:space="preserve">                                    日期：    年   月   日</w:t>
      </w:r>
    </w:p>
    <w:p w14:paraId="71FF7272">
      <w:pPr>
        <w:widowControl/>
        <w:spacing w:line="360" w:lineRule="auto"/>
        <w:jc w:val="left"/>
        <w:rPr>
          <w:rFonts w:ascii="宋体" w:hAnsi="宋体"/>
          <w:color w:val="auto"/>
          <w:szCs w:val="21"/>
          <w:highlight w:val="none"/>
        </w:rPr>
        <w:sectPr>
          <w:footerReference r:id="rId10" w:type="first"/>
          <w:footerReference r:id="rId9" w:type="default"/>
          <w:pgSz w:w="11906" w:h="16838"/>
          <w:pgMar w:top="1440" w:right="1797" w:bottom="1440" w:left="1797" w:header="851" w:footer="992" w:gutter="0"/>
          <w:cols w:space="720" w:num="1"/>
        </w:sectPr>
      </w:pPr>
    </w:p>
    <w:p w14:paraId="3F6002D5">
      <w:pPr>
        <w:snapToGrid w:val="0"/>
        <w:spacing w:beforeLines="50" w:after="50"/>
        <w:ind w:left="142"/>
        <w:jc w:val="center"/>
        <w:rPr>
          <w:rFonts w:ascii="宋体" w:hAnsi="宋体"/>
          <w:b/>
          <w:color w:val="auto"/>
          <w:sz w:val="32"/>
          <w:szCs w:val="32"/>
          <w:highlight w:val="none"/>
        </w:rPr>
      </w:pPr>
      <w:r>
        <w:rPr>
          <w:rFonts w:hint="eastAsia" w:ascii="宋体" w:hAnsi="宋体"/>
          <w:b/>
          <w:color w:val="auto"/>
          <w:sz w:val="32"/>
          <w:szCs w:val="32"/>
          <w:highlight w:val="none"/>
        </w:rPr>
        <w:t>技术要求偏离表</w:t>
      </w:r>
    </w:p>
    <w:tbl>
      <w:tblPr>
        <w:tblStyle w:val="25"/>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2"/>
        <w:gridCol w:w="1833"/>
        <w:gridCol w:w="2180"/>
        <w:gridCol w:w="1933"/>
      </w:tblGrid>
      <w:tr w14:paraId="56B8D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14:paraId="1A985BA7">
            <w:pPr>
              <w:pStyle w:val="14"/>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项号</w:t>
            </w:r>
          </w:p>
        </w:tc>
        <w:tc>
          <w:tcPr>
            <w:tcW w:w="2143" w:type="dxa"/>
            <w:tcBorders>
              <w:top w:val="single" w:color="auto" w:sz="4" w:space="0"/>
              <w:left w:val="single" w:color="auto" w:sz="4" w:space="0"/>
              <w:bottom w:val="single" w:color="auto" w:sz="4" w:space="0"/>
              <w:right w:val="single" w:color="auto" w:sz="4" w:space="0"/>
            </w:tcBorders>
            <w:noWrap/>
            <w:vAlign w:val="center"/>
          </w:tcPr>
          <w:p w14:paraId="1BFB0032">
            <w:pPr>
              <w:pStyle w:val="14"/>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标的的名称</w:t>
            </w:r>
          </w:p>
        </w:tc>
        <w:tc>
          <w:tcPr>
            <w:tcW w:w="1834" w:type="dxa"/>
            <w:tcBorders>
              <w:top w:val="single" w:color="auto" w:sz="4" w:space="0"/>
              <w:left w:val="single" w:color="auto" w:sz="4" w:space="0"/>
              <w:bottom w:val="single" w:color="auto" w:sz="4" w:space="0"/>
              <w:right w:val="single" w:color="auto" w:sz="4" w:space="0"/>
            </w:tcBorders>
            <w:noWrap/>
            <w:vAlign w:val="center"/>
          </w:tcPr>
          <w:p w14:paraId="5BA22A0D">
            <w:pPr>
              <w:pStyle w:val="14"/>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技术要求</w:t>
            </w:r>
          </w:p>
        </w:tc>
        <w:tc>
          <w:tcPr>
            <w:tcW w:w="2181" w:type="dxa"/>
            <w:tcBorders>
              <w:top w:val="single" w:color="auto" w:sz="4" w:space="0"/>
              <w:left w:val="single" w:color="auto" w:sz="4" w:space="0"/>
              <w:bottom w:val="single" w:color="auto" w:sz="4" w:space="0"/>
              <w:right w:val="single" w:color="auto" w:sz="4" w:space="0"/>
            </w:tcBorders>
            <w:noWrap/>
            <w:vAlign w:val="center"/>
          </w:tcPr>
          <w:p w14:paraId="53C6A884">
            <w:pPr>
              <w:pStyle w:val="14"/>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竞标响应</w:t>
            </w:r>
          </w:p>
        </w:tc>
        <w:tc>
          <w:tcPr>
            <w:tcW w:w="1934" w:type="dxa"/>
            <w:tcBorders>
              <w:top w:val="single" w:color="auto" w:sz="4" w:space="0"/>
              <w:left w:val="single" w:color="auto" w:sz="4" w:space="0"/>
              <w:bottom w:val="single" w:color="auto" w:sz="4" w:space="0"/>
              <w:right w:val="single" w:color="auto" w:sz="4" w:space="0"/>
            </w:tcBorders>
            <w:noWrap/>
            <w:vAlign w:val="center"/>
          </w:tcPr>
          <w:p w14:paraId="461CB408">
            <w:pPr>
              <w:pStyle w:val="14"/>
              <w:spacing w:line="400" w:lineRule="exact"/>
              <w:jc w:val="center"/>
              <w:rPr>
                <w:rFonts w:hAnsi="宋体" w:cs="Courier New"/>
                <w:color w:val="auto"/>
                <w:kern w:val="2"/>
                <w:sz w:val="24"/>
                <w:szCs w:val="24"/>
                <w:highlight w:val="none"/>
              </w:rPr>
            </w:pPr>
            <w:r>
              <w:rPr>
                <w:rFonts w:hint="eastAsia" w:hAnsi="宋体" w:cs="Courier New"/>
                <w:color w:val="auto"/>
                <w:kern w:val="2"/>
                <w:sz w:val="24"/>
                <w:szCs w:val="24"/>
                <w:highlight w:val="none"/>
              </w:rPr>
              <w:t>偏离说明</w:t>
            </w:r>
          </w:p>
        </w:tc>
      </w:tr>
      <w:tr w14:paraId="2DF6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tcPr>
          <w:p w14:paraId="4148F6A9">
            <w:pPr>
              <w:pStyle w:val="14"/>
              <w:spacing w:line="600" w:lineRule="exact"/>
              <w:jc w:val="center"/>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vAlign w:val="center"/>
          </w:tcPr>
          <w:p w14:paraId="208083FD">
            <w:pPr>
              <w:pStyle w:val="14"/>
              <w:spacing w:line="600" w:lineRule="exact"/>
              <w:jc w:val="center"/>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vAlign w:val="center"/>
          </w:tcPr>
          <w:p w14:paraId="5B8E7254">
            <w:pPr>
              <w:pStyle w:val="14"/>
              <w:spacing w:line="600" w:lineRule="exact"/>
              <w:jc w:val="center"/>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vAlign w:val="center"/>
          </w:tcPr>
          <w:p w14:paraId="73C039CF">
            <w:pPr>
              <w:pStyle w:val="14"/>
              <w:spacing w:line="600" w:lineRule="exact"/>
              <w:jc w:val="center"/>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vAlign w:val="center"/>
          </w:tcPr>
          <w:p w14:paraId="76FDC237">
            <w:pPr>
              <w:pStyle w:val="14"/>
              <w:spacing w:line="600" w:lineRule="exact"/>
              <w:jc w:val="center"/>
              <w:rPr>
                <w:rFonts w:hAnsi="宋体" w:cs="Courier New"/>
                <w:color w:val="auto"/>
                <w:kern w:val="2"/>
                <w:sz w:val="24"/>
                <w:szCs w:val="24"/>
                <w:highlight w:val="none"/>
              </w:rPr>
            </w:pPr>
          </w:p>
        </w:tc>
      </w:tr>
      <w:tr w14:paraId="60A3E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tcPr>
          <w:p w14:paraId="1EF8A2B4">
            <w:pPr>
              <w:pStyle w:val="14"/>
              <w:spacing w:line="600" w:lineRule="exact"/>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tcPr>
          <w:p w14:paraId="3CC0FA6D">
            <w:pPr>
              <w:pStyle w:val="14"/>
              <w:spacing w:line="600" w:lineRule="exact"/>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tcPr>
          <w:p w14:paraId="0204AE04">
            <w:pPr>
              <w:pStyle w:val="14"/>
              <w:spacing w:line="600" w:lineRule="exact"/>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tcPr>
          <w:p w14:paraId="4A9DD856">
            <w:pPr>
              <w:pStyle w:val="14"/>
              <w:spacing w:line="600" w:lineRule="exact"/>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tcPr>
          <w:p w14:paraId="24E08F88">
            <w:pPr>
              <w:pStyle w:val="14"/>
              <w:spacing w:line="600" w:lineRule="exact"/>
              <w:rPr>
                <w:rFonts w:hAnsi="宋体" w:cs="Courier New"/>
                <w:color w:val="auto"/>
                <w:kern w:val="2"/>
                <w:sz w:val="24"/>
                <w:szCs w:val="24"/>
                <w:highlight w:val="none"/>
              </w:rPr>
            </w:pPr>
          </w:p>
        </w:tc>
      </w:tr>
      <w:tr w14:paraId="7D14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tcPr>
          <w:p w14:paraId="2DA1F91F">
            <w:pPr>
              <w:pStyle w:val="14"/>
              <w:spacing w:line="600" w:lineRule="exact"/>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tcPr>
          <w:p w14:paraId="56FD2D55">
            <w:pPr>
              <w:pStyle w:val="14"/>
              <w:spacing w:line="600" w:lineRule="exact"/>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tcPr>
          <w:p w14:paraId="7270E6D0">
            <w:pPr>
              <w:pStyle w:val="14"/>
              <w:spacing w:line="600" w:lineRule="exact"/>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tcPr>
          <w:p w14:paraId="334070C1">
            <w:pPr>
              <w:pStyle w:val="14"/>
              <w:spacing w:line="600" w:lineRule="exact"/>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tcPr>
          <w:p w14:paraId="60D0123C">
            <w:pPr>
              <w:pStyle w:val="14"/>
              <w:spacing w:line="600" w:lineRule="exact"/>
              <w:rPr>
                <w:rFonts w:hAnsi="宋体" w:cs="Courier New"/>
                <w:color w:val="auto"/>
                <w:kern w:val="2"/>
                <w:sz w:val="24"/>
                <w:szCs w:val="24"/>
                <w:highlight w:val="none"/>
              </w:rPr>
            </w:pPr>
          </w:p>
        </w:tc>
      </w:tr>
      <w:tr w14:paraId="12AC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tcPr>
          <w:p w14:paraId="201672C2">
            <w:pPr>
              <w:pStyle w:val="14"/>
              <w:spacing w:line="600" w:lineRule="exact"/>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tcPr>
          <w:p w14:paraId="7D54DAD2">
            <w:pPr>
              <w:pStyle w:val="14"/>
              <w:spacing w:line="600" w:lineRule="exact"/>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tcPr>
          <w:p w14:paraId="0BEF20E2">
            <w:pPr>
              <w:pStyle w:val="14"/>
              <w:spacing w:line="600" w:lineRule="exact"/>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tcPr>
          <w:p w14:paraId="395C326B">
            <w:pPr>
              <w:pStyle w:val="14"/>
              <w:spacing w:line="600" w:lineRule="exact"/>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tcPr>
          <w:p w14:paraId="3F3AF92E">
            <w:pPr>
              <w:pStyle w:val="14"/>
              <w:spacing w:line="600" w:lineRule="exact"/>
              <w:rPr>
                <w:rFonts w:hAnsi="宋体" w:cs="Courier New"/>
                <w:color w:val="auto"/>
                <w:kern w:val="2"/>
                <w:sz w:val="24"/>
                <w:szCs w:val="24"/>
                <w:highlight w:val="none"/>
              </w:rPr>
            </w:pPr>
          </w:p>
        </w:tc>
      </w:tr>
      <w:tr w14:paraId="4A98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tcPr>
          <w:p w14:paraId="2EA18303">
            <w:pPr>
              <w:pStyle w:val="14"/>
              <w:spacing w:line="600" w:lineRule="exact"/>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tcPr>
          <w:p w14:paraId="6CC9395D">
            <w:pPr>
              <w:pStyle w:val="14"/>
              <w:spacing w:line="600" w:lineRule="exact"/>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tcPr>
          <w:p w14:paraId="74574109">
            <w:pPr>
              <w:pStyle w:val="14"/>
              <w:spacing w:line="600" w:lineRule="exact"/>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tcPr>
          <w:p w14:paraId="43F5DAEC">
            <w:pPr>
              <w:pStyle w:val="14"/>
              <w:spacing w:line="600" w:lineRule="exact"/>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tcPr>
          <w:p w14:paraId="7CDD2BAA">
            <w:pPr>
              <w:pStyle w:val="14"/>
              <w:spacing w:line="600" w:lineRule="exact"/>
              <w:rPr>
                <w:rFonts w:hAnsi="宋体" w:cs="Courier New"/>
                <w:color w:val="auto"/>
                <w:kern w:val="2"/>
                <w:sz w:val="24"/>
                <w:szCs w:val="24"/>
                <w:highlight w:val="none"/>
              </w:rPr>
            </w:pPr>
          </w:p>
        </w:tc>
      </w:tr>
      <w:tr w14:paraId="08AB4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tcPr>
          <w:p w14:paraId="0022A9D5">
            <w:pPr>
              <w:pStyle w:val="14"/>
              <w:spacing w:line="600" w:lineRule="exact"/>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tcPr>
          <w:p w14:paraId="1D683A04">
            <w:pPr>
              <w:pStyle w:val="14"/>
              <w:spacing w:line="600" w:lineRule="exact"/>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tcPr>
          <w:p w14:paraId="1977823B">
            <w:pPr>
              <w:pStyle w:val="14"/>
              <w:spacing w:line="600" w:lineRule="exact"/>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tcPr>
          <w:p w14:paraId="0E516838">
            <w:pPr>
              <w:pStyle w:val="14"/>
              <w:spacing w:line="600" w:lineRule="exact"/>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tcPr>
          <w:p w14:paraId="7B9CAF28">
            <w:pPr>
              <w:pStyle w:val="14"/>
              <w:spacing w:line="600" w:lineRule="exact"/>
              <w:rPr>
                <w:rFonts w:hAnsi="宋体" w:cs="Courier New"/>
                <w:color w:val="auto"/>
                <w:kern w:val="2"/>
                <w:sz w:val="24"/>
                <w:szCs w:val="24"/>
                <w:highlight w:val="none"/>
              </w:rPr>
            </w:pPr>
          </w:p>
        </w:tc>
      </w:tr>
      <w:tr w14:paraId="6498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tcPr>
          <w:p w14:paraId="4AE238EF">
            <w:pPr>
              <w:pStyle w:val="14"/>
              <w:spacing w:line="600" w:lineRule="exact"/>
              <w:rPr>
                <w:rFonts w:hAnsi="宋体" w:cs="Courier New"/>
                <w:color w:val="auto"/>
                <w:kern w:val="2"/>
                <w:sz w:val="24"/>
                <w:szCs w:val="24"/>
                <w:highlight w:val="none"/>
              </w:rPr>
            </w:pPr>
          </w:p>
        </w:tc>
        <w:tc>
          <w:tcPr>
            <w:tcW w:w="2143" w:type="dxa"/>
            <w:tcBorders>
              <w:top w:val="single" w:color="auto" w:sz="4" w:space="0"/>
              <w:left w:val="single" w:color="auto" w:sz="4" w:space="0"/>
              <w:bottom w:val="single" w:color="auto" w:sz="4" w:space="0"/>
              <w:right w:val="single" w:color="auto" w:sz="4" w:space="0"/>
            </w:tcBorders>
            <w:noWrap/>
          </w:tcPr>
          <w:p w14:paraId="3373119A">
            <w:pPr>
              <w:pStyle w:val="14"/>
              <w:spacing w:line="600" w:lineRule="exact"/>
              <w:rPr>
                <w:rFonts w:hAnsi="宋体" w:cs="Courier New"/>
                <w:color w:val="auto"/>
                <w:kern w:val="2"/>
                <w:sz w:val="24"/>
                <w:szCs w:val="24"/>
                <w:highlight w:val="none"/>
              </w:rPr>
            </w:pPr>
          </w:p>
        </w:tc>
        <w:tc>
          <w:tcPr>
            <w:tcW w:w="1834" w:type="dxa"/>
            <w:tcBorders>
              <w:top w:val="single" w:color="auto" w:sz="4" w:space="0"/>
              <w:left w:val="single" w:color="auto" w:sz="4" w:space="0"/>
              <w:bottom w:val="single" w:color="auto" w:sz="4" w:space="0"/>
              <w:right w:val="single" w:color="auto" w:sz="4" w:space="0"/>
            </w:tcBorders>
            <w:noWrap/>
          </w:tcPr>
          <w:p w14:paraId="0AC079E8">
            <w:pPr>
              <w:pStyle w:val="14"/>
              <w:spacing w:line="600" w:lineRule="exact"/>
              <w:rPr>
                <w:rFonts w:hAnsi="宋体" w:cs="Courier New"/>
                <w:color w:val="auto"/>
                <w:kern w:val="2"/>
                <w:sz w:val="24"/>
                <w:szCs w:val="24"/>
                <w:highlight w:val="none"/>
              </w:rPr>
            </w:pPr>
          </w:p>
        </w:tc>
        <w:tc>
          <w:tcPr>
            <w:tcW w:w="2181" w:type="dxa"/>
            <w:tcBorders>
              <w:top w:val="single" w:color="auto" w:sz="4" w:space="0"/>
              <w:left w:val="single" w:color="auto" w:sz="4" w:space="0"/>
              <w:bottom w:val="single" w:color="auto" w:sz="4" w:space="0"/>
              <w:right w:val="single" w:color="auto" w:sz="4" w:space="0"/>
            </w:tcBorders>
            <w:noWrap/>
          </w:tcPr>
          <w:p w14:paraId="13F17383">
            <w:pPr>
              <w:pStyle w:val="14"/>
              <w:spacing w:line="600" w:lineRule="exact"/>
              <w:rPr>
                <w:rFonts w:hAnsi="宋体" w:cs="Courier New"/>
                <w:color w:val="auto"/>
                <w:kern w:val="2"/>
                <w:sz w:val="24"/>
                <w:szCs w:val="24"/>
                <w:highlight w:val="none"/>
              </w:rPr>
            </w:pPr>
          </w:p>
        </w:tc>
        <w:tc>
          <w:tcPr>
            <w:tcW w:w="1934" w:type="dxa"/>
            <w:tcBorders>
              <w:top w:val="single" w:color="auto" w:sz="4" w:space="0"/>
              <w:left w:val="single" w:color="auto" w:sz="4" w:space="0"/>
              <w:bottom w:val="single" w:color="auto" w:sz="4" w:space="0"/>
              <w:right w:val="single" w:color="auto" w:sz="4" w:space="0"/>
            </w:tcBorders>
            <w:noWrap/>
          </w:tcPr>
          <w:p w14:paraId="677EFBB8">
            <w:pPr>
              <w:pStyle w:val="14"/>
              <w:spacing w:line="600" w:lineRule="exact"/>
              <w:rPr>
                <w:rFonts w:hAnsi="宋体" w:cs="Courier New"/>
                <w:color w:val="auto"/>
                <w:kern w:val="2"/>
                <w:sz w:val="24"/>
                <w:szCs w:val="24"/>
                <w:highlight w:val="none"/>
              </w:rPr>
            </w:pPr>
          </w:p>
        </w:tc>
      </w:tr>
    </w:tbl>
    <w:p w14:paraId="06BF21F0">
      <w:pPr>
        <w:pStyle w:val="10"/>
        <w:spacing w:line="360" w:lineRule="auto"/>
        <w:rPr>
          <w:rFonts w:ascii="宋体" w:hAnsi="宋体"/>
          <w:b/>
          <w:color w:val="auto"/>
          <w:kern w:val="0"/>
          <w:sz w:val="24"/>
          <w:szCs w:val="24"/>
          <w:highlight w:val="none"/>
        </w:rPr>
      </w:pPr>
      <w:r>
        <w:rPr>
          <w:rFonts w:hint="eastAsia" w:ascii="宋体" w:hAnsi="宋体"/>
          <w:color w:val="auto"/>
          <w:highlight w:val="none"/>
        </w:rPr>
        <w:t>注：</w:t>
      </w:r>
    </w:p>
    <w:p w14:paraId="7810D117">
      <w:pPr>
        <w:pStyle w:val="12"/>
        <w:spacing w:line="360" w:lineRule="auto"/>
        <w:ind w:firstLine="0" w:firstLineChars="0"/>
        <w:rPr>
          <w:rFonts w:hAnsi="仿宋_GB2312" w:cs="仿宋_GB2312"/>
          <w:color w:val="auto"/>
          <w:szCs w:val="32"/>
          <w:highlight w:val="none"/>
        </w:rPr>
      </w:pPr>
      <w:r>
        <w:rPr>
          <w:rFonts w:hint="eastAsia" w:ascii="宋体" w:hAnsi="宋体" w:eastAsia="宋体"/>
          <w:color w:val="auto"/>
          <w:sz w:val="24"/>
          <w:szCs w:val="24"/>
          <w:highlight w:val="none"/>
        </w:rPr>
        <w:t>1. 说明：应对照磋商文件“第二章 采购需求”中的技术要求逐条作明确的竞标响应，并作出偏离说明。</w:t>
      </w:r>
    </w:p>
    <w:p w14:paraId="50597745">
      <w:pPr>
        <w:pStyle w:val="10"/>
        <w:spacing w:line="360" w:lineRule="auto"/>
        <w:rPr>
          <w:rFonts w:ascii="宋体" w:hAnsi="宋体"/>
          <w:color w:val="auto"/>
          <w:sz w:val="24"/>
          <w:szCs w:val="24"/>
          <w:highlight w:val="none"/>
        </w:rPr>
      </w:pPr>
      <w:r>
        <w:rPr>
          <w:rFonts w:hint="eastAsia" w:ascii="宋体" w:hAnsi="宋体"/>
          <w:b/>
          <w:bCs/>
          <w:color w:val="auto"/>
          <w:sz w:val="24"/>
          <w:szCs w:val="24"/>
          <w:highlight w:val="none"/>
        </w:rPr>
        <w:t>2.供应商应根据自身的承诺，对照竞争性磋商文件要求，在“偏离说明”中注明“</w:t>
      </w:r>
      <w:r>
        <w:rPr>
          <w:rFonts w:hint="eastAsia" w:ascii="宋体" w:hAnsi="宋体"/>
          <w:color w:val="auto"/>
          <w:sz w:val="24"/>
          <w:szCs w:val="24"/>
          <w:highlight w:val="none"/>
        </w:rPr>
        <w:t>正偏离</w:t>
      </w:r>
      <w:r>
        <w:rPr>
          <w:rFonts w:hint="eastAsia" w:ascii="宋体" w:hAnsi="宋体"/>
          <w:b/>
          <w:bCs/>
          <w:color w:val="auto"/>
          <w:sz w:val="24"/>
          <w:szCs w:val="24"/>
          <w:highlight w:val="none"/>
        </w:rPr>
        <w:t>”、“</w:t>
      </w:r>
      <w:r>
        <w:rPr>
          <w:rFonts w:hint="eastAsia" w:ascii="宋体" w:hAnsi="宋体"/>
          <w:color w:val="auto"/>
          <w:sz w:val="24"/>
          <w:szCs w:val="24"/>
          <w:highlight w:val="none"/>
        </w:rPr>
        <w:t>负偏离</w:t>
      </w:r>
      <w:r>
        <w:rPr>
          <w:rFonts w:hint="eastAsia" w:ascii="宋体" w:hAnsi="宋体"/>
          <w:b/>
          <w:bCs/>
          <w:color w:val="auto"/>
          <w:sz w:val="24"/>
          <w:szCs w:val="24"/>
          <w:highlight w:val="none"/>
        </w:rPr>
        <w:t>”或者“</w:t>
      </w:r>
      <w:r>
        <w:rPr>
          <w:rFonts w:hint="eastAsia" w:ascii="宋体" w:hAnsi="宋体"/>
          <w:color w:val="auto"/>
          <w:sz w:val="24"/>
          <w:szCs w:val="24"/>
          <w:highlight w:val="none"/>
        </w:rPr>
        <w:t>无偏离</w:t>
      </w:r>
      <w:r>
        <w:rPr>
          <w:rFonts w:hint="eastAsia" w:ascii="宋体" w:hAnsi="宋体"/>
          <w:b/>
          <w:bCs/>
          <w:color w:val="auto"/>
          <w:sz w:val="24"/>
          <w:szCs w:val="24"/>
          <w:highlight w:val="none"/>
        </w:rPr>
        <w:t>”。既不属于“</w:t>
      </w:r>
      <w:r>
        <w:rPr>
          <w:rFonts w:hint="eastAsia" w:ascii="宋体" w:hAnsi="宋体"/>
          <w:color w:val="auto"/>
          <w:sz w:val="24"/>
          <w:szCs w:val="24"/>
          <w:highlight w:val="none"/>
        </w:rPr>
        <w:t>正偏离</w:t>
      </w:r>
      <w:r>
        <w:rPr>
          <w:rFonts w:hint="eastAsia" w:ascii="宋体" w:hAnsi="宋体"/>
          <w:b/>
          <w:bCs/>
          <w:color w:val="auto"/>
          <w:sz w:val="24"/>
          <w:szCs w:val="24"/>
          <w:highlight w:val="none"/>
        </w:rPr>
        <w:t>”也不属于“</w:t>
      </w:r>
      <w:r>
        <w:rPr>
          <w:rFonts w:hint="eastAsia" w:ascii="宋体" w:hAnsi="宋体"/>
          <w:color w:val="auto"/>
          <w:sz w:val="24"/>
          <w:szCs w:val="24"/>
          <w:highlight w:val="none"/>
        </w:rPr>
        <w:t>负偏离</w:t>
      </w:r>
      <w:r>
        <w:rPr>
          <w:rFonts w:hint="eastAsia" w:ascii="宋体" w:hAnsi="宋体"/>
          <w:b/>
          <w:bCs/>
          <w:color w:val="auto"/>
          <w:sz w:val="24"/>
          <w:szCs w:val="24"/>
          <w:highlight w:val="none"/>
        </w:rPr>
        <w:t>”即为“</w:t>
      </w:r>
      <w:r>
        <w:rPr>
          <w:rFonts w:hint="eastAsia" w:ascii="宋体" w:hAnsi="宋体"/>
          <w:color w:val="auto"/>
          <w:sz w:val="24"/>
          <w:szCs w:val="24"/>
          <w:highlight w:val="none"/>
        </w:rPr>
        <w:t>无偏离</w:t>
      </w:r>
      <w:r>
        <w:rPr>
          <w:rFonts w:hint="eastAsia" w:ascii="宋体" w:hAnsi="宋体"/>
          <w:b/>
          <w:bCs/>
          <w:color w:val="auto"/>
          <w:sz w:val="24"/>
          <w:szCs w:val="24"/>
          <w:highlight w:val="none"/>
        </w:rPr>
        <w:t>”。</w:t>
      </w:r>
    </w:p>
    <w:p w14:paraId="64701061">
      <w:pPr>
        <w:pStyle w:val="10"/>
        <w:spacing w:line="360" w:lineRule="auto"/>
        <w:rPr>
          <w:rFonts w:ascii="宋体" w:hAnsi="宋体"/>
          <w:color w:val="auto"/>
          <w:spacing w:val="20"/>
          <w:highlight w:val="none"/>
        </w:rPr>
      </w:pPr>
    </w:p>
    <w:p w14:paraId="49340D57">
      <w:pPr>
        <w:spacing w:line="360" w:lineRule="auto"/>
        <w:rPr>
          <w:rFonts w:ascii="宋体" w:hAnsi="宋体"/>
          <w:color w:val="auto"/>
          <w:spacing w:val="20"/>
          <w:sz w:val="24"/>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（签字或者电子签名）：</w:t>
      </w:r>
      <w:r>
        <w:rPr>
          <w:rFonts w:hint="eastAsia" w:ascii="宋体" w:hAnsi="宋体"/>
          <w:color w:val="auto"/>
          <w:spacing w:val="20"/>
          <w:sz w:val="24"/>
          <w:highlight w:val="none"/>
          <w:u w:val="single"/>
        </w:rPr>
        <w:t xml:space="preserve">        </w:t>
      </w:r>
    </w:p>
    <w:p w14:paraId="4E9C4F18">
      <w:pPr>
        <w:spacing w:line="360" w:lineRule="auto"/>
        <w:rPr>
          <w:rFonts w:ascii="宋体" w:hAnsi="宋体"/>
          <w:color w:val="auto"/>
          <w:spacing w:val="20"/>
          <w:sz w:val="24"/>
          <w:highlight w:val="none"/>
        </w:rPr>
      </w:pPr>
      <w:r>
        <w:rPr>
          <w:rFonts w:hint="eastAsia" w:ascii="宋体" w:hAnsi="宋体"/>
          <w:color w:val="auto"/>
          <w:spacing w:val="20"/>
          <w:sz w:val="24"/>
          <w:highlight w:val="none"/>
          <w:lang w:eastAsia="zh-CN"/>
        </w:rPr>
        <w:t>供应商</w:t>
      </w:r>
      <w:r>
        <w:rPr>
          <w:rFonts w:hint="eastAsia" w:ascii="宋体" w:hAnsi="宋体"/>
          <w:color w:val="auto"/>
          <w:spacing w:val="20"/>
          <w:sz w:val="24"/>
          <w:highlight w:val="none"/>
        </w:rPr>
        <w:t>名称（电子签章）：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096D67DC">
      <w:pPr>
        <w:spacing w:line="360" w:lineRule="auto"/>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4187F7FB">
      <w:pPr>
        <w:spacing w:line="300" w:lineRule="auto"/>
        <w:rPr>
          <w:rFonts w:ascii="宋体" w:hAnsi="宋体"/>
          <w:b/>
          <w:bCs/>
          <w:color w:val="auto"/>
          <w:sz w:val="24"/>
          <w:highlight w:val="none"/>
        </w:rPr>
      </w:pPr>
    </w:p>
    <w:p w14:paraId="573E03D2">
      <w:pPr>
        <w:pStyle w:val="6"/>
        <w:rPr>
          <w:color w:val="auto"/>
          <w:highlight w:val="none"/>
        </w:rPr>
      </w:pPr>
    </w:p>
    <w:p w14:paraId="72027FE5">
      <w:pPr>
        <w:pStyle w:val="6"/>
        <w:rPr>
          <w:color w:val="auto"/>
          <w:highlight w:val="none"/>
        </w:rPr>
      </w:pPr>
    </w:p>
    <w:p w14:paraId="3198089A">
      <w:pPr>
        <w:pStyle w:val="6"/>
        <w:rPr>
          <w:color w:val="auto"/>
          <w:highlight w:val="none"/>
        </w:rPr>
      </w:pPr>
    </w:p>
    <w:p w14:paraId="105618B3">
      <w:pPr>
        <w:pStyle w:val="6"/>
        <w:rPr>
          <w:color w:val="auto"/>
          <w:highlight w:val="none"/>
        </w:rPr>
      </w:pPr>
    </w:p>
    <w:p w14:paraId="53548815">
      <w:pPr>
        <w:pStyle w:val="6"/>
        <w:rPr>
          <w:color w:val="auto"/>
          <w:highlight w:val="none"/>
        </w:rPr>
      </w:pPr>
    </w:p>
    <w:p w14:paraId="48D9F61A">
      <w:pPr>
        <w:pStyle w:val="6"/>
        <w:rPr>
          <w:color w:val="auto"/>
          <w:highlight w:val="none"/>
        </w:rPr>
      </w:pPr>
    </w:p>
    <w:p w14:paraId="276D3820">
      <w:pPr>
        <w:pStyle w:val="6"/>
        <w:rPr>
          <w:color w:val="auto"/>
          <w:highlight w:val="none"/>
        </w:rPr>
      </w:pPr>
    </w:p>
    <w:p w14:paraId="763DC205">
      <w:pPr>
        <w:pStyle w:val="6"/>
        <w:rPr>
          <w:color w:val="auto"/>
          <w:highlight w:val="none"/>
        </w:rPr>
      </w:pPr>
    </w:p>
    <w:p w14:paraId="331C8707">
      <w:pPr>
        <w:pStyle w:val="6"/>
        <w:rPr>
          <w:color w:val="auto"/>
          <w:highlight w:val="none"/>
        </w:rPr>
      </w:pPr>
    </w:p>
    <w:p w14:paraId="1C802AD8">
      <w:pPr>
        <w:pStyle w:val="6"/>
        <w:rPr>
          <w:color w:val="auto"/>
          <w:highlight w:val="none"/>
        </w:rPr>
      </w:pPr>
    </w:p>
    <w:p w14:paraId="54DAF487">
      <w:pPr>
        <w:spacing w:line="300" w:lineRule="auto"/>
        <w:rPr>
          <w:rFonts w:ascii="宋体" w:hAnsi="宋体"/>
          <w:color w:val="auto"/>
          <w:szCs w:val="21"/>
          <w:highlight w:val="none"/>
        </w:rPr>
      </w:pPr>
      <w:r>
        <w:rPr>
          <w:rFonts w:hint="eastAsia" w:ascii="宋体" w:hAnsi="宋体"/>
          <w:b/>
          <w:bCs/>
          <w:color w:val="auto"/>
          <w:sz w:val="24"/>
          <w:highlight w:val="none"/>
        </w:rPr>
        <w:t>其他文书、文件格式</w:t>
      </w:r>
    </w:p>
    <w:p w14:paraId="6ECCD50F">
      <w:pPr>
        <w:spacing w:line="360" w:lineRule="auto"/>
        <w:jc w:val="center"/>
        <w:rPr>
          <w:rFonts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70E7B497">
      <w:pPr>
        <w:pStyle w:val="14"/>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一、质疑供应商基本信息：</w:t>
      </w:r>
    </w:p>
    <w:p w14:paraId="7672AB78">
      <w:pPr>
        <w:pStyle w:val="14"/>
        <w:spacing w:line="360" w:lineRule="auto"/>
        <w:ind w:firstLine="480" w:firstLineChars="200"/>
        <w:contextualSpacing/>
        <w:rPr>
          <w:rFonts w:hAnsi="宋体"/>
          <w:bCs/>
          <w:color w:val="auto"/>
          <w:sz w:val="24"/>
          <w:szCs w:val="24"/>
          <w:highlight w:val="none"/>
          <w:u w:val="singl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3D8EEF51">
      <w:pPr>
        <w:pStyle w:val="14"/>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1CCE535A">
      <w:pPr>
        <w:pStyle w:val="14"/>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07914D8">
      <w:pPr>
        <w:pStyle w:val="14"/>
        <w:spacing w:line="360" w:lineRule="auto"/>
        <w:ind w:firstLine="480" w:firstLineChars="200"/>
        <w:contextualSpacing/>
        <w:rPr>
          <w:rFonts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346784CA">
      <w:pPr>
        <w:pStyle w:val="14"/>
        <w:spacing w:line="360" w:lineRule="auto"/>
        <w:ind w:firstLine="480" w:firstLineChars="200"/>
        <w:contextualSpacing/>
        <w:rPr>
          <w:rFonts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678352E4">
      <w:pPr>
        <w:pStyle w:val="14"/>
        <w:spacing w:line="360" w:lineRule="auto"/>
        <w:ind w:firstLine="480" w:firstLineChars="200"/>
        <w:contextualSpacing/>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68BB3C71">
      <w:pPr>
        <w:pStyle w:val="14"/>
        <w:spacing w:line="360" w:lineRule="auto"/>
        <w:ind w:firstLine="482" w:firstLineChars="200"/>
        <w:contextualSpacing/>
        <w:rPr>
          <w:rFonts w:hAnsi="宋体"/>
          <w:b/>
          <w:bCs/>
          <w:color w:val="auto"/>
          <w:sz w:val="24"/>
          <w:szCs w:val="24"/>
          <w:highlight w:val="none"/>
        </w:rPr>
      </w:pPr>
      <w:r>
        <w:rPr>
          <w:rFonts w:hint="eastAsia" w:hAnsi="宋体"/>
          <w:b/>
          <w:bCs/>
          <w:color w:val="auto"/>
          <w:sz w:val="24"/>
          <w:szCs w:val="24"/>
          <w:highlight w:val="none"/>
        </w:rPr>
        <w:t>二、质疑项目基本情况：</w:t>
      </w:r>
    </w:p>
    <w:p w14:paraId="1D3B651A">
      <w:pPr>
        <w:pStyle w:val="14"/>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6DD1316E">
      <w:pPr>
        <w:pStyle w:val="14"/>
        <w:spacing w:line="360" w:lineRule="auto"/>
        <w:ind w:left="25" w:leftChars="12" w:firstLine="472" w:firstLineChars="197"/>
        <w:contextualSpacing/>
        <w:rPr>
          <w:rFonts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7B9E7427">
      <w:pPr>
        <w:pStyle w:val="14"/>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465B69F7">
      <w:pPr>
        <w:pStyle w:val="14"/>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w:t>
      </w:r>
    </w:p>
    <w:p w14:paraId="783C2FF8">
      <w:pPr>
        <w:pStyle w:val="14"/>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□采购文件   采购文件获取日期：</w:t>
      </w:r>
      <w:r>
        <w:rPr>
          <w:rFonts w:hint="eastAsia" w:hAnsi="宋体"/>
          <w:bCs/>
          <w:color w:val="auto"/>
          <w:sz w:val="24"/>
          <w:szCs w:val="24"/>
          <w:highlight w:val="none"/>
          <w:u w:val="single"/>
        </w:rPr>
        <w:t xml:space="preserve">                                   </w:t>
      </w:r>
    </w:p>
    <w:p w14:paraId="4A824EAC">
      <w:pPr>
        <w:pStyle w:val="14"/>
        <w:spacing w:line="360" w:lineRule="auto"/>
        <w:ind w:left="25" w:leftChars="12" w:firstLine="352" w:firstLineChars="147"/>
        <w:contextualSpacing/>
        <w:rPr>
          <w:rFonts w:hAnsi="宋体"/>
          <w:color w:val="auto"/>
          <w:sz w:val="24"/>
          <w:szCs w:val="24"/>
          <w:highlight w:val="none"/>
        </w:rPr>
      </w:pPr>
      <w:r>
        <w:rPr>
          <w:rFonts w:hint="eastAsia" w:hAnsi="宋体"/>
          <w:color w:val="auto"/>
          <w:sz w:val="24"/>
          <w:szCs w:val="24"/>
          <w:highlight w:val="none"/>
        </w:rPr>
        <w:t xml:space="preserve">□采购过程   </w:t>
      </w:r>
    </w:p>
    <w:p w14:paraId="488AFF45">
      <w:pPr>
        <w:pStyle w:val="14"/>
        <w:spacing w:line="360" w:lineRule="auto"/>
        <w:ind w:left="25" w:leftChars="12" w:firstLine="352" w:firstLineChars="147"/>
        <w:contextualSpacing/>
        <w:rPr>
          <w:rFonts w:hAnsi="宋体"/>
          <w:bCs/>
          <w:color w:val="auto"/>
          <w:sz w:val="24"/>
          <w:szCs w:val="24"/>
          <w:highlight w:val="none"/>
          <w:u w:val="single"/>
        </w:rPr>
      </w:pPr>
      <w:r>
        <w:rPr>
          <w:rFonts w:hint="eastAsia" w:hAnsi="宋体"/>
          <w:color w:val="auto"/>
          <w:sz w:val="24"/>
          <w:szCs w:val="24"/>
          <w:highlight w:val="none"/>
        </w:rPr>
        <w:t xml:space="preserve">□成交结果   </w:t>
      </w:r>
    </w:p>
    <w:p w14:paraId="4FE43185">
      <w:pPr>
        <w:pStyle w:val="14"/>
        <w:spacing w:line="360" w:lineRule="auto"/>
        <w:ind w:left="25" w:leftChars="12" w:firstLine="472" w:firstLineChars="196"/>
        <w:contextualSpacing/>
        <w:rPr>
          <w:rFonts w:hAnsi="宋体"/>
          <w:b/>
          <w:color w:val="auto"/>
          <w:sz w:val="24"/>
          <w:szCs w:val="24"/>
          <w:highlight w:val="none"/>
        </w:rPr>
      </w:pPr>
      <w:r>
        <w:rPr>
          <w:rFonts w:hint="eastAsia" w:hAnsi="宋体"/>
          <w:b/>
          <w:color w:val="auto"/>
          <w:sz w:val="24"/>
          <w:szCs w:val="24"/>
          <w:highlight w:val="none"/>
        </w:rPr>
        <w:t>三、质疑事项具体内容</w:t>
      </w:r>
    </w:p>
    <w:p w14:paraId="16DD639D">
      <w:pPr>
        <w:pStyle w:val="14"/>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质疑事项1：</w:t>
      </w:r>
      <w:r>
        <w:rPr>
          <w:rFonts w:hint="eastAsia" w:hAnsi="宋体"/>
          <w:bCs/>
          <w:color w:val="auto"/>
          <w:sz w:val="24"/>
          <w:szCs w:val="24"/>
          <w:highlight w:val="none"/>
          <w:u w:val="single"/>
        </w:rPr>
        <w:t xml:space="preserve">                                                                    </w:t>
      </w:r>
    </w:p>
    <w:p w14:paraId="5F7DB113">
      <w:pPr>
        <w:pStyle w:val="14"/>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5129A8A2">
      <w:pPr>
        <w:pStyle w:val="14"/>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法律依据：</w:t>
      </w:r>
      <w:r>
        <w:rPr>
          <w:rFonts w:hint="eastAsia" w:hAnsi="宋体"/>
          <w:color w:val="auto"/>
          <w:sz w:val="24"/>
          <w:szCs w:val="24"/>
          <w:highlight w:val="none"/>
          <w:u w:val="single"/>
        </w:rPr>
        <w:t xml:space="preserve">                                                        </w:t>
      </w:r>
      <w:r>
        <w:rPr>
          <w:rFonts w:hint="eastAsia" w:hAnsi="宋体"/>
          <w:bCs/>
          <w:color w:val="auto"/>
          <w:sz w:val="24"/>
          <w:szCs w:val="24"/>
          <w:highlight w:val="none"/>
          <w:u w:val="single"/>
        </w:rPr>
        <w:t xml:space="preserve">               </w:t>
      </w:r>
    </w:p>
    <w:p w14:paraId="019EB008">
      <w:pPr>
        <w:pStyle w:val="14"/>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质疑事项2</w:t>
      </w:r>
    </w:p>
    <w:p w14:paraId="3F411061">
      <w:pPr>
        <w:pStyle w:val="14"/>
        <w:spacing w:line="360" w:lineRule="auto"/>
        <w:ind w:left="25" w:leftChars="12" w:firstLine="472" w:firstLineChars="197"/>
        <w:contextualSpacing/>
        <w:rPr>
          <w:rFonts w:hAnsi="宋体"/>
          <w:color w:val="auto"/>
          <w:sz w:val="24"/>
          <w:szCs w:val="24"/>
          <w:highlight w:val="none"/>
        </w:rPr>
      </w:pPr>
      <w:r>
        <w:rPr>
          <w:rFonts w:hAnsi="宋体"/>
          <w:color w:val="auto"/>
          <w:sz w:val="24"/>
          <w:szCs w:val="24"/>
          <w:highlight w:val="none"/>
        </w:rPr>
        <w:t>……</w:t>
      </w:r>
    </w:p>
    <w:p w14:paraId="531D8E7B">
      <w:pPr>
        <w:pStyle w:val="14"/>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四、与质疑事项相关的质疑请求：</w:t>
      </w:r>
    </w:p>
    <w:p w14:paraId="5C6B8B84">
      <w:pPr>
        <w:pStyle w:val="14"/>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7AAFC796">
      <w:pPr>
        <w:pStyle w:val="14"/>
        <w:spacing w:line="360" w:lineRule="auto"/>
        <w:ind w:left="25" w:leftChars="12" w:firstLine="352" w:firstLineChars="147"/>
        <w:contextualSpacing/>
        <w:rPr>
          <w:rFonts w:hAnsi="宋体"/>
          <w:color w:val="auto"/>
          <w:sz w:val="24"/>
          <w:szCs w:val="24"/>
          <w:highlight w:val="none"/>
        </w:rPr>
      </w:pPr>
    </w:p>
    <w:p w14:paraId="413C3AFC">
      <w:pPr>
        <w:pStyle w:val="14"/>
        <w:spacing w:line="360" w:lineRule="auto"/>
        <w:ind w:left="25" w:leftChars="12" w:firstLine="472" w:firstLineChars="197"/>
        <w:contextualSpacing/>
        <w:rPr>
          <w:rFonts w:hAnsi="宋体"/>
          <w:color w:val="auto"/>
          <w:sz w:val="24"/>
          <w:szCs w:val="24"/>
          <w:highlight w:val="none"/>
        </w:rPr>
      </w:pPr>
      <w:r>
        <w:rPr>
          <w:rFonts w:hint="eastAsia" w:hAnsi="宋体"/>
          <w:color w:val="auto"/>
          <w:sz w:val="24"/>
          <w:szCs w:val="24"/>
          <w:highlight w:val="none"/>
        </w:rPr>
        <w:t>签字（签章）：                                       公章：</w:t>
      </w:r>
    </w:p>
    <w:p w14:paraId="295984BA">
      <w:pPr>
        <w:pStyle w:val="14"/>
        <w:spacing w:line="360" w:lineRule="auto"/>
        <w:ind w:firstLine="480" w:firstLineChars="200"/>
        <w:contextualSpacing/>
        <w:rPr>
          <w:rFonts w:hAnsi="宋体"/>
          <w:b/>
          <w:color w:val="auto"/>
          <w:sz w:val="24"/>
          <w:szCs w:val="24"/>
          <w:highlight w:val="none"/>
        </w:rPr>
      </w:pPr>
      <w:r>
        <w:rPr>
          <w:rFonts w:hint="eastAsia" w:hAnsi="宋体"/>
          <w:color w:val="auto"/>
          <w:sz w:val="24"/>
          <w:szCs w:val="24"/>
          <w:highlight w:val="none"/>
        </w:rPr>
        <w:t>日期：</w:t>
      </w:r>
    </w:p>
    <w:p w14:paraId="7822B324">
      <w:pPr>
        <w:pStyle w:val="14"/>
        <w:spacing w:line="360" w:lineRule="auto"/>
        <w:contextualSpacing/>
        <w:rPr>
          <w:rFonts w:hAnsi="宋体"/>
          <w:b/>
          <w:color w:val="auto"/>
          <w:sz w:val="24"/>
          <w:szCs w:val="24"/>
          <w:highlight w:val="none"/>
        </w:rPr>
      </w:pPr>
      <w:r>
        <w:rPr>
          <w:rFonts w:hint="eastAsia" w:hAnsi="宋体"/>
          <w:b/>
          <w:color w:val="auto"/>
          <w:sz w:val="24"/>
          <w:szCs w:val="24"/>
          <w:highlight w:val="none"/>
        </w:rPr>
        <w:t>说明：</w:t>
      </w:r>
    </w:p>
    <w:p w14:paraId="50E139B0">
      <w:pPr>
        <w:pStyle w:val="14"/>
        <w:spacing w:line="360" w:lineRule="auto"/>
        <w:ind w:left="25" w:leftChars="12" w:firstLine="354" w:firstLineChars="147"/>
        <w:contextualSpacing/>
        <w:rPr>
          <w:rFonts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146684B8">
      <w:pPr>
        <w:pStyle w:val="14"/>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6F985B1">
      <w:pPr>
        <w:pStyle w:val="14"/>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73E30933">
      <w:pPr>
        <w:pStyle w:val="14"/>
        <w:spacing w:line="360" w:lineRule="auto"/>
        <w:ind w:left="25" w:leftChars="12" w:firstLine="354" w:firstLineChars="147"/>
        <w:contextualSpacing/>
        <w:rPr>
          <w:rFonts w:hAnsi="宋体"/>
          <w:b/>
          <w:color w:val="auto"/>
          <w:sz w:val="24"/>
          <w:szCs w:val="24"/>
          <w:highlight w:val="none"/>
        </w:rPr>
      </w:pPr>
      <w:r>
        <w:rPr>
          <w:rFonts w:hint="eastAsia" w:hAnsi="宋体"/>
          <w:b/>
          <w:color w:val="auto"/>
          <w:sz w:val="24"/>
          <w:szCs w:val="24"/>
          <w:highlight w:val="none"/>
        </w:rPr>
        <w:t>4.质疑函的质疑请求应与质疑事项相关。</w:t>
      </w:r>
    </w:p>
    <w:p w14:paraId="3B977C01">
      <w:pPr>
        <w:pStyle w:val="14"/>
        <w:spacing w:line="360" w:lineRule="auto"/>
        <w:ind w:left="25" w:leftChars="12" w:firstLine="354" w:firstLineChars="147"/>
        <w:contextualSpacing/>
        <w:rPr>
          <w:rFonts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0FA1EB8E">
      <w:pPr>
        <w:pStyle w:val="14"/>
        <w:snapToGrid w:val="0"/>
        <w:rPr>
          <w:b/>
          <w:color w:val="auto"/>
          <w:sz w:val="24"/>
          <w:szCs w:val="24"/>
          <w:highlight w:val="none"/>
        </w:rPr>
      </w:pPr>
    </w:p>
    <w:p w14:paraId="3B4EDDFE">
      <w:pPr>
        <w:rPr>
          <w:color w:val="auto"/>
          <w:sz w:val="32"/>
          <w:szCs w:val="40"/>
          <w:highlight w:val="none"/>
        </w:rPr>
      </w:pPr>
    </w:p>
    <w:p w14:paraId="53EB63E3">
      <w:pPr>
        <w:rPr>
          <w:color w:val="auto"/>
          <w:sz w:val="32"/>
          <w:szCs w:val="40"/>
          <w:highlight w:val="none"/>
        </w:rPr>
      </w:pPr>
    </w:p>
    <w:p w14:paraId="4CE2DE8D">
      <w:pPr>
        <w:rPr>
          <w:color w:val="auto"/>
          <w:sz w:val="32"/>
          <w:szCs w:val="40"/>
          <w:highlight w:val="none"/>
        </w:rPr>
      </w:pPr>
    </w:p>
    <w:p w14:paraId="73CB1F90">
      <w:pPr>
        <w:rPr>
          <w:color w:val="auto"/>
          <w:sz w:val="32"/>
          <w:szCs w:val="40"/>
          <w:highlight w:val="none"/>
        </w:rPr>
      </w:pPr>
    </w:p>
    <w:p w14:paraId="6AD87C14">
      <w:pPr>
        <w:rPr>
          <w:color w:val="auto"/>
          <w:sz w:val="32"/>
          <w:szCs w:val="40"/>
          <w:highlight w:val="none"/>
        </w:rPr>
      </w:pPr>
    </w:p>
    <w:p w14:paraId="09F92ECA">
      <w:pPr>
        <w:rPr>
          <w:color w:val="auto"/>
          <w:sz w:val="32"/>
          <w:szCs w:val="40"/>
          <w:highlight w:val="none"/>
        </w:rPr>
      </w:pPr>
    </w:p>
    <w:p w14:paraId="3B421A54">
      <w:pPr>
        <w:rPr>
          <w:color w:val="auto"/>
          <w:sz w:val="32"/>
          <w:szCs w:val="40"/>
          <w:highlight w:val="none"/>
        </w:rPr>
      </w:pPr>
    </w:p>
    <w:p w14:paraId="086CDEBB">
      <w:pPr>
        <w:rPr>
          <w:color w:val="auto"/>
          <w:sz w:val="32"/>
          <w:szCs w:val="40"/>
          <w:highlight w:val="none"/>
        </w:rPr>
      </w:pPr>
    </w:p>
    <w:p w14:paraId="44B1973C">
      <w:pPr>
        <w:rPr>
          <w:color w:val="auto"/>
          <w:sz w:val="32"/>
          <w:szCs w:val="40"/>
          <w:highlight w:val="none"/>
        </w:rPr>
      </w:pPr>
    </w:p>
    <w:p w14:paraId="56E895AA">
      <w:pPr>
        <w:pStyle w:val="6"/>
        <w:rPr>
          <w:color w:val="auto"/>
          <w:highlight w:val="none"/>
        </w:rPr>
      </w:pPr>
    </w:p>
    <w:p w14:paraId="1566FD9C">
      <w:pPr>
        <w:pStyle w:val="6"/>
        <w:rPr>
          <w:color w:val="auto"/>
          <w:highlight w:val="none"/>
        </w:rPr>
      </w:pPr>
    </w:p>
    <w:p w14:paraId="166A1AEF">
      <w:pPr>
        <w:rPr>
          <w:color w:val="auto"/>
          <w:sz w:val="32"/>
          <w:szCs w:val="40"/>
          <w:highlight w:val="none"/>
        </w:rPr>
      </w:pPr>
    </w:p>
    <w:p w14:paraId="6BC76751">
      <w:pPr>
        <w:rPr>
          <w:color w:val="auto"/>
          <w:sz w:val="32"/>
          <w:szCs w:val="40"/>
          <w:highlight w:val="none"/>
        </w:rPr>
      </w:pPr>
    </w:p>
    <w:p w14:paraId="1CEA8ED0">
      <w:pPr>
        <w:rPr>
          <w:color w:val="auto"/>
          <w:sz w:val="32"/>
          <w:szCs w:val="40"/>
          <w:highlight w:val="none"/>
        </w:rPr>
      </w:pPr>
    </w:p>
    <w:p w14:paraId="4A917608">
      <w:pPr>
        <w:rPr>
          <w:color w:val="auto"/>
          <w:sz w:val="32"/>
          <w:szCs w:val="40"/>
          <w:highlight w:val="none"/>
        </w:rPr>
      </w:pPr>
    </w:p>
    <w:p w14:paraId="1A185DDC">
      <w:pPr>
        <w:rPr>
          <w:color w:val="auto"/>
          <w:sz w:val="32"/>
          <w:szCs w:val="40"/>
          <w:highlight w:val="none"/>
        </w:rPr>
      </w:pPr>
    </w:p>
    <w:p w14:paraId="137C4511">
      <w:pPr>
        <w:spacing w:line="360" w:lineRule="auto"/>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1B07B349">
      <w:pPr>
        <w:pStyle w:val="14"/>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一、投诉相关主体基本情况：</w:t>
      </w:r>
    </w:p>
    <w:p w14:paraId="1D583E91">
      <w:pPr>
        <w:pStyle w:val="14"/>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6E29219">
      <w:pPr>
        <w:pStyle w:val="14"/>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D1BBFFE">
      <w:pPr>
        <w:pStyle w:val="14"/>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法定代表人/主要负责人：</w:t>
      </w:r>
      <w:r>
        <w:rPr>
          <w:rFonts w:hint="eastAsia" w:hAnsi="宋体"/>
          <w:bCs/>
          <w:color w:val="auto"/>
          <w:sz w:val="24"/>
          <w:szCs w:val="24"/>
          <w:highlight w:val="none"/>
          <w:u w:val="single"/>
        </w:rPr>
        <w:t xml:space="preserve">                                                         </w:t>
      </w:r>
    </w:p>
    <w:p w14:paraId="5047B25B">
      <w:pPr>
        <w:pStyle w:val="14"/>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5C7034FD">
      <w:pPr>
        <w:pStyle w:val="14"/>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086EA5AF">
      <w:pPr>
        <w:pStyle w:val="14"/>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206B363F">
      <w:pPr>
        <w:pStyle w:val="14"/>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2F3353F8">
      <w:pPr>
        <w:pStyle w:val="14"/>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被投诉人1：</w:t>
      </w:r>
    </w:p>
    <w:p w14:paraId="20C6C735">
      <w:pPr>
        <w:pStyle w:val="14"/>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4446D95C">
      <w:pPr>
        <w:pStyle w:val="14"/>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49DA6E26">
      <w:pPr>
        <w:pStyle w:val="14"/>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p>
    <w:p w14:paraId="34DE1B91">
      <w:pPr>
        <w:pStyle w:val="14"/>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被投诉人2：</w:t>
      </w:r>
    </w:p>
    <w:p w14:paraId="2D169ABE">
      <w:pPr>
        <w:pStyle w:val="14"/>
        <w:snapToGrid w:val="0"/>
        <w:spacing w:line="360" w:lineRule="auto"/>
        <w:ind w:firstLine="480" w:firstLineChars="200"/>
        <w:rPr>
          <w:rFonts w:hAnsi="宋体"/>
          <w:bCs/>
          <w:color w:val="auto"/>
          <w:sz w:val="24"/>
          <w:szCs w:val="24"/>
          <w:highlight w:val="none"/>
        </w:rPr>
      </w:pPr>
      <w:r>
        <w:rPr>
          <w:rFonts w:hAnsi="宋体"/>
          <w:bCs/>
          <w:color w:val="auto"/>
          <w:sz w:val="24"/>
          <w:szCs w:val="24"/>
          <w:highlight w:val="none"/>
        </w:rPr>
        <w:t>……</w:t>
      </w:r>
    </w:p>
    <w:p w14:paraId="53DBC52B">
      <w:pPr>
        <w:pStyle w:val="14"/>
        <w:snapToGrid w:val="0"/>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5389CCF4">
      <w:pPr>
        <w:pStyle w:val="14"/>
        <w:snapToGrid w:val="0"/>
        <w:spacing w:line="360" w:lineRule="auto"/>
        <w:ind w:firstLine="480" w:firstLineChars="200"/>
        <w:rPr>
          <w:rFonts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r>
        <w:rPr>
          <w:rFonts w:hAnsi="宋体"/>
          <w:bCs/>
          <w:color w:val="auto"/>
          <w:sz w:val="24"/>
          <w:szCs w:val="24"/>
          <w:highlight w:val="none"/>
        </w:rPr>
        <w:t>邮编</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09ED9F13">
      <w:pPr>
        <w:pStyle w:val="14"/>
        <w:snapToGrid w:val="0"/>
        <w:spacing w:line="360" w:lineRule="auto"/>
        <w:ind w:firstLine="480" w:firstLineChars="200"/>
        <w:rPr>
          <w:rFonts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Ansi="宋体"/>
          <w:bCs/>
          <w:color w:val="auto"/>
          <w:sz w:val="24"/>
          <w:szCs w:val="24"/>
          <w:highlight w:val="none"/>
        </w:rPr>
        <w:t>联系</w:t>
      </w:r>
      <w:r>
        <w:rPr>
          <w:rFonts w:hint="eastAsia" w:hAnsi="宋体"/>
          <w:bCs/>
          <w:color w:val="auto"/>
          <w:sz w:val="24"/>
          <w:szCs w:val="24"/>
          <w:highlight w:val="none"/>
        </w:rPr>
        <w:t>电话：</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093E02A5">
      <w:pPr>
        <w:pStyle w:val="14"/>
        <w:snapToGrid w:val="0"/>
        <w:spacing w:line="360" w:lineRule="auto"/>
        <w:ind w:firstLine="482" w:firstLineChars="200"/>
        <w:rPr>
          <w:rFonts w:hAnsi="宋体"/>
          <w:b/>
          <w:bCs/>
          <w:color w:val="auto"/>
          <w:sz w:val="24"/>
          <w:szCs w:val="24"/>
          <w:highlight w:val="none"/>
        </w:rPr>
      </w:pPr>
      <w:r>
        <w:rPr>
          <w:rFonts w:hint="eastAsia" w:hAnsi="宋体"/>
          <w:b/>
          <w:bCs/>
          <w:color w:val="auto"/>
          <w:sz w:val="24"/>
          <w:szCs w:val="24"/>
          <w:highlight w:val="none"/>
        </w:rPr>
        <w:t>二、投诉项目基本情况：</w:t>
      </w:r>
    </w:p>
    <w:p w14:paraId="38FC9066">
      <w:pPr>
        <w:pStyle w:val="14"/>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00B6F155">
      <w:pPr>
        <w:pStyle w:val="14"/>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4D27669D">
      <w:pPr>
        <w:pStyle w:val="14"/>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58816646">
      <w:pPr>
        <w:pStyle w:val="14"/>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67557E65">
      <w:pPr>
        <w:pStyle w:val="14"/>
        <w:spacing w:line="360" w:lineRule="auto"/>
        <w:ind w:left="25" w:leftChars="12" w:firstLine="472" w:firstLineChars="197"/>
        <w:rPr>
          <w:rFonts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59F45F50">
      <w:pPr>
        <w:pStyle w:val="14"/>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3C60B685">
      <w:pPr>
        <w:pStyle w:val="14"/>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三、质疑基本情况</w:t>
      </w:r>
    </w:p>
    <w:p w14:paraId="72313996">
      <w:pPr>
        <w:pStyle w:val="14"/>
        <w:spacing w:line="360" w:lineRule="auto"/>
        <w:ind w:firstLine="480" w:firstLineChars="200"/>
        <w:rPr>
          <w:rFonts w:hAnsi="宋体"/>
          <w:color w:val="auto"/>
          <w:sz w:val="24"/>
          <w:szCs w:val="24"/>
          <w:highlight w:val="none"/>
        </w:rPr>
      </w:pPr>
      <w:r>
        <w:rPr>
          <w:rFonts w:hint="eastAsia" w:hAnsi="宋体"/>
          <w:color w:val="auto"/>
          <w:sz w:val="24"/>
          <w:szCs w:val="24"/>
          <w:highlight w:val="none"/>
        </w:rPr>
        <w:t>投诉人于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日，向</w:t>
      </w:r>
      <w:r>
        <w:rPr>
          <w:rFonts w:hint="eastAsia" w:hAnsi="宋体"/>
          <w:color w:val="auto"/>
          <w:sz w:val="24"/>
          <w:szCs w:val="24"/>
          <w:highlight w:val="none"/>
          <w:u w:val="single"/>
        </w:rPr>
        <w:t xml:space="preserve">                                </w:t>
      </w:r>
      <w:r>
        <w:rPr>
          <w:rFonts w:hint="eastAsia" w:hAnsi="宋体"/>
          <w:color w:val="auto"/>
          <w:sz w:val="24"/>
          <w:szCs w:val="24"/>
          <w:highlight w:val="none"/>
        </w:rPr>
        <w:t>提出质疑，质疑事项为：</w:t>
      </w:r>
    </w:p>
    <w:p w14:paraId="79FE084A">
      <w:pPr>
        <w:pStyle w:val="14"/>
        <w:spacing w:line="360" w:lineRule="auto"/>
        <w:ind w:firstLine="241"/>
        <w:rPr>
          <w:rFonts w:hAnsi="宋体"/>
          <w:bCs/>
          <w:color w:val="auto"/>
          <w:sz w:val="24"/>
          <w:szCs w:val="24"/>
          <w:highlight w:val="none"/>
          <w:u w:val="single"/>
        </w:rPr>
      </w:pP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3B9794A6">
      <w:pPr>
        <w:pStyle w:val="14"/>
        <w:spacing w:line="360" w:lineRule="auto"/>
        <w:ind w:firstLine="241"/>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32C4C6AE">
      <w:pPr>
        <w:pStyle w:val="14"/>
        <w:spacing w:line="360" w:lineRule="auto"/>
        <w:ind w:firstLine="480" w:firstLineChars="200"/>
        <w:rPr>
          <w:rFonts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u w:val="single"/>
        </w:rPr>
        <w:t xml:space="preserve">      </w:t>
      </w:r>
      <w:r>
        <w:rPr>
          <w:rFonts w:hint="eastAsia" w:hAnsi="宋体"/>
          <w:color w:val="auto"/>
          <w:sz w:val="24"/>
          <w:szCs w:val="24"/>
          <w:highlight w:val="none"/>
        </w:rPr>
        <w:t>年</w:t>
      </w:r>
      <w:r>
        <w:rPr>
          <w:rFonts w:hint="eastAsia" w:hAnsi="宋体"/>
          <w:color w:val="auto"/>
          <w:sz w:val="24"/>
          <w:szCs w:val="24"/>
          <w:highlight w:val="none"/>
          <w:u w:val="single"/>
        </w:rPr>
        <w:t xml:space="preserve">   </w:t>
      </w:r>
      <w:r>
        <w:rPr>
          <w:rFonts w:hint="eastAsia" w:hAnsi="宋体"/>
          <w:color w:val="auto"/>
          <w:sz w:val="24"/>
          <w:szCs w:val="24"/>
          <w:highlight w:val="none"/>
        </w:rPr>
        <w:t>月</w:t>
      </w:r>
      <w:r>
        <w:rPr>
          <w:rFonts w:hint="eastAsia" w:hAnsi="宋体"/>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 xml:space="preserve">就质疑事项作出了答复/没有在法定期限内作出答复。                                                                                             </w:t>
      </w:r>
    </w:p>
    <w:p w14:paraId="3AAF05ED">
      <w:pPr>
        <w:pStyle w:val="14"/>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四、投诉事项具体内容</w:t>
      </w:r>
    </w:p>
    <w:p w14:paraId="2F9ED611">
      <w:pPr>
        <w:pStyle w:val="14"/>
        <w:spacing w:line="360" w:lineRule="auto"/>
        <w:ind w:left="25" w:leftChars="12" w:firstLine="472" w:firstLineChars="197"/>
        <w:rPr>
          <w:rFonts w:hAnsi="宋体"/>
          <w:bCs/>
          <w:color w:val="auto"/>
          <w:sz w:val="24"/>
          <w:szCs w:val="24"/>
          <w:highlight w:val="none"/>
          <w:u w:val="single"/>
        </w:rPr>
      </w:pPr>
      <w:r>
        <w:rPr>
          <w:rFonts w:hint="eastAsia" w:hAnsi="宋体"/>
          <w:color w:val="auto"/>
          <w:sz w:val="24"/>
          <w:szCs w:val="24"/>
          <w:highlight w:val="none"/>
        </w:rPr>
        <w:t>投诉事项1：</w:t>
      </w:r>
      <w:r>
        <w:rPr>
          <w:rFonts w:hint="eastAsia" w:hAnsi="宋体"/>
          <w:bCs/>
          <w:color w:val="auto"/>
          <w:sz w:val="24"/>
          <w:szCs w:val="24"/>
          <w:highlight w:val="none"/>
          <w:u w:val="single"/>
        </w:rPr>
        <w:t xml:space="preserve">                                                                           </w:t>
      </w:r>
    </w:p>
    <w:p w14:paraId="0E4F358C">
      <w:pPr>
        <w:pStyle w:val="14"/>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68BDBDB5">
      <w:pPr>
        <w:pStyle w:val="14"/>
        <w:spacing w:line="360" w:lineRule="auto"/>
        <w:ind w:left="25" w:leftChars="12" w:firstLine="472" w:firstLineChars="197"/>
        <w:rPr>
          <w:rFonts w:hAnsi="宋体"/>
          <w:color w:val="auto"/>
          <w:sz w:val="24"/>
          <w:szCs w:val="24"/>
          <w:highlight w:val="none"/>
        </w:rPr>
      </w:pPr>
      <w:r>
        <w:rPr>
          <w:rFonts w:hint="eastAsia" w:hAnsi="宋体"/>
          <w:bCs/>
          <w:color w:val="auto"/>
          <w:sz w:val="24"/>
          <w:szCs w:val="24"/>
          <w:highlight w:val="none"/>
          <w:u w:val="single"/>
        </w:rPr>
        <w:t xml:space="preserve">                                                                                        </w:t>
      </w:r>
    </w:p>
    <w:p w14:paraId="314B98C7">
      <w:pPr>
        <w:pStyle w:val="14"/>
        <w:spacing w:line="360" w:lineRule="auto"/>
        <w:ind w:firstLine="480" w:firstLineChars="200"/>
        <w:rPr>
          <w:rFonts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1E08210">
      <w:pPr>
        <w:pStyle w:val="14"/>
        <w:spacing w:line="360" w:lineRule="auto"/>
        <w:ind w:left="25" w:leftChars="12" w:firstLine="352" w:firstLineChars="147"/>
        <w:rPr>
          <w:rFonts w:hAnsi="宋体"/>
          <w:bCs/>
          <w:color w:val="auto"/>
          <w:sz w:val="24"/>
          <w:szCs w:val="24"/>
          <w:highlight w:val="none"/>
          <w:u w:val="single"/>
        </w:rPr>
      </w:pPr>
      <w:r>
        <w:rPr>
          <w:rFonts w:hint="eastAsia" w:hAnsi="宋体"/>
          <w:bCs/>
          <w:color w:val="auto"/>
          <w:sz w:val="24"/>
          <w:szCs w:val="24"/>
          <w:highlight w:val="none"/>
        </w:rPr>
        <w:t xml:space="preserve"> </w:t>
      </w:r>
      <w:r>
        <w:rPr>
          <w:rFonts w:hint="eastAsia" w:hAnsi="宋体"/>
          <w:bCs/>
          <w:color w:val="auto"/>
          <w:sz w:val="24"/>
          <w:szCs w:val="24"/>
          <w:highlight w:val="none"/>
          <w:u w:val="single"/>
        </w:rPr>
        <w:t xml:space="preserve">                                                                                        </w:t>
      </w:r>
    </w:p>
    <w:p w14:paraId="2E506973">
      <w:pPr>
        <w:pStyle w:val="14"/>
        <w:spacing w:line="360" w:lineRule="auto"/>
        <w:ind w:left="25" w:leftChars="12" w:firstLine="472" w:firstLineChars="197"/>
        <w:rPr>
          <w:rFonts w:hAnsi="宋体"/>
          <w:bCs/>
          <w:color w:val="auto"/>
          <w:sz w:val="24"/>
          <w:szCs w:val="24"/>
          <w:highlight w:val="none"/>
        </w:rPr>
      </w:pPr>
      <w:r>
        <w:rPr>
          <w:rFonts w:hint="eastAsia" w:hAnsi="宋体"/>
          <w:color w:val="auto"/>
          <w:sz w:val="24"/>
          <w:szCs w:val="24"/>
          <w:highlight w:val="none"/>
        </w:rPr>
        <w:t xml:space="preserve">投诉事项2  </w:t>
      </w:r>
      <w:r>
        <w:rPr>
          <w:rFonts w:hint="eastAsia" w:hAnsi="宋体"/>
          <w:bCs/>
          <w:color w:val="auto"/>
          <w:sz w:val="24"/>
          <w:szCs w:val="24"/>
          <w:highlight w:val="none"/>
        </w:rPr>
        <w:t xml:space="preserve">   </w:t>
      </w:r>
    </w:p>
    <w:p w14:paraId="14DDB8D4">
      <w:pPr>
        <w:pStyle w:val="14"/>
        <w:spacing w:line="360" w:lineRule="auto"/>
        <w:ind w:left="25" w:leftChars="12" w:firstLine="472" w:firstLineChars="197"/>
        <w:rPr>
          <w:rFonts w:hAnsi="宋体"/>
          <w:bCs/>
          <w:color w:val="auto"/>
          <w:sz w:val="24"/>
          <w:szCs w:val="24"/>
          <w:highlight w:val="none"/>
        </w:rPr>
      </w:pPr>
      <w:r>
        <w:rPr>
          <w:rFonts w:hAnsi="宋体"/>
          <w:bCs/>
          <w:color w:val="auto"/>
          <w:sz w:val="24"/>
          <w:szCs w:val="24"/>
          <w:highlight w:val="none"/>
        </w:rPr>
        <w:t>……</w:t>
      </w:r>
    </w:p>
    <w:p w14:paraId="11219CFA">
      <w:pPr>
        <w:pStyle w:val="14"/>
        <w:spacing w:line="360" w:lineRule="auto"/>
        <w:ind w:left="25" w:leftChars="12" w:firstLine="472" w:firstLineChars="196"/>
        <w:rPr>
          <w:rFonts w:hAnsi="宋体"/>
          <w:b/>
          <w:color w:val="auto"/>
          <w:sz w:val="24"/>
          <w:szCs w:val="24"/>
          <w:highlight w:val="none"/>
        </w:rPr>
      </w:pPr>
      <w:r>
        <w:rPr>
          <w:rFonts w:hint="eastAsia" w:hAnsi="宋体"/>
          <w:b/>
          <w:color w:val="auto"/>
          <w:sz w:val="24"/>
          <w:szCs w:val="24"/>
          <w:highlight w:val="none"/>
        </w:rPr>
        <w:t>五、与投诉事项相关的投诉请求：</w:t>
      </w:r>
    </w:p>
    <w:p w14:paraId="7C3BBB93">
      <w:pPr>
        <w:pStyle w:val="1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27A50A54">
      <w:pPr>
        <w:pStyle w:val="14"/>
        <w:spacing w:line="360" w:lineRule="auto"/>
        <w:ind w:left="25" w:leftChars="12" w:firstLine="352" w:firstLineChars="147"/>
        <w:rPr>
          <w:rFonts w:hAnsi="宋体"/>
          <w:color w:val="auto"/>
          <w:sz w:val="24"/>
          <w:szCs w:val="24"/>
          <w:highlight w:val="none"/>
        </w:rPr>
      </w:pPr>
    </w:p>
    <w:p w14:paraId="431F732C">
      <w:pPr>
        <w:pStyle w:val="1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签字（签章）：                                       公章：</w:t>
      </w:r>
    </w:p>
    <w:p w14:paraId="088A6121">
      <w:pPr>
        <w:pStyle w:val="14"/>
        <w:spacing w:line="360" w:lineRule="auto"/>
        <w:ind w:left="25" w:leftChars="12" w:firstLine="352" w:firstLineChars="147"/>
        <w:rPr>
          <w:rFonts w:hAnsi="宋体"/>
          <w:color w:val="auto"/>
          <w:sz w:val="24"/>
          <w:szCs w:val="24"/>
          <w:highlight w:val="none"/>
        </w:rPr>
      </w:pPr>
    </w:p>
    <w:p w14:paraId="6812B42B">
      <w:pPr>
        <w:pStyle w:val="14"/>
        <w:spacing w:line="360" w:lineRule="auto"/>
        <w:ind w:left="25" w:leftChars="12" w:firstLine="472" w:firstLineChars="197"/>
        <w:rPr>
          <w:rFonts w:hAnsi="宋体"/>
          <w:color w:val="auto"/>
          <w:sz w:val="24"/>
          <w:szCs w:val="24"/>
          <w:highlight w:val="none"/>
        </w:rPr>
      </w:pPr>
      <w:r>
        <w:rPr>
          <w:rFonts w:hint="eastAsia" w:hAnsi="宋体"/>
          <w:color w:val="auto"/>
          <w:sz w:val="24"/>
          <w:szCs w:val="24"/>
          <w:highlight w:val="none"/>
        </w:rPr>
        <w:t>日期：</w:t>
      </w:r>
    </w:p>
    <w:p w14:paraId="432835C1">
      <w:pPr>
        <w:pStyle w:val="14"/>
        <w:spacing w:line="360" w:lineRule="auto"/>
        <w:ind w:left="25" w:leftChars="12" w:firstLine="472" w:firstLineChars="197"/>
        <w:rPr>
          <w:rFonts w:hAnsi="宋体"/>
          <w:b/>
          <w:color w:val="auto"/>
          <w:sz w:val="24"/>
          <w:szCs w:val="24"/>
          <w:highlight w:val="none"/>
        </w:rPr>
      </w:pPr>
      <w:r>
        <w:rPr>
          <w:rFonts w:hint="eastAsia" w:hAnsi="宋体"/>
          <w:bCs/>
          <w:color w:val="auto"/>
          <w:sz w:val="24"/>
          <w:szCs w:val="24"/>
          <w:highlight w:val="none"/>
        </w:rPr>
        <w:t xml:space="preserve">                                                                                 </w:t>
      </w:r>
    </w:p>
    <w:p w14:paraId="6598F843">
      <w:pPr>
        <w:pStyle w:val="14"/>
        <w:snapToGrid w:val="0"/>
        <w:spacing w:line="360" w:lineRule="auto"/>
        <w:rPr>
          <w:rFonts w:hAnsi="宋体"/>
          <w:b/>
          <w:color w:val="auto"/>
          <w:sz w:val="24"/>
          <w:szCs w:val="24"/>
          <w:highlight w:val="none"/>
        </w:rPr>
      </w:pPr>
      <w:r>
        <w:rPr>
          <w:rFonts w:hint="eastAsia" w:hAnsi="宋体"/>
          <w:b/>
          <w:color w:val="auto"/>
          <w:sz w:val="24"/>
          <w:szCs w:val="24"/>
          <w:highlight w:val="none"/>
        </w:rPr>
        <w:t>说明：</w:t>
      </w:r>
    </w:p>
    <w:p w14:paraId="7474B27F">
      <w:pPr>
        <w:pStyle w:val="14"/>
        <w:spacing w:line="360" w:lineRule="auto"/>
        <w:ind w:left="25" w:leftChars="12" w:firstLine="354" w:firstLineChars="147"/>
        <w:rPr>
          <w:rFonts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59B26FB6">
      <w:pPr>
        <w:pStyle w:val="14"/>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9F75894">
      <w:pPr>
        <w:pStyle w:val="14"/>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41301977">
      <w:pPr>
        <w:pStyle w:val="14"/>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6500E185">
      <w:pPr>
        <w:pStyle w:val="14"/>
        <w:spacing w:line="360" w:lineRule="auto"/>
        <w:ind w:left="25" w:leftChars="12" w:firstLine="354" w:firstLineChars="147"/>
        <w:rPr>
          <w:rFonts w:hAnsi="宋体"/>
          <w:b/>
          <w:color w:val="auto"/>
          <w:sz w:val="24"/>
          <w:szCs w:val="24"/>
          <w:highlight w:val="none"/>
        </w:rPr>
      </w:pPr>
      <w:r>
        <w:rPr>
          <w:rFonts w:hint="eastAsia" w:hAnsi="宋体"/>
          <w:b/>
          <w:color w:val="auto"/>
          <w:sz w:val="24"/>
          <w:szCs w:val="24"/>
          <w:highlight w:val="none"/>
        </w:rPr>
        <w:t>5.投诉书的投诉请求应与投诉事项相关。</w:t>
      </w:r>
    </w:p>
    <w:p w14:paraId="717FBCF1">
      <w:pPr>
        <w:pStyle w:val="14"/>
        <w:spacing w:line="360" w:lineRule="auto"/>
        <w:ind w:left="25" w:leftChars="12" w:firstLine="354" w:firstLineChars="147"/>
        <w:rPr>
          <w:rFonts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26D00BC6">
      <w:pPr>
        <w:pStyle w:val="2"/>
        <w:jc w:val="center"/>
        <w:rPr>
          <w:color w:val="auto"/>
          <w:highlight w:val="none"/>
        </w:rPr>
      </w:pPr>
      <w:bookmarkStart w:id="89" w:name="_Toc74323461"/>
      <w:r>
        <w:rPr>
          <w:rFonts w:hint="eastAsia"/>
          <w:color w:val="auto"/>
          <w:highlight w:val="none"/>
        </w:rPr>
        <w:t>第六章 合同文本</w:t>
      </w:r>
      <w:bookmarkEnd w:id="89"/>
    </w:p>
    <w:p w14:paraId="0298A63F">
      <w:pPr>
        <w:snapToGrid w:val="0"/>
        <w:spacing w:line="360" w:lineRule="auto"/>
        <w:ind w:right="480" w:firstLine="5250" w:firstLineChars="2500"/>
        <w:rPr>
          <w:rFonts w:ascii="宋体" w:hAnsi="宋体"/>
          <w:bCs/>
          <w:color w:val="auto"/>
          <w:szCs w:val="21"/>
          <w:highlight w:val="none"/>
          <w:u w:val="single"/>
        </w:rPr>
      </w:pPr>
      <w:r>
        <w:rPr>
          <w:rFonts w:hint="eastAsia" w:ascii="宋体" w:hAnsi="宋体"/>
          <w:bCs/>
          <w:color w:val="auto"/>
          <w:szCs w:val="21"/>
          <w:highlight w:val="none"/>
        </w:rPr>
        <w:t>合同编号：</w:t>
      </w:r>
    </w:p>
    <w:p w14:paraId="4FAEE50D">
      <w:pPr>
        <w:snapToGrid w:val="0"/>
        <w:spacing w:line="360" w:lineRule="auto"/>
        <w:rPr>
          <w:rFonts w:ascii="宋体" w:hAnsi="宋体"/>
          <w:color w:val="auto"/>
          <w:szCs w:val="21"/>
          <w:highlight w:val="none"/>
        </w:rPr>
      </w:pPr>
    </w:p>
    <w:p w14:paraId="7BB77DFD">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采购人（甲方）：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C4916F7">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p>
    <w:p w14:paraId="0FC79F38">
      <w:pPr>
        <w:snapToGrid w:val="0"/>
        <w:spacing w:line="360" w:lineRule="auto"/>
        <w:rPr>
          <w:rFonts w:ascii="宋体" w:hAnsi="宋体"/>
          <w:color w:val="auto"/>
          <w:szCs w:val="21"/>
          <w:highlight w:val="none"/>
        </w:rPr>
      </w:pP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12DA430D">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项目编号：</w:t>
      </w:r>
      <w:r>
        <w:rPr>
          <w:rFonts w:hint="eastAsia" w:ascii="宋体" w:hAnsi="宋体"/>
          <w:color w:val="auto"/>
          <w:szCs w:val="21"/>
          <w:highlight w:val="none"/>
          <w:u w:val="single"/>
        </w:rPr>
        <w:t xml:space="preserve">                       </w:t>
      </w:r>
    </w:p>
    <w:p w14:paraId="33C0CCC4">
      <w:pPr>
        <w:snapToGrid w:val="0"/>
        <w:spacing w:line="360" w:lineRule="auto"/>
        <w:rPr>
          <w:rFonts w:ascii="宋体" w:hAnsi="宋体"/>
          <w:color w:val="auto"/>
          <w:highlight w:val="none"/>
        </w:rPr>
      </w:pPr>
      <w:r>
        <w:rPr>
          <w:rFonts w:hint="eastAsia" w:ascii="宋体" w:hAnsi="宋体"/>
          <w:color w:val="auto"/>
          <w:szCs w:val="21"/>
          <w:highlight w:val="none"/>
        </w:rPr>
        <w:t>合同</w:t>
      </w:r>
      <w:r>
        <w:rPr>
          <w:rFonts w:hint="eastAsia" w:ascii="宋体" w:hAnsi="宋体"/>
          <w:color w:val="auto"/>
          <w:highlight w:val="none"/>
        </w:rPr>
        <w:t>类型：</w:t>
      </w:r>
      <w:r>
        <w:rPr>
          <w:rFonts w:hint="eastAsia" w:ascii="宋体" w:hAnsi="宋体"/>
          <w:color w:val="auto"/>
          <w:highlight w:val="none"/>
          <w:u w:val="single"/>
        </w:rPr>
        <w:t xml:space="preserve">      </w:t>
      </w:r>
      <w:r>
        <w:rPr>
          <w:rFonts w:hint="eastAsia" w:ascii="宋体" w:hAnsi="宋体"/>
          <w:color w:val="auto"/>
          <w:highlight w:val="none"/>
        </w:rPr>
        <w:t>合同</w:t>
      </w:r>
    </w:p>
    <w:p w14:paraId="3E20CA3C">
      <w:pPr>
        <w:spacing w:line="360" w:lineRule="auto"/>
        <w:rPr>
          <w:rFonts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i/>
          <w:color w:val="auto"/>
          <w:szCs w:val="21"/>
          <w:highlight w:val="none"/>
          <w:u w:val="single"/>
        </w:rPr>
        <w:t>（是/否）</w:t>
      </w:r>
      <w:r>
        <w:rPr>
          <w:rFonts w:hint="eastAsia" w:ascii="宋体" w:hAnsi="宋体" w:cs="宋体"/>
          <w:color w:val="auto"/>
          <w:szCs w:val="21"/>
          <w:highlight w:val="none"/>
        </w:rPr>
        <w:t>。</w:t>
      </w:r>
    </w:p>
    <w:p w14:paraId="0A34CC42">
      <w:pPr>
        <w:spacing w:line="360" w:lineRule="auto"/>
        <w:rPr>
          <w:rFonts w:ascii="宋体" w:hAnsi="宋体"/>
          <w:color w:val="auto"/>
          <w:kern w:val="0"/>
          <w:sz w:val="24"/>
          <w:highlight w:val="none"/>
        </w:rPr>
      </w:pPr>
    </w:p>
    <w:p w14:paraId="4B18DCF5">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根据《中华人民共和国政府采购法》《中华人民共和国民法典》等法律法规规定，按照采购文件规定条款和乙方竞标（竞标）承诺，甲乙双方签订本合同。</w:t>
      </w:r>
    </w:p>
    <w:p w14:paraId="4BDA3123">
      <w:pPr>
        <w:numPr>
          <w:ilvl w:val="0"/>
          <w:numId w:val="2"/>
        </w:num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合同标的</w:t>
      </w:r>
    </w:p>
    <w:p w14:paraId="268ADA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1.标的名称：</w:t>
      </w:r>
    </w:p>
    <w:p w14:paraId="0B119C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2.服务内容：</w:t>
      </w:r>
    </w:p>
    <w:p w14:paraId="0A3375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3.成交金额总价：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3C674155">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4.合同金额包括但不限于</w:t>
      </w:r>
    </w:p>
    <w:p w14:paraId="4034E7E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 服务的价格； </w:t>
      </w:r>
    </w:p>
    <w:p w14:paraId="1A593DE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 必要的保险费用和各项税金； </w:t>
      </w:r>
    </w:p>
    <w:p w14:paraId="45CD9BE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 其他 (如运输、劳务、管理、代理服务、现场验收等费用) 。 </w:t>
      </w:r>
    </w:p>
    <w:p w14:paraId="14EF4A2B">
      <w:pPr>
        <w:spacing w:line="360" w:lineRule="auto"/>
        <w:ind w:firstLine="420" w:firstLineChars="200"/>
        <w:jc w:val="left"/>
        <w:rPr>
          <w:color w:val="auto"/>
          <w:highlight w:val="none"/>
        </w:rPr>
      </w:pPr>
      <w:r>
        <w:rPr>
          <w:rFonts w:hint="eastAsia" w:ascii="宋体" w:hAnsi="宋体" w:cs="宋体"/>
          <w:color w:val="auto"/>
          <w:szCs w:val="21"/>
          <w:highlight w:val="none"/>
        </w:rPr>
        <w:t>(4) 与本项目服务业务有关一切费用和政策性文件规定及合同包含的所有风险、责任等全部费用。</w:t>
      </w:r>
    </w:p>
    <w:p w14:paraId="242D3C64">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第二条　质量保证</w:t>
      </w:r>
    </w:p>
    <w:p w14:paraId="734F68A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1334A29C">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第三条　权利保证</w:t>
      </w:r>
    </w:p>
    <w:p w14:paraId="114E0CD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保证所提供服务在使用时不会侵犯任何第三方的专利权、商标权、工业设计权等知识产权及其他合法权利，且所有权、处分权等没有受到任何限制，否则，由乙方对外承担侵权责任；该侵权行为造成甲方损失的，乙方还应当赔偿甲方的损失。</w:t>
      </w:r>
    </w:p>
    <w:p w14:paraId="460A4FFD">
      <w:pPr>
        <w:snapToGrid w:val="0"/>
        <w:spacing w:line="360" w:lineRule="auto"/>
        <w:ind w:firstLine="420" w:firstLineChars="200"/>
        <w:rPr>
          <w:rFonts w:hint="eastAsia" w:ascii="宋体" w:hAnsi="宋体" w:eastAsia="宋体" w:cs="宋体"/>
          <w:color w:val="auto"/>
          <w:szCs w:val="21"/>
          <w:highlight w:val="none"/>
          <w:lang w:eastAsia="zh-CN"/>
        </w:rPr>
      </w:pPr>
    </w:p>
    <w:p w14:paraId="434860A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4EC1C2A1">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第四条　交付和验收</w:t>
      </w:r>
    </w:p>
    <w:p w14:paraId="1564D6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1.服务</w:t>
      </w:r>
      <w:r>
        <w:rPr>
          <w:rFonts w:hint="eastAsia" w:ascii="宋体" w:hAnsi="宋体" w:cs="宋体"/>
          <w:color w:val="auto"/>
          <w:szCs w:val="21"/>
          <w:highlight w:val="none"/>
          <w:lang w:eastAsia="zh-CN"/>
        </w:rPr>
        <w:t>周期</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，单场活动服务地点：</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w:t>
      </w:r>
    </w:p>
    <w:p w14:paraId="0451C3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color w:val="auto"/>
          <w:highlight w:val="none"/>
        </w:rPr>
        <w:t xml:space="preserve"> 每场活动服务结束后10个工作日内，提交含文档材料、照片视频整理材料等给</w:t>
      </w:r>
      <w:r>
        <w:rPr>
          <w:rFonts w:hint="eastAsia"/>
          <w:color w:val="auto"/>
          <w:highlight w:val="none"/>
          <w:lang w:eastAsia="zh-CN"/>
        </w:rPr>
        <w:t>甲方</w:t>
      </w:r>
      <w:r>
        <w:rPr>
          <w:rFonts w:hint="eastAsia"/>
          <w:color w:val="auto"/>
          <w:highlight w:val="none"/>
        </w:rPr>
        <w:t>。</w:t>
      </w:r>
    </w:p>
    <w:p w14:paraId="003A098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3.乙方应按响应文件的承诺向甲方提供相应的服务，并提供所服务内容的相关技术资料。</w:t>
      </w:r>
    </w:p>
    <w:p w14:paraId="722213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4.乙方提供不符合响应文件和本合同规定的服务成果，甲方有权拒绝接受。</w:t>
      </w:r>
    </w:p>
    <w:p w14:paraId="315CFB8C">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5.验收标准</w:t>
      </w:r>
    </w:p>
    <w:p w14:paraId="4F9853B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（1）乙方应对提交的服务成果作出全面检查和整理，并列出清单，按活动场次提交服务成果清单，作为甲方验收和使用的技术条件依据。全部服务完成后，根据验收要求提交合同验收清单交给甲方。</w:t>
      </w:r>
    </w:p>
    <w:p w14:paraId="36E7A6E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（2）验收过程中所产生的一切费用均由乙方承担，以活动实际产生的费用和台账为准，报价时应考虑相关费用。</w:t>
      </w:r>
    </w:p>
    <w:p w14:paraId="188C271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（3）合同条款有约定按其约定。</w:t>
      </w:r>
    </w:p>
    <w:p w14:paraId="52A6FFF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（4）本项目采购标的需执行的国家相关标准、行业标准、地方标准或其他强制性标准、规范等要求。</w:t>
      </w:r>
    </w:p>
    <w:p w14:paraId="668C0328">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第五条  服务承诺</w:t>
      </w:r>
    </w:p>
    <w:p w14:paraId="41A2262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1、乙方应按照国家有关法律法规和本合同所附的《服务承诺》要求为甲方提供相应的服务。</w:t>
      </w:r>
    </w:p>
    <w:p w14:paraId="53D8D5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2、甲方应提供必要条件（如场地、电源、水源等）。</w:t>
      </w:r>
    </w:p>
    <w:p w14:paraId="0D569AB7">
      <w:pPr>
        <w:snapToGrid w:val="0"/>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第六条　付款方式</w:t>
      </w:r>
    </w:p>
    <w:p w14:paraId="4ACB73D0">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本项目合同签订后，按财政国库集中支付程序申请资金到位后5个工作日内支付合同总价的40%作为预付款</w:t>
      </w:r>
      <w:r>
        <w:rPr>
          <w:rFonts w:ascii="宋体" w:hAnsi="宋体" w:cs="宋体"/>
          <w:color w:val="auto"/>
          <w:szCs w:val="21"/>
          <w:highlight w:val="none"/>
        </w:rPr>
        <w:t>，</w:t>
      </w:r>
      <w:r>
        <w:rPr>
          <w:rFonts w:hint="eastAsia" w:ascii="宋体" w:hAnsi="宋体" w:cs="宋体"/>
          <w:color w:val="auto"/>
          <w:szCs w:val="21"/>
          <w:highlight w:val="none"/>
        </w:rPr>
        <w:t>完成</w:t>
      </w:r>
      <w:r>
        <w:rPr>
          <w:rFonts w:ascii="宋体" w:hAnsi="宋体" w:cs="宋体"/>
          <w:color w:val="auto"/>
          <w:szCs w:val="21"/>
          <w:highlight w:val="none"/>
        </w:rPr>
        <w:t>与</w:t>
      </w:r>
      <w:r>
        <w:rPr>
          <w:rFonts w:hint="eastAsia"/>
          <w:color w:val="auto"/>
          <w:highlight w:val="none"/>
          <w:lang w:eastAsia="zh-CN"/>
        </w:rPr>
        <w:t>甲方</w:t>
      </w:r>
      <w:r>
        <w:rPr>
          <w:rFonts w:ascii="宋体" w:hAnsi="宋体" w:cs="宋体"/>
          <w:color w:val="auto"/>
          <w:szCs w:val="21"/>
          <w:highlight w:val="none"/>
        </w:rPr>
        <w:t>核实确认后的半年宣传活动</w:t>
      </w:r>
      <w:r>
        <w:rPr>
          <w:rFonts w:hint="eastAsia" w:ascii="宋体" w:hAnsi="宋体" w:cs="宋体"/>
          <w:color w:val="auto"/>
          <w:szCs w:val="21"/>
          <w:highlight w:val="none"/>
        </w:rPr>
        <w:t>任务后支付合同总价的30%进度款，项目通过验收并</w:t>
      </w:r>
      <w:r>
        <w:rPr>
          <w:rFonts w:ascii="宋体" w:hAnsi="宋体" w:cs="宋体"/>
          <w:color w:val="auto"/>
          <w:szCs w:val="21"/>
          <w:highlight w:val="none"/>
        </w:rPr>
        <w:t>提交</w:t>
      </w:r>
      <w:r>
        <w:rPr>
          <w:rFonts w:hint="eastAsia" w:ascii="宋体" w:hAnsi="宋体" w:cs="宋体"/>
          <w:color w:val="auto"/>
          <w:szCs w:val="21"/>
          <w:highlight w:val="none"/>
        </w:rPr>
        <w:t>全年</w:t>
      </w:r>
      <w:r>
        <w:rPr>
          <w:rFonts w:ascii="宋体" w:hAnsi="宋体" w:cs="宋体"/>
          <w:color w:val="auto"/>
          <w:szCs w:val="21"/>
          <w:highlight w:val="none"/>
        </w:rPr>
        <w:t>服务成果清单</w:t>
      </w:r>
      <w:r>
        <w:rPr>
          <w:rFonts w:hint="eastAsia" w:ascii="宋体" w:hAnsi="宋体" w:cs="宋体"/>
          <w:color w:val="auto"/>
          <w:szCs w:val="21"/>
          <w:highlight w:val="none"/>
        </w:rPr>
        <w:t>后支付合同总价的30%</w:t>
      </w:r>
      <w:r>
        <w:rPr>
          <w:rFonts w:ascii="宋体" w:hAnsi="宋体" w:cs="宋体"/>
          <w:color w:val="auto"/>
          <w:szCs w:val="21"/>
          <w:highlight w:val="none"/>
        </w:rPr>
        <w:t>。</w:t>
      </w:r>
    </w:p>
    <w:p w14:paraId="45A43EC7">
      <w:pPr>
        <w:spacing w:line="360" w:lineRule="auto"/>
        <w:ind w:firstLine="420" w:firstLineChars="200"/>
        <w:rPr>
          <w:rFonts w:ascii="宋体" w:hAnsi="宋体" w:cs="宋体"/>
          <w:bCs/>
          <w:color w:val="auto"/>
          <w:szCs w:val="21"/>
          <w:highlight w:val="none"/>
        </w:rPr>
      </w:pPr>
      <w:r>
        <w:rPr>
          <w:rFonts w:ascii="宋体" w:hAnsi="宋体" w:cs="宋体"/>
          <w:color w:val="auto"/>
          <w:szCs w:val="21"/>
          <w:highlight w:val="none"/>
        </w:rPr>
        <w:t>每场活动结束，</w:t>
      </w:r>
      <w:r>
        <w:rPr>
          <w:rFonts w:hint="eastAsia" w:ascii="宋体" w:hAnsi="宋体" w:cs="宋体"/>
          <w:color w:val="auto"/>
          <w:szCs w:val="21"/>
          <w:highlight w:val="none"/>
          <w:lang w:eastAsia="zh-CN"/>
        </w:rPr>
        <w:t>乙方</w:t>
      </w:r>
      <w:r>
        <w:rPr>
          <w:rFonts w:ascii="宋体" w:hAnsi="宋体" w:cs="宋体"/>
          <w:color w:val="auto"/>
          <w:szCs w:val="21"/>
          <w:highlight w:val="none"/>
        </w:rPr>
        <w:t>提交服务成果清单</w:t>
      </w:r>
      <w:r>
        <w:rPr>
          <w:rFonts w:hint="eastAsia" w:ascii="宋体" w:hAnsi="宋体" w:cs="宋体"/>
          <w:color w:val="auto"/>
          <w:szCs w:val="21"/>
          <w:highlight w:val="none"/>
        </w:rPr>
        <w:t>经</w:t>
      </w:r>
      <w:r>
        <w:rPr>
          <w:rFonts w:hint="eastAsia" w:ascii="宋体" w:hAnsi="宋体" w:cs="宋体"/>
          <w:color w:val="auto"/>
          <w:szCs w:val="21"/>
          <w:highlight w:val="none"/>
          <w:lang w:eastAsia="zh-CN"/>
        </w:rPr>
        <w:t>甲方</w:t>
      </w:r>
      <w:r>
        <w:rPr>
          <w:rFonts w:hint="eastAsia" w:ascii="宋体" w:hAnsi="宋体" w:cs="宋体"/>
          <w:color w:val="auto"/>
          <w:szCs w:val="21"/>
          <w:highlight w:val="none"/>
        </w:rPr>
        <w:t>核实</w:t>
      </w:r>
      <w:r>
        <w:rPr>
          <w:rFonts w:ascii="宋体" w:hAnsi="宋体" w:cs="宋体"/>
          <w:color w:val="auto"/>
          <w:szCs w:val="21"/>
          <w:highlight w:val="none"/>
        </w:rPr>
        <w:t>后，按实际发生费用结算该场活动费用（需提供结算清单及有效发票），实际结算总金额不超过服务总金额。</w:t>
      </w:r>
    </w:p>
    <w:p w14:paraId="2B0B9199">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第七条  税费</w:t>
      </w:r>
    </w:p>
    <w:p w14:paraId="2991C4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本合同执行中相关的一切税费均由乙方负担，合同另有约定的除外。</w:t>
      </w:r>
    </w:p>
    <w:p w14:paraId="58206A4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第八条　违约责任</w:t>
      </w:r>
    </w:p>
    <w:p w14:paraId="415C5DFD">
      <w:pPr>
        <w:snapToGrid w:val="0"/>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1、除不可抗力原因外，乙方没有按照合同规定的时间提供服务的，甲方可要求乙方支付违约金。每推迟一天按合同金额的3‰支付违约金，该违约金累计不超过合同金额的10%。</w:t>
      </w:r>
      <w:r>
        <w:rPr>
          <w:rFonts w:hint="eastAsia" w:ascii="宋体" w:hAnsi="宋体" w:cs="宋体"/>
          <w:color w:val="auto"/>
          <w:szCs w:val="21"/>
          <w:highlight w:val="none"/>
        </w:rPr>
        <w:t xml:space="preserve">                                  </w:t>
      </w:r>
    </w:p>
    <w:p w14:paraId="7B44BB9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2、乙方提供的服务如侵犯了第三方合法权益而引发的任何纠纷或者诉讼，均由乙方负责交涉并承担全部责任，包括但不限于甲方因此而支出的律师费、诉讼费、差旅费等一切费用。</w:t>
      </w:r>
    </w:p>
    <w:p w14:paraId="3AC6F5BB">
      <w:pPr>
        <w:snapToGrid w:val="0"/>
        <w:spacing w:line="360" w:lineRule="auto"/>
        <w:ind w:firstLine="420" w:firstLineChars="200"/>
        <w:rPr>
          <w:rFonts w:ascii="宋体" w:hAnsi="宋体" w:cs="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、甲方延期付款的，每天向乙方偿付延期款额3‰违约金，但违约金累计不得超过延期款额5%，乙方未按照约定提供结算清单及发票的，甲方有权顺延付款时间而不视为违约。</w:t>
      </w:r>
    </w:p>
    <w:p w14:paraId="5CDB4273">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第九条  不可抗力事件处理</w:t>
      </w:r>
    </w:p>
    <w:p w14:paraId="26451A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1、在合同有效期内，任何一方因不可抗力事件导致不能履行合同，则合同履行期可延长，其延长期与不可抗力影响期相同。</w:t>
      </w:r>
    </w:p>
    <w:p w14:paraId="0A8AD7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2、不可抗力事件发生后，应立即通知对方，并寄送有关权威机构出具的证明。</w:t>
      </w:r>
    </w:p>
    <w:p w14:paraId="5B53DD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3、不可抗力事件延续一百二十天以上，双方应通过友好协商，确定是否继续履行合同。</w:t>
      </w:r>
    </w:p>
    <w:p w14:paraId="798EC814">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第十条  合同争议解决</w:t>
      </w:r>
    </w:p>
    <w:p w14:paraId="2FDE2BB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1、因服务质量问题发生争议的，应邀请国家认可的质量检测机构进行鉴定。服务符合标准的，鉴定费由甲方承担；服务不符合标准的，鉴定费由乙方承担。</w:t>
      </w:r>
    </w:p>
    <w:p w14:paraId="4A7B070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2、因履行本合同引起的或者与本合同有关的争议，甲乙双方应首先通过友好协商解决，如果协商不能解决，可向甲方所在地有管辖权人民法院提起诉讼。</w:t>
      </w:r>
    </w:p>
    <w:p w14:paraId="33C46D3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3、诉讼期间，本合同继续履行。</w:t>
      </w:r>
    </w:p>
    <w:p w14:paraId="176379B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第十一条  合同生效及其它</w:t>
      </w:r>
    </w:p>
    <w:p w14:paraId="4530C9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1、合同经双方法定代表人或者授权代表签字并加盖单位公章后生效（委托代理人签字的需后附授权委托书，格式自拟）。</w:t>
      </w:r>
    </w:p>
    <w:p w14:paraId="746882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2、合同执行中涉及采购资金和采购内容修改或者补充的，须经采购部门审批，并签书面补充协议报采购单位备案，方可作为主合同不可分割的一部分。</w:t>
      </w:r>
    </w:p>
    <w:p w14:paraId="6632BB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3、本合同未尽事宜，遵照《中华人民共和国民法典》有关条文执行。</w:t>
      </w:r>
    </w:p>
    <w:p w14:paraId="54E3CB84">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第十二条　合同的变更、终止与转让</w:t>
      </w:r>
    </w:p>
    <w:p w14:paraId="06A008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1、除《中华人民共和国政府采购法》第五十条规定的情形外，本合同一经签订，甲乙双方不得擅自变更、中止或者终止。</w:t>
      </w:r>
    </w:p>
    <w:p w14:paraId="2AA8BE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2、乙方不得擅自转让其应履行的合同义务。</w:t>
      </w:r>
    </w:p>
    <w:p w14:paraId="10D352D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第十三条　签订本合同依据</w:t>
      </w:r>
    </w:p>
    <w:p w14:paraId="131BA5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成交通知书</w:t>
      </w:r>
      <w:r>
        <w:rPr>
          <w:rFonts w:hint="eastAsia" w:ascii="宋体" w:hAnsi="宋体" w:cs="宋体"/>
          <w:color w:val="auto"/>
          <w:szCs w:val="21"/>
          <w:highlight w:val="none"/>
        </w:rPr>
        <w:t>；</w:t>
      </w:r>
    </w:p>
    <w:p w14:paraId="16A74E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2、竞标报价表；</w:t>
      </w:r>
    </w:p>
    <w:p w14:paraId="11101F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3、商务要求偏离表和服务需求偏离表；</w:t>
      </w:r>
    </w:p>
    <w:p w14:paraId="0BEC7CD7">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、服务方案；</w:t>
      </w:r>
    </w:p>
    <w:p w14:paraId="7074F0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5、响应文件中的其他相关文件。</w:t>
      </w:r>
    </w:p>
    <w:p w14:paraId="7CB0D18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、上述合同文件互相补充和解释。如果合同文件之间存在矛盾或者不一致之处，以上述文件的排列顺序在先者为准。</w:t>
      </w:r>
    </w:p>
    <w:p w14:paraId="3F78A2A1">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第十四条　</w:t>
      </w:r>
      <w:r>
        <w:rPr>
          <w:rFonts w:hint="eastAsia" w:ascii="宋体" w:hAnsi="宋体" w:cs="宋体"/>
          <w:color w:val="auto"/>
          <w:szCs w:val="21"/>
          <w:highlight w:val="none"/>
        </w:rPr>
        <w:t>本合同一式三份，具有同等法律效力，采购代理机构一份，甲乙双方各一份（可根据需要另增加）。</w:t>
      </w:r>
    </w:p>
    <w:p w14:paraId="6F6B67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本合同自签订之日起2个工作日内，甲方应当将采购合同在广西壮族自治区财政厅指定的媒体上公告。</w:t>
      </w:r>
    </w:p>
    <w:tbl>
      <w:tblPr>
        <w:tblStyle w:val="25"/>
        <w:tblpPr w:leftFromText="180" w:rightFromText="180" w:vertAnchor="text" w:horzAnchor="margin" w:tblpX="1"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4583"/>
      </w:tblGrid>
      <w:tr w14:paraId="61FC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0" w:hRule="atLeast"/>
        </w:trPr>
        <w:tc>
          <w:tcPr>
            <w:tcW w:w="4582" w:type="dxa"/>
            <w:tcBorders>
              <w:top w:val="single" w:color="auto" w:sz="4" w:space="0"/>
              <w:left w:val="single" w:color="auto" w:sz="4" w:space="0"/>
              <w:bottom w:val="single" w:color="auto" w:sz="4" w:space="0"/>
              <w:right w:val="single" w:color="auto" w:sz="4" w:space="0"/>
            </w:tcBorders>
            <w:noWrap/>
            <w:vAlign w:val="center"/>
          </w:tcPr>
          <w:p w14:paraId="0F5BD55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甲方：（章）</w:t>
            </w:r>
          </w:p>
          <w:p w14:paraId="311CD147">
            <w:pPr>
              <w:snapToGrid w:val="0"/>
              <w:spacing w:line="360" w:lineRule="auto"/>
              <w:rPr>
                <w:rFonts w:ascii="宋体" w:hAnsi="宋体" w:cs="宋体"/>
                <w:color w:val="auto"/>
                <w:szCs w:val="21"/>
                <w:highlight w:val="none"/>
              </w:rPr>
            </w:pPr>
          </w:p>
          <w:p w14:paraId="0BF3B788">
            <w:pPr>
              <w:snapToGrid w:val="0"/>
              <w:spacing w:line="360" w:lineRule="auto"/>
              <w:rPr>
                <w:rFonts w:ascii="宋体" w:hAnsi="宋体" w:cs="宋体"/>
                <w:color w:val="auto"/>
                <w:szCs w:val="21"/>
                <w:highlight w:val="none"/>
              </w:rPr>
            </w:pPr>
          </w:p>
          <w:p w14:paraId="2421E611">
            <w:pPr>
              <w:snapToGrid w:val="0"/>
              <w:spacing w:line="360" w:lineRule="auto"/>
              <w:ind w:firstLine="945" w:firstLineChars="450"/>
              <w:jc w:val="right"/>
              <w:rPr>
                <w:rFonts w:ascii="宋体" w:hAnsi="宋体" w:cs="宋体"/>
                <w:color w:val="auto"/>
                <w:szCs w:val="21"/>
                <w:highlight w:val="none"/>
              </w:rPr>
            </w:pPr>
          </w:p>
          <w:p w14:paraId="67D781EE">
            <w:pPr>
              <w:snapToGrid w:val="0"/>
              <w:spacing w:line="360" w:lineRule="auto"/>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583" w:type="dxa"/>
            <w:tcBorders>
              <w:top w:val="single" w:color="auto" w:sz="4" w:space="0"/>
              <w:left w:val="single" w:color="auto" w:sz="4" w:space="0"/>
              <w:bottom w:val="single" w:color="auto" w:sz="4" w:space="0"/>
              <w:right w:val="single" w:color="auto" w:sz="4" w:space="0"/>
            </w:tcBorders>
            <w:noWrap/>
            <w:vAlign w:val="center"/>
          </w:tcPr>
          <w:p w14:paraId="42368CF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乙方：（章）       </w:t>
            </w:r>
          </w:p>
          <w:p w14:paraId="76C1570C">
            <w:pPr>
              <w:snapToGrid w:val="0"/>
              <w:spacing w:line="360" w:lineRule="auto"/>
              <w:rPr>
                <w:rFonts w:ascii="宋体" w:hAnsi="宋体" w:cs="宋体"/>
                <w:color w:val="auto"/>
                <w:szCs w:val="21"/>
                <w:highlight w:val="none"/>
              </w:rPr>
            </w:pPr>
          </w:p>
          <w:p w14:paraId="0CF853D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w:t>
            </w:r>
          </w:p>
          <w:p w14:paraId="4329F215">
            <w:pPr>
              <w:snapToGrid w:val="0"/>
              <w:spacing w:line="360" w:lineRule="auto"/>
              <w:jc w:val="right"/>
              <w:rPr>
                <w:rFonts w:ascii="宋体" w:hAnsi="宋体" w:cs="宋体"/>
                <w:color w:val="auto"/>
                <w:szCs w:val="21"/>
                <w:highlight w:val="none"/>
              </w:rPr>
            </w:pPr>
          </w:p>
          <w:p w14:paraId="2AAA914D">
            <w:pPr>
              <w:snapToGrid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7A7A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ign w:val="center"/>
          </w:tcPr>
          <w:p w14:paraId="63D146EE">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单位地址：</w:t>
            </w:r>
            <w:r>
              <w:rPr>
                <w:rFonts w:ascii="宋体" w:hAnsi="宋体" w:cs="宋体"/>
                <w:color w:val="auto"/>
                <w:szCs w:val="21"/>
                <w:highlight w:val="none"/>
              </w:rPr>
              <w:t xml:space="preserve"> </w:t>
            </w:r>
          </w:p>
        </w:tc>
        <w:tc>
          <w:tcPr>
            <w:tcW w:w="4583" w:type="dxa"/>
            <w:tcBorders>
              <w:top w:val="single" w:color="auto" w:sz="4" w:space="0"/>
              <w:left w:val="single" w:color="auto" w:sz="4" w:space="0"/>
              <w:bottom w:val="single" w:color="auto" w:sz="4" w:space="0"/>
              <w:right w:val="single" w:color="auto" w:sz="4" w:space="0"/>
            </w:tcBorders>
            <w:noWrap/>
            <w:vAlign w:val="center"/>
          </w:tcPr>
          <w:p w14:paraId="3C300D0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单位地址： </w:t>
            </w:r>
          </w:p>
        </w:tc>
      </w:tr>
      <w:tr w14:paraId="4E10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ign w:val="center"/>
          </w:tcPr>
          <w:p w14:paraId="411CCA6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c>
          <w:tcPr>
            <w:tcW w:w="4583" w:type="dxa"/>
            <w:tcBorders>
              <w:top w:val="single" w:color="auto" w:sz="4" w:space="0"/>
              <w:left w:val="single" w:color="auto" w:sz="4" w:space="0"/>
              <w:bottom w:val="single" w:color="auto" w:sz="4" w:space="0"/>
              <w:right w:val="single" w:color="auto" w:sz="4" w:space="0"/>
            </w:tcBorders>
            <w:noWrap/>
            <w:vAlign w:val="center"/>
          </w:tcPr>
          <w:p w14:paraId="5FB51E5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w:t>
            </w:r>
          </w:p>
        </w:tc>
      </w:tr>
      <w:tr w14:paraId="2882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ign w:val="center"/>
          </w:tcPr>
          <w:p w14:paraId="322DE4C3">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p>
        </w:tc>
        <w:tc>
          <w:tcPr>
            <w:tcW w:w="4583" w:type="dxa"/>
            <w:tcBorders>
              <w:top w:val="single" w:color="auto" w:sz="4" w:space="0"/>
              <w:left w:val="single" w:color="auto" w:sz="4" w:space="0"/>
              <w:bottom w:val="single" w:color="auto" w:sz="4" w:space="0"/>
              <w:right w:val="single" w:color="auto" w:sz="4" w:space="0"/>
            </w:tcBorders>
            <w:noWrap/>
            <w:vAlign w:val="center"/>
          </w:tcPr>
          <w:p w14:paraId="395705B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委托代理人：</w:t>
            </w:r>
          </w:p>
        </w:tc>
      </w:tr>
      <w:tr w14:paraId="7F75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ign w:val="center"/>
          </w:tcPr>
          <w:p w14:paraId="0E5499E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c>
          <w:tcPr>
            <w:tcW w:w="4583" w:type="dxa"/>
            <w:tcBorders>
              <w:top w:val="single" w:color="auto" w:sz="4" w:space="0"/>
              <w:left w:val="single" w:color="auto" w:sz="4" w:space="0"/>
              <w:bottom w:val="single" w:color="auto" w:sz="4" w:space="0"/>
              <w:right w:val="single" w:color="auto" w:sz="4" w:space="0"/>
            </w:tcBorders>
            <w:noWrap/>
            <w:vAlign w:val="center"/>
          </w:tcPr>
          <w:p w14:paraId="3172C3B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r>
      <w:tr w14:paraId="1B8B6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ign w:val="center"/>
          </w:tcPr>
          <w:p w14:paraId="4B04C3B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c>
          <w:tcPr>
            <w:tcW w:w="4583" w:type="dxa"/>
            <w:tcBorders>
              <w:top w:val="single" w:color="auto" w:sz="4" w:space="0"/>
              <w:left w:val="single" w:color="auto" w:sz="4" w:space="0"/>
              <w:bottom w:val="single" w:color="auto" w:sz="4" w:space="0"/>
              <w:right w:val="single" w:color="auto" w:sz="4" w:space="0"/>
            </w:tcBorders>
            <w:noWrap/>
            <w:vAlign w:val="center"/>
          </w:tcPr>
          <w:p w14:paraId="5A67B1F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开户银行： </w:t>
            </w:r>
          </w:p>
        </w:tc>
      </w:tr>
      <w:tr w14:paraId="6CD1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ign w:val="center"/>
          </w:tcPr>
          <w:p w14:paraId="41E2633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c>
          <w:tcPr>
            <w:tcW w:w="4583" w:type="dxa"/>
            <w:tcBorders>
              <w:top w:val="single" w:color="auto" w:sz="4" w:space="0"/>
              <w:left w:val="single" w:color="auto" w:sz="4" w:space="0"/>
              <w:bottom w:val="single" w:color="auto" w:sz="4" w:space="0"/>
              <w:right w:val="single" w:color="auto" w:sz="4" w:space="0"/>
            </w:tcBorders>
            <w:noWrap/>
            <w:vAlign w:val="center"/>
          </w:tcPr>
          <w:p w14:paraId="0291E03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r>
      <w:tr w14:paraId="68F32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ign w:val="center"/>
          </w:tcPr>
          <w:p w14:paraId="3E08CED6">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c>
          <w:tcPr>
            <w:tcW w:w="4583" w:type="dxa"/>
            <w:tcBorders>
              <w:top w:val="single" w:color="auto" w:sz="4" w:space="0"/>
              <w:left w:val="single" w:color="auto" w:sz="4" w:space="0"/>
              <w:bottom w:val="single" w:color="auto" w:sz="4" w:space="0"/>
              <w:right w:val="single" w:color="auto" w:sz="4" w:space="0"/>
            </w:tcBorders>
            <w:noWrap/>
            <w:vAlign w:val="center"/>
          </w:tcPr>
          <w:p w14:paraId="063DF9A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邮政编码：</w:t>
            </w:r>
          </w:p>
        </w:tc>
      </w:tr>
    </w:tbl>
    <w:p w14:paraId="68FE26AD">
      <w:pPr>
        <w:snapToGrid w:val="0"/>
        <w:spacing w:line="360" w:lineRule="auto"/>
        <w:rPr>
          <w:rFonts w:ascii="宋体" w:hAnsi="宋体" w:cs="Courier New"/>
          <w:b/>
          <w:color w:val="auto"/>
          <w:szCs w:val="21"/>
          <w:highlight w:val="none"/>
        </w:rPr>
      </w:pPr>
    </w:p>
    <w:p w14:paraId="57619799">
      <w:pPr>
        <w:jc w:val="center"/>
        <w:rPr>
          <w:rFonts w:ascii="宋体" w:hAnsi="宋体"/>
          <w:color w:val="auto"/>
          <w:szCs w:val="21"/>
          <w:highlight w:val="none"/>
        </w:rPr>
      </w:pPr>
    </w:p>
    <w:p w14:paraId="5538B99F">
      <w:pPr>
        <w:snapToGrid w:val="0"/>
        <w:spacing w:line="360" w:lineRule="auto"/>
        <w:jc w:val="center"/>
        <w:rPr>
          <w:rFonts w:ascii="宋体" w:hAnsi="宋体"/>
          <w:b/>
          <w:color w:val="auto"/>
          <w:szCs w:val="21"/>
          <w:highlight w:val="none"/>
        </w:rPr>
      </w:pPr>
      <w:r>
        <w:rPr>
          <w:rFonts w:ascii="宋体" w:hAnsi="宋体"/>
          <w:b/>
          <w:color w:val="auto"/>
          <w:szCs w:val="21"/>
          <w:highlight w:val="none"/>
        </w:rPr>
        <w:br w:type="page"/>
      </w:r>
      <w:r>
        <w:rPr>
          <w:rFonts w:hint="eastAsia" w:ascii="宋体" w:hAnsi="宋体"/>
          <w:b/>
          <w:color w:val="auto"/>
          <w:szCs w:val="21"/>
          <w:highlight w:val="none"/>
        </w:rPr>
        <w:t>合 同 附 件</w:t>
      </w:r>
    </w:p>
    <w:p w14:paraId="70ECED16">
      <w:pPr>
        <w:snapToGrid w:val="0"/>
        <w:spacing w:line="360" w:lineRule="auto"/>
        <w:rPr>
          <w:rFonts w:ascii="宋体" w:hAnsi="宋体"/>
          <w:color w:val="auto"/>
          <w:szCs w:val="21"/>
          <w:highlight w:val="none"/>
        </w:rPr>
      </w:pPr>
      <w:r>
        <w:rPr>
          <w:rFonts w:hint="eastAsia" w:ascii="宋体" w:hAnsi="宋体"/>
          <w:color w:val="auto"/>
          <w:szCs w:val="21"/>
          <w:highlight w:val="none"/>
        </w:rPr>
        <w:t>一般服务类</w:t>
      </w:r>
    </w:p>
    <w:tbl>
      <w:tblPr>
        <w:tblStyle w:val="25"/>
        <w:tblW w:w="0" w:type="auto"/>
        <w:jc w:val="center"/>
        <w:tblLayout w:type="fixed"/>
        <w:tblCellMar>
          <w:top w:w="0" w:type="dxa"/>
          <w:left w:w="108" w:type="dxa"/>
          <w:bottom w:w="0" w:type="dxa"/>
          <w:right w:w="108" w:type="dxa"/>
        </w:tblCellMar>
      </w:tblPr>
      <w:tblGrid>
        <w:gridCol w:w="4248"/>
        <w:gridCol w:w="4274"/>
      </w:tblGrid>
      <w:tr w14:paraId="35E968D2">
        <w:tblPrEx>
          <w:tblCellMar>
            <w:top w:w="0" w:type="dxa"/>
            <w:left w:w="108" w:type="dxa"/>
            <w:bottom w:w="0" w:type="dxa"/>
            <w:right w:w="108" w:type="dxa"/>
          </w:tblCellMar>
        </w:tblPrEx>
        <w:trPr>
          <w:trHeight w:val="1226" w:hRule="atLeast"/>
          <w:jc w:val="center"/>
        </w:trPr>
        <w:tc>
          <w:tcPr>
            <w:tcW w:w="8522" w:type="dxa"/>
            <w:gridSpan w:val="2"/>
            <w:tcBorders>
              <w:top w:val="single" w:color="auto" w:sz="4" w:space="0"/>
              <w:left w:val="single" w:color="auto" w:sz="4" w:space="0"/>
              <w:right w:val="single" w:color="auto" w:sz="4" w:space="0"/>
            </w:tcBorders>
            <w:noWrap/>
          </w:tcPr>
          <w:p w14:paraId="1A75691E">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1. 供应商承诺具体事项：</w:t>
            </w:r>
          </w:p>
        </w:tc>
      </w:tr>
      <w:tr w14:paraId="20684259">
        <w:tblPrEx>
          <w:tblCellMar>
            <w:top w:w="0" w:type="dxa"/>
            <w:left w:w="108" w:type="dxa"/>
            <w:bottom w:w="0" w:type="dxa"/>
            <w:right w:w="108" w:type="dxa"/>
          </w:tblCellMar>
        </w:tblPrEx>
        <w:trPr>
          <w:trHeight w:val="1228" w:hRule="atLeast"/>
          <w:jc w:val="center"/>
        </w:trPr>
        <w:tc>
          <w:tcPr>
            <w:tcW w:w="8522" w:type="dxa"/>
            <w:gridSpan w:val="2"/>
            <w:tcBorders>
              <w:top w:val="single" w:color="auto" w:sz="4" w:space="0"/>
              <w:left w:val="single" w:color="auto" w:sz="4" w:space="0"/>
              <w:right w:val="single" w:color="auto" w:sz="4" w:space="0"/>
            </w:tcBorders>
            <w:noWrap/>
          </w:tcPr>
          <w:p w14:paraId="2367A32F">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 售后服务具体事项：</w:t>
            </w:r>
          </w:p>
        </w:tc>
      </w:tr>
      <w:tr w14:paraId="2411B8E3">
        <w:tblPrEx>
          <w:tblCellMar>
            <w:top w:w="0" w:type="dxa"/>
            <w:left w:w="108" w:type="dxa"/>
            <w:bottom w:w="0" w:type="dxa"/>
            <w:right w:w="108" w:type="dxa"/>
          </w:tblCellMar>
        </w:tblPrEx>
        <w:trPr>
          <w:trHeight w:val="1088" w:hRule="atLeast"/>
          <w:jc w:val="center"/>
        </w:trPr>
        <w:tc>
          <w:tcPr>
            <w:tcW w:w="8522" w:type="dxa"/>
            <w:gridSpan w:val="2"/>
            <w:tcBorders>
              <w:top w:val="single" w:color="auto" w:sz="4" w:space="0"/>
              <w:left w:val="single" w:color="auto" w:sz="4" w:space="0"/>
              <w:right w:val="single" w:color="auto" w:sz="4" w:space="0"/>
            </w:tcBorders>
            <w:noWrap/>
          </w:tcPr>
          <w:p w14:paraId="74D32134">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 质保期责任：</w:t>
            </w:r>
          </w:p>
        </w:tc>
      </w:tr>
      <w:tr w14:paraId="6393A4A9">
        <w:tblPrEx>
          <w:tblCellMar>
            <w:top w:w="0" w:type="dxa"/>
            <w:left w:w="108" w:type="dxa"/>
            <w:bottom w:w="0" w:type="dxa"/>
            <w:right w:w="108" w:type="dxa"/>
          </w:tblCellMar>
        </w:tblPrEx>
        <w:trPr>
          <w:trHeight w:val="1360" w:hRule="atLeast"/>
          <w:jc w:val="center"/>
        </w:trPr>
        <w:tc>
          <w:tcPr>
            <w:tcW w:w="8522" w:type="dxa"/>
            <w:gridSpan w:val="2"/>
            <w:tcBorders>
              <w:top w:val="single" w:color="auto" w:sz="4" w:space="0"/>
              <w:left w:val="single" w:color="auto" w:sz="4" w:space="0"/>
              <w:right w:val="single" w:color="auto" w:sz="4" w:space="0"/>
            </w:tcBorders>
            <w:noWrap/>
          </w:tcPr>
          <w:p w14:paraId="7ADDD247">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4. 其他具体事项：</w:t>
            </w:r>
          </w:p>
        </w:tc>
      </w:tr>
      <w:tr w14:paraId="4ADC3E79">
        <w:tblPrEx>
          <w:tblCellMar>
            <w:top w:w="0" w:type="dxa"/>
            <w:left w:w="108" w:type="dxa"/>
            <w:bottom w:w="0" w:type="dxa"/>
            <w:right w:w="108" w:type="dxa"/>
          </w:tblCellMar>
        </w:tblPrEx>
        <w:trPr>
          <w:trHeight w:val="1703" w:hRule="atLeast"/>
          <w:jc w:val="center"/>
        </w:trPr>
        <w:tc>
          <w:tcPr>
            <w:tcW w:w="4248" w:type="dxa"/>
            <w:tcBorders>
              <w:top w:val="single" w:color="auto" w:sz="4" w:space="0"/>
              <w:left w:val="single" w:color="auto" w:sz="4" w:space="0"/>
              <w:bottom w:val="single" w:color="auto" w:sz="4" w:space="0"/>
              <w:right w:val="single" w:color="auto" w:sz="4" w:space="0"/>
            </w:tcBorders>
            <w:noWrap/>
            <w:vAlign w:val="center"/>
          </w:tcPr>
          <w:p w14:paraId="2A388DB7">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甲方（章）</w:t>
            </w:r>
          </w:p>
          <w:p w14:paraId="72DD5F17">
            <w:pPr>
              <w:snapToGrid w:val="0"/>
              <w:spacing w:line="360" w:lineRule="auto"/>
              <w:ind w:firstLine="422" w:firstLineChars="200"/>
              <w:rPr>
                <w:rFonts w:ascii="宋体" w:hAnsi="宋体"/>
                <w:b/>
                <w:color w:val="auto"/>
                <w:szCs w:val="21"/>
                <w:highlight w:val="none"/>
              </w:rPr>
            </w:pPr>
          </w:p>
          <w:p w14:paraId="4A15ACA0">
            <w:pPr>
              <w:snapToGrid w:val="0"/>
              <w:spacing w:line="360" w:lineRule="auto"/>
              <w:rPr>
                <w:rFonts w:ascii="宋体" w:hAnsi="宋体"/>
                <w:b/>
                <w:color w:val="auto"/>
                <w:szCs w:val="21"/>
                <w:highlight w:val="none"/>
              </w:rPr>
            </w:pPr>
          </w:p>
          <w:p w14:paraId="021D3059">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 xml:space="preserve">                 年   月   日 </w:t>
            </w:r>
          </w:p>
        </w:tc>
        <w:tc>
          <w:tcPr>
            <w:tcW w:w="4274" w:type="dxa"/>
            <w:tcBorders>
              <w:top w:val="single" w:color="auto" w:sz="4" w:space="0"/>
              <w:left w:val="single" w:color="auto" w:sz="4" w:space="0"/>
              <w:bottom w:val="single" w:color="auto" w:sz="4" w:space="0"/>
              <w:right w:val="single" w:color="auto" w:sz="4" w:space="0"/>
            </w:tcBorders>
            <w:noWrap/>
            <w:vAlign w:val="center"/>
          </w:tcPr>
          <w:p w14:paraId="7AA30359">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乙方（章）</w:t>
            </w:r>
          </w:p>
          <w:p w14:paraId="3A9DFDB2">
            <w:pPr>
              <w:snapToGrid w:val="0"/>
              <w:spacing w:line="360" w:lineRule="auto"/>
              <w:ind w:firstLine="422" w:firstLineChars="200"/>
              <w:rPr>
                <w:rFonts w:ascii="宋体" w:hAnsi="宋体"/>
                <w:b/>
                <w:color w:val="auto"/>
                <w:szCs w:val="21"/>
                <w:highlight w:val="none"/>
              </w:rPr>
            </w:pPr>
          </w:p>
          <w:p w14:paraId="18BDACFA">
            <w:pPr>
              <w:snapToGrid w:val="0"/>
              <w:spacing w:line="360" w:lineRule="auto"/>
              <w:rPr>
                <w:rFonts w:ascii="宋体" w:hAnsi="宋体"/>
                <w:b/>
                <w:color w:val="auto"/>
                <w:szCs w:val="21"/>
                <w:highlight w:val="none"/>
              </w:rPr>
            </w:pPr>
          </w:p>
          <w:p w14:paraId="7716CE04">
            <w:pPr>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 xml:space="preserve">                年   月   日</w:t>
            </w:r>
          </w:p>
        </w:tc>
      </w:tr>
    </w:tbl>
    <w:p w14:paraId="375EB78B">
      <w:pPr>
        <w:snapToGrid w:val="0"/>
        <w:spacing w:line="360" w:lineRule="auto"/>
        <w:jc w:val="left"/>
        <w:rPr>
          <w:rFonts w:ascii="宋体" w:hAnsi="宋体"/>
          <w:color w:val="auto"/>
          <w:szCs w:val="21"/>
          <w:highlight w:val="none"/>
        </w:rPr>
      </w:pPr>
      <w:r>
        <w:rPr>
          <w:rFonts w:hint="eastAsia" w:ascii="宋体" w:hAnsi="宋体"/>
          <w:color w:val="auto"/>
          <w:szCs w:val="21"/>
          <w:highlight w:val="none"/>
        </w:rPr>
        <w:t xml:space="preserve">   注：售后服务事项填不下时可另加附页</w:t>
      </w:r>
    </w:p>
    <w:p w14:paraId="1402F86E">
      <w:pPr>
        <w:spacing w:line="520" w:lineRule="exact"/>
        <w:rPr>
          <w:rFonts w:ascii="宋体" w:hAnsi="宋体" w:cs="宋体"/>
          <w:color w:val="auto"/>
          <w:sz w:val="6"/>
          <w:szCs w:val="6"/>
          <w:highlight w:val="none"/>
        </w:rPr>
      </w:pPr>
    </w:p>
    <w:p w14:paraId="4A79A532">
      <w:pPr>
        <w:spacing w:line="520" w:lineRule="exact"/>
        <w:rPr>
          <w:rFonts w:ascii="宋体" w:hAnsi="宋体" w:cs="宋体"/>
          <w:color w:val="auto"/>
          <w:sz w:val="6"/>
          <w:szCs w:val="6"/>
          <w:highlight w:val="none"/>
        </w:rPr>
      </w:pPr>
    </w:p>
    <w:p w14:paraId="0A6AAAD2">
      <w:pPr>
        <w:snapToGrid w:val="0"/>
        <w:spacing w:line="360" w:lineRule="exact"/>
        <w:rPr>
          <w:rFonts w:ascii="宋体" w:hAnsi="宋体" w:cs="宋体"/>
          <w:color w:val="auto"/>
          <w:sz w:val="6"/>
          <w:szCs w:val="6"/>
          <w:highlight w:val="none"/>
        </w:rPr>
      </w:pPr>
    </w:p>
    <w:sectPr>
      <w:pgSz w:w="11906" w:h="16838"/>
      <w:pgMar w:top="1440" w:right="1440" w:bottom="1440" w:left="158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14718">
    <w:pPr>
      <w:pStyle w:val="17"/>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FF208A0">
                          <w:pPr>
                            <w:pStyle w:val="17"/>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OOmM0BAACn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S2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M+OOmM0BAACnAwAADgAAAAAAAAABACAAAAAeAQAAZHJzL2Uy&#10;b0RvYy54bWxQSwUGAAAAAAYABgBZAQAAXQUAAAAA&#10;">
              <v:fill on="f" focussize="0,0"/>
              <v:stroke on="f"/>
              <v:imagedata o:title=""/>
              <o:lock v:ext="edit" aspectratio="f"/>
              <v:textbox inset="0mm,0mm,0mm,0mm" style="mso-fit-shape-to-text:t;">
                <w:txbxContent>
                  <w:p w14:paraId="3FF208A0">
                    <w:pPr>
                      <w:pStyle w:val="17"/>
                    </w:pPr>
                    <w:r>
                      <w:fldChar w:fldCharType="begin"/>
                    </w:r>
                    <w:r>
                      <w:instrText xml:space="preserve"> PAGE  \* MERGEFORMAT </w:instrText>
                    </w:r>
                    <w:r>
                      <w:fldChar w:fldCharType="separate"/>
                    </w:r>
                    <w:r>
                      <w:t>1</w:t>
                    </w:r>
                    <w:r>
                      <w:fldChar w:fldCharType="end"/>
                    </w:r>
                  </w:p>
                </w:txbxContent>
              </v:textbox>
            </v:shape>
          </w:pict>
        </mc:Fallback>
      </mc:AlternateContent>
    </w:r>
  </w:p>
  <w:p w14:paraId="78870C1D">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EFEF6">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93E0D">
    <w:pPr>
      <w:pStyle w:val="17"/>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25B1093"/>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BD/80BAACn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rzlzwtKDX75/u/z4dfn5la2S&#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tsBD/80BAACnAwAADgAAAAAAAAABACAAAAAeAQAAZHJzL2Uy&#10;b0RvYy54bWxQSwUGAAAAAAYABgBZAQAAXQUAAAAA&#10;">
              <v:fill on="f" focussize="0,0"/>
              <v:stroke on="f"/>
              <v:imagedata o:title=""/>
              <o:lock v:ext="edit" aspectratio="f"/>
              <v:textbox inset="0mm,0mm,0mm,0mm" style="mso-fit-shape-to-text:t;">
                <w:txbxContent>
                  <w:p w14:paraId="225B1093"/>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A2606">
    <w:pPr>
      <w:pStyle w:val="1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2F71176">
                          <w:pPr>
                            <w:pStyle w:val="17"/>
                            <w:jc w:val="center"/>
                          </w:pPr>
                          <w:r>
                            <w:fldChar w:fldCharType="begin"/>
                          </w:r>
                          <w:r>
                            <w:instrText xml:space="preserve"> PAGE  \* MERGEFORMAT </w:instrText>
                          </w:r>
                          <w:r>
                            <w:fldChar w:fldCharType="separate"/>
                          </w:r>
                          <w:r>
                            <w:t>61</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oqkz80BAACn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esk&#10;Tx+woqqHQHVxuPNDKp3iSMHEemjBpi/xYZQncc9XcdUQmUyX1qv1uqSUpNzsEE7xeD0AxrfKW5aM&#10;mgO9XhZVnN5jHEvnktTN+XttDMVFZdxfAcIcIyqvwHQ7MRknTlYc9sNEY++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0oqkz80BAACnAwAADgAAAAAAAAABACAAAAAeAQAAZHJzL2Uy&#10;b0RvYy54bWxQSwUGAAAAAAYABgBZAQAAXQUAAAAA&#10;">
              <v:fill on="f" focussize="0,0"/>
              <v:stroke on="f"/>
              <v:imagedata o:title=""/>
              <o:lock v:ext="edit" aspectratio="f"/>
              <v:textbox inset="0mm,0mm,0mm,0mm" style="mso-fit-shape-to-text:t;">
                <w:txbxContent>
                  <w:p w14:paraId="32F71176">
                    <w:pPr>
                      <w:pStyle w:val="17"/>
                      <w:jc w:val="center"/>
                    </w:pPr>
                    <w:r>
                      <w:fldChar w:fldCharType="begin"/>
                    </w:r>
                    <w:r>
                      <w:instrText xml:space="preserve"> PAGE  \* MERGEFORMAT </w:instrText>
                    </w:r>
                    <w:r>
                      <w:fldChar w:fldCharType="separate"/>
                    </w:r>
                    <w:r>
                      <w:t>61</w:t>
                    </w:r>
                    <w:r>
                      <w:fldChar w:fldCharType="end"/>
                    </w:r>
                  </w:p>
                </w:txbxContent>
              </v:textbox>
            </v:shape>
          </w:pict>
        </mc:Fallback>
      </mc:AlternateContent>
    </w:r>
  </w:p>
  <w:p w14:paraId="6F4CC561">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F3231">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FDFF32F">
                          <w:pPr>
                            <w:pStyle w:val="17"/>
                          </w:pPr>
                          <w:r>
                            <w:fldChar w:fldCharType="begin"/>
                          </w:r>
                          <w:r>
                            <w:instrText xml:space="preserve"> PAGE  \* MERGEFORMAT </w:instrText>
                          </w:r>
                          <w:r>
                            <w:fldChar w:fldCharType="separate"/>
                          </w:r>
                          <w:r>
                            <w:t>53</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Xo9Bs0BAACnAwAADgAAAGRycy9lMm9Eb2MueG1srVPNjtMwEL4j8Q6W&#10;7zRph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abmK86csPTgl+/fLj9+XX5+Za+T&#10;PH3AiqoeAtXF4c4PtDRzHCmYWA8t2PQlPozyJO75Kq4aIpPp0nq1XpeUkpSbHcIvHq8HwPhWecuS&#10;UXOg18uiitN7jGPpXJK6OX+vjckvaNxfAcIcIyqvwHQ7MRknTlYc9sNEb++bM7HraQ1q7mjrOTPv&#10;HKmcNmY2YDb2s3EMoA8dDbrMU2K4PUYaKU+aOoywxDA59H6Z67RraUH+9HPV4/+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Xo9Bs0BAACnAwAADgAAAAAAAAABACAAAAAeAQAAZHJzL2Uy&#10;b0RvYy54bWxQSwUGAAAAAAYABgBZAQAAXQUAAAAA&#10;">
              <v:fill on="f" focussize="0,0"/>
              <v:stroke on="f"/>
              <v:imagedata o:title=""/>
              <o:lock v:ext="edit" aspectratio="f"/>
              <v:textbox inset="0mm,0mm,0mm,0mm" style="mso-fit-shape-to-text:t;">
                <w:txbxContent>
                  <w:p w14:paraId="3FDFF32F">
                    <w:pPr>
                      <w:pStyle w:val="17"/>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73517">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56366">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6247F">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53795"/>
    <w:multiLevelType w:val="singleLevel"/>
    <w:tmpl w:val="A8653795"/>
    <w:lvl w:ilvl="0" w:tentative="0">
      <w:start w:val="1"/>
      <w:numFmt w:val="decimal"/>
      <w:lvlText w:val="%1."/>
      <w:lvlJc w:val="left"/>
      <w:pPr>
        <w:tabs>
          <w:tab w:val="left" w:pos="312"/>
        </w:tabs>
      </w:pPr>
    </w:lvl>
  </w:abstractNum>
  <w:abstractNum w:abstractNumId="1">
    <w:nsid w:val="423F070A"/>
    <w:multiLevelType w:val="singleLevel"/>
    <w:tmpl w:val="423F070A"/>
    <w:lvl w:ilvl="0" w:tentative="0">
      <w:start w:val="1"/>
      <w:numFmt w:val="chineseCounting"/>
      <w:suff w:val="nothing"/>
      <w:lvlText w:val="第%1条　"/>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1YWM5ZTI0M2EyMWFkNzg5ZDdiNGFiYjhlNzU3NGMifQ=="/>
  </w:docVars>
  <w:rsids>
    <w:rsidRoot w:val="00172A27"/>
    <w:rsid w:val="000002E0"/>
    <w:rsid w:val="00000672"/>
    <w:rsid w:val="00001013"/>
    <w:rsid w:val="0000144E"/>
    <w:rsid w:val="00001799"/>
    <w:rsid w:val="00001AF2"/>
    <w:rsid w:val="00001E31"/>
    <w:rsid w:val="00001ECA"/>
    <w:rsid w:val="00002D29"/>
    <w:rsid w:val="0000320F"/>
    <w:rsid w:val="00003B93"/>
    <w:rsid w:val="0000474D"/>
    <w:rsid w:val="00005FDF"/>
    <w:rsid w:val="0000644A"/>
    <w:rsid w:val="000070B3"/>
    <w:rsid w:val="000076B8"/>
    <w:rsid w:val="000109DC"/>
    <w:rsid w:val="00010D39"/>
    <w:rsid w:val="0001172C"/>
    <w:rsid w:val="00011BC9"/>
    <w:rsid w:val="00012854"/>
    <w:rsid w:val="00012EA6"/>
    <w:rsid w:val="00013359"/>
    <w:rsid w:val="000139CF"/>
    <w:rsid w:val="00013AA4"/>
    <w:rsid w:val="00013DFE"/>
    <w:rsid w:val="000141EA"/>
    <w:rsid w:val="0001570A"/>
    <w:rsid w:val="00016ABC"/>
    <w:rsid w:val="000177DB"/>
    <w:rsid w:val="000179C9"/>
    <w:rsid w:val="00017CCC"/>
    <w:rsid w:val="00020227"/>
    <w:rsid w:val="00020263"/>
    <w:rsid w:val="00020455"/>
    <w:rsid w:val="00020813"/>
    <w:rsid w:val="000215D0"/>
    <w:rsid w:val="000220B2"/>
    <w:rsid w:val="0002264C"/>
    <w:rsid w:val="00022731"/>
    <w:rsid w:val="00022792"/>
    <w:rsid w:val="0002329E"/>
    <w:rsid w:val="00024463"/>
    <w:rsid w:val="00025461"/>
    <w:rsid w:val="00025636"/>
    <w:rsid w:val="00025E36"/>
    <w:rsid w:val="00026855"/>
    <w:rsid w:val="00026886"/>
    <w:rsid w:val="0002785D"/>
    <w:rsid w:val="00027E13"/>
    <w:rsid w:val="000307BE"/>
    <w:rsid w:val="00032049"/>
    <w:rsid w:val="000329E0"/>
    <w:rsid w:val="000352E9"/>
    <w:rsid w:val="00035494"/>
    <w:rsid w:val="00036125"/>
    <w:rsid w:val="00036A07"/>
    <w:rsid w:val="00036CC3"/>
    <w:rsid w:val="0003780B"/>
    <w:rsid w:val="00040571"/>
    <w:rsid w:val="00040973"/>
    <w:rsid w:val="0004156E"/>
    <w:rsid w:val="00041713"/>
    <w:rsid w:val="0004440C"/>
    <w:rsid w:val="00046B5E"/>
    <w:rsid w:val="000470CB"/>
    <w:rsid w:val="00047B3D"/>
    <w:rsid w:val="000509D9"/>
    <w:rsid w:val="000512AF"/>
    <w:rsid w:val="00051ACB"/>
    <w:rsid w:val="0005300E"/>
    <w:rsid w:val="000533E7"/>
    <w:rsid w:val="00055D41"/>
    <w:rsid w:val="00056EF6"/>
    <w:rsid w:val="00057CD6"/>
    <w:rsid w:val="00060DCE"/>
    <w:rsid w:val="000610E3"/>
    <w:rsid w:val="000614F3"/>
    <w:rsid w:val="000623B4"/>
    <w:rsid w:val="00062405"/>
    <w:rsid w:val="000634A7"/>
    <w:rsid w:val="00063B0B"/>
    <w:rsid w:val="00063F81"/>
    <w:rsid w:val="00064847"/>
    <w:rsid w:val="00065E08"/>
    <w:rsid w:val="000661A2"/>
    <w:rsid w:val="000673E2"/>
    <w:rsid w:val="00067EF1"/>
    <w:rsid w:val="000702A8"/>
    <w:rsid w:val="0007063F"/>
    <w:rsid w:val="000707FD"/>
    <w:rsid w:val="00070949"/>
    <w:rsid w:val="00070E1E"/>
    <w:rsid w:val="000711E4"/>
    <w:rsid w:val="00071E9B"/>
    <w:rsid w:val="000720A1"/>
    <w:rsid w:val="000724D9"/>
    <w:rsid w:val="00072AED"/>
    <w:rsid w:val="00073C46"/>
    <w:rsid w:val="00073F47"/>
    <w:rsid w:val="0007492F"/>
    <w:rsid w:val="00074BD6"/>
    <w:rsid w:val="00074ED8"/>
    <w:rsid w:val="00075B7E"/>
    <w:rsid w:val="0007642E"/>
    <w:rsid w:val="00077ACA"/>
    <w:rsid w:val="00077C70"/>
    <w:rsid w:val="000813B5"/>
    <w:rsid w:val="0008191E"/>
    <w:rsid w:val="00081BA3"/>
    <w:rsid w:val="00081BDC"/>
    <w:rsid w:val="00081D2E"/>
    <w:rsid w:val="00081F89"/>
    <w:rsid w:val="00082619"/>
    <w:rsid w:val="00082D02"/>
    <w:rsid w:val="0008381A"/>
    <w:rsid w:val="00083871"/>
    <w:rsid w:val="00083B91"/>
    <w:rsid w:val="00084347"/>
    <w:rsid w:val="0008473C"/>
    <w:rsid w:val="0008520B"/>
    <w:rsid w:val="000857DE"/>
    <w:rsid w:val="000860BD"/>
    <w:rsid w:val="000871B8"/>
    <w:rsid w:val="00087B0A"/>
    <w:rsid w:val="0009023D"/>
    <w:rsid w:val="00090D6E"/>
    <w:rsid w:val="000916DA"/>
    <w:rsid w:val="00091AAB"/>
    <w:rsid w:val="0009201C"/>
    <w:rsid w:val="00092442"/>
    <w:rsid w:val="000929EF"/>
    <w:rsid w:val="00092C26"/>
    <w:rsid w:val="000933BE"/>
    <w:rsid w:val="0009560F"/>
    <w:rsid w:val="0009588E"/>
    <w:rsid w:val="000959EE"/>
    <w:rsid w:val="00096DB9"/>
    <w:rsid w:val="00097183"/>
    <w:rsid w:val="000972CB"/>
    <w:rsid w:val="00097608"/>
    <w:rsid w:val="000A0433"/>
    <w:rsid w:val="000A0F35"/>
    <w:rsid w:val="000A1175"/>
    <w:rsid w:val="000A13F3"/>
    <w:rsid w:val="000A23B1"/>
    <w:rsid w:val="000A2B0E"/>
    <w:rsid w:val="000A398F"/>
    <w:rsid w:val="000A448C"/>
    <w:rsid w:val="000A4498"/>
    <w:rsid w:val="000A509C"/>
    <w:rsid w:val="000A54A7"/>
    <w:rsid w:val="000A5A17"/>
    <w:rsid w:val="000A6007"/>
    <w:rsid w:val="000A65A6"/>
    <w:rsid w:val="000A709C"/>
    <w:rsid w:val="000A70E3"/>
    <w:rsid w:val="000A7275"/>
    <w:rsid w:val="000A7964"/>
    <w:rsid w:val="000A7A12"/>
    <w:rsid w:val="000A7A72"/>
    <w:rsid w:val="000B0A03"/>
    <w:rsid w:val="000B1202"/>
    <w:rsid w:val="000B1801"/>
    <w:rsid w:val="000B1D0C"/>
    <w:rsid w:val="000B2273"/>
    <w:rsid w:val="000B2BC6"/>
    <w:rsid w:val="000B2D03"/>
    <w:rsid w:val="000B37F2"/>
    <w:rsid w:val="000B3815"/>
    <w:rsid w:val="000B3C7B"/>
    <w:rsid w:val="000B3E68"/>
    <w:rsid w:val="000B4321"/>
    <w:rsid w:val="000B46AA"/>
    <w:rsid w:val="000B69D3"/>
    <w:rsid w:val="000B6A6B"/>
    <w:rsid w:val="000B6C95"/>
    <w:rsid w:val="000B737E"/>
    <w:rsid w:val="000B79FC"/>
    <w:rsid w:val="000C1679"/>
    <w:rsid w:val="000C1EE3"/>
    <w:rsid w:val="000C3AE7"/>
    <w:rsid w:val="000C3CC9"/>
    <w:rsid w:val="000C59C6"/>
    <w:rsid w:val="000C5F62"/>
    <w:rsid w:val="000C6DE4"/>
    <w:rsid w:val="000C7202"/>
    <w:rsid w:val="000C79C4"/>
    <w:rsid w:val="000D0A89"/>
    <w:rsid w:val="000D1389"/>
    <w:rsid w:val="000D1798"/>
    <w:rsid w:val="000D2626"/>
    <w:rsid w:val="000D411D"/>
    <w:rsid w:val="000D4589"/>
    <w:rsid w:val="000D4809"/>
    <w:rsid w:val="000D73DD"/>
    <w:rsid w:val="000E1B27"/>
    <w:rsid w:val="000E1C51"/>
    <w:rsid w:val="000E28AB"/>
    <w:rsid w:val="000E2E3E"/>
    <w:rsid w:val="000E3583"/>
    <w:rsid w:val="000E3AF0"/>
    <w:rsid w:val="000E4E04"/>
    <w:rsid w:val="000E693B"/>
    <w:rsid w:val="000E6D5C"/>
    <w:rsid w:val="000E6EC9"/>
    <w:rsid w:val="000E70B4"/>
    <w:rsid w:val="000E7B62"/>
    <w:rsid w:val="000F01FF"/>
    <w:rsid w:val="000F0E1E"/>
    <w:rsid w:val="000F1A1B"/>
    <w:rsid w:val="000F2403"/>
    <w:rsid w:val="000F2A95"/>
    <w:rsid w:val="000F3281"/>
    <w:rsid w:val="000F32FD"/>
    <w:rsid w:val="000F3733"/>
    <w:rsid w:val="000F37B2"/>
    <w:rsid w:val="000F5CCC"/>
    <w:rsid w:val="000F5F8B"/>
    <w:rsid w:val="000F6153"/>
    <w:rsid w:val="000F64AA"/>
    <w:rsid w:val="000F7AF4"/>
    <w:rsid w:val="000F7C33"/>
    <w:rsid w:val="000F7F0C"/>
    <w:rsid w:val="001004D6"/>
    <w:rsid w:val="001010EC"/>
    <w:rsid w:val="00101D1B"/>
    <w:rsid w:val="00102676"/>
    <w:rsid w:val="00103646"/>
    <w:rsid w:val="00103918"/>
    <w:rsid w:val="00104897"/>
    <w:rsid w:val="00104EDE"/>
    <w:rsid w:val="00104F54"/>
    <w:rsid w:val="00105CDA"/>
    <w:rsid w:val="00106BEE"/>
    <w:rsid w:val="0010711C"/>
    <w:rsid w:val="00107368"/>
    <w:rsid w:val="00107BDF"/>
    <w:rsid w:val="00107C74"/>
    <w:rsid w:val="0011091C"/>
    <w:rsid w:val="00111266"/>
    <w:rsid w:val="001112EB"/>
    <w:rsid w:val="0011247D"/>
    <w:rsid w:val="00113678"/>
    <w:rsid w:val="00113A7D"/>
    <w:rsid w:val="00113C3E"/>
    <w:rsid w:val="00115E11"/>
    <w:rsid w:val="00115EEE"/>
    <w:rsid w:val="00115F56"/>
    <w:rsid w:val="00116CA9"/>
    <w:rsid w:val="00116F38"/>
    <w:rsid w:val="001170A4"/>
    <w:rsid w:val="00117AE7"/>
    <w:rsid w:val="00117B85"/>
    <w:rsid w:val="00117CBD"/>
    <w:rsid w:val="0012006A"/>
    <w:rsid w:val="00121979"/>
    <w:rsid w:val="00122064"/>
    <w:rsid w:val="00124341"/>
    <w:rsid w:val="00124492"/>
    <w:rsid w:val="00124B12"/>
    <w:rsid w:val="001250A0"/>
    <w:rsid w:val="001263B8"/>
    <w:rsid w:val="00130217"/>
    <w:rsid w:val="00130783"/>
    <w:rsid w:val="00130A47"/>
    <w:rsid w:val="00130FB0"/>
    <w:rsid w:val="00132B47"/>
    <w:rsid w:val="001337F8"/>
    <w:rsid w:val="001341FA"/>
    <w:rsid w:val="001348B4"/>
    <w:rsid w:val="001351CB"/>
    <w:rsid w:val="00135530"/>
    <w:rsid w:val="00135947"/>
    <w:rsid w:val="001359A2"/>
    <w:rsid w:val="00135F92"/>
    <w:rsid w:val="00136020"/>
    <w:rsid w:val="00136445"/>
    <w:rsid w:val="00136A9C"/>
    <w:rsid w:val="00137389"/>
    <w:rsid w:val="00140132"/>
    <w:rsid w:val="00141C9C"/>
    <w:rsid w:val="0014277F"/>
    <w:rsid w:val="001434BE"/>
    <w:rsid w:val="00143AAD"/>
    <w:rsid w:val="00144050"/>
    <w:rsid w:val="00144369"/>
    <w:rsid w:val="001444CE"/>
    <w:rsid w:val="0014479F"/>
    <w:rsid w:val="001452B4"/>
    <w:rsid w:val="00145320"/>
    <w:rsid w:val="00145463"/>
    <w:rsid w:val="00145C75"/>
    <w:rsid w:val="001476D3"/>
    <w:rsid w:val="001509CF"/>
    <w:rsid w:val="00150D1D"/>
    <w:rsid w:val="001525AA"/>
    <w:rsid w:val="00152A87"/>
    <w:rsid w:val="00152AC1"/>
    <w:rsid w:val="00153BB5"/>
    <w:rsid w:val="00154518"/>
    <w:rsid w:val="00156359"/>
    <w:rsid w:val="00156DD6"/>
    <w:rsid w:val="00157C6C"/>
    <w:rsid w:val="0016086E"/>
    <w:rsid w:val="001609B9"/>
    <w:rsid w:val="00160D0C"/>
    <w:rsid w:val="00160DD1"/>
    <w:rsid w:val="00161172"/>
    <w:rsid w:val="00161998"/>
    <w:rsid w:val="00161E65"/>
    <w:rsid w:val="00162597"/>
    <w:rsid w:val="001629AF"/>
    <w:rsid w:val="001629FD"/>
    <w:rsid w:val="0016428A"/>
    <w:rsid w:val="001647C9"/>
    <w:rsid w:val="00165627"/>
    <w:rsid w:val="001661A3"/>
    <w:rsid w:val="00167226"/>
    <w:rsid w:val="001672D4"/>
    <w:rsid w:val="0016782B"/>
    <w:rsid w:val="0016784D"/>
    <w:rsid w:val="00167853"/>
    <w:rsid w:val="00167887"/>
    <w:rsid w:val="00167C36"/>
    <w:rsid w:val="00167EB5"/>
    <w:rsid w:val="00172A27"/>
    <w:rsid w:val="00172CA8"/>
    <w:rsid w:val="00173256"/>
    <w:rsid w:val="00173B0E"/>
    <w:rsid w:val="00173E03"/>
    <w:rsid w:val="0017512C"/>
    <w:rsid w:val="001752EB"/>
    <w:rsid w:val="001756AF"/>
    <w:rsid w:val="0017586A"/>
    <w:rsid w:val="00175BA6"/>
    <w:rsid w:val="00176CA7"/>
    <w:rsid w:val="00176D0C"/>
    <w:rsid w:val="00176F8E"/>
    <w:rsid w:val="001778C5"/>
    <w:rsid w:val="00177E56"/>
    <w:rsid w:val="00177F0A"/>
    <w:rsid w:val="00180622"/>
    <w:rsid w:val="00180A97"/>
    <w:rsid w:val="00180D35"/>
    <w:rsid w:val="00180DA0"/>
    <w:rsid w:val="00181EAD"/>
    <w:rsid w:val="00182862"/>
    <w:rsid w:val="00183672"/>
    <w:rsid w:val="00184256"/>
    <w:rsid w:val="00184BC6"/>
    <w:rsid w:val="00184F57"/>
    <w:rsid w:val="00185091"/>
    <w:rsid w:val="00185544"/>
    <w:rsid w:val="00185617"/>
    <w:rsid w:val="001858A8"/>
    <w:rsid w:val="00186FE1"/>
    <w:rsid w:val="00187A14"/>
    <w:rsid w:val="0019171E"/>
    <w:rsid w:val="00192368"/>
    <w:rsid w:val="001923A0"/>
    <w:rsid w:val="001924F9"/>
    <w:rsid w:val="001928B1"/>
    <w:rsid w:val="00192ACA"/>
    <w:rsid w:val="00193537"/>
    <w:rsid w:val="00193846"/>
    <w:rsid w:val="00195424"/>
    <w:rsid w:val="001955FF"/>
    <w:rsid w:val="00196396"/>
    <w:rsid w:val="00196FC2"/>
    <w:rsid w:val="00197EDD"/>
    <w:rsid w:val="001A02B3"/>
    <w:rsid w:val="001A04BB"/>
    <w:rsid w:val="001A08D0"/>
    <w:rsid w:val="001A1B39"/>
    <w:rsid w:val="001A2120"/>
    <w:rsid w:val="001A28C6"/>
    <w:rsid w:val="001A2E69"/>
    <w:rsid w:val="001A3C34"/>
    <w:rsid w:val="001A3EDE"/>
    <w:rsid w:val="001A4222"/>
    <w:rsid w:val="001A50EA"/>
    <w:rsid w:val="001A5E24"/>
    <w:rsid w:val="001A661D"/>
    <w:rsid w:val="001A6795"/>
    <w:rsid w:val="001A69F8"/>
    <w:rsid w:val="001A6B27"/>
    <w:rsid w:val="001A6D8B"/>
    <w:rsid w:val="001A6DAA"/>
    <w:rsid w:val="001A7717"/>
    <w:rsid w:val="001A793A"/>
    <w:rsid w:val="001A7D3F"/>
    <w:rsid w:val="001B0CA7"/>
    <w:rsid w:val="001B125A"/>
    <w:rsid w:val="001B1EBA"/>
    <w:rsid w:val="001B2142"/>
    <w:rsid w:val="001B2F2B"/>
    <w:rsid w:val="001B327A"/>
    <w:rsid w:val="001B35DE"/>
    <w:rsid w:val="001B3A13"/>
    <w:rsid w:val="001B3F5C"/>
    <w:rsid w:val="001B5215"/>
    <w:rsid w:val="001B57C9"/>
    <w:rsid w:val="001B59FF"/>
    <w:rsid w:val="001B6512"/>
    <w:rsid w:val="001B65D7"/>
    <w:rsid w:val="001B6752"/>
    <w:rsid w:val="001B6768"/>
    <w:rsid w:val="001B6F1F"/>
    <w:rsid w:val="001B7ECC"/>
    <w:rsid w:val="001C025B"/>
    <w:rsid w:val="001C0AED"/>
    <w:rsid w:val="001C115F"/>
    <w:rsid w:val="001C1EAB"/>
    <w:rsid w:val="001C25A7"/>
    <w:rsid w:val="001C2775"/>
    <w:rsid w:val="001C318C"/>
    <w:rsid w:val="001C35C4"/>
    <w:rsid w:val="001C3B78"/>
    <w:rsid w:val="001C4287"/>
    <w:rsid w:val="001C4479"/>
    <w:rsid w:val="001C5190"/>
    <w:rsid w:val="001C6081"/>
    <w:rsid w:val="001C6E62"/>
    <w:rsid w:val="001C73EB"/>
    <w:rsid w:val="001C7B48"/>
    <w:rsid w:val="001C7DB5"/>
    <w:rsid w:val="001D0CFB"/>
    <w:rsid w:val="001D1A0D"/>
    <w:rsid w:val="001D23F7"/>
    <w:rsid w:val="001D343C"/>
    <w:rsid w:val="001D56E2"/>
    <w:rsid w:val="001D58A1"/>
    <w:rsid w:val="001D58C2"/>
    <w:rsid w:val="001D5A8A"/>
    <w:rsid w:val="001D61CA"/>
    <w:rsid w:val="001D6E87"/>
    <w:rsid w:val="001D735E"/>
    <w:rsid w:val="001D73C8"/>
    <w:rsid w:val="001D7BC6"/>
    <w:rsid w:val="001E0618"/>
    <w:rsid w:val="001E129E"/>
    <w:rsid w:val="001E175C"/>
    <w:rsid w:val="001E19BC"/>
    <w:rsid w:val="001E1B0E"/>
    <w:rsid w:val="001E3754"/>
    <w:rsid w:val="001E3B63"/>
    <w:rsid w:val="001E5A94"/>
    <w:rsid w:val="001E5E3B"/>
    <w:rsid w:val="001E6137"/>
    <w:rsid w:val="001F0CE0"/>
    <w:rsid w:val="001F13FD"/>
    <w:rsid w:val="001F2A2E"/>
    <w:rsid w:val="001F3356"/>
    <w:rsid w:val="001F3A01"/>
    <w:rsid w:val="001F3C63"/>
    <w:rsid w:val="001F4460"/>
    <w:rsid w:val="001F60C8"/>
    <w:rsid w:val="001F6C96"/>
    <w:rsid w:val="001F711A"/>
    <w:rsid w:val="001F75B0"/>
    <w:rsid w:val="0020057C"/>
    <w:rsid w:val="0020083C"/>
    <w:rsid w:val="00200CE5"/>
    <w:rsid w:val="00200F7C"/>
    <w:rsid w:val="002014DB"/>
    <w:rsid w:val="0020150B"/>
    <w:rsid w:val="00201E12"/>
    <w:rsid w:val="00202295"/>
    <w:rsid w:val="002033B5"/>
    <w:rsid w:val="0020382C"/>
    <w:rsid w:val="0020437A"/>
    <w:rsid w:val="0020454C"/>
    <w:rsid w:val="00204740"/>
    <w:rsid w:val="00204BE5"/>
    <w:rsid w:val="00205129"/>
    <w:rsid w:val="0020521F"/>
    <w:rsid w:val="0020532C"/>
    <w:rsid w:val="002069BA"/>
    <w:rsid w:val="00211093"/>
    <w:rsid w:val="002114C7"/>
    <w:rsid w:val="0021302C"/>
    <w:rsid w:val="00213B1C"/>
    <w:rsid w:val="00213F1E"/>
    <w:rsid w:val="00214202"/>
    <w:rsid w:val="002148E3"/>
    <w:rsid w:val="0021552D"/>
    <w:rsid w:val="002156AE"/>
    <w:rsid w:val="00215E99"/>
    <w:rsid w:val="0022054D"/>
    <w:rsid w:val="0022107B"/>
    <w:rsid w:val="00223DDB"/>
    <w:rsid w:val="00223FA4"/>
    <w:rsid w:val="00223FB0"/>
    <w:rsid w:val="0022405A"/>
    <w:rsid w:val="00224067"/>
    <w:rsid w:val="0022421C"/>
    <w:rsid w:val="00224C4A"/>
    <w:rsid w:val="00224E83"/>
    <w:rsid w:val="00225664"/>
    <w:rsid w:val="00225E1C"/>
    <w:rsid w:val="0022663D"/>
    <w:rsid w:val="00227C56"/>
    <w:rsid w:val="00227F2D"/>
    <w:rsid w:val="00230D6F"/>
    <w:rsid w:val="00231851"/>
    <w:rsid w:val="002319FB"/>
    <w:rsid w:val="00231B89"/>
    <w:rsid w:val="00231F11"/>
    <w:rsid w:val="00231F5E"/>
    <w:rsid w:val="00232DBC"/>
    <w:rsid w:val="002346B4"/>
    <w:rsid w:val="00234F6E"/>
    <w:rsid w:val="002355BE"/>
    <w:rsid w:val="002358EA"/>
    <w:rsid w:val="00236578"/>
    <w:rsid w:val="00236DE9"/>
    <w:rsid w:val="00237342"/>
    <w:rsid w:val="00237D5A"/>
    <w:rsid w:val="00240D75"/>
    <w:rsid w:val="002415AE"/>
    <w:rsid w:val="00241D3C"/>
    <w:rsid w:val="00242109"/>
    <w:rsid w:val="002430B0"/>
    <w:rsid w:val="00243189"/>
    <w:rsid w:val="002439AB"/>
    <w:rsid w:val="00243C19"/>
    <w:rsid w:val="00244AE8"/>
    <w:rsid w:val="00244DC9"/>
    <w:rsid w:val="00245587"/>
    <w:rsid w:val="00245F2B"/>
    <w:rsid w:val="002466CD"/>
    <w:rsid w:val="00247F3A"/>
    <w:rsid w:val="00250122"/>
    <w:rsid w:val="0025024D"/>
    <w:rsid w:val="00250755"/>
    <w:rsid w:val="00251043"/>
    <w:rsid w:val="00251C4A"/>
    <w:rsid w:val="0025256D"/>
    <w:rsid w:val="0025271C"/>
    <w:rsid w:val="0025277A"/>
    <w:rsid w:val="002533CD"/>
    <w:rsid w:val="002535EA"/>
    <w:rsid w:val="0025373A"/>
    <w:rsid w:val="00254631"/>
    <w:rsid w:val="00254EAB"/>
    <w:rsid w:val="002557AF"/>
    <w:rsid w:val="0025589C"/>
    <w:rsid w:val="00255B62"/>
    <w:rsid w:val="002566B1"/>
    <w:rsid w:val="002575E3"/>
    <w:rsid w:val="00257A74"/>
    <w:rsid w:val="00257C5D"/>
    <w:rsid w:val="0026024C"/>
    <w:rsid w:val="002603C1"/>
    <w:rsid w:val="002609A1"/>
    <w:rsid w:val="002612B1"/>
    <w:rsid w:val="00265A12"/>
    <w:rsid w:val="00266165"/>
    <w:rsid w:val="00266CC0"/>
    <w:rsid w:val="00266F2C"/>
    <w:rsid w:val="00267913"/>
    <w:rsid w:val="0027125E"/>
    <w:rsid w:val="00271767"/>
    <w:rsid w:val="00272293"/>
    <w:rsid w:val="002723C8"/>
    <w:rsid w:val="00272575"/>
    <w:rsid w:val="00273C2A"/>
    <w:rsid w:val="00273CBE"/>
    <w:rsid w:val="002746B1"/>
    <w:rsid w:val="00274BAD"/>
    <w:rsid w:val="002807B0"/>
    <w:rsid w:val="00282D56"/>
    <w:rsid w:val="002835B0"/>
    <w:rsid w:val="00283C74"/>
    <w:rsid w:val="0028407E"/>
    <w:rsid w:val="0028410F"/>
    <w:rsid w:val="00284572"/>
    <w:rsid w:val="002850AA"/>
    <w:rsid w:val="00285221"/>
    <w:rsid w:val="00285A09"/>
    <w:rsid w:val="00286FB5"/>
    <w:rsid w:val="00287763"/>
    <w:rsid w:val="00290606"/>
    <w:rsid w:val="002909B2"/>
    <w:rsid w:val="00291D6D"/>
    <w:rsid w:val="00291FF1"/>
    <w:rsid w:val="00292AA2"/>
    <w:rsid w:val="00293361"/>
    <w:rsid w:val="00294F10"/>
    <w:rsid w:val="002952B1"/>
    <w:rsid w:val="00295D11"/>
    <w:rsid w:val="00296FB6"/>
    <w:rsid w:val="00297018"/>
    <w:rsid w:val="002A0001"/>
    <w:rsid w:val="002A0BD9"/>
    <w:rsid w:val="002A0C3A"/>
    <w:rsid w:val="002A0DF8"/>
    <w:rsid w:val="002A0F1C"/>
    <w:rsid w:val="002A1130"/>
    <w:rsid w:val="002A1880"/>
    <w:rsid w:val="002A194B"/>
    <w:rsid w:val="002A23B7"/>
    <w:rsid w:val="002A3A57"/>
    <w:rsid w:val="002A4B4F"/>
    <w:rsid w:val="002A57A8"/>
    <w:rsid w:val="002A5BED"/>
    <w:rsid w:val="002A5E6D"/>
    <w:rsid w:val="002A6DEF"/>
    <w:rsid w:val="002A770B"/>
    <w:rsid w:val="002B013E"/>
    <w:rsid w:val="002B058D"/>
    <w:rsid w:val="002B0C16"/>
    <w:rsid w:val="002B1B68"/>
    <w:rsid w:val="002B210A"/>
    <w:rsid w:val="002B2456"/>
    <w:rsid w:val="002B2789"/>
    <w:rsid w:val="002B2AC5"/>
    <w:rsid w:val="002B3528"/>
    <w:rsid w:val="002B3539"/>
    <w:rsid w:val="002B4395"/>
    <w:rsid w:val="002B4532"/>
    <w:rsid w:val="002B4DD9"/>
    <w:rsid w:val="002B5042"/>
    <w:rsid w:val="002B69CC"/>
    <w:rsid w:val="002B6D71"/>
    <w:rsid w:val="002C03AE"/>
    <w:rsid w:val="002C0C1C"/>
    <w:rsid w:val="002C41BF"/>
    <w:rsid w:val="002C4F6D"/>
    <w:rsid w:val="002C54C2"/>
    <w:rsid w:val="002C5D34"/>
    <w:rsid w:val="002C60BB"/>
    <w:rsid w:val="002C661A"/>
    <w:rsid w:val="002C6715"/>
    <w:rsid w:val="002D0D6F"/>
    <w:rsid w:val="002D1908"/>
    <w:rsid w:val="002D25FC"/>
    <w:rsid w:val="002D4AC6"/>
    <w:rsid w:val="002D59BF"/>
    <w:rsid w:val="002D5BF5"/>
    <w:rsid w:val="002D5EE8"/>
    <w:rsid w:val="002D7360"/>
    <w:rsid w:val="002D7648"/>
    <w:rsid w:val="002D7C80"/>
    <w:rsid w:val="002E109C"/>
    <w:rsid w:val="002E193E"/>
    <w:rsid w:val="002E1A94"/>
    <w:rsid w:val="002E1D55"/>
    <w:rsid w:val="002E26C4"/>
    <w:rsid w:val="002E2734"/>
    <w:rsid w:val="002E30A5"/>
    <w:rsid w:val="002E47E4"/>
    <w:rsid w:val="002E4BF9"/>
    <w:rsid w:val="002E4D61"/>
    <w:rsid w:val="002E5517"/>
    <w:rsid w:val="002E68A7"/>
    <w:rsid w:val="002E6C32"/>
    <w:rsid w:val="002E6E6C"/>
    <w:rsid w:val="002F016E"/>
    <w:rsid w:val="002F0522"/>
    <w:rsid w:val="002F087C"/>
    <w:rsid w:val="002F0DC9"/>
    <w:rsid w:val="002F16DD"/>
    <w:rsid w:val="002F199D"/>
    <w:rsid w:val="002F213C"/>
    <w:rsid w:val="002F2453"/>
    <w:rsid w:val="002F2E26"/>
    <w:rsid w:val="002F3005"/>
    <w:rsid w:val="002F352D"/>
    <w:rsid w:val="002F381E"/>
    <w:rsid w:val="002F4084"/>
    <w:rsid w:val="002F4A08"/>
    <w:rsid w:val="002F4ADB"/>
    <w:rsid w:val="002F531E"/>
    <w:rsid w:val="002F548D"/>
    <w:rsid w:val="002F5ACC"/>
    <w:rsid w:val="002F69FB"/>
    <w:rsid w:val="002F704B"/>
    <w:rsid w:val="002F72C3"/>
    <w:rsid w:val="002F768C"/>
    <w:rsid w:val="002F7C16"/>
    <w:rsid w:val="002F7D1E"/>
    <w:rsid w:val="00300201"/>
    <w:rsid w:val="0030025A"/>
    <w:rsid w:val="003002F7"/>
    <w:rsid w:val="00300A85"/>
    <w:rsid w:val="0030124A"/>
    <w:rsid w:val="00302EFC"/>
    <w:rsid w:val="00303243"/>
    <w:rsid w:val="00303BCC"/>
    <w:rsid w:val="00303F2B"/>
    <w:rsid w:val="00303F8D"/>
    <w:rsid w:val="00304800"/>
    <w:rsid w:val="0030572D"/>
    <w:rsid w:val="0030586A"/>
    <w:rsid w:val="00305901"/>
    <w:rsid w:val="0030622D"/>
    <w:rsid w:val="00306811"/>
    <w:rsid w:val="00306C20"/>
    <w:rsid w:val="00306F32"/>
    <w:rsid w:val="003074C5"/>
    <w:rsid w:val="00307A3C"/>
    <w:rsid w:val="00307FA4"/>
    <w:rsid w:val="00310290"/>
    <w:rsid w:val="00310CC1"/>
    <w:rsid w:val="00312504"/>
    <w:rsid w:val="00312B89"/>
    <w:rsid w:val="00313026"/>
    <w:rsid w:val="00313913"/>
    <w:rsid w:val="0031421F"/>
    <w:rsid w:val="00314B31"/>
    <w:rsid w:val="00315A65"/>
    <w:rsid w:val="003165D7"/>
    <w:rsid w:val="0031666B"/>
    <w:rsid w:val="00316ABE"/>
    <w:rsid w:val="00316CC1"/>
    <w:rsid w:val="00317BA7"/>
    <w:rsid w:val="00320BE2"/>
    <w:rsid w:val="00321358"/>
    <w:rsid w:val="003213EE"/>
    <w:rsid w:val="00321886"/>
    <w:rsid w:val="00321EDC"/>
    <w:rsid w:val="003220F3"/>
    <w:rsid w:val="00323694"/>
    <w:rsid w:val="00323942"/>
    <w:rsid w:val="00323BE7"/>
    <w:rsid w:val="00324C3A"/>
    <w:rsid w:val="00324D63"/>
    <w:rsid w:val="003255AF"/>
    <w:rsid w:val="003256EB"/>
    <w:rsid w:val="003259DB"/>
    <w:rsid w:val="0032795B"/>
    <w:rsid w:val="003303CD"/>
    <w:rsid w:val="003314D9"/>
    <w:rsid w:val="00331653"/>
    <w:rsid w:val="00331A48"/>
    <w:rsid w:val="00331BCC"/>
    <w:rsid w:val="003330C9"/>
    <w:rsid w:val="003333DC"/>
    <w:rsid w:val="0033364C"/>
    <w:rsid w:val="00334415"/>
    <w:rsid w:val="00335EA1"/>
    <w:rsid w:val="0033662A"/>
    <w:rsid w:val="0033691E"/>
    <w:rsid w:val="00336A6A"/>
    <w:rsid w:val="00336CCB"/>
    <w:rsid w:val="00340DEF"/>
    <w:rsid w:val="003411D1"/>
    <w:rsid w:val="003416BA"/>
    <w:rsid w:val="00342148"/>
    <w:rsid w:val="00342F99"/>
    <w:rsid w:val="00344C00"/>
    <w:rsid w:val="0034575A"/>
    <w:rsid w:val="00345F57"/>
    <w:rsid w:val="00346692"/>
    <w:rsid w:val="003468E6"/>
    <w:rsid w:val="00350458"/>
    <w:rsid w:val="00350E6C"/>
    <w:rsid w:val="003518A6"/>
    <w:rsid w:val="00351E7F"/>
    <w:rsid w:val="00352953"/>
    <w:rsid w:val="0035312E"/>
    <w:rsid w:val="00354062"/>
    <w:rsid w:val="0035459E"/>
    <w:rsid w:val="00354609"/>
    <w:rsid w:val="00354AE9"/>
    <w:rsid w:val="003554AD"/>
    <w:rsid w:val="00355C0D"/>
    <w:rsid w:val="003566A9"/>
    <w:rsid w:val="00356988"/>
    <w:rsid w:val="003569D3"/>
    <w:rsid w:val="00356CE9"/>
    <w:rsid w:val="003570BB"/>
    <w:rsid w:val="00357128"/>
    <w:rsid w:val="0035755E"/>
    <w:rsid w:val="00357A80"/>
    <w:rsid w:val="00357D00"/>
    <w:rsid w:val="00360149"/>
    <w:rsid w:val="00361441"/>
    <w:rsid w:val="00361B8B"/>
    <w:rsid w:val="00361F28"/>
    <w:rsid w:val="00363CE7"/>
    <w:rsid w:val="00363F39"/>
    <w:rsid w:val="003640FC"/>
    <w:rsid w:val="0036445C"/>
    <w:rsid w:val="00364627"/>
    <w:rsid w:val="00364AB0"/>
    <w:rsid w:val="00364D71"/>
    <w:rsid w:val="003667B0"/>
    <w:rsid w:val="003667DD"/>
    <w:rsid w:val="00366B48"/>
    <w:rsid w:val="00367764"/>
    <w:rsid w:val="00370316"/>
    <w:rsid w:val="00370DC7"/>
    <w:rsid w:val="00371CBD"/>
    <w:rsid w:val="00371F20"/>
    <w:rsid w:val="003721E3"/>
    <w:rsid w:val="0037241E"/>
    <w:rsid w:val="00372B98"/>
    <w:rsid w:val="00372E7F"/>
    <w:rsid w:val="003737B7"/>
    <w:rsid w:val="003740CC"/>
    <w:rsid w:val="003745F4"/>
    <w:rsid w:val="0037491A"/>
    <w:rsid w:val="00374E79"/>
    <w:rsid w:val="0037529A"/>
    <w:rsid w:val="00375388"/>
    <w:rsid w:val="00375559"/>
    <w:rsid w:val="00375FB9"/>
    <w:rsid w:val="00376170"/>
    <w:rsid w:val="0037661D"/>
    <w:rsid w:val="00376851"/>
    <w:rsid w:val="00376FA2"/>
    <w:rsid w:val="00377133"/>
    <w:rsid w:val="00377A3B"/>
    <w:rsid w:val="00377E3C"/>
    <w:rsid w:val="00380874"/>
    <w:rsid w:val="00380BBE"/>
    <w:rsid w:val="00380DF9"/>
    <w:rsid w:val="00381356"/>
    <w:rsid w:val="00381D70"/>
    <w:rsid w:val="0038235E"/>
    <w:rsid w:val="003829D0"/>
    <w:rsid w:val="0038326A"/>
    <w:rsid w:val="0038444F"/>
    <w:rsid w:val="003861F0"/>
    <w:rsid w:val="00386948"/>
    <w:rsid w:val="00387051"/>
    <w:rsid w:val="003877BF"/>
    <w:rsid w:val="00387CF8"/>
    <w:rsid w:val="00387ECF"/>
    <w:rsid w:val="00387F04"/>
    <w:rsid w:val="0039021B"/>
    <w:rsid w:val="00390429"/>
    <w:rsid w:val="00390449"/>
    <w:rsid w:val="003906A0"/>
    <w:rsid w:val="003923D5"/>
    <w:rsid w:val="003931AF"/>
    <w:rsid w:val="0039366C"/>
    <w:rsid w:val="00393EC8"/>
    <w:rsid w:val="00395E42"/>
    <w:rsid w:val="00396409"/>
    <w:rsid w:val="00396A2D"/>
    <w:rsid w:val="00396D01"/>
    <w:rsid w:val="00396FC3"/>
    <w:rsid w:val="003A0727"/>
    <w:rsid w:val="003A1431"/>
    <w:rsid w:val="003A1A94"/>
    <w:rsid w:val="003A1BB1"/>
    <w:rsid w:val="003A204E"/>
    <w:rsid w:val="003A2D25"/>
    <w:rsid w:val="003A5101"/>
    <w:rsid w:val="003A5728"/>
    <w:rsid w:val="003A576C"/>
    <w:rsid w:val="003A60E7"/>
    <w:rsid w:val="003A7092"/>
    <w:rsid w:val="003A72A1"/>
    <w:rsid w:val="003A7611"/>
    <w:rsid w:val="003A7D1F"/>
    <w:rsid w:val="003B0B6A"/>
    <w:rsid w:val="003B22F7"/>
    <w:rsid w:val="003B248A"/>
    <w:rsid w:val="003B29CF"/>
    <w:rsid w:val="003B31EB"/>
    <w:rsid w:val="003B3A90"/>
    <w:rsid w:val="003B3D01"/>
    <w:rsid w:val="003B534F"/>
    <w:rsid w:val="003B795A"/>
    <w:rsid w:val="003B7A79"/>
    <w:rsid w:val="003C0FE1"/>
    <w:rsid w:val="003C1018"/>
    <w:rsid w:val="003C151A"/>
    <w:rsid w:val="003C1F54"/>
    <w:rsid w:val="003C350C"/>
    <w:rsid w:val="003C3733"/>
    <w:rsid w:val="003C3903"/>
    <w:rsid w:val="003C3BA0"/>
    <w:rsid w:val="003C4580"/>
    <w:rsid w:val="003C54A5"/>
    <w:rsid w:val="003C5C5E"/>
    <w:rsid w:val="003C6746"/>
    <w:rsid w:val="003C7555"/>
    <w:rsid w:val="003C7898"/>
    <w:rsid w:val="003D0FF5"/>
    <w:rsid w:val="003D11A3"/>
    <w:rsid w:val="003D1537"/>
    <w:rsid w:val="003D183C"/>
    <w:rsid w:val="003D2616"/>
    <w:rsid w:val="003D2D1B"/>
    <w:rsid w:val="003D4498"/>
    <w:rsid w:val="003D48C7"/>
    <w:rsid w:val="003D4C27"/>
    <w:rsid w:val="003D4FCC"/>
    <w:rsid w:val="003D5763"/>
    <w:rsid w:val="003D7109"/>
    <w:rsid w:val="003D74D6"/>
    <w:rsid w:val="003D7CE8"/>
    <w:rsid w:val="003E0514"/>
    <w:rsid w:val="003E1032"/>
    <w:rsid w:val="003E1904"/>
    <w:rsid w:val="003E285E"/>
    <w:rsid w:val="003E3124"/>
    <w:rsid w:val="003E3300"/>
    <w:rsid w:val="003E43D3"/>
    <w:rsid w:val="003E48E1"/>
    <w:rsid w:val="003E50F4"/>
    <w:rsid w:val="003E59BB"/>
    <w:rsid w:val="003E6225"/>
    <w:rsid w:val="003E65AC"/>
    <w:rsid w:val="003E66AE"/>
    <w:rsid w:val="003E72B9"/>
    <w:rsid w:val="003E7612"/>
    <w:rsid w:val="003E7ED4"/>
    <w:rsid w:val="003F0E52"/>
    <w:rsid w:val="003F0F6B"/>
    <w:rsid w:val="003F1FC6"/>
    <w:rsid w:val="003F1FE3"/>
    <w:rsid w:val="003F2359"/>
    <w:rsid w:val="003F3232"/>
    <w:rsid w:val="003F3534"/>
    <w:rsid w:val="003F3865"/>
    <w:rsid w:val="003F38AC"/>
    <w:rsid w:val="003F3D55"/>
    <w:rsid w:val="003F43D9"/>
    <w:rsid w:val="003F44E2"/>
    <w:rsid w:val="003F4632"/>
    <w:rsid w:val="003F47BA"/>
    <w:rsid w:val="003F4FE6"/>
    <w:rsid w:val="003F5638"/>
    <w:rsid w:val="003F6617"/>
    <w:rsid w:val="003F7EBB"/>
    <w:rsid w:val="00402332"/>
    <w:rsid w:val="004025C2"/>
    <w:rsid w:val="00402E09"/>
    <w:rsid w:val="00403195"/>
    <w:rsid w:val="004033A9"/>
    <w:rsid w:val="00403E55"/>
    <w:rsid w:val="0040407C"/>
    <w:rsid w:val="0040416C"/>
    <w:rsid w:val="004041CA"/>
    <w:rsid w:val="00404681"/>
    <w:rsid w:val="00405445"/>
    <w:rsid w:val="00405704"/>
    <w:rsid w:val="00405AC1"/>
    <w:rsid w:val="00406923"/>
    <w:rsid w:val="0040763D"/>
    <w:rsid w:val="00410D17"/>
    <w:rsid w:val="00412AA9"/>
    <w:rsid w:val="00413442"/>
    <w:rsid w:val="00413821"/>
    <w:rsid w:val="00413BA5"/>
    <w:rsid w:val="004141A3"/>
    <w:rsid w:val="00414909"/>
    <w:rsid w:val="0041582F"/>
    <w:rsid w:val="00416112"/>
    <w:rsid w:val="00416CEF"/>
    <w:rsid w:val="00417A18"/>
    <w:rsid w:val="00417AE0"/>
    <w:rsid w:val="00417BAA"/>
    <w:rsid w:val="0042042B"/>
    <w:rsid w:val="00420B45"/>
    <w:rsid w:val="00420D7A"/>
    <w:rsid w:val="00421257"/>
    <w:rsid w:val="00422193"/>
    <w:rsid w:val="004223DE"/>
    <w:rsid w:val="00422628"/>
    <w:rsid w:val="00422A10"/>
    <w:rsid w:val="00424D17"/>
    <w:rsid w:val="00425DFD"/>
    <w:rsid w:val="004263A3"/>
    <w:rsid w:val="0042711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6823"/>
    <w:rsid w:val="004371D5"/>
    <w:rsid w:val="00437E29"/>
    <w:rsid w:val="0044006B"/>
    <w:rsid w:val="0044033F"/>
    <w:rsid w:val="00440630"/>
    <w:rsid w:val="00441F0F"/>
    <w:rsid w:val="00442733"/>
    <w:rsid w:val="00442965"/>
    <w:rsid w:val="004432B6"/>
    <w:rsid w:val="004435E0"/>
    <w:rsid w:val="00444157"/>
    <w:rsid w:val="0044417C"/>
    <w:rsid w:val="00444DB3"/>
    <w:rsid w:val="00445617"/>
    <w:rsid w:val="00445A2F"/>
    <w:rsid w:val="00446385"/>
    <w:rsid w:val="004467C9"/>
    <w:rsid w:val="0044684E"/>
    <w:rsid w:val="00446AC2"/>
    <w:rsid w:val="00446ECB"/>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6614"/>
    <w:rsid w:val="004578EB"/>
    <w:rsid w:val="004604D5"/>
    <w:rsid w:val="00460697"/>
    <w:rsid w:val="0046117B"/>
    <w:rsid w:val="00461FC2"/>
    <w:rsid w:val="00464AB7"/>
    <w:rsid w:val="00465DE5"/>
    <w:rsid w:val="00467EF8"/>
    <w:rsid w:val="004709DE"/>
    <w:rsid w:val="00471413"/>
    <w:rsid w:val="00471639"/>
    <w:rsid w:val="00471AC3"/>
    <w:rsid w:val="00472429"/>
    <w:rsid w:val="004725E5"/>
    <w:rsid w:val="00472751"/>
    <w:rsid w:val="00472D88"/>
    <w:rsid w:val="00473128"/>
    <w:rsid w:val="00475078"/>
    <w:rsid w:val="00475767"/>
    <w:rsid w:val="00475C7F"/>
    <w:rsid w:val="00476C65"/>
    <w:rsid w:val="004779A0"/>
    <w:rsid w:val="00477C9E"/>
    <w:rsid w:val="004808E3"/>
    <w:rsid w:val="00481016"/>
    <w:rsid w:val="0048204C"/>
    <w:rsid w:val="004821BB"/>
    <w:rsid w:val="0048237A"/>
    <w:rsid w:val="004826FE"/>
    <w:rsid w:val="004827D5"/>
    <w:rsid w:val="00482AF2"/>
    <w:rsid w:val="004830C9"/>
    <w:rsid w:val="00483347"/>
    <w:rsid w:val="00483E2E"/>
    <w:rsid w:val="00484B69"/>
    <w:rsid w:val="00485406"/>
    <w:rsid w:val="0048590F"/>
    <w:rsid w:val="00486D60"/>
    <w:rsid w:val="00491FA1"/>
    <w:rsid w:val="004923F3"/>
    <w:rsid w:val="00492A25"/>
    <w:rsid w:val="004937DE"/>
    <w:rsid w:val="004938A3"/>
    <w:rsid w:val="004939E1"/>
    <w:rsid w:val="0049558B"/>
    <w:rsid w:val="00496350"/>
    <w:rsid w:val="0049797C"/>
    <w:rsid w:val="004A1405"/>
    <w:rsid w:val="004A15BD"/>
    <w:rsid w:val="004A1E28"/>
    <w:rsid w:val="004A1FC6"/>
    <w:rsid w:val="004A2E5F"/>
    <w:rsid w:val="004A38C2"/>
    <w:rsid w:val="004A3C03"/>
    <w:rsid w:val="004A3DB7"/>
    <w:rsid w:val="004A463B"/>
    <w:rsid w:val="004A5088"/>
    <w:rsid w:val="004A5255"/>
    <w:rsid w:val="004A6A1D"/>
    <w:rsid w:val="004A6A36"/>
    <w:rsid w:val="004A6B28"/>
    <w:rsid w:val="004A6CB0"/>
    <w:rsid w:val="004A70FF"/>
    <w:rsid w:val="004A7EDE"/>
    <w:rsid w:val="004B0D93"/>
    <w:rsid w:val="004B1FA4"/>
    <w:rsid w:val="004B29AC"/>
    <w:rsid w:val="004B35DF"/>
    <w:rsid w:val="004B3627"/>
    <w:rsid w:val="004B3687"/>
    <w:rsid w:val="004B3E0B"/>
    <w:rsid w:val="004B41B6"/>
    <w:rsid w:val="004B4922"/>
    <w:rsid w:val="004B4F92"/>
    <w:rsid w:val="004B5268"/>
    <w:rsid w:val="004B55B6"/>
    <w:rsid w:val="004B57DF"/>
    <w:rsid w:val="004B5976"/>
    <w:rsid w:val="004B626C"/>
    <w:rsid w:val="004B722E"/>
    <w:rsid w:val="004B72E8"/>
    <w:rsid w:val="004C01A5"/>
    <w:rsid w:val="004C0412"/>
    <w:rsid w:val="004C2138"/>
    <w:rsid w:val="004C3940"/>
    <w:rsid w:val="004C51FD"/>
    <w:rsid w:val="004C5DBF"/>
    <w:rsid w:val="004C65A8"/>
    <w:rsid w:val="004C6689"/>
    <w:rsid w:val="004C6DD7"/>
    <w:rsid w:val="004C735E"/>
    <w:rsid w:val="004D139A"/>
    <w:rsid w:val="004D14DC"/>
    <w:rsid w:val="004D17C6"/>
    <w:rsid w:val="004D2858"/>
    <w:rsid w:val="004D2E49"/>
    <w:rsid w:val="004D35BA"/>
    <w:rsid w:val="004D38E5"/>
    <w:rsid w:val="004D3C5A"/>
    <w:rsid w:val="004D402D"/>
    <w:rsid w:val="004D449A"/>
    <w:rsid w:val="004D4701"/>
    <w:rsid w:val="004D47C7"/>
    <w:rsid w:val="004D4B2B"/>
    <w:rsid w:val="004D4F35"/>
    <w:rsid w:val="004D51EE"/>
    <w:rsid w:val="004D5D45"/>
    <w:rsid w:val="004D618D"/>
    <w:rsid w:val="004D62A9"/>
    <w:rsid w:val="004D6FC3"/>
    <w:rsid w:val="004D7476"/>
    <w:rsid w:val="004D7716"/>
    <w:rsid w:val="004E0306"/>
    <w:rsid w:val="004E0572"/>
    <w:rsid w:val="004E0AA6"/>
    <w:rsid w:val="004E1641"/>
    <w:rsid w:val="004E17E5"/>
    <w:rsid w:val="004E1818"/>
    <w:rsid w:val="004E1990"/>
    <w:rsid w:val="004E25A8"/>
    <w:rsid w:val="004E3930"/>
    <w:rsid w:val="004E3ED9"/>
    <w:rsid w:val="004E4B4B"/>
    <w:rsid w:val="004E5866"/>
    <w:rsid w:val="004E6097"/>
    <w:rsid w:val="004E61EF"/>
    <w:rsid w:val="004E63C6"/>
    <w:rsid w:val="004E76A7"/>
    <w:rsid w:val="004E7B03"/>
    <w:rsid w:val="004F0064"/>
    <w:rsid w:val="004F06AC"/>
    <w:rsid w:val="004F0E50"/>
    <w:rsid w:val="004F16B6"/>
    <w:rsid w:val="004F17D7"/>
    <w:rsid w:val="004F1977"/>
    <w:rsid w:val="004F1D2A"/>
    <w:rsid w:val="004F243F"/>
    <w:rsid w:val="004F252C"/>
    <w:rsid w:val="004F36A3"/>
    <w:rsid w:val="004F3E0C"/>
    <w:rsid w:val="004F4308"/>
    <w:rsid w:val="004F7160"/>
    <w:rsid w:val="00500258"/>
    <w:rsid w:val="00500B2D"/>
    <w:rsid w:val="00501A99"/>
    <w:rsid w:val="00503180"/>
    <w:rsid w:val="005038A4"/>
    <w:rsid w:val="00504646"/>
    <w:rsid w:val="00504CD4"/>
    <w:rsid w:val="0050524B"/>
    <w:rsid w:val="00505450"/>
    <w:rsid w:val="00505FC6"/>
    <w:rsid w:val="005100B7"/>
    <w:rsid w:val="005105DE"/>
    <w:rsid w:val="005113C9"/>
    <w:rsid w:val="00512050"/>
    <w:rsid w:val="00512055"/>
    <w:rsid w:val="0051280C"/>
    <w:rsid w:val="00512842"/>
    <w:rsid w:val="005128BE"/>
    <w:rsid w:val="00513034"/>
    <w:rsid w:val="0051356F"/>
    <w:rsid w:val="00513E7C"/>
    <w:rsid w:val="005140BB"/>
    <w:rsid w:val="00514FBE"/>
    <w:rsid w:val="00514FD9"/>
    <w:rsid w:val="0051550A"/>
    <w:rsid w:val="0051608F"/>
    <w:rsid w:val="00516480"/>
    <w:rsid w:val="00520EF8"/>
    <w:rsid w:val="00520F35"/>
    <w:rsid w:val="005210F7"/>
    <w:rsid w:val="00521753"/>
    <w:rsid w:val="0052239D"/>
    <w:rsid w:val="005224EE"/>
    <w:rsid w:val="00522879"/>
    <w:rsid w:val="005233B2"/>
    <w:rsid w:val="005236DE"/>
    <w:rsid w:val="00523BB1"/>
    <w:rsid w:val="00524B23"/>
    <w:rsid w:val="0052570E"/>
    <w:rsid w:val="005260CD"/>
    <w:rsid w:val="00526265"/>
    <w:rsid w:val="0052655D"/>
    <w:rsid w:val="005265E0"/>
    <w:rsid w:val="00526BC3"/>
    <w:rsid w:val="00530064"/>
    <w:rsid w:val="00531761"/>
    <w:rsid w:val="0053248F"/>
    <w:rsid w:val="005327AB"/>
    <w:rsid w:val="00532E17"/>
    <w:rsid w:val="0053332A"/>
    <w:rsid w:val="0053358A"/>
    <w:rsid w:val="00533CD2"/>
    <w:rsid w:val="00534668"/>
    <w:rsid w:val="00534DDD"/>
    <w:rsid w:val="00535291"/>
    <w:rsid w:val="00535A94"/>
    <w:rsid w:val="0053656E"/>
    <w:rsid w:val="00537874"/>
    <w:rsid w:val="0053795F"/>
    <w:rsid w:val="00537D3D"/>
    <w:rsid w:val="00540511"/>
    <w:rsid w:val="00540578"/>
    <w:rsid w:val="00540808"/>
    <w:rsid w:val="0054080E"/>
    <w:rsid w:val="00540D1A"/>
    <w:rsid w:val="00540DE5"/>
    <w:rsid w:val="00540EA1"/>
    <w:rsid w:val="00541D52"/>
    <w:rsid w:val="00541E5A"/>
    <w:rsid w:val="0054345D"/>
    <w:rsid w:val="0054358E"/>
    <w:rsid w:val="005435D6"/>
    <w:rsid w:val="00543AF4"/>
    <w:rsid w:val="00543DE3"/>
    <w:rsid w:val="00543F53"/>
    <w:rsid w:val="00544191"/>
    <w:rsid w:val="0054440C"/>
    <w:rsid w:val="005448EC"/>
    <w:rsid w:val="00544C0A"/>
    <w:rsid w:val="00544F39"/>
    <w:rsid w:val="005457FB"/>
    <w:rsid w:val="00545B5E"/>
    <w:rsid w:val="0054640A"/>
    <w:rsid w:val="00546B96"/>
    <w:rsid w:val="00546F90"/>
    <w:rsid w:val="005478FC"/>
    <w:rsid w:val="00547EFB"/>
    <w:rsid w:val="00550192"/>
    <w:rsid w:val="00551F42"/>
    <w:rsid w:val="005522F2"/>
    <w:rsid w:val="00553137"/>
    <w:rsid w:val="005531DF"/>
    <w:rsid w:val="00553874"/>
    <w:rsid w:val="00553DCE"/>
    <w:rsid w:val="00554577"/>
    <w:rsid w:val="00554AD8"/>
    <w:rsid w:val="00554F78"/>
    <w:rsid w:val="00555DA1"/>
    <w:rsid w:val="00556BF7"/>
    <w:rsid w:val="00556E53"/>
    <w:rsid w:val="00557B2F"/>
    <w:rsid w:val="00557F60"/>
    <w:rsid w:val="00561146"/>
    <w:rsid w:val="00561730"/>
    <w:rsid w:val="00561822"/>
    <w:rsid w:val="00561B97"/>
    <w:rsid w:val="00562149"/>
    <w:rsid w:val="005640EB"/>
    <w:rsid w:val="00564AD3"/>
    <w:rsid w:val="005666A4"/>
    <w:rsid w:val="00567B5D"/>
    <w:rsid w:val="00570757"/>
    <w:rsid w:val="00570E9D"/>
    <w:rsid w:val="005715CC"/>
    <w:rsid w:val="00571804"/>
    <w:rsid w:val="005720F1"/>
    <w:rsid w:val="0057319A"/>
    <w:rsid w:val="00573733"/>
    <w:rsid w:val="00573F8B"/>
    <w:rsid w:val="00574554"/>
    <w:rsid w:val="00574E06"/>
    <w:rsid w:val="005751BB"/>
    <w:rsid w:val="00576089"/>
    <w:rsid w:val="005764B1"/>
    <w:rsid w:val="00576852"/>
    <w:rsid w:val="00576D06"/>
    <w:rsid w:val="005779E4"/>
    <w:rsid w:val="00580EC7"/>
    <w:rsid w:val="0058289C"/>
    <w:rsid w:val="005834CA"/>
    <w:rsid w:val="005836C7"/>
    <w:rsid w:val="0058408E"/>
    <w:rsid w:val="005844C3"/>
    <w:rsid w:val="00585374"/>
    <w:rsid w:val="005854CA"/>
    <w:rsid w:val="00585FAB"/>
    <w:rsid w:val="005863A9"/>
    <w:rsid w:val="00590B77"/>
    <w:rsid w:val="00590D9A"/>
    <w:rsid w:val="005913A3"/>
    <w:rsid w:val="00591A5A"/>
    <w:rsid w:val="005940D4"/>
    <w:rsid w:val="00594A7B"/>
    <w:rsid w:val="0059580E"/>
    <w:rsid w:val="00595D90"/>
    <w:rsid w:val="00596A6F"/>
    <w:rsid w:val="00596FCE"/>
    <w:rsid w:val="005A11BC"/>
    <w:rsid w:val="005A1525"/>
    <w:rsid w:val="005A1E17"/>
    <w:rsid w:val="005A252B"/>
    <w:rsid w:val="005A2A8F"/>
    <w:rsid w:val="005A3008"/>
    <w:rsid w:val="005A3204"/>
    <w:rsid w:val="005A3341"/>
    <w:rsid w:val="005A3C3D"/>
    <w:rsid w:val="005A46EC"/>
    <w:rsid w:val="005A5EAE"/>
    <w:rsid w:val="005A6407"/>
    <w:rsid w:val="005A646C"/>
    <w:rsid w:val="005A726C"/>
    <w:rsid w:val="005B07EC"/>
    <w:rsid w:val="005B2B11"/>
    <w:rsid w:val="005B32A4"/>
    <w:rsid w:val="005B3371"/>
    <w:rsid w:val="005B338D"/>
    <w:rsid w:val="005B33A1"/>
    <w:rsid w:val="005B3852"/>
    <w:rsid w:val="005B3BAF"/>
    <w:rsid w:val="005B4DA3"/>
    <w:rsid w:val="005B5BEE"/>
    <w:rsid w:val="005B77D2"/>
    <w:rsid w:val="005C0195"/>
    <w:rsid w:val="005C019B"/>
    <w:rsid w:val="005C08D0"/>
    <w:rsid w:val="005C1AED"/>
    <w:rsid w:val="005C2136"/>
    <w:rsid w:val="005C30F5"/>
    <w:rsid w:val="005C3840"/>
    <w:rsid w:val="005C51A5"/>
    <w:rsid w:val="005C557A"/>
    <w:rsid w:val="005C566F"/>
    <w:rsid w:val="005C5C47"/>
    <w:rsid w:val="005C61DD"/>
    <w:rsid w:val="005C6438"/>
    <w:rsid w:val="005C6781"/>
    <w:rsid w:val="005C6B8B"/>
    <w:rsid w:val="005C727F"/>
    <w:rsid w:val="005D02E3"/>
    <w:rsid w:val="005D15FE"/>
    <w:rsid w:val="005D1AA1"/>
    <w:rsid w:val="005D1F34"/>
    <w:rsid w:val="005D2C1F"/>
    <w:rsid w:val="005D34B2"/>
    <w:rsid w:val="005D3B54"/>
    <w:rsid w:val="005D40CD"/>
    <w:rsid w:val="005D575F"/>
    <w:rsid w:val="005D6B59"/>
    <w:rsid w:val="005D784B"/>
    <w:rsid w:val="005E03E4"/>
    <w:rsid w:val="005E0454"/>
    <w:rsid w:val="005E05F6"/>
    <w:rsid w:val="005E1B9D"/>
    <w:rsid w:val="005E1BDA"/>
    <w:rsid w:val="005E1CCF"/>
    <w:rsid w:val="005E2442"/>
    <w:rsid w:val="005E3111"/>
    <w:rsid w:val="005E38FD"/>
    <w:rsid w:val="005E3CA0"/>
    <w:rsid w:val="005E3F85"/>
    <w:rsid w:val="005E409A"/>
    <w:rsid w:val="005E47E3"/>
    <w:rsid w:val="005E4A5F"/>
    <w:rsid w:val="005E516A"/>
    <w:rsid w:val="005E57B0"/>
    <w:rsid w:val="005E5B01"/>
    <w:rsid w:val="005E66B7"/>
    <w:rsid w:val="005E6D3B"/>
    <w:rsid w:val="005F009E"/>
    <w:rsid w:val="005F0597"/>
    <w:rsid w:val="005F0DF1"/>
    <w:rsid w:val="005F1516"/>
    <w:rsid w:val="005F1A6F"/>
    <w:rsid w:val="005F229E"/>
    <w:rsid w:val="005F2564"/>
    <w:rsid w:val="005F3822"/>
    <w:rsid w:val="005F386F"/>
    <w:rsid w:val="005F4635"/>
    <w:rsid w:val="005F4900"/>
    <w:rsid w:val="005F4E52"/>
    <w:rsid w:val="005F4E64"/>
    <w:rsid w:val="005F6D58"/>
    <w:rsid w:val="005F6E43"/>
    <w:rsid w:val="005F7383"/>
    <w:rsid w:val="00600513"/>
    <w:rsid w:val="0060058E"/>
    <w:rsid w:val="00602A3C"/>
    <w:rsid w:val="00603EFD"/>
    <w:rsid w:val="0060475B"/>
    <w:rsid w:val="00604BED"/>
    <w:rsid w:val="00604FB6"/>
    <w:rsid w:val="00605387"/>
    <w:rsid w:val="00606302"/>
    <w:rsid w:val="006071E2"/>
    <w:rsid w:val="006076FD"/>
    <w:rsid w:val="00610811"/>
    <w:rsid w:val="0061143F"/>
    <w:rsid w:val="006114D8"/>
    <w:rsid w:val="00613553"/>
    <w:rsid w:val="00613601"/>
    <w:rsid w:val="00613791"/>
    <w:rsid w:val="006150D6"/>
    <w:rsid w:val="00615245"/>
    <w:rsid w:val="0061590D"/>
    <w:rsid w:val="00615E1F"/>
    <w:rsid w:val="00616E7D"/>
    <w:rsid w:val="00617EEE"/>
    <w:rsid w:val="00620A1F"/>
    <w:rsid w:val="0062169D"/>
    <w:rsid w:val="0062181E"/>
    <w:rsid w:val="00621E9A"/>
    <w:rsid w:val="006220DE"/>
    <w:rsid w:val="0062211B"/>
    <w:rsid w:val="00622BB7"/>
    <w:rsid w:val="00622C1E"/>
    <w:rsid w:val="00623389"/>
    <w:rsid w:val="00623DAA"/>
    <w:rsid w:val="00623FAF"/>
    <w:rsid w:val="0062483D"/>
    <w:rsid w:val="006265C4"/>
    <w:rsid w:val="0062678A"/>
    <w:rsid w:val="006270AF"/>
    <w:rsid w:val="00634367"/>
    <w:rsid w:val="00634C1D"/>
    <w:rsid w:val="00634E4D"/>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5171A"/>
    <w:rsid w:val="00651980"/>
    <w:rsid w:val="00652680"/>
    <w:rsid w:val="00652B97"/>
    <w:rsid w:val="006531AE"/>
    <w:rsid w:val="00653CDE"/>
    <w:rsid w:val="00654585"/>
    <w:rsid w:val="0065566E"/>
    <w:rsid w:val="00655AB6"/>
    <w:rsid w:val="00655EFA"/>
    <w:rsid w:val="00656061"/>
    <w:rsid w:val="00656281"/>
    <w:rsid w:val="0065636A"/>
    <w:rsid w:val="00657003"/>
    <w:rsid w:val="00660238"/>
    <w:rsid w:val="00660293"/>
    <w:rsid w:val="006602EF"/>
    <w:rsid w:val="0066110C"/>
    <w:rsid w:val="00661277"/>
    <w:rsid w:val="006619E0"/>
    <w:rsid w:val="00663428"/>
    <w:rsid w:val="00663CC0"/>
    <w:rsid w:val="00663FEA"/>
    <w:rsid w:val="00664397"/>
    <w:rsid w:val="00664803"/>
    <w:rsid w:val="006657C5"/>
    <w:rsid w:val="006661A4"/>
    <w:rsid w:val="00666AC0"/>
    <w:rsid w:val="006670E0"/>
    <w:rsid w:val="006671B8"/>
    <w:rsid w:val="00667275"/>
    <w:rsid w:val="00667532"/>
    <w:rsid w:val="0066783E"/>
    <w:rsid w:val="00667AA4"/>
    <w:rsid w:val="00667E53"/>
    <w:rsid w:val="00667F9E"/>
    <w:rsid w:val="006711C4"/>
    <w:rsid w:val="006713AB"/>
    <w:rsid w:val="00671470"/>
    <w:rsid w:val="00672CA5"/>
    <w:rsid w:val="006731D8"/>
    <w:rsid w:val="00673711"/>
    <w:rsid w:val="00673E7C"/>
    <w:rsid w:val="00673F82"/>
    <w:rsid w:val="00674F74"/>
    <w:rsid w:val="0067508F"/>
    <w:rsid w:val="00677576"/>
    <w:rsid w:val="0068051E"/>
    <w:rsid w:val="00680B9D"/>
    <w:rsid w:val="00681CAF"/>
    <w:rsid w:val="00681F13"/>
    <w:rsid w:val="00681F31"/>
    <w:rsid w:val="0068231C"/>
    <w:rsid w:val="00682344"/>
    <w:rsid w:val="00682F28"/>
    <w:rsid w:val="006831CA"/>
    <w:rsid w:val="00683515"/>
    <w:rsid w:val="00684842"/>
    <w:rsid w:val="006859AA"/>
    <w:rsid w:val="00685BD6"/>
    <w:rsid w:val="006861C3"/>
    <w:rsid w:val="00687116"/>
    <w:rsid w:val="006878A6"/>
    <w:rsid w:val="00687D5F"/>
    <w:rsid w:val="00690433"/>
    <w:rsid w:val="00690437"/>
    <w:rsid w:val="00690DC3"/>
    <w:rsid w:val="00690E65"/>
    <w:rsid w:val="006911B7"/>
    <w:rsid w:val="00691387"/>
    <w:rsid w:val="0069188E"/>
    <w:rsid w:val="00691974"/>
    <w:rsid w:val="00692BF6"/>
    <w:rsid w:val="00692CE6"/>
    <w:rsid w:val="00693186"/>
    <w:rsid w:val="00693381"/>
    <w:rsid w:val="00693783"/>
    <w:rsid w:val="00693B6C"/>
    <w:rsid w:val="006942AE"/>
    <w:rsid w:val="00695421"/>
    <w:rsid w:val="006956DE"/>
    <w:rsid w:val="0069675B"/>
    <w:rsid w:val="0069735B"/>
    <w:rsid w:val="00697BD3"/>
    <w:rsid w:val="00697DFA"/>
    <w:rsid w:val="006A16D5"/>
    <w:rsid w:val="006A1772"/>
    <w:rsid w:val="006A1780"/>
    <w:rsid w:val="006A1FA8"/>
    <w:rsid w:val="006A21DD"/>
    <w:rsid w:val="006A26C6"/>
    <w:rsid w:val="006A3302"/>
    <w:rsid w:val="006A3B28"/>
    <w:rsid w:val="006A4FEE"/>
    <w:rsid w:val="006A5549"/>
    <w:rsid w:val="006A702E"/>
    <w:rsid w:val="006A703E"/>
    <w:rsid w:val="006A7BE3"/>
    <w:rsid w:val="006A7D32"/>
    <w:rsid w:val="006B01D1"/>
    <w:rsid w:val="006B0DF4"/>
    <w:rsid w:val="006B16EA"/>
    <w:rsid w:val="006B1780"/>
    <w:rsid w:val="006B21DC"/>
    <w:rsid w:val="006B224E"/>
    <w:rsid w:val="006B376E"/>
    <w:rsid w:val="006B4512"/>
    <w:rsid w:val="006B4589"/>
    <w:rsid w:val="006B5157"/>
    <w:rsid w:val="006B610E"/>
    <w:rsid w:val="006B61CE"/>
    <w:rsid w:val="006B6805"/>
    <w:rsid w:val="006B6C07"/>
    <w:rsid w:val="006B6DE0"/>
    <w:rsid w:val="006C16C3"/>
    <w:rsid w:val="006C2187"/>
    <w:rsid w:val="006C27D9"/>
    <w:rsid w:val="006C32F4"/>
    <w:rsid w:val="006C3C54"/>
    <w:rsid w:val="006C4B6B"/>
    <w:rsid w:val="006C4CE1"/>
    <w:rsid w:val="006C4F9F"/>
    <w:rsid w:val="006C5F93"/>
    <w:rsid w:val="006C71A2"/>
    <w:rsid w:val="006C73EC"/>
    <w:rsid w:val="006D0C1D"/>
    <w:rsid w:val="006D28F3"/>
    <w:rsid w:val="006D2E9D"/>
    <w:rsid w:val="006D3B96"/>
    <w:rsid w:val="006D3C32"/>
    <w:rsid w:val="006D4A4E"/>
    <w:rsid w:val="006D4C42"/>
    <w:rsid w:val="006D5389"/>
    <w:rsid w:val="006D53A2"/>
    <w:rsid w:val="006D5809"/>
    <w:rsid w:val="006D607E"/>
    <w:rsid w:val="006D6E12"/>
    <w:rsid w:val="006D70CB"/>
    <w:rsid w:val="006D715C"/>
    <w:rsid w:val="006D7363"/>
    <w:rsid w:val="006D774E"/>
    <w:rsid w:val="006E0754"/>
    <w:rsid w:val="006E2668"/>
    <w:rsid w:val="006E2D39"/>
    <w:rsid w:val="006E2FE9"/>
    <w:rsid w:val="006E32B0"/>
    <w:rsid w:val="006E348E"/>
    <w:rsid w:val="006E396A"/>
    <w:rsid w:val="006E3D63"/>
    <w:rsid w:val="006E58BF"/>
    <w:rsid w:val="006E5DD8"/>
    <w:rsid w:val="006E5EA1"/>
    <w:rsid w:val="006E6509"/>
    <w:rsid w:val="006E6DEE"/>
    <w:rsid w:val="006E7D4B"/>
    <w:rsid w:val="006F018A"/>
    <w:rsid w:val="006F0760"/>
    <w:rsid w:val="006F10D9"/>
    <w:rsid w:val="006F11E2"/>
    <w:rsid w:val="006F2574"/>
    <w:rsid w:val="006F3231"/>
    <w:rsid w:val="006F3DE3"/>
    <w:rsid w:val="006F4787"/>
    <w:rsid w:val="006F4E53"/>
    <w:rsid w:val="006F61D8"/>
    <w:rsid w:val="006F62B7"/>
    <w:rsid w:val="006F70BC"/>
    <w:rsid w:val="006F726C"/>
    <w:rsid w:val="006F7E7C"/>
    <w:rsid w:val="0070174E"/>
    <w:rsid w:val="007018DB"/>
    <w:rsid w:val="00701DE6"/>
    <w:rsid w:val="00702740"/>
    <w:rsid w:val="0070381B"/>
    <w:rsid w:val="00704365"/>
    <w:rsid w:val="00705690"/>
    <w:rsid w:val="0070796C"/>
    <w:rsid w:val="00707B49"/>
    <w:rsid w:val="007109BB"/>
    <w:rsid w:val="00710EBF"/>
    <w:rsid w:val="007110B8"/>
    <w:rsid w:val="0071209F"/>
    <w:rsid w:val="007125A2"/>
    <w:rsid w:val="00713DD9"/>
    <w:rsid w:val="00713F79"/>
    <w:rsid w:val="007148A8"/>
    <w:rsid w:val="0071643D"/>
    <w:rsid w:val="00716AC8"/>
    <w:rsid w:val="00716E54"/>
    <w:rsid w:val="0072033C"/>
    <w:rsid w:val="00720B1B"/>
    <w:rsid w:val="00720BB2"/>
    <w:rsid w:val="00720BDB"/>
    <w:rsid w:val="00721062"/>
    <w:rsid w:val="00721E5D"/>
    <w:rsid w:val="007229D4"/>
    <w:rsid w:val="0072309E"/>
    <w:rsid w:val="007230F8"/>
    <w:rsid w:val="007233F4"/>
    <w:rsid w:val="00724044"/>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4142"/>
    <w:rsid w:val="007352EA"/>
    <w:rsid w:val="00735BF0"/>
    <w:rsid w:val="0073621C"/>
    <w:rsid w:val="0073792F"/>
    <w:rsid w:val="00740C81"/>
    <w:rsid w:val="00740DA6"/>
    <w:rsid w:val="00741AB7"/>
    <w:rsid w:val="00741B4B"/>
    <w:rsid w:val="00741D1E"/>
    <w:rsid w:val="00741DD6"/>
    <w:rsid w:val="00741EE2"/>
    <w:rsid w:val="0074207F"/>
    <w:rsid w:val="00742367"/>
    <w:rsid w:val="00742EAA"/>
    <w:rsid w:val="00743360"/>
    <w:rsid w:val="00743818"/>
    <w:rsid w:val="00743857"/>
    <w:rsid w:val="007441FB"/>
    <w:rsid w:val="0074434C"/>
    <w:rsid w:val="00744454"/>
    <w:rsid w:val="00744517"/>
    <w:rsid w:val="00744C82"/>
    <w:rsid w:val="0074522A"/>
    <w:rsid w:val="007462F0"/>
    <w:rsid w:val="00747295"/>
    <w:rsid w:val="00747829"/>
    <w:rsid w:val="0074789C"/>
    <w:rsid w:val="00747DE2"/>
    <w:rsid w:val="007502D0"/>
    <w:rsid w:val="007504BF"/>
    <w:rsid w:val="007506CD"/>
    <w:rsid w:val="0075267F"/>
    <w:rsid w:val="007526EC"/>
    <w:rsid w:val="00752A81"/>
    <w:rsid w:val="007533EB"/>
    <w:rsid w:val="00753951"/>
    <w:rsid w:val="00753C48"/>
    <w:rsid w:val="00754250"/>
    <w:rsid w:val="00754FE4"/>
    <w:rsid w:val="00755216"/>
    <w:rsid w:val="00756236"/>
    <w:rsid w:val="00756271"/>
    <w:rsid w:val="00756348"/>
    <w:rsid w:val="00756521"/>
    <w:rsid w:val="00756AB7"/>
    <w:rsid w:val="00756D10"/>
    <w:rsid w:val="0076106D"/>
    <w:rsid w:val="00761599"/>
    <w:rsid w:val="007623FB"/>
    <w:rsid w:val="00762517"/>
    <w:rsid w:val="00763240"/>
    <w:rsid w:val="0076376A"/>
    <w:rsid w:val="007648AD"/>
    <w:rsid w:val="0076504E"/>
    <w:rsid w:val="00766FA0"/>
    <w:rsid w:val="00767BFD"/>
    <w:rsid w:val="00767EA0"/>
    <w:rsid w:val="0077068F"/>
    <w:rsid w:val="007716A2"/>
    <w:rsid w:val="00771EDF"/>
    <w:rsid w:val="00772A90"/>
    <w:rsid w:val="00772F8D"/>
    <w:rsid w:val="0077408D"/>
    <w:rsid w:val="00774270"/>
    <w:rsid w:val="007743F6"/>
    <w:rsid w:val="00775679"/>
    <w:rsid w:val="0077574F"/>
    <w:rsid w:val="00775823"/>
    <w:rsid w:val="00777153"/>
    <w:rsid w:val="007777CC"/>
    <w:rsid w:val="00777B32"/>
    <w:rsid w:val="0078051E"/>
    <w:rsid w:val="007806DB"/>
    <w:rsid w:val="00781089"/>
    <w:rsid w:val="007838F3"/>
    <w:rsid w:val="00783DE5"/>
    <w:rsid w:val="007856FE"/>
    <w:rsid w:val="00785F46"/>
    <w:rsid w:val="007865F4"/>
    <w:rsid w:val="00786A7A"/>
    <w:rsid w:val="00786D5C"/>
    <w:rsid w:val="00786E96"/>
    <w:rsid w:val="00787BB6"/>
    <w:rsid w:val="00787DFF"/>
    <w:rsid w:val="00787F93"/>
    <w:rsid w:val="00791E6D"/>
    <w:rsid w:val="00791EB5"/>
    <w:rsid w:val="0079343F"/>
    <w:rsid w:val="00793696"/>
    <w:rsid w:val="007955DA"/>
    <w:rsid w:val="00796F65"/>
    <w:rsid w:val="007A11C2"/>
    <w:rsid w:val="007A189E"/>
    <w:rsid w:val="007A18BB"/>
    <w:rsid w:val="007A27DD"/>
    <w:rsid w:val="007A41BF"/>
    <w:rsid w:val="007A490A"/>
    <w:rsid w:val="007A649B"/>
    <w:rsid w:val="007A7B95"/>
    <w:rsid w:val="007B0297"/>
    <w:rsid w:val="007B02FA"/>
    <w:rsid w:val="007B0F53"/>
    <w:rsid w:val="007B2088"/>
    <w:rsid w:val="007B21AE"/>
    <w:rsid w:val="007B2570"/>
    <w:rsid w:val="007B2C85"/>
    <w:rsid w:val="007B3113"/>
    <w:rsid w:val="007B3304"/>
    <w:rsid w:val="007B3B47"/>
    <w:rsid w:val="007B3BF0"/>
    <w:rsid w:val="007B47AF"/>
    <w:rsid w:val="007B6CE8"/>
    <w:rsid w:val="007B7490"/>
    <w:rsid w:val="007C0525"/>
    <w:rsid w:val="007C13F7"/>
    <w:rsid w:val="007C1D77"/>
    <w:rsid w:val="007C218D"/>
    <w:rsid w:val="007C2D28"/>
    <w:rsid w:val="007C3E22"/>
    <w:rsid w:val="007C53BE"/>
    <w:rsid w:val="007C58C1"/>
    <w:rsid w:val="007C6218"/>
    <w:rsid w:val="007C6484"/>
    <w:rsid w:val="007C67C6"/>
    <w:rsid w:val="007C6885"/>
    <w:rsid w:val="007C78BE"/>
    <w:rsid w:val="007C7A5D"/>
    <w:rsid w:val="007C7E59"/>
    <w:rsid w:val="007D0476"/>
    <w:rsid w:val="007D0B91"/>
    <w:rsid w:val="007D0FE7"/>
    <w:rsid w:val="007D1452"/>
    <w:rsid w:val="007D1563"/>
    <w:rsid w:val="007D3DCB"/>
    <w:rsid w:val="007D460C"/>
    <w:rsid w:val="007D4996"/>
    <w:rsid w:val="007D4AD3"/>
    <w:rsid w:val="007D5657"/>
    <w:rsid w:val="007D5D19"/>
    <w:rsid w:val="007D5FDC"/>
    <w:rsid w:val="007D6176"/>
    <w:rsid w:val="007D69CD"/>
    <w:rsid w:val="007D6D68"/>
    <w:rsid w:val="007D74F4"/>
    <w:rsid w:val="007E16EF"/>
    <w:rsid w:val="007E194F"/>
    <w:rsid w:val="007E2BD8"/>
    <w:rsid w:val="007E32DA"/>
    <w:rsid w:val="007E3418"/>
    <w:rsid w:val="007E4998"/>
    <w:rsid w:val="007E4A9C"/>
    <w:rsid w:val="007E4FA3"/>
    <w:rsid w:val="007E506B"/>
    <w:rsid w:val="007E6914"/>
    <w:rsid w:val="007E707C"/>
    <w:rsid w:val="007E7440"/>
    <w:rsid w:val="007E7F78"/>
    <w:rsid w:val="007F0179"/>
    <w:rsid w:val="007F12E6"/>
    <w:rsid w:val="007F1E1F"/>
    <w:rsid w:val="007F2C13"/>
    <w:rsid w:val="007F2CEC"/>
    <w:rsid w:val="007F2ED1"/>
    <w:rsid w:val="007F3435"/>
    <w:rsid w:val="007F354B"/>
    <w:rsid w:val="007F45F5"/>
    <w:rsid w:val="007F505D"/>
    <w:rsid w:val="007F531B"/>
    <w:rsid w:val="007F55DE"/>
    <w:rsid w:val="007F576C"/>
    <w:rsid w:val="007F762D"/>
    <w:rsid w:val="007F78F0"/>
    <w:rsid w:val="007F78FF"/>
    <w:rsid w:val="008001C5"/>
    <w:rsid w:val="00800F6C"/>
    <w:rsid w:val="00801065"/>
    <w:rsid w:val="00801CED"/>
    <w:rsid w:val="00802C0B"/>
    <w:rsid w:val="00805040"/>
    <w:rsid w:val="008051FC"/>
    <w:rsid w:val="008055A9"/>
    <w:rsid w:val="008056C4"/>
    <w:rsid w:val="008057FD"/>
    <w:rsid w:val="00805D8B"/>
    <w:rsid w:val="00807465"/>
    <w:rsid w:val="0081010F"/>
    <w:rsid w:val="00810BB6"/>
    <w:rsid w:val="00810E8E"/>
    <w:rsid w:val="00812C44"/>
    <w:rsid w:val="00812E16"/>
    <w:rsid w:val="00813388"/>
    <w:rsid w:val="008135E1"/>
    <w:rsid w:val="00813779"/>
    <w:rsid w:val="00813E26"/>
    <w:rsid w:val="00814692"/>
    <w:rsid w:val="0081481D"/>
    <w:rsid w:val="00814BE8"/>
    <w:rsid w:val="00814F6E"/>
    <w:rsid w:val="00815B84"/>
    <w:rsid w:val="00816342"/>
    <w:rsid w:val="008166F6"/>
    <w:rsid w:val="00816BE9"/>
    <w:rsid w:val="00817D10"/>
    <w:rsid w:val="008221D8"/>
    <w:rsid w:val="00822518"/>
    <w:rsid w:val="008226F5"/>
    <w:rsid w:val="00823FC6"/>
    <w:rsid w:val="00824306"/>
    <w:rsid w:val="00825C74"/>
    <w:rsid w:val="00825CFA"/>
    <w:rsid w:val="00826AB9"/>
    <w:rsid w:val="00826E0E"/>
    <w:rsid w:val="00827D11"/>
    <w:rsid w:val="00827E0F"/>
    <w:rsid w:val="00827F6E"/>
    <w:rsid w:val="00831758"/>
    <w:rsid w:val="008317D9"/>
    <w:rsid w:val="00831AEC"/>
    <w:rsid w:val="0083279F"/>
    <w:rsid w:val="00832CE9"/>
    <w:rsid w:val="008334DB"/>
    <w:rsid w:val="00833B7F"/>
    <w:rsid w:val="00833E8E"/>
    <w:rsid w:val="00834906"/>
    <w:rsid w:val="00836075"/>
    <w:rsid w:val="00836417"/>
    <w:rsid w:val="0083678B"/>
    <w:rsid w:val="00837526"/>
    <w:rsid w:val="008407A7"/>
    <w:rsid w:val="008412D8"/>
    <w:rsid w:val="0084322B"/>
    <w:rsid w:val="00843AE0"/>
    <w:rsid w:val="00843F81"/>
    <w:rsid w:val="00844087"/>
    <w:rsid w:val="008448F1"/>
    <w:rsid w:val="0084519E"/>
    <w:rsid w:val="00845CAE"/>
    <w:rsid w:val="008462C5"/>
    <w:rsid w:val="008462FA"/>
    <w:rsid w:val="00846317"/>
    <w:rsid w:val="00846370"/>
    <w:rsid w:val="00846873"/>
    <w:rsid w:val="008477E7"/>
    <w:rsid w:val="00847C2B"/>
    <w:rsid w:val="00850272"/>
    <w:rsid w:val="008506B9"/>
    <w:rsid w:val="0085086F"/>
    <w:rsid w:val="00851201"/>
    <w:rsid w:val="00851822"/>
    <w:rsid w:val="00851C16"/>
    <w:rsid w:val="00851CFF"/>
    <w:rsid w:val="008532BF"/>
    <w:rsid w:val="008539B2"/>
    <w:rsid w:val="00853BF4"/>
    <w:rsid w:val="00854294"/>
    <w:rsid w:val="00854295"/>
    <w:rsid w:val="008549DD"/>
    <w:rsid w:val="00854D4D"/>
    <w:rsid w:val="0085572E"/>
    <w:rsid w:val="00855EDB"/>
    <w:rsid w:val="0085788B"/>
    <w:rsid w:val="00857A9E"/>
    <w:rsid w:val="00857DE2"/>
    <w:rsid w:val="0086003D"/>
    <w:rsid w:val="00860CF3"/>
    <w:rsid w:val="00863A8E"/>
    <w:rsid w:val="0086407F"/>
    <w:rsid w:val="008645E3"/>
    <w:rsid w:val="00864E79"/>
    <w:rsid w:val="0086572B"/>
    <w:rsid w:val="0086595B"/>
    <w:rsid w:val="00865D19"/>
    <w:rsid w:val="00866615"/>
    <w:rsid w:val="0086661F"/>
    <w:rsid w:val="00866A0D"/>
    <w:rsid w:val="00866DB5"/>
    <w:rsid w:val="0086701D"/>
    <w:rsid w:val="0086702B"/>
    <w:rsid w:val="008672E2"/>
    <w:rsid w:val="0086784E"/>
    <w:rsid w:val="008678D3"/>
    <w:rsid w:val="0087001C"/>
    <w:rsid w:val="0087035F"/>
    <w:rsid w:val="0087121C"/>
    <w:rsid w:val="00871FD2"/>
    <w:rsid w:val="00872084"/>
    <w:rsid w:val="0087259D"/>
    <w:rsid w:val="00872827"/>
    <w:rsid w:val="00872A32"/>
    <w:rsid w:val="00874911"/>
    <w:rsid w:val="008754E4"/>
    <w:rsid w:val="00876206"/>
    <w:rsid w:val="00876EAE"/>
    <w:rsid w:val="00880106"/>
    <w:rsid w:val="00880F95"/>
    <w:rsid w:val="00881694"/>
    <w:rsid w:val="00882B44"/>
    <w:rsid w:val="008838AD"/>
    <w:rsid w:val="00885BC9"/>
    <w:rsid w:val="008864B3"/>
    <w:rsid w:val="008865E5"/>
    <w:rsid w:val="008871B0"/>
    <w:rsid w:val="00890B57"/>
    <w:rsid w:val="008916BA"/>
    <w:rsid w:val="0089217C"/>
    <w:rsid w:val="00892512"/>
    <w:rsid w:val="00892790"/>
    <w:rsid w:val="00893671"/>
    <w:rsid w:val="0089383F"/>
    <w:rsid w:val="00894823"/>
    <w:rsid w:val="00895838"/>
    <w:rsid w:val="00895A1E"/>
    <w:rsid w:val="00895A72"/>
    <w:rsid w:val="00895CDF"/>
    <w:rsid w:val="00896679"/>
    <w:rsid w:val="00896D8C"/>
    <w:rsid w:val="008977BC"/>
    <w:rsid w:val="008A0FC9"/>
    <w:rsid w:val="008A1956"/>
    <w:rsid w:val="008A1A7C"/>
    <w:rsid w:val="008A2CE2"/>
    <w:rsid w:val="008A4034"/>
    <w:rsid w:val="008A40D3"/>
    <w:rsid w:val="008A469C"/>
    <w:rsid w:val="008A50FB"/>
    <w:rsid w:val="008A51D1"/>
    <w:rsid w:val="008A5DCE"/>
    <w:rsid w:val="008A75D3"/>
    <w:rsid w:val="008B05DD"/>
    <w:rsid w:val="008B07B8"/>
    <w:rsid w:val="008B17E8"/>
    <w:rsid w:val="008B2C45"/>
    <w:rsid w:val="008B2E7C"/>
    <w:rsid w:val="008B399A"/>
    <w:rsid w:val="008B45F0"/>
    <w:rsid w:val="008B4A70"/>
    <w:rsid w:val="008B502F"/>
    <w:rsid w:val="008B5BFD"/>
    <w:rsid w:val="008B6D89"/>
    <w:rsid w:val="008B6DFC"/>
    <w:rsid w:val="008B7227"/>
    <w:rsid w:val="008C02A5"/>
    <w:rsid w:val="008C02FB"/>
    <w:rsid w:val="008C04E0"/>
    <w:rsid w:val="008C191C"/>
    <w:rsid w:val="008C1DA4"/>
    <w:rsid w:val="008C2138"/>
    <w:rsid w:val="008C29B0"/>
    <w:rsid w:val="008C2CD5"/>
    <w:rsid w:val="008C3618"/>
    <w:rsid w:val="008C39E7"/>
    <w:rsid w:val="008C43AD"/>
    <w:rsid w:val="008C6118"/>
    <w:rsid w:val="008C6341"/>
    <w:rsid w:val="008C653D"/>
    <w:rsid w:val="008C72D8"/>
    <w:rsid w:val="008C731F"/>
    <w:rsid w:val="008C74D9"/>
    <w:rsid w:val="008D2050"/>
    <w:rsid w:val="008D2B33"/>
    <w:rsid w:val="008D3B2D"/>
    <w:rsid w:val="008D4308"/>
    <w:rsid w:val="008D4558"/>
    <w:rsid w:val="008D4C02"/>
    <w:rsid w:val="008D58D9"/>
    <w:rsid w:val="008D5AD4"/>
    <w:rsid w:val="008D695E"/>
    <w:rsid w:val="008D6DD5"/>
    <w:rsid w:val="008D6E59"/>
    <w:rsid w:val="008D7155"/>
    <w:rsid w:val="008D76E0"/>
    <w:rsid w:val="008E0B29"/>
    <w:rsid w:val="008E141A"/>
    <w:rsid w:val="008E1A44"/>
    <w:rsid w:val="008E28E6"/>
    <w:rsid w:val="008E3232"/>
    <w:rsid w:val="008E3674"/>
    <w:rsid w:val="008E3B6C"/>
    <w:rsid w:val="008E3DE7"/>
    <w:rsid w:val="008E5227"/>
    <w:rsid w:val="008E562C"/>
    <w:rsid w:val="008E5AB5"/>
    <w:rsid w:val="008E6540"/>
    <w:rsid w:val="008E77D4"/>
    <w:rsid w:val="008E7ADD"/>
    <w:rsid w:val="008E7E86"/>
    <w:rsid w:val="008F0180"/>
    <w:rsid w:val="008F0761"/>
    <w:rsid w:val="008F091F"/>
    <w:rsid w:val="008F17B2"/>
    <w:rsid w:val="008F22B3"/>
    <w:rsid w:val="008F2B5A"/>
    <w:rsid w:val="008F357B"/>
    <w:rsid w:val="008F44CA"/>
    <w:rsid w:val="008F48DD"/>
    <w:rsid w:val="008F49D3"/>
    <w:rsid w:val="008F4CF5"/>
    <w:rsid w:val="008F6519"/>
    <w:rsid w:val="008F6BAA"/>
    <w:rsid w:val="008F7012"/>
    <w:rsid w:val="008F7ADA"/>
    <w:rsid w:val="008F7B17"/>
    <w:rsid w:val="00900042"/>
    <w:rsid w:val="0090034B"/>
    <w:rsid w:val="0090087C"/>
    <w:rsid w:val="00900A95"/>
    <w:rsid w:val="00901121"/>
    <w:rsid w:val="00902623"/>
    <w:rsid w:val="00902A67"/>
    <w:rsid w:val="00902C5E"/>
    <w:rsid w:val="00904BE4"/>
    <w:rsid w:val="00904E32"/>
    <w:rsid w:val="0090504A"/>
    <w:rsid w:val="009051F5"/>
    <w:rsid w:val="00905221"/>
    <w:rsid w:val="00905664"/>
    <w:rsid w:val="00905A7C"/>
    <w:rsid w:val="00905C57"/>
    <w:rsid w:val="00905D7E"/>
    <w:rsid w:val="00906509"/>
    <w:rsid w:val="00907037"/>
    <w:rsid w:val="00907259"/>
    <w:rsid w:val="0091062F"/>
    <w:rsid w:val="00910C5D"/>
    <w:rsid w:val="0091112C"/>
    <w:rsid w:val="0091160A"/>
    <w:rsid w:val="00912E04"/>
    <w:rsid w:val="00913258"/>
    <w:rsid w:val="00913851"/>
    <w:rsid w:val="00913BB0"/>
    <w:rsid w:val="0091456C"/>
    <w:rsid w:val="00914C58"/>
    <w:rsid w:val="00914D78"/>
    <w:rsid w:val="0091564D"/>
    <w:rsid w:val="009156DA"/>
    <w:rsid w:val="00915774"/>
    <w:rsid w:val="00915D42"/>
    <w:rsid w:val="00916BC5"/>
    <w:rsid w:val="0091726A"/>
    <w:rsid w:val="00917C01"/>
    <w:rsid w:val="00920184"/>
    <w:rsid w:val="00920EA4"/>
    <w:rsid w:val="00921792"/>
    <w:rsid w:val="00921BEA"/>
    <w:rsid w:val="009227BE"/>
    <w:rsid w:val="009238FD"/>
    <w:rsid w:val="00923998"/>
    <w:rsid w:val="00923DB4"/>
    <w:rsid w:val="0092420B"/>
    <w:rsid w:val="0092430E"/>
    <w:rsid w:val="00925084"/>
    <w:rsid w:val="00926112"/>
    <w:rsid w:val="0092625F"/>
    <w:rsid w:val="00926B28"/>
    <w:rsid w:val="00926D9C"/>
    <w:rsid w:val="00927028"/>
    <w:rsid w:val="00927763"/>
    <w:rsid w:val="00927A2D"/>
    <w:rsid w:val="00927B37"/>
    <w:rsid w:val="009321B1"/>
    <w:rsid w:val="009327F0"/>
    <w:rsid w:val="00932ED7"/>
    <w:rsid w:val="0093422D"/>
    <w:rsid w:val="0093483B"/>
    <w:rsid w:val="00934CF9"/>
    <w:rsid w:val="00934DD7"/>
    <w:rsid w:val="00935CB2"/>
    <w:rsid w:val="009369A9"/>
    <w:rsid w:val="00936CF7"/>
    <w:rsid w:val="00937783"/>
    <w:rsid w:val="00937EAD"/>
    <w:rsid w:val="00937F28"/>
    <w:rsid w:val="00940FE1"/>
    <w:rsid w:val="00941474"/>
    <w:rsid w:val="00942306"/>
    <w:rsid w:val="009424B8"/>
    <w:rsid w:val="00942E92"/>
    <w:rsid w:val="009432E2"/>
    <w:rsid w:val="00944668"/>
    <w:rsid w:val="00944DC6"/>
    <w:rsid w:val="009458B0"/>
    <w:rsid w:val="00945B52"/>
    <w:rsid w:val="00945B7A"/>
    <w:rsid w:val="00945CF0"/>
    <w:rsid w:val="00945F05"/>
    <w:rsid w:val="00946348"/>
    <w:rsid w:val="00947224"/>
    <w:rsid w:val="00947634"/>
    <w:rsid w:val="00947797"/>
    <w:rsid w:val="009478A2"/>
    <w:rsid w:val="00952348"/>
    <w:rsid w:val="00952F47"/>
    <w:rsid w:val="009533BD"/>
    <w:rsid w:val="009536FB"/>
    <w:rsid w:val="00953808"/>
    <w:rsid w:val="009539A6"/>
    <w:rsid w:val="00954032"/>
    <w:rsid w:val="00954537"/>
    <w:rsid w:val="0095472D"/>
    <w:rsid w:val="00954DE9"/>
    <w:rsid w:val="00955342"/>
    <w:rsid w:val="00955FBB"/>
    <w:rsid w:val="0095694B"/>
    <w:rsid w:val="00956BD5"/>
    <w:rsid w:val="00956D84"/>
    <w:rsid w:val="009577B5"/>
    <w:rsid w:val="009608E6"/>
    <w:rsid w:val="00960F57"/>
    <w:rsid w:val="00961C90"/>
    <w:rsid w:val="00962ACC"/>
    <w:rsid w:val="00965443"/>
    <w:rsid w:val="00965954"/>
    <w:rsid w:val="00965A21"/>
    <w:rsid w:val="00965E55"/>
    <w:rsid w:val="0096608E"/>
    <w:rsid w:val="0096647F"/>
    <w:rsid w:val="00966522"/>
    <w:rsid w:val="00966C33"/>
    <w:rsid w:val="00970F18"/>
    <w:rsid w:val="00971CF1"/>
    <w:rsid w:val="00971F5D"/>
    <w:rsid w:val="009721E9"/>
    <w:rsid w:val="0097244B"/>
    <w:rsid w:val="00973772"/>
    <w:rsid w:val="00974420"/>
    <w:rsid w:val="0097560A"/>
    <w:rsid w:val="009758C9"/>
    <w:rsid w:val="00975E1E"/>
    <w:rsid w:val="00975E70"/>
    <w:rsid w:val="009761DE"/>
    <w:rsid w:val="009766FA"/>
    <w:rsid w:val="00977CD6"/>
    <w:rsid w:val="0098048B"/>
    <w:rsid w:val="00980908"/>
    <w:rsid w:val="00980DF9"/>
    <w:rsid w:val="00981CD8"/>
    <w:rsid w:val="009823F7"/>
    <w:rsid w:val="0098243D"/>
    <w:rsid w:val="00982D26"/>
    <w:rsid w:val="009833F0"/>
    <w:rsid w:val="00983B6E"/>
    <w:rsid w:val="00983FE5"/>
    <w:rsid w:val="00984449"/>
    <w:rsid w:val="009849E9"/>
    <w:rsid w:val="00984AFF"/>
    <w:rsid w:val="009859E4"/>
    <w:rsid w:val="00985D7F"/>
    <w:rsid w:val="00987812"/>
    <w:rsid w:val="009901E8"/>
    <w:rsid w:val="00990225"/>
    <w:rsid w:val="00991307"/>
    <w:rsid w:val="00991FAA"/>
    <w:rsid w:val="00992858"/>
    <w:rsid w:val="00992A13"/>
    <w:rsid w:val="00992DE6"/>
    <w:rsid w:val="009930B4"/>
    <w:rsid w:val="009937C2"/>
    <w:rsid w:val="009942CD"/>
    <w:rsid w:val="00994AAD"/>
    <w:rsid w:val="00995150"/>
    <w:rsid w:val="00995D67"/>
    <w:rsid w:val="00997613"/>
    <w:rsid w:val="009A013B"/>
    <w:rsid w:val="009A02F4"/>
    <w:rsid w:val="009A06BF"/>
    <w:rsid w:val="009A0D17"/>
    <w:rsid w:val="009A2494"/>
    <w:rsid w:val="009A32B1"/>
    <w:rsid w:val="009A33A3"/>
    <w:rsid w:val="009A36F2"/>
    <w:rsid w:val="009A40C3"/>
    <w:rsid w:val="009A40D5"/>
    <w:rsid w:val="009A5268"/>
    <w:rsid w:val="009A57D0"/>
    <w:rsid w:val="009A6559"/>
    <w:rsid w:val="009A68FC"/>
    <w:rsid w:val="009A6CE4"/>
    <w:rsid w:val="009A7315"/>
    <w:rsid w:val="009A7514"/>
    <w:rsid w:val="009A7E7A"/>
    <w:rsid w:val="009B0925"/>
    <w:rsid w:val="009B1584"/>
    <w:rsid w:val="009B18F0"/>
    <w:rsid w:val="009B1F4C"/>
    <w:rsid w:val="009B2471"/>
    <w:rsid w:val="009B314F"/>
    <w:rsid w:val="009B3795"/>
    <w:rsid w:val="009B439C"/>
    <w:rsid w:val="009B49A1"/>
    <w:rsid w:val="009B4A6C"/>
    <w:rsid w:val="009B4DA8"/>
    <w:rsid w:val="009B519A"/>
    <w:rsid w:val="009B620C"/>
    <w:rsid w:val="009B6753"/>
    <w:rsid w:val="009B676C"/>
    <w:rsid w:val="009B6792"/>
    <w:rsid w:val="009B6A26"/>
    <w:rsid w:val="009C0488"/>
    <w:rsid w:val="009C079D"/>
    <w:rsid w:val="009C0D70"/>
    <w:rsid w:val="009C13D1"/>
    <w:rsid w:val="009C2913"/>
    <w:rsid w:val="009C2BD4"/>
    <w:rsid w:val="009C5AFE"/>
    <w:rsid w:val="009C6606"/>
    <w:rsid w:val="009C6CE5"/>
    <w:rsid w:val="009C6D50"/>
    <w:rsid w:val="009C7547"/>
    <w:rsid w:val="009D05EC"/>
    <w:rsid w:val="009D064A"/>
    <w:rsid w:val="009D18D4"/>
    <w:rsid w:val="009D1FCF"/>
    <w:rsid w:val="009D2F60"/>
    <w:rsid w:val="009D3A2E"/>
    <w:rsid w:val="009D5ADE"/>
    <w:rsid w:val="009D5BAC"/>
    <w:rsid w:val="009D5C56"/>
    <w:rsid w:val="009D6265"/>
    <w:rsid w:val="009D64BD"/>
    <w:rsid w:val="009D6CB1"/>
    <w:rsid w:val="009D79D5"/>
    <w:rsid w:val="009E0286"/>
    <w:rsid w:val="009E0994"/>
    <w:rsid w:val="009E153F"/>
    <w:rsid w:val="009E18C5"/>
    <w:rsid w:val="009E322A"/>
    <w:rsid w:val="009E393E"/>
    <w:rsid w:val="009E444E"/>
    <w:rsid w:val="009E4968"/>
    <w:rsid w:val="009E663C"/>
    <w:rsid w:val="009E684A"/>
    <w:rsid w:val="009E6BB1"/>
    <w:rsid w:val="009E6E14"/>
    <w:rsid w:val="009E794A"/>
    <w:rsid w:val="009E7C14"/>
    <w:rsid w:val="009F00E6"/>
    <w:rsid w:val="009F0494"/>
    <w:rsid w:val="009F07AF"/>
    <w:rsid w:val="009F0CD9"/>
    <w:rsid w:val="009F1A79"/>
    <w:rsid w:val="009F1F57"/>
    <w:rsid w:val="009F2DDD"/>
    <w:rsid w:val="009F3447"/>
    <w:rsid w:val="009F65F4"/>
    <w:rsid w:val="009F676B"/>
    <w:rsid w:val="009F6D2D"/>
    <w:rsid w:val="009F6D54"/>
    <w:rsid w:val="009F7D21"/>
    <w:rsid w:val="00A004DF"/>
    <w:rsid w:val="00A00FD5"/>
    <w:rsid w:val="00A012C0"/>
    <w:rsid w:val="00A019A8"/>
    <w:rsid w:val="00A019F0"/>
    <w:rsid w:val="00A01B03"/>
    <w:rsid w:val="00A01B89"/>
    <w:rsid w:val="00A02C66"/>
    <w:rsid w:val="00A02C84"/>
    <w:rsid w:val="00A0464C"/>
    <w:rsid w:val="00A048BD"/>
    <w:rsid w:val="00A050BB"/>
    <w:rsid w:val="00A0521B"/>
    <w:rsid w:val="00A054E0"/>
    <w:rsid w:val="00A05D91"/>
    <w:rsid w:val="00A0740B"/>
    <w:rsid w:val="00A07ED3"/>
    <w:rsid w:val="00A10CA8"/>
    <w:rsid w:val="00A11042"/>
    <w:rsid w:val="00A12579"/>
    <w:rsid w:val="00A12CDC"/>
    <w:rsid w:val="00A133D8"/>
    <w:rsid w:val="00A14697"/>
    <w:rsid w:val="00A14EED"/>
    <w:rsid w:val="00A15655"/>
    <w:rsid w:val="00A15F37"/>
    <w:rsid w:val="00A160B0"/>
    <w:rsid w:val="00A1740C"/>
    <w:rsid w:val="00A17904"/>
    <w:rsid w:val="00A20069"/>
    <w:rsid w:val="00A2244D"/>
    <w:rsid w:val="00A2253D"/>
    <w:rsid w:val="00A2267F"/>
    <w:rsid w:val="00A22CDB"/>
    <w:rsid w:val="00A231A2"/>
    <w:rsid w:val="00A23DBA"/>
    <w:rsid w:val="00A243DA"/>
    <w:rsid w:val="00A24597"/>
    <w:rsid w:val="00A247B8"/>
    <w:rsid w:val="00A2495A"/>
    <w:rsid w:val="00A24C7A"/>
    <w:rsid w:val="00A24D8F"/>
    <w:rsid w:val="00A25B8B"/>
    <w:rsid w:val="00A2689F"/>
    <w:rsid w:val="00A26ECA"/>
    <w:rsid w:val="00A27461"/>
    <w:rsid w:val="00A27780"/>
    <w:rsid w:val="00A27D67"/>
    <w:rsid w:val="00A30ABC"/>
    <w:rsid w:val="00A3247E"/>
    <w:rsid w:val="00A33B74"/>
    <w:rsid w:val="00A33E11"/>
    <w:rsid w:val="00A3467F"/>
    <w:rsid w:val="00A34B4C"/>
    <w:rsid w:val="00A35030"/>
    <w:rsid w:val="00A3551A"/>
    <w:rsid w:val="00A366A0"/>
    <w:rsid w:val="00A37209"/>
    <w:rsid w:val="00A37584"/>
    <w:rsid w:val="00A376E8"/>
    <w:rsid w:val="00A37F8E"/>
    <w:rsid w:val="00A41537"/>
    <w:rsid w:val="00A41737"/>
    <w:rsid w:val="00A429CA"/>
    <w:rsid w:val="00A42B8F"/>
    <w:rsid w:val="00A42D8E"/>
    <w:rsid w:val="00A43254"/>
    <w:rsid w:val="00A43257"/>
    <w:rsid w:val="00A43896"/>
    <w:rsid w:val="00A43951"/>
    <w:rsid w:val="00A43A26"/>
    <w:rsid w:val="00A440F5"/>
    <w:rsid w:val="00A443E9"/>
    <w:rsid w:val="00A447A0"/>
    <w:rsid w:val="00A459F5"/>
    <w:rsid w:val="00A45FC0"/>
    <w:rsid w:val="00A46B74"/>
    <w:rsid w:val="00A47BF7"/>
    <w:rsid w:val="00A47ECC"/>
    <w:rsid w:val="00A50171"/>
    <w:rsid w:val="00A504FA"/>
    <w:rsid w:val="00A5102E"/>
    <w:rsid w:val="00A511DA"/>
    <w:rsid w:val="00A5132E"/>
    <w:rsid w:val="00A51375"/>
    <w:rsid w:val="00A51533"/>
    <w:rsid w:val="00A51DF8"/>
    <w:rsid w:val="00A531D4"/>
    <w:rsid w:val="00A53C2D"/>
    <w:rsid w:val="00A54572"/>
    <w:rsid w:val="00A57536"/>
    <w:rsid w:val="00A575B8"/>
    <w:rsid w:val="00A6066D"/>
    <w:rsid w:val="00A60AB5"/>
    <w:rsid w:val="00A619BB"/>
    <w:rsid w:val="00A61C60"/>
    <w:rsid w:val="00A61ECB"/>
    <w:rsid w:val="00A6410C"/>
    <w:rsid w:val="00A647B1"/>
    <w:rsid w:val="00A64D4B"/>
    <w:rsid w:val="00A64DEF"/>
    <w:rsid w:val="00A654D2"/>
    <w:rsid w:val="00A665DF"/>
    <w:rsid w:val="00A67BAB"/>
    <w:rsid w:val="00A67FCC"/>
    <w:rsid w:val="00A708E7"/>
    <w:rsid w:val="00A70AA5"/>
    <w:rsid w:val="00A70C03"/>
    <w:rsid w:val="00A71256"/>
    <w:rsid w:val="00A71C34"/>
    <w:rsid w:val="00A7217B"/>
    <w:rsid w:val="00A722D7"/>
    <w:rsid w:val="00A723A3"/>
    <w:rsid w:val="00A727AA"/>
    <w:rsid w:val="00A73861"/>
    <w:rsid w:val="00A739A6"/>
    <w:rsid w:val="00A740ED"/>
    <w:rsid w:val="00A74C29"/>
    <w:rsid w:val="00A74C62"/>
    <w:rsid w:val="00A75A91"/>
    <w:rsid w:val="00A75EF9"/>
    <w:rsid w:val="00A7622E"/>
    <w:rsid w:val="00A7657C"/>
    <w:rsid w:val="00A8311C"/>
    <w:rsid w:val="00A835D0"/>
    <w:rsid w:val="00A836B2"/>
    <w:rsid w:val="00A84C5F"/>
    <w:rsid w:val="00A85930"/>
    <w:rsid w:val="00A85EA8"/>
    <w:rsid w:val="00A863F7"/>
    <w:rsid w:val="00A86604"/>
    <w:rsid w:val="00A871E9"/>
    <w:rsid w:val="00A87519"/>
    <w:rsid w:val="00A875D2"/>
    <w:rsid w:val="00A9175F"/>
    <w:rsid w:val="00A9246D"/>
    <w:rsid w:val="00A92CCA"/>
    <w:rsid w:val="00A93BD0"/>
    <w:rsid w:val="00A93CC2"/>
    <w:rsid w:val="00A94D4B"/>
    <w:rsid w:val="00A962F0"/>
    <w:rsid w:val="00A96EB3"/>
    <w:rsid w:val="00A974CC"/>
    <w:rsid w:val="00AA2001"/>
    <w:rsid w:val="00AA2B5C"/>
    <w:rsid w:val="00AA32D2"/>
    <w:rsid w:val="00AA3B8B"/>
    <w:rsid w:val="00AA4016"/>
    <w:rsid w:val="00AA435F"/>
    <w:rsid w:val="00AA4C1F"/>
    <w:rsid w:val="00AA4E83"/>
    <w:rsid w:val="00AA5328"/>
    <w:rsid w:val="00AA5393"/>
    <w:rsid w:val="00AA63D4"/>
    <w:rsid w:val="00AB03FD"/>
    <w:rsid w:val="00AB1361"/>
    <w:rsid w:val="00AB2000"/>
    <w:rsid w:val="00AB2F6D"/>
    <w:rsid w:val="00AB38CB"/>
    <w:rsid w:val="00AB3BEC"/>
    <w:rsid w:val="00AB44E4"/>
    <w:rsid w:val="00AB4AEB"/>
    <w:rsid w:val="00AB4E5F"/>
    <w:rsid w:val="00AB5352"/>
    <w:rsid w:val="00AB56AE"/>
    <w:rsid w:val="00AB62D5"/>
    <w:rsid w:val="00AB65B5"/>
    <w:rsid w:val="00AB6DCD"/>
    <w:rsid w:val="00AB6EE0"/>
    <w:rsid w:val="00AC09AA"/>
    <w:rsid w:val="00AC17A2"/>
    <w:rsid w:val="00AC2441"/>
    <w:rsid w:val="00AC350A"/>
    <w:rsid w:val="00AC3CBC"/>
    <w:rsid w:val="00AC40B7"/>
    <w:rsid w:val="00AC531F"/>
    <w:rsid w:val="00AC5B36"/>
    <w:rsid w:val="00AC5B3C"/>
    <w:rsid w:val="00AC6187"/>
    <w:rsid w:val="00AC6377"/>
    <w:rsid w:val="00AC66A4"/>
    <w:rsid w:val="00AC6CB1"/>
    <w:rsid w:val="00AC75E9"/>
    <w:rsid w:val="00AC7D6D"/>
    <w:rsid w:val="00AD0035"/>
    <w:rsid w:val="00AD0091"/>
    <w:rsid w:val="00AD23EF"/>
    <w:rsid w:val="00AD2662"/>
    <w:rsid w:val="00AD307B"/>
    <w:rsid w:val="00AD4014"/>
    <w:rsid w:val="00AD41B3"/>
    <w:rsid w:val="00AD5721"/>
    <w:rsid w:val="00AD69F0"/>
    <w:rsid w:val="00AD7127"/>
    <w:rsid w:val="00AD730C"/>
    <w:rsid w:val="00AE0CAC"/>
    <w:rsid w:val="00AE123A"/>
    <w:rsid w:val="00AE1539"/>
    <w:rsid w:val="00AE28A7"/>
    <w:rsid w:val="00AE2A98"/>
    <w:rsid w:val="00AE2CF2"/>
    <w:rsid w:val="00AE2DA2"/>
    <w:rsid w:val="00AE3012"/>
    <w:rsid w:val="00AE3297"/>
    <w:rsid w:val="00AE33A6"/>
    <w:rsid w:val="00AE3513"/>
    <w:rsid w:val="00AE3729"/>
    <w:rsid w:val="00AE3AC6"/>
    <w:rsid w:val="00AE4A3E"/>
    <w:rsid w:val="00AE4CCE"/>
    <w:rsid w:val="00AE5C6A"/>
    <w:rsid w:val="00AE7280"/>
    <w:rsid w:val="00AF01FA"/>
    <w:rsid w:val="00AF033A"/>
    <w:rsid w:val="00AF1658"/>
    <w:rsid w:val="00AF1699"/>
    <w:rsid w:val="00AF1FD3"/>
    <w:rsid w:val="00AF2910"/>
    <w:rsid w:val="00AF34B8"/>
    <w:rsid w:val="00AF3896"/>
    <w:rsid w:val="00AF39C9"/>
    <w:rsid w:val="00AF3FC2"/>
    <w:rsid w:val="00AF4DEC"/>
    <w:rsid w:val="00AF7E8D"/>
    <w:rsid w:val="00B003FF"/>
    <w:rsid w:val="00B0098A"/>
    <w:rsid w:val="00B00A5F"/>
    <w:rsid w:val="00B029B8"/>
    <w:rsid w:val="00B02F60"/>
    <w:rsid w:val="00B02F94"/>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5D21"/>
    <w:rsid w:val="00B16715"/>
    <w:rsid w:val="00B17030"/>
    <w:rsid w:val="00B1768E"/>
    <w:rsid w:val="00B17910"/>
    <w:rsid w:val="00B20F18"/>
    <w:rsid w:val="00B21516"/>
    <w:rsid w:val="00B21978"/>
    <w:rsid w:val="00B21A37"/>
    <w:rsid w:val="00B21D23"/>
    <w:rsid w:val="00B21F62"/>
    <w:rsid w:val="00B22A81"/>
    <w:rsid w:val="00B22CE0"/>
    <w:rsid w:val="00B23738"/>
    <w:rsid w:val="00B23BEF"/>
    <w:rsid w:val="00B247BB"/>
    <w:rsid w:val="00B2504A"/>
    <w:rsid w:val="00B25EE6"/>
    <w:rsid w:val="00B3115A"/>
    <w:rsid w:val="00B3178B"/>
    <w:rsid w:val="00B31825"/>
    <w:rsid w:val="00B31A5C"/>
    <w:rsid w:val="00B32265"/>
    <w:rsid w:val="00B3276D"/>
    <w:rsid w:val="00B33B06"/>
    <w:rsid w:val="00B33C19"/>
    <w:rsid w:val="00B35640"/>
    <w:rsid w:val="00B35A15"/>
    <w:rsid w:val="00B35B45"/>
    <w:rsid w:val="00B36165"/>
    <w:rsid w:val="00B36A99"/>
    <w:rsid w:val="00B36F2A"/>
    <w:rsid w:val="00B42264"/>
    <w:rsid w:val="00B434B2"/>
    <w:rsid w:val="00B43A3F"/>
    <w:rsid w:val="00B43D45"/>
    <w:rsid w:val="00B459AF"/>
    <w:rsid w:val="00B468F2"/>
    <w:rsid w:val="00B469DE"/>
    <w:rsid w:val="00B47286"/>
    <w:rsid w:val="00B47776"/>
    <w:rsid w:val="00B47EB4"/>
    <w:rsid w:val="00B50234"/>
    <w:rsid w:val="00B51858"/>
    <w:rsid w:val="00B51BF4"/>
    <w:rsid w:val="00B52C68"/>
    <w:rsid w:val="00B531EB"/>
    <w:rsid w:val="00B5372B"/>
    <w:rsid w:val="00B542FE"/>
    <w:rsid w:val="00B555AB"/>
    <w:rsid w:val="00B55A1B"/>
    <w:rsid w:val="00B55A86"/>
    <w:rsid w:val="00B561DB"/>
    <w:rsid w:val="00B56DF9"/>
    <w:rsid w:val="00B56E80"/>
    <w:rsid w:val="00B571F1"/>
    <w:rsid w:val="00B578E0"/>
    <w:rsid w:val="00B600BD"/>
    <w:rsid w:val="00B60482"/>
    <w:rsid w:val="00B60E4E"/>
    <w:rsid w:val="00B61274"/>
    <w:rsid w:val="00B61DCE"/>
    <w:rsid w:val="00B62188"/>
    <w:rsid w:val="00B6274C"/>
    <w:rsid w:val="00B62F79"/>
    <w:rsid w:val="00B62F82"/>
    <w:rsid w:val="00B6306A"/>
    <w:rsid w:val="00B635E3"/>
    <w:rsid w:val="00B647F1"/>
    <w:rsid w:val="00B65CD6"/>
    <w:rsid w:val="00B662FF"/>
    <w:rsid w:val="00B66679"/>
    <w:rsid w:val="00B70145"/>
    <w:rsid w:val="00B71A92"/>
    <w:rsid w:val="00B721D8"/>
    <w:rsid w:val="00B730CA"/>
    <w:rsid w:val="00B732EA"/>
    <w:rsid w:val="00B73747"/>
    <w:rsid w:val="00B747C5"/>
    <w:rsid w:val="00B74F2F"/>
    <w:rsid w:val="00B753ED"/>
    <w:rsid w:val="00B7665F"/>
    <w:rsid w:val="00B769BC"/>
    <w:rsid w:val="00B770F7"/>
    <w:rsid w:val="00B77349"/>
    <w:rsid w:val="00B7761E"/>
    <w:rsid w:val="00B80A3D"/>
    <w:rsid w:val="00B80B04"/>
    <w:rsid w:val="00B821E4"/>
    <w:rsid w:val="00B823E0"/>
    <w:rsid w:val="00B8260D"/>
    <w:rsid w:val="00B82B34"/>
    <w:rsid w:val="00B82B78"/>
    <w:rsid w:val="00B845B4"/>
    <w:rsid w:val="00B84662"/>
    <w:rsid w:val="00B84C74"/>
    <w:rsid w:val="00B84CE9"/>
    <w:rsid w:val="00B85191"/>
    <w:rsid w:val="00B851A7"/>
    <w:rsid w:val="00B858A1"/>
    <w:rsid w:val="00B85A4F"/>
    <w:rsid w:val="00B85FEC"/>
    <w:rsid w:val="00B864A3"/>
    <w:rsid w:val="00B86C2A"/>
    <w:rsid w:val="00B86DE7"/>
    <w:rsid w:val="00B87BF7"/>
    <w:rsid w:val="00B87C2E"/>
    <w:rsid w:val="00B902A5"/>
    <w:rsid w:val="00B90420"/>
    <w:rsid w:val="00B90681"/>
    <w:rsid w:val="00B90848"/>
    <w:rsid w:val="00B91146"/>
    <w:rsid w:val="00B913E4"/>
    <w:rsid w:val="00B91777"/>
    <w:rsid w:val="00B91DB9"/>
    <w:rsid w:val="00B91FF3"/>
    <w:rsid w:val="00B925F8"/>
    <w:rsid w:val="00B92A01"/>
    <w:rsid w:val="00B93EFE"/>
    <w:rsid w:val="00B944B9"/>
    <w:rsid w:val="00B94956"/>
    <w:rsid w:val="00B94C7F"/>
    <w:rsid w:val="00B94E93"/>
    <w:rsid w:val="00B956B5"/>
    <w:rsid w:val="00B95956"/>
    <w:rsid w:val="00B96DF2"/>
    <w:rsid w:val="00B96E18"/>
    <w:rsid w:val="00B96F5A"/>
    <w:rsid w:val="00BA0B39"/>
    <w:rsid w:val="00BA0CB2"/>
    <w:rsid w:val="00BA0E26"/>
    <w:rsid w:val="00BA138B"/>
    <w:rsid w:val="00BA1524"/>
    <w:rsid w:val="00BA1728"/>
    <w:rsid w:val="00BA305B"/>
    <w:rsid w:val="00BA31BF"/>
    <w:rsid w:val="00BA32CD"/>
    <w:rsid w:val="00BA3C0F"/>
    <w:rsid w:val="00BA3FC7"/>
    <w:rsid w:val="00BA478B"/>
    <w:rsid w:val="00BA5224"/>
    <w:rsid w:val="00BA575E"/>
    <w:rsid w:val="00BA5A8A"/>
    <w:rsid w:val="00BA63A9"/>
    <w:rsid w:val="00BA6D43"/>
    <w:rsid w:val="00BA76B7"/>
    <w:rsid w:val="00BA7E3B"/>
    <w:rsid w:val="00BB0309"/>
    <w:rsid w:val="00BB078D"/>
    <w:rsid w:val="00BB079C"/>
    <w:rsid w:val="00BB0D7A"/>
    <w:rsid w:val="00BB10E1"/>
    <w:rsid w:val="00BB122E"/>
    <w:rsid w:val="00BB2471"/>
    <w:rsid w:val="00BB3035"/>
    <w:rsid w:val="00BB39C1"/>
    <w:rsid w:val="00BB3CBC"/>
    <w:rsid w:val="00BB3DF5"/>
    <w:rsid w:val="00BB3EA7"/>
    <w:rsid w:val="00BB5D16"/>
    <w:rsid w:val="00BB6180"/>
    <w:rsid w:val="00BB69E6"/>
    <w:rsid w:val="00BB7323"/>
    <w:rsid w:val="00BB7BE5"/>
    <w:rsid w:val="00BC0028"/>
    <w:rsid w:val="00BC08BD"/>
    <w:rsid w:val="00BC0DCA"/>
    <w:rsid w:val="00BC11E8"/>
    <w:rsid w:val="00BC1B7A"/>
    <w:rsid w:val="00BC2C17"/>
    <w:rsid w:val="00BC3ACD"/>
    <w:rsid w:val="00BC3B20"/>
    <w:rsid w:val="00BC3EE4"/>
    <w:rsid w:val="00BC588C"/>
    <w:rsid w:val="00BC6E73"/>
    <w:rsid w:val="00BC74D3"/>
    <w:rsid w:val="00BD0014"/>
    <w:rsid w:val="00BD01D8"/>
    <w:rsid w:val="00BD0350"/>
    <w:rsid w:val="00BD08E3"/>
    <w:rsid w:val="00BD137D"/>
    <w:rsid w:val="00BD1CAF"/>
    <w:rsid w:val="00BD255F"/>
    <w:rsid w:val="00BD2895"/>
    <w:rsid w:val="00BD3F77"/>
    <w:rsid w:val="00BD4236"/>
    <w:rsid w:val="00BD43CC"/>
    <w:rsid w:val="00BD483B"/>
    <w:rsid w:val="00BD51F9"/>
    <w:rsid w:val="00BD5CD4"/>
    <w:rsid w:val="00BD65D9"/>
    <w:rsid w:val="00BD65F3"/>
    <w:rsid w:val="00BD6DF3"/>
    <w:rsid w:val="00BD6E09"/>
    <w:rsid w:val="00BD6EF9"/>
    <w:rsid w:val="00BE0120"/>
    <w:rsid w:val="00BE0ACB"/>
    <w:rsid w:val="00BE2260"/>
    <w:rsid w:val="00BE323F"/>
    <w:rsid w:val="00BE3917"/>
    <w:rsid w:val="00BE50FD"/>
    <w:rsid w:val="00BE51CA"/>
    <w:rsid w:val="00BE537F"/>
    <w:rsid w:val="00BE5D77"/>
    <w:rsid w:val="00BE6D47"/>
    <w:rsid w:val="00BE7032"/>
    <w:rsid w:val="00BE7330"/>
    <w:rsid w:val="00BF01C5"/>
    <w:rsid w:val="00BF061A"/>
    <w:rsid w:val="00BF066A"/>
    <w:rsid w:val="00BF14CC"/>
    <w:rsid w:val="00BF1821"/>
    <w:rsid w:val="00BF22E9"/>
    <w:rsid w:val="00BF4342"/>
    <w:rsid w:val="00BF4704"/>
    <w:rsid w:val="00BF4FFC"/>
    <w:rsid w:val="00BF5050"/>
    <w:rsid w:val="00BF50D1"/>
    <w:rsid w:val="00BF5422"/>
    <w:rsid w:val="00BF59B1"/>
    <w:rsid w:val="00BF6625"/>
    <w:rsid w:val="00BF6A78"/>
    <w:rsid w:val="00BF7695"/>
    <w:rsid w:val="00BF79B4"/>
    <w:rsid w:val="00BF7C61"/>
    <w:rsid w:val="00C00887"/>
    <w:rsid w:val="00C01427"/>
    <w:rsid w:val="00C014C7"/>
    <w:rsid w:val="00C031CF"/>
    <w:rsid w:val="00C047AB"/>
    <w:rsid w:val="00C058AF"/>
    <w:rsid w:val="00C075B6"/>
    <w:rsid w:val="00C11BAE"/>
    <w:rsid w:val="00C124C1"/>
    <w:rsid w:val="00C128AE"/>
    <w:rsid w:val="00C12BA8"/>
    <w:rsid w:val="00C13094"/>
    <w:rsid w:val="00C136D6"/>
    <w:rsid w:val="00C13D5B"/>
    <w:rsid w:val="00C141D7"/>
    <w:rsid w:val="00C16435"/>
    <w:rsid w:val="00C1711B"/>
    <w:rsid w:val="00C17AE2"/>
    <w:rsid w:val="00C20140"/>
    <w:rsid w:val="00C206FD"/>
    <w:rsid w:val="00C20F27"/>
    <w:rsid w:val="00C215CF"/>
    <w:rsid w:val="00C21EBD"/>
    <w:rsid w:val="00C2244B"/>
    <w:rsid w:val="00C22711"/>
    <w:rsid w:val="00C2280A"/>
    <w:rsid w:val="00C22B0D"/>
    <w:rsid w:val="00C22BFF"/>
    <w:rsid w:val="00C23522"/>
    <w:rsid w:val="00C240C1"/>
    <w:rsid w:val="00C244A1"/>
    <w:rsid w:val="00C24AED"/>
    <w:rsid w:val="00C250D0"/>
    <w:rsid w:val="00C252AC"/>
    <w:rsid w:val="00C252B6"/>
    <w:rsid w:val="00C25C0F"/>
    <w:rsid w:val="00C26047"/>
    <w:rsid w:val="00C26567"/>
    <w:rsid w:val="00C26695"/>
    <w:rsid w:val="00C26923"/>
    <w:rsid w:val="00C27214"/>
    <w:rsid w:val="00C27597"/>
    <w:rsid w:val="00C27E5E"/>
    <w:rsid w:val="00C30382"/>
    <w:rsid w:val="00C30772"/>
    <w:rsid w:val="00C30D6F"/>
    <w:rsid w:val="00C31063"/>
    <w:rsid w:val="00C31B7E"/>
    <w:rsid w:val="00C3215A"/>
    <w:rsid w:val="00C322D1"/>
    <w:rsid w:val="00C3242A"/>
    <w:rsid w:val="00C33201"/>
    <w:rsid w:val="00C33A39"/>
    <w:rsid w:val="00C34619"/>
    <w:rsid w:val="00C348D9"/>
    <w:rsid w:val="00C352C9"/>
    <w:rsid w:val="00C35D01"/>
    <w:rsid w:val="00C360B3"/>
    <w:rsid w:val="00C37027"/>
    <w:rsid w:val="00C373BF"/>
    <w:rsid w:val="00C37B19"/>
    <w:rsid w:val="00C41349"/>
    <w:rsid w:val="00C413CB"/>
    <w:rsid w:val="00C41D76"/>
    <w:rsid w:val="00C42752"/>
    <w:rsid w:val="00C42973"/>
    <w:rsid w:val="00C46B95"/>
    <w:rsid w:val="00C4712A"/>
    <w:rsid w:val="00C5031E"/>
    <w:rsid w:val="00C5034F"/>
    <w:rsid w:val="00C50830"/>
    <w:rsid w:val="00C52479"/>
    <w:rsid w:val="00C5266E"/>
    <w:rsid w:val="00C52C59"/>
    <w:rsid w:val="00C5349E"/>
    <w:rsid w:val="00C539FF"/>
    <w:rsid w:val="00C544BD"/>
    <w:rsid w:val="00C54D3D"/>
    <w:rsid w:val="00C55A30"/>
    <w:rsid w:val="00C56384"/>
    <w:rsid w:val="00C5695F"/>
    <w:rsid w:val="00C56AC0"/>
    <w:rsid w:val="00C60F8C"/>
    <w:rsid w:val="00C61424"/>
    <w:rsid w:val="00C61794"/>
    <w:rsid w:val="00C62A48"/>
    <w:rsid w:val="00C62AC4"/>
    <w:rsid w:val="00C62B59"/>
    <w:rsid w:val="00C62F96"/>
    <w:rsid w:val="00C631E1"/>
    <w:rsid w:val="00C638D8"/>
    <w:rsid w:val="00C63A43"/>
    <w:rsid w:val="00C63AE7"/>
    <w:rsid w:val="00C63D26"/>
    <w:rsid w:val="00C645B0"/>
    <w:rsid w:val="00C6540A"/>
    <w:rsid w:val="00C668A1"/>
    <w:rsid w:val="00C67223"/>
    <w:rsid w:val="00C707B8"/>
    <w:rsid w:val="00C7129C"/>
    <w:rsid w:val="00C712AC"/>
    <w:rsid w:val="00C71A8A"/>
    <w:rsid w:val="00C71C15"/>
    <w:rsid w:val="00C71F3D"/>
    <w:rsid w:val="00C72F53"/>
    <w:rsid w:val="00C74035"/>
    <w:rsid w:val="00C748EA"/>
    <w:rsid w:val="00C771BD"/>
    <w:rsid w:val="00C77818"/>
    <w:rsid w:val="00C77A17"/>
    <w:rsid w:val="00C8063F"/>
    <w:rsid w:val="00C81282"/>
    <w:rsid w:val="00C827B4"/>
    <w:rsid w:val="00C83214"/>
    <w:rsid w:val="00C8329F"/>
    <w:rsid w:val="00C84207"/>
    <w:rsid w:val="00C84606"/>
    <w:rsid w:val="00C84F8A"/>
    <w:rsid w:val="00C85BA4"/>
    <w:rsid w:val="00C8618F"/>
    <w:rsid w:val="00C8625D"/>
    <w:rsid w:val="00C8793C"/>
    <w:rsid w:val="00C90372"/>
    <w:rsid w:val="00C9041F"/>
    <w:rsid w:val="00C9045E"/>
    <w:rsid w:val="00C9166B"/>
    <w:rsid w:val="00C91945"/>
    <w:rsid w:val="00C91A45"/>
    <w:rsid w:val="00C91CB2"/>
    <w:rsid w:val="00C91FB4"/>
    <w:rsid w:val="00C92150"/>
    <w:rsid w:val="00C92328"/>
    <w:rsid w:val="00C926E1"/>
    <w:rsid w:val="00C92D42"/>
    <w:rsid w:val="00C938C2"/>
    <w:rsid w:val="00C93F8A"/>
    <w:rsid w:val="00C94EA1"/>
    <w:rsid w:val="00C95613"/>
    <w:rsid w:val="00C95734"/>
    <w:rsid w:val="00C95745"/>
    <w:rsid w:val="00C95902"/>
    <w:rsid w:val="00C962A4"/>
    <w:rsid w:val="00C962E3"/>
    <w:rsid w:val="00C967CC"/>
    <w:rsid w:val="00C978E2"/>
    <w:rsid w:val="00C97997"/>
    <w:rsid w:val="00CA0498"/>
    <w:rsid w:val="00CA10A2"/>
    <w:rsid w:val="00CA1D83"/>
    <w:rsid w:val="00CA25C0"/>
    <w:rsid w:val="00CA3451"/>
    <w:rsid w:val="00CA35C6"/>
    <w:rsid w:val="00CA4896"/>
    <w:rsid w:val="00CA4948"/>
    <w:rsid w:val="00CA52F9"/>
    <w:rsid w:val="00CA5368"/>
    <w:rsid w:val="00CA568B"/>
    <w:rsid w:val="00CA573A"/>
    <w:rsid w:val="00CA5B49"/>
    <w:rsid w:val="00CA5C58"/>
    <w:rsid w:val="00CA6E4F"/>
    <w:rsid w:val="00CA76FF"/>
    <w:rsid w:val="00CB0A57"/>
    <w:rsid w:val="00CB19D7"/>
    <w:rsid w:val="00CB19FE"/>
    <w:rsid w:val="00CB1C3F"/>
    <w:rsid w:val="00CB2364"/>
    <w:rsid w:val="00CB2906"/>
    <w:rsid w:val="00CB2CDF"/>
    <w:rsid w:val="00CB304C"/>
    <w:rsid w:val="00CB35D7"/>
    <w:rsid w:val="00CB3933"/>
    <w:rsid w:val="00CB5010"/>
    <w:rsid w:val="00CB53E8"/>
    <w:rsid w:val="00CB594A"/>
    <w:rsid w:val="00CB5CB2"/>
    <w:rsid w:val="00CB6979"/>
    <w:rsid w:val="00CB79BD"/>
    <w:rsid w:val="00CB7DDE"/>
    <w:rsid w:val="00CC0A3D"/>
    <w:rsid w:val="00CC1A69"/>
    <w:rsid w:val="00CC1D9C"/>
    <w:rsid w:val="00CC2FF0"/>
    <w:rsid w:val="00CC3C53"/>
    <w:rsid w:val="00CC3D04"/>
    <w:rsid w:val="00CC3D24"/>
    <w:rsid w:val="00CC3F91"/>
    <w:rsid w:val="00CC47EE"/>
    <w:rsid w:val="00CC4ACD"/>
    <w:rsid w:val="00CC4B0A"/>
    <w:rsid w:val="00CC544A"/>
    <w:rsid w:val="00CC5758"/>
    <w:rsid w:val="00CC57EA"/>
    <w:rsid w:val="00CC5954"/>
    <w:rsid w:val="00CC629B"/>
    <w:rsid w:val="00CC6C4E"/>
    <w:rsid w:val="00CC71B0"/>
    <w:rsid w:val="00CD009D"/>
    <w:rsid w:val="00CD04F4"/>
    <w:rsid w:val="00CD05A2"/>
    <w:rsid w:val="00CD14CD"/>
    <w:rsid w:val="00CD29D4"/>
    <w:rsid w:val="00CD29E6"/>
    <w:rsid w:val="00CD2B5C"/>
    <w:rsid w:val="00CD2FF3"/>
    <w:rsid w:val="00CD3323"/>
    <w:rsid w:val="00CD38F5"/>
    <w:rsid w:val="00CD3BF2"/>
    <w:rsid w:val="00CD437E"/>
    <w:rsid w:val="00CD5A64"/>
    <w:rsid w:val="00CD5DAD"/>
    <w:rsid w:val="00CD72C5"/>
    <w:rsid w:val="00CD77CE"/>
    <w:rsid w:val="00CD79A7"/>
    <w:rsid w:val="00CD7FAD"/>
    <w:rsid w:val="00CE0789"/>
    <w:rsid w:val="00CE0E8D"/>
    <w:rsid w:val="00CE1A03"/>
    <w:rsid w:val="00CE2346"/>
    <w:rsid w:val="00CE25B2"/>
    <w:rsid w:val="00CE29F7"/>
    <w:rsid w:val="00CE3529"/>
    <w:rsid w:val="00CE35C8"/>
    <w:rsid w:val="00CE3962"/>
    <w:rsid w:val="00CE4D0A"/>
    <w:rsid w:val="00CE4D1A"/>
    <w:rsid w:val="00CE4E8A"/>
    <w:rsid w:val="00CE5105"/>
    <w:rsid w:val="00CE56BD"/>
    <w:rsid w:val="00CE5EC0"/>
    <w:rsid w:val="00CE68AD"/>
    <w:rsid w:val="00CE6F9F"/>
    <w:rsid w:val="00CE781A"/>
    <w:rsid w:val="00CE7B08"/>
    <w:rsid w:val="00CE7D52"/>
    <w:rsid w:val="00CF0AB7"/>
    <w:rsid w:val="00CF1D74"/>
    <w:rsid w:val="00CF2BE2"/>
    <w:rsid w:val="00CF35F9"/>
    <w:rsid w:val="00CF3DEB"/>
    <w:rsid w:val="00CF55F9"/>
    <w:rsid w:val="00CF638F"/>
    <w:rsid w:val="00CF63D0"/>
    <w:rsid w:val="00CF67D5"/>
    <w:rsid w:val="00CF6D79"/>
    <w:rsid w:val="00CF7074"/>
    <w:rsid w:val="00CF7495"/>
    <w:rsid w:val="00CF7998"/>
    <w:rsid w:val="00D018A3"/>
    <w:rsid w:val="00D01BD8"/>
    <w:rsid w:val="00D01CF9"/>
    <w:rsid w:val="00D02B64"/>
    <w:rsid w:val="00D02D1A"/>
    <w:rsid w:val="00D0334D"/>
    <w:rsid w:val="00D0374D"/>
    <w:rsid w:val="00D06D7B"/>
    <w:rsid w:val="00D06DA5"/>
    <w:rsid w:val="00D07191"/>
    <w:rsid w:val="00D07F1D"/>
    <w:rsid w:val="00D10558"/>
    <w:rsid w:val="00D11D4D"/>
    <w:rsid w:val="00D11DB1"/>
    <w:rsid w:val="00D126DC"/>
    <w:rsid w:val="00D12B03"/>
    <w:rsid w:val="00D1346F"/>
    <w:rsid w:val="00D13E70"/>
    <w:rsid w:val="00D13EE7"/>
    <w:rsid w:val="00D15FCD"/>
    <w:rsid w:val="00D16C58"/>
    <w:rsid w:val="00D17019"/>
    <w:rsid w:val="00D17FC8"/>
    <w:rsid w:val="00D2015B"/>
    <w:rsid w:val="00D204D1"/>
    <w:rsid w:val="00D20B44"/>
    <w:rsid w:val="00D21168"/>
    <w:rsid w:val="00D2438C"/>
    <w:rsid w:val="00D2585A"/>
    <w:rsid w:val="00D259B0"/>
    <w:rsid w:val="00D259C2"/>
    <w:rsid w:val="00D26205"/>
    <w:rsid w:val="00D26C3F"/>
    <w:rsid w:val="00D27185"/>
    <w:rsid w:val="00D3028A"/>
    <w:rsid w:val="00D3137E"/>
    <w:rsid w:val="00D33488"/>
    <w:rsid w:val="00D335F2"/>
    <w:rsid w:val="00D33AB3"/>
    <w:rsid w:val="00D33F24"/>
    <w:rsid w:val="00D34160"/>
    <w:rsid w:val="00D346B8"/>
    <w:rsid w:val="00D34DCA"/>
    <w:rsid w:val="00D35AC8"/>
    <w:rsid w:val="00D35E56"/>
    <w:rsid w:val="00D36F87"/>
    <w:rsid w:val="00D37E4E"/>
    <w:rsid w:val="00D4106D"/>
    <w:rsid w:val="00D417D8"/>
    <w:rsid w:val="00D41F78"/>
    <w:rsid w:val="00D42138"/>
    <w:rsid w:val="00D42E6C"/>
    <w:rsid w:val="00D4351C"/>
    <w:rsid w:val="00D43B80"/>
    <w:rsid w:val="00D44988"/>
    <w:rsid w:val="00D45B4C"/>
    <w:rsid w:val="00D45BA4"/>
    <w:rsid w:val="00D46DB0"/>
    <w:rsid w:val="00D471AF"/>
    <w:rsid w:val="00D471E2"/>
    <w:rsid w:val="00D4724F"/>
    <w:rsid w:val="00D50519"/>
    <w:rsid w:val="00D50779"/>
    <w:rsid w:val="00D51601"/>
    <w:rsid w:val="00D51ECB"/>
    <w:rsid w:val="00D5264C"/>
    <w:rsid w:val="00D52BBC"/>
    <w:rsid w:val="00D537FE"/>
    <w:rsid w:val="00D53B50"/>
    <w:rsid w:val="00D53CC9"/>
    <w:rsid w:val="00D54A6A"/>
    <w:rsid w:val="00D54B8F"/>
    <w:rsid w:val="00D55848"/>
    <w:rsid w:val="00D55951"/>
    <w:rsid w:val="00D559F0"/>
    <w:rsid w:val="00D5650F"/>
    <w:rsid w:val="00D5731C"/>
    <w:rsid w:val="00D57EB6"/>
    <w:rsid w:val="00D608C0"/>
    <w:rsid w:val="00D60D6D"/>
    <w:rsid w:val="00D6128C"/>
    <w:rsid w:val="00D63B22"/>
    <w:rsid w:val="00D66D8B"/>
    <w:rsid w:val="00D67256"/>
    <w:rsid w:val="00D67AE6"/>
    <w:rsid w:val="00D70849"/>
    <w:rsid w:val="00D72297"/>
    <w:rsid w:val="00D72A1C"/>
    <w:rsid w:val="00D7308F"/>
    <w:rsid w:val="00D7313E"/>
    <w:rsid w:val="00D73580"/>
    <w:rsid w:val="00D73802"/>
    <w:rsid w:val="00D73C2C"/>
    <w:rsid w:val="00D73D52"/>
    <w:rsid w:val="00D745E7"/>
    <w:rsid w:val="00D750AE"/>
    <w:rsid w:val="00D75FDA"/>
    <w:rsid w:val="00D774E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6D47"/>
    <w:rsid w:val="00D8710C"/>
    <w:rsid w:val="00D873C6"/>
    <w:rsid w:val="00D9074A"/>
    <w:rsid w:val="00D90839"/>
    <w:rsid w:val="00D9099E"/>
    <w:rsid w:val="00D9193A"/>
    <w:rsid w:val="00D923B2"/>
    <w:rsid w:val="00D92463"/>
    <w:rsid w:val="00D93E64"/>
    <w:rsid w:val="00D93F64"/>
    <w:rsid w:val="00D94CA4"/>
    <w:rsid w:val="00D955ED"/>
    <w:rsid w:val="00D95E99"/>
    <w:rsid w:val="00D965D5"/>
    <w:rsid w:val="00D971E8"/>
    <w:rsid w:val="00D97DA2"/>
    <w:rsid w:val="00DA0485"/>
    <w:rsid w:val="00DA0A1E"/>
    <w:rsid w:val="00DA1A3A"/>
    <w:rsid w:val="00DA2351"/>
    <w:rsid w:val="00DA249E"/>
    <w:rsid w:val="00DA2D3D"/>
    <w:rsid w:val="00DA3855"/>
    <w:rsid w:val="00DA39BA"/>
    <w:rsid w:val="00DA3B44"/>
    <w:rsid w:val="00DA4C30"/>
    <w:rsid w:val="00DA6A44"/>
    <w:rsid w:val="00DA7A3C"/>
    <w:rsid w:val="00DB09D4"/>
    <w:rsid w:val="00DB145E"/>
    <w:rsid w:val="00DB1A94"/>
    <w:rsid w:val="00DB1D52"/>
    <w:rsid w:val="00DB1E2B"/>
    <w:rsid w:val="00DB1F62"/>
    <w:rsid w:val="00DB21E7"/>
    <w:rsid w:val="00DB2E03"/>
    <w:rsid w:val="00DB3742"/>
    <w:rsid w:val="00DB3C08"/>
    <w:rsid w:val="00DB3E9B"/>
    <w:rsid w:val="00DB3F4B"/>
    <w:rsid w:val="00DB5375"/>
    <w:rsid w:val="00DB5942"/>
    <w:rsid w:val="00DB67C1"/>
    <w:rsid w:val="00DB6C0B"/>
    <w:rsid w:val="00DB70F4"/>
    <w:rsid w:val="00DB748A"/>
    <w:rsid w:val="00DC1056"/>
    <w:rsid w:val="00DC1442"/>
    <w:rsid w:val="00DC21D8"/>
    <w:rsid w:val="00DC282A"/>
    <w:rsid w:val="00DC2DE8"/>
    <w:rsid w:val="00DC34DC"/>
    <w:rsid w:val="00DC3780"/>
    <w:rsid w:val="00DC3ADA"/>
    <w:rsid w:val="00DC3CC6"/>
    <w:rsid w:val="00DC3E5C"/>
    <w:rsid w:val="00DC3F55"/>
    <w:rsid w:val="00DC43D4"/>
    <w:rsid w:val="00DC4782"/>
    <w:rsid w:val="00DC514A"/>
    <w:rsid w:val="00DC67B1"/>
    <w:rsid w:val="00DC7FBC"/>
    <w:rsid w:val="00DD0019"/>
    <w:rsid w:val="00DD132B"/>
    <w:rsid w:val="00DD1725"/>
    <w:rsid w:val="00DD2159"/>
    <w:rsid w:val="00DD218B"/>
    <w:rsid w:val="00DD2A18"/>
    <w:rsid w:val="00DD3044"/>
    <w:rsid w:val="00DD3985"/>
    <w:rsid w:val="00DD4AB3"/>
    <w:rsid w:val="00DD523C"/>
    <w:rsid w:val="00DD61E8"/>
    <w:rsid w:val="00DD62C0"/>
    <w:rsid w:val="00DD64DE"/>
    <w:rsid w:val="00DD66DE"/>
    <w:rsid w:val="00DD7859"/>
    <w:rsid w:val="00DD7B41"/>
    <w:rsid w:val="00DE0784"/>
    <w:rsid w:val="00DE0A1D"/>
    <w:rsid w:val="00DE15B2"/>
    <w:rsid w:val="00DE1A9A"/>
    <w:rsid w:val="00DE2DCF"/>
    <w:rsid w:val="00DE3D2C"/>
    <w:rsid w:val="00DE5E82"/>
    <w:rsid w:val="00DE5FA6"/>
    <w:rsid w:val="00DE6792"/>
    <w:rsid w:val="00DE6AA1"/>
    <w:rsid w:val="00DE7798"/>
    <w:rsid w:val="00DE7EF7"/>
    <w:rsid w:val="00DF015B"/>
    <w:rsid w:val="00DF02EC"/>
    <w:rsid w:val="00DF10FC"/>
    <w:rsid w:val="00DF1185"/>
    <w:rsid w:val="00DF1299"/>
    <w:rsid w:val="00DF174F"/>
    <w:rsid w:val="00DF1A70"/>
    <w:rsid w:val="00DF1E5F"/>
    <w:rsid w:val="00DF23A8"/>
    <w:rsid w:val="00DF2F27"/>
    <w:rsid w:val="00DF36B6"/>
    <w:rsid w:val="00DF4296"/>
    <w:rsid w:val="00DF5267"/>
    <w:rsid w:val="00DF53F0"/>
    <w:rsid w:val="00DF5F38"/>
    <w:rsid w:val="00DF6608"/>
    <w:rsid w:val="00DF6CCC"/>
    <w:rsid w:val="00DF6D0C"/>
    <w:rsid w:val="00DF6F64"/>
    <w:rsid w:val="00DF721E"/>
    <w:rsid w:val="00DF7549"/>
    <w:rsid w:val="00DF7B8A"/>
    <w:rsid w:val="00DF7C87"/>
    <w:rsid w:val="00E009B0"/>
    <w:rsid w:val="00E00A12"/>
    <w:rsid w:val="00E00B39"/>
    <w:rsid w:val="00E00C49"/>
    <w:rsid w:val="00E01C9C"/>
    <w:rsid w:val="00E0219D"/>
    <w:rsid w:val="00E04C0F"/>
    <w:rsid w:val="00E0570B"/>
    <w:rsid w:val="00E069C5"/>
    <w:rsid w:val="00E0746D"/>
    <w:rsid w:val="00E108F7"/>
    <w:rsid w:val="00E10913"/>
    <w:rsid w:val="00E10B87"/>
    <w:rsid w:val="00E121CE"/>
    <w:rsid w:val="00E12209"/>
    <w:rsid w:val="00E12349"/>
    <w:rsid w:val="00E1267E"/>
    <w:rsid w:val="00E1478B"/>
    <w:rsid w:val="00E14FAC"/>
    <w:rsid w:val="00E15007"/>
    <w:rsid w:val="00E1515F"/>
    <w:rsid w:val="00E16277"/>
    <w:rsid w:val="00E16EC7"/>
    <w:rsid w:val="00E17DCC"/>
    <w:rsid w:val="00E219CE"/>
    <w:rsid w:val="00E21B44"/>
    <w:rsid w:val="00E21D93"/>
    <w:rsid w:val="00E22D2A"/>
    <w:rsid w:val="00E24071"/>
    <w:rsid w:val="00E24873"/>
    <w:rsid w:val="00E24DCA"/>
    <w:rsid w:val="00E24EBC"/>
    <w:rsid w:val="00E2522C"/>
    <w:rsid w:val="00E2552F"/>
    <w:rsid w:val="00E2599B"/>
    <w:rsid w:val="00E25A16"/>
    <w:rsid w:val="00E25B43"/>
    <w:rsid w:val="00E2710C"/>
    <w:rsid w:val="00E272BD"/>
    <w:rsid w:val="00E27428"/>
    <w:rsid w:val="00E275A3"/>
    <w:rsid w:val="00E305B4"/>
    <w:rsid w:val="00E31AFA"/>
    <w:rsid w:val="00E31CB7"/>
    <w:rsid w:val="00E324EE"/>
    <w:rsid w:val="00E34DB1"/>
    <w:rsid w:val="00E35931"/>
    <w:rsid w:val="00E359FF"/>
    <w:rsid w:val="00E3699A"/>
    <w:rsid w:val="00E402C5"/>
    <w:rsid w:val="00E402F4"/>
    <w:rsid w:val="00E405D2"/>
    <w:rsid w:val="00E405F1"/>
    <w:rsid w:val="00E40716"/>
    <w:rsid w:val="00E417DB"/>
    <w:rsid w:val="00E43054"/>
    <w:rsid w:val="00E43655"/>
    <w:rsid w:val="00E44440"/>
    <w:rsid w:val="00E46013"/>
    <w:rsid w:val="00E46A23"/>
    <w:rsid w:val="00E47099"/>
    <w:rsid w:val="00E47284"/>
    <w:rsid w:val="00E477C3"/>
    <w:rsid w:val="00E47F31"/>
    <w:rsid w:val="00E50DCF"/>
    <w:rsid w:val="00E51E16"/>
    <w:rsid w:val="00E52DED"/>
    <w:rsid w:val="00E53730"/>
    <w:rsid w:val="00E5438D"/>
    <w:rsid w:val="00E54511"/>
    <w:rsid w:val="00E54E50"/>
    <w:rsid w:val="00E55288"/>
    <w:rsid w:val="00E55AD3"/>
    <w:rsid w:val="00E55C52"/>
    <w:rsid w:val="00E57577"/>
    <w:rsid w:val="00E57B98"/>
    <w:rsid w:val="00E618BA"/>
    <w:rsid w:val="00E62043"/>
    <w:rsid w:val="00E626B9"/>
    <w:rsid w:val="00E627C9"/>
    <w:rsid w:val="00E630F3"/>
    <w:rsid w:val="00E6332F"/>
    <w:rsid w:val="00E637C9"/>
    <w:rsid w:val="00E6402D"/>
    <w:rsid w:val="00E6680A"/>
    <w:rsid w:val="00E66F0D"/>
    <w:rsid w:val="00E66FA0"/>
    <w:rsid w:val="00E66FEB"/>
    <w:rsid w:val="00E70615"/>
    <w:rsid w:val="00E7161E"/>
    <w:rsid w:val="00E7207B"/>
    <w:rsid w:val="00E72CB5"/>
    <w:rsid w:val="00E7347A"/>
    <w:rsid w:val="00E75A47"/>
    <w:rsid w:val="00E75BB6"/>
    <w:rsid w:val="00E75D8C"/>
    <w:rsid w:val="00E765B4"/>
    <w:rsid w:val="00E777F2"/>
    <w:rsid w:val="00E802C9"/>
    <w:rsid w:val="00E80BFB"/>
    <w:rsid w:val="00E80EC2"/>
    <w:rsid w:val="00E80F0A"/>
    <w:rsid w:val="00E815D4"/>
    <w:rsid w:val="00E8291B"/>
    <w:rsid w:val="00E82E70"/>
    <w:rsid w:val="00E82F92"/>
    <w:rsid w:val="00E8395F"/>
    <w:rsid w:val="00E8410F"/>
    <w:rsid w:val="00E8419D"/>
    <w:rsid w:val="00E849D7"/>
    <w:rsid w:val="00E85E41"/>
    <w:rsid w:val="00E85EA1"/>
    <w:rsid w:val="00E860C4"/>
    <w:rsid w:val="00E86703"/>
    <w:rsid w:val="00E867DE"/>
    <w:rsid w:val="00E872F1"/>
    <w:rsid w:val="00E900DA"/>
    <w:rsid w:val="00E91044"/>
    <w:rsid w:val="00E910D3"/>
    <w:rsid w:val="00E92097"/>
    <w:rsid w:val="00E92154"/>
    <w:rsid w:val="00E923CF"/>
    <w:rsid w:val="00E93685"/>
    <w:rsid w:val="00E93B65"/>
    <w:rsid w:val="00E93C8C"/>
    <w:rsid w:val="00E95111"/>
    <w:rsid w:val="00E95E4A"/>
    <w:rsid w:val="00E95FDF"/>
    <w:rsid w:val="00E972EC"/>
    <w:rsid w:val="00EA0B0D"/>
    <w:rsid w:val="00EA14C8"/>
    <w:rsid w:val="00EA19C6"/>
    <w:rsid w:val="00EA2110"/>
    <w:rsid w:val="00EA283A"/>
    <w:rsid w:val="00EA2C90"/>
    <w:rsid w:val="00EA2E07"/>
    <w:rsid w:val="00EA383B"/>
    <w:rsid w:val="00EA447B"/>
    <w:rsid w:val="00EA48F3"/>
    <w:rsid w:val="00EA60BF"/>
    <w:rsid w:val="00EA7365"/>
    <w:rsid w:val="00EA763F"/>
    <w:rsid w:val="00EA77E9"/>
    <w:rsid w:val="00EB05D0"/>
    <w:rsid w:val="00EB1151"/>
    <w:rsid w:val="00EB1D49"/>
    <w:rsid w:val="00EB23D9"/>
    <w:rsid w:val="00EB39A0"/>
    <w:rsid w:val="00EB430A"/>
    <w:rsid w:val="00EB559F"/>
    <w:rsid w:val="00EB566C"/>
    <w:rsid w:val="00EB5A18"/>
    <w:rsid w:val="00EB5F3D"/>
    <w:rsid w:val="00EB6C97"/>
    <w:rsid w:val="00EB775F"/>
    <w:rsid w:val="00EB7F8E"/>
    <w:rsid w:val="00EC054F"/>
    <w:rsid w:val="00EC1CEB"/>
    <w:rsid w:val="00EC1DC0"/>
    <w:rsid w:val="00EC1DC2"/>
    <w:rsid w:val="00EC1E09"/>
    <w:rsid w:val="00EC1E14"/>
    <w:rsid w:val="00EC210E"/>
    <w:rsid w:val="00EC21EC"/>
    <w:rsid w:val="00EC24B8"/>
    <w:rsid w:val="00EC268C"/>
    <w:rsid w:val="00EC3753"/>
    <w:rsid w:val="00EC4E71"/>
    <w:rsid w:val="00EC5841"/>
    <w:rsid w:val="00EC5F1C"/>
    <w:rsid w:val="00EC7721"/>
    <w:rsid w:val="00EC7C5D"/>
    <w:rsid w:val="00ED0365"/>
    <w:rsid w:val="00ED0865"/>
    <w:rsid w:val="00ED0AFA"/>
    <w:rsid w:val="00ED0C1C"/>
    <w:rsid w:val="00ED1C60"/>
    <w:rsid w:val="00ED2EB9"/>
    <w:rsid w:val="00ED36EC"/>
    <w:rsid w:val="00ED3722"/>
    <w:rsid w:val="00ED3A31"/>
    <w:rsid w:val="00ED4469"/>
    <w:rsid w:val="00ED5424"/>
    <w:rsid w:val="00ED5F23"/>
    <w:rsid w:val="00ED6DC0"/>
    <w:rsid w:val="00ED7729"/>
    <w:rsid w:val="00ED7A7A"/>
    <w:rsid w:val="00EE0327"/>
    <w:rsid w:val="00EE038C"/>
    <w:rsid w:val="00EE1220"/>
    <w:rsid w:val="00EE28C5"/>
    <w:rsid w:val="00EE2F09"/>
    <w:rsid w:val="00EE47C5"/>
    <w:rsid w:val="00EE490C"/>
    <w:rsid w:val="00EE4E57"/>
    <w:rsid w:val="00EE5738"/>
    <w:rsid w:val="00EE58BD"/>
    <w:rsid w:val="00EE5E59"/>
    <w:rsid w:val="00EE73D0"/>
    <w:rsid w:val="00EE772D"/>
    <w:rsid w:val="00EE7CB0"/>
    <w:rsid w:val="00EF08A8"/>
    <w:rsid w:val="00EF167B"/>
    <w:rsid w:val="00EF2496"/>
    <w:rsid w:val="00EF41A8"/>
    <w:rsid w:val="00EF44FB"/>
    <w:rsid w:val="00EF4609"/>
    <w:rsid w:val="00EF5122"/>
    <w:rsid w:val="00EF5554"/>
    <w:rsid w:val="00EF5AD8"/>
    <w:rsid w:val="00EF6B90"/>
    <w:rsid w:val="00EF6FD1"/>
    <w:rsid w:val="00EF7807"/>
    <w:rsid w:val="00EF79F7"/>
    <w:rsid w:val="00F0022A"/>
    <w:rsid w:val="00F006C0"/>
    <w:rsid w:val="00F00C48"/>
    <w:rsid w:val="00F0125F"/>
    <w:rsid w:val="00F012D6"/>
    <w:rsid w:val="00F019AA"/>
    <w:rsid w:val="00F025B7"/>
    <w:rsid w:val="00F0267E"/>
    <w:rsid w:val="00F02686"/>
    <w:rsid w:val="00F030C0"/>
    <w:rsid w:val="00F03291"/>
    <w:rsid w:val="00F03A85"/>
    <w:rsid w:val="00F0459B"/>
    <w:rsid w:val="00F04E15"/>
    <w:rsid w:val="00F05DF3"/>
    <w:rsid w:val="00F06829"/>
    <w:rsid w:val="00F069EA"/>
    <w:rsid w:val="00F070E5"/>
    <w:rsid w:val="00F07DDE"/>
    <w:rsid w:val="00F11675"/>
    <w:rsid w:val="00F123DA"/>
    <w:rsid w:val="00F12557"/>
    <w:rsid w:val="00F13599"/>
    <w:rsid w:val="00F13B28"/>
    <w:rsid w:val="00F156A0"/>
    <w:rsid w:val="00F15730"/>
    <w:rsid w:val="00F176A6"/>
    <w:rsid w:val="00F202C2"/>
    <w:rsid w:val="00F212F6"/>
    <w:rsid w:val="00F21974"/>
    <w:rsid w:val="00F22756"/>
    <w:rsid w:val="00F23248"/>
    <w:rsid w:val="00F23890"/>
    <w:rsid w:val="00F2504D"/>
    <w:rsid w:val="00F2637F"/>
    <w:rsid w:val="00F268F7"/>
    <w:rsid w:val="00F306EF"/>
    <w:rsid w:val="00F30B83"/>
    <w:rsid w:val="00F30BDB"/>
    <w:rsid w:val="00F30CF8"/>
    <w:rsid w:val="00F31EDF"/>
    <w:rsid w:val="00F3253B"/>
    <w:rsid w:val="00F32CDE"/>
    <w:rsid w:val="00F32D4C"/>
    <w:rsid w:val="00F3327E"/>
    <w:rsid w:val="00F338C3"/>
    <w:rsid w:val="00F34371"/>
    <w:rsid w:val="00F34B14"/>
    <w:rsid w:val="00F34F58"/>
    <w:rsid w:val="00F35DA7"/>
    <w:rsid w:val="00F36A6A"/>
    <w:rsid w:val="00F40101"/>
    <w:rsid w:val="00F40322"/>
    <w:rsid w:val="00F404F7"/>
    <w:rsid w:val="00F40CCA"/>
    <w:rsid w:val="00F42856"/>
    <w:rsid w:val="00F42D97"/>
    <w:rsid w:val="00F42FCF"/>
    <w:rsid w:val="00F436B2"/>
    <w:rsid w:val="00F43813"/>
    <w:rsid w:val="00F43FEE"/>
    <w:rsid w:val="00F4492F"/>
    <w:rsid w:val="00F4522D"/>
    <w:rsid w:val="00F45A72"/>
    <w:rsid w:val="00F45ACE"/>
    <w:rsid w:val="00F45F93"/>
    <w:rsid w:val="00F46723"/>
    <w:rsid w:val="00F4706D"/>
    <w:rsid w:val="00F476E1"/>
    <w:rsid w:val="00F47D1D"/>
    <w:rsid w:val="00F47F29"/>
    <w:rsid w:val="00F50016"/>
    <w:rsid w:val="00F50AD8"/>
    <w:rsid w:val="00F5118A"/>
    <w:rsid w:val="00F5171A"/>
    <w:rsid w:val="00F51A21"/>
    <w:rsid w:val="00F52614"/>
    <w:rsid w:val="00F5276E"/>
    <w:rsid w:val="00F52E9F"/>
    <w:rsid w:val="00F53304"/>
    <w:rsid w:val="00F53B81"/>
    <w:rsid w:val="00F53F39"/>
    <w:rsid w:val="00F540FE"/>
    <w:rsid w:val="00F5459A"/>
    <w:rsid w:val="00F556FF"/>
    <w:rsid w:val="00F55D12"/>
    <w:rsid w:val="00F5687F"/>
    <w:rsid w:val="00F56D3F"/>
    <w:rsid w:val="00F575C7"/>
    <w:rsid w:val="00F57FD0"/>
    <w:rsid w:val="00F60305"/>
    <w:rsid w:val="00F60502"/>
    <w:rsid w:val="00F616D6"/>
    <w:rsid w:val="00F61B12"/>
    <w:rsid w:val="00F61C70"/>
    <w:rsid w:val="00F63264"/>
    <w:rsid w:val="00F634E4"/>
    <w:rsid w:val="00F6379E"/>
    <w:rsid w:val="00F64047"/>
    <w:rsid w:val="00F65171"/>
    <w:rsid w:val="00F6560D"/>
    <w:rsid w:val="00F67844"/>
    <w:rsid w:val="00F67BB8"/>
    <w:rsid w:val="00F67C1D"/>
    <w:rsid w:val="00F70799"/>
    <w:rsid w:val="00F70A8B"/>
    <w:rsid w:val="00F70B8D"/>
    <w:rsid w:val="00F71936"/>
    <w:rsid w:val="00F724FB"/>
    <w:rsid w:val="00F726B8"/>
    <w:rsid w:val="00F72A26"/>
    <w:rsid w:val="00F7304A"/>
    <w:rsid w:val="00F733C3"/>
    <w:rsid w:val="00F746A1"/>
    <w:rsid w:val="00F74820"/>
    <w:rsid w:val="00F74947"/>
    <w:rsid w:val="00F756DD"/>
    <w:rsid w:val="00F76D05"/>
    <w:rsid w:val="00F77F4E"/>
    <w:rsid w:val="00F80047"/>
    <w:rsid w:val="00F800C7"/>
    <w:rsid w:val="00F80975"/>
    <w:rsid w:val="00F8104D"/>
    <w:rsid w:val="00F8153F"/>
    <w:rsid w:val="00F81587"/>
    <w:rsid w:val="00F8288F"/>
    <w:rsid w:val="00F8376E"/>
    <w:rsid w:val="00F83C52"/>
    <w:rsid w:val="00F84802"/>
    <w:rsid w:val="00F85B72"/>
    <w:rsid w:val="00F86540"/>
    <w:rsid w:val="00F865CE"/>
    <w:rsid w:val="00F8766F"/>
    <w:rsid w:val="00F90137"/>
    <w:rsid w:val="00F90282"/>
    <w:rsid w:val="00F91082"/>
    <w:rsid w:val="00F9116D"/>
    <w:rsid w:val="00F91342"/>
    <w:rsid w:val="00F91A9A"/>
    <w:rsid w:val="00F92634"/>
    <w:rsid w:val="00F9272B"/>
    <w:rsid w:val="00F933F3"/>
    <w:rsid w:val="00F93ABB"/>
    <w:rsid w:val="00F94D79"/>
    <w:rsid w:val="00F9658C"/>
    <w:rsid w:val="00F96BEF"/>
    <w:rsid w:val="00F96EEB"/>
    <w:rsid w:val="00F97A7F"/>
    <w:rsid w:val="00F97CD0"/>
    <w:rsid w:val="00FA0633"/>
    <w:rsid w:val="00FA0889"/>
    <w:rsid w:val="00FA16E7"/>
    <w:rsid w:val="00FA2730"/>
    <w:rsid w:val="00FA31C7"/>
    <w:rsid w:val="00FA412B"/>
    <w:rsid w:val="00FA472D"/>
    <w:rsid w:val="00FA681F"/>
    <w:rsid w:val="00FB0CBF"/>
    <w:rsid w:val="00FB18F6"/>
    <w:rsid w:val="00FB2A52"/>
    <w:rsid w:val="00FB3F92"/>
    <w:rsid w:val="00FB52C7"/>
    <w:rsid w:val="00FB57DC"/>
    <w:rsid w:val="00FB6E19"/>
    <w:rsid w:val="00FB71F6"/>
    <w:rsid w:val="00FC07AF"/>
    <w:rsid w:val="00FC0AF8"/>
    <w:rsid w:val="00FC0B69"/>
    <w:rsid w:val="00FC1483"/>
    <w:rsid w:val="00FC1C47"/>
    <w:rsid w:val="00FC3102"/>
    <w:rsid w:val="00FC39ED"/>
    <w:rsid w:val="00FC4419"/>
    <w:rsid w:val="00FC47E2"/>
    <w:rsid w:val="00FC4AA5"/>
    <w:rsid w:val="00FC4B88"/>
    <w:rsid w:val="00FC4BB8"/>
    <w:rsid w:val="00FC5148"/>
    <w:rsid w:val="00FC55F6"/>
    <w:rsid w:val="00FC5FDB"/>
    <w:rsid w:val="00FC6524"/>
    <w:rsid w:val="00FC6B58"/>
    <w:rsid w:val="00FC700B"/>
    <w:rsid w:val="00FC75AC"/>
    <w:rsid w:val="00FC761F"/>
    <w:rsid w:val="00FC7984"/>
    <w:rsid w:val="00FD01BF"/>
    <w:rsid w:val="00FD0525"/>
    <w:rsid w:val="00FD0AB7"/>
    <w:rsid w:val="00FD297D"/>
    <w:rsid w:val="00FD2D13"/>
    <w:rsid w:val="00FD3577"/>
    <w:rsid w:val="00FD374D"/>
    <w:rsid w:val="00FD6071"/>
    <w:rsid w:val="00FD633B"/>
    <w:rsid w:val="00FE0794"/>
    <w:rsid w:val="00FE1041"/>
    <w:rsid w:val="00FE24CB"/>
    <w:rsid w:val="00FE2CA5"/>
    <w:rsid w:val="00FE323F"/>
    <w:rsid w:val="00FE3473"/>
    <w:rsid w:val="00FE4049"/>
    <w:rsid w:val="00FE4794"/>
    <w:rsid w:val="00FE480F"/>
    <w:rsid w:val="00FE4998"/>
    <w:rsid w:val="00FE55B9"/>
    <w:rsid w:val="00FE57DE"/>
    <w:rsid w:val="00FE7796"/>
    <w:rsid w:val="00FE7A68"/>
    <w:rsid w:val="00FF0231"/>
    <w:rsid w:val="00FF0F90"/>
    <w:rsid w:val="00FF0FA4"/>
    <w:rsid w:val="00FF1C9B"/>
    <w:rsid w:val="00FF1D49"/>
    <w:rsid w:val="00FF203B"/>
    <w:rsid w:val="00FF2562"/>
    <w:rsid w:val="00FF3A41"/>
    <w:rsid w:val="00FF3E5B"/>
    <w:rsid w:val="00FF4E04"/>
    <w:rsid w:val="00FF57E4"/>
    <w:rsid w:val="00FF78E5"/>
    <w:rsid w:val="012C5FAF"/>
    <w:rsid w:val="01AF3D99"/>
    <w:rsid w:val="02511F9D"/>
    <w:rsid w:val="035701EC"/>
    <w:rsid w:val="03A314B8"/>
    <w:rsid w:val="03D82B98"/>
    <w:rsid w:val="03F83E8B"/>
    <w:rsid w:val="05267FAB"/>
    <w:rsid w:val="05C56868"/>
    <w:rsid w:val="07A539BD"/>
    <w:rsid w:val="07B72767"/>
    <w:rsid w:val="08077E72"/>
    <w:rsid w:val="08882DD0"/>
    <w:rsid w:val="09CC2AAC"/>
    <w:rsid w:val="0A652D3E"/>
    <w:rsid w:val="0ABA062B"/>
    <w:rsid w:val="0B326F2A"/>
    <w:rsid w:val="0B41524D"/>
    <w:rsid w:val="0B604DCD"/>
    <w:rsid w:val="0C1E2888"/>
    <w:rsid w:val="0C30706F"/>
    <w:rsid w:val="0C92213C"/>
    <w:rsid w:val="0CB974D0"/>
    <w:rsid w:val="0CC2027E"/>
    <w:rsid w:val="0CD20F5F"/>
    <w:rsid w:val="0D84032B"/>
    <w:rsid w:val="0F2A74C4"/>
    <w:rsid w:val="0FE41808"/>
    <w:rsid w:val="10A27F31"/>
    <w:rsid w:val="1165275B"/>
    <w:rsid w:val="11691059"/>
    <w:rsid w:val="11927058"/>
    <w:rsid w:val="11E12F9E"/>
    <w:rsid w:val="120E171E"/>
    <w:rsid w:val="12E7549B"/>
    <w:rsid w:val="135E3881"/>
    <w:rsid w:val="1393594A"/>
    <w:rsid w:val="13AF4F03"/>
    <w:rsid w:val="14736E66"/>
    <w:rsid w:val="147F458F"/>
    <w:rsid w:val="14A405FA"/>
    <w:rsid w:val="1534169A"/>
    <w:rsid w:val="15A81114"/>
    <w:rsid w:val="15C03E03"/>
    <w:rsid w:val="15E84CDD"/>
    <w:rsid w:val="162A25EB"/>
    <w:rsid w:val="16735895"/>
    <w:rsid w:val="16FD2A55"/>
    <w:rsid w:val="17067C1A"/>
    <w:rsid w:val="17366761"/>
    <w:rsid w:val="177C01F0"/>
    <w:rsid w:val="179E3EFA"/>
    <w:rsid w:val="17AD7709"/>
    <w:rsid w:val="17CE6630"/>
    <w:rsid w:val="183257CA"/>
    <w:rsid w:val="1870214D"/>
    <w:rsid w:val="18736C61"/>
    <w:rsid w:val="1902011D"/>
    <w:rsid w:val="196D7D21"/>
    <w:rsid w:val="1AFF0AFE"/>
    <w:rsid w:val="1B4F19F8"/>
    <w:rsid w:val="1B5635D8"/>
    <w:rsid w:val="1B9E5DA3"/>
    <w:rsid w:val="1CAA4226"/>
    <w:rsid w:val="1D583BCE"/>
    <w:rsid w:val="1D920D6D"/>
    <w:rsid w:val="1E4F0325"/>
    <w:rsid w:val="1EBC61B3"/>
    <w:rsid w:val="1ECC44FA"/>
    <w:rsid w:val="1EFF5737"/>
    <w:rsid w:val="1F063325"/>
    <w:rsid w:val="1F411AB5"/>
    <w:rsid w:val="1F4A21A4"/>
    <w:rsid w:val="1F5A05E4"/>
    <w:rsid w:val="1F756497"/>
    <w:rsid w:val="1FB5652D"/>
    <w:rsid w:val="1FBC5DF5"/>
    <w:rsid w:val="1FF90588"/>
    <w:rsid w:val="20C3623F"/>
    <w:rsid w:val="214D7B2F"/>
    <w:rsid w:val="21781212"/>
    <w:rsid w:val="21B83F86"/>
    <w:rsid w:val="21CB366A"/>
    <w:rsid w:val="221178A8"/>
    <w:rsid w:val="221213CF"/>
    <w:rsid w:val="22327A92"/>
    <w:rsid w:val="22350AE4"/>
    <w:rsid w:val="231D53A2"/>
    <w:rsid w:val="236D5383"/>
    <w:rsid w:val="23B7504C"/>
    <w:rsid w:val="24571307"/>
    <w:rsid w:val="25110A2A"/>
    <w:rsid w:val="256C0944"/>
    <w:rsid w:val="26446DE3"/>
    <w:rsid w:val="266D191D"/>
    <w:rsid w:val="26812CFB"/>
    <w:rsid w:val="26877DFE"/>
    <w:rsid w:val="269669E7"/>
    <w:rsid w:val="26A270C1"/>
    <w:rsid w:val="26CF4C21"/>
    <w:rsid w:val="26D7699F"/>
    <w:rsid w:val="27337CE7"/>
    <w:rsid w:val="27587793"/>
    <w:rsid w:val="27993B0B"/>
    <w:rsid w:val="28325364"/>
    <w:rsid w:val="284E2BBE"/>
    <w:rsid w:val="29232704"/>
    <w:rsid w:val="29537263"/>
    <w:rsid w:val="29D75F7F"/>
    <w:rsid w:val="2B293A8C"/>
    <w:rsid w:val="2B774624"/>
    <w:rsid w:val="2B7C7B8E"/>
    <w:rsid w:val="2BA411B4"/>
    <w:rsid w:val="2C7A72BE"/>
    <w:rsid w:val="2C9A7D75"/>
    <w:rsid w:val="2CC17412"/>
    <w:rsid w:val="2D3C71CA"/>
    <w:rsid w:val="2D7C1E99"/>
    <w:rsid w:val="2D7C77D5"/>
    <w:rsid w:val="2E556AA3"/>
    <w:rsid w:val="2E9976CE"/>
    <w:rsid w:val="2EF01DEE"/>
    <w:rsid w:val="2F401D3C"/>
    <w:rsid w:val="2F5B24E1"/>
    <w:rsid w:val="2FA95C88"/>
    <w:rsid w:val="2FE779C1"/>
    <w:rsid w:val="3041370F"/>
    <w:rsid w:val="306E1D90"/>
    <w:rsid w:val="30B87FED"/>
    <w:rsid w:val="311D07B2"/>
    <w:rsid w:val="312B50A3"/>
    <w:rsid w:val="314D19A6"/>
    <w:rsid w:val="31784501"/>
    <w:rsid w:val="31894FD2"/>
    <w:rsid w:val="31B45EC9"/>
    <w:rsid w:val="32453A27"/>
    <w:rsid w:val="3263064A"/>
    <w:rsid w:val="32A43132"/>
    <w:rsid w:val="32AC0C06"/>
    <w:rsid w:val="332F6352"/>
    <w:rsid w:val="33344EF5"/>
    <w:rsid w:val="33DC79AD"/>
    <w:rsid w:val="34BC6A2B"/>
    <w:rsid w:val="350157B8"/>
    <w:rsid w:val="3537750C"/>
    <w:rsid w:val="3537798C"/>
    <w:rsid w:val="35C13FC9"/>
    <w:rsid w:val="36372B05"/>
    <w:rsid w:val="364257B6"/>
    <w:rsid w:val="37BC7885"/>
    <w:rsid w:val="37EA5922"/>
    <w:rsid w:val="38276B93"/>
    <w:rsid w:val="382E58B8"/>
    <w:rsid w:val="38AC3431"/>
    <w:rsid w:val="392F2E16"/>
    <w:rsid w:val="398E6FFF"/>
    <w:rsid w:val="39E00529"/>
    <w:rsid w:val="3A0B64A7"/>
    <w:rsid w:val="3A0D43C8"/>
    <w:rsid w:val="3A48223A"/>
    <w:rsid w:val="3A574DDA"/>
    <w:rsid w:val="3A6838DC"/>
    <w:rsid w:val="3AD3075A"/>
    <w:rsid w:val="3AF74C02"/>
    <w:rsid w:val="3C0059A5"/>
    <w:rsid w:val="3C134E78"/>
    <w:rsid w:val="3C4D7E0E"/>
    <w:rsid w:val="3D86137F"/>
    <w:rsid w:val="3D9646D4"/>
    <w:rsid w:val="3DF6345D"/>
    <w:rsid w:val="3E2B5515"/>
    <w:rsid w:val="3E3C2E3E"/>
    <w:rsid w:val="3E4D4F28"/>
    <w:rsid w:val="3ED92EC4"/>
    <w:rsid w:val="3EE13701"/>
    <w:rsid w:val="3EFF9E47"/>
    <w:rsid w:val="3F1A4BB3"/>
    <w:rsid w:val="40192BA6"/>
    <w:rsid w:val="410858E9"/>
    <w:rsid w:val="41766EA9"/>
    <w:rsid w:val="41CD3D57"/>
    <w:rsid w:val="42550A18"/>
    <w:rsid w:val="427223A6"/>
    <w:rsid w:val="429D496A"/>
    <w:rsid w:val="42BB3730"/>
    <w:rsid w:val="42F473A1"/>
    <w:rsid w:val="432D2F17"/>
    <w:rsid w:val="43683FF7"/>
    <w:rsid w:val="437217EA"/>
    <w:rsid w:val="439B2A45"/>
    <w:rsid w:val="43AB7156"/>
    <w:rsid w:val="43B96788"/>
    <w:rsid w:val="43C13863"/>
    <w:rsid w:val="43F04528"/>
    <w:rsid w:val="441E62C0"/>
    <w:rsid w:val="453178A0"/>
    <w:rsid w:val="45325D14"/>
    <w:rsid w:val="453C03FF"/>
    <w:rsid w:val="45811C7C"/>
    <w:rsid w:val="45906116"/>
    <w:rsid w:val="45931B8C"/>
    <w:rsid w:val="45EF2552"/>
    <w:rsid w:val="46775964"/>
    <w:rsid w:val="468B3EFB"/>
    <w:rsid w:val="46FF32EA"/>
    <w:rsid w:val="470A6193"/>
    <w:rsid w:val="47385210"/>
    <w:rsid w:val="475510F8"/>
    <w:rsid w:val="47C63E7D"/>
    <w:rsid w:val="47DC4F5C"/>
    <w:rsid w:val="48B40671"/>
    <w:rsid w:val="48BF0F83"/>
    <w:rsid w:val="495D082D"/>
    <w:rsid w:val="499B5738"/>
    <w:rsid w:val="499F244D"/>
    <w:rsid w:val="49BA799D"/>
    <w:rsid w:val="4A4D2210"/>
    <w:rsid w:val="4A973F3F"/>
    <w:rsid w:val="4AAE5606"/>
    <w:rsid w:val="4AF96BC7"/>
    <w:rsid w:val="4B862A85"/>
    <w:rsid w:val="4C324162"/>
    <w:rsid w:val="4CEC4311"/>
    <w:rsid w:val="4CEF36E2"/>
    <w:rsid w:val="4CEF4DC5"/>
    <w:rsid w:val="4E257655"/>
    <w:rsid w:val="4E354D93"/>
    <w:rsid w:val="4E562B07"/>
    <w:rsid w:val="4EDE2193"/>
    <w:rsid w:val="4EEF00E8"/>
    <w:rsid w:val="4F372380"/>
    <w:rsid w:val="4F372FFB"/>
    <w:rsid w:val="4FB27151"/>
    <w:rsid w:val="5025116D"/>
    <w:rsid w:val="50A3118B"/>
    <w:rsid w:val="51ED6B61"/>
    <w:rsid w:val="51FB7940"/>
    <w:rsid w:val="52395ECD"/>
    <w:rsid w:val="5251100B"/>
    <w:rsid w:val="52990E5B"/>
    <w:rsid w:val="52C10D75"/>
    <w:rsid w:val="53C27FF8"/>
    <w:rsid w:val="541E7397"/>
    <w:rsid w:val="54806794"/>
    <w:rsid w:val="549E1A80"/>
    <w:rsid w:val="54C658F4"/>
    <w:rsid w:val="54ED50CA"/>
    <w:rsid w:val="550C4BD7"/>
    <w:rsid w:val="554C1D56"/>
    <w:rsid w:val="55572986"/>
    <w:rsid w:val="55F41086"/>
    <w:rsid w:val="565340FA"/>
    <w:rsid w:val="56AD5F59"/>
    <w:rsid w:val="56B7773E"/>
    <w:rsid w:val="56C133F4"/>
    <w:rsid w:val="56C60774"/>
    <w:rsid w:val="573C5767"/>
    <w:rsid w:val="57B12A52"/>
    <w:rsid w:val="57F65FB3"/>
    <w:rsid w:val="587E6ACF"/>
    <w:rsid w:val="58EE5FDA"/>
    <w:rsid w:val="5A2F2CC8"/>
    <w:rsid w:val="5A4A08C9"/>
    <w:rsid w:val="5A9210C5"/>
    <w:rsid w:val="5B002B19"/>
    <w:rsid w:val="5B642537"/>
    <w:rsid w:val="5B8B705E"/>
    <w:rsid w:val="5BB97AB4"/>
    <w:rsid w:val="5C10702D"/>
    <w:rsid w:val="5C152601"/>
    <w:rsid w:val="5C591F03"/>
    <w:rsid w:val="5C8A1B2F"/>
    <w:rsid w:val="5CB105D5"/>
    <w:rsid w:val="5D633BFE"/>
    <w:rsid w:val="5E17145E"/>
    <w:rsid w:val="5EB74A19"/>
    <w:rsid w:val="5F4F2092"/>
    <w:rsid w:val="5F561B72"/>
    <w:rsid w:val="5F7839BE"/>
    <w:rsid w:val="5FB72C2C"/>
    <w:rsid w:val="5FDD8BAF"/>
    <w:rsid w:val="606007BB"/>
    <w:rsid w:val="60AC7F66"/>
    <w:rsid w:val="61181011"/>
    <w:rsid w:val="61BA27D8"/>
    <w:rsid w:val="61BF10D9"/>
    <w:rsid w:val="62AC22DC"/>
    <w:rsid w:val="633311F0"/>
    <w:rsid w:val="6359184F"/>
    <w:rsid w:val="638F1633"/>
    <w:rsid w:val="63A22BFD"/>
    <w:rsid w:val="644D348F"/>
    <w:rsid w:val="64E45EF7"/>
    <w:rsid w:val="64F97173"/>
    <w:rsid w:val="662A0F27"/>
    <w:rsid w:val="6691014E"/>
    <w:rsid w:val="66C87CCE"/>
    <w:rsid w:val="66F63793"/>
    <w:rsid w:val="677435B2"/>
    <w:rsid w:val="67EF75F1"/>
    <w:rsid w:val="684F4F11"/>
    <w:rsid w:val="68895867"/>
    <w:rsid w:val="69124F16"/>
    <w:rsid w:val="693E6557"/>
    <w:rsid w:val="6966360B"/>
    <w:rsid w:val="69CD5C14"/>
    <w:rsid w:val="69CF0D33"/>
    <w:rsid w:val="6A684F9C"/>
    <w:rsid w:val="6A97637A"/>
    <w:rsid w:val="6AA472B5"/>
    <w:rsid w:val="6B5B4551"/>
    <w:rsid w:val="6B9946B3"/>
    <w:rsid w:val="6BE518DA"/>
    <w:rsid w:val="6C276F3A"/>
    <w:rsid w:val="6C7007C7"/>
    <w:rsid w:val="6D2B4A00"/>
    <w:rsid w:val="6DE76850"/>
    <w:rsid w:val="6E46167B"/>
    <w:rsid w:val="6F724A25"/>
    <w:rsid w:val="6F766A97"/>
    <w:rsid w:val="6F9DF6A7"/>
    <w:rsid w:val="6FB20BD4"/>
    <w:rsid w:val="6FBA59BE"/>
    <w:rsid w:val="6FF4320D"/>
    <w:rsid w:val="70231548"/>
    <w:rsid w:val="70296B3E"/>
    <w:rsid w:val="70611204"/>
    <w:rsid w:val="7165620F"/>
    <w:rsid w:val="717039F8"/>
    <w:rsid w:val="71777118"/>
    <w:rsid w:val="71B6178D"/>
    <w:rsid w:val="748B43B9"/>
    <w:rsid w:val="74D13AD5"/>
    <w:rsid w:val="74F06346"/>
    <w:rsid w:val="74FA2C30"/>
    <w:rsid w:val="752F2D01"/>
    <w:rsid w:val="753041C6"/>
    <w:rsid w:val="75322C77"/>
    <w:rsid w:val="754D5C4B"/>
    <w:rsid w:val="755328D0"/>
    <w:rsid w:val="75E0287A"/>
    <w:rsid w:val="76C240A7"/>
    <w:rsid w:val="76CC74A7"/>
    <w:rsid w:val="76DA416A"/>
    <w:rsid w:val="775246B7"/>
    <w:rsid w:val="77804E0E"/>
    <w:rsid w:val="77B35D88"/>
    <w:rsid w:val="77DF64AD"/>
    <w:rsid w:val="781E69D1"/>
    <w:rsid w:val="7901747F"/>
    <w:rsid w:val="79484E3E"/>
    <w:rsid w:val="7A263B6B"/>
    <w:rsid w:val="7AF46346"/>
    <w:rsid w:val="7B0F5EBF"/>
    <w:rsid w:val="7B130FB9"/>
    <w:rsid w:val="7BD71E38"/>
    <w:rsid w:val="7BF64EDE"/>
    <w:rsid w:val="7C225600"/>
    <w:rsid w:val="7C400C1E"/>
    <w:rsid w:val="7CDE30A9"/>
    <w:rsid w:val="7D1B3477"/>
    <w:rsid w:val="7D935F5F"/>
    <w:rsid w:val="7DD11708"/>
    <w:rsid w:val="7DE80F68"/>
    <w:rsid w:val="7DEE4A4F"/>
    <w:rsid w:val="7EAE6230"/>
    <w:rsid w:val="7EBD579E"/>
    <w:rsid w:val="7EBF6C7A"/>
    <w:rsid w:val="7EC167BD"/>
    <w:rsid w:val="7F272D9E"/>
    <w:rsid w:val="BEF98E2B"/>
    <w:rsid w:val="CFFD5339"/>
    <w:rsid w:val="E78F0594"/>
    <w:rsid w:val="FEBD2DB3"/>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9" w:semiHidden="0" w:name="heading 4"/>
    <w:lsdException w:qFormat="1" w:unhideWhenUsed="0" w:uiPriority="0" w:semiHidden="0" w:name="heading 5"/>
    <w:lsdException w:qFormat="1" w:uiPriority="9" w:name="heading 6"/>
    <w:lsdException w:qFormat="1" w:uiPriority="9"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nhideWhenUsed="0" w:uiPriority="0"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9"/>
    <w:pPr>
      <w:keepNext/>
      <w:keepLines/>
      <w:spacing w:line="360" w:lineRule="auto"/>
      <w:outlineLvl w:val="3"/>
    </w:pPr>
    <w:rPr>
      <w:rFonts w:ascii="Arial" w:hAnsi="Arial"/>
      <w:b/>
      <w:bCs/>
      <w:szCs w:val="28"/>
    </w:rPr>
  </w:style>
  <w:style w:type="paragraph" w:styleId="5">
    <w:name w:val="heading 5"/>
    <w:basedOn w:val="1"/>
    <w:next w:val="6"/>
    <w:link w:val="35"/>
    <w:qFormat/>
    <w:uiPriority w:val="0"/>
    <w:pPr>
      <w:keepNext/>
      <w:keepLines/>
      <w:spacing w:before="280" w:after="290" w:line="376" w:lineRule="auto"/>
      <w:outlineLvl w:val="4"/>
    </w:pPr>
    <w:rPr>
      <w:b/>
      <w:bCs/>
      <w:sz w:val="28"/>
      <w:szCs w:val="28"/>
    </w:rPr>
  </w:style>
  <w:style w:type="paragraph" w:styleId="7">
    <w:name w:val="heading 8"/>
    <w:basedOn w:val="1"/>
    <w:next w:val="1"/>
    <w:link w:val="36"/>
    <w:qFormat/>
    <w:uiPriority w:val="0"/>
    <w:pPr>
      <w:keepNext/>
      <w:keepLines/>
      <w:spacing w:before="240" w:after="64" w:line="320" w:lineRule="auto"/>
      <w:outlineLvl w:val="7"/>
    </w:pPr>
    <w:rPr>
      <w:rFonts w:ascii="等线 Light" w:hAnsi="等线 Light" w:eastAsia="等线 Light"/>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8">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9">
    <w:name w:val="annotation text"/>
    <w:basedOn w:val="1"/>
    <w:link w:val="37"/>
    <w:qFormat/>
    <w:uiPriority w:val="0"/>
    <w:pPr>
      <w:jc w:val="left"/>
    </w:pPr>
  </w:style>
  <w:style w:type="paragraph" w:styleId="10">
    <w:name w:val="Body Text 3"/>
    <w:basedOn w:val="1"/>
    <w:link w:val="38"/>
    <w:qFormat/>
    <w:uiPriority w:val="0"/>
    <w:pPr>
      <w:spacing w:after="120"/>
    </w:pPr>
    <w:rPr>
      <w:sz w:val="16"/>
      <w:szCs w:val="16"/>
    </w:rPr>
  </w:style>
  <w:style w:type="paragraph" w:styleId="11">
    <w:name w:val="Body Text"/>
    <w:basedOn w:val="1"/>
    <w:link w:val="39"/>
    <w:qFormat/>
    <w:uiPriority w:val="0"/>
    <w:pPr>
      <w:spacing w:after="120"/>
    </w:pPr>
  </w:style>
  <w:style w:type="paragraph" w:styleId="12">
    <w:name w:val="Body Text Indent"/>
    <w:basedOn w:val="1"/>
    <w:link w:val="40"/>
    <w:qFormat/>
    <w:uiPriority w:val="0"/>
    <w:pPr>
      <w:ind w:firstLine="830" w:firstLineChars="352"/>
    </w:pPr>
    <w:rPr>
      <w:rFonts w:ascii="仿宋_GB2312" w:eastAsia="仿宋_GB2312"/>
      <w:kern w:val="0"/>
      <w:sz w:val="32"/>
      <w:szCs w:val="20"/>
    </w:rPr>
  </w:style>
  <w:style w:type="paragraph" w:styleId="13">
    <w:name w:val="List 2"/>
    <w:basedOn w:val="1"/>
    <w:qFormat/>
    <w:uiPriority w:val="0"/>
    <w:pPr>
      <w:ind w:left="100" w:leftChars="200" w:hanging="200" w:hangingChars="200"/>
      <w:contextualSpacing/>
    </w:pPr>
  </w:style>
  <w:style w:type="paragraph" w:styleId="14">
    <w:name w:val="Plain Text"/>
    <w:basedOn w:val="1"/>
    <w:link w:val="41"/>
    <w:qFormat/>
    <w:uiPriority w:val="0"/>
    <w:rPr>
      <w:rFonts w:ascii="宋体" w:hAnsi="Courier New"/>
      <w:kern w:val="0"/>
      <w:sz w:val="20"/>
      <w:szCs w:val="21"/>
    </w:rPr>
  </w:style>
  <w:style w:type="paragraph" w:styleId="15">
    <w:name w:val="Date"/>
    <w:basedOn w:val="1"/>
    <w:next w:val="1"/>
    <w:link w:val="42"/>
    <w:qFormat/>
    <w:uiPriority w:val="0"/>
    <w:pPr>
      <w:ind w:left="100" w:leftChars="2500"/>
    </w:pPr>
  </w:style>
  <w:style w:type="paragraph" w:styleId="16">
    <w:name w:val="Balloon Text"/>
    <w:basedOn w:val="1"/>
    <w:qFormat/>
    <w:uiPriority w:val="0"/>
    <w:rPr>
      <w:sz w:val="18"/>
      <w:szCs w:val="18"/>
    </w:rPr>
  </w:style>
  <w:style w:type="paragraph" w:styleId="17">
    <w:name w:val="footer"/>
    <w:basedOn w:val="1"/>
    <w:link w:val="43"/>
    <w:qFormat/>
    <w:uiPriority w:val="0"/>
    <w:pPr>
      <w:tabs>
        <w:tab w:val="center" w:pos="4153"/>
        <w:tab w:val="right" w:pos="8306"/>
      </w:tabs>
      <w:snapToGrid w:val="0"/>
      <w:jc w:val="left"/>
    </w:pPr>
    <w:rPr>
      <w:kern w:val="0"/>
      <w:sz w:val="18"/>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qFormat/>
    <w:uiPriority w:val="0"/>
  </w:style>
  <w:style w:type="paragraph" w:styleId="20">
    <w:name w:val="toc 2"/>
    <w:basedOn w:val="1"/>
    <w:next w:val="1"/>
    <w:qFormat/>
    <w:uiPriority w:val="0"/>
    <w:pPr>
      <w:tabs>
        <w:tab w:val="right" w:leader="dot" w:pos="8296"/>
      </w:tabs>
      <w:ind w:left="420" w:leftChars="200"/>
    </w:pPr>
  </w:style>
  <w:style w:type="paragraph" w:styleId="2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2">
    <w:name w:val="Normal (Web)"/>
    <w:basedOn w:val="1"/>
    <w:qFormat/>
    <w:uiPriority w:val="0"/>
    <w:rPr>
      <w:rFonts w:ascii="Calibri" w:hAnsi="Calibri"/>
      <w:kern w:val="0"/>
      <w:sz w:val="24"/>
    </w:rPr>
  </w:style>
  <w:style w:type="paragraph" w:styleId="23">
    <w:name w:val="Title"/>
    <w:basedOn w:val="1"/>
    <w:next w:val="1"/>
    <w:qFormat/>
    <w:uiPriority w:val="0"/>
    <w:pPr>
      <w:suppressAutoHyphens/>
      <w:spacing w:before="240" w:after="60"/>
      <w:jc w:val="center"/>
      <w:outlineLvl w:val="0"/>
    </w:pPr>
    <w:rPr>
      <w:rFonts w:ascii="Arial" w:hAnsi="Arial" w:cs="宋体"/>
      <w:b/>
      <w:sz w:val="32"/>
    </w:rPr>
  </w:style>
  <w:style w:type="paragraph" w:styleId="24">
    <w:name w:val="annotation subject"/>
    <w:basedOn w:val="9"/>
    <w:next w:val="9"/>
    <w:link w:val="45"/>
    <w:qFormat/>
    <w:uiPriority w:val="0"/>
    <w:rPr>
      <w:b/>
      <w:bCs/>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endnote reference"/>
    <w:qFormat/>
    <w:uiPriority w:val="0"/>
    <w:rPr>
      <w:rFonts w:ascii="Times New Roman" w:hAnsi="Times New Roman" w:eastAsia="宋体" w:cs="Times New Roman"/>
      <w:vertAlign w:val="superscript"/>
    </w:rPr>
  </w:style>
  <w:style w:type="character" w:styleId="30">
    <w:name w:val="Hyperlink"/>
    <w:qFormat/>
    <w:uiPriority w:val="0"/>
    <w:rPr>
      <w:rFonts w:ascii="Times New Roman" w:hAnsi="Times New Roman" w:eastAsia="宋体" w:cs="Times New Roman"/>
      <w:color w:val="0000FF"/>
      <w:u w:val="single"/>
    </w:rPr>
  </w:style>
  <w:style w:type="character" w:styleId="31">
    <w:name w:val="annotation reference"/>
    <w:qFormat/>
    <w:uiPriority w:val="0"/>
    <w:rPr>
      <w:rFonts w:ascii="Times New Roman" w:hAnsi="Times New Roman" w:eastAsia="宋体" w:cs="Times New Roman"/>
      <w:sz w:val="21"/>
      <w:szCs w:val="21"/>
    </w:rPr>
  </w:style>
  <w:style w:type="character" w:styleId="32">
    <w:name w:val="HTML Sample"/>
    <w:basedOn w:val="27"/>
    <w:semiHidden/>
    <w:unhideWhenUsed/>
    <w:qFormat/>
    <w:uiPriority w:val="99"/>
    <w:rPr>
      <w:rFonts w:ascii="Courier New" w:hAnsi="Courier New"/>
    </w:rPr>
  </w:style>
  <w:style w:type="character" w:customStyle="1" w:styleId="33">
    <w:name w:val="标题 1 Char"/>
    <w:link w:val="2"/>
    <w:qFormat/>
    <w:uiPriority w:val="0"/>
    <w:rPr>
      <w:rFonts w:ascii="Times New Roman" w:hAnsi="Times New Roman" w:eastAsia="宋体" w:cs="Times New Roman"/>
      <w:b/>
      <w:bCs/>
      <w:kern w:val="44"/>
      <w:sz w:val="44"/>
      <w:szCs w:val="44"/>
    </w:rPr>
  </w:style>
  <w:style w:type="character" w:customStyle="1" w:styleId="34">
    <w:name w:val="标题 2 Char1"/>
    <w:link w:val="3"/>
    <w:qFormat/>
    <w:uiPriority w:val="0"/>
    <w:rPr>
      <w:rFonts w:ascii="Cambria" w:hAnsi="Cambria" w:eastAsia="宋体" w:cs="Times New Roman"/>
      <w:b/>
      <w:bCs/>
      <w:kern w:val="2"/>
      <w:sz w:val="32"/>
      <w:szCs w:val="32"/>
    </w:rPr>
  </w:style>
  <w:style w:type="character" w:customStyle="1" w:styleId="35">
    <w:name w:val="标题 5 Char"/>
    <w:link w:val="5"/>
    <w:qFormat/>
    <w:uiPriority w:val="0"/>
    <w:rPr>
      <w:rFonts w:ascii="Times New Roman" w:hAnsi="Times New Roman" w:eastAsia="宋体" w:cs="Times New Roman"/>
      <w:b/>
      <w:bCs/>
      <w:kern w:val="2"/>
      <w:sz w:val="28"/>
      <w:szCs w:val="28"/>
    </w:rPr>
  </w:style>
  <w:style w:type="character" w:customStyle="1" w:styleId="36">
    <w:name w:val="标题 8 Char1"/>
    <w:link w:val="7"/>
    <w:qFormat/>
    <w:uiPriority w:val="0"/>
    <w:rPr>
      <w:rFonts w:ascii="等线 Light" w:hAnsi="等线 Light" w:eastAsia="等线 Light" w:cs="Times New Roman"/>
      <w:kern w:val="2"/>
      <w:sz w:val="24"/>
      <w:szCs w:val="24"/>
    </w:rPr>
  </w:style>
  <w:style w:type="character" w:customStyle="1" w:styleId="37">
    <w:name w:val="批注文字 Char1"/>
    <w:link w:val="9"/>
    <w:qFormat/>
    <w:uiPriority w:val="0"/>
    <w:rPr>
      <w:rFonts w:ascii="Times New Roman" w:hAnsi="Times New Roman" w:eastAsia="宋体" w:cs="Times New Roman"/>
      <w:kern w:val="2"/>
      <w:sz w:val="21"/>
      <w:szCs w:val="24"/>
    </w:rPr>
  </w:style>
  <w:style w:type="character" w:customStyle="1" w:styleId="38">
    <w:name w:val="正文文本 3 Char"/>
    <w:link w:val="10"/>
    <w:qFormat/>
    <w:uiPriority w:val="0"/>
    <w:rPr>
      <w:rFonts w:ascii="Times New Roman" w:hAnsi="Times New Roman" w:eastAsia="宋体" w:cs="Times New Roman"/>
      <w:kern w:val="2"/>
      <w:sz w:val="16"/>
      <w:szCs w:val="16"/>
    </w:rPr>
  </w:style>
  <w:style w:type="character" w:customStyle="1" w:styleId="39">
    <w:name w:val="正文文本 Char1"/>
    <w:link w:val="11"/>
    <w:qFormat/>
    <w:uiPriority w:val="0"/>
    <w:rPr>
      <w:rFonts w:ascii="Times New Roman" w:hAnsi="Times New Roman" w:eastAsia="宋体" w:cs="Times New Roman"/>
      <w:kern w:val="2"/>
      <w:sz w:val="21"/>
      <w:szCs w:val="24"/>
    </w:rPr>
  </w:style>
  <w:style w:type="character" w:customStyle="1" w:styleId="40">
    <w:name w:val="正文文本缩进 Char"/>
    <w:link w:val="12"/>
    <w:qFormat/>
    <w:uiPriority w:val="0"/>
    <w:rPr>
      <w:rFonts w:ascii="仿宋_GB2312" w:hAnsi="Times New Roman" w:eastAsia="仿宋_GB2312" w:cs="Times New Roman"/>
      <w:sz w:val="32"/>
      <w:szCs w:val="20"/>
    </w:rPr>
  </w:style>
  <w:style w:type="character" w:customStyle="1" w:styleId="41">
    <w:name w:val="纯文本 Char1"/>
    <w:link w:val="14"/>
    <w:qFormat/>
    <w:uiPriority w:val="0"/>
    <w:rPr>
      <w:rFonts w:ascii="宋体" w:hAnsi="Courier New" w:eastAsia="宋体" w:cs="Courier New"/>
      <w:szCs w:val="21"/>
    </w:rPr>
  </w:style>
  <w:style w:type="character" w:customStyle="1" w:styleId="42">
    <w:name w:val="日期 Char"/>
    <w:link w:val="15"/>
    <w:qFormat/>
    <w:uiPriority w:val="0"/>
    <w:rPr>
      <w:rFonts w:ascii="Times New Roman" w:hAnsi="Times New Roman" w:eastAsia="宋体" w:cs="Times New Roman"/>
      <w:kern w:val="2"/>
      <w:sz w:val="21"/>
      <w:szCs w:val="24"/>
    </w:rPr>
  </w:style>
  <w:style w:type="character" w:customStyle="1" w:styleId="43">
    <w:name w:val="页脚 Char"/>
    <w:link w:val="17"/>
    <w:qFormat/>
    <w:uiPriority w:val="0"/>
    <w:rPr>
      <w:rFonts w:ascii="Times New Roman" w:hAnsi="Times New Roman" w:eastAsia="宋体" w:cs="Times New Roman"/>
      <w:sz w:val="18"/>
      <w:szCs w:val="18"/>
    </w:rPr>
  </w:style>
  <w:style w:type="character" w:customStyle="1" w:styleId="44">
    <w:name w:val="页眉 Char"/>
    <w:link w:val="18"/>
    <w:qFormat/>
    <w:uiPriority w:val="0"/>
    <w:rPr>
      <w:rFonts w:ascii="Times New Roman" w:hAnsi="Times New Roman" w:eastAsia="宋体" w:cs="Times New Roman"/>
      <w:sz w:val="18"/>
      <w:szCs w:val="18"/>
    </w:rPr>
  </w:style>
  <w:style w:type="character" w:customStyle="1" w:styleId="45">
    <w:name w:val="批注主题 Char"/>
    <w:link w:val="24"/>
    <w:qFormat/>
    <w:uiPriority w:val="0"/>
    <w:rPr>
      <w:rFonts w:ascii="Times New Roman" w:hAnsi="Times New Roman" w:eastAsia="宋体" w:cs="Times New Roman"/>
      <w:b/>
      <w:bCs/>
      <w:kern w:val="2"/>
      <w:sz w:val="21"/>
      <w:szCs w:val="24"/>
    </w:rPr>
  </w:style>
  <w:style w:type="character" w:customStyle="1" w:styleId="46">
    <w:name w:val="NormalCharacter"/>
    <w:qFormat/>
    <w:uiPriority w:val="0"/>
    <w:rPr>
      <w:rFonts w:ascii="Times New Roman" w:hAnsi="Times New Roman" w:eastAsia="宋体" w:cs="Times New Roman"/>
    </w:rPr>
  </w:style>
  <w:style w:type="character" w:customStyle="1" w:styleId="47">
    <w:name w:val="正文2 Char Char"/>
    <w:link w:val="48"/>
    <w:qFormat/>
    <w:uiPriority w:val="0"/>
    <w:rPr>
      <w:rFonts w:ascii="Times New Roman" w:hAnsi="Times New Roman" w:eastAsia="宋体" w:cs="Times New Roman"/>
      <w:kern w:val="2"/>
      <w:sz w:val="24"/>
    </w:rPr>
  </w:style>
  <w:style w:type="paragraph" w:customStyle="1" w:styleId="48">
    <w:name w:val="正文2"/>
    <w:basedOn w:val="1"/>
    <w:link w:val="47"/>
    <w:qFormat/>
    <w:uiPriority w:val="0"/>
    <w:pPr>
      <w:adjustRightInd w:val="0"/>
      <w:spacing w:before="156" w:line="360" w:lineRule="auto"/>
      <w:ind w:firstLine="510" w:firstLineChars="200"/>
    </w:pPr>
    <w:rPr>
      <w:sz w:val="24"/>
      <w:szCs w:val="20"/>
    </w:rPr>
  </w:style>
  <w:style w:type="character" w:customStyle="1" w:styleId="49">
    <w:name w:val="标题 1 字符1"/>
    <w:qFormat/>
    <w:uiPriority w:val="0"/>
    <w:rPr>
      <w:rFonts w:ascii="Times New Roman" w:hAnsi="Times New Roman" w:eastAsia="宋体" w:cs="Times New Roman"/>
      <w:b/>
      <w:bCs/>
      <w:kern w:val="44"/>
      <w:sz w:val="44"/>
      <w:szCs w:val="44"/>
    </w:rPr>
  </w:style>
  <w:style w:type="character" w:customStyle="1" w:styleId="50">
    <w:name w:val="textcontents"/>
    <w:qFormat/>
    <w:uiPriority w:val="0"/>
    <w:rPr>
      <w:rFonts w:ascii="Times New Roman" w:hAnsi="Times New Roman" w:eastAsia="宋体" w:cs="Times New Roman"/>
    </w:rPr>
  </w:style>
  <w:style w:type="character" w:customStyle="1" w:styleId="51">
    <w:name w:val="批注文字 Char"/>
    <w:qFormat/>
    <w:uiPriority w:val="0"/>
    <w:rPr>
      <w:rFonts w:ascii="Times New Roman" w:hAnsi="Times New Roman" w:eastAsia="宋体" w:cs="Times New Roman"/>
      <w:kern w:val="2"/>
      <w:sz w:val="21"/>
      <w:szCs w:val="24"/>
    </w:rPr>
  </w:style>
  <w:style w:type="character" w:customStyle="1" w:styleId="52">
    <w:name w:val="纯文本 字符"/>
    <w:qFormat/>
    <w:uiPriority w:val="0"/>
    <w:rPr>
      <w:rFonts w:ascii="宋体" w:hAnsi="Courier New" w:eastAsia="宋体" w:cs="Courier New"/>
      <w:szCs w:val="21"/>
    </w:rPr>
  </w:style>
  <w:style w:type="character" w:customStyle="1" w:styleId="53">
    <w:name w:val="纯文本 Char"/>
    <w:qFormat/>
    <w:uiPriority w:val="0"/>
    <w:rPr>
      <w:rFonts w:ascii="宋体" w:hAnsi="Courier New" w:eastAsia="宋体" w:cs="Courier New"/>
      <w:szCs w:val="21"/>
    </w:rPr>
  </w:style>
  <w:style w:type="character" w:customStyle="1" w:styleId="54">
    <w:name w:val="纯文本 字符2"/>
    <w:qFormat/>
    <w:uiPriority w:val="0"/>
    <w:rPr>
      <w:rFonts w:ascii="宋体" w:hAnsi="Courier New" w:eastAsia="宋体" w:cs="Courier New"/>
      <w:szCs w:val="21"/>
    </w:rPr>
  </w:style>
  <w:style w:type="character" w:customStyle="1" w:styleId="55">
    <w:name w:val="批注文字 字符1"/>
    <w:qFormat/>
    <w:uiPriority w:val="0"/>
    <w:rPr>
      <w:rFonts w:ascii="Times New Roman" w:hAnsi="Times New Roman" w:eastAsia="宋体" w:cs="Times New Roman"/>
      <w:kern w:val="2"/>
      <w:sz w:val="21"/>
      <w:szCs w:val="24"/>
    </w:rPr>
  </w:style>
  <w:style w:type="character" w:customStyle="1" w:styleId="5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57">
    <w:name w:val="纯文本 字符1"/>
    <w:qFormat/>
    <w:uiPriority w:val="0"/>
    <w:rPr>
      <w:rFonts w:ascii="宋体" w:hAnsi="Courier New" w:eastAsia="宋体" w:cs="Times New Roman"/>
    </w:rPr>
  </w:style>
  <w:style w:type="character" w:customStyle="1" w:styleId="58">
    <w:name w:val="正文文本 Char"/>
    <w:qFormat/>
    <w:uiPriority w:val="0"/>
    <w:rPr>
      <w:rFonts w:ascii="Times New Roman" w:hAnsi="Times New Roman" w:eastAsia="宋体" w:cs="Times New Roman"/>
      <w:kern w:val="2"/>
      <w:sz w:val="21"/>
      <w:szCs w:val="24"/>
    </w:rPr>
  </w:style>
  <w:style w:type="character" w:customStyle="1" w:styleId="59">
    <w:name w:val="批注文字 字符"/>
    <w:qFormat/>
    <w:uiPriority w:val="0"/>
    <w:rPr>
      <w:rFonts w:ascii="Times New Roman" w:hAnsi="Times New Roman" w:eastAsia="宋体" w:cs="Times New Roman"/>
      <w:kern w:val="2"/>
      <w:sz w:val="21"/>
      <w:szCs w:val="24"/>
    </w:rPr>
  </w:style>
  <w:style w:type="character" w:customStyle="1" w:styleId="60">
    <w:name w:val="标题 2 Char"/>
    <w:qFormat/>
    <w:uiPriority w:val="0"/>
    <w:rPr>
      <w:rFonts w:ascii="Cambria" w:hAnsi="Cambria" w:eastAsia="宋体" w:cs="Times New Roman"/>
      <w:b/>
      <w:bCs/>
      <w:kern w:val="2"/>
      <w:sz w:val="32"/>
      <w:szCs w:val="32"/>
    </w:rPr>
  </w:style>
  <w:style w:type="character" w:customStyle="1" w:styleId="61">
    <w:name w:val="标题 8 Char"/>
    <w:qFormat/>
    <w:uiPriority w:val="0"/>
    <w:rPr>
      <w:rFonts w:ascii="Arial" w:hAnsi="Arial" w:eastAsia="黑体" w:cs="Times New Roman"/>
      <w:kern w:val="2"/>
      <w:sz w:val="24"/>
      <w:szCs w:val="24"/>
    </w:rPr>
  </w:style>
  <w:style w:type="character" w:customStyle="1" w:styleId="62">
    <w:name w:val="apple-style-span"/>
    <w:qFormat/>
    <w:uiPriority w:val="0"/>
    <w:rPr>
      <w:rFonts w:ascii="Times New Roman" w:hAnsi="Times New Roman" w:eastAsia="宋体" w:cs="Times New Roman"/>
    </w:rPr>
  </w:style>
  <w:style w:type="paragraph" w:customStyle="1" w:styleId="63">
    <w:name w:val="默认段落字体 Para Char Char Char Char Char Char Char Char Char1 Char Char Char Char"/>
    <w:basedOn w:val="1"/>
    <w:qFormat/>
    <w:uiPriority w:val="0"/>
    <w:rPr>
      <w:rFonts w:ascii="Tahoma" w:hAnsi="Tahoma"/>
      <w:sz w:val="24"/>
      <w:szCs w:val="20"/>
    </w:rPr>
  </w:style>
  <w:style w:type="paragraph" w:customStyle="1" w:styleId="64">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65">
    <w:name w:val="List Paragraph"/>
    <w:basedOn w:val="1"/>
    <w:qFormat/>
    <w:uiPriority w:val="0"/>
    <w:pPr>
      <w:ind w:firstLine="420" w:firstLineChars="200"/>
    </w:pPr>
  </w:style>
  <w:style w:type="paragraph" w:customStyle="1" w:styleId="66">
    <w:name w:val="Table Paragraph"/>
    <w:basedOn w:val="1"/>
    <w:qFormat/>
    <w:uiPriority w:val="0"/>
    <w:pPr>
      <w:jc w:val="left"/>
    </w:pPr>
    <w:rPr>
      <w:rFonts w:ascii="Calibri" w:hAnsi="Calibri"/>
      <w:kern w:val="0"/>
      <w:sz w:val="22"/>
      <w:szCs w:val="22"/>
      <w:lang w:eastAsia="en-US"/>
    </w:rPr>
  </w:style>
  <w:style w:type="character" w:customStyle="1" w:styleId="67">
    <w:name w:val="正文文本 字符"/>
    <w:qFormat/>
    <w:uiPriority w:val="0"/>
    <w:rPr>
      <w:rFonts w:ascii="Times New Roman" w:hAnsi="Times New Roman" w:eastAsia="宋体" w:cs="Times New Roman"/>
      <w:kern w:val="2"/>
      <w:sz w:val="21"/>
      <w:szCs w:val="24"/>
    </w:rPr>
  </w:style>
  <w:style w:type="character" w:customStyle="1" w:styleId="68">
    <w:name w:val="批注文字 Char2"/>
    <w:qFormat/>
    <w:uiPriority w:val="0"/>
    <w:rPr>
      <w:rFonts w:ascii="Times New Roman" w:hAnsi="Times New Roman" w:eastAsia="宋体" w:cs="Times New Roman"/>
      <w:kern w:val="2"/>
      <w:sz w:val="21"/>
      <w:szCs w:val="24"/>
    </w:rPr>
  </w:style>
  <w:style w:type="table" w:customStyle="1" w:styleId="69">
    <w:name w:val="网格型2"/>
    <w:basedOn w:val="2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62</Pages>
  <Words>20201</Words>
  <Characters>21481</Characters>
  <Lines>74</Lines>
  <Paragraphs>81</Paragraphs>
  <TotalTime>6</TotalTime>
  <ScaleCrop>false</ScaleCrop>
  <LinksUpToDate>false</LinksUpToDate>
  <CharactersWithSpaces>21766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2025-07-17T15:31:00Z</dcterms:created>
  <dc:creator>唐冰</dc:creator>
  <cp:lastModifiedBy>AUV</cp:lastModifiedBy>
  <cp:lastPrinted>2025-09-30T09:12:00Z</cp:lastPrinted>
  <dcterms:modified xsi:type="dcterms:W3CDTF">2025-10-09T03:14:11Z</dcterms:modified>
  <dc:title>竞争性谈判文件规范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9AA638462F844178A92B1662E09B5CDB_13</vt:lpwstr>
  </property>
  <property fmtid="{D5CDD505-2E9C-101B-9397-08002B2CF9AE}" pid="4" name="KSOTemplateDocerSaveRecord">
    <vt:lpwstr>eyJoZGlkIjoiMDUzZDAyOWM5MzNlY2I4YmY0YTYwN2UzYTI0MzgzMTkiLCJ1c2VySWQiOiIzODM0MjA1OTEifQ==</vt:lpwstr>
  </property>
</Properties>
</file>